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751" w:rsidRDefault="00F35751" w:rsidP="00F35751">
      <w:pPr>
        <w:pStyle w:val="Default"/>
      </w:pPr>
    </w:p>
    <w:p w:rsidR="00F35751" w:rsidRPr="00F35751" w:rsidRDefault="00F35751" w:rsidP="00F35751">
      <w:pPr>
        <w:pStyle w:val="Default"/>
        <w:jc w:val="center"/>
        <w:rPr>
          <w:color w:val="FF0000"/>
          <w:sz w:val="22"/>
          <w:szCs w:val="22"/>
        </w:rPr>
      </w:pPr>
      <w:r w:rsidRPr="00F35751">
        <w:rPr>
          <w:b/>
          <w:bCs/>
          <w:color w:val="FF0000"/>
          <w:sz w:val="22"/>
          <w:szCs w:val="22"/>
        </w:rPr>
        <w:t>U p o z o r n ě n í!</w:t>
      </w:r>
    </w:p>
    <w:p w:rsidR="00F35751" w:rsidRDefault="00F35751" w:rsidP="00F35751">
      <w:pPr>
        <w:pStyle w:val="Default"/>
        <w:rPr>
          <w:b/>
          <w:bCs/>
          <w:color w:val="FF0000"/>
          <w:sz w:val="22"/>
          <w:szCs w:val="22"/>
        </w:rPr>
      </w:pPr>
      <w:r w:rsidRPr="00F35751">
        <w:rPr>
          <w:b/>
          <w:bCs/>
          <w:color w:val="FF0000"/>
          <w:sz w:val="22"/>
          <w:szCs w:val="22"/>
        </w:rPr>
        <w:t xml:space="preserve">Následující úplné znění opatření obecné povahy má jen informativní charakter. </w:t>
      </w:r>
    </w:p>
    <w:p w:rsidR="004A6A67" w:rsidRPr="00436DB4" w:rsidRDefault="00607CAF" w:rsidP="00607CAF">
      <w:pPr>
        <w:pStyle w:val="Zkladntext"/>
        <w:tabs>
          <w:tab w:val="left" w:pos="6663"/>
          <w:tab w:val="right" w:leader="dot" w:pos="9072"/>
        </w:tabs>
        <w:spacing w:before="1200" w:after="0"/>
        <w:rPr>
          <w:rFonts w:ascii="Arial" w:hAnsi="Arial" w:cs="Arial"/>
          <w:sz w:val="22"/>
          <w:szCs w:val="22"/>
        </w:rPr>
      </w:pPr>
      <w:r>
        <w:rPr>
          <w:rFonts w:ascii="Arial" w:hAnsi="Arial" w:cs="Arial"/>
          <w:sz w:val="22"/>
          <w:szCs w:val="22"/>
        </w:rPr>
        <w:t xml:space="preserve">                                                                                                     </w:t>
      </w:r>
      <w:r w:rsidR="00436DB4" w:rsidRPr="00F37E41">
        <w:rPr>
          <w:rFonts w:ascii="Arial" w:hAnsi="Arial" w:cs="Arial"/>
          <w:sz w:val="22"/>
          <w:szCs w:val="22"/>
        </w:rPr>
        <w:t>Praha</w:t>
      </w:r>
      <w:r w:rsidR="00436DB4">
        <w:rPr>
          <w:rFonts w:ascii="Arial" w:hAnsi="Arial" w:cs="Arial"/>
          <w:sz w:val="22"/>
          <w:szCs w:val="22"/>
        </w:rPr>
        <w:t xml:space="preserve"> </w:t>
      </w:r>
      <w:r>
        <w:rPr>
          <w:rFonts w:ascii="Arial" w:hAnsi="Arial" w:cs="Arial"/>
          <w:sz w:val="22"/>
          <w:szCs w:val="22"/>
        </w:rPr>
        <w:t>3. září</w:t>
      </w:r>
      <w:r w:rsidR="00436DB4">
        <w:rPr>
          <w:rFonts w:ascii="Arial" w:hAnsi="Arial" w:cs="Arial"/>
          <w:sz w:val="22"/>
          <w:szCs w:val="22"/>
        </w:rPr>
        <w:t xml:space="preserve"> 2014</w:t>
      </w:r>
    </w:p>
    <w:p w:rsidR="004A6A67" w:rsidRPr="00A35E28" w:rsidRDefault="00F35751" w:rsidP="00F35751">
      <w:pPr>
        <w:widowControl w:val="0"/>
        <w:autoSpaceDE w:val="0"/>
        <w:autoSpaceDN w:val="0"/>
        <w:adjustRightInd w:val="0"/>
        <w:spacing w:after="720"/>
        <w:jc w:val="center"/>
        <w:rPr>
          <w:rFonts w:ascii="Arial" w:hAnsi="Arial" w:cs="Arial"/>
          <w:color w:val="000000"/>
          <w:sz w:val="22"/>
          <w:szCs w:val="22"/>
        </w:rPr>
      </w:pPr>
      <w:r>
        <w:rPr>
          <w:rFonts w:ascii="Arial" w:hAnsi="Arial" w:cs="Arial"/>
          <w:color w:val="000000"/>
          <w:sz w:val="22"/>
          <w:szCs w:val="22"/>
        </w:rPr>
        <w:t xml:space="preserve">                                                                                               </w:t>
      </w:r>
      <w:r w:rsidR="004A6A67" w:rsidRPr="00A35E28">
        <w:rPr>
          <w:rFonts w:ascii="Arial" w:hAnsi="Arial" w:cs="Arial"/>
          <w:color w:val="000000"/>
          <w:sz w:val="22"/>
          <w:szCs w:val="22"/>
        </w:rPr>
        <w:t>Čj.:</w:t>
      </w:r>
      <w:r w:rsidR="004A6A67" w:rsidRPr="00A35E28">
        <w:rPr>
          <w:rFonts w:ascii="Arial" w:hAnsi="Arial" w:cs="Arial"/>
          <w:color w:val="000000"/>
          <w:spacing w:val="-2"/>
          <w:sz w:val="22"/>
          <w:szCs w:val="22"/>
        </w:rPr>
        <w:t xml:space="preserve"> </w:t>
      </w:r>
      <w:r w:rsidR="008472DB" w:rsidRPr="00A35E28">
        <w:rPr>
          <w:rFonts w:ascii="Arial" w:hAnsi="Arial" w:cs="Arial"/>
          <w:color w:val="000000"/>
          <w:spacing w:val="-2"/>
          <w:sz w:val="22"/>
          <w:szCs w:val="22"/>
        </w:rPr>
        <w:t>ČTÚ-</w:t>
      </w:r>
      <w:r w:rsidR="004A6A67" w:rsidRPr="00A35E28">
        <w:rPr>
          <w:rFonts w:ascii="Arial" w:hAnsi="Arial" w:cs="Arial"/>
          <w:color w:val="000000"/>
          <w:sz w:val="22"/>
          <w:szCs w:val="22"/>
        </w:rPr>
        <w:t>33</w:t>
      </w:r>
      <w:r w:rsidR="004A6A67" w:rsidRPr="00A35E28">
        <w:rPr>
          <w:rFonts w:ascii="Arial" w:hAnsi="Arial" w:cs="Arial"/>
          <w:color w:val="000000"/>
          <w:spacing w:val="-2"/>
          <w:sz w:val="22"/>
          <w:szCs w:val="22"/>
        </w:rPr>
        <w:t xml:space="preserve"> </w:t>
      </w:r>
      <w:r w:rsidR="004A6A67" w:rsidRPr="00A35E28">
        <w:rPr>
          <w:rFonts w:ascii="Arial" w:hAnsi="Arial" w:cs="Arial"/>
          <w:color w:val="000000"/>
          <w:w w:val="99"/>
          <w:sz w:val="22"/>
          <w:szCs w:val="22"/>
        </w:rPr>
        <w:t>415/2014-611</w:t>
      </w:r>
    </w:p>
    <w:p w:rsidR="004A6A67" w:rsidRPr="00A35E28" w:rsidRDefault="004A6A67" w:rsidP="00092796">
      <w:pPr>
        <w:widowControl w:val="0"/>
        <w:tabs>
          <w:tab w:val="left" w:pos="6260"/>
          <w:tab w:val="left" w:pos="7200"/>
        </w:tabs>
        <w:autoSpaceDE w:val="0"/>
        <w:autoSpaceDN w:val="0"/>
        <w:adjustRightInd w:val="0"/>
        <w:spacing w:after="360"/>
        <w:ind w:firstLine="828"/>
        <w:jc w:val="both"/>
        <w:rPr>
          <w:rFonts w:ascii="Arial" w:hAnsi="Arial" w:cs="Arial"/>
          <w:color w:val="000000"/>
          <w:sz w:val="22"/>
          <w:szCs w:val="22"/>
        </w:rPr>
      </w:pPr>
      <w:r w:rsidRPr="00A35E28">
        <w:rPr>
          <w:rFonts w:ascii="Arial" w:hAnsi="Arial" w:cs="Arial"/>
          <w:color w:val="000000"/>
          <w:sz w:val="22"/>
          <w:szCs w:val="22"/>
        </w:rPr>
        <w:t>Český telekomunikační úřad (dále jen „Úřad“) jako</w:t>
      </w:r>
      <w:r w:rsidR="00A35E28">
        <w:rPr>
          <w:rFonts w:ascii="Arial" w:hAnsi="Arial" w:cs="Arial"/>
          <w:color w:val="000000"/>
          <w:sz w:val="22"/>
          <w:szCs w:val="22"/>
        </w:rPr>
        <w:t xml:space="preserve"> </w:t>
      </w:r>
      <w:r w:rsidRPr="00A35E28">
        <w:rPr>
          <w:rFonts w:ascii="Arial" w:hAnsi="Arial" w:cs="Arial"/>
          <w:color w:val="000000"/>
          <w:sz w:val="22"/>
          <w:szCs w:val="22"/>
        </w:rPr>
        <w:t xml:space="preserve">příslušný </w:t>
      </w:r>
      <w:r w:rsidR="00A35E28" w:rsidRPr="00A35E28">
        <w:rPr>
          <w:rFonts w:ascii="Arial" w:hAnsi="Arial" w:cs="Arial"/>
          <w:color w:val="000000"/>
          <w:sz w:val="22"/>
          <w:szCs w:val="22"/>
        </w:rPr>
        <w:t>orgán státní správy</w:t>
      </w:r>
      <w:r w:rsidR="0047095F">
        <w:rPr>
          <w:rFonts w:ascii="Arial" w:hAnsi="Arial" w:cs="Arial"/>
          <w:color w:val="000000"/>
          <w:sz w:val="22"/>
          <w:szCs w:val="22"/>
        </w:rPr>
        <w:t xml:space="preserve"> podle </w:t>
      </w:r>
      <w:r w:rsidR="00A35E28">
        <w:rPr>
          <w:rFonts w:ascii="Arial" w:hAnsi="Arial" w:cs="Arial"/>
          <w:color w:val="000000"/>
          <w:sz w:val="22"/>
          <w:szCs w:val="22"/>
        </w:rPr>
        <w:t xml:space="preserve">§ </w:t>
      </w:r>
      <w:r w:rsidRPr="00A35E28">
        <w:rPr>
          <w:rFonts w:ascii="Arial" w:hAnsi="Arial" w:cs="Arial"/>
          <w:color w:val="000000"/>
          <w:sz w:val="22"/>
          <w:szCs w:val="22"/>
        </w:rPr>
        <w:t>108 odst. 1 písm. b) zákona č. 127/2005 Sb., o</w:t>
      </w:r>
      <w:r w:rsidR="00945C10">
        <w:rPr>
          <w:rFonts w:ascii="Arial" w:hAnsi="Arial" w:cs="Arial"/>
          <w:color w:val="000000"/>
          <w:sz w:val="22"/>
          <w:szCs w:val="22"/>
        </w:rPr>
        <w:t xml:space="preserve"> </w:t>
      </w:r>
      <w:r w:rsidRPr="00A35E28">
        <w:rPr>
          <w:rFonts w:ascii="Arial" w:hAnsi="Arial" w:cs="Arial"/>
          <w:color w:val="000000"/>
          <w:sz w:val="22"/>
          <w:szCs w:val="22"/>
        </w:rPr>
        <w:t xml:space="preserve">elektronických </w:t>
      </w:r>
      <w:r w:rsidR="00A35E28">
        <w:rPr>
          <w:rFonts w:ascii="Arial" w:hAnsi="Arial" w:cs="Arial"/>
          <w:color w:val="000000"/>
          <w:sz w:val="22"/>
          <w:szCs w:val="22"/>
        </w:rPr>
        <w:t xml:space="preserve">komunikacích a </w:t>
      </w:r>
      <w:r w:rsidRPr="00A35E28">
        <w:rPr>
          <w:rFonts w:ascii="Arial" w:hAnsi="Arial" w:cs="Arial"/>
          <w:color w:val="000000"/>
          <w:sz w:val="22"/>
          <w:szCs w:val="22"/>
        </w:rPr>
        <w:t>o</w:t>
      </w:r>
      <w:r w:rsidR="00436DB4">
        <w:rPr>
          <w:rFonts w:ascii="Arial" w:hAnsi="Arial" w:cs="Arial"/>
          <w:color w:val="000000"/>
          <w:sz w:val="22"/>
          <w:szCs w:val="22"/>
        </w:rPr>
        <w:t> </w:t>
      </w:r>
      <w:r w:rsidRPr="00A35E28">
        <w:rPr>
          <w:rFonts w:ascii="Arial" w:hAnsi="Arial" w:cs="Arial"/>
          <w:color w:val="000000"/>
          <w:sz w:val="22"/>
          <w:szCs w:val="22"/>
        </w:rPr>
        <w:t>změně některých souvisejících zákonů (zákon o</w:t>
      </w:r>
      <w:r w:rsidR="00945C10">
        <w:rPr>
          <w:rFonts w:ascii="Arial" w:hAnsi="Arial" w:cs="Arial"/>
          <w:color w:val="000000"/>
          <w:sz w:val="22"/>
          <w:szCs w:val="22"/>
        </w:rPr>
        <w:t xml:space="preserve"> </w:t>
      </w:r>
      <w:r w:rsidRPr="00A35E28">
        <w:rPr>
          <w:rFonts w:ascii="Arial" w:hAnsi="Arial" w:cs="Arial"/>
          <w:color w:val="000000"/>
          <w:sz w:val="22"/>
          <w:szCs w:val="22"/>
        </w:rPr>
        <w:t>elektronických komunikacích), ve</w:t>
      </w:r>
      <w:r w:rsidR="00A35E28">
        <w:rPr>
          <w:rFonts w:ascii="Arial" w:hAnsi="Arial" w:cs="Arial"/>
          <w:color w:val="000000"/>
          <w:sz w:val="22"/>
          <w:szCs w:val="22"/>
        </w:rPr>
        <w:t xml:space="preserve"> </w:t>
      </w:r>
      <w:r w:rsidRPr="00A35E28">
        <w:rPr>
          <w:rFonts w:ascii="Arial" w:hAnsi="Arial" w:cs="Arial"/>
          <w:color w:val="000000"/>
          <w:sz w:val="22"/>
          <w:szCs w:val="22"/>
        </w:rPr>
        <w:t>znění pozdějších předpisů (dále jen „zákon“),</w:t>
      </w:r>
      <w:r w:rsidR="0047095F">
        <w:rPr>
          <w:rFonts w:ascii="Arial" w:hAnsi="Arial" w:cs="Arial"/>
          <w:color w:val="000000"/>
          <w:sz w:val="22"/>
          <w:szCs w:val="22"/>
        </w:rPr>
        <w:t xml:space="preserve"> na </w:t>
      </w:r>
      <w:r w:rsidRPr="00A35E28">
        <w:rPr>
          <w:rFonts w:ascii="Arial" w:hAnsi="Arial" w:cs="Arial"/>
          <w:color w:val="000000"/>
          <w:sz w:val="22"/>
          <w:szCs w:val="22"/>
        </w:rPr>
        <w:t>základě výsledků veřejné konzultace uskutečněné</w:t>
      </w:r>
      <w:r w:rsidR="0047095F">
        <w:rPr>
          <w:rFonts w:ascii="Arial" w:hAnsi="Arial" w:cs="Arial"/>
          <w:color w:val="000000"/>
          <w:sz w:val="22"/>
          <w:szCs w:val="22"/>
        </w:rPr>
        <w:t xml:space="preserve"> podle </w:t>
      </w:r>
      <w:r w:rsidRPr="00A35E28">
        <w:rPr>
          <w:rFonts w:ascii="Arial" w:hAnsi="Arial" w:cs="Arial"/>
          <w:color w:val="000000"/>
          <w:sz w:val="22"/>
          <w:szCs w:val="22"/>
        </w:rPr>
        <w:t>§</w:t>
      </w:r>
      <w:r w:rsidR="00A35E28">
        <w:rPr>
          <w:rFonts w:ascii="Arial" w:hAnsi="Arial" w:cs="Arial"/>
          <w:color w:val="000000"/>
          <w:sz w:val="22"/>
          <w:szCs w:val="22"/>
        </w:rPr>
        <w:t xml:space="preserve"> </w:t>
      </w:r>
      <w:r w:rsidRPr="00A35E28">
        <w:rPr>
          <w:rFonts w:ascii="Arial" w:hAnsi="Arial" w:cs="Arial"/>
          <w:color w:val="000000"/>
          <w:sz w:val="22"/>
          <w:szCs w:val="22"/>
        </w:rPr>
        <w:t>130 zákona, rozhodnutí Rady Úřadu</w:t>
      </w:r>
      <w:r w:rsidR="0047095F">
        <w:rPr>
          <w:rFonts w:ascii="Arial" w:hAnsi="Arial" w:cs="Arial"/>
          <w:color w:val="000000"/>
          <w:sz w:val="22"/>
          <w:szCs w:val="22"/>
        </w:rPr>
        <w:t xml:space="preserve"> podle </w:t>
      </w:r>
      <w:r w:rsidRPr="00A35E28">
        <w:rPr>
          <w:rFonts w:ascii="Arial" w:hAnsi="Arial" w:cs="Arial"/>
          <w:color w:val="000000"/>
          <w:sz w:val="22"/>
          <w:szCs w:val="22"/>
        </w:rPr>
        <w:t xml:space="preserve">§ 107 odst. </w:t>
      </w:r>
      <w:r w:rsidR="008472DB" w:rsidRPr="00A35E28">
        <w:rPr>
          <w:rFonts w:ascii="Arial" w:hAnsi="Arial" w:cs="Arial"/>
          <w:color w:val="000000"/>
          <w:sz w:val="22"/>
          <w:szCs w:val="22"/>
        </w:rPr>
        <w:t>9</w:t>
      </w:r>
      <w:r w:rsidRPr="00A35E28">
        <w:rPr>
          <w:rFonts w:ascii="Arial" w:hAnsi="Arial" w:cs="Arial"/>
          <w:color w:val="000000"/>
          <w:sz w:val="22"/>
          <w:szCs w:val="22"/>
        </w:rPr>
        <w:t xml:space="preserve"> písm. b) bod 2 a</w:t>
      </w:r>
      <w:r w:rsidR="00A35E28">
        <w:rPr>
          <w:rFonts w:ascii="Arial" w:hAnsi="Arial" w:cs="Arial"/>
          <w:color w:val="000000"/>
          <w:sz w:val="22"/>
          <w:szCs w:val="22"/>
        </w:rPr>
        <w:t xml:space="preserve"> </w:t>
      </w:r>
      <w:r w:rsidRPr="00A35E28">
        <w:rPr>
          <w:rFonts w:ascii="Arial" w:hAnsi="Arial" w:cs="Arial"/>
          <w:color w:val="000000"/>
          <w:sz w:val="22"/>
          <w:szCs w:val="22"/>
        </w:rPr>
        <w:t>k</w:t>
      </w:r>
      <w:r w:rsidR="00436DB4">
        <w:rPr>
          <w:rFonts w:ascii="Arial" w:hAnsi="Arial" w:cs="Arial"/>
          <w:color w:val="000000"/>
          <w:sz w:val="22"/>
          <w:szCs w:val="22"/>
        </w:rPr>
        <w:t> </w:t>
      </w:r>
      <w:r w:rsidRPr="00A35E28">
        <w:rPr>
          <w:rFonts w:ascii="Arial" w:hAnsi="Arial" w:cs="Arial"/>
          <w:color w:val="000000"/>
          <w:sz w:val="22"/>
          <w:szCs w:val="22"/>
        </w:rPr>
        <w:t>provedení § 86 odst. 3 zákona vydává</w:t>
      </w:r>
    </w:p>
    <w:p w:rsidR="004A6A67" w:rsidRPr="00A35E28" w:rsidRDefault="004A6A67" w:rsidP="008A5A31">
      <w:pPr>
        <w:widowControl w:val="0"/>
        <w:autoSpaceDE w:val="0"/>
        <w:autoSpaceDN w:val="0"/>
        <w:adjustRightInd w:val="0"/>
        <w:spacing w:after="360"/>
        <w:jc w:val="center"/>
        <w:rPr>
          <w:rFonts w:ascii="Arial" w:hAnsi="Arial" w:cs="Arial"/>
          <w:b/>
          <w:bCs/>
          <w:color w:val="000000"/>
          <w:sz w:val="22"/>
          <w:szCs w:val="22"/>
        </w:rPr>
      </w:pPr>
      <w:r w:rsidRPr="00A35E28">
        <w:rPr>
          <w:rFonts w:ascii="Arial" w:hAnsi="Arial" w:cs="Arial"/>
          <w:b/>
          <w:bCs/>
          <w:color w:val="000000"/>
          <w:sz w:val="22"/>
          <w:szCs w:val="22"/>
        </w:rPr>
        <w:t>opatření obecné povahy č.</w:t>
      </w:r>
      <w:r w:rsidR="005A3A85" w:rsidRPr="00A35E28">
        <w:rPr>
          <w:rFonts w:ascii="Arial" w:hAnsi="Arial" w:cs="Arial"/>
          <w:b/>
          <w:bCs/>
          <w:color w:val="000000"/>
          <w:sz w:val="22"/>
          <w:szCs w:val="22"/>
        </w:rPr>
        <w:t xml:space="preserve"> </w:t>
      </w:r>
      <w:r w:rsidRPr="00A35E28">
        <w:rPr>
          <w:rFonts w:ascii="Arial" w:hAnsi="Arial" w:cs="Arial"/>
          <w:b/>
          <w:bCs/>
          <w:color w:val="000000"/>
          <w:sz w:val="22"/>
          <w:szCs w:val="22"/>
        </w:rPr>
        <w:t>OOP/4/</w:t>
      </w:r>
      <w:r w:rsidR="00607CAF">
        <w:rPr>
          <w:rFonts w:ascii="Arial" w:hAnsi="Arial" w:cs="Arial"/>
          <w:b/>
          <w:bCs/>
          <w:color w:val="000000"/>
          <w:sz w:val="22"/>
          <w:szCs w:val="22"/>
        </w:rPr>
        <w:t>09</w:t>
      </w:r>
      <w:r w:rsidRPr="00A35E28">
        <w:rPr>
          <w:rFonts w:ascii="Arial" w:hAnsi="Arial" w:cs="Arial"/>
          <w:b/>
          <w:bCs/>
          <w:color w:val="000000"/>
          <w:sz w:val="22"/>
          <w:szCs w:val="22"/>
        </w:rPr>
        <w:t>.2014-</w:t>
      </w:r>
      <w:r w:rsidR="00607CAF">
        <w:rPr>
          <w:rFonts w:ascii="Arial" w:hAnsi="Arial" w:cs="Arial"/>
          <w:b/>
          <w:bCs/>
          <w:color w:val="000000"/>
          <w:sz w:val="22"/>
          <w:szCs w:val="22"/>
        </w:rPr>
        <w:t>6</w:t>
      </w:r>
    </w:p>
    <w:p w:rsidR="00E643DE" w:rsidRDefault="004A6A67" w:rsidP="00447C85">
      <w:pPr>
        <w:widowControl w:val="0"/>
        <w:autoSpaceDE w:val="0"/>
        <w:autoSpaceDN w:val="0"/>
        <w:adjustRightInd w:val="0"/>
        <w:jc w:val="center"/>
        <w:rPr>
          <w:rFonts w:ascii="Arial" w:hAnsi="Arial" w:cs="Arial"/>
          <w:b/>
          <w:bCs/>
          <w:color w:val="000000"/>
          <w:spacing w:val="-5"/>
          <w:sz w:val="22"/>
          <w:szCs w:val="22"/>
        </w:rPr>
      </w:pPr>
      <w:r w:rsidRPr="00A35E28">
        <w:rPr>
          <w:rFonts w:ascii="Arial" w:hAnsi="Arial" w:cs="Arial"/>
          <w:b/>
          <w:bCs/>
          <w:color w:val="000000"/>
          <w:sz w:val="22"/>
          <w:szCs w:val="22"/>
        </w:rPr>
        <w:t>kterým</w:t>
      </w:r>
      <w:r w:rsidRPr="00A35E28">
        <w:rPr>
          <w:rFonts w:ascii="Arial" w:hAnsi="Arial" w:cs="Arial"/>
          <w:b/>
          <w:bCs/>
          <w:color w:val="000000"/>
          <w:spacing w:val="-7"/>
          <w:sz w:val="22"/>
          <w:szCs w:val="22"/>
        </w:rPr>
        <w:t xml:space="preserve"> </w:t>
      </w:r>
      <w:r w:rsidRPr="00A35E28">
        <w:rPr>
          <w:rFonts w:ascii="Arial" w:hAnsi="Arial" w:cs="Arial"/>
          <w:b/>
          <w:bCs/>
          <w:color w:val="000000"/>
          <w:sz w:val="22"/>
          <w:szCs w:val="22"/>
        </w:rPr>
        <w:t>se</w:t>
      </w:r>
      <w:r w:rsidRPr="00A35E28">
        <w:rPr>
          <w:rFonts w:ascii="Arial" w:hAnsi="Arial" w:cs="Arial"/>
          <w:b/>
          <w:bCs/>
          <w:color w:val="000000"/>
          <w:spacing w:val="-2"/>
          <w:sz w:val="22"/>
          <w:szCs w:val="22"/>
        </w:rPr>
        <w:t xml:space="preserve"> </w:t>
      </w:r>
      <w:r w:rsidRPr="00A35E28">
        <w:rPr>
          <w:rFonts w:ascii="Arial" w:hAnsi="Arial" w:cs="Arial"/>
          <w:b/>
          <w:bCs/>
          <w:color w:val="000000"/>
          <w:sz w:val="22"/>
          <w:szCs w:val="22"/>
        </w:rPr>
        <w:t>stanoví</w:t>
      </w:r>
      <w:r w:rsidRPr="00A35E28">
        <w:rPr>
          <w:rFonts w:ascii="Arial" w:hAnsi="Arial" w:cs="Arial"/>
          <w:b/>
          <w:bCs/>
          <w:color w:val="000000"/>
          <w:spacing w:val="-8"/>
          <w:sz w:val="22"/>
          <w:szCs w:val="22"/>
        </w:rPr>
        <w:t xml:space="preserve"> </w:t>
      </w:r>
      <w:r w:rsidRPr="00A35E28">
        <w:rPr>
          <w:rFonts w:ascii="Arial" w:hAnsi="Arial" w:cs="Arial"/>
          <w:b/>
          <w:bCs/>
          <w:color w:val="000000"/>
          <w:sz w:val="22"/>
          <w:szCs w:val="22"/>
        </w:rPr>
        <w:t>metodika</w:t>
      </w:r>
      <w:r w:rsidRPr="00A35E28">
        <w:rPr>
          <w:rFonts w:ascii="Arial" w:hAnsi="Arial" w:cs="Arial"/>
          <w:b/>
          <w:bCs/>
          <w:color w:val="000000"/>
          <w:spacing w:val="-10"/>
          <w:sz w:val="22"/>
          <w:szCs w:val="22"/>
        </w:rPr>
        <w:t xml:space="preserve"> </w:t>
      </w:r>
      <w:r w:rsidRPr="00A35E28">
        <w:rPr>
          <w:rFonts w:ascii="Arial" w:hAnsi="Arial" w:cs="Arial"/>
          <w:b/>
          <w:bCs/>
          <w:color w:val="000000"/>
          <w:sz w:val="22"/>
          <w:szCs w:val="22"/>
        </w:rPr>
        <w:t>účelového</w:t>
      </w:r>
      <w:r w:rsidRPr="00A35E28">
        <w:rPr>
          <w:rFonts w:ascii="Arial" w:hAnsi="Arial" w:cs="Arial"/>
          <w:b/>
          <w:bCs/>
          <w:color w:val="000000"/>
          <w:spacing w:val="-11"/>
          <w:sz w:val="22"/>
          <w:szCs w:val="22"/>
        </w:rPr>
        <w:t xml:space="preserve"> </w:t>
      </w:r>
      <w:r w:rsidRPr="00A35E28">
        <w:rPr>
          <w:rFonts w:ascii="Arial" w:hAnsi="Arial" w:cs="Arial"/>
          <w:b/>
          <w:bCs/>
          <w:color w:val="000000"/>
          <w:sz w:val="22"/>
          <w:szCs w:val="22"/>
        </w:rPr>
        <w:t>členění</w:t>
      </w:r>
      <w:r w:rsidRPr="00A35E28">
        <w:rPr>
          <w:rFonts w:ascii="Arial" w:hAnsi="Arial" w:cs="Arial"/>
          <w:b/>
          <w:bCs/>
          <w:color w:val="000000"/>
          <w:spacing w:val="-5"/>
          <w:sz w:val="22"/>
          <w:szCs w:val="22"/>
        </w:rPr>
        <w:t xml:space="preserve"> </w:t>
      </w:r>
      <w:r w:rsidRPr="00A35E28">
        <w:rPr>
          <w:rFonts w:ascii="Arial" w:hAnsi="Arial" w:cs="Arial"/>
          <w:b/>
          <w:bCs/>
          <w:color w:val="000000"/>
          <w:sz w:val="22"/>
          <w:szCs w:val="22"/>
        </w:rPr>
        <w:t>nákladů</w:t>
      </w:r>
      <w:r w:rsidRPr="00A35E28">
        <w:rPr>
          <w:rFonts w:ascii="Arial" w:hAnsi="Arial" w:cs="Arial"/>
          <w:b/>
          <w:bCs/>
          <w:color w:val="000000"/>
          <w:spacing w:val="-8"/>
          <w:sz w:val="22"/>
          <w:szCs w:val="22"/>
        </w:rPr>
        <w:t xml:space="preserve"> a</w:t>
      </w:r>
      <w:r w:rsidR="00945C10">
        <w:rPr>
          <w:rFonts w:ascii="Arial" w:hAnsi="Arial" w:cs="Arial"/>
          <w:b/>
          <w:bCs/>
          <w:color w:val="000000"/>
          <w:spacing w:val="-8"/>
          <w:sz w:val="22"/>
          <w:szCs w:val="22"/>
        </w:rPr>
        <w:t xml:space="preserve"> </w:t>
      </w:r>
      <w:r w:rsidRPr="00A35E28">
        <w:rPr>
          <w:rFonts w:ascii="Arial" w:hAnsi="Arial" w:cs="Arial"/>
          <w:b/>
          <w:bCs/>
          <w:color w:val="000000"/>
          <w:sz w:val="22"/>
          <w:szCs w:val="22"/>
        </w:rPr>
        <w:t>výnosů</w:t>
      </w:r>
      <w:r w:rsidRPr="00A35E28">
        <w:rPr>
          <w:rFonts w:ascii="Arial" w:hAnsi="Arial" w:cs="Arial"/>
          <w:b/>
          <w:bCs/>
          <w:color w:val="000000"/>
          <w:spacing w:val="-7"/>
          <w:sz w:val="22"/>
          <w:szCs w:val="22"/>
        </w:rPr>
        <w:t xml:space="preserve"> a</w:t>
      </w:r>
      <w:r w:rsidR="00447C85">
        <w:rPr>
          <w:rFonts w:ascii="Arial" w:hAnsi="Arial" w:cs="Arial"/>
          <w:b/>
          <w:bCs/>
          <w:color w:val="000000"/>
          <w:spacing w:val="-7"/>
          <w:sz w:val="22"/>
          <w:szCs w:val="22"/>
        </w:rPr>
        <w:t xml:space="preserve"> </w:t>
      </w:r>
      <w:r w:rsidRPr="00A35E28">
        <w:rPr>
          <w:rFonts w:ascii="Arial" w:hAnsi="Arial" w:cs="Arial"/>
          <w:b/>
          <w:bCs/>
          <w:color w:val="000000"/>
          <w:sz w:val="22"/>
          <w:szCs w:val="22"/>
        </w:rPr>
        <w:t>jejich</w:t>
      </w:r>
    </w:p>
    <w:p w:rsidR="004A6A67" w:rsidRPr="00A35E28" w:rsidRDefault="004A6A67" w:rsidP="002B700F">
      <w:pPr>
        <w:widowControl w:val="0"/>
        <w:autoSpaceDE w:val="0"/>
        <w:autoSpaceDN w:val="0"/>
        <w:adjustRightInd w:val="0"/>
        <w:jc w:val="center"/>
        <w:rPr>
          <w:rFonts w:ascii="Arial" w:hAnsi="Arial" w:cs="Arial"/>
          <w:color w:val="000000"/>
          <w:sz w:val="22"/>
          <w:szCs w:val="22"/>
        </w:rPr>
      </w:pPr>
      <w:r w:rsidRPr="00A35E28">
        <w:rPr>
          <w:rFonts w:ascii="Arial" w:hAnsi="Arial" w:cs="Arial"/>
          <w:b/>
          <w:bCs/>
          <w:color w:val="000000"/>
          <w:w w:val="99"/>
          <w:sz w:val="22"/>
          <w:szCs w:val="22"/>
        </w:rPr>
        <w:t>př</w:t>
      </w:r>
      <w:r w:rsidRPr="00A35E28">
        <w:rPr>
          <w:rFonts w:ascii="Arial" w:hAnsi="Arial" w:cs="Arial"/>
          <w:b/>
          <w:bCs/>
          <w:color w:val="000000"/>
          <w:sz w:val="22"/>
          <w:szCs w:val="22"/>
        </w:rPr>
        <w:t>i</w:t>
      </w:r>
      <w:r w:rsidRPr="00A35E28">
        <w:rPr>
          <w:rFonts w:ascii="Arial" w:hAnsi="Arial" w:cs="Arial"/>
          <w:b/>
          <w:bCs/>
          <w:color w:val="000000"/>
          <w:w w:val="99"/>
          <w:sz w:val="22"/>
          <w:szCs w:val="22"/>
        </w:rPr>
        <w:t>řazování a</w:t>
      </w:r>
      <w:r w:rsidR="00945C10">
        <w:rPr>
          <w:rFonts w:ascii="Arial" w:hAnsi="Arial" w:cs="Arial"/>
          <w:b/>
          <w:bCs/>
          <w:color w:val="000000"/>
          <w:w w:val="99"/>
          <w:sz w:val="22"/>
          <w:szCs w:val="22"/>
        </w:rPr>
        <w:t xml:space="preserve"> </w:t>
      </w:r>
      <w:r w:rsidRPr="00A35E28">
        <w:rPr>
          <w:rFonts w:ascii="Arial" w:hAnsi="Arial" w:cs="Arial"/>
          <w:b/>
          <w:bCs/>
          <w:color w:val="000000"/>
          <w:sz w:val="22"/>
          <w:szCs w:val="22"/>
        </w:rPr>
        <w:t>určuje</w:t>
      </w:r>
      <w:r w:rsidRPr="00A35E28">
        <w:rPr>
          <w:rFonts w:ascii="Arial" w:hAnsi="Arial" w:cs="Arial"/>
          <w:b/>
          <w:bCs/>
          <w:color w:val="000000"/>
          <w:spacing w:val="-7"/>
          <w:sz w:val="22"/>
          <w:szCs w:val="22"/>
        </w:rPr>
        <w:t xml:space="preserve"> </w:t>
      </w:r>
      <w:r w:rsidRPr="00A35E28">
        <w:rPr>
          <w:rFonts w:ascii="Arial" w:hAnsi="Arial" w:cs="Arial"/>
          <w:b/>
          <w:bCs/>
          <w:color w:val="000000"/>
          <w:sz w:val="22"/>
          <w:szCs w:val="22"/>
        </w:rPr>
        <w:t>se</w:t>
      </w:r>
      <w:r w:rsidRPr="00A35E28">
        <w:rPr>
          <w:rFonts w:ascii="Arial" w:hAnsi="Arial" w:cs="Arial"/>
          <w:b/>
          <w:bCs/>
          <w:color w:val="000000"/>
          <w:spacing w:val="-2"/>
          <w:sz w:val="22"/>
          <w:szCs w:val="22"/>
        </w:rPr>
        <w:t xml:space="preserve"> </w:t>
      </w:r>
      <w:r w:rsidRPr="00A35E28">
        <w:rPr>
          <w:rFonts w:ascii="Arial" w:hAnsi="Arial" w:cs="Arial"/>
          <w:b/>
          <w:bCs/>
          <w:color w:val="000000"/>
          <w:sz w:val="22"/>
          <w:szCs w:val="22"/>
        </w:rPr>
        <w:t>struktura</w:t>
      </w:r>
      <w:r w:rsidRPr="00A35E28">
        <w:rPr>
          <w:rFonts w:ascii="Arial" w:hAnsi="Arial" w:cs="Arial"/>
          <w:b/>
          <w:bCs/>
          <w:color w:val="000000"/>
          <w:spacing w:val="-10"/>
          <w:sz w:val="22"/>
          <w:szCs w:val="22"/>
        </w:rPr>
        <w:t xml:space="preserve"> </w:t>
      </w:r>
      <w:r w:rsidRPr="00A35E28">
        <w:rPr>
          <w:rFonts w:ascii="Arial" w:hAnsi="Arial" w:cs="Arial"/>
          <w:b/>
          <w:bCs/>
          <w:color w:val="000000"/>
          <w:spacing w:val="2"/>
          <w:sz w:val="22"/>
          <w:szCs w:val="22"/>
        </w:rPr>
        <w:t>v</w:t>
      </w:r>
      <w:r w:rsidRPr="00A35E28">
        <w:rPr>
          <w:rFonts w:ascii="Arial" w:hAnsi="Arial" w:cs="Arial"/>
          <w:b/>
          <w:bCs/>
          <w:color w:val="000000"/>
          <w:spacing w:val="-1"/>
          <w:sz w:val="22"/>
          <w:szCs w:val="22"/>
        </w:rPr>
        <w:t>y</w:t>
      </w:r>
      <w:r w:rsidRPr="00A35E28">
        <w:rPr>
          <w:rFonts w:ascii="Arial" w:hAnsi="Arial" w:cs="Arial"/>
          <w:b/>
          <w:bCs/>
          <w:color w:val="000000"/>
          <w:sz w:val="22"/>
          <w:szCs w:val="22"/>
        </w:rPr>
        <w:t>kazovaných</w:t>
      </w:r>
      <w:r w:rsidRPr="00A35E28">
        <w:rPr>
          <w:rFonts w:ascii="Arial" w:hAnsi="Arial" w:cs="Arial"/>
          <w:b/>
          <w:bCs/>
          <w:color w:val="000000"/>
          <w:spacing w:val="-15"/>
          <w:sz w:val="22"/>
          <w:szCs w:val="22"/>
        </w:rPr>
        <w:t xml:space="preserve"> </w:t>
      </w:r>
      <w:r w:rsidRPr="00A35E28">
        <w:rPr>
          <w:rFonts w:ascii="Arial" w:hAnsi="Arial" w:cs="Arial"/>
          <w:b/>
          <w:bCs/>
          <w:color w:val="000000"/>
          <w:w w:val="99"/>
          <w:sz w:val="22"/>
          <w:szCs w:val="22"/>
        </w:rPr>
        <w:t>informací.</w:t>
      </w:r>
    </w:p>
    <w:p w:rsidR="004A6A67" w:rsidRPr="00A35E28" w:rsidRDefault="004A6A67" w:rsidP="002C151C">
      <w:pPr>
        <w:widowControl w:val="0"/>
        <w:autoSpaceDE w:val="0"/>
        <w:autoSpaceDN w:val="0"/>
        <w:adjustRightInd w:val="0"/>
        <w:spacing w:before="600"/>
        <w:jc w:val="center"/>
        <w:rPr>
          <w:rFonts w:ascii="Arial" w:hAnsi="Arial" w:cs="Arial"/>
          <w:color w:val="000000"/>
          <w:sz w:val="22"/>
          <w:szCs w:val="22"/>
        </w:rPr>
      </w:pPr>
      <w:r w:rsidRPr="00A35E28">
        <w:rPr>
          <w:rFonts w:ascii="Arial" w:hAnsi="Arial" w:cs="Arial"/>
          <w:color w:val="000000"/>
          <w:sz w:val="22"/>
          <w:szCs w:val="22"/>
        </w:rPr>
        <w:t>Článek 1</w:t>
      </w:r>
    </w:p>
    <w:p w:rsidR="004A6A67" w:rsidRPr="00A35E28" w:rsidRDefault="004A6A67" w:rsidP="00DD6CDD">
      <w:pPr>
        <w:widowControl w:val="0"/>
        <w:autoSpaceDE w:val="0"/>
        <w:autoSpaceDN w:val="0"/>
        <w:adjustRightInd w:val="0"/>
        <w:spacing w:before="120" w:after="240"/>
        <w:jc w:val="center"/>
        <w:rPr>
          <w:rFonts w:ascii="Arial" w:hAnsi="Arial" w:cs="Arial"/>
          <w:color w:val="000000"/>
          <w:sz w:val="22"/>
          <w:szCs w:val="22"/>
        </w:rPr>
      </w:pPr>
      <w:r w:rsidRPr="00A35E28">
        <w:rPr>
          <w:rFonts w:ascii="Arial" w:hAnsi="Arial" w:cs="Arial"/>
          <w:b/>
          <w:bCs/>
          <w:color w:val="000000"/>
          <w:sz w:val="22"/>
          <w:szCs w:val="22"/>
        </w:rPr>
        <w:t>Úvodní</w:t>
      </w:r>
      <w:r w:rsidRPr="00A35E28">
        <w:rPr>
          <w:rFonts w:ascii="Arial" w:hAnsi="Arial" w:cs="Arial"/>
          <w:b/>
          <w:bCs/>
          <w:color w:val="000000"/>
          <w:spacing w:val="-7"/>
          <w:sz w:val="22"/>
          <w:szCs w:val="22"/>
        </w:rPr>
        <w:t xml:space="preserve"> </w:t>
      </w:r>
      <w:r w:rsidRPr="00A35E28">
        <w:rPr>
          <w:rFonts w:ascii="Arial" w:hAnsi="Arial" w:cs="Arial"/>
          <w:b/>
          <w:bCs/>
          <w:color w:val="000000"/>
          <w:w w:val="99"/>
          <w:sz w:val="22"/>
          <w:szCs w:val="22"/>
        </w:rPr>
        <w:t>ustanovení</w:t>
      </w:r>
    </w:p>
    <w:p w:rsidR="004A6A67" w:rsidRPr="00A35E28" w:rsidRDefault="004A6A67" w:rsidP="00092796">
      <w:pPr>
        <w:widowControl w:val="0"/>
        <w:autoSpaceDE w:val="0"/>
        <w:autoSpaceDN w:val="0"/>
        <w:adjustRightInd w:val="0"/>
        <w:spacing w:before="240"/>
        <w:ind w:firstLine="828"/>
        <w:jc w:val="both"/>
        <w:rPr>
          <w:rFonts w:ascii="Arial" w:hAnsi="Arial" w:cs="Arial"/>
          <w:color w:val="000000"/>
          <w:sz w:val="22"/>
          <w:szCs w:val="22"/>
        </w:rPr>
      </w:pPr>
      <w:r w:rsidRPr="00A35E28">
        <w:rPr>
          <w:rFonts w:ascii="Arial" w:hAnsi="Arial" w:cs="Arial"/>
          <w:color w:val="000000"/>
          <w:sz w:val="22"/>
          <w:szCs w:val="22"/>
        </w:rPr>
        <w:t>Toto</w:t>
      </w:r>
      <w:r w:rsidRPr="00A35E28">
        <w:rPr>
          <w:rFonts w:ascii="Arial" w:hAnsi="Arial" w:cs="Arial"/>
          <w:color w:val="000000"/>
          <w:spacing w:val="54"/>
          <w:sz w:val="22"/>
          <w:szCs w:val="22"/>
        </w:rPr>
        <w:t xml:space="preserve"> </w:t>
      </w:r>
      <w:r w:rsidRPr="00A35E28">
        <w:rPr>
          <w:rFonts w:ascii="Arial" w:hAnsi="Arial" w:cs="Arial"/>
          <w:color w:val="000000"/>
          <w:sz w:val="22"/>
          <w:szCs w:val="22"/>
        </w:rPr>
        <w:t>opatření</w:t>
      </w:r>
      <w:r w:rsidRPr="00A35E28">
        <w:rPr>
          <w:rFonts w:ascii="Arial" w:hAnsi="Arial" w:cs="Arial"/>
          <w:color w:val="000000"/>
          <w:spacing w:val="50"/>
          <w:sz w:val="22"/>
          <w:szCs w:val="22"/>
        </w:rPr>
        <w:t xml:space="preserve"> </w:t>
      </w:r>
      <w:r w:rsidRPr="00A35E28">
        <w:rPr>
          <w:rFonts w:ascii="Arial" w:hAnsi="Arial" w:cs="Arial"/>
          <w:color w:val="000000"/>
          <w:sz w:val="22"/>
          <w:szCs w:val="22"/>
        </w:rPr>
        <w:t>obecné</w:t>
      </w:r>
      <w:r w:rsidRPr="00A35E28">
        <w:rPr>
          <w:rFonts w:ascii="Arial" w:hAnsi="Arial" w:cs="Arial"/>
          <w:color w:val="000000"/>
          <w:spacing w:val="50"/>
          <w:sz w:val="22"/>
          <w:szCs w:val="22"/>
        </w:rPr>
        <w:t xml:space="preserve"> </w:t>
      </w:r>
      <w:r w:rsidRPr="00A35E28">
        <w:rPr>
          <w:rFonts w:ascii="Arial" w:hAnsi="Arial" w:cs="Arial"/>
          <w:color w:val="000000"/>
          <w:sz w:val="22"/>
          <w:szCs w:val="22"/>
        </w:rPr>
        <w:t>povahy</w:t>
      </w:r>
      <w:r w:rsidRPr="00A35E28">
        <w:rPr>
          <w:rFonts w:ascii="Arial" w:hAnsi="Arial" w:cs="Arial"/>
          <w:color w:val="000000"/>
          <w:spacing w:val="51"/>
          <w:sz w:val="22"/>
          <w:szCs w:val="22"/>
        </w:rPr>
        <w:t xml:space="preserve"> </w:t>
      </w:r>
      <w:r w:rsidRPr="00A35E28">
        <w:rPr>
          <w:rFonts w:ascii="Arial" w:hAnsi="Arial" w:cs="Arial"/>
          <w:color w:val="000000"/>
          <w:sz w:val="22"/>
          <w:szCs w:val="22"/>
        </w:rPr>
        <w:t>(dá</w:t>
      </w:r>
      <w:r w:rsidRPr="00A35E28">
        <w:rPr>
          <w:rFonts w:ascii="Arial" w:hAnsi="Arial" w:cs="Arial"/>
          <w:color w:val="000000"/>
          <w:spacing w:val="1"/>
          <w:sz w:val="22"/>
          <w:szCs w:val="22"/>
        </w:rPr>
        <w:t>l</w:t>
      </w:r>
      <w:r w:rsidRPr="00A35E28">
        <w:rPr>
          <w:rFonts w:ascii="Arial" w:hAnsi="Arial" w:cs="Arial"/>
          <w:color w:val="000000"/>
          <w:sz w:val="22"/>
          <w:szCs w:val="22"/>
        </w:rPr>
        <w:t>e</w:t>
      </w:r>
      <w:r w:rsidRPr="00A35E28">
        <w:rPr>
          <w:rFonts w:ascii="Arial" w:hAnsi="Arial" w:cs="Arial"/>
          <w:color w:val="000000"/>
          <w:spacing w:val="53"/>
          <w:sz w:val="22"/>
          <w:szCs w:val="22"/>
        </w:rPr>
        <w:t xml:space="preserve"> </w:t>
      </w:r>
      <w:r w:rsidRPr="00A35E28">
        <w:rPr>
          <w:rFonts w:ascii="Arial" w:hAnsi="Arial" w:cs="Arial"/>
          <w:color w:val="000000"/>
          <w:sz w:val="22"/>
          <w:szCs w:val="22"/>
        </w:rPr>
        <w:t>jen</w:t>
      </w:r>
      <w:r w:rsidRPr="00A35E28">
        <w:rPr>
          <w:rFonts w:ascii="Arial" w:hAnsi="Arial" w:cs="Arial"/>
          <w:color w:val="000000"/>
          <w:spacing w:val="55"/>
          <w:sz w:val="22"/>
          <w:szCs w:val="22"/>
        </w:rPr>
        <w:t xml:space="preserve"> </w:t>
      </w:r>
      <w:r w:rsidRPr="00A35E28">
        <w:rPr>
          <w:rFonts w:ascii="Arial" w:hAnsi="Arial" w:cs="Arial"/>
          <w:color w:val="000000"/>
          <w:sz w:val="22"/>
          <w:szCs w:val="22"/>
        </w:rPr>
        <w:t>„opatření“)</w:t>
      </w:r>
      <w:r w:rsidR="008472DB" w:rsidRPr="00A35E28">
        <w:rPr>
          <w:rFonts w:ascii="Arial" w:hAnsi="Arial" w:cs="Arial"/>
          <w:color w:val="000000"/>
          <w:sz w:val="22"/>
          <w:szCs w:val="22"/>
        </w:rPr>
        <w:t xml:space="preserve"> </w:t>
      </w:r>
      <w:r w:rsidRPr="00A35E28">
        <w:rPr>
          <w:rFonts w:ascii="Arial" w:hAnsi="Arial" w:cs="Arial"/>
          <w:color w:val="000000"/>
          <w:sz w:val="22"/>
          <w:szCs w:val="22"/>
        </w:rPr>
        <w:t>stanoví</w:t>
      </w:r>
      <w:r w:rsidR="008472DB" w:rsidRPr="00A35E28">
        <w:rPr>
          <w:rFonts w:ascii="Arial" w:hAnsi="Arial" w:cs="Arial"/>
          <w:color w:val="000000"/>
          <w:sz w:val="22"/>
          <w:szCs w:val="22"/>
        </w:rPr>
        <w:t xml:space="preserve"> </w:t>
      </w:r>
      <w:r w:rsidRPr="00A35E28">
        <w:rPr>
          <w:rFonts w:ascii="Arial" w:hAnsi="Arial" w:cs="Arial"/>
          <w:color w:val="000000"/>
          <w:sz w:val="22"/>
          <w:szCs w:val="22"/>
        </w:rPr>
        <w:t>pro</w:t>
      </w:r>
      <w:r w:rsidR="006D0506" w:rsidRPr="00A35E28">
        <w:rPr>
          <w:rFonts w:ascii="Arial" w:hAnsi="Arial" w:cs="Arial"/>
          <w:color w:val="000000"/>
          <w:sz w:val="22"/>
          <w:szCs w:val="22"/>
        </w:rPr>
        <w:t xml:space="preserve"> </w:t>
      </w:r>
      <w:r w:rsidRPr="00A35E28">
        <w:rPr>
          <w:rFonts w:ascii="Arial" w:hAnsi="Arial" w:cs="Arial"/>
          <w:color w:val="000000"/>
          <w:sz w:val="22"/>
          <w:szCs w:val="22"/>
        </w:rPr>
        <w:t>ú</w:t>
      </w:r>
      <w:r w:rsidRPr="00A35E28">
        <w:rPr>
          <w:rFonts w:ascii="Arial" w:hAnsi="Arial" w:cs="Arial"/>
          <w:color w:val="000000"/>
          <w:spacing w:val="1"/>
          <w:sz w:val="22"/>
          <w:szCs w:val="22"/>
        </w:rPr>
        <w:t>č</w:t>
      </w:r>
      <w:r w:rsidRPr="00A35E28">
        <w:rPr>
          <w:rFonts w:ascii="Arial" w:hAnsi="Arial" w:cs="Arial"/>
          <w:color w:val="000000"/>
          <w:sz w:val="22"/>
          <w:szCs w:val="22"/>
        </w:rPr>
        <w:t>ely</w:t>
      </w:r>
      <w:r w:rsidRPr="00A35E28">
        <w:rPr>
          <w:rFonts w:ascii="Arial" w:hAnsi="Arial" w:cs="Arial"/>
          <w:color w:val="000000"/>
          <w:spacing w:val="53"/>
          <w:sz w:val="22"/>
          <w:szCs w:val="22"/>
        </w:rPr>
        <w:t xml:space="preserve"> </w:t>
      </w:r>
      <w:r w:rsidRPr="00A35E28">
        <w:rPr>
          <w:rFonts w:ascii="Arial" w:hAnsi="Arial" w:cs="Arial"/>
          <w:color w:val="000000"/>
          <w:sz w:val="22"/>
          <w:szCs w:val="22"/>
        </w:rPr>
        <w:t>od</w:t>
      </w:r>
      <w:r w:rsidRPr="00A35E28">
        <w:rPr>
          <w:rFonts w:ascii="Arial" w:hAnsi="Arial" w:cs="Arial"/>
          <w:color w:val="000000"/>
          <w:spacing w:val="1"/>
          <w:sz w:val="22"/>
          <w:szCs w:val="22"/>
        </w:rPr>
        <w:t>d</w:t>
      </w:r>
      <w:r w:rsidRPr="00A35E28">
        <w:rPr>
          <w:rFonts w:ascii="Arial" w:hAnsi="Arial" w:cs="Arial"/>
          <w:color w:val="000000"/>
          <w:sz w:val="22"/>
          <w:szCs w:val="22"/>
        </w:rPr>
        <w:t>ělené evidence</w:t>
      </w:r>
      <w:r w:rsidRPr="00A35E28">
        <w:rPr>
          <w:rFonts w:ascii="Arial" w:hAnsi="Arial" w:cs="Arial"/>
          <w:color w:val="000000"/>
          <w:spacing w:val="1"/>
          <w:sz w:val="22"/>
          <w:szCs w:val="22"/>
        </w:rPr>
        <w:t xml:space="preserve"> </w:t>
      </w:r>
      <w:r w:rsidRPr="00A35E28">
        <w:rPr>
          <w:rFonts w:ascii="Arial" w:hAnsi="Arial" w:cs="Arial"/>
          <w:color w:val="000000"/>
          <w:sz w:val="22"/>
          <w:szCs w:val="22"/>
        </w:rPr>
        <w:t>nákla</w:t>
      </w:r>
      <w:r w:rsidRPr="00A35E28">
        <w:rPr>
          <w:rFonts w:ascii="Arial" w:hAnsi="Arial" w:cs="Arial"/>
          <w:color w:val="000000"/>
          <w:spacing w:val="1"/>
          <w:sz w:val="22"/>
          <w:szCs w:val="22"/>
        </w:rPr>
        <w:t>d</w:t>
      </w:r>
      <w:r w:rsidRPr="00A35E28">
        <w:rPr>
          <w:rFonts w:ascii="Arial" w:hAnsi="Arial" w:cs="Arial"/>
          <w:color w:val="000000"/>
          <w:sz w:val="22"/>
          <w:szCs w:val="22"/>
        </w:rPr>
        <w:t>ů</w:t>
      </w:r>
      <w:r w:rsidRPr="00A35E28">
        <w:rPr>
          <w:rFonts w:ascii="Arial" w:hAnsi="Arial" w:cs="Arial"/>
          <w:color w:val="000000"/>
          <w:spacing w:val="2"/>
          <w:sz w:val="22"/>
          <w:szCs w:val="22"/>
        </w:rPr>
        <w:t xml:space="preserve"> a</w:t>
      </w:r>
      <w:r w:rsidR="00945C10">
        <w:rPr>
          <w:rFonts w:ascii="Arial" w:hAnsi="Arial" w:cs="Arial"/>
          <w:color w:val="000000"/>
          <w:spacing w:val="2"/>
          <w:sz w:val="22"/>
          <w:szCs w:val="22"/>
        </w:rPr>
        <w:t xml:space="preserve"> </w:t>
      </w:r>
      <w:r w:rsidRPr="00A35E28">
        <w:rPr>
          <w:rFonts w:ascii="Arial" w:hAnsi="Arial" w:cs="Arial"/>
          <w:color w:val="000000"/>
          <w:sz w:val="22"/>
          <w:szCs w:val="22"/>
        </w:rPr>
        <w:t>výnosů</w:t>
      </w:r>
      <w:r w:rsidR="006D0506" w:rsidRPr="00A35E28">
        <w:rPr>
          <w:rFonts w:ascii="Arial" w:hAnsi="Arial" w:cs="Arial"/>
          <w:color w:val="000000"/>
          <w:sz w:val="22"/>
          <w:szCs w:val="22"/>
        </w:rPr>
        <w:t xml:space="preserve"> (dále jen „oddělená evidence“)</w:t>
      </w:r>
      <w:r w:rsidRPr="00A35E28">
        <w:rPr>
          <w:rFonts w:ascii="Arial" w:hAnsi="Arial" w:cs="Arial"/>
          <w:color w:val="000000"/>
          <w:sz w:val="22"/>
          <w:szCs w:val="22"/>
        </w:rPr>
        <w:t xml:space="preserve"> metodiku ú</w:t>
      </w:r>
      <w:r w:rsidRPr="00A35E28">
        <w:rPr>
          <w:rFonts w:ascii="Arial" w:hAnsi="Arial" w:cs="Arial"/>
          <w:color w:val="000000"/>
          <w:spacing w:val="1"/>
          <w:sz w:val="22"/>
          <w:szCs w:val="22"/>
        </w:rPr>
        <w:t>č</w:t>
      </w:r>
      <w:r w:rsidRPr="00A35E28">
        <w:rPr>
          <w:rFonts w:ascii="Arial" w:hAnsi="Arial" w:cs="Arial"/>
          <w:color w:val="000000"/>
          <w:spacing w:val="-1"/>
          <w:sz w:val="22"/>
          <w:szCs w:val="22"/>
        </w:rPr>
        <w:t>e</w:t>
      </w:r>
      <w:r w:rsidRPr="00A35E28">
        <w:rPr>
          <w:rFonts w:ascii="Arial" w:hAnsi="Arial" w:cs="Arial"/>
          <w:color w:val="000000"/>
          <w:sz w:val="22"/>
          <w:szCs w:val="22"/>
        </w:rPr>
        <w:t>l</w:t>
      </w:r>
      <w:r w:rsidRPr="00A35E28">
        <w:rPr>
          <w:rFonts w:ascii="Arial" w:hAnsi="Arial" w:cs="Arial"/>
          <w:color w:val="000000"/>
          <w:spacing w:val="-1"/>
          <w:sz w:val="22"/>
          <w:szCs w:val="22"/>
        </w:rPr>
        <w:t>ov</w:t>
      </w:r>
      <w:r w:rsidRPr="00A35E28">
        <w:rPr>
          <w:rFonts w:ascii="Arial" w:hAnsi="Arial" w:cs="Arial"/>
          <w:color w:val="000000"/>
          <w:sz w:val="22"/>
          <w:szCs w:val="22"/>
        </w:rPr>
        <w:t xml:space="preserve">ého </w:t>
      </w:r>
      <w:r w:rsidRPr="00A35E28">
        <w:rPr>
          <w:rFonts w:ascii="Arial" w:hAnsi="Arial" w:cs="Arial"/>
          <w:color w:val="000000"/>
          <w:spacing w:val="1"/>
          <w:sz w:val="22"/>
          <w:szCs w:val="22"/>
        </w:rPr>
        <w:t>č</w:t>
      </w:r>
      <w:r w:rsidRPr="00A35E28">
        <w:rPr>
          <w:rFonts w:ascii="Arial" w:hAnsi="Arial" w:cs="Arial"/>
          <w:color w:val="000000"/>
          <w:sz w:val="22"/>
          <w:szCs w:val="22"/>
        </w:rPr>
        <w:t>lenění</w:t>
      </w:r>
      <w:r w:rsidRPr="00A35E28">
        <w:rPr>
          <w:rFonts w:ascii="Arial" w:hAnsi="Arial" w:cs="Arial"/>
          <w:color w:val="000000"/>
          <w:spacing w:val="4"/>
          <w:sz w:val="22"/>
          <w:szCs w:val="22"/>
        </w:rPr>
        <w:t xml:space="preserve"> </w:t>
      </w:r>
      <w:r w:rsidRPr="00A35E28">
        <w:rPr>
          <w:rFonts w:ascii="Arial" w:hAnsi="Arial" w:cs="Arial"/>
          <w:color w:val="000000"/>
          <w:sz w:val="22"/>
          <w:szCs w:val="22"/>
        </w:rPr>
        <w:t>nákladů</w:t>
      </w:r>
      <w:r w:rsidRPr="00A35E28">
        <w:rPr>
          <w:rFonts w:ascii="Arial" w:hAnsi="Arial" w:cs="Arial"/>
          <w:color w:val="000000"/>
          <w:spacing w:val="1"/>
          <w:sz w:val="22"/>
          <w:szCs w:val="22"/>
        </w:rPr>
        <w:t xml:space="preserve"> a</w:t>
      </w:r>
      <w:r w:rsidR="00945C10">
        <w:rPr>
          <w:rFonts w:ascii="Arial" w:hAnsi="Arial" w:cs="Arial"/>
          <w:color w:val="000000"/>
          <w:spacing w:val="1"/>
          <w:sz w:val="22"/>
          <w:szCs w:val="22"/>
        </w:rPr>
        <w:t xml:space="preserve"> </w:t>
      </w:r>
      <w:r w:rsidRPr="00A35E28">
        <w:rPr>
          <w:rFonts w:ascii="Arial" w:hAnsi="Arial" w:cs="Arial"/>
          <w:color w:val="000000"/>
          <w:sz w:val="22"/>
          <w:szCs w:val="22"/>
        </w:rPr>
        <w:t>výnosů a</w:t>
      </w:r>
      <w:r w:rsidR="00945C10">
        <w:rPr>
          <w:rFonts w:ascii="Arial" w:hAnsi="Arial" w:cs="Arial"/>
          <w:color w:val="000000"/>
          <w:sz w:val="22"/>
          <w:szCs w:val="22"/>
        </w:rPr>
        <w:t xml:space="preserve"> </w:t>
      </w:r>
      <w:r w:rsidRPr="00A35E28">
        <w:rPr>
          <w:rFonts w:ascii="Arial" w:hAnsi="Arial" w:cs="Arial"/>
          <w:color w:val="000000"/>
          <w:sz w:val="22"/>
          <w:szCs w:val="22"/>
        </w:rPr>
        <w:t>jeji</w:t>
      </w:r>
      <w:r w:rsidRPr="00A35E28">
        <w:rPr>
          <w:rFonts w:ascii="Arial" w:hAnsi="Arial" w:cs="Arial"/>
          <w:color w:val="000000"/>
          <w:spacing w:val="-2"/>
          <w:sz w:val="22"/>
          <w:szCs w:val="22"/>
        </w:rPr>
        <w:t>c</w:t>
      </w:r>
      <w:r w:rsidRPr="00A35E28">
        <w:rPr>
          <w:rFonts w:ascii="Arial" w:hAnsi="Arial" w:cs="Arial"/>
          <w:color w:val="000000"/>
          <w:sz w:val="22"/>
          <w:szCs w:val="22"/>
        </w:rPr>
        <w:t>h přiřazování</w:t>
      </w:r>
      <w:r w:rsidRPr="00A35E28">
        <w:rPr>
          <w:rFonts w:ascii="Arial" w:hAnsi="Arial" w:cs="Arial"/>
          <w:color w:val="000000"/>
          <w:spacing w:val="-11"/>
          <w:sz w:val="22"/>
          <w:szCs w:val="22"/>
        </w:rPr>
        <w:t xml:space="preserve"> a</w:t>
      </w:r>
      <w:r w:rsidR="00945C10">
        <w:rPr>
          <w:rFonts w:ascii="Arial" w:hAnsi="Arial" w:cs="Arial"/>
          <w:color w:val="000000"/>
          <w:spacing w:val="-11"/>
          <w:sz w:val="22"/>
          <w:szCs w:val="22"/>
        </w:rPr>
        <w:t xml:space="preserve"> </w:t>
      </w:r>
      <w:r w:rsidRPr="00A35E28">
        <w:rPr>
          <w:rFonts w:ascii="Arial" w:hAnsi="Arial" w:cs="Arial"/>
          <w:color w:val="000000"/>
          <w:sz w:val="22"/>
          <w:szCs w:val="22"/>
        </w:rPr>
        <w:t>ur</w:t>
      </w:r>
      <w:r w:rsidRPr="00A35E28">
        <w:rPr>
          <w:rFonts w:ascii="Arial" w:hAnsi="Arial" w:cs="Arial"/>
          <w:color w:val="000000"/>
          <w:spacing w:val="1"/>
          <w:sz w:val="22"/>
          <w:szCs w:val="22"/>
        </w:rPr>
        <w:t>č</w:t>
      </w:r>
      <w:r w:rsidRPr="00A35E28">
        <w:rPr>
          <w:rFonts w:ascii="Arial" w:hAnsi="Arial" w:cs="Arial"/>
          <w:color w:val="000000"/>
          <w:sz w:val="22"/>
          <w:szCs w:val="22"/>
        </w:rPr>
        <w:t>uje</w:t>
      </w:r>
      <w:r w:rsidRPr="00A35E28">
        <w:rPr>
          <w:rFonts w:ascii="Arial" w:hAnsi="Arial" w:cs="Arial"/>
          <w:color w:val="000000"/>
          <w:spacing w:val="-6"/>
          <w:sz w:val="22"/>
          <w:szCs w:val="22"/>
        </w:rPr>
        <w:t xml:space="preserve"> </w:t>
      </w:r>
      <w:r w:rsidRPr="00A35E28">
        <w:rPr>
          <w:rFonts w:ascii="Arial" w:hAnsi="Arial" w:cs="Arial"/>
          <w:color w:val="000000"/>
          <w:sz w:val="22"/>
          <w:szCs w:val="22"/>
        </w:rPr>
        <w:t>str</w:t>
      </w:r>
      <w:r w:rsidRPr="00A35E28">
        <w:rPr>
          <w:rFonts w:ascii="Arial" w:hAnsi="Arial" w:cs="Arial"/>
          <w:color w:val="000000"/>
          <w:spacing w:val="-1"/>
          <w:sz w:val="22"/>
          <w:szCs w:val="22"/>
        </w:rPr>
        <w:t>u</w:t>
      </w:r>
      <w:r w:rsidRPr="00A35E28">
        <w:rPr>
          <w:rFonts w:ascii="Arial" w:hAnsi="Arial" w:cs="Arial"/>
          <w:color w:val="000000"/>
          <w:sz w:val="22"/>
          <w:szCs w:val="22"/>
        </w:rPr>
        <w:t>kturu</w:t>
      </w:r>
      <w:r w:rsidRPr="00A35E28">
        <w:rPr>
          <w:rFonts w:ascii="Arial" w:hAnsi="Arial" w:cs="Arial"/>
          <w:color w:val="000000"/>
          <w:spacing w:val="-9"/>
          <w:sz w:val="22"/>
          <w:szCs w:val="22"/>
        </w:rPr>
        <w:t xml:space="preserve"> </w:t>
      </w:r>
      <w:r w:rsidRPr="00A35E28">
        <w:rPr>
          <w:rFonts w:ascii="Arial" w:hAnsi="Arial" w:cs="Arial"/>
          <w:color w:val="000000"/>
          <w:sz w:val="22"/>
          <w:szCs w:val="22"/>
        </w:rPr>
        <w:t>vykazovaných</w:t>
      </w:r>
      <w:r w:rsidRPr="00A35E28">
        <w:rPr>
          <w:rFonts w:ascii="Arial" w:hAnsi="Arial" w:cs="Arial"/>
          <w:color w:val="000000"/>
          <w:spacing w:val="-14"/>
          <w:sz w:val="22"/>
          <w:szCs w:val="22"/>
        </w:rPr>
        <w:t xml:space="preserve"> </w:t>
      </w:r>
      <w:r w:rsidRPr="00A35E28">
        <w:rPr>
          <w:rFonts w:ascii="Arial" w:hAnsi="Arial" w:cs="Arial"/>
          <w:color w:val="000000"/>
          <w:sz w:val="22"/>
          <w:szCs w:val="22"/>
        </w:rPr>
        <w:t>in</w:t>
      </w:r>
      <w:r w:rsidRPr="00A35E28">
        <w:rPr>
          <w:rFonts w:ascii="Arial" w:hAnsi="Arial" w:cs="Arial"/>
          <w:color w:val="000000"/>
          <w:spacing w:val="-1"/>
          <w:sz w:val="22"/>
          <w:szCs w:val="22"/>
        </w:rPr>
        <w:t>f</w:t>
      </w:r>
      <w:r w:rsidRPr="00A35E28">
        <w:rPr>
          <w:rFonts w:ascii="Arial" w:hAnsi="Arial" w:cs="Arial"/>
          <w:color w:val="000000"/>
          <w:sz w:val="22"/>
          <w:szCs w:val="22"/>
        </w:rPr>
        <w:t>ormací.</w:t>
      </w:r>
    </w:p>
    <w:p w:rsidR="004A6A67" w:rsidRPr="00A35E28" w:rsidRDefault="004A6A67" w:rsidP="002C151C">
      <w:pPr>
        <w:widowControl w:val="0"/>
        <w:autoSpaceDE w:val="0"/>
        <w:autoSpaceDN w:val="0"/>
        <w:adjustRightInd w:val="0"/>
        <w:spacing w:before="600"/>
        <w:jc w:val="center"/>
        <w:rPr>
          <w:rFonts w:ascii="Arial" w:hAnsi="Arial" w:cs="Arial"/>
          <w:color w:val="000000"/>
          <w:sz w:val="22"/>
          <w:szCs w:val="22"/>
        </w:rPr>
      </w:pPr>
      <w:r w:rsidRPr="00A35E28">
        <w:rPr>
          <w:rFonts w:ascii="Arial" w:hAnsi="Arial" w:cs="Arial"/>
          <w:color w:val="000000"/>
          <w:sz w:val="22"/>
          <w:szCs w:val="22"/>
        </w:rPr>
        <w:t>Článek</w:t>
      </w:r>
      <w:r w:rsidRPr="00A35E28">
        <w:rPr>
          <w:rFonts w:ascii="Arial" w:hAnsi="Arial" w:cs="Arial"/>
          <w:color w:val="000000"/>
          <w:spacing w:val="-7"/>
          <w:sz w:val="22"/>
          <w:szCs w:val="22"/>
        </w:rPr>
        <w:t xml:space="preserve"> </w:t>
      </w:r>
      <w:r w:rsidRPr="00A35E28">
        <w:rPr>
          <w:rFonts w:ascii="Arial" w:hAnsi="Arial" w:cs="Arial"/>
          <w:color w:val="000000"/>
          <w:w w:val="99"/>
          <w:sz w:val="22"/>
          <w:szCs w:val="22"/>
        </w:rPr>
        <w:t>2</w:t>
      </w:r>
    </w:p>
    <w:p w:rsidR="004A6A67" w:rsidRPr="00A35E28" w:rsidRDefault="004A6A67" w:rsidP="00DD6CDD">
      <w:pPr>
        <w:widowControl w:val="0"/>
        <w:autoSpaceDE w:val="0"/>
        <w:autoSpaceDN w:val="0"/>
        <w:adjustRightInd w:val="0"/>
        <w:spacing w:before="120" w:after="240"/>
        <w:jc w:val="center"/>
        <w:rPr>
          <w:rFonts w:ascii="Arial" w:hAnsi="Arial" w:cs="Arial"/>
          <w:color w:val="000000"/>
          <w:sz w:val="22"/>
          <w:szCs w:val="22"/>
        </w:rPr>
      </w:pPr>
      <w:r w:rsidRPr="00A35E28">
        <w:rPr>
          <w:rFonts w:ascii="Arial" w:hAnsi="Arial" w:cs="Arial"/>
          <w:b/>
          <w:bCs/>
          <w:color w:val="000000"/>
          <w:sz w:val="22"/>
          <w:szCs w:val="22"/>
        </w:rPr>
        <w:t>V</w:t>
      </w:r>
      <w:r w:rsidRPr="00A35E28">
        <w:rPr>
          <w:rFonts w:ascii="Arial" w:hAnsi="Arial" w:cs="Arial"/>
          <w:b/>
          <w:bCs/>
          <w:color w:val="000000"/>
          <w:spacing w:val="-2"/>
          <w:sz w:val="22"/>
          <w:szCs w:val="22"/>
        </w:rPr>
        <w:t>y</w:t>
      </w:r>
      <w:r w:rsidRPr="00A35E28">
        <w:rPr>
          <w:rFonts w:ascii="Arial" w:hAnsi="Arial" w:cs="Arial"/>
          <w:b/>
          <w:bCs/>
          <w:color w:val="000000"/>
          <w:sz w:val="22"/>
          <w:szCs w:val="22"/>
        </w:rPr>
        <w:t>mezení</w:t>
      </w:r>
      <w:r w:rsidRPr="00A35E28">
        <w:rPr>
          <w:rFonts w:ascii="Arial" w:hAnsi="Arial" w:cs="Arial"/>
          <w:b/>
          <w:bCs/>
          <w:color w:val="000000"/>
          <w:spacing w:val="-9"/>
          <w:sz w:val="22"/>
          <w:szCs w:val="22"/>
        </w:rPr>
        <w:t xml:space="preserve"> </w:t>
      </w:r>
      <w:r w:rsidRPr="00A35E28">
        <w:rPr>
          <w:rFonts w:ascii="Arial" w:hAnsi="Arial" w:cs="Arial"/>
          <w:b/>
          <w:bCs/>
          <w:color w:val="000000"/>
          <w:spacing w:val="2"/>
          <w:w w:val="99"/>
          <w:sz w:val="22"/>
          <w:szCs w:val="22"/>
        </w:rPr>
        <w:t>p</w:t>
      </w:r>
      <w:r w:rsidRPr="00A35E28">
        <w:rPr>
          <w:rFonts w:ascii="Arial" w:hAnsi="Arial" w:cs="Arial"/>
          <w:b/>
          <w:bCs/>
          <w:color w:val="000000"/>
          <w:w w:val="99"/>
          <w:sz w:val="22"/>
          <w:szCs w:val="22"/>
        </w:rPr>
        <w:t>ojmů</w:t>
      </w:r>
    </w:p>
    <w:p w:rsidR="004A6A67" w:rsidRPr="00A35E28" w:rsidRDefault="004A6A67" w:rsidP="00092796">
      <w:pPr>
        <w:widowControl w:val="0"/>
        <w:numPr>
          <w:ilvl w:val="0"/>
          <w:numId w:val="4"/>
        </w:numPr>
        <w:tabs>
          <w:tab w:val="left" w:pos="1276"/>
        </w:tabs>
        <w:autoSpaceDE w:val="0"/>
        <w:autoSpaceDN w:val="0"/>
        <w:adjustRightInd w:val="0"/>
        <w:spacing w:before="240"/>
        <w:ind w:left="119" w:right="79" w:firstLine="828"/>
        <w:rPr>
          <w:rFonts w:ascii="Arial" w:hAnsi="Arial" w:cs="Arial"/>
          <w:color w:val="000000"/>
          <w:sz w:val="22"/>
          <w:szCs w:val="22"/>
        </w:rPr>
      </w:pPr>
      <w:r w:rsidRPr="00A35E28">
        <w:rPr>
          <w:rFonts w:ascii="Arial" w:hAnsi="Arial" w:cs="Arial"/>
          <w:color w:val="000000"/>
          <w:sz w:val="22"/>
          <w:szCs w:val="22"/>
        </w:rPr>
        <w:t>Pro</w:t>
      </w:r>
      <w:r w:rsidRPr="00A35E28">
        <w:rPr>
          <w:rFonts w:ascii="Arial" w:hAnsi="Arial" w:cs="Arial"/>
          <w:color w:val="000000"/>
          <w:spacing w:val="-3"/>
          <w:sz w:val="22"/>
          <w:szCs w:val="22"/>
        </w:rPr>
        <w:t xml:space="preserve"> </w:t>
      </w:r>
      <w:r w:rsidRPr="00A35E28">
        <w:rPr>
          <w:rFonts w:ascii="Arial" w:hAnsi="Arial" w:cs="Arial"/>
          <w:color w:val="000000"/>
          <w:sz w:val="22"/>
          <w:szCs w:val="22"/>
        </w:rPr>
        <w:t>ú</w:t>
      </w:r>
      <w:r w:rsidRPr="00A35E28">
        <w:rPr>
          <w:rFonts w:ascii="Arial" w:hAnsi="Arial" w:cs="Arial"/>
          <w:color w:val="000000"/>
          <w:spacing w:val="1"/>
          <w:sz w:val="22"/>
          <w:szCs w:val="22"/>
        </w:rPr>
        <w:t>č</w:t>
      </w:r>
      <w:r w:rsidRPr="00A35E28">
        <w:rPr>
          <w:rFonts w:ascii="Arial" w:hAnsi="Arial" w:cs="Arial"/>
          <w:color w:val="000000"/>
          <w:sz w:val="22"/>
          <w:szCs w:val="22"/>
        </w:rPr>
        <w:t>ely</w:t>
      </w:r>
      <w:r w:rsidRPr="00A35E28">
        <w:rPr>
          <w:rFonts w:ascii="Arial" w:hAnsi="Arial" w:cs="Arial"/>
          <w:color w:val="000000"/>
          <w:spacing w:val="-5"/>
          <w:sz w:val="22"/>
          <w:szCs w:val="22"/>
        </w:rPr>
        <w:t xml:space="preserve"> </w:t>
      </w:r>
      <w:r w:rsidRPr="00A35E28">
        <w:rPr>
          <w:rFonts w:ascii="Arial" w:hAnsi="Arial" w:cs="Arial"/>
          <w:color w:val="000000"/>
          <w:sz w:val="22"/>
          <w:szCs w:val="22"/>
        </w:rPr>
        <w:t>tohoto</w:t>
      </w:r>
      <w:r w:rsidRPr="00A35E28">
        <w:rPr>
          <w:rFonts w:ascii="Arial" w:hAnsi="Arial" w:cs="Arial"/>
          <w:color w:val="000000"/>
          <w:spacing w:val="-6"/>
          <w:sz w:val="22"/>
          <w:szCs w:val="22"/>
        </w:rPr>
        <w:t xml:space="preserve"> </w:t>
      </w:r>
      <w:r w:rsidRPr="00A35E28">
        <w:rPr>
          <w:rFonts w:ascii="Arial" w:hAnsi="Arial" w:cs="Arial"/>
          <w:color w:val="000000"/>
          <w:sz w:val="22"/>
          <w:szCs w:val="22"/>
        </w:rPr>
        <w:t>opa</w:t>
      </w:r>
      <w:r w:rsidRPr="00A35E28">
        <w:rPr>
          <w:rFonts w:ascii="Arial" w:hAnsi="Arial" w:cs="Arial"/>
          <w:color w:val="000000"/>
          <w:spacing w:val="1"/>
          <w:sz w:val="22"/>
          <w:szCs w:val="22"/>
        </w:rPr>
        <w:t>t</w:t>
      </w:r>
      <w:r w:rsidRPr="00A35E28">
        <w:rPr>
          <w:rFonts w:ascii="Arial" w:hAnsi="Arial" w:cs="Arial"/>
          <w:color w:val="000000"/>
          <w:sz w:val="22"/>
          <w:szCs w:val="22"/>
        </w:rPr>
        <w:t>ření</w:t>
      </w:r>
      <w:r w:rsidRPr="00A35E28">
        <w:rPr>
          <w:rFonts w:ascii="Arial" w:hAnsi="Arial" w:cs="Arial"/>
          <w:color w:val="000000"/>
          <w:spacing w:val="-8"/>
          <w:sz w:val="22"/>
          <w:szCs w:val="22"/>
        </w:rPr>
        <w:t xml:space="preserve"> </w:t>
      </w:r>
      <w:r w:rsidRPr="00A35E28">
        <w:rPr>
          <w:rFonts w:ascii="Arial" w:hAnsi="Arial" w:cs="Arial"/>
          <w:color w:val="000000"/>
          <w:sz w:val="22"/>
          <w:szCs w:val="22"/>
        </w:rPr>
        <w:t>se</w:t>
      </w:r>
      <w:r w:rsidRPr="00A35E28">
        <w:rPr>
          <w:rFonts w:ascii="Arial" w:hAnsi="Arial" w:cs="Arial"/>
          <w:color w:val="000000"/>
          <w:spacing w:val="-2"/>
          <w:sz w:val="22"/>
          <w:szCs w:val="22"/>
        </w:rPr>
        <w:t xml:space="preserve"> </w:t>
      </w:r>
      <w:r w:rsidRPr="00A35E28">
        <w:rPr>
          <w:rFonts w:ascii="Arial" w:hAnsi="Arial" w:cs="Arial"/>
          <w:color w:val="000000"/>
          <w:sz w:val="22"/>
          <w:szCs w:val="22"/>
        </w:rPr>
        <w:t>rozumí:</w:t>
      </w:r>
    </w:p>
    <w:p w:rsidR="004A6A67" w:rsidRPr="00A35E28" w:rsidRDefault="004A6A67" w:rsidP="006D177F">
      <w:pPr>
        <w:widowControl w:val="0"/>
        <w:autoSpaceDE w:val="0"/>
        <w:autoSpaceDN w:val="0"/>
        <w:adjustRightInd w:val="0"/>
        <w:spacing w:before="120"/>
        <w:ind w:left="709" w:hanging="284"/>
        <w:jc w:val="both"/>
        <w:rPr>
          <w:rFonts w:ascii="Arial" w:hAnsi="Arial" w:cs="Arial"/>
          <w:color w:val="000000"/>
          <w:sz w:val="22"/>
          <w:szCs w:val="22"/>
        </w:rPr>
      </w:pPr>
      <w:r w:rsidRPr="00A35E28">
        <w:rPr>
          <w:rFonts w:ascii="Arial" w:hAnsi="Arial" w:cs="Arial"/>
          <w:color w:val="000000"/>
          <w:sz w:val="22"/>
          <w:szCs w:val="22"/>
        </w:rPr>
        <w:t>a)</w:t>
      </w:r>
      <w:r w:rsidRPr="00A35E28">
        <w:rPr>
          <w:rFonts w:ascii="Arial" w:hAnsi="Arial" w:cs="Arial"/>
          <w:color w:val="000000"/>
          <w:sz w:val="22"/>
          <w:szCs w:val="22"/>
        </w:rPr>
        <w:tab/>
      </w:r>
      <w:r w:rsidRPr="00A35E28">
        <w:rPr>
          <w:rFonts w:ascii="Arial" w:hAnsi="Arial" w:cs="Arial"/>
          <w:b/>
          <w:bCs/>
          <w:color w:val="000000"/>
          <w:sz w:val="22"/>
          <w:szCs w:val="22"/>
        </w:rPr>
        <w:t>stanoveným</w:t>
      </w:r>
      <w:r w:rsidRPr="00A35E28">
        <w:rPr>
          <w:rFonts w:ascii="Arial" w:hAnsi="Arial" w:cs="Arial"/>
          <w:b/>
          <w:bCs/>
          <w:color w:val="000000"/>
          <w:spacing w:val="10"/>
          <w:sz w:val="22"/>
          <w:szCs w:val="22"/>
        </w:rPr>
        <w:t xml:space="preserve"> </w:t>
      </w:r>
      <w:r w:rsidRPr="00A35E28">
        <w:rPr>
          <w:rFonts w:ascii="Arial" w:hAnsi="Arial" w:cs="Arial"/>
          <w:b/>
          <w:bCs/>
          <w:color w:val="000000"/>
          <w:sz w:val="22"/>
          <w:szCs w:val="22"/>
        </w:rPr>
        <w:t>podnikem</w:t>
      </w:r>
      <w:r w:rsidRPr="00A35E28">
        <w:rPr>
          <w:rFonts w:ascii="Arial" w:hAnsi="Arial" w:cs="Arial"/>
          <w:b/>
          <w:bCs/>
          <w:color w:val="000000"/>
          <w:spacing w:val="13"/>
          <w:sz w:val="22"/>
          <w:szCs w:val="22"/>
        </w:rPr>
        <w:t xml:space="preserve"> </w:t>
      </w:r>
      <w:r w:rsidRPr="00A35E28">
        <w:rPr>
          <w:rFonts w:ascii="Arial" w:hAnsi="Arial" w:cs="Arial"/>
          <w:color w:val="000000"/>
          <w:sz w:val="22"/>
          <w:szCs w:val="22"/>
        </w:rPr>
        <w:t>podnik,</w:t>
      </w:r>
      <w:r w:rsidRPr="00A35E28">
        <w:rPr>
          <w:rFonts w:ascii="Arial" w:hAnsi="Arial" w:cs="Arial"/>
          <w:color w:val="000000"/>
          <w:spacing w:val="15"/>
          <w:sz w:val="22"/>
          <w:szCs w:val="22"/>
        </w:rPr>
        <w:t xml:space="preserve"> </w:t>
      </w:r>
      <w:r w:rsidRPr="00A35E28">
        <w:rPr>
          <w:rFonts w:ascii="Arial" w:hAnsi="Arial" w:cs="Arial"/>
          <w:color w:val="000000"/>
          <w:sz w:val="22"/>
          <w:szCs w:val="22"/>
        </w:rPr>
        <w:t>který</w:t>
      </w:r>
      <w:r w:rsidRPr="00083538">
        <w:rPr>
          <w:rFonts w:ascii="Arial" w:hAnsi="Arial" w:cs="Arial"/>
          <w:color w:val="000000"/>
          <w:sz w:val="22"/>
          <w:szCs w:val="22"/>
        </w:rPr>
        <w:t xml:space="preserve"> </w:t>
      </w:r>
      <w:r w:rsidRPr="00A35E28">
        <w:rPr>
          <w:rFonts w:ascii="Arial" w:hAnsi="Arial" w:cs="Arial"/>
          <w:color w:val="000000"/>
          <w:sz w:val="22"/>
          <w:szCs w:val="22"/>
        </w:rPr>
        <w:t>vede</w:t>
      </w:r>
      <w:r w:rsidRPr="00083538">
        <w:rPr>
          <w:rFonts w:ascii="Arial" w:hAnsi="Arial" w:cs="Arial"/>
          <w:color w:val="000000"/>
          <w:sz w:val="22"/>
          <w:szCs w:val="22"/>
        </w:rPr>
        <w:t xml:space="preserve"> </w:t>
      </w:r>
      <w:r w:rsidRPr="00A35E28">
        <w:rPr>
          <w:rFonts w:ascii="Arial" w:hAnsi="Arial" w:cs="Arial"/>
          <w:color w:val="000000"/>
          <w:sz w:val="22"/>
          <w:szCs w:val="22"/>
        </w:rPr>
        <w:t>oddělenou</w:t>
      </w:r>
      <w:r w:rsidRPr="00083538">
        <w:rPr>
          <w:rFonts w:ascii="Arial" w:hAnsi="Arial" w:cs="Arial"/>
          <w:color w:val="000000"/>
          <w:sz w:val="22"/>
          <w:szCs w:val="22"/>
        </w:rPr>
        <w:t xml:space="preserve"> </w:t>
      </w:r>
      <w:r w:rsidRPr="00A35E28">
        <w:rPr>
          <w:rFonts w:ascii="Arial" w:hAnsi="Arial" w:cs="Arial"/>
          <w:color w:val="000000"/>
          <w:sz w:val="22"/>
          <w:szCs w:val="22"/>
        </w:rPr>
        <w:t>evidenci</w:t>
      </w:r>
      <w:r w:rsidR="0047095F">
        <w:rPr>
          <w:rFonts w:ascii="Arial" w:hAnsi="Arial" w:cs="Arial"/>
          <w:color w:val="000000"/>
          <w:sz w:val="22"/>
          <w:szCs w:val="22"/>
        </w:rPr>
        <w:t xml:space="preserve"> podle </w:t>
      </w:r>
      <w:r w:rsidRPr="00A35E28">
        <w:rPr>
          <w:rFonts w:ascii="Arial" w:hAnsi="Arial" w:cs="Arial"/>
          <w:color w:val="000000"/>
          <w:sz w:val="22"/>
          <w:szCs w:val="22"/>
        </w:rPr>
        <w:t>§</w:t>
      </w:r>
      <w:r w:rsidR="00945C10">
        <w:rPr>
          <w:rFonts w:ascii="Arial" w:hAnsi="Arial" w:cs="Arial"/>
          <w:color w:val="000000"/>
          <w:sz w:val="22"/>
          <w:szCs w:val="22"/>
        </w:rPr>
        <w:t xml:space="preserve"> </w:t>
      </w:r>
      <w:r w:rsidRPr="00A35E28">
        <w:rPr>
          <w:rFonts w:ascii="Arial" w:hAnsi="Arial" w:cs="Arial"/>
          <w:color w:val="000000"/>
          <w:sz w:val="22"/>
          <w:szCs w:val="22"/>
        </w:rPr>
        <w:t>86 odst.</w:t>
      </w:r>
      <w:r w:rsidRPr="00083538">
        <w:rPr>
          <w:rFonts w:ascii="Arial" w:hAnsi="Arial" w:cs="Arial"/>
          <w:color w:val="000000"/>
          <w:sz w:val="22"/>
          <w:szCs w:val="22"/>
        </w:rPr>
        <w:t xml:space="preserve"> </w:t>
      </w:r>
      <w:r w:rsidRPr="00A35E28">
        <w:rPr>
          <w:rFonts w:ascii="Arial" w:hAnsi="Arial" w:cs="Arial"/>
          <w:color w:val="000000"/>
          <w:sz w:val="22"/>
          <w:szCs w:val="22"/>
        </w:rPr>
        <w:t>1 nebo</w:t>
      </w:r>
      <w:r w:rsidRPr="00083538">
        <w:rPr>
          <w:rFonts w:ascii="Arial" w:hAnsi="Arial" w:cs="Arial"/>
          <w:color w:val="000000"/>
          <w:sz w:val="22"/>
          <w:szCs w:val="22"/>
        </w:rPr>
        <w:t xml:space="preserve"> </w:t>
      </w:r>
      <w:r w:rsidRPr="00A35E28">
        <w:rPr>
          <w:rFonts w:ascii="Arial" w:hAnsi="Arial" w:cs="Arial"/>
          <w:color w:val="000000"/>
          <w:sz w:val="22"/>
          <w:szCs w:val="22"/>
        </w:rPr>
        <w:t>odst.</w:t>
      </w:r>
      <w:r w:rsidRPr="00083538">
        <w:rPr>
          <w:rFonts w:ascii="Arial" w:hAnsi="Arial" w:cs="Arial"/>
          <w:color w:val="000000"/>
          <w:sz w:val="22"/>
          <w:szCs w:val="22"/>
        </w:rPr>
        <w:t xml:space="preserve"> </w:t>
      </w:r>
      <w:r w:rsidRPr="00A35E28">
        <w:rPr>
          <w:rFonts w:ascii="Arial" w:hAnsi="Arial" w:cs="Arial"/>
          <w:color w:val="000000"/>
          <w:sz w:val="22"/>
          <w:szCs w:val="22"/>
        </w:rPr>
        <w:t>8 zákona</w:t>
      </w:r>
      <w:r w:rsidRPr="00083538">
        <w:rPr>
          <w:rFonts w:ascii="Arial" w:hAnsi="Arial" w:cs="Arial"/>
          <w:color w:val="000000"/>
          <w:sz w:val="22"/>
          <w:szCs w:val="22"/>
        </w:rPr>
        <w:t xml:space="preserve"> </w:t>
      </w:r>
      <w:r w:rsidRPr="00A35E28">
        <w:rPr>
          <w:rFonts w:ascii="Arial" w:hAnsi="Arial" w:cs="Arial"/>
          <w:color w:val="000000"/>
          <w:sz w:val="22"/>
          <w:szCs w:val="22"/>
        </w:rPr>
        <w:t>ne</w:t>
      </w:r>
      <w:r w:rsidRPr="00083538">
        <w:rPr>
          <w:rFonts w:ascii="Arial" w:hAnsi="Arial" w:cs="Arial"/>
          <w:color w:val="000000"/>
          <w:sz w:val="22"/>
          <w:szCs w:val="22"/>
        </w:rPr>
        <w:t>b</w:t>
      </w:r>
      <w:r w:rsidRPr="00A35E28">
        <w:rPr>
          <w:rFonts w:ascii="Arial" w:hAnsi="Arial" w:cs="Arial"/>
          <w:color w:val="000000"/>
          <w:sz w:val="22"/>
          <w:szCs w:val="22"/>
        </w:rPr>
        <w:t>o</w:t>
      </w:r>
      <w:r w:rsidRPr="00083538">
        <w:rPr>
          <w:rFonts w:ascii="Arial" w:hAnsi="Arial" w:cs="Arial"/>
          <w:color w:val="000000"/>
          <w:sz w:val="22"/>
          <w:szCs w:val="22"/>
        </w:rPr>
        <w:t xml:space="preserve"> </w:t>
      </w:r>
      <w:r w:rsidRPr="00A35E28">
        <w:rPr>
          <w:rFonts w:ascii="Arial" w:hAnsi="Arial" w:cs="Arial"/>
          <w:color w:val="000000"/>
          <w:sz w:val="22"/>
          <w:szCs w:val="22"/>
        </w:rPr>
        <w:t>kterému</w:t>
      </w:r>
      <w:r w:rsidRPr="00083538">
        <w:rPr>
          <w:rFonts w:ascii="Arial" w:hAnsi="Arial" w:cs="Arial"/>
          <w:color w:val="000000"/>
          <w:sz w:val="22"/>
          <w:szCs w:val="22"/>
        </w:rPr>
        <w:t xml:space="preserve"> </w:t>
      </w:r>
      <w:r w:rsidRPr="00A35E28">
        <w:rPr>
          <w:rFonts w:ascii="Arial" w:hAnsi="Arial" w:cs="Arial"/>
          <w:color w:val="000000"/>
          <w:sz w:val="22"/>
          <w:szCs w:val="22"/>
        </w:rPr>
        <w:t>byla</w:t>
      </w:r>
      <w:r w:rsidRPr="00083538">
        <w:rPr>
          <w:rFonts w:ascii="Arial" w:hAnsi="Arial" w:cs="Arial"/>
          <w:color w:val="000000"/>
          <w:sz w:val="22"/>
          <w:szCs w:val="22"/>
        </w:rPr>
        <w:t xml:space="preserve"> </w:t>
      </w:r>
      <w:r w:rsidRPr="00A35E28">
        <w:rPr>
          <w:rFonts w:ascii="Arial" w:hAnsi="Arial" w:cs="Arial"/>
          <w:color w:val="000000"/>
          <w:sz w:val="22"/>
          <w:szCs w:val="22"/>
        </w:rPr>
        <w:t>tato</w:t>
      </w:r>
      <w:r w:rsidRPr="00083538">
        <w:rPr>
          <w:rFonts w:ascii="Arial" w:hAnsi="Arial" w:cs="Arial"/>
          <w:color w:val="000000"/>
          <w:sz w:val="22"/>
          <w:szCs w:val="22"/>
        </w:rPr>
        <w:t xml:space="preserve"> </w:t>
      </w:r>
      <w:r w:rsidRPr="00A35E28">
        <w:rPr>
          <w:rFonts w:ascii="Arial" w:hAnsi="Arial" w:cs="Arial"/>
          <w:color w:val="000000"/>
          <w:sz w:val="22"/>
          <w:szCs w:val="22"/>
        </w:rPr>
        <w:t>povinnost</w:t>
      </w:r>
      <w:r w:rsidRPr="00083538">
        <w:rPr>
          <w:rFonts w:ascii="Arial" w:hAnsi="Arial" w:cs="Arial"/>
          <w:color w:val="000000"/>
          <w:sz w:val="22"/>
          <w:szCs w:val="22"/>
        </w:rPr>
        <w:t xml:space="preserve"> </w:t>
      </w:r>
      <w:r w:rsidRPr="00A35E28">
        <w:rPr>
          <w:rFonts w:ascii="Arial" w:hAnsi="Arial" w:cs="Arial"/>
          <w:color w:val="000000"/>
          <w:sz w:val="22"/>
          <w:szCs w:val="22"/>
        </w:rPr>
        <w:t>ulož</w:t>
      </w:r>
      <w:r w:rsidRPr="00083538">
        <w:rPr>
          <w:rFonts w:ascii="Arial" w:hAnsi="Arial" w:cs="Arial"/>
          <w:color w:val="000000"/>
          <w:sz w:val="22"/>
          <w:szCs w:val="22"/>
        </w:rPr>
        <w:t>e</w:t>
      </w:r>
      <w:r w:rsidRPr="00A35E28">
        <w:rPr>
          <w:rFonts w:ascii="Arial" w:hAnsi="Arial" w:cs="Arial"/>
          <w:color w:val="000000"/>
          <w:sz w:val="22"/>
          <w:szCs w:val="22"/>
        </w:rPr>
        <w:t>na</w:t>
      </w:r>
      <w:r w:rsidRPr="00083538">
        <w:rPr>
          <w:rFonts w:ascii="Arial" w:hAnsi="Arial" w:cs="Arial"/>
          <w:color w:val="000000"/>
          <w:sz w:val="22"/>
          <w:szCs w:val="22"/>
        </w:rPr>
        <w:t xml:space="preserve"> </w:t>
      </w:r>
      <w:r w:rsidRPr="00A35E28">
        <w:rPr>
          <w:rFonts w:ascii="Arial" w:hAnsi="Arial" w:cs="Arial"/>
          <w:color w:val="000000"/>
          <w:sz w:val="22"/>
          <w:szCs w:val="22"/>
        </w:rPr>
        <w:t>Úřadem</w:t>
      </w:r>
      <w:r w:rsidR="0047095F">
        <w:rPr>
          <w:rFonts w:ascii="Arial" w:hAnsi="Arial" w:cs="Arial"/>
          <w:color w:val="000000"/>
          <w:sz w:val="22"/>
          <w:szCs w:val="22"/>
        </w:rPr>
        <w:t xml:space="preserve"> podle </w:t>
      </w:r>
      <w:r w:rsidRPr="00A35E28">
        <w:rPr>
          <w:rFonts w:ascii="Arial" w:hAnsi="Arial" w:cs="Arial"/>
          <w:color w:val="000000"/>
          <w:sz w:val="22"/>
          <w:szCs w:val="22"/>
        </w:rPr>
        <w:t>§</w:t>
      </w:r>
      <w:r w:rsidRPr="00083538">
        <w:rPr>
          <w:rFonts w:ascii="Arial" w:hAnsi="Arial" w:cs="Arial"/>
          <w:color w:val="000000"/>
          <w:sz w:val="22"/>
          <w:szCs w:val="22"/>
        </w:rPr>
        <w:t xml:space="preserve"> </w:t>
      </w:r>
      <w:r w:rsidRPr="00A35E28">
        <w:rPr>
          <w:rFonts w:ascii="Arial" w:hAnsi="Arial" w:cs="Arial"/>
          <w:color w:val="000000"/>
          <w:sz w:val="22"/>
          <w:szCs w:val="22"/>
        </w:rPr>
        <w:t>86</w:t>
      </w:r>
      <w:r w:rsidRPr="00083538">
        <w:rPr>
          <w:rFonts w:ascii="Arial" w:hAnsi="Arial" w:cs="Arial"/>
          <w:color w:val="000000"/>
          <w:sz w:val="22"/>
          <w:szCs w:val="22"/>
        </w:rPr>
        <w:t xml:space="preserve"> </w:t>
      </w:r>
      <w:r w:rsidRPr="00A35E28">
        <w:rPr>
          <w:rFonts w:ascii="Arial" w:hAnsi="Arial" w:cs="Arial"/>
          <w:color w:val="000000"/>
          <w:sz w:val="22"/>
          <w:szCs w:val="22"/>
        </w:rPr>
        <w:t>odst.</w:t>
      </w:r>
      <w:r w:rsidRPr="00083538">
        <w:rPr>
          <w:rFonts w:ascii="Arial" w:hAnsi="Arial" w:cs="Arial"/>
          <w:color w:val="000000"/>
          <w:sz w:val="22"/>
          <w:szCs w:val="22"/>
        </w:rPr>
        <w:t xml:space="preserve"> </w:t>
      </w:r>
      <w:r w:rsidRPr="00A35E28">
        <w:rPr>
          <w:rFonts w:ascii="Arial" w:hAnsi="Arial" w:cs="Arial"/>
          <w:color w:val="000000"/>
          <w:sz w:val="22"/>
          <w:szCs w:val="22"/>
        </w:rPr>
        <w:t>2</w:t>
      </w:r>
      <w:r w:rsidRPr="00083538">
        <w:rPr>
          <w:rFonts w:ascii="Arial" w:hAnsi="Arial" w:cs="Arial"/>
          <w:color w:val="000000"/>
          <w:sz w:val="22"/>
          <w:szCs w:val="22"/>
        </w:rPr>
        <w:t xml:space="preserve"> </w:t>
      </w:r>
      <w:r w:rsidRPr="00A35E28">
        <w:rPr>
          <w:rFonts w:ascii="Arial" w:hAnsi="Arial" w:cs="Arial"/>
          <w:color w:val="000000"/>
          <w:sz w:val="22"/>
          <w:szCs w:val="22"/>
        </w:rPr>
        <w:t>zákona,</w:t>
      </w:r>
    </w:p>
    <w:p w:rsidR="004A6A67" w:rsidRPr="00A35E28" w:rsidRDefault="004A6A67" w:rsidP="006D177F">
      <w:pPr>
        <w:widowControl w:val="0"/>
        <w:autoSpaceDE w:val="0"/>
        <w:autoSpaceDN w:val="0"/>
        <w:adjustRightInd w:val="0"/>
        <w:spacing w:before="120" w:after="120"/>
        <w:ind w:left="709" w:hanging="284"/>
        <w:jc w:val="both"/>
        <w:rPr>
          <w:rFonts w:ascii="Arial" w:hAnsi="Arial" w:cs="Arial"/>
          <w:color w:val="000000"/>
          <w:sz w:val="22"/>
          <w:szCs w:val="22"/>
        </w:rPr>
      </w:pPr>
      <w:r w:rsidRPr="00A35E28">
        <w:rPr>
          <w:rFonts w:ascii="Arial" w:hAnsi="Arial" w:cs="Arial"/>
          <w:color w:val="000000"/>
          <w:sz w:val="22"/>
          <w:szCs w:val="22"/>
        </w:rPr>
        <w:t>b)</w:t>
      </w:r>
      <w:r w:rsidRPr="00A35E28">
        <w:rPr>
          <w:rFonts w:ascii="Arial" w:hAnsi="Arial" w:cs="Arial"/>
          <w:color w:val="000000"/>
          <w:sz w:val="22"/>
          <w:szCs w:val="22"/>
        </w:rPr>
        <w:tab/>
      </w:r>
      <w:r w:rsidRPr="00A35E28">
        <w:rPr>
          <w:rFonts w:ascii="Arial" w:hAnsi="Arial" w:cs="Arial"/>
          <w:b/>
          <w:bCs/>
          <w:color w:val="000000"/>
          <w:sz w:val="22"/>
          <w:szCs w:val="22"/>
        </w:rPr>
        <w:t>účelovým</w:t>
      </w:r>
      <w:r w:rsidRPr="00A35E28">
        <w:rPr>
          <w:rFonts w:ascii="Arial" w:hAnsi="Arial" w:cs="Arial"/>
          <w:b/>
          <w:bCs/>
          <w:color w:val="000000"/>
          <w:spacing w:val="-7"/>
          <w:sz w:val="22"/>
          <w:szCs w:val="22"/>
        </w:rPr>
        <w:t xml:space="preserve"> </w:t>
      </w:r>
      <w:r w:rsidRPr="00A35E28">
        <w:rPr>
          <w:rFonts w:ascii="Arial" w:hAnsi="Arial" w:cs="Arial"/>
          <w:b/>
          <w:bCs/>
          <w:color w:val="000000"/>
          <w:spacing w:val="-1"/>
          <w:sz w:val="22"/>
          <w:szCs w:val="22"/>
        </w:rPr>
        <w:t>č</w:t>
      </w:r>
      <w:r w:rsidRPr="00A35E28">
        <w:rPr>
          <w:rFonts w:ascii="Arial" w:hAnsi="Arial" w:cs="Arial"/>
          <w:b/>
          <w:bCs/>
          <w:color w:val="000000"/>
          <w:sz w:val="22"/>
          <w:szCs w:val="22"/>
        </w:rPr>
        <w:t>leněním</w:t>
      </w:r>
      <w:r w:rsidRPr="00A35E28">
        <w:rPr>
          <w:rFonts w:ascii="Arial" w:hAnsi="Arial" w:cs="Arial"/>
          <w:b/>
          <w:bCs/>
          <w:color w:val="000000"/>
          <w:spacing w:val="-7"/>
          <w:sz w:val="22"/>
          <w:szCs w:val="22"/>
        </w:rPr>
        <w:t xml:space="preserve"> </w:t>
      </w:r>
      <w:r w:rsidRPr="00A35E28">
        <w:rPr>
          <w:rFonts w:ascii="Arial" w:hAnsi="Arial" w:cs="Arial"/>
          <w:b/>
          <w:bCs/>
          <w:color w:val="000000"/>
          <w:sz w:val="22"/>
          <w:szCs w:val="22"/>
        </w:rPr>
        <w:t>n</w:t>
      </w:r>
      <w:r w:rsidRPr="00A35E28">
        <w:rPr>
          <w:rFonts w:ascii="Arial" w:hAnsi="Arial" w:cs="Arial"/>
          <w:b/>
          <w:bCs/>
          <w:color w:val="000000"/>
          <w:spacing w:val="-1"/>
          <w:sz w:val="22"/>
          <w:szCs w:val="22"/>
        </w:rPr>
        <w:t>á</w:t>
      </w:r>
      <w:r w:rsidRPr="00A35E28">
        <w:rPr>
          <w:rFonts w:ascii="Arial" w:hAnsi="Arial" w:cs="Arial"/>
          <w:b/>
          <w:bCs/>
          <w:color w:val="000000"/>
          <w:sz w:val="22"/>
          <w:szCs w:val="22"/>
        </w:rPr>
        <w:t>kladů</w:t>
      </w:r>
      <w:r w:rsidRPr="00A35E28">
        <w:rPr>
          <w:rFonts w:ascii="Arial" w:hAnsi="Arial" w:cs="Arial"/>
          <w:b/>
          <w:bCs/>
          <w:color w:val="000000"/>
          <w:spacing w:val="-5"/>
          <w:sz w:val="22"/>
          <w:szCs w:val="22"/>
        </w:rPr>
        <w:t xml:space="preserve"> a</w:t>
      </w:r>
      <w:r w:rsidR="00447C85">
        <w:rPr>
          <w:rFonts w:ascii="Arial" w:hAnsi="Arial" w:cs="Arial"/>
          <w:b/>
          <w:bCs/>
          <w:color w:val="000000"/>
          <w:spacing w:val="-5"/>
          <w:sz w:val="22"/>
          <w:szCs w:val="22"/>
        </w:rPr>
        <w:t xml:space="preserve"> </w:t>
      </w:r>
      <w:r w:rsidRPr="00A35E28">
        <w:rPr>
          <w:rFonts w:ascii="Arial" w:hAnsi="Arial" w:cs="Arial"/>
          <w:b/>
          <w:bCs/>
          <w:color w:val="000000"/>
          <w:sz w:val="22"/>
          <w:szCs w:val="22"/>
        </w:rPr>
        <w:t>výnosů</w:t>
      </w:r>
      <w:r w:rsidRPr="00A35E28">
        <w:rPr>
          <w:rFonts w:ascii="Arial" w:hAnsi="Arial" w:cs="Arial"/>
          <w:b/>
          <w:bCs/>
          <w:color w:val="000000"/>
          <w:spacing w:val="-6"/>
          <w:sz w:val="22"/>
          <w:szCs w:val="22"/>
        </w:rPr>
        <w:t xml:space="preserve"> </w:t>
      </w:r>
      <w:r w:rsidRPr="00A35E28">
        <w:rPr>
          <w:rFonts w:ascii="Arial" w:hAnsi="Arial" w:cs="Arial"/>
          <w:color w:val="000000"/>
          <w:sz w:val="22"/>
          <w:szCs w:val="22"/>
        </w:rPr>
        <w:t>soubor</w:t>
      </w:r>
      <w:r w:rsidRPr="00083538">
        <w:rPr>
          <w:rFonts w:ascii="Arial" w:hAnsi="Arial" w:cs="Arial"/>
          <w:color w:val="000000"/>
          <w:sz w:val="22"/>
          <w:szCs w:val="22"/>
        </w:rPr>
        <w:t xml:space="preserve"> </w:t>
      </w:r>
      <w:r w:rsidRPr="00A35E28">
        <w:rPr>
          <w:rFonts w:ascii="Arial" w:hAnsi="Arial" w:cs="Arial"/>
          <w:color w:val="000000"/>
          <w:sz w:val="22"/>
          <w:szCs w:val="22"/>
        </w:rPr>
        <w:t>pravidel</w:t>
      </w:r>
      <w:r w:rsidRPr="00083538">
        <w:rPr>
          <w:rFonts w:ascii="Arial" w:hAnsi="Arial" w:cs="Arial"/>
          <w:color w:val="000000"/>
          <w:sz w:val="22"/>
          <w:szCs w:val="22"/>
        </w:rPr>
        <w:t xml:space="preserve"> pro</w:t>
      </w:r>
      <w:r w:rsidR="00A35E28" w:rsidRPr="00083538">
        <w:rPr>
          <w:rFonts w:ascii="Arial" w:hAnsi="Arial" w:cs="Arial"/>
          <w:color w:val="000000"/>
          <w:sz w:val="22"/>
          <w:szCs w:val="22"/>
        </w:rPr>
        <w:t xml:space="preserve"> </w:t>
      </w:r>
      <w:r w:rsidRPr="00083538">
        <w:rPr>
          <w:rFonts w:ascii="Arial" w:hAnsi="Arial" w:cs="Arial"/>
          <w:color w:val="000000"/>
          <w:sz w:val="22"/>
          <w:szCs w:val="22"/>
        </w:rPr>
        <w:t>p</w:t>
      </w:r>
      <w:r w:rsidRPr="00A35E28">
        <w:rPr>
          <w:rFonts w:ascii="Arial" w:hAnsi="Arial" w:cs="Arial"/>
          <w:color w:val="000000"/>
          <w:sz w:val="22"/>
          <w:szCs w:val="22"/>
        </w:rPr>
        <w:t>řiřazování</w:t>
      </w:r>
      <w:r w:rsidRPr="00083538">
        <w:rPr>
          <w:rFonts w:ascii="Arial" w:hAnsi="Arial" w:cs="Arial"/>
          <w:color w:val="000000"/>
          <w:sz w:val="22"/>
          <w:szCs w:val="22"/>
        </w:rPr>
        <w:t xml:space="preserve"> </w:t>
      </w:r>
      <w:r w:rsidRPr="00A35E28">
        <w:rPr>
          <w:rFonts w:ascii="Arial" w:hAnsi="Arial" w:cs="Arial"/>
          <w:color w:val="000000"/>
          <w:sz w:val="22"/>
          <w:szCs w:val="22"/>
        </w:rPr>
        <w:t>pří</w:t>
      </w:r>
      <w:r w:rsidRPr="00083538">
        <w:rPr>
          <w:rFonts w:ascii="Arial" w:hAnsi="Arial" w:cs="Arial"/>
          <w:color w:val="000000"/>
          <w:sz w:val="22"/>
          <w:szCs w:val="22"/>
        </w:rPr>
        <w:t>m</w:t>
      </w:r>
      <w:r w:rsidRPr="00A35E28">
        <w:rPr>
          <w:rFonts w:ascii="Arial" w:hAnsi="Arial" w:cs="Arial"/>
          <w:color w:val="000000"/>
          <w:sz w:val="22"/>
          <w:szCs w:val="22"/>
        </w:rPr>
        <w:t>ých</w:t>
      </w:r>
      <w:r w:rsidRPr="00083538">
        <w:rPr>
          <w:rFonts w:ascii="Arial" w:hAnsi="Arial" w:cs="Arial"/>
          <w:color w:val="000000"/>
          <w:sz w:val="22"/>
          <w:szCs w:val="22"/>
        </w:rPr>
        <w:t xml:space="preserve"> </w:t>
      </w:r>
      <w:r w:rsidRPr="00A35E28">
        <w:rPr>
          <w:rFonts w:ascii="Arial" w:hAnsi="Arial" w:cs="Arial"/>
          <w:color w:val="000000"/>
          <w:sz w:val="22"/>
          <w:szCs w:val="22"/>
        </w:rPr>
        <w:t>nákladů, nepřímých</w:t>
      </w:r>
      <w:r w:rsidRPr="00083538">
        <w:rPr>
          <w:rFonts w:ascii="Arial" w:hAnsi="Arial" w:cs="Arial"/>
          <w:color w:val="000000"/>
          <w:sz w:val="22"/>
          <w:szCs w:val="22"/>
        </w:rPr>
        <w:t xml:space="preserve"> </w:t>
      </w:r>
      <w:r w:rsidRPr="00A35E28">
        <w:rPr>
          <w:rFonts w:ascii="Arial" w:hAnsi="Arial" w:cs="Arial"/>
          <w:color w:val="000000"/>
          <w:sz w:val="22"/>
          <w:szCs w:val="22"/>
        </w:rPr>
        <w:t>nákla</w:t>
      </w:r>
      <w:r w:rsidRPr="00083538">
        <w:rPr>
          <w:rFonts w:ascii="Arial" w:hAnsi="Arial" w:cs="Arial"/>
          <w:color w:val="000000"/>
          <w:sz w:val="22"/>
          <w:szCs w:val="22"/>
        </w:rPr>
        <w:t>d</w:t>
      </w:r>
      <w:r w:rsidRPr="00A35E28">
        <w:rPr>
          <w:rFonts w:ascii="Arial" w:hAnsi="Arial" w:cs="Arial"/>
          <w:color w:val="000000"/>
          <w:sz w:val="22"/>
          <w:szCs w:val="22"/>
        </w:rPr>
        <w:t>ů,</w:t>
      </w:r>
      <w:r w:rsidRPr="00083538">
        <w:rPr>
          <w:rFonts w:ascii="Arial" w:hAnsi="Arial" w:cs="Arial"/>
          <w:color w:val="000000"/>
          <w:sz w:val="22"/>
          <w:szCs w:val="22"/>
        </w:rPr>
        <w:t xml:space="preserve"> </w:t>
      </w:r>
      <w:r w:rsidRPr="00A35E28">
        <w:rPr>
          <w:rFonts w:ascii="Arial" w:hAnsi="Arial" w:cs="Arial"/>
          <w:color w:val="000000"/>
          <w:sz w:val="22"/>
          <w:szCs w:val="22"/>
        </w:rPr>
        <w:t>s</w:t>
      </w:r>
      <w:r w:rsidRPr="00083538">
        <w:rPr>
          <w:rFonts w:ascii="Arial" w:hAnsi="Arial" w:cs="Arial"/>
          <w:color w:val="000000"/>
          <w:sz w:val="22"/>
          <w:szCs w:val="22"/>
        </w:rPr>
        <w:t>p</w:t>
      </w:r>
      <w:r w:rsidRPr="00A35E28">
        <w:rPr>
          <w:rFonts w:ascii="Arial" w:hAnsi="Arial" w:cs="Arial"/>
          <w:color w:val="000000"/>
          <w:sz w:val="22"/>
          <w:szCs w:val="22"/>
        </w:rPr>
        <w:t>ole</w:t>
      </w:r>
      <w:r w:rsidRPr="00083538">
        <w:rPr>
          <w:rFonts w:ascii="Arial" w:hAnsi="Arial" w:cs="Arial"/>
          <w:color w:val="000000"/>
          <w:sz w:val="22"/>
          <w:szCs w:val="22"/>
        </w:rPr>
        <w:t>č</w:t>
      </w:r>
      <w:r w:rsidRPr="00A35E28">
        <w:rPr>
          <w:rFonts w:ascii="Arial" w:hAnsi="Arial" w:cs="Arial"/>
          <w:color w:val="000000"/>
          <w:sz w:val="22"/>
          <w:szCs w:val="22"/>
        </w:rPr>
        <w:t>ných n</w:t>
      </w:r>
      <w:r w:rsidRPr="00083538">
        <w:rPr>
          <w:rFonts w:ascii="Arial" w:hAnsi="Arial" w:cs="Arial"/>
          <w:color w:val="000000"/>
          <w:sz w:val="22"/>
          <w:szCs w:val="22"/>
        </w:rPr>
        <w:t>á</w:t>
      </w:r>
      <w:r w:rsidRPr="00A35E28">
        <w:rPr>
          <w:rFonts w:ascii="Arial" w:hAnsi="Arial" w:cs="Arial"/>
          <w:color w:val="000000"/>
          <w:sz w:val="22"/>
          <w:szCs w:val="22"/>
        </w:rPr>
        <w:t>kladů,</w:t>
      </w:r>
      <w:r w:rsidRPr="00083538">
        <w:rPr>
          <w:rFonts w:ascii="Arial" w:hAnsi="Arial" w:cs="Arial"/>
          <w:color w:val="000000"/>
          <w:sz w:val="22"/>
          <w:szCs w:val="22"/>
        </w:rPr>
        <w:t xml:space="preserve"> </w:t>
      </w:r>
      <w:r w:rsidRPr="00A35E28">
        <w:rPr>
          <w:rFonts w:ascii="Arial" w:hAnsi="Arial" w:cs="Arial"/>
          <w:color w:val="000000"/>
          <w:sz w:val="22"/>
          <w:szCs w:val="22"/>
        </w:rPr>
        <w:t>nákl</w:t>
      </w:r>
      <w:r w:rsidRPr="00083538">
        <w:rPr>
          <w:rFonts w:ascii="Arial" w:hAnsi="Arial" w:cs="Arial"/>
          <w:color w:val="000000"/>
          <w:sz w:val="22"/>
          <w:szCs w:val="22"/>
        </w:rPr>
        <w:t>a</w:t>
      </w:r>
      <w:r w:rsidRPr="00A35E28">
        <w:rPr>
          <w:rFonts w:ascii="Arial" w:hAnsi="Arial" w:cs="Arial"/>
          <w:color w:val="000000"/>
          <w:sz w:val="22"/>
          <w:szCs w:val="22"/>
        </w:rPr>
        <w:t>dů</w:t>
      </w:r>
      <w:r w:rsidRPr="00083538">
        <w:rPr>
          <w:rFonts w:ascii="Arial" w:hAnsi="Arial" w:cs="Arial"/>
          <w:color w:val="000000"/>
          <w:sz w:val="22"/>
          <w:szCs w:val="22"/>
        </w:rPr>
        <w:t xml:space="preserve"> </w:t>
      </w:r>
      <w:r w:rsidRPr="00A35E28">
        <w:rPr>
          <w:rFonts w:ascii="Arial" w:hAnsi="Arial" w:cs="Arial"/>
          <w:color w:val="000000"/>
          <w:sz w:val="22"/>
          <w:szCs w:val="22"/>
        </w:rPr>
        <w:t>kapitálu</w:t>
      </w:r>
      <w:r w:rsidRPr="00083538">
        <w:rPr>
          <w:rFonts w:ascii="Arial" w:hAnsi="Arial" w:cs="Arial"/>
          <w:color w:val="000000"/>
          <w:sz w:val="22"/>
          <w:szCs w:val="22"/>
        </w:rPr>
        <w:t xml:space="preserve"> a</w:t>
      </w:r>
      <w:r w:rsidR="00A35E28" w:rsidRPr="00083538">
        <w:rPr>
          <w:rFonts w:ascii="Arial" w:hAnsi="Arial" w:cs="Arial"/>
          <w:color w:val="000000"/>
          <w:sz w:val="22"/>
          <w:szCs w:val="22"/>
        </w:rPr>
        <w:t xml:space="preserve"> </w:t>
      </w:r>
      <w:r w:rsidRPr="00A35E28">
        <w:rPr>
          <w:rFonts w:ascii="Arial" w:hAnsi="Arial" w:cs="Arial"/>
          <w:color w:val="000000"/>
          <w:sz w:val="22"/>
          <w:szCs w:val="22"/>
        </w:rPr>
        <w:t>výnosů</w:t>
      </w:r>
      <w:r w:rsidRPr="00083538">
        <w:rPr>
          <w:rFonts w:ascii="Arial" w:hAnsi="Arial" w:cs="Arial"/>
          <w:color w:val="000000"/>
          <w:sz w:val="22"/>
          <w:szCs w:val="22"/>
        </w:rPr>
        <w:t xml:space="preserve"> </w:t>
      </w:r>
      <w:r w:rsidRPr="00A35E28">
        <w:rPr>
          <w:rFonts w:ascii="Arial" w:hAnsi="Arial" w:cs="Arial"/>
          <w:color w:val="000000"/>
          <w:sz w:val="22"/>
          <w:szCs w:val="22"/>
        </w:rPr>
        <w:t>p</w:t>
      </w:r>
      <w:r w:rsidRPr="00083538">
        <w:rPr>
          <w:rFonts w:ascii="Arial" w:hAnsi="Arial" w:cs="Arial"/>
          <w:color w:val="000000"/>
          <w:sz w:val="22"/>
          <w:szCs w:val="22"/>
        </w:rPr>
        <w:t>ř</w:t>
      </w:r>
      <w:r w:rsidRPr="00A35E28">
        <w:rPr>
          <w:rFonts w:ascii="Arial" w:hAnsi="Arial" w:cs="Arial"/>
          <w:color w:val="000000"/>
          <w:sz w:val="22"/>
          <w:szCs w:val="22"/>
        </w:rPr>
        <w:t>íslušným</w:t>
      </w:r>
      <w:r w:rsidRPr="00083538">
        <w:rPr>
          <w:rFonts w:ascii="Arial" w:hAnsi="Arial" w:cs="Arial"/>
          <w:color w:val="000000"/>
          <w:sz w:val="22"/>
          <w:szCs w:val="22"/>
        </w:rPr>
        <w:t xml:space="preserve"> </w:t>
      </w:r>
      <w:r w:rsidRPr="00A35E28">
        <w:rPr>
          <w:rFonts w:ascii="Arial" w:hAnsi="Arial" w:cs="Arial"/>
          <w:color w:val="000000"/>
          <w:sz w:val="22"/>
          <w:szCs w:val="22"/>
        </w:rPr>
        <w:t>p</w:t>
      </w:r>
      <w:r w:rsidRPr="00083538">
        <w:rPr>
          <w:rFonts w:ascii="Arial" w:hAnsi="Arial" w:cs="Arial"/>
          <w:color w:val="000000"/>
          <w:sz w:val="22"/>
          <w:szCs w:val="22"/>
        </w:rPr>
        <w:t>rvk</w:t>
      </w:r>
      <w:r w:rsidRPr="00A35E28">
        <w:rPr>
          <w:rFonts w:ascii="Arial" w:hAnsi="Arial" w:cs="Arial"/>
          <w:color w:val="000000"/>
          <w:sz w:val="22"/>
          <w:szCs w:val="22"/>
        </w:rPr>
        <w:t>ům sítě,</w:t>
      </w:r>
      <w:r w:rsidRPr="00083538">
        <w:rPr>
          <w:rFonts w:ascii="Arial" w:hAnsi="Arial" w:cs="Arial"/>
          <w:color w:val="000000"/>
          <w:sz w:val="22"/>
          <w:szCs w:val="22"/>
        </w:rPr>
        <w:t xml:space="preserve"> </w:t>
      </w:r>
      <w:r w:rsidRPr="00A35E28">
        <w:rPr>
          <w:rFonts w:ascii="Arial" w:hAnsi="Arial" w:cs="Arial"/>
          <w:color w:val="000000"/>
          <w:sz w:val="22"/>
          <w:szCs w:val="22"/>
        </w:rPr>
        <w:t>činn</w:t>
      </w:r>
      <w:r w:rsidRPr="00083538">
        <w:rPr>
          <w:rFonts w:ascii="Arial" w:hAnsi="Arial" w:cs="Arial"/>
          <w:color w:val="000000"/>
          <w:sz w:val="22"/>
          <w:szCs w:val="22"/>
        </w:rPr>
        <w:t>o</w:t>
      </w:r>
      <w:r w:rsidRPr="00A35E28">
        <w:rPr>
          <w:rFonts w:ascii="Arial" w:hAnsi="Arial" w:cs="Arial"/>
          <w:color w:val="000000"/>
          <w:sz w:val="22"/>
          <w:szCs w:val="22"/>
        </w:rPr>
        <w:t>s</w:t>
      </w:r>
      <w:r w:rsidRPr="00083538">
        <w:rPr>
          <w:rFonts w:ascii="Arial" w:hAnsi="Arial" w:cs="Arial"/>
          <w:color w:val="000000"/>
          <w:sz w:val="22"/>
          <w:szCs w:val="22"/>
        </w:rPr>
        <w:t>t</w:t>
      </w:r>
      <w:r w:rsidRPr="00A35E28">
        <w:rPr>
          <w:rFonts w:ascii="Arial" w:hAnsi="Arial" w:cs="Arial"/>
          <w:color w:val="000000"/>
          <w:sz w:val="22"/>
          <w:szCs w:val="22"/>
        </w:rPr>
        <w:t>em</w:t>
      </w:r>
      <w:r w:rsidRPr="00083538">
        <w:rPr>
          <w:rFonts w:ascii="Arial" w:hAnsi="Arial" w:cs="Arial"/>
          <w:color w:val="000000"/>
          <w:sz w:val="22"/>
          <w:szCs w:val="22"/>
        </w:rPr>
        <w:t xml:space="preserve"> a</w:t>
      </w:r>
      <w:r w:rsidR="00A35E28" w:rsidRPr="00083538">
        <w:rPr>
          <w:rFonts w:ascii="Arial" w:hAnsi="Arial" w:cs="Arial"/>
          <w:color w:val="000000"/>
          <w:sz w:val="22"/>
          <w:szCs w:val="22"/>
        </w:rPr>
        <w:t xml:space="preserve"> </w:t>
      </w:r>
      <w:r w:rsidRPr="00A35E28">
        <w:rPr>
          <w:rFonts w:ascii="Arial" w:hAnsi="Arial" w:cs="Arial"/>
          <w:color w:val="000000"/>
          <w:sz w:val="22"/>
          <w:szCs w:val="22"/>
        </w:rPr>
        <w:t>služb</w:t>
      </w:r>
      <w:r w:rsidRPr="00083538">
        <w:rPr>
          <w:rFonts w:ascii="Arial" w:hAnsi="Arial" w:cs="Arial"/>
          <w:color w:val="000000"/>
          <w:sz w:val="22"/>
          <w:szCs w:val="22"/>
        </w:rPr>
        <w:t>á</w:t>
      </w:r>
      <w:r w:rsidRPr="00A35E28">
        <w:rPr>
          <w:rFonts w:ascii="Arial" w:hAnsi="Arial" w:cs="Arial"/>
          <w:color w:val="000000"/>
          <w:sz w:val="22"/>
          <w:szCs w:val="22"/>
        </w:rPr>
        <w:t>m</w:t>
      </w:r>
      <w:r w:rsidRPr="00083538">
        <w:rPr>
          <w:rFonts w:ascii="Arial" w:hAnsi="Arial" w:cs="Arial"/>
          <w:color w:val="000000"/>
          <w:sz w:val="22"/>
          <w:szCs w:val="22"/>
        </w:rPr>
        <w:t xml:space="preserve"> </w:t>
      </w:r>
      <w:r w:rsidRPr="00A35E28">
        <w:rPr>
          <w:rFonts w:ascii="Arial" w:hAnsi="Arial" w:cs="Arial"/>
          <w:color w:val="000000"/>
          <w:sz w:val="22"/>
          <w:szCs w:val="22"/>
        </w:rPr>
        <w:t>(dále</w:t>
      </w:r>
      <w:r w:rsidRPr="00083538">
        <w:rPr>
          <w:rFonts w:ascii="Arial" w:hAnsi="Arial" w:cs="Arial"/>
          <w:color w:val="000000"/>
          <w:sz w:val="22"/>
          <w:szCs w:val="22"/>
        </w:rPr>
        <w:t xml:space="preserve"> </w:t>
      </w:r>
      <w:r w:rsidRPr="00A35E28">
        <w:rPr>
          <w:rFonts w:ascii="Arial" w:hAnsi="Arial" w:cs="Arial"/>
          <w:color w:val="000000"/>
          <w:sz w:val="22"/>
          <w:szCs w:val="22"/>
        </w:rPr>
        <w:t>jen</w:t>
      </w:r>
      <w:r w:rsidRPr="00083538">
        <w:rPr>
          <w:rFonts w:ascii="Arial" w:hAnsi="Arial" w:cs="Arial"/>
          <w:color w:val="000000"/>
          <w:sz w:val="22"/>
          <w:szCs w:val="22"/>
        </w:rPr>
        <w:t xml:space="preserve"> </w:t>
      </w:r>
      <w:r w:rsidRPr="00A35E28">
        <w:rPr>
          <w:rFonts w:ascii="Arial" w:hAnsi="Arial" w:cs="Arial"/>
          <w:color w:val="000000"/>
          <w:sz w:val="22"/>
          <w:szCs w:val="22"/>
        </w:rPr>
        <w:t>„nákladové</w:t>
      </w:r>
      <w:r w:rsidRPr="00083538">
        <w:rPr>
          <w:rFonts w:ascii="Arial" w:hAnsi="Arial" w:cs="Arial"/>
          <w:color w:val="000000"/>
          <w:sz w:val="22"/>
          <w:szCs w:val="22"/>
        </w:rPr>
        <w:t xml:space="preserve"> úč</w:t>
      </w:r>
      <w:r w:rsidRPr="00A35E28">
        <w:rPr>
          <w:rFonts w:ascii="Arial" w:hAnsi="Arial" w:cs="Arial"/>
          <w:color w:val="000000"/>
          <w:sz w:val="22"/>
          <w:szCs w:val="22"/>
        </w:rPr>
        <w:t>etnictví”),</w:t>
      </w:r>
    </w:p>
    <w:p w:rsidR="004A6A67" w:rsidRPr="00A35E28" w:rsidRDefault="004A6A67" w:rsidP="006D177F">
      <w:pPr>
        <w:widowControl w:val="0"/>
        <w:autoSpaceDE w:val="0"/>
        <w:autoSpaceDN w:val="0"/>
        <w:adjustRightInd w:val="0"/>
        <w:spacing w:before="120"/>
        <w:ind w:left="709" w:hanging="284"/>
        <w:jc w:val="both"/>
        <w:rPr>
          <w:rFonts w:ascii="Arial" w:hAnsi="Arial" w:cs="Arial"/>
          <w:color w:val="000000"/>
          <w:sz w:val="22"/>
          <w:szCs w:val="22"/>
        </w:rPr>
      </w:pPr>
      <w:r w:rsidRPr="00A35E28">
        <w:rPr>
          <w:rFonts w:ascii="Arial" w:hAnsi="Arial" w:cs="Arial"/>
          <w:color w:val="000000"/>
          <w:sz w:val="22"/>
          <w:szCs w:val="22"/>
        </w:rPr>
        <w:t>c)</w:t>
      </w:r>
      <w:r w:rsidRPr="00A35E28">
        <w:rPr>
          <w:rFonts w:ascii="Arial" w:hAnsi="Arial" w:cs="Arial"/>
          <w:color w:val="000000"/>
          <w:sz w:val="22"/>
          <w:szCs w:val="22"/>
        </w:rPr>
        <w:tab/>
      </w:r>
      <w:r w:rsidRPr="00A35E28">
        <w:rPr>
          <w:rFonts w:ascii="Arial" w:hAnsi="Arial" w:cs="Arial"/>
          <w:b/>
          <w:bCs/>
          <w:color w:val="000000"/>
          <w:sz w:val="22"/>
          <w:szCs w:val="22"/>
        </w:rPr>
        <w:t>přímými</w:t>
      </w:r>
      <w:r w:rsidRPr="00A35E28">
        <w:rPr>
          <w:rFonts w:ascii="Arial" w:hAnsi="Arial" w:cs="Arial"/>
          <w:b/>
          <w:bCs/>
          <w:color w:val="000000"/>
          <w:spacing w:val="4"/>
          <w:sz w:val="22"/>
          <w:szCs w:val="22"/>
        </w:rPr>
        <w:t xml:space="preserve"> </w:t>
      </w:r>
      <w:r w:rsidRPr="00A35E28">
        <w:rPr>
          <w:rFonts w:ascii="Arial" w:hAnsi="Arial" w:cs="Arial"/>
          <w:b/>
          <w:bCs/>
          <w:color w:val="000000"/>
          <w:sz w:val="22"/>
          <w:szCs w:val="22"/>
        </w:rPr>
        <w:t>nákla</w:t>
      </w:r>
      <w:r w:rsidRPr="00A35E28">
        <w:rPr>
          <w:rFonts w:ascii="Arial" w:hAnsi="Arial" w:cs="Arial"/>
          <w:b/>
          <w:bCs/>
          <w:color w:val="000000"/>
          <w:spacing w:val="1"/>
          <w:sz w:val="22"/>
          <w:szCs w:val="22"/>
        </w:rPr>
        <w:t>d</w:t>
      </w:r>
      <w:r w:rsidRPr="00A35E28">
        <w:rPr>
          <w:rFonts w:ascii="Arial" w:hAnsi="Arial" w:cs="Arial"/>
          <w:b/>
          <w:bCs/>
          <w:color w:val="000000"/>
          <w:sz w:val="22"/>
          <w:szCs w:val="22"/>
        </w:rPr>
        <w:t>y</w:t>
      </w:r>
      <w:r w:rsidRPr="00A35E28">
        <w:rPr>
          <w:rFonts w:ascii="Arial" w:hAnsi="Arial" w:cs="Arial"/>
          <w:b/>
          <w:bCs/>
          <w:color w:val="000000"/>
          <w:spacing w:val="1"/>
          <w:sz w:val="22"/>
          <w:szCs w:val="22"/>
        </w:rPr>
        <w:t xml:space="preserve"> </w:t>
      </w:r>
      <w:r w:rsidRPr="00A35E28">
        <w:rPr>
          <w:rFonts w:ascii="Arial" w:hAnsi="Arial" w:cs="Arial"/>
          <w:color w:val="000000"/>
          <w:sz w:val="22"/>
          <w:szCs w:val="22"/>
        </w:rPr>
        <w:t>efektivní</w:t>
      </w:r>
      <w:r w:rsidRPr="00A35E28">
        <w:rPr>
          <w:rFonts w:ascii="Arial" w:hAnsi="Arial" w:cs="Arial"/>
          <w:color w:val="000000"/>
          <w:spacing w:val="4"/>
          <w:sz w:val="22"/>
          <w:szCs w:val="22"/>
        </w:rPr>
        <w:t xml:space="preserve"> a</w:t>
      </w:r>
      <w:r w:rsidR="00A35E28">
        <w:rPr>
          <w:rFonts w:ascii="Arial" w:hAnsi="Arial" w:cs="Arial"/>
          <w:color w:val="000000"/>
          <w:spacing w:val="4"/>
          <w:sz w:val="22"/>
          <w:szCs w:val="22"/>
        </w:rPr>
        <w:t xml:space="preserve"> </w:t>
      </w:r>
      <w:r w:rsidRPr="00A35E28">
        <w:rPr>
          <w:rFonts w:ascii="Arial" w:hAnsi="Arial" w:cs="Arial"/>
          <w:color w:val="000000"/>
          <w:sz w:val="22"/>
          <w:szCs w:val="22"/>
        </w:rPr>
        <w:t>ú</w:t>
      </w:r>
      <w:r w:rsidRPr="00A35E28">
        <w:rPr>
          <w:rFonts w:ascii="Arial" w:hAnsi="Arial" w:cs="Arial"/>
          <w:color w:val="000000"/>
          <w:spacing w:val="1"/>
          <w:sz w:val="22"/>
          <w:szCs w:val="22"/>
        </w:rPr>
        <w:t>č</w:t>
      </w:r>
      <w:r w:rsidRPr="00A35E28">
        <w:rPr>
          <w:rFonts w:ascii="Arial" w:hAnsi="Arial" w:cs="Arial"/>
          <w:color w:val="000000"/>
          <w:sz w:val="22"/>
          <w:szCs w:val="22"/>
        </w:rPr>
        <w:t>elně</w:t>
      </w:r>
      <w:r w:rsidRPr="00A35E28">
        <w:rPr>
          <w:rFonts w:ascii="Arial" w:hAnsi="Arial" w:cs="Arial"/>
          <w:color w:val="000000"/>
          <w:spacing w:val="5"/>
          <w:sz w:val="22"/>
          <w:szCs w:val="22"/>
        </w:rPr>
        <w:t xml:space="preserve"> </w:t>
      </w:r>
      <w:r w:rsidRPr="00A35E28">
        <w:rPr>
          <w:rFonts w:ascii="Arial" w:hAnsi="Arial" w:cs="Arial"/>
          <w:color w:val="000000"/>
          <w:sz w:val="22"/>
          <w:szCs w:val="22"/>
        </w:rPr>
        <w:t>vynaložené náklady,</w:t>
      </w:r>
      <w:r w:rsidRPr="00A35E28">
        <w:rPr>
          <w:rFonts w:ascii="Arial" w:hAnsi="Arial" w:cs="Arial"/>
          <w:color w:val="000000"/>
          <w:spacing w:val="4"/>
          <w:sz w:val="22"/>
          <w:szCs w:val="22"/>
        </w:rPr>
        <w:t xml:space="preserve"> </w:t>
      </w:r>
      <w:r w:rsidRPr="00A35E28">
        <w:rPr>
          <w:rFonts w:ascii="Arial" w:hAnsi="Arial" w:cs="Arial"/>
          <w:color w:val="000000"/>
          <w:sz w:val="22"/>
          <w:szCs w:val="22"/>
        </w:rPr>
        <w:t>k</w:t>
      </w:r>
      <w:r w:rsidRPr="00A35E28">
        <w:rPr>
          <w:rFonts w:ascii="Arial" w:hAnsi="Arial" w:cs="Arial"/>
          <w:color w:val="000000"/>
          <w:spacing w:val="-1"/>
          <w:sz w:val="22"/>
          <w:szCs w:val="22"/>
        </w:rPr>
        <w:t>t</w:t>
      </w:r>
      <w:r w:rsidRPr="00A35E28">
        <w:rPr>
          <w:rFonts w:ascii="Arial" w:hAnsi="Arial" w:cs="Arial"/>
          <w:color w:val="000000"/>
          <w:sz w:val="22"/>
          <w:szCs w:val="22"/>
        </w:rPr>
        <w:t>eré</w:t>
      </w:r>
      <w:r w:rsidRPr="00A35E28">
        <w:rPr>
          <w:rFonts w:ascii="Arial" w:hAnsi="Arial" w:cs="Arial"/>
          <w:color w:val="000000"/>
          <w:spacing w:val="7"/>
          <w:sz w:val="22"/>
          <w:szCs w:val="22"/>
        </w:rPr>
        <w:t xml:space="preserve"> </w:t>
      </w:r>
      <w:r w:rsidRPr="00A35E28">
        <w:rPr>
          <w:rFonts w:ascii="Arial" w:hAnsi="Arial" w:cs="Arial"/>
          <w:color w:val="000000"/>
          <w:sz w:val="22"/>
          <w:szCs w:val="22"/>
        </w:rPr>
        <w:t>jsou</w:t>
      </w:r>
      <w:r w:rsidRPr="00A35E28">
        <w:rPr>
          <w:rFonts w:ascii="Arial" w:hAnsi="Arial" w:cs="Arial"/>
          <w:color w:val="000000"/>
          <w:spacing w:val="7"/>
          <w:sz w:val="22"/>
          <w:szCs w:val="22"/>
        </w:rPr>
        <w:t xml:space="preserve"> </w:t>
      </w:r>
      <w:r w:rsidRPr="00A35E28">
        <w:rPr>
          <w:rFonts w:ascii="Arial" w:hAnsi="Arial" w:cs="Arial"/>
          <w:color w:val="000000"/>
          <w:sz w:val="22"/>
          <w:szCs w:val="22"/>
        </w:rPr>
        <w:t>zc</w:t>
      </w:r>
      <w:r w:rsidRPr="00A35E28">
        <w:rPr>
          <w:rFonts w:ascii="Arial" w:hAnsi="Arial" w:cs="Arial"/>
          <w:color w:val="000000"/>
          <w:spacing w:val="-1"/>
          <w:sz w:val="22"/>
          <w:szCs w:val="22"/>
        </w:rPr>
        <w:t>e</w:t>
      </w:r>
      <w:r w:rsidRPr="00A35E28">
        <w:rPr>
          <w:rFonts w:ascii="Arial" w:hAnsi="Arial" w:cs="Arial"/>
          <w:color w:val="000000"/>
          <w:sz w:val="22"/>
          <w:szCs w:val="22"/>
        </w:rPr>
        <w:t>la</w:t>
      </w:r>
      <w:r w:rsidRPr="00A35E28">
        <w:rPr>
          <w:rFonts w:ascii="Arial" w:hAnsi="Arial" w:cs="Arial"/>
          <w:color w:val="000000"/>
          <w:spacing w:val="7"/>
          <w:sz w:val="22"/>
          <w:szCs w:val="22"/>
        </w:rPr>
        <w:t xml:space="preserve"> </w:t>
      </w:r>
      <w:r w:rsidR="004A2209">
        <w:rPr>
          <w:rFonts w:ascii="Arial" w:hAnsi="Arial" w:cs="Arial"/>
          <w:color w:val="000000"/>
          <w:spacing w:val="7"/>
          <w:sz w:val="22"/>
          <w:szCs w:val="22"/>
        </w:rPr>
        <w:br/>
      </w:r>
      <w:r w:rsidRPr="00A35E28">
        <w:rPr>
          <w:rFonts w:ascii="Arial" w:hAnsi="Arial" w:cs="Arial"/>
          <w:color w:val="000000"/>
          <w:spacing w:val="7"/>
          <w:sz w:val="22"/>
          <w:szCs w:val="22"/>
        </w:rPr>
        <w:t>a</w:t>
      </w:r>
      <w:r w:rsidR="004A2209">
        <w:rPr>
          <w:rFonts w:ascii="Arial" w:hAnsi="Arial" w:cs="Arial"/>
          <w:color w:val="000000"/>
          <w:spacing w:val="7"/>
          <w:sz w:val="22"/>
          <w:szCs w:val="22"/>
        </w:rPr>
        <w:t xml:space="preserve"> </w:t>
      </w:r>
      <w:r w:rsidRPr="00A35E28">
        <w:rPr>
          <w:rFonts w:ascii="Arial" w:hAnsi="Arial" w:cs="Arial"/>
          <w:color w:val="000000"/>
          <w:sz w:val="22"/>
          <w:szCs w:val="22"/>
        </w:rPr>
        <w:t>jednoz</w:t>
      </w:r>
      <w:r w:rsidRPr="00A35E28">
        <w:rPr>
          <w:rFonts w:ascii="Arial" w:hAnsi="Arial" w:cs="Arial"/>
          <w:color w:val="000000"/>
          <w:spacing w:val="-1"/>
          <w:sz w:val="22"/>
          <w:szCs w:val="22"/>
        </w:rPr>
        <w:t>n</w:t>
      </w:r>
      <w:r w:rsidRPr="00A35E28">
        <w:rPr>
          <w:rFonts w:ascii="Arial" w:hAnsi="Arial" w:cs="Arial"/>
          <w:color w:val="000000"/>
          <w:spacing w:val="2"/>
          <w:sz w:val="22"/>
          <w:szCs w:val="22"/>
        </w:rPr>
        <w:t>a</w:t>
      </w:r>
      <w:r w:rsidRPr="00A35E28">
        <w:rPr>
          <w:rFonts w:ascii="Arial" w:hAnsi="Arial" w:cs="Arial"/>
          <w:color w:val="000000"/>
          <w:spacing w:val="1"/>
          <w:sz w:val="22"/>
          <w:szCs w:val="22"/>
        </w:rPr>
        <w:t>č</w:t>
      </w:r>
      <w:r w:rsidRPr="00A35E28">
        <w:rPr>
          <w:rFonts w:ascii="Arial" w:hAnsi="Arial" w:cs="Arial"/>
          <w:color w:val="000000"/>
          <w:sz w:val="22"/>
          <w:szCs w:val="22"/>
        </w:rPr>
        <w:t>ně vynaložené</w:t>
      </w:r>
      <w:r w:rsidR="0047095F">
        <w:rPr>
          <w:rFonts w:ascii="Arial" w:hAnsi="Arial" w:cs="Arial"/>
          <w:color w:val="000000"/>
          <w:spacing w:val="1"/>
          <w:sz w:val="22"/>
          <w:szCs w:val="22"/>
        </w:rPr>
        <w:t xml:space="preserve"> na </w:t>
      </w:r>
      <w:r w:rsidRPr="00A35E28">
        <w:rPr>
          <w:rFonts w:ascii="Arial" w:hAnsi="Arial" w:cs="Arial"/>
          <w:color w:val="000000"/>
          <w:sz w:val="22"/>
          <w:szCs w:val="22"/>
        </w:rPr>
        <w:t>ur</w:t>
      </w:r>
      <w:r w:rsidRPr="00A35E28">
        <w:rPr>
          <w:rFonts w:ascii="Arial" w:hAnsi="Arial" w:cs="Arial"/>
          <w:color w:val="000000"/>
          <w:spacing w:val="1"/>
          <w:sz w:val="22"/>
          <w:szCs w:val="22"/>
        </w:rPr>
        <w:t>č</w:t>
      </w:r>
      <w:r w:rsidRPr="00A35E28">
        <w:rPr>
          <w:rFonts w:ascii="Arial" w:hAnsi="Arial" w:cs="Arial"/>
          <w:color w:val="000000"/>
          <w:sz w:val="22"/>
          <w:szCs w:val="22"/>
        </w:rPr>
        <w:t>ené</w:t>
      </w:r>
      <w:r w:rsidRPr="00A35E28">
        <w:rPr>
          <w:rFonts w:ascii="Arial" w:hAnsi="Arial" w:cs="Arial"/>
          <w:color w:val="000000"/>
          <w:spacing w:val="5"/>
          <w:sz w:val="22"/>
          <w:szCs w:val="22"/>
        </w:rPr>
        <w:t xml:space="preserve"> </w:t>
      </w:r>
      <w:r w:rsidRPr="00A35E28">
        <w:rPr>
          <w:rFonts w:ascii="Arial" w:hAnsi="Arial" w:cs="Arial"/>
          <w:color w:val="000000"/>
          <w:sz w:val="22"/>
          <w:szCs w:val="22"/>
        </w:rPr>
        <w:t>prvky</w:t>
      </w:r>
      <w:r w:rsidRPr="00A35E28">
        <w:rPr>
          <w:rFonts w:ascii="Arial" w:hAnsi="Arial" w:cs="Arial"/>
          <w:color w:val="000000"/>
          <w:spacing w:val="7"/>
          <w:sz w:val="22"/>
          <w:szCs w:val="22"/>
        </w:rPr>
        <w:t xml:space="preserve"> </w:t>
      </w:r>
      <w:r w:rsidRPr="00A35E28">
        <w:rPr>
          <w:rFonts w:ascii="Arial" w:hAnsi="Arial" w:cs="Arial"/>
          <w:color w:val="000000"/>
          <w:sz w:val="22"/>
          <w:szCs w:val="22"/>
        </w:rPr>
        <w:t>sí</w:t>
      </w:r>
      <w:r w:rsidRPr="00A35E28">
        <w:rPr>
          <w:rFonts w:ascii="Arial" w:hAnsi="Arial" w:cs="Arial"/>
          <w:color w:val="000000"/>
          <w:spacing w:val="1"/>
          <w:sz w:val="22"/>
          <w:szCs w:val="22"/>
        </w:rPr>
        <w:t>t</w:t>
      </w:r>
      <w:r w:rsidRPr="00A35E28">
        <w:rPr>
          <w:rFonts w:ascii="Arial" w:hAnsi="Arial" w:cs="Arial"/>
          <w:color w:val="000000"/>
          <w:sz w:val="22"/>
          <w:szCs w:val="22"/>
        </w:rPr>
        <w:t>ě,</w:t>
      </w:r>
      <w:r w:rsidRPr="00A35E28">
        <w:rPr>
          <w:rFonts w:ascii="Arial" w:hAnsi="Arial" w:cs="Arial"/>
          <w:color w:val="000000"/>
          <w:spacing w:val="9"/>
          <w:sz w:val="22"/>
          <w:szCs w:val="22"/>
        </w:rPr>
        <w:t xml:space="preserve"> </w:t>
      </w:r>
      <w:r w:rsidRPr="00A35E28">
        <w:rPr>
          <w:rFonts w:ascii="Arial" w:hAnsi="Arial" w:cs="Arial"/>
          <w:color w:val="000000"/>
          <w:spacing w:val="1"/>
          <w:sz w:val="22"/>
          <w:szCs w:val="22"/>
        </w:rPr>
        <w:t>č</w:t>
      </w:r>
      <w:r w:rsidRPr="00A35E28">
        <w:rPr>
          <w:rFonts w:ascii="Arial" w:hAnsi="Arial" w:cs="Arial"/>
          <w:color w:val="000000"/>
          <w:sz w:val="22"/>
          <w:szCs w:val="22"/>
        </w:rPr>
        <w:t>innosti</w:t>
      </w:r>
      <w:r w:rsidRPr="00A35E28">
        <w:rPr>
          <w:rFonts w:ascii="Arial" w:hAnsi="Arial" w:cs="Arial"/>
          <w:color w:val="000000"/>
          <w:spacing w:val="4"/>
          <w:sz w:val="22"/>
          <w:szCs w:val="22"/>
        </w:rPr>
        <w:t xml:space="preserve"> a</w:t>
      </w:r>
      <w:r w:rsidR="00A35E28">
        <w:rPr>
          <w:rFonts w:ascii="Arial" w:hAnsi="Arial" w:cs="Arial"/>
          <w:color w:val="000000"/>
          <w:spacing w:val="4"/>
          <w:sz w:val="22"/>
          <w:szCs w:val="22"/>
        </w:rPr>
        <w:t xml:space="preserve"> </w:t>
      </w:r>
      <w:r w:rsidRPr="00A35E28">
        <w:rPr>
          <w:rFonts w:ascii="Arial" w:hAnsi="Arial" w:cs="Arial"/>
          <w:color w:val="000000"/>
          <w:spacing w:val="-1"/>
          <w:sz w:val="22"/>
          <w:szCs w:val="22"/>
        </w:rPr>
        <w:t>p</w:t>
      </w:r>
      <w:r w:rsidRPr="00A35E28">
        <w:rPr>
          <w:rFonts w:ascii="Arial" w:hAnsi="Arial" w:cs="Arial"/>
          <w:color w:val="000000"/>
          <w:sz w:val="22"/>
          <w:szCs w:val="22"/>
        </w:rPr>
        <w:t>oskytované služby,</w:t>
      </w:r>
      <w:r w:rsidRPr="00A35E28">
        <w:rPr>
          <w:rFonts w:ascii="Arial" w:hAnsi="Arial" w:cs="Arial"/>
          <w:color w:val="000000"/>
          <w:spacing w:val="5"/>
          <w:sz w:val="22"/>
          <w:szCs w:val="22"/>
        </w:rPr>
        <w:t xml:space="preserve"> </w:t>
      </w:r>
      <w:r w:rsidR="004A2209">
        <w:rPr>
          <w:rFonts w:ascii="Arial" w:hAnsi="Arial" w:cs="Arial"/>
          <w:color w:val="000000"/>
          <w:spacing w:val="5"/>
          <w:sz w:val="22"/>
          <w:szCs w:val="22"/>
        </w:rPr>
        <w:br/>
      </w:r>
      <w:r w:rsidRPr="00A35E28">
        <w:rPr>
          <w:rFonts w:ascii="Arial" w:hAnsi="Arial" w:cs="Arial"/>
          <w:color w:val="000000"/>
          <w:spacing w:val="5"/>
          <w:sz w:val="22"/>
          <w:szCs w:val="22"/>
        </w:rPr>
        <w:t>a</w:t>
      </w:r>
      <w:r w:rsidR="004A2209">
        <w:rPr>
          <w:rFonts w:ascii="Arial" w:hAnsi="Arial" w:cs="Arial"/>
          <w:color w:val="000000"/>
          <w:spacing w:val="5"/>
          <w:sz w:val="22"/>
          <w:szCs w:val="22"/>
        </w:rPr>
        <w:t xml:space="preserve"> </w:t>
      </w:r>
      <w:r w:rsidRPr="00A35E28">
        <w:rPr>
          <w:rFonts w:ascii="Arial" w:hAnsi="Arial" w:cs="Arial"/>
          <w:color w:val="000000"/>
          <w:sz w:val="22"/>
          <w:szCs w:val="22"/>
        </w:rPr>
        <w:t>p</w:t>
      </w:r>
      <w:r w:rsidRPr="00A35E28">
        <w:rPr>
          <w:rFonts w:ascii="Arial" w:hAnsi="Arial" w:cs="Arial"/>
          <w:color w:val="000000"/>
          <w:spacing w:val="-1"/>
          <w:sz w:val="22"/>
          <w:szCs w:val="22"/>
        </w:rPr>
        <w:t>r</w:t>
      </w:r>
      <w:r w:rsidRPr="00A35E28">
        <w:rPr>
          <w:rFonts w:ascii="Arial" w:hAnsi="Arial" w:cs="Arial"/>
          <w:color w:val="000000"/>
          <w:sz w:val="22"/>
          <w:szCs w:val="22"/>
        </w:rPr>
        <w:t>oto</w:t>
      </w:r>
      <w:r w:rsidRPr="00A35E28">
        <w:rPr>
          <w:rFonts w:ascii="Arial" w:hAnsi="Arial" w:cs="Arial"/>
          <w:color w:val="000000"/>
          <w:spacing w:val="7"/>
          <w:sz w:val="22"/>
          <w:szCs w:val="22"/>
        </w:rPr>
        <w:t xml:space="preserve"> </w:t>
      </w:r>
      <w:r w:rsidRPr="00A35E28">
        <w:rPr>
          <w:rFonts w:ascii="Arial" w:hAnsi="Arial" w:cs="Arial"/>
          <w:color w:val="000000"/>
          <w:sz w:val="22"/>
          <w:szCs w:val="22"/>
        </w:rPr>
        <w:t>je</w:t>
      </w:r>
      <w:r w:rsidRPr="00A35E28">
        <w:rPr>
          <w:rFonts w:ascii="Arial" w:hAnsi="Arial" w:cs="Arial"/>
          <w:color w:val="000000"/>
          <w:spacing w:val="11"/>
          <w:sz w:val="22"/>
          <w:szCs w:val="22"/>
        </w:rPr>
        <w:t xml:space="preserve"> </w:t>
      </w:r>
      <w:r w:rsidRPr="00A35E28">
        <w:rPr>
          <w:rFonts w:ascii="Arial" w:hAnsi="Arial" w:cs="Arial"/>
          <w:color w:val="000000"/>
          <w:sz w:val="22"/>
          <w:szCs w:val="22"/>
        </w:rPr>
        <w:t>lze</w:t>
      </w:r>
      <w:r w:rsidRPr="00A35E28">
        <w:rPr>
          <w:rFonts w:ascii="Arial" w:hAnsi="Arial" w:cs="Arial"/>
          <w:color w:val="000000"/>
          <w:spacing w:val="10"/>
          <w:sz w:val="22"/>
          <w:szCs w:val="22"/>
        </w:rPr>
        <w:t xml:space="preserve"> </w:t>
      </w:r>
      <w:r w:rsidRPr="00A35E28">
        <w:rPr>
          <w:rFonts w:ascii="Arial" w:hAnsi="Arial" w:cs="Arial"/>
          <w:color w:val="000000"/>
          <w:spacing w:val="-1"/>
          <w:sz w:val="22"/>
          <w:szCs w:val="22"/>
        </w:rPr>
        <w:t>p</w:t>
      </w:r>
      <w:r w:rsidRPr="00A35E28">
        <w:rPr>
          <w:rFonts w:ascii="Arial" w:hAnsi="Arial" w:cs="Arial"/>
          <w:color w:val="000000"/>
          <w:sz w:val="22"/>
          <w:szCs w:val="22"/>
        </w:rPr>
        <w:t>římo přiřadit</w:t>
      </w:r>
      <w:r w:rsidRPr="00A35E28">
        <w:rPr>
          <w:rFonts w:ascii="Arial" w:hAnsi="Arial" w:cs="Arial"/>
          <w:color w:val="000000"/>
          <w:spacing w:val="-7"/>
          <w:sz w:val="22"/>
          <w:szCs w:val="22"/>
        </w:rPr>
        <w:t xml:space="preserve"> </w:t>
      </w:r>
      <w:r w:rsidRPr="00A35E28">
        <w:rPr>
          <w:rFonts w:ascii="Arial" w:hAnsi="Arial" w:cs="Arial"/>
          <w:color w:val="000000"/>
          <w:sz w:val="22"/>
          <w:szCs w:val="22"/>
        </w:rPr>
        <w:t>konkrétnímu</w:t>
      </w:r>
      <w:r w:rsidRPr="00A35E28">
        <w:rPr>
          <w:rFonts w:ascii="Arial" w:hAnsi="Arial" w:cs="Arial"/>
          <w:color w:val="000000"/>
          <w:spacing w:val="-12"/>
          <w:sz w:val="22"/>
          <w:szCs w:val="22"/>
        </w:rPr>
        <w:t xml:space="preserve"> </w:t>
      </w:r>
      <w:r w:rsidRPr="00A35E28">
        <w:rPr>
          <w:rFonts w:ascii="Arial" w:hAnsi="Arial" w:cs="Arial"/>
          <w:color w:val="000000"/>
          <w:sz w:val="22"/>
          <w:szCs w:val="22"/>
        </w:rPr>
        <w:t>prv</w:t>
      </w:r>
      <w:r w:rsidRPr="00A35E28">
        <w:rPr>
          <w:rFonts w:ascii="Arial" w:hAnsi="Arial" w:cs="Arial"/>
          <w:color w:val="000000"/>
          <w:spacing w:val="2"/>
          <w:sz w:val="22"/>
          <w:szCs w:val="22"/>
        </w:rPr>
        <w:t>k</w:t>
      </w:r>
      <w:r w:rsidRPr="00A35E28">
        <w:rPr>
          <w:rFonts w:ascii="Arial" w:hAnsi="Arial" w:cs="Arial"/>
          <w:color w:val="000000"/>
          <w:sz w:val="22"/>
          <w:szCs w:val="22"/>
        </w:rPr>
        <w:t>u</w:t>
      </w:r>
      <w:r w:rsidRPr="00A35E28">
        <w:rPr>
          <w:rFonts w:ascii="Arial" w:hAnsi="Arial" w:cs="Arial"/>
          <w:color w:val="000000"/>
          <w:spacing w:val="-5"/>
          <w:sz w:val="22"/>
          <w:szCs w:val="22"/>
        </w:rPr>
        <w:t xml:space="preserve"> </w:t>
      </w:r>
      <w:r w:rsidRPr="00A35E28">
        <w:rPr>
          <w:rFonts w:ascii="Arial" w:hAnsi="Arial" w:cs="Arial"/>
          <w:color w:val="000000"/>
          <w:sz w:val="22"/>
          <w:szCs w:val="22"/>
        </w:rPr>
        <w:t>sí</w:t>
      </w:r>
      <w:r w:rsidRPr="00A35E28">
        <w:rPr>
          <w:rFonts w:ascii="Arial" w:hAnsi="Arial" w:cs="Arial"/>
          <w:color w:val="000000"/>
          <w:spacing w:val="1"/>
          <w:sz w:val="22"/>
          <w:szCs w:val="22"/>
        </w:rPr>
        <w:t>t</w:t>
      </w:r>
      <w:r w:rsidRPr="00A35E28">
        <w:rPr>
          <w:rFonts w:ascii="Arial" w:hAnsi="Arial" w:cs="Arial"/>
          <w:color w:val="000000"/>
          <w:sz w:val="22"/>
          <w:szCs w:val="22"/>
        </w:rPr>
        <w:t>ě,</w:t>
      </w:r>
      <w:r w:rsidRPr="00A35E28">
        <w:rPr>
          <w:rFonts w:ascii="Arial" w:hAnsi="Arial" w:cs="Arial"/>
          <w:color w:val="000000"/>
          <w:spacing w:val="-4"/>
          <w:sz w:val="22"/>
          <w:szCs w:val="22"/>
        </w:rPr>
        <w:t xml:space="preserve"> </w:t>
      </w:r>
      <w:r w:rsidRPr="00A35E28">
        <w:rPr>
          <w:rFonts w:ascii="Arial" w:hAnsi="Arial" w:cs="Arial"/>
          <w:color w:val="000000"/>
          <w:sz w:val="22"/>
          <w:szCs w:val="22"/>
        </w:rPr>
        <w:t>činn</w:t>
      </w:r>
      <w:r w:rsidRPr="00A35E28">
        <w:rPr>
          <w:rFonts w:ascii="Arial" w:hAnsi="Arial" w:cs="Arial"/>
          <w:color w:val="000000"/>
          <w:spacing w:val="-1"/>
          <w:sz w:val="22"/>
          <w:szCs w:val="22"/>
        </w:rPr>
        <w:t>o</w:t>
      </w:r>
      <w:r w:rsidRPr="00A35E28">
        <w:rPr>
          <w:rFonts w:ascii="Arial" w:hAnsi="Arial" w:cs="Arial"/>
          <w:color w:val="000000"/>
          <w:sz w:val="22"/>
          <w:szCs w:val="22"/>
        </w:rPr>
        <w:t>sti</w:t>
      </w:r>
      <w:r w:rsidRPr="00A35E28">
        <w:rPr>
          <w:rFonts w:ascii="Arial" w:hAnsi="Arial" w:cs="Arial"/>
          <w:color w:val="000000"/>
          <w:spacing w:val="-7"/>
          <w:sz w:val="22"/>
          <w:szCs w:val="22"/>
        </w:rPr>
        <w:t xml:space="preserve"> </w:t>
      </w:r>
      <w:r w:rsidRPr="00A35E28">
        <w:rPr>
          <w:rFonts w:ascii="Arial" w:hAnsi="Arial" w:cs="Arial"/>
          <w:color w:val="000000"/>
          <w:sz w:val="22"/>
          <w:szCs w:val="22"/>
        </w:rPr>
        <w:t>nebo</w:t>
      </w:r>
      <w:r w:rsidRPr="00A35E28">
        <w:rPr>
          <w:rFonts w:ascii="Arial" w:hAnsi="Arial" w:cs="Arial"/>
          <w:color w:val="000000"/>
          <w:spacing w:val="-5"/>
          <w:sz w:val="22"/>
          <w:szCs w:val="22"/>
        </w:rPr>
        <w:t xml:space="preserve"> </w:t>
      </w:r>
      <w:r w:rsidRPr="00A35E28">
        <w:rPr>
          <w:rFonts w:ascii="Arial" w:hAnsi="Arial" w:cs="Arial"/>
          <w:color w:val="000000"/>
          <w:sz w:val="22"/>
          <w:szCs w:val="22"/>
        </w:rPr>
        <w:t>poskytované</w:t>
      </w:r>
      <w:r w:rsidRPr="00A35E28">
        <w:rPr>
          <w:rFonts w:ascii="Arial" w:hAnsi="Arial" w:cs="Arial"/>
          <w:color w:val="000000"/>
          <w:spacing w:val="-12"/>
          <w:sz w:val="22"/>
          <w:szCs w:val="22"/>
        </w:rPr>
        <w:t xml:space="preserve"> </w:t>
      </w:r>
      <w:r w:rsidRPr="00A35E28">
        <w:rPr>
          <w:rFonts w:ascii="Arial" w:hAnsi="Arial" w:cs="Arial"/>
          <w:color w:val="000000"/>
          <w:sz w:val="22"/>
          <w:szCs w:val="22"/>
        </w:rPr>
        <w:t>službě,</w:t>
      </w:r>
    </w:p>
    <w:p w:rsidR="004A6A67" w:rsidRPr="00A35E28" w:rsidRDefault="004A6A67" w:rsidP="00F13ABF">
      <w:pPr>
        <w:widowControl w:val="0"/>
        <w:autoSpaceDE w:val="0"/>
        <w:autoSpaceDN w:val="0"/>
        <w:adjustRightInd w:val="0"/>
        <w:spacing w:before="120" w:after="120"/>
        <w:ind w:left="709" w:hanging="284"/>
        <w:jc w:val="both"/>
        <w:rPr>
          <w:rFonts w:ascii="Arial" w:hAnsi="Arial" w:cs="Arial"/>
          <w:color w:val="000000"/>
          <w:sz w:val="22"/>
          <w:szCs w:val="22"/>
        </w:rPr>
      </w:pPr>
      <w:r w:rsidRPr="00A35E28">
        <w:rPr>
          <w:rFonts w:ascii="Arial" w:hAnsi="Arial" w:cs="Arial"/>
          <w:color w:val="000000"/>
          <w:sz w:val="22"/>
          <w:szCs w:val="22"/>
        </w:rPr>
        <w:t>d)</w:t>
      </w:r>
      <w:r w:rsidRPr="00A35E28">
        <w:rPr>
          <w:rFonts w:ascii="Arial" w:hAnsi="Arial" w:cs="Arial"/>
          <w:color w:val="000000"/>
          <w:sz w:val="22"/>
          <w:szCs w:val="22"/>
        </w:rPr>
        <w:tab/>
      </w:r>
      <w:r w:rsidRPr="00A35E28">
        <w:rPr>
          <w:rFonts w:ascii="Arial" w:hAnsi="Arial" w:cs="Arial"/>
          <w:b/>
          <w:bCs/>
          <w:color w:val="000000"/>
          <w:sz w:val="22"/>
          <w:szCs w:val="22"/>
        </w:rPr>
        <w:t>nepřímými náklady</w:t>
      </w:r>
      <w:r w:rsidRPr="00A35E28">
        <w:rPr>
          <w:rFonts w:ascii="Arial" w:hAnsi="Arial" w:cs="Arial"/>
          <w:b/>
          <w:bCs/>
          <w:color w:val="000000"/>
          <w:spacing w:val="1"/>
          <w:sz w:val="22"/>
          <w:szCs w:val="22"/>
        </w:rPr>
        <w:t xml:space="preserve"> </w:t>
      </w:r>
      <w:r w:rsidRPr="00083538">
        <w:rPr>
          <w:rFonts w:ascii="Arial" w:hAnsi="Arial" w:cs="Arial"/>
          <w:color w:val="000000"/>
          <w:sz w:val="22"/>
          <w:szCs w:val="22"/>
        </w:rPr>
        <w:t>e</w:t>
      </w:r>
      <w:r w:rsidRPr="00A35E28">
        <w:rPr>
          <w:rFonts w:ascii="Arial" w:hAnsi="Arial" w:cs="Arial"/>
          <w:color w:val="000000"/>
          <w:sz w:val="22"/>
          <w:szCs w:val="22"/>
        </w:rPr>
        <w:t>fektivní</w:t>
      </w:r>
      <w:r w:rsidRPr="00083538">
        <w:rPr>
          <w:rFonts w:ascii="Arial" w:hAnsi="Arial" w:cs="Arial"/>
          <w:color w:val="000000"/>
          <w:sz w:val="22"/>
          <w:szCs w:val="22"/>
        </w:rPr>
        <w:t xml:space="preserve"> a</w:t>
      </w:r>
      <w:r w:rsidR="00A35E28" w:rsidRPr="00083538">
        <w:rPr>
          <w:rFonts w:ascii="Arial" w:hAnsi="Arial" w:cs="Arial"/>
          <w:color w:val="000000"/>
          <w:sz w:val="22"/>
          <w:szCs w:val="22"/>
        </w:rPr>
        <w:t xml:space="preserve"> </w:t>
      </w:r>
      <w:r w:rsidRPr="00083538">
        <w:rPr>
          <w:rFonts w:ascii="Arial" w:hAnsi="Arial" w:cs="Arial"/>
          <w:color w:val="000000"/>
          <w:sz w:val="22"/>
          <w:szCs w:val="22"/>
        </w:rPr>
        <w:t>úč</w:t>
      </w:r>
      <w:r w:rsidRPr="00A35E28">
        <w:rPr>
          <w:rFonts w:ascii="Arial" w:hAnsi="Arial" w:cs="Arial"/>
          <w:color w:val="000000"/>
          <w:sz w:val="22"/>
          <w:szCs w:val="22"/>
        </w:rPr>
        <w:t>elně</w:t>
      </w:r>
      <w:r w:rsidRPr="00083538">
        <w:rPr>
          <w:rFonts w:ascii="Arial" w:hAnsi="Arial" w:cs="Arial"/>
          <w:color w:val="000000"/>
          <w:sz w:val="22"/>
          <w:szCs w:val="22"/>
        </w:rPr>
        <w:t xml:space="preserve"> </w:t>
      </w:r>
      <w:r w:rsidRPr="00A35E28">
        <w:rPr>
          <w:rFonts w:ascii="Arial" w:hAnsi="Arial" w:cs="Arial"/>
          <w:color w:val="000000"/>
          <w:sz w:val="22"/>
          <w:szCs w:val="22"/>
        </w:rPr>
        <w:t>vynaložené náklady,</w:t>
      </w:r>
      <w:r w:rsidRPr="00083538">
        <w:rPr>
          <w:rFonts w:ascii="Arial" w:hAnsi="Arial" w:cs="Arial"/>
          <w:color w:val="000000"/>
          <w:sz w:val="22"/>
          <w:szCs w:val="22"/>
        </w:rPr>
        <w:t xml:space="preserve"> </w:t>
      </w:r>
      <w:r w:rsidRPr="00A35E28">
        <w:rPr>
          <w:rFonts w:ascii="Arial" w:hAnsi="Arial" w:cs="Arial"/>
          <w:color w:val="000000"/>
          <w:sz w:val="22"/>
          <w:szCs w:val="22"/>
        </w:rPr>
        <w:t>které</w:t>
      </w:r>
      <w:r w:rsidRPr="00083538">
        <w:rPr>
          <w:rFonts w:ascii="Arial" w:hAnsi="Arial" w:cs="Arial"/>
          <w:color w:val="000000"/>
          <w:sz w:val="22"/>
          <w:szCs w:val="22"/>
        </w:rPr>
        <w:t xml:space="preserve"> </w:t>
      </w:r>
      <w:r w:rsidRPr="00A35E28">
        <w:rPr>
          <w:rFonts w:ascii="Arial" w:hAnsi="Arial" w:cs="Arial"/>
          <w:color w:val="000000"/>
          <w:sz w:val="22"/>
          <w:szCs w:val="22"/>
        </w:rPr>
        <w:t>jsou</w:t>
      </w:r>
      <w:r w:rsidRPr="00083538">
        <w:rPr>
          <w:rFonts w:ascii="Arial" w:hAnsi="Arial" w:cs="Arial"/>
          <w:color w:val="000000"/>
          <w:sz w:val="22"/>
          <w:szCs w:val="22"/>
        </w:rPr>
        <w:t xml:space="preserve"> </w:t>
      </w:r>
      <w:r w:rsidRPr="00A35E28">
        <w:rPr>
          <w:rFonts w:ascii="Arial" w:hAnsi="Arial" w:cs="Arial"/>
          <w:color w:val="000000"/>
          <w:sz w:val="22"/>
          <w:szCs w:val="22"/>
        </w:rPr>
        <w:t>vynakládány spole</w:t>
      </w:r>
      <w:r w:rsidRPr="00083538">
        <w:rPr>
          <w:rFonts w:ascii="Arial" w:hAnsi="Arial" w:cs="Arial"/>
          <w:color w:val="000000"/>
          <w:sz w:val="22"/>
          <w:szCs w:val="22"/>
        </w:rPr>
        <w:t>č</w:t>
      </w:r>
      <w:r w:rsidRPr="00A35E28">
        <w:rPr>
          <w:rFonts w:ascii="Arial" w:hAnsi="Arial" w:cs="Arial"/>
          <w:color w:val="000000"/>
          <w:sz w:val="22"/>
          <w:szCs w:val="22"/>
        </w:rPr>
        <w:t>ně</w:t>
      </w:r>
      <w:r w:rsidR="0047095F">
        <w:rPr>
          <w:rFonts w:ascii="Arial" w:hAnsi="Arial" w:cs="Arial"/>
          <w:color w:val="000000"/>
          <w:sz w:val="22"/>
          <w:szCs w:val="22"/>
        </w:rPr>
        <w:t xml:space="preserve"> na </w:t>
      </w:r>
      <w:r w:rsidRPr="00A35E28">
        <w:rPr>
          <w:rFonts w:ascii="Arial" w:hAnsi="Arial" w:cs="Arial"/>
          <w:color w:val="000000"/>
          <w:sz w:val="22"/>
          <w:szCs w:val="22"/>
        </w:rPr>
        <w:t>více</w:t>
      </w:r>
      <w:r w:rsidRPr="00083538">
        <w:rPr>
          <w:rFonts w:ascii="Arial" w:hAnsi="Arial" w:cs="Arial"/>
          <w:color w:val="000000"/>
          <w:sz w:val="22"/>
          <w:szCs w:val="22"/>
        </w:rPr>
        <w:t xml:space="preserve"> </w:t>
      </w:r>
      <w:r w:rsidRPr="00A35E28">
        <w:rPr>
          <w:rFonts w:ascii="Arial" w:hAnsi="Arial" w:cs="Arial"/>
          <w:color w:val="000000"/>
          <w:sz w:val="22"/>
          <w:szCs w:val="22"/>
        </w:rPr>
        <w:t>druhů</w:t>
      </w:r>
      <w:r w:rsidRPr="00083538">
        <w:rPr>
          <w:rFonts w:ascii="Arial" w:hAnsi="Arial" w:cs="Arial"/>
          <w:color w:val="000000"/>
          <w:sz w:val="22"/>
          <w:szCs w:val="22"/>
        </w:rPr>
        <w:t xml:space="preserve"> </w:t>
      </w:r>
      <w:r w:rsidRPr="00A35E28">
        <w:rPr>
          <w:rFonts w:ascii="Arial" w:hAnsi="Arial" w:cs="Arial"/>
          <w:color w:val="000000"/>
          <w:sz w:val="22"/>
          <w:szCs w:val="22"/>
        </w:rPr>
        <w:t>prv</w:t>
      </w:r>
      <w:r w:rsidRPr="00083538">
        <w:rPr>
          <w:rFonts w:ascii="Arial" w:hAnsi="Arial" w:cs="Arial"/>
          <w:color w:val="000000"/>
          <w:sz w:val="22"/>
          <w:szCs w:val="22"/>
        </w:rPr>
        <w:t>k</w:t>
      </w:r>
      <w:r w:rsidRPr="00A35E28">
        <w:rPr>
          <w:rFonts w:ascii="Arial" w:hAnsi="Arial" w:cs="Arial"/>
          <w:color w:val="000000"/>
          <w:sz w:val="22"/>
          <w:szCs w:val="22"/>
        </w:rPr>
        <w:t>ů</w:t>
      </w:r>
      <w:r w:rsidRPr="00083538">
        <w:rPr>
          <w:rFonts w:ascii="Arial" w:hAnsi="Arial" w:cs="Arial"/>
          <w:color w:val="000000"/>
          <w:sz w:val="22"/>
          <w:szCs w:val="22"/>
        </w:rPr>
        <w:t xml:space="preserve"> </w:t>
      </w:r>
      <w:r w:rsidRPr="00A35E28">
        <w:rPr>
          <w:rFonts w:ascii="Arial" w:hAnsi="Arial" w:cs="Arial"/>
          <w:color w:val="000000"/>
          <w:sz w:val="22"/>
          <w:szCs w:val="22"/>
        </w:rPr>
        <w:t>sítě,</w:t>
      </w:r>
      <w:r w:rsidRPr="00083538">
        <w:rPr>
          <w:rFonts w:ascii="Arial" w:hAnsi="Arial" w:cs="Arial"/>
          <w:color w:val="000000"/>
          <w:sz w:val="22"/>
          <w:szCs w:val="22"/>
        </w:rPr>
        <w:t xml:space="preserve"> č</w:t>
      </w:r>
      <w:r w:rsidRPr="00A35E28">
        <w:rPr>
          <w:rFonts w:ascii="Arial" w:hAnsi="Arial" w:cs="Arial"/>
          <w:color w:val="000000"/>
          <w:sz w:val="22"/>
          <w:szCs w:val="22"/>
        </w:rPr>
        <w:t>inností</w:t>
      </w:r>
      <w:r w:rsidRPr="00083538">
        <w:rPr>
          <w:rFonts w:ascii="Arial" w:hAnsi="Arial" w:cs="Arial"/>
          <w:color w:val="000000"/>
          <w:sz w:val="22"/>
          <w:szCs w:val="22"/>
        </w:rPr>
        <w:t xml:space="preserve"> </w:t>
      </w:r>
      <w:r w:rsidRPr="00A35E28">
        <w:rPr>
          <w:rFonts w:ascii="Arial" w:hAnsi="Arial" w:cs="Arial"/>
          <w:color w:val="000000"/>
          <w:sz w:val="22"/>
          <w:szCs w:val="22"/>
        </w:rPr>
        <w:t>ne</w:t>
      </w:r>
      <w:r w:rsidRPr="00083538">
        <w:rPr>
          <w:rFonts w:ascii="Arial" w:hAnsi="Arial" w:cs="Arial"/>
          <w:color w:val="000000"/>
          <w:sz w:val="22"/>
          <w:szCs w:val="22"/>
        </w:rPr>
        <w:t>b</w:t>
      </w:r>
      <w:r w:rsidRPr="00A35E28">
        <w:rPr>
          <w:rFonts w:ascii="Arial" w:hAnsi="Arial" w:cs="Arial"/>
          <w:color w:val="000000"/>
          <w:sz w:val="22"/>
          <w:szCs w:val="22"/>
        </w:rPr>
        <w:t>o</w:t>
      </w:r>
      <w:r w:rsidRPr="00083538">
        <w:rPr>
          <w:rFonts w:ascii="Arial" w:hAnsi="Arial" w:cs="Arial"/>
          <w:color w:val="000000"/>
          <w:sz w:val="22"/>
          <w:szCs w:val="22"/>
        </w:rPr>
        <w:t xml:space="preserve"> </w:t>
      </w:r>
      <w:r w:rsidRPr="00A35E28">
        <w:rPr>
          <w:rFonts w:ascii="Arial" w:hAnsi="Arial" w:cs="Arial"/>
          <w:color w:val="000000"/>
          <w:sz w:val="22"/>
          <w:szCs w:val="22"/>
        </w:rPr>
        <w:t>služeb, a</w:t>
      </w:r>
      <w:r w:rsidR="00945C10">
        <w:rPr>
          <w:rFonts w:ascii="Arial" w:hAnsi="Arial" w:cs="Arial"/>
          <w:color w:val="000000"/>
          <w:sz w:val="22"/>
          <w:szCs w:val="22"/>
        </w:rPr>
        <w:t xml:space="preserve"> </w:t>
      </w:r>
      <w:r w:rsidRPr="00A35E28">
        <w:rPr>
          <w:rFonts w:ascii="Arial" w:hAnsi="Arial" w:cs="Arial"/>
          <w:color w:val="000000"/>
          <w:sz w:val="22"/>
          <w:szCs w:val="22"/>
        </w:rPr>
        <w:t>proto</w:t>
      </w:r>
      <w:r w:rsidRPr="00083538">
        <w:rPr>
          <w:rFonts w:ascii="Arial" w:hAnsi="Arial" w:cs="Arial"/>
          <w:color w:val="000000"/>
          <w:sz w:val="22"/>
          <w:szCs w:val="22"/>
        </w:rPr>
        <w:t xml:space="preserve"> </w:t>
      </w:r>
      <w:r w:rsidRPr="00A35E28">
        <w:rPr>
          <w:rFonts w:ascii="Arial" w:hAnsi="Arial" w:cs="Arial"/>
          <w:color w:val="000000"/>
          <w:sz w:val="22"/>
          <w:szCs w:val="22"/>
        </w:rPr>
        <w:t>se</w:t>
      </w:r>
      <w:r w:rsidRPr="00083538">
        <w:rPr>
          <w:rFonts w:ascii="Arial" w:hAnsi="Arial" w:cs="Arial"/>
          <w:color w:val="000000"/>
          <w:sz w:val="22"/>
          <w:szCs w:val="22"/>
        </w:rPr>
        <w:t xml:space="preserve"> p</w:t>
      </w:r>
      <w:r w:rsidRPr="00A35E28">
        <w:rPr>
          <w:rFonts w:ascii="Arial" w:hAnsi="Arial" w:cs="Arial"/>
          <w:color w:val="000000"/>
          <w:sz w:val="22"/>
          <w:szCs w:val="22"/>
        </w:rPr>
        <w:t>řiřazují</w:t>
      </w:r>
      <w:r w:rsidRPr="00083538">
        <w:rPr>
          <w:rFonts w:ascii="Arial" w:hAnsi="Arial" w:cs="Arial"/>
          <w:color w:val="000000"/>
          <w:sz w:val="22"/>
          <w:szCs w:val="22"/>
        </w:rPr>
        <w:t xml:space="preserve"> </w:t>
      </w:r>
      <w:r w:rsidRPr="00A35E28">
        <w:rPr>
          <w:rFonts w:ascii="Arial" w:hAnsi="Arial" w:cs="Arial"/>
          <w:color w:val="000000"/>
          <w:sz w:val="22"/>
          <w:szCs w:val="22"/>
        </w:rPr>
        <w:t>konkr</w:t>
      </w:r>
      <w:r w:rsidRPr="00083538">
        <w:rPr>
          <w:rFonts w:ascii="Arial" w:hAnsi="Arial" w:cs="Arial"/>
          <w:color w:val="000000"/>
          <w:sz w:val="22"/>
          <w:szCs w:val="22"/>
        </w:rPr>
        <w:t>é</w:t>
      </w:r>
      <w:r w:rsidRPr="00A35E28">
        <w:rPr>
          <w:rFonts w:ascii="Arial" w:hAnsi="Arial" w:cs="Arial"/>
          <w:color w:val="000000"/>
          <w:sz w:val="22"/>
          <w:szCs w:val="22"/>
        </w:rPr>
        <w:t>tnímu prvku sítě,</w:t>
      </w:r>
      <w:r w:rsidRPr="00083538">
        <w:rPr>
          <w:rFonts w:ascii="Arial" w:hAnsi="Arial" w:cs="Arial"/>
          <w:color w:val="000000"/>
          <w:sz w:val="22"/>
          <w:szCs w:val="22"/>
        </w:rPr>
        <w:t xml:space="preserve"> č</w:t>
      </w:r>
      <w:r w:rsidRPr="00A35E28">
        <w:rPr>
          <w:rFonts w:ascii="Arial" w:hAnsi="Arial" w:cs="Arial"/>
          <w:color w:val="000000"/>
          <w:sz w:val="22"/>
          <w:szCs w:val="22"/>
        </w:rPr>
        <w:t>innosti</w:t>
      </w:r>
      <w:r w:rsidRPr="00083538">
        <w:rPr>
          <w:rFonts w:ascii="Arial" w:hAnsi="Arial" w:cs="Arial"/>
          <w:color w:val="000000"/>
          <w:sz w:val="22"/>
          <w:szCs w:val="22"/>
        </w:rPr>
        <w:t xml:space="preserve"> </w:t>
      </w:r>
      <w:r w:rsidRPr="00A35E28">
        <w:rPr>
          <w:rFonts w:ascii="Arial" w:hAnsi="Arial" w:cs="Arial"/>
          <w:color w:val="000000"/>
          <w:sz w:val="22"/>
          <w:szCs w:val="22"/>
        </w:rPr>
        <w:t>nebo</w:t>
      </w:r>
      <w:r w:rsidRPr="00083538">
        <w:rPr>
          <w:rFonts w:ascii="Arial" w:hAnsi="Arial" w:cs="Arial"/>
          <w:color w:val="000000"/>
          <w:sz w:val="22"/>
          <w:szCs w:val="22"/>
        </w:rPr>
        <w:t xml:space="preserve"> </w:t>
      </w:r>
      <w:r w:rsidRPr="00A35E28">
        <w:rPr>
          <w:rFonts w:ascii="Arial" w:hAnsi="Arial" w:cs="Arial"/>
          <w:color w:val="000000"/>
          <w:sz w:val="22"/>
          <w:szCs w:val="22"/>
        </w:rPr>
        <w:t>poskytova</w:t>
      </w:r>
      <w:r w:rsidRPr="00083538">
        <w:rPr>
          <w:rFonts w:ascii="Arial" w:hAnsi="Arial" w:cs="Arial"/>
          <w:color w:val="000000"/>
          <w:sz w:val="22"/>
          <w:szCs w:val="22"/>
        </w:rPr>
        <w:t>n</w:t>
      </w:r>
      <w:r w:rsidRPr="00A35E28">
        <w:rPr>
          <w:rFonts w:ascii="Arial" w:hAnsi="Arial" w:cs="Arial"/>
          <w:color w:val="000000"/>
          <w:sz w:val="22"/>
          <w:szCs w:val="22"/>
        </w:rPr>
        <w:t>é</w:t>
      </w:r>
      <w:r w:rsidRPr="00083538">
        <w:rPr>
          <w:rFonts w:ascii="Arial" w:hAnsi="Arial" w:cs="Arial"/>
          <w:color w:val="000000"/>
          <w:sz w:val="22"/>
          <w:szCs w:val="22"/>
        </w:rPr>
        <w:t xml:space="preserve"> </w:t>
      </w:r>
      <w:r w:rsidRPr="00A35E28">
        <w:rPr>
          <w:rFonts w:ascii="Arial" w:hAnsi="Arial" w:cs="Arial"/>
          <w:color w:val="000000"/>
          <w:sz w:val="22"/>
          <w:szCs w:val="22"/>
        </w:rPr>
        <w:t>služ</w:t>
      </w:r>
      <w:r w:rsidRPr="00083538">
        <w:rPr>
          <w:rFonts w:ascii="Arial" w:hAnsi="Arial" w:cs="Arial"/>
          <w:color w:val="000000"/>
          <w:sz w:val="22"/>
          <w:szCs w:val="22"/>
        </w:rPr>
        <w:t>b</w:t>
      </w:r>
      <w:r w:rsidRPr="00A35E28">
        <w:rPr>
          <w:rFonts w:ascii="Arial" w:hAnsi="Arial" w:cs="Arial"/>
          <w:color w:val="000000"/>
          <w:sz w:val="22"/>
          <w:szCs w:val="22"/>
        </w:rPr>
        <w:t>ě</w:t>
      </w:r>
      <w:r w:rsidR="0047095F">
        <w:rPr>
          <w:rFonts w:ascii="Arial" w:hAnsi="Arial" w:cs="Arial"/>
          <w:color w:val="000000"/>
          <w:sz w:val="22"/>
          <w:szCs w:val="22"/>
        </w:rPr>
        <w:t xml:space="preserve"> na </w:t>
      </w:r>
      <w:r w:rsidRPr="00A35E28">
        <w:rPr>
          <w:rFonts w:ascii="Arial" w:hAnsi="Arial" w:cs="Arial"/>
          <w:color w:val="000000"/>
          <w:sz w:val="22"/>
          <w:szCs w:val="22"/>
        </w:rPr>
        <w:t>základě</w:t>
      </w:r>
      <w:r w:rsidRPr="00083538">
        <w:rPr>
          <w:rFonts w:ascii="Arial" w:hAnsi="Arial" w:cs="Arial"/>
          <w:color w:val="000000"/>
          <w:sz w:val="22"/>
          <w:szCs w:val="22"/>
        </w:rPr>
        <w:t xml:space="preserve"> </w:t>
      </w:r>
      <w:r w:rsidRPr="00A35E28">
        <w:rPr>
          <w:rFonts w:ascii="Arial" w:hAnsi="Arial" w:cs="Arial"/>
          <w:color w:val="000000"/>
          <w:sz w:val="22"/>
          <w:szCs w:val="22"/>
        </w:rPr>
        <w:t>objektiv</w:t>
      </w:r>
      <w:r w:rsidRPr="00083538">
        <w:rPr>
          <w:rFonts w:ascii="Arial" w:hAnsi="Arial" w:cs="Arial"/>
          <w:color w:val="000000"/>
          <w:sz w:val="22"/>
          <w:szCs w:val="22"/>
        </w:rPr>
        <w:t>n</w:t>
      </w:r>
      <w:r w:rsidRPr="00A35E28">
        <w:rPr>
          <w:rFonts w:ascii="Arial" w:hAnsi="Arial" w:cs="Arial"/>
          <w:color w:val="000000"/>
          <w:sz w:val="22"/>
          <w:szCs w:val="22"/>
        </w:rPr>
        <w:t>ě</w:t>
      </w:r>
      <w:r w:rsidRPr="00083538">
        <w:rPr>
          <w:rFonts w:ascii="Arial" w:hAnsi="Arial" w:cs="Arial"/>
          <w:color w:val="000000"/>
          <w:sz w:val="22"/>
          <w:szCs w:val="22"/>
        </w:rPr>
        <w:t xml:space="preserve"> </w:t>
      </w:r>
      <w:r w:rsidRPr="00A35E28">
        <w:rPr>
          <w:rFonts w:ascii="Arial" w:hAnsi="Arial" w:cs="Arial"/>
          <w:color w:val="000000"/>
          <w:sz w:val="22"/>
          <w:szCs w:val="22"/>
        </w:rPr>
        <w:t>zvoleného</w:t>
      </w:r>
      <w:r w:rsidRPr="00083538">
        <w:rPr>
          <w:rFonts w:ascii="Arial" w:hAnsi="Arial" w:cs="Arial"/>
          <w:color w:val="000000"/>
          <w:sz w:val="22"/>
          <w:szCs w:val="22"/>
        </w:rPr>
        <w:t xml:space="preserve"> </w:t>
      </w:r>
      <w:r w:rsidRPr="00A35E28">
        <w:rPr>
          <w:rFonts w:ascii="Arial" w:hAnsi="Arial" w:cs="Arial"/>
          <w:color w:val="000000"/>
          <w:sz w:val="22"/>
          <w:szCs w:val="22"/>
        </w:rPr>
        <w:t>alok</w:t>
      </w:r>
      <w:r w:rsidRPr="00083538">
        <w:rPr>
          <w:rFonts w:ascii="Arial" w:hAnsi="Arial" w:cs="Arial"/>
          <w:color w:val="000000"/>
          <w:sz w:val="22"/>
          <w:szCs w:val="22"/>
        </w:rPr>
        <w:t>ač</w:t>
      </w:r>
      <w:r w:rsidRPr="00A35E28">
        <w:rPr>
          <w:rFonts w:ascii="Arial" w:hAnsi="Arial" w:cs="Arial"/>
          <w:color w:val="000000"/>
          <w:sz w:val="22"/>
          <w:szCs w:val="22"/>
        </w:rPr>
        <w:t>ního po</w:t>
      </w:r>
      <w:r w:rsidRPr="00083538">
        <w:rPr>
          <w:rFonts w:ascii="Arial" w:hAnsi="Arial" w:cs="Arial"/>
          <w:color w:val="000000"/>
          <w:sz w:val="22"/>
          <w:szCs w:val="22"/>
        </w:rPr>
        <w:t>m</w:t>
      </w:r>
      <w:r w:rsidRPr="00A35E28">
        <w:rPr>
          <w:rFonts w:ascii="Arial" w:hAnsi="Arial" w:cs="Arial"/>
          <w:color w:val="000000"/>
          <w:sz w:val="22"/>
          <w:szCs w:val="22"/>
        </w:rPr>
        <w:t>ěru,</w:t>
      </w:r>
    </w:p>
    <w:p w:rsidR="004A6A67" w:rsidRPr="00A35E28" w:rsidRDefault="004A6A67" w:rsidP="006D177F">
      <w:pPr>
        <w:widowControl w:val="0"/>
        <w:autoSpaceDE w:val="0"/>
        <w:autoSpaceDN w:val="0"/>
        <w:adjustRightInd w:val="0"/>
        <w:spacing w:before="120" w:line="239" w:lineRule="auto"/>
        <w:ind w:left="709" w:hanging="282"/>
        <w:jc w:val="both"/>
        <w:rPr>
          <w:rFonts w:ascii="Arial" w:hAnsi="Arial" w:cs="Arial"/>
          <w:color w:val="000000"/>
          <w:sz w:val="22"/>
          <w:szCs w:val="22"/>
        </w:rPr>
      </w:pPr>
      <w:r w:rsidRPr="00A35E28">
        <w:rPr>
          <w:rFonts w:ascii="Arial" w:hAnsi="Arial" w:cs="Arial"/>
          <w:color w:val="000000"/>
          <w:sz w:val="22"/>
          <w:szCs w:val="22"/>
        </w:rPr>
        <w:lastRenderedPageBreak/>
        <w:t>e)</w:t>
      </w:r>
      <w:r w:rsidRPr="00A35E28">
        <w:rPr>
          <w:rFonts w:ascii="Arial" w:hAnsi="Arial" w:cs="Arial"/>
          <w:color w:val="000000"/>
          <w:sz w:val="22"/>
          <w:szCs w:val="22"/>
        </w:rPr>
        <w:tab/>
      </w:r>
      <w:r w:rsidRPr="00A35E28">
        <w:rPr>
          <w:rFonts w:ascii="Arial" w:hAnsi="Arial" w:cs="Arial"/>
          <w:b/>
          <w:bCs/>
          <w:color w:val="000000"/>
          <w:sz w:val="22"/>
          <w:szCs w:val="22"/>
        </w:rPr>
        <w:t>společnými náklady</w:t>
      </w:r>
      <w:r w:rsidRPr="00A35E28">
        <w:rPr>
          <w:rFonts w:ascii="Arial" w:hAnsi="Arial" w:cs="Arial"/>
          <w:b/>
          <w:bCs/>
          <w:color w:val="000000"/>
          <w:spacing w:val="1"/>
          <w:sz w:val="22"/>
          <w:szCs w:val="22"/>
        </w:rPr>
        <w:t xml:space="preserve"> </w:t>
      </w:r>
      <w:r w:rsidRPr="00A35E28">
        <w:rPr>
          <w:rFonts w:ascii="Arial" w:hAnsi="Arial" w:cs="Arial"/>
          <w:color w:val="000000"/>
          <w:sz w:val="22"/>
          <w:szCs w:val="22"/>
        </w:rPr>
        <w:t>e</w:t>
      </w:r>
      <w:r w:rsidRPr="00083538">
        <w:rPr>
          <w:rFonts w:ascii="Arial" w:hAnsi="Arial" w:cs="Arial"/>
          <w:color w:val="000000"/>
          <w:sz w:val="22"/>
          <w:szCs w:val="22"/>
        </w:rPr>
        <w:t>f</w:t>
      </w:r>
      <w:r w:rsidRPr="00A35E28">
        <w:rPr>
          <w:rFonts w:ascii="Arial" w:hAnsi="Arial" w:cs="Arial"/>
          <w:color w:val="000000"/>
          <w:sz w:val="22"/>
          <w:szCs w:val="22"/>
        </w:rPr>
        <w:t>ektivní</w:t>
      </w:r>
      <w:r w:rsidRPr="00083538">
        <w:rPr>
          <w:rFonts w:ascii="Arial" w:hAnsi="Arial" w:cs="Arial"/>
          <w:color w:val="000000"/>
          <w:sz w:val="22"/>
          <w:szCs w:val="22"/>
        </w:rPr>
        <w:t xml:space="preserve"> a</w:t>
      </w:r>
      <w:r w:rsidR="00A35E28" w:rsidRPr="00083538">
        <w:rPr>
          <w:rFonts w:ascii="Arial" w:hAnsi="Arial" w:cs="Arial"/>
          <w:color w:val="000000"/>
          <w:sz w:val="22"/>
          <w:szCs w:val="22"/>
        </w:rPr>
        <w:t xml:space="preserve"> </w:t>
      </w:r>
      <w:r w:rsidRPr="00A35E28">
        <w:rPr>
          <w:rFonts w:ascii="Arial" w:hAnsi="Arial" w:cs="Arial"/>
          <w:color w:val="000000"/>
          <w:sz w:val="22"/>
          <w:szCs w:val="22"/>
        </w:rPr>
        <w:t>ú</w:t>
      </w:r>
      <w:r w:rsidRPr="00083538">
        <w:rPr>
          <w:rFonts w:ascii="Arial" w:hAnsi="Arial" w:cs="Arial"/>
          <w:color w:val="000000"/>
          <w:sz w:val="22"/>
          <w:szCs w:val="22"/>
        </w:rPr>
        <w:t>č</w:t>
      </w:r>
      <w:r w:rsidRPr="00A35E28">
        <w:rPr>
          <w:rFonts w:ascii="Arial" w:hAnsi="Arial" w:cs="Arial"/>
          <w:color w:val="000000"/>
          <w:sz w:val="22"/>
          <w:szCs w:val="22"/>
        </w:rPr>
        <w:t>elně</w:t>
      </w:r>
      <w:r w:rsidRPr="00083538">
        <w:rPr>
          <w:rFonts w:ascii="Arial" w:hAnsi="Arial" w:cs="Arial"/>
          <w:color w:val="000000"/>
          <w:sz w:val="22"/>
          <w:szCs w:val="22"/>
        </w:rPr>
        <w:t xml:space="preserve"> </w:t>
      </w:r>
      <w:r w:rsidRPr="00A35E28">
        <w:rPr>
          <w:rFonts w:ascii="Arial" w:hAnsi="Arial" w:cs="Arial"/>
          <w:color w:val="000000"/>
          <w:sz w:val="22"/>
          <w:szCs w:val="22"/>
        </w:rPr>
        <w:t>vynaložené režijní</w:t>
      </w:r>
      <w:r w:rsidRPr="00083538">
        <w:rPr>
          <w:rFonts w:ascii="Arial" w:hAnsi="Arial" w:cs="Arial"/>
          <w:color w:val="000000"/>
          <w:sz w:val="22"/>
          <w:szCs w:val="22"/>
        </w:rPr>
        <w:t xml:space="preserve"> </w:t>
      </w:r>
      <w:r w:rsidRPr="00A35E28">
        <w:rPr>
          <w:rFonts w:ascii="Arial" w:hAnsi="Arial" w:cs="Arial"/>
          <w:color w:val="000000"/>
          <w:sz w:val="22"/>
          <w:szCs w:val="22"/>
        </w:rPr>
        <w:t>náklady,</w:t>
      </w:r>
      <w:r w:rsidRPr="00083538">
        <w:rPr>
          <w:rFonts w:ascii="Arial" w:hAnsi="Arial" w:cs="Arial"/>
          <w:color w:val="000000"/>
          <w:sz w:val="22"/>
          <w:szCs w:val="22"/>
        </w:rPr>
        <w:t xml:space="preserve"> </w:t>
      </w:r>
      <w:r w:rsidRPr="00A35E28">
        <w:rPr>
          <w:rFonts w:ascii="Arial" w:hAnsi="Arial" w:cs="Arial"/>
          <w:color w:val="000000"/>
          <w:sz w:val="22"/>
          <w:szCs w:val="22"/>
        </w:rPr>
        <w:t>n</w:t>
      </w:r>
      <w:r w:rsidRPr="00083538">
        <w:rPr>
          <w:rFonts w:ascii="Arial" w:hAnsi="Arial" w:cs="Arial"/>
          <w:color w:val="000000"/>
          <w:sz w:val="22"/>
          <w:szCs w:val="22"/>
        </w:rPr>
        <w:t>a</w:t>
      </w:r>
      <w:r w:rsidRPr="00A35E28">
        <w:rPr>
          <w:rFonts w:ascii="Arial" w:hAnsi="Arial" w:cs="Arial"/>
          <w:color w:val="000000"/>
          <w:sz w:val="22"/>
          <w:szCs w:val="22"/>
        </w:rPr>
        <w:t>příklad</w:t>
      </w:r>
      <w:r w:rsidRPr="00083538">
        <w:rPr>
          <w:rFonts w:ascii="Arial" w:hAnsi="Arial" w:cs="Arial"/>
          <w:color w:val="000000"/>
          <w:sz w:val="22"/>
          <w:szCs w:val="22"/>
        </w:rPr>
        <w:t xml:space="preserve"> </w:t>
      </w:r>
      <w:r w:rsidRPr="00A35E28">
        <w:rPr>
          <w:rFonts w:ascii="Arial" w:hAnsi="Arial" w:cs="Arial"/>
          <w:color w:val="000000"/>
          <w:sz w:val="22"/>
          <w:szCs w:val="22"/>
        </w:rPr>
        <w:t>n</w:t>
      </w:r>
      <w:r w:rsidRPr="00083538">
        <w:rPr>
          <w:rFonts w:ascii="Arial" w:hAnsi="Arial" w:cs="Arial"/>
          <w:color w:val="000000"/>
          <w:sz w:val="22"/>
          <w:szCs w:val="22"/>
        </w:rPr>
        <w:t>á</w:t>
      </w:r>
      <w:r w:rsidRPr="00A35E28">
        <w:rPr>
          <w:rFonts w:ascii="Arial" w:hAnsi="Arial" w:cs="Arial"/>
          <w:color w:val="000000"/>
          <w:sz w:val="22"/>
          <w:szCs w:val="22"/>
        </w:rPr>
        <w:t>klady</w:t>
      </w:r>
      <w:r w:rsidR="0047095F">
        <w:rPr>
          <w:rFonts w:ascii="Arial" w:hAnsi="Arial" w:cs="Arial"/>
          <w:color w:val="000000"/>
          <w:sz w:val="22"/>
          <w:szCs w:val="22"/>
        </w:rPr>
        <w:t xml:space="preserve"> na </w:t>
      </w:r>
      <w:r w:rsidRPr="00A35E28">
        <w:rPr>
          <w:rFonts w:ascii="Arial" w:hAnsi="Arial" w:cs="Arial"/>
          <w:color w:val="000000"/>
          <w:sz w:val="22"/>
          <w:szCs w:val="22"/>
        </w:rPr>
        <w:t>vrcholové</w:t>
      </w:r>
      <w:r w:rsidRPr="00083538">
        <w:rPr>
          <w:rFonts w:ascii="Arial" w:hAnsi="Arial" w:cs="Arial"/>
          <w:color w:val="000000"/>
          <w:sz w:val="22"/>
          <w:szCs w:val="22"/>
        </w:rPr>
        <w:t xml:space="preserve"> </w:t>
      </w:r>
      <w:r w:rsidRPr="00A35E28">
        <w:rPr>
          <w:rFonts w:ascii="Arial" w:hAnsi="Arial" w:cs="Arial"/>
          <w:color w:val="000000"/>
          <w:sz w:val="22"/>
          <w:szCs w:val="22"/>
        </w:rPr>
        <w:t>řízení</w:t>
      </w:r>
      <w:r w:rsidRPr="00083538">
        <w:rPr>
          <w:rFonts w:ascii="Arial" w:hAnsi="Arial" w:cs="Arial"/>
          <w:color w:val="000000"/>
          <w:sz w:val="22"/>
          <w:szCs w:val="22"/>
        </w:rPr>
        <w:t xml:space="preserve"> a </w:t>
      </w:r>
      <w:r w:rsidRPr="00A35E28">
        <w:rPr>
          <w:rFonts w:ascii="Arial" w:hAnsi="Arial" w:cs="Arial"/>
          <w:color w:val="000000"/>
          <w:sz w:val="22"/>
          <w:szCs w:val="22"/>
        </w:rPr>
        <w:t>plá</w:t>
      </w:r>
      <w:r w:rsidRPr="00083538">
        <w:rPr>
          <w:rFonts w:ascii="Arial" w:hAnsi="Arial" w:cs="Arial"/>
          <w:color w:val="000000"/>
          <w:sz w:val="22"/>
          <w:szCs w:val="22"/>
        </w:rPr>
        <w:t>n</w:t>
      </w:r>
      <w:r w:rsidRPr="00A35E28">
        <w:rPr>
          <w:rFonts w:ascii="Arial" w:hAnsi="Arial" w:cs="Arial"/>
          <w:color w:val="000000"/>
          <w:sz w:val="22"/>
          <w:szCs w:val="22"/>
        </w:rPr>
        <w:t>ování,</w:t>
      </w:r>
      <w:r w:rsidRPr="00083538">
        <w:rPr>
          <w:rFonts w:ascii="Arial" w:hAnsi="Arial" w:cs="Arial"/>
          <w:color w:val="000000"/>
          <w:sz w:val="22"/>
          <w:szCs w:val="22"/>
        </w:rPr>
        <w:t xml:space="preserve"> úč</w:t>
      </w:r>
      <w:r w:rsidRPr="00A35E28">
        <w:rPr>
          <w:rFonts w:ascii="Arial" w:hAnsi="Arial" w:cs="Arial"/>
          <w:color w:val="000000"/>
          <w:sz w:val="22"/>
          <w:szCs w:val="22"/>
        </w:rPr>
        <w:t>etnictví,</w:t>
      </w:r>
      <w:r w:rsidRPr="00083538">
        <w:rPr>
          <w:rFonts w:ascii="Arial" w:hAnsi="Arial" w:cs="Arial"/>
          <w:color w:val="000000"/>
          <w:sz w:val="22"/>
          <w:szCs w:val="22"/>
        </w:rPr>
        <w:t xml:space="preserve"> </w:t>
      </w:r>
      <w:r w:rsidRPr="00A35E28">
        <w:rPr>
          <w:rFonts w:ascii="Arial" w:hAnsi="Arial" w:cs="Arial"/>
          <w:color w:val="000000"/>
          <w:sz w:val="22"/>
          <w:szCs w:val="22"/>
        </w:rPr>
        <w:t>zprac</w:t>
      </w:r>
      <w:r w:rsidRPr="00083538">
        <w:rPr>
          <w:rFonts w:ascii="Arial" w:hAnsi="Arial" w:cs="Arial"/>
          <w:color w:val="000000"/>
          <w:sz w:val="22"/>
          <w:szCs w:val="22"/>
        </w:rPr>
        <w:t>o</w:t>
      </w:r>
      <w:r w:rsidRPr="00A35E28">
        <w:rPr>
          <w:rFonts w:ascii="Arial" w:hAnsi="Arial" w:cs="Arial"/>
          <w:color w:val="000000"/>
          <w:sz w:val="22"/>
          <w:szCs w:val="22"/>
        </w:rPr>
        <w:t>vání mezd,</w:t>
      </w:r>
      <w:r w:rsidRPr="00083538">
        <w:rPr>
          <w:rFonts w:ascii="Arial" w:hAnsi="Arial" w:cs="Arial"/>
          <w:color w:val="000000"/>
          <w:sz w:val="22"/>
          <w:szCs w:val="22"/>
        </w:rPr>
        <w:t xml:space="preserve"> </w:t>
      </w:r>
      <w:r w:rsidRPr="00A35E28">
        <w:rPr>
          <w:rFonts w:ascii="Arial" w:hAnsi="Arial" w:cs="Arial"/>
          <w:color w:val="000000"/>
          <w:sz w:val="22"/>
          <w:szCs w:val="22"/>
        </w:rPr>
        <w:t>právní</w:t>
      </w:r>
      <w:r w:rsidRPr="00083538">
        <w:rPr>
          <w:rFonts w:ascii="Arial" w:hAnsi="Arial" w:cs="Arial"/>
          <w:color w:val="000000"/>
          <w:sz w:val="22"/>
          <w:szCs w:val="22"/>
        </w:rPr>
        <w:t xml:space="preserve"> </w:t>
      </w:r>
      <w:r w:rsidRPr="00A35E28">
        <w:rPr>
          <w:rFonts w:ascii="Arial" w:hAnsi="Arial" w:cs="Arial"/>
          <w:color w:val="000000"/>
          <w:sz w:val="22"/>
          <w:szCs w:val="22"/>
        </w:rPr>
        <w:t>oddělení,</w:t>
      </w:r>
      <w:r w:rsidRPr="00083538">
        <w:rPr>
          <w:rFonts w:ascii="Arial" w:hAnsi="Arial" w:cs="Arial"/>
          <w:color w:val="000000"/>
          <w:sz w:val="22"/>
          <w:szCs w:val="22"/>
        </w:rPr>
        <w:t xml:space="preserve"> </w:t>
      </w:r>
      <w:r w:rsidRPr="00A35E28">
        <w:rPr>
          <w:rFonts w:ascii="Arial" w:hAnsi="Arial" w:cs="Arial"/>
          <w:color w:val="000000"/>
          <w:sz w:val="22"/>
          <w:szCs w:val="22"/>
        </w:rPr>
        <w:t>interní</w:t>
      </w:r>
      <w:r w:rsidRPr="00083538">
        <w:rPr>
          <w:rFonts w:ascii="Arial" w:hAnsi="Arial" w:cs="Arial"/>
          <w:color w:val="000000"/>
          <w:sz w:val="22"/>
          <w:szCs w:val="22"/>
        </w:rPr>
        <w:t xml:space="preserve"> </w:t>
      </w:r>
      <w:r w:rsidRPr="00A35E28">
        <w:rPr>
          <w:rFonts w:ascii="Arial" w:hAnsi="Arial" w:cs="Arial"/>
          <w:color w:val="000000"/>
          <w:sz w:val="22"/>
          <w:szCs w:val="22"/>
        </w:rPr>
        <w:t>audit atd.,</w:t>
      </w:r>
      <w:r w:rsidRPr="00083538">
        <w:rPr>
          <w:rFonts w:ascii="Arial" w:hAnsi="Arial" w:cs="Arial"/>
          <w:color w:val="000000"/>
          <w:sz w:val="22"/>
          <w:szCs w:val="22"/>
        </w:rPr>
        <w:t xml:space="preserve"> </w:t>
      </w:r>
      <w:r w:rsidRPr="00A35E28">
        <w:rPr>
          <w:rFonts w:ascii="Arial" w:hAnsi="Arial" w:cs="Arial"/>
          <w:color w:val="000000"/>
          <w:sz w:val="22"/>
          <w:szCs w:val="22"/>
        </w:rPr>
        <w:t>které</w:t>
      </w:r>
      <w:r w:rsidRPr="00083538">
        <w:rPr>
          <w:rFonts w:ascii="Arial" w:hAnsi="Arial" w:cs="Arial"/>
          <w:color w:val="000000"/>
          <w:sz w:val="22"/>
          <w:szCs w:val="22"/>
        </w:rPr>
        <w:t xml:space="preserve"> </w:t>
      </w:r>
      <w:r w:rsidRPr="00A35E28">
        <w:rPr>
          <w:rFonts w:ascii="Arial" w:hAnsi="Arial" w:cs="Arial"/>
          <w:color w:val="000000"/>
          <w:sz w:val="22"/>
          <w:szCs w:val="22"/>
        </w:rPr>
        <w:t>se</w:t>
      </w:r>
      <w:r w:rsidRPr="00083538">
        <w:rPr>
          <w:rFonts w:ascii="Arial" w:hAnsi="Arial" w:cs="Arial"/>
          <w:color w:val="000000"/>
          <w:sz w:val="22"/>
          <w:szCs w:val="22"/>
        </w:rPr>
        <w:t xml:space="preserve"> </w:t>
      </w:r>
      <w:r w:rsidRPr="00A35E28">
        <w:rPr>
          <w:rFonts w:ascii="Arial" w:hAnsi="Arial" w:cs="Arial"/>
          <w:color w:val="000000"/>
          <w:sz w:val="22"/>
          <w:szCs w:val="22"/>
        </w:rPr>
        <w:t>přiřazují</w:t>
      </w:r>
      <w:r w:rsidR="0047095F">
        <w:rPr>
          <w:rFonts w:ascii="Arial" w:hAnsi="Arial" w:cs="Arial"/>
          <w:color w:val="000000"/>
          <w:sz w:val="22"/>
          <w:szCs w:val="22"/>
        </w:rPr>
        <w:t xml:space="preserve"> na </w:t>
      </w:r>
      <w:r w:rsidRPr="00A35E28">
        <w:rPr>
          <w:rFonts w:ascii="Arial" w:hAnsi="Arial" w:cs="Arial"/>
          <w:color w:val="000000"/>
          <w:sz w:val="22"/>
          <w:szCs w:val="22"/>
        </w:rPr>
        <w:t>poskytované služby</w:t>
      </w:r>
      <w:r w:rsidR="0047095F">
        <w:rPr>
          <w:rFonts w:ascii="Arial" w:hAnsi="Arial" w:cs="Arial"/>
          <w:color w:val="000000"/>
          <w:sz w:val="22"/>
          <w:szCs w:val="22"/>
        </w:rPr>
        <w:t xml:space="preserve"> na </w:t>
      </w:r>
      <w:r w:rsidRPr="00A35E28">
        <w:rPr>
          <w:rFonts w:ascii="Arial" w:hAnsi="Arial" w:cs="Arial"/>
          <w:color w:val="000000"/>
          <w:sz w:val="22"/>
          <w:szCs w:val="22"/>
        </w:rPr>
        <w:t>zákla</w:t>
      </w:r>
      <w:r w:rsidRPr="00083538">
        <w:rPr>
          <w:rFonts w:ascii="Arial" w:hAnsi="Arial" w:cs="Arial"/>
          <w:color w:val="000000"/>
          <w:sz w:val="22"/>
          <w:szCs w:val="22"/>
        </w:rPr>
        <w:t>d</w:t>
      </w:r>
      <w:r w:rsidRPr="00A35E28">
        <w:rPr>
          <w:rFonts w:ascii="Arial" w:hAnsi="Arial" w:cs="Arial"/>
          <w:color w:val="000000"/>
          <w:sz w:val="22"/>
          <w:szCs w:val="22"/>
        </w:rPr>
        <w:t>ě</w:t>
      </w:r>
      <w:r w:rsidRPr="00083538">
        <w:rPr>
          <w:rFonts w:ascii="Arial" w:hAnsi="Arial" w:cs="Arial"/>
          <w:color w:val="000000"/>
          <w:sz w:val="22"/>
          <w:szCs w:val="22"/>
        </w:rPr>
        <w:t xml:space="preserve"> </w:t>
      </w:r>
      <w:r w:rsidRPr="00A35E28">
        <w:rPr>
          <w:rFonts w:ascii="Arial" w:hAnsi="Arial" w:cs="Arial"/>
          <w:color w:val="000000"/>
          <w:sz w:val="22"/>
          <w:szCs w:val="22"/>
        </w:rPr>
        <w:t>obj</w:t>
      </w:r>
      <w:r w:rsidRPr="00083538">
        <w:rPr>
          <w:rFonts w:ascii="Arial" w:hAnsi="Arial" w:cs="Arial"/>
          <w:color w:val="000000"/>
          <w:sz w:val="22"/>
          <w:szCs w:val="22"/>
        </w:rPr>
        <w:t>e</w:t>
      </w:r>
      <w:r w:rsidRPr="00A35E28">
        <w:rPr>
          <w:rFonts w:ascii="Arial" w:hAnsi="Arial" w:cs="Arial"/>
          <w:color w:val="000000"/>
          <w:sz w:val="22"/>
          <w:szCs w:val="22"/>
        </w:rPr>
        <w:t>ktiv</w:t>
      </w:r>
      <w:r w:rsidRPr="00083538">
        <w:rPr>
          <w:rFonts w:ascii="Arial" w:hAnsi="Arial" w:cs="Arial"/>
          <w:color w:val="000000"/>
          <w:sz w:val="22"/>
          <w:szCs w:val="22"/>
        </w:rPr>
        <w:t>n</w:t>
      </w:r>
      <w:r w:rsidRPr="00A35E28">
        <w:rPr>
          <w:rFonts w:ascii="Arial" w:hAnsi="Arial" w:cs="Arial"/>
          <w:color w:val="000000"/>
          <w:sz w:val="22"/>
          <w:szCs w:val="22"/>
        </w:rPr>
        <w:t>ě</w:t>
      </w:r>
      <w:r w:rsidRPr="00083538">
        <w:rPr>
          <w:rFonts w:ascii="Arial" w:hAnsi="Arial" w:cs="Arial"/>
          <w:color w:val="000000"/>
          <w:sz w:val="22"/>
          <w:szCs w:val="22"/>
        </w:rPr>
        <w:t xml:space="preserve"> </w:t>
      </w:r>
      <w:r w:rsidRPr="00A35E28">
        <w:rPr>
          <w:rFonts w:ascii="Arial" w:hAnsi="Arial" w:cs="Arial"/>
          <w:color w:val="000000"/>
          <w:sz w:val="22"/>
          <w:szCs w:val="22"/>
        </w:rPr>
        <w:t>zvoleného aloka</w:t>
      </w:r>
      <w:r w:rsidRPr="00083538">
        <w:rPr>
          <w:rFonts w:ascii="Arial" w:hAnsi="Arial" w:cs="Arial"/>
          <w:color w:val="000000"/>
          <w:sz w:val="22"/>
          <w:szCs w:val="22"/>
        </w:rPr>
        <w:t>č</w:t>
      </w:r>
      <w:r w:rsidRPr="00A35E28">
        <w:rPr>
          <w:rFonts w:ascii="Arial" w:hAnsi="Arial" w:cs="Arial"/>
          <w:color w:val="000000"/>
          <w:sz w:val="22"/>
          <w:szCs w:val="22"/>
        </w:rPr>
        <w:t>ního</w:t>
      </w:r>
      <w:r w:rsidRPr="00083538">
        <w:rPr>
          <w:rFonts w:ascii="Arial" w:hAnsi="Arial" w:cs="Arial"/>
          <w:color w:val="000000"/>
          <w:sz w:val="22"/>
          <w:szCs w:val="22"/>
        </w:rPr>
        <w:t xml:space="preserve"> </w:t>
      </w:r>
      <w:r w:rsidRPr="00A35E28">
        <w:rPr>
          <w:rFonts w:ascii="Arial" w:hAnsi="Arial" w:cs="Arial"/>
          <w:color w:val="000000"/>
          <w:sz w:val="22"/>
          <w:szCs w:val="22"/>
        </w:rPr>
        <w:t>po</w:t>
      </w:r>
      <w:r w:rsidRPr="00083538">
        <w:rPr>
          <w:rFonts w:ascii="Arial" w:hAnsi="Arial" w:cs="Arial"/>
          <w:color w:val="000000"/>
          <w:sz w:val="22"/>
          <w:szCs w:val="22"/>
        </w:rPr>
        <w:t>m</w:t>
      </w:r>
      <w:r w:rsidRPr="00A35E28">
        <w:rPr>
          <w:rFonts w:ascii="Arial" w:hAnsi="Arial" w:cs="Arial"/>
          <w:color w:val="000000"/>
          <w:sz w:val="22"/>
          <w:szCs w:val="22"/>
        </w:rPr>
        <w:t xml:space="preserve">ěru, </w:t>
      </w:r>
    </w:p>
    <w:p w:rsidR="004A6A67" w:rsidRPr="00A35E28" w:rsidRDefault="004A6A67" w:rsidP="006D177F">
      <w:pPr>
        <w:widowControl w:val="0"/>
        <w:autoSpaceDE w:val="0"/>
        <w:autoSpaceDN w:val="0"/>
        <w:adjustRightInd w:val="0"/>
        <w:spacing w:before="120" w:after="120"/>
        <w:ind w:left="709" w:hanging="284"/>
        <w:jc w:val="both"/>
        <w:rPr>
          <w:rFonts w:ascii="Arial" w:hAnsi="Arial" w:cs="Arial"/>
          <w:color w:val="000000"/>
          <w:sz w:val="22"/>
          <w:szCs w:val="22"/>
        </w:rPr>
      </w:pPr>
      <w:r w:rsidRPr="00A35E28">
        <w:rPr>
          <w:rFonts w:ascii="Arial" w:hAnsi="Arial" w:cs="Arial"/>
          <w:color w:val="000000"/>
          <w:sz w:val="22"/>
          <w:szCs w:val="22"/>
        </w:rPr>
        <w:t>f)</w:t>
      </w:r>
      <w:r w:rsidRPr="00A35E28">
        <w:rPr>
          <w:rFonts w:ascii="Arial" w:hAnsi="Arial" w:cs="Arial"/>
          <w:color w:val="000000"/>
          <w:sz w:val="22"/>
          <w:szCs w:val="22"/>
        </w:rPr>
        <w:tab/>
      </w:r>
      <w:r w:rsidRPr="00A35E28">
        <w:rPr>
          <w:rFonts w:ascii="Arial" w:hAnsi="Arial" w:cs="Arial"/>
          <w:b/>
          <w:bCs/>
          <w:color w:val="000000"/>
          <w:sz w:val="22"/>
          <w:szCs w:val="22"/>
        </w:rPr>
        <w:t>ostatními</w:t>
      </w:r>
      <w:r w:rsidRPr="00A35E28">
        <w:rPr>
          <w:rFonts w:ascii="Arial" w:hAnsi="Arial" w:cs="Arial"/>
          <w:b/>
          <w:bCs/>
          <w:color w:val="000000"/>
          <w:spacing w:val="12"/>
          <w:sz w:val="22"/>
          <w:szCs w:val="22"/>
        </w:rPr>
        <w:t xml:space="preserve"> </w:t>
      </w:r>
      <w:r w:rsidRPr="00A35E28">
        <w:rPr>
          <w:rFonts w:ascii="Arial" w:hAnsi="Arial" w:cs="Arial"/>
          <w:b/>
          <w:bCs/>
          <w:color w:val="000000"/>
          <w:sz w:val="22"/>
          <w:szCs w:val="22"/>
        </w:rPr>
        <w:t>nákla</w:t>
      </w:r>
      <w:r w:rsidRPr="00A35E28">
        <w:rPr>
          <w:rFonts w:ascii="Arial" w:hAnsi="Arial" w:cs="Arial"/>
          <w:b/>
          <w:bCs/>
          <w:color w:val="000000"/>
          <w:spacing w:val="2"/>
          <w:sz w:val="22"/>
          <w:szCs w:val="22"/>
        </w:rPr>
        <w:t>d</w:t>
      </w:r>
      <w:r w:rsidRPr="00A35E28">
        <w:rPr>
          <w:rFonts w:ascii="Arial" w:hAnsi="Arial" w:cs="Arial"/>
          <w:b/>
          <w:bCs/>
          <w:color w:val="000000"/>
          <w:sz w:val="22"/>
          <w:szCs w:val="22"/>
        </w:rPr>
        <w:t>y</w:t>
      </w:r>
      <w:r w:rsidRPr="00A35E28">
        <w:rPr>
          <w:rFonts w:ascii="Arial" w:hAnsi="Arial" w:cs="Arial"/>
          <w:b/>
          <w:bCs/>
          <w:color w:val="000000"/>
          <w:spacing w:val="12"/>
          <w:sz w:val="22"/>
          <w:szCs w:val="22"/>
        </w:rPr>
        <w:t xml:space="preserve"> </w:t>
      </w:r>
      <w:proofErr w:type="spellStart"/>
      <w:r w:rsidRPr="00A35E28">
        <w:rPr>
          <w:rFonts w:ascii="Arial" w:hAnsi="Arial" w:cs="Arial"/>
          <w:color w:val="000000"/>
          <w:sz w:val="22"/>
          <w:szCs w:val="22"/>
        </w:rPr>
        <w:t>náklady</w:t>
      </w:r>
      <w:proofErr w:type="spellEnd"/>
      <w:r w:rsidRPr="00A35E28">
        <w:rPr>
          <w:rFonts w:ascii="Arial" w:hAnsi="Arial" w:cs="Arial"/>
          <w:color w:val="000000"/>
          <w:spacing w:val="14"/>
          <w:sz w:val="22"/>
          <w:szCs w:val="22"/>
        </w:rPr>
        <w:t xml:space="preserve"> </w:t>
      </w:r>
      <w:r w:rsidRPr="00A35E28">
        <w:rPr>
          <w:rFonts w:ascii="Arial" w:hAnsi="Arial" w:cs="Arial"/>
          <w:color w:val="000000"/>
          <w:sz w:val="22"/>
          <w:szCs w:val="22"/>
        </w:rPr>
        <w:t>uvede</w:t>
      </w:r>
      <w:r w:rsidRPr="00A35E28">
        <w:rPr>
          <w:rFonts w:ascii="Arial" w:hAnsi="Arial" w:cs="Arial"/>
          <w:color w:val="000000"/>
          <w:spacing w:val="1"/>
          <w:sz w:val="22"/>
          <w:szCs w:val="22"/>
        </w:rPr>
        <w:t>n</w:t>
      </w:r>
      <w:r w:rsidRPr="00A35E28">
        <w:rPr>
          <w:rFonts w:ascii="Arial" w:hAnsi="Arial" w:cs="Arial"/>
          <w:color w:val="000000"/>
          <w:sz w:val="22"/>
          <w:szCs w:val="22"/>
        </w:rPr>
        <w:t>é</w:t>
      </w:r>
      <w:r w:rsidR="0047095F">
        <w:rPr>
          <w:rFonts w:ascii="Arial" w:hAnsi="Arial" w:cs="Arial"/>
          <w:color w:val="000000"/>
          <w:spacing w:val="14"/>
          <w:sz w:val="22"/>
          <w:szCs w:val="22"/>
        </w:rPr>
        <w:t xml:space="preserve"> v </w:t>
      </w:r>
      <w:r w:rsidRPr="00A35E28">
        <w:rPr>
          <w:rFonts w:ascii="Arial" w:hAnsi="Arial" w:cs="Arial"/>
          <w:color w:val="000000"/>
          <w:spacing w:val="1"/>
          <w:sz w:val="22"/>
          <w:szCs w:val="22"/>
        </w:rPr>
        <w:t>č</w:t>
      </w:r>
      <w:r w:rsidRPr="00A35E28">
        <w:rPr>
          <w:rFonts w:ascii="Arial" w:hAnsi="Arial" w:cs="Arial"/>
          <w:color w:val="000000"/>
          <w:sz w:val="22"/>
          <w:szCs w:val="22"/>
        </w:rPr>
        <w:t>lánku</w:t>
      </w:r>
      <w:r w:rsidRPr="00A35E28">
        <w:rPr>
          <w:rFonts w:ascii="Arial" w:hAnsi="Arial" w:cs="Arial"/>
          <w:color w:val="000000"/>
          <w:spacing w:val="16"/>
          <w:sz w:val="22"/>
          <w:szCs w:val="22"/>
        </w:rPr>
        <w:t xml:space="preserve"> </w:t>
      </w:r>
      <w:r w:rsidR="00171F88">
        <w:rPr>
          <w:rFonts w:ascii="Arial" w:hAnsi="Arial" w:cs="Arial"/>
          <w:color w:val="000000"/>
          <w:spacing w:val="16"/>
          <w:sz w:val="22"/>
          <w:szCs w:val="22"/>
        </w:rPr>
        <w:t>4</w:t>
      </w:r>
      <w:r w:rsidRPr="00A35E28">
        <w:rPr>
          <w:rFonts w:ascii="Arial" w:hAnsi="Arial" w:cs="Arial"/>
          <w:color w:val="000000"/>
          <w:spacing w:val="21"/>
          <w:sz w:val="22"/>
          <w:szCs w:val="22"/>
        </w:rPr>
        <w:t xml:space="preserve"> </w:t>
      </w:r>
      <w:r w:rsidRPr="00A35E28">
        <w:rPr>
          <w:rFonts w:ascii="Arial" w:hAnsi="Arial" w:cs="Arial"/>
          <w:color w:val="000000"/>
          <w:sz w:val="22"/>
          <w:szCs w:val="22"/>
        </w:rPr>
        <w:t>odst.</w:t>
      </w:r>
      <w:r w:rsidRPr="00A35E28">
        <w:rPr>
          <w:rFonts w:ascii="Arial" w:hAnsi="Arial" w:cs="Arial"/>
          <w:color w:val="000000"/>
          <w:spacing w:val="17"/>
          <w:sz w:val="22"/>
          <w:szCs w:val="22"/>
        </w:rPr>
        <w:t xml:space="preserve"> </w:t>
      </w:r>
      <w:r w:rsidRPr="00A35E28">
        <w:rPr>
          <w:rFonts w:ascii="Arial" w:hAnsi="Arial" w:cs="Arial"/>
          <w:color w:val="000000"/>
          <w:sz w:val="22"/>
          <w:szCs w:val="22"/>
        </w:rPr>
        <w:t>1</w:t>
      </w:r>
      <w:r w:rsidR="00171F88">
        <w:rPr>
          <w:rFonts w:ascii="Arial" w:hAnsi="Arial" w:cs="Arial"/>
          <w:color w:val="000000"/>
          <w:sz w:val="22"/>
          <w:szCs w:val="22"/>
        </w:rPr>
        <w:t>0</w:t>
      </w:r>
      <w:r w:rsidRPr="00A35E28">
        <w:rPr>
          <w:rFonts w:ascii="Arial" w:hAnsi="Arial" w:cs="Arial"/>
          <w:color w:val="000000"/>
          <w:sz w:val="22"/>
          <w:szCs w:val="22"/>
        </w:rPr>
        <w:t>,</w:t>
      </w:r>
      <w:r w:rsidRPr="00A35E28">
        <w:rPr>
          <w:rFonts w:ascii="Arial" w:hAnsi="Arial" w:cs="Arial"/>
          <w:color w:val="000000"/>
          <w:spacing w:val="19"/>
          <w:sz w:val="22"/>
          <w:szCs w:val="22"/>
        </w:rPr>
        <w:t xml:space="preserve"> </w:t>
      </w:r>
      <w:r w:rsidRPr="00A35E28">
        <w:rPr>
          <w:rFonts w:ascii="Arial" w:hAnsi="Arial" w:cs="Arial"/>
          <w:color w:val="000000"/>
          <w:sz w:val="22"/>
          <w:szCs w:val="22"/>
        </w:rPr>
        <w:t>k</w:t>
      </w:r>
      <w:r w:rsidRPr="00A35E28">
        <w:rPr>
          <w:rFonts w:ascii="Arial" w:hAnsi="Arial" w:cs="Arial"/>
          <w:color w:val="000000"/>
          <w:spacing w:val="-1"/>
          <w:sz w:val="22"/>
          <w:szCs w:val="22"/>
        </w:rPr>
        <w:t>t</w:t>
      </w:r>
      <w:r w:rsidRPr="00A35E28">
        <w:rPr>
          <w:rFonts w:ascii="Arial" w:hAnsi="Arial" w:cs="Arial"/>
          <w:color w:val="000000"/>
          <w:sz w:val="22"/>
          <w:szCs w:val="22"/>
        </w:rPr>
        <w:t>eré</w:t>
      </w:r>
      <w:r w:rsidRPr="00A35E28">
        <w:rPr>
          <w:rFonts w:ascii="Arial" w:hAnsi="Arial" w:cs="Arial"/>
          <w:color w:val="000000"/>
          <w:spacing w:val="17"/>
          <w:sz w:val="22"/>
          <w:szCs w:val="22"/>
        </w:rPr>
        <w:t xml:space="preserve"> </w:t>
      </w:r>
      <w:r w:rsidRPr="00A35E28">
        <w:rPr>
          <w:rFonts w:ascii="Arial" w:hAnsi="Arial" w:cs="Arial"/>
          <w:color w:val="000000"/>
          <w:sz w:val="22"/>
          <w:szCs w:val="22"/>
        </w:rPr>
        <w:t>nelze</w:t>
      </w:r>
      <w:r w:rsidRPr="00A35E28">
        <w:rPr>
          <w:rFonts w:ascii="Arial" w:hAnsi="Arial" w:cs="Arial"/>
          <w:color w:val="000000"/>
          <w:spacing w:val="17"/>
          <w:sz w:val="22"/>
          <w:szCs w:val="22"/>
        </w:rPr>
        <w:t xml:space="preserve"> </w:t>
      </w:r>
      <w:r w:rsidRPr="00A35E28">
        <w:rPr>
          <w:rFonts w:ascii="Arial" w:hAnsi="Arial" w:cs="Arial"/>
          <w:color w:val="000000"/>
          <w:spacing w:val="1"/>
          <w:sz w:val="22"/>
          <w:szCs w:val="22"/>
        </w:rPr>
        <w:t>p</w:t>
      </w:r>
      <w:r w:rsidRPr="00A35E28">
        <w:rPr>
          <w:rFonts w:ascii="Arial" w:hAnsi="Arial" w:cs="Arial"/>
          <w:color w:val="000000"/>
          <w:sz w:val="22"/>
          <w:szCs w:val="22"/>
        </w:rPr>
        <w:t>římo</w:t>
      </w:r>
      <w:r w:rsidRPr="00A35E28">
        <w:rPr>
          <w:rFonts w:ascii="Arial" w:hAnsi="Arial" w:cs="Arial"/>
          <w:color w:val="000000"/>
          <w:spacing w:val="16"/>
          <w:sz w:val="22"/>
          <w:szCs w:val="22"/>
        </w:rPr>
        <w:t xml:space="preserve"> </w:t>
      </w:r>
      <w:r w:rsidR="004A2209">
        <w:rPr>
          <w:rFonts w:ascii="Arial" w:hAnsi="Arial" w:cs="Arial"/>
          <w:color w:val="000000"/>
          <w:spacing w:val="16"/>
          <w:sz w:val="22"/>
          <w:szCs w:val="22"/>
        </w:rPr>
        <w:br/>
      </w:r>
      <w:r w:rsidRPr="00A35E28">
        <w:rPr>
          <w:rFonts w:ascii="Arial" w:hAnsi="Arial" w:cs="Arial"/>
          <w:color w:val="000000"/>
          <w:spacing w:val="16"/>
          <w:sz w:val="22"/>
          <w:szCs w:val="22"/>
        </w:rPr>
        <w:t>ani</w:t>
      </w:r>
      <w:r w:rsidR="004A2209">
        <w:rPr>
          <w:rFonts w:ascii="Arial" w:hAnsi="Arial" w:cs="Arial"/>
          <w:color w:val="000000"/>
          <w:spacing w:val="16"/>
          <w:sz w:val="22"/>
          <w:szCs w:val="22"/>
        </w:rPr>
        <w:t xml:space="preserve"> </w:t>
      </w:r>
      <w:r w:rsidRPr="00A35E28">
        <w:rPr>
          <w:rFonts w:ascii="Arial" w:hAnsi="Arial" w:cs="Arial"/>
          <w:color w:val="000000"/>
          <w:sz w:val="22"/>
          <w:szCs w:val="22"/>
        </w:rPr>
        <w:t>nepřímo přiřadit</w:t>
      </w:r>
      <w:r w:rsidRPr="00A35E28">
        <w:rPr>
          <w:rFonts w:ascii="Arial" w:hAnsi="Arial" w:cs="Arial"/>
          <w:color w:val="000000"/>
          <w:spacing w:val="7"/>
          <w:sz w:val="22"/>
          <w:szCs w:val="22"/>
        </w:rPr>
        <w:t xml:space="preserve"> </w:t>
      </w:r>
      <w:r w:rsidRPr="00A35E28">
        <w:rPr>
          <w:rFonts w:ascii="Arial" w:hAnsi="Arial" w:cs="Arial"/>
          <w:color w:val="000000"/>
          <w:sz w:val="22"/>
          <w:szCs w:val="22"/>
        </w:rPr>
        <w:t>jed</w:t>
      </w:r>
      <w:r w:rsidRPr="00A35E28">
        <w:rPr>
          <w:rFonts w:ascii="Arial" w:hAnsi="Arial" w:cs="Arial"/>
          <w:color w:val="000000"/>
          <w:spacing w:val="-1"/>
          <w:sz w:val="22"/>
          <w:szCs w:val="22"/>
        </w:rPr>
        <w:t>n</w:t>
      </w:r>
      <w:r w:rsidRPr="00A35E28">
        <w:rPr>
          <w:rFonts w:ascii="Arial" w:hAnsi="Arial" w:cs="Arial"/>
          <w:color w:val="000000"/>
          <w:sz w:val="22"/>
          <w:szCs w:val="22"/>
        </w:rPr>
        <w:t>otlivým</w:t>
      </w:r>
      <w:r w:rsidRPr="00A35E28">
        <w:rPr>
          <w:rFonts w:ascii="Arial" w:hAnsi="Arial" w:cs="Arial"/>
          <w:color w:val="000000"/>
          <w:spacing w:val="3"/>
          <w:sz w:val="22"/>
          <w:szCs w:val="22"/>
        </w:rPr>
        <w:t xml:space="preserve"> </w:t>
      </w:r>
      <w:r w:rsidRPr="00A35E28">
        <w:rPr>
          <w:rFonts w:ascii="Arial" w:hAnsi="Arial" w:cs="Arial"/>
          <w:color w:val="000000"/>
          <w:sz w:val="22"/>
          <w:szCs w:val="22"/>
        </w:rPr>
        <w:t>prv</w:t>
      </w:r>
      <w:r w:rsidRPr="00A35E28">
        <w:rPr>
          <w:rFonts w:ascii="Arial" w:hAnsi="Arial" w:cs="Arial"/>
          <w:color w:val="000000"/>
          <w:spacing w:val="1"/>
          <w:sz w:val="22"/>
          <w:szCs w:val="22"/>
        </w:rPr>
        <w:t>k</w:t>
      </w:r>
      <w:r w:rsidRPr="00A35E28">
        <w:rPr>
          <w:rFonts w:ascii="Arial" w:hAnsi="Arial" w:cs="Arial"/>
          <w:color w:val="000000"/>
          <w:sz w:val="22"/>
          <w:szCs w:val="22"/>
        </w:rPr>
        <w:t>ům</w:t>
      </w:r>
      <w:r w:rsidRPr="00A35E28">
        <w:rPr>
          <w:rFonts w:ascii="Arial" w:hAnsi="Arial" w:cs="Arial"/>
          <w:color w:val="000000"/>
          <w:spacing w:val="6"/>
          <w:sz w:val="22"/>
          <w:szCs w:val="22"/>
        </w:rPr>
        <w:t xml:space="preserve"> </w:t>
      </w:r>
      <w:r w:rsidRPr="00A35E28">
        <w:rPr>
          <w:rFonts w:ascii="Arial" w:hAnsi="Arial" w:cs="Arial"/>
          <w:color w:val="000000"/>
          <w:spacing w:val="1"/>
          <w:sz w:val="22"/>
          <w:szCs w:val="22"/>
        </w:rPr>
        <w:t>s</w:t>
      </w:r>
      <w:r w:rsidRPr="00A35E28">
        <w:rPr>
          <w:rFonts w:ascii="Arial" w:hAnsi="Arial" w:cs="Arial"/>
          <w:color w:val="000000"/>
          <w:sz w:val="22"/>
          <w:szCs w:val="22"/>
        </w:rPr>
        <w:t>ítě,</w:t>
      </w:r>
      <w:r w:rsidRPr="00A35E28">
        <w:rPr>
          <w:rFonts w:ascii="Arial" w:hAnsi="Arial" w:cs="Arial"/>
          <w:color w:val="000000"/>
          <w:spacing w:val="12"/>
          <w:sz w:val="22"/>
          <w:szCs w:val="22"/>
        </w:rPr>
        <w:t xml:space="preserve"> </w:t>
      </w:r>
      <w:r w:rsidRPr="00A35E28">
        <w:rPr>
          <w:rFonts w:ascii="Arial" w:hAnsi="Arial" w:cs="Arial"/>
          <w:color w:val="000000"/>
          <w:spacing w:val="1"/>
          <w:sz w:val="22"/>
          <w:szCs w:val="22"/>
        </w:rPr>
        <w:t>č</w:t>
      </w:r>
      <w:r w:rsidRPr="00A35E28">
        <w:rPr>
          <w:rFonts w:ascii="Arial" w:hAnsi="Arial" w:cs="Arial"/>
          <w:color w:val="000000"/>
          <w:sz w:val="22"/>
          <w:szCs w:val="22"/>
        </w:rPr>
        <w:t>i</w:t>
      </w:r>
      <w:r w:rsidRPr="00A35E28">
        <w:rPr>
          <w:rFonts w:ascii="Arial" w:hAnsi="Arial" w:cs="Arial"/>
          <w:color w:val="000000"/>
          <w:spacing w:val="-1"/>
          <w:sz w:val="22"/>
          <w:szCs w:val="22"/>
        </w:rPr>
        <w:t>n</w:t>
      </w:r>
      <w:r w:rsidRPr="00A35E28">
        <w:rPr>
          <w:rFonts w:ascii="Arial" w:hAnsi="Arial" w:cs="Arial"/>
          <w:color w:val="000000"/>
          <w:sz w:val="22"/>
          <w:szCs w:val="22"/>
        </w:rPr>
        <w:t>nostem</w:t>
      </w:r>
      <w:r w:rsidRPr="00A35E28">
        <w:rPr>
          <w:rFonts w:ascii="Arial" w:hAnsi="Arial" w:cs="Arial"/>
          <w:color w:val="000000"/>
          <w:spacing w:val="4"/>
          <w:sz w:val="22"/>
          <w:szCs w:val="22"/>
        </w:rPr>
        <w:t xml:space="preserve"> </w:t>
      </w:r>
      <w:r w:rsidRPr="00A35E28">
        <w:rPr>
          <w:rFonts w:ascii="Arial" w:hAnsi="Arial" w:cs="Arial"/>
          <w:color w:val="000000"/>
          <w:sz w:val="22"/>
          <w:szCs w:val="22"/>
        </w:rPr>
        <w:t>nebo</w:t>
      </w:r>
      <w:r w:rsidRPr="00A35E28">
        <w:rPr>
          <w:rFonts w:ascii="Arial" w:hAnsi="Arial" w:cs="Arial"/>
          <w:color w:val="000000"/>
          <w:spacing w:val="9"/>
          <w:sz w:val="22"/>
          <w:szCs w:val="22"/>
        </w:rPr>
        <w:t xml:space="preserve"> </w:t>
      </w:r>
      <w:r w:rsidRPr="00A35E28">
        <w:rPr>
          <w:rFonts w:ascii="Arial" w:hAnsi="Arial" w:cs="Arial"/>
          <w:color w:val="000000"/>
          <w:sz w:val="22"/>
          <w:szCs w:val="22"/>
        </w:rPr>
        <w:t>poskytovaným služb</w:t>
      </w:r>
      <w:r w:rsidRPr="00A35E28">
        <w:rPr>
          <w:rFonts w:ascii="Arial" w:hAnsi="Arial" w:cs="Arial"/>
          <w:color w:val="000000"/>
          <w:spacing w:val="-1"/>
          <w:sz w:val="22"/>
          <w:szCs w:val="22"/>
        </w:rPr>
        <w:t>á</w:t>
      </w:r>
      <w:r w:rsidRPr="00A35E28">
        <w:rPr>
          <w:rFonts w:ascii="Arial" w:hAnsi="Arial" w:cs="Arial"/>
          <w:color w:val="000000"/>
          <w:sz w:val="22"/>
          <w:szCs w:val="22"/>
        </w:rPr>
        <w:t>m;</w:t>
      </w:r>
      <w:r w:rsidRPr="00A35E28">
        <w:rPr>
          <w:rFonts w:ascii="Arial" w:hAnsi="Arial" w:cs="Arial"/>
          <w:color w:val="000000"/>
          <w:spacing w:val="5"/>
          <w:sz w:val="22"/>
          <w:szCs w:val="22"/>
        </w:rPr>
        <w:t xml:space="preserve"> </w:t>
      </w:r>
      <w:r w:rsidRPr="00A35E28">
        <w:rPr>
          <w:rFonts w:ascii="Arial" w:hAnsi="Arial" w:cs="Arial"/>
          <w:color w:val="000000"/>
          <w:sz w:val="22"/>
          <w:szCs w:val="22"/>
        </w:rPr>
        <w:t>tyto</w:t>
      </w:r>
      <w:r w:rsidRPr="00A35E28">
        <w:rPr>
          <w:rFonts w:ascii="Arial" w:hAnsi="Arial" w:cs="Arial"/>
          <w:color w:val="000000"/>
          <w:spacing w:val="11"/>
          <w:sz w:val="22"/>
          <w:szCs w:val="22"/>
        </w:rPr>
        <w:t xml:space="preserve"> </w:t>
      </w:r>
      <w:r w:rsidRPr="00A35E28">
        <w:rPr>
          <w:rFonts w:ascii="Arial" w:hAnsi="Arial" w:cs="Arial"/>
          <w:color w:val="000000"/>
          <w:sz w:val="22"/>
          <w:szCs w:val="22"/>
        </w:rPr>
        <w:t>náklady</w:t>
      </w:r>
      <w:r w:rsidRPr="00A35E28">
        <w:rPr>
          <w:rFonts w:ascii="Arial" w:hAnsi="Arial" w:cs="Arial"/>
          <w:color w:val="000000"/>
          <w:spacing w:val="6"/>
          <w:sz w:val="22"/>
          <w:szCs w:val="22"/>
        </w:rPr>
        <w:t xml:space="preserve"> </w:t>
      </w:r>
      <w:r w:rsidRPr="00A35E28">
        <w:rPr>
          <w:rFonts w:ascii="Arial" w:hAnsi="Arial" w:cs="Arial"/>
          <w:color w:val="000000"/>
          <w:sz w:val="22"/>
          <w:szCs w:val="22"/>
        </w:rPr>
        <w:t>se</w:t>
      </w:r>
      <w:r w:rsidR="004A2209">
        <w:rPr>
          <w:rFonts w:ascii="Arial" w:hAnsi="Arial" w:cs="Arial"/>
          <w:color w:val="000000"/>
          <w:sz w:val="22"/>
          <w:szCs w:val="22"/>
        </w:rPr>
        <w:t xml:space="preserve"> </w:t>
      </w:r>
      <w:r w:rsidRPr="00A35E28">
        <w:rPr>
          <w:rFonts w:ascii="Arial" w:hAnsi="Arial" w:cs="Arial"/>
          <w:color w:val="000000"/>
          <w:sz w:val="22"/>
          <w:szCs w:val="22"/>
        </w:rPr>
        <w:t>nepřiřazují,</w:t>
      </w:r>
      <w:r w:rsidRPr="00A35E28">
        <w:rPr>
          <w:rFonts w:ascii="Arial" w:hAnsi="Arial" w:cs="Arial"/>
          <w:color w:val="000000"/>
          <w:spacing w:val="-12"/>
          <w:sz w:val="22"/>
          <w:szCs w:val="22"/>
        </w:rPr>
        <w:t xml:space="preserve"> </w:t>
      </w:r>
      <w:r w:rsidRPr="00A35E28">
        <w:rPr>
          <w:rFonts w:ascii="Arial" w:hAnsi="Arial" w:cs="Arial"/>
          <w:color w:val="000000"/>
          <w:sz w:val="22"/>
          <w:szCs w:val="22"/>
        </w:rPr>
        <w:t>ale</w:t>
      </w:r>
      <w:r w:rsidRPr="00A35E28">
        <w:rPr>
          <w:rFonts w:ascii="Arial" w:hAnsi="Arial" w:cs="Arial"/>
          <w:color w:val="000000"/>
          <w:spacing w:val="-3"/>
          <w:sz w:val="22"/>
          <w:szCs w:val="22"/>
        </w:rPr>
        <w:t xml:space="preserve"> </w:t>
      </w:r>
      <w:r w:rsidRPr="00A35E28">
        <w:rPr>
          <w:rFonts w:ascii="Arial" w:hAnsi="Arial" w:cs="Arial"/>
          <w:color w:val="000000"/>
          <w:sz w:val="22"/>
          <w:szCs w:val="22"/>
        </w:rPr>
        <w:t>vykazují</w:t>
      </w:r>
      <w:r w:rsidRPr="00A35E28">
        <w:rPr>
          <w:rFonts w:ascii="Arial" w:hAnsi="Arial" w:cs="Arial"/>
          <w:color w:val="000000"/>
          <w:spacing w:val="-8"/>
          <w:sz w:val="22"/>
          <w:szCs w:val="22"/>
        </w:rPr>
        <w:t xml:space="preserve"> </w:t>
      </w:r>
      <w:r w:rsidRPr="00A35E28">
        <w:rPr>
          <w:rFonts w:ascii="Arial" w:hAnsi="Arial" w:cs="Arial"/>
          <w:color w:val="000000"/>
          <w:sz w:val="22"/>
          <w:szCs w:val="22"/>
        </w:rPr>
        <w:t>se</w:t>
      </w:r>
      <w:r w:rsidRPr="00A35E28">
        <w:rPr>
          <w:rFonts w:ascii="Arial" w:hAnsi="Arial" w:cs="Arial"/>
          <w:color w:val="000000"/>
          <w:spacing w:val="-2"/>
          <w:sz w:val="22"/>
          <w:szCs w:val="22"/>
        </w:rPr>
        <w:t xml:space="preserve"> </w:t>
      </w:r>
      <w:r w:rsidRPr="00A35E28">
        <w:rPr>
          <w:rFonts w:ascii="Arial" w:hAnsi="Arial" w:cs="Arial"/>
          <w:color w:val="000000"/>
          <w:sz w:val="22"/>
          <w:szCs w:val="22"/>
        </w:rPr>
        <w:t>samosta</w:t>
      </w:r>
      <w:r w:rsidRPr="00A35E28">
        <w:rPr>
          <w:rFonts w:ascii="Arial" w:hAnsi="Arial" w:cs="Arial"/>
          <w:color w:val="000000"/>
          <w:spacing w:val="-1"/>
          <w:sz w:val="22"/>
          <w:szCs w:val="22"/>
        </w:rPr>
        <w:t>t</w:t>
      </w:r>
      <w:r w:rsidRPr="00A35E28">
        <w:rPr>
          <w:rFonts w:ascii="Arial" w:hAnsi="Arial" w:cs="Arial"/>
          <w:color w:val="000000"/>
          <w:spacing w:val="1"/>
          <w:sz w:val="22"/>
          <w:szCs w:val="22"/>
        </w:rPr>
        <w:t>n</w:t>
      </w:r>
      <w:r w:rsidRPr="00A35E28">
        <w:rPr>
          <w:rFonts w:ascii="Arial" w:hAnsi="Arial" w:cs="Arial"/>
          <w:color w:val="000000"/>
          <w:sz w:val="22"/>
          <w:szCs w:val="22"/>
        </w:rPr>
        <w:t>ě,</w:t>
      </w:r>
    </w:p>
    <w:p w:rsidR="004A6A67" w:rsidRPr="00A35E28" w:rsidRDefault="004A6A67" w:rsidP="00F13ABF">
      <w:pPr>
        <w:widowControl w:val="0"/>
        <w:autoSpaceDE w:val="0"/>
        <w:autoSpaceDN w:val="0"/>
        <w:adjustRightInd w:val="0"/>
        <w:spacing w:before="120" w:after="120"/>
        <w:ind w:left="709" w:hanging="284"/>
        <w:jc w:val="both"/>
        <w:rPr>
          <w:rFonts w:ascii="Arial" w:hAnsi="Arial" w:cs="Arial"/>
          <w:color w:val="000000"/>
          <w:sz w:val="22"/>
          <w:szCs w:val="22"/>
        </w:rPr>
      </w:pPr>
      <w:r w:rsidRPr="00A35E28">
        <w:rPr>
          <w:rFonts w:ascii="Arial" w:hAnsi="Arial" w:cs="Arial"/>
          <w:color w:val="000000"/>
          <w:sz w:val="22"/>
          <w:szCs w:val="22"/>
        </w:rPr>
        <w:t>g)</w:t>
      </w:r>
      <w:r w:rsidRPr="00A35E28">
        <w:rPr>
          <w:rFonts w:ascii="Arial" w:hAnsi="Arial" w:cs="Arial"/>
          <w:color w:val="000000"/>
          <w:sz w:val="22"/>
          <w:szCs w:val="22"/>
        </w:rPr>
        <w:tab/>
      </w:r>
      <w:r w:rsidRPr="00A35E28">
        <w:rPr>
          <w:rFonts w:ascii="Arial" w:hAnsi="Arial" w:cs="Arial"/>
          <w:b/>
          <w:bCs/>
          <w:color w:val="000000"/>
          <w:sz w:val="22"/>
          <w:szCs w:val="22"/>
        </w:rPr>
        <w:t>nákla</w:t>
      </w:r>
      <w:r w:rsidRPr="00A35E28">
        <w:rPr>
          <w:rFonts w:ascii="Arial" w:hAnsi="Arial" w:cs="Arial"/>
          <w:b/>
          <w:bCs/>
          <w:color w:val="000000"/>
          <w:spacing w:val="1"/>
          <w:sz w:val="22"/>
          <w:szCs w:val="22"/>
        </w:rPr>
        <w:t>d</w:t>
      </w:r>
      <w:r w:rsidRPr="00A35E28">
        <w:rPr>
          <w:rFonts w:ascii="Arial" w:hAnsi="Arial" w:cs="Arial"/>
          <w:b/>
          <w:bCs/>
          <w:color w:val="000000"/>
          <w:sz w:val="22"/>
          <w:szCs w:val="22"/>
        </w:rPr>
        <w:t>y</w:t>
      </w:r>
      <w:r w:rsidRPr="00A35E28">
        <w:rPr>
          <w:rFonts w:ascii="Arial" w:hAnsi="Arial" w:cs="Arial"/>
          <w:b/>
          <w:bCs/>
          <w:color w:val="000000"/>
          <w:spacing w:val="5"/>
          <w:sz w:val="22"/>
          <w:szCs w:val="22"/>
        </w:rPr>
        <w:t xml:space="preserve"> </w:t>
      </w:r>
      <w:r w:rsidRPr="00A35E28">
        <w:rPr>
          <w:rFonts w:ascii="Arial" w:hAnsi="Arial" w:cs="Arial"/>
          <w:b/>
          <w:bCs/>
          <w:color w:val="000000"/>
          <w:sz w:val="22"/>
          <w:szCs w:val="22"/>
        </w:rPr>
        <w:t>vloženého</w:t>
      </w:r>
      <w:r w:rsidRPr="00A35E28">
        <w:rPr>
          <w:rFonts w:ascii="Arial" w:hAnsi="Arial" w:cs="Arial"/>
          <w:b/>
          <w:bCs/>
          <w:color w:val="000000"/>
          <w:spacing w:val="4"/>
          <w:sz w:val="22"/>
          <w:szCs w:val="22"/>
        </w:rPr>
        <w:t xml:space="preserve"> </w:t>
      </w:r>
      <w:r w:rsidRPr="00A35E28">
        <w:rPr>
          <w:rFonts w:ascii="Arial" w:hAnsi="Arial" w:cs="Arial"/>
          <w:b/>
          <w:bCs/>
          <w:color w:val="000000"/>
          <w:spacing w:val="-1"/>
          <w:sz w:val="22"/>
          <w:szCs w:val="22"/>
        </w:rPr>
        <w:t>k</w:t>
      </w:r>
      <w:r w:rsidRPr="00A35E28">
        <w:rPr>
          <w:rFonts w:ascii="Arial" w:hAnsi="Arial" w:cs="Arial"/>
          <w:b/>
          <w:bCs/>
          <w:color w:val="000000"/>
          <w:sz w:val="22"/>
          <w:szCs w:val="22"/>
        </w:rPr>
        <w:t>apitálu</w:t>
      </w:r>
      <w:r w:rsidRPr="00A35E28">
        <w:rPr>
          <w:rFonts w:ascii="Arial" w:hAnsi="Arial" w:cs="Arial"/>
          <w:b/>
          <w:bCs/>
          <w:color w:val="000000"/>
          <w:spacing w:val="7"/>
          <w:sz w:val="22"/>
          <w:szCs w:val="22"/>
        </w:rPr>
        <w:t xml:space="preserve"> </w:t>
      </w:r>
      <w:r w:rsidRPr="00A35E28">
        <w:rPr>
          <w:rFonts w:ascii="Arial" w:hAnsi="Arial" w:cs="Arial"/>
          <w:color w:val="000000"/>
          <w:sz w:val="22"/>
          <w:szCs w:val="22"/>
        </w:rPr>
        <w:t>př</w:t>
      </w:r>
      <w:r w:rsidRPr="00A35E28">
        <w:rPr>
          <w:rFonts w:ascii="Arial" w:hAnsi="Arial" w:cs="Arial"/>
          <w:color w:val="000000"/>
          <w:spacing w:val="-1"/>
          <w:sz w:val="22"/>
          <w:szCs w:val="22"/>
        </w:rPr>
        <w:t>i</w:t>
      </w:r>
      <w:r w:rsidRPr="00A35E28">
        <w:rPr>
          <w:rFonts w:ascii="Arial" w:hAnsi="Arial" w:cs="Arial"/>
          <w:color w:val="000000"/>
          <w:sz w:val="22"/>
          <w:szCs w:val="22"/>
        </w:rPr>
        <w:t>měřený</w:t>
      </w:r>
      <w:r w:rsidRPr="00A35E28">
        <w:rPr>
          <w:rFonts w:ascii="Arial" w:hAnsi="Arial" w:cs="Arial"/>
          <w:color w:val="000000"/>
          <w:spacing w:val="6"/>
          <w:sz w:val="22"/>
          <w:szCs w:val="22"/>
        </w:rPr>
        <w:t xml:space="preserve"> </w:t>
      </w:r>
      <w:r w:rsidRPr="00A35E28">
        <w:rPr>
          <w:rFonts w:ascii="Arial" w:hAnsi="Arial" w:cs="Arial"/>
          <w:color w:val="000000"/>
          <w:sz w:val="22"/>
          <w:szCs w:val="22"/>
        </w:rPr>
        <w:t>zisk</w:t>
      </w:r>
      <w:r w:rsidRPr="00A35E28">
        <w:rPr>
          <w:rFonts w:ascii="Arial" w:hAnsi="Arial" w:cs="Arial"/>
          <w:color w:val="000000"/>
          <w:spacing w:val="10"/>
          <w:sz w:val="22"/>
          <w:szCs w:val="22"/>
        </w:rPr>
        <w:t xml:space="preserve"> před</w:t>
      </w:r>
      <w:r w:rsidR="004A2209">
        <w:rPr>
          <w:rFonts w:ascii="Arial" w:hAnsi="Arial" w:cs="Arial"/>
          <w:color w:val="000000"/>
          <w:spacing w:val="10"/>
          <w:sz w:val="22"/>
          <w:szCs w:val="22"/>
        </w:rPr>
        <w:t xml:space="preserve"> </w:t>
      </w:r>
      <w:r w:rsidRPr="00A35E28">
        <w:rPr>
          <w:rFonts w:ascii="Arial" w:hAnsi="Arial" w:cs="Arial"/>
          <w:color w:val="000000"/>
          <w:sz w:val="22"/>
          <w:szCs w:val="22"/>
        </w:rPr>
        <w:t>zda</w:t>
      </w:r>
      <w:r w:rsidRPr="00A35E28">
        <w:rPr>
          <w:rFonts w:ascii="Arial" w:hAnsi="Arial" w:cs="Arial"/>
          <w:color w:val="000000"/>
          <w:spacing w:val="-1"/>
          <w:sz w:val="22"/>
          <w:szCs w:val="22"/>
        </w:rPr>
        <w:t>n</w:t>
      </w:r>
      <w:r w:rsidRPr="00A35E28">
        <w:rPr>
          <w:rFonts w:ascii="Arial" w:hAnsi="Arial" w:cs="Arial"/>
          <w:color w:val="000000"/>
          <w:sz w:val="22"/>
          <w:szCs w:val="22"/>
        </w:rPr>
        <w:t>ěním,</w:t>
      </w:r>
      <w:r w:rsidRPr="00A35E28">
        <w:rPr>
          <w:rFonts w:ascii="Arial" w:hAnsi="Arial" w:cs="Arial"/>
          <w:color w:val="000000"/>
          <w:spacing w:val="5"/>
          <w:sz w:val="22"/>
          <w:szCs w:val="22"/>
        </w:rPr>
        <w:t xml:space="preserve"> </w:t>
      </w:r>
      <w:r w:rsidRPr="00A35E28">
        <w:rPr>
          <w:rFonts w:ascii="Arial" w:hAnsi="Arial" w:cs="Arial"/>
          <w:color w:val="000000"/>
          <w:sz w:val="22"/>
          <w:szCs w:val="22"/>
        </w:rPr>
        <w:t>který</w:t>
      </w:r>
      <w:r w:rsidRPr="00A35E28">
        <w:rPr>
          <w:rFonts w:ascii="Arial" w:hAnsi="Arial" w:cs="Arial"/>
          <w:color w:val="000000"/>
          <w:spacing w:val="10"/>
          <w:sz w:val="22"/>
          <w:szCs w:val="22"/>
        </w:rPr>
        <w:t xml:space="preserve"> </w:t>
      </w:r>
      <w:r w:rsidRPr="00A35E28">
        <w:rPr>
          <w:rFonts w:ascii="Arial" w:hAnsi="Arial" w:cs="Arial"/>
          <w:color w:val="000000"/>
          <w:sz w:val="22"/>
          <w:szCs w:val="22"/>
        </w:rPr>
        <w:t>zaji</w:t>
      </w:r>
      <w:r w:rsidRPr="00A35E28">
        <w:rPr>
          <w:rFonts w:ascii="Arial" w:hAnsi="Arial" w:cs="Arial"/>
          <w:color w:val="000000"/>
          <w:spacing w:val="1"/>
          <w:sz w:val="22"/>
          <w:szCs w:val="22"/>
        </w:rPr>
        <w:t>š</w:t>
      </w:r>
      <w:r w:rsidRPr="00A35E28">
        <w:rPr>
          <w:rFonts w:ascii="Arial" w:hAnsi="Arial" w:cs="Arial"/>
          <w:color w:val="000000"/>
          <w:sz w:val="22"/>
          <w:szCs w:val="22"/>
        </w:rPr>
        <w:t>ťuje</w:t>
      </w:r>
      <w:r w:rsidRPr="00A35E28">
        <w:rPr>
          <w:rFonts w:ascii="Arial" w:hAnsi="Arial" w:cs="Arial"/>
          <w:color w:val="000000"/>
          <w:spacing w:val="7"/>
          <w:sz w:val="22"/>
          <w:szCs w:val="22"/>
        </w:rPr>
        <w:t xml:space="preserve"> </w:t>
      </w:r>
      <w:r w:rsidRPr="00A35E28">
        <w:rPr>
          <w:rFonts w:ascii="Arial" w:hAnsi="Arial" w:cs="Arial"/>
          <w:color w:val="000000"/>
          <w:spacing w:val="-1"/>
          <w:sz w:val="22"/>
          <w:szCs w:val="22"/>
        </w:rPr>
        <w:t>n</w:t>
      </w:r>
      <w:r w:rsidRPr="00A35E28">
        <w:rPr>
          <w:rFonts w:ascii="Arial" w:hAnsi="Arial" w:cs="Arial"/>
          <w:color w:val="000000"/>
          <w:sz w:val="22"/>
          <w:szCs w:val="22"/>
        </w:rPr>
        <w:t>ávratnost vynaložených</w:t>
      </w:r>
      <w:r w:rsidRPr="00A35E28">
        <w:rPr>
          <w:rFonts w:ascii="Arial" w:hAnsi="Arial" w:cs="Arial"/>
          <w:color w:val="000000"/>
          <w:spacing w:val="20"/>
          <w:sz w:val="22"/>
          <w:szCs w:val="22"/>
        </w:rPr>
        <w:t xml:space="preserve"> </w:t>
      </w:r>
      <w:r w:rsidRPr="00A35E28">
        <w:rPr>
          <w:rFonts w:ascii="Arial" w:hAnsi="Arial" w:cs="Arial"/>
          <w:color w:val="000000"/>
          <w:sz w:val="22"/>
          <w:szCs w:val="22"/>
        </w:rPr>
        <w:t>investic</w:t>
      </w:r>
      <w:r w:rsidR="0047095F">
        <w:rPr>
          <w:rFonts w:ascii="Arial" w:hAnsi="Arial" w:cs="Arial"/>
          <w:color w:val="000000"/>
          <w:spacing w:val="26"/>
          <w:sz w:val="22"/>
          <w:szCs w:val="22"/>
        </w:rPr>
        <w:t xml:space="preserve"> v </w:t>
      </w:r>
      <w:r w:rsidRPr="00A35E28">
        <w:rPr>
          <w:rFonts w:ascii="Arial" w:hAnsi="Arial" w:cs="Arial"/>
          <w:color w:val="000000"/>
          <w:spacing w:val="2"/>
          <w:sz w:val="22"/>
          <w:szCs w:val="22"/>
        </w:rPr>
        <w:t>p</w:t>
      </w:r>
      <w:r w:rsidRPr="00A35E28">
        <w:rPr>
          <w:rFonts w:ascii="Arial" w:hAnsi="Arial" w:cs="Arial"/>
          <w:color w:val="000000"/>
          <w:sz w:val="22"/>
          <w:szCs w:val="22"/>
        </w:rPr>
        <w:t>řiměřeném</w:t>
      </w:r>
      <w:r w:rsidRPr="00A35E28">
        <w:rPr>
          <w:rFonts w:ascii="Arial" w:hAnsi="Arial" w:cs="Arial"/>
          <w:color w:val="000000"/>
          <w:spacing w:val="21"/>
          <w:sz w:val="22"/>
          <w:szCs w:val="22"/>
        </w:rPr>
        <w:t xml:space="preserve"> </w:t>
      </w:r>
      <w:r w:rsidRPr="00A35E28">
        <w:rPr>
          <w:rFonts w:ascii="Arial" w:hAnsi="Arial" w:cs="Arial"/>
          <w:color w:val="000000"/>
          <w:spacing w:val="1"/>
          <w:sz w:val="22"/>
          <w:szCs w:val="22"/>
        </w:rPr>
        <w:t>č</w:t>
      </w:r>
      <w:r w:rsidRPr="00A35E28">
        <w:rPr>
          <w:rFonts w:ascii="Arial" w:hAnsi="Arial" w:cs="Arial"/>
          <w:color w:val="000000"/>
          <w:sz w:val="22"/>
          <w:szCs w:val="22"/>
        </w:rPr>
        <w:t>asovém</w:t>
      </w:r>
      <w:r w:rsidRPr="00A35E28">
        <w:rPr>
          <w:rFonts w:ascii="Arial" w:hAnsi="Arial" w:cs="Arial"/>
          <w:color w:val="000000"/>
          <w:spacing w:val="24"/>
          <w:sz w:val="22"/>
          <w:szCs w:val="22"/>
        </w:rPr>
        <w:t xml:space="preserve"> </w:t>
      </w:r>
      <w:r w:rsidRPr="00A35E28">
        <w:rPr>
          <w:rFonts w:ascii="Arial" w:hAnsi="Arial" w:cs="Arial"/>
          <w:color w:val="000000"/>
          <w:sz w:val="22"/>
          <w:szCs w:val="22"/>
        </w:rPr>
        <w:t>období</w:t>
      </w:r>
      <w:r w:rsidRPr="00A35E28">
        <w:rPr>
          <w:rFonts w:ascii="Arial" w:hAnsi="Arial" w:cs="Arial"/>
          <w:color w:val="000000"/>
          <w:spacing w:val="26"/>
          <w:sz w:val="22"/>
          <w:szCs w:val="22"/>
        </w:rPr>
        <w:t xml:space="preserve"> a</w:t>
      </w:r>
      <w:r w:rsidR="000D0C24">
        <w:rPr>
          <w:rFonts w:ascii="Arial" w:hAnsi="Arial" w:cs="Arial"/>
          <w:color w:val="000000"/>
          <w:spacing w:val="26"/>
          <w:sz w:val="22"/>
          <w:szCs w:val="22"/>
        </w:rPr>
        <w:t xml:space="preserve"> </w:t>
      </w:r>
      <w:r w:rsidRPr="00A35E28">
        <w:rPr>
          <w:rFonts w:ascii="Arial" w:hAnsi="Arial" w:cs="Arial"/>
          <w:color w:val="000000"/>
          <w:sz w:val="22"/>
          <w:szCs w:val="22"/>
        </w:rPr>
        <w:t>zo</w:t>
      </w:r>
      <w:r w:rsidRPr="00A35E28">
        <w:rPr>
          <w:rFonts w:ascii="Arial" w:hAnsi="Arial" w:cs="Arial"/>
          <w:color w:val="000000"/>
          <w:spacing w:val="-1"/>
          <w:sz w:val="22"/>
          <w:szCs w:val="22"/>
        </w:rPr>
        <w:t>h</w:t>
      </w:r>
      <w:r w:rsidRPr="00A35E28">
        <w:rPr>
          <w:rFonts w:ascii="Arial" w:hAnsi="Arial" w:cs="Arial"/>
          <w:color w:val="000000"/>
          <w:sz w:val="22"/>
          <w:szCs w:val="22"/>
        </w:rPr>
        <w:t>le</w:t>
      </w:r>
      <w:r w:rsidRPr="00A35E28">
        <w:rPr>
          <w:rFonts w:ascii="Arial" w:hAnsi="Arial" w:cs="Arial"/>
          <w:color w:val="000000"/>
          <w:spacing w:val="1"/>
          <w:sz w:val="22"/>
          <w:szCs w:val="22"/>
        </w:rPr>
        <w:t>d</w:t>
      </w:r>
      <w:r w:rsidRPr="00A35E28">
        <w:rPr>
          <w:rFonts w:ascii="Arial" w:hAnsi="Arial" w:cs="Arial"/>
          <w:color w:val="000000"/>
          <w:sz w:val="22"/>
          <w:szCs w:val="22"/>
        </w:rPr>
        <w:t>ňuje</w:t>
      </w:r>
      <w:r w:rsidRPr="00A35E28">
        <w:rPr>
          <w:rFonts w:ascii="Arial" w:hAnsi="Arial" w:cs="Arial"/>
          <w:color w:val="000000"/>
          <w:spacing w:val="22"/>
          <w:sz w:val="22"/>
          <w:szCs w:val="22"/>
        </w:rPr>
        <w:t xml:space="preserve"> </w:t>
      </w:r>
      <w:r w:rsidRPr="00A35E28">
        <w:rPr>
          <w:rFonts w:ascii="Arial" w:hAnsi="Arial" w:cs="Arial"/>
          <w:color w:val="000000"/>
          <w:sz w:val="22"/>
          <w:szCs w:val="22"/>
        </w:rPr>
        <w:t>přís</w:t>
      </w:r>
      <w:r w:rsidRPr="00A35E28">
        <w:rPr>
          <w:rFonts w:ascii="Arial" w:hAnsi="Arial" w:cs="Arial"/>
          <w:color w:val="000000"/>
          <w:spacing w:val="-1"/>
          <w:sz w:val="22"/>
          <w:szCs w:val="22"/>
        </w:rPr>
        <w:t>l</w:t>
      </w:r>
      <w:r w:rsidRPr="00A35E28">
        <w:rPr>
          <w:rFonts w:ascii="Arial" w:hAnsi="Arial" w:cs="Arial"/>
          <w:color w:val="000000"/>
          <w:sz w:val="22"/>
          <w:szCs w:val="22"/>
        </w:rPr>
        <w:t>ušná</w:t>
      </w:r>
      <w:r w:rsidRPr="00A35E28">
        <w:rPr>
          <w:rFonts w:ascii="Arial" w:hAnsi="Arial" w:cs="Arial"/>
          <w:color w:val="000000"/>
          <w:spacing w:val="24"/>
          <w:sz w:val="22"/>
          <w:szCs w:val="22"/>
        </w:rPr>
        <w:t xml:space="preserve"> </w:t>
      </w:r>
      <w:r w:rsidRPr="00A35E28">
        <w:rPr>
          <w:rFonts w:ascii="Arial" w:hAnsi="Arial" w:cs="Arial"/>
          <w:color w:val="000000"/>
          <w:sz w:val="22"/>
          <w:szCs w:val="22"/>
        </w:rPr>
        <w:t>riz</w:t>
      </w:r>
      <w:r w:rsidRPr="00A35E28">
        <w:rPr>
          <w:rFonts w:ascii="Arial" w:hAnsi="Arial" w:cs="Arial"/>
          <w:color w:val="000000"/>
          <w:spacing w:val="-1"/>
          <w:sz w:val="22"/>
          <w:szCs w:val="22"/>
        </w:rPr>
        <w:t>i</w:t>
      </w:r>
      <w:r w:rsidRPr="00A35E28">
        <w:rPr>
          <w:rFonts w:ascii="Arial" w:hAnsi="Arial" w:cs="Arial"/>
          <w:color w:val="000000"/>
          <w:sz w:val="22"/>
          <w:szCs w:val="22"/>
        </w:rPr>
        <w:t>ka</w:t>
      </w:r>
      <w:r w:rsidRPr="00A35E28">
        <w:rPr>
          <w:rFonts w:ascii="Arial" w:hAnsi="Arial" w:cs="Arial"/>
          <w:color w:val="000000"/>
          <w:spacing w:val="27"/>
          <w:sz w:val="22"/>
          <w:szCs w:val="22"/>
        </w:rPr>
        <w:t xml:space="preserve"> </w:t>
      </w:r>
      <w:r w:rsidRPr="004A2209">
        <w:rPr>
          <w:rFonts w:ascii="Arial" w:hAnsi="Arial" w:cs="Arial"/>
          <w:color w:val="000000"/>
          <w:sz w:val="22"/>
          <w:szCs w:val="22"/>
        </w:rPr>
        <w:t>a</w:t>
      </w:r>
      <w:r w:rsidR="004A2209">
        <w:rPr>
          <w:rFonts w:ascii="Arial" w:hAnsi="Arial" w:cs="Arial"/>
          <w:color w:val="000000"/>
          <w:spacing w:val="27"/>
          <w:sz w:val="22"/>
          <w:szCs w:val="22"/>
        </w:rPr>
        <w:t xml:space="preserve"> </w:t>
      </w:r>
      <w:r w:rsidRPr="00A35E28">
        <w:rPr>
          <w:rFonts w:ascii="Arial" w:hAnsi="Arial" w:cs="Arial"/>
          <w:color w:val="000000"/>
          <w:sz w:val="22"/>
          <w:szCs w:val="22"/>
        </w:rPr>
        <w:t>je vypo</w:t>
      </w:r>
      <w:r w:rsidRPr="00A35E28">
        <w:rPr>
          <w:rFonts w:ascii="Arial" w:hAnsi="Arial" w:cs="Arial"/>
          <w:color w:val="000000"/>
          <w:spacing w:val="1"/>
          <w:sz w:val="22"/>
          <w:szCs w:val="22"/>
        </w:rPr>
        <w:t>č</w:t>
      </w:r>
      <w:r w:rsidRPr="00A35E28">
        <w:rPr>
          <w:rFonts w:ascii="Arial" w:hAnsi="Arial" w:cs="Arial"/>
          <w:color w:val="000000"/>
          <w:sz w:val="22"/>
          <w:szCs w:val="22"/>
        </w:rPr>
        <w:t>tený</w:t>
      </w:r>
      <w:r w:rsidR="0047095F">
        <w:rPr>
          <w:rFonts w:ascii="Arial" w:hAnsi="Arial" w:cs="Arial"/>
          <w:color w:val="000000"/>
          <w:spacing w:val="-10"/>
          <w:sz w:val="22"/>
          <w:szCs w:val="22"/>
        </w:rPr>
        <w:t xml:space="preserve"> podle </w:t>
      </w:r>
      <w:r w:rsidRPr="00A35E28">
        <w:rPr>
          <w:rFonts w:ascii="Arial" w:hAnsi="Arial" w:cs="Arial"/>
          <w:color w:val="000000"/>
          <w:sz w:val="22"/>
          <w:szCs w:val="22"/>
        </w:rPr>
        <w:t>tohoto</w:t>
      </w:r>
      <w:r w:rsidRPr="00A35E28">
        <w:rPr>
          <w:rFonts w:ascii="Arial" w:hAnsi="Arial" w:cs="Arial"/>
          <w:color w:val="000000"/>
          <w:spacing w:val="-7"/>
          <w:sz w:val="22"/>
          <w:szCs w:val="22"/>
        </w:rPr>
        <w:t xml:space="preserve"> </w:t>
      </w:r>
      <w:r w:rsidRPr="00A35E28">
        <w:rPr>
          <w:rFonts w:ascii="Arial" w:hAnsi="Arial" w:cs="Arial"/>
          <w:color w:val="000000"/>
          <w:sz w:val="22"/>
          <w:szCs w:val="22"/>
        </w:rPr>
        <w:t>opa</w:t>
      </w:r>
      <w:r w:rsidRPr="00A35E28">
        <w:rPr>
          <w:rFonts w:ascii="Arial" w:hAnsi="Arial" w:cs="Arial"/>
          <w:color w:val="000000"/>
          <w:spacing w:val="1"/>
          <w:sz w:val="22"/>
          <w:szCs w:val="22"/>
        </w:rPr>
        <w:t>t</w:t>
      </w:r>
      <w:r w:rsidRPr="00A35E28">
        <w:rPr>
          <w:rFonts w:ascii="Arial" w:hAnsi="Arial" w:cs="Arial"/>
          <w:color w:val="000000"/>
          <w:sz w:val="22"/>
          <w:szCs w:val="22"/>
        </w:rPr>
        <w:t>ření</w:t>
      </w:r>
      <w:r w:rsidRPr="00C905FA">
        <w:rPr>
          <w:rFonts w:ascii="Arial" w:hAnsi="Arial" w:cs="Arial"/>
          <w:color w:val="000000"/>
          <w:sz w:val="22"/>
          <w:szCs w:val="22"/>
        </w:rPr>
        <w:t>, náklady jsou vyčísleny metodou WACC (vážené průměrné náklady kapitálu),</w:t>
      </w:r>
    </w:p>
    <w:p w:rsidR="004A6A67" w:rsidRPr="00A35E28" w:rsidRDefault="004A6A67" w:rsidP="006D177F">
      <w:pPr>
        <w:widowControl w:val="0"/>
        <w:autoSpaceDE w:val="0"/>
        <w:autoSpaceDN w:val="0"/>
        <w:adjustRightInd w:val="0"/>
        <w:spacing w:before="120" w:after="120"/>
        <w:ind w:left="709" w:hanging="284"/>
        <w:jc w:val="both"/>
        <w:rPr>
          <w:rFonts w:ascii="Arial" w:hAnsi="Arial" w:cs="Arial"/>
          <w:color w:val="000000"/>
          <w:sz w:val="22"/>
          <w:szCs w:val="22"/>
        </w:rPr>
      </w:pPr>
      <w:r w:rsidRPr="00A35E28">
        <w:rPr>
          <w:rFonts w:ascii="Arial" w:hAnsi="Arial" w:cs="Arial"/>
          <w:color w:val="000000"/>
          <w:sz w:val="22"/>
          <w:szCs w:val="22"/>
        </w:rPr>
        <w:t>h)</w:t>
      </w:r>
      <w:r w:rsidRPr="00A35E28">
        <w:rPr>
          <w:rFonts w:ascii="Arial" w:hAnsi="Arial" w:cs="Arial"/>
          <w:color w:val="000000"/>
          <w:sz w:val="22"/>
          <w:szCs w:val="22"/>
        </w:rPr>
        <w:tab/>
      </w:r>
      <w:r w:rsidRPr="00A35E28">
        <w:rPr>
          <w:rFonts w:ascii="Arial" w:hAnsi="Arial" w:cs="Arial"/>
          <w:b/>
          <w:bCs/>
          <w:color w:val="000000"/>
          <w:sz w:val="22"/>
          <w:szCs w:val="22"/>
        </w:rPr>
        <w:t>vloženým</w:t>
      </w:r>
      <w:r w:rsidRPr="00A35E28">
        <w:rPr>
          <w:rFonts w:ascii="Arial" w:hAnsi="Arial" w:cs="Arial"/>
          <w:b/>
          <w:bCs/>
          <w:color w:val="000000"/>
          <w:spacing w:val="3"/>
          <w:sz w:val="22"/>
          <w:szCs w:val="22"/>
        </w:rPr>
        <w:t xml:space="preserve"> </w:t>
      </w:r>
      <w:r w:rsidRPr="00A35E28">
        <w:rPr>
          <w:rFonts w:ascii="Arial" w:hAnsi="Arial" w:cs="Arial"/>
          <w:b/>
          <w:bCs/>
          <w:color w:val="000000"/>
          <w:sz w:val="22"/>
          <w:szCs w:val="22"/>
        </w:rPr>
        <w:t>kapitálem</w:t>
      </w:r>
      <w:r w:rsidRPr="00A35E28">
        <w:rPr>
          <w:rFonts w:ascii="Arial" w:hAnsi="Arial" w:cs="Arial"/>
          <w:b/>
          <w:bCs/>
          <w:color w:val="000000"/>
          <w:spacing w:val="4"/>
          <w:sz w:val="22"/>
          <w:szCs w:val="22"/>
        </w:rPr>
        <w:t xml:space="preserve"> </w:t>
      </w:r>
      <w:r w:rsidRPr="000D0C24">
        <w:rPr>
          <w:rFonts w:ascii="Arial" w:hAnsi="Arial" w:cs="Arial"/>
          <w:color w:val="000000"/>
          <w:sz w:val="22"/>
          <w:szCs w:val="22"/>
        </w:rPr>
        <w:t>č</w:t>
      </w:r>
      <w:r w:rsidRPr="00A35E28">
        <w:rPr>
          <w:rFonts w:ascii="Arial" w:hAnsi="Arial" w:cs="Arial"/>
          <w:color w:val="000000"/>
          <w:sz w:val="22"/>
          <w:szCs w:val="22"/>
        </w:rPr>
        <w:t>istá</w:t>
      </w:r>
      <w:r w:rsidRPr="000D0C24">
        <w:rPr>
          <w:rFonts w:ascii="Arial" w:hAnsi="Arial" w:cs="Arial"/>
          <w:color w:val="000000"/>
          <w:sz w:val="22"/>
          <w:szCs w:val="22"/>
        </w:rPr>
        <w:t xml:space="preserve"> úč</w:t>
      </w:r>
      <w:r w:rsidRPr="00A35E28">
        <w:rPr>
          <w:rFonts w:ascii="Arial" w:hAnsi="Arial" w:cs="Arial"/>
          <w:color w:val="000000"/>
          <w:sz w:val="22"/>
          <w:szCs w:val="22"/>
        </w:rPr>
        <w:t>etní</w:t>
      </w:r>
      <w:r w:rsidRPr="000D0C24">
        <w:rPr>
          <w:rFonts w:ascii="Arial" w:hAnsi="Arial" w:cs="Arial"/>
          <w:color w:val="000000"/>
          <w:sz w:val="22"/>
          <w:szCs w:val="22"/>
        </w:rPr>
        <w:t xml:space="preserve"> </w:t>
      </w:r>
      <w:r w:rsidRPr="00A35E28">
        <w:rPr>
          <w:rFonts w:ascii="Arial" w:hAnsi="Arial" w:cs="Arial"/>
          <w:color w:val="000000"/>
          <w:sz w:val="22"/>
          <w:szCs w:val="22"/>
        </w:rPr>
        <w:t>(</w:t>
      </w:r>
      <w:r w:rsidRPr="000D0C24">
        <w:rPr>
          <w:rFonts w:ascii="Arial" w:hAnsi="Arial" w:cs="Arial"/>
          <w:color w:val="000000"/>
          <w:sz w:val="22"/>
          <w:szCs w:val="22"/>
        </w:rPr>
        <w:t>z</w:t>
      </w:r>
      <w:r w:rsidRPr="00A35E28">
        <w:rPr>
          <w:rFonts w:ascii="Arial" w:hAnsi="Arial" w:cs="Arial"/>
          <w:color w:val="000000"/>
          <w:sz w:val="22"/>
          <w:szCs w:val="22"/>
        </w:rPr>
        <w:t>ůstatko</w:t>
      </w:r>
      <w:r w:rsidRPr="000D0C24">
        <w:rPr>
          <w:rFonts w:ascii="Arial" w:hAnsi="Arial" w:cs="Arial"/>
          <w:color w:val="000000"/>
          <w:sz w:val="22"/>
          <w:szCs w:val="22"/>
        </w:rPr>
        <w:t>v</w:t>
      </w:r>
      <w:r w:rsidRPr="00A35E28">
        <w:rPr>
          <w:rFonts w:ascii="Arial" w:hAnsi="Arial" w:cs="Arial"/>
          <w:color w:val="000000"/>
          <w:sz w:val="22"/>
          <w:szCs w:val="22"/>
        </w:rPr>
        <w:t>á)</w:t>
      </w:r>
      <w:r w:rsidRPr="000D0C24">
        <w:rPr>
          <w:rFonts w:ascii="Arial" w:hAnsi="Arial" w:cs="Arial"/>
          <w:color w:val="000000"/>
          <w:sz w:val="22"/>
          <w:szCs w:val="22"/>
        </w:rPr>
        <w:t xml:space="preserve"> </w:t>
      </w:r>
      <w:r w:rsidRPr="00A35E28">
        <w:rPr>
          <w:rFonts w:ascii="Arial" w:hAnsi="Arial" w:cs="Arial"/>
          <w:color w:val="000000"/>
          <w:sz w:val="22"/>
          <w:szCs w:val="22"/>
        </w:rPr>
        <w:t>hodnota</w:t>
      </w:r>
      <w:r w:rsidRPr="000D0C24">
        <w:rPr>
          <w:rFonts w:ascii="Arial" w:hAnsi="Arial" w:cs="Arial"/>
          <w:color w:val="000000"/>
          <w:sz w:val="22"/>
          <w:szCs w:val="22"/>
        </w:rPr>
        <w:t xml:space="preserve"> </w:t>
      </w:r>
      <w:r w:rsidRPr="00A35E28">
        <w:rPr>
          <w:rFonts w:ascii="Arial" w:hAnsi="Arial" w:cs="Arial"/>
          <w:color w:val="000000"/>
          <w:sz w:val="22"/>
          <w:szCs w:val="22"/>
        </w:rPr>
        <w:t>dlouhodo</w:t>
      </w:r>
      <w:r w:rsidRPr="000D0C24">
        <w:rPr>
          <w:rFonts w:ascii="Arial" w:hAnsi="Arial" w:cs="Arial"/>
          <w:color w:val="000000"/>
          <w:sz w:val="22"/>
          <w:szCs w:val="22"/>
        </w:rPr>
        <w:t>b</w:t>
      </w:r>
      <w:r w:rsidRPr="00A35E28">
        <w:rPr>
          <w:rFonts w:ascii="Arial" w:hAnsi="Arial" w:cs="Arial"/>
          <w:color w:val="000000"/>
          <w:sz w:val="22"/>
          <w:szCs w:val="22"/>
        </w:rPr>
        <w:t>ého hmotného</w:t>
      </w:r>
      <w:r w:rsidRPr="000D0C24">
        <w:rPr>
          <w:rFonts w:ascii="Arial" w:hAnsi="Arial" w:cs="Arial"/>
          <w:color w:val="000000"/>
          <w:sz w:val="22"/>
          <w:szCs w:val="22"/>
        </w:rPr>
        <w:t xml:space="preserve"> </w:t>
      </w:r>
      <w:r w:rsidR="00083538" w:rsidRPr="000D0C24">
        <w:rPr>
          <w:rFonts w:ascii="Arial" w:hAnsi="Arial" w:cs="Arial"/>
          <w:color w:val="000000"/>
          <w:sz w:val="22"/>
          <w:szCs w:val="22"/>
        </w:rPr>
        <w:br/>
      </w:r>
      <w:r w:rsidRPr="000D0C24">
        <w:rPr>
          <w:rFonts w:ascii="Arial" w:hAnsi="Arial" w:cs="Arial"/>
          <w:color w:val="000000"/>
          <w:sz w:val="22"/>
          <w:szCs w:val="22"/>
        </w:rPr>
        <w:t>a</w:t>
      </w:r>
      <w:r w:rsidR="00083538" w:rsidRPr="000D0C24">
        <w:rPr>
          <w:rFonts w:ascii="Arial" w:hAnsi="Arial" w:cs="Arial"/>
          <w:color w:val="000000"/>
          <w:sz w:val="22"/>
          <w:szCs w:val="22"/>
        </w:rPr>
        <w:t xml:space="preserve"> </w:t>
      </w:r>
      <w:r w:rsidRPr="00A35E28">
        <w:rPr>
          <w:rFonts w:ascii="Arial" w:hAnsi="Arial" w:cs="Arial"/>
          <w:color w:val="000000"/>
          <w:sz w:val="22"/>
          <w:szCs w:val="22"/>
        </w:rPr>
        <w:t>nehmotného</w:t>
      </w:r>
      <w:r w:rsidRPr="000D0C24">
        <w:rPr>
          <w:rFonts w:ascii="Arial" w:hAnsi="Arial" w:cs="Arial"/>
          <w:color w:val="000000"/>
          <w:sz w:val="22"/>
          <w:szCs w:val="22"/>
        </w:rPr>
        <w:t xml:space="preserve"> </w:t>
      </w:r>
      <w:r w:rsidRPr="00A35E28">
        <w:rPr>
          <w:rFonts w:ascii="Arial" w:hAnsi="Arial" w:cs="Arial"/>
          <w:color w:val="000000"/>
          <w:sz w:val="22"/>
          <w:szCs w:val="22"/>
        </w:rPr>
        <w:t>majetku</w:t>
      </w:r>
      <w:r w:rsidRPr="000D0C24">
        <w:rPr>
          <w:rFonts w:ascii="Arial" w:hAnsi="Arial" w:cs="Arial"/>
          <w:color w:val="000000"/>
          <w:sz w:val="22"/>
          <w:szCs w:val="22"/>
        </w:rPr>
        <w:t xml:space="preserve"> </w:t>
      </w:r>
      <w:r w:rsidRPr="00A35E28">
        <w:rPr>
          <w:rFonts w:ascii="Arial" w:hAnsi="Arial" w:cs="Arial"/>
          <w:color w:val="000000"/>
          <w:sz w:val="22"/>
          <w:szCs w:val="22"/>
        </w:rPr>
        <w:t>nutného</w:t>
      </w:r>
      <w:r w:rsidRPr="000D0C24">
        <w:rPr>
          <w:rFonts w:ascii="Arial" w:hAnsi="Arial" w:cs="Arial"/>
          <w:color w:val="000000"/>
          <w:sz w:val="22"/>
          <w:szCs w:val="22"/>
        </w:rPr>
        <w:t xml:space="preserve"> pro</w:t>
      </w:r>
      <w:r w:rsidR="00083538" w:rsidRPr="000D0C24">
        <w:rPr>
          <w:rFonts w:ascii="Arial" w:hAnsi="Arial" w:cs="Arial"/>
          <w:color w:val="000000"/>
          <w:sz w:val="22"/>
          <w:szCs w:val="22"/>
        </w:rPr>
        <w:t xml:space="preserve"> </w:t>
      </w:r>
      <w:r w:rsidRPr="00A35E28">
        <w:rPr>
          <w:rFonts w:ascii="Arial" w:hAnsi="Arial" w:cs="Arial"/>
          <w:color w:val="000000"/>
          <w:sz w:val="22"/>
          <w:szCs w:val="22"/>
        </w:rPr>
        <w:t>poskytování</w:t>
      </w:r>
      <w:r w:rsidRPr="000D0C24">
        <w:rPr>
          <w:rFonts w:ascii="Arial" w:hAnsi="Arial" w:cs="Arial"/>
          <w:color w:val="000000"/>
          <w:sz w:val="22"/>
          <w:szCs w:val="22"/>
        </w:rPr>
        <w:t xml:space="preserve"> </w:t>
      </w:r>
      <w:r w:rsidRPr="00A35E28">
        <w:rPr>
          <w:rFonts w:ascii="Arial" w:hAnsi="Arial" w:cs="Arial"/>
          <w:color w:val="000000"/>
          <w:sz w:val="22"/>
          <w:szCs w:val="22"/>
        </w:rPr>
        <w:t>služby</w:t>
      </w:r>
      <w:r w:rsidRPr="000D0C24">
        <w:rPr>
          <w:rFonts w:ascii="Arial" w:hAnsi="Arial" w:cs="Arial"/>
          <w:color w:val="000000"/>
          <w:sz w:val="22"/>
          <w:szCs w:val="22"/>
        </w:rPr>
        <w:t xml:space="preserve"> </w:t>
      </w:r>
      <w:r w:rsidRPr="00A35E28">
        <w:rPr>
          <w:rFonts w:ascii="Arial" w:hAnsi="Arial" w:cs="Arial"/>
          <w:color w:val="000000"/>
          <w:sz w:val="22"/>
          <w:szCs w:val="22"/>
        </w:rPr>
        <w:t>elektron</w:t>
      </w:r>
      <w:r w:rsidRPr="000D0C24">
        <w:rPr>
          <w:rFonts w:ascii="Arial" w:hAnsi="Arial" w:cs="Arial"/>
          <w:color w:val="000000"/>
          <w:sz w:val="22"/>
          <w:szCs w:val="22"/>
        </w:rPr>
        <w:t>i</w:t>
      </w:r>
      <w:r w:rsidRPr="00A35E28">
        <w:rPr>
          <w:rFonts w:ascii="Arial" w:hAnsi="Arial" w:cs="Arial"/>
          <w:color w:val="000000"/>
          <w:sz w:val="22"/>
          <w:szCs w:val="22"/>
        </w:rPr>
        <w:t>ckých komunikací vypo</w:t>
      </w:r>
      <w:r w:rsidRPr="000D0C24">
        <w:rPr>
          <w:rFonts w:ascii="Arial" w:hAnsi="Arial" w:cs="Arial"/>
          <w:color w:val="000000"/>
          <w:sz w:val="22"/>
          <w:szCs w:val="22"/>
        </w:rPr>
        <w:t>č</w:t>
      </w:r>
      <w:r w:rsidRPr="00A35E28">
        <w:rPr>
          <w:rFonts w:ascii="Arial" w:hAnsi="Arial" w:cs="Arial"/>
          <w:color w:val="000000"/>
          <w:sz w:val="22"/>
          <w:szCs w:val="22"/>
        </w:rPr>
        <w:t>tená</w:t>
      </w:r>
      <w:r w:rsidRPr="000D0C24">
        <w:rPr>
          <w:rFonts w:ascii="Arial" w:hAnsi="Arial" w:cs="Arial"/>
          <w:color w:val="000000"/>
          <w:sz w:val="22"/>
          <w:szCs w:val="22"/>
        </w:rPr>
        <w:t xml:space="preserve"> jako</w:t>
      </w:r>
      <w:r w:rsidR="00083538" w:rsidRPr="000D0C24">
        <w:rPr>
          <w:rFonts w:ascii="Arial" w:hAnsi="Arial" w:cs="Arial"/>
          <w:color w:val="000000"/>
          <w:sz w:val="22"/>
          <w:szCs w:val="22"/>
        </w:rPr>
        <w:t xml:space="preserve"> </w:t>
      </w:r>
      <w:r w:rsidRPr="00A35E28">
        <w:rPr>
          <w:rFonts w:ascii="Arial" w:hAnsi="Arial" w:cs="Arial"/>
          <w:color w:val="000000"/>
          <w:sz w:val="22"/>
          <w:szCs w:val="22"/>
        </w:rPr>
        <w:t>p</w:t>
      </w:r>
      <w:r w:rsidRPr="000D0C24">
        <w:rPr>
          <w:rFonts w:ascii="Arial" w:hAnsi="Arial" w:cs="Arial"/>
          <w:color w:val="000000"/>
          <w:sz w:val="22"/>
          <w:szCs w:val="22"/>
        </w:rPr>
        <w:t>r</w:t>
      </w:r>
      <w:r w:rsidRPr="00A35E28">
        <w:rPr>
          <w:rFonts w:ascii="Arial" w:hAnsi="Arial" w:cs="Arial"/>
          <w:color w:val="000000"/>
          <w:sz w:val="22"/>
          <w:szCs w:val="22"/>
        </w:rPr>
        <w:t>ůměr</w:t>
      </w:r>
      <w:r w:rsidRPr="000D0C24">
        <w:rPr>
          <w:rFonts w:ascii="Arial" w:hAnsi="Arial" w:cs="Arial"/>
          <w:color w:val="000000"/>
          <w:sz w:val="22"/>
          <w:szCs w:val="22"/>
        </w:rPr>
        <w:t xml:space="preserve"> </w:t>
      </w:r>
      <w:r w:rsidRPr="00A35E28">
        <w:rPr>
          <w:rFonts w:ascii="Arial" w:hAnsi="Arial" w:cs="Arial"/>
          <w:color w:val="000000"/>
          <w:sz w:val="22"/>
          <w:szCs w:val="22"/>
        </w:rPr>
        <w:t>ze</w:t>
      </w:r>
      <w:r w:rsidRPr="000D0C24">
        <w:rPr>
          <w:rFonts w:ascii="Arial" w:hAnsi="Arial" w:cs="Arial"/>
          <w:color w:val="000000"/>
          <w:sz w:val="22"/>
          <w:szCs w:val="22"/>
        </w:rPr>
        <w:t xml:space="preserve"> </w:t>
      </w:r>
      <w:r w:rsidRPr="00A35E28">
        <w:rPr>
          <w:rFonts w:ascii="Arial" w:hAnsi="Arial" w:cs="Arial"/>
          <w:color w:val="000000"/>
          <w:sz w:val="22"/>
          <w:szCs w:val="22"/>
        </w:rPr>
        <w:t>stavů</w:t>
      </w:r>
      <w:r w:rsidRPr="000D0C24">
        <w:rPr>
          <w:rFonts w:ascii="Arial" w:hAnsi="Arial" w:cs="Arial"/>
          <w:color w:val="000000"/>
          <w:sz w:val="22"/>
          <w:szCs w:val="22"/>
        </w:rPr>
        <w:t xml:space="preserve"> k</w:t>
      </w:r>
      <w:r w:rsidR="00083538" w:rsidRPr="000D0C24">
        <w:rPr>
          <w:rFonts w:ascii="Arial" w:hAnsi="Arial" w:cs="Arial"/>
          <w:color w:val="000000"/>
          <w:sz w:val="22"/>
          <w:szCs w:val="22"/>
        </w:rPr>
        <w:t xml:space="preserve"> </w:t>
      </w:r>
      <w:r w:rsidRPr="000D0C24">
        <w:rPr>
          <w:rFonts w:ascii="Arial" w:hAnsi="Arial" w:cs="Arial"/>
          <w:color w:val="000000"/>
          <w:sz w:val="22"/>
          <w:szCs w:val="22"/>
        </w:rPr>
        <w:t>p</w:t>
      </w:r>
      <w:r w:rsidRPr="00A35E28">
        <w:rPr>
          <w:rFonts w:ascii="Arial" w:hAnsi="Arial" w:cs="Arial"/>
          <w:color w:val="000000"/>
          <w:sz w:val="22"/>
          <w:szCs w:val="22"/>
        </w:rPr>
        <w:t>rvnímu</w:t>
      </w:r>
      <w:r w:rsidRPr="000D0C24">
        <w:rPr>
          <w:rFonts w:ascii="Arial" w:hAnsi="Arial" w:cs="Arial"/>
          <w:color w:val="000000"/>
          <w:sz w:val="22"/>
          <w:szCs w:val="22"/>
        </w:rPr>
        <w:t xml:space="preserve"> a</w:t>
      </w:r>
      <w:r w:rsidR="00083538" w:rsidRPr="000D0C24">
        <w:rPr>
          <w:rFonts w:ascii="Arial" w:hAnsi="Arial" w:cs="Arial"/>
          <w:color w:val="000000"/>
          <w:sz w:val="22"/>
          <w:szCs w:val="22"/>
        </w:rPr>
        <w:t xml:space="preserve"> </w:t>
      </w:r>
      <w:r w:rsidRPr="00A35E28">
        <w:rPr>
          <w:rFonts w:ascii="Arial" w:hAnsi="Arial" w:cs="Arial"/>
          <w:color w:val="000000"/>
          <w:sz w:val="22"/>
          <w:szCs w:val="22"/>
        </w:rPr>
        <w:t>p</w:t>
      </w:r>
      <w:r w:rsidRPr="000D0C24">
        <w:rPr>
          <w:rFonts w:ascii="Arial" w:hAnsi="Arial" w:cs="Arial"/>
          <w:color w:val="000000"/>
          <w:sz w:val="22"/>
          <w:szCs w:val="22"/>
        </w:rPr>
        <w:t>o</w:t>
      </w:r>
      <w:r w:rsidRPr="00A35E28">
        <w:rPr>
          <w:rFonts w:ascii="Arial" w:hAnsi="Arial" w:cs="Arial"/>
          <w:color w:val="000000"/>
          <w:sz w:val="22"/>
          <w:szCs w:val="22"/>
        </w:rPr>
        <w:t>slednímu</w:t>
      </w:r>
      <w:r w:rsidRPr="000D0C24">
        <w:rPr>
          <w:rFonts w:ascii="Arial" w:hAnsi="Arial" w:cs="Arial"/>
          <w:color w:val="000000"/>
          <w:sz w:val="22"/>
          <w:szCs w:val="22"/>
        </w:rPr>
        <w:t xml:space="preserve"> </w:t>
      </w:r>
      <w:r w:rsidRPr="00A35E28">
        <w:rPr>
          <w:rFonts w:ascii="Arial" w:hAnsi="Arial" w:cs="Arial"/>
          <w:color w:val="000000"/>
          <w:sz w:val="22"/>
          <w:szCs w:val="22"/>
        </w:rPr>
        <w:t>dni</w:t>
      </w:r>
      <w:r w:rsidRPr="000D0C24">
        <w:rPr>
          <w:rFonts w:ascii="Arial" w:hAnsi="Arial" w:cs="Arial"/>
          <w:color w:val="000000"/>
          <w:sz w:val="22"/>
          <w:szCs w:val="22"/>
        </w:rPr>
        <w:t xml:space="preserve"> </w:t>
      </w:r>
      <w:r w:rsidRPr="00A35E28">
        <w:rPr>
          <w:rFonts w:ascii="Arial" w:hAnsi="Arial" w:cs="Arial"/>
          <w:color w:val="000000"/>
          <w:sz w:val="22"/>
          <w:szCs w:val="22"/>
        </w:rPr>
        <w:t>vykazova</w:t>
      </w:r>
      <w:r w:rsidRPr="000D0C24">
        <w:rPr>
          <w:rFonts w:ascii="Arial" w:hAnsi="Arial" w:cs="Arial"/>
          <w:color w:val="000000"/>
          <w:sz w:val="22"/>
          <w:szCs w:val="22"/>
        </w:rPr>
        <w:t>n</w:t>
      </w:r>
      <w:r w:rsidRPr="00A35E28">
        <w:rPr>
          <w:rFonts w:ascii="Arial" w:hAnsi="Arial" w:cs="Arial"/>
          <w:color w:val="000000"/>
          <w:sz w:val="22"/>
          <w:szCs w:val="22"/>
        </w:rPr>
        <w:t>ého</w:t>
      </w:r>
      <w:r w:rsidRPr="000D0C24">
        <w:rPr>
          <w:rFonts w:ascii="Arial" w:hAnsi="Arial" w:cs="Arial"/>
          <w:color w:val="000000"/>
          <w:sz w:val="22"/>
          <w:szCs w:val="22"/>
        </w:rPr>
        <w:t xml:space="preserve"> </w:t>
      </w:r>
      <w:r w:rsidRPr="00A35E28">
        <w:rPr>
          <w:rFonts w:ascii="Arial" w:hAnsi="Arial" w:cs="Arial"/>
          <w:color w:val="000000"/>
          <w:sz w:val="22"/>
          <w:szCs w:val="22"/>
        </w:rPr>
        <w:t>období,</w:t>
      </w:r>
    </w:p>
    <w:p w:rsidR="004A6A67" w:rsidRPr="00A35E28" w:rsidRDefault="00E36F0C" w:rsidP="00F13ABF">
      <w:pPr>
        <w:widowControl w:val="0"/>
        <w:autoSpaceDE w:val="0"/>
        <w:autoSpaceDN w:val="0"/>
        <w:adjustRightInd w:val="0"/>
        <w:spacing w:before="120" w:after="120"/>
        <w:ind w:left="709" w:hanging="284"/>
        <w:jc w:val="both"/>
        <w:rPr>
          <w:rFonts w:ascii="Arial" w:hAnsi="Arial" w:cs="Arial"/>
          <w:color w:val="000000"/>
          <w:sz w:val="22"/>
          <w:szCs w:val="22"/>
        </w:rPr>
      </w:pPr>
      <w:r>
        <w:rPr>
          <w:rFonts w:ascii="Arial" w:hAnsi="Arial" w:cs="Arial"/>
          <w:color w:val="000000"/>
          <w:sz w:val="22"/>
          <w:szCs w:val="22"/>
        </w:rPr>
        <w:t>i)</w:t>
      </w:r>
      <w:r w:rsidR="004A6A67" w:rsidRPr="00A35E28">
        <w:rPr>
          <w:rFonts w:ascii="Arial" w:hAnsi="Arial" w:cs="Arial"/>
          <w:color w:val="000000"/>
          <w:sz w:val="22"/>
          <w:szCs w:val="22"/>
        </w:rPr>
        <w:tab/>
      </w:r>
      <w:r w:rsidR="004A6A67" w:rsidRPr="00A35E28">
        <w:rPr>
          <w:rFonts w:ascii="Arial" w:hAnsi="Arial" w:cs="Arial"/>
          <w:b/>
          <w:bCs/>
          <w:color w:val="000000"/>
          <w:sz w:val="22"/>
          <w:szCs w:val="22"/>
        </w:rPr>
        <w:t>regulovanou</w:t>
      </w:r>
      <w:r w:rsidR="004A6A67" w:rsidRPr="00A35E28">
        <w:rPr>
          <w:rFonts w:ascii="Arial" w:hAnsi="Arial" w:cs="Arial"/>
          <w:b/>
          <w:bCs/>
          <w:color w:val="000000"/>
          <w:spacing w:val="-6"/>
          <w:sz w:val="22"/>
          <w:szCs w:val="22"/>
        </w:rPr>
        <w:t xml:space="preserve"> </w:t>
      </w:r>
      <w:r w:rsidR="004A6A67" w:rsidRPr="00A35E28">
        <w:rPr>
          <w:rFonts w:ascii="Arial" w:hAnsi="Arial" w:cs="Arial"/>
          <w:b/>
          <w:bCs/>
          <w:color w:val="000000"/>
          <w:sz w:val="22"/>
          <w:szCs w:val="22"/>
        </w:rPr>
        <w:t>službou</w:t>
      </w:r>
      <w:r w:rsidR="004A6A67" w:rsidRPr="00A35E28">
        <w:rPr>
          <w:rFonts w:ascii="Arial" w:hAnsi="Arial" w:cs="Arial"/>
          <w:b/>
          <w:bCs/>
          <w:color w:val="000000"/>
          <w:spacing w:val="-3"/>
          <w:sz w:val="22"/>
          <w:szCs w:val="22"/>
        </w:rPr>
        <w:t xml:space="preserve"> </w:t>
      </w:r>
      <w:r w:rsidR="004A6A67" w:rsidRPr="00A35E28">
        <w:rPr>
          <w:rFonts w:ascii="Arial" w:hAnsi="Arial" w:cs="Arial"/>
          <w:color w:val="000000"/>
          <w:sz w:val="22"/>
          <w:szCs w:val="22"/>
        </w:rPr>
        <w:t>služba p</w:t>
      </w:r>
      <w:r w:rsidR="004A6A67" w:rsidRPr="00A35E28">
        <w:rPr>
          <w:rFonts w:ascii="Arial" w:hAnsi="Arial" w:cs="Arial"/>
          <w:color w:val="000000"/>
          <w:spacing w:val="-1"/>
          <w:sz w:val="22"/>
          <w:szCs w:val="22"/>
        </w:rPr>
        <w:t>o</w:t>
      </w:r>
      <w:r w:rsidR="004A6A67" w:rsidRPr="00A35E28">
        <w:rPr>
          <w:rFonts w:ascii="Arial" w:hAnsi="Arial" w:cs="Arial"/>
          <w:color w:val="000000"/>
          <w:sz w:val="22"/>
          <w:szCs w:val="22"/>
        </w:rPr>
        <w:t>skytovaná</w:t>
      </w:r>
      <w:r w:rsidR="0047095F">
        <w:rPr>
          <w:rFonts w:ascii="Arial" w:hAnsi="Arial" w:cs="Arial"/>
          <w:color w:val="000000"/>
          <w:spacing w:val="-6"/>
          <w:sz w:val="22"/>
          <w:szCs w:val="22"/>
        </w:rPr>
        <w:t xml:space="preserve"> na </w:t>
      </w:r>
      <w:r w:rsidR="004A6A67" w:rsidRPr="00A35E28">
        <w:rPr>
          <w:rFonts w:ascii="Arial" w:hAnsi="Arial" w:cs="Arial"/>
          <w:color w:val="000000"/>
          <w:sz w:val="22"/>
          <w:szCs w:val="22"/>
        </w:rPr>
        <w:t>t</w:t>
      </w:r>
      <w:r w:rsidR="004A6A67" w:rsidRPr="00A35E28">
        <w:rPr>
          <w:rFonts w:ascii="Arial" w:hAnsi="Arial" w:cs="Arial"/>
          <w:color w:val="000000"/>
          <w:spacing w:val="-1"/>
          <w:sz w:val="22"/>
          <w:szCs w:val="22"/>
        </w:rPr>
        <w:t>r</w:t>
      </w:r>
      <w:r w:rsidR="004A6A67" w:rsidRPr="00A35E28">
        <w:rPr>
          <w:rFonts w:ascii="Arial" w:hAnsi="Arial" w:cs="Arial"/>
          <w:color w:val="000000"/>
          <w:sz w:val="22"/>
          <w:szCs w:val="22"/>
        </w:rPr>
        <w:t>hu,</w:t>
      </w:r>
      <w:r w:rsidR="0047095F">
        <w:rPr>
          <w:rFonts w:ascii="Arial" w:hAnsi="Arial" w:cs="Arial"/>
          <w:color w:val="000000"/>
          <w:spacing w:val="2"/>
          <w:sz w:val="22"/>
          <w:szCs w:val="22"/>
        </w:rPr>
        <w:t xml:space="preserve"> na </w:t>
      </w:r>
      <w:r w:rsidR="004A6A67" w:rsidRPr="00A35E28">
        <w:rPr>
          <w:rFonts w:ascii="Arial" w:hAnsi="Arial" w:cs="Arial"/>
          <w:color w:val="000000"/>
          <w:sz w:val="22"/>
          <w:szCs w:val="22"/>
        </w:rPr>
        <w:t>kter</w:t>
      </w:r>
      <w:r w:rsidR="004A6A67" w:rsidRPr="00A35E28">
        <w:rPr>
          <w:rFonts w:ascii="Arial" w:hAnsi="Arial" w:cs="Arial"/>
          <w:color w:val="000000"/>
          <w:spacing w:val="-1"/>
          <w:sz w:val="22"/>
          <w:szCs w:val="22"/>
        </w:rPr>
        <w:t>é</w:t>
      </w:r>
      <w:r w:rsidR="004A6A67" w:rsidRPr="00A35E28">
        <w:rPr>
          <w:rFonts w:ascii="Arial" w:hAnsi="Arial" w:cs="Arial"/>
          <w:color w:val="000000"/>
          <w:sz w:val="22"/>
          <w:szCs w:val="22"/>
        </w:rPr>
        <w:t>m</w:t>
      </w:r>
      <w:r w:rsidR="004A6A67" w:rsidRPr="00A35E28">
        <w:rPr>
          <w:rFonts w:ascii="Arial" w:hAnsi="Arial" w:cs="Arial"/>
          <w:color w:val="000000"/>
          <w:spacing w:val="-1"/>
          <w:sz w:val="22"/>
          <w:szCs w:val="22"/>
        </w:rPr>
        <w:t xml:space="preserve"> </w:t>
      </w:r>
      <w:r w:rsidR="004A6A67" w:rsidRPr="00A35E28">
        <w:rPr>
          <w:rFonts w:ascii="Arial" w:hAnsi="Arial" w:cs="Arial"/>
          <w:color w:val="000000"/>
          <w:sz w:val="22"/>
          <w:szCs w:val="22"/>
        </w:rPr>
        <w:t>byla</w:t>
      </w:r>
      <w:r w:rsidR="004A6A67" w:rsidRPr="00A35E28">
        <w:rPr>
          <w:rFonts w:ascii="Arial" w:hAnsi="Arial" w:cs="Arial"/>
          <w:color w:val="000000"/>
          <w:spacing w:val="2"/>
          <w:sz w:val="22"/>
          <w:szCs w:val="22"/>
        </w:rPr>
        <w:t xml:space="preserve"> </w:t>
      </w:r>
      <w:r w:rsidR="004A6A67" w:rsidRPr="00A35E28">
        <w:rPr>
          <w:rFonts w:ascii="Arial" w:hAnsi="Arial" w:cs="Arial"/>
          <w:color w:val="000000"/>
          <w:sz w:val="22"/>
          <w:szCs w:val="22"/>
        </w:rPr>
        <w:t>stanovenému</w:t>
      </w:r>
      <w:r w:rsidR="004A6A67" w:rsidRPr="00A35E28">
        <w:rPr>
          <w:rFonts w:ascii="Arial" w:hAnsi="Arial" w:cs="Arial"/>
          <w:color w:val="000000"/>
          <w:spacing w:val="-7"/>
          <w:sz w:val="22"/>
          <w:szCs w:val="22"/>
        </w:rPr>
        <w:t xml:space="preserve"> </w:t>
      </w:r>
      <w:r w:rsidR="004A6A67" w:rsidRPr="00A35E28">
        <w:rPr>
          <w:rFonts w:ascii="Arial" w:hAnsi="Arial" w:cs="Arial"/>
          <w:color w:val="000000"/>
          <w:sz w:val="22"/>
          <w:szCs w:val="22"/>
        </w:rPr>
        <w:t>p</w:t>
      </w:r>
      <w:r w:rsidR="004A6A67" w:rsidRPr="00A35E28">
        <w:rPr>
          <w:rFonts w:ascii="Arial" w:hAnsi="Arial" w:cs="Arial"/>
          <w:color w:val="000000"/>
          <w:spacing w:val="1"/>
          <w:sz w:val="22"/>
          <w:szCs w:val="22"/>
        </w:rPr>
        <w:t>o</w:t>
      </w:r>
      <w:r w:rsidR="004A6A67" w:rsidRPr="00A35E28">
        <w:rPr>
          <w:rFonts w:ascii="Arial" w:hAnsi="Arial" w:cs="Arial"/>
          <w:color w:val="000000"/>
          <w:sz w:val="22"/>
          <w:szCs w:val="22"/>
        </w:rPr>
        <w:t>dniku uložena</w:t>
      </w:r>
      <w:r w:rsidR="004A6A67" w:rsidRPr="00A35E28">
        <w:rPr>
          <w:rFonts w:ascii="Arial" w:hAnsi="Arial" w:cs="Arial"/>
          <w:color w:val="000000"/>
          <w:spacing w:val="4"/>
          <w:sz w:val="22"/>
          <w:szCs w:val="22"/>
        </w:rPr>
        <w:t xml:space="preserve"> </w:t>
      </w:r>
      <w:r w:rsidR="004A6A67" w:rsidRPr="00A35E28">
        <w:rPr>
          <w:rFonts w:ascii="Arial" w:hAnsi="Arial" w:cs="Arial"/>
          <w:color w:val="000000"/>
          <w:sz w:val="22"/>
          <w:szCs w:val="22"/>
        </w:rPr>
        <w:t>povinnost</w:t>
      </w:r>
      <w:r w:rsidR="004A6A67" w:rsidRPr="00A35E28">
        <w:rPr>
          <w:rFonts w:ascii="Arial" w:hAnsi="Arial" w:cs="Arial"/>
          <w:color w:val="000000"/>
          <w:spacing w:val="36"/>
          <w:sz w:val="22"/>
          <w:szCs w:val="22"/>
        </w:rPr>
        <w:t xml:space="preserve"> </w:t>
      </w:r>
      <w:r w:rsidR="004A6A67" w:rsidRPr="00A35E28">
        <w:rPr>
          <w:rFonts w:ascii="Arial" w:hAnsi="Arial" w:cs="Arial"/>
          <w:color w:val="000000"/>
          <w:sz w:val="22"/>
          <w:szCs w:val="22"/>
        </w:rPr>
        <w:t>vést</w:t>
      </w:r>
      <w:r w:rsidR="004A6A67" w:rsidRPr="00A35E28">
        <w:rPr>
          <w:rFonts w:ascii="Arial" w:hAnsi="Arial" w:cs="Arial"/>
          <w:color w:val="000000"/>
          <w:spacing w:val="6"/>
          <w:sz w:val="22"/>
          <w:szCs w:val="22"/>
        </w:rPr>
        <w:t xml:space="preserve"> </w:t>
      </w:r>
      <w:r w:rsidR="004A6A67" w:rsidRPr="00A35E28">
        <w:rPr>
          <w:rFonts w:ascii="Arial" w:hAnsi="Arial" w:cs="Arial"/>
          <w:color w:val="000000"/>
          <w:sz w:val="22"/>
          <w:szCs w:val="22"/>
        </w:rPr>
        <w:t>oddělenou evidenci</w:t>
      </w:r>
      <w:r w:rsidR="004A6A67" w:rsidRPr="00A35E28">
        <w:rPr>
          <w:rFonts w:ascii="Arial" w:hAnsi="Arial" w:cs="Arial"/>
          <w:color w:val="000000"/>
          <w:spacing w:val="3"/>
          <w:sz w:val="22"/>
          <w:szCs w:val="22"/>
        </w:rPr>
        <w:t xml:space="preserve"> </w:t>
      </w:r>
      <w:r w:rsidR="004A6A67" w:rsidRPr="00A35E28">
        <w:rPr>
          <w:rFonts w:ascii="Arial" w:hAnsi="Arial" w:cs="Arial"/>
          <w:color w:val="000000"/>
          <w:sz w:val="22"/>
          <w:szCs w:val="22"/>
        </w:rPr>
        <w:t>nebo</w:t>
      </w:r>
      <w:r w:rsidR="004A6A67" w:rsidRPr="00A35E28">
        <w:rPr>
          <w:rFonts w:ascii="Arial" w:hAnsi="Arial" w:cs="Arial"/>
          <w:color w:val="000000"/>
          <w:spacing w:val="6"/>
          <w:sz w:val="22"/>
          <w:szCs w:val="22"/>
        </w:rPr>
        <w:t xml:space="preserve"> </w:t>
      </w:r>
      <w:r w:rsidR="004A6A67" w:rsidRPr="00A35E28">
        <w:rPr>
          <w:rFonts w:ascii="Arial" w:hAnsi="Arial" w:cs="Arial"/>
          <w:color w:val="000000"/>
          <w:sz w:val="22"/>
          <w:szCs w:val="22"/>
        </w:rPr>
        <w:t>uložena</w:t>
      </w:r>
      <w:r w:rsidR="004A6A67" w:rsidRPr="00A35E28">
        <w:rPr>
          <w:rFonts w:ascii="Arial" w:hAnsi="Arial" w:cs="Arial"/>
          <w:color w:val="000000"/>
          <w:spacing w:val="4"/>
          <w:sz w:val="22"/>
          <w:szCs w:val="22"/>
        </w:rPr>
        <w:t xml:space="preserve"> </w:t>
      </w:r>
      <w:r w:rsidR="004A6A67" w:rsidRPr="00A35E28">
        <w:rPr>
          <w:rFonts w:ascii="Arial" w:hAnsi="Arial" w:cs="Arial"/>
          <w:color w:val="000000"/>
          <w:sz w:val="22"/>
          <w:szCs w:val="22"/>
        </w:rPr>
        <w:t>povinnost související</w:t>
      </w:r>
      <w:r w:rsidR="004A6A67" w:rsidRPr="00A35E28">
        <w:rPr>
          <w:rFonts w:ascii="Arial" w:hAnsi="Arial" w:cs="Arial"/>
          <w:color w:val="000000"/>
          <w:spacing w:val="-11"/>
          <w:sz w:val="22"/>
          <w:szCs w:val="22"/>
        </w:rPr>
        <w:t xml:space="preserve"> s</w:t>
      </w:r>
      <w:r w:rsidR="00083538">
        <w:rPr>
          <w:rFonts w:ascii="Arial" w:hAnsi="Arial" w:cs="Arial"/>
          <w:color w:val="000000"/>
          <w:spacing w:val="-11"/>
          <w:sz w:val="22"/>
          <w:szCs w:val="22"/>
        </w:rPr>
        <w:t xml:space="preserve"> </w:t>
      </w:r>
      <w:r w:rsidR="004A6A67" w:rsidRPr="00A35E28">
        <w:rPr>
          <w:rFonts w:ascii="Arial" w:hAnsi="Arial" w:cs="Arial"/>
          <w:color w:val="000000"/>
          <w:sz w:val="22"/>
          <w:szCs w:val="22"/>
        </w:rPr>
        <w:t>regulací</w:t>
      </w:r>
      <w:r w:rsidR="004A6A67" w:rsidRPr="00A35E28">
        <w:rPr>
          <w:rFonts w:ascii="Arial" w:hAnsi="Arial" w:cs="Arial"/>
          <w:color w:val="000000"/>
          <w:spacing w:val="-8"/>
          <w:sz w:val="22"/>
          <w:szCs w:val="22"/>
        </w:rPr>
        <w:t xml:space="preserve"> </w:t>
      </w:r>
      <w:r w:rsidR="004A6A67" w:rsidRPr="00A35E28">
        <w:rPr>
          <w:rFonts w:ascii="Arial" w:hAnsi="Arial" w:cs="Arial"/>
          <w:color w:val="000000"/>
          <w:sz w:val="22"/>
          <w:szCs w:val="22"/>
        </w:rPr>
        <w:t>c</w:t>
      </w:r>
      <w:r w:rsidR="004A6A67" w:rsidRPr="00A35E28">
        <w:rPr>
          <w:rFonts w:ascii="Arial" w:hAnsi="Arial" w:cs="Arial"/>
          <w:color w:val="000000"/>
          <w:spacing w:val="-1"/>
          <w:sz w:val="22"/>
          <w:szCs w:val="22"/>
        </w:rPr>
        <w:t>e</w:t>
      </w:r>
      <w:r w:rsidR="004A6A67" w:rsidRPr="00A35E28">
        <w:rPr>
          <w:rFonts w:ascii="Arial" w:hAnsi="Arial" w:cs="Arial"/>
          <w:color w:val="000000"/>
          <w:sz w:val="22"/>
          <w:szCs w:val="22"/>
        </w:rPr>
        <w:t>n,</w:t>
      </w:r>
    </w:p>
    <w:p w:rsidR="004A6A67" w:rsidRPr="00A35E28" w:rsidRDefault="004A6A67" w:rsidP="006D177F">
      <w:pPr>
        <w:widowControl w:val="0"/>
        <w:autoSpaceDE w:val="0"/>
        <w:autoSpaceDN w:val="0"/>
        <w:adjustRightInd w:val="0"/>
        <w:spacing w:before="120" w:after="120"/>
        <w:ind w:left="709" w:hanging="284"/>
        <w:jc w:val="both"/>
        <w:rPr>
          <w:rFonts w:ascii="Arial" w:hAnsi="Arial" w:cs="Arial"/>
          <w:color w:val="000000"/>
          <w:sz w:val="22"/>
          <w:szCs w:val="22"/>
        </w:rPr>
      </w:pPr>
      <w:r w:rsidRPr="00A35E28">
        <w:rPr>
          <w:rFonts w:ascii="Arial" w:hAnsi="Arial" w:cs="Arial"/>
          <w:color w:val="000000"/>
          <w:sz w:val="22"/>
          <w:szCs w:val="22"/>
        </w:rPr>
        <w:t>j)</w:t>
      </w:r>
      <w:r w:rsidRPr="00A35E28">
        <w:rPr>
          <w:rFonts w:ascii="Arial" w:hAnsi="Arial" w:cs="Arial"/>
          <w:color w:val="000000"/>
          <w:sz w:val="22"/>
          <w:szCs w:val="22"/>
        </w:rPr>
        <w:tab/>
      </w:r>
      <w:r w:rsidRPr="00A35E28">
        <w:rPr>
          <w:rFonts w:ascii="Arial" w:hAnsi="Arial" w:cs="Arial"/>
          <w:b/>
          <w:bCs/>
          <w:color w:val="000000"/>
          <w:sz w:val="22"/>
          <w:szCs w:val="22"/>
        </w:rPr>
        <w:t>ostatními</w:t>
      </w:r>
      <w:r w:rsidRPr="00A35E28">
        <w:rPr>
          <w:rFonts w:ascii="Arial" w:hAnsi="Arial" w:cs="Arial"/>
          <w:b/>
          <w:bCs/>
          <w:color w:val="000000"/>
          <w:spacing w:val="24"/>
          <w:sz w:val="22"/>
          <w:szCs w:val="22"/>
        </w:rPr>
        <w:t xml:space="preserve"> </w:t>
      </w:r>
      <w:r w:rsidRPr="00A35E28">
        <w:rPr>
          <w:rFonts w:ascii="Arial" w:hAnsi="Arial" w:cs="Arial"/>
          <w:b/>
          <w:bCs/>
          <w:color w:val="000000"/>
          <w:spacing w:val="-1"/>
          <w:sz w:val="22"/>
          <w:szCs w:val="22"/>
        </w:rPr>
        <w:t>v</w:t>
      </w:r>
      <w:r w:rsidRPr="00A35E28">
        <w:rPr>
          <w:rFonts w:ascii="Arial" w:hAnsi="Arial" w:cs="Arial"/>
          <w:b/>
          <w:bCs/>
          <w:color w:val="000000"/>
          <w:sz w:val="22"/>
          <w:szCs w:val="22"/>
        </w:rPr>
        <w:t>ýno</w:t>
      </w:r>
      <w:r w:rsidRPr="00A35E28">
        <w:rPr>
          <w:rFonts w:ascii="Arial" w:hAnsi="Arial" w:cs="Arial"/>
          <w:b/>
          <w:bCs/>
          <w:color w:val="000000"/>
          <w:spacing w:val="2"/>
          <w:sz w:val="22"/>
          <w:szCs w:val="22"/>
        </w:rPr>
        <w:t>s</w:t>
      </w:r>
      <w:r w:rsidRPr="00A35E28">
        <w:rPr>
          <w:rFonts w:ascii="Arial" w:hAnsi="Arial" w:cs="Arial"/>
          <w:b/>
          <w:bCs/>
          <w:color w:val="000000"/>
          <w:sz w:val="22"/>
          <w:szCs w:val="22"/>
        </w:rPr>
        <w:t>y</w:t>
      </w:r>
      <w:r w:rsidRPr="00A35E28">
        <w:rPr>
          <w:rFonts w:ascii="Arial" w:hAnsi="Arial" w:cs="Arial"/>
          <w:b/>
          <w:bCs/>
          <w:color w:val="000000"/>
          <w:spacing w:val="24"/>
          <w:sz w:val="22"/>
          <w:szCs w:val="22"/>
        </w:rPr>
        <w:t xml:space="preserve"> </w:t>
      </w:r>
      <w:proofErr w:type="spellStart"/>
      <w:r w:rsidRPr="00A35E28">
        <w:rPr>
          <w:rFonts w:ascii="Arial" w:hAnsi="Arial" w:cs="Arial"/>
          <w:color w:val="000000"/>
          <w:sz w:val="22"/>
          <w:szCs w:val="22"/>
        </w:rPr>
        <w:t>výn</w:t>
      </w:r>
      <w:r w:rsidRPr="000D0C24">
        <w:rPr>
          <w:rFonts w:ascii="Arial" w:hAnsi="Arial" w:cs="Arial"/>
          <w:color w:val="000000"/>
          <w:sz w:val="22"/>
          <w:szCs w:val="22"/>
        </w:rPr>
        <w:t>o</w:t>
      </w:r>
      <w:r w:rsidRPr="00A35E28">
        <w:rPr>
          <w:rFonts w:ascii="Arial" w:hAnsi="Arial" w:cs="Arial"/>
          <w:color w:val="000000"/>
          <w:sz w:val="22"/>
          <w:szCs w:val="22"/>
        </w:rPr>
        <w:t>sy</w:t>
      </w:r>
      <w:proofErr w:type="spellEnd"/>
      <w:r w:rsidRPr="000D0C24">
        <w:rPr>
          <w:rFonts w:ascii="Arial" w:hAnsi="Arial" w:cs="Arial"/>
          <w:color w:val="000000"/>
          <w:sz w:val="22"/>
          <w:szCs w:val="22"/>
        </w:rPr>
        <w:t xml:space="preserve"> </w:t>
      </w:r>
      <w:r w:rsidRPr="00A35E28">
        <w:rPr>
          <w:rFonts w:ascii="Arial" w:hAnsi="Arial" w:cs="Arial"/>
          <w:color w:val="000000"/>
          <w:sz w:val="22"/>
          <w:szCs w:val="22"/>
        </w:rPr>
        <w:t>uvedené</w:t>
      </w:r>
      <w:r w:rsidR="0047095F">
        <w:rPr>
          <w:rFonts w:ascii="Arial" w:hAnsi="Arial" w:cs="Arial"/>
          <w:color w:val="000000"/>
          <w:sz w:val="22"/>
          <w:szCs w:val="22"/>
        </w:rPr>
        <w:t xml:space="preserve"> v </w:t>
      </w:r>
      <w:r w:rsidRPr="000D0C24">
        <w:rPr>
          <w:rFonts w:ascii="Arial" w:hAnsi="Arial" w:cs="Arial"/>
          <w:color w:val="000000"/>
          <w:sz w:val="22"/>
          <w:szCs w:val="22"/>
        </w:rPr>
        <w:t>č</w:t>
      </w:r>
      <w:r w:rsidRPr="00A35E28">
        <w:rPr>
          <w:rFonts w:ascii="Arial" w:hAnsi="Arial" w:cs="Arial"/>
          <w:color w:val="000000"/>
          <w:sz w:val="22"/>
          <w:szCs w:val="22"/>
        </w:rPr>
        <w:t>lánku</w:t>
      </w:r>
      <w:r w:rsidRPr="000D0C24">
        <w:rPr>
          <w:rFonts w:ascii="Arial" w:hAnsi="Arial" w:cs="Arial"/>
          <w:color w:val="000000"/>
          <w:sz w:val="22"/>
          <w:szCs w:val="22"/>
        </w:rPr>
        <w:t xml:space="preserve"> </w:t>
      </w:r>
      <w:r w:rsidR="00171F88">
        <w:rPr>
          <w:rFonts w:ascii="Arial" w:hAnsi="Arial" w:cs="Arial"/>
          <w:color w:val="000000"/>
          <w:sz w:val="22"/>
          <w:szCs w:val="22"/>
        </w:rPr>
        <w:t>4</w:t>
      </w:r>
      <w:r w:rsidRPr="000D0C24">
        <w:rPr>
          <w:rFonts w:ascii="Arial" w:hAnsi="Arial" w:cs="Arial"/>
          <w:color w:val="000000"/>
          <w:sz w:val="22"/>
          <w:szCs w:val="22"/>
        </w:rPr>
        <w:t xml:space="preserve"> </w:t>
      </w:r>
      <w:r w:rsidRPr="00A35E28">
        <w:rPr>
          <w:rFonts w:ascii="Arial" w:hAnsi="Arial" w:cs="Arial"/>
          <w:color w:val="000000"/>
          <w:sz w:val="22"/>
          <w:szCs w:val="22"/>
        </w:rPr>
        <w:t>odst.</w:t>
      </w:r>
      <w:r w:rsidRPr="000D0C24">
        <w:rPr>
          <w:rFonts w:ascii="Arial" w:hAnsi="Arial" w:cs="Arial"/>
          <w:color w:val="000000"/>
          <w:sz w:val="22"/>
          <w:szCs w:val="22"/>
        </w:rPr>
        <w:t xml:space="preserve"> </w:t>
      </w:r>
      <w:r w:rsidRPr="00A35E28">
        <w:rPr>
          <w:rFonts w:ascii="Arial" w:hAnsi="Arial" w:cs="Arial"/>
          <w:color w:val="000000"/>
          <w:sz w:val="22"/>
          <w:szCs w:val="22"/>
        </w:rPr>
        <w:t>1</w:t>
      </w:r>
      <w:r w:rsidR="00171F88">
        <w:rPr>
          <w:rFonts w:ascii="Arial" w:hAnsi="Arial" w:cs="Arial"/>
          <w:color w:val="000000"/>
          <w:sz w:val="22"/>
          <w:szCs w:val="22"/>
        </w:rPr>
        <w:t>0</w:t>
      </w:r>
      <w:r w:rsidRPr="00A35E28">
        <w:rPr>
          <w:rFonts w:ascii="Arial" w:hAnsi="Arial" w:cs="Arial"/>
          <w:color w:val="000000"/>
          <w:sz w:val="22"/>
          <w:szCs w:val="22"/>
        </w:rPr>
        <w:t>,</w:t>
      </w:r>
      <w:r w:rsidRPr="000D0C24">
        <w:rPr>
          <w:rFonts w:ascii="Arial" w:hAnsi="Arial" w:cs="Arial"/>
          <w:color w:val="000000"/>
          <w:sz w:val="22"/>
          <w:szCs w:val="22"/>
        </w:rPr>
        <w:t xml:space="preserve"> </w:t>
      </w:r>
      <w:r w:rsidRPr="00A35E28">
        <w:rPr>
          <w:rFonts w:ascii="Arial" w:hAnsi="Arial" w:cs="Arial"/>
          <w:color w:val="000000"/>
          <w:sz w:val="22"/>
          <w:szCs w:val="22"/>
        </w:rPr>
        <w:t>k</w:t>
      </w:r>
      <w:r w:rsidRPr="000D0C24">
        <w:rPr>
          <w:rFonts w:ascii="Arial" w:hAnsi="Arial" w:cs="Arial"/>
          <w:color w:val="000000"/>
          <w:sz w:val="22"/>
          <w:szCs w:val="22"/>
        </w:rPr>
        <w:t>t</w:t>
      </w:r>
      <w:r w:rsidRPr="00A35E28">
        <w:rPr>
          <w:rFonts w:ascii="Arial" w:hAnsi="Arial" w:cs="Arial"/>
          <w:color w:val="000000"/>
          <w:sz w:val="22"/>
          <w:szCs w:val="22"/>
        </w:rPr>
        <w:t>eré</w:t>
      </w:r>
      <w:r w:rsidRPr="000D0C24">
        <w:rPr>
          <w:rFonts w:ascii="Arial" w:hAnsi="Arial" w:cs="Arial"/>
          <w:color w:val="000000"/>
          <w:sz w:val="22"/>
          <w:szCs w:val="22"/>
        </w:rPr>
        <w:t xml:space="preserve"> </w:t>
      </w:r>
      <w:r w:rsidRPr="00A35E28">
        <w:rPr>
          <w:rFonts w:ascii="Arial" w:hAnsi="Arial" w:cs="Arial"/>
          <w:color w:val="000000"/>
          <w:sz w:val="22"/>
          <w:szCs w:val="22"/>
        </w:rPr>
        <w:t>nelze</w:t>
      </w:r>
      <w:r w:rsidRPr="000D0C24">
        <w:rPr>
          <w:rFonts w:ascii="Arial" w:hAnsi="Arial" w:cs="Arial"/>
          <w:color w:val="000000"/>
          <w:sz w:val="22"/>
          <w:szCs w:val="22"/>
        </w:rPr>
        <w:t xml:space="preserve"> </w:t>
      </w:r>
      <w:r w:rsidRPr="00A35E28">
        <w:rPr>
          <w:rFonts w:ascii="Arial" w:hAnsi="Arial" w:cs="Arial"/>
          <w:color w:val="000000"/>
          <w:sz w:val="22"/>
          <w:szCs w:val="22"/>
        </w:rPr>
        <w:t>p</w:t>
      </w:r>
      <w:r w:rsidRPr="000D0C24">
        <w:rPr>
          <w:rFonts w:ascii="Arial" w:hAnsi="Arial" w:cs="Arial"/>
          <w:color w:val="000000"/>
          <w:sz w:val="22"/>
          <w:szCs w:val="22"/>
        </w:rPr>
        <w:t>ř</w:t>
      </w:r>
      <w:r w:rsidRPr="00A35E28">
        <w:rPr>
          <w:rFonts w:ascii="Arial" w:hAnsi="Arial" w:cs="Arial"/>
          <w:color w:val="000000"/>
          <w:sz w:val="22"/>
          <w:szCs w:val="22"/>
        </w:rPr>
        <w:t>ímo</w:t>
      </w:r>
      <w:r w:rsidRPr="000D0C24">
        <w:rPr>
          <w:rFonts w:ascii="Arial" w:hAnsi="Arial" w:cs="Arial"/>
          <w:color w:val="000000"/>
          <w:sz w:val="22"/>
          <w:szCs w:val="22"/>
        </w:rPr>
        <w:t xml:space="preserve"> </w:t>
      </w:r>
      <w:r w:rsidR="00083538" w:rsidRPr="000D0C24">
        <w:rPr>
          <w:rFonts w:ascii="Arial" w:hAnsi="Arial" w:cs="Arial"/>
          <w:color w:val="000000"/>
          <w:sz w:val="22"/>
          <w:szCs w:val="22"/>
        </w:rPr>
        <w:br/>
      </w:r>
      <w:r w:rsidRPr="000D0C24">
        <w:rPr>
          <w:rFonts w:ascii="Arial" w:hAnsi="Arial" w:cs="Arial"/>
          <w:color w:val="000000"/>
          <w:sz w:val="22"/>
          <w:szCs w:val="22"/>
        </w:rPr>
        <w:t>ani</w:t>
      </w:r>
      <w:r w:rsidR="00083538" w:rsidRPr="000D0C24">
        <w:rPr>
          <w:rFonts w:ascii="Arial" w:hAnsi="Arial" w:cs="Arial"/>
          <w:color w:val="000000"/>
          <w:sz w:val="22"/>
          <w:szCs w:val="22"/>
        </w:rPr>
        <w:t xml:space="preserve"> </w:t>
      </w:r>
      <w:r w:rsidRPr="000D0C24">
        <w:rPr>
          <w:rFonts w:ascii="Arial" w:hAnsi="Arial" w:cs="Arial"/>
          <w:color w:val="000000"/>
          <w:sz w:val="22"/>
          <w:szCs w:val="22"/>
        </w:rPr>
        <w:t>nepřímo přiřadit jednotlivým prvkům sítě, činnostem nebo poskytovaným službám; tyto výnosy se nepřiřazují, ale vykazují se samostatně</w:t>
      </w:r>
      <w:r w:rsidRPr="00A35E28">
        <w:rPr>
          <w:rFonts w:ascii="Arial" w:hAnsi="Arial" w:cs="Arial"/>
          <w:color w:val="000000"/>
          <w:sz w:val="22"/>
          <w:szCs w:val="22"/>
        </w:rPr>
        <w:t>,</w:t>
      </w:r>
    </w:p>
    <w:p w:rsidR="004A6A67" w:rsidRPr="00C905FA" w:rsidRDefault="004A6A67" w:rsidP="00F13ABF">
      <w:pPr>
        <w:widowControl w:val="0"/>
        <w:autoSpaceDE w:val="0"/>
        <w:autoSpaceDN w:val="0"/>
        <w:adjustRightInd w:val="0"/>
        <w:spacing w:before="120" w:after="120"/>
        <w:ind w:left="709" w:hanging="284"/>
        <w:jc w:val="both"/>
        <w:rPr>
          <w:rFonts w:ascii="Arial" w:hAnsi="Arial" w:cs="Arial"/>
          <w:color w:val="000000"/>
          <w:sz w:val="22"/>
          <w:szCs w:val="22"/>
        </w:rPr>
      </w:pPr>
      <w:r w:rsidRPr="00A35E28">
        <w:rPr>
          <w:rFonts w:ascii="Arial" w:hAnsi="Arial" w:cs="Arial"/>
          <w:color w:val="000000"/>
          <w:sz w:val="22"/>
          <w:szCs w:val="22"/>
        </w:rPr>
        <w:t>k)</w:t>
      </w:r>
      <w:r w:rsidRPr="00A35E28">
        <w:rPr>
          <w:rFonts w:ascii="Arial" w:hAnsi="Arial" w:cs="Arial"/>
          <w:color w:val="000000"/>
          <w:sz w:val="22"/>
          <w:szCs w:val="22"/>
        </w:rPr>
        <w:tab/>
      </w:r>
      <w:r w:rsidRPr="00C905FA">
        <w:rPr>
          <w:rFonts w:ascii="Arial" w:hAnsi="Arial" w:cs="Arial"/>
          <w:b/>
          <w:color w:val="000000"/>
          <w:sz w:val="22"/>
          <w:szCs w:val="22"/>
        </w:rPr>
        <w:t>LRIC</w:t>
      </w:r>
      <w:r w:rsidR="00E643DE" w:rsidRPr="00C905FA">
        <w:rPr>
          <w:rFonts w:ascii="Arial" w:hAnsi="Arial" w:cs="Arial"/>
          <w:color w:val="000000"/>
          <w:sz w:val="22"/>
          <w:szCs w:val="22"/>
        </w:rPr>
        <w:t xml:space="preserve"> z</w:t>
      </w:r>
      <w:r w:rsidRPr="00C905FA">
        <w:rPr>
          <w:rFonts w:ascii="Arial" w:hAnsi="Arial" w:cs="Arial"/>
          <w:color w:val="000000"/>
          <w:sz w:val="22"/>
          <w:szCs w:val="22"/>
        </w:rPr>
        <w:t>působ výpočtu regulované ceny pomocí modelu, který zahrnuje do</w:t>
      </w:r>
      <w:r w:rsidR="000D0C24" w:rsidRPr="00C905FA">
        <w:rPr>
          <w:rFonts w:ascii="Arial" w:hAnsi="Arial" w:cs="Arial"/>
          <w:color w:val="000000"/>
          <w:sz w:val="22"/>
          <w:szCs w:val="22"/>
        </w:rPr>
        <w:t xml:space="preserve"> </w:t>
      </w:r>
      <w:r w:rsidRPr="00C905FA">
        <w:rPr>
          <w:rFonts w:ascii="Arial" w:hAnsi="Arial" w:cs="Arial"/>
          <w:color w:val="000000"/>
          <w:sz w:val="22"/>
          <w:szCs w:val="22"/>
        </w:rPr>
        <w:t>ceny pouze dlouhodobé přírůstkové náklady,</w:t>
      </w:r>
    </w:p>
    <w:p w:rsidR="004A6A67" w:rsidRPr="00C905FA" w:rsidRDefault="004A6A67" w:rsidP="006D177F">
      <w:pPr>
        <w:widowControl w:val="0"/>
        <w:autoSpaceDE w:val="0"/>
        <w:autoSpaceDN w:val="0"/>
        <w:adjustRightInd w:val="0"/>
        <w:spacing w:before="120" w:after="120"/>
        <w:ind w:left="709" w:hanging="284"/>
        <w:jc w:val="both"/>
        <w:rPr>
          <w:rFonts w:ascii="Arial" w:hAnsi="Arial" w:cs="Arial"/>
          <w:color w:val="000000"/>
          <w:sz w:val="22"/>
          <w:szCs w:val="22"/>
        </w:rPr>
      </w:pPr>
      <w:r w:rsidRPr="00C905FA">
        <w:rPr>
          <w:rFonts w:ascii="Arial" w:hAnsi="Arial" w:cs="Arial"/>
          <w:color w:val="000000"/>
          <w:sz w:val="22"/>
          <w:szCs w:val="22"/>
        </w:rPr>
        <w:t>l)</w:t>
      </w:r>
      <w:r w:rsidRPr="00C905FA">
        <w:rPr>
          <w:rFonts w:ascii="Arial" w:hAnsi="Arial" w:cs="Arial"/>
          <w:color w:val="000000"/>
          <w:sz w:val="22"/>
          <w:szCs w:val="22"/>
        </w:rPr>
        <w:tab/>
      </w:r>
      <w:proofErr w:type="spellStart"/>
      <w:r w:rsidRPr="00C905FA">
        <w:rPr>
          <w:rFonts w:ascii="Arial" w:hAnsi="Arial" w:cs="Arial"/>
          <w:b/>
          <w:color w:val="000000"/>
          <w:sz w:val="22"/>
          <w:szCs w:val="22"/>
        </w:rPr>
        <w:t>pure</w:t>
      </w:r>
      <w:proofErr w:type="spellEnd"/>
      <w:r w:rsidRPr="00C905FA">
        <w:rPr>
          <w:rFonts w:ascii="Arial" w:hAnsi="Arial" w:cs="Arial"/>
          <w:b/>
          <w:color w:val="000000"/>
          <w:sz w:val="22"/>
          <w:szCs w:val="22"/>
        </w:rPr>
        <w:t xml:space="preserve"> LRIC</w:t>
      </w:r>
      <w:r w:rsidRPr="00C905FA">
        <w:rPr>
          <w:rFonts w:ascii="Arial" w:hAnsi="Arial" w:cs="Arial"/>
          <w:color w:val="000000"/>
          <w:sz w:val="22"/>
          <w:szCs w:val="22"/>
        </w:rPr>
        <w:t xml:space="preserve"> způsob výpočtu regulované ceny</w:t>
      </w:r>
      <w:r w:rsidR="0047095F" w:rsidRPr="00C905FA">
        <w:rPr>
          <w:rFonts w:ascii="Arial" w:hAnsi="Arial" w:cs="Arial"/>
          <w:color w:val="000000"/>
          <w:sz w:val="22"/>
          <w:szCs w:val="22"/>
        </w:rPr>
        <w:t xml:space="preserve"> v </w:t>
      </w:r>
      <w:r w:rsidRPr="00C905FA">
        <w:rPr>
          <w:rFonts w:ascii="Arial" w:hAnsi="Arial" w:cs="Arial"/>
          <w:color w:val="000000"/>
          <w:sz w:val="22"/>
          <w:szCs w:val="22"/>
        </w:rPr>
        <w:t>modelu LRIC, kdy přírůstkem provozu je pouze příslušná regulovaná služba a</w:t>
      </w:r>
      <w:r w:rsidR="000D0C24" w:rsidRPr="00C905FA">
        <w:rPr>
          <w:rFonts w:ascii="Arial" w:hAnsi="Arial" w:cs="Arial"/>
          <w:color w:val="000000"/>
          <w:sz w:val="22"/>
          <w:szCs w:val="22"/>
        </w:rPr>
        <w:t xml:space="preserve"> </w:t>
      </w:r>
      <w:r w:rsidRPr="00C905FA">
        <w:rPr>
          <w:rFonts w:ascii="Arial" w:hAnsi="Arial" w:cs="Arial"/>
          <w:color w:val="000000"/>
          <w:sz w:val="22"/>
          <w:szCs w:val="22"/>
        </w:rPr>
        <w:t>přírůstkem nákladů pouze náklady související s provozem, tj. ty, které se zvyšují s</w:t>
      </w:r>
      <w:r w:rsidR="000D0C24" w:rsidRPr="00C905FA">
        <w:rPr>
          <w:rFonts w:ascii="Arial" w:hAnsi="Arial" w:cs="Arial"/>
          <w:color w:val="000000"/>
          <w:sz w:val="22"/>
          <w:szCs w:val="22"/>
        </w:rPr>
        <w:t xml:space="preserve"> </w:t>
      </w:r>
      <w:r w:rsidRPr="00C905FA">
        <w:rPr>
          <w:rFonts w:ascii="Arial" w:hAnsi="Arial" w:cs="Arial"/>
          <w:color w:val="000000"/>
          <w:sz w:val="22"/>
          <w:szCs w:val="22"/>
        </w:rPr>
        <w:t>přírůstkem provozu.</w:t>
      </w:r>
    </w:p>
    <w:p w:rsidR="004A6A67" w:rsidRPr="00A35E28" w:rsidRDefault="004A6A67" w:rsidP="006D177F">
      <w:pPr>
        <w:widowControl w:val="0"/>
        <w:tabs>
          <w:tab w:val="left" w:pos="1276"/>
          <w:tab w:val="left" w:pos="2500"/>
          <w:tab w:val="left" w:pos="3640"/>
          <w:tab w:val="left" w:pos="5100"/>
          <w:tab w:val="left" w:pos="6080"/>
          <w:tab w:val="left" w:pos="7100"/>
          <w:tab w:val="left" w:pos="8400"/>
        </w:tabs>
        <w:autoSpaceDE w:val="0"/>
        <w:autoSpaceDN w:val="0"/>
        <w:adjustRightInd w:val="0"/>
        <w:spacing w:before="120"/>
        <w:ind w:firstLine="828"/>
        <w:jc w:val="both"/>
        <w:rPr>
          <w:rFonts w:ascii="Arial" w:hAnsi="Arial" w:cs="Arial"/>
          <w:color w:val="000000"/>
          <w:sz w:val="22"/>
          <w:szCs w:val="22"/>
        </w:rPr>
      </w:pPr>
      <w:r w:rsidRPr="00A35E28">
        <w:rPr>
          <w:rFonts w:ascii="Arial" w:hAnsi="Arial" w:cs="Arial"/>
          <w:color w:val="000000"/>
          <w:sz w:val="22"/>
          <w:szCs w:val="22"/>
        </w:rPr>
        <w:t>(2)</w:t>
      </w:r>
      <w:r w:rsidRPr="00A35E28">
        <w:rPr>
          <w:rFonts w:ascii="Arial" w:hAnsi="Arial" w:cs="Arial"/>
          <w:color w:val="000000"/>
          <w:sz w:val="22"/>
          <w:szCs w:val="22"/>
        </w:rPr>
        <w:tab/>
        <w:t xml:space="preserve">Nákladové </w:t>
      </w:r>
      <w:r w:rsidRPr="000D0C24">
        <w:rPr>
          <w:rFonts w:ascii="Arial" w:hAnsi="Arial" w:cs="Arial"/>
          <w:color w:val="000000"/>
          <w:sz w:val="22"/>
          <w:szCs w:val="22"/>
        </w:rPr>
        <w:t>úč</w:t>
      </w:r>
      <w:r w:rsidRPr="00A35E28">
        <w:rPr>
          <w:rFonts w:ascii="Arial" w:hAnsi="Arial" w:cs="Arial"/>
          <w:color w:val="000000"/>
          <w:sz w:val="22"/>
          <w:szCs w:val="22"/>
        </w:rPr>
        <w:t>etnictví stanoveného podniku zajiš</w:t>
      </w:r>
      <w:r w:rsidRPr="000D0C24">
        <w:rPr>
          <w:rFonts w:ascii="Arial" w:hAnsi="Arial" w:cs="Arial"/>
          <w:color w:val="000000"/>
          <w:sz w:val="22"/>
          <w:szCs w:val="22"/>
        </w:rPr>
        <w:t>ťu</w:t>
      </w:r>
      <w:r w:rsidRPr="00A35E28">
        <w:rPr>
          <w:rFonts w:ascii="Arial" w:hAnsi="Arial" w:cs="Arial"/>
          <w:color w:val="000000"/>
          <w:sz w:val="22"/>
          <w:szCs w:val="22"/>
        </w:rPr>
        <w:t>je dodržování principů objektivnosti a</w:t>
      </w:r>
      <w:r w:rsidR="000D0C24">
        <w:rPr>
          <w:rFonts w:ascii="Arial" w:hAnsi="Arial" w:cs="Arial"/>
          <w:color w:val="000000"/>
          <w:sz w:val="22"/>
          <w:szCs w:val="22"/>
        </w:rPr>
        <w:t xml:space="preserve"> </w:t>
      </w:r>
      <w:r w:rsidRPr="00A35E28">
        <w:rPr>
          <w:rFonts w:ascii="Arial" w:hAnsi="Arial" w:cs="Arial"/>
          <w:color w:val="000000"/>
          <w:sz w:val="22"/>
          <w:szCs w:val="22"/>
        </w:rPr>
        <w:t>průhled</w:t>
      </w:r>
      <w:r w:rsidRPr="000D0C24">
        <w:rPr>
          <w:rFonts w:ascii="Arial" w:hAnsi="Arial" w:cs="Arial"/>
          <w:color w:val="000000"/>
          <w:sz w:val="22"/>
          <w:szCs w:val="22"/>
        </w:rPr>
        <w:t>n</w:t>
      </w:r>
      <w:r w:rsidRPr="00A35E28">
        <w:rPr>
          <w:rFonts w:ascii="Arial" w:hAnsi="Arial" w:cs="Arial"/>
          <w:color w:val="000000"/>
          <w:sz w:val="22"/>
          <w:szCs w:val="22"/>
        </w:rPr>
        <w:t>osti</w:t>
      </w:r>
      <w:r w:rsidR="0047095F">
        <w:rPr>
          <w:rFonts w:ascii="Arial" w:hAnsi="Arial" w:cs="Arial"/>
          <w:color w:val="000000"/>
          <w:sz w:val="22"/>
          <w:szCs w:val="22"/>
        </w:rPr>
        <w:t xml:space="preserve"> při </w:t>
      </w:r>
      <w:r w:rsidRPr="00A35E28">
        <w:rPr>
          <w:rFonts w:ascii="Arial" w:hAnsi="Arial" w:cs="Arial"/>
          <w:color w:val="000000"/>
          <w:sz w:val="22"/>
          <w:szCs w:val="22"/>
        </w:rPr>
        <w:t>přiř</w:t>
      </w:r>
      <w:r w:rsidRPr="000D0C24">
        <w:rPr>
          <w:rFonts w:ascii="Arial" w:hAnsi="Arial" w:cs="Arial"/>
          <w:color w:val="000000"/>
          <w:sz w:val="22"/>
          <w:szCs w:val="22"/>
        </w:rPr>
        <w:t>az</w:t>
      </w:r>
      <w:r w:rsidRPr="00A35E28">
        <w:rPr>
          <w:rFonts w:ascii="Arial" w:hAnsi="Arial" w:cs="Arial"/>
          <w:color w:val="000000"/>
          <w:sz w:val="22"/>
          <w:szCs w:val="22"/>
        </w:rPr>
        <w:t>ování</w:t>
      </w:r>
      <w:r w:rsidRPr="000D0C24">
        <w:rPr>
          <w:rFonts w:ascii="Arial" w:hAnsi="Arial" w:cs="Arial"/>
          <w:color w:val="000000"/>
          <w:sz w:val="22"/>
          <w:szCs w:val="22"/>
        </w:rPr>
        <w:t xml:space="preserve"> </w:t>
      </w:r>
      <w:r w:rsidRPr="00A35E28">
        <w:rPr>
          <w:rFonts w:ascii="Arial" w:hAnsi="Arial" w:cs="Arial"/>
          <w:color w:val="000000"/>
          <w:sz w:val="22"/>
          <w:szCs w:val="22"/>
        </w:rPr>
        <w:t>nákladů</w:t>
      </w:r>
      <w:r w:rsidRPr="000D0C24">
        <w:rPr>
          <w:rFonts w:ascii="Arial" w:hAnsi="Arial" w:cs="Arial"/>
          <w:color w:val="000000"/>
          <w:sz w:val="22"/>
          <w:szCs w:val="22"/>
        </w:rPr>
        <w:t xml:space="preserve"> a</w:t>
      </w:r>
      <w:r w:rsidR="000D0C24">
        <w:rPr>
          <w:rFonts w:ascii="Arial" w:hAnsi="Arial" w:cs="Arial"/>
          <w:color w:val="000000"/>
          <w:sz w:val="22"/>
          <w:szCs w:val="22"/>
        </w:rPr>
        <w:t xml:space="preserve"> </w:t>
      </w:r>
      <w:r w:rsidRPr="00A35E28">
        <w:rPr>
          <w:rFonts w:ascii="Arial" w:hAnsi="Arial" w:cs="Arial"/>
          <w:color w:val="000000"/>
          <w:sz w:val="22"/>
          <w:szCs w:val="22"/>
        </w:rPr>
        <w:t>výnosů</w:t>
      </w:r>
      <w:r w:rsidRPr="000D0C24">
        <w:rPr>
          <w:rFonts w:ascii="Arial" w:hAnsi="Arial" w:cs="Arial"/>
          <w:color w:val="000000"/>
          <w:sz w:val="22"/>
          <w:szCs w:val="22"/>
        </w:rPr>
        <w:t xml:space="preserve"> </w:t>
      </w:r>
      <w:r w:rsidRPr="00A35E28">
        <w:rPr>
          <w:rFonts w:ascii="Arial" w:hAnsi="Arial" w:cs="Arial"/>
          <w:color w:val="000000"/>
          <w:sz w:val="22"/>
          <w:szCs w:val="22"/>
        </w:rPr>
        <w:t>prv</w:t>
      </w:r>
      <w:r w:rsidRPr="000D0C24">
        <w:rPr>
          <w:rFonts w:ascii="Arial" w:hAnsi="Arial" w:cs="Arial"/>
          <w:color w:val="000000"/>
          <w:sz w:val="22"/>
          <w:szCs w:val="22"/>
        </w:rPr>
        <w:t>k</w:t>
      </w:r>
      <w:r w:rsidRPr="00A35E28">
        <w:rPr>
          <w:rFonts w:ascii="Arial" w:hAnsi="Arial" w:cs="Arial"/>
          <w:color w:val="000000"/>
          <w:sz w:val="22"/>
          <w:szCs w:val="22"/>
        </w:rPr>
        <w:t>ům</w:t>
      </w:r>
      <w:r w:rsidRPr="000D0C24">
        <w:rPr>
          <w:rFonts w:ascii="Arial" w:hAnsi="Arial" w:cs="Arial"/>
          <w:color w:val="000000"/>
          <w:sz w:val="22"/>
          <w:szCs w:val="22"/>
        </w:rPr>
        <w:t xml:space="preserve"> s</w:t>
      </w:r>
      <w:r w:rsidRPr="00A35E28">
        <w:rPr>
          <w:rFonts w:ascii="Arial" w:hAnsi="Arial" w:cs="Arial"/>
          <w:color w:val="000000"/>
          <w:sz w:val="22"/>
          <w:szCs w:val="22"/>
        </w:rPr>
        <w:t>ítě,</w:t>
      </w:r>
      <w:r w:rsidRPr="000D0C24">
        <w:rPr>
          <w:rFonts w:ascii="Arial" w:hAnsi="Arial" w:cs="Arial"/>
          <w:color w:val="000000"/>
          <w:sz w:val="22"/>
          <w:szCs w:val="22"/>
        </w:rPr>
        <w:t xml:space="preserve"> č</w:t>
      </w:r>
      <w:r w:rsidRPr="00A35E28">
        <w:rPr>
          <w:rFonts w:ascii="Arial" w:hAnsi="Arial" w:cs="Arial"/>
          <w:color w:val="000000"/>
          <w:sz w:val="22"/>
          <w:szCs w:val="22"/>
        </w:rPr>
        <w:t>i</w:t>
      </w:r>
      <w:r w:rsidRPr="000D0C24">
        <w:rPr>
          <w:rFonts w:ascii="Arial" w:hAnsi="Arial" w:cs="Arial"/>
          <w:color w:val="000000"/>
          <w:sz w:val="22"/>
          <w:szCs w:val="22"/>
        </w:rPr>
        <w:t>n</w:t>
      </w:r>
      <w:r w:rsidRPr="00A35E28">
        <w:rPr>
          <w:rFonts w:ascii="Arial" w:hAnsi="Arial" w:cs="Arial"/>
          <w:color w:val="000000"/>
          <w:sz w:val="22"/>
          <w:szCs w:val="22"/>
        </w:rPr>
        <w:t>nos</w:t>
      </w:r>
      <w:r w:rsidRPr="000D0C24">
        <w:rPr>
          <w:rFonts w:ascii="Arial" w:hAnsi="Arial" w:cs="Arial"/>
          <w:color w:val="000000"/>
          <w:sz w:val="22"/>
          <w:szCs w:val="22"/>
        </w:rPr>
        <w:t>t</w:t>
      </w:r>
      <w:r w:rsidRPr="00A35E28">
        <w:rPr>
          <w:rFonts w:ascii="Arial" w:hAnsi="Arial" w:cs="Arial"/>
          <w:color w:val="000000"/>
          <w:sz w:val="22"/>
          <w:szCs w:val="22"/>
        </w:rPr>
        <w:t>em</w:t>
      </w:r>
      <w:r w:rsidRPr="000D0C24">
        <w:rPr>
          <w:rFonts w:ascii="Arial" w:hAnsi="Arial" w:cs="Arial"/>
          <w:color w:val="000000"/>
          <w:sz w:val="22"/>
          <w:szCs w:val="22"/>
        </w:rPr>
        <w:t xml:space="preserve"> </w:t>
      </w:r>
      <w:r w:rsidRPr="00A35E28">
        <w:rPr>
          <w:rFonts w:ascii="Arial" w:hAnsi="Arial" w:cs="Arial"/>
          <w:color w:val="000000"/>
          <w:sz w:val="22"/>
          <w:szCs w:val="22"/>
        </w:rPr>
        <w:t>nebo poskytnutým službám</w:t>
      </w:r>
      <w:r w:rsidRPr="000D0C24">
        <w:rPr>
          <w:rFonts w:ascii="Arial" w:hAnsi="Arial" w:cs="Arial"/>
          <w:color w:val="000000"/>
          <w:sz w:val="22"/>
          <w:szCs w:val="22"/>
        </w:rPr>
        <w:t xml:space="preserve"> a </w:t>
      </w:r>
      <w:r w:rsidRPr="00A35E28">
        <w:rPr>
          <w:rFonts w:ascii="Arial" w:hAnsi="Arial" w:cs="Arial"/>
          <w:color w:val="000000"/>
          <w:sz w:val="22"/>
          <w:szCs w:val="22"/>
        </w:rPr>
        <w:t>umožňuje</w:t>
      </w:r>
      <w:r w:rsidRPr="000D0C24">
        <w:rPr>
          <w:rFonts w:ascii="Arial" w:hAnsi="Arial" w:cs="Arial"/>
          <w:color w:val="000000"/>
          <w:sz w:val="22"/>
          <w:szCs w:val="22"/>
        </w:rPr>
        <w:t xml:space="preserve"> </w:t>
      </w:r>
      <w:r w:rsidRPr="00A35E28">
        <w:rPr>
          <w:rFonts w:ascii="Arial" w:hAnsi="Arial" w:cs="Arial"/>
          <w:color w:val="000000"/>
          <w:sz w:val="22"/>
          <w:szCs w:val="22"/>
        </w:rPr>
        <w:t>prokázání</w:t>
      </w:r>
      <w:r w:rsidRPr="000D0C24">
        <w:rPr>
          <w:rFonts w:ascii="Arial" w:hAnsi="Arial" w:cs="Arial"/>
          <w:color w:val="000000"/>
          <w:sz w:val="22"/>
          <w:szCs w:val="22"/>
        </w:rPr>
        <w:t xml:space="preserve"> </w:t>
      </w:r>
      <w:r w:rsidRPr="00A35E28">
        <w:rPr>
          <w:rFonts w:ascii="Arial" w:hAnsi="Arial" w:cs="Arial"/>
          <w:color w:val="000000"/>
          <w:sz w:val="22"/>
          <w:szCs w:val="22"/>
        </w:rPr>
        <w:t>pl</w:t>
      </w:r>
      <w:r w:rsidRPr="000D0C24">
        <w:rPr>
          <w:rFonts w:ascii="Arial" w:hAnsi="Arial" w:cs="Arial"/>
          <w:color w:val="000000"/>
          <w:sz w:val="22"/>
          <w:szCs w:val="22"/>
        </w:rPr>
        <w:t>n</w:t>
      </w:r>
      <w:r w:rsidRPr="00A35E28">
        <w:rPr>
          <w:rFonts w:ascii="Arial" w:hAnsi="Arial" w:cs="Arial"/>
          <w:color w:val="000000"/>
          <w:sz w:val="22"/>
          <w:szCs w:val="22"/>
        </w:rPr>
        <w:t>ění</w:t>
      </w:r>
      <w:r w:rsidRPr="000D0C24">
        <w:rPr>
          <w:rFonts w:ascii="Arial" w:hAnsi="Arial" w:cs="Arial"/>
          <w:color w:val="000000"/>
          <w:sz w:val="22"/>
          <w:szCs w:val="22"/>
        </w:rPr>
        <w:t xml:space="preserve"> </w:t>
      </w:r>
      <w:r w:rsidRPr="00A35E28">
        <w:rPr>
          <w:rFonts w:ascii="Arial" w:hAnsi="Arial" w:cs="Arial"/>
          <w:color w:val="000000"/>
          <w:sz w:val="22"/>
          <w:szCs w:val="22"/>
        </w:rPr>
        <w:t>povinnosti</w:t>
      </w:r>
      <w:r w:rsidRPr="000D0C24">
        <w:rPr>
          <w:rFonts w:ascii="Arial" w:hAnsi="Arial" w:cs="Arial"/>
          <w:color w:val="000000"/>
          <w:sz w:val="22"/>
          <w:szCs w:val="22"/>
        </w:rPr>
        <w:t xml:space="preserve"> </w:t>
      </w:r>
      <w:r w:rsidRPr="00A35E28">
        <w:rPr>
          <w:rFonts w:ascii="Arial" w:hAnsi="Arial" w:cs="Arial"/>
          <w:color w:val="000000"/>
          <w:sz w:val="22"/>
          <w:szCs w:val="22"/>
        </w:rPr>
        <w:t>vedení</w:t>
      </w:r>
      <w:r w:rsidRPr="000D0C24">
        <w:rPr>
          <w:rFonts w:ascii="Arial" w:hAnsi="Arial" w:cs="Arial"/>
          <w:color w:val="000000"/>
          <w:sz w:val="22"/>
          <w:szCs w:val="22"/>
        </w:rPr>
        <w:t xml:space="preserve"> </w:t>
      </w:r>
      <w:r w:rsidRPr="00A35E28">
        <w:rPr>
          <w:rFonts w:ascii="Arial" w:hAnsi="Arial" w:cs="Arial"/>
          <w:color w:val="000000"/>
          <w:sz w:val="22"/>
          <w:szCs w:val="22"/>
        </w:rPr>
        <w:t>oddělené</w:t>
      </w:r>
      <w:r w:rsidRPr="000D0C24">
        <w:rPr>
          <w:rFonts w:ascii="Arial" w:hAnsi="Arial" w:cs="Arial"/>
          <w:color w:val="000000"/>
          <w:sz w:val="22"/>
          <w:szCs w:val="22"/>
        </w:rPr>
        <w:t xml:space="preserve"> ev</w:t>
      </w:r>
      <w:r w:rsidRPr="00A35E28">
        <w:rPr>
          <w:rFonts w:ascii="Arial" w:hAnsi="Arial" w:cs="Arial"/>
          <w:color w:val="000000"/>
          <w:sz w:val="22"/>
          <w:szCs w:val="22"/>
        </w:rPr>
        <w:t>idence</w:t>
      </w:r>
      <w:r w:rsidRPr="000D0C24">
        <w:rPr>
          <w:rFonts w:ascii="Arial" w:hAnsi="Arial" w:cs="Arial"/>
          <w:color w:val="000000"/>
          <w:sz w:val="22"/>
          <w:szCs w:val="22"/>
        </w:rPr>
        <w:t xml:space="preserve"> a </w:t>
      </w:r>
      <w:r w:rsidRPr="00A35E28">
        <w:rPr>
          <w:rFonts w:ascii="Arial" w:hAnsi="Arial" w:cs="Arial"/>
          <w:color w:val="000000"/>
          <w:sz w:val="22"/>
          <w:szCs w:val="22"/>
        </w:rPr>
        <w:t>povinnosti</w:t>
      </w:r>
      <w:r w:rsidRPr="000D0C24">
        <w:rPr>
          <w:rFonts w:ascii="Arial" w:hAnsi="Arial" w:cs="Arial"/>
          <w:color w:val="000000"/>
          <w:sz w:val="22"/>
          <w:szCs w:val="22"/>
        </w:rPr>
        <w:t xml:space="preserve"> </w:t>
      </w:r>
      <w:r w:rsidRPr="00A35E28">
        <w:rPr>
          <w:rFonts w:ascii="Arial" w:hAnsi="Arial" w:cs="Arial"/>
          <w:color w:val="000000"/>
          <w:sz w:val="22"/>
          <w:szCs w:val="22"/>
        </w:rPr>
        <w:t>související</w:t>
      </w:r>
      <w:r w:rsidRPr="000D0C24">
        <w:rPr>
          <w:rFonts w:ascii="Arial" w:hAnsi="Arial" w:cs="Arial"/>
          <w:color w:val="000000"/>
          <w:sz w:val="22"/>
          <w:szCs w:val="22"/>
        </w:rPr>
        <w:t xml:space="preserve"> s r</w:t>
      </w:r>
      <w:r w:rsidRPr="00A35E28">
        <w:rPr>
          <w:rFonts w:ascii="Arial" w:hAnsi="Arial" w:cs="Arial"/>
          <w:color w:val="000000"/>
          <w:sz w:val="22"/>
          <w:szCs w:val="22"/>
        </w:rPr>
        <w:t>egulací</w:t>
      </w:r>
      <w:r w:rsidRPr="000D0C24">
        <w:rPr>
          <w:rFonts w:ascii="Arial" w:hAnsi="Arial" w:cs="Arial"/>
          <w:color w:val="000000"/>
          <w:sz w:val="22"/>
          <w:szCs w:val="22"/>
        </w:rPr>
        <w:t xml:space="preserve"> </w:t>
      </w:r>
      <w:r w:rsidRPr="00A35E28">
        <w:rPr>
          <w:rFonts w:ascii="Arial" w:hAnsi="Arial" w:cs="Arial"/>
          <w:color w:val="000000"/>
          <w:sz w:val="22"/>
          <w:szCs w:val="22"/>
        </w:rPr>
        <w:t>cen.</w:t>
      </w:r>
    </w:p>
    <w:p w:rsidR="004A6A67" w:rsidRPr="00A35E28" w:rsidRDefault="004A6A67" w:rsidP="002C151C">
      <w:pPr>
        <w:widowControl w:val="0"/>
        <w:autoSpaceDE w:val="0"/>
        <w:autoSpaceDN w:val="0"/>
        <w:adjustRightInd w:val="0"/>
        <w:spacing w:before="600"/>
        <w:jc w:val="center"/>
        <w:rPr>
          <w:rFonts w:ascii="Arial" w:hAnsi="Arial" w:cs="Arial"/>
          <w:color w:val="000000"/>
          <w:sz w:val="22"/>
          <w:szCs w:val="22"/>
        </w:rPr>
      </w:pPr>
      <w:r w:rsidRPr="00A35E28">
        <w:rPr>
          <w:rFonts w:ascii="Arial" w:hAnsi="Arial" w:cs="Arial"/>
          <w:color w:val="000000"/>
          <w:sz w:val="22"/>
          <w:szCs w:val="22"/>
        </w:rPr>
        <w:t>Článek</w:t>
      </w:r>
      <w:r w:rsidRPr="00A35E28">
        <w:rPr>
          <w:rFonts w:ascii="Arial" w:hAnsi="Arial" w:cs="Arial"/>
          <w:color w:val="000000"/>
          <w:spacing w:val="-7"/>
          <w:sz w:val="22"/>
          <w:szCs w:val="22"/>
        </w:rPr>
        <w:t xml:space="preserve"> </w:t>
      </w:r>
      <w:r w:rsidRPr="00A35E28">
        <w:rPr>
          <w:rFonts w:ascii="Arial" w:hAnsi="Arial" w:cs="Arial"/>
          <w:color w:val="000000"/>
          <w:w w:val="99"/>
          <w:sz w:val="22"/>
          <w:szCs w:val="22"/>
        </w:rPr>
        <w:t>3</w:t>
      </w:r>
    </w:p>
    <w:p w:rsidR="004A6A67" w:rsidRPr="00A35E28" w:rsidRDefault="004A6A67" w:rsidP="00DD6CDD">
      <w:pPr>
        <w:widowControl w:val="0"/>
        <w:autoSpaceDE w:val="0"/>
        <w:autoSpaceDN w:val="0"/>
        <w:adjustRightInd w:val="0"/>
        <w:spacing w:before="120" w:after="240"/>
        <w:jc w:val="center"/>
        <w:rPr>
          <w:rFonts w:ascii="Arial" w:hAnsi="Arial" w:cs="Arial"/>
          <w:color w:val="000000"/>
          <w:sz w:val="22"/>
          <w:szCs w:val="22"/>
        </w:rPr>
      </w:pPr>
      <w:r w:rsidRPr="00A35E28">
        <w:rPr>
          <w:rFonts w:ascii="Arial" w:hAnsi="Arial" w:cs="Arial"/>
          <w:b/>
          <w:bCs/>
          <w:color w:val="000000"/>
          <w:sz w:val="22"/>
          <w:szCs w:val="22"/>
        </w:rPr>
        <w:t>Metodika</w:t>
      </w:r>
      <w:r w:rsidRPr="00A35E28">
        <w:rPr>
          <w:rFonts w:ascii="Arial" w:hAnsi="Arial" w:cs="Arial"/>
          <w:b/>
          <w:bCs/>
          <w:color w:val="000000"/>
          <w:spacing w:val="-10"/>
          <w:sz w:val="22"/>
          <w:szCs w:val="22"/>
        </w:rPr>
        <w:t xml:space="preserve"> </w:t>
      </w:r>
      <w:r w:rsidRPr="00A35E28">
        <w:rPr>
          <w:rFonts w:ascii="Arial" w:hAnsi="Arial" w:cs="Arial"/>
          <w:b/>
          <w:bCs/>
          <w:color w:val="000000"/>
          <w:sz w:val="22"/>
          <w:szCs w:val="22"/>
        </w:rPr>
        <w:t>účelového</w:t>
      </w:r>
      <w:r w:rsidRPr="00A35E28">
        <w:rPr>
          <w:rFonts w:ascii="Arial" w:hAnsi="Arial" w:cs="Arial"/>
          <w:b/>
          <w:bCs/>
          <w:color w:val="000000"/>
          <w:spacing w:val="-11"/>
          <w:sz w:val="22"/>
          <w:szCs w:val="22"/>
        </w:rPr>
        <w:t xml:space="preserve"> </w:t>
      </w:r>
      <w:r w:rsidRPr="00A35E28">
        <w:rPr>
          <w:rFonts w:ascii="Arial" w:hAnsi="Arial" w:cs="Arial"/>
          <w:b/>
          <w:bCs/>
          <w:color w:val="000000"/>
          <w:sz w:val="22"/>
          <w:szCs w:val="22"/>
        </w:rPr>
        <w:t>členění</w:t>
      </w:r>
      <w:r w:rsidRPr="00A35E28">
        <w:rPr>
          <w:rFonts w:ascii="Arial" w:hAnsi="Arial" w:cs="Arial"/>
          <w:b/>
          <w:bCs/>
          <w:color w:val="000000"/>
          <w:spacing w:val="-5"/>
          <w:sz w:val="22"/>
          <w:szCs w:val="22"/>
        </w:rPr>
        <w:t xml:space="preserve"> </w:t>
      </w:r>
      <w:r w:rsidRPr="00A35E28">
        <w:rPr>
          <w:rFonts w:ascii="Arial" w:hAnsi="Arial" w:cs="Arial"/>
          <w:b/>
          <w:bCs/>
          <w:color w:val="000000"/>
          <w:sz w:val="22"/>
          <w:szCs w:val="22"/>
        </w:rPr>
        <w:t>nákladů</w:t>
      </w:r>
      <w:r w:rsidRPr="00A35E28">
        <w:rPr>
          <w:rFonts w:ascii="Arial" w:hAnsi="Arial" w:cs="Arial"/>
          <w:b/>
          <w:bCs/>
          <w:color w:val="000000"/>
          <w:spacing w:val="-8"/>
          <w:sz w:val="22"/>
          <w:szCs w:val="22"/>
        </w:rPr>
        <w:t xml:space="preserve"> a </w:t>
      </w:r>
      <w:r w:rsidRPr="00A35E28">
        <w:rPr>
          <w:rFonts w:ascii="Arial" w:hAnsi="Arial" w:cs="Arial"/>
          <w:b/>
          <w:bCs/>
          <w:color w:val="000000"/>
          <w:w w:val="99"/>
          <w:sz w:val="22"/>
          <w:szCs w:val="22"/>
        </w:rPr>
        <w:t>výnosů</w:t>
      </w:r>
    </w:p>
    <w:p w:rsidR="004A6A67" w:rsidRPr="00A35E28" w:rsidRDefault="004A6A67" w:rsidP="007D2120">
      <w:pPr>
        <w:widowControl w:val="0"/>
        <w:tabs>
          <w:tab w:val="left" w:pos="1276"/>
        </w:tabs>
        <w:autoSpaceDE w:val="0"/>
        <w:autoSpaceDN w:val="0"/>
        <w:adjustRightInd w:val="0"/>
        <w:spacing w:before="240"/>
        <w:ind w:firstLine="828"/>
        <w:jc w:val="both"/>
        <w:rPr>
          <w:rFonts w:ascii="Arial" w:hAnsi="Arial" w:cs="Arial"/>
          <w:color w:val="000000"/>
          <w:sz w:val="22"/>
          <w:szCs w:val="22"/>
        </w:rPr>
      </w:pPr>
      <w:r w:rsidRPr="00A35E28">
        <w:rPr>
          <w:rFonts w:ascii="Arial" w:hAnsi="Arial" w:cs="Arial"/>
          <w:color w:val="000000"/>
          <w:sz w:val="22"/>
          <w:szCs w:val="22"/>
        </w:rPr>
        <w:t>(1)</w:t>
      </w:r>
      <w:r w:rsidRPr="00A35E28">
        <w:rPr>
          <w:rFonts w:ascii="Arial" w:hAnsi="Arial" w:cs="Arial"/>
          <w:color w:val="000000"/>
          <w:sz w:val="22"/>
          <w:szCs w:val="22"/>
        </w:rPr>
        <w:tab/>
        <w:t>Stanovený podnik</w:t>
      </w:r>
      <w:r w:rsidRPr="000D0C24">
        <w:rPr>
          <w:rFonts w:ascii="Arial" w:hAnsi="Arial" w:cs="Arial"/>
          <w:color w:val="000000"/>
          <w:sz w:val="22"/>
          <w:szCs w:val="22"/>
        </w:rPr>
        <w:t xml:space="preserve"> č</w:t>
      </w:r>
      <w:r w:rsidRPr="00A35E28">
        <w:rPr>
          <w:rFonts w:ascii="Arial" w:hAnsi="Arial" w:cs="Arial"/>
          <w:color w:val="000000"/>
          <w:sz w:val="22"/>
          <w:szCs w:val="22"/>
        </w:rPr>
        <w:t>lení</w:t>
      </w:r>
      <w:r w:rsidRPr="000D0C24">
        <w:rPr>
          <w:rFonts w:ascii="Arial" w:hAnsi="Arial" w:cs="Arial"/>
          <w:color w:val="000000"/>
          <w:sz w:val="22"/>
          <w:szCs w:val="22"/>
        </w:rPr>
        <w:t xml:space="preserve"> </w:t>
      </w:r>
      <w:r w:rsidRPr="00A35E28">
        <w:rPr>
          <w:rFonts w:ascii="Arial" w:hAnsi="Arial" w:cs="Arial"/>
          <w:color w:val="000000"/>
          <w:sz w:val="22"/>
          <w:szCs w:val="22"/>
        </w:rPr>
        <w:t>náklady</w:t>
      </w:r>
      <w:r w:rsidRPr="000D0C24">
        <w:rPr>
          <w:rFonts w:ascii="Arial" w:hAnsi="Arial" w:cs="Arial"/>
          <w:color w:val="000000"/>
          <w:sz w:val="22"/>
          <w:szCs w:val="22"/>
        </w:rPr>
        <w:t xml:space="preserve"> a</w:t>
      </w:r>
      <w:r w:rsidR="000D0C24">
        <w:rPr>
          <w:rFonts w:ascii="Arial" w:hAnsi="Arial" w:cs="Arial"/>
          <w:color w:val="000000"/>
          <w:sz w:val="22"/>
          <w:szCs w:val="22"/>
        </w:rPr>
        <w:t xml:space="preserve"> </w:t>
      </w:r>
      <w:r w:rsidRPr="00A35E28">
        <w:rPr>
          <w:rFonts w:ascii="Arial" w:hAnsi="Arial" w:cs="Arial"/>
          <w:color w:val="000000"/>
          <w:sz w:val="22"/>
          <w:szCs w:val="22"/>
        </w:rPr>
        <w:t>výnosy</w:t>
      </w:r>
      <w:r w:rsidR="0047095F">
        <w:rPr>
          <w:rFonts w:ascii="Arial" w:hAnsi="Arial" w:cs="Arial"/>
          <w:color w:val="000000"/>
          <w:sz w:val="22"/>
          <w:szCs w:val="22"/>
        </w:rPr>
        <w:t xml:space="preserve"> podle </w:t>
      </w:r>
      <w:r w:rsidRPr="000D0C24">
        <w:rPr>
          <w:rFonts w:ascii="Arial" w:hAnsi="Arial" w:cs="Arial"/>
          <w:color w:val="000000"/>
          <w:sz w:val="22"/>
          <w:szCs w:val="22"/>
        </w:rPr>
        <w:t>úč</w:t>
      </w:r>
      <w:r w:rsidRPr="00A35E28">
        <w:rPr>
          <w:rFonts w:ascii="Arial" w:hAnsi="Arial" w:cs="Arial"/>
          <w:color w:val="000000"/>
          <w:sz w:val="22"/>
          <w:szCs w:val="22"/>
        </w:rPr>
        <w:t>elu,</w:t>
      </w:r>
      <w:r w:rsidR="0047095F">
        <w:rPr>
          <w:rFonts w:ascii="Arial" w:hAnsi="Arial" w:cs="Arial"/>
          <w:color w:val="000000"/>
          <w:sz w:val="22"/>
          <w:szCs w:val="22"/>
        </w:rPr>
        <w:t xml:space="preserve"> na </w:t>
      </w:r>
      <w:r w:rsidRPr="00A35E28">
        <w:rPr>
          <w:rFonts w:ascii="Arial" w:hAnsi="Arial" w:cs="Arial"/>
          <w:color w:val="000000"/>
          <w:sz w:val="22"/>
          <w:szCs w:val="22"/>
        </w:rPr>
        <w:t>který</w:t>
      </w:r>
      <w:r w:rsidRPr="000D0C24">
        <w:rPr>
          <w:rFonts w:ascii="Arial" w:hAnsi="Arial" w:cs="Arial"/>
          <w:color w:val="000000"/>
          <w:sz w:val="22"/>
          <w:szCs w:val="22"/>
        </w:rPr>
        <w:t xml:space="preserve"> </w:t>
      </w:r>
      <w:r w:rsidRPr="00A35E28">
        <w:rPr>
          <w:rFonts w:ascii="Arial" w:hAnsi="Arial" w:cs="Arial"/>
          <w:color w:val="000000"/>
          <w:sz w:val="22"/>
          <w:szCs w:val="22"/>
        </w:rPr>
        <w:t>byly</w:t>
      </w:r>
      <w:r w:rsidRPr="000D0C24">
        <w:rPr>
          <w:rFonts w:ascii="Arial" w:hAnsi="Arial" w:cs="Arial"/>
          <w:color w:val="000000"/>
          <w:sz w:val="22"/>
          <w:szCs w:val="22"/>
        </w:rPr>
        <w:t xml:space="preserve"> </w:t>
      </w:r>
      <w:r w:rsidRPr="00A35E28">
        <w:rPr>
          <w:rFonts w:ascii="Arial" w:hAnsi="Arial" w:cs="Arial"/>
          <w:color w:val="000000"/>
          <w:sz w:val="22"/>
          <w:szCs w:val="22"/>
        </w:rPr>
        <w:t>vynaloženy nebo se</w:t>
      </w:r>
      <w:r w:rsidRPr="000D0C24">
        <w:rPr>
          <w:rFonts w:ascii="Arial" w:hAnsi="Arial" w:cs="Arial"/>
          <w:color w:val="000000"/>
          <w:sz w:val="22"/>
          <w:szCs w:val="22"/>
        </w:rPr>
        <w:t xml:space="preserve"> </w:t>
      </w:r>
      <w:r w:rsidRPr="00A35E28">
        <w:rPr>
          <w:rFonts w:ascii="Arial" w:hAnsi="Arial" w:cs="Arial"/>
          <w:color w:val="000000"/>
          <w:sz w:val="22"/>
          <w:szCs w:val="22"/>
        </w:rPr>
        <w:t>kterým</w:t>
      </w:r>
      <w:r w:rsidRPr="000D0C24">
        <w:rPr>
          <w:rFonts w:ascii="Arial" w:hAnsi="Arial" w:cs="Arial"/>
          <w:color w:val="000000"/>
          <w:sz w:val="22"/>
          <w:szCs w:val="22"/>
        </w:rPr>
        <w:t xml:space="preserve"> </w:t>
      </w:r>
      <w:r w:rsidRPr="00A35E28">
        <w:rPr>
          <w:rFonts w:ascii="Arial" w:hAnsi="Arial" w:cs="Arial"/>
          <w:color w:val="000000"/>
          <w:sz w:val="22"/>
          <w:szCs w:val="22"/>
        </w:rPr>
        <w:t>souvisí. Členění</w:t>
      </w:r>
      <w:r w:rsidR="0047095F">
        <w:rPr>
          <w:rFonts w:ascii="Arial" w:hAnsi="Arial" w:cs="Arial"/>
          <w:color w:val="000000"/>
          <w:sz w:val="22"/>
          <w:szCs w:val="22"/>
        </w:rPr>
        <w:t xml:space="preserve"> podle </w:t>
      </w:r>
      <w:r w:rsidRPr="00A35E28">
        <w:rPr>
          <w:rFonts w:ascii="Arial" w:hAnsi="Arial" w:cs="Arial"/>
          <w:color w:val="000000"/>
          <w:sz w:val="22"/>
          <w:szCs w:val="22"/>
        </w:rPr>
        <w:t>ú</w:t>
      </w:r>
      <w:r w:rsidRPr="000D0C24">
        <w:rPr>
          <w:rFonts w:ascii="Arial" w:hAnsi="Arial" w:cs="Arial"/>
          <w:color w:val="000000"/>
          <w:sz w:val="22"/>
          <w:szCs w:val="22"/>
        </w:rPr>
        <w:t>č</w:t>
      </w:r>
      <w:r w:rsidRPr="00A35E28">
        <w:rPr>
          <w:rFonts w:ascii="Arial" w:hAnsi="Arial" w:cs="Arial"/>
          <w:color w:val="000000"/>
          <w:sz w:val="22"/>
          <w:szCs w:val="22"/>
        </w:rPr>
        <w:t>elu je</w:t>
      </w:r>
      <w:r w:rsidRPr="000D0C24">
        <w:rPr>
          <w:rFonts w:ascii="Arial" w:hAnsi="Arial" w:cs="Arial"/>
          <w:color w:val="000000"/>
          <w:sz w:val="22"/>
          <w:szCs w:val="22"/>
        </w:rPr>
        <w:t xml:space="preserve"> </w:t>
      </w:r>
      <w:r w:rsidRPr="00A35E28">
        <w:rPr>
          <w:rFonts w:ascii="Arial" w:hAnsi="Arial" w:cs="Arial"/>
          <w:color w:val="000000"/>
          <w:sz w:val="22"/>
          <w:szCs w:val="22"/>
        </w:rPr>
        <w:t>alesp</w:t>
      </w:r>
      <w:r w:rsidRPr="000D0C24">
        <w:rPr>
          <w:rFonts w:ascii="Arial" w:hAnsi="Arial" w:cs="Arial"/>
          <w:color w:val="000000"/>
          <w:sz w:val="22"/>
          <w:szCs w:val="22"/>
        </w:rPr>
        <w:t>o</w:t>
      </w:r>
      <w:r w:rsidRPr="00A35E28">
        <w:rPr>
          <w:rFonts w:ascii="Arial" w:hAnsi="Arial" w:cs="Arial"/>
          <w:color w:val="000000"/>
          <w:sz w:val="22"/>
          <w:szCs w:val="22"/>
        </w:rPr>
        <w:t>ň</w:t>
      </w:r>
      <w:r w:rsidRPr="000D0C24">
        <w:rPr>
          <w:rFonts w:ascii="Arial" w:hAnsi="Arial" w:cs="Arial"/>
          <w:color w:val="000000"/>
          <w:sz w:val="22"/>
          <w:szCs w:val="22"/>
        </w:rPr>
        <w:t xml:space="preserve"> </w:t>
      </w:r>
      <w:r w:rsidRPr="00A35E28">
        <w:rPr>
          <w:rFonts w:ascii="Arial" w:hAnsi="Arial" w:cs="Arial"/>
          <w:color w:val="000000"/>
          <w:sz w:val="22"/>
          <w:szCs w:val="22"/>
        </w:rPr>
        <w:t>tak</w:t>
      </w:r>
      <w:r w:rsidRPr="000D0C24">
        <w:rPr>
          <w:rFonts w:ascii="Arial" w:hAnsi="Arial" w:cs="Arial"/>
          <w:color w:val="000000"/>
          <w:sz w:val="22"/>
          <w:szCs w:val="22"/>
        </w:rPr>
        <w:t xml:space="preserve"> p</w:t>
      </w:r>
      <w:r w:rsidRPr="00A35E28">
        <w:rPr>
          <w:rFonts w:ascii="Arial" w:hAnsi="Arial" w:cs="Arial"/>
          <w:color w:val="000000"/>
          <w:sz w:val="22"/>
          <w:szCs w:val="22"/>
        </w:rPr>
        <w:t>odrobné,</w:t>
      </w:r>
      <w:r w:rsidRPr="000D0C24">
        <w:rPr>
          <w:rFonts w:ascii="Arial" w:hAnsi="Arial" w:cs="Arial"/>
          <w:color w:val="000000"/>
          <w:sz w:val="22"/>
          <w:szCs w:val="22"/>
        </w:rPr>
        <w:t xml:space="preserve"> </w:t>
      </w:r>
      <w:r w:rsidRPr="00A35E28">
        <w:rPr>
          <w:rFonts w:ascii="Arial" w:hAnsi="Arial" w:cs="Arial"/>
          <w:color w:val="000000"/>
          <w:sz w:val="22"/>
          <w:szCs w:val="22"/>
        </w:rPr>
        <w:t>aby</w:t>
      </w:r>
      <w:r w:rsidRPr="000D0C24">
        <w:rPr>
          <w:rFonts w:ascii="Arial" w:hAnsi="Arial" w:cs="Arial"/>
          <w:color w:val="000000"/>
          <w:sz w:val="22"/>
          <w:szCs w:val="22"/>
        </w:rPr>
        <w:t xml:space="preserve"> </w:t>
      </w:r>
      <w:r w:rsidRPr="00A35E28">
        <w:rPr>
          <w:rFonts w:ascii="Arial" w:hAnsi="Arial" w:cs="Arial"/>
          <w:color w:val="000000"/>
          <w:sz w:val="22"/>
          <w:szCs w:val="22"/>
        </w:rPr>
        <w:t>každá</w:t>
      </w:r>
      <w:r w:rsidRPr="000D0C24">
        <w:rPr>
          <w:rFonts w:ascii="Arial" w:hAnsi="Arial" w:cs="Arial"/>
          <w:color w:val="000000"/>
          <w:sz w:val="22"/>
          <w:szCs w:val="22"/>
        </w:rPr>
        <w:t xml:space="preserve"> </w:t>
      </w:r>
      <w:r w:rsidRPr="00A35E28">
        <w:rPr>
          <w:rFonts w:ascii="Arial" w:hAnsi="Arial" w:cs="Arial"/>
          <w:color w:val="000000"/>
          <w:sz w:val="22"/>
          <w:szCs w:val="22"/>
        </w:rPr>
        <w:t>regulovaná služba</w:t>
      </w:r>
      <w:r w:rsidRPr="000D0C24">
        <w:rPr>
          <w:rFonts w:ascii="Arial" w:hAnsi="Arial" w:cs="Arial"/>
          <w:color w:val="000000"/>
          <w:sz w:val="22"/>
          <w:szCs w:val="22"/>
        </w:rPr>
        <w:t xml:space="preserve"> </w:t>
      </w:r>
      <w:r w:rsidRPr="00A35E28">
        <w:rPr>
          <w:rFonts w:ascii="Arial" w:hAnsi="Arial" w:cs="Arial"/>
          <w:color w:val="000000"/>
          <w:sz w:val="22"/>
          <w:szCs w:val="22"/>
        </w:rPr>
        <w:t>byla</w:t>
      </w:r>
      <w:r w:rsidRPr="000D0C24">
        <w:rPr>
          <w:rFonts w:ascii="Arial" w:hAnsi="Arial" w:cs="Arial"/>
          <w:color w:val="000000"/>
          <w:sz w:val="22"/>
          <w:szCs w:val="22"/>
        </w:rPr>
        <w:t xml:space="preserve"> </w:t>
      </w:r>
      <w:r w:rsidRPr="00A35E28">
        <w:rPr>
          <w:rFonts w:ascii="Arial" w:hAnsi="Arial" w:cs="Arial"/>
          <w:color w:val="000000"/>
          <w:sz w:val="22"/>
          <w:szCs w:val="22"/>
        </w:rPr>
        <w:t>sledována</w:t>
      </w:r>
      <w:r w:rsidRPr="000D0C24">
        <w:rPr>
          <w:rFonts w:ascii="Arial" w:hAnsi="Arial" w:cs="Arial"/>
          <w:color w:val="000000"/>
          <w:sz w:val="22"/>
          <w:szCs w:val="22"/>
        </w:rPr>
        <w:t xml:space="preserve"> </w:t>
      </w:r>
      <w:r w:rsidRPr="00A35E28">
        <w:rPr>
          <w:rFonts w:ascii="Arial" w:hAnsi="Arial" w:cs="Arial"/>
          <w:color w:val="000000"/>
          <w:sz w:val="22"/>
          <w:szCs w:val="22"/>
        </w:rPr>
        <w:t>od</w:t>
      </w:r>
      <w:r w:rsidRPr="000D0C24">
        <w:rPr>
          <w:rFonts w:ascii="Arial" w:hAnsi="Arial" w:cs="Arial"/>
          <w:color w:val="000000"/>
          <w:sz w:val="22"/>
          <w:szCs w:val="22"/>
        </w:rPr>
        <w:t>d</w:t>
      </w:r>
      <w:r w:rsidRPr="00A35E28">
        <w:rPr>
          <w:rFonts w:ascii="Arial" w:hAnsi="Arial" w:cs="Arial"/>
          <w:color w:val="000000"/>
          <w:sz w:val="22"/>
          <w:szCs w:val="22"/>
        </w:rPr>
        <w:t>ěleně.</w:t>
      </w:r>
      <w:r w:rsidRPr="000D0C24">
        <w:rPr>
          <w:rFonts w:ascii="Arial" w:hAnsi="Arial" w:cs="Arial"/>
          <w:color w:val="000000"/>
          <w:sz w:val="22"/>
          <w:szCs w:val="22"/>
        </w:rPr>
        <w:t xml:space="preserve"> </w:t>
      </w:r>
      <w:r w:rsidRPr="00A35E28">
        <w:rPr>
          <w:rFonts w:ascii="Arial" w:hAnsi="Arial" w:cs="Arial"/>
          <w:color w:val="000000"/>
          <w:sz w:val="22"/>
          <w:szCs w:val="22"/>
        </w:rPr>
        <w:t>Služby,</w:t>
      </w:r>
      <w:r w:rsidRPr="000D0C24">
        <w:rPr>
          <w:rFonts w:ascii="Arial" w:hAnsi="Arial" w:cs="Arial"/>
          <w:color w:val="000000"/>
          <w:sz w:val="22"/>
          <w:szCs w:val="22"/>
        </w:rPr>
        <w:t xml:space="preserve"> </w:t>
      </w:r>
      <w:r w:rsidRPr="00A35E28">
        <w:rPr>
          <w:rFonts w:ascii="Arial" w:hAnsi="Arial" w:cs="Arial"/>
          <w:color w:val="000000"/>
          <w:sz w:val="22"/>
          <w:szCs w:val="22"/>
        </w:rPr>
        <w:t>které</w:t>
      </w:r>
      <w:r w:rsidRPr="000D0C24">
        <w:rPr>
          <w:rFonts w:ascii="Arial" w:hAnsi="Arial" w:cs="Arial"/>
          <w:color w:val="000000"/>
          <w:sz w:val="22"/>
          <w:szCs w:val="22"/>
        </w:rPr>
        <w:t xml:space="preserve"> </w:t>
      </w:r>
      <w:r w:rsidRPr="00A35E28">
        <w:rPr>
          <w:rFonts w:ascii="Arial" w:hAnsi="Arial" w:cs="Arial"/>
          <w:color w:val="000000"/>
          <w:sz w:val="22"/>
          <w:szCs w:val="22"/>
        </w:rPr>
        <w:t>nejsou</w:t>
      </w:r>
      <w:r w:rsidRPr="000D0C24">
        <w:rPr>
          <w:rFonts w:ascii="Arial" w:hAnsi="Arial" w:cs="Arial"/>
          <w:color w:val="000000"/>
          <w:sz w:val="22"/>
          <w:szCs w:val="22"/>
        </w:rPr>
        <w:t xml:space="preserve"> </w:t>
      </w:r>
      <w:r w:rsidRPr="00A35E28">
        <w:rPr>
          <w:rFonts w:ascii="Arial" w:hAnsi="Arial" w:cs="Arial"/>
          <w:color w:val="000000"/>
          <w:sz w:val="22"/>
          <w:szCs w:val="22"/>
        </w:rPr>
        <w:t>regulovány, jsou</w:t>
      </w:r>
      <w:r w:rsidRPr="000D0C24">
        <w:rPr>
          <w:rFonts w:ascii="Arial" w:hAnsi="Arial" w:cs="Arial"/>
          <w:color w:val="000000"/>
          <w:sz w:val="22"/>
          <w:szCs w:val="22"/>
        </w:rPr>
        <w:t xml:space="preserve"> </w:t>
      </w:r>
      <w:r w:rsidRPr="00A35E28">
        <w:rPr>
          <w:rFonts w:ascii="Arial" w:hAnsi="Arial" w:cs="Arial"/>
          <w:color w:val="000000"/>
          <w:sz w:val="22"/>
          <w:szCs w:val="22"/>
        </w:rPr>
        <w:t>sledovány</w:t>
      </w:r>
      <w:r w:rsidRPr="000D0C24">
        <w:rPr>
          <w:rFonts w:ascii="Arial" w:hAnsi="Arial" w:cs="Arial"/>
          <w:color w:val="000000"/>
          <w:sz w:val="22"/>
          <w:szCs w:val="22"/>
        </w:rPr>
        <w:t xml:space="preserve"> </w:t>
      </w:r>
      <w:r w:rsidRPr="00A35E28">
        <w:rPr>
          <w:rFonts w:ascii="Arial" w:hAnsi="Arial" w:cs="Arial"/>
          <w:color w:val="000000"/>
          <w:sz w:val="22"/>
          <w:szCs w:val="22"/>
        </w:rPr>
        <w:t>odděleně</w:t>
      </w:r>
      <w:r w:rsidR="0047095F">
        <w:rPr>
          <w:rFonts w:ascii="Arial" w:hAnsi="Arial" w:cs="Arial"/>
          <w:color w:val="000000"/>
          <w:sz w:val="22"/>
          <w:szCs w:val="22"/>
        </w:rPr>
        <w:t xml:space="preserve"> od </w:t>
      </w:r>
      <w:r w:rsidRPr="00A35E28">
        <w:rPr>
          <w:rFonts w:ascii="Arial" w:hAnsi="Arial" w:cs="Arial"/>
          <w:color w:val="000000"/>
          <w:sz w:val="22"/>
          <w:szCs w:val="22"/>
        </w:rPr>
        <w:t>regulov</w:t>
      </w:r>
      <w:r w:rsidRPr="000D0C24">
        <w:rPr>
          <w:rFonts w:ascii="Arial" w:hAnsi="Arial" w:cs="Arial"/>
          <w:color w:val="000000"/>
          <w:sz w:val="22"/>
          <w:szCs w:val="22"/>
        </w:rPr>
        <w:t>a</w:t>
      </w:r>
      <w:r w:rsidRPr="00A35E28">
        <w:rPr>
          <w:rFonts w:ascii="Arial" w:hAnsi="Arial" w:cs="Arial"/>
          <w:color w:val="000000"/>
          <w:sz w:val="22"/>
          <w:szCs w:val="22"/>
        </w:rPr>
        <w:t>ných služeb</w:t>
      </w:r>
      <w:r w:rsidRPr="000D0C24">
        <w:rPr>
          <w:rFonts w:ascii="Arial" w:hAnsi="Arial" w:cs="Arial"/>
          <w:color w:val="000000"/>
          <w:sz w:val="22"/>
          <w:szCs w:val="22"/>
        </w:rPr>
        <w:t xml:space="preserve"> a</w:t>
      </w:r>
      <w:r w:rsidR="000D0C24">
        <w:rPr>
          <w:rFonts w:ascii="Arial" w:hAnsi="Arial" w:cs="Arial"/>
          <w:color w:val="000000"/>
          <w:sz w:val="22"/>
          <w:szCs w:val="22"/>
        </w:rPr>
        <w:t xml:space="preserve"> </w:t>
      </w:r>
      <w:r w:rsidRPr="00A35E28">
        <w:rPr>
          <w:rFonts w:ascii="Arial" w:hAnsi="Arial" w:cs="Arial"/>
          <w:color w:val="000000"/>
          <w:sz w:val="22"/>
          <w:szCs w:val="22"/>
        </w:rPr>
        <w:t>mohou</w:t>
      </w:r>
      <w:r w:rsidRPr="000D0C24">
        <w:rPr>
          <w:rFonts w:ascii="Arial" w:hAnsi="Arial" w:cs="Arial"/>
          <w:color w:val="000000"/>
          <w:sz w:val="22"/>
          <w:szCs w:val="22"/>
        </w:rPr>
        <w:t xml:space="preserve"> b</w:t>
      </w:r>
      <w:r w:rsidRPr="00A35E28">
        <w:rPr>
          <w:rFonts w:ascii="Arial" w:hAnsi="Arial" w:cs="Arial"/>
          <w:color w:val="000000"/>
          <w:sz w:val="22"/>
          <w:szCs w:val="22"/>
        </w:rPr>
        <w:t>ýt</w:t>
      </w:r>
      <w:r w:rsidRPr="000D0C24">
        <w:rPr>
          <w:rFonts w:ascii="Arial" w:hAnsi="Arial" w:cs="Arial"/>
          <w:color w:val="000000"/>
          <w:sz w:val="22"/>
          <w:szCs w:val="22"/>
        </w:rPr>
        <w:t xml:space="preserve"> </w:t>
      </w:r>
      <w:r w:rsidRPr="00A35E28">
        <w:rPr>
          <w:rFonts w:ascii="Arial" w:hAnsi="Arial" w:cs="Arial"/>
          <w:color w:val="000000"/>
          <w:sz w:val="22"/>
          <w:szCs w:val="22"/>
        </w:rPr>
        <w:t>sdru</w:t>
      </w:r>
      <w:r w:rsidRPr="000D0C24">
        <w:rPr>
          <w:rFonts w:ascii="Arial" w:hAnsi="Arial" w:cs="Arial"/>
          <w:color w:val="000000"/>
          <w:sz w:val="22"/>
          <w:szCs w:val="22"/>
        </w:rPr>
        <w:t>ž</w:t>
      </w:r>
      <w:r w:rsidRPr="00A35E28">
        <w:rPr>
          <w:rFonts w:ascii="Arial" w:hAnsi="Arial" w:cs="Arial"/>
          <w:color w:val="000000"/>
          <w:sz w:val="22"/>
          <w:szCs w:val="22"/>
        </w:rPr>
        <w:t>eny</w:t>
      </w:r>
      <w:r w:rsidRPr="000D0C24">
        <w:rPr>
          <w:rFonts w:ascii="Arial" w:hAnsi="Arial" w:cs="Arial"/>
          <w:color w:val="000000"/>
          <w:sz w:val="22"/>
          <w:szCs w:val="22"/>
        </w:rPr>
        <w:t xml:space="preserve"> do</w:t>
      </w:r>
      <w:r w:rsidR="000D0C24">
        <w:rPr>
          <w:rFonts w:ascii="Arial" w:hAnsi="Arial" w:cs="Arial"/>
          <w:color w:val="000000"/>
          <w:sz w:val="22"/>
          <w:szCs w:val="22"/>
        </w:rPr>
        <w:t xml:space="preserve"> </w:t>
      </w:r>
      <w:r w:rsidRPr="00A35E28">
        <w:rPr>
          <w:rFonts w:ascii="Arial" w:hAnsi="Arial" w:cs="Arial"/>
          <w:color w:val="000000"/>
          <w:sz w:val="22"/>
          <w:szCs w:val="22"/>
        </w:rPr>
        <w:t>tolika</w:t>
      </w:r>
      <w:r w:rsidRPr="000D0C24">
        <w:rPr>
          <w:rFonts w:ascii="Arial" w:hAnsi="Arial" w:cs="Arial"/>
          <w:color w:val="000000"/>
          <w:sz w:val="22"/>
          <w:szCs w:val="22"/>
        </w:rPr>
        <w:t xml:space="preserve"> </w:t>
      </w:r>
      <w:r w:rsidRPr="00A35E28">
        <w:rPr>
          <w:rFonts w:ascii="Arial" w:hAnsi="Arial" w:cs="Arial"/>
          <w:color w:val="000000"/>
          <w:sz w:val="22"/>
          <w:szCs w:val="22"/>
        </w:rPr>
        <w:t>skupin,</w:t>
      </w:r>
      <w:r w:rsidRPr="000D0C24">
        <w:rPr>
          <w:rFonts w:ascii="Arial" w:hAnsi="Arial" w:cs="Arial"/>
          <w:color w:val="000000"/>
          <w:sz w:val="22"/>
          <w:szCs w:val="22"/>
        </w:rPr>
        <w:t xml:space="preserve"> </w:t>
      </w:r>
      <w:r w:rsidRPr="00A35E28">
        <w:rPr>
          <w:rFonts w:ascii="Arial" w:hAnsi="Arial" w:cs="Arial"/>
          <w:color w:val="000000"/>
          <w:sz w:val="22"/>
          <w:szCs w:val="22"/>
        </w:rPr>
        <w:t>aby</w:t>
      </w:r>
      <w:r w:rsidRPr="000D0C24">
        <w:rPr>
          <w:rFonts w:ascii="Arial" w:hAnsi="Arial" w:cs="Arial"/>
          <w:color w:val="000000"/>
          <w:sz w:val="22"/>
          <w:szCs w:val="22"/>
        </w:rPr>
        <w:t xml:space="preserve"> </w:t>
      </w:r>
      <w:r w:rsidRPr="00A35E28">
        <w:rPr>
          <w:rFonts w:ascii="Arial" w:hAnsi="Arial" w:cs="Arial"/>
          <w:color w:val="000000"/>
          <w:sz w:val="22"/>
          <w:szCs w:val="22"/>
        </w:rPr>
        <w:t>n</w:t>
      </w:r>
      <w:r w:rsidRPr="000D0C24">
        <w:rPr>
          <w:rFonts w:ascii="Arial" w:hAnsi="Arial" w:cs="Arial"/>
          <w:color w:val="000000"/>
          <w:sz w:val="22"/>
          <w:szCs w:val="22"/>
        </w:rPr>
        <w:t>e</w:t>
      </w:r>
      <w:r w:rsidRPr="00A35E28">
        <w:rPr>
          <w:rFonts w:ascii="Arial" w:hAnsi="Arial" w:cs="Arial"/>
          <w:color w:val="000000"/>
          <w:sz w:val="22"/>
          <w:szCs w:val="22"/>
        </w:rPr>
        <w:t>byl</w:t>
      </w:r>
      <w:r w:rsidRPr="000D0C24">
        <w:rPr>
          <w:rFonts w:ascii="Arial" w:hAnsi="Arial" w:cs="Arial"/>
          <w:color w:val="000000"/>
          <w:sz w:val="22"/>
          <w:szCs w:val="22"/>
        </w:rPr>
        <w:t xml:space="preserve"> </w:t>
      </w:r>
      <w:r w:rsidRPr="00A35E28">
        <w:rPr>
          <w:rFonts w:ascii="Arial" w:hAnsi="Arial" w:cs="Arial"/>
          <w:color w:val="000000"/>
          <w:sz w:val="22"/>
          <w:szCs w:val="22"/>
        </w:rPr>
        <w:t>zpochy</w:t>
      </w:r>
      <w:r w:rsidRPr="000D0C24">
        <w:rPr>
          <w:rFonts w:ascii="Arial" w:hAnsi="Arial" w:cs="Arial"/>
          <w:color w:val="000000"/>
          <w:sz w:val="22"/>
          <w:szCs w:val="22"/>
        </w:rPr>
        <w:t>b</w:t>
      </w:r>
      <w:r w:rsidRPr="00A35E28">
        <w:rPr>
          <w:rFonts w:ascii="Arial" w:hAnsi="Arial" w:cs="Arial"/>
          <w:color w:val="000000"/>
          <w:sz w:val="22"/>
          <w:szCs w:val="22"/>
        </w:rPr>
        <w:t>něn</w:t>
      </w:r>
      <w:r w:rsidRPr="000D0C24">
        <w:rPr>
          <w:rFonts w:ascii="Arial" w:hAnsi="Arial" w:cs="Arial"/>
          <w:color w:val="000000"/>
          <w:sz w:val="22"/>
          <w:szCs w:val="22"/>
        </w:rPr>
        <w:t xml:space="preserve"> </w:t>
      </w:r>
      <w:r w:rsidRPr="00A35E28">
        <w:rPr>
          <w:rFonts w:ascii="Arial" w:hAnsi="Arial" w:cs="Arial"/>
          <w:color w:val="000000"/>
          <w:sz w:val="22"/>
          <w:szCs w:val="22"/>
        </w:rPr>
        <w:t>ú</w:t>
      </w:r>
      <w:r w:rsidRPr="000D0C24">
        <w:rPr>
          <w:rFonts w:ascii="Arial" w:hAnsi="Arial" w:cs="Arial"/>
          <w:color w:val="000000"/>
          <w:sz w:val="22"/>
          <w:szCs w:val="22"/>
        </w:rPr>
        <w:t xml:space="preserve">čel </w:t>
      </w:r>
      <w:r w:rsidRPr="00A35E28">
        <w:rPr>
          <w:rFonts w:ascii="Arial" w:hAnsi="Arial" w:cs="Arial"/>
          <w:color w:val="000000"/>
          <w:sz w:val="22"/>
          <w:szCs w:val="22"/>
        </w:rPr>
        <w:t>oddělené</w:t>
      </w:r>
      <w:r w:rsidRPr="000D0C24">
        <w:rPr>
          <w:rFonts w:ascii="Arial" w:hAnsi="Arial" w:cs="Arial"/>
          <w:color w:val="000000"/>
          <w:sz w:val="22"/>
          <w:szCs w:val="22"/>
        </w:rPr>
        <w:t xml:space="preserve"> </w:t>
      </w:r>
      <w:r w:rsidRPr="00A35E28">
        <w:rPr>
          <w:rFonts w:ascii="Arial" w:hAnsi="Arial" w:cs="Arial"/>
          <w:color w:val="000000"/>
          <w:sz w:val="22"/>
          <w:szCs w:val="22"/>
        </w:rPr>
        <w:t>evidence.</w:t>
      </w:r>
      <w:r w:rsidRPr="000D0C24">
        <w:rPr>
          <w:rFonts w:ascii="Arial" w:hAnsi="Arial" w:cs="Arial"/>
          <w:color w:val="000000"/>
          <w:sz w:val="22"/>
          <w:szCs w:val="22"/>
        </w:rPr>
        <w:t xml:space="preserve"> </w:t>
      </w:r>
      <w:r w:rsidRPr="00A35E28">
        <w:rPr>
          <w:rFonts w:ascii="Arial" w:hAnsi="Arial" w:cs="Arial"/>
          <w:color w:val="000000"/>
          <w:sz w:val="22"/>
          <w:szCs w:val="22"/>
        </w:rPr>
        <w:t>Celková</w:t>
      </w:r>
      <w:r w:rsidRPr="000D0C24">
        <w:rPr>
          <w:rFonts w:ascii="Arial" w:hAnsi="Arial" w:cs="Arial"/>
          <w:color w:val="000000"/>
          <w:sz w:val="22"/>
          <w:szCs w:val="22"/>
        </w:rPr>
        <w:t xml:space="preserve"> </w:t>
      </w:r>
      <w:r w:rsidRPr="00A35E28">
        <w:rPr>
          <w:rFonts w:ascii="Arial" w:hAnsi="Arial" w:cs="Arial"/>
          <w:color w:val="000000"/>
          <w:sz w:val="22"/>
          <w:szCs w:val="22"/>
        </w:rPr>
        <w:t>výše</w:t>
      </w:r>
      <w:r w:rsidRPr="000D0C24">
        <w:rPr>
          <w:rFonts w:ascii="Arial" w:hAnsi="Arial" w:cs="Arial"/>
          <w:color w:val="000000"/>
          <w:sz w:val="22"/>
          <w:szCs w:val="22"/>
        </w:rPr>
        <w:t xml:space="preserve"> </w:t>
      </w:r>
      <w:r w:rsidRPr="00A35E28">
        <w:rPr>
          <w:rFonts w:ascii="Arial" w:hAnsi="Arial" w:cs="Arial"/>
          <w:color w:val="000000"/>
          <w:sz w:val="22"/>
          <w:szCs w:val="22"/>
        </w:rPr>
        <w:t>nákla</w:t>
      </w:r>
      <w:r w:rsidRPr="000D0C24">
        <w:rPr>
          <w:rFonts w:ascii="Arial" w:hAnsi="Arial" w:cs="Arial"/>
          <w:color w:val="000000"/>
          <w:sz w:val="22"/>
          <w:szCs w:val="22"/>
        </w:rPr>
        <w:t>d</w:t>
      </w:r>
      <w:r w:rsidRPr="00A35E28">
        <w:rPr>
          <w:rFonts w:ascii="Arial" w:hAnsi="Arial" w:cs="Arial"/>
          <w:color w:val="000000"/>
          <w:sz w:val="22"/>
          <w:szCs w:val="22"/>
        </w:rPr>
        <w:t>ů</w:t>
      </w:r>
      <w:r w:rsidRPr="000D0C24">
        <w:rPr>
          <w:rFonts w:ascii="Arial" w:hAnsi="Arial" w:cs="Arial"/>
          <w:color w:val="000000"/>
          <w:sz w:val="22"/>
          <w:szCs w:val="22"/>
        </w:rPr>
        <w:t xml:space="preserve"> a</w:t>
      </w:r>
      <w:r w:rsidR="000D0C24">
        <w:rPr>
          <w:rFonts w:ascii="Arial" w:hAnsi="Arial" w:cs="Arial"/>
          <w:color w:val="000000"/>
          <w:sz w:val="22"/>
          <w:szCs w:val="22"/>
        </w:rPr>
        <w:t xml:space="preserve"> </w:t>
      </w:r>
      <w:r w:rsidRPr="00A35E28">
        <w:rPr>
          <w:rFonts w:ascii="Arial" w:hAnsi="Arial" w:cs="Arial"/>
          <w:color w:val="000000"/>
          <w:sz w:val="22"/>
          <w:szCs w:val="22"/>
        </w:rPr>
        <w:t>výnosů</w:t>
      </w:r>
      <w:r w:rsidRPr="000D0C24">
        <w:rPr>
          <w:rFonts w:ascii="Arial" w:hAnsi="Arial" w:cs="Arial"/>
          <w:color w:val="000000"/>
          <w:sz w:val="22"/>
          <w:szCs w:val="22"/>
        </w:rPr>
        <w:t xml:space="preserve"> </w:t>
      </w:r>
      <w:r w:rsidRPr="00A35E28">
        <w:rPr>
          <w:rFonts w:ascii="Arial" w:hAnsi="Arial" w:cs="Arial"/>
          <w:color w:val="000000"/>
          <w:sz w:val="22"/>
          <w:szCs w:val="22"/>
        </w:rPr>
        <w:t>z od</w:t>
      </w:r>
      <w:r w:rsidRPr="000D0C24">
        <w:rPr>
          <w:rFonts w:ascii="Arial" w:hAnsi="Arial" w:cs="Arial"/>
          <w:color w:val="000000"/>
          <w:sz w:val="22"/>
          <w:szCs w:val="22"/>
        </w:rPr>
        <w:t>d</w:t>
      </w:r>
      <w:r w:rsidRPr="00A35E28">
        <w:rPr>
          <w:rFonts w:ascii="Arial" w:hAnsi="Arial" w:cs="Arial"/>
          <w:color w:val="000000"/>
          <w:sz w:val="22"/>
          <w:szCs w:val="22"/>
        </w:rPr>
        <w:t>ělené</w:t>
      </w:r>
      <w:r w:rsidRPr="000D0C24">
        <w:rPr>
          <w:rFonts w:ascii="Arial" w:hAnsi="Arial" w:cs="Arial"/>
          <w:color w:val="000000"/>
          <w:sz w:val="22"/>
          <w:szCs w:val="22"/>
        </w:rPr>
        <w:t xml:space="preserve"> </w:t>
      </w:r>
      <w:r w:rsidRPr="00A35E28">
        <w:rPr>
          <w:rFonts w:ascii="Arial" w:hAnsi="Arial" w:cs="Arial"/>
          <w:color w:val="000000"/>
          <w:sz w:val="22"/>
          <w:szCs w:val="22"/>
        </w:rPr>
        <w:t>evidence</w:t>
      </w:r>
      <w:r w:rsidRPr="000D0C24">
        <w:rPr>
          <w:rFonts w:ascii="Arial" w:hAnsi="Arial" w:cs="Arial"/>
          <w:color w:val="000000"/>
          <w:sz w:val="22"/>
          <w:szCs w:val="22"/>
        </w:rPr>
        <w:t xml:space="preserve"> </w:t>
      </w:r>
      <w:r w:rsidRPr="00A35E28">
        <w:rPr>
          <w:rFonts w:ascii="Arial" w:hAnsi="Arial" w:cs="Arial"/>
          <w:color w:val="000000"/>
          <w:sz w:val="22"/>
          <w:szCs w:val="22"/>
        </w:rPr>
        <w:t>musí</w:t>
      </w:r>
      <w:r w:rsidRPr="000D0C24">
        <w:rPr>
          <w:rFonts w:ascii="Arial" w:hAnsi="Arial" w:cs="Arial"/>
          <w:color w:val="000000"/>
          <w:sz w:val="22"/>
          <w:szCs w:val="22"/>
        </w:rPr>
        <w:t xml:space="preserve"> </w:t>
      </w:r>
      <w:r w:rsidRPr="00A35E28">
        <w:rPr>
          <w:rFonts w:ascii="Arial" w:hAnsi="Arial" w:cs="Arial"/>
          <w:color w:val="000000"/>
          <w:sz w:val="22"/>
          <w:szCs w:val="22"/>
        </w:rPr>
        <w:t xml:space="preserve">odpovídat, </w:t>
      </w:r>
      <w:r w:rsidR="000D0C24">
        <w:rPr>
          <w:rFonts w:ascii="Arial" w:hAnsi="Arial" w:cs="Arial"/>
          <w:color w:val="000000"/>
          <w:sz w:val="22"/>
          <w:szCs w:val="22"/>
        </w:rPr>
        <w:br/>
      </w:r>
      <w:r w:rsidRPr="00A35E28">
        <w:rPr>
          <w:rFonts w:ascii="Arial" w:hAnsi="Arial" w:cs="Arial"/>
          <w:color w:val="000000"/>
          <w:sz w:val="22"/>
          <w:szCs w:val="22"/>
        </w:rPr>
        <w:t>po</w:t>
      </w:r>
      <w:r w:rsidR="000D0C24">
        <w:rPr>
          <w:rFonts w:ascii="Arial" w:hAnsi="Arial" w:cs="Arial"/>
          <w:color w:val="000000"/>
          <w:sz w:val="22"/>
          <w:szCs w:val="22"/>
        </w:rPr>
        <w:t xml:space="preserve"> </w:t>
      </w:r>
      <w:r w:rsidRPr="00A35E28">
        <w:rPr>
          <w:rFonts w:ascii="Arial" w:hAnsi="Arial" w:cs="Arial"/>
          <w:color w:val="000000"/>
          <w:sz w:val="22"/>
          <w:szCs w:val="22"/>
        </w:rPr>
        <w:t>zvýšení</w:t>
      </w:r>
      <w:r w:rsidRPr="000D0C24">
        <w:rPr>
          <w:rFonts w:ascii="Arial" w:hAnsi="Arial" w:cs="Arial"/>
          <w:color w:val="000000"/>
          <w:sz w:val="22"/>
          <w:szCs w:val="22"/>
        </w:rPr>
        <w:t xml:space="preserve"> o</w:t>
      </w:r>
      <w:r w:rsidR="000D0C24">
        <w:rPr>
          <w:rFonts w:ascii="Arial" w:hAnsi="Arial" w:cs="Arial"/>
          <w:color w:val="000000"/>
          <w:sz w:val="22"/>
          <w:szCs w:val="22"/>
        </w:rPr>
        <w:t xml:space="preserve"> </w:t>
      </w:r>
      <w:r w:rsidRPr="00A35E28">
        <w:rPr>
          <w:rFonts w:ascii="Arial" w:hAnsi="Arial" w:cs="Arial"/>
          <w:color w:val="000000"/>
          <w:sz w:val="22"/>
          <w:szCs w:val="22"/>
        </w:rPr>
        <w:t>ostatní</w:t>
      </w:r>
      <w:r w:rsidRPr="000D0C24">
        <w:rPr>
          <w:rFonts w:ascii="Arial" w:hAnsi="Arial" w:cs="Arial"/>
          <w:color w:val="000000"/>
          <w:sz w:val="22"/>
          <w:szCs w:val="22"/>
        </w:rPr>
        <w:t xml:space="preserve"> n</w:t>
      </w:r>
      <w:r w:rsidRPr="00A35E28">
        <w:rPr>
          <w:rFonts w:ascii="Arial" w:hAnsi="Arial" w:cs="Arial"/>
          <w:color w:val="000000"/>
          <w:sz w:val="22"/>
          <w:szCs w:val="22"/>
        </w:rPr>
        <w:t>áklady</w:t>
      </w:r>
      <w:r w:rsidRPr="000D0C24">
        <w:rPr>
          <w:rFonts w:ascii="Arial" w:hAnsi="Arial" w:cs="Arial"/>
          <w:color w:val="000000"/>
          <w:sz w:val="22"/>
          <w:szCs w:val="22"/>
        </w:rPr>
        <w:t xml:space="preserve"> a</w:t>
      </w:r>
      <w:r w:rsidR="000D0C24">
        <w:rPr>
          <w:rFonts w:ascii="Arial" w:hAnsi="Arial" w:cs="Arial"/>
          <w:color w:val="000000"/>
          <w:sz w:val="22"/>
          <w:szCs w:val="22"/>
        </w:rPr>
        <w:t xml:space="preserve"> </w:t>
      </w:r>
      <w:r w:rsidRPr="00A35E28">
        <w:rPr>
          <w:rFonts w:ascii="Arial" w:hAnsi="Arial" w:cs="Arial"/>
          <w:color w:val="000000"/>
          <w:sz w:val="22"/>
          <w:szCs w:val="22"/>
        </w:rPr>
        <w:t>výnosy,</w:t>
      </w:r>
      <w:r w:rsidRPr="000D0C24">
        <w:rPr>
          <w:rFonts w:ascii="Arial" w:hAnsi="Arial" w:cs="Arial"/>
          <w:color w:val="000000"/>
          <w:sz w:val="22"/>
          <w:szCs w:val="22"/>
        </w:rPr>
        <w:t xml:space="preserve"> </w:t>
      </w:r>
      <w:r w:rsidRPr="00A35E28">
        <w:rPr>
          <w:rFonts w:ascii="Arial" w:hAnsi="Arial" w:cs="Arial"/>
          <w:color w:val="000000"/>
          <w:sz w:val="22"/>
          <w:szCs w:val="22"/>
        </w:rPr>
        <w:t>nákl</w:t>
      </w:r>
      <w:r w:rsidRPr="000D0C24">
        <w:rPr>
          <w:rFonts w:ascii="Arial" w:hAnsi="Arial" w:cs="Arial"/>
          <w:color w:val="000000"/>
          <w:sz w:val="22"/>
          <w:szCs w:val="22"/>
        </w:rPr>
        <w:t>a</w:t>
      </w:r>
      <w:r w:rsidRPr="00A35E28">
        <w:rPr>
          <w:rFonts w:ascii="Arial" w:hAnsi="Arial" w:cs="Arial"/>
          <w:color w:val="000000"/>
          <w:sz w:val="22"/>
          <w:szCs w:val="22"/>
        </w:rPr>
        <w:t>dům</w:t>
      </w:r>
      <w:r w:rsidRPr="000D0C24">
        <w:rPr>
          <w:rFonts w:ascii="Arial" w:hAnsi="Arial" w:cs="Arial"/>
          <w:color w:val="000000"/>
          <w:sz w:val="22"/>
          <w:szCs w:val="22"/>
        </w:rPr>
        <w:t xml:space="preserve"> a</w:t>
      </w:r>
      <w:r w:rsidR="000D0C24">
        <w:rPr>
          <w:rFonts w:ascii="Arial" w:hAnsi="Arial" w:cs="Arial"/>
          <w:color w:val="000000"/>
          <w:sz w:val="22"/>
          <w:szCs w:val="22"/>
        </w:rPr>
        <w:t xml:space="preserve"> </w:t>
      </w:r>
      <w:r w:rsidRPr="00A35E28">
        <w:rPr>
          <w:rFonts w:ascii="Arial" w:hAnsi="Arial" w:cs="Arial"/>
          <w:color w:val="000000"/>
          <w:sz w:val="22"/>
          <w:szCs w:val="22"/>
        </w:rPr>
        <w:t>výno</w:t>
      </w:r>
      <w:r w:rsidRPr="000D0C24">
        <w:rPr>
          <w:rFonts w:ascii="Arial" w:hAnsi="Arial" w:cs="Arial"/>
          <w:color w:val="000000"/>
          <w:sz w:val="22"/>
          <w:szCs w:val="22"/>
        </w:rPr>
        <w:t>s</w:t>
      </w:r>
      <w:r w:rsidRPr="00A35E28">
        <w:rPr>
          <w:rFonts w:ascii="Arial" w:hAnsi="Arial" w:cs="Arial"/>
          <w:color w:val="000000"/>
          <w:sz w:val="22"/>
          <w:szCs w:val="22"/>
        </w:rPr>
        <w:t>ům</w:t>
      </w:r>
      <w:r w:rsidRPr="000D0C24">
        <w:rPr>
          <w:rFonts w:ascii="Arial" w:hAnsi="Arial" w:cs="Arial"/>
          <w:color w:val="000000"/>
          <w:sz w:val="22"/>
          <w:szCs w:val="22"/>
        </w:rPr>
        <w:t xml:space="preserve"> vyk</w:t>
      </w:r>
      <w:r w:rsidRPr="00A35E28">
        <w:rPr>
          <w:rFonts w:ascii="Arial" w:hAnsi="Arial" w:cs="Arial"/>
          <w:color w:val="000000"/>
          <w:sz w:val="22"/>
          <w:szCs w:val="22"/>
        </w:rPr>
        <w:t>azo</w:t>
      </w:r>
      <w:r w:rsidRPr="000D0C24">
        <w:rPr>
          <w:rFonts w:ascii="Arial" w:hAnsi="Arial" w:cs="Arial"/>
          <w:color w:val="000000"/>
          <w:sz w:val="22"/>
          <w:szCs w:val="22"/>
        </w:rPr>
        <w:t>v</w:t>
      </w:r>
      <w:r w:rsidRPr="00A35E28">
        <w:rPr>
          <w:rFonts w:ascii="Arial" w:hAnsi="Arial" w:cs="Arial"/>
          <w:color w:val="000000"/>
          <w:sz w:val="22"/>
          <w:szCs w:val="22"/>
        </w:rPr>
        <w:t>aným ve</w:t>
      </w:r>
      <w:r w:rsidR="000D0C24">
        <w:rPr>
          <w:rFonts w:ascii="Arial" w:hAnsi="Arial" w:cs="Arial"/>
          <w:color w:val="000000"/>
          <w:sz w:val="22"/>
          <w:szCs w:val="22"/>
        </w:rPr>
        <w:t xml:space="preserve"> </w:t>
      </w:r>
      <w:r w:rsidRPr="00A35E28">
        <w:rPr>
          <w:rFonts w:ascii="Arial" w:hAnsi="Arial" w:cs="Arial"/>
          <w:color w:val="000000"/>
          <w:sz w:val="22"/>
          <w:szCs w:val="22"/>
        </w:rPr>
        <w:t>výkazech sesta</w:t>
      </w:r>
      <w:r w:rsidRPr="000D0C24">
        <w:rPr>
          <w:rFonts w:ascii="Arial" w:hAnsi="Arial" w:cs="Arial"/>
          <w:color w:val="000000"/>
          <w:sz w:val="22"/>
          <w:szCs w:val="22"/>
        </w:rPr>
        <w:t>v</w:t>
      </w:r>
      <w:r w:rsidRPr="00A35E28">
        <w:rPr>
          <w:rFonts w:ascii="Arial" w:hAnsi="Arial" w:cs="Arial"/>
          <w:color w:val="000000"/>
          <w:sz w:val="22"/>
          <w:szCs w:val="22"/>
        </w:rPr>
        <w:t>o</w:t>
      </w:r>
      <w:r w:rsidRPr="000D0C24">
        <w:rPr>
          <w:rFonts w:ascii="Arial" w:hAnsi="Arial" w:cs="Arial"/>
          <w:color w:val="000000"/>
          <w:sz w:val="22"/>
          <w:szCs w:val="22"/>
        </w:rPr>
        <w:t>v</w:t>
      </w:r>
      <w:r w:rsidRPr="00A35E28">
        <w:rPr>
          <w:rFonts w:ascii="Arial" w:hAnsi="Arial" w:cs="Arial"/>
          <w:color w:val="000000"/>
          <w:sz w:val="22"/>
          <w:szCs w:val="22"/>
        </w:rPr>
        <w:t>aných</w:t>
      </w:r>
      <w:r w:rsidR="0047095F">
        <w:rPr>
          <w:rFonts w:ascii="Arial" w:hAnsi="Arial" w:cs="Arial"/>
          <w:color w:val="000000"/>
          <w:sz w:val="22"/>
          <w:szCs w:val="22"/>
        </w:rPr>
        <w:t xml:space="preserve"> v </w:t>
      </w:r>
      <w:r w:rsidRPr="00A35E28">
        <w:rPr>
          <w:rFonts w:ascii="Arial" w:hAnsi="Arial" w:cs="Arial"/>
          <w:color w:val="000000"/>
          <w:sz w:val="22"/>
          <w:szCs w:val="22"/>
        </w:rPr>
        <w:t>rá</w:t>
      </w:r>
      <w:r w:rsidRPr="000D0C24">
        <w:rPr>
          <w:rFonts w:ascii="Arial" w:hAnsi="Arial" w:cs="Arial"/>
          <w:color w:val="000000"/>
          <w:sz w:val="22"/>
          <w:szCs w:val="22"/>
        </w:rPr>
        <w:t>mc</w:t>
      </w:r>
      <w:r w:rsidRPr="00A35E28">
        <w:rPr>
          <w:rFonts w:ascii="Arial" w:hAnsi="Arial" w:cs="Arial"/>
          <w:color w:val="000000"/>
          <w:sz w:val="22"/>
          <w:szCs w:val="22"/>
        </w:rPr>
        <w:t>i</w:t>
      </w:r>
      <w:r w:rsidRPr="000D0C24">
        <w:rPr>
          <w:rFonts w:ascii="Arial" w:hAnsi="Arial" w:cs="Arial"/>
          <w:color w:val="000000"/>
          <w:sz w:val="22"/>
          <w:szCs w:val="22"/>
        </w:rPr>
        <w:t xml:space="preserve"> </w:t>
      </w:r>
      <w:r w:rsidRPr="00A35E28">
        <w:rPr>
          <w:rFonts w:ascii="Arial" w:hAnsi="Arial" w:cs="Arial"/>
          <w:color w:val="000000"/>
          <w:sz w:val="22"/>
          <w:szCs w:val="22"/>
        </w:rPr>
        <w:t>r</w:t>
      </w:r>
      <w:r w:rsidRPr="000D0C24">
        <w:rPr>
          <w:rFonts w:ascii="Arial" w:hAnsi="Arial" w:cs="Arial"/>
          <w:color w:val="000000"/>
          <w:sz w:val="22"/>
          <w:szCs w:val="22"/>
        </w:rPr>
        <w:t>oč</w:t>
      </w:r>
      <w:r w:rsidRPr="00A35E28">
        <w:rPr>
          <w:rFonts w:ascii="Arial" w:hAnsi="Arial" w:cs="Arial"/>
          <w:color w:val="000000"/>
          <w:sz w:val="22"/>
          <w:szCs w:val="22"/>
        </w:rPr>
        <w:t>ní</w:t>
      </w:r>
      <w:r w:rsidRPr="000D0C24">
        <w:rPr>
          <w:rFonts w:ascii="Arial" w:hAnsi="Arial" w:cs="Arial"/>
          <w:color w:val="000000"/>
          <w:sz w:val="22"/>
          <w:szCs w:val="22"/>
        </w:rPr>
        <w:t xml:space="preserve"> </w:t>
      </w:r>
      <w:r w:rsidRPr="00A35E28">
        <w:rPr>
          <w:rFonts w:ascii="Arial" w:hAnsi="Arial" w:cs="Arial"/>
          <w:color w:val="000000"/>
          <w:sz w:val="22"/>
          <w:szCs w:val="22"/>
        </w:rPr>
        <w:t>ú</w:t>
      </w:r>
      <w:r w:rsidRPr="000D0C24">
        <w:rPr>
          <w:rFonts w:ascii="Arial" w:hAnsi="Arial" w:cs="Arial"/>
          <w:color w:val="000000"/>
          <w:sz w:val="22"/>
          <w:szCs w:val="22"/>
        </w:rPr>
        <w:t>č</w:t>
      </w:r>
      <w:r w:rsidRPr="00A35E28">
        <w:rPr>
          <w:rFonts w:ascii="Arial" w:hAnsi="Arial" w:cs="Arial"/>
          <w:color w:val="000000"/>
          <w:sz w:val="22"/>
          <w:szCs w:val="22"/>
        </w:rPr>
        <w:t>etní</w:t>
      </w:r>
      <w:r w:rsidRPr="000D0C24">
        <w:rPr>
          <w:rFonts w:ascii="Arial" w:hAnsi="Arial" w:cs="Arial"/>
          <w:color w:val="000000"/>
          <w:sz w:val="22"/>
          <w:szCs w:val="22"/>
        </w:rPr>
        <w:t xml:space="preserve"> </w:t>
      </w:r>
      <w:r w:rsidRPr="00A35E28">
        <w:rPr>
          <w:rFonts w:ascii="Arial" w:hAnsi="Arial" w:cs="Arial"/>
          <w:color w:val="000000"/>
          <w:sz w:val="22"/>
          <w:szCs w:val="22"/>
        </w:rPr>
        <w:t>zá</w:t>
      </w:r>
      <w:r w:rsidRPr="000D0C24">
        <w:rPr>
          <w:rFonts w:ascii="Arial" w:hAnsi="Arial" w:cs="Arial"/>
          <w:color w:val="000000"/>
          <w:sz w:val="22"/>
          <w:szCs w:val="22"/>
        </w:rPr>
        <w:t>v</w:t>
      </w:r>
      <w:r w:rsidRPr="00A35E28">
        <w:rPr>
          <w:rFonts w:ascii="Arial" w:hAnsi="Arial" w:cs="Arial"/>
          <w:color w:val="000000"/>
          <w:sz w:val="22"/>
          <w:szCs w:val="22"/>
        </w:rPr>
        <w:t>ěrky</w:t>
      </w:r>
      <w:r w:rsidRPr="000D0C24">
        <w:rPr>
          <w:rFonts w:ascii="Arial" w:hAnsi="Arial" w:cs="Arial"/>
          <w:color w:val="000000"/>
          <w:sz w:val="22"/>
          <w:szCs w:val="22"/>
        </w:rPr>
        <w:t xml:space="preserve"> </w:t>
      </w:r>
      <w:r w:rsidRPr="00A35E28">
        <w:rPr>
          <w:rFonts w:ascii="Arial" w:hAnsi="Arial" w:cs="Arial"/>
          <w:color w:val="000000"/>
          <w:sz w:val="22"/>
          <w:szCs w:val="22"/>
        </w:rPr>
        <w:t>stanoveného</w:t>
      </w:r>
      <w:r w:rsidRPr="000D0C24">
        <w:rPr>
          <w:rFonts w:ascii="Arial" w:hAnsi="Arial" w:cs="Arial"/>
          <w:color w:val="000000"/>
          <w:sz w:val="22"/>
          <w:szCs w:val="22"/>
        </w:rPr>
        <w:t xml:space="preserve"> </w:t>
      </w:r>
      <w:r w:rsidRPr="00A35E28">
        <w:rPr>
          <w:rFonts w:ascii="Arial" w:hAnsi="Arial" w:cs="Arial"/>
          <w:color w:val="000000"/>
          <w:sz w:val="22"/>
          <w:szCs w:val="22"/>
        </w:rPr>
        <w:t>podniku</w:t>
      </w:r>
      <w:r w:rsidRPr="000D0C24">
        <w:rPr>
          <w:rFonts w:ascii="Arial" w:hAnsi="Arial" w:cs="Arial"/>
          <w:color w:val="000000"/>
          <w:sz w:val="22"/>
          <w:szCs w:val="22"/>
        </w:rPr>
        <w:t xml:space="preserve"> </w:t>
      </w:r>
      <w:r w:rsidRPr="00A35E28">
        <w:rPr>
          <w:rFonts w:ascii="Arial" w:hAnsi="Arial" w:cs="Arial"/>
          <w:color w:val="000000"/>
          <w:sz w:val="22"/>
          <w:szCs w:val="22"/>
        </w:rPr>
        <w:t>(viz</w:t>
      </w:r>
      <w:r w:rsidRPr="000D0C24">
        <w:rPr>
          <w:rFonts w:ascii="Arial" w:hAnsi="Arial" w:cs="Arial"/>
          <w:color w:val="000000"/>
          <w:sz w:val="22"/>
          <w:szCs w:val="22"/>
        </w:rPr>
        <w:t xml:space="preserve"> p</w:t>
      </w:r>
      <w:r w:rsidRPr="00A35E28">
        <w:rPr>
          <w:rFonts w:ascii="Arial" w:hAnsi="Arial" w:cs="Arial"/>
          <w:color w:val="000000"/>
          <w:sz w:val="22"/>
          <w:szCs w:val="22"/>
        </w:rPr>
        <w:t>říloha</w:t>
      </w:r>
      <w:r w:rsidRPr="000D0C24">
        <w:rPr>
          <w:rFonts w:ascii="Arial" w:hAnsi="Arial" w:cs="Arial"/>
          <w:color w:val="000000"/>
          <w:sz w:val="22"/>
          <w:szCs w:val="22"/>
        </w:rPr>
        <w:t xml:space="preserve"> č</w:t>
      </w:r>
      <w:r w:rsidRPr="00A35E28">
        <w:rPr>
          <w:rFonts w:ascii="Arial" w:hAnsi="Arial" w:cs="Arial"/>
          <w:color w:val="000000"/>
          <w:sz w:val="22"/>
          <w:szCs w:val="22"/>
        </w:rPr>
        <w:t>.</w:t>
      </w:r>
      <w:r w:rsidRPr="000D0C24">
        <w:rPr>
          <w:rFonts w:ascii="Arial" w:hAnsi="Arial" w:cs="Arial"/>
          <w:color w:val="000000"/>
          <w:sz w:val="22"/>
          <w:szCs w:val="22"/>
        </w:rPr>
        <w:t xml:space="preserve"> 1</w:t>
      </w:r>
      <w:r w:rsidRPr="00A35E28">
        <w:rPr>
          <w:rFonts w:ascii="Arial" w:hAnsi="Arial" w:cs="Arial"/>
          <w:color w:val="000000"/>
          <w:sz w:val="22"/>
          <w:szCs w:val="22"/>
        </w:rPr>
        <w:t>).</w:t>
      </w:r>
    </w:p>
    <w:p w:rsidR="004A6A67" w:rsidRPr="00A35E28" w:rsidRDefault="004A6A67" w:rsidP="00F13ABF">
      <w:pPr>
        <w:widowControl w:val="0"/>
        <w:tabs>
          <w:tab w:val="left" w:pos="1276"/>
          <w:tab w:val="left" w:pos="5940"/>
        </w:tabs>
        <w:autoSpaceDE w:val="0"/>
        <w:autoSpaceDN w:val="0"/>
        <w:adjustRightInd w:val="0"/>
        <w:spacing w:before="120" w:after="120"/>
        <w:ind w:firstLine="828"/>
        <w:jc w:val="both"/>
        <w:rPr>
          <w:rFonts w:ascii="Arial" w:hAnsi="Arial" w:cs="Arial"/>
          <w:color w:val="000000"/>
          <w:sz w:val="22"/>
          <w:szCs w:val="22"/>
        </w:rPr>
      </w:pPr>
      <w:r w:rsidRPr="00A35E28">
        <w:rPr>
          <w:rFonts w:ascii="Arial" w:hAnsi="Arial" w:cs="Arial"/>
          <w:color w:val="000000"/>
          <w:sz w:val="22"/>
          <w:szCs w:val="22"/>
        </w:rPr>
        <w:t>(2)</w:t>
      </w:r>
      <w:r w:rsidRPr="00A35E28">
        <w:rPr>
          <w:rFonts w:ascii="Arial" w:hAnsi="Arial" w:cs="Arial"/>
          <w:color w:val="000000"/>
          <w:sz w:val="22"/>
          <w:szCs w:val="22"/>
        </w:rPr>
        <w:tab/>
        <w:t>Náklady</w:t>
      </w:r>
      <w:r w:rsidRPr="000D0C24">
        <w:rPr>
          <w:rFonts w:ascii="Arial" w:hAnsi="Arial" w:cs="Arial"/>
          <w:color w:val="000000"/>
          <w:sz w:val="22"/>
          <w:szCs w:val="22"/>
        </w:rPr>
        <w:t xml:space="preserve"> a</w:t>
      </w:r>
      <w:r w:rsidR="008472DB" w:rsidRPr="000D0C24">
        <w:rPr>
          <w:rFonts w:ascii="Arial" w:hAnsi="Arial" w:cs="Arial"/>
          <w:color w:val="000000"/>
          <w:sz w:val="22"/>
          <w:szCs w:val="22"/>
        </w:rPr>
        <w:t xml:space="preserve"> </w:t>
      </w:r>
      <w:r w:rsidRPr="00A35E28">
        <w:rPr>
          <w:rFonts w:ascii="Arial" w:hAnsi="Arial" w:cs="Arial"/>
          <w:color w:val="000000"/>
          <w:sz w:val="22"/>
          <w:szCs w:val="22"/>
        </w:rPr>
        <w:t>výnosy</w:t>
      </w:r>
      <w:r w:rsidRPr="000D0C24">
        <w:rPr>
          <w:rFonts w:ascii="Arial" w:hAnsi="Arial" w:cs="Arial"/>
          <w:color w:val="000000"/>
          <w:sz w:val="22"/>
          <w:szCs w:val="22"/>
        </w:rPr>
        <w:t xml:space="preserve"> </w:t>
      </w:r>
      <w:r w:rsidRPr="00A35E28">
        <w:rPr>
          <w:rFonts w:ascii="Arial" w:hAnsi="Arial" w:cs="Arial"/>
          <w:color w:val="000000"/>
          <w:sz w:val="22"/>
          <w:szCs w:val="22"/>
        </w:rPr>
        <w:t>se</w:t>
      </w:r>
      <w:r w:rsidRPr="000D0C24">
        <w:rPr>
          <w:rFonts w:ascii="Arial" w:hAnsi="Arial" w:cs="Arial"/>
          <w:color w:val="000000"/>
          <w:sz w:val="22"/>
          <w:szCs w:val="22"/>
        </w:rPr>
        <w:t xml:space="preserve"> </w:t>
      </w:r>
      <w:r w:rsidRPr="00A35E28">
        <w:rPr>
          <w:rFonts w:ascii="Arial" w:hAnsi="Arial" w:cs="Arial"/>
          <w:color w:val="000000"/>
          <w:sz w:val="22"/>
          <w:szCs w:val="22"/>
        </w:rPr>
        <w:t>vykazují</w:t>
      </w:r>
      <w:r w:rsidRPr="000D0C24">
        <w:rPr>
          <w:rFonts w:ascii="Arial" w:hAnsi="Arial" w:cs="Arial"/>
          <w:color w:val="000000"/>
          <w:sz w:val="22"/>
          <w:szCs w:val="22"/>
        </w:rPr>
        <w:t xml:space="preserve"> ve</w:t>
      </w:r>
      <w:r w:rsidR="008472DB" w:rsidRPr="000D0C24">
        <w:rPr>
          <w:rFonts w:ascii="Arial" w:hAnsi="Arial" w:cs="Arial"/>
          <w:color w:val="000000"/>
          <w:sz w:val="22"/>
          <w:szCs w:val="22"/>
        </w:rPr>
        <w:t xml:space="preserve"> </w:t>
      </w:r>
      <w:r w:rsidRPr="00A35E28">
        <w:rPr>
          <w:rFonts w:ascii="Arial" w:hAnsi="Arial" w:cs="Arial"/>
          <w:color w:val="000000"/>
          <w:sz w:val="22"/>
          <w:szCs w:val="22"/>
        </w:rPr>
        <w:t>strukt</w:t>
      </w:r>
      <w:r w:rsidRPr="000D0C24">
        <w:rPr>
          <w:rFonts w:ascii="Arial" w:hAnsi="Arial" w:cs="Arial"/>
          <w:color w:val="000000"/>
          <w:sz w:val="22"/>
          <w:szCs w:val="22"/>
        </w:rPr>
        <w:t>u</w:t>
      </w:r>
      <w:r w:rsidRPr="00A35E28">
        <w:rPr>
          <w:rFonts w:ascii="Arial" w:hAnsi="Arial" w:cs="Arial"/>
          <w:color w:val="000000"/>
          <w:sz w:val="22"/>
          <w:szCs w:val="22"/>
        </w:rPr>
        <w:t>ře stanovené</w:t>
      </w:r>
      <w:r w:rsidR="0047095F">
        <w:rPr>
          <w:rFonts w:ascii="Arial" w:hAnsi="Arial" w:cs="Arial"/>
          <w:color w:val="000000"/>
          <w:sz w:val="22"/>
          <w:szCs w:val="22"/>
        </w:rPr>
        <w:t xml:space="preserve"> v </w:t>
      </w:r>
      <w:r w:rsidRPr="000D0C24">
        <w:rPr>
          <w:rFonts w:ascii="Arial" w:hAnsi="Arial" w:cs="Arial"/>
          <w:color w:val="000000"/>
          <w:sz w:val="22"/>
          <w:szCs w:val="22"/>
        </w:rPr>
        <w:t>p</w:t>
      </w:r>
      <w:r w:rsidRPr="00A35E28">
        <w:rPr>
          <w:rFonts w:ascii="Arial" w:hAnsi="Arial" w:cs="Arial"/>
          <w:color w:val="000000"/>
          <w:sz w:val="22"/>
          <w:szCs w:val="22"/>
        </w:rPr>
        <w:t>říloze</w:t>
      </w:r>
      <w:r w:rsidRPr="000D0C24">
        <w:rPr>
          <w:rFonts w:ascii="Arial" w:hAnsi="Arial" w:cs="Arial"/>
          <w:color w:val="000000"/>
          <w:sz w:val="22"/>
          <w:szCs w:val="22"/>
        </w:rPr>
        <w:t xml:space="preserve"> č</w:t>
      </w:r>
      <w:r w:rsidRPr="00A35E28">
        <w:rPr>
          <w:rFonts w:ascii="Arial" w:hAnsi="Arial" w:cs="Arial"/>
          <w:color w:val="000000"/>
          <w:sz w:val="22"/>
          <w:szCs w:val="22"/>
        </w:rPr>
        <w:t>.</w:t>
      </w:r>
      <w:r w:rsidRPr="000D0C24">
        <w:rPr>
          <w:rFonts w:ascii="Arial" w:hAnsi="Arial" w:cs="Arial"/>
          <w:color w:val="000000"/>
          <w:sz w:val="22"/>
          <w:szCs w:val="22"/>
        </w:rPr>
        <w:t xml:space="preserve"> 1</w:t>
      </w:r>
      <w:r w:rsidR="008472DB" w:rsidRPr="000D0C24">
        <w:rPr>
          <w:rFonts w:ascii="Arial" w:hAnsi="Arial" w:cs="Arial"/>
          <w:color w:val="000000"/>
          <w:sz w:val="22"/>
          <w:szCs w:val="22"/>
        </w:rPr>
        <w:t xml:space="preserve"> </w:t>
      </w:r>
      <w:r w:rsidRPr="00A35E28">
        <w:rPr>
          <w:rFonts w:ascii="Arial" w:hAnsi="Arial" w:cs="Arial"/>
          <w:color w:val="000000"/>
          <w:sz w:val="22"/>
          <w:szCs w:val="22"/>
        </w:rPr>
        <w:t>tohoto opatření.</w:t>
      </w:r>
    </w:p>
    <w:p w:rsidR="004A6A67" w:rsidRPr="00A35E28" w:rsidRDefault="004A6A67" w:rsidP="006D177F">
      <w:pPr>
        <w:widowControl w:val="0"/>
        <w:tabs>
          <w:tab w:val="left" w:pos="1276"/>
        </w:tabs>
        <w:autoSpaceDE w:val="0"/>
        <w:autoSpaceDN w:val="0"/>
        <w:adjustRightInd w:val="0"/>
        <w:spacing w:before="120" w:after="120"/>
        <w:ind w:firstLine="828"/>
        <w:rPr>
          <w:rFonts w:ascii="Arial" w:hAnsi="Arial" w:cs="Arial"/>
          <w:color w:val="000000"/>
          <w:sz w:val="22"/>
          <w:szCs w:val="22"/>
        </w:rPr>
      </w:pPr>
      <w:r w:rsidRPr="00A35E28">
        <w:rPr>
          <w:rFonts w:ascii="Arial" w:hAnsi="Arial" w:cs="Arial"/>
          <w:color w:val="000000"/>
          <w:sz w:val="22"/>
          <w:szCs w:val="22"/>
        </w:rPr>
        <w:t>(3)</w:t>
      </w:r>
      <w:r w:rsidRPr="00A35E28">
        <w:rPr>
          <w:rFonts w:ascii="Arial" w:hAnsi="Arial" w:cs="Arial"/>
          <w:color w:val="000000"/>
          <w:sz w:val="22"/>
          <w:szCs w:val="22"/>
        </w:rPr>
        <w:tab/>
        <w:t>V</w:t>
      </w:r>
      <w:r w:rsidRPr="00A35E28">
        <w:rPr>
          <w:rFonts w:ascii="Arial" w:hAnsi="Arial" w:cs="Arial"/>
          <w:color w:val="000000"/>
          <w:spacing w:val="-1"/>
          <w:sz w:val="22"/>
          <w:szCs w:val="22"/>
        </w:rPr>
        <w:t xml:space="preserve"> </w:t>
      </w:r>
      <w:r w:rsidRPr="00A35E28">
        <w:rPr>
          <w:rFonts w:ascii="Arial" w:hAnsi="Arial" w:cs="Arial"/>
          <w:color w:val="000000"/>
          <w:sz w:val="22"/>
          <w:szCs w:val="22"/>
        </w:rPr>
        <w:t>rámci</w:t>
      </w:r>
      <w:r w:rsidRPr="000D0C24">
        <w:rPr>
          <w:rFonts w:ascii="Arial" w:hAnsi="Arial" w:cs="Arial"/>
          <w:color w:val="000000"/>
          <w:sz w:val="22"/>
          <w:szCs w:val="22"/>
        </w:rPr>
        <w:t xml:space="preserve"> </w:t>
      </w:r>
      <w:r w:rsidRPr="00A35E28">
        <w:rPr>
          <w:rFonts w:ascii="Arial" w:hAnsi="Arial" w:cs="Arial"/>
          <w:color w:val="000000"/>
          <w:sz w:val="22"/>
          <w:szCs w:val="22"/>
        </w:rPr>
        <w:t>nákladů</w:t>
      </w:r>
      <w:r w:rsidRPr="000D0C24">
        <w:rPr>
          <w:rFonts w:ascii="Arial" w:hAnsi="Arial" w:cs="Arial"/>
          <w:color w:val="000000"/>
          <w:sz w:val="22"/>
          <w:szCs w:val="22"/>
        </w:rPr>
        <w:t xml:space="preserve"> </w:t>
      </w:r>
      <w:r w:rsidRPr="00A35E28">
        <w:rPr>
          <w:rFonts w:ascii="Arial" w:hAnsi="Arial" w:cs="Arial"/>
          <w:color w:val="000000"/>
          <w:sz w:val="22"/>
          <w:szCs w:val="22"/>
        </w:rPr>
        <w:t>se</w:t>
      </w:r>
      <w:r w:rsidRPr="000D0C24">
        <w:rPr>
          <w:rFonts w:ascii="Arial" w:hAnsi="Arial" w:cs="Arial"/>
          <w:color w:val="000000"/>
          <w:sz w:val="22"/>
          <w:szCs w:val="22"/>
        </w:rPr>
        <w:t xml:space="preserve"> </w:t>
      </w:r>
      <w:r w:rsidRPr="00A35E28">
        <w:rPr>
          <w:rFonts w:ascii="Arial" w:hAnsi="Arial" w:cs="Arial"/>
          <w:color w:val="000000"/>
          <w:sz w:val="22"/>
          <w:szCs w:val="22"/>
        </w:rPr>
        <w:t>sa</w:t>
      </w:r>
      <w:r w:rsidRPr="000D0C24">
        <w:rPr>
          <w:rFonts w:ascii="Arial" w:hAnsi="Arial" w:cs="Arial"/>
          <w:color w:val="000000"/>
          <w:sz w:val="22"/>
          <w:szCs w:val="22"/>
        </w:rPr>
        <w:t>m</w:t>
      </w:r>
      <w:r w:rsidRPr="00A35E28">
        <w:rPr>
          <w:rFonts w:ascii="Arial" w:hAnsi="Arial" w:cs="Arial"/>
          <w:color w:val="000000"/>
          <w:sz w:val="22"/>
          <w:szCs w:val="22"/>
        </w:rPr>
        <w:t>ostatně</w:t>
      </w:r>
      <w:r w:rsidRPr="000D0C24">
        <w:rPr>
          <w:rFonts w:ascii="Arial" w:hAnsi="Arial" w:cs="Arial"/>
          <w:color w:val="000000"/>
          <w:sz w:val="22"/>
          <w:szCs w:val="22"/>
        </w:rPr>
        <w:t xml:space="preserve"> </w:t>
      </w:r>
      <w:r w:rsidRPr="00A35E28">
        <w:rPr>
          <w:rFonts w:ascii="Arial" w:hAnsi="Arial" w:cs="Arial"/>
          <w:color w:val="000000"/>
          <w:sz w:val="22"/>
          <w:szCs w:val="22"/>
        </w:rPr>
        <w:t>vykazují</w:t>
      </w:r>
      <w:r w:rsidRPr="000D0C24">
        <w:rPr>
          <w:rFonts w:ascii="Arial" w:hAnsi="Arial" w:cs="Arial"/>
          <w:color w:val="000000"/>
          <w:sz w:val="22"/>
          <w:szCs w:val="22"/>
        </w:rPr>
        <w:t xml:space="preserve"> </w:t>
      </w:r>
      <w:r w:rsidRPr="00A35E28">
        <w:rPr>
          <w:rFonts w:ascii="Arial" w:hAnsi="Arial" w:cs="Arial"/>
          <w:color w:val="000000"/>
          <w:sz w:val="22"/>
          <w:szCs w:val="22"/>
        </w:rPr>
        <w:t>nákla</w:t>
      </w:r>
      <w:r w:rsidRPr="000D0C24">
        <w:rPr>
          <w:rFonts w:ascii="Arial" w:hAnsi="Arial" w:cs="Arial"/>
          <w:color w:val="000000"/>
          <w:sz w:val="22"/>
          <w:szCs w:val="22"/>
        </w:rPr>
        <w:t>d</w:t>
      </w:r>
      <w:r w:rsidRPr="00A35E28">
        <w:rPr>
          <w:rFonts w:ascii="Arial" w:hAnsi="Arial" w:cs="Arial"/>
          <w:color w:val="000000"/>
          <w:sz w:val="22"/>
          <w:szCs w:val="22"/>
        </w:rPr>
        <w:t>y</w:t>
      </w:r>
      <w:r w:rsidRPr="000D0C24">
        <w:rPr>
          <w:rFonts w:ascii="Arial" w:hAnsi="Arial" w:cs="Arial"/>
          <w:color w:val="000000"/>
          <w:sz w:val="22"/>
          <w:szCs w:val="22"/>
        </w:rPr>
        <w:t xml:space="preserve"> </w:t>
      </w:r>
      <w:r w:rsidRPr="00A35E28">
        <w:rPr>
          <w:rFonts w:ascii="Arial" w:hAnsi="Arial" w:cs="Arial"/>
          <w:color w:val="000000"/>
          <w:sz w:val="22"/>
          <w:szCs w:val="22"/>
        </w:rPr>
        <w:t>vloženého</w:t>
      </w:r>
      <w:r w:rsidRPr="000D0C24">
        <w:rPr>
          <w:rFonts w:ascii="Arial" w:hAnsi="Arial" w:cs="Arial"/>
          <w:color w:val="000000"/>
          <w:sz w:val="22"/>
          <w:szCs w:val="22"/>
        </w:rPr>
        <w:t xml:space="preserve"> </w:t>
      </w:r>
      <w:r w:rsidRPr="00A35E28">
        <w:rPr>
          <w:rFonts w:ascii="Arial" w:hAnsi="Arial" w:cs="Arial"/>
          <w:color w:val="000000"/>
          <w:sz w:val="22"/>
          <w:szCs w:val="22"/>
        </w:rPr>
        <w:t>kapitálu.</w:t>
      </w:r>
    </w:p>
    <w:p w:rsidR="002C151C" w:rsidRDefault="004A6A67" w:rsidP="00F35751">
      <w:pPr>
        <w:widowControl w:val="0"/>
        <w:tabs>
          <w:tab w:val="left" w:pos="1300"/>
        </w:tabs>
        <w:autoSpaceDE w:val="0"/>
        <w:autoSpaceDN w:val="0"/>
        <w:adjustRightInd w:val="0"/>
        <w:spacing w:before="120"/>
        <w:ind w:firstLine="828"/>
        <w:jc w:val="both"/>
        <w:rPr>
          <w:rFonts w:ascii="Arial" w:hAnsi="Arial" w:cs="Arial"/>
          <w:color w:val="000000"/>
          <w:sz w:val="22"/>
          <w:szCs w:val="22"/>
        </w:rPr>
      </w:pPr>
      <w:r w:rsidRPr="00A35E28">
        <w:rPr>
          <w:rFonts w:ascii="Arial" w:hAnsi="Arial" w:cs="Arial"/>
          <w:color w:val="000000"/>
          <w:sz w:val="22"/>
          <w:szCs w:val="22"/>
        </w:rPr>
        <w:t>(4)</w:t>
      </w:r>
      <w:r w:rsidRPr="00A35E28">
        <w:rPr>
          <w:rFonts w:ascii="Arial" w:hAnsi="Arial" w:cs="Arial"/>
          <w:color w:val="000000"/>
          <w:sz w:val="22"/>
          <w:szCs w:val="22"/>
        </w:rPr>
        <w:tab/>
        <w:t>V</w:t>
      </w:r>
      <w:r w:rsidRPr="000D0C24">
        <w:rPr>
          <w:rFonts w:ascii="Arial" w:hAnsi="Arial" w:cs="Arial"/>
          <w:color w:val="000000"/>
          <w:sz w:val="22"/>
          <w:szCs w:val="22"/>
        </w:rPr>
        <w:t xml:space="preserve"> </w:t>
      </w:r>
      <w:r w:rsidRPr="00A35E28">
        <w:rPr>
          <w:rFonts w:ascii="Arial" w:hAnsi="Arial" w:cs="Arial"/>
          <w:color w:val="000000"/>
          <w:sz w:val="22"/>
          <w:szCs w:val="22"/>
        </w:rPr>
        <w:t>rámci</w:t>
      </w:r>
      <w:r w:rsidRPr="000D0C24">
        <w:rPr>
          <w:rFonts w:ascii="Arial" w:hAnsi="Arial" w:cs="Arial"/>
          <w:color w:val="000000"/>
          <w:sz w:val="22"/>
          <w:szCs w:val="22"/>
        </w:rPr>
        <w:t xml:space="preserve"> </w:t>
      </w:r>
      <w:r w:rsidRPr="00A35E28">
        <w:rPr>
          <w:rFonts w:ascii="Arial" w:hAnsi="Arial" w:cs="Arial"/>
          <w:color w:val="000000"/>
          <w:sz w:val="22"/>
          <w:szCs w:val="22"/>
        </w:rPr>
        <w:t>oddělené</w:t>
      </w:r>
      <w:r w:rsidRPr="000D0C24">
        <w:rPr>
          <w:rFonts w:ascii="Arial" w:hAnsi="Arial" w:cs="Arial"/>
          <w:color w:val="000000"/>
          <w:sz w:val="22"/>
          <w:szCs w:val="22"/>
        </w:rPr>
        <w:t xml:space="preserve"> </w:t>
      </w:r>
      <w:r w:rsidRPr="00A35E28">
        <w:rPr>
          <w:rFonts w:ascii="Arial" w:hAnsi="Arial" w:cs="Arial"/>
          <w:color w:val="000000"/>
          <w:sz w:val="22"/>
          <w:szCs w:val="22"/>
        </w:rPr>
        <w:t>evidence</w:t>
      </w:r>
      <w:r w:rsidRPr="000D0C24">
        <w:rPr>
          <w:rFonts w:ascii="Arial" w:hAnsi="Arial" w:cs="Arial"/>
          <w:color w:val="000000"/>
          <w:sz w:val="22"/>
          <w:szCs w:val="22"/>
        </w:rPr>
        <w:t xml:space="preserve"> pro</w:t>
      </w:r>
      <w:r w:rsidR="000D0C24">
        <w:rPr>
          <w:rFonts w:ascii="Arial" w:hAnsi="Arial" w:cs="Arial"/>
          <w:color w:val="000000"/>
          <w:sz w:val="22"/>
          <w:szCs w:val="22"/>
        </w:rPr>
        <w:t xml:space="preserve"> </w:t>
      </w:r>
      <w:r w:rsidRPr="000D0C24">
        <w:rPr>
          <w:rFonts w:ascii="Arial" w:hAnsi="Arial" w:cs="Arial"/>
          <w:color w:val="000000"/>
          <w:sz w:val="22"/>
          <w:szCs w:val="22"/>
        </w:rPr>
        <w:t>úč</w:t>
      </w:r>
      <w:r w:rsidRPr="00A35E28">
        <w:rPr>
          <w:rFonts w:ascii="Arial" w:hAnsi="Arial" w:cs="Arial"/>
          <w:color w:val="000000"/>
          <w:sz w:val="22"/>
          <w:szCs w:val="22"/>
        </w:rPr>
        <w:t>ely</w:t>
      </w:r>
      <w:r w:rsidRPr="000D0C24">
        <w:rPr>
          <w:rFonts w:ascii="Arial" w:hAnsi="Arial" w:cs="Arial"/>
          <w:color w:val="000000"/>
          <w:sz w:val="22"/>
          <w:szCs w:val="22"/>
        </w:rPr>
        <w:t xml:space="preserve"> </w:t>
      </w:r>
      <w:r w:rsidRPr="00A35E28">
        <w:rPr>
          <w:rFonts w:ascii="Arial" w:hAnsi="Arial" w:cs="Arial"/>
          <w:color w:val="000000"/>
          <w:sz w:val="22"/>
          <w:szCs w:val="22"/>
        </w:rPr>
        <w:t>univerzální</w:t>
      </w:r>
      <w:r w:rsidRPr="000D0C24">
        <w:rPr>
          <w:rFonts w:ascii="Arial" w:hAnsi="Arial" w:cs="Arial"/>
          <w:color w:val="000000"/>
          <w:sz w:val="22"/>
          <w:szCs w:val="22"/>
        </w:rPr>
        <w:t xml:space="preserve"> </w:t>
      </w:r>
      <w:r w:rsidRPr="00A35E28">
        <w:rPr>
          <w:rFonts w:ascii="Arial" w:hAnsi="Arial" w:cs="Arial"/>
          <w:color w:val="000000"/>
          <w:sz w:val="22"/>
          <w:szCs w:val="22"/>
        </w:rPr>
        <w:t>služby</w:t>
      </w:r>
      <w:r w:rsidRPr="000D0C24">
        <w:rPr>
          <w:rFonts w:ascii="Arial" w:hAnsi="Arial" w:cs="Arial"/>
          <w:color w:val="000000"/>
          <w:sz w:val="22"/>
          <w:szCs w:val="22"/>
        </w:rPr>
        <w:t xml:space="preserve"> </w:t>
      </w:r>
      <w:r w:rsidRPr="00A35E28">
        <w:rPr>
          <w:rFonts w:ascii="Arial" w:hAnsi="Arial" w:cs="Arial"/>
          <w:color w:val="000000"/>
          <w:sz w:val="22"/>
          <w:szCs w:val="22"/>
        </w:rPr>
        <w:t>je</w:t>
      </w:r>
      <w:r w:rsidR="0047095F">
        <w:rPr>
          <w:rFonts w:ascii="Arial" w:hAnsi="Arial" w:cs="Arial"/>
          <w:color w:val="000000"/>
          <w:sz w:val="22"/>
          <w:szCs w:val="22"/>
        </w:rPr>
        <w:t xml:space="preserve"> v </w:t>
      </w:r>
      <w:r w:rsidRPr="000D0C24">
        <w:rPr>
          <w:rFonts w:ascii="Arial" w:hAnsi="Arial" w:cs="Arial"/>
          <w:color w:val="000000"/>
          <w:sz w:val="22"/>
          <w:szCs w:val="22"/>
        </w:rPr>
        <w:t>úč</w:t>
      </w:r>
      <w:r w:rsidRPr="00A35E28">
        <w:rPr>
          <w:rFonts w:ascii="Arial" w:hAnsi="Arial" w:cs="Arial"/>
          <w:color w:val="000000"/>
          <w:sz w:val="22"/>
          <w:szCs w:val="22"/>
        </w:rPr>
        <w:t>etnictví</w:t>
      </w:r>
      <w:r w:rsidRPr="000D0C24">
        <w:rPr>
          <w:rFonts w:ascii="Arial" w:hAnsi="Arial" w:cs="Arial"/>
          <w:color w:val="000000"/>
          <w:sz w:val="22"/>
          <w:szCs w:val="22"/>
        </w:rPr>
        <w:t xml:space="preserve"> </w:t>
      </w:r>
      <w:r w:rsidRPr="00A35E28">
        <w:rPr>
          <w:rFonts w:ascii="Arial" w:hAnsi="Arial" w:cs="Arial"/>
          <w:color w:val="000000"/>
          <w:sz w:val="22"/>
          <w:szCs w:val="22"/>
        </w:rPr>
        <w:t>vedena analytická</w:t>
      </w:r>
      <w:r w:rsidRPr="000D0C24">
        <w:rPr>
          <w:rFonts w:ascii="Arial" w:hAnsi="Arial" w:cs="Arial"/>
          <w:color w:val="000000"/>
          <w:sz w:val="22"/>
          <w:szCs w:val="22"/>
        </w:rPr>
        <w:t xml:space="preserve"> ev</w:t>
      </w:r>
      <w:r w:rsidRPr="00A35E28">
        <w:rPr>
          <w:rFonts w:ascii="Arial" w:hAnsi="Arial" w:cs="Arial"/>
          <w:color w:val="000000"/>
          <w:sz w:val="22"/>
          <w:szCs w:val="22"/>
        </w:rPr>
        <w:t>idence</w:t>
      </w:r>
      <w:r w:rsidRPr="000D0C24">
        <w:rPr>
          <w:rFonts w:ascii="Arial" w:hAnsi="Arial" w:cs="Arial"/>
          <w:color w:val="000000"/>
          <w:sz w:val="22"/>
          <w:szCs w:val="22"/>
        </w:rPr>
        <w:t xml:space="preserve"> </w:t>
      </w:r>
      <w:r w:rsidR="00436DB4">
        <w:rPr>
          <w:rFonts w:ascii="Arial" w:hAnsi="Arial" w:cs="Arial"/>
          <w:color w:val="000000"/>
          <w:sz w:val="22"/>
          <w:szCs w:val="22"/>
        </w:rPr>
        <w:t>pro</w:t>
      </w:r>
      <w:r w:rsidRPr="000D0C24">
        <w:rPr>
          <w:rFonts w:ascii="Arial" w:hAnsi="Arial" w:cs="Arial"/>
          <w:color w:val="000000"/>
          <w:sz w:val="22"/>
          <w:szCs w:val="22"/>
        </w:rPr>
        <w:t xml:space="preserve"> </w:t>
      </w:r>
      <w:r w:rsidRPr="00A35E28">
        <w:rPr>
          <w:rFonts w:ascii="Arial" w:hAnsi="Arial" w:cs="Arial"/>
          <w:color w:val="000000"/>
          <w:sz w:val="22"/>
          <w:szCs w:val="22"/>
        </w:rPr>
        <w:t>úhrady</w:t>
      </w:r>
      <w:r w:rsidRPr="000D0C24">
        <w:rPr>
          <w:rFonts w:ascii="Arial" w:hAnsi="Arial" w:cs="Arial"/>
          <w:color w:val="000000"/>
          <w:sz w:val="22"/>
          <w:szCs w:val="22"/>
        </w:rPr>
        <w:t xml:space="preserve"> </w:t>
      </w:r>
      <w:r w:rsidRPr="00A35E28">
        <w:rPr>
          <w:rFonts w:ascii="Arial" w:hAnsi="Arial" w:cs="Arial"/>
          <w:color w:val="000000"/>
          <w:sz w:val="22"/>
          <w:szCs w:val="22"/>
        </w:rPr>
        <w:t>ze</w:t>
      </w:r>
      <w:r w:rsidRPr="000D0C24">
        <w:rPr>
          <w:rFonts w:ascii="Arial" w:hAnsi="Arial" w:cs="Arial"/>
          <w:color w:val="000000"/>
          <w:sz w:val="22"/>
          <w:szCs w:val="22"/>
        </w:rPr>
        <w:t xml:space="preserve"> </w:t>
      </w:r>
      <w:r w:rsidRPr="00A35E28">
        <w:rPr>
          <w:rFonts w:ascii="Arial" w:hAnsi="Arial" w:cs="Arial"/>
          <w:color w:val="000000"/>
          <w:sz w:val="22"/>
          <w:szCs w:val="22"/>
        </w:rPr>
        <w:t>státního</w:t>
      </w:r>
      <w:r w:rsidRPr="000D0C24">
        <w:rPr>
          <w:rFonts w:ascii="Arial" w:hAnsi="Arial" w:cs="Arial"/>
          <w:color w:val="000000"/>
          <w:sz w:val="22"/>
          <w:szCs w:val="22"/>
        </w:rPr>
        <w:t xml:space="preserve"> </w:t>
      </w:r>
      <w:r w:rsidRPr="00A35E28">
        <w:rPr>
          <w:rFonts w:ascii="Arial" w:hAnsi="Arial" w:cs="Arial"/>
          <w:color w:val="000000"/>
          <w:sz w:val="22"/>
          <w:szCs w:val="22"/>
        </w:rPr>
        <w:t>rozpo</w:t>
      </w:r>
      <w:r w:rsidRPr="000D0C24">
        <w:rPr>
          <w:rFonts w:ascii="Arial" w:hAnsi="Arial" w:cs="Arial"/>
          <w:color w:val="000000"/>
          <w:sz w:val="22"/>
          <w:szCs w:val="22"/>
        </w:rPr>
        <w:t>č</w:t>
      </w:r>
      <w:r w:rsidRPr="00A35E28">
        <w:rPr>
          <w:rFonts w:ascii="Arial" w:hAnsi="Arial" w:cs="Arial"/>
          <w:color w:val="000000"/>
          <w:sz w:val="22"/>
          <w:szCs w:val="22"/>
        </w:rPr>
        <w:t>tu</w:t>
      </w:r>
      <w:r w:rsidRPr="000D0C24">
        <w:rPr>
          <w:rFonts w:ascii="Arial" w:hAnsi="Arial" w:cs="Arial"/>
          <w:color w:val="000000"/>
          <w:sz w:val="22"/>
          <w:szCs w:val="22"/>
        </w:rPr>
        <w:t xml:space="preserve"> a</w:t>
      </w:r>
      <w:r w:rsidR="000D0C24">
        <w:rPr>
          <w:rFonts w:ascii="Arial" w:hAnsi="Arial" w:cs="Arial"/>
          <w:color w:val="000000"/>
          <w:sz w:val="22"/>
          <w:szCs w:val="22"/>
        </w:rPr>
        <w:t xml:space="preserve"> </w:t>
      </w:r>
      <w:r w:rsidRPr="00A35E28">
        <w:rPr>
          <w:rFonts w:ascii="Arial" w:hAnsi="Arial" w:cs="Arial"/>
          <w:color w:val="000000"/>
          <w:sz w:val="22"/>
          <w:szCs w:val="22"/>
        </w:rPr>
        <w:t>výnosy</w:t>
      </w:r>
      <w:r w:rsidRPr="000D0C24">
        <w:rPr>
          <w:rFonts w:ascii="Arial" w:hAnsi="Arial" w:cs="Arial"/>
          <w:color w:val="000000"/>
          <w:sz w:val="22"/>
          <w:szCs w:val="22"/>
        </w:rPr>
        <w:t xml:space="preserve"> </w:t>
      </w:r>
      <w:r w:rsidRPr="00A35E28">
        <w:rPr>
          <w:rFonts w:ascii="Arial" w:hAnsi="Arial" w:cs="Arial"/>
          <w:color w:val="000000"/>
          <w:sz w:val="22"/>
          <w:szCs w:val="22"/>
        </w:rPr>
        <w:t>související</w:t>
      </w:r>
      <w:r w:rsidRPr="000D0C24">
        <w:rPr>
          <w:rFonts w:ascii="Arial" w:hAnsi="Arial" w:cs="Arial"/>
          <w:color w:val="000000"/>
          <w:sz w:val="22"/>
          <w:szCs w:val="22"/>
        </w:rPr>
        <w:t xml:space="preserve"> s</w:t>
      </w:r>
      <w:r w:rsidR="000D0C24">
        <w:rPr>
          <w:rFonts w:ascii="Arial" w:hAnsi="Arial" w:cs="Arial"/>
          <w:color w:val="000000"/>
          <w:sz w:val="22"/>
          <w:szCs w:val="22"/>
        </w:rPr>
        <w:t xml:space="preserve"> </w:t>
      </w:r>
      <w:r w:rsidRPr="00A35E28">
        <w:rPr>
          <w:rFonts w:ascii="Arial" w:hAnsi="Arial" w:cs="Arial"/>
          <w:color w:val="000000"/>
          <w:sz w:val="22"/>
          <w:szCs w:val="22"/>
        </w:rPr>
        <w:t>p</w:t>
      </w:r>
      <w:r w:rsidRPr="000D0C24">
        <w:rPr>
          <w:rFonts w:ascii="Arial" w:hAnsi="Arial" w:cs="Arial"/>
          <w:color w:val="000000"/>
          <w:sz w:val="22"/>
          <w:szCs w:val="22"/>
        </w:rPr>
        <w:t>o</w:t>
      </w:r>
      <w:r w:rsidRPr="00A35E28">
        <w:rPr>
          <w:rFonts w:ascii="Arial" w:hAnsi="Arial" w:cs="Arial"/>
          <w:color w:val="000000"/>
          <w:sz w:val="22"/>
          <w:szCs w:val="22"/>
        </w:rPr>
        <w:t>skytováním</w:t>
      </w:r>
      <w:r w:rsidRPr="000D0C24">
        <w:rPr>
          <w:rFonts w:ascii="Arial" w:hAnsi="Arial" w:cs="Arial"/>
          <w:color w:val="000000"/>
          <w:sz w:val="22"/>
          <w:szCs w:val="22"/>
        </w:rPr>
        <w:t xml:space="preserve"> </w:t>
      </w:r>
      <w:r w:rsidRPr="00A35E28">
        <w:rPr>
          <w:rFonts w:ascii="Arial" w:hAnsi="Arial" w:cs="Arial"/>
          <w:color w:val="000000"/>
          <w:sz w:val="22"/>
          <w:szCs w:val="22"/>
        </w:rPr>
        <w:t>univerzální</w:t>
      </w:r>
      <w:r w:rsidRPr="000D0C24">
        <w:rPr>
          <w:rFonts w:ascii="Arial" w:hAnsi="Arial" w:cs="Arial"/>
          <w:color w:val="000000"/>
          <w:sz w:val="22"/>
          <w:szCs w:val="22"/>
        </w:rPr>
        <w:t xml:space="preserve"> </w:t>
      </w:r>
      <w:r w:rsidRPr="00A35E28">
        <w:rPr>
          <w:rFonts w:ascii="Arial" w:hAnsi="Arial" w:cs="Arial"/>
          <w:color w:val="000000"/>
          <w:sz w:val="22"/>
          <w:szCs w:val="22"/>
        </w:rPr>
        <w:t>služby,</w:t>
      </w:r>
      <w:r w:rsidRPr="000D0C24">
        <w:rPr>
          <w:rFonts w:ascii="Arial" w:hAnsi="Arial" w:cs="Arial"/>
          <w:color w:val="000000"/>
          <w:sz w:val="22"/>
          <w:szCs w:val="22"/>
        </w:rPr>
        <w:t xml:space="preserve"> </w:t>
      </w:r>
      <w:r w:rsidRPr="00A35E28">
        <w:rPr>
          <w:rFonts w:ascii="Arial" w:hAnsi="Arial" w:cs="Arial"/>
          <w:color w:val="000000"/>
          <w:sz w:val="22"/>
          <w:szCs w:val="22"/>
        </w:rPr>
        <w:t>tržby</w:t>
      </w:r>
      <w:r w:rsidRPr="000D0C24">
        <w:rPr>
          <w:rFonts w:ascii="Arial" w:hAnsi="Arial" w:cs="Arial"/>
          <w:color w:val="000000"/>
          <w:sz w:val="22"/>
          <w:szCs w:val="22"/>
        </w:rPr>
        <w:t xml:space="preserve"> za</w:t>
      </w:r>
      <w:r w:rsidR="008472DB" w:rsidRPr="000D0C24">
        <w:rPr>
          <w:rFonts w:ascii="Arial" w:hAnsi="Arial" w:cs="Arial"/>
          <w:color w:val="000000"/>
          <w:sz w:val="22"/>
          <w:szCs w:val="22"/>
        </w:rPr>
        <w:t xml:space="preserve"> </w:t>
      </w:r>
      <w:r w:rsidRPr="00A35E28">
        <w:rPr>
          <w:rFonts w:ascii="Arial" w:hAnsi="Arial" w:cs="Arial"/>
          <w:color w:val="000000"/>
          <w:sz w:val="22"/>
          <w:szCs w:val="22"/>
        </w:rPr>
        <w:t>dí</w:t>
      </w:r>
      <w:r w:rsidRPr="000D0C24">
        <w:rPr>
          <w:rFonts w:ascii="Arial" w:hAnsi="Arial" w:cs="Arial"/>
          <w:color w:val="000000"/>
          <w:sz w:val="22"/>
          <w:szCs w:val="22"/>
        </w:rPr>
        <w:t>lč</w:t>
      </w:r>
      <w:r w:rsidRPr="00A35E28">
        <w:rPr>
          <w:rFonts w:ascii="Arial" w:hAnsi="Arial" w:cs="Arial"/>
          <w:color w:val="000000"/>
          <w:sz w:val="22"/>
          <w:szCs w:val="22"/>
        </w:rPr>
        <w:t>í</w:t>
      </w:r>
      <w:r w:rsidRPr="000D0C24">
        <w:rPr>
          <w:rFonts w:ascii="Arial" w:hAnsi="Arial" w:cs="Arial"/>
          <w:color w:val="000000"/>
          <w:sz w:val="22"/>
          <w:szCs w:val="22"/>
        </w:rPr>
        <w:t xml:space="preserve"> </w:t>
      </w:r>
      <w:r w:rsidRPr="00A35E28">
        <w:rPr>
          <w:rFonts w:ascii="Arial" w:hAnsi="Arial" w:cs="Arial"/>
          <w:color w:val="000000"/>
          <w:sz w:val="22"/>
          <w:szCs w:val="22"/>
        </w:rPr>
        <w:t>služby</w:t>
      </w:r>
      <w:r w:rsidRPr="000D0C24">
        <w:rPr>
          <w:rFonts w:ascii="Arial" w:hAnsi="Arial" w:cs="Arial"/>
          <w:color w:val="000000"/>
          <w:sz w:val="22"/>
          <w:szCs w:val="22"/>
        </w:rPr>
        <w:t xml:space="preserve"> </w:t>
      </w:r>
      <w:r w:rsidRPr="00A35E28">
        <w:rPr>
          <w:rFonts w:ascii="Arial" w:hAnsi="Arial" w:cs="Arial"/>
          <w:color w:val="000000"/>
          <w:sz w:val="22"/>
          <w:szCs w:val="22"/>
        </w:rPr>
        <w:t>poskytované</w:t>
      </w:r>
      <w:r w:rsidR="0047095F">
        <w:rPr>
          <w:rFonts w:ascii="Arial" w:hAnsi="Arial" w:cs="Arial"/>
          <w:color w:val="000000"/>
          <w:sz w:val="22"/>
          <w:szCs w:val="22"/>
        </w:rPr>
        <w:t xml:space="preserve"> v </w:t>
      </w:r>
      <w:r w:rsidRPr="00A35E28">
        <w:rPr>
          <w:rFonts w:ascii="Arial" w:hAnsi="Arial" w:cs="Arial"/>
          <w:color w:val="000000"/>
          <w:sz w:val="22"/>
          <w:szCs w:val="22"/>
        </w:rPr>
        <w:t>rámci</w:t>
      </w:r>
      <w:r w:rsidRPr="000D0C24">
        <w:rPr>
          <w:rFonts w:ascii="Arial" w:hAnsi="Arial" w:cs="Arial"/>
          <w:color w:val="000000"/>
          <w:sz w:val="22"/>
          <w:szCs w:val="22"/>
        </w:rPr>
        <w:t xml:space="preserve"> </w:t>
      </w:r>
      <w:r w:rsidRPr="00A35E28">
        <w:rPr>
          <w:rFonts w:ascii="Arial" w:hAnsi="Arial" w:cs="Arial"/>
          <w:color w:val="000000"/>
          <w:sz w:val="22"/>
          <w:szCs w:val="22"/>
        </w:rPr>
        <w:t>univerzální</w:t>
      </w:r>
      <w:r w:rsidRPr="000D0C24">
        <w:rPr>
          <w:rFonts w:ascii="Arial" w:hAnsi="Arial" w:cs="Arial"/>
          <w:color w:val="000000"/>
          <w:sz w:val="22"/>
          <w:szCs w:val="22"/>
        </w:rPr>
        <w:t xml:space="preserve"> </w:t>
      </w:r>
      <w:r w:rsidRPr="00A35E28">
        <w:rPr>
          <w:rFonts w:ascii="Arial" w:hAnsi="Arial" w:cs="Arial"/>
          <w:color w:val="000000"/>
          <w:sz w:val="22"/>
          <w:szCs w:val="22"/>
        </w:rPr>
        <w:t>služby.</w:t>
      </w:r>
      <w:r w:rsidR="0047095F">
        <w:rPr>
          <w:rFonts w:ascii="Arial" w:hAnsi="Arial" w:cs="Arial"/>
          <w:color w:val="000000"/>
          <w:sz w:val="22"/>
          <w:szCs w:val="22"/>
        </w:rPr>
        <w:t xml:space="preserve"> </w:t>
      </w:r>
      <w:r w:rsidR="006D177F">
        <w:rPr>
          <w:rFonts w:ascii="Arial" w:hAnsi="Arial" w:cs="Arial"/>
          <w:color w:val="000000"/>
          <w:sz w:val="22"/>
          <w:szCs w:val="22"/>
        </w:rPr>
        <w:t>V</w:t>
      </w:r>
      <w:r w:rsidR="0047095F">
        <w:rPr>
          <w:rFonts w:ascii="Arial" w:hAnsi="Arial" w:cs="Arial"/>
          <w:color w:val="000000"/>
          <w:sz w:val="22"/>
          <w:szCs w:val="22"/>
        </w:rPr>
        <w:t> </w:t>
      </w:r>
      <w:r w:rsidRPr="000D0C24">
        <w:rPr>
          <w:rFonts w:ascii="Arial" w:hAnsi="Arial" w:cs="Arial"/>
          <w:color w:val="000000"/>
          <w:sz w:val="22"/>
          <w:szCs w:val="22"/>
        </w:rPr>
        <w:t>p</w:t>
      </w:r>
      <w:r w:rsidRPr="00A35E28">
        <w:rPr>
          <w:rFonts w:ascii="Arial" w:hAnsi="Arial" w:cs="Arial"/>
          <w:color w:val="000000"/>
          <w:sz w:val="22"/>
          <w:szCs w:val="22"/>
        </w:rPr>
        <w:t>řípad</w:t>
      </w:r>
      <w:r w:rsidRPr="000D0C24">
        <w:rPr>
          <w:rFonts w:ascii="Arial" w:hAnsi="Arial" w:cs="Arial"/>
          <w:color w:val="000000"/>
          <w:sz w:val="22"/>
          <w:szCs w:val="22"/>
        </w:rPr>
        <w:t>ě</w:t>
      </w:r>
      <w:r w:rsidRPr="00A35E28">
        <w:rPr>
          <w:rFonts w:ascii="Arial" w:hAnsi="Arial" w:cs="Arial"/>
          <w:color w:val="000000"/>
          <w:sz w:val="22"/>
          <w:szCs w:val="22"/>
        </w:rPr>
        <w:t>,</w:t>
      </w:r>
      <w:r w:rsidRPr="000D0C24">
        <w:rPr>
          <w:rFonts w:ascii="Arial" w:hAnsi="Arial" w:cs="Arial"/>
          <w:color w:val="000000"/>
          <w:sz w:val="22"/>
          <w:szCs w:val="22"/>
        </w:rPr>
        <w:t xml:space="preserve"> </w:t>
      </w:r>
      <w:r w:rsidRPr="00A35E28">
        <w:rPr>
          <w:rFonts w:ascii="Arial" w:hAnsi="Arial" w:cs="Arial"/>
          <w:color w:val="000000"/>
          <w:sz w:val="22"/>
          <w:szCs w:val="22"/>
        </w:rPr>
        <w:t>že</w:t>
      </w:r>
      <w:r w:rsidRPr="000D0C24">
        <w:rPr>
          <w:rFonts w:ascii="Arial" w:hAnsi="Arial" w:cs="Arial"/>
          <w:color w:val="000000"/>
          <w:sz w:val="22"/>
          <w:szCs w:val="22"/>
        </w:rPr>
        <w:t xml:space="preserve"> p</w:t>
      </w:r>
      <w:r w:rsidRPr="00A35E28">
        <w:rPr>
          <w:rFonts w:ascii="Arial" w:hAnsi="Arial" w:cs="Arial"/>
          <w:color w:val="000000"/>
          <w:sz w:val="22"/>
          <w:szCs w:val="22"/>
        </w:rPr>
        <w:t>osk</w:t>
      </w:r>
      <w:r w:rsidRPr="000D0C24">
        <w:rPr>
          <w:rFonts w:ascii="Arial" w:hAnsi="Arial" w:cs="Arial"/>
          <w:color w:val="000000"/>
          <w:sz w:val="22"/>
          <w:szCs w:val="22"/>
        </w:rPr>
        <w:t>y</w:t>
      </w:r>
      <w:r w:rsidRPr="00A35E28">
        <w:rPr>
          <w:rFonts w:ascii="Arial" w:hAnsi="Arial" w:cs="Arial"/>
          <w:color w:val="000000"/>
          <w:sz w:val="22"/>
          <w:szCs w:val="22"/>
        </w:rPr>
        <w:t>tovatel</w:t>
      </w:r>
      <w:r w:rsidRPr="000D0C24">
        <w:rPr>
          <w:rFonts w:ascii="Arial" w:hAnsi="Arial" w:cs="Arial"/>
          <w:color w:val="000000"/>
          <w:sz w:val="22"/>
          <w:szCs w:val="22"/>
        </w:rPr>
        <w:t xml:space="preserve"> </w:t>
      </w:r>
      <w:r w:rsidRPr="00A35E28">
        <w:rPr>
          <w:rFonts w:ascii="Arial" w:hAnsi="Arial" w:cs="Arial"/>
          <w:color w:val="000000"/>
          <w:sz w:val="22"/>
          <w:szCs w:val="22"/>
        </w:rPr>
        <w:t>univerzální</w:t>
      </w:r>
      <w:r w:rsidRPr="000D0C24">
        <w:rPr>
          <w:rFonts w:ascii="Arial" w:hAnsi="Arial" w:cs="Arial"/>
          <w:color w:val="000000"/>
          <w:sz w:val="22"/>
          <w:szCs w:val="22"/>
        </w:rPr>
        <w:t xml:space="preserve"> </w:t>
      </w:r>
      <w:r w:rsidRPr="00A35E28">
        <w:rPr>
          <w:rFonts w:ascii="Arial" w:hAnsi="Arial" w:cs="Arial"/>
          <w:color w:val="000000"/>
          <w:sz w:val="22"/>
          <w:szCs w:val="22"/>
        </w:rPr>
        <w:t>služby</w:t>
      </w:r>
      <w:r w:rsidRPr="000D0C24">
        <w:rPr>
          <w:rFonts w:ascii="Arial" w:hAnsi="Arial" w:cs="Arial"/>
          <w:color w:val="000000"/>
          <w:sz w:val="22"/>
          <w:szCs w:val="22"/>
        </w:rPr>
        <w:t xml:space="preserve"> </w:t>
      </w:r>
      <w:r w:rsidRPr="00A35E28">
        <w:rPr>
          <w:rFonts w:ascii="Arial" w:hAnsi="Arial" w:cs="Arial"/>
          <w:color w:val="000000"/>
          <w:sz w:val="22"/>
          <w:szCs w:val="22"/>
        </w:rPr>
        <w:t>poskytuje</w:t>
      </w:r>
      <w:r w:rsidRPr="000D0C24">
        <w:rPr>
          <w:rFonts w:ascii="Arial" w:hAnsi="Arial" w:cs="Arial"/>
          <w:color w:val="000000"/>
          <w:sz w:val="22"/>
          <w:szCs w:val="22"/>
        </w:rPr>
        <w:t xml:space="preserve"> </w:t>
      </w:r>
      <w:r w:rsidRPr="00A35E28">
        <w:rPr>
          <w:rFonts w:ascii="Arial" w:hAnsi="Arial" w:cs="Arial"/>
          <w:color w:val="000000"/>
          <w:sz w:val="22"/>
          <w:szCs w:val="22"/>
        </w:rPr>
        <w:t>stejn</w:t>
      </w:r>
      <w:r w:rsidRPr="000D0C24">
        <w:rPr>
          <w:rFonts w:ascii="Arial" w:hAnsi="Arial" w:cs="Arial"/>
          <w:color w:val="000000"/>
          <w:sz w:val="22"/>
          <w:szCs w:val="22"/>
        </w:rPr>
        <w:t>o</w:t>
      </w:r>
      <w:r w:rsidRPr="00A35E28">
        <w:rPr>
          <w:rFonts w:ascii="Arial" w:hAnsi="Arial" w:cs="Arial"/>
          <w:color w:val="000000"/>
          <w:sz w:val="22"/>
          <w:szCs w:val="22"/>
        </w:rPr>
        <w:t>u službu</w:t>
      </w:r>
      <w:r w:rsidRPr="000D0C24">
        <w:rPr>
          <w:rFonts w:ascii="Arial" w:hAnsi="Arial" w:cs="Arial"/>
          <w:color w:val="000000"/>
          <w:sz w:val="22"/>
          <w:szCs w:val="22"/>
        </w:rPr>
        <w:t xml:space="preserve"> </w:t>
      </w:r>
      <w:r w:rsidRPr="00A35E28">
        <w:rPr>
          <w:rFonts w:ascii="Arial" w:hAnsi="Arial" w:cs="Arial"/>
          <w:color w:val="000000"/>
          <w:sz w:val="22"/>
          <w:szCs w:val="22"/>
        </w:rPr>
        <w:t>i</w:t>
      </w:r>
      <w:r w:rsidRPr="000D0C24">
        <w:rPr>
          <w:rFonts w:ascii="Arial" w:hAnsi="Arial" w:cs="Arial"/>
          <w:color w:val="000000"/>
          <w:sz w:val="22"/>
          <w:szCs w:val="22"/>
        </w:rPr>
        <w:t xml:space="preserve"> </w:t>
      </w:r>
      <w:r w:rsidRPr="00A35E28">
        <w:rPr>
          <w:rFonts w:ascii="Arial" w:hAnsi="Arial" w:cs="Arial"/>
          <w:color w:val="000000"/>
          <w:sz w:val="22"/>
          <w:szCs w:val="22"/>
        </w:rPr>
        <w:t>k</w:t>
      </w:r>
      <w:r w:rsidRPr="000D0C24">
        <w:rPr>
          <w:rFonts w:ascii="Arial" w:hAnsi="Arial" w:cs="Arial"/>
          <w:color w:val="000000"/>
          <w:sz w:val="22"/>
          <w:szCs w:val="22"/>
        </w:rPr>
        <w:t>o</w:t>
      </w:r>
      <w:r w:rsidRPr="00A35E28">
        <w:rPr>
          <w:rFonts w:ascii="Arial" w:hAnsi="Arial" w:cs="Arial"/>
          <w:color w:val="000000"/>
          <w:sz w:val="22"/>
          <w:szCs w:val="22"/>
        </w:rPr>
        <w:t>mer</w:t>
      </w:r>
      <w:r w:rsidRPr="000D0C24">
        <w:rPr>
          <w:rFonts w:ascii="Arial" w:hAnsi="Arial" w:cs="Arial"/>
          <w:color w:val="000000"/>
          <w:sz w:val="22"/>
          <w:szCs w:val="22"/>
        </w:rPr>
        <w:t>č</w:t>
      </w:r>
      <w:r w:rsidRPr="00A35E28">
        <w:rPr>
          <w:rFonts w:ascii="Arial" w:hAnsi="Arial" w:cs="Arial"/>
          <w:color w:val="000000"/>
          <w:sz w:val="22"/>
          <w:szCs w:val="22"/>
        </w:rPr>
        <w:t>ně a</w:t>
      </w:r>
      <w:r w:rsidR="000D0C24">
        <w:rPr>
          <w:rFonts w:ascii="Arial" w:hAnsi="Arial" w:cs="Arial"/>
          <w:color w:val="000000"/>
          <w:sz w:val="22"/>
          <w:szCs w:val="22"/>
        </w:rPr>
        <w:t xml:space="preserve"> </w:t>
      </w:r>
      <w:r w:rsidRPr="00A35E28">
        <w:rPr>
          <w:rFonts w:ascii="Arial" w:hAnsi="Arial" w:cs="Arial"/>
          <w:color w:val="000000"/>
          <w:sz w:val="22"/>
          <w:szCs w:val="22"/>
        </w:rPr>
        <w:t>výnosy</w:t>
      </w:r>
      <w:r w:rsidRPr="000D0C24">
        <w:rPr>
          <w:rFonts w:ascii="Arial" w:hAnsi="Arial" w:cs="Arial"/>
          <w:color w:val="000000"/>
          <w:sz w:val="22"/>
          <w:szCs w:val="22"/>
        </w:rPr>
        <w:t xml:space="preserve"> </w:t>
      </w:r>
      <w:r w:rsidRPr="00A35E28">
        <w:rPr>
          <w:rFonts w:ascii="Arial" w:hAnsi="Arial" w:cs="Arial"/>
          <w:color w:val="000000"/>
          <w:sz w:val="22"/>
          <w:szCs w:val="22"/>
        </w:rPr>
        <w:t>nelze</w:t>
      </w:r>
      <w:r w:rsidRPr="000D0C24">
        <w:rPr>
          <w:rFonts w:ascii="Arial" w:hAnsi="Arial" w:cs="Arial"/>
          <w:color w:val="000000"/>
          <w:sz w:val="22"/>
          <w:szCs w:val="22"/>
        </w:rPr>
        <w:t xml:space="preserve"> p</w:t>
      </w:r>
      <w:r w:rsidRPr="00A35E28">
        <w:rPr>
          <w:rFonts w:ascii="Arial" w:hAnsi="Arial" w:cs="Arial"/>
          <w:color w:val="000000"/>
          <w:sz w:val="22"/>
          <w:szCs w:val="22"/>
        </w:rPr>
        <w:t>řiřadit</w:t>
      </w:r>
      <w:r w:rsidRPr="000D0C24">
        <w:rPr>
          <w:rFonts w:ascii="Arial" w:hAnsi="Arial" w:cs="Arial"/>
          <w:color w:val="000000"/>
          <w:sz w:val="22"/>
          <w:szCs w:val="22"/>
        </w:rPr>
        <w:t xml:space="preserve"> </w:t>
      </w:r>
      <w:r w:rsidRPr="00A35E28">
        <w:rPr>
          <w:rFonts w:ascii="Arial" w:hAnsi="Arial" w:cs="Arial"/>
          <w:color w:val="000000"/>
          <w:sz w:val="22"/>
          <w:szCs w:val="22"/>
        </w:rPr>
        <w:t>přímo,</w:t>
      </w:r>
      <w:r w:rsidRPr="000D0C24">
        <w:rPr>
          <w:rFonts w:ascii="Arial" w:hAnsi="Arial" w:cs="Arial"/>
          <w:color w:val="000000"/>
          <w:sz w:val="22"/>
          <w:szCs w:val="22"/>
        </w:rPr>
        <w:t xml:space="preserve"> </w:t>
      </w:r>
      <w:r w:rsidRPr="00A35E28">
        <w:rPr>
          <w:rFonts w:ascii="Arial" w:hAnsi="Arial" w:cs="Arial"/>
          <w:color w:val="000000"/>
          <w:sz w:val="22"/>
          <w:szCs w:val="22"/>
        </w:rPr>
        <w:t>rozdělí</w:t>
      </w:r>
      <w:r w:rsidRPr="000D0C24">
        <w:rPr>
          <w:rFonts w:ascii="Arial" w:hAnsi="Arial" w:cs="Arial"/>
          <w:color w:val="000000"/>
          <w:sz w:val="22"/>
          <w:szCs w:val="22"/>
        </w:rPr>
        <w:t xml:space="preserve"> </w:t>
      </w:r>
      <w:r w:rsidRPr="00A35E28">
        <w:rPr>
          <w:rFonts w:ascii="Arial" w:hAnsi="Arial" w:cs="Arial"/>
          <w:color w:val="000000"/>
          <w:sz w:val="22"/>
          <w:szCs w:val="22"/>
        </w:rPr>
        <w:t>výnosy</w:t>
      </w:r>
      <w:r w:rsidR="0047095F">
        <w:rPr>
          <w:rFonts w:ascii="Arial" w:hAnsi="Arial" w:cs="Arial"/>
          <w:color w:val="000000"/>
          <w:sz w:val="22"/>
          <w:szCs w:val="22"/>
        </w:rPr>
        <w:t xml:space="preserve"> podle </w:t>
      </w:r>
      <w:r w:rsidRPr="00A35E28">
        <w:rPr>
          <w:rFonts w:ascii="Arial" w:hAnsi="Arial" w:cs="Arial"/>
          <w:color w:val="000000"/>
          <w:sz w:val="22"/>
          <w:szCs w:val="22"/>
        </w:rPr>
        <w:t>objektiv</w:t>
      </w:r>
      <w:r w:rsidRPr="000D0C24">
        <w:rPr>
          <w:rFonts w:ascii="Arial" w:hAnsi="Arial" w:cs="Arial"/>
          <w:color w:val="000000"/>
          <w:sz w:val="22"/>
          <w:szCs w:val="22"/>
        </w:rPr>
        <w:t>n</w:t>
      </w:r>
      <w:r w:rsidRPr="00A35E28">
        <w:rPr>
          <w:rFonts w:ascii="Arial" w:hAnsi="Arial" w:cs="Arial"/>
          <w:color w:val="000000"/>
          <w:sz w:val="22"/>
          <w:szCs w:val="22"/>
        </w:rPr>
        <w:t>ě zvoleného aloka</w:t>
      </w:r>
      <w:r w:rsidRPr="000D0C24">
        <w:rPr>
          <w:rFonts w:ascii="Arial" w:hAnsi="Arial" w:cs="Arial"/>
          <w:color w:val="000000"/>
          <w:sz w:val="22"/>
          <w:szCs w:val="22"/>
        </w:rPr>
        <w:t>č</w:t>
      </w:r>
      <w:r w:rsidRPr="00A35E28">
        <w:rPr>
          <w:rFonts w:ascii="Arial" w:hAnsi="Arial" w:cs="Arial"/>
          <w:color w:val="000000"/>
          <w:sz w:val="22"/>
          <w:szCs w:val="22"/>
        </w:rPr>
        <w:t>ního</w:t>
      </w:r>
      <w:r w:rsidRPr="000D0C24">
        <w:rPr>
          <w:rFonts w:ascii="Arial" w:hAnsi="Arial" w:cs="Arial"/>
          <w:color w:val="000000"/>
          <w:sz w:val="22"/>
          <w:szCs w:val="22"/>
        </w:rPr>
        <w:t xml:space="preserve"> </w:t>
      </w:r>
      <w:r w:rsidRPr="00A35E28">
        <w:rPr>
          <w:rFonts w:ascii="Arial" w:hAnsi="Arial" w:cs="Arial"/>
          <w:color w:val="000000"/>
          <w:sz w:val="22"/>
          <w:szCs w:val="22"/>
        </w:rPr>
        <w:t>po</w:t>
      </w:r>
      <w:r w:rsidRPr="000D0C24">
        <w:rPr>
          <w:rFonts w:ascii="Arial" w:hAnsi="Arial" w:cs="Arial"/>
          <w:color w:val="000000"/>
          <w:sz w:val="22"/>
          <w:szCs w:val="22"/>
        </w:rPr>
        <w:t>m</w:t>
      </w:r>
      <w:r w:rsidRPr="00A35E28">
        <w:rPr>
          <w:rFonts w:ascii="Arial" w:hAnsi="Arial" w:cs="Arial"/>
          <w:color w:val="000000"/>
          <w:sz w:val="22"/>
          <w:szCs w:val="22"/>
        </w:rPr>
        <w:t>ěru.</w:t>
      </w:r>
    </w:p>
    <w:p w:rsidR="004A6A67" w:rsidRPr="00A35E28" w:rsidRDefault="004A6A67" w:rsidP="002C151C">
      <w:pPr>
        <w:widowControl w:val="0"/>
        <w:autoSpaceDE w:val="0"/>
        <w:autoSpaceDN w:val="0"/>
        <w:adjustRightInd w:val="0"/>
        <w:spacing w:before="600"/>
        <w:jc w:val="center"/>
        <w:rPr>
          <w:rFonts w:ascii="Arial" w:hAnsi="Arial" w:cs="Arial"/>
          <w:color w:val="000000"/>
          <w:sz w:val="22"/>
          <w:szCs w:val="22"/>
        </w:rPr>
      </w:pPr>
      <w:r w:rsidRPr="00A35E28">
        <w:rPr>
          <w:rFonts w:ascii="Arial" w:hAnsi="Arial" w:cs="Arial"/>
          <w:color w:val="000000"/>
          <w:sz w:val="22"/>
          <w:szCs w:val="22"/>
        </w:rPr>
        <w:lastRenderedPageBreak/>
        <w:t>Článek</w:t>
      </w:r>
      <w:r w:rsidRPr="00A35E28">
        <w:rPr>
          <w:rFonts w:ascii="Arial" w:hAnsi="Arial" w:cs="Arial"/>
          <w:color w:val="000000"/>
          <w:spacing w:val="-7"/>
          <w:sz w:val="22"/>
          <w:szCs w:val="22"/>
        </w:rPr>
        <w:t xml:space="preserve"> </w:t>
      </w:r>
      <w:r w:rsidR="00736F5C">
        <w:rPr>
          <w:rFonts w:ascii="Arial" w:hAnsi="Arial" w:cs="Arial"/>
          <w:color w:val="000000"/>
          <w:w w:val="99"/>
          <w:sz w:val="22"/>
          <w:szCs w:val="22"/>
        </w:rPr>
        <w:t>4</w:t>
      </w:r>
    </w:p>
    <w:p w:rsidR="004A6A67" w:rsidRPr="00A35E28" w:rsidRDefault="004A6A67" w:rsidP="00DD6CDD">
      <w:pPr>
        <w:widowControl w:val="0"/>
        <w:autoSpaceDE w:val="0"/>
        <w:autoSpaceDN w:val="0"/>
        <w:adjustRightInd w:val="0"/>
        <w:spacing w:before="120" w:after="240"/>
        <w:jc w:val="center"/>
        <w:rPr>
          <w:rFonts w:ascii="Arial" w:hAnsi="Arial" w:cs="Arial"/>
          <w:color w:val="000000"/>
          <w:sz w:val="22"/>
          <w:szCs w:val="22"/>
        </w:rPr>
      </w:pPr>
      <w:r w:rsidRPr="00A35E28">
        <w:rPr>
          <w:rFonts w:ascii="Arial" w:hAnsi="Arial" w:cs="Arial"/>
          <w:b/>
          <w:bCs/>
          <w:color w:val="000000"/>
          <w:sz w:val="22"/>
          <w:szCs w:val="22"/>
        </w:rPr>
        <w:t>Přiřazování</w:t>
      </w:r>
      <w:r w:rsidRPr="00A35E28">
        <w:rPr>
          <w:rFonts w:ascii="Arial" w:hAnsi="Arial" w:cs="Arial"/>
          <w:b/>
          <w:bCs/>
          <w:color w:val="000000"/>
          <w:spacing w:val="-11"/>
          <w:sz w:val="22"/>
          <w:szCs w:val="22"/>
        </w:rPr>
        <w:t xml:space="preserve"> </w:t>
      </w:r>
      <w:r w:rsidRPr="00A35E28">
        <w:rPr>
          <w:rFonts w:ascii="Arial" w:hAnsi="Arial" w:cs="Arial"/>
          <w:b/>
          <w:bCs/>
          <w:color w:val="000000"/>
          <w:sz w:val="22"/>
          <w:szCs w:val="22"/>
        </w:rPr>
        <w:t>náklad</w:t>
      </w:r>
      <w:r w:rsidRPr="00A35E28">
        <w:rPr>
          <w:rFonts w:ascii="Arial" w:hAnsi="Arial" w:cs="Arial"/>
          <w:b/>
          <w:bCs/>
          <w:color w:val="000000"/>
          <w:spacing w:val="1"/>
          <w:sz w:val="22"/>
          <w:szCs w:val="22"/>
        </w:rPr>
        <w:t>ů</w:t>
      </w:r>
      <w:r w:rsidRPr="00A35E28">
        <w:rPr>
          <w:rFonts w:ascii="Arial" w:hAnsi="Arial" w:cs="Arial"/>
          <w:b/>
          <w:bCs/>
          <w:color w:val="000000"/>
          <w:sz w:val="22"/>
          <w:szCs w:val="22"/>
        </w:rPr>
        <w:t>,</w:t>
      </w:r>
      <w:r w:rsidRPr="00A35E28">
        <w:rPr>
          <w:rFonts w:ascii="Arial" w:hAnsi="Arial" w:cs="Arial"/>
          <w:b/>
          <w:bCs/>
          <w:color w:val="000000"/>
          <w:spacing w:val="-8"/>
          <w:sz w:val="22"/>
          <w:szCs w:val="22"/>
        </w:rPr>
        <w:t xml:space="preserve"> </w:t>
      </w:r>
      <w:r w:rsidRPr="00A35E28">
        <w:rPr>
          <w:rFonts w:ascii="Arial" w:hAnsi="Arial" w:cs="Arial"/>
          <w:b/>
          <w:bCs/>
          <w:color w:val="000000"/>
          <w:sz w:val="22"/>
          <w:szCs w:val="22"/>
        </w:rPr>
        <w:t>výnosů</w:t>
      </w:r>
      <w:r w:rsidRPr="00A35E28">
        <w:rPr>
          <w:rFonts w:ascii="Arial" w:hAnsi="Arial" w:cs="Arial"/>
          <w:b/>
          <w:bCs/>
          <w:color w:val="000000"/>
          <w:spacing w:val="-7"/>
          <w:sz w:val="22"/>
          <w:szCs w:val="22"/>
        </w:rPr>
        <w:t xml:space="preserve"> a </w:t>
      </w:r>
      <w:r w:rsidRPr="00A35E28">
        <w:rPr>
          <w:rFonts w:ascii="Arial" w:hAnsi="Arial" w:cs="Arial"/>
          <w:b/>
          <w:bCs/>
          <w:color w:val="000000"/>
          <w:sz w:val="22"/>
          <w:szCs w:val="22"/>
        </w:rPr>
        <w:t>nákladů</w:t>
      </w:r>
      <w:r w:rsidRPr="00A35E28">
        <w:rPr>
          <w:rFonts w:ascii="Arial" w:hAnsi="Arial" w:cs="Arial"/>
          <w:b/>
          <w:bCs/>
          <w:color w:val="000000"/>
          <w:spacing w:val="-7"/>
          <w:sz w:val="22"/>
          <w:szCs w:val="22"/>
        </w:rPr>
        <w:t xml:space="preserve"> </w:t>
      </w:r>
      <w:r w:rsidRPr="00A35E28">
        <w:rPr>
          <w:rFonts w:ascii="Arial" w:hAnsi="Arial" w:cs="Arial"/>
          <w:b/>
          <w:bCs/>
          <w:color w:val="000000"/>
          <w:sz w:val="22"/>
          <w:szCs w:val="22"/>
        </w:rPr>
        <w:t>vlož</w:t>
      </w:r>
      <w:r w:rsidRPr="00A35E28">
        <w:rPr>
          <w:rFonts w:ascii="Arial" w:hAnsi="Arial" w:cs="Arial"/>
          <w:b/>
          <w:bCs/>
          <w:color w:val="000000"/>
          <w:spacing w:val="-1"/>
          <w:sz w:val="22"/>
          <w:szCs w:val="22"/>
        </w:rPr>
        <w:t>e</w:t>
      </w:r>
      <w:r w:rsidRPr="00A35E28">
        <w:rPr>
          <w:rFonts w:ascii="Arial" w:hAnsi="Arial" w:cs="Arial"/>
          <w:b/>
          <w:bCs/>
          <w:color w:val="000000"/>
          <w:sz w:val="22"/>
          <w:szCs w:val="22"/>
        </w:rPr>
        <w:t>ného</w:t>
      </w:r>
      <w:r w:rsidRPr="00A35E28">
        <w:rPr>
          <w:rFonts w:ascii="Arial" w:hAnsi="Arial" w:cs="Arial"/>
          <w:b/>
          <w:bCs/>
          <w:color w:val="000000"/>
          <w:spacing w:val="-10"/>
          <w:sz w:val="22"/>
          <w:szCs w:val="22"/>
        </w:rPr>
        <w:t xml:space="preserve"> </w:t>
      </w:r>
      <w:r w:rsidRPr="00A35E28">
        <w:rPr>
          <w:rFonts w:ascii="Arial" w:hAnsi="Arial" w:cs="Arial"/>
          <w:b/>
          <w:bCs/>
          <w:color w:val="000000"/>
          <w:w w:val="99"/>
          <w:sz w:val="22"/>
          <w:szCs w:val="22"/>
        </w:rPr>
        <w:t>kapitálu</w:t>
      </w:r>
    </w:p>
    <w:p w:rsidR="004A6A67" w:rsidRPr="00A35E28" w:rsidRDefault="004A6A67" w:rsidP="007D2120">
      <w:pPr>
        <w:widowControl w:val="0"/>
        <w:tabs>
          <w:tab w:val="left" w:pos="1276"/>
        </w:tabs>
        <w:autoSpaceDE w:val="0"/>
        <w:autoSpaceDN w:val="0"/>
        <w:adjustRightInd w:val="0"/>
        <w:spacing w:before="240"/>
        <w:ind w:firstLine="828"/>
        <w:jc w:val="both"/>
        <w:rPr>
          <w:rFonts w:ascii="Arial" w:hAnsi="Arial" w:cs="Arial"/>
          <w:color w:val="000000"/>
          <w:sz w:val="22"/>
          <w:szCs w:val="22"/>
        </w:rPr>
      </w:pPr>
      <w:r w:rsidRPr="00A35E28">
        <w:rPr>
          <w:rFonts w:ascii="Arial" w:hAnsi="Arial" w:cs="Arial"/>
          <w:color w:val="000000"/>
          <w:sz w:val="22"/>
          <w:szCs w:val="22"/>
        </w:rPr>
        <w:t>(1)</w:t>
      </w:r>
      <w:r w:rsidRPr="00A35E28">
        <w:rPr>
          <w:rFonts w:ascii="Arial" w:hAnsi="Arial" w:cs="Arial"/>
          <w:color w:val="000000"/>
          <w:sz w:val="22"/>
          <w:szCs w:val="22"/>
        </w:rPr>
        <w:tab/>
        <w:t xml:space="preserve">Nákladové </w:t>
      </w:r>
      <w:r w:rsidRPr="00A35E28">
        <w:rPr>
          <w:rFonts w:ascii="Arial" w:hAnsi="Arial" w:cs="Arial"/>
          <w:color w:val="000000"/>
          <w:spacing w:val="1"/>
          <w:sz w:val="22"/>
          <w:szCs w:val="22"/>
        </w:rPr>
        <w:t>úč</w:t>
      </w:r>
      <w:r w:rsidRPr="00A35E28">
        <w:rPr>
          <w:rFonts w:ascii="Arial" w:hAnsi="Arial" w:cs="Arial"/>
          <w:color w:val="000000"/>
          <w:sz w:val="22"/>
          <w:szCs w:val="22"/>
        </w:rPr>
        <w:t>etnictví</w:t>
      </w:r>
      <w:r w:rsidRPr="00A35E28">
        <w:rPr>
          <w:rFonts w:ascii="Arial" w:hAnsi="Arial" w:cs="Arial"/>
          <w:color w:val="000000"/>
          <w:spacing w:val="2"/>
          <w:sz w:val="22"/>
          <w:szCs w:val="22"/>
        </w:rPr>
        <w:t xml:space="preserve"> a</w:t>
      </w:r>
      <w:r w:rsidR="00C90379" w:rsidRPr="00A35E28">
        <w:rPr>
          <w:rFonts w:ascii="Arial" w:hAnsi="Arial" w:cs="Arial"/>
          <w:color w:val="000000"/>
          <w:spacing w:val="2"/>
          <w:sz w:val="22"/>
          <w:szCs w:val="22"/>
        </w:rPr>
        <w:t xml:space="preserve"> </w:t>
      </w:r>
      <w:r w:rsidRPr="00A35E28">
        <w:rPr>
          <w:rFonts w:ascii="Arial" w:hAnsi="Arial" w:cs="Arial"/>
          <w:color w:val="000000"/>
          <w:sz w:val="22"/>
          <w:szCs w:val="22"/>
        </w:rPr>
        <w:t>oddělená</w:t>
      </w:r>
      <w:r w:rsidRPr="00A35E28">
        <w:rPr>
          <w:rFonts w:ascii="Arial" w:hAnsi="Arial" w:cs="Arial"/>
          <w:color w:val="000000"/>
          <w:spacing w:val="1"/>
          <w:sz w:val="22"/>
          <w:szCs w:val="22"/>
        </w:rPr>
        <w:t xml:space="preserve"> </w:t>
      </w:r>
      <w:r w:rsidRPr="00A35E28">
        <w:rPr>
          <w:rFonts w:ascii="Arial" w:hAnsi="Arial" w:cs="Arial"/>
          <w:color w:val="000000"/>
          <w:sz w:val="22"/>
          <w:szCs w:val="22"/>
        </w:rPr>
        <w:t>evidence</w:t>
      </w:r>
      <w:r w:rsidRPr="00A35E28">
        <w:rPr>
          <w:rFonts w:ascii="Arial" w:hAnsi="Arial" w:cs="Arial"/>
          <w:color w:val="000000"/>
          <w:spacing w:val="2"/>
          <w:sz w:val="22"/>
          <w:szCs w:val="22"/>
        </w:rPr>
        <w:t xml:space="preserve"> </w:t>
      </w:r>
      <w:r w:rsidRPr="00A35E28">
        <w:rPr>
          <w:rFonts w:ascii="Arial" w:hAnsi="Arial" w:cs="Arial"/>
          <w:color w:val="000000"/>
          <w:spacing w:val="1"/>
          <w:sz w:val="22"/>
          <w:szCs w:val="22"/>
        </w:rPr>
        <w:t>p</w:t>
      </w:r>
      <w:r w:rsidRPr="00A35E28">
        <w:rPr>
          <w:rFonts w:ascii="Arial" w:hAnsi="Arial" w:cs="Arial"/>
          <w:color w:val="000000"/>
          <w:sz w:val="22"/>
          <w:szCs w:val="22"/>
        </w:rPr>
        <w:t>římých</w:t>
      </w:r>
      <w:r w:rsidRPr="00A35E28">
        <w:rPr>
          <w:rFonts w:ascii="Arial" w:hAnsi="Arial" w:cs="Arial"/>
          <w:color w:val="000000"/>
          <w:spacing w:val="4"/>
          <w:sz w:val="22"/>
          <w:szCs w:val="22"/>
        </w:rPr>
        <w:t xml:space="preserve"> </w:t>
      </w:r>
      <w:r w:rsidRPr="00A35E28">
        <w:rPr>
          <w:rFonts w:ascii="Arial" w:hAnsi="Arial" w:cs="Arial"/>
          <w:color w:val="000000"/>
          <w:sz w:val="22"/>
          <w:szCs w:val="22"/>
        </w:rPr>
        <w:t>nákla</w:t>
      </w:r>
      <w:r w:rsidRPr="00A35E28">
        <w:rPr>
          <w:rFonts w:ascii="Arial" w:hAnsi="Arial" w:cs="Arial"/>
          <w:color w:val="000000"/>
          <w:spacing w:val="-1"/>
          <w:sz w:val="22"/>
          <w:szCs w:val="22"/>
        </w:rPr>
        <w:t>dů</w:t>
      </w:r>
      <w:r w:rsidRPr="00A35E28">
        <w:rPr>
          <w:rFonts w:ascii="Arial" w:hAnsi="Arial" w:cs="Arial"/>
          <w:color w:val="000000"/>
          <w:sz w:val="22"/>
          <w:szCs w:val="22"/>
        </w:rPr>
        <w:t>,</w:t>
      </w:r>
      <w:r w:rsidRPr="00A35E28">
        <w:rPr>
          <w:rFonts w:ascii="Arial" w:hAnsi="Arial" w:cs="Arial"/>
          <w:color w:val="000000"/>
          <w:spacing w:val="4"/>
          <w:sz w:val="22"/>
          <w:szCs w:val="22"/>
        </w:rPr>
        <w:t xml:space="preserve"> </w:t>
      </w:r>
      <w:r w:rsidRPr="00A35E28">
        <w:rPr>
          <w:rFonts w:ascii="Arial" w:hAnsi="Arial" w:cs="Arial"/>
          <w:color w:val="000000"/>
          <w:sz w:val="22"/>
          <w:szCs w:val="22"/>
        </w:rPr>
        <w:t>nepřímých</w:t>
      </w:r>
      <w:r w:rsidRPr="00A35E28">
        <w:rPr>
          <w:rFonts w:ascii="Arial" w:hAnsi="Arial" w:cs="Arial"/>
          <w:color w:val="000000"/>
          <w:spacing w:val="1"/>
          <w:sz w:val="22"/>
          <w:szCs w:val="22"/>
        </w:rPr>
        <w:t xml:space="preserve"> </w:t>
      </w:r>
      <w:r w:rsidRPr="00A35E28">
        <w:rPr>
          <w:rFonts w:ascii="Arial" w:hAnsi="Arial" w:cs="Arial"/>
          <w:color w:val="000000"/>
          <w:sz w:val="22"/>
          <w:szCs w:val="22"/>
        </w:rPr>
        <w:t>nákladů, spole</w:t>
      </w:r>
      <w:r w:rsidRPr="00A35E28">
        <w:rPr>
          <w:rFonts w:ascii="Arial" w:hAnsi="Arial" w:cs="Arial"/>
          <w:color w:val="000000"/>
          <w:spacing w:val="1"/>
          <w:sz w:val="22"/>
          <w:szCs w:val="22"/>
        </w:rPr>
        <w:t>č</w:t>
      </w:r>
      <w:r w:rsidRPr="00A35E28">
        <w:rPr>
          <w:rFonts w:ascii="Arial" w:hAnsi="Arial" w:cs="Arial"/>
          <w:color w:val="000000"/>
          <w:sz w:val="22"/>
          <w:szCs w:val="22"/>
        </w:rPr>
        <w:t>ných</w:t>
      </w:r>
      <w:r w:rsidRPr="00A35E28">
        <w:rPr>
          <w:rFonts w:ascii="Arial" w:hAnsi="Arial" w:cs="Arial"/>
          <w:color w:val="000000"/>
          <w:spacing w:val="7"/>
          <w:sz w:val="22"/>
          <w:szCs w:val="22"/>
        </w:rPr>
        <w:t xml:space="preserve"> </w:t>
      </w:r>
      <w:r w:rsidRPr="00A35E28">
        <w:rPr>
          <w:rFonts w:ascii="Arial" w:hAnsi="Arial" w:cs="Arial"/>
          <w:color w:val="000000"/>
          <w:sz w:val="22"/>
          <w:szCs w:val="22"/>
        </w:rPr>
        <w:t>nákladů,</w:t>
      </w:r>
      <w:r w:rsidRPr="00A35E28">
        <w:rPr>
          <w:rFonts w:ascii="Arial" w:hAnsi="Arial" w:cs="Arial"/>
          <w:color w:val="000000"/>
          <w:spacing w:val="12"/>
          <w:sz w:val="22"/>
          <w:szCs w:val="22"/>
        </w:rPr>
        <w:t xml:space="preserve"> </w:t>
      </w:r>
      <w:r w:rsidRPr="00A35E28">
        <w:rPr>
          <w:rFonts w:ascii="Arial" w:hAnsi="Arial" w:cs="Arial"/>
          <w:color w:val="000000"/>
          <w:sz w:val="22"/>
          <w:szCs w:val="22"/>
        </w:rPr>
        <w:t>n</w:t>
      </w:r>
      <w:r w:rsidRPr="00A35E28">
        <w:rPr>
          <w:rFonts w:ascii="Arial" w:hAnsi="Arial" w:cs="Arial"/>
          <w:color w:val="000000"/>
          <w:spacing w:val="-1"/>
          <w:sz w:val="22"/>
          <w:szCs w:val="22"/>
        </w:rPr>
        <w:t>á</w:t>
      </w:r>
      <w:r w:rsidRPr="00A35E28">
        <w:rPr>
          <w:rFonts w:ascii="Arial" w:hAnsi="Arial" w:cs="Arial"/>
          <w:color w:val="000000"/>
          <w:sz w:val="22"/>
          <w:szCs w:val="22"/>
        </w:rPr>
        <w:t>kla</w:t>
      </w:r>
      <w:r w:rsidRPr="00A35E28">
        <w:rPr>
          <w:rFonts w:ascii="Arial" w:hAnsi="Arial" w:cs="Arial"/>
          <w:color w:val="000000"/>
          <w:spacing w:val="1"/>
          <w:sz w:val="22"/>
          <w:szCs w:val="22"/>
        </w:rPr>
        <w:t>d</w:t>
      </w:r>
      <w:r w:rsidRPr="00A35E28">
        <w:rPr>
          <w:rFonts w:ascii="Arial" w:hAnsi="Arial" w:cs="Arial"/>
          <w:color w:val="000000"/>
          <w:sz w:val="22"/>
          <w:szCs w:val="22"/>
        </w:rPr>
        <w:t>ů</w:t>
      </w:r>
      <w:r w:rsidRPr="00A35E28">
        <w:rPr>
          <w:rFonts w:ascii="Arial" w:hAnsi="Arial" w:cs="Arial"/>
          <w:color w:val="000000"/>
          <w:spacing w:val="12"/>
          <w:sz w:val="22"/>
          <w:szCs w:val="22"/>
        </w:rPr>
        <w:t xml:space="preserve"> </w:t>
      </w:r>
      <w:r w:rsidRPr="00A35E28">
        <w:rPr>
          <w:rFonts w:ascii="Arial" w:hAnsi="Arial" w:cs="Arial"/>
          <w:color w:val="000000"/>
          <w:sz w:val="22"/>
          <w:szCs w:val="22"/>
        </w:rPr>
        <w:t>vlož</w:t>
      </w:r>
      <w:r w:rsidRPr="00A35E28">
        <w:rPr>
          <w:rFonts w:ascii="Arial" w:hAnsi="Arial" w:cs="Arial"/>
          <w:color w:val="000000"/>
          <w:spacing w:val="-1"/>
          <w:sz w:val="22"/>
          <w:szCs w:val="22"/>
        </w:rPr>
        <w:t>e</w:t>
      </w:r>
      <w:r w:rsidRPr="00A35E28">
        <w:rPr>
          <w:rFonts w:ascii="Arial" w:hAnsi="Arial" w:cs="Arial"/>
          <w:color w:val="000000"/>
          <w:sz w:val="22"/>
          <w:szCs w:val="22"/>
        </w:rPr>
        <w:t>ného</w:t>
      </w:r>
      <w:r w:rsidRPr="00A35E28">
        <w:rPr>
          <w:rFonts w:ascii="Arial" w:hAnsi="Arial" w:cs="Arial"/>
          <w:color w:val="000000"/>
          <w:spacing w:val="10"/>
          <w:sz w:val="22"/>
          <w:szCs w:val="22"/>
        </w:rPr>
        <w:t xml:space="preserve"> </w:t>
      </w:r>
      <w:r w:rsidRPr="00A35E28">
        <w:rPr>
          <w:rFonts w:ascii="Arial" w:hAnsi="Arial" w:cs="Arial"/>
          <w:color w:val="000000"/>
          <w:sz w:val="22"/>
          <w:szCs w:val="22"/>
        </w:rPr>
        <w:t>kapitálu</w:t>
      </w:r>
      <w:r w:rsidRPr="00A35E28">
        <w:rPr>
          <w:rFonts w:ascii="Arial" w:hAnsi="Arial" w:cs="Arial"/>
          <w:color w:val="000000"/>
          <w:spacing w:val="12"/>
          <w:sz w:val="22"/>
          <w:szCs w:val="22"/>
        </w:rPr>
        <w:t xml:space="preserve"> a</w:t>
      </w:r>
      <w:r w:rsidR="00C90379" w:rsidRPr="00A35E28">
        <w:rPr>
          <w:rFonts w:ascii="Arial" w:hAnsi="Arial" w:cs="Arial"/>
          <w:color w:val="000000"/>
          <w:spacing w:val="12"/>
          <w:sz w:val="22"/>
          <w:szCs w:val="22"/>
        </w:rPr>
        <w:t xml:space="preserve"> </w:t>
      </w:r>
      <w:r w:rsidRPr="00A35E28">
        <w:rPr>
          <w:rFonts w:ascii="Arial" w:hAnsi="Arial" w:cs="Arial"/>
          <w:color w:val="000000"/>
          <w:sz w:val="22"/>
          <w:szCs w:val="22"/>
        </w:rPr>
        <w:t>ostatních</w:t>
      </w:r>
      <w:r w:rsidRPr="00A35E28">
        <w:rPr>
          <w:rFonts w:ascii="Arial" w:hAnsi="Arial" w:cs="Arial"/>
          <w:color w:val="000000"/>
          <w:spacing w:val="11"/>
          <w:sz w:val="22"/>
          <w:szCs w:val="22"/>
        </w:rPr>
        <w:t xml:space="preserve"> </w:t>
      </w:r>
      <w:r w:rsidRPr="00A35E28">
        <w:rPr>
          <w:rFonts w:ascii="Arial" w:hAnsi="Arial" w:cs="Arial"/>
          <w:color w:val="000000"/>
          <w:sz w:val="22"/>
          <w:szCs w:val="22"/>
        </w:rPr>
        <w:t>nákla</w:t>
      </w:r>
      <w:r w:rsidRPr="00A35E28">
        <w:rPr>
          <w:rFonts w:ascii="Arial" w:hAnsi="Arial" w:cs="Arial"/>
          <w:color w:val="000000"/>
          <w:spacing w:val="1"/>
          <w:sz w:val="22"/>
          <w:szCs w:val="22"/>
        </w:rPr>
        <w:t>d</w:t>
      </w:r>
      <w:r w:rsidRPr="00A35E28">
        <w:rPr>
          <w:rFonts w:ascii="Arial" w:hAnsi="Arial" w:cs="Arial"/>
          <w:color w:val="000000"/>
          <w:sz w:val="22"/>
          <w:szCs w:val="22"/>
        </w:rPr>
        <w:t>ů</w:t>
      </w:r>
      <w:r w:rsidRPr="00A35E28">
        <w:rPr>
          <w:rFonts w:ascii="Arial" w:hAnsi="Arial" w:cs="Arial"/>
          <w:color w:val="000000"/>
          <w:spacing w:val="12"/>
          <w:sz w:val="22"/>
          <w:szCs w:val="22"/>
        </w:rPr>
        <w:t xml:space="preserve"> a</w:t>
      </w:r>
      <w:r w:rsidR="00C90379" w:rsidRPr="00A35E28">
        <w:rPr>
          <w:rFonts w:ascii="Arial" w:hAnsi="Arial" w:cs="Arial"/>
          <w:color w:val="000000"/>
          <w:spacing w:val="12"/>
          <w:sz w:val="22"/>
          <w:szCs w:val="22"/>
        </w:rPr>
        <w:t xml:space="preserve"> </w:t>
      </w:r>
      <w:r w:rsidRPr="00A35E28">
        <w:rPr>
          <w:rFonts w:ascii="Arial" w:hAnsi="Arial" w:cs="Arial"/>
          <w:color w:val="000000"/>
          <w:sz w:val="22"/>
          <w:szCs w:val="22"/>
        </w:rPr>
        <w:t>výnosů</w:t>
      </w:r>
      <w:r w:rsidRPr="00A35E28">
        <w:rPr>
          <w:rFonts w:ascii="Arial" w:hAnsi="Arial" w:cs="Arial"/>
          <w:color w:val="000000"/>
          <w:spacing w:val="13"/>
          <w:sz w:val="22"/>
          <w:szCs w:val="22"/>
        </w:rPr>
        <w:t xml:space="preserve"> </w:t>
      </w:r>
      <w:r w:rsidRPr="00A35E28">
        <w:rPr>
          <w:rFonts w:ascii="Arial" w:hAnsi="Arial" w:cs="Arial"/>
          <w:color w:val="000000"/>
          <w:sz w:val="22"/>
          <w:szCs w:val="22"/>
        </w:rPr>
        <w:t>jsou</w:t>
      </w:r>
      <w:r w:rsidRPr="00A35E28">
        <w:rPr>
          <w:rFonts w:ascii="Arial" w:hAnsi="Arial" w:cs="Arial"/>
          <w:color w:val="000000"/>
          <w:spacing w:val="16"/>
          <w:sz w:val="22"/>
          <w:szCs w:val="22"/>
        </w:rPr>
        <w:t xml:space="preserve"> </w:t>
      </w:r>
      <w:r w:rsidRPr="00A35E28">
        <w:rPr>
          <w:rFonts w:ascii="Arial" w:hAnsi="Arial" w:cs="Arial"/>
          <w:color w:val="000000"/>
          <w:w w:val="99"/>
          <w:sz w:val="22"/>
          <w:szCs w:val="22"/>
        </w:rPr>
        <w:t>vede</w:t>
      </w:r>
      <w:r w:rsidRPr="00A35E28">
        <w:rPr>
          <w:rFonts w:ascii="Arial" w:hAnsi="Arial" w:cs="Arial"/>
          <w:color w:val="000000"/>
          <w:spacing w:val="1"/>
          <w:w w:val="99"/>
          <w:sz w:val="22"/>
          <w:szCs w:val="22"/>
        </w:rPr>
        <w:t>n</w:t>
      </w:r>
      <w:r w:rsidRPr="00A35E28">
        <w:rPr>
          <w:rFonts w:ascii="Arial" w:hAnsi="Arial" w:cs="Arial"/>
          <w:color w:val="000000"/>
          <w:w w:val="99"/>
          <w:sz w:val="22"/>
          <w:szCs w:val="22"/>
        </w:rPr>
        <w:t>y</w:t>
      </w:r>
      <w:r w:rsidR="0047095F">
        <w:rPr>
          <w:rFonts w:ascii="Arial" w:hAnsi="Arial" w:cs="Arial"/>
          <w:color w:val="000000"/>
          <w:w w:val="99"/>
          <w:sz w:val="22"/>
          <w:szCs w:val="22"/>
        </w:rPr>
        <w:t xml:space="preserve"> v </w:t>
      </w:r>
      <w:r w:rsidRPr="00A35E28">
        <w:rPr>
          <w:rFonts w:ascii="Arial" w:hAnsi="Arial" w:cs="Arial"/>
          <w:color w:val="000000"/>
          <w:sz w:val="22"/>
          <w:szCs w:val="22"/>
        </w:rPr>
        <w:t>nákladech</w:t>
      </w:r>
      <w:r w:rsidRPr="00A35E28">
        <w:rPr>
          <w:rFonts w:ascii="Arial" w:hAnsi="Arial" w:cs="Arial"/>
          <w:color w:val="000000"/>
          <w:spacing w:val="-11"/>
          <w:sz w:val="22"/>
          <w:szCs w:val="22"/>
        </w:rPr>
        <w:t xml:space="preserve"> </w:t>
      </w:r>
      <w:r w:rsidRPr="00A35E28">
        <w:rPr>
          <w:rFonts w:ascii="Arial" w:hAnsi="Arial" w:cs="Arial"/>
          <w:color w:val="000000"/>
          <w:sz w:val="22"/>
          <w:szCs w:val="22"/>
        </w:rPr>
        <w:t>vycházejících</w:t>
      </w:r>
      <w:r w:rsidRPr="00A35E28">
        <w:rPr>
          <w:rFonts w:ascii="Arial" w:hAnsi="Arial" w:cs="Arial"/>
          <w:color w:val="000000"/>
          <w:spacing w:val="-13"/>
          <w:sz w:val="22"/>
          <w:szCs w:val="22"/>
        </w:rPr>
        <w:t xml:space="preserve"> </w:t>
      </w:r>
      <w:r w:rsidRPr="00A35E28">
        <w:rPr>
          <w:rFonts w:ascii="Arial" w:hAnsi="Arial" w:cs="Arial"/>
          <w:color w:val="000000"/>
          <w:sz w:val="22"/>
          <w:szCs w:val="22"/>
        </w:rPr>
        <w:t>z</w:t>
      </w:r>
      <w:r w:rsidRPr="00A35E28">
        <w:rPr>
          <w:rFonts w:ascii="Arial" w:hAnsi="Arial" w:cs="Arial"/>
          <w:color w:val="000000"/>
          <w:spacing w:val="-1"/>
          <w:sz w:val="22"/>
          <w:szCs w:val="22"/>
        </w:rPr>
        <w:t xml:space="preserve"> </w:t>
      </w:r>
      <w:r w:rsidRPr="00A35E28">
        <w:rPr>
          <w:rFonts w:ascii="Arial" w:hAnsi="Arial" w:cs="Arial"/>
          <w:color w:val="000000"/>
          <w:sz w:val="22"/>
          <w:szCs w:val="22"/>
        </w:rPr>
        <w:t>p</w:t>
      </w:r>
      <w:r w:rsidRPr="00A35E28">
        <w:rPr>
          <w:rFonts w:ascii="Arial" w:hAnsi="Arial" w:cs="Arial"/>
          <w:color w:val="000000"/>
          <w:spacing w:val="1"/>
          <w:sz w:val="22"/>
          <w:szCs w:val="22"/>
        </w:rPr>
        <w:t>o</w:t>
      </w:r>
      <w:r w:rsidRPr="00A35E28">
        <w:rPr>
          <w:rFonts w:ascii="Arial" w:hAnsi="Arial" w:cs="Arial"/>
          <w:color w:val="000000"/>
          <w:sz w:val="22"/>
          <w:szCs w:val="22"/>
        </w:rPr>
        <w:t>řizovacích</w:t>
      </w:r>
      <w:r w:rsidRPr="00A35E28">
        <w:rPr>
          <w:rFonts w:ascii="Arial" w:hAnsi="Arial" w:cs="Arial"/>
          <w:color w:val="000000"/>
          <w:spacing w:val="-12"/>
          <w:sz w:val="22"/>
          <w:szCs w:val="22"/>
        </w:rPr>
        <w:t xml:space="preserve"> </w:t>
      </w:r>
      <w:r w:rsidRPr="00A35E28">
        <w:rPr>
          <w:rFonts w:ascii="Arial" w:hAnsi="Arial" w:cs="Arial"/>
          <w:color w:val="000000"/>
          <w:sz w:val="22"/>
          <w:szCs w:val="22"/>
        </w:rPr>
        <w:t>cen</w:t>
      </w:r>
      <w:r w:rsidRPr="00A35E28">
        <w:rPr>
          <w:rFonts w:ascii="Arial" w:hAnsi="Arial" w:cs="Arial"/>
          <w:color w:val="000000"/>
          <w:spacing w:val="-4"/>
          <w:sz w:val="22"/>
          <w:szCs w:val="22"/>
        </w:rPr>
        <w:t xml:space="preserve"> </w:t>
      </w:r>
      <w:r w:rsidRPr="00A35E28">
        <w:rPr>
          <w:rFonts w:ascii="Arial" w:hAnsi="Arial" w:cs="Arial"/>
          <w:color w:val="000000"/>
          <w:sz w:val="22"/>
          <w:szCs w:val="22"/>
        </w:rPr>
        <w:t>(</w:t>
      </w:r>
      <w:r w:rsidRPr="00A35E28">
        <w:rPr>
          <w:rFonts w:ascii="Arial" w:hAnsi="Arial" w:cs="Arial"/>
          <w:color w:val="000000"/>
          <w:spacing w:val="-1"/>
          <w:sz w:val="22"/>
          <w:szCs w:val="22"/>
        </w:rPr>
        <w:t>d</w:t>
      </w:r>
      <w:r w:rsidRPr="00A35E28">
        <w:rPr>
          <w:rFonts w:ascii="Arial" w:hAnsi="Arial" w:cs="Arial"/>
          <w:color w:val="000000"/>
          <w:sz w:val="22"/>
          <w:szCs w:val="22"/>
        </w:rPr>
        <w:t>ále</w:t>
      </w:r>
      <w:r w:rsidRPr="00A35E28">
        <w:rPr>
          <w:rFonts w:ascii="Arial" w:hAnsi="Arial" w:cs="Arial"/>
          <w:color w:val="000000"/>
          <w:spacing w:val="-5"/>
          <w:sz w:val="22"/>
          <w:szCs w:val="22"/>
        </w:rPr>
        <w:t xml:space="preserve"> </w:t>
      </w:r>
      <w:r w:rsidRPr="00A35E28">
        <w:rPr>
          <w:rFonts w:ascii="Arial" w:hAnsi="Arial" w:cs="Arial"/>
          <w:color w:val="000000"/>
          <w:sz w:val="22"/>
          <w:szCs w:val="22"/>
        </w:rPr>
        <w:t>jen</w:t>
      </w:r>
      <w:r w:rsidRPr="00A35E28">
        <w:rPr>
          <w:rFonts w:ascii="Arial" w:hAnsi="Arial" w:cs="Arial"/>
          <w:color w:val="000000"/>
          <w:spacing w:val="-3"/>
          <w:sz w:val="22"/>
          <w:szCs w:val="22"/>
        </w:rPr>
        <w:t xml:space="preserve"> </w:t>
      </w:r>
      <w:r w:rsidRPr="00A35E28">
        <w:rPr>
          <w:rFonts w:ascii="Arial" w:hAnsi="Arial" w:cs="Arial"/>
          <w:color w:val="000000"/>
          <w:sz w:val="22"/>
          <w:szCs w:val="22"/>
        </w:rPr>
        <w:t>„his</w:t>
      </w:r>
      <w:r w:rsidRPr="00A35E28">
        <w:rPr>
          <w:rFonts w:ascii="Arial" w:hAnsi="Arial" w:cs="Arial"/>
          <w:color w:val="000000"/>
          <w:spacing w:val="-1"/>
          <w:sz w:val="22"/>
          <w:szCs w:val="22"/>
        </w:rPr>
        <w:t>t</w:t>
      </w:r>
      <w:r w:rsidRPr="00A35E28">
        <w:rPr>
          <w:rFonts w:ascii="Arial" w:hAnsi="Arial" w:cs="Arial"/>
          <w:color w:val="000000"/>
          <w:sz w:val="22"/>
          <w:szCs w:val="22"/>
        </w:rPr>
        <w:t>orické</w:t>
      </w:r>
      <w:r w:rsidRPr="00A35E28">
        <w:rPr>
          <w:rFonts w:ascii="Arial" w:hAnsi="Arial" w:cs="Arial"/>
          <w:color w:val="000000"/>
          <w:spacing w:val="-10"/>
          <w:sz w:val="22"/>
          <w:szCs w:val="22"/>
        </w:rPr>
        <w:t xml:space="preserve"> </w:t>
      </w:r>
      <w:r w:rsidRPr="00A35E28">
        <w:rPr>
          <w:rFonts w:ascii="Arial" w:hAnsi="Arial" w:cs="Arial"/>
          <w:color w:val="000000"/>
          <w:sz w:val="22"/>
          <w:szCs w:val="22"/>
        </w:rPr>
        <w:t>nákl</w:t>
      </w:r>
      <w:r w:rsidRPr="00A35E28">
        <w:rPr>
          <w:rFonts w:ascii="Arial" w:hAnsi="Arial" w:cs="Arial"/>
          <w:color w:val="000000"/>
          <w:spacing w:val="-1"/>
          <w:sz w:val="22"/>
          <w:szCs w:val="22"/>
        </w:rPr>
        <w:t>a</w:t>
      </w:r>
      <w:r w:rsidRPr="00A35E28">
        <w:rPr>
          <w:rFonts w:ascii="Arial" w:hAnsi="Arial" w:cs="Arial"/>
          <w:color w:val="000000"/>
          <w:sz w:val="22"/>
          <w:szCs w:val="22"/>
        </w:rPr>
        <w:t>dy“).</w:t>
      </w:r>
    </w:p>
    <w:p w:rsidR="004A6A67" w:rsidRPr="00A35E28" w:rsidRDefault="004A6A67" w:rsidP="00F13ABF">
      <w:pPr>
        <w:widowControl w:val="0"/>
        <w:tabs>
          <w:tab w:val="left" w:pos="1276"/>
        </w:tabs>
        <w:autoSpaceDE w:val="0"/>
        <w:autoSpaceDN w:val="0"/>
        <w:adjustRightInd w:val="0"/>
        <w:spacing w:before="120" w:after="120"/>
        <w:ind w:firstLine="828"/>
        <w:jc w:val="both"/>
        <w:rPr>
          <w:rFonts w:ascii="Arial" w:hAnsi="Arial" w:cs="Arial"/>
          <w:color w:val="000000"/>
          <w:sz w:val="22"/>
          <w:szCs w:val="22"/>
        </w:rPr>
      </w:pPr>
      <w:r w:rsidRPr="00A35E28">
        <w:rPr>
          <w:rFonts w:ascii="Arial" w:hAnsi="Arial" w:cs="Arial"/>
          <w:color w:val="000000"/>
          <w:sz w:val="22"/>
          <w:szCs w:val="22"/>
        </w:rPr>
        <w:t>(2)</w:t>
      </w:r>
      <w:r w:rsidRPr="00A35E28">
        <w:rPr>
          <w:rFonts w:ascii="Arial" w:hAnsi="Arial" w:cs="Arial"/>
          <w:color w:val="000000"/>
          <w:sz w:val="22"/>
          <w:szCs w:val="22"/>
        </w:rPr>
        <w:tab/>
        <w:t>Uloží-li</w:t>
      </w:r>
      <w:r w:rsidRPr="00A35E28">
        <w:rPr>
          <w:rFonts w:ascii="Arial" w:hAnsi="Arial" w:cs="Arial"/>
          <w:color w:val="000000"/>
          <w:spacing w:val="4"/>
          <w:sz w:val="22"/>
          <w:szCs w:val="22"/>
        </w:rPr>
        <w:t xml:space="preserve"> </w:t>
      </w:r>
      <w:r w:rsidRPr="00A35E28">
        <w:rPr>
          <w:rFonts w:ascii="Arial" w:hAnsi="Arial" w:cs="Arial"/>
          <w:color w:val="000000"/>
          <w:sz w:val="22"/>
          <w:szCs w:val="22"/>
        </w:rPr>
        <w:t>Úř</w:t>
      </w:r>
      <w:r w:rsidRPr="00A35E28">
        <w:rPr>
          <w:rFonts w:ascii="Arial" w:hAnsi="Arial" w:cs="Arial"/>
          <w:color w:val="000000"/>
          <w:spacing w:val="-1"/>
          <w:sz w:val="22"/>
          <w:szCs w:val="22"/>
        </w:rPr>
        <w:t>a</w:t>
      </w:r>
      <w:r w:rsidRPr="00A35E28">
        <w:rPr>
          <w:rFonts w:ascii="Arial" w:hAnsi="Arial" w:cs="Arial"/>
          <w:color w:val="000000"/>
          <w:sz w:val="22"/>
          <w:szCs w:val="22"/>
        </w:rPr>
        <w:t>d</w:t>
      </w:r>
      <w:r w:rsidRPr="00A35E28">
        <w:rPr>
          <w:rFonts w:ascii="Arial" w:hAnsi="Arial" w:cs="Arial"/>
          <w:color w:val="000000"/>
          <w:spacing w:val="7"/>
          <w:sz w:val="22"/>
          <w:szCs w:val="22"/>
        </w:rPr>
        <w:t xml:space="preserve"> </w:t>
      </w:r>
      <w:r w:rsidRPr="00A35E28">
        <w:rPr>
          <w:rFonts w:ascii="Arial" w:hAnsi="Arial" w:cs="Arial"/>
          <w:color w:val="000000"/>
          <w:sz w:val="22"/>
          <w:szCs w:val="22"/>
        </w:rPr>
        <w:t>povinnost</w:t>
      </w:r>
      <w:r w:rsidR="0047095F">
        <w:rPr>
          <w:rFonts w:ascii="Arial" w:hAnsi="Arial" w:cs="Arial"/>
          <w:color w:val="000000"/>
          <w:sz w:val="22"/>
          <w:szCs w:val="22"/>
        </w:rPr>
        <w:t xml:space="preserve"> v </w:t>
      </w:r>
      <w:r w:rsidRPr="00A35E28">
        <w:rPr>
          <w:rFonts w:ascii="Arial" w:hAnsi="Arial" w:cs="Arial"/>
          <w:color w:val="000000"/>
          <w:sz w:val="22"/>
          <w:szCs w:val="22"/>
        </w:rPr>
        <w:t>nákladech vycházet</w:t>
      </w:r>
      <w:r w:rsidRPr="00A35E28">
        <w:rPr>
          <w:rFonts w:ascii="Arial" w:hAnsi="Arial" w:cs="Arial"/>
          <w:color w:val="000000"/>
          <w:spacing w:val="2"/>
          <w:sz w:val="22"/>
          <w:szCs w:val="22"/>
        </w:rPr>
        <w:t xml:space="preserve"> </w:t>
      </w:r>
      <w:r w:rsidRPr="00A35E28">
        <w:rPr>
          <w:rFonts w:ascii="Arial" w:hAnsi="Arial" w:cs="Arial"/>
          <w:color w:val="000000"/>
          <w:sz w:val="22"/>
          <w:szCs w:val="22"/>
        </w:rPr>
        <w:t>z</w:t>
      </w:r>
      <w:r w:rsidRPr="00A35E28">
        <w:rPr>
          <w:rFonts w:ascii="Arial" w:hAnsi="Arial" w:cs="Arial"/>
          <w:color w:val="000000"/>
          <w:spacing w:val="10"/>
          <w:sz w:val="22"/>
          <w:szCs w:val="22"/>
        </w:rPr>
        <w:t xml:space="preserve"> </w:t>
      </w:r>
      <w:r w:rsidRPr="00A35E28">
        <w:rPr>
          <w:rFonts w:ascii="Arial" w:hAnsi="Arial" w:cs="Arial"/>
          <w:color w:val="000000"/>
          <w:spacing w:val="1"/>
          <w:sz w:val="22"/>
          <w:szCs w:val="22"/>
        </w:rPr>
        <w:t>b</w:t>
      </w:r>
      <w:r w:rsidRPr="00A35E28">
        <w:rPr>
          <w:rFonts w:ascii="Arial" w:hAnsi="Arial" w:cs="Arial"/>
          <w:color w:val="000000"/>
          <w:sz w:val="22"/>
          <w:szCs w:val="22"/>
        </w:rPr>
        <w:t>ěž</w:t>
      </w:r>
      <w:r w:rsidRPr="00A35E28">
        <w:rPr>
          <w:rFonts w:ascii="Arial" w:hAnsi="Arial" w:cs="Arial"/>
          <w:color w:val="000000"/>
          <w:spacing w:val="-1"/>
          <w:sz w:val="22"/>
          <w:szCs w:val="22"/>
        </w:rPr>
        <w:t>n</w:t>
      </w:r>
      <w:r w:rsidRPr="00A35E28">
        <w:rPr>
          <w:rFonts w:ascii="Arial" w:hAnsi="Arial" w:cs="Arial"/>
          <w:color w:val="000000"/>
          <w:sz w:val="22"/>
          <w:szCs w:val="22"/>
        </w:rPr>
        <w:t>ých</w:t>
      </w:r>
      <w:r w:rsidRPr="00A35E28">
        <w:rPr>
          <w:rFonts w:ascii="Arial" w:hAnsi="Arial" w:cs="Arial"/>
          <w:color w:val="000000"/>
          <w:spacing w:val="1"/>
          <w:sz w:val="22"/>
          <w:szCs w:val="22"/>
        </w:rPr>
        <w:t xml:space="preserve"> </w:t>
      </w:r>
      <w:r w:rsidRPr="00A35E28">
        <w:rPr>
          <w:rFonts w:ascii="Arial" w:hAnsi="Arial" w:cs="Arial"/>
          <w:color w:val="000000"/>
          <w:sz w:val="22"/>
          <w:szCs w:val="22"/>
        </w:rPr>
        <w:t>cen</w:t>
      </w:r>
      <w:r w:rsidRPr="00A35E28">
        <w:rPr>
          <w:rFonts w:ascii="Arial" w:hAnsi="Arial" w:cs="Arial"/>
          <w:color w:val="000000"/>
          <w:spacing w:val="8"/>
          <w:sz w:val="22"/>
          <w:szCs w:val="22"/>
        </w:rPr>
        <w:t xml:space="preserve"> </w:t>
      </w:r>
      <w:r w:rsidRPr="00A35E28">
        <w:rPr>
          <w:rFonts w:ascii="Arial" w:hAnsi="Arial" w:cs="Arial"/>
          <w:color w:val="000000"/>
          <w:sz w:val="22"/>
          <w:szCs w:val="22"/>
        </w:rPr>
        <w:t>(dále</w:t>
      </w:r>
      <w:r w:rsidRPr="00A35E28">
        <w:rPr>
          <w:rFonts w:ascii="Arial" w:hAnsi="Arial" w:cs="Arial"/>
          <w:color w:val="000000"/>
          <w:spacing w:val="5"/>
          <w:sz w:val="22"/>
          <w:szCs w:val="22"/>
        </w:rPr>
        <w:t xml:space="preserve"> </w:t>
      </w:r>
      <w:r w:rsidRPr="00A35E28">
        <w:rPr>
          <w:rFonts w:ascii="Arial" w:hAnsi="Arial" w:cs="Arial"/>
          <w:color w:val="000000"/>
          <w:sz w:val="22"/>
          <w:szCs w:val="22"/>
        </w:rPr>
        <w:t>j</w:t>
      </w:r>
      <w:r w:rsidRPr="00A35E28">
        <w:rPr>
          <w:rFonts w:ascii="Arial" w:hAnsi="Arial" w:cs="Arial"/>
          <w:color w:val="000000"/>
          <w:spacing w:val="-1"/>
          <w:sz w:val="22"/>
          <w:szCs w:val="22"/>
        </w:rPr>
        <w:t>e</w:t>
      </w:r>
      <w:r w:rsidRPr="00A35E28">
        <w:rPr>
          <w:rFonts w:ascii="Arial" w:hAnsi="Arial" w:cs="Arial"/>
          <w:color w:val="000000"/>
          <w:sz w:val="22"/>
          <w:szCs w:val="22"/>
        </w:rPr>
        <w:t>n</w:t>
      </w:r>
      <w:r w:rsidRPr="00A35E28">
        <w:rPr>
          <w:rFonts w:ascii="Arial" w:hAnsi="Arial" w:cs="Arial"/>
          <w:color w:val="000000"/>
          <w:spacing w:val="8"/>
          <w:sz w:val="22"/>
          <w:szCs w:val="22"/>
        </w:rPr>
        <w:t xml:space="preserve"> </w:t>
      </w:r>
      <w:r w:rsidRPr="00A35E28">
        <w:rPr>
          <w:rFonts w:ascii="Arial" w:hAnsi="Arial" w:cs="Arial"/>
          <w:color w:val="000000"/>
          <w:sz w:val="22"/>
          <w:szCs w:val="22"/>
        </w:rPr>
        <w:t>„</w:t>
      </w:r>
      <w:r w:rsidRPr="00A35E28">
        <w:rPr>
          <w:rFonts w:ascii="Arial" w:hAnsi="Arial" w:cs="Arial"/>
          <w:color w:val="000000"/>
          <w:spacing w:val="1"/>
          <w:sz w:val="22"/>
          <w:szCs w:val="22"/>
        </w:rPr>
        <w:t>b</w:t>
      </w:r>
      <w:r w:rsidRPr="00A35E28">
        <w:rPr>
          <w:rFonts w:ascii="Arial" w:hAnsi="Arial" w:cs="Arial"/>
          <w:color w:val="000000"/>
          <w:sz w:val="22"/>
          <w:szCs w:val="22"/>
        </w:rPr>
        <w:t>ě</w:t>
      </w:r>
      <w:r w:rsidRPr="00A35E28">
        <w:rPr>
          <w:rFonts w:ascii="Arial" w:hAnsi="Arial" w:cs="Arial"/>
          <w:color w:val="000000"/>
          <w:spacing w:val="1"/>
          <w:sz w:val="22"/>
          <w:szCs w:val="22"/>
        </w:rPr>
        <w:t>ž</w:t>
      </w:r>
      <w:r w:rsidRPr="00A35E28">
        <w:rPr>
          <w:rFonts w:ascii="Arial" w:hAnsi="Arial" w:cs="Arial"/>
          <w:color w:val="000000"/>
          <w:spacing w:val="-1"/>
          <w:sz w:val="22"/>
          <w:szCs w:val="22"/>
        </w:rPr>
        <w:t xml:space="preserve">né </w:t>
      </w:r>
      <w:r w:rsidRPr="00A35E28">
        <w:rPr>
          <w:rFonts w:ascii="Arial" w:hAnsi="Arial" w:cs="Arial"/>
          <w:color w:val="000000"/>
          <w:sz w:val="22"/>
          <w:szCs w:val="22"/>
        </w:rPr>
        <w:t>náklady“),</w:t>
      </w:r>
      <w:r w:rsidRPr="00A35E28">
        <w:rPr>
          <w:rFonts w:ascii="Arial" w:hAnsi="Arial" w:cs="Arial"/>
          <w:color w:val="000000"/>
          <w:spacing w:val="-10"/>
          <w:sz w:val="22"/>
          <w:szCs w:val="22"/>
        </w:rPr>
        <w:t xml:space="preserve"> </w:t>
      </w:r>
      <w:r w:rsidRPr="00A35E28">
        <w:rPr>
          <w:rFonts w:ascii="Arial" w:hAnsi="Arial" w:cs="Arial"/>
          <w:color w:val="000000"/>
          <w:sz w:val="22"/>
          <w:szCs w:val="22"/>
        </w:rPr>
        <w:t>potom</w:t>
      </w:r>
      <w:r w:rsidRPr="00A35E28">
        <w:rPr>
          <w:rFonts w:ascii="Arial" w:hAnsi="Arial" w:cs="Arial"/>
          <w:color w:val="000000"/>
          <w:spacing w:val="-6"/>
          <w:sz w:val="22"/>
          <w:szCs w:val="22"/>
        </w:rPr>
        <w:t xml:space="preserve"> </w:t>
      </w:r>
      <w:r w:rsidRPr="00A35E28">
        <w:rPr>
          <w:rFonts w:ascii="Arial" w:hAnsi="Arial" w:cs="Arial"/>
          <w:color w:val="000000"/>
          <w:sz w:val="22"/>
          <w:szCs w:val="22"/>
        </w:rPr>
        <w:t>jsou</w:t>
      </w:r>
      <w:r w:rsidRPr="00A35E28">
        <w:rPr>
          <w:rFonts w:ascii="Arial" w:hAnsi="Arial" w:cs="Arial"/>
          <w:color w:val="000000"/>
          <w:spacing w:val="-4"/>
          <w:sz w:val="22"/>
          <w:szCs w:val="22"/>
        </w:rPr>
        <w:t xml:space="preserve"> </w:t>
      </w:r>
      <w:r w:rsidRPr="00A35E28">
        <w:rPr>
          <w:rFonts w:ascii="Arial" w:hAnsi="Arial" w:cs="Arial"/>
          <w:color w:val="000000"/>
          <w:sz w:val="22"/>
          <w:szCs w:val="22"/>
        </w:rPr>
        <w:t>náklady</w:t>
      </w:r>
      <w:r w:rsidRPr="00A35E28">
        <w:rPr>
          <w:rFonts w:ascii="Arial" w:hAnsi="Arial" w:cs="Arial"/>
          <w:color w:val="000000"/>
          <w:spacing w:val="-8"/>
          <w:sz w:val="22"/>
          <w:szCs w:val="22"/>
        </w:rPr>
        <w:t xml:space="preserve"> </w:t>
      </w:r>
      <w:r w:rsidRPr="00A35E28">
        <w:rPr>
          <w:rFonts w:ascii="Arial" w:hAnsi="Arial" w:cs="Arial"/>
          <w:color w:val="000000"/>
          <w:sz w:val="22"/>
          <w:szCs w:val="22"/>
        </w:rPr>
        <w:t>vedeny</w:t>
      </w:r>
      <w:r w:rsidRPr="00A35E28">
        <w:rPr>
          <w:rFonts w:ascii="Arial" w:hAnsi="Arial" w:cs="Arial"/>
          <w:color w:val="000000"/>
          <w:spacing w:val="-7"/>
          <w:sz w:val="22"/>
          <w:szCs w:val="22"/>
        </w:rPr>
        <w:t xml:space="preserve"> </w:t>
      </w:r>
      <w:r w:rsidRPr="00A35E28">
        <w:rPr>
          <w:rFonts w:ascii="Arial" w:hAnsi="Arial" w:cs="Arial"/>
          <w:color w:val="000000"/>
          <w:sz w:val="22"/>
          <w:szCs w:val="22"/>
        </w:rPr>
        <w:t>so</w:t>
      </w:r>
      <w:r w:rsidRPr="00A35E28">
        <w:rPr>
          <w:rFonts w:ascii="Arial" w:hAnsi="Arial" w:cs="Arial"/>
          <w:color w:val="000000"/>
          <w:spacing w:val="1"/>
          <w:sz w:val="22"/>
          <w:szCs w:val="22"/>
        </w:rPr>
        <w:t>uč</w:t>
      </w:r>
      <w:r w:rsidRPr="00A35E28">
        <w:rPr>
          <w:rFonts w:ascii="Arial" w:hAnsi="Arial" w:cs="Arial"/>
          <w:color w:val="000000"/>
          <w:sz w:val="22"/>
          <w:szCs w:val="22"/>
        </w:rPr>
        <w:t>as</w:t>
      </w:r>
      <w:r w:rsidRPr="00A35E28">
        <w:rPr>
          <w:rFonts w:ascii="Arial" w:hAnsi="Arial" w:cs="Arial"/>
          <w:color w:val="000000"/>
          <w:spacing w:val="-1"/>
          <w:sz w:val="22"/>
          <w:szCs w:val="22"/>
        </w:rPr>
        <w:t>n</w:t>
      </w:r>
      <w:r w:rsidRPr="00A35E28">
        <w:rPr>
          <w:rFonts w:ascii="Arial" w:hAnsi="Arial" w:cs="Arial"/>
          <w:color w:val="000000"/>
          <w:sz w:val="22"/>
          <w:szCs w:val="22"/>
        </w:rPr>
        <w:t>ě</w:t>
      </w:r>
      <w:r w:rsidRPr="00A35E28">
        <w:rPr>
          <w:rFonts w:ascii="Arial" w:hAnsi="Arial" w:cs="Arial"/>
          <w:color w:val="000000"/>
          <w:spacing w:val="-9"/>
          <w:sz w:val="22"/>
          <w:szCs w:val="22"/>
        </w:rPr>
        <w:t xml:space="preserve"> </w:t>
      </w:r>
      <w:r w:rsidRPr="00A35E28">
        <w:rPr>
          <w:rFonts w:ascii="Arial" w:hAnsi="Arial" w:cs="Arial"/>
          <w:color w:val="000000"/>
          <w:sz w:val="22"/>
          <w:szCs w:val="22"/>
        </w:rPr>
        <w:t>oběma</w:t>
      </w:r>
      <w:r w:rsidRPr="00A35E28">
        <w:rPr>
          <w:rFonts w:ascii="Arial" w:hAnsi="Arial" w:cs="Arial"/>
          <w:color w:val="000000"/>
          <w:spacing w:val="-7"/>
          <w:sz w:val="22"/>
          <w:szCs w:val="22"/>
        </w:rPr>
        <w:t xml:space="preserve"> </w:t>
      </w:r>
      <w:r w:rsidRPr="00A35E28">
        <w:rPr>
          <w:rFonts w:ascii="Arial" w:hAnsi="Arial" w:cs="Arial"/>
          <w:color w:val="000000"/>
          <w:spacing w:val="1"/>
          <w:sz w:val="22"/>
          <w:szCs w:val="22"/>
        </w:rPr>
        <w:t>z</w:t>
      </w:r>
      <w:r w:rsidRPr="00A35E28">
        <w:rPr>
          <w:rFonts w:ascii="Arial" w:hAnsi="Arial" w:cs="Arial"/>
          <w:color w:val="000000"/>
          <w:sz w:val="22"/>
          <w:szCs w:val="22"/>
        </w:rPr>
        <w:t>působy</w:t>
      </w:r>
      <w:r w:rsidR="0047095F">
        <w:rPr>
          <w:rFonts w:ascii="Arial" w:hAnsi="Arial" w:cs="Arial"/>
          <w:color w:val="000000"/>
          <w:spacing w:val="-8"/>
          <w:sz w:val="22"/>
          <w:szCs w:val="22"/>
        </w:rPr>
        <w:t xml:space="preserve"> podle </w:t>
      </w:r>
      <w:r w:rsidRPr="00A35E28">
        <w:rPr>
          <w:rFonts w:ascii="Arial" w:hAnsi="Arial" w:cs="Arial"/>
          <w:color w:val="000000"/>
          <w:sz w:val="22"/>
          <w:szCs w:val="22"/>
        </w:rPr>
        <w:t>odstav</w:t>
      </w:r>
      <w:r w:rsidRPr="00A35E28">
        <w:rPr>
          <w:rFonts w:ascii="Arial" w:hAnsi="Arial" w:cs="Arial"/>
          <w:color w:val="000000"/>
          <w:spacing w:val="1"/>
          <w:sz w:val="22"/>
          <w:szCs w:val="22"/>
        </w:rPr>
        <w:t>c</w:t>
      </w:r>
      <w:r w:rsidRPr="00A35E28">
        <w:rPr>
          <w:rFonts w:ascii="Arial" w:hAnsi="Arial" w:cs="Arial"/>
          <w:color w:val="000000"/>
          <w:sz w:val="22"/>
          <w:szCs w:val="22"/>
        </w:rPr>
        <w:t>ů</w:t>
      </w:r>
      <w:r w:rsidRPr="00A35E28">
        <w:rPr>
          <w:rFonts w:ascii="Arial" w:hAnsi="Arial" w:cs="Arial"/>
          <w:color w:val="000000"/>
          <w:spacing w:val="-9"/>
          <w:sz w:val="22"/>
          <w:szCs w:val="22"/>
        </w:rPr>
        <w:t xml:space="preserve"> </w:t>
      </w:r>
      <w:r w:rsidRPr="00A35E28">
        <w:rPr>
          <w:rFonts w:ascii="Arial" w:hAnsi="Arial" w:cs="Arial"/>
          <w:color w:val="000000"/>
          <w:sz w:val="22"/>
          <w:szCs w:val="22"/>
        </w:rPr>
        <w:t>1</w:t>
      </w:r>
      <w:r w:rsidRPr="00A35E28">
        <w:rPr>
          <w:rFonts w:ascii="Arial" w:hAnsi="Arial" w:cs="Arial"/>
          <w:color w:val="000000"/>
          <w:spacing w:val="-1"/>
          <w:sz w:val="22"/>
          <w:szCs w:val="22"/>
        </w:rPr>
        <w:t xml:space="preserve"> a</w:t>
      </w:r>
      <w:r w:rsidR="00C90379" w:rsidRPr="00A35E28">
        <w:rPr>
          <w:rFonts w:ascii="Arial" w:hAnsi="Arial" w:cs="Arial"/>
          <w:color w:val="000000"/>
          <w:spacing w:val="-1"/>
          <w:sz w:val="22"/>
          <w:szCs w:val="22"/>
        </w:rPr>
        <w:t xml:space="preserve"> </w:t>
      </w:r>
      <w:r w:rsidRPr="00A35E28">
        <w:rPr>
          <w:rFonts w:ascii="Arial" w:hAnsi="Arial" w:cs="Arial"/>
          <w:color w:val="000000"/>
          <w:sz w:val="22"/>
          <w:szCs w:val="22"/>
        </w:rPr>
        <w:t>3.</w:t>
      </w:r>
    </w:p>
    <w:p w:rsidR="004A6A67" w:rsidRPr="00A35E28" w:rsidRDefault="004A6A67" w:rsidP="00F13ABF">
      <w:pPr>
        <w:widowControl w:val="0"/>
        <w:tabs>
          <w:tab w:val="left" w:pos="1276"/>
        </w:tabs>
        <w:autoSpaceDE w:val="0"/>
        <w:autoSpaceDN w:val="0"/>
        <w:adjustRightInd w:val="0"/>
        <w:spacing w:before="120" w:after="120"/>
        <w:ind w:firstLine="828"/>
        <w:jc w:val="both"/>
        <w:rPr>
          <w:rFonts w:ascii="Arial" w:hAnsi="Arial" w:cs="Arial"/>
          <w:color w:val="000000"/>
          <w:sz w:val="22"/>
          <w:szCs w:val="22"/>
        </w:rPr>
      </w:pPr>
      <w:r w:rsidRPr="00A35E28">
        <w:rPr>
          <w:rFonts w:ascii="Arial" w:hAnsi="Arial" w:cs="Arial"/>
          <w:color w:val="000000"/>
          <w:sz w:val="22"/>
          <w:szCs w:val="22"/>
        </w:rPr>
        <w:t>(3)</w:t>
      </w:r>
      <w:r w:rsidRPr="00A35E28">
        <w:rPr>
          <w:rFonts w:ascii="Arial" w:hAnsi="Arial" w:cs="Arial"/>
          <w:color w:val="000000"/>
          <w:sz w:val="22"/>
          <w:szCs w:val="22"/>
        </w:rPr>
        <w:tab/>
        <w:t>Nákladové</w:t>
      </w:r>
      <w:r w:rsidRPr="00A35E28">
        <w:rPr>
          <w:rFonts w:ascii="Arial" w:hAnsi="Arial" w:cs="Arial"/>
          <w:color w:val="000000"/>
          <w:spacing w:val="11"/>
          <w:sz w:val="22"/>
          <w:szCs w:val="22"/>
        </w:rPr>
        <w:t xml:space="preserve"> </w:t>
      </w:r>
      <w:r w:rsidRPr="00A35E28">
        <w:rPr>
          <w:rFonts w:ascii="Arial" w:hAnsi="Arial" w:cs="Arial"/>
          <w:color w:val="000000"/>
          <w:spacing w:val="1"/>
          <w:sz w:val="22"/>
          <w:szCs w:val="22"/>
        </w:rPr>
        <w:t>úč</w:t>
      </w:r>
      <w:r w:rsidRPr="00A35E28">
        <w:rPr>
          <w:rFonts w:ascii="Arial" w:hAnsi="Arial" w:cs="Arial"/>
          <w:color w:val="000000"/>
          <w:sz w:val="22"/>
          <w:szCs w:val="22"/>
        </w:rPr>
        <w:t>etnictví</w:t>
      </w:r>
      <w:r w:rsidRPr="00A35E28">
        <w:rPr>
          <w:rFonts w:ascii="Arial" w:hAnsi="Arial" w:cs="Arial"/>
          <w:color w:val="000000"/>
          <w:spacing w:val="11"/>
          <w:sz w:val="22"/>
          <w:szCs w:val="22"/>
        </w:rPr>
        <w:t xml:space="preserve"> a</w:t>
      </w:r>
      <w:r w:rsidR="00C90379" w:rsidRPr="00A35E28">
        <w:rPr>
          <w:rFonts w:ascii="Arial" w:hAnsi="Arial" w:cs="Arial"/>
          <w:color w:val="000000"/>
          <w:spacing w:val="11"/>
          <w:sz w:val="22"/>
          <w:szCs w:val="22"/>
        </w:rPr>
        <w:t xml:space="preserve"> </w:t>
      </w:r>
      <w:r w:rsidRPr="00A35E28">
        <w:rPr>
          <w:rFonts w:ascii="Arial" w:hAnsi="Arial" w:cs="Arial"/>
          <w:color w:val="000000"/>
          <w:sz w:val="22"/>
          <w:szCs w:val="22"/>
        </w:rPr>
        <w:t>oddělená</w:t>
      </w:r>
      <w:r w:rsidRPr="00A35E28">
        <w:rPr>
          <w:rFonts w:ascii="Arial" w:hAnsi="Arial" w:cs="Arial"/>
          <w:color w:val="000000"/>
          <w:spacing w:val="11"/>
          <w:sz w:val="22"/>
          <w:szCs w:val="22"/>
        </w:rPr>
        <w:t xml:space="preserve"> </w:t>
      </w:r>
      <w:r w:rsidRPr="00A35E28">
        <w:rPr>
          <w:rFonts w:ascii="Arial" w:hAnsi="Arial" w:cs="Arial"/>
          <w:color w:val="000000"/>
          <w:sz w:val="22"/>
          <w:szCs w:val="22"/>
        </w:rPr>
        <w:t>evidence</w:t>
      </w:r>
      <w:r w:rsidRPr="00A35E28">
        <w:rPr>
          <w:rFonts w:ascii="Arial" w:hAnsi="Arial" w:cs="Arial"/>
          <w:color w:val="000000"/>
          <w:spacing w:val="11"/>
          <w:sz w:val="22"/>
          <w:szCs w:val="22"/>
        </w:rPr>
        <w:t xml:space="preserve"> </w:t>
      </w:r>
      <w:r w:rsidRPr="00A35E28">
        <w:rPr>
          <w:rFonts w:ascii="Arial" w:hAnsi="Arial" w:cs="Arial"/>
          <w:color w:val="000000"/>
          <w:spacing w:val="1"/>
          <w:sz w:val="22"/>
          <w:szCs w:val="22"/>
        </w:rPr>
        <w:t>p</w:t>
      </w:r>
      <w:r w:rsidRPr="00A35E28">
        <w:rPr>
          <w:rFonts w:ascii="Arial" w:hAnsi="Arial" w:cs="Arial"/>
          <w:color w:val="000000"/>
          <w:sz w:val="22"/>
          <w:szCs w:val="22"/>
        </w:rPr>
        <w:t>římých</w:t>
      </w:r>
      <w:r w:rsidRPr="00A35E28">
        <w:rPr>
          <w:rFonts w:ascii="Arial" w:hAnsi="Arial" w:cs="Arial"/>
          <w:color w:val="000000"/>
          <w:spacing w:val="12"/>
          <w:sz w:val="22"/>
          <w:szCs w:val="22"/>
        </w:rPr>
        <w:t xml:space="preserve"> </w:t>
      </w:r>
      <w:r w:rsidRPr="00A35E28">
        <w:rPr>
          <w:rFonts w:ascii="Arial" w:hAnsi="Arial" w:cs="Arial"/>
          <w:color w:val="000000"/>
          <w:sz w:val="22"/>
          <w:szCs w:val="22"/>
        </w:rPr>
        <w:t>náklad</w:t>
      </w:r>
      <w:r w:rsidRPr="00A35E28">
        <w:rPr>
          <w:rFonts w:ascii="Arial" w:hAnsi="Arial" w:cs="Arial"/>
          <w:color w:val="000000"/>
          <w:spacing w:val="-1"/>
          <w:sz w:val="22"/>
          <w:szCs w:val="22"/>
        </w:rPr>
        <w:t>ů</w:t>
      </w:r>
      <w:r w:rsidRPr="00A35E28">
        <w:rPr>
          <w:rFonts w:ascii="Arial" w:hAnsi="Arial" w:cs="Arial"/>
          <w:color w:val="000000"/>
          <w:sz w:val="22"/>
          <w:szCs w:val="22"/>
        </w:rPr>
        <w:t>,</w:t>
      </w:r>
      <w:r w:rsidRPr="00A35E28">
        <w:rPr>
          <w:rFonts w:ascii="Arial" w:hAnsi="Arial" w:cs="Arial"/>
          <w:color w:val="000000"/>
          <w:spacing w:val="12"/>
          <w:sz w:val="22"/>
          <w:szCs w:val="22"/>
        </w:rPr>
        <w:t xml:space="preserve"> </w:t>
      </w:r>
      <w:r w:rsidRPr="00A35E28">
        <w:rPr>
          <w:rFonts w:ascii="Arial" w:hAnsi="Arial" w:cs="Arial"/>
          <w:color w:val="000000"/>
          <w:sz w:val="22"/>
          <w:szCs w:val="22"/>
        </w:rPr>
        <w:t>nepřímých</w:t>
      </w:r>
      <w:r w:rsidRPr="00A35E28">
        <w:rPr>
          <w:rFonts w:ascii="Arial" w:hAnsi="Arial" w:cs="Arial"/>
          <w:color w:val="000000"/>
          <w:spacing w:val="10"/>
          <w:sz w:val="22"/>
          <w:szCs w:val="22"/>
        </w:rPr>
        <w:t xml:space="preserve"> </w:t>
      </w:r>
      <w:r w:rsidRPr="00A35E28">
        <w:rPr>
          <w:rFonts w:ascii="Arial" w:hAnsi="Arial" w:cs="Arial"/>
          <w:color w:val="000000"/>
          <w:sz w:val="22"/>
          <w:szCs w:val="22"/>
        </w:rPr>
        <w:t>nákladů a</w:t>
      </w:r>
      <w:r w:rsidR="00C90379" w:rsidRPr="00A35E28">
        <w:rPr>
          <w:rFonts w:ascii="Arial" w:hAnsi="Arial" w:cs="Arial"/>
          <w:color w:val="000000"/>
          <w:sz w:val="22"/>
          <w:szCs w:val="22"/>
        </w:rPr>
        <w:t xml:space="preserve"> </w:t>
      </w:r>
      <w:r w:rsidRPr="00A35E28">
        <w:rPr>
          <w:rFonts w:ascii="Arial" w:hAnsi="Arial" w:cs="Arial"/>
          <w:color w:val="000000"/>
          <w:sz w:val="22"/>
          <w:szCs w:val="22"/>
        </w:rPr>
        <w:t>spole</w:t>
      </w:r>
      <w:r w:rsidRPr="00A35E28">
        <w:rPr>
          <w:rFonts w:ascii="Arial" w:hAnsi="Arial" w:cs="Arial"/>
          <w:color w:val="000000"/>
          <w:spacing w:val="1"/>
          <w:sz w:val="22"/>
          <w:szCs w:val="22"/>
        </w:rPr>
        <w:t>č</w:t>
      </w:r>
      <w:r w:rsidRPr="00A35E28">
        <w:rPr>
          <w:rFonts w:ascii="Arial" w:hAnsi="Arial" w:cs="Arial"/>
          <w:color w:val="000000"/>
          <w:spacing w:val="-1"/>
          <w:sz w:val="22"/>
          <w:szCs w:val="22"/>
        </w:rPr>
        <w:t>n</w:t>
      </w:r>
      <w:r w:rsidRPr="00A35E28">
        <w:rPr>
          <w:rFonts w:ascii="Arial" w:hAnsi="Arial" w:cs="Arial"/>
          <w:color w:val="000000"/>
          <w:spacing w:val="1"/>
          <w:sz w:val="22"/>
          <w:szCs w:val="22"/>
        </w:rPr>
        <w:t>ý</w:t>
      </w:r>
      <w:r w:rsidRPr="00A35E28">
        <w:rPr>
          <w:rFonts w:ascii="Arial" w:hAnsi="Arial" w:cs="Arial"/>
          <w:color w:val="000000"/>
          <w:sz w:val="22"/>
          <w:szCs w:val="22"/>
        </w:rPr>
        <w:t>ch</w:t>
      </w:r>
      <w:r w:rsidRPr="00A35E28">
        <w:rPr>
          <w:rFonts w:ascii="Arial" w:hAnsi="Arial" w:cs="Arial"/>
          <w:color w:val="000000"/>
          <w:spacing w:val="21"/>
          <w:sz w:val="22"/>
          <w:szCs w:val="22"/>
        </w:rPr>
        <w:t xml:space="preserve"> </w:t>
      </w:r>
      <w:r w:rsidRPr="00A35E28">
        <w:rPr>
          <w:rFonts w:ascii="Arial" w:hAnsi="Arial" w:cs="Arial"/>
          <w:color w:val="000000"/>
          <w:sz w:val="22"/>
          <w:szCs w:val="22"/>
        </w:rPr>
        <w:t>nákladů</w:t>
      </w:r>
      <w:r w:rsidR="0047095F">
        <w:rPr>
          <w:rFonts w:ascii="Arial" w:hAnsi="Arial" w:cs="Arial"/>
          <w:color w:val="000000"/>
          <w:spacing w:val="24"/>
          <w:sz w:val="22"/>
          <w:szCs w:val="22"/>
        </w:rPr>
        <w:t xml:space="preserve"> v </w:t>
      </w:r>
      <w:r w:rsidRPr="00A35E28">
        <w:rPr>
          <w:rFonts w:ascii="Arial" w:hAnsi="Arial" w:cs="Arial"/>
          <w:color w:val="000000"/>
          <w:sz w:val="22"/>
          <w:szCs w:val="22"/>
        </w:rPr>
        <w:t>běžných</w:t>
      </w:r>
      <w:r w:rsidRPr="006D177F">
        <w:rPr>
          <w:rFonts w:ascii="Arial" w:hAnsi="Arial" w:cs="Arial"/>
          <w:color w:val="000000"/>
          <w:sz w:val="22"/>
          <w:szCs w:val="22"/>
        </w:rPr>
        <w:t xml:space="preserve"> </w:t>
      </w:r>
      <w:r w:rsidRPr="00A35E28">
        <w:rPr>
          <w:rFonts w:ascii="Arial" w:hAnsi="Arial" w:cs="Arial"/>
          <w:color w:val="000000"/>
          <w:sz w:val="22"/>
          <w:szCs w:val="22"/>
        </w:rPr>
        <w:t>c</w:t>
      </w:r>
      <w:r w:rsidRPr="006D177F">
        <w:rPr>
          <w:rFonts w:ascii="Arial" w:hAnsi="Arial" w:cs="Arial"/>
          <w:color w:val="000000"/>
          <w:sz w:val="22"/>
          <w:szCs w:val="22"/>
        </w:rPr>
        <w:t>e</w:t>
      </w:r>
      <w:r w:rsidRPr="00A35E28">
        <w:rPr>
          <w:rFonts w:ascii="Arial" w:hAnsi="Arial" w:cs="Arial"/>
          <w:color w:val="000000"/>
          <w:sz w:val="22"/>
          <w:szCs w:val="22"/>
        </w:rPr>
        <w:t>nách</w:t>
      </w:r>
      <w:r w:rsidRPr="006D177F">
        <w:rPr>
          <w:rFonts w:ascii="Arial" w:hAnsi="Arial" w:cs="Arial"/>
          <w:color w:val="000000"/>
          <w:sz w:val="22"/>
          <w:szCs w:val="22"/>
        </w:rPr>
        <w:t xml:space="preserve"> </w:t>
      </w:r>
      <w:r w:rsidRPr="00A35E28">
        <w:rPr>
          <w:rFonts w:ascii="Arial" w:hAnsi="Arial" w:cs="Arial"/>
          <w:color w:val="000000"/>
          <w:sz w:val="22"/>
          <w:szCs w:val="22"/>
        </w:rPr>
        <w:t>se</w:t>
      </w:r>
      <w:r w:rsidRPr="006D177F">
        <w:rPr>
          <w:rFonts w:ascii="Arial" w:hAnsi="Arial" w:cs="Arial"/>
          <w:color w:val="000000"/>
          <w:sz w:val="22"/>
          <w:szCs w:val="22"/>
        </w:rPr>
        <w:t xml:space="preserve"> </w:t>
      </w:r>
      <w:r w:rsidRPr="00A35E28">
        <w:rPr>
          <w:rFonts w:ascii="Arial" w:hAnsi="Arial" w:cs="Arial"/>
          <w:color w:val="000000"/>
          <w:sz w:val="22"/>
          <w:szCs w:val="22"/>
        </w:rPr>
        <w:t>vede</w:t>
      </w:r>
      <w:r w:rsidR="0047095F" w:rsidRPr="006D177F">
        <w:rPr>
          <w:rFonts w:ascii="Arial" w:hAnsi="Arial" w:cs="Arial"/>
          <w:color w:val="000000"/>
          <w:sz w:val="22"/>
          <w:szCs w:val="22"/>
        </w:rPr>
        <w:t xml:space="preserve"> na </w:t>
      </w:r>
      <w:r w:rsidRPr="00A35E28">
        <w:rPr>
          <w:rFonts w:ascii="Arial" w:hAnsi="Arial" w:cs="Arial"/>
          <w:color w:val="000000"/>
          <w:sz w:val="22"/>
          <w:szCs w:val="22"/>
        </w:rPr>
        <w:t>zákl</w:t>
      </w:r>
      <w:r w:rsidRPr="006D177F">
        <w:rPr>
          <w:rFonts w:ascii="Arial" w:hAnsi="Arial" w:cs="Arial"/>
          <w:color w:val="000000"/>
          <w:sz w:val="22"/>
          <w:szCs w:val="22"/>
        </w:rPr>
        <w:t>ad</w:t>
      </w:r>
      <w:r w:rsidRPr="00A35E28">
        <w:rPr>
          <w:rFonts w:ascii="Arial" w:hAnsi="Arial" w:cs="Arial"/>
          <w:color w:val="000000"/>
          <w:sz w:val="22"/>
          <w:szCs w:val="22"/>
        </w:rPr>
        <w:t>ě</w:t>
      </w:r>
      <w:r w:rsidRPr="006D177F">
        <w:rPr>
          <w:rFonts w:ascii="Arial" w:hAnsi="Arial" w:cs="Arial"/>
          <w:color w:val="000000"/>
          <w:sz w:val="22"/>
          <w:szCs w:val="22"/>
        </w:rPr>
        <w:t xml:space="preserve"> </w:t>
      </w:r>
      <w:r w:rsidRPr="00A35E28">
        <w:rPr>
          <w:rFonts w:ascii="Arial" w:hAnsi="Arial" w:cs="Arial"/>
          <w:color w:val="000000"/>
          <w:sz w:val="22"/>
          <w:szCs w:val="22"/>
        </w:rPr>
        <w:t>metody</w:t>
      </w:r>
      <w:r w:rsidRPr="006D177F">
        <w:rPr>
          <w:rFonts w:ascii="Arial" w:hAnsi="Arial" w:cs="Arial"/>
          <w:color w:val="000000"/>
          <w:sz w:val="22"/>
          <w:szCs w:val="22"/>
        </w:rPr>
        <w:t xml:space="preserve"> </w:t>
      </w:r>
      <w:r w:rsidRPr="00A35E28">
        <w:rPr>
          <w:rFonts w:ascii="Arial" w:hAnsi="Arial" w:cs="Arial"/>
          <w:color w:val="000000"/>
          <w:sz w:val="22"/>
          <w:szCs w:val="22"/>
        </w:rPr>
        <w:t>CC</w:t>
      </w:r>
      <w:r w:rsidRPr="006D177F">
        <w:rPr>
          <w:rFonts w:ascii="Arial" w:hAnsi="Arial" w:cs="Arial"/>
          <w:color w:val="000000"/>
          <w:sz w:val="22"/>
          <w:szCs w:val="22"/>
        </w:rPr>
        <w:t>A</w:t>
      </w:r>
      <w:r w:rsidRPr="00A35E28">
        <w:rPr>
          <w:rFonts w:ascii="Arial" w:hAnsi="Arial" w:cs="Arial"/>
          <w:color w:val="000000"/>
          <w:spacing w:val="27"/>
          <w:sz w:val="22"/>
          <w:szCs w:val="22"/>
        </w:rPr>
        <w:t xml:space="preserve"> </w:t>
      </w:r>
      <w:r w:rsidRPr="00A35E28">
        <w:rPr>
          <w:rFonts w:ascii="Arial" w:hAnsi="Arial" w:cs="Arial"/>
          <w:color w:val="000000"/>
          <w:sz w:val="22"/>
          <w:szCs w:val="22"/>
        </w:rPr>
        <w:t>zpravidla</w:t>
      </w:r>
      <w:r w:rsidRPr="006D177F">
        <w:rPr>
          <w:rFonts w:ascii="Arial" w:hAnsi="Arial" w:cs="Arial"/>
          <w:color w:val="000000"/>
          <w:sz w:val="22"/>
          <w:szCs w:val="22"/>
        </w:rPr>
        <w:t xml:space="preserve"> pro</w:t>
      </w:r>
      <w:r w:rsidR="00C90379" w:rsidRPr="006D177F">
        <w:rPr>
          <w:rFonts w:ascii="Arial" w:hAnsi="Arial" w:cs="Arial"/>
          <w:color w:val="000000"/>
          <w:sz w:val="22"/>
          <w:szCs w:val="22"/>
        </w:rPr>
        <w:t xml:space="preserve"> </w:t>
      </w:r>
      <w:r w:rsidRPr="00A35E28">
        <w:rPr>
          <w:rFonts w:ascii="Arial" w:hAnsi="Arial" w:cs="Arial"/>
          <w:color w:val="000000"/>
          <w:sz w:val="22"/>
          <w:szCs w:val="22"/>
        </w:rPr>
        <w:t>ú</w:t>
      </w:r>
      <w:r w:rsidRPr="006D177F">
        <w:rPr>
          <w:rFonts w:ascii="Arial" w:hAnsi="Arial" w:cs="Arial"/>
          <w:color w:val="000000"/>
          <w:sz w:val="22"/>
          <w:szCs w:val="22"/>
        </w:rPr>
        <w:t>č</w:t>
      </w:r>
      <w:r w:rsidRPr="00A35E28">
        <w:rPr>
          <w:rFonts w:ascii="Arial" w:hAnsi="Arial" w:cs="Arial"/>
          <w:color w:val="000000"/>
          <w:sz w:val="22"/>
          <w:szCs w:val="22"/>
        </w:rPr>
        <w:t>ely</w:t>
      </w:r>
      <w:r w:rsidRPr="006D177F">
        <w:rPr>
          <w:rFonts w:ascii="Arial" w:hAnsi="Arial" w:cs="Arial"/>
          <w:color w:val="000000"/>
          <w:sz w:val="22"/>
          <w:szCs w:val="22"/>
        </w:rPr>
        <w:t xml:space="preserve"> </w:t>
      </w:r>
      <w:r w:rsidRPr="00A35E28">
        <w:rPr>
          <w:rFonts w:ascii="Arial" w:hAnsi="Arial" w:cs="Arial"/>
          <w:color w:val="000000"/>
          <w:sz w:val="22"/>
          <w:szCs w:val="22"/>
        </w:rPr>
        <w:t>nákl</w:t>
      </w:r>
      <w:r w:rsidRPr="006D177F">
        <w:rPr>
          <w:rFonts w:ascii="Arial" w:hAnsi="Arial" w:cs="Arial"/>
          <w:color w:val="000000"/>
          <w:sz w:val="22"/>
          <w:szCs w:val="22"/>
        </w:rPr>
        <w:t>a</w:t>
      </w:r>
      <w:r w:rsidRPr="00A35E28">
        <w:rPr>
          <w:rFonts w:ascii="Arial" w:hAnsi="Arial" w:cs="Arial"/>
          <w:color w:val="000000"/>
          <w:sz w:val="22"/>
          <w:szCs w:val="22"/>
        </w:rPr>
        <w:t>dového</w:t>
      </w:r>
      <w:r w:rsidRPr="006D177F">
        <w:rPr>
          <w:rFonts w:ascii="Arial" w:hAnsi="Arial" w:cs="Arial"/>
          <w:color w:val="000000"/>
          <w:sz w:val="22"/>
          <w:szCs w:val="22"/>
        </w:rPr>
        <w:t xml:space="preserve"> </w:t>
      </w:r>
      <w:r w:rsidRPr="00A35E28">
        <w:rPr>
          <w:rFonts w:ascii="Arial" w:hAnsi="Arial" w:cs="Arial"/>
          <w:color w:val="000000"/>
          <w:sz w:val="22"/>
          <w:szCs w:val="22"/>
        </w:rPr>
        <w:t>mo</w:t>
      </w:r>
      <w:r w:rsidRPr="006D177F">
        <w:rPr>
          <w:rFonts w:ascii="Arial" w:hAnsi="Arial" w:cs="Arial"/>
          <w:color w:val="000000"/>
          <w:sz w:val="22"/>
          <w:szCs w:val="22"/>
        </w:rPr>
        <w:t>d</w:t>
      </w:r>
      <w:r w:rsidRPr="00A35E28">
        <w:rPr>
          <w:rFonts w:ascii="Arial" w:hAnsi="Arial" w:cs="Arial"/>
          <w:color w:val="000000"/>
          <w:sz w:val="22"/>
          <w:szCs w:val="22"/>
        </w:rPr>
        <w:t>elu</w:t>
      </w:r>
      <w:r w:rsidRPr="006D177F">
        <w:rPr>
          <w:rFonts w:ascii="Arial" w:hAnsi="Arial" w:cs="Arial"/>
          <w:color w:val="000000"/>
          <w:sz w:val="22"/>
          <w:szCs w:val="22"/>
        </w:rPr>
        <w:t xml:space="preserve"> </w:t>
      </w:r>
      <w:r w:rsidRPr="00A35E28">
        <w:rPr>
          <w:rFonts w:ascii="Arial" w:hAnsi="Arial" w:cs="Arial"/>
          <w:color w:val="000000"/>
          <w:sz w:val="22"/>
          <w:szCs w:val="22"/>
        </w:rPr>
        <w:t>LRIC.</w:t>
      </w:r>
      <w:r w:rsidR="0047095F">
        <w:rPr>
          <w:rFonts w:ascii="Arial" w:hAnsi="Arial" w:cs="Arial"/>
          <w:color w:val="000000"/>
          <w:sz w:val="22"/>
          <w:szCs w:val="22"/>
        </w:rPr>
        <w:t xml:space="preserve"> </w:t>
      </w:r>
      <w:r w:rsidR="006D177F">
        <w:rPr>
          <w:rFonts w:ascii="Arial" w:hAnsi="Arial" w:cs="Arial"/>
          <w:color w:val="000000"/>
          <w:sz w:val="22"/>
          <w:szCs w:val="22"/>
        </w:rPr>
        <w:t>P</w:t>
      </w:r>
      <w:r w:rsidR="0047095F">
        <w:rPr>
          <w:rFonts w:ascii="Arial" w:hAnsi="Arial" w:cs="Arial"/>
          <w:color w:val="000000"/>
          <w:sz w:val="22"/>
          <w:szCs w:val="22"/>
        </w:rPr>
        <w:t>ři </w:t>
      </w:r>
      <w:r w:rsidRPr="00A35E28">
        <w:rPr>
          <w:rFonts w:ascii="Arial" w:hAnsi="Arial" w:cs="Arial"/>
          <w:color w:val="000000"/>
          <w:sz w:val="22"/>
          <w:szCs w:val="22"/>
        </w:rPr>
        <w:t>použití</w:t>
      </w:r>
      <w:r w:rsidRPr="006D177F">
        <w:rPr>
          <w:rFonts w:ascii="Arial" w:hAnsi="Arial" w:cs="Arial"/>
          <w:color w:val="000000"/>
          <w:sz w:val="22"/>
          <w:szCs w:val="22"/>
        </w:rPr>
        <w:t xml:space="preserve"> </w:t>
      </w:r>
      <w:r w:rsidRPr="00A35E28">
        <w:rPr>
          <w:rFonts w:ascii="Arial" w:hAnsi="Arial" w:cs="Arial"/>
          <w:color w:val="000000"/>
          <w:sz w:val="22"/>
          <w:szCs w:val="22"/>
        </w:rPr>
        <w:t>této</w:t>
      </w:r>
      <w:r w:rsidRPr="006D177F">
        <w:rPr>
          <w:rFonts w:ascii="Arial" w:hAnsi="Arial" w:cs="Arial"/>
          <w:color w:val="000000"/>
          <w:sz w:val="22"/>
          <w:szCs w:val="22"/>
        </w:rPr>
        <w:t xml:space="preserve"> </w:t>
      </w:r>
      <w:r w:rsidRPr="00A35E28">
        <w:rPr>
          <w:rFonts w:ascii="Arial" w:hAnsi="Arial" w:cs="Arial"/>
          <w:color w:val="000000"/>
          <w:sz w:val="22"/>
          <w:szCs w:val="22"/>
        </w:rPr>
        <w:t>metody</w:t>
      </w:r>
      <w:r w:rsidRPr="006D177F">
        <w:rPr>
          <w:rFonts w:ascii="Arial" w:hAnsi="Arial" w:cs="Arial"/>
          <w:color w:val="000000"/>
          <w:sz w:val="22"/>
          <w:szCs w:val="22"/>
        </w:rPr>
        <w:t xml:space="preserve"> </w:t>
      </w:r>
      <w:r w:rsidRPr="00A35E28">
        <w:rPr>
          <w:rFonts w:ascii="Arial" w:hAnsi="Arial" w:cs="Arial"/>
          <w:color w:val="000000"/>
          <w:sz w:val="22"/>
          <w:szCs w:val="22"/>
        </w:rPr>
        <w:t>jsou</w:t>
      </w:r>
      <w:r w:rsidRPr="006D177F">
        <w:rPr>
          <w:rFonts w:ascii="Arial" w:hAnsi="Arial" w:cs="Arial"/>
          <w:color w:val="000000"/>
          <w:sz w:val="22"/>
          <w:szCs w:val="22"/>
        </w:rPr>
        <w:t xml:space="preserve"> </w:t>
      </w:r>
      <w:r w:rsidRPr="00A35E28">
        <w:rPr>
          <w:rFonts w:ascii="Arial" w:hAnsi="Arial" w:cs="Arial"/>
          <w:color w:val="000000"/>
          <w:sz w:val="22"/>
          <w:szCs w:val="22"/>
        </w:rPr>
        <w:t>odpisy z</w:t>
      </w:r>
      <w:r w:rsidRPr="006D177F">
        <w:rPr>
          <w:rFonts w:ascii="Arial" w:hAnsi="Arial" w:cs="Arial"/>
          <w:color w:val="000000"/>
          <w:sz w:val="22"/>
          <w:szCs w:val="22"/>
        </w:rPr>
        <w:t>a</w:t>
      </w:r>
      <w:r w:rsidRPr="00A35E28">
        <w:rPr>
          <w:rFonts w:ascii="Arial" w:hAnsi="Arial" w:cs="Arial"/>
          <w:color w:val="000000"/>
          <w:sz w:val="22"/>
          <w:szCs w:val="22"/>
        </w:rPr>
        <w:t>hrnuté</w:t>
      </w:r>
      <w:r w:rsidRPr="006D177F">
        <w:rPr>
          <w:rFonts w:ascii="Arial" w:hAnsi="Arial" w:cs="Arial"/>
          <w:color w:val="000000"/>
          <w:sz w:val="22"/>
          <w:szCs w:val="22"/>
        </w:rPr>
        <w:t xml:space="preserve"> do</w:t>
      </w:r>
      <w:r w:rsidR="00C90379" w:rsidRPr="006D177F">
        <w:rPr>
          <w:rFonts w:ascii="Arial" w:hAnsi="Arial" w:cs="Arial"/>
          <w:color w:val="000000"/>
          <w:sz w:val="22"/>
          <w:szCs w:val="22"/>
        </w:rPr>
        <w:t xml:space="preserve"> </w:t>
      </w:r>
      <w:r w:rsidRPr="00A35E28">
        <w:rPr>
          <w:rFonts w:ascii="Arial" w:hAnsi="Arial" w:cs="Arial"/>
          <w:color w:val="000000"/>
          <w:sz w:val="22"/>
          <w:szCs w:val="22"/>
        </w:rPr>
        <w:t>p</w:t>
      </w:r>
      <w:r w:rsidRPr="006D177F">
        <w:rPr>
          <w:rFonts w:ascii="Arial" w:hAnsi="Arial" w:cs="Arial"/>
          <w:color w:val="000000"/>
          <w:sz w:val="22"/>
          <w:szCs w:val="22"/>
        </w:rPr>
        <w:t>r</w:t>
      </w:r>
      <w:r w:rsidRPr="00A35E28">
        <w:rPr>
          <w:rFonts w:ascii="Arial" w:hAnsi="Arial" w:cs="Arial"/>
          <w:color w:val="000000"/>
          <w:sz w:val="22"/>
          <w:szCs w:val="22"/>
        </w:rPr>
        <w:t>ovozních nákladů</w:t>
      </w:r>
      <w:r w:rsidRPr="006D177F">
        <w:rPr>
          <w:rFonts w:ascii="Arial" w:hAnsi="Arial" w:cs="Arial"/>
          <w:color w:val="000000"/>
          <w:sz w:val="22"/>
          <w:szCs w:val="22"/>
        </w:rPr>
        <w:t xml:space="preserve"> </w:t>
      </w:r>
      <w:r w:rsidRPr="00A35E28">
        <w:rPr>
          <w:rFonts w:ascii="Arial" w:hAnsi="Arial" w:cs="Arial"/>
          <w:color w:val="000000"/>
          <w:sz w:val="22"/>
          <w:szCs w:val="22"/>
        </w:rPr>
        <w:t>vypo</w:t>
      </w:r>
      <w:r w:rsidRPr="006D177F">
        <w:rPr>
          <w:rFonts w:ascii="Arial" w:hAnsi="Arial" w:cs="Arial"/>
          <w:color w:val="000000"/>
          <w:sz w:val="22"/>
          <w:szCs w:val="22"/>
        </w:rPr>
        <w:t>č</w:t>
      </w:r>
      <w:r w:rsidRPr="00A35E28">
        <w:rPr>
          <w:rFonts w:ascii="Arial" w:hAnsi="Arial" w:cs="Arial"/>
          <w:color w:val="000000"/>
          <w:sz w:val="22"/>
          <w:szCs w:val="22"/>
        </w:rPr>
        <w:t>teny</w:t>
      </w:r>
      <w:r w:rsidR="0047095F" w:rsidRPr="006D177F">
        <w:rPr>
          <w:rFonts w:ascii="Arial" w:hAnsi="Arial" w:cs="Arial"/>
          <w:color w:val="000000"/>
          <w:sz w:val="22"/>
          <w:szCs w:val="22"/>
        </w:rPr>
        <w:t xml:space="preserve"> na </w:t>
      </w:r>
      <w:r w:rsidRPr="00A35E28">
        <w:rPr>
          <w:rFonts w:ascii="Arial" w:hAnsi="Arial" w:cs="Arial"/>
          <w:color w:val="000000"/>
          <w:sz w:val="22"/>
          <w:szCs w:val="22"/>
        </w:rPr>
        <w:t>základě</w:t>
      </w:r>
      <w:r w:rsidRPr="006D177F">
        <w:rPr>
          <w:rFonts w:ascii="Arial" w:hAnsi="Arial" w:cs="Arial"/>
          <w:color w:val="000000"/>
          <w:sz w:val="22"/>
          <w:szCs w:val="22"/>
        </w:rPr>
        <w:t xml:space="preserve"> b</w:t>
      </w:r>
      <w:r w:rsidRPr="00A35E28">
        <w:rPr>
          <w:rFonts w:ascii="Arial" w:hAnsi="Arial" w:cs="Arial"/>
          <w:color w:val="000000"/>
          <w:sz w:val="22"/>
          <w:szCs w:val="22"/>
        </w:rPr>
        <w:t>ěžných</w:t>
      </w:r>
      <w:r w:rsidRPr="006D177F">
        <w:rPr>
          <w:rFonts w:ascii="Arial" w:hAnsi="Arial" w:cs="Arial"/>
          <w:color w:val="000000"/>
          <w:sz w:val="22"/>
          <w:szCs w:val="22"/>
        </w:rPr>
        <w:t xml:space="preserve"> p</w:t>
      </w:r>
      <w:r w:rsidRPr="00A35E28">
        <w:rPr>
          <w:rFonts w:ascii="Arial" w:hAnsi="Arial" w:cs="Arial"/>
          <w:color w:val="000000"/>
          <w:sz w:val="22"/>
          <w:szCs w:val="22"/>
        </w:rPr>
        <w:t>ořizovacích</w:t>
      </w:r>
      <w:r w:rsidRPr="006D177F">
        <w:rPr>
          <w:rFonts w:ascii="Arial" w:hAnsi="Arial" w:cs="Arial"/>
          <w:color w:val="000000"/>
          <w:sz w:val="22"/>
          <w:szCs w:val="22"/>
        </w:rPr>
        <w:t xml:space="preserve"> </w:t>
      </w:r>
      <w:r w:rsidRPr="00A35E28">
        <w:rPr>
          <w:rFonts w:ascii="Arial" w:hAnsi="Arial" w:cs="Arial"/>
          <w:color w:val="000000"/>
          <w:sz w:val="22"/>
          <w:szCs w:val="22"/>
        </w:rPr>
        <w:t>cen</w:t>
      </w:r>
      <w:r w:rsidRPr="006D177F">
        <w:rPr>
          <w:rFonts w:ascii="Arial" w:hAnsi="Arial" w:cs="Arial"/>
          <w:color w:val="000000"/>
          <w:sz w:val="22"/>
          <w:szCs w:val="22"/>
        </w:rPr>
        <w:t xml:space="preserve"> </w:t>
      </w:r>
      <w:r w:rsidRPr="00A35E28">
        <w:rPr>
          <w:rFonts w:ascii="Arial" w:hAnsi="Arial" w:cs="Arial"/>
          <w:color w:val="000000"/>
          <w:sz w:val="22"/>
          <w:szCs w:val="22"/>
        </w:rPr>
        <w:t>dlouho</w:t>
      </w:r>
      <w:r w:rsidRPr="006D177F">
        <w:rPr>
          <w:rFonts w:ascii="Arial" w:hAnsi="Arial" w:cs="Arial"/>
          <w:color w:val="000000"/>
          <w:sz w:val="22"/>
          <w:szCs w:val="22"/>
        </w:rPr>
        <w:t>d</w:t>
      </w:r>
      <w:r w:rsidRPr="00A35E28">
        <w:rPr>
          <w:rFonts w:ascii="Arial" w:hAnsi="Arial" w:cs="Arial"/>
          <w:color w:val="000000"/>
          <w:sz w:val="22"/>
          <w:szCs w:val="22"/>
        </w:rPr>
        <w:t>obého hmotného</w:t>
      </w:r>
      <w:r w:rsidRPr="006D177F">
        <w:rPr>
          <w:rFonts w:ascii="Arial" w:hAnsi="Arial" w:cs="Arial"/>
          <w:color w:val="000000"/>
          <w:sz w:val="22"/>
          <w:szCs w:val="22"/>
        </w:rPr>
        <w:t xml:space="preserve"> a </w:t>
      </w:r>
      <w:r w:rsidRPr="00A35E28">
        <w:rPr>
          <w:rFonts w:ascii="Arial" w:hAnsi="Arial" w:cs="Arial"/>
          <w:color w:val="000000"/>
          <w:sz w:val="22"/>
          <w:szCs w:val="22"/>
        </w:rPr>
        <w:t>nehmotného majetku</w:t>
      </w:r>
      <w:r w:rsidRPr="006D177F">
        <w:rPr>
          <w:rFonts w:ascii="Arial" w:hAnsi="Arial" w:cs="Arial"/>
          <w:color w:val="000000"/>
          <w:sz w:val="22"/>
          <w:szCs w:val="22"/>
        </w:rPr>
        <w:t xml:space="preserve"> </w:t>
      </w:r>
      <w:r w:rsidRPr="00A35E28">
        <w:rPr>
          <w:rFonts w:ascii="Arial" w:hAnsi="Arial" w:cs="Arial"/>
          <w:color w:val="000000"/>
          <w:sz w:val="22"/>
          <w:szCs w:val="22"/>
        </w:rPr>
        <w:t>stanoveného</w:t>
      </w:r>
      <w:r w:rsidRPr="006D177F">
        <w:rPr>
          <w:rFonts w:ascii="Arial" w:hAnsi="Arial" w:cs="Arial"/>
          <w:color w:val="000000"/>
          <w:sz w:val="22"/>
          <w:szCs w:val="22"/>
        </w:rPr>
        <w:t xml:space="preserve"> </w:t>
      </w:r>
      <w:r w:rsidRPr="00A35E28">
        <w:rPr>
          <w:rFonts w:ascii="Arial" w:hAnsi="Arial" w:cs="Arial"/>
          <w:color w:val="000000"/>
          <w:sz w:val="22"/>
          <w:szCs w:val="22"/>
        </w:rPr>
        <w:t>podniku.</w:t>
      </w:r>
      <w:r w:rsidR="0047095F" w:rsidRPr="006D177F">
        <w:rPr>
          <w:rFonts w:ascii="Arial" w:hAnsi="Arial" w:cs="Arial"/>
          <w:color w:val="000000"/>
          <w:sz w:val="22"/>
          <w:szCs w:val="22"/>
        </w:rPr>
        <w:t xml:space="preserve"> </w:t>
      </w:r>
      <w:r w:rsidR="006D177F">
        <w:rPr>
          <w:rFonts w:ascii="Arial" w:hAnsi="Arial" w:cs="Arial"/>
          <w:color w:val="000000"/>
          <w:sz w:val="22"/>
          <w:szCs w:val="22"/>
        </w:rPr>
        <w:t>V</w:t>
      </w:r>
      <w:r w:rsidR="0047095F" w:rsidRPr="006D177F">
        <w:rPr>
          <w:rFonts w:ascii="Arial" w:hAnsi="Arial" w:cs="Arial"/>
          <w:color w:val="000000"/>
          <w:sz w:val="22"/>
          <w:szCs w:val="22"/>
        </w:rPr>
        <w:t> </w:t>
      </w:r>
      <w:r w:rsidRPr="006D177F">
        <w:rPr>
          <w:rFonts w:ascii="Arial" w:hAnsi="Arial" w:cs="Arial"/>
          <w:color w:val="000000"/>
          <w:sz w:val="22"/>
          <w:szCs w:val="22"/>
        </w:rPr>
        <w:t>př</w:t>
      </w:r>
      <w:r w:rsidRPr="00A35E28">
        <w:rPr>
          <w:rFonts w:ascii="Arial" w:hAnsi="Arial" w:cs="Arial"/>
          <w:color w:val="000000"/>
          <w:sz w:val="22"/>
          <w:szCs w:val="22"/>
        </w:rPr>
        <w:t>ípadě,</w:t>
      </w:r>
      <w:r w:rsidRPr="006D177F">
        <w:rPr>
          <w:rFonts w:ascii="Arial" w:hAnsi="Arial" w:cs="Arial"/>
          <w:color w:val="000000"/>
          <w:sz w:val="22"/>
          <w:szCs w:val="22"/>
        </w:rPr>
        <w:t xml:space="preserve"> </w:t>
      </w:r>
      <w:r w:rsidRPr="00A35E28">
        <w:rPr>
          <w:rFonts w:ascii="Arial" w:hAnsi="Arial" w:cs="Arial"/>
          <w:color w:val="000000"/>
          <w:sz w:val="22"/>
          <w:szCs w:val="22"/>
        </w:rPr>
        <w:t>že</w:t>
      </w:r>
      <w:r w:rsidRPr="006D177F">
        <w:rPr>
          <w:rFonts w:ascii="Arial" w:hAnsi="Arial" w:cs="Arial"/>
          <w:color w:val="000000"/>
          <w:sz w:val="22"/>
          <w:szCs w:val="22"/>
        </w:rPr>
        <w:t xml:space="preserve"> </w:t>
      </w:r>
      <w:r w:rsidRPr="00A35E28">
        <w:rPr>
          <w:rFonts w:ascii="Arial" w:hAnsi="Arial" w:cs="Arial"/>
          <w:color w:val="000000"/>
          <w:sz w:val="22"/>
          <w:szCs w:val="22"/>
        </w:rPr>
        <w:t>je</w:t>
      </w:r>
      <w:r w:rsidRPr="006D177F">
        <w:rPr>
          <w:rFonts w:ascii="Arial" w:hAnsi="Arial" w:cs="Arial"/>
          <w:color w:val="000000"/>
          <w:sz w:val="22"/>
          <w:szCs w:val="22"/>
        </w:rPr>
        <w:t xml:space="preserve"> </w:t>
      </w:r>
      <w:r w:rsidRPr="00A35E28">
        <w:rPr>
          <w:rFonts w:ascii="Arial" w:hAnsi="Arial" w:cs="Arial"/>
          <w:color w:val="000000"/>
          <w:sz w:val="22"/>
          <w:szCs w:val="22"/>
        </w:rPr>
        <w:t>pr</w:t>
      </w:r>
      <w:r w:rsidRPr="006D177F">
        <w:rPr>
          <w:rFonts w:ascii="Arial" w:hAnsi="Arial" w:cs="Arial"/>
          <w:color w:val="000000"/>
          <w:sz w:val="22"/>
          <w:szCs w:val="22"/>
        </w:rPr>
        <w:t>v</w:t>
      </w:r>
      <w:r w:rsidRPr="00A35E28">
        <w:rPr>
          <w:rFonts w:ascii="Arial" w:hAnsi="Arial" w:cs="Arial"/>
          <w:color w:val="000000"/>
          <w:sz w:val="22"/>
          <w:szCs w:val="22"/>
        </w:rPr>
        <w:t>ek</w:t>
      </w:r>
      <w:r w:rsidRPr="006D177F">
        <w:rPr>
          <w:rFonts w:ascii="Arial" w:hAnsi="Arial" w:cs="Arial"/>
          <w:color w:val="000000"/>
          <w:sz w:val="22"/>
          <w:szCs w:val="22"/>
        </w:rPr>
        <w:t xml:space="preserve"> </w:t>
      </w:r>
      <w:r w:rsidRPr="00A35E28">
        <w:rPr>
          <w:rFonts w:ascii="Arial" w:hAnsi="Arial" w:cs="Arial"/>
          <w:color w:val="000000"/>
          <w:sz w:val="22"/>
          <w:szCs w:val="22"/>
        </w:rPr>
        <w:t>sítě</w:t>
      </w:r>
      <w:r w:rsidRPr="006D177F">
        <w:rPr>
          <w:rFonts w:ascii="Arial" w:hAnsi="Arial" w:cs="Arial"/>
          <w:color w:val="000000"/>
          <w:sz w:val="22"/>
          <w:szCs w:val="22"/>
        </w:rPr>
        <w:t xml:space="preserve"> </w:t>
      </w:r>
      <w:r w:rsidRPr="00A35E28">
        <w:rPr>
          <w:rFonts w:ascii="Arial" w:hAnsi="Arial" w:cs="Arial"/>
          <w:color w:val="000000"/>
          <w:sz w:val="22"/>
          <w:szCs w:val="22"/>
        </w:rPr>
        <w:t>zastaralý,</w:t>
      </w:r>
      <w:r w:rsidRPr="006D177F">
        <w:rPr>
          <w:rFonts w:ascii="Arial" w:hAnsi="Arial" w:cs="Arial"/>
          <w:color w:val="000000"/>
          <w:sz w:val="22"/>
          <w:szCs w:val="22"/>
        </w:rPr>
        <w:t xml:space="preserve"> z</w:t>
      </w:r>
      <w:r w:rsidRPr="00A35E28">
        <w:rPr>
          <w:rFonts w:ascii="Arial" w:hAnsi="Arial" w:cs="Arial"/>
          <w:color w:val="000000"/>
          <w:sz w:val="22"/>
          <w:szCs w:val="22"/>
        </w:rPr>
        <w:t>ji</w:t>
      </w:r>
      <w:r w:rsidRPr="006D177F">
        <w:rPr>
          <w:rFonts w:ascii="Arial" w:hAnsi="Arial" w:cs="Arial"/>
          <w:color w:val="000000"/>
          <w:sz w:val="22"/>
          <w:szCs w:val="22"/>
        </w:rPr>
        <w:t>š</w:t>
      </w:r>
      <w:r w:rsidRPr="00A35E28">
        <w:rPr>
          <w:rFonts w:ascii="Arial" w:hAnsi="Arial" w:cs="Arial"/>
          <w:color w:val="000000"/>
          <w:sz w:val="22"/>
          <w:szCs w:val="22"/>
        </w:rPr>
        <w:t>ťuje</w:t>
      </w:r>
      <w:r w:rsidRPr="006D177F">
        <w:rPr>
          <w:rFonts w:ascii="Arial" w:hAnsi="Arial" w:cs="Arial"/>
          <w:color w:val="000000"/>
          <w:sz w:val="22"/>
          <w:szCs w:val="22"/>
        </w:rPr>
        <w:t xml:space="preserve"> </w:t>
      </w:r>
      <w:r w:rsidRPr="00A35E28">
        <w:rPr>
          <w:rFonts w:ascii="Arial" w:hAnsi="Arial" w:cs="Arial"/>
          <w:color w:val="000000"/>
          <w:sz w:val="22"/>
          <w:szCs w:val="22"/>
        </w:rPr>
        <w:t>se běžná</w:t>
      </w:r>
      <w:r w:rsidRPr="006D177F">
        <w:rPr>
          <w:rFonts w:ascii="Arial" w:hAnsi="Arial" w:cs="Arial"/>
          <w:color w:val="000000"/>
          <w:sz w:val="22"/>
          <w:szCs w:val="22"/>
        </w:rPr>
        <w:t xml:space="preserve"> </w:t>
      </w:r>
      <w:r w:rsidRPr="00A35E28">
        <w:rPr>
          <w:rFonts w:ascii="Arial" w:hAnsi="Arial" w:cs="Arial"/>
          <w:color w:val="000000"/>
          <w:sz w:val="22"/>
          <w:szCs w:val="22"/>
        </w:rPr>
        <w:t>pořizovací</w:t>
      </w:r>
      <w:r w:rsidRPr="006D177F">
        <w:rPr>
          <w:rFonts w:ascii="Arial" w:hAnsi="Arial" w:cs="Arial"/>
          <w:color w:val="000000"/>
          <w:sz w:val="22"/>
          <w:szCs w:val="22"/>
        </w:rPr>
        <w:t xml:space="preserve"> </w:t>
      </w:r>
      <w:r w:rsidRPr="00A35E28">
        <w:rPr>
          <w:rFonts w:ascii="Arial" w:hAnsi="Arial" w:cs="Arial"/>
          <w:color w:val="000000"/>
          <w:sz w:val="22"/>
          <w:szCs w:val="22"/>
        </w:rPr>
        <w:t>cena</w:t>
      </w:r>
      <w:r w:rsidRPr="006D177F">
        <w:rPr>
          <w:rFonts w:ascii="Arial" w:hAnsi="Arial" w:cs="Arial"/>
          <w:color w:val="000000"/>
          <w:sz w:val="22"/>
          <w:szCs w:val="22"/>
        </w:rPr>
        <w:t xml:space="preserve"> </w:t>
      </w:r>
      <w:r w:rsidRPr="00A35E28">
        <w:rPr>
          <w:rFonts w:ascii="Arial" w:hAnsi="Arial" w:cs="Arial"/>
          <w:color w:val="000000"/>
          <w:sz w:val="22"/>
          <w:szCs w:val="22"/>
        </w:rPr>
        <w:t>srovnatel</w:t>
      </w:r>
      <w:r w:rsidRPr="006D177F">
        <w:rPr>
          <w:rFonts w:ascii="Arial" w:hAnsi="Arial" w:cs="Arial"/>
          <w:color w:val="000000"/>
          <w:sz w:val="22"/>
          <w:szCs w:val="22"/>
        </w:rPr>
        <w:t>n</w:t>
      </w:r>
      <w:r w:rsidRPr="00A35E28">
        <w:rPr>
          <w:rFonts w:ascii="Arial" w:hAnsi="Arial" w:cs="Arial"/>
          <w:color w:val="000000"/>
          <w:sz w:val="22"/>
          <w:szCs w:val="22"/>
        </w:rPr>
        <w:t>ého dlouh</w:t>
      </w:r>
      <w:r w:rsidRPr="006D177F">
        <w:rPr>
          <w:rFonts w:ascii="Arial" w:hAnsi="Arial" w:cs="Arial"/>
          <w:color w:val="000000"/>
          <w:sz w:val="22"/>
          <w:szCs w:val="22"/>
        </w:rPr>
        <w:t>o</w:t>
      </w:r>
      <w:r w:rsidRPr="00A35E28">
        <w:rPr>
          <w:rFonts w:ascii="Arial" w:hAnsi="Arial" w:cs="Arial"/>
          <w:color w:val="000000"/>
          <w:sz w:val="22"/>
          <w:szCs w:val="22"/>
        </w:rPr>
        <w:t>dobého hmotného</w:t>
      </w:r>
      <w:r w:rsidRPr="006D177F">
        <w:rPr>
          <w:rFonts w:ascii="Arial" w:hAnsi="Arial" w:cs="Arial"/>
          <w:color w:val="000000"/>
          <w:sz w:val="22"/>
          <w:szCs w:val="22"/>
        </w:rPr>
        <w:t xml:space="preserve"> a n</w:t>
      </w:r>
      <w:r w:rsidRPr="00A35E28">
        <w:rPr>
          <w:rFonts w:ascii="Arial" w:hAnsi="Arial" w:cs="Arial"/>
          <w:color w:val="000000"/>
          <w:sz w:val="22"/>
          <w:szCs w:val="22"/>
        </w:rPr>
        <w:t>ehmotného</w:t>
      </w:r>
      <w:r w:rsidRPr="006D177F">
        <w:rPr>
          <w:rFonts w:ascii="Arial" w:hAnsi="Arial" w:cs="Arial"/>
          <w:color w:val="000000"/>
          <w:sz w:val="22"/>
          <w:szCs w:val="22"/>
        </w:rPr>
        <w:t xml:space="preserve"> </w:t>
      </w:r>
      <w:r w:rsidRPr="00A35E28">
        <w:rPr>
          <w:rFonts w:ascii="Arial" w:hAnsi="Arial" w:cs="Arial"/>
          <w:color w:val="000000"/>
          <w:sz w:val="22"/>
          <w:szCs w:val="22"/>
        </w:rPr>
        <w:t>majetku metodou</w:t>
      </w:r>
      <w:r w:rsidRPr="006D177F">
        <w:rPr>
          <w:rFonts w:ascii="Arial" w:hAnsi="Arial" w:cs="Arial"/>
          <w:color w:val="000000"/>
          <w:sz w:val="22"/>
          <w:szCs w:val="22"/>
        </w:rPr>
        <w:t xml:space="preserve"> MEA</w:t>
      </w:r>
      <w:r w:rsidRPr="00A35E28">
        <w:rPr>
          <w:rFonts w:ascii="Arial" w:hAnsi="Arial" w:cs="Arial"/>
          <w:color w:val="000000"/>
          <w:sz w:val="22"/>
          <w:szCs w:val="22"/>
        </w:rPr>
        <w:t>.</w:t>
      </w:r>
    </w:p>
    <w:p w:rsidR="004A6A67" w:rsidRPr="00A35E28" w:rsidRDefault="004A6A67" w:rsidP="00781772">
      <w:pPr>
        <w:widowControl w:val="0"/>
        <w:tabs>
          <w:tab w:val="left" w:pos="1276"/>
        </w:tabs>
        <w:autoSpaceDE w:val="0"/>
        <w:autoSpaceDN w:val="0"/>
        <w:adjustRightInd w:val="0"/>
        <w:spacing w:before="120" w:after="120"/>
        <w:ind w:firstLine="828"/>
        <w:jc w:val="both"/>
        <w:rPr>
          <w:rFonts w:ascii="Arial" w:hAnsi="Arial" w:cs="Arial"/>
          <w:color w:val="000000"/>
          <w:sz w:val="22"/>
          <w:szCs w:val="22"/>
        </w:rPr>
      </w:pPr>
      <w:r w:rsidRPr="00A35E28">
        <w:rPr>
          <w:rFonts w:ascii="Arial" w:hAnsi="Arial" w:cs="Arial"/>
          <w:color w:val="000000"/>
          <w:sz w:val="22"/>
          <w:szCs w:val="22"/>
        </w:rPr>
        <w:t>(4)</w:t>
      </w:r>
      <w:r w:rsidRPr="00A35E28">
        <w:rPr>
          <w:rFonts w:ascii="Arial" w:hAnsi="Arial" w:cs="Arial"/>
          <w:color w:val="000000"/>
          <w:sz w:val="22"/>
          <w:szCs w:val="22"/>
        </w:rPr>
        <w:tab/>
        <w:t>Stanovený</w:t>
      </w:r>
      <w:r w:rsidRPr="00A35E28">
        <w:rPr>
          <w:rFonts w:ascii="Arial" w:hAnsi="Arial" w:cs="Arial"/>
          <w:color w:val="000000"/>
          <w:spacing w:val="1"/>
          <w:sz w:val="22"/>
          <w:szCs w:val="22"/>
        </w:rPr>
        <w:t xml:space="preserve"> </w:t>
      </w:r>
      <w:r w:rsidRPr="00A35E28">
        <w:rPr>
          <w:rFonts w:ascii="Arial" w:hAnsi="Arial" w:cs="Arial"/>
          <w:color w:val="000000"/>
          <w:sz w:val="22"/>
          <w:szCs w:val="22"/>
        </w:rPr>
        <w:t>podnik</w:t>
      </w:r>
      <w:r w:rsidRPr="00A35E28">
        <w:rPr>
          <w:rFonts w:ascii="Arial" w:hAnsi="Arial" w:cs="Arial"/>
          <w:color w:val="000000"/>
          <w:spacing w:val="4"/>
          <w:sz w:val="22"/>
          <w:szCs w:val="22"/>
        </w:rPr>
        <w:t xml:space="preserve"> </w:t>
      </w:r>
      <w:r w:rsidRPr="00A35E28">
        <w:rPr>
          <w:rFonts w:ascii="Arial" w:hAnsi="Arial" w:cs="Arial"/>
          <w:color w:val="000000"/>
          <w:sz w:val="22"/>
          <w:szCs w:val="22"/>
        </w:rPr>
        <w:t>vede</w:t>
      </w:r>
      <w:r w:rsidRPr="00A35E28">
        <w:rPr>
          <w:rFonts w:ascii="Arial" w:hAnsi="Arial" w:cs="Arial"/>
          <w:color w:val="000000"/>
          <w:spacing w:val="5"/>
          <w:sz w:val="22"/>
          <w:szCs w:val="22"/>
        </w:rPr>
        <w:t xml:space="preserve"> </w:t>
      </w:r>
      <w:r w:rsidRPr="00A35E28">
        <w:rPr>
          <w:rFonts w:ascii="Arial" w:hAnsi="Arial" w:cs="Arial"/>
          <w:color w:val="000000"/>
          <w:sz w:val="22"/>
          <w:szCs w:val="22"/>
        </w:rPr>
        <w:t>od</w:t>
      </w:r>
      <w:r w:rsidRPr="00A35E28">
        <w:rPr>
          <w:rFonts w:ascii="Arial" w:hAnsi="Arial" w:cs="Arial"/>
          <w:color w:val="000000"/>
          <w:spacing w:val="1"/>
          <w:sz w:val="22"/>
          <w:szCs w:val="22"/>
        </w:rPr>
        <w:t>d</w:t>
      </w:r>
      <w:r w:rsidRPr="00A35E28">
        <w:rPr>
          <w:rFonts w:ascii="Arial" w:hAnsi="Arial" w:cs="Arial"/>
          <w:color w:val="000000"/>
          <w:sz w:val="22"/>
          <w:szCs w:val="22"/>
        </w:rPr>
        <w:t>ělenou evidenci</w:t>
      </w:r>
      <w:r w:rsidRPr="00A35E28">
        <w:rPr>
          <w:rFonts w:ascii="Arial" w:hAnsi="Arial" w:cs="Arial"/>
          <w:color w:val="000000"/>
          <w:spacing w:val="2"/>
          <w:sz w:val="22"/>
          <w:szCs w:val="22"/>
        </w:rPr>
        <w:t xml:space="preserve"> a </w:t>
      </w:r>
      <w:r w:rsidRPr="00A35E28">
        <w:rPr>
          <w:rFonts w:ascii="Arial" w:hAnsi="Arial" w:cs="Arial"/>
          <w:color w:val="000000"/>
          <w:sz w:val="22"/>
          <w:szCs w:val="22"/>
        </w:rPr>
        <w:t>nákladové ú</w:t>
      </w:r>
      <w:r w:rsidRPr="00A35E28">
        <w:rPr>
          <w:rFonts w:ascii="Arial" w:hAnsi="Arial" w:cs="Arial"/>
          <w:color w:val="000000"/>
          <w:spacing w:val="1"/>
          <w:sz w:val="22"/>
          <w:szCs w:val="22"/>
        </w:rPr>
        <w:t>č</w:t>
      </w:r>
      <w:r w:rsidRPr="00A35E28">
        <w:rPr>
          <w:rFonts w:ascii="Arial" w:hAnsi="Arial" w:cs="Arial"/>
          <w:color w:val="000000"/>
          <w:sz w:val="22"/>
          <w:szCs w:val="22"/>
        </w:rPr>
        <w:t>etnictví</w:t>
      </w:r>
      <w:r w:rsidR="0047095F">
        <w:rPr>
          <w:rFonts w:ascii="Arial" w:hAnsi="Arial" w:cs="Arial"/>
          <w:color w:val="000000"/>
          <w:spacing w:val="1"/>
          <w:sz w:val="22"/>
          <w:szCs w:val="22"/>
        </w:rPr>
        <w:t xml:space="preserve"> při </w:t>
      </w:r>
      <w:r w:rsidRPr="00A35E28">
        <w:rPr>
          <w:rFonts w:ascii="Arial" w:hAnsi="Arial" w:cs="Arial"/>
          <w:color w:val="000000"/>
          <w:sz w:val="22"/>
          <w:szCs w:val="22"/>
        </w:rPr>
        <w:t>dodržení pravidel</w:t>
      </w:r>
      <w:r w:rsidRPr="00A35E28">
        <w:rPr>
          <w:rFonts w:ascii="Arial" w:hAnsi="Arial" w:cs="Arial"/>
          <w:color w:val="000000"/>
          <w:spacing w:val="5"/>
          <w:sz w:val="22"/>
          <w:szCs w:val="22"/>
        </w:rPr>
        <w:t xml:space="preserve"> </w:t>
      </w:r>
      <w:r w:rsidRPr="00A35E28">
        <w:rPr>
          <w:rFonts w:ascii="Arial" w:hAnsi="Arial" w:cs="Arial"/>
          <w:color w:val="000000"/>
          <w:sz w:val="22"/>
          <w:szCs w:val="22"/>
        </w:rPr>
        <w:t>daných</w:t>
      </w:r>
      <w:r w:rsidRPr="00A35E28">
        <w:rPr>
          <w:rFonts w:ascii="Arial" w:hAnsi="Arial" w:cs="Arial"/>
          <w:color w:val="000000"/>
          <w:spacing w:val="6"/>
          <w:sz w:val="22"/>
          <w:szCs w:val="22"/>
        </w:rPr>
        <w:t xml:space="preserve"> </w:t>
      </w:r>
      <w:r w:rsidRPr="00A35E28">
        <w:rPr>
          <w:rFonts w:ascii="Arial" w:hAnsi="Arial" w:cs="Arial"/>
          <w:color w:val="000000"/>
          <w:sz w:val="22"/>
          <w:szCs w:val="22"/>
        </w:rPr>
        <w:t>tímto</w:t>
      </w:r>
      <w:r w:rsidRPr="00A35E28">
        <w:rPr>
          <w:rFonts w:ascii="Arial" w:hAnsi="Arial" w:cs="Arial"/>
          <w:color w:val="000000"/>
          <w:spacing w:val="8"/>
          <w:sz w:val="22"/>
          <w:szCs w:val="22"/>
        </w:rPr>
        <w:t xml:space="preserve"> </w:t>
      </w:r>
      <w:r w:rsidRPr="00A35E28">
        <w:rPr>
          <w:rFonts w:ascii="Arial" w:hAnsi="Arial" w:cs="Arial"/>
          <w:color w:val="000000"/>
          <w:spacing w:val="-1"/>
          <w:sz w:val="22"/>
          <w:szCs w:val="22"/>
        </w:rPr>
        <w:t>o</w:t>
      </w:r>
      <w:r w:rsidRPr="00A35E28">
        <w:rPr>
          <w:rFonts w:ascii="Arial" w:hAnsi="Arial" w:cs="Arial"/>
          <w:color w:val="000000"/>
          <w:sz w:val="22"/>
          <w:szCs w:val="22"/>
        </w:rPr>
        <w:t>patřením</w:t>
      </w:r>
      <w:r w:rsidRPr="00A35E28">
        <w:rPr>
          <w:rFonts w:ascii="Arial" w:hAnsi="Arial" w:cs="Arial"/>
          <w:color w:val="000000"/>
          <w:spacing w:val="3"/>
          <w:sz w:val="22"/>
          <w:szCs w:val="22"/>
        </w:rPr>
        <w:t xml:space="preserve"> </w:t>
      </w:r>
      <w:r w:rsidRPr="00A35E28">
        <w:rPr>
          <w:rFonts w:ascii="Arial" w:hAnsi="Arial" w:cs="Arial"/>
          <w:color w:val="000000"/>
          <w:sz w:val="22"/>
          <w:szCs w:val="22"/>
        </w:rPr>
        <w:t>tak,</w:t>
      </w:r>
      <w:r w:rsidRPr="00A35E28">
        <w:rPr>
          <w:rFonts w:ascii="Arial" w:hAnsi="Arial" w:cs="Arial"/>
          <w:color w:val="000000"/>
          <w:spacing w:val="10"/>
          <w:sz w:val="22"/>
          <w:szCs w:val="22"/>
        </w:rPr>
        <w:t xml:space="preserve"> </w:t>
      </w:r>
      <w:r w:rsidRPr="00A35E28">
        <w:rPr>
          <w:rFonts w:ascii="Arial" w:hAnsi="Arial" w:cs="Arial"/>
          <w:color w:val="000000"/>
          <w:sz w:val="22"/>
          <w:szCs w:val="22"/>
        </w:rPr>
        <w:t>aby</w:t>
      </w:r>
      <w:r w:rsidRPr="00A35E28">
        <w:rPr>
          <w:rFonts w:ascii="Arial" w:hAnsi="Arial" w:cs="Arial"/>
          <w:color w:val="000000"/>
          <w:spacing w:val="10"/>
          <w:sz w:val="22"/>
          <w:szCs w:val="22"/>
        </w:rPr>
        <w:t xml:space="preserve"> </w:t>
      </w:r>
      <w:r w:rsidRPr="00A35E28">
        <w:rPr>
          <w:rFonts w:ascii="Arial" w:hAnsi="Arial" w:cs="Arial"/>
          <w:color w:val="000000"/>
          <w:sz w:val="22"/>
          <w:szCs w:val="22"/>
        </w:rPr>
        <w:t>bylo</w:t>
      </w:r>
      <w:r w:rsidRPr="00A35E28">
        <w:rPr>
          <w:rFonts w:ascii="Arial" w:hAnsi="Arial" w:cs="Arial"/>
          <w:color w:val="000000"/>
          <w:spacing w:val="9"/>
          <w:sz w:val="22"/>
          <w:szCs w:val="22"/>
        </w:rPr>
        <w:t xml:space="preserve"> </w:t>
      </w:r>
      <w:r w:rsidRPr="00A35E28">
        <w:rPr>
          <w:rFonts w:ascii="Arial" w:hAnsi="Arial" w:cs="Arial"/>
          <w:color w:val="000000"/>
          <w:sz w:val="22"/>
          <w:szCs w:val="22"/>
        </w:rPr>
        <w:t>prokazatel</w:t>
      </w:r>
      <w:r w:rsidRPr="00A35E28">
        <w:rPr>
          <w:rFonts w:ascii="Arial" w:hAnsi="Arial" w:cs="Arial"/>
          <w:color w:val="000000"/>
          <w:spacing w:val="-1"/>
          <w:sz w:val="22"/>
          <w:szCs w:val="22"/>
        </w:rPr>
        <w:t>n</w:t>
      </w:r>
      <w:r w:rsidRPr="00A35E28">
        <w:rPr>
          <w:rFonts w:ascii="Arial" w:hAnsi="Arial" w:cs="Arial"/>
          <w:color w:val="000000"/>
          <w:sz w:val="22"/>
          <w:szCs w:val="22"/>
        </w:rPr>
        <w:t>é, že</w:t>
      </w:r>
      <w:r w:rsidRPr="00A35E28">
        <w:rPr>
          <w:rFonts w:ascii="Arial" w:hAnsi="Arial" w:cs="Arial"/>
          <w:color w:val="000000"/>
          <w:spacing w:val="11"/>
          <w:sz w:val="22"/>
          <w:szCs w:val="22"/>
        </w:rPr>
        <w:t xml:space="preserve"> </w:t>
      </w:r>
      <w:r w:rsidRPr="00A35E28">
        <w:rPr>
          <w:rFonts w:ascii="Arial" w:hAnsi="Arial" w:cs="Arial"/>
          <w:color w:val="000000"/>
          <w:sz w:val="22"/>
          <w:szCs w:val="22"/>
        </w:rPr>
        <w:t>žád</w:t>
      </w:r>
      <w:r w:rsidRPr="00A35E28">
        <w:rPr>
          <w:rFonts w:ascii="Arial" w:hAnsi="Arial" w:cs="Arial"/>
          <w:color w:val="000000"/>
          <w:spacing w:val="-1"/>
          <w:sz w:val="22"/>
          <w:szCs w:val="22"/>
        </w:rPr>
        <w:t>n</w:t>
      </w:r>
      <w:r w:rsidRPr="00A35E28">
        <w:rPr>
          <w:rFonts w:ascii="Arial" w:hAnsi="Arial" w:cs="Arial"/>
          <w:color w:val="000000"/>
          <w:sz w:val="22"/>
          <w:szCs w:val="22"/>
        </w:rPr>
        <w:t>é</w:t>
      </w:r>
      <w:r w:rsidRPr="00A35E28">
        <w:rPr>
          <w:rFonts w:ascii="Arial" w:hAnsi="Arial" w:cs="Arial"/>
          <w:color w:val="000000"/>
          <w:spacing w:val="6"/>
          <w:sz w:val="22"/>
          <w:szCs w:val="22"/>
        </w:rPr>
        <w:t xml:space="preserve"> </w:t>
      </w:r>
      <w:r w:rsidRPr="00A35E28">
        <w:rPr>
          <w:rFonts w:ascii="Arial" w:hAnsi="Arial" w:cs="Arial"/>
          <w:color w:val="000000"/>
          <w:sz w:val="22"/>
          <w:szCs w:val="22"/>
        </w:rPr>
        <w:t>náklady,</w:t>
      </w:r>
      <w:r w:rsidRPr="00A35E28">
        <w:rPr>
          <w:rFonts w:ascii="Arial" w:hAnsi="Arial" w:cs="Arial"/>
          <w:color w:val="000000"/>
          <w:spacing w:val="5"/>
          <w:sz w:val="22"/>
          <w:szCs w:val="22"/>
        </w:rPr>
        <w:t xml:space="preserve"> </w:t>
      </w:r>
      <w:r w:rsidRPr="00A35E28">
        <w:rPr>
          <w:rFonts w:ascii="Arial" w:hAnsi="Arial" w:cs="Arial"/>
          <w:color w:val="000000"/>
          <w:sz w:val="22"/>
          <w:szCs w:val="22"/>
        </w:rPr>
        <w:t>výnosy</w:t>
      </w:r>
      <w:r w:rsidRPr="00A35E28">
        <w:rPr>
          <w:rFonts w:ascii="Arial" w:hAnsi="Arial" w:cs="Arial"/>
          <w:color w:val="000000"/>
          <w:spacing w:val="6"/>
          <w:sz w:val="22"/>
          <w:szCs w:val="22"/>
        </w:rPr>
        <w:t xml:space="preserve"> ani </w:t>
      </w:r>
      <w:r w:rsidRPr="00A35E28">
        <w:rPr>
          <w:rFonts w:ascii="Arial" w:hAnsi="Arial" w:cs="Arial"/>
          <w:color w:val="000000"/>
          <w:sz w:val="22"/>
          <w:szCs w:val="22"/>
        </w:rPr>
        <w:t>náklady</w:t>
      </w:r>
      <w:r w:rsidRPr="00A35E28">
        <w:rPr>
          <w:rFonts w:ascii="Arial" w:hAnsi="Arial" w:cs="Arial"/>
          <w:color w:val="000000"/>
          <w:spacing w:val="-8"/>
          <w:sz w:val="22"/>
          <w:szCs w:val="22"/>
        </w:rPr>
        <w:t xml:space="preserve"> </w:t>
      </w:r>
      <w:r w:rsidRPr="00A35E28">
        <w:rPr>
          <w:rFonts w:ascii="Arial" w:hAnsi="Arial" w:cs="Arial"/>
          <w:color w:val="000000"/>
          <w:sz w:val="22"/>
          <w:szCs w:val="22"/>
        </w:rPr>
        <w:t>vloženého</w:t>
      </w:r>
      <w:r w:rsidRPr="00A35E28">
        <w:rPr>
          <w:rFonts w:ascii="Arial" w:hAnsi="Arial" w:cs="Arial"/>
          <w:color w:val="000000"/>
          <w:spacing w:val="-10"/>
          <w:sz w:val="22"/>
          <w:szCs w:val="22"/>
        </w:rPr>
        <w:t xml:space="preserve"> </w:t>
      </w:r>
      <w:r w:rsidRPr="00A35E28">
        <w:rPr>
          <w:rFonts w:ascii="Arial" w:hAnsi="Arial" w:cs="Arial"/>
          <w:color w:val="000000"/>
          <w:sz w:val="22"/>
          <w:szCs w:val="22"/>
        </w:rPr>
        <w:t>kapi</w:t>
      </w:r>
      <w:r w:rsidRPr="00A35E28">
        <w:rPr>
          <w:rFonts w:ascii="Arial" w:hAnsi="Arial" w:cs="Arial"/>
          <w:color w:val="000000"/>
          <w:spacing w:val="-1"/>
          <w:sz w:val="22"/>
          <w:szCs w:val="22"/>
        </w:rPr>
        <w:t>t</w:t>
      </w:r>
      <w:r w:rsidRPr="00A35E28">
        <w:rPr>
          <w:rFonts w:ascii="Arial" w:hAnsi="Arial" w:cs="Arial"/>
          <w:color w:val="000000"/>
          <w:sz w:val="22"/>
          <w:szCs w:val="22"/>
        </w:rPr>
        <w:t>álu</w:t>
      </w:r>
      <w:r w:rsidRPr="00A35E28">
        <w:rPr>
          <w:rFonts w:ascii="Arial" w:hAnsi="Arial" w:cs="Arial"/>
          <w:color w:val="000000"/>
          <w:spacing w:val="-8"/>
          <w:sz w:val="22"/>
          <w:szCs w:val="22"/>
        </w:rPr>
        <w:t xml:space="preserve"> </w:t>
      </w:r>
      <w:r w:rsidRPr="00A35E28">
        <w:rPr>
          <w:rFonts w:ascii="Arial" w:hAnsi="Arial" w:cs="Arial"/>
          <w:color w:val="000000"/>
          <w:sz w:val="22"/>
          <w:szCs w:val="22"/>
        </w:rPr>
        <w:t>nebyly</w:t>
      </w:r>
      <w:r w:rsidRPr="00A35E28">
        <w:rPr>
          <w:rFonts w:ascii="Arial" w:hAnsi="Arial" w:cs="Arial"/>
          <w:color w:val="000000"/>
          <w:spacing w:val="-6"/>
          <w:sz w:val="22"/>
          <w:szCs w:val="22"/>
        </w:rPr>
        <w:t xml:space="preserve"> </w:t>
      </w:r>
      <w:r w:rsidRPr="00A35E28">
        <w:rPr>
          <w:rFonts w:ascii="Arial" w:hAnsi="Arial" w:cs="Arial"/>
          <w:color w:val="000000"/>
          <w:sz w:val="22"/>
          <w:szCs w:val="22"/>
        </w:rPr>
        <w:t>zap</w:t>
      </w:r>
      <w:r w:rsidRPr="00A35E28">
        <w:rPr>
          <w:rFonts w:ascii="Arial" w:hAnsi="Arial" w:cs="Arial"/>
          <w:color w:val="000000"/>
          <w:spacing w:val="1"/>
          <w:sz w:val="22"/>
          <w:szCs w:val="22"/>
        </w:rPr>
        <w:t>oč</w:t>
      </w:r>
      <w:r w:rsidRPr="00A35E28">
        <w:rPr>
          <w:rFonts w:ascii="Arial" w:hAnsi="Arial" w:cs="Arial"/>
          <w:color w:val="000000"/>
          <w:sz w:val="22"/>
          <w:szCs w:val="22"/>
        </w:rPr>
        <w:t>teny</w:t>
      </w:r>
      <w:r w:rsidRPr="00A35E28">
        <w:rPr>
          <w:rFonts w:ascii="Arial" w:hAnsi="Arial" w:cs="Arial"/>
          <w:color w:val="000000"/>
          <w:spacing w:val="-10"/>
          <w:sz w:val="22"/>
          <w:szCs w:val="22"/>
        </w:rPr>
        <w:t xml:space="preserve"> </w:t>
      </w:r>
      <w:r w:rsidRPr="00A35E28">
        <w:rPr>
          <w:rFonts w:ascii="Arial" w:hAnsi="Arial" w:cs="Arial"/>
          <w:color w:val="000000"/>
          <w:sz w:val="22"/>
          <w:szCs w:val="22"/>
        </w:rPr>
        <w:t>nebo</w:t>
      </w:r>
      <w:r w:rsidRPr="00A35E28">
        <w:rPr>
          <w:rFonts w:ascii="Arial" w:hAnsi="Arial" w:cs="Arial"/>
          <w:color w:val="000000"/>
          <w:spacing w:val="-5"/>
          <w:sz w:val="22"/>
          <w:szCs w:val="22"/>
        </w:rPr>
        <w:t xml:space="preserve"> </w:t>
      </w:r>
      <w:r w:rsidRPr="00A35E28">
        <w:rPr>
          <w:rFonts w:ascii="Arial" w:hAnsi="Arial" w:cs="Arial"/>
          <w:color w:val="000000"/>
          <w:sz w:val="22"/>
          <w:szCs w:val="22"/>
        </w:rPr>
        <w:t>přiřazeny</w:t>
      </w:r>
      <w:r w:rsidRPr="00A35E28">
        <w:rPr>
          <w:rFonts w:ascii="Arial" w:hAnsi="Arial" w:cs="Arial"/>
          <w:color w:val="000000"/>
          <w:spacing w:val="-9"/>
          <w:sz w:val="22"/>
          <w:szCs w:val="22"/>
        </w:rPr>
        <w:t xml:space="preserve"> </w:t>
      </w:r>
      <w:r w:rsidRPr="00A35E28">
        <w:rPr>
          <w:rFonts w:ascii="Arial" w:hAnsi="Arial" w:cs="Arial"/>
          <w:color w:val="000000"/>
          <w:sz w:val="22"/>
          <w:szCs w:val="22"/>
        </w:rPr>
        <w:t>víc</w:t>
      </w:r>
      <w:r w:rsidRPr="00A35E28">
        <w:rPr>
          <w:rFonts w:ascii="Arial" w:hAnsi="Arial" w:cs="Arial"/>
          <w:color w:val="000000"/>
          <w:spacing w:val="-3"/>
          <w:sz w:val="22"/>
          <w:szCs w:val="22"/>
        </w:rPr>
        <w:t xml:space="preserve"> </w:t>
      </w:r>
      <w:r w:rsidRPr="00A35E28">
        <w:rPr>
          <w:rFonts w:ascii="Arial" w:hAnsi="Arial" w:cs="Arial"/>
          <w:color w:val="000000"/>
          <w:sz w:val="22"/>
          <w:szCs w:val="22"/>
        </w:rPr>
        <w:t>než</w:t>
      </w:r>
      <w:r w:rsidRPr="00A35E28">
        <w:rPr>
          <w:rFonts w:ascii="Arial" w:hAnsi="Arial" w:cs="Arial"/>
          <w:color w:val="000000"/>
          <w:spacing w:val="-4"/>
          <w:sz w:val="22"/>
          <w:szCs w:val="22"/>
        </w:rPr>
        <w:t xml:space="preserve"> </w:t>
      </w:r>
      <w:r w:rsidRPr="00A35E28">
        <w:rPr>
          <w:rFonts w:ascii="Arial" w:hAnsi="Arial" w:cs="Arial"/>
          <w:color w:val="000000"/>
          <w:sz w:val="22"/>
          <w:szCs w:val="22"/>
        </w:rPr>
        <w:t>je</w:t>
      </w:r>
      <w:r w:rsidRPr="00A35E28">
        <w:rPr>
          <w:rFonts w:ascii="Arial" w:hAnsi="Arial" w:cs="Arial"/>
          <w:color w:val="000000"/>
          <w:spacing w:val="-1"/>
          <w:sz w:val="22"/>
          <w:szCs w:val="22"/>
        </w:rPr>
        <w:t>d</w:t>
      </w:r>
      <w:r w:rsidRPr="00A35E28">
        <w:rPr>
          <w:rFonts w:ascii="Arial" w:hAnsi="Arial" w:cs="Arial"/>
          <w:color w:val="000000"/>
          <w:sz w:val="22"/>
          <w:szCs w:val="22"/>
        </w:rPr>
        <w:t>enkrát.</w:t>
      </w:r>
    </w:p>
    <w:p w:rsidR="004A6A67" w:rsidRPr="00A35E28" w:rsidRDefault="004A6A67" w:rsidP="00F13ABF">
      <w:pPr>
        <w:widowControl w:val="0"/>
        <w:tabs>
          <w:tab w:val="left" w:pos="1276"/>
          <w:tab w:val="left" w:pos="2240"/>
          <w:tab w:val="left" w:pos="2680"/>
          <w:tab w:val="left" w:pos="3680"/>
          <w:tab w:val="left" w:pos="4980"/>
          <w:tab w:val="left" w:pos="5920"/>
          <w:tab w:val="left" w:pos="6540"/>
          <w:tab w:val="left" w:pos="7740"/>
          <w:tab w:val="left" w:pos="8080"/>
        </w:tabs>
        <w:autoSpaceDE w:val="0"/>
        <w:autoSpaceDN w:val="0"/>
        <w:adjustRightInd w:val="0"/>
        <w:spacing w:before="120" w:after="120"/>
        <w:ind w:firstLine="828"/>
        <w:jc w:val="both"/>
        <w:rPr>
          <w:rFonts w:ascii="Arial" w:hAnsi="Arial" w:cs="Arial"/>
          <w:color w:val="000000"/>
          <w:sz w:val="22"/>
          <w:szCs w:val="22"/>
        </w:rPr>
      </w:pPr>
      <w:r w:rsidRPr="00A35E28">
        <w:rPr>
          <w:rFonts w:ascii="Arial" w:hAnsi="Arial" w:cs="Arial"/>
          <w:color w:val="000000"/>
          <w:sz w:val="22"/>
          <w:szCs w:val="22"/>
        </w:rPr>
        <w:t>(5)</w:t>
      </w:r>
      <w:r w:rsidRPr="00A35E28">
        <w:rPr>
          <w:rFonts w:ascii="Arial" w:hAnsi="Arial" w:cs="Arial"/>
          <w:color w:val="000000"/>
          <w:sz w:val="22"/>
          <w:szCs w:val="22"/>
        </w:rPr>
        <w:tab/>
        <w:t>Náklady</w:t>
      </w:r>
      <w:r w:rsidR="00C90379" w:rsidRPr="00A35E28">
        <w:rPr>
          <w:rFonts w:ascii="Arial" w:hAnsi="Arial" w:cs="Arial"/>
          <w:color w:val="000000"/>
          <w:sz w:val="22"/>
          <w:szCs w:val="22"/>
        </w:rPr>
        <w:t xml:space="preserve"> </w:t>
      </w:r>
      <w:r w:rsidRPr="00A35E28">
        <w:rPr>
          <w:rFonts w:ascii="Arial" w:hAnsi="Arial" w:cs="Arial"/>
          <w:color w:val="000000"/>
          <w:sz w:val="22"/>
          <w:szCs w:val="22"/>
        </w:rPr>
        <w:t>se</w:t>
      </w:r>
      <w:r w:rsidR="00C90379" w:rsidRPr="00A35E28">
        <w:rPr>
          <w:rFonts w:ascii="Arial" w:hAnsi="Arial" w:cs="Arial"/>
          <w:color w:val="000000"/>
          <w:sz w:val="22"/>
          <w:szCs w:val="22"/>
        </w:rPr>
        <w:t xml:space="preserve"> </w:t>
      </w:r>
      <w:r w:rsidRPr="00A35E28">
        <w:rPr>
          <w:rFonts w:ascii="Arial" w:hAnsi="Arial" w:cs="Arial"/>
          <w:color w:val="000000"/>
          <w:spacing w:val="1"/>
          <w:sz w:val="22"/>
          <w:szCs w:val="22"/>
        </w:rPr>
        <w:t>p</w:t>
      </w:r>
      <w:r w:rsidRPr="00A35E28">
        <w:rPr>
          <w:rFonts w:ascii="Arial" w:hAnsi="Arial" w:cs="Arial"/>
          <w:color w:val="000000"/>
          <w:sz w:val="22"/>
          <w:szCs w:val="22"/>
        </w:rPr>
        <w:t>řiřazují</w:t>
      </w:r>
      <w:r w:rsidR="00C90379" w:rsidRPr="00A35E28">
        <w:rPr>
          <w:rFonts w:ascii="Arial" w:hAnsi="Arial" w:cs="Arial"/>
          <w:color w:val="000000"/>
          <w:sz w:val="22"/>
          <w:szCs w:val="22"/>
        </w:rPr>
        <w:t xml:space="preserve"> </w:t>
      </w:r>
      <w:r w:rsidRPr="00A35E28">
        <w:rPr>
          <w:rFonts w:ascii="Arial" w:hAnsi="Arial" w:cs="Arial"/>
          <w:color w:val="000000"/>
          <w:sz w:val="22"/>
          <w:szCs w:val="22"/>
        </w:rPr>
        <w:t>jednotlivým</w:t>
      </w:r>
      <w:r w:rsidR="00C90379" w:rsidRPr="00A35E28">
        <w:rPr>
          <w:rFonts w:ascii="Arial" w:hAnsi="Arial" w:cs="Arial"/>
          <w:color w:val="000000"/>
          <w:sz w:val="22"/>
          <w:szCs w:val="22"/>
        </w:rPr>
        <w:t xml:space="preserve"> </w:t>
      </w:r>
      <w:r w:rsidRPr="00A35E28">
        <w:rPr>
          <w:rFonts w:ascii="Arial" w:hAnsi="Arial" w:cs="Arial"/>
          <w:color w:val="000000"/>
          <w:sz w:val="22"/>
          <w:szCs w:val="22"/>
        </w:rPr>
        <w:t>prv</w:t>
      </w:r>
      <w:r w:rsidRPr="00A35E28">
        <w:rPr>
          <w:rFonts w:ascii="Arial" w:hAnsi="Arial" w:cs="Arial"/>
          <w:color w:val="000000"/>
          <w:spacing w:val="2"/>
          <w:sz w:val="22"/>
          <w:szCs w:val="22"/>
        </w:rPr>
        <w:t>k</w:t>
      </w:r>
      <w:r w:rsidRPr="00A35E28">
        <w:rPr>
          <w:rFonts w:ascii="Arial" w:hAnsi="Arial" w:cs="Arial"/>
          <w:color w:val="000000"/>
          <w:sz w:val="22"/>
          <w:szCs w:val="22"/>
        </w:rPr>
        <w:t>ům</w:t>
      </w:r>
      <w:r w:rsidR="00C90379" w:rsidRPr="00A35E28">
        <w:rPr>
          <w:rFonts w:ascii="Arial" w:hAnsi="Arial" w:cs="Arial"/>
          <w:color w:val="000000"/>
          <w:sz w:val="22"/>
          <w:szCs w:val="22"/>
        </w:rPr>
        <w:t xml:space="preserve"> </w:t>
      </w:r>
      <w:r w:rsidRPr="00A35E28">
        <w:rPr>
          <w:rFonts w:ascii="Arial" w:hAnsi="Arial" w:cs="Arial"/>
          <w:color w:val="000000"/>
          <w:spacing w:val="1"/>
          <w:sz w:val="22"/>
          <w:szCs w:val="22"/>
        </w:rPr>
        <w:t>sí</w:t>
      </w:r>
      <w:r w:rsidRPr="00A35E28">
        <w:rPr>
          <w:rFonts w:ascii="Arial" w:hAnsi="Arial" w:cs="Arial"/>
          <w:color w:val="000000"/>
          <w:sz w:val="22"/>
          <w:szCs w:val="22"/>
        </w:rPr>
        <w:t>tě,</w:t>
      </w:r>
      <w:r w:rsidR="00C90379" w:rsidRPr="00A35E28">
        <w:rPr>
          <w:rFonts w:ascii="Arial" w:hAnsi="Arial" w:cs="Arial"/>
          <w:color w:val="000000"/>
          <w:sz w:val="22"/>
          <w:szCs w:val="22"/>
        </w:rPr>
        <w:t xml:space="preserve"> </w:t>
      </w:r>
      <w:r w:rsidRPr="00A35E28">
        <w:rPr>
          <w:rFonts w:ascii="Arial" w:hAnsi="Arial" w:cs="Arial"/>
          <w:color w:val="000000"/>
          <w:spacing w:val="1"/>
          <w:sz w:val="22"/>
          <w:szCs w:val="22"/>
        </w:rPr>
        <w:t>č</w:t>
      </w:r>
      <w:r w:rsidRPr="00A35E28">
        <w:rPr>
          <w:rFonts w:ascii="Arial" w:hAnsi="Arial" w:cs="Arial"/>
          <w:color w:val="000000"/>
          <w:sz w:val="22"/>
          <w:szCs w:val="22"/>
        </w:rPr>
        <w:t>i</w:t>
      </w:r>
      <w:r w:rsidRPr="00A35E28">
        <w:rPr>
          <w:rFonts w:ascii="Arial" w:hAnsi="Arial" w:cs="Arial"/>
          <w:color w:val="000000"/>
          <w:spacing w:val="-1"/>
          <w:sz w:val="22"/>
          <w:szCs w:val="22"/>
        </w:rPr>
        <w:t>n</w:t>
      </w:r>
      <w:r w:rsidRPr="00A35E28">
        <w:rPr>
          <w:rFonts w:ascii="Arial" w:hAnsi="Arial" w:cs="Arial"/>
          <w:color w:val="000000"/>
          <w:sz w:val="22"/>
          <w:szCs w:val="22"/>
        </w:rPr>
        <w:t>nostem</w:t>
      </w:r>
      <w:r w:rsidR="00C90379" w:rsidRPr="00A35E28">
        <w:rPr>
          <w:rFonts w:ascii="Arial" w:hAnsi="Arial" w:cs="Arial"/>
          <w:color w:val="000000"/>
          <w:sz w:val="22"/>
          <w:szCs w:val="22"/>
        </w:rPr>
        <w:t xml:space="preserve"> </w:t>
      </w:r>
      <w:r w:rsidRPr="00A35E28">
        <w:rPr>
          <w:rFonts w:ascii="Arial" w:hAnsi="Arial" w:cs="Arial"/>
          <w:color w:val="000000"/>
          <w:sz w:val="22"/>
          <w:szCs w:val="22"/>
        </w:rPr>
        <w:t>a</w:t>
      </w:r>
      <w:r w:rsidR="00C90379" w:rsidRPr="00A35E28">
        <w:rPr>
          <w:rFonts w:ascii="Arial" w:hAnsi="Arial" w:cs="Arial"/>
          <w:color w:val="000000"/>
          <w:sz w:val="22"/>
          <w:szCs w:val="22"/>
        </w:rPr>
        <w:t xml:space="preserve"> </w:t>
      </w:r>
      <w:r w:rsidRPr="00A35E28">
        <w:rPr>
          <w:rFonts w:ascii="Arial" w:hAnsi="Arial" w:cs="Arial"/>
          <w:color w:val="000000"/>
          <w:sz w:val="22"/>
          <w:szCs w:val="22"/>
        </w:rPr>
        <w:t>jednotlivým velkoobch</w:t>
      </w:r>
      <w:r w:rsidRPr="00A35E28">
        <w:rPr>
          <w:rFonts w:ascii="Arial" w:hAnsi="Arial" w:cs="Arial"/>
          <w:color w:val="000000"/>
          <w:spacing w:val="-1"/>
          <w:sz w:val="22"/>
          <w:szCs w:val="22"/>
        </w:rPr>
        <w:t>o</w:t>
      </w:r>
      <w:r w:rsidRPr="00A35E28">
        <w:rPr>
          <w:rFonts w:ascii="Arial" w:hAnsi="Arial" w:cs="Arial"/>
          <w:color w:val="000000"/>
          <w:sz w:val="22"/>
          <w:szCs w:val="22"/>
        </w:rPr>
        <w:t>dním</w:t>
      </w:r>
      <w:r w:rsidRPr="00A35E28">
        <w:rPr>
          <w:rFonts w:ascii="Arial" w:hAnsi="Arial" w:cs="Arial"/>
          <w:color w:val="000000"/>
          <w:spacing w:val="1"/>
          <w:sz w:val="22"/>
          <w:szCs w:val="22"/>
        </w:rPr>
        <w:t xml:space="preserve"> a</w:t>
      </w:r>
      <w:r w:rsidR="00C90379" w:rsidRPr="00A35E28">
        <w:rPr>
          <w:rFonts w:ascii="Arial" w:hAnsi="Arial" w:cs="Arial"/>
          <w:color w:val="000000"/>
          <w:spacing w:val="1"/>
          <w:sz w:val="22"/>
          <w:szCs w:val="22"/>
        </w:rPr>
        <w:t xml:space="preserve"> </w:t>
      </w:r>
      <w:r w:rsidRPr="00A35E28">
        <w:rPr>
          <w:rFonts w:ascii="Arial" w:hAnsi="Arial" w:cs="Arial"/>
          <w:color w:val="000000"/>
          <w:sz w:val="22"/>
          <w:szCs w:val="22"/>
        </w:rPr>
        <w:t>ma</w:t>
      </w:r>
      <w:r w:rsidRPr="00A35E28">
        <w:rPr>
          <w:rFonts w:ascii="Arial" w:hAnsi="Arial" w:cs="Arial"/>
          <w:color w:val="000000"/>
          <w:spacing w:val="1"/>
          <w:sz w:val="22"/>
          <w:szCs w:val="22"/>
        </w:rPr>
        <w:t>l</w:t>
      </w:r>
      <w:r w:rsidRPr="00A35E28">
        <w:rPr>
          <w:rFonts w:ascii="Arial" w:hAnsi="Arial" w:cs="Arial"/>
          <w:color w:val="000000"/>
          <w:sz w:val="22"/>
          <w:szCs w:val="22"/>
        </w:rPr>
        <w:t>oobchodním službám</w:t>
      </w:r>
      <w:r w:rsidRPr="00A35E28">
        <w:rPr>
          <w:rFonts w:ascii="Arial" w:hAnsi="Arial" w:cs="Arial"/>
          <w:color w:val="000000"/>
          <w:spacing w:val="7"/>
          <w:sz w:val="22"/>
          <w:szCs w:val="22"/>
        </w:rPr>
        <w:t xml:space="preserve"> </w:t>
      </w:r>
      <w:r w:rsidRPr="00A35E28">
        <w:rPr>
          <w:rFonts w:ascii="Arial" w:hAnsi="Arial" w:cs="Arial"/>
          <w:color w:val="000000"/>
          <w:sz w:val="22"/>
          <w:szCs w:val="22"/>
        </w:rPr>
        <w:t>elektronických</w:t>
      </w:r>
      <w:r w:rsidRPr="00A35E28">
        <w:rPr>
          <w:rFonts w:ascii="Arial" w:hAnsi="Arial" w:cs="Arial"/>
          <w:color w:val="000000"/>
          <w:spacing w:val="1"/>
          <w:sz w:val="22"/>
          <w:szCs w:val="22"/>
        </w:rPr>
        <w:t xml:space="preserve"> </w:t>
      </w:r>
      <w:r w:rsidRPr="00A35E28">
        <w:rPr>
          <w:rFonts w:ascii="Arial" w:hAnsi="Arial" w:cs="Arial"/>
          <w:color w:val="000000"/>
          <w:sz w:val="22"/>
          <w:szCs w:val="22"/>
        </w:rPr>
        <w:t>komunikací</w:t>
      </w:r>
      <w:r w:rsidR="0047095F">
        <w:rPr>
          <w:rFonts w:ascii="Arial" w:hAnsi="Arial" w:cs="Arial"/>
          <w:color w:val="000000"/>
          <w:spacing w:val="4"/>
          <w:sz w:val="22"/>
          <w:szCs w:val="22"/>
        </w:rPr>
        <w:t xml:space="preserve"> na </w:t>
      </w:r>
      <w:r w:rsidRPr="00A35E28">
        <w:rPr>
          <w:rFonts w:ascii="Arial" w:hAnsi="Arial" w:cs="Arial"/>
          <w:color w:val="000000"/>
          <w:sz w:val="22"/>
          <w:szCs w:val="22"/>
        </w:rPr>
        <w:t>zákla</w:t>
      </w:r>
      <w:r w:rsidRPr="00A35E28">
        <w:rPr>
          <w:rFonts w:ascii="Arial" w:hAnsi="Arial" w:cs="Arial"/>
          <w:color w:val="000000"/>
          <w:spacing w:val="1"/>
          <w:sz w:val="22"/>
          <w:szCs w:val="22"/>
        </w:rPr>
        <w:t>d</w:t>
      </w:r>
      <w:r w:rsidRPr="00A35E28">
        <w:rPr>
          <w:rFonts w:ascii="Arial" w:hAnsi="Arial" w:cs="Arial"/>
          <w:color w:val="000000"/>
          <w:sz w:val="22"/>
          <w:szCs w:val="22"/>
        </w:rPr>
        <w:t>ě</w:t>
      </w:r>
      <w:r w:rsidRPr="00A35E28">
        <w:rPr>
          <w:rFonts w:ascii="Arial" w:hAnsi="Arial" w:cs="Arial"/>
          <w:color w:val="000000"/>
          <w:spacing w:val="7"/>
          <w:sz w:val="22"/>
          <w:szCs w:val="22"/>
        </w:rPr>
        <w:t xml:space="preserve"> </w:t>
      </w:r>
      <w:r w:rsidRPr="00A35E28">
        <w:rPr>
          <w:rFonts w:ascii="Arial" w:hAnsi="Arial" w:cs="Arial"/>
          <w:color w:val="000000"/>
          <w:sz w:val="22"/>
          <w:szCs w:val="22"/>
        </w:rPr>
        <w:t>principu objektivnosti,</w:t>
      </w:r>
      <w:r w:rsidRPr="00A35E28">
        <w:rPr>
          <w:rFonts w:ascii="Arial" w:hAnsi="Arial" w:cs="Arial"/>
          <w:color w:val="000000"/>
          <w:spacing w:val="-13"/>
          <w:sz w:val="22"/>
          <w:szCs w:val="22"/>
        </w:rPr>
        <w:t xml:space="preserve"> </w:t>
      </w:r>
      <w:r w:rsidRPr="00A35E28">
        <w:rPr>
          <w:rFonts w:ascii="Arial" w:hAnsi="Arial" w:cs="Arial"/>
          <w:color w:val="000000"/>
          <w:sz w:val="22"/>
          <w:szCs w:val="22"/>
        </w:rPr>
        <w:t>efektivnosti</w:t>
      </w:r>
      <w:r w:rsidRPr="00A35E28">
        <w:rPr>
          <w:rFonts w:ascii="Arial" w:hAnsi="Arial" w:cs="Arial"/>
          <w:color w:val="000000"/>
          <w:spacing w:val="-11"/>
          <w:sz w:val="22"/>
          <w:szCs w:val="22"/>
        </w:rPr>
        <w:t xml:space="preserve"> a </w:t>
      </w:r>
      <w:r w:rsidRPr="00A35E28">
        <w:rPr>
          <w:rFonts w:ascii="Arial" w:hAnsi="Arial" w:cs="Arial"/>
          <w:color w:val="000000"/>
          <w:sz w:val="22"/>
          <w:szCs w:val="22"/>
        </w:rPr>
        <w:t>průhledn</w:t>
      </w:r>
      <w:r w:rsidRPr="00A35E28">
        <w:rPr>
          <w:rFonts w:ascii="Arial" w:hAnsi="Arial" w:cs="Arial"/>
          <w:color w:val="000000"/>
          <w:spacing w:val="-1"/>
          <w:sz w:val="22"/>
          <w:szCs w:val="22"/>
        </w:rPr>
        <w:t>o</w:t>
      </w:r>
      <w:r w:rsidRPr="00A35E28">
        <w:rPr>
          <w:rFonts w:ascii="Arial" w:hAnsi="Arial" w:cs="Arial"/>
          <w:color w:val="000000"/>
          <w:sz w:val="22"/>
          <w:szCs w:val="22"/>
        </w:rPr>
        <w:t>sti,</w:t>
      </w:r>
      <w:r w:rsidRPr="00A35E28">
        <w:rPr>
          <w:rFonts w:ascii="Arial" w:hAnsi="Arial" w:cs="Arial"/>
          <w:color w:val="000000"/>
          <w:spacing w:val="-12"/>
          <w:sz w:val="22"/>
          <w:szCs w:val="22"/>
        </w:rPr>
        <w:t xml:space="preserve"> </w:t>
      </w:r>
      <w:r w:rsidRPr="00A35E28">
        <w:rPr>
          <w:rFonts w:ascii="Arial" w:hAnsi="Arial" w:cs="Arial"/>
          <w:color w:val="000000"/>
          <w:sz w:val="22"/>
          <w:szCs w:val="22"/>
        </w:rPr>
        <w:t>na</w:t>
      </w:r>
      <w:r w:rsidRPr="00A35E28">
        <w:rPr>
          <w:rFonts w:ascii="Arial" w:hAnsi="Arial" w:cs="Arial"/>
          <w:color w:val="000000"/>
          <w:spacing w:val="1"/>
          <w:sz w:val="22"/>
          <w:szCs w:val="22"/>
        </w:rPr>
        <w:t>p</w:t>
      </w:r>
      <w:r w:rsidRPr="00A35E28">
        <w:rPr>
          <w:rFonts w:ascii="Arial" w:hAnsi="Arial" w:cs="Arial"/>
          <w:color w:val="000000"/>
          <w:sz w:val="22"/>
          <w:szCs w:val="22"/>
        </w:rPr>
        <w:t>říkl</w:t>
      </w:r>
      <w:r w:rsidRPr="00A35E28">
        <w:rPr>
          <w:rFonts w:ascii="Arial" w:hAnsi="Arial" w:cs="Arial"/>
          <w:color w:val="000000"/>
          <w:spacing w:val="-1"/>
          <w:sz w:val="22"/>
          <w:szCs w:val="22"/>
        </w:rPr>
        <w:t>a</w:t>
      </w:r>
      <w:r w:rsidRPr="00A35E28">
        <w:rPr>
          <w:rFonts w:ascii="Arial" w:hAnsi="Arial" w:cs="Arial"/>
          <w:color w:val="000000"/>
          <w:sz w:val="22"/>
          <w:szCs w:val="22"/>
        </w:rPr>
        <w:t>d</w:t>
      </w:r>
      <w:r w:rsidRPr="00A35E28">
        <w:rPr>
          <w:rFonts w:ascii="Arial" w:hAnsi="Arial" w:cs="Arial"/>
          <w:color w:val="000000"/>
          <w:spacing w:val="-9"/>
          <w:sz w:val="22"/>
          <w:szCs w:val="22"/>
        </w:rPr>
        <w:t xml:space="preserve"> </w:t>
      </w:r>
      <w:r w:rsidRPr="00A35E28">
        <w:rPr>
          <w:rFonts w:ascii="Arial" w:hAnsi="Arial" w:cs="Arial"/>
          <w:color w:val="000000"/>
          <w:sz w:val="22"/>
          <w:szCs w:val="22"/>
        </w:rPr>
        <w:t>použitím</w:t>
      </w:r>
      <w:r w:rsidRPr="00A35E28">
        <w:rPr>
          <w:rFonts w:ascii="Arial" w:hAnsi="Arial" w:cs="Arial"/>
          <w:color w:val="000000"/>
          <w:spacing w:val="-8"/>
          <w:sz w:val="22"/>
          <w:szCs w:val="22"/>
        </w:rPr>
        <w:t xml:space="preserve"> </w:t>
      </w:r>
      <w:r w:rsidRPr="00A35E28">
        <w:rPr>
          <w:rFonts w:ascii="Arial" w:hAnsi="Arial" w:cs="Arial"/>
          <w:color w:val="000000"/>
          <w:sz w:val="22"/>
          <w:szCs w:val="22"/>
        </w:rPr>
        <w:t>metody</w:t>
      </w:r>
      <w:r w:rsidRPr="00A35E28">
        <w:rPr>
          <w:rFonts w:ascii="Arial" w:hAnsi="Arial" w:cs="Arial"/>
          <w:color w:val="000000"/>
          <w:spacing w:val="-7"/>
          <w:sz w:val="22"/>
          <w:szCs w:val="22"/>
        </w:rPr>
        <w:t xml:space="preserve"> </w:t>
      </w:r>
      <w:r w:rsidRPr="00A35E28">
        <w:rPr>
          <w:rFonts w:ascii="Arial" w:hAnsi="Arial" w:cs="Arial"/>
          <w:color w:val="000000"/>
          <w:sz w:val="22"/>
          <w:szCs w:val="22"/>
        </w:rPr>
        <w:t>AB</w:t>
      </w:r>
      <w:r w:rsidRPr="00A35E28">
        <w:rPr>
          <w:rFonts w:ascii="Arial" w:hAnsi="Arial" w:cs="Arial"/>
          <w:color w:val="000000"/>
          <w:spacing w:val="10"/>
          <w:sz w:val="22"/>
          <w:szCs w:val="22"/>
        </w:rPr>
        <w:t>C</w:t>
      </w:r>
      <w:r w:rsidRPr="00A35E28">
        <w:rPr>
          <w:rFonts w:ascii="Arial" w:hAnsi="Arial" w:cs="Arial"/>
          <w:color w:val="000000"/>
          <w:sz w:val="22"/>
          <w:szCs w:val="22"/>
        </w:rPr>
        <w:t>.</w:t>
      </w:r>
    </w:p>
    <w:p w:rsidR="004A6A67" w:rsidRPr="00A35E28" w:rsidRDefault="004A6A67" w:rsidP="00F13ABF">
      <w:pPr>
        <w:widowControl w:val="0"/>
        <w:tabs>
          <w:tab w:val="left" w:pos="1276"/>
        </w:tabs>
        <w:autoSpaceDE w:val="0"/>
        <w:autoSpaceDN w:val="0"/>
        <w:adjustRightInd w:val="0"/>
        <w:spacing w:before="120" w:after="120"/>
        <w:ind w:firstLine="828"/>
        <w:jc w:val="both"/>
        <w:rPr>
          <w:rFonts w:ascii="Arial" w:hAnsi="Arial" w:cs="Arial"/>
          <w:color w:val="000000"/>
          <w:sz w:val="22"/>
          <w:szCs w:val="22"/>
        </w:rPr>
      </w:pPr>
      <w:r w:rsidRPr="00A35E28">
        <w:rPr>
          <w:rFonts w:ascii="Arial" w:hAnsi="Arial" w:cs="Arial"/>
          <w:color w:val="000000"/>
          <w:sz w:val="22"/>
          <w:szCs w:val="22"/>
        </w:rPr>
        <w:t>(6)</w:t>
      </w:r>
      <w:r w:rsidRPr="00A35E28">
        <w:rPr>
          <w:rFonts w:ascii="Arial" w:hAnsi="Arial" w:cs="Arial"/>
          <w:color w:val="000000"/>
          <w:sz w:val="22"/>
          <w:szCs w:val="22"/>
        </w:rPr>
        <w:tab/>
        <w:t>Pořizovací</w:t>
      </w:r>
      <w:r w:rsidRPr="00027B02">
        <w:rPr>
          <w:rFonts w:ascii="Arial" w:hAnsi="Arial" w:cs="Arial"/>
          <w:color w:val="000000"/>
          <w:sz w:val="22"/>
          <w:szCs w:val="22"/>
        </w:rPr>
        <w:t xml:space="preserve"> </w:t>
      </w:r>
      <w:r w:rsidRPr="00A35E28">
        <w:rPr>
          <w:rFonts w:ascii="Arial" w:hAnsi="Arial" w:cs="Arial"/>
          <w:color w:val="000000"/>
          <w:sz w:val="22"/>
          <w:szCs w:val="22"/>
        </w:rPr>
        <w:t>cena</w:t>
      </w:r>
      <w:r w:rsidRPr="00027B02">
        <w:rPr>
          <w:rFonts w:ascii="Arial" w:hAnsi="Arial" w:cs="Arial"/>
          <w:color w:val="000000"/>
          <w:sz w:val="22"/>
          <w:szCs w:val="22"/>
        </w:rPr>
        <w:t xml:space="preserve"> </w:t>
      </w:r>
      <w:r w:rsidRPr="00A35E28">
        <w:rPr>
          <w:rFonts w:ascii="Arial" w:hAnsi="Arial" w:cs="Arial"/>
          <w:color w:val="000000"/>
          <w:sz w:val="22"/>
          <w:szCs w:val="22"/>
        </w:rPr>
        <w:t>dlouhodobého majetku</w:t>
      </w:r>
      <w:r w:rsidRPr="00027B02">
        <w:rPr>
          <w:rFonts w:ascii="Arial" w:hAnsi="Arial" w:cs="Arial"/>
          <w:color w:val="000000"/>
          <w:sz w:val="22"/>
          <w:szCs w:val="22"/>
        </w:rPr>
        <w:t xml:space="preserve"> </w:t>
      </w:r>
      <w:r w:rsidRPr="00A35E28">
        <w:rPr>
          <w:rFonts w:ascii="Arial" w:hAnsi="Arial" w:cs="Arial"/>
          <w:color w:val="000000"/>
          <w:sz w:val="22"/>
          <w:szCs w:val="22"/>
        </w:rPr>
        <w:t>se</w:t>
      </w:r>
      <w:r w:rsidRPr="00027B02">
        <w:rPr>
          <w:rFonts w:ascii="Arial" w:hAnsi="Arial" w:cs="Arial"/>
          <w:color w:val="000000"/>
          <w:sz w:val="22"/>
          <w:szCs w:val="22"/>
        </w:rPr>
        <w:t xml:space="preserve"> </w:t>
      </w:r>
      <w:r w:rsidRPr="00A35E28">
        <w:rPr>
          <w:rFonts w:ascii="Arial" w:hAnsi="Arial" w:cs="Arial"/>
          <w:color w:val="000000"/>
          <w:sz w:val="22"/>
          <w:szCs w:val="22"/>
        </w:rPr>
        <w:t>za</w:t>
      </w:r>
      <w:r w:rsidRPr="00027B02">
        <w:rPr>
          <w:rFonts w:ascii="Arial" w:hAnsi="Arial" w:cs="Arial"/>
          <w:color w:val="000000"/>
          <w:sz w:val="22"/>
          <w:szCs w:val="22"/>
        </w:rPr>
        <w:t>h</w:t>
      </w:r>
      <w:r w:rsidRPr="00A35E28">
        <w:rPr>
          <w:rFonts w:ascii="Arial" w:hAnsi="Arial" w:cs="Arial"/>
          <w:color w:val="000000"/>
          <w:sz w:val="22"/>
          <w:szCs w:val="22"/>
        </w:rPr>
        <w:t>rnuje</w:t>
      </w:r>
      <w:r w:rsidRPr="00027B02">
        <w:rPr>
          <w:rFonts w:ascii="Arial" w:hAnsi="Arial" w:cs="Arial"/>
          <w:color w:val="000000"/>
          <w:sz w:val="22"/>
          <w:szCs w:val="22"/>
        </w:rPr>
        <w:t xml:space="preserve"> do</w:t>
      </w:r>
      <w:r w:rsidR="00A83D2E" w:rsidRPr="00027B02">
        <w:rPr>
          <w:rFonts w:ascii="Arial" w:hAnsi="Arial" w:cs="Arial"/>
          <w:color w:val="000000"/>
          <w:sz w:val="22"/>
          <w:szCs w:val="22"/>
        </w:rPr>
        <w:t xml:space="preserve"> </w:t>
      </w:r>
      <w:r w:rsidRPr="00A35E28">
        <w:rPr>
          <w:rFonts w:ascii="Arial" w:hAnsi="Arial" w:cs="Arial"/>
          <w:color w:val="000000"/>
          <w:sz w:val="22"/>
          <w:szCs w:val="22"/>
        </w:rPr>
        <w:t>nákla</w:t>
      </w:r>
      <w:r w:rsidRPr="00027B02">
        <w:rPr>
          <w:rFonts w:ascii="Arial" w:hAnsi="Arial" w:cs="Arial"/>
          <w:color w:val="000000"/>
          <w:sz w:val="22"/>
          <w:szCs w:val="22"/>
        </w:rPr>
        <w:t>d</w:t>
      </w:r>
      <w:r w:rsidRPr="00A35E28">
        <w:rPr>
          <w:rFonts w:ascii="Arial" w:hAnsi="Arial" w:cs="Arial"/>
          <w:color w:val="000000"/>
          <w:sz w:val="22"/>
          <w:szCs w:val="22"/>
        </w:rPr>
        <w:t>ů</w:t>
      </w:r>
      <w:r w:rsidRPr="00027B02">
        <w:rPr>
          <w:rFonts w:ascii="Arial" w:hAnsi="Arial" w:cs="Arial"/>
          <w:color w:val="000000"/>
          <w:sz w:val="22"/>
          <w:szCs w:val="22"/>
        </w:rPr>
        <w:t xml:space="preserve"> </w:t>
      </w:r>
      <w:r w:rsidRPr="00A35E28">
        <w:rPr>
          <w:rFonts w:ascii="Arial" w:hAnsi="Arial" w:cs="Arial"/>
          <w:color w:val="000000"/>
          <w:sz w:val="22"/>
          <w:szCs w:val="22"/>
        </w:rPr>
        <w:t>formou</w:t>
      </w:r>
      <w:r w:rsidRPr="00027B02">
        <w:rPr>
          <w:rFonts w:ascii="Arial" w:hAnsi="Arial" w:cs="Arial"/>
          <w:color w:val="000000"/>
          <w:sz w:val="22"/>
          <w:szCs w:val="22"/>
        </w:rPr>
        <w:t xml:space="preserve"> </w:t>
      </w:r>
      <w:r w:rsidRPr="00A35E28">
        <w:rPr>
          <w:rFonts w:ascii="Arial" w:hAnsi="Arial" w:cs="Arial"/>
          <w:color w:val="000000"/>
          <w:sz w:val="22"/>
          <w:szCs w:val="22"/>
        </w:rPr>
        <w:t>odpi</w:t>
      </w:r>
      <w:r w:rsidRPr="00027B02">
        <w:rPr>
          <w:rFonts w:ascii="Arial" w:hAnsi="Arial" w:cs="Arial"/>
          <w:color w:val="000000"/>
          <w:sz w:val="22"/>
          <w:szCs w:val="22"/>
        </w:rPr>
        <w:t>s</w:t>
      </w:r>
      <w:r w:rsidRPr="00A35E28">
        <w:rPr>
          <w:rFonts w:ascii="Arial" w:hAnsi="Arial" w:cs="Arial"/>
          <w:color w:val="000000"/>
          <w:sz w:val="22"/>
          <w:szCs w:val="22"/>
        </w:rPr>
        <w:t>ů. Odpisy</w:t>
      </w:r>
      <w:r w:rsidRPr="00027B02">
        <w:rPr>
          <w:rFonts w:ascii="Arial" w:hAnsi="Arial" w:cs="Arial"/>
          <w:color w:val="000000"/>
          <w:sz w:val="22"/>
          <w:szCs w:val="22"/>
        </w:rPr>
        <w:t xml:space="preserve"> </w:t>
      </w:r>
      <w:r w:rsidRPr="00A35E28">
        <w:rPr>
          <w:rFonts w:ascii="Arial" w:hAnsi="Arial" w:cs="Arial"/>
          <w:color w:val="000000"/>
          <w:sz w:val="22"/>
          <w:szCs w:val="22"/>
        </w:rPr>
        <w:t>se</w:t>
      </w:r>
      <w:r w:rsidRPr="00027B02">
        <w:rPr>
          <w:rFonts w:ascii="Arial" w:hAnsi="Arial" w:cs="Arial"/>
          <w:color w:val="000000"/>
          <w:sz w:val="22"/>
          <w:szCs w:val="22"/>
        </w:rPr>
        <w:t xml:space="preserve"> </w:t>
      </w:r>
      <w:r w:rsidRPr="00A35E28">
        <w:rPr>
          <w:rFonts w:ascii="Arial" w:hAnsi="Arial" w:cs="Arial"/>
          <w:color w:val="000000"/>
          <w:sz w:val="22"/>
          <w:szCs w:val="22"/>
        </w:rPr>
        <w:t>přiřazují</w:t>
      </w:r>
      <w:r w:rsidRPr="00027B02">
        <w:rPr>
          <w:rFonts w:ascii="Arial" w:hAnsi="Arial" w:cs="Arial"/>
          <w:color w:val="000000"/>
          <w:sz w:val="22"/>
          <w:szCs w:val="22"/>
        </w:rPr>
        <w:t xml:space="preserve"> </w:t>
      </w:r>
      <w:r w:rsidRPr="00A35E28">
        <w:rPr>
          <w:rFonts w:ascii="Arial" w:hAnsi="Arial" w:cs="Arial"/>
          <w:color w:val="000000"/>
          <w:sz w:val="22"/>
          <w:szCs w:val="22"/>
        </w:rPr>
        <w:t>je</w:t>
      </w:r>
      <w:r w:rsidRPr="00027B02">
        <w:rPr>
          <w:rFonts w:ascii="Arial" w:hAnsi="Arial" w:cs="Arial"/>
          <w:color w:val="000000"/>
          <w:sz w:val="22"/>
          <w:szCs w:val="22"/>
        </w:rPr>
        <w:t>d</w:t>
      </w:r>
      <w:r w:rsidRPr="00A35E28">
        <w:rPr>
          <w:rFonts w:ascii="Arial" w:hAnsi="Arial" w:cs="Arial"/>
          <w:color w:val="000000"/>
          <w:sz w:val="22"/>
          <w:szCs w:val="22"/>
        </w:rPr>
        <w:t>notlivým</w:t>
      </w:r>
      <w:r w:rsidRPr="00027B02">
        <w:rPr>
          <w:rFonts w:ascii="Arial" w:hAnsi="Arial" w:cs="Arial"/>
          <w:color w:val="000000"/>
          <w:sz w:val="22"/>
          <w:szCs w:val="22"/>
        </w:rPr>
        <w:t xml:space="preserve"> </w:t>
      </w:r>
      <w:r w:rsidRPr="00A35E28">
        <w:rPr>
          <w:rFonts w:ascii="Arial" w:hAnsi="Arial" w:cs="Arial"/>
          <w:color w:val="000000"/>
          <w:sz w:val="22"/>
          <w:szCs w:val="22"/>
        </w:rPr>
        <w:t>prv</w:t>
      </w:r>
      <w:r w:rsidRPr="00027B02">
        <w:rPr>
          <w:rFonts w:ascii="Arial" w:hAnsi="Arial" w:cs="Arial"/>
          <w:color w:val="000000"/>
          <w:sz w:val="22"/>
          <w:szCs w:val="22"/>
        </w:rPr>
        <w:t>k</w:t>
      </w:r>
      <w:r w:rsidRPr="00A35E28">
        <w:rPr>
          <w:rFonts w:ascii="Arial" w:hAnsi="Arial" w:cs="Arial"/>
          <w:color w:val="000000"/>
          <w:sz w:val="22"/>
          <w:szCs w:val="22"/>
        </w:rPr>
        <w:t>ům</w:t>
      </w:r>
      <w:r w:rsidRPr="00027B02">
        <w:rPr>
          <w:rFonts w:ascii="Arial" w:hAnsi="Arial" w:cs="Arial"/>
          <w:color w:val="000000"/>
          <w:sz w:val="22"/>
          <w:szCs w:val="22"/>
        </w:rPr>
        <w:t xml:space="preserve"> s</w:t>
      </w:r>
      <w:r w:rsidRPr="00A35E28">
        <w:rPr>
          <w:rFonts w:ascii="Arial" w:hAnsi="Arial" w:cs="Arial"/>
          <w:color w:val="000000"/>
          <w:sz w:val="22"/>
          <w:szCs w:val="22"/>
        </w:rPr>
        <w:t>ítě,</w:t>
      </w:r>
      <w:r w:rsidRPr="00027B02">
        <w:rPr>
          <w:rFonts w:ascii="Arial" w:hAnsi="Arial" w:cs="Arial"/>
          <w:color w:val="000000"/>
          <w:sz w:val="22"/>
          <w:szCs w:val="22"/>
        </w:rPr>
        <w:t xml:space="preserve"> č</w:t>
      </w:r>
      <w:r w:rsidRPr="00A35E28">
        <w:rPr>
          <w:rFonts w:ascii="Arial" w:hAnsi="Arial" w:cs="Arial"/>
          <w:color w:val="000000"/>
          <w:sz w:val="22"/>
          <w:szCs w:val="22"/>
        </w:rPr>
        <w:t>innostem</w:t>
      </w:r>
      <w:r w:rsidRPr="00027B02">
        <w:rPr>
          <w:rFonts w:ascii="Arial" w:hAnsi="Arial" w:cs="Arial"/>
          <w:color w:val="000000"/>
          <w:sz w:val="22"/>
          <w:szCs w:val="22"/>
        </w:rPr>
        <w:t xml:space="preserve"> a </w:t>
      </w:r>
      <w:r w:rsidRPr="00A35E28">
        <w:rPr>
          <w:rFonts w:ascii="Arial" w:hAnsi="Arial" w:cs="Arial"/>
          <w:color w:val="000000"/>
          <w:sz w:val="22"/>
          <w:szCs w:val="22"/>
        </w:rPr>
        <w:t>náklado</w:t>
      </w:r>
      <w:r w:rsidRPr="00027B02">
        <w:rPr>
          <w:rFonts w:ascii="Arial" w:hAnsi="Arial" w:cs="Arial"/>
          <w:color w:val="000000"/>
          <w:sz w:val="22"/>
          <w:szCs w:val="22"/>
        </w:rPr>
        <w:t>v</w:t>
      </w:r>
      <w:r w:rsidRPr="00A35E28">
        <w:rPr>
          <w:rFonts w:ascii="Arial" w:hAnsi="Arial" w:cs="Arial"/>
          <w:color w:val="000000"/>
          <w:sz w:val="22"/>
          <w:szCs w:val="22"/>
        </w:rPr>
        <w:t>ým objek</w:t>
      </w:r>
      <w:r w:rsidRPr="00027B02">
        <w:rPr>
          <w:rFonts w:ascii="Arial" w:hAnsi="Arial" w:cs="Arial"/>
          <w:color w:val="000000"/>
          <w:sz w:val="22"/>
          <w:szCs w:val="22"/>
        </w:rPr>
        <w:t>tů</w:t>
      </w:r>
      <w:r w:rsidRPr="00A35E28">
        <w:rPr>
          <w:rFonts w:ascii="Arial" w:hAnsi="Arial" w:cs="Arial"/>
          <w:color w:val="000000"/>
          <w:sz w:val="22"/>
          <w:szCs w:val="22"/>
        </w:rPr>
        <w:t>m.</w:t>
      </w:r>
      <w:r w:rsidRPr="00027B02">
        <w:rPr>
          <w:rFonts w:ascii="Arial" w:hAnsi="Arial" w:cs="Arial"/>
          <w:color w:val="000000"/>
          <w:sz w:val="22"/>
          <w:szCs w:val="22"/>
        </w:rPr>
        <w:t xml:space="preserve"> </w:t>
      </w:r>
      <w:r w:rsidRPr="00A35E28">
        <w:rPr>
          <w:rFonts w:ascii="Arial" w:hAnsi="Arial" w:cs="Arial"/>
          <w:color w:val="000000"/>
          <w:sz w:val="22"/>
          <w:szCs w:val="22"/>
        </w:rPr>
        <w:t>Ostatní provozní</w:t>
      </w:r>
      <w:r w:rsidRPr="00027B02">
        <w:rPr>
          <w:rFonts w:ascii="Arial" w:hAnsi="Arial" w:cs="Arial"/>
          <w:color w:val="000000"/>
          <w:sz w:val="22"/>
          <w:szCs w:val="22"/>
        </w:rPr>
        <w:t xml:space="preserve"> </w:t>
      </w:r>
      <w:r w:rsidRPr="00A35E28">
        <w:rPr>
          <w:rFonts w:ascii="Arial" w:hAnsi="Arial" w:cs="Arial"/>
          <w:color w:val="000000"/>
          <w:sz w:val="22"/>
          <w:szCs w:val="22"/>
        </w:rPr>
        <w:t>náklady</w:t>
      </w:r>
      <w:r w:rsidRPr="00027B02">
        <w:rPr>
          <w:rFonts w:ascii="Arial" w:hAnsi="Arial" w:cs="Arial"/>
          <w:color w:val="000000"/>
          <w:sz w:val="22"/>
          <w:szCs w:val="22"/>
        </w:rPr>
        <w:t xml:space="preserve"> </w:t>
      </w:r>
      <w:r w:rsidRPr="00A35E28">
        <w:rPr>
          <w:rFonts w:ascii="Arial" w:hAnsi="Arial" w:cs="Arial"/>
          <w:color w:val="000000"/>
          <w:sz w:val="22"/>
          <w:szCs w:val="22"/>
        </w:rPr>
        <w:t>se</w:t>
      </w:r>
      <w:r w:rsidRPr="00027B02">
        <w:rPr>
          <w:rFonts w:ascii="Arial" w:hAnsi="Arial" w:cs="Arial"/>
          <w:color w:val="000000"/>
          <w:sz w:val="22"/>
          <w:szCs w:val="22"/>
        </w:rPr>
        <w:t xml:space="preserve"> </w:t>
      </w:r>
      <w:r w:rsidRPr="00A35E28">
        <w:rPr>
          <w:rFonts w:ascii="Arial" w:hAnsi="Arial" w:cs="Arial"/>
          <w:color w:val="000000"/>
          <w:sz w:val="22"/>
          <w:szCs w:val="22"/>
        </w:rPr>
        <w:t>př</w:t>
      </w:r>
      <w:r w:rsidRPr="00027B02">
        <w:rPr>
          <w:rFonts w:ascii="Arial" w:hAnsi="Arial" w:cs="Arial"/>
          <w:color w:val="000000"/>
          <w:sz w:val="22"/>
          <w:szCs w:val="22"/>
        </w:rPr>
        <w:t>i</w:t>
      </w:r>
      <w:r w:rsidRPr="00A35E28">
        <w:rPr>
          <w:rFonts w:ascii="Arial" w:hAnsi="Arial" w:cs="Arial"/>
          <w:color w:val="000000"/>
          <w:sz w:val="22"/>
          <w:szCs w:val="22"/>
        </w:rPr>
        <w:t>řazují</w:t>
      </w:r>
      <w:r w:rsidR="0047095F">
        <w:rPr>
          <w:rFonts w:ascii="Arial" w:hAnsi="Arial" w:cs="Arial"/>
          <w:color w:val="000000"/>
          <w:sz w:val="22"/>
          <w:szCs w:val="22"/>
        </w:rPr>
        <w:t xml:space="preserve"> na </w:t>
      </w:r>
      <w:r w:rsidRPr="00A35E28">
        <w:rPr>
          <w:rFonts w:ascii="Arial" w:hAnsi="Arial" w:cs="Arial"/>
          <w:color w:val="000000"/>
          <w:sz w:val="22"/>
          <w:szCs w:val="22"/>
        </w:rPr>
        <w:t>z</w:t>
      </w:r>
      <w:r w:rsidRPr="00027B02">
        <w:rPr>
          <w:rFonts w:ascii="Arial" w:hAnsi="Arial" w:cs="Arial"/>
          <w:color w:val="000000"/>
          <w:sz w:val="22"/>
          <w:szCs w:val="22"/>
        </w:rPr>
        <w:t>á</w:t>
      </w:r>
      <w:r w:rsidRPr="00A35E28">
        <w:rPr>
          <w:rFonts w:ascii="Arial" w:hAnsi="Arial" w:cs="Arial"/>
          <w:color w:val="000000"/>
          <w:sz w:val="22"/>
          <w:szCs w:val="22"/>
        </w:rPr>
        <w:t>kladě</w:t>
      </w:r>
      <w:r w:rsidRPr="00027B02">
        <w:rPr>
          <w:rFonts w:ascii="Arial" w:hAnsi="Arial" w:cs="Arial"/>
          <w:color w:val="000000"/>
          <w:sz w:val="22"/>
          <w:szCs w:val="22"/>
        </w:rPr>
        <w:t xml:space="preserve"> </w:t>
      </w:r>
      <w:r w:rsidRPr="00A35E28">
        <w:rPr>
          <w:rFonts w:ascii="Arial" w:hAnsi="Arial" w:cs="Arial"/>
          <w:color w:val="000000"/>
          <w:sz w:val="22"/>
          <w:szCs w:val="22"/>
        </w:rPr>
        <w:t>objek</w:t>
      </w:r>
      <w:r w:rsidRPr="00027B02">
        <w:rPr>
          <w:rFonts w:ascii="Arial" w:hAnsi="Arial" w:cs="Arial"/>
          <w:color w:val="000000"/>
          <w:sz w:val="22"/>
          <w:szCs w:val="22"/>
        </w:rPr>
        <w:t>t</w:t>
      </w:r>
      <w:r w:rsidRPr="00A35E28">
        <w:rPr>
          <w:rFonts w:ascii="Arial" w:hAnsi="Arial" w:cs="Arial"/>
          <w:color w:val="000000"/>
          <w:sz w:val="22"/>
          <w:szCs w:val="22"/>
        </w:rPr>
        <w:t>iv</w:t>
      </w:r>
      <w:r w:rsidRPr="00027B02">
        <w:rPr>
          <w:rFonts w:ascii="Arial" w:hAnsi="Arial" w:cs="Arial"/>
          <w:color w:val="000000"/>
          <w:sz w:val="22"/>
          <w:szCs w:val="22"/>
        </w:rPr>
        <w:t>n</w:t>
      </w:r>
      <w:r w:rsidRPr="00A35E28">
        <w:rPr>
          <w:rFonts w:ascii="Arial" w:hAnsi="Arial" w:cs="Arial"/>
          <w:color w:val="000000"/>
          <w:sz w:val="22"/>
          <w:szCs w:val="22"/>
        </w:rPr>
        <w:t>ě</w:t>
      </w:r>
      <w:r w:rsidRPr="00027B02">
        <w:rPr>
          <w:rFonts w:ascii="Arial" w:hAnsi="Arial" w:cs="Arial"/>
          <w:color w:val="000000"/>
          <w:sz w:val="22"/>
          <w:szCs w:val="22"/>
        </w:rPr>
        <w:t xml:space="preserve"> </w:t>
      </w:r>
      <w:r w:rsidRPr="00A35E28">
        <w:rPr>
          <w:rFonts w:ascii="Arial" w:hAnsi="Arial" w:cs="Arial"/>
          <w:color w:val="000000"/>
          <w:sz w:val="22"/>
          <w:szCs w:val="22"/>
        </w:rPr>
        <w:t>zvoleného alok</w:t>
      </w:r>
      <w:r w:rsidRPr="00027B02">
        <w:rPr>
          <w:rFonts w:ascii="Arial" w:hAnsi="Arial" w:cs="Arial"/>
          <w:color w:val="000000"/>
          <w:sz w:val="22"/>
          <w:szCs w:val="22"/>
        </w:rPr>
        <w:t>ačn</w:t>
      </w:r>
      <w:r w:rsidRPr="00A35E28">
        <w:rPr>
          <w:rFonts w:ascii="Arial" w:hAnsi="Arial" w:cs="Arial"/>
          <w:color w:val="000000"/>
          <w:sz w:val="22"/>
          <w:szCs w:val="22"/>
        </w:rPr>
        <w:t>ího</w:t>
      </w:r>
      <w:r w:rsidRPr="00027B02">
        <w:rPr>
          <w:rFonts w:ascii="Arial" w:hAnsi="Arial" w:cs="Arial"/>
          <w:color w:val="000000"/>
          <w:sz w:val="22"/>
          <w:szCs w:val="22"/>
        </w:rPr>
        <w:t xml:space="preserve"> </w:t>
      </w:r>
      <w:r w:rsidRPr="00A35E28">
        <w:rPr>
          <w:rFonts w:ascii="Arial" w:hAnsi="Arial" w:cs="Arial"/>
          <w:color w:val="000000"/>
          <w:sz w:val="22"/>
          <w:szCs w:val="22"/>
        </w:rPr>
        <w:t>klí</w:t>
      </w:r>
      <w:r w:rsidRPr="00027B02">
        <w:rPr>
          <w:rFonts w:ascii="Arial" w:hAnsi="Arial" w:cs="Arial"/>
          <w:color w:val="000000"/>
          <w:sz w:val="22"/>
          <w:szCs w:val="22"/>
        </w:rPr>
        <w:t>č</w:t>
      </w:r>
      <w:r w:rsidRPr="00A35E28">
        <w:rPr>
          <w:rFonts w:ascii="Arial" w:hAnsi="Arial" w:cs="Arial"/>
          <w:color w:val="000000"/>
          <w:sz w:val="22"/>
          <w:szCs w:val="22"/>
        </w:rPr>
        <w:t>e</w:t>
      </w:r>
      <w:r w:rsidRPr="00027B02">
        <w:rPr>
          <w:rFonts w:ascii="Arial" w:hAnsi="Arial" w:cs="Arial"/>
          <w:color w:val="000000"/>
          <w:sz w:val="22"/>
          <w:szCs w:val="22"/>
        </w:rPr>
        <w:t xml:space="preserve"> </w:t>
      </w:r>
      <w:r w:rsidR="006A741C" w:rsidRPr="00027B02">
        <w:rPr>
          <w:rFonts w:ascii="Arial" w:hAnsi="Arial" w:cs="Arial"/>
          <w:color w:val="000000"/>
          <w:sz w:val="22"/>
          <w:szCs w:val="22"/>
        </w:rPr>
        <w:t>například</w:t>
      </w:r>
      <w:r w:rsidR="0047095F">
        <w:rPr>
          <w:rFonts w:ascii="Arial" w:hAnsi="Arial" w:cs="Arial"/>
          <w:color w:val="000000"/>
          <w:sz w:val="22"/>
          <w:szCs w:val="22"/>
        </w:rPr>
        <w:t xml:space="preserve"> na </w:t>
      </w:r>
      <w:r w:rsidRPr="00A35E28">
        <w:rPr>
          <w:rFonts w:ascii="Arial" w:hAnsi="Arial" w:cs="Arial"/>
          <w:color w:val="000000"/>
          <w:sz w:val="22"/>
          <w:szCs w:val="22"/>
        </w:rPr>
        <w:t>zákla</w:t>
      </w:r>
      <w:r w:rsidRPr="00027B02">
        <w:rPr>
          <w:rFonts w:ascii="Arial" w:hAnsi="Arial" w:cs="Arial"/>
          <w:color w:val="000000"/>
          <w:sz w:val="22"/>
          <w:szCs w:val="22"/>
        </w:rPr>
        <w:t>d</w:t>
      </w:r>
      <w:r w:rsidRPr="00A35E28">
        <w:rPr>
          <w:rFonts w:ascii="Arial" w:hAnsi="Arial" w:cs="Arial"/>
          <w:color w:val="000000"/>
          <w:sz w:val="22"/>
          <w:szCs w:val="22"/>
        </w:rPr>
        <w:t>ě metody</w:t>
      </w:r>
      <w:r w:rsidRPr="00027B02">
        <w:rPr>
          <w:rFonts w:ascii="Arial" w:hAnsi="Arial" w:cs="Arial"/>
          <w:color w:val="000000"/>
          <w:sz w:val="22"/>
          <w:szCs w:val="22"/>
        </w:rPr>
        <w:t xml:space="preserve"> </w:t>
      </w:r>
      <w:r w:rsidRPr="00A35E28">
        <w:rPr>
          <w:rFonts w:ascii="Arial" w:hAnsi="Arial" w:cs="Arial"/>
          <w:color w:val="000000"/>
          <w:sz w:val="22"/>
          <w:szCs w:val="22"/>
        </w:rPr>
        <w:t>ABC.</w:t>
      </w:r>
      <w:r w:rsidRPr="00027B02">
        <w:rPr>
          <w:rFonts w:ascii="Arial" w:hAnsi="Arial" w:cs="Arial"/>
          <w:color w:val="000000"/>
          <w:sz w:val="22"/>
          <w:szCs w:val="22"/>
        </w:rPr>
        <w:t xml:space="preserve"> </w:t>
      </w:r>
      <w:r w:rsidRPr="00A35E28">
        <w:rPr>
          <w:rFonts w:ascii="Arial" w:hAnsi="Arial" w:cs="Arial"/>
          <w:color w:val="000000"/>
          <w:sz w:val="22"/>
          <w:szCs w:val="22"/>
        </w:rPr>
        <w:t>Náklady</w:t>
      </w:r>
      <w:r w:rsidRPr="00027B02">
        <w:rPr>
          <w:rFonts w:ascii="Arial" w:hAnsi="Arial" w:cs="Arial"/>
          <w:color w:val="000000"/>
          <w:sz w:val="22"/>
          <w:szCs w:val="22"/>
        </w:rPr>
        <w:t xml:space="preserve"> </w:t>
      </w:r>
      <w:r w:rsidRPr="00A35E28">
        <w:rPr>
          <w:rFonts w:ascii="Arial" w:hAnsi="Arial" w:cs="Arial"/>
          <w:color w:val="000000"/>
          <w:sz w:val="22"/>
          <w:szCs w:val="22"/>
        </w:rPr>
        <w:t>týkající</w:t>
      </w:r>
      <w:r w:rsidRPr="00027B02">
        <w:rPr>
          <w:rFonts w:ascii="Arial" w:hAnsi="Arial" w:cs="Arial"/>
          <w:color w:val="000000"/>
          <w:sz w:val="22"/>
          <w:szCs w:val="22"/>
        </w:rPr>
        <w:t xml:space="preserve"> </w:t>
      </w:r>
      <w:r w:rsidRPr="00A35E28">
        <w:rPr>
          <w:rFonts w:ascii="Arial" w:hAnsi="Arial" w:cs="Arial"/>
          <w:color w:val="000000"/>
          <w:sz w:val="22"/>
          <w:szCs w:val="22"/>
        </w:rPr>
        <w:t>se</w:t>
      </w:r>
      <w:r w:rsidRPr="00027B02">
        <w:rPr>
          <w:rFonts w:ascii="Arial" w:hAnsi="Arial" w:cs="Arial"/>
          <w:color w:val="000000"/>
          <w:sz w:val="22"/>
          <w:szCs w:val="22"/>
        </w:rPr>
        <w:t xml:space="preserve"> </w:t>
      </w:r>
      <w:r w:rsidRPr="00A35E28">
        <w:rPr>
          <w:rFonts w:ascii="Arial" w:hAnsi="Arial" w:cs="Arial"/>
          <w:color w:val="000000"/>
          <w:sz w:val="22"/>
          <w:szCs w:val="22"/>
        </w:rPr>
        <w:t>z</w:t>
      </w:r>
      <w:r w:rsidRPr="00027B02">
        <w:rPr>
          <w:rFonts w:ascii="Arial" w:hAnsi="Arial" w:cs="Arial"/>
          <w:color w:val="000000"/>
          <w:sz w:val="22"/>
          <w:szCs w:val="22"/>
        </w:rPr>
        <w:t>a</w:t>
      </w:r>
      <w:r w:rsidRPr="00A35E28">
        <w:rPr>
          <w:rFonts w:ascii="Arial" w:hAnsi="Arial" w:cs="Arial"/>
          <w:color w:val="000000"/>
          <w:sz w:val="22"/>
          <w:szCs w:val="22"/>
        </w:rPr>
        <w:t>bezpe</w:t>
      </w:r>
      <w:r w:rsidRPr="00027B02">
        <w:rPr>
          <w:rFonts w:ascii="Arial" w:hAnsi="Arial" w:cs="Arial"/>
          <w:color w:val="000000"/>
          <w:sz w:val="22"/>
          <w:szCs w:val="22"/>
        </w:rPr>
        <w:t>č</w:t>
      </w:r>
      <w:r w:rsidRPr="00A35E28">
        <w:rPr>
          <w:rFonts w:ascii="Arial" w:hAnsi="Arial" w:cs="Arial"/>
          <w:color w:val="000000"/>
          <w:sz w:val="22"/>
          <w:szCs w:val="22"/>
        </w:rPr>
        <w:t>ení</w:t>
      </w:r>
      <w:r w:rsidRPr="00027B02">
        <w:rPr>
          <w:rFonts w:ascii="Arial" w:hAnsi="Arial" w:cs="Arial"/>
          <w:color w:val="000000"/>
          <w:sz w:val="22"/>
          <w:szCs w:val="22"/>
        </w:rPr>
        <w:t xml:space="preserve"> </w:t>
      </w:r>
      <w:r w:rsidRPr="00A35E28">
        <w:rPr>
          <w:rFonts w:ascii="Arial" w:hAnsi="Arial" w:cs="Arial"/>
          <w:color w:val="000000"/>
          <w:sz w:val="22"/>
          <w:szCs w:val="22"/>
        </w:rPr>
        <w:t>provozusc</w:t>
      </w:r>
      <w:r w:rsidRPr="00027B02">
        <w:rPr>
          <w:rFonts w:ascii="Arial" w:hAnsi="Arial" w:cs="Arial"/>
          <w:color w:val="000000"/>
          <w:sz w:val="22"/>
          <w:szCs w:val="22"/>
        </w:rPr>
        <w:t>h</w:t>
      </w:r>
      <w:r w:rsidRPr="00A35E28">
        <w:rPr>
          <w:rFonts w:ascii="Arial" w:hAnsi="Arial" w:cs="Arial"/>
          <w:color w:val="000000"/>
          <w:sz w:val="22"/>
          <w:szCs w:val="22"/>
        </w:rPr>
        <w:t>opnosti</w:t>
      </w:r>
      <w:r w:rsidRPr="00027B02">
        <w:rPr>
          <w:rFonts w:ascii="Arial" w:hAnsi="Arial" w:cs="Arial"/>
          <w:color w:val="000000"/>
          <w:sz w:val="22"/>
          <w:szCs w:val="22"/>
        </w:rPr>
        <w:t xml:space="preserve"> </w:t>
      </w:r>
      <w:r w:rsidRPr="00A35E28">
        <w:rPr>
          <w:rFonts w:ascii="Arial" w:hAnsi="Arial" w:cs="Arial"/>
          <w:color w:val="000000"/>
          <w:sz w:val="22"/>
          <w:szCs w:val="22"/>
        </w:rPr>
        <w:t>da</w:t>
      </w:r>
      <w:r w:rsidRPr="00027B02">
        <w:rPr>
          <w:rFonts w:ascii="Arial" w:hAnsi="Arial" w:cs="Arial"/>
          <w:color w:val="000000"/>
          <w:sz w:val="22"/>
          <w:szCs w:val="22"/>
        </w:rPr>
        <w:t>n</w:t>
      </w:r>
      <w:r w:rsidRPr="00A35E28">
        <w:rPr>
          <w:rFonts w:ascii="Arial" w:hAnsi="Arial" w:cs="Arial"/>
          <w:color w:val="000000"/>
          <w:sz w:val="22"/>
          <w:szCs w:val="22"/>
        </w:rPr>
        <w:t>ého</w:t>
      </w:r>
      <w:r w:rsidRPr="00027B02">
        <w:rPr>
          <w:rFonts w:ascii="Arial" w:hAnsi="Arial" w:cs="Arial"/>
          <w:color w:val="000000"/>
          <w:sz w:val="22"/>
          <w:szCs w:val="22"/>
        </w:rPr>
        <w:t xml:space="preserve"> </w:t>
      </w:r>
      <w:r w:rsidRPr="00A35E28">
        <w:rPr>
          <w:rFonts w:ascii="Arial" w:hAnsi="Arial" w:cs="Arial"/>
          <w:color w:val="000000"/>
          <w:sz w:val="22"/>
          <w:szCs w:val="22"/>
        </w:rPr>
        <w:t>prvku sítě jsou</w:t>
      </w:r>
      <w:r w:rsidRPr="00027B02">
        <w:rPr>
          <w:rFonts w:ascii="Arial" w:hAnsi="Arial" w:cs="Arial"/>
          <w:color w:val="000000"/>
          <w:sz w:val="22"/>
          <w:szCs w:val="22"/>
        </w:rPr>
        <w:t xml:space="preserve"> </w:t>
      </w:r>
      <w:r w:rsidRPr="00A35E28">
        <w:rPr>
          <w:rFonts w:ascii="Arial" w:hAnsi="Arial" w:cs="Arial"/>
          <w:color w:val="000000"/>
          <w:sz w:val="22"/>
          <w:szCs w:val="22"/>
        </w:rPr>
        <w:t>p</w:t>
      </w:r>
      <w:r w:rsidRPr="00027B02">
        <w:rPr>
          <w:rFonts w:ascii="Arial" w:hAnsi="Arial" w:cs="Arial"/>
          <w:color w:val="000000"/>
          <w:sz w:val="22"/>
          <w:szCs w:val="22"/>
        </w:rPr>
        <w:t>ř</w:t>
      </w:r>
      <w:r w:rsidRPr="00A35E28">
        <w:rPr>
          <w:rFonts w:ascii="Arial" w:hAnsi="Arial" w:cs="Arial"/>
          <w:color w:val="000000"/>
          <w:sz w:val="22"/>
          <w:szCs w:val="22"/>
        </w:rPr>
        <w:t>iřazovány</w:t>
      </w:r>
      <w:r w:rsidRPr="00027B02">
        <w:rPr>
          <w:rFonts w:ascii="Arial" w:hAnsi="Arial" w:cs="Arial"/>
          <w:color w:val="000000"/>
          <w:sz w:val="22"/>
          <w:szCs w:val="22"/>
        </w:rPr>
        <w:t xml:space="preserve"> </w:t>
      </w:r>
      <w:r w:rsidRPr="00A35E28">
        <w:rPr>
          <w:rFonts w:ascii="Arial" w:hAnsi="Arial" w:cs="Arial"/>
          <w:color w:val="000000"/>
          <w:sz w:val="22"/>
          <w:szCs w:val="22"/>
        </w:rPr>
        <w:t>zejména</w:t>
      </w:r>
      <w:r w:rsidR="0047095F">
        <w:rPr>
          <w:rFonts w:ascii="Arial" w:hAnsi="Arial" w:cs="Arial"/>
          <w:color w:val="000000"/>
          <w:sz w:val="22"/>
          <w:szCs w:val="22"/>
        </w:rPr>
        <w:t xml:space="preserve"> na </w:t>
      </w:r>
      <w:r w:rsidRPr="00A35E28">
        <w:rPr>
          <w:rFonts w:ascii="Arial" w:hAnsi="Arial" w:cs="Arial"/>
          <w:color w:val="000000"/>
          <w:sz w:val="22"/>
          <w:szCs w:val="22"/>
        </w:rPr>
        <w:t>zákla</w:t>
      </w:r>
      <w:r w:rsidRPr="00027B02">
        <w:rPr>
          <w:rFonts w:ascii="Arial" w:hAnsi="Arial" w:cs="Arial"/>
          <w:color w:val="000000"/>
          <w:sz w:val="22"/>
          <w:szCs w:val="22"/>
        </w:rPr>
        <w:t>d</w:t>
      </w:r>
      <w:r w:rsidRPr="00A35E28">
        <w:rPr>
          <w:rFonts w:ascii="Arial" w:hAnsi="Arial" w:cs="Arial"/>
          <w:color w:val="000000"/>
          <w:sz w:val="22"/>
          <w:szCs w:val="22"/>
        </w:rPr>
        <w:t>ě</w:t>
      </w:r>
      <w:r w:rsidRPr="00027B02">
        <w:rPr>
          <w:rFonts w:ascii="Arial" w:hAnsi="Arial" w:cs="Arial"/>
          <w:color w:val="000000"/>
          <w:sz w:val="22"/>
          <w:szCs w:val="22"/>
        </w:rPr>
        <w:t xml:space="preserve"> </w:t>
      </w:r>
      <w:r w:rsidRPr="00A35E28">
        <w:rPr>
          <w:rFonts w:ascii="Arial" w:hAnsi="Arial" w:cs="Arial"/>
          <w:color w:val="000000"/>
          <w:sz w:val="22"/>
          <w:szCs w:val="22"/>
        </w:rPr>
        <w:t>al</w:t>
      </w:r>
      <w:r w:rsidRPr="00027B02">
        <w:rPr>
          <w:rFonts w:ascii="Arial" w:hAnsi="Arial" w:cs="Arial"/>
          <w:color w:val="000000"/>
          <w:sz w:val="22"/>
          <w:szCs w:val="22"/>
        </w:rPr>
        <w:t>ok</w:t>
      </w:r>
      <w:r w:rsidRPr="00A35E28">
        <w:rPr>
          <w:rFonts w:ascii="Arial" w:hAnsi="Arial" w:cs="Arial"/>
          <w:color w:val="000000"/>
          <w:sz w:val="22"/>
          <w:szCs w:val="22"/>
        </w:rPr>
        <w:t>a</w:t>
      </w:r>
      <w:r w:rsidRPr="00027B02">
        <w:rPr>
          <w:rFonts w:ascii="Arial" w:hAnsi="Arial" w:cs="Arial"/>
          <w:color w:val="000000"/>
          <w:sz w:val="22"/>
          <w:szCs w:val="22"/>
        </w:rPr>
        <w:t>č</w:t>
      </w:r>
      <w:r w:rsidRPr="00A35E28">
        <w:rPr>
          <w:rFonts w:ascii="Arial" w:hAnsi="Arial" w:cs="Arial"/>
          <w:color w:val="000000"/>
          <w:sz w:val="22"/>
          <w:szCs w:val="22"/>
        </w:rPr>
        <w:t>ního</w:t>
      </w:r>
      <w:r w:rsidRPr="00027B02">
        <w:rPr>
          <w:rFonts w:ascii="Arial" w:hAnsi="Arial" w:cs="Arial"/>
          <w:color w:val="000000"/>
          <w:sz w:val="22"/>
          <w:szCs w:val="22"/>
        </w:rPr>
        <w:t xml:space="preserve"> </w:t>
      </w:r>
      <w:r w:rsidRPr="00A35E28">
        <w:rPr>
          <w:rFonts w:ascii="Arial" w:hAnsi="Arial" w:cs="Arial"/>
          <w:color w:val="000000"/>
          <w:sz w:val="22"/>
          <w:szCs w:val="22"/>
        </w:rPr>
        <w:t>p</w:t>
      </w:r>
      <w:r w:rsidRPr="00027B02">
        <w:rPr>
          <w:rFonts w:ascii="Arial" w:hAnsi="Arial" w:cs="Arial"/>
          <w:color w:val="000000"/>
          <w:sz w:val="22"/>
          <w:szCs w:val="22"/>
        </w:rPr>
        <w:t>o</w:t>
      </w:r>
      <w:r w:rsidRPr="00A35E28">
        <w:rPr>
          <w:rFonts w:ascii="Arial" w:hAnsi="Arial" w:cs="Arial"/>
          <w:color w:val="000000"/>
          <w:sz w:val="22"/>
          <w:szCs w:val="22"/>
        </w:rPr>
        <w:t>měru</w:t>
      </w:r>
      <w:r w:rsidRPr="00027B02">
        <w:rPr>
          <w:rFonts w:ascii="Arial" w:hAnsi="Arial" w:cs="Arial"/>
          <w:color w:val="000000"/>
          <w:sz w:val="22"/>
          <w:szCs w:val="22"/>
        </w:rPr>
        <w:t xml:space="preserve"> </w:t>
      </w:r>
      <w:r w:rsidRPr="00A35E28">
        <w:rPr>
          <w:rFonts w:ascii="Arial" w:hAnsi="Arial" w:cs="Arial"/>
          <w:color w:val="000000"/>
          <w:sz w:val="22"/>
          <w:szCs w:val="22"/>
        </w:rPr>
        <w:t>odpracovaných</w:t>
      </w:r>
      <w:r w:rsidRPr="00027B02">
        <w:rPr>
          <w:rFonts w:ascii="Arial" w:hAnsi="Arial" w:cs="Arial"/>
          <w:color w:val="000000"/>
          <w:sz w:val="22"/>
          <w:szCs w:val="22"/>
        </w:rPr>
        <w:t xml:space="preserve"> h</w:t>
      </w:r>
      <w:r w:rsidRPr="00A35E28">
        <w:rPr>
          <w:rFonts w:ascii="Arial" w:hAnsi="Arial" w:cs="Arial"/>
          <w:color w:val="000000"/>
          <w:sz w:val="22"/>
          <w:szCs w:val="22"/>
        </w:rPr>
        <w:t>odin</w:t>
      </w:r>
      <w:r w:rsidR="0047095F">
        <w:rPr>
          <w:rFonts w:ascii="Arial" w:hAnsi="Arial" w:cs="Arial"/>
          <w:color w:val="000000"/>
          <w:sz w:val="22"/>
          <w:szCs w:val="22"/>
        </w:rPr>
        <w:t xml:space="preserve"> na </w:t>
      </w:r>
      <w:r w:rsidRPr="00A35E28">
        <w:rPr>
          <w:rFonts w:ascii="Arial" w:hAnsi="Arial" w:cs="Arial"/>
          <w:color w:val="000000"/>
          <w:sz w:val="22"/>
          <w:szCs w:val="22"/>
        </w:rPr>
        <w:t>daném</w:t>
      </w:r>
      <w:r w:rsidRPr="00027B02">
        <w:rPr>
          <w:rFonts w:ascii="Arial" w:hAnsi="Arial" w:cs="Arial"/>
          <w:color w:val="000000"/>
          <w:sz w:val="22"/>
          <w:szCs w:val="22"/>
        </w:rPr>
        <w:t xml:space="preserve"> </w:t>
      </w:r>
      <w:r w:rsidRPr="00A35E28">
        <w:rPr>
          <w:rFonts w:ascii="Arial" w:hAnsi="Arial" w:cs="Arial"/>
          <w:color w:val="000000"/>
          <w:sz w:val="22"/>
          <w:szCs w:val="22"/>
        </w:rPr>
        <w:t>prvku.</w:t>
      </w:r>
      <w:r w:rsidR="0047095F">
        <w:rPr>
          <w:rFonts w:ascii="Arial" w:hAnsi="Arial" w:cs="Arial"/>
          <w:color w:val="000000"/>
          <w:sz w:val="22"/>
          <w:szCs w:val="22"/>
        </w:rPr>
        <w:t xml:space="preserve"> </w:t>
      </w:r>
      <w:r w:rsidR="00DD48E0">
        <w:rPr>
          <w:rFonts w:ascii="Arial" w:hAnsi="Arial" w:cs="Arial"/>
          <w:color w:val="000000"/>
          <w:sz w:val="22"/>
          <w:szCs w:val="22"/>
        </w:rPr>
        <w:t>V</w:t>
      </w:r>
      <w:r w:rsidR="0047095F">
        <w:rPr>
          <w:rFonts w:ascii="Arial" w:hAnsi="Arial" w:cs="Arial"/>
          <w:color w:val="000000"/>
          <w:sz w:val="22"/>
          <w:szCs w:val="22"/>
        </w:rPr>
        <w:t> </w:t>
      </w:r>
      <w:r w:rsidRPr="00A35E28">
        <w:rPr>
          <w:rFonts w:ascii="Arial" w:hAnsi="Arial" w:cs="Arial"/>
          <w:color w:val="000000"/>
          <w:sz w:val="22"/>
          <w:szCs w:val="22"/>
        </w:rPr>
        <w:t>ostatních</w:t>
      </w:r>
      <w:r w:rsidRPr="00027B02">
        <w:rPr>
          <w:rFonts w:ascii="Arial" w:hAnsi="Arial" w:cs="Arial"/>
          <w:color w:val="000000"/>
          <w:sz w:val="22"/>
          <w:szCs w:val="22"/>
        </w:rPr>
        <w:t xml:space="preserve"> </w:t>
      </w:r>
      <w:r w:rsidRPr="00A35E28">
        <w:rPr>
          <w:rFonts w:ascii="Arial" w:hAnsi="Arial" w:cs="Arial"/>
          <w:color w:val="000000"/>
          <w:sz w:val="22"/>
          <w:szCs w:val="22"/>
        </w:rPr>
        <w:t>případech</w:t>
      </w:r>
      <w:r w:rsidRPr="00027B02">
        <w:rPr>
          <w:rFonts w:ascii="Arial" w:hAnsi="Arial" w:cs="Arial"/>
          <w:color w:val="000000"/>
          <w:sz w:val="22"/>
          <w:szCs w:val="22"/>
        </w:rPr>
        <w:t xml:space="preserve"> </w:t>
      </w:r>
      <w:r w:rsidRPr="00A35E28">
        <w:rPr>
          <w:rFonts w:ascii="Arial" w:hAnsi="Arial" w:cs="Arial"/>
          <w:color w:val="000000"/>
          <w:sz w:val="22"/>
          <w:szCs w:val="22"/>
        </w:rPr>
        <w:t>se</w:t>
      </w:r>
      <w:r w:rsidRPr="00027B02">
        <w:rPr>
          <w:rFonts w:ascii="Arial" w:hAnsi="Arial" w:cs="Arial"/>
          <w:color w:val="000000"/>
          <w:sz w:val="22"/>
          <w:szCs w:val="22"/>
        </w:rPr>
        <w:t xml:space="preserve"> </w:t>
      </w:r>
      <w:r w:rsidRPr="00A35E28">
        <w:rPr>
          <w:rFonts w:ascii="Arial" w:hAnsi="Arial" w:cs="Arial"/>
          <w:color w:val="000000"/>
          <w:sz w:val="22"/>
          <w:szCs w:val="22"/>
        </w:rPr>
        <w:t>aloka</w:t>
      </w:r>
      <w:r w:rsidRPr="00027B02">
        <w:rPr>
          <w:rFonts w:ascii="Arial" w:hAnsi="Arial" w:cs="Arial"/>
          <w:color w:val="000000"/>
          <w:sz w:val="22"/>
          <w:szCs w:val="22"/>
        </w:rPr>
        <w:t>č</w:t>
      </w:r>
      <w:r w:rsidRPr="00A35E28">
        <w:rPr>
          <w:rFonts w:ascii="Arial" w:hAnsi="Arial" w:cs="Arial"/>
          <w:color w:val="000000"/>
          <w:sz w:val="22"/>
          <w:szCs w:val="22"/>
        </w:rPr>
        <w:t>ní</w:t>
      </w:r>
      <w:r w:rsidRPr="00027B02">
        <w:rPr>
          <w:rFonts w:ascii="Arial" w:hAnsi="Arial" w:cs="Arial"/>
          <w:color w:val="000000"/>
          <w:sz w:val="22"/>
          <w:szCs w:val="22"/>
        </w:rPr>
        <w:t xml:space="preserve"> </w:t>
      </w:r>
      <w:r w:rsidRPr="00A35E28">
        <w:rPr>
          <w:rFonts w:ascii="Arial" w:hAnsi="Arial" w:cs="Arial"/>
          <w:color w:val="000000"/>
          <w:sz w:val="22"/>
          <w:szCs w:val="22"/>
        </w:rPr>
        <w:t>po</w:t>
      </w:r>
      <w:r w:rsidRPr="00027B02">
        <w:rPr>
          <w:rFonts w:ascii="Arial" w:hAnsi="Arial" w:cs="Arial"/>
          <w:color w:val="000000"/>
          <w:sz w:val="22"/>
          <w:szCs w:val="22"/>
        </w:rPr>
        <w:t>m</w:t>
      </w:r>
      <w:r w:rsidRPr="00A35E28">
        <w:rPr>
          <w:rFonts w:ascii="Arial" w:hAnsi="Arial" w:cs="Arial"/>
          <w:color w:val="000000"/>
          <w:sz w:val="22"/>
          <w:szCs w:val="22"/>
        </w:rPr>
        <w:t>ěry</w:t>
      </w:r>
      <w:r w:rsidRPr="00027B02">
        <w:rPr>
          <w:rFonts w:ascii="Arial" w:hAnsi="Arial" w:cs="Arial"/>
          <w:color w:val="000000"/>
          <w:sz w:val="22"/>
          <w:szCs w:val="22"/>
        </w:rPr>
        <w:t xml:space="preserve"> </w:t>
      </w:r>
      <w:r w:rsidRPr="00A35E28">
        <w:rPr>
          <w:rFonts w:ascii="Arial" w:hAnsi="Arial" w:cs="Arial"/>
          <w:color w:val="000000"/>
          <w:sz w:val="22"/>
          <w:szCs w:val="22"/>
        </w:rPr>
        <w:t>stanoví</w:t>
      </w:r>
      <w:r w:rsidR="0047095F">
        <w:rPr>
          <w:rFonts w:ascii="Arial" w:hAnsi="Arial" w:cs="Arial"/>
          <w:color w:val="000000"/>
          <w:sz w:val="22"/>
          <w:szCs w:val="22"/>
        </w:rPr>
        <w:t xml:space="preserve"> na </w:t>
      </w:r>
      <w:r w:rsidRPr="00A35E28">
        <w:rPr>
          <w:rFonts w:ascii="Arial" w:hAnsi="Arial" w:cs="Arial"/>
          <w:color w:val="000000"/>
          <w:sz w:val="22"/>
          <w:szCs w:val="22"/>
        </w:rPr>
        <w:t>základě</w:t>
      </w:r>
      <w:r w:rsidRPr="00027B02">
        <w:rPr>
          <w:rFonts w:ascii="Arial" w:hAnsi="Arial" w:cs="Arial"/>
          <w:color w:val="000000"/>
          <w:sz w:val="22"/>
          <w:szCs w:val="22"/>
        </w:rPr>
        <w:t xml:space="preserve"> </w:t>
      </w:r>
      <w:r w:rsidRPr="00A35E28">
        <w:rPr>
          <w:rFonts w:ascii="Arial" w:hAnsi="Arial" w:cs="Arial"/>
          <w:color w:val="000000"/>
          <w:sz w:val="22"/>
          <w:szCs w:val="22"/>
        </w:rPr>
        <w:t>př</w:t>
      </w:r>
      <w:r w:rsidRPr="00027B02">
        <w:rPr>
          <w:rFonts w:ascii="Arial" w:hAnsi="Arial" w:cs="Arial"/>
          <w:color w:val="000000"/>
          <w:sz w:val="22"/>
          <w:szCs w:val="22"/>
        </w:rPr>
        <w:t>ís</w:t>
      </w:r>
      <w:r w:rsidRPr="00A35E28">
        <w:rPr>
          <w:rFonts w:ascii="Arial" w:hAnsi="Arial" w:cs="Arial"/>
          <w:color w:val="000000"/>
          <w:sz w:val="22"/>
          <w:szCs w:val="22"/>
        </w:rPr>
        <w:t>lu</w:t>
      </w:r>
      <w:r w:rsidRPr="00027B02">
        <w:rPr>
          <w:rFonts w:ascii="Arial" w:hAnsi="Arial" w:cs="Arial"/>
          <w:color w:val="000000"/>
          <w:sz w:val="22"/>
          <w:szCs w:val="22"/>
        </w:rPr>
        <w:t>š</w:t>
      </w:r>
      <w:r w:rsidRPr="00A35E28">
        <w:rPr>
          <w:rFonts w:ascii="Arial" w:hAnsi="Arial" w:cs="Arial"/>
          <w:color w:val="000000"/>
          <w:sz w:val="22"/>
          <w:szCs w:val="22"/>
        </w:rPr>
        <w:t>n</w:t>
      </w:r>
      <w:r w:rsidRPr="00027B02">
        <w:rPr>
          <w:rFonts w:ascii="Arial" w:hAnsi="Arial" w:cs="Arial"/>
          <w:color w:val="000000"/>
          <w:sz w:val="22"/>
          <w:szCs w:val="22"/>
        </w:rPr>
        <w:t>ýc</w:t>
      </w:r>
      <w:r w:rsidRPr="00A35E28">
        <w:rPr>
          <w:rFonts w:ascii="Arial" w:hAnsi="Arial" w:cs="Arial"/>
          <w:color w:val="000000"/>
          <w:sz w:val="22"/>
          <w:szCs w:val="22"/>
        </w:rPr>
        <w:t>h veli</w:t>
      </w:r>
      <w:r w:rsidRPr="00027B02">
        <w:rPr>
          <w:rFonts w:ascii="Arial" w:hAnsi="Arial" w:cs="Arial"/>
          <w:color w:val="000000"/>
          <w:sz w:val="22"/>
          <w:szCs w:val="22"/>
        </w:rPr>
        <w:t>č</w:t>
      </w:r>
      <w:r w:rsidRPr="00A35E28">
        <w:rPr>
          <w:rFonts w:ascii="Arial" w:hAnsi="Arial" w:cs="Arial"/>
          <w:color w:val="000000"/>
          <w:sz w:val="22"/>
          <w:szCs w:val="22"/>
        </w:rPr>
        <w:t>in</w:t>
      </w:r>
      <w:r w:rsidRPr="00027B02">
        <w:rPr>
          <w:rFonts w:ascii="Arial" w:hAnsi="Arial" w:cs="Arial"/>
          <w:color w:val="000000"/>
          <w:sz w:val="22"/>
          <w:szCs w:val="22"/>
        </w:rPr>
        <w:t xml:space="preserve"> </w:t>
      </w:r>
      <w:r w:rsidRPr="00A35E28">
        <w:rPr>
          <w:rFonts w:ascii="Arial" w:hAnsi="Arial" w:cs="Arial"/>
          <w:color w:val="000000"/>
          <w:sz w:val="22"/>
          <w:szCs w:val="22"/>
        </w:rPr>
        <w:t>(nap</w:t>
      </w:r>
      <w:r w:rsidRPr="00027B02">
        <w:rPr>
          <w:rFonts w:ascii="Arial" w:hAnsi="Arial" w:cs="Arial"/>
          <w:color w:val="000000"/>
          <w:sz w:val="22"/>
          <w:szCs w:val="22"/>
        </w:rPr>
        <w:t>ř</w:t>
      </w:r>
      <w:r w:rsidRPr="00A35E28">
        <w:rPr>
          <w:rFonts w:ascii="Arial" w:hAnsi="Arial" w:cs="Arial"/>
          <w:color w:val="000000"/>
          <w:sz w:val="22"/>
          <w:szCs w:val="22"/>
        </w:rPr>
        <w:t>íklad</w:t>
      </w:r>
      <w:r w:rsidRPr="00027B02">
        <w:rPr>
          <w:rFonts w:ascii="Arial" w:hAnsi="Arial" w:cs="Arial"/>
          <w:color w:val="000000"/>
          <w:sz w:val="22"/>
          <w:szCs w:val="22"/>
        </w:rPr>
        <w:t xml:space="preserve"> m</w:t>
      </w:r>
      <w:r w:rsidRPr="00027B02">
        <w:rPr>
          <w:rFonts w:ascii="Arial" w:hAnsi="Arial" w:cs="Arial"/>
          <w:color w:val="000000"/>
          <w:sz w:val="22"/>
          <w:szCs w:val="22"/>
          <w:vertAlign w:val="superscript"/>
        </w:rPr>
        <w:t>2</w:t>
      </w:r>
      <w:r w:rsidR="00A83D2E" w:rsidRPr="00A35E28">
        <w:rPr>
          <w:rFonts w:ascii="Arial" w:hAnsi="Arial" w:cs="Arial"/>
          <w:color w:val="000000"/>
          <w:sz w:val="22"/>
          <w:szCs w:val="22"/>
        </w:rPr>
        <w:t xml:space="preserve"> p</w:t>
      </w:r>
      <w:r w:rsidR="005A3A85" w:rsidRPr="00A35E28">
        <w:rPr>
          <w:rFonts w:ascii="Arial" w:hAnsi="Arial" w:cs="Arial"/>
          <w:color w:val="000000"/>
          <w:sz w:val="22"/>
          <w:szCs w:val="22"/>
        </w:rPr>
        <w:t>ro n</w:t>
      </w:r>
      <w:r w:rsidRPr="00A35E28">
        <w:rPr>
          <w:rFonts w:ascii="Arial" w:hAnsi="Arial" w:cs="Arial"/>
          <w:color w:val="000000"/>
          <w:sz w:val="22"/>
          <w:szCs w:val="22"/>
        </w:rPr>
        <w:t>áklady</w:t>
      </w:r>
      <w:r w:rsidRPr="00027B02">
        <w:rPr>
          <w:rFonts w:ascii="Arial" w:hAnsi="Arial" w:cs="Arial"/>
          <w:color w:val="000000"/>
          <w:sz w:val="22"/>
          <w:szCs w:val="22"/>
        </w:rPr>
        <w:t xml:space="preserve"> </w:t>
      </w:r>
      <w:r w:rsidRPr="00A35E28">
        <w:rPr>
          <w:rFonts w:ascii="Arial" w:hAnsi="Arial" w:cs="Arial"/>
          <w:color w:val="000000"/>
          <w:sz w:val="22"/>
          <w:szCs w:val="22"/>
        </w:rPr>
        <w:t>týkající</w:t>
      </w:r>
      <w:r w:rsidRPr="00027B02">
        <w:rPr>
          <w:rFonts w:ascii="Arial" w:hAnsi="Arial" w:cs="Arial"/>
          <w:color w:val="000000"/>
          <w:sz w:val="22"/>
          <w:szCs w:val="22"/>
        </w:rPr>
        <w:t xml:space="preserve"> </w:t>
      </w:r>
      <w:r w:rsidRPr="00A35E28">
        <w:rPr>
          <w:rFonts w:ascii="Arial" w:hAnsi="Arial" w:cs="Arial"/>
          <w:color w:val="000000"/>
          <w:sz w:val="22"/>
          <w:szCs w:val="22"/>
        </w:rPr>
        <w:t>se</w:t>
      </w:r>
      <w:r w:rsidRPr="00027B02">
        <w:rPr>
          <w:rFonts w:ascii="Arial" w:hAnsi="Arial" w:cs="Arial"/>
          <w:color w:val="000000"/>
          <w:sz w:val="22"/>
          <w:szCs w:val="22"/>
        </w:rPr>
        <w:t xml:space="preserve"> </w:t>
      </w:r>
      <w:r w:rsidRPr="00A35E28">
        <w:rPr>
          <w:rFonts w:ascii="Arial" w:hAnsi="Arial" w:cs="Arial"/>
          <w:color w:val="000000"/>
          <w:sz w:val="22"/>
          <w:szCs w:val="22"/>
        </w:rPr>
        <w:t>nemovitostí, počet</w:t>
      </w:r>
      <w:r w:rsidRPr="00027B02">
        <w:rPr>
          <w:rFonts w:ascii="Arial" w:hAnsi="Arial" w:cs="Arial"/>
          <w:color w:val="000000"/>
          <w:sz w:val="22"/>
          <w:szCs w:val="22"/>
        </w:rPr>
        <w:t xml:space="preserve"> </w:t>
      </w:r>
      <w:r w:rsidRPr="00A35E28">
        <w:rPr>
          <w:rFonts w:ascii="Arial" w:hAnsi="Arial" w:cs="Arial"/>
          <w:color w:val="000000"/>
          <w:sz w:val="22"/>
          <w:szCs w:val="22"/>
        </w:rPr>
        <w:t>uživatelů</w:t>
      </w:r>
      <w:r w:rsidRPr="00027B02">
        <w:rPr>
          <w:rFonts w:ascii="Arial" w:hAnsi="Arial" w:cs="Arial"/>
          <w:color w:val="000000"/>
          <w:sz w:val="22"/>
          <w:szCs w:val="22"/>
        </w:rPr>
        <w:t xml:space="preserve"> pro </w:t>
      </w:r>
      <w:r w:rsidRPr="00A35E28">
        <w:rPr>
          <w:rFonts w:ascii="Arial" w:hAnsi="Arial" w:cs="Arial"/>
          <w:color w:val="000000"/>
          <w:sz w:val="22"/>
          <w:szCs w:val="22"/>
        </w:rPr>
        <w:t>náklady</w:t>
      </w:r>
      <w:r w:rsidRPr="00027B02">
        <w:rPr>
          <w:rFonts w:ascii="Arial" w:hAnsi="Arial" w:cs="Arial"/>
          <w:color w:val="000000"/>
          <w:sz w:val="22"/>
          <w:szCs w:val="22"/>
        </w:rPr>
        <w:t xml:space="preserve"> </w:t>
      </w:r>
      <w:r w:rsidRPr="00A35E28">
        <w:rPr>
          <w:rFonts w:ascii="Arial" w:hAnsi="Arial" w:cs="Arial"/>
          <w:color w:val="000000"/>
          <w:sz w:val="22"/>
          <w:szCs w:val="22"/>
        </w:rPr>
        <w:t>týkající se</w:t>
      </w:r>
      <w:r w:rsidRPr="00027B02">
        <w:rPr>
          <w:rFonts w:ascii="Arial" w:hAnsi="Arial" w:cs="Arial"/>
          <w:color w:val="000000"/>
          <w:sz w:val="22"/>
          <w:szCs w:val="22"/>
        </w:rPr>
        <w:t xml:space="preserve"> </w:t>
      </w:r>
      <w:r w:rsidRPr="00A35E28">
        <w:rPr>
          <w:rFonts w:ascii="Arial" w:hAnsi="Arial" w:cs="Arial"/>
          <w:color w:val="000000"/>
          <w:sz w:val="22"/>
          <w:szCs w:val="22"/>
        </w:rPr>
        <w:t>informa</w:t>
      </w:r>
      <w:r w:rsidRPr="00027B02">
        <w:rPr>
          <w:rFonts w:ascii="Arial" w:hAnsi="Arial" w:cs="Arial"/>
          <w:color w:val="000000"/>
          <w:sz w:val="22"/>
          <w:szCs w:val="22"/>
        </w:rPr>
        <w:t>č</w:t>
      </w:r>
      <w:r w:rsidRPr="00A35E28">
        <w:rPr>
          <w:rFonts w:ascii="Arial" w:hAnsi="Arial" w:cs="Arial"/>
          <w:color w:val="000000"/>
          <w:sz w:val="22"/>
          <w:szCs w:val="22"/>
        </w:rPr>
        <w:t>ní</w:t>
      </w:r>
      <w:r w:rsidRPr="00027B02">
        <w:rPr>
          <w:rFonts w:ascii="Arial" w:hAnsi="Arial" w:cs="Arial"/>
          <w:color w:val="000000"/>
          <w:sz w:val="22"/>
          <w:szCs w:val="22"/>
        </w:rPr>
        <w:t xml:space="preserve"> </w:t>
      </w:r>
      <w:r w:rsidRPr="00A35E28">
        <w:rPr>
          <w:rFonts w:ascii="Arial" w:hAnsi="Arial" w:cs="Arial"/>
          <w:color w:val="000000"/>
          <w:sz w:val="22"/>
          <w:szCs w:val="22"/>
        </w:rPr>
        <w:t>technolo</w:t>
      </w:r>
      <w:r w:rsidRPr="00027B02">
        <w:rPr>
          <w:rFonts w:ascii="Arial" w:hAnsi="Arial" w:cs="Arial"/>
          <w:color w:val="000000"/>
          <w:sz w:val="22"/>
          <w:szCs w:val="22"/>
        </w:rPr>
        <w:t>g</w:t>
      </w:r>
      <w:r w:rsidRPr="00A35E28">
        <w:rPr>
          <w:rFonts w:ascii="Arial" w:hAnsi="Arial" w:cs="Arial"/>
          <w:color w:val="000000"/>
          <w:sz w:val="22"/>
          <w:szCs w:val="22"/>
        </w:rPr>
        <w:t>ie).</w:t>
      </w:r>
    </w:p>
    <w:p w:rsidR="004A6A67" w:rsidRPr="00A35E28" w:rsidRDefault="004A6A67" w:rsidP="006D177F">
      <w:pPr>
        <w:widowControl w:val="0"/>
        <w:tabs>
          <w:tab w:val="left" w:pos="1276"/>
        </w:tabs>
        <w:autoSpaceDE w:val="0"/>
        <w:autoSpaceDN w:val="0"/>
        <w:adjustRightInd w:val="0"/>
        <w:spacing w:before="120"/>
        <w:ind w:firstLine="828"/>
        <w:jc w:val="both"/>
        <w:rPr>
          <w:rFonts w:ascii="Arial" w:hAnsi="Arial" w:cs="Arial"/>
          <w:color w:val="000000"/>
          <w:sz w:val="22"/>
          <w:szCs w:val="22"/>
        </w:rPr>
      </w:pPr>
      <w:r w:rsidRPr="00A35E28">
        <w:rPr>
          <w:rFonts w:ascii="Arial" w:hAnsi="Arial" w:cs="Arial"/>
          <w:color w:val="000000"/>
          <w:sz w:val="22"/>
          <w:szCs w:val="22"/>
        </w:rPr>
        <w:t>(7)</w:t>
      </w:r>
      <w:r w:rsidRPr="00A35E28">
        <w:rPr>
          <w:rFonts w:ascii="Arial" w:hAnsi="Arial" w:cs="Arial"/>
          <w:color w:val="000000"/>
          <w:sz w:val="22"/>
          <w:szCs w:val="22"/>
        </w:rPr>
        <w:tab/>
        <w:t>Náklady</w:t>
      </w:r>
      <w:r w:rsidR="0047095F">
        <w:rPr>
          <w:rFonts w:ascii="Arial" w:hAnsi="Arial" w:cs="Arial"/>
          <w:color w:val="000000"/>
          <w:sz w:val="22"/>
          <w:szCs w:val="22"/>
        </w:rPr>
        <w:t xml:space="preserve"> na </w:t>
      </w:r>
      <w:r w:rsidRPr="00A35E28">
        <w:rPr>
          <w:rFonts w:ascii="Arial" w:hAnsi="Arial" w:cs="Arial"/>
          <w:color w:val="000000"/>
          <w:sz w:val="22"/>
          <w:szCs w:val="22"/>
        </w:rPr>
        <w:t>prvky</w:t>
      </w:r>
      <w:r w:rsidRPr="00027B02">
        <w:rPr>
          <w:rFonts w:ascii="Arial" w:hAnsi="Arial" w:cs="Arial"/>
          <w:color w:val="000000"/>
          <w:sz w:val="22"/>
          <w:szCs w:val="22"/>
        </w:rPr>
        <w:t xml:space="preserve"> </w:t>
      </w:r>
      <w:r w:rsidRPr="00A35E28">
        <w:rPr>
          <w:rFonts w:ascii="Arial" w:hAnsi="Arial" w:cs="Arial"/>
          <w:color w:val="000000"/>
          <w:sz w:val="22"/>
          <w:szCs w:val="22"/>
        </w:rPr>
        <w:t>sí</w:t>
      </w:r>
      <w:r w:rsidRPr="00027B02">
        <w:rPr>
          <w:rFonts w:ascii="Arial" w:hAnsi="Arial" w:cs="Arial"/>
          <w:color w:val="000000"/>
          <w:sz w:val="22"/>
          <w:szCs w:val="22"/>
        </w:rPr>
        <w:t>t</w:t>
      </w:r>
      <w:r w:rsidRPr="00A35E28">
        <w:rPr>
          <w:rFonts w:ascii="Arial" w:hAnsi="Arial" w:cs="Arial"/>
          <w:color w:val="000000"/>
          <w:sz w:val="22"/>
          <w:szCs w:val="22"/>
        </w:rPr>
        <w:t>ě</w:t>
      </w:r>
      <w:r w:rsidRPr="00027B02">
        <w:rPr>
          <w:rFonts w:ascii="Arial" w:hAnsi="Arial" w:cs="Arial"/>
          <w:color w:val="000000"/>
          <w:sz w:val="22"/>
          <w:szCs w:val="22"/>
        </w:rPr>
        <w:t xml:space="preserve"> </w:t>
      </w:r>
      <w:r w:rsidRPr="00A35E28">
        <w:rPr>
          <w:rFonts w:ascii="Arial" w:hAnsi="Arial" w:cs="Arial"/>
          <w:color w:val="000000"/>
          <w:sz w:val="22"/>
          <w:szCs w:val="22"/>
        </w:rPr>
        <w:t>se</w:t>
      </w:r>
      <w:r w:rsidRPr="00027B02">
        <w:rPr>
          <w:rFonts w:ascii="Arial" w:hAnsi="Arial" w:cs="Arial"/>
          <w:color w:val="000000"/>
          <w:sz w:val="22"/>
          <w:szCs w:val="22"/>
        </w:rPr>
        <w:t xml:space="preserve"> </w:t>
      </w:r>
      <w:r w:rsidRPr="00A35E28">
        <w:rPr>
          <w:rFonts w:ascii="Arial" w:hAnsi="Arial" w:cs="Arial"/>
          <w:color w:val="000000"/>
          <w:sz w:val="22"/>
          <w:szCs w:val="22"/>
        </w:rPr>
        <w:t>přiřaz</w:t>
      </w:r>
      <w:r w:rsidRPr="00027B02">
        <w:rPr>
          <w:rFonts w:ascii="Arial" w:hAnsi="Arial" w:cs="Arial"/>
          <w:color w:val="000000"/>
          <w:sz w:val="22"/>
          <w:szCs w:val="22"/>
        </w:rPr>
        <w:t>u</w:t>
      </w:r>
      <w:r w:rsidRPr="00A35E28">
        <w:rPr>
          <w:rFonts w:ascii="Arial" w:hAnsi="Arial" w:cs="Arial"/>
          <w:color w:val="000000"/>
          <w:sz w:val="22"/>
          <w:szCs w:val="22"/>
        </w:rPr>
        <w:t>jí</w:t>
      </w:r>
      <w:r w:rsidRPr="00027B02">
        <w:rPr>
          <w:rFonts w:ascii="Arial" w:hAnsi="Arial" w:cs="Arial"/>
          <w:color w:val="000000"/>
          <w:sz w:val="22"/>
          <w:szCs w:val="22"/>
        </w:rPr>
        <w:t xml:space="preserve"> </w:t>
      </w:r>
      <w:r w:rsidRPr="00A35E28">
        <w:rPr>
          <w:rFonts w:ascii="Arial" w:hAnsi="Arial" w:cs="Arial"/>
          <w:color w:val="000000"/>
          <w:sz w:val="22"/>
          <w:szCs w:val="22"/>
        </w:rPr>
        <w:t>jednotlivým</w:t>
      </w:r>
      <w:r w:rsidRPr="00027B02">
        <w:rPr>
          <w:rFonts w:ascii="Arial" w:hAnsi="Arial" w:cs="Arial"/>
          <w:color w:val="000000"/>
          <w:sz w:val="22"/>
          <w:szCs w:val="22"/>
        </w:rPr>
        <w:t xml:space="preserve"> č</w:t>
      </w:r>
      <w:r w:rsidRPr="00A35E28">
        <w:rPr>
          <w:rFonts w:ascii="Arial" w:hAnsi="Arial" w:cs="Arial"/>
          <w:color w:val="000000"/>
          <w:sz w:val="22"/>
          <w:szCs w:val="22"/>
        </w:rPr>
        <w:t>innostem</w:t>
      </w:r>
      <w:r w:rsidRPr="00027B02">
        <w:rPr>
          <w:rFonts w:ascii="Arial" w:hAnsi="Arial" w:cs="Arial"/>
          <w:color w:val="000000"/>
          <w:sz w:val="22"/>
          <w:szCs w:val="22"/>
        </w:rPr>
        <w:t xml:space="preserve"> </w:t>
      </w:r>
      <w:r w:rsidRPr="00A35E28">
        <w:rPr>
          <w:rFonts w:ascii="Arial" w:hAnsi="Arial" w:cs="Arial"/>
          <w:color w:val="000000"/>
          <w:sz w:val="22"/>
          <w:szCs w:val="22"/>
        </w:rPr>
        <w:t>nebo</w:t>
      </w:r>
      <w:r w:rsidRPr="00027B02">
        <w:rPr>
          <w:rFonts w:ascii="Arial" w:hAnsi="Arial" w:cs="Arial"/>
          <w:color w:val="000000"/>
          <w:sz w:val="22"/>
          <w:szCs w:val="22"/>
        </w:rPr>
        <w:t xml:space="preserve"> </w:t>
      </w:r>
      <w:r w:rsidRPr="00A35E28">
        <w:rPr>
          <w:rFonts w:ascii="Arial" w:hAnsi="Arial" w:cs="Arial"/>
          <w:color w:val="000000"/>
          <w:sz w:val="22"/>
          <w:szCs w:val="22"/>
        </w:rPr>
        <w:t>sl</w:t>
      </w:r>
      <w:r w:rsidRPr="00027B02">
        <w:rPr>
          <w:rFonts w:ascii="Arial" w:hAnsi="Arial" w:cs="Arial"/>
          <w:color w:val="000000"/>
          <w:sz w:val="22"/>
          <w:szCs w:val="22"/>
        </w:rPr>
        <w:t>užb</w:t>
      </w:r>
      <w:r w:rsidRPr="00A35E28">
        <w:rPr>
          <w:rFonts w:ascii="Arial" w:hAnsi="Arial" w:cs="Arial"/>
          <w:color w:val="000000"/>
          <w:sz w:val="22"/>
          <w:szCs w:val="22"/>
        </w:rPr>
        <w:t>ám</w:t>
      </w:r>
      <w:r w:rsidR="0047095F">
        <w:rPr>
          <w:rFonts w:ascii="Arial" w:hAnsi="Arial" w:cs="Arial"/>
          <w:color w:val="000000"/>
          <w:sz w:val="22"/>
          <w:szCs w:val="22"/>
        </w:rPr>
        <w:t xml:space="preserve"> podle </w:t>
      </w:r>
      <w:r w:rsidRPr="00A35E28">
        <w:rPr>
          <w:rFonts w:ascii="Arial" w:hAnsi="Arial" w:cs="Arial"/>
          <w:color w:val="000000"/>
          <w:sz w:val="22"/>
          <w:szCs w:val="22"/>
        </w:rPr>
        <w:t>průměrného</w:t>
      </w:r>
      <w:r w:rsidRPr="00027B02">
        <w:rPr>
          <w:rFonts w:ascii="Arial" w:hAnsi="Arial" w:cs="Arial"/>
          <w:color w:val="000000"/>
          <w:sz w:val="22"/>
          <w:szCs w:val="22"/>
        </w:rPr>
        <w:t xml:space="preserve"> </w:t>
      </w:r>
      <w:r w:rsidRPr="00A35E28">
        <w:rPr>
          <w:rFonts w:ascii="Arial" w:hAnsi="Arial" w:cs="Arial"/>
          <w:color w:val="000000"/>
          <w:sz w:val="22"/>
          <w:szCs w:val="22"/>
        </w:rPr>
        <w:t>vytížení</w:t>
      </w:r>
      <w:r w:rsidRPr="00027B02">
        <w:rPr>
          <w:rFonts w:ascii="Arial" w:hAnsi="Arial" w:cs="Arial"/>
          <w:color w:val="000000"/>
          <w:sz w:val="22"/>
          <w:szCs w:val="22"/>
        </w:rPr>
        <w:t xml:space="preserve"> </w:t>
      </w:r>
      <w:r w:rsidRPr="00A35E28">
        <w:rPr>
          <w:rFonts w:ascii="Arial" w:hAnsi="Arial" w:cs="Arial"/>
          <w:color w:val="000000"/>
          <w:sz w:val="22"/>
          <w:szCs w:val="22"/>
        </w:rPr>
        <w:t>prv</w:t>
      </w:r>
      <w:r w:rsidRPr="00027B02">
        <w:rPr>
          <w:rFonts w:ascii="Arial" w:hAnsi="Arial" w:cs="Arial"/>
          <w:color w:val="000000"/>
          <w:sz w:val="22"/>
          <w:szCs w:val="22"/>
        </w:rPr>
        <w:t>k</w:t>
      </w:r>
      <w:r w:rsidRPr="00A35E28">
        <w:rPr>
          <w:rFonts w:ascii="Arial" w:hAnsi="Arial" w:cs="Arial"/>
          <w:color w:val="000000"/>
          <w:sz w:val="22"/>
          <w:szCs w:val="22"/>
        </w:rPr>
        <w:t>ů</w:t>
      </w:r>
      <w:r w:rsidRPr="00027B02">
        <w:rPr>
          <w:rFonts w:ascii="Arial" w:hAnsi="Arial" w:cs="Arial"/>
          <w:color w:val="000000"/>
          <w:sz w:val="22"/>
          <w:szCs w:val="22"/>
        </w:rPr>
        <w:t xml:space="preserve"> </w:t>
      </w:r>
      <w:r w:rsidRPr="00A35E28">
        <w:rPr>
          <w:rFonts w:ascii="Arial" w:hAnsi="Arial" w:cs="Arial"/>
          <w:color w:val="000000"/>
          <w:sz w:val="22"/>
          <w:szCs w:val="22"/>
        </w:rPr>
        <w:t>sítě</w:t>
      </w:r>
      <w:r w:rsidRPr="00027B02">
        <w:rPr>
          <w:rFonts w:ascii="Arial" w:hAnsi="Arial" w:cs="Arial"/>
          <w:color w:val="000000"/>
          <w:sz w:val="22"/>
          <w:szCs w:val="22"/>
        </w:rPr>
        <w:t xml:space="preserve"> </w:t>
      </w:r>
      <w:r w:rsidRPr="00A35E28">
        <w:rPr>
          <w:rFonts w:ascii="Arial" w:hAnsi="Arial" w:cs="Arial"/>
          <w:color w:val="000000"/>
          <w:sz w:val="22"/>
          <w:szCs w:val="22"/>
        </w:rPr>
        <w:t>t</w:t>
      </w:r>
      <w:r w:rsidRPr="00027B02">
        <w:rPr>
          <w:rFonts w:ascii="Arial" w:hAnsi="Arial" w:cs="Arial"/>
          <w:color w:val="000000"/>
          <w:sz w:val="22"/>
          <w:szCs w:val="22"/>
        </w:rPr>
        <w:t>ě</w:t>
      </w:r>
      <w:r w:rsidRPr="00A35E28">
        <w:rPr>
          <w:rFonts w:ascii="Arial" w:hAnsi="Arial" w:cs="Arial"/>
          <w:color w:val="000000"/>
          <w:sz w:val="22"/>
          <w:szCs w:val="22"/>
        </w:rPr>
        <w:t>mito</w:t>
      </w:r>
      <w:r w:rsidRPr="00027B02">
        <w:rPr>
          <w:rFonts w:ascii="Arial" w:hAnsi="Arial" w:cs="Arial"/>
          <w:color w:val="000000"/>
          <w:sz w:val="22"/>
          <w:szCs w:val="22"/>
        </w:rPr>
        <w:t xml:space="preserve"> č</w:t>
      </w:r>
      <w:r w:rsidRPr="00A35E28">
        <w:rPr>
          <w:rFonts w:ascii="Arial" w:hAnsi="Arial" w:cs="Arial"/>
          <w:color w:val="000000"/>
          <w:sz w:val="22"/>
          <w:szCs w:val="22"/>
        </w:rPr>
        <w:t>innostmi</w:t>
      </w:r>
      <w:r w:rsidRPr="00027B02">
        <w:rPr>
          <w:rFonts w:ascii="Arial" w:hAnsi="Arial" w:cs="Arial"/>
          <w:color w:val="000000"/>
          <w:sz w:val="22"/>
          <w:szCs w:val="22"/>
        </w:rPr>
        <w:t xml:space="preserve"> </w:t>
      </w:r>
      <w:r w:rsidRPr="00A35E28">
        <w:rPr>
          <w:rFonts w:ascii="Arial" w:hAnsi="Arial" w:cs="Arial"/>
          <w:color w:val="000000"/>
          <w:sz w:val="22"/>
          <w:szCs w:val="22"/>
        </w:rPr>
        <w:t>nebo</w:t>
      </w:r>
      <w:r w:rsidRPr="00027B02">
        <w:rPr>
          <w:rFonts w:ascii="Arial" w:hAnsi="Arial" w:cs="Arial"/>
          <w:color w:val="000000"/>
          <w:sz w:val="22"/>
          <w:szCs w:val="22"/>
        </w:rPr>
        <w:t xml:space="preserve"> </w:t>
      </w:r>
      <w:r w:rsidRPr="00A35E28">
        <w:rPr>
          <w:rFonts w:ascii="Arial" w:hAnsi="Arial" w:cs="Arial"/>
          <w:color w:val="000000"/>
          <w:sz w:val="22"/>
          <w:szCs w:val="22"/>
        </w:rPr>
        <w:t>službami (například</w:t>
      </w:r>
      <w:r w:rsidRPr="00027B02">
        <w:rPr>
          <w:rFonts w:ascii="Arial" w:hAnsi="Arial" w:cs="Arial"/>
          <w:color w:val="000000"/>
          <w:sz w:val="22"/>
          <w:szCs w:val="22"/>
        </w:rPr>
        <w:t xml:space="preserve"> </w:t>
      </w:r>
      <w:r w:rsidRPr="00A35E28">
        <w:rPr>
          <w:rFonts w:ascii="Arial" w:hAnsi="Arial" w:cs="Arial"/>
          <w:color w:val="000000"/>
          <w:sz w:val="22"/>
          <w:szCs w:val="22"/>
        </w:rPr>
        <w:t>pomocí</w:t>
      </w:r>
      <w:r w:rsidRPr="00027B02">
        <w:rPr>
          <w:rFonts w:ascii="Arial" w:hAnsi="Arial" w:cs="Arial"/>
          <w:color w:val="000000"/>
          <w:sz w:val="22"/>
          <w:szCs w:val="22"/>
        </w:rPr>
        <w:t xml:space="preserve"> tzv. sm</w:t>
      </w:r>
      <w:r w:rsidRPr="00A35E28">
        <w:rPr>
          <w:rFonts w:ascii="Arial" w:hAnsi="Arial" w:cs="Arial"/>
          <w:color w:val="000000"/>
          <w:sz w:val="22"/>
          <w:szCs w:val="22"/>
        </w:rPr>
        <w:t>ěro</w:t>
      </w:r>
      <w:r w:rsidRPr="00027B02">
        <w:rPr>
          <w:rFonts w:ascii="Arial" w:hAnsi="Arial" w:cs="Arial"/>
          <w:color w:val="000000"/>
          <w:sz w:val="22"/>
          <w:szCs w:val="22"/>
        </w:rPr>
        <w:t>v</w:t>
      </w:r>
      <w:r w:rsidRPr="00A35E28">
        <w:rPr>
          <w:rFonts w:ascii="Arial" w:hAnsi="Arial" w:cs="Arial"/>
          <w:color w:val="000000"/>
          <w:sz w:val="22"/>
          <w:szCs w:val="22"/>
        </w:rPr>
        <w:t>acích</w:t>
      </w:r>
      <w:r w:rsidRPr="00027B02">
        <w:rPr>
          <w:rFonts w:ascii="Arial" w:hAnsi="Arial" w:cs="Arial"/>
          <w:color w:val="000000"/>
          <w:sz w:val="22"/>
          <w:szCs w:val="22"/>
        </w:rPr>
        <w:t xml:space="preserve"> </w:t>
      </w:r>
      <w:r w:rsidRPr="00A35E28">
        <w:rPr>
          <w:rFonts w:ascii="Arial" w:hAnsi="Arial" w:cs="Arial"/>
          <w:color w:val="000000"/>
          <w:sz w:val="22"/>
          <w:szCs w:val="22"/>
        </w:rPr>
        <w:t>faktorů).</w:t>
      </w:r>
    </w:p>
    <w:p w:rsidR="00736F5C" w:rsidRDefault="004A6A67" w:rsidP="00F13ABF">
      <w:pPr>
        <w:widowControl w:val="0"/>
        <w:tabs>
          <w:tab w:val="left" w:pos="1276"/>
        </w:tabs>
        <w:autoSpaceDE w:val="0"/>
        <w:autoSpaceDN w:val="0"/>
        <w:adjustRightInd w:val="0"/>
        <w:spacing w:before="120" w:after="120"/>
        <w:ind w:firstLine="828"/>
        <w:jc w:val="both"/>
        <w:rPr>
          <w:rFonts w:ascii="Arial" w:hAnsi="Arial" w:cs="Arial"/>
          <w:color w:val="000000"/>
          <w:sz w:val="22"/>
          <w:szCs w:val="22"/>
        </w:rPr>
      </w:pPr>
      <w:r w:rsidRPr="00A35E28">
        <w:rPr>
          <w:rFonts w:ascii="Arial" w:hAnsi="Arial" w:cs="Arial"/>
          <w:color w:val="000000"/>
          <w:sz w:val="22"/>
          <w:szCs w:val="22"/>
        </w:rPr>
        <w:t>(8)</w:t>
      </w:r>
      <w:r w:rsidRPr="00A35E28">
        <w:rPr>
          <w:rFonts w:ascii="Arial" w:hAnsi="Arial" w:cs="Arial"/>
          <w:color w:val="000000"/>
          <w:sz w:val="22"/>
          <w:szCs w:val="22"/>
        </w:rPr>
        <w:tab/>
        <w:t>Stanovený</w:t>
      </w:r>
      <w:r w:rsidRPr="0019637F">
        <w:rPr>
          <w:rFonts w:ascii="Arial" w:hAnsi="Arial" w:cs="Arial"/>
          <w:color w:val="000000"/>
          <w:sz w:val="22"/>
          <w:szCs w:val="22"/>
        </w:rPr>
        <w:t xml:space="preserve"> </w:t>
      </w:r>
      <w:r w:rsidRPr="00A35E28">
        <w:rPr>
          <w:rFonts w:ascii="Arial" w:hAnsi="Arial" w:cs="Arial"/>
          <w:color w:val="000000"/>
          <w:sz w:val="22"/>
          <w:szCs w:val="22"/>
        </w:rPr>
        <w:t>podnik</w:t>
      </w:r>
      <w:r w:rsidRPr="0019637F">
        <w:rPr>
          <w:rFonts w:ascii="Arial" w:hAnsi="Arial" w:cs="Arial"/>
          <w:color w:val="000000"/>
          <w:sz w:val="22"/>
          <w:szCs w:val="22"/>
        </w:rPr>
        <w:t xml:space="preserve"> </w:t>
      </w:r>
      <w:r w:rsidRPr="00A35E28">
        <w:rPr>
          <w:rFonts w:ascii="Arial" w:hAnsi="Arial" w:cs="Arial"/>
          <w:color w:val="000000"/>
          <w:sz w:val="22"/>
          <w:szCs w:val="22"/>
        </w:rPr>
        <w:t>zaji</w:t>
      </w:r>
      <w:r w:rsidRPr="0019637F">
        <w:rPr>
          <w:rFonts w:ascii="Arial" w:hAnsi="Arial" w:cs="Arial"/>
          <w:color w:val="000000"/>
          <w:sz w:val="22"/>
          <w:szCs w:val="22"/>
        </w:rPr>
        <w:t>š</w:t>
      </w:r>
      <w:r w:rsidRPr="00A35E28">
        <w:rPr>
          <w:rFonts w:ascii="Arial" w:hAnsi="Arial" w:cs="Arial"/>
          <w:color w:val="000000"/>
          <w:sz w:val="22"/>
          <w:szCs w:val="22"/>
        </w:rPr>
        <w:t>ťující</w:t>
      </w:r>
      <w:r w:rsidRPr="0019637F">
        <w:rPr>
          <w:rFonts w:ascii="Arial" w:hAnsi="Arial" w:cs="Arial"/>
          <w:color w:val="000000"/>
          <w:sz w:val="22"/>
          <w:szCs w:val="22"/>
        </w:rPr>
        <w:t xml:space="preserve"> </w:t>
      </w:r>
      <w:r w:rsidRPr="00A35E28">
        <w:rPr>
          <w:rFonts w:ascii="Arial" w:hAnsi="Arial" w:cs="Arial"/>
          <w:color w:val="000000"/>
          <w:sz w:val="22"/>
          <w:szCs w:val="22"/>
        </w:rPr>
        <w:t>v</w:t>
      </w:r>
      <w:r w:rsidRPr="0019637F">
        <w:rPr>
          <w:rFonts w:ascii="Arial" w:hAnsi="Arial" w:cs="Arial"/>
          <w:color w:val="000000"/>
          <w:sz w:val="22"/>
          <w:szCs w:val="22"/>
        </w:rPr>
        <w:t>e</w:t>
      </w:r>
      <w:r w:rsidRPr="00A35E28">
        <w:rPr>
          <w:rFonts w:ascii="Arial" w:hAnsi="Arial" w:cs="Arial"/>
          <w:color w:val="000000"/>
          <w:sz w:val="22"/>
          <w:szCs w:val="22"/>
        </w:rPr>
        <w:t>řej</w:t>
      </w:r>
      <w:r w:rsidRPr="0019637F">
        <w:rPr>
          <w:rFonts w:ascii="Arial" w:hAnsi="Arial" w:cs="Arial"/>
          <w:color w:val="000000"/>
          <w:sz w:val="22"/>
          <w:szCs w:val="22"/>
        </w:rPr>
        <w:t>n</w:t>
      </w:r>
      <w:r w:rsidRPr="00A35E28">
        <w:rPr>
          <w:rFonts w:ascii="Arial" w:hAnsi="Arial" w:cs="Arial"/>
          <w:color w:val="000000"/>
          <w:sz w:val="22"/>
          <w:szCs w:val="22"/>
        </w:rPr>
        <w:t>é</w:t>
      </w:r>
      <w:r w:rsidRPr="0019637F">
        <w:rPr>
          <w:rFonts w:ascii="Arial" w:hAnsi="Arial" w:cs="Arial"/>
          <w:color w:val="000000"/>
          <w:sz w:val="22"/>
          <w:szCs w:val="22"/>
        </w:rPr>
        <w:t xml:space="preserve"> </w:t>
      </w:r>
      <w:r w:rsidRPr="00A35E28">
        <w:rPr>
          <w:rFonts w:ascii="Arial" w:hAnsi="Arial" w:cs="Arial"/>
          <w:color w:val="000000"/>
          <w:sz w:val="22"/>
          <w:szCs w:val="22"/>
        </w:rPr>
        <w:t>pevné i mobilní</w:t>
      </w:r>
      <w:r w:rsidRPr="0019637F">
        <w:rPr>
          <w:rFonts w:ascii="Arial" w:hAnsi="Arial" w:cs="Arial"/>
          <w:color w:val="000000"/>
          <w:sz w:val="22"/>
          <w:szCs w:val="22"/>
        </w:rPr>
        <w:t xml:space="preserve"> </w:t>
      </w:r>
      <w:r w:rsidRPr="00A35E28">
        <w:rPr>
          <w:rFonts w:ascii="Arial" w:hAnsi="Arial" w:cs="Arial"/>
          <w:color w:val="000000"/>
          <w:sz w:val="22"/>
          <w:szCs w:val="22"/>
        </w:rPr>
        <w:t>sí</w:t>
      </w:r>
      <w:r w:rsidRPr="0019637F">
        <w:rPr>
          <w:rFonts w:ascii="Arial" w:hAnsi="Arial" w:cs="Arial"/>
          <w:color w:val="000000"/>
          <w:sz w:val="22"/>
          <w:szCs w:val="22"/>
        </w:rPr>
        <w:t>t</w:t>
      </w:r>
      <w:r w:rsidRPr="00A35E28">
        <w:rPr>
          <w:rFonts w:ascii="Arial" w:hAnsi="Arial" w:cs="Arial"/>
          <w:color w:val="000000"/>
          <w:sz w:val="22"/>
          <w:szCs w:val="22"/>
        </w:rPr>
        <w:t>ě</w:t>
      </w:r>
      <w:r w:rsidRPr="0019637F">
        <w:rPr>
          <w:rFonts w:ascii="Arial" w:hAnsi="Arial" w:cs="Arial"/>
          <w:color w:val="000000"/>
          <w:sz w:val="22"/>
          <w:szCs w:val="22"/>
        </w:rPr>
        <w:t xml:space="preserve"> </w:t>
      </w:r>
      <w:r w:rsidRPr="00A35E28">
        <w:rPr>
          <w:rFonts w:ascii="Arial" w:hAnsi="Arial" w:cs="Arial"/>
          <w:color w:val="000000"/>
          <w:sz w:val="22"/>
          <w:szCs w:val="22"/>
        </w:rPr>
        <w:t>přiřazuje</w:t>
      </w:r>
      <w:r w:rsidRPr="0019637F">
        <w:rPr>
          <w:rFonts w:ascii="Arial" w:hAnsi="Arial" w:cs="Arial"/>
          <w:color w:val="000000"/>
          <w:sz w:val="22"/>
          <w:szCs w:val="22"/>
        </w:rPr>
        <w:t xml:space="preserve"> </w:t>
      </w:r>
      <w:r w:rsidRPr="00A35E28">
        <w:rPr>
          <w:rFonts w:ascii="Arial" w:hAnsi="Arial" w:cs="Arial"/>
          <w:color w:val="000000"/>
          <w:sz w:val="22"/>
          <w:szCs w:val="22"/>
        </w:rPr>
        <w:t>náklady</w:t>
      </w:r>
      <w:r w:rsidRPr="0019637F">
        <w:rPr>
          <w:rFonts w:ascii="Arial" w:hAnsi="Arial" w:cs="Arial"/>
          <w:color w:val="000000"/>
          <w:sz w:val="22"/>
          <w:szCs w:val="22"/>
        </w:rPr>
        <w:t xml:space="preserve"> </w:t>
      </w:r>
      <w:r w:rsidR="0019637F">
        <w:rPr>
          <w:rFonts w:ascii="Arial" w:hAnsi="Arial" w:cs="Arial"/>
          <w:color w:val="000000"/>
          <w:sz w:val="22"/>
          <w:szCs w:val="22"/>
        </w:rPr>
        <w:br/>
      </w:r>
      <w:r w:rsidRPr="0019637F">
        <w:rPr>
          <w:rFonts w:ascii="Arial" w:hAnsi="Arial" w:cs="Arial"/>
          <w:color w:val="000000"/>
          <w:sz w:val="22"/>
          <w:szCs w:val="22"/>
        </w:rPr>
        <w:t>na</w:t>
      </w:r>
      <w:r w:rsidR="00A83D2E" w:rsidRPr="0019637F">
        <w:rPr>
          <w:rFonts w:ascii="Arial" w:hAnsi="Arial" w:cs="Arial"/>
          <w:color w:val="000000"/>
          <w:sz w:val="22"/>
          <w:szCs w:val="22"/>
        </w:rPr>
        <w:t xml:space="preserve"> </w:t>
      </w:r>
      <w:r w:rsidRPr="00A35E28">
        <w:rPr>
          <w:rFonts w:ascii="Arial" w:hAnsi="Arial" w:cs="Arial"/>
          <w:color w:val="000000"/>
          <w:sz w:val="22"/>
          <w:szCs w:val="22"/>
        </w:rPr>
        <w:t>fyzické prvky</w:t>
      </w:r>
      <w:r w:rsidRPr="0019637F">
        <w:rPr>
          <w:rFonts w:ascii="Arial" w:hAnsi="Arial" w:cs="Arial"/>
          <w:color w:val="000000"/>
          <w:sz w:val="22"/>
          <w:szCs w:val="22"/>
        </w:rPr>
        <w:t xml:space="preserve"> s</w:t>
      </w:r>
      <w:r w:rsidRPr="00A35E28">
        <w:rPr>
          <w:rFonts w:ascii="Arial" w:hAnsi="Arial" w:cs="Arial"/>
          <w:color w:val="000000"/>
          <w:sz w:val="22"/>
          <w:szCs w:val="22"/>
        </w:rPr>
        <w:t>í</w:t>
      </w:r>
      <w:r w:rsidRPr="0019637F">
        <w:rPr>
          <w:rFonts w:ascii="Arial" w:hAnsi="Arial" w:cs="Arial"/>
          <w:color w:val="000000"/>
          <w:sz w:val="22"/>
          <w:szCs w:val="22"/>
        </w:rPr>
        <w:t>t</w:t>
      </w:r>
      <w:r w:rsidRPr="00A35E28">
        <w:rPr>
          <w:rFonts w:ascii="Arial" w:hAnsi="Arial" w:cs="Arial"/>
          <w:color w:val="000000"/>
          <w:sz w:val="22"/>
          <w:szCs w:val="22"/>
        </w:rPr>
        <w:t>í</w:t>
      </w:r>
      <w:r w:rsidRPr="0019637F">
        <w:rPr>
          <w:rFonts w:ascii="Arial" w:hAnsi="Arial" w:cs="Arial"/>
          <w:color w:val="000000"/>
          <w:sz w:val="22"/>
          <w:szCs w:val="22"/>
        </w:rPr>
        <w:t xml:space="preserve"> </w:t>
      </w:r>
      <w:r w:rsidRPr="00A35E28">
        <w:rPr>
          <w:rFonts w:ascii="Arial" w:hAnsi="Arial" w:cs="Arial"/>
          <w:color w:val="000000"/>
          <w:sz w:val="22"/>
          <w:szCs w:val="22"/>
        </w:rPr>
        <w:t>nebo</w:t>
      </w:r>
      <w:r w:rsidRPr="0019637F">
        <w:rPr>
          <w:rFonts w:ascii="Arial" w:hAnsi="Arial" w:cs="Arial"/>
          <w:color w:val="000000"/>
          <w:sz w:val="22"/>
          <w:szCs w:val="22"/>
        </w:rPr>
        <w:t xml:space="preserve"> </w:t>
      </w:r>
      <w:r w:rsidRPr="00A35E28">
        <w:rPr>
          <w:rFonts w:ascii="Arial" w:hAnsi="Arial" w:cs="Arial"/>
          <w:color w:val="000000"/>
          <w:sz w:val="22"/>
          <w:szCs w:val="22"/>
        </w:rPr>
        <w:t>jejich</w:t>
      </w:r>
      <w:r w:rsidRPr="0019637F">
        <w:rPr>
          <w:rFonts w:ascii="Arial" w:hAnsi="Arial" w:cs="Arial"/>
          <w:color w:val="000000"/>
          <w:sz w:val="22"/>
          <w:szCs w:val="22"/>
        </w:rPr>
        <w:t xml:space="preserve"> čás</w:t>
      </w:r>
      <w:r w:rsidRPr="00A35E28">
        <w:rPr>
          <w:rFonts w:ascii="Arial" w:hAnsi="Arial" w:cs="Arial"/>
          <w:color w:val="000000"/>
          <w:sz w:val="22"/>
          <w:szCs w:val="22"/>
        </w:rPr>
        <w:t>ti</w:t>
      </w:r>
      <w:r w:rsidRPr="0019637F">
        <w:rPr>
          <w:rFonts w:ascii="Arial" w:hAnsi="Arial" w:cs="Arial"/>
          <w:color w:val="000000"/>
          <w:sz w:val="22"/>
          <w:szCs w:val="22"/>
        </w:rPr>
        <w:t xml:space="preserve"> </w:t>
      </w:r>
      <w:r w:rsidRPr="00A35E28">
        <w:rPr>
          <w:rFonts w:ascii="Arial" w:hAnsi="Arial" w:cs="Arial"/>
          <w:color w:val="000000"/>
          <w:sz w:val="22"/>
          <w:szCs w:val="22"/>
        </w:rPr>
        <w:t>nebo</w:t>
      </w:r>
      <w:r w:rsidRPr="0019637F">
        <w:rPr>
          <w:rFonts w:ascii="Arial" w:hAnsi="Arial" w:cs="Arial"/>
          <w:color w:val="000000"/>
          <w:sz w:val="22"/>
          <w:szCs w:val="22"/>
        </w:rPr>
        <w:t xml:space="preserve"> </w:t>
      </w:r>
      <w:r w:rsidRPr="00A35E28">
        <w:rPr>
          <w:rFonts w:ascii="Arial" w:hAnsi="Arial" w:cs="Arial"/>
          <w:color w:val="000000"/>
          <w:sz w:val="22"/>
          <w:szCs w:val="22"/>
        </w:rPr>
        <w:t>sk</w:t>
      </w:r>
      <w:r w:rsidRPr="0019637F">
        <w:rPr>
          <w:rFonts w:ascii="Arial" w:hAnsi="Arial" w:cs="Arial"/>
          <w:color w:val="000000"/>
          <w:sz w:val="22"/>
          <w:szCs w:val="22"/>
        </w:rPr>
        <w:t>u</w:t>
      </w:r>
      <w:r w:rsidRPr="00A35E28">
        <w:rPr>
          <w:rFonts w:ascii="Arial" w:hAnsi="Arial" w:cs="Arial"/>
          <w:color w:val="000000"/>
          <w:sz w:val="22"/>
          <w:szCs w:val="22"/>
        </w:rPr>
        <w:t>piny</w:t>
      </w:r>
      <w:r w:rsidRPr="0019637F">
        <w:rPr>
          <w:rFonts w:ascii="Arial" w:hAnsi="Arial" w:cs="Arial"/>
          <w:color w:val="000000"/>
          <w:sz w:val="22"/>
          <w:szCs w:val="22"/>
        </w:rPr>
        <w:t xml:space="preserve"> </w:t>
      </w:r>
      <w:r w:rsidRPr="00A35E28">
        <w:rPr>
          <w:rFonts w:ascii="Arial" w:hAnsi="Arial" w:cs="Arial"/>
          <w:color w:val="000000"/>
          <w:sz w:val="22"/>
          <w:szCs w:val="22"/>
        </w:rPr>
        <w:t>fyzických</w:t>
      </w:r>
      <w:r w:rsidRPr="0019637F">
        <w:rPr>
          <w:rFonts w:ascii="Arial" w:hAnsi="Arial" w:cs="Arial"/>
          <w:color w:val="000000"/>
          <w:sz w:val="22"/>
          <w:szCs w:val="22"/>
        </w:rPr>
        <w:t xml:space="preserve"> </w:t>
      </w:r>
      <w:r w:rsidRPr="00A35E28">
        <w:rPr>
          <w:rFonts w:ascii="Arial" w:hAnsi="Arial" w:cs="Arial"/>
          <w:color w:val="000000"/>
          <w:sz w:val="22"/>
          <w:szCs w:val="22"/>
        </w:rPr>
        <w:t>prv</w:t>
      </w:r>
      <w:r w:rsidRPr="0019637F">
        <w:rPr>
          <w:rFonts w:ascii="Arial" w:hAnsi="Arial" w:cs="Arial"/>
          <w:color w:val="000000"/>
          <w:sz w:val="22"/>
          <w:szCs w:val="22"/>
        </w:rPr>
        <w:t>k</w:t>
      </w:r>
      <w:r w:rsidRPr="00A35E28">
        <w:rPr>
          <w:rFonts w:ascii="Arial" w:hAnsi="Arial" w:cs="Arial"/>
          <w:color w:val="000000"/>
          <w:sz w:val="22"/>
          <w:szCs w:val="22"/>
        </w:rPr>
        <w:t>ů</w:t>
      </w:r>
      <w:r w:rsidRPr="0019637F">
        <w:rPr>
          <w:rFonts w:ascii="Arial" w:hAnsi="Arial" w:cs="Arial"/>
          <w:color w:val="000000"/>
          <w:sz w:val="22"/>
          <w:szCs w:val="22"/>
        </w:rPr>
        <w:t xml:space="preserve"> </w:t>
      </w:r>
      <w:r w:rsidRPr="00A35E28">
        <w:rPr>
          <w:rFonts w:ascii="Arial" w:hAnsi="Arial" w:cs="Arial"/>
          <w:color w:val="000000"/>
          <w:sz w:val="22"/>
          <w:szCs w:val="22"/>
        </w:rPr>
        <w:t>sí</w:t>
      </w:r>
      <w:r w:rsidRPr="0019637F">
        <w:rPr>
          <w:rFonts w:ascii="Arial" w:hAnsi="Arial" w:cs="Arial"/>
          <w:color w:val="000000"/>
          <w:sz w:val="22"/>
          <w:szCs w:val="22"/>
        </w:rPr>
        <w:t>t</w:t>
      </w:r>
      <w:r w:rsidRPr="00A35E28">
        <w:rPr>
          <w:rFonts w:ascii="Arial" w:hAnsi="Arial" w:cs="Arial"/>
          <w:color w:val="000000"/>
          <w:sz w:val="22"/>
          <w:szCs w:val="22"/>
        </w:rPr>
        <w:t>í</w:t>
      </w:r>
      <w:r w:rsidR="00736F5C">
        <w:rPr>
          <w:rFonts w:ascii="Arial" w:hAnsi="Arial" w:cs="Arial"/>
          <w:color w:val="000000"/>
          <w:sz w:val="22"/>
          <w:szCs w:val="22"/>
        </w:rPr>
        <w:t xml:space="preserve"> ve struktuře stanovené</w:t>
      </w:r>
      <w:r w:rsidR="0047095F">
        <w:rPr>
          <w:rFonts w:ascii="Arial" w:hAnsi="Arial" w:cs="Arial"/>
          <w:color w:val="000000"/>
          <w:sz w:val="22"/>
          <w:szCs w:val="22"/>
        </w:rPr>
        <w:t xml:space="preserve"> v </w:t>
      </w:r>
      <w:r w:rsidR="00736F5C">
        <w:rPr>
          <w:rFonts w:ascii="Arial" w:hAnsi="Arial" w:cs="Arial"/>
          <w:color w:val="000000"/>
          <w:sz w:val="22"/>
          <w:szCs w:val="22"/>
        </w:rPr>
        <w:t>tabulce č. 6.</w:t>
      </w:r>
      <w:r w:rsidRPr="0019637F">
        <w:rPr>
          <w:rFonts w:ascii="Arial" w:hAnsi="Arial" w:cs="Arial"/>
          <w:color w:val="000000"/>
          <w:sz w:val="22"/>
          <w:szCs w:val="22"/>
        </w:rPr>
        <w:t xml:space="preserve"> </w:t>
      </w:r>
    </w:p>
    <w:p w:rsidR="004A6A67" w:rsidRPr="00A35E28" w:rsidRDefault="00AC5934" w:rsidP="00F13ABF">
      <w:pPr>
        <w:widowControl w:val="0"/>
        <w:tabs>
          <w:tab w:val="left" w:pos="1276"/>
        </w:tabs>
        <w:autoSpaceDE w:val="0"/>
        <w:autoSpaceDN w:val="0"/>
        <w:adjustRightInd w:val="0"/>
        <w:spacing w:before="120" w:after="120"/>
        <w:ind w:firstLine="828"/>
        <w:jc w:val="both"/>
        <w:rPr>
          <w:rFonts w:ascii="Arial" w:hAnsi="Arial" w:cs="Arial"/>
          <w:color w:val="000000"/>
          <w:sz w:val="22"/>
          <w:szCs w:val="22"/>
        </w:rPr>
      </w:pPr>
      <w:r w:rsidRPr="00092796">
        <w:rPr>
          <w:rFonts w:ascii="Arial" w:hAnsi="Arial" w:cs="Arial"/>
          <w:color w:val="000000"/>
          <w:sz w:val="22"/>
          <w:szCs w:val="22"/>
        </w:rPr>
        <w:t>(</w:t>
      </w:r>
      <w:r w:rsidR="00736F5C" w:rsidRPr="00092796">
        <w:rPr>
          <w:rFonts w:ascii="Arial" w:hAnsi="Arial" w:cs="Arial"/>
          <w:color w:val="000000"/>
          <w:sz w:val="22"/>
          <w:szCs w:val="22"/>
        </w:rPr>
        <w:t>9</w:t>
      </w:r>
      <w:r w:rsidRPr="00092796">
        <w:rPr>
          <w:rFonts w:ascii="Arial" w:hAnsi="Arial" w:cs="Arial"/>
          <w:color w:val="000000"/>
          <w:sz w:val="22"/>
          <w:szCs w:val="22"/>
        </w:rPr>
        <w:t>)</w:t>
      </w:r>
      <w:r w:rsidR="00736F5C">
        <w:rPr>
          <w:rFonts w:ascii="Arial" w:hAnsi="Arial" w:cs="Arial"/>
          <w:color w:val="000000"/>
          <w:spacing w:val="-27"/>
          <w:sz w:val="22"/>
          <w:szCs w:val="22"/>
        </w:rPr>
        <w:tab/>
      </w:r>
      <w:r w:rsidR="004A6A67" w:rsidRPr="00C905FA">
        <w:rPr>
          <w:rFonts w:ascii="Arial" w:hAnsi="Arial" w:cs="Arial"/>
          <w:color w:val="000000"/>
          <w:sz w:val="22"/>
          <w:szCs w:val="22"/>
        </w:rPr>
        <w:t>Stanovený</w:t>
      </w:r>
      <w:r w:rsidR="004A6A67" w:rsidRPr="00C905FA">
        <w:rPr>
          <w:rFonts w:ascii="Arial" w:hAnsi="Arial" w:cs="Arial"/>
          <w:color w:val="000000"/>
          <w:spacing w:val="32"/>
          <w:sz w:val="22"/>
          <w:szCs w:val="22"/>
        </w:rPr>
        <w:t xml:space="preserve"> </w:t>
      </w:r>
      <w:r w:rsidR="004A6A67" w:rsidRPr="00C905FA">
        <w:rPr>
          <w:rFonts w:ascii="Arial" w:hAnsi="Arial" w:cs="Arial"/>
          <w:color w:val="000000"/>
          <w:sz w:val="22"/>
          <w:szCs w:val="22"/>
        </w:rPr>
        <w:t>podnik, u</w:t>
      </w:r>
      <w:r w:rsidR="0019637F" w:rsidRPr="00C905FA">
        <w:rPr>
          <w:rFonts w:ascii="Arial" w:hAnsi="Arial" w:cs="Arial"/>
          <w:color w:val="000000"/>
          <w:sz w:val="22"/>
          <w:szCs w:val="22"/>
        </w:rPr>
        <w:t xml:space="preserve"> </w:t>
      </w:r>
      <w:r w:rsidR="004A6A67" w:rsidRPr="00C905FA">
        <w:rPr>
          <w:rFonts w:ascii="Arial" w:hAnsi="Arial" w:cs="Arial"/>
          <w:color w:val="000000"/>
          <w:sz w:val="22"/>
          <w:szCs w:val="22"/>
        </w:rPr>
        <w:t xml:space="preserve">kterého uplatňuje Úřad výpočet ceny za regulovanou službu metodou </w:t>
      </w:r>
      <w:proofErr w:type="spellStart"/>
      <w:r w:rsidR="004A6A67" w:rsidRPr="00C905FA">
        <w:rPr>
          <w:rFonts w:ascii="Arial" w:hAnsi="Arial" w:cs="Arial"/>
          <w:color w:val="000000"/>
          <w:sz w:val="22"/>
          <w:szCs w:val="22"/>
        </w:rPr>
        <w:t>pure</w:t>
      </w:r>
      <w:proofErr w:type="spellEnd"/>
      <w:r w:rsidR="004A6A67" w:rsidRPr="00C905FA">
        <w:rPr>
          <w:rFonts w:ascii="Arial" w:hAnsi="Arial" w:cs="Arial"/>
          <w:color w:val="000000"/>
          <w:sz w:val="22"/>
          <w:szCs w:val="22"/>
        </w:rPr>
        <w:t xml:space="preserve"> LRIC, nealokuje</w:t>
      </w:r>
      <w:r w:rsidR="0047095F" w:rsidRPr="00C905FA">
        <w:rPr>
          <w:rFonts w:ascii="Arial" w:hAnsi="Arial" w:cs="Arial"/>
          <w:color w:val="000000"/>
          <w:sz w:val="22"/>
          <w:szCs w:val="22"/>
        </w:rPr>
        <w:t xml:space="preserve"> na </w:t>
      </w:r>
      <w:r w:rsidR="004A6A67" w:rsidRPr="00C905FA">
        <w:rPr>
          <w:rFonts w:ascii="Arial" w:hAnsi="Arial" w:cs="Arial"/>
          <w:color w:val="000000"/>
          <w:sz w:val="22"/>
          <w:szCs w:val="22"/>
        </w:rPr>
        <w:t>tuto službu společné náklady.</w:t>
      </w:r>
    </w:p>
    <w:p w:rsidR="004A6A67" w:rsidRPr="00A35E28" w:rsidRDefault="004A6A67" w:rsidP="006D177F">
      <w:pPr>
        <w:widowControl w:val="0"/>
        <w:tabs>
          <w:tab w:val="left" w:pos="1276"/>
        </w:tabs>
        <w:autoSpaceDE w:val="0"/>
        <w:autoSpaceDN w:val="0"/>
        <w:adjustRightInd w:val="0"/>
        <w:spacing w:before="120"/>
        <w:ind w:firstLine="828"/>
        <w:jc w:val="both"/>
        <w:rPr>
          <w:rFonts w:ascii="Arial" w:hAnsi="Arial" w:cs="Arial"/>
          <w:color w:val="000000"/>
          <w:sz w:val="22"/>
          <w:szCs w:val="22"/>
        </w:rPr>
      </w:pPr>
      <w:r w:rsidRPr="00A35E28">
        <w:rPr>
          <w:rFonts w:ascii="Arial" w:hAnsi="Arial" w:cs="Arial"/>
          <w:color w:val="000000"/>
          <w:w w:val="99"/>
          <w:sz w:val="22"/>
          <w:szCs w:val="22"/>
        </w:rPr>
        <w:t>(1</w:t>
      </w:r>
      <w:r w:rsidR="00736F5C">
        <w:rPr>
          <w:rFonts w:ascii="Arial" w:hAnsi="Arial" w:cs="Arial"/>
          <w:color w:val="000000"/>
          <w:w w:val="99"/>
          <w:sz w:val="22"/>
          <w:szCs w:val="22"/>
        </w:rPr>
        <w:t>0</w:t>
      </w:r>
      <w:r w:rsidRPr="00A35E28">
        <w:rPr>
          <w:rFonts w:ascii="Arial" w:hAnsi="Arial" w:cs="Arial"/>
          <w:color w:val="000000"/>
          <w:w w:val="99"/>
          <w:sz w:val="22"/>
          <w:szCs w:val="22"/>
        </w:rPr>
        <w:t>)</w:t>
      </w:r>
      <w:r w:rsidRPr="00A35E28">
        <w:rPr>
          <w:rFonts w:ascii="Arial" w:hAnsi="Arial" w:cs="Arial"/>
          <w:color w:val="000000"/>
          <w:spacing w:val="-27"/>
          <w:sz w:val="22"/>
          <w:szCs w:val="22"/>
        </w:rPr>
        <w:t xml:space="preserve"> </w:t>
      </w:r>
      <w:r w:rsidR="00736F5C">
        <w:rPr>
          <w:rFonts w:ascii="Arial" w:hAnsi="Arial" w:cs="Arial"/>
          <w:color w:val="000000"/>
          <w:spacing w:val="-27"/>
          <w:sz w:val="22"/>
          <w:szCs w:val="22"/>
        </w:rPr>
        <w:tab/>
      </w:r>
      <w:r w:rsidRPr="00A35E28">
        <w:rPr>
          <w:rFonts w:ascii="Arial" w:hAnsi="Arial" w:cs="Arial"/>
          <w:color w:val="000000"/>
          <w:sz w:val="22"/>
          <w:szCs w:val="22"/>
        </w:rPr>
        <w:t>Ostatní</w:t>
      </w:r>
      <w:r w:rsidRPr="00A35E28">
        <w:rPr>
          <w:rFonts w:ascii="Arial" w:hAnsi="Arial" w:cs="Arial"/>
          <w:color w:val="000000"/>
          <w:spacing w:val="13"/>
          <w:sz w:val="22"/>
          <w:szCs w:val="22"/>
        </w:rPr>
        <w:t xml:space="preserve"> </w:t>
      </w:r>
      <w:r w:rsidRPr="00A35E28">
        <w:rPr>
          <w:rFonts w:ascii="Arial" w:hAnsi="Arial" w:cs="Arial"/>
          <w:color w:val="000000"/>
          <w:sz w:val="22"/>
          <w:szCs w:val="22"/>
        </w:rPr>
        <w:t>náklady a výnosy,</w:t>
      </w:r>
      <w:r w:rsidRPr="00A35E28">
        <w:rPr>
          <w:rFonts w:ascii="Arial" w:hAnsi="Arial" w:cs="Arial"/>
          <w:color w:val="000000"/>
          <w:spacing w:val="12"/>
          <w:sz w:val="22"/>
          <w:szCs w:val="22"/>
        </w:rPr>
        <w:t xml:space="preserve"> </w:t>
      </w:r>
      <w:r w:rsidRPr="00A35E28">
        <w:rPr>
          <w:rFonts w:ascii="Arial" w:hAnsi="Arial" w:cs="Arial"/>
          <w:color w:val="000000"/>
          <w:sz w:val="22"/>
          <w:szCs w:val="22"/>
        </w:rPr>
        <w:t>které</w:t>
      </w:r>
      <w:r w:rsidRPr="00A35E28">
        <w:rPr>
          <w:rFonts w:ascii="Arial" w:hAnsi="Arial" w:cs="Arial"/>
          <w:color w:val="000000"/>
          <w:spacing w:val="15"/>
          <w:sz w:val="22"/>
          <w:szCs w:val="22"/>
        </w:rPr>
        <w:t xml:space="preserve"> </w:t>
      </w:r>
      <w:r w:rsidRPr="00A35E28">
        <w:rPr>
          <w:rFonts w:ascii="Arial" w:hAnsi="Arial" w:cs="Arial"/>
          <w:color w:val="000000"/>
          <w:sz w:val="22"/>
          <w:szCs w:val="22"/>
        </w:rPr>
        <w:t>se</w:t>
      </w:r>
      <w:r w:rsidRPr="00A35E28">
        <w:rPr>
          <w:rFonts w:ascii="Arial" w:hAnsi="Arial" w:cs="Arial"/>
          <w:color w:val="000000"/>
          <w:spacing w:val="18"/>
          <w:sz w:val="22"/>
          <w:szCs w:val="22"/>
        </w:rPr>
        <w:t xml:space="preserve"> </w:t>
      </w:r>
      <w:r w:rsidRPr="00A35E28">
        <w:rPr>
          <w:rFonts w:ascii="Arial" w:hAnsi="Arial" w:cs="Arial"/>
          <w:color w:val="000000"/>
          <w:sz w:val="22"/>
          <w:szCs w:val="22"/>
        </w:rPr>
        <w:t>nepřiřazují,</w:t>
      </w:r>
      <w:r w:rsidRPr="00A35E28">
        <w:rPr>
          <w:rFonts w:ascii="Arial" w:hAnsi="Arial" w:cs="Arial"/>
          <w:color w:val="000000"/>
          <w:spacing w:val="9"/>
          <w:sz w:val="22"/>
          <w:szCs w:val="22"/>
        </w:rPr>
        <w:t xml:space="preserve"> </w:t>
      </w:r>
      <w:r w:rsidRPr="00A35E28">
        <w:rPr>
          <w:rFonts w:ascii="Arial" w:hAnsi="Arial" w:cs="Arial"/>
          <w:color w:val="000000"/>
          <w:sz w:val="22"/>
          <w:szCs w:val="22"/>
        </w:rPr>
        <w:t>se</w:t>
      </w:r>
      <w:r w:rsidRPr="00A35E28">
        <w:rPr>
          <w:rFonts w:ascii="Arial" w:hAnsi="Arial" w:cs="Arial"/>
          <w:color w:val="000000"/>
          <w:spacing w:val="18"/>
          <w:sz w:val="22"/>
          <w:szCs w:val="22"/>
        </w:rPr>
        <w:t xml:space="preserve"> </w:t>
      </w:r>
      <w:r w:rsidRPr="00A35E28">
        <w:rPr>
          <w:rFonts w:ascii="Arial" w:hAnsi="Arial" w:cs="Arial"/>
          <w:color w:val="000000"/>
          <w:sz w:val="22"/>
          <w:szCs w:val="22"/>
        </w:rPr>
        <w:t>vykaz</w:t>
      </w:r>
      <w:r w:rsidRPr="00A35E28">
        <w:rPr>
          <w:rFonts w:ascii="Arial" w:hAnsi="Arial" w:cs="Arial"/>
          <w:color w:val="000000"/>
          <w:spacing w:val="1"/>
          <w:sz w:val="22"/>
          <w:szCs w:val="22"/>
        </w:rPr>
        <w:t>u</w:t>
      </w:r>
      <w:r w:rsidRPr="00A35E28">
        <w:rPr>
          <w:rFonts w:ascii="Arial" w:hAnsi="Arial" w:cs="Arial"/>
          <w:color w:val="000000"/>
          <w:sz w:val="22"/>
          <w:szCs w:val="22"/>
        </w:rPr>
        <w:t>jí</w:t>
      </w:r>
      <w:r w:rsidRPr="00A35E28">
        <w:rPr>
          <w:rFonts w:ascii="Arial" w:hAnsi="Arial" w:cs="Arial"/>
          <w:color w:val="000000"/>
          <w:spacing w:val="13"/>
          <w:sz w:val="22"/>
          <w:szCs w:val="22"/>
        </w:rPr>
        <w:t xml:space="preserve"> </w:t>
      </w:r>
      <w:r w:rsidRPr="00A35E28">
        <w:rPr>
          <w:rFonts w:ascii="Arial" w:hAnsi="Arial" w:cs="Arial"/>
          <w:color w:val="000000"/>
          <w:sz w:val="22"/>
          <w:szCs w:val="22"/>
        </w:rPr>
        <w:t>samostatně</w:t>
      </w:r>
      <w:r w:rsidRPr="00A35E28">
        <w:rPr>
          <w:rFonts w:ascii="Arial" w:hAnsi="Arial" w:cs="Arial"/>
          <w:color w:val="000000"/>
          <w:spacing w:val="9"/>
          <w:sz w:val="22"/>
          <w:szCs w:val="22"/>
        </w:rPr>
        <w:t xml:space="preserve"> za</w:t>
      </w:r>
      <w:r w:rsidR="006A741C" w:rsidRPr="00A35E28">
        <w:rPr>
          <w:rFonts w:ascii="Arial" w:hAnsi="Arial" w:cs="Arial"/>
          <w:color w:val="000000"/>
          <w:spacing w:val="9"/>
          <w:sz w:val="22"/>
          <w:szCs w:val="22"/>
        </w:rPr>
        <w:t xml:space="preserve"> </w:t>
      </w:r>
      <w:r w:rsidRPr="00A35E28">
        <w:rPr>
          <w:rFonts w:ascii="Arial" w:hAnsi="Arial" w:cs="Arial"/>
          <w:color w:val="000000"/>
          <w:sz w:val="22"/>
          <w:szCs w:val="22"/>
        </w:rPr>
        <w:t>celý</w:t>
      </w:r>
      <w:r w:rsidRPr="00A35E28">
        <w:rPr>
          <w:rFonts w:ascii="Arial" w:hAnsi="Arial" w:cs="Arial"/>
          <w:color w:val="000000"/>
          <w:spacing w:val="16"/>
          <w:sz w:val="22"/>
          <w:szCs w:val="22"/>
        </w:rPr>
        <w:t xml:space="preserve"> </w:t>
      </w:r>
      <w:r w:rsidRPr="00A35E28">
        <w:rPr>
          <w:rFonts w:ascii="Arial" w:hAnsi="Arial" w:cs="Arial"/>
          <w:color w:val="000000"/>
          <w:sz w:val="22"/>
          <w:szCs w:val="22"/>
        </w:rPr>
        <w:t>s</w:t>
      </w:r>
      <w:r w:rsidRPr="00A35E28">
        <w:rPr>
          <w:rFonts w:ascii="Arial" w:hAnsi="Arial" w:cs="Arial"/>
          <w:color w:val="000000"/>
          <w:spacing w:val="-1"/>
          <w:sz w:val="22"/>
          <w:szCs w:val="22"/>
        </w:rPr>
        <w:t>t</w:t>
      </w:r>
      <w:r w:rsidRPr="00A35E28">
        <w:rPr>
          <w:rFonts w:ascii="Arial" w:hAnsi="Arial" w:cs="Arial"/>
          <w:color w:val="000000"/>
          <w:sz w:val="22"/>
          <w:szCs w:val="22"/>
        </w:rPr>
        <w:t>anovený podnik</w:t>
      </w:r>
      <w:r w:rsidRPr="00A35E28">
        <w:rPr>
          <w:rFonts w:ascii="Arial" w:hAnsi="Arial" w:cs="Arial"/>
          <w:color w:val="000000"/>
          <w:spacing w:val="-6"/>
          <w:sz w:val="22"/>
          <w:szCs w:val="22"/>
        </w:rPr>
        <w:t xml:space="preserve"> ve</w:t>
      </w:r>
      <w:r w:rsidR="006A741C" w:rsidRPr="00A35E28">
        <w:rPr>
          <w:rFonts w:ascii="Arial" w:hAnsi="Arial" w:cs="Arial"/>
          <w:color w:val="000000"/>
          <w:spacing w:val="-6"/>
          <w:sz w:val="22"/>
          <w:szCs w:val="22"/>
        </w:rPr>
        <w:t xml:space="preserve"> </w:t>
      </w:r>
      <w:r w:rsidRPr="00A35E28">
        <w:rPr>
          <w:rFonts w:ascii="Arial" w:hAnsi="Arial" w:cs="Arial"/>
          <w:color w:val="000000"/>
          <w:sz w:val="22"/>
          <w:szCs w:val="22"/>
        </w:rPr>
        <w:t>s</w:t>
      </w:r>
      <w:r w:rsidRPr="00A35E28">
        <w:rPr>
          <w:rFonts w:ascii="Arial" w:hAnsi="Arial" w:cs="Arial"/>
          <w:color w:val="000000"/>
          <w:spacing w:val="-1"/>
          <w:sz w:val="22"/>
          <w:szCs w:val="22"/>
        </w:rPr>
        <w:t>t</w:t>
      </w:r>
      <w:r w:rsidRPr="00A35E28">
        <w:rPr>
          <w:rFonts w:ascii="Arial" w:hAnsi="Arial" w:cs="Arial"/>
          <w:color w:val="000000"/>
          <w:sz w:val="22"/>
          <w:szCs w:val="22"/>
        </w:rPr>
        <w:t>ruktuře</w:t>
      </w:r>
      <w:r w:rsidRPr="00A35E28">
        <w:rPr>
          <w:rFonts w:ascii="Arial" w:hAnsi="Arial" w:cs="Arial"/>
          <w:color w:val="000000"/>
          <w:spacing w:val="53"/>
          <w:sz w:val="22"/>
          <w:szCs w:val="22"/>
        </w:rPr>
        <w:t xml:space="preserve"> </w:t>
      </w:r>
      <w:r w:rsidRPr="00A35E28">
        <w:rPr>
          <w:rFonts w:ascii="Arial" w:hAnsi="Arial" w:cs="Arial"/>
          <w:color w:val="000000"/>
          <w:sz w:val="22"/>
          <w:szCs w:val="22"/>
        </w:rPr>
        <w:t>sta</w:t>
      </w:r>
      <w:r w:rsidRPr="00A35E28">
        <w:rPr>
          <w:rFonts w:ascii="Arial" w:hAnsi="Arial" w:cs="Arial"/>
          <w:color w:val="000000"/>
          <w:spacing w:val="-1"/>
          <w:sz w:val="22"/>
          <w:szCs w:val="22"/>
        </w:rPr>
        <w:t>n</w:t>
      </w:r>
      <w:r w:rsidRPr="00A35E28">
        <w:rPr>
          <w:rFonts w:ascii="Arial" w:hAnsi="Arial" w:cs="Arial"/>
          <w:color w:val="000000"/>
          <w:sz w:val="22"/>
          <w:szCs w:val="22"/>
        </w:rPr>
        <w:t>ovené</w:t>
      </w:r>
      <w:r w:rsidR="0047095F">
        <w:rPr>
          <w:rFonts w:ascii="Arial" w:hAnsi="Arial" w:cs="Arial"/>
          <w:color w:val="000000"/>
          <w:spacing w:val="-10"/>
          <w:sz w:val="22"/>
          <w:szCs w:val="22"/>
        </w:rPr>
        <w:t xml:space="preserve"> v </w:t>
      </w:r>
      <w:r w:rsidRPr="00A35E28">
        <w:rPr>
          <w:rFonts w:ascii="Arial" w:hAnsi="Arial" w:cs="Arial"/>
          <w:color w:val="000000"/>
          <w:sz w:val="22"/>
          <w:szCs w:val="22"/>
        </w:rPr>
        <w:t>ta</w:t>
      </w:r>
      <w:r w:rsidRPr="00A35E28">
        <w:rPr>
          <w:rFonts w:ascii="Arial" w:hAnsi="Arial" w:cs="Arial"/>
          <w:color w:val="000000"/>
          <w:spacing w:val="1"/>
          <w:sz w:val="22"/>
          <w:szCs w:val="22"/>
        </w:rPr>
        <w:t>b</w:t>
      </w:r>
      <w:r w:rsidRPr="00A35E28">
        <w:rPr>
          <w:rFonts w:ascii="Arial" w:hAnsi="Arial" w:cs="Arial"/>
          <w:color w:val="000000"/>
          <w:sz w:val="22"/>
          <w:szCs w:val="22"/>
        </w:rPr>
        <w:t>ulce</w:t>
      </w:r>
      <w:r w:rsidRPr="00A35E28">
        <w:rPr>
          <w:rFonts w:ascii="Arial" w:hAnsi="Arial" w:cs="Arial"/>
          <w:color w:val="000000"/>
          <w:spacing w:val="-6"/>
          <w:sz w:val="22"/>
          <w:szCs w:val="22"/>
        </w:rPr>
        <w:t xml:space="preserve"> </w:t>
      </w:r>
      <w:r w:rsidRPr="00A35E28">
        <w:rPr>
          <w:rFonts w:ascii="Arial" w:hAnsi="Arial" w:cs="Arial"/>
          <w:color w:val="000000"/>
          <w:spacing w:val="1"/>
          <w:sz w:val="22"/>
          <w:szCs w:val="22"/>
        </w:rPr>
        <w:t>č</w:t>
      </w:r>
      <w:r w:rsidRPr="00A35E28">
        <w:rPr>
          <w:rFonts w:ascii="Arial" w:hAnsi="Arial" w:cs="Arial"/>
          <w:color w:val="000000"/>
          <w:sz w:val="22"/>
          <w:szCs w:val="22"/>
        </w:rPr>
        <w:t>.</w:t>
      </w:r>
      <w:r w:rsidRPr="00A35E28">
        <w:rPr>
          <w:rFonts w:ascii="Arial" w:hAnsi="Arial" w:cs="Arial"/>
          <w:color w:val="000000"/>
          <w:spacing w:val="-1"/>
          <w:sz w:val="22"/>
          <w:szCs w:val="22"/>
        </w:rPr>
        <w:t xml:space="preserve"> </w:t>
      </w:r>
      <w:r w:rsidRPr="00A35E28">
        <w:rPr>
          <w:rFonts w:ascii="Arial" w:hAnsi="Arial" w:cs="Arial"/>
          <w:color w:val="000000"/>
          <w:sz w:val="22"/>
          <w:szCs w:val="22"/>
        </w:rPr>
        <w:t>3</w:t>
      </w:r>
      <w:r w:rsidRPr="00A35E28">
        <w:rPr>
          <w:rFonts w:ascii="Arial" w:hAnsi="Arial" w:cs="Arial"/>
          <w:color w:val="000000"/>
          <w:spacing w:val="-2"/>
          <w:sz w:val="22"/>
          <w:szCs w:val="22"/>
        </w:rPr>
        <w:t xml:space="preserve"> </w:t>
      </w:r>
      <w:r w:rsidRPr="00A35E28">
        <w:rPr>
          <w:rFonts w:ascii="Arial" w:hAnsi="Arial" w:cs="Arial"/>
          <w:color w:val="000000"/>
          <w:sz w:val="22"/>
          <w:szCs w:val="22"/>
        </w:rPr>
        <w:t>p</w:t>
      </w:r>
      <w:r w:rsidRPr="00A35E28">
        <w:rPr>
          <w:rFonts w:ascii="Arial" w:hAnsi="Arial" w:cs="Arial"/>
          <w:color w:val="000000"/>
          <w:spacing w:val="-1"/>
          <w:sz w:val="22"/>
          <w:szCs w:val="22"/>
        </w:rPr>
        <w:t>ř</w:t>
      </w:r>
      <w:r w:rsidRPr="00A35E28">
        <w:rPr>
          <w:rFonts w:ascii="Arial" w:hAnsi="Arial" w:cs="Arial"/>
          <w:color w:val="000000"/>
          <w:sz w:val="22"/>
          <w:szCs w:val="22"/>
        </w:rPr>
        <w:t>ílohy</w:t>
      </w:r>
      <w:r w:rsidRPr="00A35E28">
        <w:rPr>
          <w:rFonts w:ascii="Arial" w:hAnsi="Arial" w:cs="Arial"/>
          <w:color w:val="000000"/>
          <w:spacing w:val="-7"/>
          <w:sz w:val="22"/>
          <w:szCs w:val="22"/>
        </w:rPr>
        <w:t xml:space="preserve"> </w:t>
      </w:r>
      <w:r w:rsidRPr="00A35E28">
        <w:rPr>
          <w:rFonts w:ascii="Arial" w:hAnsi="Arial" w:cs="Arial"/>
          <w:color w:val="000000"/>
          <w:spacing w:val="1"/>
          <w:sz w:val="22"/>
          <w:szCs w:val="22"/>
        </w:rPr>
        <w:t>č</w:t>
      </w:r>
      <w:r w:rsidRPr="00A35E28">
        <w:rPr>
          <w:rFonts w:ascii="Arial" w:hAnsi="Arial" w:cs="Arial"/>
          <w:color w:val="000000"/>
          <w:sz w:val="22"/>
          <w:szCs w:val="22"/>
        </w:rPr>
        <w:t>.</w:t>
      </w:r>
      <w:r w:rsidRPr="00A35E28">
        <w:rPr>
          <w:rFonts w:ascii="Arial" w:hAnsi="Arial" w:cs="Arial"/>
          <w:color w:val="000000"/>
          <w:spacing w:val="-1"/>
          <w:sz w:val="22"/>
          <w:szCs w:val="22"/>
        </w:rPr>
        <w:t xml:space="preserve"> 1</w:t>
      </w:r>
      <w:r w:rsidRPr="00A35E28">
        <w:rPr>
          <w:rFonts w:ascii="Arial" w:hAnsi="Arial" w:cs="Arial"/>
          <w:color w:val="000000"/>
          <w:sz w:val="22"/>
          <w:szCs w:val="22"/>
        </w:rPr>
        <w:t>.</w:t>
      </w:r>
    </w:p>
    <w:p w:rsidR="004A6A67" w:rsidRPr="00A35E28" w:rsidRDefault="004A6A67" w:rsidP="002C151C">
      <w:pPr>
        <w:widowControl w:val="0"/>
        <w:autoSpaceDE w:val="0"/>
        <w:autoSpaceDN w:val="0"/>
        <w:adjustRightInd w:val="0"/>
        <w:spacing w:before="600"/>
        <w:jc w:val="center"/>
        <w:rPr>
          <w:rFonts w:ascii="Arial" w:hAnsi="Arial" w:cs="Arial"/>
          <w:color w:val="000000"/>
          <w:sz w:val="22"/>
          <w:szCs w:val="22"/>
        </w:rPr>
      </w:pPr>
      <w:r w:rsidRPr="00A35E28">
        <w:rPr>
          <w:rFonts w:ascii="Arial" w:hAnsi="Arial" w:cs="Arial"/>
          <w:color w:val="000000"/>
          <w:sz w:val="22"/>
          <w:szCs w:val="22"/>
        </w:rPr>
        <w:t>Článek</w:t>
      </w:r>
      <w:r w:rsidRPr="00A35E28">
        <w:rPr>
          <w:rFonts w:ascii="Arial" w:hAnsi="Arial" w:cs="Arial"/>
          <w:color w:val="000000"/>
          <w:spacing w:val="-7"/>
          <w:sz w:val="22"/>
          <w:szCs w:val="22"/>
        </w:rPr>
        <w:t xml:space="preserve"> </w:t>
      </w:r>
      <w:r w:rsidR="00736F5C">
        <w:rPr>
          <w:rFonts w:ascii="Arial" w:hAnsi="Arial" w:cs="Arial"/>
          <w:color w:val="000000"/>
          <w:spacing w:val="-7"/>
          <w:sz w:val="22"/>
          <w:szCs w:val="22"/>
        </w:rPr>
        <w:t>5</w:t>
      </w:r>
    </w:p>
    <w:p w:rsidR="004A6A67" w:rsidRPr="00A35E28" w:rsidRDefault="004A6A67" w:rsidP="00DD6CDD">
      <w:pPr>
        <w:widowControl w:val="0"/>
        <w:autoSpaceDE w:val="0"/>
        <w:autoSpaceDN w:val="0"/>
        <w:adjustRightInd w:val="0"/>
        <w:spacing w:before="120" w:after="240"/>
        <w:jc w:val="center"/>
        <w:rPr>
          <w:rFonts w:ascii="Arial" w:hAnsi="Arial" w:cs="Arial"/>
          <w:color w:val="000000"/>
          <w:sz w:val="22"/>
          <w:szCs w:val="22"/>
        </w:rPr>
      </w:pPr>
      <w:r w:rsidRPr="00A35E28">
        <w:rPr>
          <w:rFonts w:ascii="Arial" w:hAnsi="Arial" w:cs="Arial"/>
          <w:b/>
          <w:bCs/>
          <w:color w:val="000000"/>
          <w:sz w:val="22"/>
          <w:szCs w:val="22"/>
        </w:rPr>
        <w:t>Nákla</w:t>
      </w:r>
      <w:r w:rsidRPr="00A35E28">
        <w:rPr>
          <w:rFonts w:ascii="Arial" w:hAnsi="Arial" w:cs="Arial"/>
          <w:b/>
          <w:bCs/>
          <w:color w:val="000000"/>
          <w:spacing w:val="1"/>
          <w:sz w:val="22"/>
          <w:szCs w:val="22"/>
        </w:rPr>
        <w:t>d</w:t>
      </w:r>
      <w:r w:rsidRPr="00A35E28">
        <w:rPr>
          <w:rFonts w:ascii="Arial" w:hAnsi="Arial" w:cs="Arial"/>
          <w:b/>
          <w:bCs/>
          <w:color w:val="000000"/>
          <w:sz w:val="22"/>
          <w:szCs w:val="22"/>
        </w:rPr>
        <w:t>y</w:t>
      </w:r>
      <w:r w:rsidRPr="00A35E28">
        <w:rPr>
          <w:rFonts w:ascii="Arial" w:hAnsi="Arial" w:cs="Arial"/>
          <w:b/>
          <w:bCs/>
          <w:color w:val="000000"/>
          <w:spacing w:val="-10"/>
          <w:sz w:val="22"/>
          <w:szCs w:val="22"/>
        </w:rPr>
        <w:t xml:space="preserve"> </w:t>
      </w:r>
      <w:r w:rsidRPr="00A35E28">
        <w:rPr>
          <w:rFonts w:ascii="Arial" w:hAnsi="Arial" w:cs="Arial"/>
          <w:b/>
          <w:bCs/>
          <w:color w:val="000000"/>
          <w:sz w:val="22"/>
          <w:szCs w:val="22"/>
        </w:rPr>
        <w:t>vl</w:t>
      </w:r>
      <w:r w:rsidRPr="00A35E28">
        <w:rPr>
          <w:rFonts w:ascii="Arial" w:hAnsi="Arial" w:cs="Arial"/>
          <w:b/>
          <w:bCs/>
          <w:color w:val="000000"/>
          <w:spacing w:val="2"/>
          <w:sz w:val="22"/>
          <w:szCs w:val="22"/>
        </w:rPr>
        <w:t>o</w:t>
      </w:r>
      <w:r w:rsidRPr="00A35E28">
        <w:rPr>
          <w:rFonts w:ascii="Arial" w:hAnsi="Arial" w:cs="Arial"/>
          <w:b/>
          <w:bCs/>
          <w:color w:val="000000"/>
          <w:spacing w:val="1"/>
          <w:sz w:val="22"/>
          <w:szCs w:val="22"/>
        </w:rPr>
        <w:t>ž</w:t>
      </w:r>
      <w:r w:rsidRPr="00A35E28">
        <w:rPr>
          <w:rFonts w:ascii="Arial" w:hAnsi="Arial" w:cs="Arial"/>
          <w:b/>
          <w:bCs/>
          <w:color w:val="000000"/>
          <w:sz w:val="22"/>
          <w:szCs w:val="22"/>
        </w:rPr>
        <w:t>eného</w:t>
      </w:r>
      <w:r w:rsidRPr="00A35E28">
        <w:rPr>
          <w:rFonts w:ascii="Arial" w:hAnsi="Arial" w:cs="Arial"/>
          <w:b/>
          <w:bCs/>
          <w:color w:val="000000"/>
          <w:spacing w:val="-11"/>
          <w:sz w:val="22"/>
          <w:szCs w:val="22"/>
        </w:rPr>
        <w:t xml:space="preserve"> </w:t>
      </w:r>
      <w:r w:rsidRPr="00A35E28">
        <w:rPr>
          <w:rFonts w:ascii="Arial" w:hAnsi="Arial" w:cs="Arial"/>
          <w:b/>
          <w:bCs/>
          <w:color w:val="000000"/>
          <w:w w:val="99"/>
          <w:sz w:val="22"/>
          <w:szCs w:val="22"/>
        </w:rPr>
        <w:t>ka</w:t>
      </w:r>
      <w:r w:rsidRPr="00A35E28">
        <w:rPr>
          <w:rFonts w:ascii="Arial" w:hAnsi="Arial" w:cs="Arial"/>
          <w:b/>
          <w:bCs/>
          <w:color w:val="000000"/>
          <w:spacing w:val="-1"/>
          <w:w w:val="99"/>
          <w:sz w:val="22"/>
          <w:szCs w:val="22"/>
        </w:rPr>
        <w:t>p</w:t>
      </w:r>
      <w:r w:rsidRPr="00A35E28">
        <w:rPr>
          <w:rFonts w:ascii="Arial" w:hAnsi="Arial" w:cs="Arial"/>
          <w:b/>
          <w:bCs/>
          <w:color w:val="000000"/>
          <w:w w:val="99"/>
          <w:sz w:val="22"/>
          <w:szCs w:val="22"/>
        </w:rPr>
        <w:t>itálu</w:t>
      </w:r>
    </w:p>
    <w:p w:rsidR="004A6A67" w:rsidRPr="00A35E28" w:rsidRDefault="004A6A67" w:rsidP="007D2120">
      <w:pPr>
        <w:widowControl w:val="0"/>
        <w:autoSpaceDE w:val="0"/>
        <w:autoSpaceDN w:val="0"/>
        <w:adjustRightInd w:val="0"/>
        <w:spacing w:before="240"/>
        <w:ind w:firstLine="828"/>
        <w:jc w:val="both"/>
        <w:rPr>
          <w:rFonts w:ascii="Arial" w:hAnsi="Arial" w:cs="Arial"/>
          <w:color w:val="000000"/>
          <w:sz w:val="22"/>
          <w:szCs w:val="22"/>
        </w:rPr>
      </w:pPr>
      <w:r w:rsidRPr="00A35E28">
        <w:rPr>
          <w:rFonts w:ascii="Arial" w:hAnsi="Arial" w:cs="Arial"/>
          <w:color w:val="000000"/>
          <w:sz w:val="22"/>
          <w:szCs w:val="22"/>
        </w:rPr>
        <w:t>(1) Náklady</w:t>
      </w:r>
      <w:r w:rsidRPr="000D0C24">
        <w:rPr>
          <w:rFonts w:ascii="Arial" w:hAnsi="Arial" w:cs="Arial"/>
          <w:color w:val="000000"/>
          <w:sz w:val="22"/>
          <w:szCs w:val="22"/>
        </w:rPr>
        <w:t xml:space="preserve"> </w:t>
      </w:r>
      <w:r w:rsidRPr="00A35E28">
        <w:rPr>
          <w:rFonts w:ascii="Arial" w:hAnsi="Arial" w:cs="Arial"/>
          <w:color w:val="000000"/>
          <w:sz w:val="22"/>
          <w:szCs w:val="22"/>
        </w:rPr>
        <w:t>v</w:t>
      </w:r>
      <w:r w:rsidRPr="000D0C24">
        <w:rPr>
          <w:rFonts w:ascii="Arial" w:hAnsi="Arial" w:cs="Arial"/>
          <w:color w:val="000000"/>
          <w:sz w:val="22"/>
          <w:szCs w:val="22"/>
        </w:rPr>
        <w:t>l</w:t>
      </w:r>
      <w:r w:rsidRPr="00A35E28">
        <w:rPr>
          <w:rFonts w:ascii="Arial" w:hAnsi="Arial" w:cs="Arial"/>
          <w:color w:val="000000"/>
          <w:sz w:val="22"/>
          <w:szCs w:val="22"/>
        </w:rPr>
        <w:t>oženého</w:t>
      </w:r>
      <w:r w:rsidRPr="000D0C24">
        <w:rPr>
          <w:rFonts w:ascii="Arial" w:hAnsi="Arial" w:cs="Arial"/>
          <w:color w:val="000000"/>
          <w:sz w:val="22"/>
          <w:szCs w:val="22"/>
        </w:rPr>
        <w:t xml:space="preserve"> </w:t>
      </w:r>
      <w:r w:rsidRPr="00A35E28">
        <w:rPr>
          <w:rFonts w:ascii="Arial" w:hAnsi="Arial" w:cs="Arial"/>
          <w:color w:val="000000"/>
          <w:sz w:val="22"/>
          <w:szCs w:val="22"/>
        </w:rPr>
        <w:t>kapitálu</w:t>
      </w:r>
      <w:r w:rsidRPr="000D0C24">
        <w:rPr>
          <w:rFonts w:ascii="Arial" w:hAnsi="Arial" w:cs="Arial"/>
          <w:color w:val="000000"/>
          <w:sz w:val="22"/>
          <w:szCs w:val="22"/>
        </w:rPr>
        <w:t xml:space="preserve"> a</w:t>
      </w:r>
      <w:r w:rsidR="00027B02">
        <w:rPr>
          <w:rFonts w:ascii="Arial" w:hAnsi="Arial" w:cs="Arial"/>
          <w:color w:val="000000"/>
          <w:sz w:val="22"/>
          <w:szCs w:val="22"/>
        </w:rPr>
        <w:t xml:space="preserve"> </w:t>
      </w:r>
      <w:r w:rsidRPr="00A35E28">
        <w:rPr>
          <w:rFonts w:ascii="Arial" w:hAnsi="Arial" w:cs="Arial"/>
          <w:color w:val="000000"/>
          <w:sz w:val="22"/>
          <w:szCs w:val="22"/>
        </w:rPr>
        <w:t>zohled</w:t>
      </w:r>
      <w:r w:rsidRPr="000D0C24">
        <w:rPr>
          <w:rFonts w:ascii="Arial" w:hAnsi="Arial" w:cs="Arial"/>
          <w:color w:val="000000"/>
          <w:sz w:val="22"/>
          <w:szCs w:val="22"/>
        </w:rPr>
        <w:t>n</w:t>
      </w:r>
      <w:r w:rsidRPr="00A35E28">
        <w:rPr>
          <w:rFonts w:ascii="Arial" w:hAnsi="Arial" w:cs="Arial"/>
          <w:color w:val="000000"/>
          <w:sz w:val="22"/>
          <w:szCs w:val="22"/>
        </w:rPr>
        <w:t>ění příslušných rizik</w:t>
      </w:r>
      <w:r w:rsidRPr="000D0C24">
        <w:rPr>
          <w:rFonts w:ascii="Arial" w:hAnsi="Arial" w:cs="Arial"/>
          <w:color w:val="000000"/>
          <w:sz w:val="22"/>
          <w:szCs w:val="22"/>
        </w:rPr>
        <w:t xml:space="preserve"> u </w:t>
      </w:r>
      <w:r w:rsidRPr="00A35E28">
        <w:rPr>
          <w:rFonts w:ascii="Arial" w:hAnsi="Arial" w:cs="Arial"/>
          <w:color w:val="000000"/>
          <w:sz w:val="22"/>
          <w:szCs w:val="22"/>
        </w:rPr>
        <w:t>s</w:t>
      </w:r>
      <w:r w:rsidRPr="000D0C24">
        <w:rPr>
          <w:rFonts w:ascii="Arial" w:hAnsi="Arial" w:cs="Arial"/>
          <w:color w:val="000000"/>
          <w:sz w:val="22"/>
          <w:szCs w:val="22"/>
        </w:rPr>
        <w:t>t</w:t>
      </w:r>
      <w:r w:rsidRPr="00A35E28">
        <w:rPr>
          <w:rFonts w:ascii="Arial" w:hAnsi="Arial" w:cs="Arial"/>
          <w:color w:val="000000"/>
          <w:sz w:val="22"/>
          <w:szCs w:val="22"/>
        </w:rPr>
        <w:t>anoveného podniku se</w:t>
      </w:r>
      <w:r w:rsidRPr="000D0C24">
        <w:rPr>
          <w:rFonts w:ascii="Arial" w:hAnsi="Arial" w:cs="Arial"/>
          <w:color w:val="000000"/>
          <w:sz w:val="22"/>
          <w:szCs w:val="22"/>
        </w:rPr>
        <w:t xml:space="preserve"> </w:t>
      </w:r>
      <w:r w:rsidRPr="00A35E28">
        <w:rPr>
          <w:rFonts w:ascii="Arial" w:hAnsi="Arial" w:cs="Arial"/>
          <w:color w:val="000000"/>
          <w:sz w:val="22"/>
          <w:szCs w:val="22"/>
        </w:rPr>
        <w:t>ur</w:t>
      </w:r>
      <w:r w:rsidRPr="000D0C24">
        <w:rPr>
          <w:rFonts w:ascii="Arial" w:hAnsi="Arial" w:cs="Arial"/>
          <w:color w:val="000000"/>
          <w:sz w:val="22"/>
          <w:szCs w:val="22"/>
        </w:rPr>
        <w:t>č</w:t>
      </w:r>
      <w:r w:rsidRPr="00A35E28">
        <w:rPr>
          <w:rFonts w:ascii="Arial" w:hAnsi="Arial" w:cs="Arial"/>
          <w:color w:val="000000"/>
          <w:sz w:val="22"/>
          <w:szCs w:val="22"/>
        </w:rPr>
        <w:t>í</w:t>
      </w:r>
      <w:r w:rsidRPr="000D0C24">
        <w:rPr>
          <w:rFonts w:ascii="Arial" w:hAnsi="Arial" w:cs="Arial"/>
          <w:color w:val="000000"/>
          <w:sz w:val="22"/>
          <w:szCs w:val="22"/>
        </w:rPr>
        <w:t xml:space="preserve"> jako</w:t>
      </w:r>
      <w:r w:rsidR="00027B02">
        <w:rPr>
          <w:rFonts w:ascii="Arial" w:hAnsi="Arial" w:cs="Arial"/>
          <w:color w:val="000000"/>
          <w:sz w:val="22"/>
          <w:szCs w:val="22"/>
        </w:rPr>
        <w:t xml:space="preserve"> </w:t>
      </w:r>
      <w:r w:rsidRPr="00A35E28">
        <w:rPr>
          <w:rFonts w:ascii="Arial" w:hAnsi="Arial" w:cs="Arial"/>
          <w:color w:val="000000"/>
          <w:sz w:val="22"/>
          <w:szCs w:val="22"/>
        </w:rPr>
        <w:t>sou</w:t>
      </w:r>
      <w:r w:rsidRPr="000D0C24">
        <w:rPr>
          <w:rFonts w:ascii="Arial" w:hAnsi="Arial" w:cs="Arial"/>
          <w:color w:val="000000"/>
          <w:sz w:val="22"/>
          <w:szCs w:val="22"/>
        </w:rPr>
        <w:t>č</w:t>
      </w:r>
      <w:r w:rsidRPr="00A35E28">
        <w:rPr>
          <w:rFonts w:ascii="Arial" w:hAnsi="Arial" w:cs="Arial"/>
          <w:color w:val="000000"/>
          <w:sz w:val="22"/>
          <w:szCs w:val="22"/>
        </w:rPr>
        <w:t>in</w:t>
      </w:r>
      <w:r w:rsidRPr="000D0C24">
        <w:rPr>
          <w:rFonts w:ascii="Arial" w:hAnsi="Arial" w:cs="Arial"/>
          <w:color w:val="000000"/>
          <w:sz w:val="22"/>
          <w:szCs w:val="22"/>
        </w:rPr>
        <w:t xml:space="preserve"> </w:t>
      </w:r>
      <w:r w:rsidRPr="00A35E28">
        <w:rPr>
          <w:rFonts w:ascii="Arial" w:hAnsi="Arial" w:cs="Arial"/>
          <w:color w:val="000000"/>
          <w:sz w:val="22"/>
          <w:szCs w:val="22"/>
        </w:rPr>
        <w:t>vlož</w:t>
      </w:r>
      <w:r w:rsidRPr="000D0C24">
        <w:rPr>
          <w:rFonts w:ascii="Arial" w:hAnsi="Arial" w:cs="Arial"/>
          <w:color w:val="000000"/>
          <w:sz w:val="22"/>
          <w:szCs w:val="22"/>
        </w:rPr>
        <w:t>e</w:t>
      </w:r>
      <w:r w:rsidRPr="00A35E28">
        <w:rPr>
          <w:rFonts w:ascii="Arial" w:hAnsi="Arial" w:cs="Arial"/>
          <w:color w:val="000000"/>
          <w:sz w:val="22"/>
          <w:szCs w:val="22"/>
        </w:rPr>
        <w:t>ného</w:t>
      </w:r>
      <w:r w:rsidRPr="000D0C24">
        <w:rPr>
          <w:rFonts w:ascii="Arial" w:hAnsi="Arial" w:cs="Arial"/>
          <w:color w:val="000000"/>
          <w:sz w:val="22"/>
          <w:szCs w:val="22"/>
        </w:rPr>
        <w:t xml:space="preserve"> </w:t>
      </w:r>
      <w:r w:rsidRPr="00A35E28">
        <w:rPr>
          <w:rFonts w:ascii="Arial" w:hAnsi="Arial" w:cs="Arial"/>
          <w:color w:val="000000"/>
          <w:sz w:val="22"/>
          <w:szCs w:val="22"/>
        </w:rPr>
        <w:t>kapitálu</w:t>
      </w:r>
      <w:r w:rsidRPr="000D0C24">
        <w:rPr>
          <w:rFonts w:ascii="Arial" w:hAnsi="Arial" w:cs="Arial"/>
          <w:color w:val="000000"/>
          <w:sz w:val="22"/>
          <w:szCs w:val="22"/>
        </w:rPr>
        <w:t xml:space="preserve"> a</w:t>
      </w:r>
      <w:r w:rsidR="00027B02">
        <w:rPr>
          <w:rFonts w:ascii="Arial" w:hAnsi="Arial" w:cs="Arial"/>
          <w:color w:val="000000"/>
          <w:sz w:val="22"/>
          <w:szCs w:val="22"/>
        </w:rPr>
        <w:t xml:space="preserve"> </w:t>
      </w:r>
      <w:r w:rsidRPr="00A35E28">
        <w:rPr>
          <w:rFonts w:ascii="Arial" w:hAnsi="Arial" w:cs="Arial"/>
          <w:color w:val="000000"/>
          <w:sz w:val="22"/>
          <w:szCs w:val="22"/>
        </w:rPr>
        <w:t>procenta</w:t>
      </w:r>
      <w:r w:rsidRPr="000D0C24">
        <w:rPr>
          <w:rFonts w:ascii="Arial" w:hAnsi="Arial" w:cs="Arial"/>
          <w:color w:val="000000"/>
          <w:sz w:val="22"/>
          <w:szCs w:val="22"/>
        </w:rPr>
        <w:t xml:space="preserve"> </w:t>
      </w:r>
      <w:r w:rsidRPr="00A35E28">
        <w:rPr>
          <w:rFonts w:ascii="Arial" w:hAnsi="Arial" w:cs="Arial"/>
          <w:color w:val="000000"/>
          <w:sz w:val="22"/>
          <w:szCs w:val="22"/>
        </w:rPr>
        <w:t>návratnosti</w:t>
      </w:r>
      <w:r w:rsidRPr="000D0C24">
        <w:rPr>
          <w:rFonts w:ascii="Arial" w:hAnsi="Arial" w:cs="Arial"/>
          <w:color w:val="000000"/>
          <w:sz w:val="22"/>
          <w:szCs w:val="22"/>
        </w:rPr>
        <w:t xml:space="preserve"> </w:t>
      </w:r>
      <w:r w:rsidRPr="00A35E28">
        <w:rPr>
          <w:rFonts w:ascii="Arial" w:hAnsi="Arial" w:cs="Arial"/>
          <w:color w:val="000000"/>
          <w:sz w:val="22"/>
          <w:szCs w:val="22"/>
        </w:rPr>
        <w:t>vloženého</w:t>
      </w:r>
      <w:r w:rsidRPr="000D0C24">
        <w:rPr>
          <w:rFonts w:ascii="Arial" w:hAnsi="Arial" w:cs="Arial"/>
          <w:color w:val="000000"/>
          <w:sz w:val="22"/>
          <w:szCs w:val="22"/>
        </w:rPr>
        <w:t xml:space="preserve"> </w:t>
      </w:r>
      <w:r w:rsidRPr="00A35E28">
        <w:rPr>
          <w:rFonts w:ascii="Arial" w:hAnsi="Arial" w:cs="Arial"/>
          <w:color w:val="000000"/>
          <w:sz w:val="22"/>
          <w:szCs w:val="22"/>
        </w:rPr>
        <w:t>kapitálu před</w:t>
      </w:r>
      <w:r w:rsidR="0019637F">
        <w:rPr>
          <w:rFonts w:ascii="Arial" w:hAnsi="Arial" w:cs="Arial"/>
          <w:color w:val="000000"/>
          <w:sz w:val="22"/>
          <w:szCs w:val="22"/>
        </w:rPr>
        <w:t xml:space="preserve"> </w:t>
      </w:r>
      <w:r w:rsidRPr="00A35E28">
        <w:rPr>
          <w:rFonts w:ascii="Arial" w:hAnsi="Arial" w:cs="Arial"/>
          <w:color w:val="000000"/>
          <w:sz w:val="22"/>
          <w:szCs w:val="22"/>
        </w:rPr>
        <w:t>zda</w:t>
      </w:r>
      <w:r w:rsidRPr="000D0C24">
        <w:rPr>
          <w:rFonts w:ascii="Arial" w:hAnsi="Arial" w:cs="Arial"/>
          <w:color w:val="000000"/>
          <w:sz w:val="22"/>
          <w:szCs w:val="22"/>
        </w:rPr>
        <w:t>n</w:t>
      </w:r>
      <w:r w:rsidRPr="00A35E28">
        <w:rPr>
          <w:rFonts w:ascii="Arial" w:hAnsi="Arial" w:cs="Arial"/>
          <w:color w:val="000000"/>
          <w:sz w:val="22"/>
          <w:szCs w:val="22"/>
        </w:rPr>
        <w:t>ě</w:t>
      </w:r>
      <w:r w:rsidRPr="000D0C24">
        <w:rPr>
          <w:rFonts w:ascii="Arial" w:hAnsi="Arial" w:cs="Arial"/>
          <w:color w:val="000000"/>
          <w:sz w:val="22"/>
          <w:szCs w:val="22"/>
        </w:rPr>
        <w:t>n</w:t>
      </w:r>
      <w:r w:rsidRPr="00A35E28">
        <w:rPr>
          <w:rFonts w:ascii="Arial" w:hAnsi="Arial" w:cs="Arial"/>
          <w:color w:val="000000"/>
          <w:sz w:val="22"/>
          <w:szCs w:val="22"/>
        </w:rPr>
        <w:t>ím</w:t>
      </w:r>
      <w:r w:rsidRPr="000D0C24">
        <w:rPr>
          <w:rFonts w:ascii="Arial" w:hAnsi="Arial" w:cs="Arial"/>
          <w:color w:val="000000"/>
          <w:sz w:val="22"/>
          <w:szCs w:val="22"/>
        </w:rPr>
        <w:t xml:space="preserve"> WACC</w:t>
      </w:r>
      <w:r w:rsidRPr="00A35E28">
        <w:rPr>
          <w:rFonts w:ascii="Arial" w:hAnsi="Arial" w:cs="Arial"/>
          <w:color w:val="000000"/>
          <w:sz w:val="22"/>
          <w:szCs w:val="22"/>
        </w:rPr>
        <w:t>.</w:t>
      </w:r>
    </w:p>
    <w:p w:rsidR="00F35751" w:rsidRPr="00F35751" w:rsidRDefault="00F35751" w:rsidP="00F35751">
      <w:pPr>
        <w:widowControl w:val="0"/>
        <w:tabs>
          <w:tab w:val="left" w:pos="1276"/>
        </w:tabs>
        <w:autoSpaceDE w:val="0"/>
        <w:autoSpaceDN w:val="0"/>
        <w:adjustRightInd w:val="0"/>
        <w:spacing w:before="120"/>
        <w:ind w:firstLine="828"/>
        <w:jc w:val="both"/>
        <w:rPr>
          <w:rFonts w:ascii="Arial" w:hAnsi="Arial" w:cs="Arial"/>
          <w:color w:val="000000"/>
          <w:sz w:val="22"/>
          <w:szCs w:val="22"/>
        </w:rPr>
      </w:pPr>
      <w:r w:rsidRPr="00F35751">
        <w:rPr>
          <w:rFonts w:ascii="Arial" w:hAnsi="Arial" w:cs="Arial"/>
          <w:color w:val="000000"/>
          <w:sz w:val="22"/>
          <w:szCs w:val="22"/>
        </w:rPr>
        <w:t xml:space="preserve">(2) Procento návratnosti vloženého kapitálu před zdaněním WACC činí pro stanovený podnik zajištující sítě elektronických komunikací nebo poskytující veřejně dostupnou službu </w:t>
      </w:r>
      <w:r w:rsidRPr="00F35751">
        <w:rPr>
          <w:rFonts w:ascii="Arial" w:hAnsi="Arial" w:cs="Arial"/>
          <w:color w:val="000000"/>
          <w:sz w:val="22"/>
          <w:szCs w:val="22"/>
        </w:rPr>
        <w:lastRenderedPageBreak/>
        <w:t xml:space="preserve">elektronických komunikací </w:t>
      </w:r>
      <w:r w:rsidR="00445C91">
        <w:rPr>
          <w:rFonts w:cs="Arial"/>
          <w:szCs w:val="22"/>
        </w:rPr>
        <w:t>5,72</w:t>
      </w:r>
      <w:r w:rsidR="00445C91" w:rsidRPr="008522DA">
        <w:rPr>
          <w:rFonts w:cs="Arial"/>
          <w:szCs w:val="22"/>
        </w:rPr>
        <w:t xml:space="preserve"> </w:t>
      </w:r>
      <w:r w:rsidRPr="00F35751">
        <w:rPr>
          <w:rFonts w:ascii="Arial" w:hAnsi="Arial" w:cs="Arial"/>
          <w:color w:val="000000"/>
          <w:sz w:val="22"/>
          <w:szCs w:val="22"/>
        </w:rPr>
        <w:t>%.</w:t>
      </w:r>
    </w:p>
    <w:p w:rsidR="00F31ECB" w:rsidRDefault="00F35751" w:rsidP="00F31ECB">
      <w:pPr>
        <w:widowControl w:val="0"/>
        <w:tabs>
          <w:tab w:val="left" w:pos="1276"/>
        </w:tabs>
        <w:autoSpaceDE w:val="0"/>
        <w:autoSpaceDN w:val="0"/>
        <w:adjustRightInd w:val="0"/>
        <w:spacing w:before="120"/>
        <w:ind w:firstLine="828"/>
        <w:jc w:val="both"/>
        <w:rPr>
          <w:rFonts w:ascii="Arial" w:hAnsi="Arial" w:cs="Arial"/>
          <w:color w:val="000000"/>
          <w:sz w:val="22"/>
          <w:szCs w:val="22"/>
        </w:rPr>
      </w:pPr>
      <w:r w:rsidRPr="00F35751">
        <w:rPr>
          <w:rFonts w:ascii="Arial" w:hAnsi="Arial" w:cs="Arial"/>
          <w:color w:val="000000"/>
          <w:sz w:val="22"/>
          <w:szCs w:val="22"/>
        </w:rPr>
        <w:t xml:space="preserve">(3) </w:t>
      </w:r>
      <w:r w:rsidR="00F31ECB" w:rsidRPr="00F31ECB">
        <w:rPr>
          <w:rFonts w:ascii="Arial" w:hAnsi="Arial" w:cs="Arial"/>
          <w:color w:val="000000"/>
          <w:sz w:val="22"/>
          <w:szCs w:val="22"/>
        </w:rPr>
        <w:t>Procento návratnosti vloženého kapitálu před zdaněním WACC pro službu přístupu na přístupových sítích nové generace (FTTH/FTTB) a sítích s velmi vysokou kapacitou (VHCN) poskytovaného stanoveným podnikem činí 8,70 %</w:t>
      </w:r>
      <w:r w:rsidR="00F31ECB">
        <w:rPr>
          <w:rFonts w:ascii="Arial" w:hAnsi="Arial" w:cs="Arial"/>
          <w:color w:val="000000"/>
          <w:sz w:val="22"/>
          <w:szCs w:val="22"/>
        </w:rPr>
        <w:t>.</w:t>
      </w:r>
      <w:bookmarkStart w:id="0" w:name="_GoBack"/>
      <w:bookmarkEnd w:id="0"/>
    </w:p>
    <w:p w:rsidR="00F31ECB" w:rsidRDefault="00F31ECB" w:rsidP="00F31ECB">
      <w:pPr>
        <w:widowControl w:val="0"/>
        <w:tabs>
          <w:tab w:val="left" w:pos="1276"/>
        </w:tabs>
        <w:autoSpaceDE w:val="0"/>
        <w:autoSpaceDN w:val="0"/>
        <w:adjustRightInd w:val="0"/>
        <w:spacing w:before="120"/>
        <w:ind w:firstLine="828"/>
        <w:jc w:val="both"/>
        <w:rPr>
          <w:rFonts w:ascii="Arial" w:hAnsi="Arial" w:cs="Arial"/>
          <w:color w:val="000000"/>
          <w:sz w:val="22"/>
          <w:szCs w:val="22"/>
        </w:rPr>
      </w:pPr>
    </w:p>
    <w:p w:rsidR="004A6A67" w:rsidRPr="00A35E28" w:rsidRDefault="004A6A67" w:rsidP="00F31ECB">
      <w:pPr>
        <w:widowControl w:val="0"/>
        <w:tabs>
          <w:tab w:val="left" w:pos="1276"/>
        </w:tabs>
        <w:autoSpaceDE w:val="0"/>
        <w:autoSpaceDN w:val="0"/>
        <w:adjustRightInd w:val="0"/>
        <w:spacing w:before="120"/>
        <w:jc w:val="center"/>
        <w:rPr>
          <w:rFonts w:ascii="Arial" w:hAnsi="Arial" w:cs="Arial"/>
          <w:color w:val="000000"/>
          <w:sz w:val="22"/>
          <w:szCs w:val="22"/>
        </w:rPr>
      </w:pPr>
      <w:r w:rsidRPr="00A35E28">
        <w:rPr>
          <w:rFonts w:ascii="Arial" w:hAnsi="Arial" w:cs="Arial"/>
          <w:color w:val="000000"/>
          <w:sz w:val="22"/>
          <w:szCs w:val="22"/>
        </w:rPr>
        <w:t>Článek</w:t>
      </w:r>
      <w:r w:rsidRPr="00A35E28">
        <w:rPr>
          <w:rFonts w:ascii="Arial" w:hAnsi="Arial" w:cs="Arial"/>
          <w:color w:val="000000"/>
          <w:spacing w:val="-7"/>
          <w:sz w:val="22"/>
          <w:szCs w:val="22"/>
        </w:rPr>
        <w:t xml:space="preserve"> </w:t>
      </w:r>
      <w:r w:rsidR="00736F5C">
        <w:rPr>
          <w:rFonts w:ascii="Arial" w:hAnsi="Arial" w:cs="Arial"/>
          <w:color w:val="000000"/>
          <w:w w:val="99"/>
          <w:sz w:val="22"/>
          <w:szCs w:val="22"/>
        </w:rPr>
        <w:t>6</w:t>
      </w:r>
    </w:p>
    <w:p w:rsidR="004A6A67" w:rsidRPr="00A35E28" w:rsidRDefault="004A6A67" w:rsidP="00DD6CDD">
      <w:pPr>
        <w:widowControl w:val="0"/>
        <w:autoSpaceDE w:val="0"/>
        <w:autoSpaceDN w:val="0"/>
        <w:adjustRightInd w:val="0"/>
        <w:spacing w:before="120" w:after="240"/>
        <w:jc w:val="center"/>
        <w:rPr>
          <w:rFonts w:ascii="Arial" w:hAnsi="Arial" w:cs="Arial"/>
          <w:color w:val="000000"/>
          <w:sz w:val="22"/>
          <w:szCs w:val="22"/>
        </w:rPr>
      </w:pPr>
      <w:r w:rsidRPr="00A35E28">
        <w:rPr>
          <w:rFonts w:ascii="Arial" w:hAnsi="Arial" w:cs="Arial"/>
          <w:b/>
          <w:bCs/>
          <w:color w:val="000000"/>
          <w:sz w:val="22"/>
          <w:szCs w:val="22"/>
        </w:rPr>
        <w:t>Struktura</w:t>
      </w:r>
      <w:r w:rsidRPr="00A35E28">
        <w:rPr>
          <w:rFonts w:ascii="Arial" w:hAnsi="Arial" w:cs="Arial"/>
          <w:b/>
          <w:bCs/>
          <w:color w:val="000000"/>
          <w:spacing w:val="-10"/>
          <w:sz w:val="22"/>
          <w:szCs w:val="22"/>
        </w:rPr>
        <w:t xml:space="preserve"> </w:t>
      </w:r>
      <w:r w:rsidRPr="00A35E28">
        <w:rPr>
          <w:rFonts w:ascii="Arial" w:hAnsi="Arial" w:cs="Arial"/>
          <w:b/>
          <w:bCs/>
          <w:color w:val="000000"/>
          <w:spacing w:val="1"/>
          <w:sz w:val="22"/>
          <w:szCs w:val="22"/>
        </w:rPr>
        <w:t>v</w:t>
      </w:r>
      <w:r w:rsidRPr="00A35E28">
        <w:rPr>
          <w:rFonts w:ascii="Arial" w:hAnsi="Arial" w:cs="Arial"/>
          <w:b/>
          <w:bCs/>
          <w:color w:val="000000"/>
          <w:spacing w:val="-1"/>
          <w:sz w:val="22"/>
          <w:szCs w:val="22"/>
        </w:rPr>
        <w:t>y</w:t>
      </w:r>
      <w:r w:rsidRPr="00A35E28">
        <w:rPr>
          <w:rFonts w:ascii="Arial" w:hAnsi="Arial" w:cs="Arial"/>
          <w:b/>
          <w:bCs/>
          <w:color w:val="000000"/>
          <w:sz w:val="22"/>
          <w:szCs w:val="22"/>
        </w:rPr>
        <w:t>kazovaných</w:t>
      </w:r>
      <w:r w:rsidRPr="00A35E28">
        <w:rPr>
          <w:rFonts w:ascii="Arial" w:hAnsi="Arial" w:cs="Arial"/>
          <w:b/>
          <w:bCs/>
          <w:color w:val="000000"/>
          <w:spacing w:val="-15"/>
          <w:sz w:val="22"/>
          <w:szCs w:val="22"/>
        </w:rPr>
        <w:t xml:space="preserve"> </w:t>
      </w:r>
      <w:r w:rsidRPr="00A35E28">
        <w:rPr>
          <w:rFonts w:ascii="Arial" w:hAnsi="Arial" w:cs="Arial"/>
          <w:b/>
          <w:bCs/>
          <w:color w:val="000000"/>
          <w:w w:val="99"/>
          <w:sz w:val="22"/>
          <w:szCs w:val="22"/>
        </w:rPr>
        <w:t>informací</w:t>
      </w:r>
    </w:p>
    <w:p w:rsidR="004A6A67" w:rsidRDefault="004A6A67" w:rsidP="00C41A21">
      <w:pPr>
        <w:widowControl w:val="0"/>
        <w:autoSpaceDE w:val="0"/>
        <w:autoSpaceDN w:val="0"/>
        <w:adjustRightInd w:val="0"/>
        <w:spacing w:before="240"/>
        <w:ind w:firstLine="828"/>
        <w:jc w:val="both"/>
        <w:rPr>
          <w:rFonts w:ascii="Arial" w:hAnsi="Arial" w:cs="Arial"/>
          <w:color w:val="000000"/>
          <w:sz w:val="22"/>
          <w:szCs w:val="22"/>
        </w:rPr>
      </w:pPr>
      <w:r w:rsidRPr="00A35E28">
        <w:rPr>
          <w:rFonts w:ascii="Arial" w:hAnsi="Arial" w:cs="Arial"/>
          <w:color w:val="000000"/>
          <w:sz w:val="22"/>
          <w:szCs w:val="22"/>
        </w:rPr>
        <w:t>Výsledky</w:t>
      </w:r>
      <w:r w:rsidRPr="00A35E28">
        <w:rPr>
          <w:rFonts w:ascii="Arial" w:hAnsi="Arial" w:cs="Arial"/>
          <w:color w:val="000000"/>
          <w:spacing w:val="13"/>
          <w:sz w:val="22"/>
          <w:szCs w:val="22"/>
        </w:rPr>
        <w:t xml:space="preserve"> </w:t>
      </w:r>
      <w:r w:rsidRPr="00A35E28">
        <w:rPr>
          <w:rFonts w:ascii="Arial" w:hAnsi="Arial" w:cs="Arial"/>
          <w:color w:val="000000"/>
          <w:sz w:val="22"/>
          <w:szCs w:val="22"/>
        </w:rPr>
        <w:t>o</w:t>
      </w:r>
      <w:r w:rsidRPr="00A35E28">
        <w:rPr>
          <w:rFonts w:ascii="Arial" w:hAnsi="Arial" w:cs="Arial"/>
          <w:color w:val="000000"/>
          <w:spacing w:val="-1"/>
          <w:sz w:val="22"/>
          <w:szCs w:val="22"/>
        </w:rPr>
        <w:t>d</w:t>
      </w:r>
      <w:r w:rsidRPr="00A35E28">
        <w:rPr>
          <w:rFonts w:ascii="Arial" w:hAnsi="Arial" w:cs="Arial"/>
          <w:color w:val="000000"/>
          <w:spacing w:val="1"/>
          <w:sz w:val="22"/>
          <w:szCs w:val="22"/>
        </w:rPr>
        <w:t>d</w:t>
      </w:r>
      <w:r w:rsidRPr="00A35E28">
        <w:rPr>
          <w:rFonts w:ascii="Arial" w:hAnsi="Arial" w:cs="Arial"/>
          <w:color w:val="000000"/>
          <w:sz w:val="22"/>
          <w:szCs w:val="22"/>
        </w:rPr>
        <w:t>ělené</w:t>
      </w:r>
      <w:r w:rsidRPr="00A35E28">
        <w:rPr>
          <w:rFonts w:ascii="Arial" w:hAnsi="Arial" w:cs="Arial"/>
          <w:color w:val="000000"/>
          <w:spacing w:val="13"/>
          <w:sz w:val="22"/>
          <w:szCs w:val="22"/>
        </w:rPr>
        <w:t xml:space="preserve"> </w:t>
      </w:r>
      <w:r w:rsidRPr="00A35E28">
        <w:rPr>
          <w:rFonts w:ascii="Arial" w:hAnsi="Arial" w:cs="Arial"/>
          <w:color w:val="000000"/>
          <w:sz w:val="22"/>
          <w:szCs w:val="22"/>
        </w:rPr>
        <w:t>evidence</w:t>
      </w:r>
      <w:r w:rsidRPr="00A35E28">
        <w:rPr>
          <w:rFonts w:ascii="Arial" w:hAnsi="Arial" w:cs="Arial"/>
          <w:color w:val="000000"/>
          <w:spacing w:val="13"/>
          <w:sz w:val="22"/>
          <w:szCs w:val="22"/>
        </w:rPr>
        <w:t xml:space="preserve"> </w:t>
      </w:r>
      <w:r w:rsidRPr="00A35E28">
        <w:rPr>
          <w:rFonts w:ascii="Arial" w:hAnsi="Arial" w:cs="Arial"/>
          <w:color w:val="000000"/>
          <w:sz w:val="22"/>
          <w:szCs w:val="22"/>
        </w:rPr>
        <w:t>se</w:t>
      </w:r>
      <w:r w:rsidRPr="00A35E28">
        <w:rPr>
          <w:rFonts w:ascii="Arial" w:hAnsi="Arial" w:cs="Arial"/>
          <w:color w:val="000000"/>
          <w:spacing w:val="20"/>
          <w:sz w:val="22"/>
          <w:szCs w:val="22"/>
        </w:rPr>
        <w:t xml:space="preserve"> </w:t>
      </w:r>
      <w:r w:rsidRPr="00A35E28">
        <w:rPr>
          <w:rFonts w:ascii="Arial" w:hAnsi="Arial" w:cs="Arial"/>
          <w:color w:val="000000"/>
          <w:spacing w:val="1"/>
          <w:sz w:val="22"/>
          <w:szCs w:val="22"/>
        </w:rPr>
        <w:t>p</w:t>
      </w:r>
      <w:r w:rsidRPr="00A35E28">
        <w:rPr>
          <w:rFonts w:ascii="Arial" w:hAnsi="Arial" w:cs="Arial"/>
          <w:color w:val="000000"/>
          <w:sz w:val="22"/>
          <w:szCs w:val="22"/>
        </w:rPr>
        <w:t>ř</w:t>
      </w:r>
      <w:r w:rsidRPr="00A35E28">
        <w:rPr>
          <w:rFonts w:ascii="Arial" w:hAnsi="Arial" w:cs="Arial"/>
          <w:color w:val="000000"/>
          <w:spacing w:val="-1"/>
          <w:sz w:val="22"/>
          <w:szCs w:val="22"/>
        </w:rPr>
        <w:t>e</w:t>
      </w:r>
      <w:r w:rsidRPr="00A35E28">
        <w:rPr>
          <w:rFonts w:ascii="Arial" w:hAnsi="Arial" w:cs="Arial"/>
          <w:color w:val="000000"/>
          <w:sz w:val="22"/>
          <w:szCs w:val="22"/>
        </w:rPr>
        <w:t>dkládají</w:t>
      </w:r>
      <w:r w:rsidRPr="00A35E28">
        <w:rPr>
          <w:rFonts w:ascii="Arial" w:hAnsi="Arial" w:cs="Arial"/>
          <w:color w:val="000000"/>
          <w:spacing w:val="11"/>
          <w:sz w:val="22"/>
          <w:szCs w:val="22"/>
        </w:rPr>
        <w:t xml:space="preserve"> </w:t>
      </w:r>
      <w:r w:rsidRPr="00A35E28">
        <w:rPr>
          <w:rFonts w:ascii="Arial" w:hAnsi="Arial" w:cs="Arial"/>
          <w:color w:val="000000"/>
          <w:sz w:val="22"/>
          <w:szCs w:val="22"/>
        </w:rPr>
        <w:t>fo</w:t>
      </w:r>
      <w:r w:rsidRPr="00A35E28">
        <w:rPr>
          <w:rFonts w:ascii="Arial" w:hAnsi="Arial" w:cs="Arial"/>
          <w:color w:val="000000"/>
          <w:spacing w:val="-1"/>
          <w:sz w:val="22"/>
          <w:szCs w:val="22"/>
        </w:rPr>
        <w:t>rm</w:t>
      </w:r>
      <w:r w:rsidRPr="00A35E28">
        <w:rPr>
          <w:rFonts w:ascii="Arial" w:hAnsi="Arial" w:cs="Arial"/>
          <w:color w:val="000000"/>
          <w:sz w:val="22"/>
          <w:szCs w:val="22"/>
        </w:rPr>
        <w:t>ou</w:t>
      </w:r>
      <w:r w:rsidRPr="00A35E28">
        <w:rPr>
          <w:rFonts w:ascii="Arial" w:hAnsi="Arial" w:cs="Arial"/>
          <w:color w:val="000000"/>
          <w:spacing w:val="15"/>
          <w:sz w:val="22"/>
          <w:szCs w:val="22"/>
        </w:rPr>
        <w:t xml:space="preserve"> </w:t>
      </w:r>
      <w:r w:rsidRPr="00A35E28">
        <w:rPr>
          <w:rFonts w:ascii="Arial" w:hAnsi="Arial" w:cs="Arial"/>
          <w:color w:val="000000"/>
          <w:sz w:val="22"/>
          <w:szCs w:val="22"/>
        </w:rPr>
        <w:t>výka</w:t>
      </w:r>
      <w:r w:rsidRPr="00A35E28">
        <w:rPr>
          <w:rFonts w:ascii="Arial" w:hAnsi="Arial" w:cs="Arial"/>
          <w:color w:val="000000"/>
          <w:spacing w:val="1"/>
          <w:sz w:val="22"/>
          <w:szCs w:val="22"/>
        </w:rPr>
        <w:t>z</w:t>
      </w:r>
      <w:r w:rsidRPr="00A35E28">
        <w:rPr>
          <w:rFonts w:ascii="Arial" w:hAnsi="Arial" w:cs="Arial"/>
          <w:color w:val="000000"/>
          <w:sz w:val="22"/>
          <w:szCs w:val="22"/>
        </w:rPr>
        <w:t>ů</w:t>
      </w:r>
      <w:r w:rsidRPr="00A35E28">
        <w:rPr>
          <w:rFonts w:ascii="Arial" w:hAnsi="Arial" w:cs="Arial"/>
          <w:color w:val="000000"/>
          <w:spacing w:val="15"/>
          <w:sz w:val="22"/>
          <w:szCs w:val="22"/>
        </w:rPr>
        <w:t xml:space="preserve"> </w:t>
      </w:r>
      <w:r w:rsidRPr="00A35E28">
        <w:rPr>
          <w:rFonts w:ascii="Arial" w:hAnsi="Arial" w:cs="Arial"/>
          <w:color w:val="000000"/>
          <w:sz w:val="22"/>
          <w:szCs w:val="22"/>
        </w:rPr>
        <w:t>uvedených</w:t>
      </w:r>
      <w:r w:rsidR="0047095F">
        <w:rPr>
          <w:rFonts w:ascii="Arial" w:hAnsi="Arial" w:cs="Arial"/>
          <w:color w:val="000000"/>
          <w:spacing w:val="11"/>
          <w:sz w:val="22"/>
          <w:szCs w:val="22"/>
        </w:rPr>
        <w:t xml:space="preserve"> v </w:t>
      </w:r>
      <w:r w:rsidRPr="00A35E28">
        <w:rPr>
          <w:rFonts w:ascii="Arial" w:hAnsi="Arial" w:cs="Arial"/>
          <w:color w:val="000000"/>
          <w:spacing w:val="1"/>
          <w:sz w:val="22"/>
          <w:szCs w:val="22"/>
        </w:rPr>
        <w:t>p</w:t>
      </w:r>
      <w:r w:rsidRPr="00A35E28">
        <w:rPr>
          <w:rFonts w:ascii="Arial" w:hAnsi="Arial" w:cs="Arial"/>
          <w:color w:val="000000"/>
          <w:sz w:val="22"/>
          <w:szCs w:val="22"/>
        </w:rPr>
        <w:t>říloze</w:t>
      </w:r>
      <w:r w:rsidRPr="00A35E28">
        <w:rPr>
          <w:rFonts w:ascii="Arial" w:hAnsi="Arial" w:cs="Arial"/>
          <w:color w:val="000000"/>
          <w:spacing w:val="15"/>
          <w:sz w:val="22"/>
          <w:szCs w:val="22"/>
        </w:rPr>
        <w:t xml:space="preserve"> </w:t>
      </w:r>
      <w:r w:rsidR="00A83D2E" w:rsidRPr="00A35E28">
        <w:rPr>
          <w:rFonts w:ascii="Arial" w:hAnsi="Arial" w:cs="Arial"/>
          <w:color w:val="000000"/>
          <w:spacing w:val="15"/>
          <w:sz w:val="22"/>
          <w:szCs w:val="22"/>
        </w:rPr>
        <w:br/>
      </w:r>
      <w:r w:rsidRPr="00A35E28">
        <w:rPr>
          <w:rFonts w:ascii="Arial" w:hAnsi="Arial" w:cs="Arial"/>
          <w:color w:val="000000"/>
          <w:spacing w:val="1"/>
          <w:sz w:val="22"/>
          <w:szCs w:val="22"/>
        </w:rPr>
        <w:t>č</w:t>
      </w:r>
      <w:r w:rsidRPr="00A35E28">
        <w:rPr>
          <w:rFonts w:ascii="Arial" w:hAnsi="Arial" w:cs="Arial"/>
          <w:color w:val="000000"/>
          <w:sz w:val="22"/>
          <w:szCs w:val="22"/>
        </w:rPr>
        <w:t>.</w:t>
      </w:r>
      <w:r w:rsidRPr="00A35E28">
        <w:rPr>
          <w:rFonts w:ascii="Arial" w:hAnsi="Arial" w:cs="Arial"/>
          <w:color w:val="000000"/>
          <w:spacing w:val="20"/>
          <w:sz w:val="22"/>
          <w:szCs w:val="22"/>
        </w:rPr>
        <w:t xml:space="preserve"> 1</w:t>
      </w:r>
      <w:r w:rsidRPr="00A35E28">
        <w:rPr>
          <w:rFonts w:ascii="Arial" w:hAnsi="Arial" w:cs="Arial"/>
          <w:color w:val="000000"/>
          <w:sz w:val="22"/>
          <w:szCs w:val="22"/>
        </w:rPr>
        <w:t xml:space="preserve"> tohoto</w:t>
      </w:r>
      <w:r w:rsidRPr="00A35E28">
        <w:rPr>
          <w:rFonts w:ascii="Arial" w:hAnsi="Arial" w:cs="Arial"/>
          <w:color w:val="000000"/>
          <w:spacing w:val="4"/>
          <w:sz w:val="22"/>
          <w:szCs w:val="22"/>
        </w:rPr>
        <w:t xml:space="preserve"> </w:t>
      </w:r>
      <w:r w:rsidRPr="00A35E28">
        <w:rPr>
          <w:rFonts w:ascii="Arial" w:hAnsi="Arial" w:cs="Arial"/>
          <w:color w:val="000000"/>
          <w:sz w:val="22"/>
          <w:szCs w:val="22"/>
        </w:rPr>
        <w:t>opa</w:t>
      </w:r>
      <w:r w:rsidRPr="00A35E28">
        <w:rPr>
          <w:rFonts w:ascii="Arial" w:hAnsi="Arial" w:cs="Arial"/>
          <w:color w:val="000000"/>
          <w:spacing w:val="-1"/>
          <w:sz w:val="22"/>
          <w:szCs w:val="22"/>
        </w:rPr>
        <w:t>t</w:t>
      </w:r>
      <w:r w:rsidRPr="00A35E28">
        <w:rPr>
          <w:rFonts w:ascii="Arial" w:hAnsi="Arial" w:cs="Arial"/>
          <w:color w:val="000000"/>
          <w:sz w:val="22"/>
          <w:szCs w:val="22"/>
        </w:rPr>
        <w:t>ření</w:t>
      </w:r>
      <w:r w:rsidRPr="00A35E28">
        <w:rPr>
          <w:rFonts w:ascii="Arial" w:hAnsi="Arial" w:cs="Arial"/>
          <w:color w:val="000000"/>
          <w:spacing w:val="1"/>
          <w:sz w:val="22"/>
          <w:szCs w:val="22"/>
        </w:rPr>
        <w:t xml:space="preserve"> </w:t>
      </w:r>
      <w:r w:rsidRPr="00A35E28">
        <w:rPr>
          <w:rFonts w:ascii="Arial" w:hAnsi="Arial" w:cs="Arial"/>
          <w:color w:val="000000"/>
          <w:sz w:val="22"/>
          <w:szCs w:val="22"/>
        </w:rPr>
        <w:t>obec</w:t>
      </w:r>
      <w:r w:rsidRPr="00A35E28">
        <w:rPr>
          <w:rFonts w:ascii="Arial" w:hAnsi="Arial" w:cs="Arial"/>
          <w:color w:val="000000"/>
          <w:spacing w:val="-1"/>
          <w:sz w:val="22"/>
          <w:szCs w:val="22"/>
        </w:rPr>
        <w:t>n</w:t>
      </w:r>
      <w:r w:rsidRPr="00A35E28">
        <w:rPr>
          <w:rFonts w:ascii="Arial" w:hAnsi="Arial" w:cs="Arial"/>
          <w:color w:val="000000"/>
          <w:sz w:val="22"/>
          <w:szCs w:val="22"/>
        </w:rPr>
        <w:t>é</w:t>
      </w:r>
      <w:r w:rsidRPr="00A35E28">
        <w:rPr>
          <w:rFonts w:ascii="Arial" w:hAnsi="Arial" w:cs="Arial"/>
          <w:color w:val="000000"/>
          <w:spacing w:val="2"/>
          <w:sz w:val="22"/>
          <w:szCs w:val="22"/>
        </w:rPr>
        <w:t xml:space="preserve"> </w:t>
      </w:r>
      <w:r w:rsidRPr="00A35E28">
        <w:rPr>
          <w:rFonts w:ascii="Arial" w:hAnsi="Arial" w:cs="Arial"/>
          <w:color w:val="000000"/>
          <w:sz w:val="22"/>
          <w:szCs w:val="22"/>
        </w:rPr>
        <w:t>povahy. Nedílnou so</w:t>
      </w:r>
      <w:r w:rsidRPr="00A35E28">
        <w:rPr>
          <w:rFonts w:ascii="Arial" w:hAnsi="Arial" w:cs="Arial"/>
          <w:color w:val="000000"/>
          <w:spacing w:val="1"/>
          <w:sz w:val="22"/>
          <w:szCs w:val="22"/>
        </w:rPr>
        <w:t>uč</w:t>
      </w:r>
      <w:r w:rsidRPr="00A35E28">
        <w:rPr>
          <w:rFonts w:ascii="Arial" w:hAnsi="Arial" w:cs="Arial"/>
          <w:color w:val="000000"/>
          <w:sz w:val="22"/>
          <w:szCs w:val="22"/>
        </w:rPr>
        <w:t>ástí</w:t>
      </w:r>
      <w:r w:rsidRPr="00A35E28">
        <w:rPr>
          <w:rFonts w:ascii="Arial" w:hAnsi="Arial" w:cs="Arial"/>
          <w:color w:val="000000"/>
          <w:spacing w:val="2"/>
          <w:sz w:val="22"/>
          <w:szCs w:val="22"/>
        </w:rPr>
        <w:t xml:space="preserve"> </w:t>
      </w:r>
      <w:r w:rsidRPr="00A35E28">
        <w:rPr>
          <w:rFonts w:ascii="Arial" w:hAnsi="Arial" w:cs="Arial"/>
          <w:color w:val="000000"/>
          <w:sz w:val="22"/>
          <w:szCs w:val="22"/>
        </w:rPr>
        <w:t>t</w:t>
      </w:r>
      <w:r w:rsidRPr="00A35E28">
        <w:rPr>
          <w:rFonts w:ascii="Arial" w:hAnsi="Arial" w:cs="Arial"/>
          <w:color w:val="000000"/>
          <w:spacing w:val="-1"/>
          <w:sz w:val="22"/>
          <w:szCs w:val="22"/>
        </w:rPr>
        <w:t>ě</w:t>
      </w:r>
      <w:r w:rsidRPr="00A35E28">
        <w:rPr>
          <w:rFonts w:ascii="Arial" w:hAnsi="Arial" w:cs="Arial"/>
          <w:color w:val="000000"/>
          <w:sz w:val="22"/>
          <w:szCs w:val="22"/>
        </w:rPr>
        <w:t>chto</w:t>
      </w:r>
      <w:r w:rsidRPr="00A35E28">
        <w:rPr>
          <w:rFonts w:ascii="Arial" w:hAnsi="Arial" w:cs="Arial"/>
          <w:color w:val="000000"/>
          <w:spacing w:val="4"/>
          <w:sz w:val="22"/>
          <w:szCs w:val="22"/>
        </w:rPr>
        <w:t xml:space="preserve"> </w:t>
      </w:r>
      <w:r w:rsidRPr="00A35E28">
        <w:rPr>
          <w:rFonts w:ascii="Arial" w:hAnsi="Arial" w:cs="Arial"/>
          <w:color w:val="000000"/>
          <w:sz w:val="22"/>
          <w:szCs w:val="22"/>
        </w:rPr>
        <w:t>výsled</w:t>
      </w:r>
      <w:r w:rsidRPr="00A35E28">
        <w:rPr>
          <w:rFonts w:ascii="Arial" w:hAnsi="Arial" w:cs="Arial"/>
          <w:color w:val="000000"/>
          <w:spacing w:val="-1"/>
          <w:sz w:val="22"/>
          <w:szCs w:val="22"/>
        </w:rPr>
        <w:t>k</w:t>
      </w:r>
      <w:r w:rsidRPr="00A35E28">
        <w:rPr>
          <w:rFonts w:ascii="Arial" w:hAnsi="Arial" w:cs="Arial"/>
          <w:color w:val="000000"/>
          <w:sz w:val="22"/>
          <w:szCs w:val="22"/>
        </w:rPr>
        <w:t>ů</w:t>
      </w:r>
      <w:r w:rsidRPr="00A35E28">
        <w:rPr>
          <w:rFonts w:ascii="Arial" w:hAnsi="Arial" w:cs="Arial"/>
          <w:color w:val="000000"/>
          <w:spacing w:val="2"/>
          <w:sz w:val="22"/>
          <w:szCs w:val="22"/>
        </w:rPr>
        <w:t xml:space="preserve"> </w:t>
      </w:r>
      <w:r w:rsidRPr="00A35E28">
        <w:rPr>
          <w:rFonts w:ascii="Arial" w:hAnsi="Arial" w:cs="Arial"/>
          <w:color w:val="000000"/>
          <w:sz w:val="22"/>
          <w:szCs w:val="22"/>
        </w:rPr>
        <w:t>je</w:t>
      </w:r>
      <w:r w:rsidRPr="00A35E28">
        <w:rPr>
          <w:rFonts w:ascii="Arial" w:hAnsi="Arial" w:cs="Arial"/>
          <w:color w:val="000000"/>
          <w:spacing w:val="7"/>
          <w:sz w:val="22"/>
          <w:szCs w:val="22"/>
        </w:rPr>
        <w:t xml:space="preserve"> </w:t>
      </w:r>
      <w:r w:rsidRPr="00A35E28">
        <w:rPr>
          <w:rFonts w:ascii="Arial" w:hAnsi="Arial" w:cs="Arial"/>
          <w:color w:val="000000"/>
          <w:sz w:val="22"/>
          <w:szCs w:val="22"/>
        </w:rPr>
        <w:t>podr</w:t>
      </w:r>
      <w:r w:rsidRPr="00A35E28">
        <w:rPr>
          <w:rFonts w:ascii="Arial" w:hAnsi="Arial" w:cs="Arial"/>
          <w:color w:val="000000"/>
          <w:spacing w:val="-1"/>
          <w:sz w:val="22"/>
          <w:szCs w:val="22"/>
        </w:rPr>
        <w:t>o</w:t>
      </w:r>
      <w:r w:rsidRPr="00A35E28">
        <w:rPr>
          <w:rFonts w:ascii="Arial" w:hAnsi="Arial" w:cs="Arial"/>
          <w:color w:val="000000"/>
          <w:sz w:val="22"/>
          <w:szCs w:val="22"/>
        </w:rPr>
        <w:t>bný popis postupu</w:t>
      </w:r>
      <w:r w:rsidRPr="00A35E28">
        <w:rPr>
          <w:rFonts w:ascii="Arial" w:hAnsi="Arial" w:cs="Arial"/>
          <w:color w:val="000000"/>
          <w:spacing w:val="-8"/>
          <w:sz w:val="22"/>
          <w:szCs w:val="22"/>
        </w:rPr>
        <w:t xml:space="preserve"> </w:t>
      </w:r>
      <w:r w:rsidRPr="00A35E28">
        <w:rPr>
          <w:rFonts w:ascii="Arial" w:hAnsi="Arial" w:cs="Arial"/>
          <w:color w:val="000000"/>
          <w:sz w:val="22"/>
          <w:szCs w:val="22"/>
        </w:rPr>
        <w:t>všech</w:t>
      </w:r>
      <w:r w:rsidRPr="00A35E28">
        <w:rPr>
          <w:rFonts w:ascii="Arial" w:hAnsi="Arial" w:cs="Arial"/>
          <w:color w:val="000000"/>
          <w:spacing w:val="-6"/>
          <w:sz w:val="22"/>
          <w:szCs w:val="22"/>
        </w:rPr>
        <w:t xml:space="preserve"> </w:t>
      </w:r>
      <w:r w:rsidRPr="00A35E28">
        <w:rPr>
          <w:rFonts w:ascii="Arial" w:hAnsi="Arial" w:cs="Arial"/>
          <w:color w:val="000000"/>
          <w:sz w:val="22"/>
          <w:szCs w:val="22"/>
        </w:rPr>
        <w:t>výpo</w:t>
      </w:r>
      <w:r w:rsidRPr="00A35E28">
        <w:rPr>
          <w:rFonts w:ascii="Arial" w:hAnsi="Arial" w:cs="Arial"/>
          <w:color w:val="000000"/>
          <w:spacing w:val="1"/>
          <w:sz w:val="22"/>
          <w:szCs w:val="22"/>
        </w:rPr>
        <w:t>č</w:t>
      </w:r>
      <w:r w:rsidRPr="00A35E28">
        <w:rPr>
          <w:rFonts w:ascii="Arial" w:hAnsi="Arial" w:cs="Arial"/>
          <w:color w:val="000000"/>
          <w:sz w:val="22"/>
          <w:szCs w:val="22"/>
        </w:rPr>
        <w:t>tů,</w:t>
      </w:r>
      <w:r w:rsidRPr="00A35E28">
        <w:rPr>
          <w:rFonts w:ascii="Arial" w:hAnsi="Arial" w:cs="Arial"/>
          <w:color w:val="000000"/>
          <w:spacing w:val="-7"/>
          <w:sz w:val="22"/>
          <w:szCs w:val="22"/>
        </w:rPr>
        <w:t xml:space="preserve"> </w:t>
      </w:r>
      <w:r w:rsidRPr="00A35E28">
        <w:rPr>
          <w:rFonts w:ascii="Arial" w:hAnsi="Arial" w:cs="Arial"/>
          <w:color w:val="000000"/>
          <w:sz w:val="22"/>
          <w:szCs w:val="22"/>
        </w:rPr>
        <w:t>zejména</w:t>
      </w:r>
      <w:r w:rsidRPr="00A35E28">
        <w:rPr>
          <w:rFonts w:ascii="Arial" w:hAnsi="Arial" w:cs="Arial"/>
          <w:color w:val="000000"/>
          <w:spacing w:val="-8"/>
          <w:sz w:val="22"/>
          <w:szCs w:val="22"/>
        </w:rPr>
        <w:t xml:space="preserve"> </w:t>
      </w:r>
      <w:r w:rsidRPr="00A35E28">
        <w:rPr>
          <w:rFonts w:ascii="Arial" w:hAnsi="Arial" w:cs="Arial"/>
          <w:color w:val="000000"/>
          <w:sz w:val="22"/>
          <w:szCs w:val="22"/>
        </w:rPr>
        <w:t>aloka</w:t>
      </w:r>
      <w:r w:rsidRPr="00A35E28">
        <w:rPr>
          <w:rFonts w:ascii="Arial" w:hAnsi="Arial" w:cs="Arial"/>
          <w:color w:val="000000"/>
          <w:spacing w:val="1"/>
          <w:sz w:val="22"/>
          <w:szCs w:val="22"/>
        </w:rPr>
        <w:t>č</w:t>
      </w:r>
      <w:r w:rsidRPr="00A35E28">
        <w:rPr>
          <w:rFonts w:ascii="Arial" w:hAnsi="Arial" w:cs="Arial"/>
          <w:color w:val="000000"/>
          <w:sz w:val="22"/>
          <w:szCs w:val="22"/>
        </w:rPr>
        <w:t>ních</w:t>
      </w:r>
      <w:r w:rsidRPr="00A35E28">
        <w:rPr>
          <w:rFonts w:ascii="Arial" w:hAnsi="Arial" w:cs="Arial"/>
          <w:color w:val="000000"/>
          <w:spacing w:val="-11"/>
          <w:sz w:val="22"/>
          <w:szCs w:val="22"/>
        </w:rPr>
        <w:t xml:space="preserve"> </w:t>
      </w:r>
      <w:r w:rsidRPr="00A35E28">
        <w:rPr>
          <w:rFonts w:ascii="Arial" w:hAnsi="Arial" w:cs="Arial"/>
          <w:color w:val="000000"/>
          <w:sz w:val="22"/>
          <w:szCs w:val="22"/>
        </w:rPr>
        <w:t>p</w:t>
      </w:r>
      <w:r w:rsidRPr="00A35E28">
        <w:rPr>
          <w:rFonts w:ascii="Arial" w:hAnsi="Arial" w:cs="Arial"/>
          <w:color w:val="000000"/>
          <w:spacing w:val="-1"/>
          <w:sz w:val="22"/>
          <w:szCs w:val="22"/>
        </w:rPr>
        <w:t>o</w:t>
      </w:r>
      <w:r w:rsidRPr="00A35E28">
        <w:rPr>
          <w:rFonts w:ascii="Arial" w:hAnsi="Arial" w:cs="Arial"/>
          <w:color w:val="000000"/>
          <w:sz w:val="22"/>
          <w:szCs w:val="22"/>
        </w:rPr>
        <w:t>měrů</w:t>
      </w:r>
      <w:r w:rsidRPr="00A35E28">
        <w:rPr>
          <w:rFonts w:ascii="Arial" w:hAnsi="Arial" w:cs="Arial"/>
          <w:color w:val="000000"/>
          <w:spacing w:val="-6"/>
          <w:sz w:val="22"/>
          <w:szCs w:val="22"/>
        </w:rPr>
        <w:t xml:space="preserve"> s</w:t>
      </w:r>
      <w:r w:rsidR="00027B02">
        <w:rPr>
          <w:rFonts w:ascii="Arial" w:hAnsi="Arial" w:cs="Arial"/>
          <w:color w:val="000000"/>
          <w:spacing w:val="-6"/>
          <w:sz w:val="22"/>
          <w:szCs w:val="22"/>
        </w:rPr>
        <w:t xml:space="preserve"> </w:t>
      </w:r>
      <w:r w:rsidRPr="00A35E28">
        <w:rPr>
          <w:rFonts w:ascii="Arial" w:hAnsi="Arial" w:cs="Arial"/>
          <w:color w:val="000000"/>
          <w:sz w:val="22"/>
          <w:szCs w:val="22"/>
        </w:rPr>
        <w:t>uve</w:t>
      </w:r>
      <w:r w:rsidRPr="00A35E28">
        <w:rPr>
          <w:rFonts w:ascii="Arial" w:hAnsi="Arial" w:cs="Arial"/>
          <w:color w:val="000000"/>
          <w:spacing w:val="1"/>
          <w:sz w:val="22"/>
          <w:szCs w:val="22"/>
        </w:rPr>
        <w:t>d</w:t>
      </w:r>
      <w:r w:rsidRPr="00A35E28">
        <w:rPr>
          <w:rFonts w:ascii="Arial" w:hAnsi="Arial" w:cs="Arial"/>
          <w:color w:val="000000"/>
          <w:sz w:val="22"/>
          <w:szCs w:val="22"/>
        </w:rPr>
        <w:t>ením</w:t>
      </w:r>
      <w:r w:rsidRPr="00A35E28">
        <w:rPr>
          <w:rFonts w:ascii="Arial" w:hAnsi="Arial" w:cs="Arial"/>
          <w:color w:val="000000"/>
          <w:spacing w:val="-10"/>
          <w:sz w:val="22"/>
          <w:szCs w:val="22"/>
        </w:rPr>
        <w:t xml:space="preserve"> </w:t>
      </w:r>
      <w:r w:rsidRPr="00A35E28">
        <w:rPr>
          <w:rFonts w:ascii="Arial" w:hAnsi="Arial" w:cs="Arial"/>
          <w:color w:val="000000"/>
          <w:sz w:val="22"/>
          <w:szCs w:val="22"/>
        </w:rPr>
        <w:t>hodnot</w:t>
      </w:r>
      <w:r w:rsidRPr="00A35E28">
        <w:rPr>
          <w:rFonts w:ascii="Arial" w:hAnsi="Arial" w:cs="Arial"/>
          <w:color w:val="000000"/>
          <w:spacing w:val="-7"/>
          <w:sz w:val="22"/>
          <w:szCs w:val="22"/>
        </w:rPr>
        <w:t xml:space="preserve"> </w:t>
      </w:r>
      <w:r w:rsidRPr="00A35E28">
        <w:rPr>
          <w:rFonts w:ascii="Arial" w:hAnsi="Arial" w:cs="Arial"/>
          <w:color w:val="000000"/>
          <w:sz w:val="22"/>
          <w:szCs w:val="22"/>
        </w:rPr>
        <w:t>všech</w:t>
      </w:r>
      <w:r w:rsidRPr="00A35E28">
        <w:rPr>
          <w:rFonts w:ascii="Arial" w:hAnsi="Arial" w:cs="Arial"/>
          <w:color w:val="000000"/>
          <w:spacing w:val="-6"/>
          <w:sz w:val="22"/>
          <w:szCs w:val="22"/>
        </w:rPr>
        <w:t xml:space="preserve"> </w:t>
      </w:r>
      <w:r w:rsidRPr="00A35E28">
        <w:rPr>
          <w:rFonts w:ascii="Arial" w:hAnsi="Arial" w:cs="Arial"/>
          <w:color w:val="000000"/>
          <w:sz w:val="22"/>
          <w:szCs w:val="22"/>
        </w:rPr>
        <w:t>použitých</w:t>
      </w:r>
      <w:r w:rsidRPr="00A35E28">
        <w:rPr>
          <w:rFonts w:ascii="Arial" w:hAnsi="Arial" w:cs="Arial"/>
          <w:color w:val="000000"/>
          <w:position w:val="-1"/>
          <w:sz w:val="22"/>
          <w:szCs w:val="22"/>
        </w:rPr>
        <w:t xml:space="preserve"> parametrů.</w:t>
      </w:r>
      <w:r w:rsidRPr="00A35E28">
        <w:rPr>
          <w:rFonts w:ascii="Arial" w:hAnsi="Arial" w:cs="Arial"/>
          <w:color w:val="000000"/>
          <w:spacing w:val="-2"/>
          <w:position w:val="-1"/>
          <w:sz w:val="22"/>
          <w:szCs w:val="22"/>
        </w:rPr>
        <w:t xml:space="preserve"> </w:t>
      </w:r>
      <w:r w:rsidRPr="00A35E28">
        <w:rPr>
          <w:rFonts w:ascii="Arial" w:hAnsi="Arial" w:cs="Arial"/>
          <w:color w:val="000000"/>
          <w:position w:val="-1"/>
          <w:sz w:val="22"/>
          <w:szCs w:val="22"/>
        </w:rPr>
        <w:t>Stanovený</w:t>
      </w:r>
      <w:r w:rsidRPr="00A35E28">
        <w:rPr>
          <w:rFonts w:ascii="Arial" w:hAnsi="Arial" w:cs="Arial"/>
          <w:color w:val="000000"/>
          <w:spacing w:val="-4"/>
          <w:position w:val="-1"/>
          <w:sz w:val="22"/>
          <w:szCs w:val="22"/>
        </w:rPr>
        <w:t xml:space="preserve"> </w:t>
      </w:r>
      <w:r w:rsidRPr="00A35E28">
        <w:rPr>
          <w:rFonts w:ascii="Arial" w:hAnsi="Arial" w:cs="Arial"/>
          <w:color w:val="000000"/>
          <w:position w:val="-1"/>
          <w:sz w:val="22"/>
          <w:szCs w:val="22"/>
        </w:rPr>
        <w:t>podnik dále</w:t>
      </w:r>
      <w:r w:rsidRPr="00A35E28">
        <w:rPr>
          <w:rFonts w:ascii="Arial" w:hAnsi="Arial" w:cs="Arial"/>
          <w:color w:val="000000"/>
          <w:spacing w:val="1"/>
          <w:position w:val="-1"/>
          <w:sz w:val="22"/>
          <w:szCs w:val="22"/>
        </w:rPr>
        <w:t xml:space="preserve"> </w:t>
      </w:r>
      <w:r w:rsidRPr="00A35E28">
        <w:rPr>
          <w:rFonts w:ascii="Arial" w:hAnsi="Arial" w:cs="Arial"/>
          <w:color w:val="000000"/>
          <w:position w:val="-1"/>
          <w:sz w:val="22"/>
          <w:szCs w:val="22"/>
        </w:rPr>
        <w:t>předloží</w:t>
      </w:r>
      <w:r w:rsidRPr="00A35E28">
        <w:rPr>
          <w:rFonts w:ascii="Arial" w:hAnsi="Arial" w:cs="Arial"/>
          <w:color w:val="000000"/>
          <w:spacing w:val="-1"/>
          <w:position w:val="-1"/>
          <w:sz w:val="22"/>
          <w:szCs w:val="22"/>
        </w:rPr>
        <w:t xml:space="preserve"> </w:t>
      </w:r>
      <w:r w:rsidRPr="00A35E28">
        <w:rPr>
          <w:rFonts w:ascii="Arial" w:hAnsi="Arial" w:cs="Arial"/>
          <w:color w:val="000000"/>
          <w:position w:val="-1"/>
          <w:sz w:val="22"/>
          <w:szCs w:val="22"/>
        </w:rPr>
        <w:t>sou</w:t>
      </w:r>
      <w:r w:rsidRPr="00A35E28">
        <w:rPr>
          <w:rFonts w:ascii="Arial" w:hAnsi="Arial" w:cs="Arial"/>
          <w:color w:val="000000"/>
          <w:spacing w:val="1"/>
          <w:position w:val="-1"/>
          <w:sz w:val="22"/>
          <w:szCs w:val="22"/>
        </w:rPr>
        <w:t>č</w:t>
      </w:r>
      <w:r w:rsidRPr="00A35E28">
        <w:rPr>
          <w:rFonts w:ascii="Arial" w:hAnsi="Arial" w:cs="Arial"/>
          <w:color w:val="000000"/>
          <w:position w:val="-1"/>
          <w:sz w:val="22"/>
          <w:szCs w:val="22"/>
        </w:rPr>
        <w:t>asně</w:t>
      </w:r>
      <w:r w:rsidRPr="00A35E28">
        <w:rPr>
          <w:rFonts w:ascii="Arial" w:hAnsi="Arial" w:cs="Arial"/>
          <w:color w:val="000000"/>
          <w:spacing w:val="-2"/>
          <w:position w:val="-1"/>
          <w:sz w:val="22"/>
          <w:szCs w:val="22"/>
        </w:rPr>
        <w:t xml:space="preserve"> s</w:t>
      </w:r>
      <w:r w:rsidR="00027B02">
        <w:rPr>
          <w:rFonts w:ascii="Arial" w:hAnsi="Arial" w:cs="Arial"/>
          <w:color w:val="000000"/>
          <w:spacing w:val="-2"/>
          <w:position w:val="-1"/>
          <w:sz w:val="22"/>
          <w:szCs w:val="22"/>
        </w:rPr>
        <w:t xml:space="preserve"> </w:t>
      </w:r>
      <w:r w:rsidRPr="00A35E28">
        <w:rPr>
          <w:rFonts w:ascii="Arial" w:hAnsi="Arial" w:cs="Arial"/>
          <w:color w:val="000000"/>
          <w:position w:val="-1"/>
          <w:sz w:val="22"/>
          <w:szCs w:val="22"/>
        </w:rPr>
        <w:t>výsledky</w:t>
      </w:r>
      <w:r w:rsidRPr="00A35E28">
        <w:rPr>
          <w:rFonts w:ascii="Arial" w:hAnsi="Arial" w:cs="Arial"/>
          <w:color w:val="000000"/>
          <w:spacing w:val="-2"/>
          <w:position w:val="-1"/>
          <w:sz w:val="22"/>
          <w:szCs w:val="22"/>
        </w:rPr>
        <w:t xml:space="preserve"> </w:t>
      </w:r>
      <w:r w:rsidRPr="00A35E28">
        <w:rPr>
          <w:rFonts w:ascii="Arial" w:hAnsi="Arial" w:cs="Arial"/>
          <w:color w:val="000000"/>
          <w:position w:val="-1"/>
          <w:sz w:val="22"/>
          <w:szCs w:val="22"/>
        </w:rPr>
        <w:t>oddělené</w:t>
      </w:r>
      <w:r w:rsidRPr="00A35E28">
        <w:rPr>
          <w:rFonts w:ascii="Arial" w:hAnsi="Arial" w:cs="Arial"/>
          <w:color w:val="000000"/>
          <w:spacing w:val="-3"/>
          <w:position w:val="-1"/>
          <w:sz w:val="22"/>
          <w:szCs w:val="22"/>
        </w:rPr>
        <w:t xml:space="preserve"> </w:t>
      </w:r>
      <w:r w:rsidRPr="00A35E28">
        <w:rPr>
          <w:rFonts w:ascii="Arial" w:hAnsi="Arial" w:cs="Arial"/>
          <w:color w:val="000000"/>
          <w:position w:val="-1"/>
          <w:sz w:val="22"/>
          <w:szCs w:val="22"/>
        </w:rPr>
        <w:t>evidence</w:t>
      </w:r>
      <w:r w:rsidRPr="00A35E28">
        <w:rPr>
          <w:rFonts w:ascii="Arial" w:hAnsi="Arial" w:cs="Arial"/>
          <w:color w:val="000000"/>
          <w:spacing w:val="-3"/>
          <w:position w:val="-1"/>
          <w:sz w:val="22"/>
          <w:szCs w:val="22"/>
        </w:rPr>
        <w:t xml:space="preserve"> </w:t>
      </w:r>
      <w:r w:rsidRPr="00A35E28">
        <w:rPr>
          <w:rFonts w:ascii="Arial" w:hAnsi="Arial" w:cs="Arial"/>
          <w:color w:val="000000"/>
          <w:sz w:val="22"/>
          <w:szCs w:val="22"/>
        </w:rPr>
        <w:t>výro</w:t>
      </w:r>
      <w:r w:rsidRPr="00A35E28">
        <w:rPr>
          <w:rFonts w:ascii="Arial" w:hAnsi="Arial" w:cs="Arial"/>
          <w:color w:val="000000"/>
          <w:spacing w:val="1"/>
          <w:sz w:val="22"/>
          <w:szCs w:val="22"/>
        </w:rPr>
        <w:t>č</w:t>
      </w:r>
      <w:r w:rsidRPr="00A35E28">
        <w:rPr>
          <w:rFonts w:ascii="Arial" w:hAnsi="Arial" w:cs="Arial"/>
          <w:color w:val="000000"/>
          <w:sz w:val="22"/>
          <w:szCs w:val="22"/>
        </w:rPr>
        <w:t>ní</w:t>
      </w:r>
      <w:r w:rsidRPr="00A35E28">
        <w:rPr>
          <w:rFonts w:ascii="Arial" w:hAnsi="Arial" w:cs="Arial"/>
          <w:color w:val="000000"/>
          <w:spacing w:val="-7"/>
          <w:sz w:val="22"/>
          <w:szCs w:val="22"/>
        </w:rPr>
        <w:t xml:space="preserve"> </w:t>
      </w:r>
      <w:r w:rsidRPr="00A35E28">
        <w:rPr>
          <w:rFonts w:ascii="Arial" w:hAnsi="Arial" w:cs="Arial"/>
          <w:color w:val="000000"/>
          <w:w w:val="99"/>
          <w:sz w:val="22"/>
          <w:szCs w:val="22"/>
        </w:rPr>
        <w:t>zpráv</w:t>
      </w:r>
      <w:r w:rsidRPr="00A35E28">
        <w:rPr>
          <w:rFonts w:ascii="Arial" w:hAnsi="Arial" w:cs="Arial"/>
          <w:color w:val="000000"/>
          <w:spacing w:val="11"/>
          <w:w w:val="99"/>
          <w:sz w:val="22"/>
          <w:szCs w:val="22"/>
        </w:rPr>
        <w:t>u</w:t>
      </w:r>
      <w:r w:rsidRPr="00A35E28">
        <w:rPr>
          <w:rStyle w:val="Znakapoznpodarou"/>
          <w:rFonts w:ascii="Arial" w:hAnsi="Arial" w:cs="Arial"/>
          <w:color w:val="000000"/>
          <w:sz w:val="22"/>
          <w:szCs w:val="22"/>
        </w:rPr>
        <w:footnoteReference w:id="1"/>
      </w:r>
      <w:r w:rsidRPr="00A35E28">
        <w:rPr>
          <w:rFonts w:ascii="Arial" w:hAnsi="Arial" w:cs="Arial"/>
          <w:color w:val="000000"/>
          <w:sz w:val="22"/>
          <w:szCs w:val="22"/>
        </w:rPr>
        <w:t>)</w:t>
      </w:r>
      <w:r w:rsidRPr="00A35E28">
        <w:rPr>
          <w:rFonts w:ascii="Arial" w:hAnsi="Arial" w:cs="Arial"/>
          <w:color w:val="000000"/>
          <w:spacing w:val="-1"/>
          <w:sz w:val="22"/>
          <w:szCs w:val="22"/>
        </w:rPr>
        <w:t xml:space="preserve"> a</w:t>
      </w:r>
      <w:r w:rsidR="00A83D2E" w:rsidRPr="00A35E28">
        <w:rPr>
          <w:rFonts w:ascii="Arial" w:hAnsi="Arial" w:cs="Arial"/>
          <w:color w:val="000000"/>
          <w:spacing w:val="-1"/>
          <w:sz w:val="22"/>
          <w:szCs w:val="22"/>
        </w:rPr>
        <w:t xml:space="preserve"> </w:t>
      </w:r>
      <w:r w:rsidRPr="00A35E28">
        <w:rPr>
          <w:rFonts w:ascii="Arial" w:hAnsi="Arial" w:cs="Arial"/>
          <w:color w:val="000000"/>
          <w:sz w:val="22"/>
          <w:szCs w:val="22"/>
        </w:rPr>
        <w:t>závěry</w:t>
      </w:r>
      <w:r w:rsidRPr="00A35E28">
        <w:rPr>
          <w:rFonts w:ascii="Arial" w:hAnsi="Arial" w:cs="Arial"/>
          <w:color w:val="000000"/>
          <w:spacing w:val="-6"/>
          <w:sz w:val="22"/>
          <w:szCs w:val="22"/>
        </w:rPr>
        <w:t xml:space="preserve"> </w:t>
      </w:r>
      <w:r w:rsidRPr="00A35E28">
        <w:rPr>
          <w:rFonts w:ascii="Arial" w:hAnsi="Arial" w:cs="Arial"/>
          <w:color w:val="000000"/>
          <w:sz w:val="22"/>
          <w:szCs w:val="22"/>
        </w:rPr>
        <w:t>o</w:t>
      </w:r>
      <w:r w:rsidRPr="00A35E28">
        <w:rPr>
          <w:rFonts w:ascii="Arial" w:hAnsi="Arial" w:cs="Arial"/>
          <w:color w:val="000000"/>
          <w:spacing w:val="-1"/>
          <w:sz w:val="22"/>
          <w:szCs w:val="22"/>
        </w:rPr>
        <w:t>v</w:t>
      </w:r>
      <w:r w:rsidRPr="00A35E28">
        <w:rPr>
          <w:rFonts w:ascii="Arial" w:hAnsi="Arial" w:cs="Arial"/>
          <w:color w:val="000000"/>
          <w:sz w:val="22"/>
          <w:szCs w:val="22"/>
        </w:rPr>
        <w:t>ěřování</w:t>
      </w:r>
      <w:r w:rsidRPr="00A35E28">
        <w:rPr>
          <w:rFonts w:ascii="Arial" w:hAnsi="Arial" w:cs="Arial"/>
          <w:color w:val="000000"/>
          <w:spacing w:val="-10"/>
          <w:sz w:val="22"/>
          <w:szCs w:val="22"/>
        </w:rPr>
        <w:t xml:space="preserve"> </w:t>
      </w:r>
      <w:r w:rsidRPr="00A35E28">
        <w:rPr>
          <w:rFonts w:ascii="Arial" w:hAnsi="Arial" w:cs="Arial"/>
          <w:color w:val="000000"/>
          <w:sz w:val="22"/>
          <w:szCs w:val="22"/>
        </w:rPr>
        <w:t>n</w:t>
      </w:r>
      <w:r w:rsidRPr="00A35E28">
        <w:rPr>
          <w:rFonts w:ascii="Arial" w:hAnsi="Arial" w:cs="Arial"/>
          <w:color w:val="000000"/>
          <w:spacing w:val="1"/>
          <w:sz w:val="22"/>
          <w:szCs w:val="22"/>
        </w:rPr>
        <w:t>e</w:t>
      </w:r>
      <w:r w:rsidRPr="00A35E28">
        <w:rPr>
          <w:rFonts w:ascii="Arial" w:hAnsi="Arial" w:cs="Arial"/>
          <w:color w:val="000000"/>
          <w:sz w:val="22"/>
          <w:szCs w:val="22"/>
        </w:rPr>
        <w:t>závislým</w:t>
      </w:r>
      <w:r w:rsidRPr="00A35E28">
        <w:rPr>
          <w:rFonts w:ascii="Arial" w:hAnsi="Arial" w:cs="Arial"/>
          <w:color w:val="000000"/>
          <w:spacing w:val="-11"/>
          <w:sz w:val="22"/>
          <w:szCs w:val="22"/>
        </w:rPr>
        <w:t xml:space="preserve"> </w:t>
      </w:r>
      <w:r w:rsidRPr="00A35E28">
        <w:rPr>
          <w:rFonts w:ascii="Arial" w:hAnsi="Arial" w:cs="Arial"/>
          <w:color w:val="000000"/>
          <w:sz w:val="22"/>
          <w:szCs w:val="22"/>
        </w:rPr>
        <w:t>kvalifikovaným</w:t>
      </w:r>
      <w:r w:rsidRPr="00A35E28">
        <w:rPr>
          <w:rFonts w:ascii="Arial" w:hAnsi="Arial" w:cs="Arial"/>
          <w:color w:val="000000"/>
          <w:spacing w:val="-14"/>
          <w:sz w:val="22"/>
          <w:szCs w:val="22"/>
        </w:rPr>
        <w:t xml:space="preserve"> </w:t>
      </w:r>
      <w:r w:rsidRPr="00A35E28">
        <w:rPr>
          <w:rFonts w:ascii="Arial" w:hAnsi="Arial" w:cs="Arial"/>
          <w:color w:val="000000"/>
          <w:sz w:val="22"/>
          <w:szCs w:val="22"/>
        </w:rPr>
        <w:t>subjektem.</w:t>
      </w:r>
    </w:p>
    <w:p w:rsidR="00736F5C" w:rsidRPr="00A35E28" w:rsidRDefault="00736F5C" w:rsidP="002C151C">
      <w:pPr>
        <w:widowControl w:val="0"/>
        <w:autoSpaceDE w:val="0"/>
        <w:autoSpaceDN w:val="0"/>
        <w:adjustRightInd w:val="0"/>
        <w:spacing w:before="600"/>
        <w:jc w:val="center"/>
        <w:rPr>
          <w:rFonts w:ascii="Arial" w:hAnsi="Arial" w:cs="Arial"/>
          <w:color w:val="000000"/>
          <w:sz w:val="22"/>
          <w:szCs w:val="22"/>
        </w:rPr>
      </w:pPr>
      <w:r w:rsidRPr="00A35E28">
        <w:rPr>
          <w:rFonts w:ascii="Arial" w:hAnsi="Arial" w:cs="Arial"/>
          <w:color w:val="000000"/>
          <w:sz w:val="22"/>
          <w:szCs w:val="22"/>
        </w:rPr>
        <w:t>Článek</w:t>
      </w:r>
      <w:r w:rsidRPr="00A35E28">
        <w:rPr>
          <w:rFonts w:ascii="Arial" w:hAnsi="Arial" w:cs="Arial"/>
          <w:color w:val="000000"/>
          <w:spacing w:val="-7"/>
          <w:sz w:val="22"/>
          <w:szCs w:val="22"/>
        </w:rPr>
        <w:t xml:space="preserve"> </w:t>
      </w:r>
      <w:r>
        <w:rPr>
          <w:rFonts w:ascii="Arial" w:hAnsi="Arial" w:cs="Arial"/>
          <w:color w:val="000000"/>
          <w:spacing w:val="-7"/>
          <w:sz w:val="22"/>
          <w:szCs w:val="22"/>
        </w:rPr>
        <w:t>7</w:t>
      </w:r>
    </w:p>
    <w:p w:rsidR="00736F5C" w:rsidRPr="00A35E28" w:rsidRDefault="00736F5C" w:rsidP="00DD6CDD">
      <w:pPr>
        <w:widowControl w:val="0"/>
        <w:autoSpaceDE w:val="0"/>
        <w:autoSpaceDN w:val="0"/>
        <w:adjustRightInd w:val="0"/>
        <w:spacing w:before="120" w:after="240"/>
        <w:jc w:val="center"/>
        <w:rPr>
          <w:rFonts w:ascii="Arial" w:hAnsi="Arial" w:cs="Arial"/>
          <w:color w:val="000000"/>
          <w:sz w:val="22"/>
          <w:szCs w:val="22"/>
        </w:rPr>
      </w:pPr>
      <w:r w:rsidRPr="00A35E28">
        <w:rPr>
          <w:rFonts w:ascii="Arial" w:hAnsi="Arial" w:cs="Arial"/>
          <w:b/>
          <w:bCs/>
          <w:color w:val="000000"/>
          <w:sz w:val="22"/>
          <w:szCs w:val="22"/>
        </w:rPr>
        <w:t>Zvláštní</w:t>
      </w:r>
      <w:r w:rsidRPr="00A35E28">
        <w:rPr>
          <w:rFonts w:ascii="Arial" w:hAnsi="Arial" w:cs="Arial"/>
          <w:b/>
          <w:bCs/>
          <w:color w:val="000000"/>
          <w:spacing w:val="-8"/>
          <w:sz w:val="22"/>
          <w:szCs w:val="22"/>
        </w:rPr>
        <w:t xml:space="preserve"> </w:t>
      </w:r>
      <w:r w:rsidRPr="00A35E28">
        <w:rPr>
          <w:rFonts w:ascii="Arial" w:hAnsi="Arial" w:cs="Arial"/>
          <w:b/>
          <w:bCs/>
          <w:color w:val="000000"/>
          <w:sz w:val="22"/>
          <w:szCs w:val="22"/>
        </w:rPr>
        <w:t>meto</w:t>
      </w:r>
      <w:r w:rsidRPr="00A35E28">
        <w:rPr>
          <w:rFonts w:ascii="Arial" w:hAnsi="Arial" w:cs="Arial"/>
          <w:b/>
          <w:bCs/>
          <w:color w:val="000000"/>
          <w:spacing w:val="2"/>
          <w:sz w:val="22"/>
          <w:szCs w:val="22"/>
        </w:rPr>
        <w:t>d</w:t>
      </w:r>
      <w:r w:rsidRPr="00A35E28">
        <w:rPr>
          <w:rFonts w:ascii="Arial" w:hAnsi="Arial" w:cs="Arial"/>
          <w:b/>
          <w:bCs/>
          <w:color w:val="000000"/>
          <w:sz w:val="22"/>
          <w:szCs w:val="22"/>
        </w:rPr>
        <w:t>y</w:t>
      </w:r>
      <w:r w:rsidRPr="00A35E28">
        <w:rPr>
          <w:rFonts w:ascii="Arial" w:hAnsi="Arial" w:cs="Arial"/>
          <w:b/>
          <w:bCs/>
          <w:color w:val="000000"/>
          <w:spacing w:val="-10"/>
          <w:sz w:val="22"/>
          <w:szCs w:val="22"/>
        </w:rPr>
        <w:t xml:space="preserve"> </w:t>
      </w:r>
      <w:r w:rsidRPr="00A35E28">
        <w:rPr>
          <w:rFonts w:ascii="Arial" w:hAnsi="Arial" w:cs="Arial"/>
          <w:b/>
          <w:bCs/>
          <w:color w:val="000000"/>
          <w:sz w:val="22"/>
          <w:szCs w:val="22"/>
        </w:rPr>
        <w:t>účelo</w:t>
      </w:r>
      <w:r w:rsidRPr="00A35E28">
        <w:rPr>
          <w:rFonts w:ascii="Arial" w:hAnsi="Arial" w:cs="Arial"/>
          <w:b/>
          <w:bCs/>
          <w:color w:val="000000"/>
          <w:spacing w:val="1"/>
          <w:sz w:val="22"/>
          <w:szCs w:val="22"/>
        </w:rPr>
        <w:t>v</w:t>
      </w:r>
      <w:r w:rsidRPr="00A35E28">
        <w:rPr>
          <w:rFonts w:ascii="Arial" w:hAnsi="Arial" w:cs="Arial"/>
          <w:b/>
          <w:bCs/>
          <w:color w:val="000000"/>
          <w:sz w:val="22"/>
          <w:szCs w:val="22"/>
        </w:rPr>
        <w:t>ého</w:t>
      </w:r>
      <w:r w:rsidRPr="00A35E28">
        <w:rPr>
          <w:rFonts w:ascii="Arial" w:hAnsi="Arial" w:cs="Arial"/>
          <w:b/>
          <w:bCs/>
          <w:color w:val="000000"/>
          <w:spacing w:val="-11"/>
          <w:sz w:val="22"/>
          <w:szCs w:val="22"/>
        </w:rPr>
        <w:t xml:space="preserve"> </w:t>
      </w:r>
      <w:r w:rsidRPr="00A35E28">
        <w:rPr>
          <w:rFonts w:ascii="Arial" w:hAnsi="Arial" w:cs="Arial"/>
          <w:b/>
          <w:bCs/>
          <w:color w:val="000000"/>
          <w:sz w:val="22"/>
          <w:szCs w:val="22"/>
        </w:rPr>
        <w:t>členění</w:t>
      </w:r>
      <w:r w:rsidRPr="00A35E28">
        <w:rPr>
          <w:rFonts w:ascii="Arial" w:hAnsi="Arial" w:cs="Arial"/>
          <w:b/>
          <w:bCs/>
          <w:color w:val="000000"/>
          <w:spacing w:val="-5"/>
          <w:sz w:val="22"/>
          <w:szCs w:val="22"/>
        </w:rPr>
        <w:t xml:space="preserve"> </w:t>
      </w:r>
      <w:r w:rsidRPr="00A35E28">
        <w:rPr>
          <w:rFonts w:ascii="Arial" w:hAnsi="Arial" w:cs="Arial"/>
          <w:b/>
          <w:bCs/>
          <w:color w:val="000000"/>
          <w:sz w:val="22"/>
          <w:szCs w:val="22"/>
        </w:rPr>
        <w:t>nákladů</w:t>
      </w:r>
    </w:p>
    <w:p w:rsidR="00736F5C" w:rsidRPr="00C905FA" w:rsidRDefault="00736F5C" w:rsidP="007D2120">
      <w:pPr>
        <w:widowControl w:val="0"/>
        <w:autoSpaceDE w:val="0"/>
        <w:autoSpaceDN w:val="0"/>
        <w:adjustRightInd w:val="0"/>
        <w:spacing w:before="240"/>
        <w:ind w:firstLine="828"/>
        <w:jc w:val="both"/>
        <w:rPr>
          <w:rFonts w:ascii="Arial" w:hAnsi="Arial" w:cs="Arial"/>
          <w:color w:val="000000"/>
          <w:sz w:val="22"/>
          <w:szCs w:val="22"/>
        </w:rPr>
      </w:pPr>
      <w:r w:rsidRPr="00A35E28">
        <w:rPr>
          <w:rFonts w:ascii="Arial" w:hAnsi="Arial" w:cs="Arial"/>
          <w:color w:val="000000"/>
          <w:sz w:val="22"/>
          <w:szCs w:val="22"/>
        </w:rPr>
        <w:t>Stanovený</w:t>
      </w:r>
      <w:r w:rsidRPr="00027B02">
        <w:rPr>
          <w:rFonts w:ascii="Arial" w:hAnsi="Arial" w:cs="Arial"/>
          <w:color w:val="000000"/>
          <w:sz w:val="22"/>
          <w:szCs w:val="22"/>
        </w:rPr>
        <w:t xml:space="preserve"> </w:t>
      </w:r>
      <w:r w:rsidRPr="00A35E28">
        <w:rPr>
          <w:rFonts w:ascii="Arial" w:hAnsi="Arial" w:cs="Arial"/>
          <w:color w:val="000000"/>
          <w:sz w:val="22"/>
          <w:szCs w:val="22"/>
        </w:rPr>
        <w:t>podnik</w:t>
      </w:r>
      <w:r>
        <w:rPr>
          <w:rFonts w:ascii="Arial" w:hAnsi="Arial" w:cs="Arial"/>
          <w:color w:val="000000"/>
          <w:sz w:val="22"/>
          <w:szCs w:val="22"/>
        </w:rPr>
        <w:t xml:space="preserve">, </w:t>
      </w:r>
      <w:r w:rsidRPr="00C905FA">
        <w:rPr>
          <w:rFonts w:ascii="Arial" w:hAnsi="Arial" w:cs="Arial"/>
          <w:color w:val="000000"/>
          <w:sz w:val="22"/>
          <w:szCs w:val="22"/>
        </w:rPr>
        <w:t>kterému byla uložena povinnost regulace cen a současně povinnost vedení</w:t>
      </w:r>
      <w:r w:rsidRPr="00C905FA">
        <w:rPr>
          <w:rFonts w:ascii="Arial" w:hAnsi="Arial" w:cs="Arial"/>
          <w:color w:val="000000"/>
          <w:spacing w:val="22"/>
          <w:sz w:val="22"/>
          <w:szCs w:val="22"/>
        </w:rPr>
        <w:t xml:space="preserve"> </w:t>
      </w:r>
      <w:r w:rsidRPr="00C905FA">
        <w:rPr>
          <w:rFonts w:ascii="Arial" w:hAnsi="Arial" w:cs="Arial"/>
          <w:color w:val="000000"/>
          <w:sz w:val="22"/>
          <w:szCs w:val="22"/>
        </w:rPr>
        <w:t>oddělené</w:t>
      </w:r>
      <w:r w:rsidRPr="00C905FA">
        <w:rPr>
          <w:rFonts w:ascii="Arial" w:hAnsi="Arial" w:cs="Arial"/>
          <w:color w:val="000000"/>
          <w:spacing w:val="20"/>
          <w:sz w:val="22"/>
          <w:szCs w:val="22"/>
        </w:rPr>
        <w:t xml:space="preserve"> </w:t>
      </w:r>
      <w:r w:rsidRPr="00C905FA">
        <w:rPr>
          <w:rFonts w:ascii="Arial" w:hAnsi="Arial" w:cs="Arial"/>
          <w:color w:val="000000"/>
          <w:sz w:val="22"/>
          <w:szCs w:val="22"/>
        </w:rPr>
        <w:t>evidence</w:t>
      </w:r>
      <w:r w:rsidR="0047095F" w:rsidRPr="00C905FA">
        <w:rPr>
          <w:rFonts w:ascii="Arial" w:hAnsi="Arial" w:cs="Arial"/>
          <w:color w:val="000000"/>
          <w:sz w:val="22"/>
          <w:szCs w:val="22"/>
        </w:rPr>
        <w:t xml:space="preserve"> na </w:t>
      </w:r>
      <w:r w:rsidRPr="00C905FA">
        <w:rPr>
          <w:rFonts w:ascii="Arial" w:hAnsi="Arial" w:cs="Arial"/>
          <w:color w:val="000000"/>
          <w:sz w:val="22"/>
          <w:szCs w:val="22"/>
        </w:rPr>
        <w:t>příslušných relevantních trzích</w:t>
      </w:r>
      <w:r w:rsidRPr="00C905FA">
        <w:rPr>
          <w:rFonts w:ascii="Arial" w:hAnsi="Arial" w:cs="Arial"/>
          <w:color w:val="000000"/>
          <w:w w:val="99"/>
          <w:sz w:val="22"/>
          <w:szCs w:val="22"/>
        </w:rPr>
        <w:t xml:space="preserve">, </w:t>
      </w:r>
      <w:r w:rsidRPr="008F1FBC">
        <w:rPr>
          <w:rFonts w:ascii="Arial" w:hAnsi="Arial" w:cs="Arial"/>
          <w:color w:val="000000"/>
          <w:sz w:val="22"/>
          <w:szCs w:val="22"/>
        </w:rPr>
        <w:t>zajistí</w:t>
      </w:r>
      <w:r w:rsidR="00EC1D32" w:rsidRPr="008F1FBC">
        <w:rPr>
          <w:rFonts w:ascii="Arial" w:hAnsi="Arial" w:cs="Arial"/>
          <w:color w:val="000000"/>
          <w:sz w:val="22"/>
          <w:szCs w:val="22"/>
        </w:rPr>
        <w:t xml:space="preserve"> na výzvu Úřadu</w:t>
      </w:r>
      <w:r w:rsidRPr="00C905FA">
        <w:rPr>
          <w:rFonts w:ascii="Arial" w:hAnsi="Arial" w:cs="Arial"/>
          <w:color w:val="000000"/>
          <w:sz w:val="22"/>
          <w:szCs w:val="22"/>
        </w:rPr>
        <w:t xml:space="preserve"> </w:t>
      </w:r>
      <w:r w:rsidR="009B43B6" w:rsidRPr="00C905FA">
        <w:rPr>
          <w:rFonts w:ascii="Arial" w:hAnsi="Arial" w:cs="Arial"/>
          <w:color w:val="000000"/>
          <w:sz w:val="22"/>
          <w:szCs w:val="22"/>
        </w:rPr>
        <w:t xml:space="preserve">z účetní evidence </w:t>
      </w:r>
      <w:r w:rsidR="00471452" w:rsidRPr="00C905FA">
        <w:rPr>
          <w:rFonts w:ascii="Arial" w:hAnsi="Arial" w:cs="Arial"/>
          <w:color w:val="000000"/>
          <w:sz w:val="22"/>
          <w:szCs w:val="22"/>
        </w:rPr>
        <w:t>údaje o hodnotě aktiv</w:t>
      </w:r>
      <w:r w:rsidR="0047095F" w:rsidRPr="00C905FA">
        <w:rPr>
          <w:rFonts w:ascii="Arial" w:hAnsi="Arial" w:cs="Arial"/>
          <w:color w:val="000000"/>
          <w:sz w:val="22"/>
          <w:szCs w:val="22"/>
        </w:rPr>
        <w:t xml:space="preserve"> v </w:t>
      </w:r>
      <w:r w:rsidR="00471452" w:rsidRPr="00C905FA">
        <w:rPr>
          <w:rFonts w:ascii="Arial" w:hAnsi="Arial" w:cs="Arial"/>
          <w:color w:val="000000"/>
          <w:sz w:val="22"/>
          <w:szCs w:val="22"/>
        </w:rPr>
        <w:t>běžných</w:t>
      </w:r>
      <w:r w:rsidRPr="00C905FA">
        <w:rPr>
          <w:rFonts w:ascii="Arial" w:hAnsi="Arial" w:cs="Arial"/>
          <w:color w:val="000000"/>
          <w:sz w:val="22"/>
          <w:szCs w:val="22"/>
        </w:rPr>
        <w:t xml:space="preserve"> cenách a</w:t>
      </w:r>
      <w:r w:rsidR="0047095F" w:rsidRPr="00C905FA">
        <w:rPr>
          <w:rFonts w:ascii="Arial" w:hAnsi="Arial" w:cs="Arial"/>
          <w:color w:val="000000"/>
          <w:sz w:val="22"/>
          <w:szCs w:val="22"/>
        </w:rPr>
        <w:t xml:space="preserve"> v </w:t>
      </w:r>
      <w:r w:rsidRPr="00C905FA">
        <w:rPr>
          <w:rFonts w:ascii="Arial" w:hAnsi="Arial" w:cs="Arial"/>
          <w:color w:val="000000"/>
          <w:sz w:val="22"/>
          <w:szCs w:val="22"/>
        </w:rPr>
        <w:t>příslušné evidenci provozní a technické údaje ve struktuře uvedené</w:t>
      </w:r>
      <w:r w:rsidR="0047095F" w:rsidRPr="00C905FA">
        <w:rPr>
          <w:rFonts w:ascii="Arial" w:hAnsi="Arial" w:cs="Arial"/>
          <w:color w:val="000000"/>
          <w:sz w:val="22"/>
          <w:szCs w:val="22"/>
        </w:rPr>
        <w:t xml:space="preserve"> v </w:t>
      </w:r>
      <w:r w:rsidRPr="00C905FA">
        <w:rPr>
          <w:rFonts w:ascii="Arial" w:hAnsi="Arial" w:cs="Arial"/>
          <w:color w:val="000000"/>
          <w:sz w:val="22"/>
          <w:szCs w:val="22"/>
        </w:rPr>
        <w:t>příslušné příloze 2 až 5 tohoto opatření obecné povahy tak, aby byly zajištěny vstupní údaje do nákladových modelů založených</w:t>
      </w:r>
      <w:r w:rsidR="0047095F" w:rsidRPr="00C905FA">
        <w:rPr>
          <w:rFonts w:ascii="Arial" w:hAnsi="Arial" w:cs="Arial"/>
          <w:color w:val="000000"/>
          <w:sz w:val="22"/>
          <w:szCs w:val="22"/>
        </w:rPr>
        <w:t xml:space="preserve"> na </w:t>
      </w:r>
      <w:r w:rsidRPr="00C905FA">
        <w:rPr>
          <w:rFonts w:ascii="Arial" w:hAnsi="Arial" w:cs="Arial"/>
          <w:color w:val="000000"/>
          <w:sz w:val="22"/>
          <w:szCs w:val="22"/>
        </w:rPr>
        <w:t>dlouhodobých přírůstkových nákladech (LRIC) u těchto služeb:</w:t>
      </w:r>
    </w:p>
    <w:p w:rsidR="00736F5C" w:rsidRPr="00620681" w:rsidRDefault="00736F5C" w:rsidP="00F13ABF">
      <w:pPr>
        <w:pStyle w:val="Odstavecseseznamem"/>
        <w:widowControl w:val="0"/>
        <w:numPr>
          <w:ilvl w:val="0"/>
          <w:numId w:val="110"/>
        </w:numPr>
        <w:autoSpaceDE w:val="0"/>
        <w:autoSpaceDN w:val="0"/>
        <w:adjustRightInd w:val="0"/>
        <w:spacing w:before="120" w:after="120"/>
        <w:ind w:left="709" w:hanging="284"/>
        <w:jc w:val="both"/>
        <w:rPr>
          <w:rFonts w:ascii="Arial" w:hAnsi="Arial" w:cs="Arial"/>
          <w:color w:val="000000"/>
          <w:sz w:val="22"/>
          <w:szCs w:val="22"/>
        </w:rPr>
      </w:pPr>
      <w:r w:rsidRPr="00620681">
        <w:rPr>
          <w:rFonts w:ascii="Arial" w:hAnsi="Arial" w:cs="Arial"/>
          <w:color w:val="000000"/>
          <w:sz w:val="22"/>
          <w:szCs w:val="22"/>
        </w:rPr>
        <w:t>ukončení volání (terminace)</w:t>
      </w:r>
      <w:r w:rsidR="0047095F" w:rsidRPr="00620681">
        <w:rPr>
          <w:rFonts w:ascii="Arial" w:hAnsi="Arial" w:cs="Arial"/>
          <w:color w:val="000000"/>
          <w:sz w:val="22"/>
          <w:szCs w:val="22"/>
        </w:rPr>
        <w:t xml:space="preserve"> v </w:t>
      </w:r>
      <w:r w:rsidRPr="00620681">
        <w:rPr>
          <w:rFonts w:ascii="Arial" w:hAnsi="Arial" w:cs="Arial"/>
          <w:color w:val="000000"/>
          <w:sz w:val="22"/>
          <w:szCs w:val="22"/>
        </w:rPr>
        <w:t>jednotlivých veřejných telefonních sítích poskytovaných</w:t>
      </w:r>
      <w:r w:rsidR="0047095F" w:rsidRPr="00620681">
        <w:rPr>
          <w:rFonts w:ascii="Arial" w:hAnsi="Arial" w:cs="Arial"/>
          <w:color w:val="000000"/>
          <w:sz w:val="22"/>
          <w:szCs w:val="22"/>
        </w:rPr>
        <w:t xml:space="preserve"> v </w:t>
      </w:r>
      <w:r w:rsidRPr="00620681">
        <w:rPr>
          <w:rFonts w:ascii="Arial" w:hAnsi="Arial" w:cs="Arial"/>
          <w:color w:val="000000"/>
          <w:sz w:val="22"/>
          <w:szCs w:val="22"/>
        </w:rPr>
        <w:t>pevném místě</w:t>
      </w:r>
      <w:bookmarkStart w:id="1" w:name="_Ref342377396"/>
      <w:r w:rsidRPr="00C905FA">
        <w:rPr>
          <w:rStyle w:val="Znakapoznpodarou"/>
          <w:rFonts w:ascii="Arial" w:hAnsi="Arial" w:cs="Arial"/>
          <w:color w:val="000000"/>
          <w:spacing w:val="-1"/>
          <w:sz w:val="22"/>
          <w:szCs w:val="22"/>
        </w:rPr>
        <w:footnoteReference w:id="2"/>
      </w:r>
      <w:bookmarkEnd w:id="1"/>
      <w:r w:rsidRPr="00620681">
        <w:rPr>
          <w:rFonts w:ascii="Arial" w:hAnsi="Arial" w:cs="Arial"/>
          <w:color w:val="000000"/>
          <w:spacing w:val="-1"/>
          <w:sz w:val="22"/>
          <w:szCs w:val="22"/>
        </w:rPr>
        <w:t>)</w:t>
      </w:r>
      <w:r w:rsidRPr="00620681">
        <w:rPr>
          <w:rFonts w:ascii="Arial" w:hAnsi="Arial" w:cs="Arial"/>
          <w:color w:val="000000"/>
          <w:sz w:val="22"/>
          <w:szCs w:val="22"/>
        </w:rPr>
        <w:t>,</w:t>
      </w:r>
    </w:p>
    <w:p w:rsidR="00736F5C" w:rsidRPr="00620681" w:rsidRDefault="00736F5C" w:rsidP="00F13ABF">
      <w:pPr>
        <w:pStyle w:val="Odstavecseseznamem"/>
        <w:widowControl w:val="0"/>
        <w:numPr>
          <w:ilvl w:val="0"/>
          <w:numId w:val="110"/>
        </w:numPr>
        <w:autoSpaceDE w:val="0"/>
        <w:autoSpaceDN w:val="0"/>
        <w:adjustRightInd w:val="0"/>
        <w:spacing w:before="120" w:after="120"/>
        <w:ind w:left="709" w:hanging="284"/>
        <w:jc w:val="both"/>
        <w:rPr>
          <w:rFonts w:ascii="Arial" w:hAnsi="Arial" w:cs="Arial"/>
          <w:color w:val="000000"/>
          <w:sz w:val="22"/>
          <w:szCs w:val="22"/>
        </w:rPr>
      </w:pPr>
      <w:r w:rsidRPr="00620681">
        <w:rPr>
          <w:rFonts w:ascii="Arial" w:hAnsi="Arial" w:cs="Arial"/>
          <w:color w:val="000000"/>
          <w:sz w:val="22"/>
          <w:szCs w:val="22"/>
        </w:rPr>
        <w:t>ukončení volání (terminace)</w:t>
      </w:r>
      <w:r w:rsidR="0047095F" w:rsidRPr="00620681">
        <w:rPr>
          <w:rFonts w:ascii="Arial" w:hAnsi="Arial" w:cs="Arial"/>
          <w:color w:val="000000"/>
          <w:sz w:val="22"/>
          <w:szCs w:val="22"/>
        </w:rPr>
        <w:t xml:space="preserve"> v </w:t>
      </w:r>
      <w:r w:rsidRPr="00620681">
        <w:rPr>
          <w:rFonts w:ascii="Arial" w:hAnsi="Arial" w:cs="Arial"/>
          <w:color w:val="000000"/>
          <w:sz w:val="22"/>
          <w:szCs w:val="22"/>
        </w:rPr>
        <w:t>jednotlivých veřejných mobilních sítích</w:t>
      </w:r>
      <w:bookmarkStart w:id="2" w:name="_Ref335041300"/>
      <w:r w:rsidRPr="00C905FA">
        <w:rPr>
          <w:rStyle w:val="Znakapoznpodarou"/>
          <w:rFonts w:ascii="Arial" w:hAnsi="Arial" w:cs="Arial"/>
          <w:color w:val="000000"/>
          <w:spacing w:val="11"/>
          <w:sz w:val="22"/>
          <w:szCs w:val="22"/>
        </w:rPr>
        <w:footnoteReference w:id="3"/>
      </w:r>
      <w:bookmarkEnd w:id="2"/>
      <w:r w:rsidRPr="00620681">
        <w:rPr>
          <w:rFonts w:ascii="Arial" w:hAnsi="Arial" w:cs="Arial"/>
          <w:color w:val="000000"/>
          <w:sz w:val="22"/>
          <w:szCs w:val="22"/>
        </w:rPr>
        <w:t>),</w:t>
      </w:r>
    </w:p>
    <w:p w:rsidR="00736F5C" w:rsidRPr="00620681" w:rsidRDefault="00DD4F53" w:rsidP="00BE6710">
      <w:pPr>
        <w:pStyle w:val="Odstavecseseznamem"/>
        <w:widowControl w:val="0"/>
        <w:numPr>
          <w:ilvl w:val="0"/>
          <w:numId w:val="110"/>
        </w:numPr>
        <w:tabs>
          <w:tab w:val="left" w:pos="709"/>
          <w:tab w:val="left" w:pos="6260"/>
          <w:tab w:val="left" w:pos="7200"/>
        </w:tabs>
        <w:autoSpaceDE w:val="0"/>
        <w:autoSpaceDN w:val="0"/>
        <w:adjustRightInd w:val="0"/>
        <w:spacing w:before="120" w:after="120"/>
        <w:ind w:left="709" w:hanging="284"/>
        <w:jc w:val="both"/>
        <w:rPr>
          <w:rFonts w:ascii="Arial" w:hAnsi="Arial" w:cs="Arial"/>
          <w:color w:val="000000"/>
          <w:sz w:val="22"/>
          <w:szCs w:val="22"/>
        </w:rPr>
      </w:pPr>
      <w:r w:rsidRPr="00620681">
        <w:rPr>
          <w:rFonts w:ascii="Arial" w:hAnsi="Arial" w:cs="Arial"/>
          <w:color w:val="000000"/>
          <w:sz w:val="22"/>
          <w:szCs w:val="22"/>
        </w:rPr>
        <w:t>velkoobchodní širokopásmový přístup</w:t>
      </w:r>
      <w:r w:rsidR="0047095F" w:rsidRPr="00620681">
        <w:rPr>
          <w:rFonts w:ascii="Arial" w:hAnsi="Arial" w:cs="Arial"/>
          <w:color w:val="000000"/>
          <w:sz w:val="22"/>
          <w:szCs w:val="22"/>
        </w:rPr>
        <w:t xml:space="preserve"> v </w:t>
      </w:r>
      <w:r w:rsidR="00736F5C" w:rsidRPr="00620681">
        <w:rPr>
          <w:rFonts w:ascii="Arial" w:hAnsi="Arial" w:cs="Arial"/>
          <w:color w:val="000000"/>
          <w:sz w:val="22"/>
          <w:szCs w:val="22"/>
        </w:rPr>
        <w:t>sítích elektroni</w:t>
      </w:r>
      <w:r w:rsidRPr="00620681">
        <w:rPr>
          <w:rFonts w:ascii="Arial" w:hAnsi="Arial" w:cs="Arial"/>
          <w:color w:val="000000"/>
          <w:sz w:val="22"/>
          <w:szCs w:val="22"/>
        </w:rPr>
        <w:t xml:space="preserve">ckých komunikací a </w:t>
      </w:r>
      <w:r w:rsidR="00434F16" w:rsidRPr="00620681">
        <w:rPr>
          <w:rFonts w:ascii="Arial" w:hAnsi="Arial" w:cs="Arial"/>
          <w:color w:val="000000"/>
          <w:sz w:val="22"/>
          <w:szCs w:val="22"/>
        </w:rPr>
        <w:t xml:space="preserve">širokopásmový </w:t>
      </w:r>
      <w:r w:rsidRPr="00620681">
        <w:rPr>
          <w:rFonts w:ascii="Arial" w:hAnsi="Arial" w:cs="Arial"/>
          <w:color w:val="000000"/>
          <w:sz w:val="22"/>
          <w:szCs w:val="22"/>
        </w:rPr>
        <w:t>přístup na souvisejícím maloobchodním</w:t>
      </w:r>
      <w:r w:rsidR="00736F5C" w:rsidRPr="00620681">
        <w:rPr>
          <w:rFonts w:ascii="Arial" w:hAnsi="Arial" w:cs="Arial"/>
          <w:color w:val="000000"/>
          <w:sz w:val="22"/>
          <w:szCs w:val="22"/>
        </w:rPr>
        <w:t xml:space="preserve"> trh</w:t>
      </w:r>
      <w:r w:rsidRPr="00620681">
        <w:rPr>
          <w:rFonts w:ascii="Arial" w:hAnsi="Arial" w:cs="Arial"/>
          <w:color w:val="000000"/>
          <w:sz w:val="22"/>
          <w:szCs w:val="22"/>
        </w:rPr>
        <w:t>u</w:t>
      </w:r>
      <w:r w:rsidR="00736F5C" w:rsidRPr="00C905FA">
        <w:rPr>
          <w:rStyle w:val="Znakapoznpodarou"/>
          <w:rFonts w:ascii="Arial" w:hAnsi="Arial" w:cs="Arial"/>
          <w:sz w:val="22"/>
          <w:szCs w:val="22"/>
        </w:rPr>
        <w:footnoteReference w:id="4"/>
      </w:r>
      <w:r w:rsidR="00736F5C" w:rsidRPr="00620681">
        <w:rPr>
          <w:rFonts w:ascii="Arial" w:hAnsi="Arial" w:cs="Arial"/>
          <w:sz w:val="22"/>
          <w:szCs w:val="22"/>
        </w:rPr>
        <w:t>),</w:t>
      </w:r>
    </w:p>
    <w:p w:rsidR="00736F5C" w:rsidRPr="00620681" w:rsidRDefault="00DD4F53" w:rsidP="00F13ABF">
      <w:pPr>
        <w:pStyle w:val="Odstavecseseznamem"/>
        <w:numPr>
          <w:ilvl w:val="0"/>
          <w:numId w:val="110"/>
        </w:numPr>
        <w:spacing w:before="120" w:after="120"/>
        <w:ind w:left="709" w:hanging="284"/>
        <w:jc w:val="both"/>
        <w:rPr>
          <w:rFonts w:ascii="Arial" w:hAnsi="Arial" w:cs="Arial"/>
          <w:sz w:val="22"/>
          <w:szCs w:val="22"/>
        </w:rPr>
      </w:pPr>
      <w:r w:rsidRPr="00620681">
        <w:rPr>
          <w:rFonts w:ascii="Arial" w:hAnsi="Arial" w:cs="Arial"/>
          <w:sz w:val="22"/>
          <w:szCs w:val="22"/>
        </w:rPr>
        <w:t>velkoobchodní (fyzický) přístup</w:t>
      </w:r>
      <w:r w:rsidR="00736F5C" w:rsidRPr="00620681">
        <w:rPr>
          <w:rFonts w:ascii="Arial" w:hAnsi="Arial" w:cs="Arial"/>
          <w:sz w:val="22"/>
          <w:szCs w:val="22"/>
        </w:rPr>
        <w:t xml:space="preserve"> k infrastruktuře sítě (včetně sdíleného nebo plného zpřístupnění účastnického vedení)</w:t>
      </w:r>
      <w:r w:rsidR="0047095F" w:rsidRPr="00620681">
        <w:rPr>
          <w:rFonts w:ascii="Arial" w:hAnsi="Arial" w:cs="Arial"/>
          <w:sz w:val="22"/>
          <w:szCs w:val="22"/>
        </w:rPr>
        <w:t xml:space="preserve"> v </w:t>
      </w:r>
      <w:r w:rsidR="00736F5C" w:rsidRPr="00620681">
        <w:rPr>
          <w:rFonts w:ascii="Arial" w:hAnsi="Arial" w:cs="Arial"/>
          <w:sz w:val="22"/>
          <w:szCs w:val="22"/>
        </w:rPr>
        <w:t>pevném místě</w:t>
      </w:r>
      <w:r w:rsidR="00DD48E0" w:rsidRPr="00620681">
        <w:rPr>
          <w:rFonts w:ascii="Arial" w:hAnsi="Arial" w:cs="Arial"/>
          <w:sz w:val="22"/>
          <w:szCs w:val="22"/>
          <w:vertAlign w:val="superscript"/>
        </w:rPr>
        <w:t>5</w:t>
      </w:r>
      <w:r w:rsidR="00736F5C" w:rsidRPr="00620681">
        <w:rPr>
          <w:rFonts w:ascii="Arial" w:hAnsi="Arial" w:cs="Arial"/>
          <w:sz w:val="22"/>
          <w:szCs w:val="22"/>
        </w:rPr>
        <w:t>),</w:t>
      </w:r>
    </w:p>
    <w:p w:rsidR="00736F5C" w:rsidRPr="00620681" w:rsidRDefault="00736F5C" w:rsidP="00F13ABF">
      <w:pPr>
        <w:pStyle w:val="Odstavecseseznamem"/>
        <w:numPr>
          <w:ilvl w:val="0"/>
          <w:numId w:val="110"/>
        </w:numPr>
        <w:spacing w:before="120" w:after="120"/>
        <w:ind w:left="709" w:hanging="284"/>
        <w:jc w:val="both"/>
        <w:rPr>
          <w:rFonts w:ascii="Arial" w:hAnsi="Arial" w:cs="Arial"/>
          <w:sz w:val="22"/>
          <w:szCs w:val="22"/>
        </w:rPr>
      </w:pPr>
      <w:r w:rsidRPr="00620681">
        <w:rPr>
          <w:rFonts w:ascii="Arial" w:hAnsi="Arial" w:cs="Arial"/>
          <w:color w:val="000000"/>
          <w:sz w:val="22"/>
          <w:szCs w:val="22"/>
        </w:rPr>
        <w:t>zpřístupnění prostředků a služeb nezbytných k poskytování služeb prostřednictvím účastnického vedení (kolokace</w:t>
      </w:r>
      <w:r w:rsidRPr="00620681">
        <w:rPr>
          <w:rFonts w:ascii="Arial" w:hAnsi="Arial" w:cs="Arial"/>
          <w:sz w:val="22"/>
          <w:szCs w:val="22"/>
        </w:rPr>
        <w:t>)</w:t>
      </w:r>
      <w:r w:rsidRPr="00C905FA">
        <w:rPr>
          <w:rStyle w:val="Znakapoznpodarou"/>
          <w:rFonts w:ascii="Arial" w:hAnsi="Arial" w:cs="Arial"/>
          <w:sz w:val="22"/>
          <w:szCs w:val="22"/>
        </w:rPr>
        <w:footnoteReference w:id="5"/>
      </w:r>
      <w:r w:rsidRPr="00620681">
        <w:rPr>
          <w:rFonts w:ascii="Arial" w:hAnsi="Arial" w:cs="Arial"/>
          <w:sz w:val="22"/>
          <w:szCs w:val="22"/>
        </w:rPr>
        <w:t>),</w:t>
      </w:r>
    </w:p>
    <w:p w:rsidR="002D3C9B" w:rsidRPr="00620681" w:rsidRDefault="00736F5C" w:rsidP="00F13ABF">
      <w:pPr>
        <w:pStyle w:val="Odstavecseseznamem"/>
        <w:numPr>
          <w:ilvl w:val="0"/>
          <w:numId w:val="110"/>
        </w:numPr>
        <w:spacing w:before="120" w:after="120"/>
        <w:ind w:left="709" w:hanging="284"/>
        <w:jc w:val="both"/>
        <w:rPr>
          <w:rFonts w:ascii="Arial" w:hAnsi="Arial" w:cs="Arial"/>
          <w:sz w:val="22"/>
          <w:szCs w:val="22"/>
        </w:rPr>
      </w:pPr>
      <w:r w:rsidRPr="00620681">
        <w:rPr>
          <w:rFonts w:ascii="Arial" w:hAnsi="Arial" w:cs="Arial"/>
          <w:sz w:val="22"/>
          <w:szCs w:val="22"/>
        </w:rPr>
        <w:t>původ volání (</w:t>
      </w:r>
      <w:proofErr w:type="spellStart"/>
      <w:r w:rsidRPr="00620681">
        <w:rPr>
          <w:rFonts w:ascii="Arial" w:hAnsi="Arial" w:cs="Arial"/>
          <w:sz w:val="22"/>
          <w:szCs w:val="22"/>
        </w:rPr>
        <w:t>originace</w:t>
      </w:r>
      <w:proofErr w:type="spellEnd"/>
      <w:r w:rsidRPr="00620681">
        <w:rPr>
          <w:rFonts w:ascii="Arial" w:hAnsi="Arial" w:cs="Arial"/>
          <w:sz w:val="22"/>
          <w:szCs w:val="22"/>
        </w:rPr>
        <w:t>) ve veřejné telefonní síti</w:t>
      </w:r>
      <w:r w:rsidR="0047095F" w:rsidRPr="00620681">
        <w:rPr>
          <w:rFonts w:ascii="Arial" w:hAnsi="Arial" w:cs="Arial"/>
          <w:sz w:val="22"/>
          <w:szCs w:val="22"/>
        </w:rPr>
        <w:t xml:space="preserve"> v </w:t>
      </w:r>
      <w:r w:rsidRPr="00620681">
        <w:rPr>
          <w:rFonts w:ascii="Arial" w:hAnsi="Arial" w:cs="Arial"/>
          <w:sz w:val="22"/>
          <w:szCs w:val="22"/>
        </w:rPr>
        <w:t>pevném místě</w:t>
      </w:r>
      <w:r w:rsidRPr="00C905FA">
        <w:rPr>
          <w:rStyle w:val="Znakapoznpodarou"/>
          <w:rFonts w:ascii="Arial" w:hAnsi="Arial" w:cs="Arial"/>
          <w:sz w:val="22"/>
          <w:szCs w:val="22"/>
        </w:rPr>
        <w:footnoteReference w:id="6"/>
      </w:r>
      <w:r w:rsidRPr="00620681">
        <w:rPr>
          <w:rFonts w:ascii="Arial" w:hAnsi="Arial" w:cs="Arial"/>
          <w:sz w:val="22"/>
          <w:szCs w:val="22"/>
        </w:rPr>
        <w:t>).</w:t>
      </w:r>
    </w:p>
    <w:p w:rsidR="004A6A67" w:rsidRPr="00C905FA" w:rsidRDefault="004A6A67" w:rsidP="00ED5035">
      <w:pPr>
        <w:widowControl w:val="0"/>
        <w:autoSpaceDE w:val="0"/>
        <w:autoSpaceDN w:val="0"/>
        <w:adjustRightInd w:val="0"/>
        <w:spacing w:before="1080"/>
        <w:jc w:val="center"/>
        <w:rPr>
          <w:rFonts w:ascii="Arial" w:hAnsi="Arial" w:cs="Arial"/>
          <w:color w:val="000000"/>
          <w:w w:val="99"/>
          <w:sz w:val="22"/>
          <w:szCs w:val="22"/>
        </w:rPr>
      </w:pPr>
      <w:r w:rsidRPr="00C905FA">
        <w:rPr>
          <w:rFonts w:ascii="Arial" w:hAnsi="Arial" w:cs="Arial"/>
          <w:color w:val="000000"/>
          <w:sz w:val="22"/>
          <w:szCs w:val="22"/>
        </w:rPr>
        <w:lastRenderedPageBreak/>
        <w:t>Článek</w:t>
      </w:r>
      <w:r w:rsidRPr="00C905FA">
        <w:rPr>
          <w:rFonts w:ascii="Arial" w:hAnsi="Arial" w:cs="Arial"/>
          <w:color w:val="000000"/>
          <w:spacing w:val="-7"/>
          <w:sz w:val="22"/>
          <w:szCs w:val="22"/>
        </w:rPr>
        <w:t xml:space="preserve"> </w:t>
      </w:r>
      <w:r w:rsidRPr="00C905FA">
        <w:rPr>
          <w:rFonts w:ascii="Arial" w:hAnsi="Arial" w:cs="Arial"/>
          <w:color w:val="000000"/>
          <w:w w:val="99"/>
          <w:sz w:val="22"/>
          <w:szCs w:val="22"/>
        </w:rPr>
        <w:t>8</w:t>
      </w:r>
    </w:p>
    <w:p w:rsidR="004A6A67" w:rsidRPr="00C905FA" w:rsidRDefault="004A6A67" w:rsidP="00C902E2">
      <w:pPr>
        <w:autoSpaceDE w:val="0"/>
        <w:autoSpaceDN w:val="0"/>
        <w:adjustRightInd w:val="0"/>
        <w:spacing w:before="120" w:after="240"/>
        <w:jc w:val="center"/>
        <w:rPr>
          <w:rFonts w:ascii="Arial" w:hAnsi="Arial" w:cs="Arial"/>
          <w:b/>
          <w:bCs/>
          <w:sz w:val="22"/>
          <w:szCs w:val="22"/>
        </w:rPr>
      </w:pPr>
      <w:r w:rsidRPr="00C905FA">
        <w:rPr>
          <w:rFonts w:ascii="Arial" w:hAnsi="Arial" w:cs="Arial"/>
          <w:b/>
          <w:bCs/>
          <w:sz w:val="22"/>
          <w:szCs w:val="22"/>
        </w:rPr>
        <w:t>Zrušovací ustanovení</w:t>
      </w:r>
    </w:p>
    <w:p w:rsidR="004A6A67" w:rsidRPr="00C905FA" w:rsidRDefault="004A6A67" w:rsidP="00F13ABF">
      <w:pPr>
        <w:widowControl w:val="0"/>
        <w:autoSpaceDE w:val="0"/>
        <w:autoSpaceDN w:val="0"/>
        <w:adjustRightInd w:val="0"/>
        <w:spacing w:before="240"/>
        <w:ind w:firstLine="828"/>
        <w:jc w:val="both"/>
        <w:rPr>
          <w:rFonts w:ascii="Arial" w:hAnsi="Arial" w:cs="Arial"/>
          <w:color w:val="000000"/>
          <w:sz w:val="22"/>
          <w:szCs w:val="22"/>
        </w:rPr>
      </w:pPr>
      <w:r w:rsidRPr="00C905FA">
        <w:rPr>
          <w:rFonts w:ascii="Arial" w:hAnsi="Arial" w:cs="Arial"/>
          <w:color w:val="000000"/>
          <w:sz w:val="22"/>
          <w:szCs w:val="22"/>
        </w:rPr>
        <w:t xml:space="preserve">Zrušuje se opatření obecné povahy č. </w:t>
      </w:r>
      <w:r w:rsidRPr="00C905FA">
        <w:rPr>
          <w:rFonts w:ascii="Arial" w:hAnsi="Arial" w:cs="Arial"/>
          <w:sz w:val="22"/>
          <w:szCs w:val="22"/>
        </w:rPr>
        <w:t xml:space="preserve">OOP/4/03.2006-3, </w:t>
      </w:r>
      <w:r w:rsidRPr="00C905FA">
        <w:rPr>
          <w:rFonts w:ascii="Arial" w:hAnsi="Arial" w:cs="Arial"/>
          <w:color w:val="000000"/>
          <w:sz w:val="22"/>
          <w:szCs w:val="22"/>
        </w:rPr>
        <w:t>ze dne 8. března 2006, zveřejněné</w:t>
      </w:r>
      <w:r w:rsidR="0047095F" w:rsidRPr="00C905FA">
        <w:rPr>
          <w:rFonts w:ascii="Arial" w:hAnsi="Arial" w:cs="Arial"/>
          <w:color w:val="000000"/>
          <w:sz w:val="22"/>
          <w:szCs w:val="22"/>
        </w:rPr>
        <w:t xml:space="preserve"> v </w:t>
      </w:r>
      <w:r w:rsidRPr="00C905FA">
        <w:rPr>
          <w:rFonts w:ascii="Arial" w:hAnsi="Arial" w:cs="Arial"/>
          <w:color w:val="000000"/>
          <w:sz w:val="22"/>
          <w:szCs w:val="22"/>
        </w:rPr>
        <w:t>částce 7/2006 Telekomunikačního věstníku</w:t>
      </w:r>
      <w:r w:rsidR="001C19DC" w:rsidRPr="00C905FA">
        <w:rPr>
          <w:rFonts w:ascii="Arial" w:hAnsi="Arial" w:cs="Arial"/>
          <w:color w:val="000000"/>
          <w:sz w:val="22"/>
          <w:szCs w:val="22"/>
        </w:rPr>
        <w:t xml:space="preserve">, ve znění </w:t>
      </w:r>
      <w:r w:rsidR="00972BD1" w:rsidRPr="00C905FA">
        <w:rPr>
          <w:rFonts w:ascii="Arial" w:hAnsi="Arial" w:cs="Arial"/>
          <w:color w:val="000000"/>
          <w:sz w:val="22"/>
          <w:szCs w:val="22"/>
        </w:rPr>
        <w:t xml:space="preserve">opatření obecné povahy č. OOP/4/02.2008-1 ze dne 7. února 2008, opatření obecné povahy č. OOP/4/12.2011-19 </w:t>
      </w:r>
      <w:r w:rsidR="00DA3B8B">
        <w:rPr>
          <w:rFonts w:ascii="Arial" w:hAnsi="Arial" w:cs="Arial"/>
          <w:color w:val="000000"/>
          <w:sz w:val="22"/>
          <w:szCs w:val="22"/>
        </w:rPr>
        <w:br/>
      </w:r>
      <w:r w:rsidR="00972BD1" w:rsidRPr="00C905FA">
        <w:rPr>
          <w:rFonts w:ascii="Arial" w:hAnsi="Arial" w:cs="Arial"/>
          <w:color w:val="000000"/>
          <w:sz w:val="22"/>
          <w:szCs w:val="22"/>
        </w:rPr>
        <w:t>ze dne 8. prosince 2011, opatření obecné povahy č. OOP/4/11.2012-15 ze dne 28. listopadu 2012 a opatření obecné povahy č. OOP/4/08.2013-3 ze dne 28. srpna 2013</w:t>
      </w:r>
      <w:r w:rsidRPr="00C905FA">
        <w:rPr>
          <w:rFonts w:ascii="Arial" w:hAnsi="Arial" w:cs="Arial"/>
          <w:color w:val="000000"/>
          <w:sz w:val="22"/>
          <w:szCs w:val="22"/>
        </w:rPr>
        <w:t>.</w:t>
      </w:r>
    </w:p>
    <w:p w:rsidR="004A6A67" w:rsidRPr="00C905FA" w:rsidRDefault="004A6A67" w:rsidP="002C151C">
      <w:pPr>
        <w:widowControl w:val="0"/>
        <w:autoSpaceDE w:val="0"/>
        <w:autoSpaceDN w:val="0"/>
        <w:adjustRightInd w:val="0"/>
        <w:spacing w:before="600"/>
        <w:jc w:val="center"/>
        <w:rPr>
          <w:rFonts w:ascii="Arial" w:hAnsi="Arial" w:cs="Arial"/>
          <w:color w:val="000000"/>
          <w:w w:val="99"/>
          <w:sz w:val="22"/>
          <w:szCs w:val="22"/>
        </w:rPr>
      </w:pPr>
      <w:r w:rsidRPr="00C905FA">
        <w:rPr>
          <w:rFonts w:ascii="Arial" w:hAnsi="Arial" w:cs="Arial"/>
          <w:color w:val="000000"/>
          <w:sz w:val="22"/>
          <w:szCs w:val="22"/>
        </w:rPr>
        <w:t>Článek</w:t>
      </w:r>
      <w:r w:rsidRPr="00C905FA">
        <w:rPr>
          <w:rFonts w:ascii="Arial" w:hAnsi="Arial" w:cs="Arial"/>
          <w:color w:val="000000"/>
          <w:spacing w:val="-7"/>
          <w:sz w:val="22"/>
          <w:szCs w:val="22"/>
        </w:rPr>
        <w:t xml:space="preserve"> </w:t>
      </w:r>
      <w:r w:rsidR="00C41A21" w:rsidRPr="00C905FA">
        <w:rPr>
          <w:rFonts w:ascii="Arial" w:hAnsi="Arial" w:cs="Arial"/>
          <w:color w:val="000000"/>
          <w:spacing w:val="-7"/>
          <w:sz w:val="22"/>
          <w:szCs w:val="22"/>
        </w:rPr>
        <w:t>9</w:t>
      </w:r>
    </w:p>
    <w:p w:rsidR="004A6A67" w:rsidRPr="00C905FA" w:rsidRDefault="004A6A67" w:rsidP="00C902E2">
      <w:pPr>
        <w:widowControl w:val="0"/>
        <w:autoSpaceDE w:val="0"/>
        <w:autoSpaceDN w:val="0"/>
        <w:adjustRightInd w:val="0"/>
        <w:spacing w:before="120"/>
        <w:jc w:val="center"/>
        <w:rPr>
          <w:rFonts w:ascii="Arial" w:hAnsi="Arial" w:cs="Arial"/>
          <w:color w:val="000000"/>
          <w:sz w:val="22"/>
          <w:szCs w:val="22"/>
        </w:rPr>
      </w:pPr>
      <w:r w:rsidRPr="00C905FA">
        <w:rPr>
          <w:rFonts w:ascii="Arial" w:hAnsi="Arial" w:cs="Arial"/>
          <w:b/>
          <w:bCs/>
          <w:color w:val="000000"/>
          <w:sz w:val="22"/>
          <w:szCs w:val="22"/>
        </w:rPr>
        <w:t>Účinnost</w:t>
      </w:r>
    </w:p>
    <w:p w:rsidR="00022CD5" w:rsidRDefault="004A6A67" w:rsidP="00092796">
      <w:pPr>
        <w:autoSpaceDE w:val="0"/>
        <w:autoSpaceDN w:val="0"/>
        <w:adjustRightInd w:val="0"/>
        <w:spacing w:before="240"/>
        <w:ind w:firstLine="828"/>
        <w:jc w:val="both"/>
        <w:rPr>
          <w:rFonts w:ascii="Arial" w:hAnsi="Arial" w:cs="Arial"/>
          <w:sz w:val="22"/>
          <w:szCs w:val="22"/>
        </w:rPr>
      </w:pPr>
      <w:r w:rsidRPr="00C905FA">
        <w:rPr>
          <w:rFonts w:ascii="Arial" w:hAnsi="Arial" w:cs="Arial"/>
          <w:sz w:val="22"/>
          <w:szCs w:val="22"/>
        </w:rPr>
        <w:t xml:space="preserve">Toto opatření nabývá účinnosti </w:t>
      </w:r>
      <w:r w:rsidR="005E518E" w:rsidRPr="00C905FA">
        <w:rPr>
          <w:rFonts w:ascii="Arial" w:hAnsi="Arial" w:cs="Arial"/>
          <w:sz w:val="22"/>
          <w:szCs w:val="22"/>
        </w:rPr>
        <w:t>dne 1. ledna 2015.</w:t>
      </w:r>
    </w:p>
    <w:p w:rsidR="005A3A85" w:rsidRDefault="005A3A85" w:rsidP="005A3A85">
      <w:pPr>
        <w:tabs>
          <w:tab w:val="left" w:pos="993"/>
        </w:tabs>
        <w:autoSpaceDE w:val="0"/>
        <w:autoSpaceDN w:val="0"/>
        <w:adjustRightInd w:val="0"/>
        <w:spacing w:before="480"/>
        <w:ind w:left="5245"/>
        <w:rPr>
          <w:rFonts w:ascii="Arial" w:hAnsi="Arial" w:cs="Arial"/>
          <w:b/>
          <w:bCs/>
          <w:color w:val="000000"/>
          <w:w w:val="99"/>
          <w:sz w:val="22"/>
          <w:szCs w:val="22"/>
        </w:rPr>
      </w:pPr>
      <w:r w:rsidRPr="00A35E28">
        <w:rPr>
          <w:rFonts w:ascii="Arial" w:hAnsi="Arial" w:cs="Arial"/>
          <w:color w:val="000000"/>
          <w:w w:val="99"/>
          <w:position w:val="-1"/>
          <w:sz w:val="22"/>
          <w:szCs w:val="22"/>
        </w:rPr>
        <w:br w:type="page"/>
      </w:r>
      <w:r w:rsidRPr="00B13A26">
        <w:rPr>
          <w:rFonts w:ascii="Arial" w:hAnsi="Arial" w:cs="Arial"/>
          <w:color w:val="000000"/>
          <w:sz w:val="22"/>
          <w:szCs w:val="22"/>
        </w:rPr>
        <w:lastRenderedPageBreak/>
        <w:t xml:space="preserve">Příloha č. </w:t>
      </w:r>
      <w:r>
        <w:rPr>
          <w:rFonts w:ascii="Arial" w:hAnsi="Arial" w:cs="Arial"/>
          <w:color w:val="000000"/>
          <w:sz w:val="22"/>
          <w:szCs w:val="22"/>
        </w:rPr>
        <w:t>1</w:t>
      </w:r>
      <w:r>
        <w:rPr>
          <w:rFonts w:ascii="Arial" w:hAnsi="Arial" w:cs="Arial"/>
          <w:color w:val="000000"/>
          <w:spacing w:val="-7"/>
          <w:sz w:val="22"/>
          <w:szCs w:val="22"/>
        </w:rPr>
        <w:t xml:space="preserve"> k </w:t>
      </w:r>
      <w:r w:rsidRPr="00B13A26">
        <w:rPr>
          <w:rFonts w:ascii="Arial" w:hAnsi="Arial" w:cs="Arial"/>
          <w:color w:val="000000"/>
          <w:sz w:val="22"/>
          <w:szCs w:val="22"/>
        </w:rPr>
        <w:t>opatření</w:t>
      </w:r>
      <w:r w:rsidRPr="00B13A26">
        <w:rPr>
          <w:rFonts w:ascii="Arial" w:hAnsi="Arial" w:cs="Arial"/>
          <w:color w:val="000000"/>
          <w:spacing w:val="-8"/>
          <w:sz w:val="22"/>
          <w:szCs w:val="22"/>
        </w:rPr>
        <w:t xml:space="preserve"> </w:t>
      </w:r>
      <w:r w:rsidRPr="00B13A26">
        <w:rPr>
          <w:rFonts w:ascii="Arial" w:hAnsi="Arial" w:cs="Arial"/>
          <w:color w:val="000000"/>
          <w:spacing w:val="-1"/>
          <w:sz w:val="22"/>
          <w:szCs w:val="22"/>
        </w:rPr>
        <w:t>o</w:t>
      </w:r>
      <w:r w:rsidRPr="00B13A26">
        <w:rPr>
          <w:rFonts w:ascii="Arial" w:hAnsi="Arial" w:cs="Arial"/>
          <w:color w:val="000000"/>
          <w:sz w:val="22"/>
          <w:szCs w:val="22"/>
        </w:rPr>
        <w:t>becné</w:t>
      </w:r>
      <w:r w:rsidRPr="00B13A26">
        <w:rPr>
          <w:rFonts w:ascii="Arial" w:hAnsi="Arial" w:cs="Arial"/>
          <w:color w:val="000000"/>
          <w:spacing w:val="-7"/>
          <w:sz w:val="22"/>
          <w:szCs w:val="22"/>
        </w:rPr>
        <w:t xml:space="preserve"> </w:t>
      </w:r>
      <w:r w:rsidRPr="00B13A26">
        <w:rPr>
          <w:rFonts w:ascii="Arial" w:hAnsi="Arial" w:cs="Arial"/>
          <w:color w:val="000000"/>
          <w:sz w:val="22"/>
          <w:szCs w:val="22"/>
        </w:rPr>
        <w:t>povahy</w:t>
      </w:r>
      <w:r w:rsidRPr="00B13A26">
        <w:rPr>
          <w:rFonts w:ascii="Arial" w:hAnsi="Arial" w:cs="Arial"/>
          <w:color w:val="000000"/>
          <w:spacing w:val="-7"/>
          <w:sz w:val="22"/>
          <w:szCs w:val="22"/>
        </w:rPr>
        <w:t xml:space="preserve"> </w:t>
      </w:r>
      <w:r w:rsidRPr="00B13A26">
        <w:rPr>
          <w:rFonts w:ascii="Arial" w:hAnsi="Arial" w:cs="Arial"/>
          <w:color w:val="000000"/>
          <w:spacing w:val="1"/>
          <w:sz w:val="22"/>
          <w:szCs w:val="22"/>
        </w:rPr>
        <w:t>č</w:t>
      </w:r>
      <w:r w:rsidRPr="00B13A26">
        <w:rPr>
          <w:rFonts w:ascii="Arial" w:hAnsi="Arial" w:cs="Arial"/>
          <w:color w:val="000000"/>
          <w:sz w:val="22"/>
          <w:szCs w:val="22"/>
        </w:rPr>
        <w:t>.</w:t>
      </w:r>
      <w:r w:rsidRPr="00B13A26">
        <w:rPr>
          <w:rFonts w:ascii="Arial" w:hAnsi="Arial" w:cs="Arial"/>
          <w:color w:val="000000"/>
          <w:spacing w:val="-1"/>
          <w:sz w:val="22"/>
          <w:szCs w:val="22"/>
        </w:rPr>
        <w:t xml:space="preserve"> </w:t>
      </w:r>
      <w:r>
        <w:rPr>
          <w:rFonts w:ascii="Arial" w:hAnsi="Arial" w:cs="Arial"/>
          <w:b/>
          <w:bCs/>
          <w:color w:val="000000"/>
          <w:w w:val="99"/>
          <w:sz w:val="22"/>
          <w:szCs w:val="22"/>
        </w:rPr>
        <w:t>OOP/4</w:t>
      </w:r>
      <w:r>
        <w:rPr>
          <w:rFonts w:ascii="Arial" w:hAnsi="Arial" w:cs="Arial"/>
          <w:b/>
          <w:bCs/>
          <w:color w:val="000000"/>
          <w:spacing w:val="1"/>
          <w:w w:val="99"/>
          <w:sz w:val="22"/>
          <w:szCs w:val="22"/>
        </w:rPr>
        <w:t>/</w:t>
      </w:r>
      <w:r w:rsidR="002C151C">
        <w:rPr>
          <w:rFonts w:ascii="Arial" w:hAnsi="Arial" w:cs="Arial"/>
          <w:b/>
          <w:bCs/>
          <w:color w:val="000000"/>
          <w:spacing w:val="1"/>
          <w:w w:val="99"/>
          <w:sz w:val="22"/>
          <w:szCs w:val="22"/>
        </w:rPr>
        <w:t>09</w:t>
      </w:r>
      <w:r>
        <w:rPr>
          <w:rFonts w:ascii="Arial" w:hAnsi="Arial" w:cs="Arial"/>
          <w:b/>
          <w:bCs/>
          <w:color w:val="000000"/>
          <w:w w:val="99"/>
          <w:sz w:val="22"/>
          <w:szCs w:val="22"/>
        </w:rPr>
        <w:t>.2014-</w:t>
      </w:r>
      <w:r w:rsidR="002C151C">
        <w:rPr>
          <w:rFonts w:ascii="Arial" w:hAnsi="Arial" w:cs="Arial"/>
          <w:b/>
          <w:bCs/>
          <w:color w:val="000000"/>
          <w:w w:val="99"/>
          <w:sz w:val="22"/>
          <w:szCs w:val="22"/>
        </w:rPr>
        <w:t>6</w:t>
      </w:r>
    </w:p>
    <w:p w:rsidR="00C05EB3" w:rsidRPr="00B13A26" w:rsidRDefault="0041340A" w:rsidP="00BE6710">
      <w:pPr>
        <w:tabs>
          <w:tab w:val="left" w:pos="993"/>
        </w:tabs>
        <w:autoSpaceDE w:val="0"/>
        <w:autoSpaceDN w:val="0"/>
        <w:adjustRightInd w:val="0"/>
        <w:spacing w:before="480"/>
        <w:rPr>
          <w:rFonts w:ascii="Arial" w:hAnsi="Arial" w:cs="Arial"/>
          <w:color w:val="000000"/>
          <w:sz w:val="22"/>
          <w:szCs w:val="22"/>
        </w:rPr>
      </w:pPr>
      <w:r>
        <w:rPr>
          <w:noProof/>
        </w:rPr>
        <w:drawing>
          <wp:inline distT="0" distB="0" distL="0" distR="0">
            <wp:extent cx="5753735" cy="75526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7552690"/>
                    </a:xfrm>
                    <a:prstGeom prst="rect">
                      <a:avLst/>
                    </a:prstGeom>
                    <a:noFill/>
                    <a:ln>
                      <a:noFill/>
                    </a:ln>
                  </pic:spPr>
                </pic:pic>
              </a:graphicData>
            </a:graphic>
          </wp:inline>
        </w:drawing>
      </w:r>
    </w:p>
    <w:p w:rsidR="00B02145" w:rsidRDefault="00B02145">
      <w:r>
        <w:br w:type="page"/>
      </w:r>
      <w:r w:rsidR="0041340A">
        <w:rPr>
          <w:noProof/>
        </w:rPr>
        <w:lastRenderedPageBreak/>
        <w:drawing>
          <wp:inline distT="0" distB="0" distL="0" distR="0">
            <wp:extent cx="5753735" cy="5848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5848350"/>
                    </a:xfrm>
                    <a:prstGeom prst="rect">
                      <a:avLst/>
                    </a:prstGeom>
                    <a:noFill/>
                    <a:ln>
                      <a:noFill/>
                    </a:ln>
                  </pic:spPr>
                </pic:pic>
              </a:graphicData>
            </a:graphic>
          </wp:inline>
        </w:drawing>
      </w:r>
    </w:p>
    <w:p w:rsidR="003D378E" w:rsidRDefault="003D378E">
      <w:r>
        <w:br w:type="page"/>
      </w:r>
      <w:r w:rsidR="0041340A">
        <w:rPr>
          <w:noProof/>
        </w:rPr>
        <w:lastRenderedPageBreak/>
        <w:drawing>
          <wp:inline distT="0" distB="0" distL="0" distR="0">
            <wp:extent cx="5682615" cy="847915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2615" cy="8479155"/>
                    </a:xfrm>
                    <a:prstGeom prst="rect">
                      <a:avLst/>
                    </a:prstGeom>
                    <a:noFill/>
                    <a:ln>
                      <a:noFill/>
                    </a:ln>
                  </pic:spPr>
                </pic:pic>
              </a:graphicData>
            </a:graphic>
          </wp:inline>
        </w:drawing>
      </w:r>
    </w:p>
    <w:p w:rsidR="003D378E" w:rsidRDefault="003D378E">
      <w:pPr>
        <w:sectPr w:rsidR="003D378E" w:rsidSect="004A24CE">
          <w:footerReference w:type="default" r:id="rId11"/>
          <w:pgSz w:w="11906" w:h="16838"/>
          <w:pgMar w:top="1417" w:right="1417" w:bottom="1276" w:left="1417" w:header="708" w:footer="12" w:gutter="0"/>
          <w:pgNumType w:start="1"/>
          <w:cols w:space="708"/>
          <w:docGrid w:linePitch="360"/>
        </w:sectPr>
      </w:pPr>
    </w:p>
    <w:p w:rsidR="00AB4226" w:rsidRPr="00E50EEF" w:rsidRDefault="0041340A" w:rsidP="00F214FF">
      <w:pPr>
        <w:jc w:val="center"/>
        <w:rPr>
          <w:rFonts w:ascii="Arial" w:hAnsi="Arial" w:cs="Arial"/>
          <w:sz w:val="22"/>
          <w:szCs w:val="22"/>
        </w:rPr>
      </w:pPr>
      <w:r w:rsidRPr="0041340A">
        <w:rPr>
          <w:noProof/>
        </w:rPr>
        <w:lastRenderedPageBreak/>
        <w:drawing>
          <wp:inline distT="0" distB="0" distL="0" distR="0">
            <wp:extent cx="8883015" cy="602107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83015" cy="6021070"/>
                    </a:xfrm>
                    <a:prstGeom prst="rect">
                      <a:avLst/>
                    </a:prstGeom>
                    <a:noFill/>
                    <a:ln>
                      <a:noFill/>
                    </a:ln>
                  </pic:spPr>
                </pic:pic>
              </a:graphicData>
            </a:graphic>
          </wp:inline>
        </w:drawing>
      </w:r>
    </w:p>
    <w:p w:rsidR="00EC14E9" w:rsidRDefault="008F1FBC" w:rsidP="00F214FF">
      <w:pPr>
        <w:jc w:val="center"/>
      </w:pPr>
      <w:r w:rsidRPr="008F1FBC">
        <w:rPr>
          <w:noProof/>
        </w:rPr>
        <w:lastRenderedPageBreak/>
        <w:drawing>
          <wp:inline distT="0" distB="0" distL="0" distR="0">
            <wp:extent cx="9777730" cy="6608424"/>
            <wp:effectExtent l="0" t="0" r="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7730" cy="6608424"/>
                    </a:xfrm>
                    <a:prstGeom prst="rect">
                      <a:avLst/>
                    </a:prstGeom>
                    <a:noFill/>
                    <a:ln>
                      <a:noFill/>
                    </a:ln>
                  </pic:spPr>
                </pic:pic>
              </a:graphicData>
            </a:graphic>
          </wp:inline>
        </w:drawing>
      </w:r>
    </w:p>
    <w:p w:rsidR="00AB4226" w:rsidRDefault="00AB4226">
      <w:pPr>
        <w:sectPr w:rsidR="00AB4226" w:rsidSect="00F214FF">
          <w:pgSz w:w="16838" w:h="11906" w:orient="landscape" w:code="9"/>
          <w:pgMar w:top="720" w:right="720" w:bottom="720" w:left="720" w:header="709" w:footer="709" w:gutter="0"/>
          <w:cols w:space="708"/>
          <w:docGrid w:linePitch="360"/>
        </w:sectPr>
      </w:pPr>
    </w:p>
    <w:p w:rsidR="00E50EEF" w:rsidRDefault="0041340A" w:rsidP="00DF231A">
      <w:pPr>
        <w:jc w:val="center"/>
      </w:pPr>
      <w:r>
        <w:rPr>
          <w:noProof/>
        </w:rPr>
        <w:lastRenderedPageBreak/>
        <w:drawing>
          <wp:inline distT="0" distB="0" distL="0" distR="0">
            <wp:extent cx="5676265" cy="7160895"/>
            <wp:effectExtent l="0" t="0" r="635" b="1905"/>
            <wp:docPr id="6"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265" cy="7160895"/>
                    </a:xfrm>
                    <a:prstGeom prst="rect">
                      <a:avLst/>
                    </a:prstGeom>
                    <a:noFill/>
                    <a:ln>
                      <a:noFill/>
                    </a:ln>
                  </pic:spPr>
                </pic:pic>
              </a:graphicData>
            </a:graphic>
          </wp:inline>
        </w:drawing>
      </w:r>
    </w:p>
    <w:p w:rsidR="00242A0C" w:rsidRDefault="0041340A">
      <w:r>
        <w:rPr>
          <w:noProof/>
        </w:rPr>
        <w:lastRenderedPageBreak/>
        <w:drawing>
          <wp:inline distT="0" distB="0" distL="0" distR="0">
            <wp:extent cx="5676265" cy="3425825"/>
            <wp:effectExtent l="0" t="0" r="635" b="317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265" cy="3425825"/>
                    </a:xfrm>
                    <a:prstGeom prst="rect">
                      <a:avLst/>
                    </a:prstGeom>
                    <a:noFill/>
                    <a:ln>
                      <a:noFill/>
                    </a:ln>
                  </pic:spPr>
                </pic:pic>
              </a:graphicData>
            </a:graphic>
          </wp:inline>
        </w:drawing>
      </w:r>
    </w:p>
    <w:p w:rsidR="00242A0C" w:rsidRPr="006532BE" w:rsidRDefault="008C6DF5" w:rsidP="00242A0C">
      <w:pPr>
        <w:widowControl w:val="0"/>
        <w:autoSpaceDE w:val="0"/>
        <w:autoSpaceDN w:val="0"/>
        <w:adjustRightInd w:val="0"/>
        <w:spacing w:before="65"/>
        <w:ind w:left="5245"/>
        <w:rPr>
          <w:rFonts w:ascii="Arial" w:hAnsi="Arial" w:cs="Arial"/>
          <w:color w:val="000000"/>
          <w:spacing w:val="-7"/>
          <w:sz w:val="22"/>
          <w:szCs w:val="22"/>
        </w:rPr>
      </w:pPr>
      <w:r>
        <w:rPr>
          <w:rFonts w:ascii="Arial" w:hAnsi="Arial" w:cs="Arial"/>
          <w:color w:val="000000"/>
          <w:sz w:val="22"/>
          <w:szCs w:val="22"/>
        </w:rPr>
        <w:br w:type="page"/>
      </w:r>
      <w:r w:rsidR="00242A0C" w:rsidRPr="006532BE">
        <w:rPr>
          <w:rFonts w:ascii="Arial" w:hAnsi="Arial" w:cs="Arial"/>
          <w:color w:val="000000"/>
          <w:sz w:val="22"/>
          <w:szCs w:val="22"/>
        </w:rPr>
        <w:lastRenderedPageBreak/>
        <w:t>Příloha</w:t>
      </w:r>
      <w:r w:rsidR="00242A0C" w:rsidRPr="006532BE">
        <w:rPr>
          <w:rFonts w:ascii="Arial" w:hAnsi="Arial" w:cs="Arial"/>
          <w:color w:val="000000"/>
          <w:spacing w:val="-7"/>
          <w:sz w:val="22"/>
          <w:szCs w:val="22"/>
        </w:rPr>
        <w:t xml:space="preserve"> </w:t>
      </w:r>
      <w:r w:rsidR="00242A0C" w:rsidRPr="006532BE">
        <w:rPr>
          <w:rFonts w:ascii="Arial" w:hAnsi="Arial" w:cs="Arial"/>
          <w:color w:val="000000"/>
          <w:sz w:val="22"/>
          <w:szCs w:val="22"/>
        </w:rPr>
        <w:t>č. 2</w:t>
      </w:r>
      <w:r w:rsidR="00242A0C" w:rsidRPr="006532BE">
        <w:rPr>
          <w:rFonts w:ascii="Arial" w:hAnsi="Arial" w:cs="Arial"/>
          <w:color w:val="000000"/>
          <w:spacing w:val="-2"/>
          <w:sz w:val="22"/>
          <w:szCs w:val="22"/>
        </w:rPr>
        <w:t xml:space="preserve"> k </w:t>
      </w:r>
      <w:r w:rsidR="00242A0C" w:rsidRPr="006532BE">
        <w:rPr>
          <w:rFonts w:ascii="Arial" w:hAnsi="Arial" w:cs="Arial"/>
          <w:color w:val="000000"/>
          <w:sz w:val="22"/>
          <w:szCs w:val="22"/>
        </w:rPr>
        <w:t>opatření</w:t>
      </w:r>
      <w:r w:rsidR="00242A0C" w:rsidRPr="006532BE">
        <w:rPr>
          <w:rFonts w:ascii="Arial" w:hAnsi="Arial" w:cs="Arial"/>
          <w:color w:val="000000"/>
          <w:spacing w:val="-8"/>
          <w:sz w:val="22"/>
          <w:szCs w:val="22"/>
        </w:rPr>
        <w:t xml:space="preserve"> </w:t>
      </w:r>
      <w:r w:rsidR="00242A0C" w:rsidRPr="006532BE">
        <w:rPr>
          <w:rFonts w:ascii="Arial" w:hAnsi="Arial" w:cs="Arial"/>
          <w:color w:val="000000"/>
          <w:spacing w:val="-1"/>
          <w:sz w:val="22"/>
          <w:szCs w:val="22"/>
        </w:rPr>
        <w:t>o</w:t>
      </w:r>
      <w:r w:rsidR="00242A0C" w:rsidRPr="006532BE">
        <w:rPr>
          <w:rFonts w:ascii="Arial" w:hAnsi="Arial" w:cs="Arial"/>
          <w:color w:val="000000"/>
          <w:sz w:val="22"/>
          <w:szCs w:val="22"/>
        </w:rPr>
        <w:t>becné</w:t>
      </w:r>
      <w:r w:rsidR="00242A0C" w:rsidRPr="006532BE">
        <w:rPr>
          <w:rFonts w:ascii="Arial" w:hAnsi="Arial" w:cs="Arial"/>
          <w:color w:val="000000"/>
          <w:spacing w:val="-7"/>
          <w:sz w:val="22"/>
          <w:szCs w:val="22"/>
        </w:rPr>
        <w:t xml:space="preserve"> </w:t>
      </w:r>
      <w:r w:rsidR="00242A0C" w:rsidRPr="006532BE">
        <w:rPr>
          <w:rFonts w:ascii="Arial" w:hAnsi="Arial" w:cs="Arial"/>
          <w:color w:val="000000"/>
          <w:sz w:val="22"/>
          <w:szCs w:val="22"/>
        </w:rPr>
        <w:t>povahy</w:t>
      </w:r>
      <w:r w:rsidR="00242A0C" w:rsidRPr="006532BE">
        <w:rPr>
          <w:rFonts w:ascii="Arial" w:hAnsi="Arial" w:cs="Arial"/>
          <w:color w:val="000000"/>
          <w:spacing w:val="-7"/>
          <w:sz w:val="22"/>
          <w:szCs w:val="22"/>
        </w:rPr>
        <w:t xml:space="preserve"> </w:t>
      </w:r>
    </w:p>
    <w:p w:rsidR="00242A0C" w:rsidRPr="006532BE" w:rsidRDefault="00242A0C" w:rsidP="00F27160">
      <w:pPr>
        <w:widowControl w:val="0"/>
        <w:autoSpaceDE w:val="0"/>
        <w:autoSpaceDN w:val="0"/>
        <w:adjustRightInd w:val="0"/>
        <w:spacing w:before="65"/>
        <w:ind w:left="5245"/>
        <w:rPr>
          <w:rFonts w:ascii="Arial" w:hAnsi="Arial" w:cs="Arial"/>
          <w:color w:val="000000"/>
          <w:sz w:val="22"/>
          <w:szCs w:val="22"/>
        </w:rPr>
      </w:pPr>
      <w:r w:rsidRPr="006532BE">
        <w:rPr>
          <w:rFonts w:ascii="Arial" w:hAnsi="Arial" w:cs="Arial"/>
          <w:color w:val="000000"/>
          <w:spacing w:val="1"/>
          <w:sz w:val="22"/>
          <w:szCs w:val="22"/>
        </w:rPr>
        <w:t>č</w:t>
      </w:r>
      <w:r w:rsidRPr="006532BE">
        <w:rPr>
          <w:rFonts w:ascii="Arial" w:hAnsi="Arial" w:cs="Arial"/>
          <w:color w:val="000000"/>
          <w:sz w:val="22"/>
          <w:szCs w:val="22"/>
        </w:rPr>
        <w:t>.</w:t>
      </w:r>
      <w:r w:rsidRPr="006532BE">
        <w:rPr>
          <w:rFonts w:ascii="Arial" w:hAnsi="Arial" w:cs="Arial"/>
          <w:color w:val="000000"/>
          <w:spacing w:val="-1"/>
          <w:sz w:val="22"/>
          <w:szCs w:val="22"/>
        </w:rPr>
        <w:t xml:space="preserve"> </w:t>
      </w:r>
      <w:r w:rsidRPr="006532BE">
        <w:rPr>
          <w:rFonts w:ascii="Arial" w:hAnsi="Arial" w:cs="Arial"/>
          <w:b/>
          <w:bCs/>
          <w:color w:val="000000"/>
          <w:w w:val="99"/>
          <w:sz w:val="22"/>
          <w:szCs w:val="22"/>
        </w:rPr>
        <w:t>OOP/4</w:t>
      </w:r>
      <w:r w:rsidRPr="006532BE">
        <w:rPr>
          <w:rFonts w:ascii="Arial" w:hAnsi="Arial" w:cs="Arial"/>
          <w:b/>
          <w:bCs/>
          <w:color w:val="000000"/>
          <w:spacing w:val="1"/>
          <w:w w:val="99"/>
          <w:sz w:val="22"/>
          <w:szCs w:val="22"/>
        </w:rPr>
        <w:t>/</w:t>
      </w:r>
      <w:r w:rsidR="002C151C">
        <w:rPr>
          <w:rFonts w:ascii="Arial" w:hAnsi="Arial" w:cs="Arial"/>
          <w:b/>
          <w:bCs/>
          <w:color w:val="000000"/>
          <w:spacing w:val="1"/>
          <w:w w:val="99"/>
          <w:sz w:val="22"/>
          <w:szCs w:val="22"/>
        </w:rPr>
        <w:t>09</w:t>
      </w:r>
      <w:r w:rsidRPr="006532BE">
        <w:rPr>
          <w:rFonts w:ascii="Arial" w:hAnsi="Arial" w:cs="Arial"/>
          <w:b/>
          <w:bCs/>
          <w:color w:val="000000"/>
          <w:w w:val="99"/>
          <w:sz w:val="22"/>
          <w:szCs w:val="22"/>
        </w:rPr>
        <w:t>.2014-</w:t>
      </w:r>
      <w:r w:rsidR="002C151C">
        <w:rPr>
          <w:rFonts w:ascii="Arial" w:hAnsi="Arial" w:cs="Arial"/>
          <w:b/>
          <w:bCs/>
          <w:color w:val="000000"/>
          <w:w w:val="99"/>
          <w:sz w:val="22"/>
          <w:szCs w:val="22"/>
        </w:rPr>
        <w:t>6</w:t>
      </w:r>
      <w:r w:rsidRPr="006532BE">
        <w:rPr>
          <w:rFonts w:ascii="Arial" w:hAnsi="Arial" w:cs="Arial"/>
          <w:color w:val="000000"/>
          <w:sz w:val="22"/>
          <w:szCs w:val="22"/>
        </w:rPr>
        <w:t xml:space="preserve"> </w:t>
      </w:r>
    </w:p>
    <w:p w:rsidR="00242A0C" w:rsidRPr="006532BE" w:rsidRDefault="00242A0C" w:rsidP="00510F4D">
      <w:pPr>
        <w:widowControl w:val="0"/>
        <w:autoSpaceDE w:val="0"/>
        <w:autoSpaceDN w:val="0"/>
        <w:adjustRightInd w:val="0"/>
        <w:spacing w:before="480"/>
        <w:rPr>
          <w:rFonts w:ascii="Arial" w:hAnsi="Arial" w:cs="Arial"/>
          <w:color w:val="000000"/>
          <w:sz w:val="22"/>
          <w:szCs w:val="22"/>
        </w:rPr>
      </w:pPr>
      <w:r w:rsidRPr="006532BE">
        <w:rPr>
          <w:rFonts w:ascii="Arial" w:hAnsi="Arial" w:cs="Arial"/>
          <w:b/>
          <w:bCs/>
          <w:color w:val="000000"/>
          <w:sz w:val="22"/>
          <w:szCs w:val="22"/>
        </w:rPr>
        <w:t>Struktura</w:t>
      </w:r>
      <w:r w:rsidRPr="006532BE">
        <w:rPr>
          <w:rFonts w:ascii="Arial" w:hAnsi="Arial" w:cs="Arial"/>
          <w:b/>
          <w:bCs/>
          <w:color w:val="000000"/>
          <w:spacing w:val="-10"/>
          <w:sz w:val="22"/>
          <w:szCs w:val="22"/>
        </w:rPr>
        <w:t xml:space="preserve"> </w:t>
      </w:r>
      <w:r w:rsidRPr="006532BE">
        <w:rPr>
          <w:rFonts w:ascii="Arial" w:hAnsi="Arial" w:cs="Arial"/>
          <w:b/>
          <w:bCs/>
          <w:color w:val="000000"/>
          <w:spacing w:val="1"/>
          <w:sz w:val="22"/>
          <w:szCs w:val="22"/>
        </w:rPr>
        <w:t>v</w:t>
      </w:r>
      <w:r w:rsidRPr="006532BE">
        <w:rPr>
          <w:rFonts w:ascii="Arial" w:hAnsi="Arial" w:cs="Arial"/>
          <w:b/>
          <w:bCs/>
          <w:color w:val="000000"/>
          <w:sz w:val="22"/>
          <w:szCs w:val="22"/>
        </w:rPr>
        <w:t>stupních</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údajů</w:t>
      </w:r>
      <w:r w:rsidRPr="006532BE">
        <w:rPr>
          <w:rFonts w:ascii="Arial" w:hAnsi="Arial" w:cs="Arial"/>
          <w:b/>
          <w:bCs/>
          <w:color w:val="000000"/>
          <w:spacing w:val="-5"/>
          <w:sz w:val="22"/>
          <w:szCs w:val="22"/>
        </w:rPr>
        <w:t xml:space="preserve"> </w:t>
      </w:r>
      <w:r w:rsidRPr="006532BE">
        <w:rPr>
          <w:rFonts w:ascii="Arial" w:hAnsi="Arial" w:cs="Arial"/>
          <w:b/>
          <w:bCs/>
          <w:color w:val="000000"/>
          <w:sz w:val="22"/>
          <w:szCs w:val="22"/>
        </w:rPr>
        <w:t>dle</w:t>
      </w:r>
      <w:r w:rsidRPr="006532BE">
        <w:rPr>
          <w:rFonts w:ascii="Arial" w:hAnsi="Arial" w:cs="Arial"/>
          <w:b/>
          <w:bCs/>
          <w:color w:val="000000"/>
          <w:spacing w:val="-3"/>
          <w:sz w:val="22"/>
          <w:szCs w:val="22"/>
        </w:rPr>
        <w:t xml:space="preserve"> </w:t>
      </w:r>
      <w:r w:rsidRPr="006532BE">
        <w:rPr>
          <w:rFonts w:ascii="Arial" w:hAnsi="Arial" w:cs="Arial"/>
          <w:b/>
          <w:bCs/>
          <w:color w:val="000000"/>
          <w:sz w:val="22"/>
          <w:szCs w:val="22"/>
        </w:rPr>
        <w:t>čl</w:t>
      </w:r>
      <w:r w:rsidRPr="006532BE">
        <w:rPr>
          <w:rFonts w:ascii="Arial" w:hAnsi="Arial" w:cs="Arial"/>
          <w:b/>
          <w:bCs/>
          <w:color w:val="000000"/>
          <w:spacing w:val="-1"/>
          <w:sz w:val="22"/>
          <w:szCs w:val="22"/>
        </w:rPr>
        <w:t>á</w:t>
      </w:r>
      <w:r w:rsidRPr="006532BE">
        <w:rPr>
          <w:rFonts w:ascii="Arial" w:hAnsi="Arial" w:cs="Arial"/>
          <w:b/>
          <w:bCs/>
          <w:color w:val="000000"/>
          <w:sz w:val="22"/>
          <w:szCs w:val="22"/>
        </w:rPr>
        <w:t>nku</w:t>
      </w:r>
      <w:r w:rsidRPr="006532BE">
        <w:rPr>
          <w:rFonts w:ascii="Arial" w:hAnsi="Arial" w:cs="Arial"/>
          <w:b/>
          <w:bCs/>
          <w:color w:val="000000"/>
          <w:spacing w:val="-7"/>
          <w:sz w:val="22"/>
          <w:szCs w:val="22"/>
        </w:rPr>
        <w:t xml:space="preserve"> </w:t>
      </w:r>
      <w:r w:rsidR="001C19DC" w:rsidRPr="006532BE">
        <w:rPr>
          <w:rFonts w:ascii="Arial" w:hAnsi="Arial" w:cs="Arial"/>
          <w:b/>
          <w:bCs/>
          <w:color w:val="000000"/>
          <w:spacing w:val="-7"/>
          <w:sz w:val="22"/>
          <w:szCs w:val="22"/>
        </w:rPr>
        <w:t>7</w:t>
      </w:r>
      <w:r w:rsidRPr="006532BE">
        <w:rPr>
          <w:rFonts w:ascii="Arial" w:hAnsi="Arial" w:cs="Arial"/>
          <w:b/>
          <w:bCs/>
          <w:color w:val="000000"/>
          <w:spacing w:val="-1"/>
          <w:sz w:val="22"/>
          <w:szCs w:val="22"/>
        </w:rPr>
        <w:t xml:space="preserve"> </w:t>
      </w:r>
      <w:r w:rsidRPr="006532BE">
        <w:rPr>
          <w:rFonts w:ascii="Arial" w:hAnsi="Arial" w:cs="Arial"/>
          <w:b/>
          <w:bCs/>
          <w:color w:val="000000"/>
          <w:sz w:val="22"/>
          <w:szCs w:val="22"/>
        </w:rPr>
        <w:t>písm.</w:t>
      </w:r>
      <w:r w:rsidRPr="006532BE">
        <w:rPr>
          <w:rFonts w:ascii="Arial" w:hAnsi="Arial" w:cs="Arial"/>
          <w:b/>
          <w:bCs/>
          <w:color w:val="000000"/>
          <w:spacing w:val="-6"/>
          <w:sz w:val="22"/>
          <w:szCs w:val="22"/>
        </w:rPr>
        <w:t xml:space="preserve"> </w:t>
      </w:r>
      <w:r w:rsidRPr="006532BE">
        <w:rPr>
          <w:rFonts w:ascii="Arial" w:hAnsi="Arial" w:cs="Arial"/>
          <w:b/>
          <w:bCs/>
          <w:color w:val="000000"/>
          <w:sz w:val="22"/>
          <w:szCs w:val="22"/>
        </w:rPr>
        <w:t>a)</w:t>
      </w:r>
    </w:p>
    <w:p w:rsidR="00242A0C" w:rsidRPr="006532BE" w:rsidRDefault="00242A0C" w:rsidP="00510F4D">
      <w:pPr>
        <w:autoSpaceDE w:val="0"/>
        <w:autoSpaceDN w:val="0"/>
        <w:adjustRightInd w:val="0"/>
        <w:spacing w:before="240" w:after="40"/>
        <w:rPr>
          <w:rFonts w:ascii="Arial" w:hAnsi="Arial" w:cs="Arial"/>
          <w:b/>
          <w:color w:val="000000"/>
          <w:sz w:val="22"/>
          <w:szCs w:val="22"/>
        </w:rPr>
      </w:pPr>
      <w:r w:rsidRPr="006532BE">
        <w:rPr>
          <w:rFonts w:ascii="Arial" w:hAnsi="Arial" w:cs="Arial"/>
          <w:b/>
          <w:color w:val="000000"/>
          <w:sz w:val="22"/>
          <w:szCs w:val="22"/>
        </w:rPr>
        <w:t>I. Členění vstupních údajů</w:t>
      </w:r>
      <w:r w:rsidR="0047095F" w:rsidRPr="006532BE">
        <w:rPr>
          <w:rFonts w:ascii="Arial" w:hAnsi="Arial" w:cs="Arial"/>
          <w:b/>
          <w:color w:val="000000"/>
          <w:sz w:val="22"/>
          <w:szCs w:val="22"/>
        </w:rPr>
        <w:t xml:space="preserve"> podle </w:t>
      </w:r>
      <w:r w:rsidRPr="006532BE">
        <w:rPr>
          <w:rFonts w:ascii="Arial" w:hAnsi="Arial" w:cs="Arial"/>
          <w:b/>
          <w:color w:val="000000"/>
          <w:sz w:val="22"/>
          <w:szCs w:val="22"/>
        </w:rPr>
        <w:t xml:space="preserve">struktury LRIC modelu </w:t>
      </w:r>
    </w:p>
    <w:p w:rsidR="00242A0C" w:rsidRPr="006532BE" w:rsidRDefault="00242A0C" w:rsidP="00D8342D">
      <w:pPr>
        <w:pStyle w:val="Nadpis2"/>
        <w:spacing w:before="240"/>
        <w:jc w:val="both"/>
        <w:rPr>
          <w:rFonts w:ascii="Arial" w:hAnsi="Arial" w:cs="Arial"/>
          <w:i w:val="0"/>
          <w:sz w:val="22"/>
          <w:szCs w:val="22"/>
        </w:rPr>
      </w:pPr>
      <w:r w:rsidRPr="006532BE">
        <w:rPr>
          <w:rFonts w:ascii="Arial" w:hAnsi="Arial" w:cs="Arial"/>
          <w:i w:val="0"/>
          <w:sz w:val="22"/>
          <w:szCs w:val="22"/>
        </w:rPr>
        <w:t>List A1 – Přístupové uzly</w:t>
      </w:r>
    </w:p>
    <w:p w:rsidR="00242A0C" w:rsidRPr="006532BE" w:rsidRDefault="00242A0C" w:rsidP="00F62C63">
      <w:pPr>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Seznam uzlů následujících typů (řádky)</w:t>
      </w:r>
      <w:r w:rsidR="00823426" w:rsidRPr="006532BE">
        <w:rPr>
          <w:rFonts w:ascii="Arial" w:hAnsi="Arial" w:cs="Arial"/>
          <w:color w:val="000000"/>
          <w:sz w:val="22"/>
          <w:szCs w:val="22"/>
        </w:rPr>
        <w:t>:</w:t>
      </w:r>
    </w:p>
    <w:p w:rsidR="00242A0C" w:rsidRPr="006532BE" w:rsidRDefault="00242A0C" w:rsidP="00823426">
      <w:pPr>
        <w:numPr>
          <w:ilvl w:val="0"/>
          <w:numId w:val="32"/>
        </w:numPr>
        <w:autoSpaceDE w:val="0"/>
        <w:autoSpaceDN w:val="0"/>
        <w:adjustRightInd w:val="0"/>
        <w:spacing w:before="60" w:after="60"/>
        <w:ind w:left="357" w:hanging="357"/>
        <w:jc w:val="both"/>
        <w:rPr>
          <w:rFonts w:ascii="Arial" w:hAnsi="Arial" w:cs="Arial"/>
          <w:color w:val="000000"/>
          <w:sz w:val="22"/>
          <w:szCs w:val="22"/>
        </w:rPr>
      </w:pPr>
      <w:r w:rsidRPr="006532BE">
        <w:rPr>
          <w:rFonts w:ascii="Arial" w:hAnsi="Arial" w:cs="Arial"/>
          <w:color w:val="000000"/>
          <w:sz w:val="22"/>
          <w:szCs w:val="22"/>
        </w:rPr>
        <w:t>RSU – vzdálená účastnická jednotka</w:t>
      </w:r>
    </w:p>
    <w:p w:rsidR="00242A0C" w:rsidRPr="006532BE" w:rsidRDefault="00242A0C" w:rsidP="00E93680">
      <w:pPr>
        <w:numPr>
          <w:ilvl w:val="0"/>
          <w:numId w:val="32"/>
        </w:numPr>
        <w:autoSpaceDE w:val="0"/>
        <w:autoSpaceDN w:val="0"/>
        <w:adjustRightInd w:val="0"/>
        <w:spacing w:before="60" w:after="60"/>
        <w:ind w:left="357" w:hanging="357"/>
        <w:jc w:val="both"/>
        <w:rPr>
          <w:rFonts w:ascii="Arial" w:hAnsi="Arial" w:cs="Arial"/>
          <w:color w:val="000000"/>
          <w:sz w:val="22"/>
          <w:szCs w:val="22"/>
        </w:rPr>
      </w:pPr>
      <w:r w:rsidRPr="006532BE">
        <w:rPr>
          <w:rFonts w:ascii="Arial" w:hAnsi="Arial" w:cs="Arial"/>
          <w:color w:val="000000"/>
          <w:sz w:val="22"/>
          <w:szCs w:val="22"/>
        </w:rPr>
        <w:t xml:space="preserve">MSAN – </w:t>
      </w:r>
      <w:proofErr w:type="spellStart"/>
      <w:r w:rsidRPr="006532BE">
        <w:rPr>
          <w:rFonts w:ascii="Arial" w:hAnsi="Arial" w:cs="Arial"/>
          <w:color w:val="000000"/>
          <w:sz w:val="22"/>
          <w:szCs w:val="22"/>
        </w:rPr>
        <w:t>Multi</w:t>
      </w:r>
      <w:proofErr w:type="spellEnd"/>
      <w:r w:rsidRPr="006532BE">
        <w:rPr>
          <w:rFonts w:ascii="Arial" w:hAnsi="Arial" w:cs="Arial"/>
          <w:color w:val="000000"/>
          <w:sz w:val="22"/>
          <w:szCs w:val="22"/>
        </w:rPr>
        <w:t xml:space="preserve"> </w:t>
      </w:r>
      <w:proofErr w:type="spellStart"/>
      <w:r w:rsidRPr="006532BE">
        <w:rPr>
          <w:rFonts w:ascii="Arial" w:hAnsi="Arial" w:cs="Arial"/>
          <w:color w:val="000000"/>
          <w:sz w:val="22"/>
          <w:szCs w:val="22"/>
        </w:rPr>
        <w:t>Service</w:t>
      </w:r>
      <w:proofErr w:type="spellEnd"/>
      <w:r w:rsidRPr="006532BE">
        <w:rPr>
          <w:rFonts w:ascii="Arial" w:hAnsi="Arial" w:cs="Arial"/>
          <w:color w:val="000000"/>
          <w:sz w:val="22"/>
          <w:szCs w:val="22"/>
        </w:rPr>
        <w:t xml:space="preserve"> Access Node</w:t>
      </w:r>
    </w:p>
    <w:p w:rsidR="00242A0C" w:rsidRPr="006532BE" w:rsidRDefault="00242A0C" w:rsidP="00E93680">
      <w:pPr>
        <w:numPr>
          <w:ilvl w:val="0"/>
          <w:numId w:val="32"/>
        </w:numPr>
        <w:autoSpaceDE w:val="0"/>
        <w:autoSpaceDN w:val="0"/>
        <w:adjustRightInd w:val="0"/>
        <w:spacing w:before="60" w:after="60"/>
        <w:ind w:left="357" w:hanging="357"/>
        <w:jc w:val="both"/>
        <w:rPr>
          <w:rFonts w:ascii="Arial" w:hAnsi="Arial" w:cs="Arial"/>
          <w:color w:val="000000"/>
          <w:sz w:val="22"/>
          <w:szCs w:val="22"/>
        </w:rPr>
      </w:pPr>
      <w:r w:rsidRPr="006532BE">
        <w:rPr>
          <w:rFonts w:ascii="Arial" w:hAnsi="Arial" w:cs="Arial"/>
          <w:color w:val="000000"/>
          <w:sz w:val="22"/>
          <w:szCs w:val="22"/>
        </w:rPr>
        <w:t xml:space="preserve">DSLAM – Digital </w:t>
      </w:r>
      <w:proofErr w:type="spellStart"/>
      <w:r w:rsidRPr="006532BE">
        <w:rPr>
          <w:rFonts w:ascii="Arial" w:hAnsi="Arial" w:cs="Arial"/>
          <w:color w:val="000000"/>
          <w:sz w:val="22"/>
          <w:szCs w:val="22"/>
        </w:rPr>
        <w:t>Subscriber</w:t>
      </w:r>
      <w:proofErr w:type="spellEnd"/>
      <w:r w:rsidRPr="006532BE">
        <w:rPr>
          <w:rFonts w:ascii="Arial" w:hAnsi="Arial" w:cs="Arial"/>
          <w:color w:val="000000"/>
          <w:sz w:val="22"/>
          <w:szCs w:val="22"/>
        </w:rPr>
        <w:t xml:space="preserve"> Line Access </w:t>
      </w:r>
      <w:proofErr w:type="spellStart"/>
      <w:r w:rsidRPr="006532BE">
        <w:rPr>
          <w:rFonts w:ascii="Arial" w:hAnsi="Arial" w:cs="Arial"/>
          <w:color w:val="000000"/>
          <w:sz w:val="22"/>
          <w:szCs w:val="22"/>
        </w:rPr>
        <w:t>Multiplexer</w:t>
      </w:r>
      <w:proofErr w:type="spellEnd"/>
    </w:p>
    <w:p w:rsidR="00242A0C" w:rsidRPr="006532BE" w:rsidRDefault="00242A0C" w:rsidP="00E93680">
      <w:pPr>
        <w:numPr>
          <w:ilvl w:val="0"/>
          <w:numId w:val="32"/>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Místní ústředna, která obsahuje účastnické karty</w:t>
      </w:r>
    </w:p>
    <w:p w:rsidR="00242A0C" w:rsidRPr="006532BE" w:rsidRDefault="00242A0C" w:rsidP="00C654C9">
      <w:p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Pro každý uzel uvede stanovený podnik následující specifikaci (sloupce):</w:t>
      </w:r>
    </w:p>
    <w:p w:rsidR="00242A0C" w:rsidRPr="006532BE" w:rsidRDefault="00242A0C" w:rsidP="00510F4D">
      <w:pPr>
        <w:numPr>
          <w:ilvl w:val="0"/>
          <w:numId w:val="33"/>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 xml:space="preserve">Název přístupového uzlu </w:t>
      </w:r>
    </w:p>
    <w:p w:rsidR="00242A0C" w:rsidRPr="006532BE" w:rsidRDefault="00242A0C" w:rsidP="00510F4D">
      <w:pPr>
        <w:numPr>
          <w:ilvl w:val="0"/>
          <w:numId w:val="33"/>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 xml:space="preserve">Identifikační číslo přístupového uzlu </w:t>
      </w:r>
    </w:p>
    <w:p w:rsidR="00242A0C" w:rsidRPr="006532BE" w:rsidRDefault="00242A0C" w:rsidP="00510F4D">
      <w:pPr>
        <w:numPr>
          <w:ilvl w:val="0"/>
          <w:numId w:val="33"/>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 xml:space="preserve">Adresa přístupového uzlu </w:t>
      </w:r>
    </w:p>
    <w:p w:rsidR="00242A0C" w:rsidRPr="006532BE" w:rsidRDefault="00242A0C" w:rsidP="00510F4D">
      <w:pPr>
        <w:numPr>
          <w:ilvl w:val="0"/>
          <w:numId w:val="33"/>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Geografické souřadnice GPS přístupového uzlu</w:t>
      </w:r>
    </w:p>
    <w:p w:rsidR="00242A0C" w:rsidRPr="006532BE" w:rsidRDefault="00242A0C" w:rsidP="00510F4D">
      <w:pPr>
        <w:numPr>
          <w:ilvl w:val="0"/>
          <w:numId w:val="33"/>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 xml:space="preserve">Zdrojový místní uzel </w:t>
      </w:r>
    </w:p>
    <w:p w:rsidR="00242A0C" w:rsidRPr="006532BE" w:rsidRDefault="00242A0C" w:rsidP="00510F4D">
      <w:pPr>
        <w:numPr>
          <w:ilvl w:val="0"/>
          <w:numId w:val="33"/>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Identifikační číslo zdrojového místního uzlu</w:t>
      </w:r>
    </w:p>
    <w:p w:rsidR="00242A0C" w:rsidRPr="006532BE" w:rsidRDefault="00242A0C" w:rsidP="00510F4D">
      <w:pPr>
        <w:numPr>
          <w:ilvl w:val="0"/>
          <w:numId w:val="33"/>
        </w:numPr>
        <w:autoSpaceDE w:val="0"/>
        <w:autoSpaceDN w:val="0"/>
        <w:adjustRightInd w:val="0"/>
        <w:spacing w:before="60" w:after="60"/>
        <w:ind w:left="357" w:hanging="357"/>
        <w:jc w:val="both"/>
        <w:rPr>
          <w:rFonts w:ascii="Arial" w:hAnsi="Arial" w:cs="Arial"/>
          <w:color w:val="000000"/>
          <w:sz w:val="22"/>
          <w:szCs w:val="22"/>
        </w:rPr>
      </w:pPr>
      <w:r w:rsidRPr="006532BE">
        <w:rPr>
          <w:rFonts w:ascii="Arial" w:hAnsi="Arial" w:cs="Arial"/>
          <w:color w:val="000000"/>
          <w:sz w:val="22"/>
          <w:szCs w:val="22"/>
        </w:rPr>
        <w:t>Zdrojový tranzitní uzel</w:t>
      </w:r>
    </w:p>
    <w:p w:rsidR="00242A0C" w:rsidRPr="006532BE" w:rsidRDefault="00242A0C" w:rsidP="00510F4D">
      <w:pPr>
        <w:numPr>
          <w:ilvl w:val="0"/>
          <w:numId w:val="33"/>
        </w:numPr>
        <w:autoSpaceDE w:val="0"/>
        <w:autoSpaceDN w:val="0"/>
        <w:adjustRightInd w:val="0"/>
        <w:spacing w:before="60" w:after="60"/>
        <w:ind w:left="357" w:hanging="357"/>
        <w:jc w:val="both"/>
        <w:rPr>
          <w:rFonts w:ascii="Arial" w:hAnsi="Arial" w:cs="Arial"/>
          <w:color w:val="000000"/>
          <w:sz w:val="22"/>
          <w:szCs w:val="22"/>
        </w:rPr>
      </w:pPr>
      <w:r w:rsidRPr="006532BE">
        <w:rPr>
          <w:rFonts w:ascii="Arial" w:hAnsi="Arial" w:cs="Arial"/>
          <w:color w:val="000000"/>
          <w:sz w:val="22"/>
          <w:szCs w:val="22"/>
        </w:rPr>
        <w:t xml:space="preserve">Identifikační číslo zdrojového tranzitního uzlu </w:t>
      </w:r>
    </w:p>
    <w:p w:rsidR="00242A0C" w:rsidRPr="006532BE" w:rsidRDefault="00242A0C" w:rsidP="00510F4D">
      <w:pPr>
        <w:numPr>
          <w:ilvl w:val="0"/>
          <w:numId w:val="33"/>
        </w:numPr>
        <w:autoSpaceDE w:val="0"/>
        <w:autoSpaceDN w:val="0"/>
        <w:adjustRightInd w:val="0"/>
        <w:spacing w:before="60" w:after="60"/>
        <w:ind w:left="357" w:hanging="357"/>
        <w:jc w:val="both"/>
        <w:rPr>
          <w:rFonts w:ascii="Arial" w:hAnsi="Arial" w:cs="Arial"/>
          <w:color w:val="000000"/>
          <w:sz w:val="22"/>
          <w:szCs w:val="22"/>
        </w:rPr>
      </w:pPr>
      <w:r w:rsidRPr="006532BE">
        <w:rPr>
          <w:rFonts w:ascii="Arial" w:hAnsi="Arial" w:cs="Arial"/>
          <w:color w:val="000000"/>
          <w:sz w:val="22"/>
          <w:szCs w:val="22"/>
        </w:rPr>
        <w:t xml:space="preserve">Objem služeb uvedený pro každý přístupový uzel: POTS, ISDN-BRA, ISDN-PRA, ADSL, VDSL </w:t>
      </w:r>
    </w:p>
    <w:p w:rsidR="00242A0C" w:rsidRPr="006532BE" w:rsidRDefault="00242A0C" w:rsidP="00510F4D">
      <w:pPr>
        <w:numPr>
          <w:ilvl w:val="0"/>
          <w:numId w:val="33"/>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Přítomnost služeb uvedená pro každý přístupový uzel</w:t>
      </w:r>
      <w:r w:rsidR="0047095F" w:rsidRPr="006532BE">
        <w:rPr>
          <w:rFonts w:ascii="Arial" w:hAnsi="Arial" w:cs="Arial"/>
          <w:color w:val="000000"/>
          <w:sz w:val="22"/>
          <w:szCs w:val="22"/>
        </w:rPr>
        <w:t xml:space="preserve"> v </w:t>
      </w:r>
      <w:r w:rsidRPr="006532BE">
        <w:rPr>
          <w:rFonts w:ascii="Arial" w:hAnsi="Arial" w:cs="Arial"/>
          <w:color w:val="000000"/>
          <w:sz w:val="22"/>
          <w:szCs w:val="22"/>
        </w:rPr>
        <w:t xml:space="preserve">členění: TDM pronajaté okruhy – do 2Mbit/s, TDM pronajaté okruhy, ATM/Ethernet přenos dat </w:t>
      </w:r>
    </w:p>
    <w:p w:rsidR="00242A0C" w:rsidRPr="006532BE" w:rsidRDefault="00242A0C" w:rsidP="00BB319F">
      <w:pPr>
        <w:pStyle w:val="Nadpis2"/>
        <w:spacing w:before="240"/>
        <w:jc w:val="both"/>
        <w:rPr>
          <w:rFonts w:ascii="Arial" w:hAnsi="Arial" w:cs="Arial"/>
          <w:i w:val="0"/>
          <w:sz w:val="22"/>
          <w:szCs w:val="22"/>
        </w:rPr>
      </w:pPr>
      <w:r w:rsidRPr="006532BE">
        <w:rPr>
          <w:rFonts w:ascii="Arial" w:hAnsi="Arial" w:cs="Arial"/>
          <w:i w:val="0"/>
          <w:sz w:val="22"/>
          <w:szCs w:val="22"/>
        </w:rPr>
        <w:t>List A2 – Objem služeb</w:t>
      </w:r>
    </w:p>
    <w:p w:rsidR="00242A0C" w:rsidRPr="006532BE" w:rsidRDefault="00242A0C" w:rsidP="00F62C63">
      <w:pPr>
        <w:autoSpaceDE w:val="0"/>
        <w:autoSpaceDN w:val="0"/>
        <w:adjustRightInd w:val="0"/>
        <w:spacing w:before="60"/>
        <w:rPr>
          <w:rFonts w:ascii="Arial" w:hAnsi="Arial" w:cs="Arial"/>
          <w:color w:val="000000"/>
          <w:sz w:val="22"/>
          <w:szCs w:val="22"/>
        </w:rPr>
      </w:pPr>
      <w:r w:rsidRPr="006532BE">
        <w:rPr>
          <w:rFonts w:ascii="Arial" w:hAnsi="Arial" w:cs="Arial"/>
          <w:color w:val="000000"/>
          <w:sz w:val="22"/>
          <w:szCs w:val="22"/>
        </w:rPr>
        <w:t xml:space="preserve">Počet účastníků nebo poskytnutých služeb: </w:t>
      </w:r>
    </w:p>
    <w:p w:rsidR="00242A0C" w:rsidRPr="006532BE" w:rsidRDefault="00242A0C" w:rsidP="00D8342D">
      <w:pPr>
        <w:numPr>
          <w:ilvl w:val="0"/>
          <w:numId w:val="34"/>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 xml:space="preserve">Hlasové služby </w:t>
      </w:r>
    </w:p>
    <w:p w:rsidR="00242A0C" w:rsidRPr="006532BE" w:rsidRDefault="00242A0C" w:rsidP="0067727F">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Počet okruhů POTS</w:t>
      </w:r>
    </w:p>
    <w:p w:rsidR="00242A0C" w:rsidRPr="006532BE" w:rsidRDefault="00242A0C" w:rsidP="0067727F">
      <w:pPr>
        <w:numPr>
          <w:ilvl w:val="1"/>
          <w:numId w:val="34"/>
        </w:numPr>
        <w:autoSpaceDE w:val="0"/>
        <w:autoSpaceDN w:val="0"/>
        <w:adjustRightInd w:val="0"/>
        <w:spacing w:after="60"/>
        <w:ind w:left="992" w:hanging="635"/>
        <w:rPr>
          <w:rFonts w:ascii="Arial" w:hAnsi="Arial" w:cs="Arial"/>
          <w:color w:val="000000"/>
          <w:sz w:val="22"/>
          <w:szCs w:val="22"/>
        </w:rPr>
      </w:pPr>
      <w:r w:rsidRPr="006532BE">
        <w:rPr>
          <w:rFonts w:ascii="Arial" w:hAnsi="Arial" w:cs="Arial"/>
          <w:color w:val="000000"/>
          <w:sz w:val="22"/>
          <w:szCs w:val="22"/>
        </w:rPr>
        <w:t>Okruhy ISDN-BRA</w:t>
      </w:r>
    </w:p>
    <w:p w:rsidR="00242A0C" w:rsidRPr="006532BE" w:rsidRDefault="00242A0C" w:rsidP="0067727F">
      <w:pPr>
        <w:numPr>
          <w:ilvl w:val="1"/>
          <w:numId w:val="34"/>
        </w:numPr>
        <w:autoSpaceDE w:val="0"/>
        <w:autoSpaceDN w:val="0"/>
        <w:adjustRightInd w:val="0"/>
        <w:spacing w:before="60" w:after="120"/>
        <w:ind w:left="992" w:hanging="635"/>
        <w:rPr>
          <w:rFonts w:ascii="Arial" w:hAnsi="Arial" w:cs="Arial"/>
          <w:color w:val="000000"/>
          <w:sz w:val="22"/>
          <w:szCs w:val="22"/>
        </w:rPr>
      </w:pPr>
      <w:r w:rsidRPr="006532BE">
        <w:rPr>
          <w:rFonts w:ascii="Arial" w:hAnsi="Arial" w:cs="Arial"/>
          <w:color w:val="000000"/>
          <w:sz w:val="22"/>
          <w:szCs w:val="22"/>
        </w:rPr>
        <w:t>Okruhy ISDN-PRA</w:t>
      </w:r>
    </w:p>
    <w:p w:rsidR="00242A0C" w:rsidRPr="006532BE" w:rsidRDefault="00242A0C" w:rsidP="003F4B7A">
      <w:pPr>
        <w:numPr>
          <w:ilvl w:val="0"/>
          <w:numId w:val="34"/>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 xml:space="preserve">Služby </w:t>
      </w: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w:t>
      </w:r>
    </w:p>
    <w:p w:rsidR="00242A0C" w:rsidRPr="006532BE" w:rsidRDefault="00242A0C" w:rsidP="0067727F">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 xml:space="preserve">Počet účastníků </w:t>
      </w: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 maloobchod</w:t>
      </w:r>
    </w:p>
    <w:p w:rsidR="00242A0C" w:rsidRPr="006532BE" w:rsidRDefault="00242A0C" w:rsidP="0067727F">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 xml:space="preserve">Počet účastníků </w:t>
      </w: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 podnikatelské subjekty </w:t>
      </w:r>
    </w:p>
    <w:p w:rsidR="00242A0C" w:rsidRPr="006532BE" w:rsidRDefault="00242A0C" w:rsidP="0067727F">
      <w:pPr>
        <w:numPr>
          <w:ilvl w:val="1"/>
          <w:numId w:val="34"/>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Počet účastníků </w:t>
      </w: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 velkoobchod</w:t>
      </w:r>
    </w:p>
    <w:p w:rsidR="00242A0C" w:rsidRPr="006532BE" w:rsidRDefault="00242A0C" w:rsidP="003F4B7A">
      <w:pPr>
        <w:numPr>
          <w:ilvl w:val="0"/>
          <w:numId w:val="34"/>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 xml:space="preserve">Pronajaté okruhy </w:t>
      </w:r>
    </w:p>
    <w:p w:rsidR="00242A0C" w:rsidRPr="006532BE" w:rsidRDefault="00242A0C" w:rsidP="0067727F">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 xml:space="preserve">Pronajaté okruhy analogové – 64 </w:t>
      </w:r>
      <w:proofErr w:type="spellStart"/>
      <w:r w:rsidRPr="006532BE">
        <w:rPr>
          <w:rFonts w:ascii="Arial" w:hAnsi="Arial" w:cs="Arial"/>
          <w:color w:val="000000"/>
          <w:sz w:val="22"/>
          <w:szCs w:val="22"/>
        </w:rPr>
        <w:t>Kbit</w:t>
      </w:r>
      <w:proofErr w:type="spellEnd"/>
      <w:r w:rsidRPr="006532BE">
        <w:rPr>
          <w:rFonts w:ascii="Arial" w:hAnsi="Arial" w:cs="Arial"/>
          <w:color w:val="000000"/>
          <w:sz w:val="22"/>
          <w:szCs w:val="22"/>
        </w:rPr>
        <w:t>/s</w:t>
      </w:r>
    </w:p>
    <w:p w:rsidR="00242A0C" w:rsidRPr="006532BE" w:rsidRDefault="00242A0C" w:rsidP="005B4C67">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 xml:space="preserve">Pronajaté okruhy digitální – nx64 </w:t>
      </w:r>
      <w:proofErr w:type="spellStart"/>
      <w:r w:rsidRPr="006532BE">
        <w:rPr>
          <w:rFonts w:ascii="Arial" w:hAnsi="Arial" w:cs="Arial"/>
          <w:color w:val="000000"/>
          <w:sz w:val="22"/>
          <w:szCs w:val="22"/>
        </w:rPr>
        <w:t>Kbit</w:t>
      </w:r>
      <w:proofErr w:type="spellEnd"/>
      <w:r w:rsidRPr="006532BE">
        <w:rPr>
          <w:rFonts w:ascii="Arial" w:hAnsi="Arial" w:cs="Arial"/>
          <w:color w:val="000000"/>
          <w:sz w:val="22"/>
          <w:szCs w:val="22"/>
        </w:rPr>
        <w:t>/s</w:t>
      </w:r>
    </w:p>
    <w:p w:rsidR="00242A0C" w:rsidRPr="006532BE" w:rsidRDefault="00242A0C" w:rsidP="005B4C67">
      <w:pPr>
        <w:numPr>
          <w:ilvl w:val="1"/>
          <w:numId w:val="34"/>
        </w:numPr>
        <w:autoSpaceDE w:val="0"/>
        <w:autoSpaceDN w:val="0"/>
        <w:adjustRightInd w:val="0"/>
        <w:spacing w:before="60" w:after="120"/>
        <w:ind w:left="992" w:hanging="635"/>
        <w:rPr>
          <w:rFonts w:ascii="Arial" w:hAnsi="Arial" w:cs="Arial"/>
          <w:color w:val="000000"/>
          <w:sz w:val="22"/>
          <w:szCs w:val="22"/>
        </w:rPr>
      </w:pPr>
      <w:r w:rsidRPr="006532BE">
        <w:rPr>
          <w:rFonts w:ascii="Arial" w:hAnsi="Arial" w:cs="Arial"/>
          <w:color w:val="000000"/>
          <w:sz w:val="22"/>
          <w:szCs w:val="22"/>
        </w:rPr>
        <w:t>Pronajaté okruhy digitální – 2 Mbit/s</w:t>
      </w:r>
    </w:p>
    <w:p w:rsidR="00242A0C" w:rsidRPr="006532BE" w:rsidRDefault="00242A0C" w:rsidP="005B4C67">
      <w:pPr>
        <w:numPr>
          <w:ilvl w:val="0"/>
          <w:numId w:val="34"/>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 xml:space="preserve">Pronajaté okruhy – vysokorychlostní </w:t>
      </w:r>
    </w:p>
    <w:p w:rsidR="00242A0C" w:rsidRPr="006532BE" w:rsidRDefault="00242A0C" w:rsidP="005B4C67">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 xml:space="preserve">Pronajaté okruhy STM-0 </w:t>
      </w:r>
    </w:p>
    <w:p w:rsidR="00242A0C" w:rsidRPr="006532BE" w:rsidRDefault="00242A0C" w:rsidP="005B4C67">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 xml:space="preserve">Pronajaté okruhy STM-1 </w:t>
      </w:r>
    </w:p>
    <w:p w:rsidR="005B4C67" w:rsidRPr="006532BE" w:rsidRDefault="00242A0C" w:rsidP="005B4C67">
      <w:pPr>
        <w:numPr>
          <w:ilvl w:val="1"/>
          <w:numId w:val="34"/>
        </w:numPr>
        <w:autoSpaceDE w:val="0"/>
        <w:autoSpaceDN w:val="0"/>
        <w:adjustRightInd w:val="0"/>
        <w:spacing w:before="60" w:after="120"/>
        <w:ind w:left="992" w:hanging="635"/>
        <w:rPr>
          <w:rFonts w:ascii="Arial" w:hAnsi="Arial" w:cs="Arial"/>
          <w:color w:val="000000"/>
          <w:sz w:val="22"/>
          <w:szCs w:val="22"/>
        </w:rPr>
      </w:pPr>
      <w:r w:rsidRPr="006532BE">
        <w:rPr>
          <w:rFonts w:ascii="Arial" w:hAnsi="Arial" w:cs="Arial"/>
          <w:color w:val="000000"/>
          <w:sz w:val="22"/>
          <w:szCs w:val="22"/>
        </w:rPr>
        <w:t>P</w:t>
      </w:r>
      <w:r w:rsidR="005B4C67" w:rsidRPr="006532BE">
        <w:rPr>
          <w:rFonts w:ascii="Arial" w:hAnsi="Arial" w:cs="Arial"/>
          <w:color w:val="000000"/>
          <w:sz w:val="22"/>
          <w:szCs w:val="22"/>
        </w:rPr>
        <w:t>ronajaté okruhy STM-4</w:t>
      </w:r>
    </w:p>
    <w:p w:rsidR="00242A0C" w:rsidRPr="006532BE" w:rsidRDefault="00242A0C" w:rsidP="00242A0C">
      <w:pPr>
        <w:numPr>
          <w:ilvl w:val="0"/>
          <w:numId w:val="34"/>
        </w:numPr>
        <w:autoSpaceDE w:val="0"/>
        <w:autoSpaceDN w:val="0"/>
        <w:adjustRightInd w:val="0"/>
        <w:spacing w:before="120"/>
        <w:rPr>
          <w:rFonts w:ascii="Arial" w:hAnsi="Arial" w:cs="Arial"/>
          <w:color w:val="000000"/>
          <w:sz w:val="22"/>
          <w:szCs w:val="22"/>
        </w:rPr>
      </w:pPr>
      <w:r w:rsidRPr="006532BE">
        <w:rPr>
          <w:rFonts w:ascii="Arial" w:hAnsi="Arial" w:cs="Arial"/>
          <w:color w:val="000000"/>
          <w:sz w:val="22"/>
          <w:szCs w:val="22"/>
        </w:rPr>
        <w:t>Přenos dat IP podnikatelské subjekty (firemní klientela)</w:t>
      </w:r>
    </w:p>
    <w:p w:rsidR="00242A0C" w:rsidRPr="006532BE" w:rsidRDefault="00242A0C" w:rsidP="00242A0C">
      <w:pPr>
        <w:numPr>
          <w:ilvl w:val="1"/>
          <w:numId w:val="34"/>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lastRenderedPageBreak/>
        <w:t>Přenos dat rychlostí do 2 Mbit/s</w:t>
      </w:r>
    </w:p>
    <w:p w:rsidR="00242A0C" w:rsidRPr="006532BE" w:rsidRDefault="00242A0C" w:rsidP="005B4C67">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Přenos dat rychlostí do 10 Mbit/s</w:t>
      </w:r>
    </w:p>
    <w:p w:rsidR="00242A0C" w:rsidRPr="006532BE" w:rsidRDefault="00242A0C" w:rsidP="005B4C67">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Přenos dat rychlostí do 100 Mbit/s</w:t>
      </w:r>
    </w:p>
    <w:p w:rsidR="00242A0C" w:rsidRPr="006532BE" w:rsidRDefault="00242A0C" w:rsidP="005B4C67">
      <w:pPr>
        <w:numPr>
          <w:ilvl w:val="1"/>
          <w:numId w:val="34"/>
        </w:numPr>
        <w:autoSpaceDE w:val="0"/>
        <w:autoSpaceDN w:val="0"/>
        <w:adjustRightInd w:val="0"/>
        <w:spacing w:before="60" w:after="120"/>
        <w:ind w:left="992" w:hanging="635"/>
        <w:rPr>
          <w:rFonts w:ascii="Arial" w:hAnsi="Arial" w:cs="Arial"/>
          <w:color w:val="000000"/>
          <w:sz w:val="22"/>
          <w:szCs w:val="22"/>
        </w:rPr>
      </w:pPr>
      <w:r w:rsidRPr="006532BE">
        <w:rPr>
          <w:rFonts w:ascii="Arial" w:hAnsi="Arial" w:cs="Arial"/>
          <w:color w:val="000000"/>
          <w:sz w:val="22"/>
          <w:szCs w:val="22"/>
        </w:rPr>
        <w:t xml:space="preserve">Přenos dat rychlostí do 1 </w:t>
      </w:r>
      <w:proofErr w:type="spellStart"/>
      <w:r w:rsidRPr="006532BE">
        <w:rPr>
          <w:rFonts w:ascii="Arial" w:hAnsi="Arial" w:cs="Arial"/>
          <w:color w:val="000000"/>
          <w:sz w:val="22"/>
          <w:szCs w:val="22"/>
        </w:rPr>
        <w:t>Gbit</w:t>
      </w:r>
      <w:proofErr w:type="spellEnd"/>
      <w:r w:rsidRPr="006532BE">
        <w:rPr>
          <w:rFonts w:ascii="Arial" w:hAnsi="Arial" w:cs="Arial"/>
          <w:color w:val="000000"/>
          <w:sz w:val="22"/>
          <w:szCs w:val="22"/>
        </w:rPr>
        <w:t>/s</w:t>
      </w:r>
    </w:p>
    <w:p w:rsidR="00242A0C" w:rsidRPr="006532BE" w:rsidRDefault="00242A0C" w:rsidP="005B4C67">
      <w:pPr>
        <w:numPr>
          <w:ilvl w:val="0"/>
          <w:numId w:val="34"/>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Přenos dat – IP přístup</w:t>
      </w:r>
    </w:p>
    <w:p w:rsidR="00242A0C" w:rsidRPr="006532BE" w:rsidRDefault="00242A0C" w:rsidP="005B4C67">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Přenos dat rychlostí do 2 Mbit/s</w:t>
      </w:r>
    </w:p>
    <w:p w:rsidR="00242A0C" w:rsidRPr="006532BE" w:rsidRDefault="00242A0C" w:rsidP="005B4C67">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Přenos dat rychlostí do 10 Mbit/s</w:t>
      </w:r>
    </w:p>
    <w:p w:rsidR="00242A0C" w:rsidRPr="006532BE" w:rsidRDefault="00242A0C" w:rsidP="005B4C67">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Přenos dat rychlostí do 100 Mbit/s</w:t>
      </w:r>
    </w:p>
    <w:p w:rsidR="00242A0C" w:rsidRPr="006532BE" w:rsidRDefault="00242A0C" w:rsidP="005B4C67">
      <w:pPr>
        <w:numPr>
          <w:ilvl w:val="1"/>
          <w:numId w:val="34"/>
        </w:numPr>
        <w:autoSpaceDE w:val="0"/>
        <w:autoSpaceDN w:val="0"/>
        <w:adjustRightInd w:val="0"/>
        <w:spacing w:before="60" w:after="120"/>
        <w:ind w:left="992" w:hanging="635"/>
        <w:rPr>
          <w:rFonts w:ascii="Arial" w:hAnsi="Arial" w:cs="Arial"/>
          <w:color w:val="000000"/>
          <w:sz w:val="22"/>
          <w:szCs w:val="22"/>
        </w:rPr>
      </w:pPr>
      <w:r w:rsidRPr="006532BE">
        <w:rPr>
          <w:rFonts w:ascii="Arial" w:hAnsi="Arial" w:cs="Arial"/>
          <w:color w:val="000000"/>
          <w:sz w:val="22"/>
          <w:szCs w:val="22"/>
        </w:rPr>
        <w:t xml:space="preserve">Přenos dat rychlostí do 1 </w:t>
      </w:r>
      <w:proofErr w:type="spellStart"/>
      <w:r w:rsidRPr="006532BE">
        <w:rPr>
          <w:rFonts w:ascii="Arial" w:hAnsi="Arial" w:cs="Arial"/>
          <w:color w:val="000000"/>
          <w:sz w:val="22"/>
          <w:szCs w:val="22"/>
        </w:rPr>
        <w:t>Gbit</w:t>
      </w:r>
      <w:proofErr w:type="spellEnd"/>
      <w:r w:rsidRPr="006532BE">
        <w:rPr>
          <w:rFonts w:ascii="Arial" w:hAnsi="Arial" w:cs="Arial"/>
          <w:color w:val="000000"/>
          <w:sz w:val="22"/>
          <w:szCs w:val="22"/>
        </w:rPr>
        <w:t>/s</w:t>
      </w:r>
    </w:p>
    <w:p w:rsidR="00242A0C" w:rsidRPr="006532BE" w:rsidRDefault="00242A0C" w:rsidP="00524C63">
      <w:pPr>
        <w:numPr>
          <w:ilvl w:val="0"/>
          <w:numId w:val="34"/>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Ostatní – data paketů</w:t>
      </w:r>
    </w:p>
    <w:p w:rsidR="00242A0C" w:rsidRPr="006532BE" w:rsidRDefault="00242A0C" w:rsidP="00250B32">
      <w:pPr>
        <w:autoSpaceDE w:val="0"/>
        <w:autoSpaceDN w:val="0"/>
        <w:adjustRightInd w:val="0"/>
        <w:spacing w:before="120"/>
        <w:rPr>
          <w:rFonts w:ascii="Arial" w:hAnsi="Arial" w:cs="Arial"/>
          <w:color w:val="000000"/>
          <w:sz w:val="22"/>
          <w:szCs w:val="22"/>
        </w:rPr>
      </w:pPr>
      <w:r w:rsidRPr="006532BE">
        <w:rPr>
          <w:rFonts w:ascii="Arial" w:hAnsi="Arial" w:cs="Arial"/>
          <w:color w:val="000000"/>
          <w:sz w:val="22"/>
          <w:szCs w:val="22"/>
        </w:rPr>
        <w:t>Objem služeb:</w:t>
      </w:r>
    </w:p>
    <w:p w:rsidR="00242A0C" w:rsidRPr="006532BE" w:rsidRDefault="00242A0C" w:rsidP="00D8342D">
      <w:pPr>
        <w:numPr>
          <w:ilvl w:val="0"/>
          <w:numId w:val="34"/>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 xml:space="preserve">Provoz z hlasových služeb </w:t>
      </w:r>
    </w:p>
    <w:p w:rsidR="00242A0C" w:rsidRPr="006532BE" w:rsidRDefault="00242A0C" w:rsidP="009205C9">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Místní hovory</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Dálkové hovory</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Internetová volání</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Propojování hovorů – odchozí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místní úrovni</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Propojování hovorů – odchozí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úrovni tranzit 1</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Propojování hovorů – odchozí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úrovni tranzit 2</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Propojování hovorů – příchozí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místní úrovni</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Propojování hovorů – příchozí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úrovni tranzit 1</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Propojování hovorů – příchozí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úrovni tranzit 2</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Propojování hovorů – tranzit</w:t>
      </w:r>
      <w:r w:rsidR="0047095F" w:rsidRPr="006532BE">
        <w:rPr>
          <w:rFonts w:ascii="Arial" w:hAnsi="Arial" w:cs="Arial"/>
          <w:color w:val="000000"/>
          <w:sz w:val="22"/>
          <w:szCs w:val="22"/>
        </w:rPr>
        <w:t xml:space="preserve"> na </w:t>
      </w:r>
      <w:r w:rsidRPr="006532BE">
        <w:rPr>
          <w:rFonts w:ascii="Arial" w:hAnsi="Arial" w:cs="Arial"/>
          <w:color w:val="000000"/>
          <w:sz w:val="22"/>
          <w:szCs w:val="22"/>
        </w:rPr>
        <w:t>místní úrovni</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Propojování hovorů – tranzit</w:t>
      </w:r>
      <w:r w:rsidR="0047095F" w:rsidRPr="006532BE">
        <w:rPr>
          <w:rFonts w:ascii="Arial" w:hAnsi="Arial" w:cs="Arial"/>
          <w:color w:val="000000"/>
          <w:sz w:val="22"/>
          <w:szCs w:val="22"/>
        </w:rPr>
        <w:t xml:space="preserve"> na </w:t>
      </w:r>
      <w:r w:rsidRPr="006532BE">
        <w:rPr>
          <w:rFonts w:ascii="Arial" w:hAnsi="Arial" w:cs="Arial"/>
          <w:color w:val="000000"/>
          <w:sz w:val="22"/>
          <w:szCs w:val="22"/>
        </w:rPr>
        <w:t>úrovni tranzit 1</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Propojování hovorů – tranzit</w:t>
      </w:r>
      <w:r w:rsidR="0047095F" w:rsidRPr="006532BE">
        <w:rPr>
          <w:rFonts w:ascii="Arial" w:hAnsi="Arial" w:cs="Arial"/>
          <w:color w:val="000000"/>
          <w:sz w:val="22"/>
          <w:szCs w:val="22"/>
        </w:rPr>
        <w:t xml:space="preserve"> na </w:t>
      </w:r>
      <w:r w:rsidRPr="006532BE">
        <w:rPr>
          <w:rFonts w:ascii="Arial" w:hAnsi="Arial" w:cs="Arial"/>
          <w:color w:val="000000"/>
          <w:sz w:val="22"/>
          <w:szCs w:val="22"/>
        </w:rPr>
        <w:t>úrovni tranzit 2</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Propojování hovorů – mezinárodní odchozí hovory.</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Propojování hovorů – mezinárodní příchozí hovory</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proofErr w:type="spellStart"/>
      <w:r w:rsidRPr="006532BE">
        <w:rPr>
          <w:rFonts w:ascii="Arial" w:hAnsi="Arial" w:cs="Arial"/>
          <w:color w:val="000000"/>
          <w:sz w:val="22"/>
          <w:szCs w:val="22"/>
        </w:rPr>
        <w:t>VoIP</w:t>
      </w:r>
      <w:proofErr w:type="spellEnd"/>
      <w:r w:rsidRPr="006532BE">
        <w:rPr>
          <w:rFonts w:ascii="Arial" w:hAnsi="Arial" w:cs="Arial"/>
          <w:color w:val="000000"/>
          <w:sz w:val="22"/>
          <w:szCs w:val="22"/>
        </w:rPr>
        <w:t xml:space="preserve"> – maloobchod</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proofErr w:type="spellStart"/>
      <w:r w:rsidRPr="006532BE">
        <w:rPr>
          <w:rFonts w:ascii="Arial" w:hAnsi="Arial" w:cs="Arial"/>
          <w:color w:val="000000"/>
          <w:sz w:val="22"/>
          <w:szCs w:val="22"/>
        </w:rPr>
        <w:t>VoIP</w:t>
      </w:r>
      <w:proofErr w:type="spellEnd"/>
      <w:r w:rsidRPr="006532BE">
        <w:rPr>
          <w:rFonts w:ascii="Arial" w:hAnsi="Arial" w:cs="Arial"/>
          <w:color w:val="000000"/>
          <w:sz w:val="22"/>
          <w:szCs w:val="22"/>
        </w:rPr>
        <w:t xml:space="preserve"> – velkoobchod</w:t>
      </w:r>
    </w:p>
    <w:p w:rsidR="00242A0C" w:rsidRPr="006532BE" w:rsidRDefault="00242A0C" w:rsidP="00E93680">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Ostatní spojení</w:t>
      </w:r>
    </w:p>
    <w:p w:rsidR="00242A0C" w:rsidRPr="006532BE" w:rsidRDefault="00242A0C" w:rsidP="00524C63">
      <w:pPr>
        <w:numPr>
          <w:ilvl w:val="0"/>
          <w:numId w:val="34"/>
        </w:numPr>
        <w:autoSpaceDE w:val="0"/>
        <w:autoSpaceDN w:val="0"/>
        <w:adjustRightInd w:val="0"/>
        <w:spacing w:before="120" w:after="60"/>
        <w:ind w:left="357" w:hanging="357"/>
        <w:rPr>
          <w:rFonts w:ascii="Arial" w:hAnsi="Arial" w:cs="Arial"/>
          <w:color w:val="000000"/>
          <w:sz w:val="22"/>
          <w:szCs w:val="22"/>
        </w:rPr>
      </w:pPr>
      <w:r w:rsidRPr="006532BE">
        <w:rPr>
          <w:rFonts w:ascii="Arial" w:hAnsi="Arial" w:cs="Arial"/>
          <w:color w:val="000000"/>
          <w:sz w:val="22"/>
          <w:szCs w:val="22"/>
        </w:rPr>
        <w:t>Roční datový provoz – Přepojování paketů</w:t>
      </w:r>
    </w:p>
    <w:p w:rsidR="00242A0C" w:rsidRPr="006532BE" w:rsidRDefault="00242A0C" w:rsidP="00524C63">
      <w:pPr>
        <w:numPr>
          <w:ilvl w:val="1"/>
          <w:numId w:val="34"/>
        </w:numPr>
        <w:autoSpaceDE w:val="0"/>
        <w:autoSpaceDN w:val="0"/>
        <w:adjustRightInd w:val="0"/>
        <w:spacing w:before="60" w:after="60"/>
        <w:ind w:left="992" w:hanging="635"/>
        <w:rPr>
          <w:rFonts w:ascii="Arial" w:hAnsi="Arial" w:cs="Arial"/>
          <w:color w:val="000000"/>
          <w:sz w:val="22"/>
          <w:szCs w:val="22"/>
        </w:rPr>
      </w:pP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 účastníci maloobchod</w:t>
      </w:r>
    </w:p>
    <w:p w:rsidR="00242A0C" w:rsidRPr="006532BE" w:rsidRDefault="00242A0C" w:rsidP="00524C63">
      <w:pPr>
        <w:numPr>
          <w:ilvl w:val="1"/>
          <w:numId w:val="34"/>
        </w:numPr>
        <w:autoSpaceDE w:val="0"/>
        <w:autoSpaceDN w:val="0"/>
        <w:adjustRightInd w:val="0"/>
        <w:spacing w:before="60" w:after="60"/>
        <w:ind w:left="992" w:hanging="635"/>
        <w:rPr>
          <w:rFonts w:ascii="Arial" w:hAnsi="Arial" w:cs="Arial"/>
          <w:color w:val="000000"/>
          <w:sz w:val="22"/>
          <w:szCs w:val="22"/>
        </w:rPr>
      </w:pP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 podnikatelské subjekty (firemní klientela)</w:t>
      </w:r>
    </w:p>
    <w:p w:rsidR="00242A0C" w:rsidRPr="006532BE" w:rsidRDefault="00242A0C" w:rsidP="00524C63">
      <w:pPr>
        <w:numPr>
          <w:ilvl w:val="1"/>
          <w:numId w:val="34"/>
        </w:numPr>
        <w:autoSpaceDE w:val="0"/>
        <w:autoSpaceDN w:val="0"/>
        <w:adjustRightInd w:val="0"/>
        <w:spacing w:before="60" w:after="60"/>
        <w:ind w:left="992" w:hanging="635"/>
        <w:rPr>
          <w:rFonts w:ascii="Arial" w:hAnsi="Arial" w:cs="Arial"/>
          <w:color w:val="000000"/>
          <w:sz w:val="22"/>
          <w:szCs w:val="22"/>
        </w:rPr>
      </w:pP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 účastníci velkoobchod</w:t>
      </w:r>
    </w:p>
    <w:p w:rsidR="00242A0C" w:rsidRPr="006532BE" w:rsidRDefault="00242A0C" w:rsidP="00524C63">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Přenos dat – podnikatelské subjekty (firemní klientela)</w:t>
      </w:r>
    </w:p>
    <w:p w:rsidR="00242A0C" w:rsidRPr="006532BE" w:rsidRDefault="00242A0C" w:rsidP="00524C63">
      <w:pPr>
        <w:numPr>
          <w:ilvl w:val="1"/>
          <w:numId w:val="34"/>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Přenos dat – IP přístup</w:t>
      </w:r>
    </w:p>
    <w:p w:rsidR="00242A0C" w:rsidRPr="006532BE" w:rsidRDefault="00242A0C" w:rsidP="00524C63">
      <w:pPr>
        <w:numPr>
          <w:ilvl w:val="1"/>
          <w:numId w:val="34"/>
        </w:numPr>
        <w:autoSpaceDE w:val="0"/>
        <w:autoSpaceDN w:val="0"/>
        <w:adjustRightInd w:val="0"/>
        <w:ind w:left="992" w:hanging="635"/>
        <w:rPr>
          <w:rFonts w:ascii="Arial" w:hAnsi="Arial" w:cs="Arial"/>
          <w:color w:val="000000"/>
          <w:sz w:val="22"/>
          <w:szCs w:val="22"/>
        </w:rPr>
      </w:pPr>
      <w:r w:rsidRPr="006532BE">
        <w:rPr>
          <w:rFonts w:ascii="Arial" w:hAnsi="Arial" w:cs="Arial"/>
          <w:color w:val="000000"/>
          <w:sz w:val="22"/>
          <w:szCs w:val="22"/>
        </w:rPr>
        <w:t>Ostatní služby přenosu dat</w:t>
      </w:r>
    </w:p>
    <w:p w:rsidR="00242A0C" w:rsidRPr="006532BE" w:rsidRDefault="00242A0C" w:rsidP="00D8342D">
      <w:pPr>
        <w:pStyle w:val="Nadpis2"/>
        <w:spacing w:before="240"/>
        <w:jc w:val="both"/>
        <w:rPr>
          <w:rFonts w:ascii="Arial" w:hAnsi="Arial" w:cs="Arial"/>
          <w:i w:val="0"/>
          <w:sz w:val="22"/>
          <w:szCs w:val="22"/>
        </w:rPr>
      </w:pPr>
      <w:r w:rsidRPr="006532BE">
        <w:rPr>
          <w:rFonts w:ascii="Arial" w:hAnsi="Arial" w:cs="Arial"/>
          <w:i w:val="0"/>
          <w:sz w:val="22"/>
          <w:szCs w:val="22"/>
        </w:rPr>
        <w:t>List A3 – Statistika služeb</w:t>
      </w:r>
    </w:p>
    <w:p w:rsidR="00242A0C" w:rsidRPr="006532BE" w:rsidRDefault="00242A0C" w:rsidP="00F62C63">
      <w:pPr>
        <w:numPr>
          <w:ilvl w:val="0"/>
          <w:numId w:val="35"/>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 xml:space="preserve">Matice faktorů použití – hlasové služby </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Místní hovory</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Dálkové hovory</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Internetová volání</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Propojování hovorů – odchozí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místní úrovni</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Propojování hovorů – odchozí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úrovni tranzit 1</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Propojování hovorů – odchozí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úrovni tranzit 2</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lastRenderedPageBreak/>
        <w:t>Propojování hovorů – příchozí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místní úrovni</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Propojování hovorů – příchozí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úrovni tranzit 1</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Propojování hovorů – příchozí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úrovni tranzit 2</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Propojování hovorů – tranzit</w:t>
      </w:r>
      <w:r w:rsidR="0047095F" w:rsidRPr="006532BE">
        <w:rPr>
          <w:rFonts w:ascii="Arial" w:hAnsi="Arial" w:cs="Arial"/>
          <w:color w:val="000000"/>
          <w:sz w:val="22"/>
          <w:szCs w:val="22"/>
        </w:rPr>
        <w:t xml:space="preserve"> na </w:t>
      </w:r>
      <w:r w:rsidRPr="006532BE">
        <w:rPr>
          <w:rFonts w:ascii="Arial" w:hAnsi="Arial" w:cs="Arial"/>
          <w:color w:val="000000"/>
          <w:sz w:val="22"/>
          <w:szCs w:val="22"/>
        </w:rPr>
        <w:t>místní úrovni</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Propojování hovorů – tranzit</w:t>
      </w:r>
      <w:r w:rsidR="0047095F" w:rsidRPr="006532BE">
        <w:rPr>
          <w:rFonts w:ascii="Arial" w:hAnsi="Arial" w:cs="Arial"/>
          <w:color w:val="000000"/>
          <w:sz w:val="22"/>
          <w:szCs w:val="22"/>
        </w:rPr>
        <w:t xml:space="preserve"> na </w:t>
      </w:r>
      <w:r w:rsidRPr="006532BE">
        <w:rPr>
          <w:rFonts w:ascii="Arial" w:hAnsi="Arial" w:cs="Arial"/>
          <w:color w:val="000000"/>
          <w:sz w:val="22"/>
          <w:szCs w:val="22"/>
        </w:rPr>
        <w:t>úrovni tranzit 1</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Propojování hovorů – tranzit</w:t>
      </w:r>
      <w:r w:rsidR="0047095F" w:rsidRPr="006532BE">
        <w:rPr>
          <w:rFonts w:ascii="Arial" w:hAnsi="Arial" w:cs="Arial"/>
          <w:color w:val="000000"/>
          <w:sz w:val="22"/>
          <w:szCs w:val="22"/>
        </w:rPr>
        <w:t xml:space="preserve"> na </w:t>
      </w:r>
      <w:r w:rsidRPr="006532BE">
        <w:rPr>
          <w:rFonts w:ascii="Arial" w:hAnsi="Arial" w:cs="Arial"/>
          <w:color w:val="000000"/>
          <w:sz w:val="22"/>
          <w:szCs w:val="22"/>
        </w:rPr>
        <w:t>úrovni tranzit 2</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Propojování hovorů – mezinárodní odchozí hovory</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Propojování hovorů – mezinárodní příchozí hovory</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proofErr w:type="spellStart"/>
      <w:r w:rsidRPr="006532BE">
        <w:rPr>
          <w:rFonts w:ascii="Arial" w:hAnsi="Arial" w:cs="Arial"/>
          <w:color w:val="000000"/>
          <w:sz w:val="22"/>
          <w:szCs w:val="22"/>
        </w:rPr>
        <w:t>VoIP</w:t>
      </w:r>
      <w:proofErr w:type="spellEnd"/>
      <w:r w:rsidRPr="006532BE">
        <w:rPr>
          <w:rFonts w:ascii="Arial" w:hAnsi="Arial" w:cs="Arial"/>
          <w:color w:val="000000"/>
          <w:sz w:val="22"/>
          <w:szCs w:val="22"/>
        </w:rPr>
        <w:t xml:space="preserve"> – maloobchod</w:t>
      </w:r>
    </w:p>
    <w:p w:rsidR="00242A0C" w:rsidRPr="006532BE" w:rsidRDefault="00242A0C" w:rsidP="00242A0C">
      <w:pPr>
        <w:numPr>
          <w:ilvl w:val="1"/>
          <w:numId w:val="36"/>
        </w:numPr>
        <w:autoSpaceDE w:val="0"/>
        <w:autoSpaceDN w:val="0"/>
        <w:adjustRightInd w:val="0"/>
        <w:spacing w:before="60"/>
        <w:ind w:left="993" w:hanging="633"/>
        <w:rPr>
          <w:rFonts w:ascii="Arial" w:hAnsi="Arial" w:cs="Arial"/>
          <w:color w:val="000000"/>
          <w:sz w:val="22"/>
          <w:szCs w:val="22"/>
        </w:rPr>
      </w:pPr>
      <w:proofErr w:type="spellStart"/>
      <w:r w:rsidRPr="006532BE">
        <w:rPr>
          <w:rFonts w:ascii="Arial" w:hAnsi="Arial" w:cs="Arial"/>
          <w:color w:val="000000"/>
          <w:sz w:val="22"/>
          <w:szCs w:val="22"/>
        </w:rPr>
        <w:t>VoIP</w:t>
      </w:r>
      <w:proofErr w:type="spellEnd"/>
      <w:r w:rsidRPr="006532BE">
        <w:rPr>
          <w:rFonts w:ascii="Arial" w:hAnsi="Arial" w:cs="Arial"/>
          <w:color w:val="000000"/>
          <w:sz w:val="22"/>
          <w:szCs w:val="22"/>
        </w:rPr>
        <w:t xml:space="preserve"> – velkoobchod</w:t>
      </w:r>
    </w:p>
    <w:p w:rsidR="00242A0C" w:rsidRPr="006532BE" w:rsidRDefault="00242A0C" w:rsidP="00242A0C">
      <w:pPr>
        <w:numPr>
          <w:ilvl w:val="0"/>
          <w:numId w:val="35"/>
        </w:numPr>
        <w:autoSpaceDE w:val="0"/>
        <w:autoSpaceDN w:val="0"/>
        <w:adjustRightInd w:val="0"/>
        <w:spacing w:before="120"/>
        <w:rPr>
          <w:rFonts w:ascii="Arial" w:hAnsi="Arial" w:cs="Arial"/>
          <w:color w:val="000000"/>
          <w:sz w:val="22"/>
          <w:szCs w:val="22"/>
        </w:rPr>
      </w:pPr>
      <w:r w:rsidRPr="006532BE">
        <w:rPr>
          <w:rFonts w:ascii="Arial" w:hAnsi="Arial" w:cs="Arial"/>
          <w:color w:val="000000"/>
          <w:sz w:val="22"/>
          <w:szCs w:val="22"/>
        </w:rPr>
        <w:t xml:space="preserve">Matice faktorů použití – datové služby </w:t>
      </w:r>
    </w:p>
    <w:p w:rsidR="00242A0C" w:rsidRPr="006532BE" w:rsidRDefault="00242A0C" w:rsidP="00242A0C">
      <w:pPr>
        <w:numPr>
          <w:ilvl w:val="1"/>
          <w:numId w:val="37"/>
        </w:numPr>
        <w:autoSpaceDE w:val="0"/>
        <w:autoSpaceDN w:val="0"/>
        <w:adjustRightInd w:val="0"/>
        <w:spacing w:before="60"/>
        <w:ind w:left="993" w:hanging="633"/>
        <w:rPr>
          <w:rFonts w:ascii="Arial" w:hAnsi="Arial" w:cs="Arial"/>
          <w:color w:val="000000"/>
          <w:sz w:val="22"/>
          <w:szCs w:val="22"/>
        </w:rPr>
      </w:pP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 účastníci maloobchod</w:t>
      </w:r>
    </w:p>
    <w:p w:rsidR="00242A0C" w:rsidRPr="006532BE" w:rsidRDefault="00242A0C" w:rsidP="00242A0C">
      <w:pPr>
        <w:numPr>
          <w:ilvl w:val="1"/>
          <w:numId w:val="37"/>
        </w:numPr>
        <w:autoSpaceDE w:val="0"/>
        <w:autoSpaceDN w:val="0"/>
        <w:adjustRightInd w:val="0"/>
        <w:spacing w:before="60"/>
        <w:ind w:left="993" w:hanging="633"/>
        <w:rPr>
          <w:rFonts w:ascii="Arial" w:hAnsi="Arial" w:cs="Arial"/>
          <w:color w:val="000000"/>
          <w:sz w:val="22"/>
          <w:szCs w:val="22"/>
        </w:rPr>
      </w:pP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 podnikatelské subjekty (firemní klientela)</w:t>
      </w:r>
    </w:p>
    <w:p w:rsidR="00242A0C" w:rsidRPr="006532BE" w:rsidRDefault="00242A0C" w:rsidP="00242A0C">
      <w:pPr>
        <w:numPr>
          <w:ilvl w:val="1"/>
          <w:numId w:val="37"/>
        </w:numPr>
        <w:autoSpaceDE w:val="0"/>
        <w:autoSpaceDN w:val="0"/>
        <w:adjustRightInd w:val="0"/>
        <w:spacing w:before="60"/>
        <w:ind w:left="993" w:hanging="633"/>
        <w:rPr>
          <w:rFonts w:ascii="Arial" w:hAnsi="Arial" w:cs="Arial"/>
          <w:color w:val="000000"/>
          <w:sz w:val="22"/>
          <w:szCs w:val="22"/>
        </w:rPr>
      </w:pP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 účastníci velkoobchod</w:t>
      </w:r>
    </w:p>
    <w:p w:rsidR="00242A0C" w:rsidRPr="006532BE" w:rsidRDefault="00242A0C" w:rsidP="00242A0C">
      <w:pPr>
        <w:numPr>
          <w:ilvl w:val="1"/>
          <w:numId w:val="37"/>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Přenos dat – podnikatelské subjekty (firemní klientela)</w:t>
      </w:r>
    </w:p>
    <w:p w:rsidR="00242A0C" w:rsidRPr="006532BE" w:rsidRDefault="00242A0C" w:rsidP="00242A0C">
      <w:pPr>
        <w:numPr>
          <w:ilvl w:val="1"/>
          <w:numId w:val="37"/>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Přenos dat – IP přístup</w:t>
      </w:r>
    </w:p>
    <w:p w:rsidR="00242A0C" w:rsidRPr="006532BE" w:rsidRDefault="00242A0C" w:rsidP="00242A0C">
      <w:pPr>
        <w:numPr>
          <w:ilvl w:val="1"/>
          <w:numId w:val="37"/>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Ostatní služby přenosu dat</w:t>
      </w:r>
    </w:p>
    <w:p w:rsidR="00242A0C" w:rsidRPr="006532BE" w:rsidRDefault="00242A0C" w:rsidP="00250B32">
      <w:p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Pro každý typ služby uvede stanovený podnik faktor použití pro přístupový uzel, místní uzel, tranzitní uzel.</w:t>
      </w:r>
    </w:p>
    <w:p w:rsidR="00242A0C" w:rsidRPr="006532BE" w:rsidRDefault="00242A0C" w:rsidP="00250B32">
      <w:pPr>
        <w:numPr>
          <w:ilvl w:val="0"/>
          <w:numId w:val="35"/>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 xml:space="preserve">Faktory priority </w:t>
      </w:r>
    </w:p>
    <w:p w:rsidR="00242A0C" w:rsidRPr="006532BE" w:rsidRDefault="00242A0C" w:rsidP="00242A0C">
      <w:pPr>
        <w:numPr>
          <w:ilvl w:val="1"/>
          <w:numId w:val="38"/>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Hlasové služby</w:t>
      </w:r>
    </w:p>
    <w:p w:rsidR="00242A0C" w:rsidRPr="006532BE" w:rsidRDefault="00242A0C" w:rsidP="00242A0C">
      <w:pPr>
        <w:numPr>
          <w:ilvl w:val="1"/>
          <w:numId w:val="38"/>
        </w:numPr>
        <w:autoSpaceDE w:val="0"/>
        <w:autoSpaceDN w:val="0"/>
        <w:adjustRightInd w:val="0"/>
        <w:spacing w:before="60"/>
        <w:ind w:left="993" w:hanging="633"/>
        <w:rPr>
          <w:rFonts w:ascii="Arial" w:hAnsi="Arial" w:cs="Arial"/>
          <w:color w:val="000000"/>
          <w:sz w:val="22"/>
          <w:szCs w:val="22"/>
        </w:rPr>
      </w:pP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 účastníci maloobchod</w:t>
      </w:r>
    </w:p>
    <w:p w:rsidR="00242A0C" w:rsidRPr="006532BE" w:rsidRDefault="00242A0C" w:rsidP="00242A0C">
      <w:pPr>
        <w:numPr>
          <w:ilvl w:val="1"/>
          <w:numId w:val="38"/>
        </w:numPr>
        <w:autoSpaceDE w:val="0"/>
        <w:autoSpaceDN w:val="0"/>
        <w:adjustRightInd w:val="0"/>
        <w:spacing w:before="60"/>
        <w:ind w:left="993" w:hanging="633"/>
        <w:rPr>
          <w:rFonts w:ascii="Arial" w:hAnsi="Arial" w:cs="Arial"/>
          <w:color w:val="000000"/>
          <w:sz w:val="22"/>
          <w:szCs w:val="22"/>
        </w:rPr>
      </w:pP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 podnikatelské subjekty (firemní klientela)</w:t>
      </w:r>
    </w:p>
    <w:p w:rsidR="00242A0C" w:rsidRPr="006532BE" w:rsidRDefault="00242A0C" w:rsidP="00242A0C">
      <w:pPr>
        <w:numPr>
          <w:ilvl w:val="1"/>
          <w:numId w:val="38"/>
        </w:numPr>
        <w:autoSpaceDE w:val="0"/>
        <w:autoSpaceDN w:val="0"/>
        <w:adjustRightInd w:val="0"/>
        <w:spacing w:before="60"/>
        <w:ind w:left="993" w:hanging="633"/>
        <w:rPr>
          <w:rFonts w:ascii="Arial" w:hAnsi="Arial" w:cs="Arial"/>
          <w:color w:val="000000"/>
          <w:sz w:val="22"/>
          <w:szCs w:val="22"/>
        </w:rPr>
      </w:pP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 účastníci velkoobchod</w:t>
      </w:r>
    </w:p>
    <w:p w:rsidR="00242A0C" w:rsidRPr="006532BE" w:rsidRDefault="00242A0C" w:rsidP="00242A0C">
      <w:pPr>
        <w:numPr>
          <w:ilvl w:val="1"/>
          <w:numId w:val="38"/>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Přenos dat – podnikatelské subjekty (firemní klientela)</w:t>
      </w:r>
    </w:p>
    <w:p w:rsidR="00242A0C" w:rsidRPr="006532BE" w:rsidRDefault="00242A0C" w:rsidP="00242A0C">
      <w:pPr>
        <w:numPr>
          <w:ilvl w:val="1"/>
          <w:numId w:val="38"/>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Přenos dat – IP přístup</w:t>
      </w:r>
    </w:p>
    <w:p w:rsidR="00242A0C" w:rsidRPr="006532BE" w:rsidRDefault="00242A0C" w:rsidP="008E4FC0">
      <w:pPr>
        <w:numPr>
          <w:ilvl w:val="1"/>
          <w:numId w:val="38"/>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Pronajaté okruhy</w:t>
      </w:r>
    </w:p>
    <w:p w:rsidR="00242A0C" w:rsidRPr="006532BE" w:rsidRDefault="00242A0C" w:rsidP="00242A0C">
      <w:pPr>
        <w:numPr>
          <w:ilvl w:val="1"/>
          <w:numId w:val="38"/>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Pronajaté okruhy vysokorychlostní</w:t>
      </w:r>
    </w:p>
    <w:p w:rsidR="00242A0C" w:rsidRPr="006532BE" w:rsidRDefault="00242A0C" w:rsidP="00242A0C">
      <w:pPr>
        <w:numPr>
          <w:ilvl w:val="0"/>
          <w:numId w:val="35"/>
        </w:numPr>
        <w:autoSpaceDE w:val="0"/>
        <w:autoSpaceDN w:val="0"/>
        <w:adjustRightInd w:val="0"/>
        <w:spacing w:before="120"/>
        <w:rPr>
          <w:rFonts w:ascii="Arial" w:hAnsi="Arial" w:cs="Arial"/>
          <w:color w:val="000000"/>
          <w:sz w:val="22"/>
          <w:szCs w:val="22"/>
        </w:rPr>
      </w:pPr>
      <w:r w:rsidRPr="006532BE">
        <w:rPr>
          <w:rFonts w:ascii="Arial" w:hAnsi="Arial" w:cs="Arial"/>
          <w:color w:val="000000"/>
          <w:sz w:val="22"/>
          <w:szCs w:val="22"/>
        </w:rPr>
        <w:t>Poměr provozu</w:t>
      </w:r>
      <w:r w:rsidR="0047095F" w:rsidRPr="006532BE">
        <w:rPr>
          <w:rFonts w:ascii="Arial" w:hAnsi="Arial" w:cs="Arial"/>
          <w:color w:val="000000"/>
          <w:sz w:val="22"/>
          <w:szCs w:val="22"/>
        </w:rPr>
        <w:t xml:space="preserve"> v </w:t>
      </w:r>
      <w:r w:rsidRPr="006532BE">
        <w:rPr>
          <w:rFonts w:ascii="Arial" w:hAnsi="Arial" w:cs="Arial"/>
          <w:color w:val="000000"/>
          <w:sz w:val="22"/>
          <w:szCs w:val="22"/>
        </w:rPr>
        <w:t>hlavní provozní hodině k průměrnému hodinovému provozu</w:t>
      </w:r>
    </w:p>
    <w:p w:rsidR="00242A0C" w:rsidRPr="006532BE" w:rsidRDefault="00242A0C" w:rsidP="00242A0C">
      <w:pPr>
        <w:numPr>
          <w:ilvl w:val="1"/>
          <w:numId w:val="39"/>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Hlasové služby</w:t>
      </w:r>
    </w:p>
    <w:p w:rsidR="00242A0C" w:rsidRPr="006532BE" w:rsidRDefault="00242A0C" w:rsidP="00242A0C">
      <w:pPr>
        <w:numPr>
          <w:ilvl w:val="1"/>
          <w:numId w:val="39"/>
        </w:numPr>
        <w:autoSpaceDE w:val="0"/>
        <w:autoSpaceDN w:val="0"/>
        <w:adjustRightInd w:val="0"/>
        <w:spacing w:before="60"/>
        <w:ind w:left="993" w:hanging="633"/>
        <w:rPr>
          <w:rFonts w:ascii="Arial" w:hAnsi="Arial" w:cs="Arial"/>
          <w:color w:val="000000"/>
          <w:sz w:val="22"/>
          <w:szCs w:val="22"/>
        </w:rPr>
      </w:pPr>
      <w:proofErr w:type="spellStart"/>
      <w:r w:rsidRPr="006532BE">
        <w:rPr>
          <w:rFonts w:ascii="Arial" w:hAnsi="Arial" w:cs="Arial"/>
          <w:color w:val="000000"/>
          <w:sz w:val="22"/>
          <w:szCs w:val="22"/>
        </w:rPr>
        <w:t>xDSL</w:t>
      </w:r>
      <w:proofErr w:type="spellEnd"/>
    </w:p>
    <w:p w:rsidR="00242A0C" w:rsidRPr="006532BE" w:rsidRDefault="00242A0C" w:rsidP="00242A0C">
      <w:pPr>
        <w:numPr>
          <w:ilvl w:val="1"/>
          <w:numId w:val="39"/>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Přenos dat – podnikatelské subjekty (firemní klientela)</w:t>
      </w:r>
    </w:p>
    <w:p w:rsidR="00242A0C" w:rsidRPr="006532BE" w:rsidRDefault="00242A0C" w:rsidP="00242A0C">
      <w:pPr>
        <w:numPr>
          <w:ilvl w:val="1"/>
          <w:numId w:val="39"/>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Přenos dat – IP přístup</w:t>
      </w:r>
    </w:p>
    <w:p w:rsidR="00242A0C" w:rsidRPr="006532BE" w:rsidRDefault="00242A0C" w:rsidP="008E4FC0">
      <w:pPr>
        <w:numPr>
          <w:ilvl w:val="1"/>
          <w:numId w:val="39"/>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Ostatní</w:t>
      </w:r>
    </w:p>
    <w:p w:rsidR="00242A0C" w:rsidRPr="006532BE" w:rsidRDefault="00242A0C" w:rsidP="00242A0C">
      <w:pPr>
        <w:numPr>
          <w:ilvl w:val="0"/>
          <w:numId w:val="35"/>
        </w:numPr>
        <w:autoSpaceDE w:val="0"/>
        <w:autoSpaceDN w:val="0"/>
        <w:adjustRightInd w:val="0"/>
        <w:spacing w:before="120"/>
        <w:rPr>
          <w:rFonts w:ascii="Arial" w:hAnsi="Arial" w:cs="Arial"/>
          <w:color w:val="000000"/>
          <w:sz w:val="22"/>
          <w:szCs w:val="22"/>
        </w:rPr>
      </w:pPr>
      <w:r w:rsidRPr="006532BE">
        <w:rPr>
          <w:rFonts w:ascii="Arial" w:hAnsi="Arial" w:cs="Arial"/>
          <w:color w:val="000000"/>
          <w:sz w:val="22"/>
          <w:szCs w:val="22"/>
        </w:rPr>
        <w:t xml:space="preserve">Poměr uživatelských cen ve špičce a mimo špičku </w:t>
      </w:r>
    </w:p>
    <w:p w:rsidR="00242A0C" w:rsidRPr="006532BE" w:rsidRDefault="00242A0C" w:rsidP="00242A0C">
      <w:pPr>
        <w:numPr>
          <w:ilvl w:val="1"/>
          <w:numId w:val="40"/>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 xml:space="preserve">ve špičce </w:t>
      </w:r>
    </w:p>
    <w:p w:rsidR="00242A0C" w:rsidRPr="006532BE" w:rsidRDefault="00242A0C" w:rsidP="00242A0C">
      <w:pPr>
        <w:numPr>
          <w:ilvl w:val="1"/>
          <w:numId w:val="40"/>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 xml:space="preserve">mimo špičku </w:t>
      </w:r>
    </w:p>
    <w:p w:rsidR="00242A0C" w:rsidRPr="006532BE" w:rsidRDefault="00242A0C" w:rsidP="00242A0C">
      <w:pPr>
        <w:numPr>
          <w:ilvl w:val="0"/>
          <w:numId w:val="35"/>
        </w:numPr>
        <w:autoSpaceDE w:val="0"/>
        <w:autoSpaceDN w:val="0"/>
        <w:adjustRightInd w:val="0"/>
        <w:spacing w:before="120"/>
        <w:rPr>
          <w:rFonts w:ascii="Arial" w:hAnsi="Arial" w:cs="Arial"/>
          <w:color w:val="000000"/>
          <w:sz w:val="22"/>
          <w:szCs w:val="22"/>
        </w:rPr>
      </w:pPr>
      <w:r w:rsidRPr="006532BE">
        <w:rPr>
          <w:rFonts w:ascii="Arial" w:hAnsi="Arial" w:cs="Arial"/>
          <w:color w:val="000000"/>
          <w:sz w:val="22"/>
          <w:szCs w:val="22"/>
        </w:rPr>
        <w:t>Celková šířka pásma dat u propojovacích bodů</w:t>
      </w:r>
    </w:p>
    <w:p w:rsidR="00242A0C" w:rsidRPr="006532BE" w:rsidRDefault="00242A0C" w:rsidP="00242A0C">
      <w:pPr>
        <w:numPr>
          <w:ilvl w:val="1"/>
          <w:numId w:val="41"/>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Úroveň MSAN</w:t>
      </w:r>
    </w:p>
    <w:p w:rsidR="00242A0C" w:rsidRPr="006532BE" w:rsidRDefault="00242A0C" w:rsidP="009205C9">
      <w:pPr>
        <w:numPr>
          <w:ilvl w:val="1"/>
          <w:numId w:val="41"/>
        </w:numPr>
        <w:autoSpaceDE w:val="0"/>
        <w:autoSpaceDN w:val="0"/>
        <w:adjustRightInd w:val="0"/>
        <w:spacing w:before="60" w:after="60"/>
        <w:ind w:left="992" w:hanging="635"/>
        <w:rPr>
          <w:rFonts w:ascii="Arial" w:hAnsi="Arial" w:cs="Arial"/>
          <w:color w:val="000000"/>
          <w:sz w:val="22"/>
          <w:szCs w:val="22"/>
        </w:rPr>
      </w:pPr>
      <w:r w:rsidRPr="006532BE">
        <w:rPr>
          <w:rFonts w:ascii="Arial" w:hAnsi="Arial" w:cs="Arial"/>
          <w:color w:val="000000"/>
          <w:sz w:val="22"/>
          <w:szCs w:val="22"/>
        </w:rPr>
        <w:t xml:space="preserve">Úroveň Ethernet </w:t>
      </w:r>
    </w:p>
    <w:p w:rsidR="00242A0C" w:rsidRPr="006532BE" w:rsidRDefault="00242A0C" w:rsidP="009205C9">
      <w:pPr>
        <w:numPr>
          <w:ilvl w:val="1"/>
          <w:numId w:val="41"/>
        </w:numPr>
        <w:autoSpaceDE w:val="0"/>
        <w:autoSpaceDN w:val="0"/>
        <w:adjustRightInd w:val="0"/>
        <w:ind w:left="992" w:hanging="635"/>
        <w:rPr>
          <w:rFonts w:ascii="Arial" w:hAnsi="Arial" w:cs="Arial"/>
          <w:color w:val="000000"/>
          <w:sz w:val="22"/>
          <w:szCs w:val="22"/>
        </w:rPr>
      </w:pPr>
      <w:r w:rsidRPr="006532BE">
        <w:rPr>
          <w:rFonts w:ascii="Arial" w:hAnsi="Arial" w:cs="Arial"/>
          <w:color w:val="000000"/>
          <w:sz w:val="22"/>
          <w:szCs w:val="22"/>
        </w:rPr>
        <w:t>Úroveň IP</w:t>
      </w:r>
    </w:p>
    <w:p w:rsidR="00242A0C" w:rsidRPr="006532BE" w:rsidRDefault="00242A0C" w:rsidP="00242A0C">
      <w:pPr>
        <w:numPr>
          <w:ilvl w:val="0"/>
          <w:numId w:val="35"/>
        </w:numPr>
        <w:autoSpaceDE w:val="0"/>
        <w:autoSpaceDN w:val="0"/>
        <w:adjustRightInd w:val="0"/>
        <w:spacing w:before="120"/>
        <w:rPr>
          <w:rFonts w:ascii="Arial" w:hAnsi="Arial" w:cs="Arial"/>
          <w:color w:val="000000"/>
          <w:sz w:val="22"/>
          <w:szCs w:val="22"/>
        </w:rPr>
      </w:pPr>
      <w:r w:rsidRPr="006532BE">
        <w:rPr>
          <w:rFonts w:ascii="Arial" w:hAnsi="Arial" w:cs="Arial"/>
          <w:color w:val="000000"/>
          <w:sz w:val="22"/>
          <w:szCs w:val="22"/>
        </w:rPr>
        <w:t>Parametry rozhraní propojovacích bodů</w:t>
      </w:r>
    </w:p>
    <w:p w:rsidR="00242A0C" w:rsidRPr="006532BE" w:rsidRDefault="00242A0C" w:rsidP="00242A0C">
      <w:pPr>
        <w:numPr>
          <w:ilvl w:val="1"/>
          <w:numId w:val="42"/>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Kapacita STM-1</w:t>
      </w:r>
    </w:p>
    <w:p w:rsidR="00242A0C" w:rsidRPr="006532BE" w:rsidRDefault="00242A0C" w:rsidP="00242A0C">
      <w:pPr>
        <w:numPr>
          <w:ilvl w:val="1"/>
          <w:numId w:val="42"/>
        </w:numPr>
        <w:autoSpaceDE w:val="0"/>
        <w:autoSpaceDN w:val="0"/>
        <w:adjustRightInd w:val="0"/>
        <w:spacing w:before="60"/>
        <w:ind w:left="993" w:hanging="633"/>
        <w:rPr>
          <w:rFonts w:ascii="Arial" w:hAnsi="Arial" w:cs="Arial"/>
          <w:color w:val="000000"/>
          <w:sz w:val="22"/>
          <w:szCs w:val="22"/>
        </w:rPr>
      </w:pPr>
      <w:r w:rsidRPr="006532BE">
        <w:rPr>
          <w:rFonts w:ascii="Arial" w:hAnsi="Arial" w:cs="Arial"/>
          <w:color w:val="000000"/>
          <w:sz w:val="22"/>
          <w:szCs w:val="22"/>
        </w:rPr>
        <w:t>Kapacita STM-4</w:t>
      </w:r>
    </w:p>
    <w:p w:rsidR="00242A0C" w:rsidRPr="006532BE" w:rsidRDefault="00242A0C" w:rsidP="008E4FC0">
      <w:pPr>
        <w:numPr>
          <w:ilvl w:val="0"/>
          <w:numId w:val="35"/>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lastRenderedPageBreak/>
        <w:t xml:space="preserve">Hlasové služby – propojovací body </w:t>
      </w:r>
    </w:p>
    <w:p w:rsidR="00242A0C" w:rsidRPr="006532BE" w:rsidRDefault="00242A0C" w:rsidP="00242A0C">
      <w:pPr>
        <w:numPr>
          <w:ilvl w:val="0"/>
          <w:numId w:val="35"/>
        </w:numPr>
        <w:autoSpaceDE w:val="0"/>
        <w:autoSpaceDN w:val="0"/>
        <w:adjustRightInd w:val="0"/>
        <w:spacing w:before="120"/>
        <w:rPr>
          <w:rFonts w:ascii="Arial" w:hAnsi="Arial" w:cs="Arial"/>
          <w:color w:val="000000"/>
          <w:sz w:val="22"/>
          <w:szCs w:val="22"/>
        </w:rPr>
      </w:pPr>
      <w:r w:rsidRPr="006532BE">
        <w:rPr>
          <w:rFonts w:ascii="Arial" w:hAnsi="Arial" w:cs="Arial"/>
          <w:color w:val="000000"/>
          <w:sz w:val="22"/>
          <w:szCs w:val="22"/>
        </w:rPr>
        <w:t>Propojovací body – místní uzly</w:t>
      </w:r>
    </w:p>
    <w:p w:rsidR="00242A0C" w:rsidRPr="006532BE" w:rsidRDefault="00242A0C" w:rsidP="00242A0C">
      <w:pPr>
        <w:numPr>
          <w:ilvl w:val="0"/>
          <w:numId w:val="35"/>
        </w:numPr>
        <w:autoSpaceDE w:val="0"/>
        <w:autoSpaceDN w:val="0"/>
        <w:adjustRightInd w:val="0"/>
        <w:spacing w:before="120"/>
        <w:rPr>
          <w:rFonts w:ascii="Arial" w:hAnsi="Arial" w:cs="Arial"/>
          <w:color w:val="000000"/>
          <w:sz w:val="22"/>
          <w:szCs w:val="22"/>
        </w:rPr>
      </w:pPr>
      <w:r w:rsidRPr="006532BE">
        <w:rPr>
          <w:rFonts w:ascii="Arial" w:hAnsi="Arial" w:cs="Arial"/>
          <w:color w:val="000000"/>
          <w:sz w:val="22"/>
          <w:szCs w:val="22"/>
        </w:rPr>
        <w:t>Objem portů</w:t>
      </w:r>
    </w:p>
    <w:p w:rsidR="00242A0C" w:rsidRPr="006532BE" w:rsidRDefault="00242A0C" w:rsidP="00242A0C">
      <w:pPr>
        <w:numPr>
          <w:ilvl w:val="1"/>
          <w:numId w:val="43"/>
        </w:numPr>
        <w:autoSpaceDE w:val="0"/>
        <w:autoSpaceDN w:val="0"/>
        <w:adjustRightInd w:val="0"/>
        <w:spacing w:before="60"/>
        <w:ind w:left="993" w:hanging="633"/>
        <w:jc w:val="both"/>
        <w:rPr>
          <w:rFonts w:ascii="Arial" w:hAnsi="Arial" w:cs="Arial"/>
          <w:color w:val="000000"/>
          <w:sz w:val="22"/>
          <w:szCs w:val="22"/>
        </w:rPr>
      </w:pPr>
      <w:r w:rsidRPr="006532BE">
        <w:rPr>
          <w:rFonts w:ascii="Arial" w:hAnsi="Arial" w:cs="Arial"/>
          <w:color w:val="000000"/>
          <w:sz w:val="22"/>
          <w:szCs w:val="22"/>
        </w:rPr>
        <w:t>Rozhraní E1</w:t>
      </w:r>
    </w:p>
    <w:p w:rsidR="00242A0C" w:rsidRPr="006532BE" w:rsidRDefault="00242A0C" w:rsidP="00242A0C">
      <w:pPr>
        <w:numPr>
          <w:ilvl w:val="1"/>
          <w:numId w:val="43"/>
        </w:numPr>
        <w:autoSpaceDE w:val="0"/>
        <w:autoSpaceDN w:val="0"/>
        <w:adjustRightInd w:val="0"/>
        <w:spacing w:before="60"/>
        <w:ind w:left="993" w:hanging="633"/>
        <w:jc w:val="both"/>
        <w:rPr>
          <w:rFonts w:ascii="Arial" w:hAnsi="Arial" w:cs="Arial"/>
          <w:color w:val="000000"/>
          <w:sz w:val="22"/>
          <w:szCs w:val="22"/>
        </w:rPr>
      </w:pPr>
      <w:r w:rsidRPr="006532BE">
        <w:rPr>
          <w:rFonts w:ascii="Arial" w:hAnsi="Arial" w:cs="Arial"/>
          <w:color w:val="000000"/>
          <w:sz w:val="22"/>
          <w:szCs w:val="22"/>
        </w:rPr>
        <w:t>Rozhraní STM-1</w:t>
      </w:r>
    </w:p>
    <w:p w:rsidR="00242A0C" w:rsidRPr="006532BE" w:rsidRDefault="00242A0C" w:rsidP="00242A0C">
      <w:pPr>
        <w:numPr>
          <w:ilvl w:val="1"/>
          <w:numId w:val="43"/>
        </w:numPr>
        <w:autoSpaceDE w:val="0"/>
        <w:autoSpaceDN w:val="0"/>
        <w:adjustRightInd w:val="0"/>
        <w:spacing w:before="60"/>
        <w:ind w:left="993" w:hanging="633"/>
        <w:jc w:val="both"/>
        <w:rPr>
          <w:rFonts w:ascii="Arial" w:hAnsi="Arial" w:cs="Arial"/>
          <w:color w:val="000000"/>
          <w:sz w:val="22"/>
          <w:szCs w:val="22"/>
        </w:rPr>
      </w:pPr>
      <w:r w:rsidRPr="006532BE">
        <w:rPr>
          <w:rFonts w:ascii="Arial" w:hAnsi="Arial" w:cs="Arial"/>
          <w:color w:val="000000"/>
          <w:sz w:val="22"/>
          <w:szCs w:val="22"/>
        </w:rPr>
        <w:t>Rozhraní DS-3</w:t>
      </w:r>
    </w:p>
    <w:p w:rsidR="00242A0C" w:rsidRPr="006532BE" w:rsidRDefault="00242A0C" w:rsidP="00242A0C">
      <w:pPr>
        <w:numPr>
          <w:ilvl w:val="0"/>
          <w:numId w:val="35"/>
        </w:numPr>
        <w:autoSpaceDE w:val="0"/>
        <w:autoSpaceDN w:val="0"/>
        <w:adjustRightInd w:val="0"/>
        <w:spacing w:before="120"/>
        <w:rPr>
          <w:rFonts w:ascii="Arial" w:hAnsi="Arial" w:cs="Arial"/>
          <w:color w:val="000000"/>
          <w:sz w:val="22"/>
          <w:szCs w:val="22"/>
        </w:rPr>
      </w:pPr>
      <w:r w:rsidRPr="006532BE">
        <w:rPr>
          <w:rFonts w:ascii="Arial" w:hAnsi="Arial" w:cs="Arial"/>
          <w:color w:val="000000"/>
          <w:sz w:val="22"/>
          <w:szCs w:val="22"/>
        </w:rPr>
        <w:t>Distribuce</w:t>
      </w:r>
    </w:p>
    <w:p w:rsidR="00242A0C" w:rsidRPr="006532BE" w:rsidRDefault="00242A0C" w:rsidP="00242A0C">
      <w:pPr>
        <w:numPr>
          <w:ilvl w:val="1"/>
          <w:numId w:val="44"/>
        </w:numPr>
        <w:autoSpaceDE w:val="0"/>
        <w:autoSpaceDN w:val="0"/>
        <w:adjustRightInd w:val="0"/>
        <w:spacing w:before="60"/>
        <w:ind w:left="993" w:hanging="633"/>
        <w:jc w:val="both"/>
        <w:rPr>
          <w:rFonts w:ascii="Arial" w:hAnsi="Arial" w:cs="Arial"/>
          <w:color w:val="000000"/>
          <w:sz w:val="22"/>
          <w:szCs w:val="22"/>
        </w:rPr>
      </w:pPr>
      <w:r w:rsidRPr="006532BE">
        <w:rPr>
          <w:rFonts w:ascii="Arial" w:hAnsi="Arial" w:cs="Arial"/>
          <w:color w:val="000000"/>
          <w:sz w:val="22"/>
          <w:szCs w:val="22"/>
        </w:rPr>
        <w:t>Rozhraní E1</w:t>
      </w:r>
    </w:p>
    <w:p w:rsidR="00242A0C" w:rsidRPr="006532BE" w:rsidRDefault="00242A0C" w:rsidP="00242A0C">
      <w:pPr>
        <w:numPr>
          <w:ilvl w:val="1"/>
          <w:numId w:val="44"/>
        </w:numPr>
        <w:autoSpaceDE w:val="0"/>
        <w:autoSpaceDN w:val="0"/>
        <w:adjustRightInd w:val="0"/>
        <w:spacing w:before="60"/>
        <w:ind w:left="993" w:hanging="633"/>
        <w:jc w:val="both"/>
        <w:rPr>
          <w:rFonts w:ascii="Arial" w:hAnsi="Arial" w:cs="Arial"/>
          <w:color w:val="000000"/>
          <w:sz w:val="22"/>
          <w:szCs w:val="22"/>
        </w:rPr>
      </w:pPr>
      <w:r w:rsidRPr="006532BE">
        <w:rPr>
          <w:rFonts w:ascii="Arial" w:hAnsi="Arial" w:cs="Arial"/>
          <w:color w:val="000000"/>
          <w:sz w:val="22"/>
          <w:szCs w:val="22"/>
        </w:rPr>
        <w:t>Rozhraní STM-1</w:t>
      </w:r>
    </w:p>
    <w:p w:rsidR="00242A0C" w:rsidRPr="006532BE" w:rsidRDefault="00242A0C" w:rsidP="00242A0C">
      <w:pPr>
        <w:numPr>
          <w:ilvl w:val="1"/>
          <w:numId w:val="44"/>
        </w:numPr>
        <w:autoSpaceDE w:val="0"/>
        <w:autoSpaceDN w:val="0"/>
        <w:adjustRightInd w:val="0"/>
        <w:spacing w:before="60"/>
        <w:ind w:left="993" w:hanging="633"/>
        <w:jc w:val="both"/>
        <w:rPr>
          <w:rFonts w:ascii="Arial" w:hAnsi="Arial" w:cs="Arial"/>
          <w:color w:val="000000"/>
          <w:sz w:val="22"/>
          <w:szCs w:val="22"/>
        </w:rPr>
      </w:pPr>
      <w:r w:rsidRPr="006532BE">
        <w:rPr>
          <w:rFonts w:ascii="Arial" w:hAnsi="Arial" w:cs="Arial"/>
          <w:color w:val="000000"/>
          <w:sz w:val="22"/>
          <w:szCs w:val="22"/>
        </w:rPr>
        <w:t>Rozhraní DS-3</w:t>
      </w:r>
    </w:p>
    <w:p w:rsidR="00242A0C" w:rsidRPr="006532BE" w:rsidRDefault="00242A0C" w:rsidP="00242A0C">
      <w:pPr>
        <w:numPr>
          <w:ilvl w:val="0"/>
          <w:numId w:val="35"/>
        </w:numPr>
        <w:autoSpaceDE w:val="0"/>
        <w:autoSpaceDN w:val="0"/>
        <w:adjustRightInd w:val="0"/>
        <w:spacing w:before="120"/>
        <w:rPr>
          <w:rFonts w:ascii="Arial" w:hAnsi="Arial" w:cs="Arial"/>
          <w:color w:val="000000"/>
          <w:sz w:val="22"/>
          <w:szCs w:val="22"/>
        </w:rPr>
      </w:pPr>
      <w:r w:rsidRPr="006532BE">
        <w:rPr>
          <w:rFonts w:ascii="Arial" w:hAnsi="Arial" w:cs="Arial"/>
          <w:color w:val="000000"/>
          <w:sz w:val="22"/>
          <w:szCs w:val="22"/>
        </w:rPr>
        <w:t>Propojovací body – tranzitní uzly</w:t>
      </w:r>
    </w:p>
    <w:p w:rsidR="00242A0C" w:rsidRPr="006532BE" w:rsidRDefault="00242A0C" w:rsidP="00242A0C">
      <w:pPr>
        <w:numPr>
          <w:ilvl w:val="1"/>
          <w:numId w:val="45"/>
        </w:numPr>
        <w:autoSpaceDE w:val="0"/>
        <w:autoSpaceDN w:val="0"/>
        <w:adjustRightInd w:val="0"/>
        <w:spacing w:before="60"/>
        <w:ind w:left="993" w:hanging="633"/>
        <w:jc w:val="both"/>
        <w:rPr>
          <w:rFonts w:ascii="Arial" w:hAnsi="Arial" w:cs="Arial"/>
          <w:color w:val="000000"/>
          <w:sz w:val="22"/>
          <w:szCs w:val="22"/>
        </w:rPr>
      </w:pPr>
      <w:r w:rsidRPr="006532BE">
        <w:rPr>
          <w:rFonts w:ascii="Arial" w:hAnsi="Arial" w:cs="Arial"/>
          <w:color w:val="000000"/>
          <w:sz w:val="22"/>
          <w:szCs w:val="22"/>
        </w:rPr>
        <w:t>Objem portů</w:t>
      </w:r>
    </w:p>
    <w:p w:rsidR="00242A0C" w:rsidRPr="006532BE" w:rsidRDefault="00242A0C" w:rsidP="00694676">
      <w:pPr>
        <w:numPr>
          <w:ilvl w:val="2"/>
          <w:numId w:val="46"/>
        </w:numPr>
        <w:autoSpaceDE w:val="0"/>
        <w:autoSpaceDN w:val="0"/>
        <w:adjustRightInd w:val="0"/>
        <w:spacing w:before="60"/>
        <w:ind w:left="1559" w:hanging="839"/>
        <w:jc w:val="both"/>
        <w:rPr>
          <w:rFonts w:ascii="Arial" w:hAnsi="Arial" w:cs="Arial"/>
          <w:color w:val="000000"/>
          <w:sz w:val="22"/>
          <w:szCs w:val="22"/>
        </w:rPr>
      </w:pPr>
      <w:r w:rsidRPr="006532BE">
        <w:rPr>
          <w:rFonts w:ascii="Arial" w:hAnsi="Arial" w:cs="Arial"/>
          <w:color w:val="000000"/>
          <w:sz w:val="22"/>
          <w:szCs w:val="22"/>
        </w:rPr>
        <w:t>Rozhraní E1</w:t>
      </w:r>
    </w:p>
    <w:p w:rsidR="00242A0C" w:rsidRPr="006532BE" w:rsidRDefault="00242A0C" w:rsidP="00694676">
      <w:pPr>
        <w:numPr>
          <w:ilvl w:val="2"/>
          <w:numId w:val="46"/>
        </w:numPr>
        <w:autoSpaceDE w:val="0"/>
        <w:autoSpaceDN w:val="0"/>
        <w:adjustRightInd w:val="0"/>
        <w:spacing w:before="60"/>
        <w:ind w:left="1559" w:hanging="839"/>
        <w:jc w:val="both"/>
        <w:rPr>
          <w:rFonts w:ascii="Arial" w:hAnsi="Arial" w:cs="Arial"/>
          <w:color w:val="000000"/>
          <w:sz w:val="22"/>
          <w:szCs w:val="22"/>
        </w:rPr>
      </w:pPr>
      <w:r w:rsidRPr="006532BE">
        <w:rPr>
          <w:rFonts w:ascii="Arial" w:hAnsi="Arial" w:cs="Arial"/>
          <w:color w:val="000000"/>
          <w:sz w:val="22"/>
          <w:szCs w:val="22"/>
        </w:rPr>
        <w:t>Rozhraní STM-1</w:t>
      </w:r>
    </w:p>
    <w:p w:rsidR="00242A0C" w:rsidRPr="006532BE" w:rsidRDefault="00242A0C" w:rsidP="00694676">
      <w:pPr>
        <w:numPr>
          <w:ilvl w:val="2"/>
          <w:numId w:val="46"/>
        </w:numPr>
        <w:autoSpaceDE w:val="0"/>
        <w:autoSpaceDN w:val="0"/>
        <w:adjustRightInd w:val="0"/>
        <w:spacing w:before="60"/>
        <w:ind w:left="1559" w:hanging="839"/>
        <w:jc w:val="both"/>
        <w:rPr>
          <w:rFonts w:ascii="Arial" w:hAnsi="Arial" w:cs="Arial"/>
          <w:color w:val="000000"/>
          <w:sz w:val="22"/>
          <w:szCs w:val="22"/>
        </w:rPr>
      </w:pPr>
      <w:r w:rsidRPr="006532BE">
        <w:rPr>
          <w:rFonts w:ascii="Arial" w:hAnsi="Arial" w:cs="Arial"/>
          <w:color w:val="000000"/>
          <w:sz w:val="22"/>
          <w:szCs w:val="22"/>
        </w:rPr>
        <w:t>Rozhraní DS-3</w:t>
      </w:r>
    </w:p>
    <w:p w:rsidR="00242A0C" w:rsidRPr="006532BE" w:rsidRDefault="00242A0C" w:rsidP="00CC4023">
      <w:pPr>
        <w:numPr>
          <w:ilvl w:val="1"/>
          <w:numId w:val="45"/>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Distribuce</w:t>
      </w:r>
    </w:p>
    <w:p w:rsidR="00242A0C" w:rsidRPr="006532BE" w:rsidRDefault="00242A0C" w:rsidP="00694676">
      <w:pPr>
        <w:numPr>
          <w:ilvl w:val="2"/>
          <w:numId w:val="47"/>
        </w:numPr>
        <w:autoSpaceDE w:val="0"/>
        <w:autoSpaceDN w:val="0"/>
        <w:adjustRightInd w:val="0"/>
        <w:spacing w:before="60"/>
        <w:ind w:left="1559" w:hanging="839"/>
        <w:jc w:val="both"/>
        <w:rPr>
          <w:rFonts w:ascii="Arial" w:hAnsi="Arial" w:cs="Arial"/>
          <w:color w:val="000000"/>
          <w:sz w:val="22"/>
          <w:szCs w:val="22"/>
        </w:rPr>
      </w:pPr>
      <w:r w:rsidRPr="006532BE">
        <w:rPr>
          <w:rFonts w:ascii="Arial" w:hAnsi="Arial" w:cs="Arial"/>
          <w:color w:val="000000"/>
          <w:sz w:val="22"/>
          <w:szCs w:val="22"/>
        </w:rPr>
        <w:t>Rozhraní E1</w:t>
      </w:r>
    </w:p>
    <w:p w:rsidR="00242A0C" w:rsidRPr="006532BE" w:rsidRDefault="00242A0C" w:rsidP="00694676">
      <w:pPr>
        <w:numPr>
          <w:ilvl w:val="2"/>
          <w:numId w:val="47"/>
        </w:numPr>
        <w:autoSpaceDE w:val="0"/>
        <w:autoSpaceDN w:val="0"/>
        <w:adjustRightInd w:val="0"/>
        <w:spacing w:before="60"/>
        <w:ind w:left="1559" w:hanging="839"/>
        <w:jc w:val="both"/>
        <w:rPr>
          <w:rFonts w:ascii="Arial" w:hAnsi="Arial" w:cs="Arial"/>
          <w:color w:val="000000"/>
          <w:sz w:val="22"/>
          <w:szCs w:val="22"/>
        </w:rPr>
      </w:pPr>
      <w:r w:rsidRPr="006532BE">
        <w:rPr>
          <w:rFonts w:ascii="Arial" w:hAnsi="Arial" w:cs="Arial"/>
          <w:color w:val="000000"/>
          <w:sz w:val="22"/>
          <w:szCs w:val="22"/>
        </w:rPr>
        <w:t>Rozhraní STM-1</w:t>
      </w:r>
    </w:p>
    <w:p w:rsidR="00242A0C" w:rsidRPr="006532BE" w:rsidRDefault="00242A0C" w:rsidP="00694676">
      <w:pPr>
        <w:numPr>
          <w:ilvl w:val="2"/>
          <w:numId w:val="47"/>
        </w:numPr>
        <w:autoSpaceDE w:val="0"/>
        <w:autoSpaceDN w:val="0"/>
        <w:adjustRightInd w:val="0"/>
        <w:spacing w:before="60"/>
        <w:ind w:left="1559" w:hanging="839"/>
        <w:jc w:val="both"/>
        <w:rPr>
          <w:rFonts w:ascii="Arial" w:hAnsi="Arial" w:cs="Arial"/>
          <w:color w:val="000000"/>
          <w:sz w:val="22"/>
          <w:szCs w:val="22"/>
        </w:rPr>
      </w:pPr>
      <w:r w:rsidRPr="006532BE">
        <w:rPr>
          <w:rFonts w:ascii="Arial" w:hAnsi="Arial" w:cs="Arial"/>
          <w:color w:val="000000"/>
          <w:sz w:val="22"/>
          <w:szCs w:val="22"/>
        </w:rPr>
        <w:t>Rozhraní DS-3</w:t>
      </w:r>
    </w:p>
    <w:p w:rsidR="00242A0C" w:rsidRPr="006532BE" w:rsidRDefault="00242A0C" w:rsidP="008E4FC0">
      <w:pPr>
        <w:numPr>
          <w:ilvl w:val="0"/>
          <w:numId w:val="35"/>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Průměrná propustnost pronajatých okruhů</w:t>
      </w:r>
    </w:p>
    <w:p w:rsidR="00242A0C" w:rsidRPr="006532BE" w:rsidRDefault="00242A0C" w:rsidP="00242A0C">
      <w:pPr>
        <w:numPr>
          <w:ilvl w:val="1"/>
          <w:numId w:val="48"/>
        </w:numPr>
        <w:autoSpaceDE w:val="0"/>
        <w:autoSpaceDN w:val="0"/>
        <w:adjustRightInd w:val="0"/>
        <w:spacing w:before="60"/>
        <w:ind w:left="993" w:hanging="633"/>
        <w:jc w:val="both"/>
        <w:rPr>
          <w:rFonts w:ascii="Arial" w:hAnsi="Arial" w:cs="Arial"/>
          <w:color w:val="000000"/>
          <w:sz w:val="22"/>
          <w:szCs w:val="22"/>
        </w:rPr>
      </w:pPr>
      <w:r w:rsidRPr="006532BE">
        <w:rPr>
          <w:rFonts w:ascii="Arial" w:hAnsi="Arial" w:cs="Arial"/>
          <w:color w:val="000000"/>
          <w:sz w:val="22"/>
          <w:szCs w:val="22"/>
        </w:rPr>
        <w:t xml:space="preserve">Ekvivalentní počet okruhů 64 </w:t>
      </w:r>
      <w:proofErr w:type="spellStart"/>
      <w:r w:rsidRPr="006532BE">
        <w:rPr>
          <w:rFonts w:ascii="Arial" w:hAnsi="Arial" w:cs="Arial"/>
          <w:color w:val="000000"/>
          <w:sz w:val="22"/>
          <w:szCs w:val="22"/>
        </w:rPr>
        <w:t>Kbit</w:t>
      </w:r>
      <w:proofErr w:type="spellEnd"/>
      <w:r w:rsidRPr="006532BE">
        <w:rPr>
          <w:rFonts w:ascii="Arial" w:hAnsi="Arial" w:cs="Arial"/>
          <w:color w:val="000000"/>
          <w:sz w:val="22"/>
          <w:szCs w:val="22"/>
        </w:rPr>
        <w:t xml:space="preserve">/s </w:t>
      </w:r>
    </w:p>
    <w:p w:rsidR="00242A0C" w:rsidRPr="006532BE" w:rsidRDefault="00242A0C" w:rsidP="006C13C0">
      <w:pPr>
        <w:pStyle w:val="Nadpis2"/>
        <w:spacing w:before="240"/>
        <w:jc w:val="both"/>
        <w:rPr>
          <w:rFonts w:ascii="Arial" w:hAnsi="Arial" w:cs="Arial"/>
          <w:i w:val="0"/>
          <w:sz w:val="22"/>
          <w:szCs w:val="22"/>
        </w:rPr>
      </w:pPr>
      <w:r w:rsidRPr="006532BE">
        <w:rPr>
          <w:rFonts w:ascii="Arial" w:hAnsi="Arial" w:cs="Arial"/>
          <w:i w:val="0"/>
          <w:sz w:val="22"/>
          <w:szCs w:val="22"/>
        </w:rPr>
        <w:t>List A4 – Technologická rezerva</w:t>
      </w:r>
    </w:p>
    <w:p w:rsidR="00242A0C" w:rsidRPr="006532BE" w:rsidRDefault="00242A0C" w:rsidP="00F62C63">
      <w:pPr>
        <w:autoSpaceDE w:val="0"/>
        <w:autoSpaceDN w:val="0"/>
        <w:adjustRightInd w:val="0"/>
        <w:spacing w:before="60"/>
        <w:rPr>
          <w:rFonts w:ascii="Arial" w:hAnsi="Arial" w:cs="Arial"/>
          <w:color w:val="000000"/>
          <w:sz w:val="22"/>
          <w:szCs w:val="22"/>
        </w:rPr>
      </w:pPr>
      <w:r w:rsidRPr="006532BE">
        <w:rPr>
          <w:rFonts w:ascii="Arial" w:hAnsi="Arial" w:cs="Arial"/>
          <w:color w:val="000000"/>
          <w:sz w:val="22"/>
          <w:szCs w:val="22"/>
        </w:rPr>
        <w:t>Využití prvků:</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MASN/DSLAM – účastnické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 xml:space="preserve">MSAN/DSLAM – </w:t>
      </w: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MSAN/RSU – účastnické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 xml:space="preserve">MSAN/RSU – </w:t>
      </w: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MSAN/RSU – přepínací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Modul MSAN/TDM-IP – přepínací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 xml:space="preserve">Modul MSAN/TDM-IP – </w:t>
      </w: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 xml:space="preserve">Ethernet přepínač – </w:t>
      </w: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Ethernet přepínač – přepínací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 xml:space="preserve">IP router – </w:t>
      </w: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IP router – přepínací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 xml:space="preserve">Media </w:t>
      </w:r>
      <w:proofErr w:type="spellStart"/>
      <w:r w:rsidRPr="006532BE">
        <w:rPr>
          <w:rFonts w:ascii="Arial" w:hAnsi="Arial" w:cs="Arial"/>
          <w:color w:val="000000"/>
          <w:sz w:val="22"/>
          <w:szCs w:val="22"/>
        </w:rPr>
        <w:t>Gateway</w:t>
      </w:r>
      <w:proofErr w:type="spellEnd"/>
      <w:r w:rsidRPr="006532BE">
        <w:rPr>
          <w:rFonts w:ascii="Arial" w:hAnsi="Arial" w:cs="Arial"/>
          <w:color w:val="000000"/>
          <w:sz w:val="22"/>
          <w:szCs w:val="22"/>
        </w:rPr>
        <w:t xml:space="preserve"> (MGW) – přepínací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 xml:space="preserve">Media </w:t>
      </w:r>
      <w:proofErr w:type="spellStart"/>
      <w:r w:rsidRPr="006532BE">
        <w:rPr>
          <w:rFonts w:ascii="Arial" w:hAnsi="Arial" w:cs="Arial"/>
          <w:color w:val="000000"/>
          <w:sz w:val="22"/>
          <w:szCs w:val="22"/>
        </w:rPr>
        <w:t>Gateway</w:t>
      </w:r>
      <w:proofErr w:type="spellEnd"/>
      <w:r w:rsidRPr="006532BE">
        <w:rPr>
          <w:rFonts w:ascii="Arial" w:hAnsi="Arial" w:cs="Arial"/>
          <w:color w:val="000000"/>
          <w:sz w:val="22"/>
          <w:szCs w:val="22"/>
        </w:rPr>
        <w:t xml:space="preserve"> (MGW) – </w:t>
      </w: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Softwarový přepínač – přepínací karty</w:t>
      </w:r>
    </w:p>
    <w:p w:rsidR="00242A0C" w:rsidRPr="006532BE" w:rsidRDefault="00242A0C" w:rsidP="000D4ABE">
      <w:pPr>
        <w:numPr>
          <w:ilvl w:val="0"/>
          <w:numId w:val="49"/>
        </w:numPr>
        <w:autoSpaceDE w:val="0"/>
        <w:autoSpaceDN w:val="0"/>
        <w:adjustRightInd w:val="0"/>
        <w:spacing w:before="60"/>
        <w:ind w:left="357" w:hanging="357"/>
        <w:rPr>
          <w:rFonts w:ascii="Arial" w:hAnsi="Arial" w:cs="Arial"/>
          <w:color w:val="000000"/>
          <w:sz w:val="22"/>
          <w:szCs w:val="22"/>
        </w:rPr>
      </w:pP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(účtování) hardwaru a softwaru</w:t>
      </w:r>
      <w:r w:rsidR="0047095F" w:rsidRPr="006532BE">
        <w:rPr>
          <w:rFonts w:ascii="Arial" w:hAnsi="Arial" w:cs="Arial"/>
          <w:color w:val="000000"/>
          <w:sz w:val="22"/>
          <w:szCs w:val="22"/>
        </w:rPr>
        <w:t xml:space="preserve"> v </w:t>
      </w:r>
      <w:r w:rsidRPr="006532BE">
        <w:rPr>
          <w:rFonts w:ascii="Arial" w:hAnsi="Arial" w:cs="Arial"/>
          <w:color w:val="000000"/>
          <w:sz w:val="22"/>
          <w:szCs w:val="22"/>
        </w:rPr>
        <w:t>rámci IC</w:t>
      </w:r>
    </w:p>
    <w:p w:rsidR="00242A0C" w:rsidRPr="006532BE" w:rsidRDefault="00242A0C" w:rsidP="00033D78">
      <w:p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 xml:space="preserve">Pro každý uzel uvede stanovený podnik plánovaný faktor využití a délku plánovacího období. </w:t>
      </w:r>
    </w:p>
    <w:p w:rsidR="00242A0C" w:rsidRPr="006532BE" w:rsidRDefault="00242A0C" w:rsidP="005647D9">
      <w:pPr>
        <w:pStyle w:val="Nadpis2"/>
        <w:spacing w:before="240"/>
        <w:jc w:val="both"/>
        <w:rPr>
          <w:rFonts w:ascii="Arial" w:hAnsi="Arial" w:cs="Arial"/>
          <w:i w:val="0"/>
          <w:sz w:val="22"/>
          <w:szCs w:val="22"/>
        </w:rPr>
      </w:pPr>
      <w:r w:rsidRPr="006532BE">
        <w:rPr>
          <w:rFonts w:ascii="Arial" w:hAnsi="Arial" w:cs="Arial"/>
          <w:i w:val="0"/>
          <w:sz w:val="22"/>
          <w:szCs w:val="22"/>
        </w:rPr>
        <w:t>List A5 – Statistika sítě</w:t>
      </w:r>
    </w:p>
    <w:p w:rsidR="00242A0C" w:rsidRPr="006532BE" w:rsidRDefault="00242A0C" w:rsidP="00F62C63">
      <w:pPr>
        <w:autoSpaceDE w:val="0"/>
        <w:autoSpaceDN w:val="0"/>
        <w:adjustRightInd w:val="0"/>
        <w:spacing w:before="60"/>
        <w:rPr>
          <w:rFonts w:ascii="Arial" w:hAnsi="Arial" w:cs="Arial"/>
          <w:color w:val="000000"/>
          <w:sz w:val="22"/>
          <w:szCs w:val="22"/>
        </w:rPr>
      </w:pPr>
      <w:r w:rsidRPr="006532BE">
        <w:rPr>
          <w:rFonts w:ascii="Arial" w:hAnsi="Arial" w:cs="Arial"/>
          <w:color w:val="000000"/>
          <w:sz w:val="22"/>
          <w:szCs w:val="22"/>
        </w:rPr>
        <w:t>Kapacita 2 Mbit/</w:t>
      </w:r>
      <w:proofErr w:type="gramStart"/>
      <w:r w:rsidRPr="006532BE">
        <w:rPr>
          <w:rFonts w:ascii="Arial" w:hAnsi="Arial" w:cs="Arial"/>
          <w:color w:val="000000"/>
          <w:sz w:val="22"/>
          <w:szCs w:val="22"/>
        </w:rPr>
        <w:t>s</w:t>
      </w:r>
      <w:proofErr w:type="gramEnd"/>
      <w:r w:rsidRPr="006532BE">
        <w:rPr>
          <w:rFonts w:ascii="Arial" w:hAnsi="Arial" w:cs="Arial"/>
          <w:color w:val="000000"/>
          <w:sz w:val="22"/>
          <w:szCs w:val="22"/>
        </w:rPr>
        <w:t xml:space="preserve"> okruhu uvedená</w:t>
      </w:r>
      <w:r w:rsidR="0047095F" w:rsidRPr="006532BE">
        <w:rPr>
          <w:rFonts w:ascii="Arial" w:hAnsi="Arial" w:cs="Arial"/>
          <w:color w:val="000000"/>
          <w:sz w:val="22"/>
          <w:szCs w:val="22"/>
        </w:rPr>
        <w:t xml:space="preserve"> v </w:t>
      </w:r>
      <w:proofErr w:type="spellStart"/>
      <w:r w:rsidRPr="006532BE">
        <w:rPr>
          <w:rFonts w:ascii="Arial" w:hAnsi="Arial" w:cs="Arial"/>
          <w:color w:val="000000"/>
          <w:sz w:val="22"/>
          <w:szCs w:val="22"/>
        </w:rPr>
        <w:t>Erlangs</w:t>
      </w:r>
      <w:proofErr w:type="spellEnd"/>
    </w:p>
    <w:p w:rsidR="00242A0C" w:rsidRPr="006532BE" w:rsidRDefault="00242A0C" w:rsidP="00823426">
      <w:pPr>
        <w:numPr>
          <w:ilvl w:val="0"/>
          <w:numId w:val="50"/>
        </w:numPr>
        <w:autoSpaceDE w:val="0"/>
        <w:autoSpaceDN w:val="0"/>
        <w:adjustRightInd w:val="0"/>
        <w:spacing w:before="60"/>
        <w:ind w:left="357" w:hanging="357"/>
        <w:rPr>
          <w:rFonts w:ascii="Arial" w:hAnsi="Arial" w:cs="Arial"/>
          <w:color w:val="000000"/>
          <w:sz w:val="22"/>
          <w:szCs w:val="22"/>
        </w:rPr>
      </w:pPr>
      <w:r w:rsidRPr="006532BE">
        <w:rPr>
          <w:rFonts w:ascii="Arial" w:hAnsi="Arial" w:cs="Arial"/>
          <w:color w:val="000000"/>
          <w:sz w:val="22"/>
          <w:szCs w:val="22"/>
        </w:rPr>
        <w:t>Specifikace síťových prvků</w:t>
      </w:r>
    </w:p>
    <w:p w:rsidR="00242A0C" w:rsidRPr="006532BE" w:rsidRDefault="00242A0C" w:rsidP="00F62C63">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MSAN/DSLAM</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Šasi – počet kartových slotů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jednotlivých typů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lastRenderedPageBreak/>
        <w:t>Účastnické karty – Typ 1 – ADSL – počet portů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Účastnické karty – Typ 2 – SHDSL – počet portů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Účastnické karty – Typ 3 – VDSL – počet portů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SFP modul – počet GE portů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jednotlivých typů</w:t>
      </w:r>
    </w:p>
    <w:p w:rsidR="00242A0C" w:rsidRPr="006532BE" w:rsidRDefault="00242A0C" w:rsidP="002075E6">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MSAN/RSU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Šasi – počet kartových slotů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jednotlivých typů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Účastnické karty – Typ 1 – POTS – počet portů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Účastnické karty – Typ 2 – ISDN-BRA – počet portů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Přepínací karty – Typ 1 (DTRH) – počet E1</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Přepínací karty – Typ 2 (DTRF) – počet E1</w:t>
      </w:r>
    </w:p>
    <w:p w:rsidR="00242A0C" w:rsidRPr="006532BE" w:rsidRDefault="00242A0C" w:rsidP="002075E6">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Specifikace MSAN/TDM-IP modulu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Šasi – počet kartových slotů nebo přepínací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E1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jednotlivých typů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TDM karty – počet E1 portů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jednotlivých typů</w:t>
      </w:r>
    </w:p>
    <w:p w:rsidR="00242A0C" w:rsidRPr="006532BE" w:rsidRDefault="00242A0C" w:rsidP="002075E6">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Statistika Ethernet okruhů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Propustnost okruhu (</w:t>
      </w:r>
      <w:proofErr w:type="spellStart"/>
      <w:r w:rsidRPr="006532BE">
        <w:rPr>
          <w:rFonts w:ascii="Arial" w:hAnsi="Arial" w:cs="Arial"/>
          <w:color w:val="000000"/>
          <w:sz w:val="22"/>
          <w:szCs w:val="22"/>
        </w:rPr>
        <w:t>backhaul</w:t>
      </w:r>
      <w:proofErr w:type="spellEnd"/>
      <w:r w:rsidRPr="006532BE">
        <w:rPr>
          <w:rFonts w:ascii="Arial" w:hAnsi="Arial" w:cs="Arial"/>
          <w:color w:val="000000"/>
          <w:sz w:val="22"/>
          <w:szCs w:val="22"/>
        </w:rPr>
        <w:t>)</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Provozní rezerva (</w:t>
      </w:r>
      <w:proofErr w:type="spellStart"/>
      <w:r w:rsidRPr="006532BE">
        <w:rPr>
          <w:rFonts w:ascii="Arial" w:hAnsi="Arial" w:cs="Arial"/>
          <w:color w:val="000000"/>
          <w:sz w:val="22"/>
          <w:szCs w:val="22"/>
        </w:rPr>
        <w:t>backhaul</w:t>
      </w:r>
      <w:proofErr w:type="spellEnd"/>
      <w:r w:rsidRPr="006532BE">
        <w:rPr>
          <w:rFonts w:ascii="Arial" w:hAnsi="Arial" w:cs="Arial"/>
          <w:color w:val="000000"/>
          <w:sz w:val="22"/>
          <w:szCs w:val="22"/>
        </w:rPr>
        <w:t>)</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Propustnost okruhu (ETH-IP)</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Provozní rezerva (ETH-IP)</w:t>
      </w:r>
    </w:p>
    <w:p w:rsidR="00242A0C" w:rsidRPr="006532BE" w:rsidRDefault="00242A0C" w:rsidP="002075E6">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Ethernet přepínač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Šasi – počet kartových slotů pro </w:t>
      </w: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a přepínací karty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 xml:space="preserve">jednotlivých typů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Přepínací karty – kapacita</w:t>
      </w:r>
      <w:r w:rsidR="0047095F" w:rsidRPr="006532BE">
        <w:rPr>
          <w:rFonts w:ascii="Arial" w:hAnsi="Arial" w:cs="Arial"/>
          <w:color w:val="000000"/>
          <w:sz w:val="22"/>
          <w:szCs w:val="22"/>
        </w:rPr>
        <w:t xml:space="preserve"> v </w:t>
      </w:r>
      <w:proofErr w:type="spellStart"/>
      <w:r w:rsidRPr="006532BE">
        <w:rPr>
          <w:rFonts w:ascii="Arial" w:hAnsi="Arial" w:cs="Arial"/>
          <w:color w:val="000000"/>
          <w:sz w:val="22"/>
          <w:szCs w:val="22"/>
        </w:rPr>
        <w:t>Gbit</w:t>
      </w:r>
      <w:proofErr w:type="spellEnd"/>
      <w:r w:rsidRPr="006532BE">
        <w:rPr>
          <w:rFonts w:ascii="Arial" w:hAnsi="Arial" w:cs="Arial"/>
          <w:color w:val="000000"/>
          <w:sz w:val="22"/>
          <w:szCs w:val="22"/>
        </w:rPr>
        <w:t xml:space="preserve">/s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karty 1GE port – počet SFP slotů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jednotlivých typů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karty 10 GE portů – počet XFP slotů nebo </w:t>
      </w:r>
      <w:proofErr w:type="spellStart"/>
      <w:r w:rsidRPr="006532BE">
        <w:rPr>
          <w:rFonts w:ascii="Arial" w:hAnsi="Arial" w:cs="Arial"/>
          <w:color w:val="000000"/>
          <w:sz w:val="22"/>
          <w:szCs w:val="22"/>
        </w:rPr>
        <w:t>xenpack</w:t>
      </w:r>
      <w:proofErr w:type="spellEnd"/>
      <w:r w:rsidRPr="006532BE">
        <w:rPr>
          <w:rFonts w:ascii="Arial" w:hAnsi="Arial" w:cs="Arial"/>
          <w:color w:val="000000"/>
          <w:sz w:val="22"/>
          <w:szCs w:val="22"/>
        </w:rPr>
        <w:t xml:space="preserve"> slotů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jednotlivých typů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(SFP) – SR (krátký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(SFP) – LR (dlouhý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(XFP) – SR (krátký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(XFP) – LR (dlouhý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w:t>
      </w:r>
      <w:proofErr w:type="spellStart"/>
      <w:r w:rsidRPr="006532BE">
        <w:rPr>
          <w:rFonts w:ascii="Arial" w:hAnsi="Arial" w:cs="Arial"/>
          <w:color w:val="000000"/>
          <w:sz w:val="22"/>
          <w:szCs w:val="22"/>
        </w:rPr>
        <w:t>xenpack</w:t>
      </w:r>
      <w:proofErr w:type="spellEnd"/>
      <w:r w:rsidRPr="006532BE">
        <w:rPr>
          <w:rFonts w:ascii="Arial" w:hAnsi="Arial" w:cs="Arial"/>
          <w:color w:val="000000"/>
          <w:sz w:val="22"/>
          <w:szCs w:val="22"/>
        </w:rPr>
        <w:t>) – SR (krátký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w:t>
      </w:r>
      <w:proofErr w:type="spellStart"/>
      <w:r w:rsidRPr="006532BE">
        <w:rPr>
          <w:rFonts w:ascii="Arial" w:hAnsi="Arial" w:cs="Arial"/>
          <w:color w:val="000000"/>
          <w:sz w:val="22"/>
          <w:szCs w:val="22"/>
        </w:rPr>
        <w:t>xenpack</w:t>
      </w:r>
      <w:proofErr w:type="spellEnd"/>
      <w:r w:rsidRPr="006532BE">
        <w:rPr>
          <w:rFonts w:ascii="Arial" w:hAnsi="Arial" w:cs="Arial"/>
          <w:color w:val="000000"/>
          <w:sz w:val="22"/>
          <w:szCs w:val="22"/>
        </w:rPr>
        <w:t>) – LR (dlouhý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2075E6">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IP routery – místní uzel</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Šasi – počet kartových slotů pro </w:t>
      </w: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a přepínací karty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 xml:space="preserve">jednotlivých typů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Přepínací karty – kapacita</w:t>
      </w:r>
      <w:r w:rsidR="0047095F" w:rsidRPr="006532BE">
        <w:rPr>
          <w:rFonts w:ascii="Arial" w:hAnsi="Arial" w:cs="Arial"/>
          <w:color w:val="000000"/>
          <w:sz w:val="22"/>
          <w:szCs w:val="22"/>
        </w:rPr>
        <w:t xml:space="preserve"> v </w:t>
      </w:r>
      <w:proofErr w:type="spellStart"/>
      <w:r w:rsidRPr="006532BE">
        <w:rPr>
          <w:rFonts w:ascii="Arial" w:hAnsi="Arial" w:cs="Arial"/>
          <w:color w:val="000000"/>
          <w:sz w:val="22"/>
          <w:szCs w:val="22"/>
        </w:rPr>
        <w:t>Gbit</w:t>
      </w:r>
      <w:proofErr w:type="spellEnd"/>
      <w:r w:rsidRPr="006532BE">
        <w:rPr>
          <w:rFonts w:ascii="Arial" w:hAnsi="Arial" w:cs="Arial"/>
          <w:color w:val="000000"/>
          <w:sz w:val="22"/>
          <w:szCs w:val="22"/>
        </w:rPr>
        <w:t xml:space="preserve">/s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karty 1GE port – počet SFP slotů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jednotlivých typů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karty 10 GE portů – počet XFP slotů nebo </w:t>
      </w:r>
      <w:proofErr w:type="spellStart"/>
      <w:r w:rsidRPr="006532BE">
        <w:rPr>
          <w:rFonts w:ascii="Arial" w:hAnsi="Arial" w:cs="Arial"/>
          <w:color w:val="000000"/>
          <w:sz w:val="22"/>
          <w:szCs w:val="22"/>
        </w:rPr>
        <w:t>xenpack</w:t>
      </w:r>
      <w:proofErr w:type="spellEnd"/>
      <w:r w:rsidRPr="006532BE">
        <w:rPr>
          <w:rFonts w:ascii="Arial" w:hAnsi="Arial" w:cs="Arial"/>
          <w:color w:val="000000"/>
          <w:sz w:val="22"/>
          <w:szCs w:val="22"/>
        </w:rPr>
        <w:t xml:space="preserve"> slotů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jednotlivých typů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(SFP) – SR (krátký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(SFP) – LR (dlouhý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(XFP) – SR (krátký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(XFP) – LR (dlouhý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w:t>
      </w:r>
      <w:proofErr w:type="spellStart"/>
      <w:r w:rsidRPr="006532BE">
        <w:rPr>
          <w:rFonts w:ascii="Arial" w:hAnsi="Arial" w:cs="Arial"/>
          <w:color w:val="000000"/>
          <w:sz w:val="22"/>
          <w:szCs w:val="22"/>
        </w:rPr>
        <w:t>xenpack</w:t>
      </w:r>
      <w:proofErr w:type="spellEnd"/>
      <w:r w:rsidRPr="006532BE">
        <w:rPr>
          <w:rFonts w:ascii="Arial" w:hAnsi="Arial" w:cs="Arial"/>
          <w:color w:val="000000"/>
          <w:sz w:val="22"/>
          <w:szCs w:val="22"/>
        </w:rPr>
        <w:t>) – SR (krátký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w:t>
      </w:r>
      <w:proofErr w:type="spellStart"/>
      <w:r w:rsidRPr="006532BE">
        <w:rPr>
          <w:rFonts w:ascii="Arial" w:hAnsi="Arial" w:cs="Arial"/>
          <w:color w:val="000000"/>
          <w:sz w:val="22"/>
          <w:szCs w:val="22"/>
        </w:rPr>
        <w:t>xenpack</w:t>
      </w:r>
      <w:proofErr w:type="spellEnd"/>
      <w:r w:rsidRPr="006532BE">
        <w:rPr>
          <w:rFonts w:ascii="Arial" w:hAnsi="Arial" w:cs="Arial"/>
          <w:color w:val="000000"/>
          <w:sz w:val="22"/>
          <w:szCs w:val="22"/>
        </w:rPr>
        <w:t>) – LR (dlouhý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2075E6">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IP routery – tranzitní uzel</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lastRenderedPageBreak/>
        <w:t>Šasi – počet kartových slotů pro </w:t>
      </w: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a přepínací karty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 xml:space="preserve">jednotlivých typů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Přepínací karty – kapacita</w:t>
      </w:r>
      <w:r w:rsidR="0047095F" w:rsidRPr="006532BE">
        <w:rPr>
          <w:rFonts w:ascii="Arial" w:hAnsi="Arial" w:cs="Arial"/>
          <w:color w:val="000000"/>
          <w:sz w:val="22"/>
          <w:szCs w:val="22"/>
        </w:rPr>
        <w:t xml:space="preserve"> v </w:t>
      </w:r>
      <w:proofErr w:type="spellStart"/>
      <w:r w:rsidRPr="006532BE">
        <w:rPr>
          <w:rFonts w:ascii="Arial" w:hAnsi="Arial" w:cs="Arial"/>
          <w:color w:val="000000"/>
          <w:sz w:val="22"/>
          <w:szCs w:val="22"/>
        </w:rPr>
        <w:t>Gbit</w:t>
      </w:r>
      <w:proofErr w:type="spellEnd"/>
      <w:r w:rsidRPr="006532BE">
        <w:rPr>
          <w:rFonts w:ascii="Arial" w:hAnsi="Arial" w:cs="Arial"/>
          <w:color w:val="000000"/>
          <w:sz w:val="22"/>
          <w:szCs w:val="22"/>
        </w:rPr>
        <w:t>/s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 xml:space="preserve">jednotlivých typů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karty 10 GE portů – počet </w:t>
      </w:r>
      <w:proofErr w:type="spellStart"/>
      <w:r w:rsidRPr="006532BE">
        <w:rPr>
          <w:rFonts w:ascii="Arial" w:hAnsi="Arial" w:cs="Arial"/>
          <w:color w:val="000000"/>
          <w:sz w:val="22"/>
          <w:szCs w:val="22"/>
        </w:rPr>
        <w:t>xenpack</w:t>
      </w:r>
      <w:proofErr w:type="spellEnd"/>
      <w:r w:rsidRPr="006532BE">
        <w:rPr>
          <w:rFonts w:ascii="Arial" w:hAnsi="Arial" w:cs="Arial"/>
          <w:color w:val="000000"/>
          <w:sz w:val="22"/>
          <w:szCs w:val="22"/>
        </w:rPr>
        <w:t xml:space="preserve"> slotů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jednotlivých typů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w:t>
      </w:r>
      <w:proofErr w:type="spellStart"/>
      <w:r w:rsidRPr="006532BE">
        <w:rPr>
          <w:rFonts w:ascii="Arial" w:hAnsi="Arial" w:cs="Arial"/>
          <w:color w:val="000000"/>
          <w:sz w:val="22"/>
          <w:szCs w:val="22"/>
        </w:rPr>
        <w:t>xenpack</w:t>
      </w:r>
      <w:proofErr w:type="spellEnd"/>
      <w:r w:rsidRPr="006532BE">
        <w:rPr>
          <w:rFonts w:ascii="Arial" w:hAnsi="Arial" w:cs="Arial"/>
          <w:color w:val="000000"/>
          <w:sz w:val="22"/>
          <w:szCs w:val="22"/>
        </w:rPr>
        <w:t>) – SR (krátký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Optické moduly (</w:t>
      </w:r>
      <w:proofErr w:type="spellStart"/>
      <w:r w:rsidRPr="006532BE">
        <w:rPr>
          <w:rFonts w:ascii="Arial" w:hAnsi="Arial" w:cs="Arial"/>
          <w:color w:val="000000"/>
          <w:sz w:val="22"/>
          <w:szCs w:val="22"/>
        </w:rPr>
        <w:t>xenpack</w:t>
      </w:r>
      <w:proofErr w:type="spellEnd"/>
      <w:r w:rsidRPr="006532BE">
        <w:rPr>
          <w:rFonts w:ascii="Arial" w:hAnsi="Arial" w:cs="Arial"/>
          <w:color w:val="000000"/>
          <w:sz w:val="22"/>
          <w:szCs w:val="22"/>
        </w:rPr>
        <w:t>) – LR (dlouhý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2075E6">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Media </w:t>
      </w:r>
      <w:proofErr w:type="spellStart"/>
      <w:r w:rsidRPr="006532BE">
        <w:rPr>
          <w:rFonts w:ascii="Arial" w:hAnsi="Arial" w:cs="Arial"/>
          <w:color w:val="000000"/>
          <w:sz w:val="22"/>
          <w:szCs w:val="22"/>
        </w:rPr>
        <w:t>Gateway</w:t>
      </w:r>
      <w:proofErr w:type="spellEnd"/>
      <w:r w:rsidRPr="006532BE">
        <w:rPr>
          <w:rFonts w:ascii="Arial" w:hAnsi="Arial" w:cs="Arial"/>
          <w:color w:val="000000"/>
          <w:sz w:val="22"/>
          <w:szCs w:val="22"/>
        </w:rPr>
        <w:t xml:space="preserve"> (MGW)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Skříň – počet šasi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Šasi – počet kartových slotů pro </w:t>
      </w: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a přepínací karty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karty 1GE port – počet SFP slotů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proofErr w:type="spellStart"/>
      <w:r w:rsidRPr="006532BE">
        <w:rPr>
          <w:rFonts w:ascii="Arial" w:hAnsi="Arial" w:cs="Arial"/>
          <w:color w:val="000000"/>
          <w:sz w:val="22"/>
          <w:szCs w:val="22"/>
        </w:rPr>
        <w:t>Trunkové</w:t>
      </w:r>
      <w:proofErr w:type="spellEnd"/>
      <w:r w:rsidRPr="006532BE">
        <w:rPr>
          <w:rFonts w:ascii="Arial" w:hAnsi="Arial" w:cs="Arial"/>
          <w:color w:val="000000"/>
          <w:sz w:val="22"/>
          <w:szCs w:val="22"/>
        </w:rPr>
        <w:t xml:space="preserve"> karty E1/STM –</w:t>
      </w:r>
      <w:r w:rsidR="006A741C" w:rsidRPr="006532BE">
        <w:rPr>
          <w:rFonts w:ascii="Arial" w:hAnsi="Arial" w:cs="Arial"/>
          <w:color w:val="000000"/>
          <w:sz w:val="22"/>
          <w:szCs w:val="22"/>
        </w:rPr>
        <w:t xml:space="preserve"> </w:t>
      </w:r>
      <w:r w:rsidRPr="006532BE">
        <w:rPr>
          <w:rFonts w:ascii="Arial" w:hAnsi="Arial" w:cs="Arial"/>
          <w:color w:val="000000"/>
          <w:sz w:val="22"/>
          <w:szCs w:val="22"/>
        </w:rPr>
        <w:t>počet E1, STM-1, DS-3 portů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jednotlivých typů</w:t>
      </w:r>
    </w:p>
    <w:p w:rsidR="00242A0C" w:rsidRPr="006532BE" w:rsidRDefault="00242A0C" w:rsidP="00EE78CA">
      <w:pPr>
        <w:numPr>
          <w:ilvl w:val="2"/>
          <w:numId w:val="50"/>
        </w:numPr>
        <w:autoSpaceDE w:val="0"/>
        <w:autoSpaceDN w:val="0"/>
        <w:adjustRightInd w:val="0"/>
        <w:spacing w:before="60"/>
        <w:ind w:left="1225" w:hanging="505"/>
        <w:rPr>
          <w:rFonts w:ascii="Arial" w:hAnsi="Arial" w:cs="Arial"/>
          <w:color w:val="000000"/>
          <w:sz w:val="22"/>
          <w:szCs w:val="22"/>
        </w:rPr>
      </w:pPr>
      <w:r w:rsidRPr="006532BE">
        <w:rPr>
          <w:rFonts w:ascii="Arial" w:hAnsi="Arial" w:cs="Arial"/>
          <w:color w:val="000000"/>
          <w:sz w:val="22"/>
          <w:szCs w:val="22"/>
        </w:rPr>
        <w:t>Optické moduly (SFP) – SR (krátký rozsah) – kapacita</w:t>
      </w:r>
      <w:r w:rsidR="0047095F" w:rsidRPr="006532BE">
        <w:rPr>
          <w:rFonts w:ascii="Arial" w:hAnsi="Arial" w:cs="Arial"/>
          <w:color w:val="000000"/>
          <w:sz w:val="22"/>
          <w:szCs w:val="22"/>
        </w:rPr>
        <w:t xml:space="preserve"> v </w:t>
      </w:r>
      <w:r w:rsidRPr="006532BE">
        <w:rPr>
          <w:rFonts w:ascii="Arial" w:hAnsi="Arial" w:cs="Arial"/>
          <w:color w:val="000000"/>
          <w:sz w:val="22"/>
          <w:szCs w:val="22"/>
        </w:rPr>
        <w:t>GE</w:t>
      </w:r>
    </w:p>
    <w:p w:rsidR="00242A0C" w:rsidRPr="006532BE" w:rsidRDefault="00242A0C" w:rsidP="002075E6">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Softwarový přepínač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Skříň – počet šasi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Úložiště – počtem slotů</w:t>
      </w:r>
      <w:r w:rsidR="0047095F" w:rsidRPr="006532BE">
        <w:rPr>
          <w:rFonts w:ascii="Arial" w:hAnsi="Arial" w:cs="Arial"/>
          <w:color w:val="000000"/>
          <w:sz w:val="22"/>
          <w:szCs w:val="22"/>
        </w:rPr>
        <w:t xml:space="preserve"> na </w:t>
      </w:r>
      <w:r w:rsidRPr="006532BE">
        <w:rPr>
          <w:rFonts w:ascii="Arial" w:hAnsi="Arial" w:cs="Arial"/>
          <w:color w:val="000000"/>
          <w:sz w:val="22"/>
          <w:szCs w:val="22"/>
        </w:rPr>
        <w:t xml:space="preserve">zpracovací karty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Procesní karty – kapacita</w:t>
      </w:r>
      <w:r w:rsidR="0047095F" w:rsidRPr="006532BE">
        <w:rPr>
          <w:rFonts w:ascii="Arial" w:hAnsi="Arial" w:cs="Arial"/>
          <w:color w:val="000000"/>
          <w:sz w:val="22"/>
          <w:szCs w:val="22"/>
        </w:rPr>
        <w:t xml:space="preserve"> v </w:t>
      </w:r>
      <w:proofErr w:type="spellStart"/>
      <w:r w:rsidRPr="006532BE">
        <w:rPr>
          <w:rFonts w:ascii="Arial" w:hAnsi="Arial" w:cs="Arial"/>
          <w:color w:val="000000"/>
          <w:sz w:val="22"/>
          <w:szCs w:val="22"/>
        </w:rPr>
        <w:t>Erlangs</w:t>
      </w:r>
      <w:proofErr w:type="spellEnd"/>
      <w:r w:rsidRPr="006532BE">
        <w:rPr>
          <w:rFonts w:ascii="Arial" w:hAnsi="Arial" w:cs="Arial"/>
          <w:color w:val="000000"/>
          <w:sz w:val="22"/>
          <w:szCs w:val="22"/>
        </w:rPr>
        <w:t xml:space="preserve">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Minimální počet skříní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 xml:space="preserve">softwarový přepínač </w:t>
      </w:r>
    </w:p>
    <w:p w:rsidR="00242A0C" w:rsidRPr="006532BE" w:rsidRDefault="00242A0C" w:rsidP="002075E6">
      <w:pPr>
        <w:numPr>
          <w:ilvl w:val="1"/>
          <w:numId w:val="50"/>
        </w:numPr>
        <w:autoSpaceDE w:val="0"/>
        <w:autoSpaceDN w:val="0"/>
        <w:adjustRightInd w:val="0"/>
        <w:spacing w:before="60"/>
        <w:ind w:left="992" w:hanging="635"/>
        <w:rPr>
          <w:rFonts w:ascii="Arial" w:hAnsi="Arial" w:cs="Arial"/>
          <w:color w:val="000000"/>
          <w:sz w:val="22"/>
          <w:szCs w:val="22"/>
        </w:rPr>
      </w:pPr>
      <w:proofErr w:type="spellStart"/>
      <w:r w:rsidRPr="006532BE">
        <w:rPr>
          <w:rFonts w:ascii="Arial" w:hAnsi="Arial" w:cs="Arial"/>
          <w:color w:val="000000"/>
          <w:sz w:val="22"/>
          <w:szCs w:val="22"/>
        </w:rPr>
        <w:t>Billingový</w:t>
      </w:r>
      <w:proofErr w:type="spellEnd"/>
      <w:r w:rsidRPr="006532BE">
        <w:rPr>
          <w:rFonts w:ascii="Arial" w:hAnsi="Arial" w:cs="Arial"/>
          <w:color w:val="000000"/>
          <w:sz w:val="22"/>
          <w:szCs w:val="22"/>
        </w:rPr>
        <w:t xml:space="preserve"> systém IC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Šasi – počet kartových slotů </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Procesní karty – počet minut </w:t>
      </w:r>
    </w:p>
    <w:p w:rsidR="00242A0C" w:rsidRPr="006532BE" w:rsidRDefault="00242A0C" w:rsidP="003775F1">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 xml:space="preserve">Specifikace </w:t>
      </w:r>
      <w:proofErr w:type="spellStart"/>
      <w:r w:rsidRPr="006532BE">
        <w:rPr>
          <w:rFonts w:ascii="Arial" w:hAnsi="Arial" w:cs="Arial"/>
          <w:color w:val="000000"/>
          <w:sz w:val="22"/>
          <w:szCs w:val="22"/>
        </w:rPr>
        <w:t>kabelovodů</w:t>
      </w:r>
      <w:proofErr w:type="spellEnd"/>
      <w:r w:rsidRPr="006532BE">
        <w:rPr>
          <w:rFonts w:ascii="Arial" w:hAnsi="Arial" w:cs="Arial"/>
          <w:color w:val="000000"/>
          <w:sz w:val="22"/>
          <w:szCs w:val="22"/>
        </w:rPr>
        <w:t xml:space="preserve"> a optických kabelů</w:t>
      </w:r>
    </w:p>
    <w:p w:rsidR="00242A0C" w:rsidRPr="006532BE" w:rsidRDefault="00242A0C" w:rsidP="00F62C63">
      <w:pPr>
        <w:autoSpaceDE w:val="0"/>
        <w:autoSpaceDN w:val="0"/>
        <w:adjustRightInd w:val="0"/>
        <w:spacing w:before="60"/>
        <w:rPr>
          <w:rFonts w:ascii="Arial" w:hAnsi="Arial" w:cs="Arial"/>
          <w:color w:val="000000"/>
          <w:sz w:val="22"/>
          <w:szCs w:val="22"/>
        </w:rPr>
      </w:pPr>
      <w:r w:rsidRPr="006532BE">
        <w:rPr>
          <w:rFonts w:ascii="Arial" w:hAnsi="Arial" w:cs="Arial"/>
          <w:color w:val="000000"/>
          <w:sz w:val="22"/>
          <w:szCs w:val="22"/>
        </w:rPr>
        <w:t>Délka optických kabelů</w:t>
      </w:r>
      <w:r w:rsidR="0047095F" w:rsidRPr="006532BE">
        <w:rPr>
          <w:rFonts w:ascii="Arial" w:hAnsi="Arial" w:cs="Arial"/>
          <w:color w:val="000000"/>
          <w:sz w:val="22"/>
          <w:szCs w:val="22"/>
        </w:rPr>
        <w:t xml:space="preserve"> v </w:t>
      </w:r>
      <w:r w:rsidRPr="006532BE">
        <w:rPr>
          <w:rFonts w:ascii="Arial" w:hAnsi="Arial" w:cs="Arial"/>
          <w:color w:val="000000"/>
          <w:sz w:val="22"/>
          <w:szCs w:val="22"/>
        </w:rPr>
        <w:t>km</w:t>
      </w:r>
    </w:p>
    <w:p w:rsidR="00242A0C" w:rsidRPr="006532BE" w:rsidRDefault="00242A0C" w:rsidP="005647D9">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Přístupový uzel</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Městský </w:t>
      </w:r>
      <w:proofErr w:type="spellStart"/>
      <w:r w:rsidRPr="006532BE">
        <w:rPr>
          <w:rFonts w:ascii="Arial" w:hAnsi="Arial" w:cs="Arial"/>
          <w:color w:val="000000"/>
          <w:sz w:val="22"/>
          <w:szCs w:val="22"/>
        </w:rPr>
        <w:t>geotyp</w:t>
      </w:r>
      <w:proofErr w:type="spellEnd"/>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Příměstský </w:t>
      </w:r>
      <w:proofErr w:type="spellStart"/>
      <w:r w:rsidRPr="006532BE">
        <w:rPr>
          <w:rFonts w:ascii="Arial" w:hAnsi="Arial" w:cs="Arial"/>
          <w:color w:val="000000"/>
          <w:sz w:val="22"/>
          <w:szCs w:val="22"/>
        </w:rPr>
        <w:t>geotyp</w:t>
      </w:r>
      <w:proofErr w:type="spellEnd"/>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Venkovský </w:t>
      </w:r>
      <w:proofErr w:type="spellStart"/>
      <w:r w:rsidRPr="006532BE">
        <w:rPr>
          <w:rFonts w:ascii="Arial" w:hAnsi="Arial" w:cs="Arial"/>
          <w:color w:val="000000"/>
          <w:sz w:val="22"/>
          <w:szCs w:val="22"/>
        </w:rPr>
        <w:t>geotyp</w:t>
      </w:r>
      <w:proofErr w:type="spellEnd"/>
    </w:p>
    <w:p w:rsidR="00242A0C" w:rsidRPr="006532BE" w:rsidRDefault="00242A0C" w:rsidP="002075E6">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Místní uzel</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Městský </w:t>
      </w:r>
      <w:proofErr w:type="spellStart"/>
      <w:r w:rsidRPr="006532BE">
        <w:rPr>
          <w:rFonts w:ascii="Arial" w:hAnsi="Arial" w:cs="Arial"/>
          <w:color w:val="000000"/>
          <w:sz w:val="22"/>
          <w:szCs w:val="22"/>
        </w:rPr>
        <w:t>geotyp</w:t>
      </w:r>
      <w:proofErr w:type="spellEnd"/>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Příměstský </w:t>
      </w:r>
      <w:proofErr w:type="spellStart"/>
      <w:r w:rsidRPr="006532BE">
        <w:rPr>
          <w:rFonts w:ascii="Arial" w:hAnsi="Arial" w:cs="Arial"/>
          <w:color w:val="000000"/>
          <w:sz w:val="22"/>
          <w:szCs w:val="22"/>
        </w:rPr>
        <w:t>geotyp</w:t>
      </w:r>
      <w:proofErr w:type="spellEnd"/>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Venkovský </w:t>
      </w:r>
      <w:proofErr w:type="spellStart"/>
      <w:r w:rsidRPr="006532BE">
        <w:rPr>
          <w:rFonts w:ascii="Arial" w:hAnsi="Arial" w:cs="Arial"/>
          <w:color w:val="000000"/>
          <w:sz w:val="22"/>
          <w:szCs w:val="22"/>
        </w:rPr>
        <w:t>geotyp</w:t>
      </w:r>
      <w:proofErr w:type="spellEnd"/>
    </w:p>
    <w:p w:rsidR="00242A0C" w:rsidRPr="006532BE" w:rsidRDefault="00242A0C" w:rsidP="002075E6">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Tranzitní uzel</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Městský </w:t>
      </w:r>
      <w:proofErr w:type="spellStart"/>
      <w:r w:rsidRPr="006532BE">
        <w:rPr>
          <w:rFonts w:ascii="Arial" w:hAnsi="Arial" w:cs="Arial"/>
          <w:color w:val="000000"/>
          <w:sz w:val="22"/>
          <w:szCs w:val="22"/>
        </w:rPr>
        <w:t>geotyp</w:t>
      </w:r>
      <w:proofErr w:type="spellEnd"/>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Příměstský </w:t>
      </w:r>
      <w:proofErr w:type="spellStart"/>
      <w:r w:rsidRPr="006532BE">
        <w:rPr>
          <w:rFonts w:ascii="Arial" w:hAnsi="Arial" w:cs="Arial"/>
          <w:color w:val="000000"/>
          <w:sz w:val="22"/>
          <w:szCs w:val="22"/>
        </w:rPr>
        <w:t>geotyp</w:t>
      </w:r>
      <w:proofErr w:type="spellEnd"/>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Venkovský </w:t>
      </w:r>
      <w:proofErr w:type="spellStart"/>
      <w:r w:rsidRPr="006532BE">
        <w:rPr>
          <w:rFonts w:ascii="Arial" w:hAnsi="Arial" w:cs="Arial"/>
          <w:color w:val="000000"/>
          <w:sz w:val="22"/>
          <w:szCs w:val="22"/>
        </w:rPr>
        <w:t>geotyp</w:t>
      </w:r>
      <w:proofErr w:type="spellEnd"/>
    </w:p>
    <w:p w:rsidR="00242A0C" w:rsidRPr="006532BE" w:rsidRDefault="00242A0C" w:rsidP="003775F1">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Průměrný počet vláken</w:t>
      </w:r>
      <w:r w:rsidR="0047095F" w:rsidRPr="006532BE">
        <w:rPr>
          <w:rFonts w:ascii="Arial" w:hAnsi="Arial" w:cs="Arial"/>
          <w:color w:val="000000"/>
          <w:sz w:val="22"/>
          <w:szCs w:val="22"/>
        </w:rPr>
        <w:t xml:space="preserve"> v </w:t>
      </w:r>
      <w:r w:rsidRPr="006532BE">
        <w:rPr>
          <w:rFonts w:ascii="Arial" w:hAnsi="Arial" w:cs="Arial"/>
          <w:color w:val="000000"/>
          <w:sz w:val="22"/>
          <w:szCs w:val="22"/>
        </w:rPr>
        <w:t>kabelu pro každou úroveň sítě</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Přístupový uzel – místní uzel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Místní uzel – tranzitní uzel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Tranzitní uzel – tranzitní uzel </w:t>
      </w:r>
    </w:p>
    <w:p w:rsidR="00242A0C" w:rsidRPr="006532BE" w:rsidRDefault="00242A0C" w:rsidP="003775F1">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 xml:space="preserve">Typy </w:t>
      </w:r>
      <w:proofErr w:type="spellStart"/>
      <w:r w:rsidRPr="006532BE">
        <w:rPr>
          <w:rFonts w:ascii="Arial" w:hAnsi="Arial" w:cs="Arial"/>
          <w:color w:val="000000"/>
          <w:sz w:val="22"/>
          <w:szCs w:val="22"/>
        </w:rPr>
        <w:t>kabelovodů</w:t>
      </w:r>
      <w:proofErr w:type="spellEnd"/>
      <w:r w:rsidRPr="006532BE">
        <w:rPr>
          <w:rFonts w:ascii="Arial" w:hAnsi="Arial" w:cs="Arial"/>
          <w:color w:val="000000"/>
          <w:sz w:val="22"/>
          <w:szCs w:val="22"/>
        </w:rPr>
        <w:t xml:space="preserve"> použitých</w:t>
      </w:r>
      <w:r w:rsidR="0047095F" w:rsidRPr="006532BE">
        <w:rPr>
          <w:rFonts w:ascii="Arial" w:hAnsi="Arial" w:cs="Arial"/>
          <w:color w:val="000000"/>
          <w:sz w:val="22"/>
          <w:szCs w:val="22"/>
        </w:rPr>
        <w:t xml:space="preserve"> v </w:t>
      </w:r>
      <w:r w:rsidRPr="006532BE">
        <w:rPr>
          <w:rFonts w:ascii="Arial" w:hAnsi="Arial" w:cs="Arial"/>
          <w:color w:val="000000"/>
          <w:sz w:val="22"/>
          <w:szCs w:val="22"/>
        </w:rPr>
        <w:t xml:space="preserve">každém </w:t>
      </w:r>
      <w:proofErr w:type="spellStart"/>
      <w:r w:rsidRPr="006532BE">
        <w:rPr>
          <w:rFonts w:ascii="Arial" w:hAnsi="Arial" w:cs="Arial"/>
          <w:color w:val="000000"/>
          <w:sz w:val="22"/>
          <w:szCs w:val="22"/>
        </w:rPr>
        <w:t>geotypu</w:t>
      </w:r>
      <w:proofErr w:type="spellEnd"/>
      <w:r w:rsidR="0047095F" w:rsidRPr="006532BE">
        <w:rPr>
          <w:rFonts w:ascii="Arial" w:hAnsi="Arial" w:cs="Arial"/>
          <w:color w:val="000000"/>
          <w:sz w:val="22"/>
          <w:szCs w:val="22"/>
        </w:rPr>
        <w:t xml:space="preserve"> v </w:t>
      </w:r>
      <w:r w:rsidRPr="006532BE">
        <w:rPr>
          <w:rFonts w:ascii="Arial" w:hAnsi="Arial" w:cs="Arial"/>
          <w:color w:val="000000"/>
          <w:sz w:val="22"/>
          <w:szCs w:val="22"/>
        </w:rPr>
        <w:t xml:space="preserve">% </w:t>
      </w:r>
    </w:p>
    <w:p w:rsidR="00242A0C" w:rsidRPr="006532BE" w:rsidRDefault="00242A0C" w:rsidP="00F27160">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Městský </w:t>
      </w:r>
      <w:proofErr w:type="spellStart"/>
      <w:r w:rsidRPr="006532BE">
        <w:rPr>
          <w:rFonts w:ascii="Arial" w:hAnsi="Arial" w:cs="Arial"/>
          <w:color w:val="000000"/>
          <w:sz w:val="22"/>
          <w:szCs w:val="22"/>
        </w:rPr>
        <w:t>geotyp</w:t>
      </w:r>
      <w:proofErr w:type="spellEnd"/>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Výkop</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1x1 (1 otvor)</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1x2 (2 otvory)</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2x3 (6 otvorů)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3x4 (12 otvorů)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lastRenderedPageBreak/>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3x4 (24 otvorů)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3x4 (48 otvorů)</w:t>
      </w:r>
    </w:p>
    <w:p w:rsidR="00242A0C" w:rsidRPr="006532BE" w:rsidRDefault="00242A0C" w:rsidP="002075E6">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Příměstský </w:t>
      </w:r>
      <w:proofErr w:type="spellStart"/>
      <w:r w:rsidRPr="006532BE">
        <w:rPr>
          <w:rFonts w:ascii="Arial" w:hAnsi="Arial" w:cs="Arial"/>
          <w:color w:val="000000"/>
          <w:sz w:val="22"/>
          <w:szCs w:val="22"/>
        </w:rPr>
        <w:t>geotyp</w:t>
      </w:r>
      <w:proofErr w:type="spellEnd"/>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Výkop</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1x1 (1 otvor)</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1x2 (2 otvory)</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2x3 (6 otvorů)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3x4 (12 otvorů)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3x4 (24 otvorů)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3x4 (48 otvorů)</w:t>
      </w:r>
    </w:p>
    <w:p w:rsidR="00242A0C" w:rsidRPr="006532BE" w:rsidRDefault="00242A0C" w:rsidP="002075E6">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Venkovský</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Výkop</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1x1 (1 otvor)</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1x2 (2 otvory)</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2x3 (6 otvorů)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3x4 (12 otvorů)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3x4 (24 otvorů)</w:t>
      </w:r>
    </w:p>
    <w:p w:rsidR="00242A0C" w:rsidRPr="006532BE" w:rsidRDefault="00242A0C" w:rsidP="00694676">
      <w:pPr>
        <w:numPr>
          <w:ilvl w:val="2"/>
          <w:numId w:val="50"/>
        </w:numPr>
        <w:autoSpaceDE w:val="0"/>
        <w:autoSpaceDN w:val="0"/>
        <w:adjustRightInd w:val="0"/>
        <w:spacing w:before="60"/>
        <w:ind w:left="1559" w:hanging="839"/>
        <w:rPr>
          <w:rFonts w:ascii="Arial" w:hAnsi="Arial" w:cs="Arial"/>
          <w:color w:val="000000"/>
          <w:sz w:val="22"/>
          <w:szCs w:val="22"/>
        </w:rPr>
      </w:pPr>
      <w:r w:rsidRPr="006532BE">
        <w:rPr>
          <w:rFonts w:ascii="Arial" w:hAnsi="Arial" w:cs="Arial"/>
          <w:color w:val="000000"/>
          <w:sz w:val="22"/>
          <w:szCs w:val="22"/>
        </w:rPr>
        <w:t xml:space="preserve">Primární </w:t>
      </w: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3x4 (48 otvorů)</w:t>
      </w:r>
    </w:p>
    <w:p w:rsidR="00242A0C" w:rsidRPr="006532BE" w:rsidRDefault="00242A0C" w:rsidP="00AF3605">
      <w:pPr>
        <w:numPr>
          <w:ilvl w:val="0"/>
          <w:numId w:val="50"/>
        </w:numPr>
        <w:autoSpaceDE w:val="0"/>
        <w:autoSpaceDN w:val="0"/>
        <w:adjustRightInd w:val="0"/>
        <w:spacing w:before="120"/>
        <w:ind w:left="357" w:hanging="357"/>
        <w:rPr>
          <w:rFonts w:ascii="Arial" w:hAnsi="Arial" w:cs="Arial"/>
          <w:color w:val="000000"/>
          <w:sz w:val="22"/>
          <w:szCs w:val="22"/>
        </w:rPr>
      </w:pPr>
      <w:proofErr w:type="spellStart"/>
      <w:r w:rsidRPr="006532BE">
        <w:rPr>
          <w:rFonts w:ascii="Arial" w:hAnsi="Arial" w:cs="Arial"/>
          <w:color w:val="000000"/>
          <w:sz w:val="22"/>
          <w:szCs w:val="22"/>
        </w:rPr>
        <w:t>Kabelovody</w:t>
      </w:r>
      <w:proofErr w:type="spellEnd"/>
      <w:r w:rsidRPr="006532BE">
        <w:rPr>
          <w:rFonts w:ascii="Arial" w:hAnsi="Arial" w:cs="Arial"/>
          <w:color w:val="000000"/>
          <w:sz w:val="22"/>
          <w:szCs w:val="22"/>
        </w:rPr>
        <w:t xml:space="preserve"> pro městský a příměstský </w:t>
      </w:r>
      <w:proofErr w:type="spellStart"/>
      <w:r w:rsidRPr="006532BE">
        <w:rPr>
          <w:rFonts w:ascii="Arial" w:hAnsi="Arial" w:cs="Arial"/>
          <w:color w:val="000000"/>
          <w:sz w:val="22"/>
          <w:szCs w:val="22"/>
        </w:rPr>
        <w:t>geotyp</w:t>
      </w:r>
      <w:proofErr w:type="spellEnd"/>
    </w:p>
    <w:p w:rsidR="00242A0C" w:rsidRPr="006532BE" w:rsidRDefault="00242A0C" w:rsidP="00AF3605">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Faktory hustoty šachet a spojů</w:t>
      </w:r>
      <w:r w:rsidR="0047095F" w:rsidRPr="006532BE">
        <w:rPr>
          <w:rFonts w:ascii="Arial" w:hAnsi="Arial" w:cs="Arial"/>
          <w:color w:val="000000"/>
          <w:sz w:val="22"/>
          <w:szCs w:val="22"/>
        </w:rPr>
        <w:t xml:space="preserve"> v </w:t>
      </w:r>
      <w:r w:rsidRPr="006532BE">
        <w:rPr>
          <w:rFonts w:ascii="Arial" w:hAnsi="Arial" w:cs="Arial"/>
          <w:color w:val="000000"/>
          <w:sz w:val="22"/>
          <w:szCs w:val="22"/>
        </w:rPr>
        <w:t>síti – počet</w:t>
      </w:r>
      <w:r w:rsidR="0047095F" w:rsidRPr="006532BE">
        <w:rPr>
          <w:rFonts w:ascii="Arial" w:hAnsi="Arial" w:cs="Arial"/>
          <w:color w:val="000000"/>
          <w:sz w:val="22"/>
          <w:szCs w:val="22"/>
        </w:rPr>
        <w:t xml:space="preserve"> na </w:t>
      </w:r>
      <w:smartTag w:uri="urn:schemas-microsoft-com:office:smarttags" w:element="metricconverter">
        <w:smartTagPr>
          <w:attr w:name="ProductID" w:val="1 km"/>
        </w:smartTagPr>
        <w:r w:rsidRPr="006532BE">
          <w:rPr>
            <w:rFonts w:ascii="Arial" w:hAnsi="Arial" w:cs="Arial"/>
            <w:color w:val="000000"/>
            <w:sz w:val="22"/>
            <w:szCs w:val="22"/>
          </w:rPr>
          <w:t>1 km</w:t>
        </w:r>
      </w:smartTag>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hustota šachet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hustota spojů</w:t>
      </w:r>
      <w:r w:rsidR="0047095F" w:rsidRPr="006532BE">
        <w:rPr>
          <w:rFonts w:ascii="Arial" w:hAnsi="Arial" w:cs="Arial"/>
          <w:color w:val="000000"/>
          <w:sz w:val="22"/>
          <w:szCs w:val="22"/>
        </w:rPr>
        <w:t xml:space="preserve"> v </w:t>
      </w:r>
      <w:r w:rsidRPr="006532BE">
        <w:rPr>
          <w:rFonts w:ascii="Arial" w:hAnsi="Arial" w:cs="Arial"/>
          <w:color w:val="000000"/>
          <w:sz w:val="22"/>
          <w:szCs w:val="22"/>
        </w:rPr>
        <w:t>síti</w:t>
      </w:r>
    </w:p>
    <w:p w:rsidR="00242A0C" w:rsidRPr="006532BE" w:rsidRDefault="00242A0C" w:rsidP="00AF3605">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Statistika pozemních rekonstrukčních prací</w:t>
      </w:r>
      <w:r w:rsidR="0047095F" w:rsidRPr="006532BE">
        <w:rPr>
          <w:rFonts w:ascii="Arial" w:hAnsi="Arial" w:cs="Arial"/>
          <w:color w:val="000000"/>
          <w:sz w:val="22"/>
          <w:szCs w:val="22"/>
        </w:rPr>
        <w:t xml:space="preserve"> v </w:t>
      </w:r>
      <w:r w:rsidRPr="006532BE">
        <w:rPr>
          <w:rFonts w:ascii="Arial" w:hAnsi="Arial" w:cs="Arial"/>
          <w:color w:val="000000"/>
          <w:sz w:val="22"/>
          <w:szCs w:val="22"/>
        </w:rPr>
        <w:t>%</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Vedení pod překážkami </w:t>
      </w:r>
    </w:p>
    <w:p w:rsidR="00242A0C" w:rsidRPr="006532BE" w:rsidRDefault="00242A0C" w:rsidP="00033D78">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Pozemní rekonstrukční práce </w:t>
      </w:r>
    </w:p>
    <w:p w:rsidR="00242A0C" w:rsidRPr="006532BE" w:rsidRDefault="00242A0C" w:rsidP="00AF3605">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Typy pozemních rekonstrukčních prací</w:t>
      </w:r>
      <w:r w:rsidR="0047095F" w:rsidRPr="006532BE">
        <w:rPr>
          <w:rFonts w:ascii="Arial" w:hAnsi="Arial" w:cs="Arial"/>
          <w:color w:val="000000"/>
          <w:sz w:val="22"/>
          <w:szCs w:val="22"/>
        </w:rPr>
        <w:t xml:space="preserve"> v </w:t>
      </w:r>
      <w:r w:rsidRPr="006532BE">
        <w:rPr>
          <w:rFonts w:ascii="Arial" w:hAnsi="Arial" w:cs="Arial"/>
          <w:color w:val="000000"/>
          <w:sz w:val="22"/>
          <w:szCs w:val="22"/>
        </w:rPr>
        <w:t>%</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Obnova trávníku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Rekonstrukce chodníku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jednotlivých typů</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Rekonstrukce asfaltového povrchu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Rekonstrukce betonového povrchu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Bez rekonstrukce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Vedení pod překážkami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Vedení pod silnicí (do 15</w:t>
      </w:r>
      <w:r w:rsidR="00DD4F53" w:rsidRPr="006532BE">
        <w:rPr>
          <w:rFonts w:ascii="Arial" w:hAnsi="Arial" w:cs="Arial"/>
          <w:color w:val="000000"/>
          <w:sz w:val="22"/>
          <w:szCs w:val="22"/>
        </w:rPr>
        <w:t xml:space="preserve"> </w:t>
      </w:r>
      <w:r w:rsidRPr="006532BE">
        <w:rPr>
          <w:rFonts w:ascii="Arial" w:hAnsi="Arial" w:cs="Arial"/>
          <w:color w:val="000000"/>
          <w:sz w:val="22"/>
          <w:szCs w:val="22"/>
        </w:rPr>
        <w:t>m)</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Vedení pod silnicí (nad 15</w:t>
      </w:r>
      <w:r w:rsidR="00DD4F53" w:rsidRPr="006532BE">
        <w:rPr>
          <w:rFonts w:ascii="Arial" w:hAnsi="Arial" w:cs="Arial"/>
          <w:color w:val="000000"/>
          <w:sz w:val="22"/>
          <w:szCs w:val="22"/>
        </w:rPr>
        <w:t xml:space="preserve"> </w:t>
      </w:r>
      <w:r w:rsidRPr="006532BE">
        <w:rPr>
          <w:rFonts w:ascii="Arial" w:hAnsi="Arial" w:cs="Arial"/>
          <w:color w:val="000000"/>
          <w:sz w:val="22"/>
          <w:szCs w:val="22"/>
        </w:rPr>
        <w:t>m)</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Vedení pod tramvajovou tratí</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Vedení pod železniční tratí</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Vedení pod řekami a kanály</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Vedení pod jinými překážkami</w:t>
      </w:r>
    </w:p>
    <w:p w:rsidR="00242A0C" w:rsidRPr="006532BE" w:rsidRDefault="00242A0C" w:rsidP="00AF3605">
      <w:pPr>
        <w:numPr>
          <w:ilvl w:val="0"/>
          <w:numId w:val="50"/>
        </w:numPr>
        <w:autoSpaceDE w:val="0"/>
        <w:autoSpaceDN w:val="0"/>
        <w:adjustRightInd w:val="0"/>
        <w:spacing w:before="120"/>
        <w:ind w:left="357" w:hanging="357"/>
        <w:rPr>
          <w:rFonts w:ascii="Arial" w:hAnsi="Arial" w:cs="Arial"/>
          <w:color w:val="000000"/>
          <w:sz w:val="22"/>
          <w:szCs w:val="22"/>
        </w:rPr>
      </w:pPr>
      <w:proofErr w:type="spellStart"/>
      <w:r w:rsidRPr="006532BE">
        <w:rPr>
          <w:rFonts w:ascii="Arial" w:hAnsi="Arial" w:cs="Arial"/>
          <w:color w:val="000000"/>
          <w:sz w:val="22"/>
          <w:szCs w:val="22"/>
        </w:rPr>
        <w:t>Kabelovody</w:t>
      </w:r>
      <w:proofErr w:type="spellEnd"/>
      <w:r w:rsidRPr="006532BE">
        <w:rPr>
          <w:rFonts w:ascii="Arial" w:hAnsi="Arial" w:cs="Arial"/>
          <w:color w:val="000000"/>
          <w:sz w:val="22"/>
          <w:szCs w:val="22"/>
        </w:rPr>
        <w:t xml:space="preserve"> pro venkovský </w:t>
      </w:r>
      <w:proofErr w:type="spellStart"/>
      <w:r w:rsidRPr="006532BE">
        <w:rPr>
          <w:rFonts w:ascii="Arial" w:hAnsi="Arial" w:cs="Arial"/>
          <w:color w:val="000000"/>
          <w:sz w:val="22"/>
          <w:szCs w:val="22"/>
        </w:rPr>
        <w:t>geotyp</w:t>
      </w:r>
      <w:proofErr w:type="spellEnd"/>
    </w:p>
    <w:p w:rsidR="00242A0C" w:rsidRPr="006532BE" w:rsidRDefault="00242A0C" w:rsidP="000D4ABE">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Faktory hustoty šachet a spojů</w:t>
      </w:r>
      <w:r w:rsidR="0047095F" w:rsidRPr="006532BE">
        <w:rPr>
          <w:rFonts w:ascii="Arial" w:hAnsi="Arial" w:cs="Arial"/>
          <w:color w:val="000000"/>
          <w:sz w:val="22"/>
          <w:szCs w:val="22"/>
        </w:rPr>
        <w:t xml:space="preserve"> v </w:t>
      </w:r>
      <w:r w:rsidRPr="006532BE">
        <w:rPr>
          <w:rFonts w:ascii="Arial" w:hAnsi="Arial" w:cs="Arial"/>
          <w:color w:val="000000"/>
          <w:sz w:val="22"/>
          <w:szCs w:val="22"/>
        </w:rPr>
        <w:t>síti – počet</w:t>
      </w:r>
      <w:r w:rsidR="0047095F" w:rsidRPr="006532BE">
        <w:rPr>
          <w:rFonts w:ascii="Arial" w:hAnsi="Arial" w:cs="Arial"/>
          <w:color w:val="000000"/>
          <w:sz w:val="22"/>
          <w:szCs w:val="22"/>
        </w:rPr>
        <w:t xml:space="preserve"> na </w:t>
      </w:r>
      <w:smartTag w:uri="urn:schemas-microsoft-com:office:smarttags" w:element="metricconverter">
        <w:smartTagPr>
          <w:attr w:name="ProductID" w:val="1 km"/>
        </w:smartTagPr>
        <w:r w:rsidRPr="006532BE">
          <w:rPr>
            <w:rFonts w:ascii="Arial" w:hAnsi="Arial" w:cs="Arial"/>
            <w:color w:val="000000"/>
            <w:sz w:val="22"/>
            <w:szCs w:val="22"/>
          </w:rPr>
          <w:t>1 km</w:t>
        </w:r>
      </w:smartTag>
    </w:p>
    <w:p w:rsidR="00242A0C" w:rsidRPr="006532BE" w:rsidRDefault="00242A0C" w:rsidP="00AF3605">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Hustota šachet </w:t>
      </w:r>
    </w:p>
    <w:p w:rsidR="00242A0C" w:rsidRPr="006532BE" w:rsidRDefault="00242A0C" w:rsidP="00AF3605">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Hustota spojů</w:t>
      </w:r>
      <w:r w:rsidR="0047095F" w:rsidRPr="006532BE">
        <w:rPr>
          <w:rFonts w:ascii="Arial" w:hAnsi="Arial" w:cs="Arial"/>
          <w:color w:val="000000"/>
          <w:sz w:val="22"/>
          <w:szCs w:val="22"/>
        </w:rPr>
        <w:t xml:space="preserve"> v </w:t>
      </w:r>
      <w:r w:rsidRPr="006532BE">
        <w:rPr>
          <w:rFonts w:ascii="Arial" w:hAnsi="Arial" w:cs="Arial"/>
          <w:color w:val="000000"/>
          <w:sz w:val="22"/>
          <w:szCs w:val="22"/>
        </w:rPr>
        <w:t>síti</w:t>
      </w:r>
    </w:p>
    <w:p w:rsidR="00242A0C" w:rsidRPr="006532BE" w:rsidRDefault="00242A0C" w:rsidP="00AF3605">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Statistika pozemních rekonstrukčních prací</w:t>
      </w:r>
      <w:r w:rsidR="0047095F" w:rsidRPr="006532BE">
        <w:rPr>
          <w:rFonts w:ascii="Arial" w:hAnsi="Arial" w:cs="Arial"/>
          <w:color w:val="000000"/>
          <w:sz w:val="22"/>
          <w:szCs w:val="22"/>
        </w:rPr>
        <w:t xml:space="preserve"> v </w:t>
      </w:r>
      <w:r w:rsidRPr="006532BE">
        <w:rPr>
          <w:rFonts w:ascii="Arial" w:hAnsi="Arial" w:cs="Arial"/>
          <w:color w:val="000000"/>
          <w:sz w:val="22"/>
          <w:szCs w:val="22"/>
        </w:rPr>
        <w:t>%</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Vedení pod překážkami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lastRenderedPageBreak/>
        <w:t xml:space="preserve">Pozemní rekonstrukční práce </w:t>
      </w:r>
    </w:p>
    <w:p w:rsidR="00242A0C" w:rsidRPr="006532BE" w:rsidRDefault="00242A0C" w:rsidP="00AF3605">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Typy pozemních rekonstrukčních prací</w:t>
      </w:r>
      <w:r w:rsidR="0047095F" w:rsidRPr="006532BE">
        <w:rPr>
          <w:rFonts w:ascii="Arial" w:hAnsi="Arial" w:cs="Arial"/>
          <w:color w:val="000000"/>
          <w:sz w:val="22"/>
          <w:szCs w:val="22"/>
        </w:rPr>
        <w:t xml:space="preserve"> v </w:t>
      </w:r>
      <w:r w:rsidRPr="006532BE">
        <w:rPr>
          <w:rFonts w:ascii="Arial" w:hAnsi="Arial" w:cs="Arial"/>
          <w:color w:val="000000"/>
          <w:sz w:val="22"/>
          <w:szCs w:val="22"/>
        </w:rPr>
        <w:t>%</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Obnova trávníku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Rekonstrukce chodníku –</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jednotlivých typů</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Rekonstrukce asfaltového povrchu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Rekonstrukce betonového povrchu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Bez rekonstrukce </w:t>
      </w:r>
    </w:p>
    <w:p w:rsidR="00242A0C" w:rsidRPr="006532BE" w:rsidRDefault="00242A0C" w:rsidP="00AF3605">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 xml:space="preserve">Vedení pod překážkami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Vedení pod silnicí (do 15</w:t>
      </w:r>
      <w:r w:rsidR="00DD4F53" w:rsidRPr="006532BE">
        <w:rPr>
          <w:rFonts w:ascii="Arial" w:hAnsi="Arial" w:cs="Arial"/>
          <w:color w:val="000000"/>
          <w:sz w:val="22"/>
          <w:szCs w:val="22"/>
        </w:rPr>
        <w:t xml:space="preserve"> </w:t>
      </w:r>
      <w:r w:rsidRPr="006532BE">
        <w:rPr>
          <w:rFonts w:ascii="Arial" w:hAnsi="Arial" w:cs="Arial"/>
          <w:color w:val="000000"/>
          <w:sz w:val="22"/>
          <w:szCs w:val="22"/>
        </w:rPr>
        <w:t>m)</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Vedení pod silnicí (nad 15</w:t>
      </w:r>
      <w:r w:rsidR="00DD4F53" w:rsidRPr="006532BE">
        <w:rPr>
          <w:rFonts w:ascii="Arial" w:hAnsi="Arial" w:cs="Arial"/>
          <w:color w:val="000000"/>
          <w:sz w:val="22"/>
          <w:szCs w:val="22"/>
        </w:rPr>
        <w:t xml:space="preserve"> </w:t>
      </w:r>
      <w:r w:rsidRPr="006532BE">
        <w:rPr>
          <w:rFonts w:ascii="Arial" w:hAnsi="Arial" w:cs="Arial"/>
          <w:color w:val="000000"/>
          <w:sz w:val="22"/>
          <w:szCs w:val="22"/>
        </w:rPr>
        <w:t>m)</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Vedení pod tramvajovou tratí</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Vedení pod železniční tratí</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Vedení pod řekami a kanály</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Vedení pod jinými překážkami</w:t>
      </w:r>
    </w:p>
    <w:p w:rsidR="00242A0C" w:rsidRPr="006532BE" w:rsidRDefault="00242A0C" w:rsidP="00AF3605">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Průměrný objem pozemních rekonstrukčních prací</w:t>
      </w:r>
    </w:p>
    <w:p w:rsidR="00242A0C" w:rsidRPr="006532BE" w:rsidRDefault="00242A0C" w:rsidP="00AF3605">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Průměrná šíře výkopu</w:t>
      </w:r>
      <w:r w:rsidR="0047095F" w:rsidRPr="006532BE">
        <w:rPr>
          <w:rFonts w:ascii="Arial" w:hAnsi="Arial" w:cs="Arial"/>
          <w:color w:val="000000"/>
          <w:sz w:val="22"/>
          <w:szCs w:val="22"/>
        </w:rPr>
        <w:t xml:space="preserve"> v </w:t>
      </w:r>
      <w:r w:rsidRPr="006532BE">
        <w:rPr>
          <w:rFonts w:ascii="Arial" w:hAnsi="Arial" w:cs="Arial"/>
          <w:color w:val="000000"/>
          <w:sz w:val="22"/>
          <w:szCs w:val="22"/>
        </w:rPr>
        <w:t>m</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Tráva</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Chodník – typ 1</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Chodník – typ 2</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Chodník – typ 3</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Zpevněný povrch - asfalt</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Zpevněný povrch – beton</w:t>
      </w:r>
    </w:p>
    <w:p w:rsidR="00242A0C" w:rsidRPr="006532BE" w:rsidRDefault="00242A0C" w:rsidP="00AF3605">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 xml:space="preserve">Dodatečné práce </w:t>
      </w:r>
    </w:p>
    <w:p w:rsidR="00242A0C" w:rsidRPr="006532BE" w:rsidRDefault="00242A0C" w:rsidP="00645521">
      <w:pPr>
        <w:numPr>
          <w:ilvl w:val="0"/>
          <w:numId w:val="50"/>
        </w:numPr>
        <w:autoSpaceDE w:val="0"/>
        <w:autoSpaceDN w:val="0"/>
        <w:adjustRightInd w:val="0"/>
        <w:spacing w:before="120"/>
        <w:ind w:left="357" w:hanging="357"/>
        <w:rPr>
          <w:rFonts w:ascii="Arial" w:hAnsi="Arial" w:cs="Arial"/>
          <w:color w:val="000000"/>
          <w:sz w:val="22"/>
          <w:szCs w:val="22"/>
        </w:rPr>
      </w:pPr>
      <w:r w:rsidRPr="006532BE">
        <w:rPr>
          <w:rFonts w:ascii="Arial" w:hAnsi="Arial" w:cs="Arial"/>
          <w:color w:val="000000"/>
          <w:sz w:val="22"/>
          <w:szCs w:val="22"/>
        </w:rPr>
        <w:t>Souhlas majitelů pozemků</w:t>
      </w:r>
      <w:r w:rsidR="0047095F" w:rsidRPr="006532BE">
        <w:rPr>
          <w:rFonts w:ascii="Arial" w:hAnsi="Arial" w:cs="Arial"/>
          <w:color w:val="000000"/>
          <w:sz w:val="22"/>
          <w:szCs w:val="22"/>
        </w:rPr>
        <w:t xml:space="preserve"> v </w:t>
      </w:r>
      <w:r w:rsidRPr="006532BE">
        <w:rPr>
          <w:rFonts w:ascii="Arial" w:hAnsi="Arial" w:cs="Arial"/>
          <w:color w:val="000000"/>
          <w:sz w:val="22"/>
          <w:szCs w:val="22"/>
        </w:rPr>
        <w:t>počtu parcel</w:t>
      </w:r>
      <w:r w:rsidR="0047095F" w:rsidRPr="006532BE">
        <w:rPr>
          <w:rFonts w:ascii="Arial" w:hAnsi="Arial" w:cs="Arial"/>
          <w:color w:val="000000"/>
          <w:sz w:val="22"/>
          <w:szCs w:val="22"/>
        </w:rPr>
        <w:t xml:space="preserve"> na </w:t>
      </w:r>
      <w:r w:rsidRPr="006532BE">
        <w:rPr>
          <w:rFonts w:ascii="Arial" w:hAnsi="Arial" w:cs="Arial"/>
          <w:color w:val="000000"/>
          <w:sz w:val="22"/>
          <w:szCs w:val="22"/>
        </w:rPr>
        <w:t xml:space="preserve">kilometr </w:t>
      </w:r>
      <w:proofErr w:type="spellStart"/>
      <w:r w:rsidRPr="006532BE">
        <w:rPr>
          <w:rFonts w:ascii="Arial" w:hAnsi="Arial" w:cs="Arial"/>
          <w:color w:val="000000"/>
          <w:sz w:val="22"/>
          <w:szCs w:val="22"/>
        </w:rPr>
        <w:t>kabelovodů</w:t>
      </w:r>
      <w:proofErr w:type="spellEnd"/>
      <w:r w:rsidRPr="006532BE">
        <w:rPr>
          <w:rFonts w:ascii="Arial" w:hAnsi="Arial" w:cs="Arial"/>
          <w:color w:val="000000"/>
          <w:sz w:val="22"/>
          <w:szCs w:val="22"/>
        </w:rPr>
        <w:t xml:space="preserve"> </w:t>
      </w:r>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Městský </w:t>
      </w:r>
      <w:proofErr w:type="spellStart"/>
      <w:r w:rsidRPr="006532BE">
        <w:rPr>
          <w:rFonts w:ascii="Arial" w:hAnsi="Arial" w:cs="Arial"/>
          <w:color w:val="000000"/>
          <w:sz w:val="22"/>
          <w:szCs w:val="22"/>
        </w:rPr>
        <w:t>geotyp</w:t>
      </w:r>
      <w:proofErr w:type="spellEnd"/>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Příměstský </w:t>
      </w:r>
      <w:proofErr w:type="spellStart"/>
      <w:r w:rsidRPr="006532BE">
        <w:rPr>
          <w:rFonts w:ascii="Arial" w:hAnsi="Arial" w:cs="Arial"/>
          <w:color w:val="000000"/>
          <w:sz w:val="22"/>
          <w:szCs w:val="22"/>
        </w:rPr>
        <w:t>geotyp</w:t>
      </w:r>
      <w:proofErr w:type="spellEnd"/>
    </w:p>
    <w:p w:rsidR="00242A0C" w:rsidRPr="006532BE" w:rsidRDefault="00242A0C" w:rsidP="00EE78CA">
      <w:pPr>
        <w:numPr>
          <w:ilvl w:val="1"/>
          <w:numId w:val="50"/>
        </w:numPr>
        <w:autoSpaceDE w:val="0"/>
        <w:autoSpaceDN w:val="0"/>
        <w:adjustRightInd w:val="0"/>
        <w:spacing w:before="60"/>
        <w:ind w:left="992" w:hanging="635"/>
        <w:rPr>
          <w:rFonts w:ascii="Arial" w:hAnsi="Arial" w:cs="Arial"/>
          <w:color w:val="000000"/>
          <w:sz w:val="22"/>
          <w:szCs w:val="22"/>
        </w:rPr>
      </w:pPr>
      <w:r w:rsidRPr="006532BE">
        <w:rPr>
          <w:rFonts w:ascii="Arial" w:hAnsi="Arial" w:cs="Arial"/>
          <w:color w:val="000000"/>
          <w:sz w:val="22"/>
          <w:szCs w:val="22"/>
        </w:rPr>
        <w:t xml:space="preserve">Venkovský </w:t>
      </w:r>
      <w:proofErr w:type="spellStart"/>
      <w:r w:rsidRPr="006532BE">
        <w:rPr>
          <w:rFonts w:ascii="Arial" w:hAnsi="Arial" w:cs="Arial"/>
          <w:color w:val="000000"/>
          <w:sz w:val="22"/>
          <w:szCs w:val="22"/>
        </w:rPr>
        <w:t>geotyp</w:t>
      </w:r>
      <w:proofErr w:type="spellEnd"/>
    </w:p>
    <w:p w:rsidR="00242A0C" w:rsidRPr="006532BE" w:rsidRDefault="00242A0C" w:rsidP="00242A0C">
      <w:pPr>
        <w:pStyle w:val="Nadpis2"/>
        <w:spacing w:before="240"/>
        <w:jc w:val="both"/>
        <w:rPr>
          <w:rFonts w:ascii="Arial" w:hAnsi="Arial" w:cs="Arial"/>
          <w:i w:val="0"/>
          <w:sz w:val="22"/>
          <w:szCs w:val="22"/>
        </w:rPr>
      </w:pPr>
      <w:r w:rsidRPr="006532BE">
        <w:rPr>
          <w:rFonts w:ascii="Arial" w:hAnsi="Arial" w:cs="Arial"/>
          <w:i w:val="0"/>
          <w:sz w:val="22"/>
          <w:szCs w:val="22"/>
        </w:rPr>
        <w:t>List 6 – Ekonomická data</w:t>
      </w:r>
    </w:p>
    <w:p w:rsidR="00242A0C" w:rsidRPr="006532BE" w:rsidRDefault="00242A0C" w:rsidP="00F62C63">
      <w:pPr>
        <w:autoSpaceDE w:val="0"/>
        <w:autoSpaceDN w:val="0"/>
        <w:adjustRightInd w:val="0"/>
        <w:spacing w:before="60"/>
        <w:rPr>
          <w:rFonts w:ascii="Arial" w:hAnsi="Arial" w:cs="Arial"/>
          <w:color w:val="000000"/>
          <w:sz w:val="22"/>
          <w:szCs w:val="22"/>
        </w:rPr>
      </w:pPr>
      <w:r w:rsidRPr="006532BE">
        <w:rPr>
          <w:rFonts w:ascii="Arial" w:hAnsi="Arial" w:cs="Arial"/>
          <w:color w:val="000000"/>
          <w:sz w:val="22"/>
          <w:szCs w:val="22"/>
        </w:rPr>
        <w:t>Pro každý prvek sítě (práci</w:t>
      </w:r>
      <w:r w:rsidR="0047095F" w:rsidRPr="006532BE">
        <w:rPr>
          <w:rFonts w:ascii="Arial" w:hAnsi="Arial" w:cs="Arial"/>
          <w:color w:val="000000"/>
          <w:sz w:val="22"/>
          <w:szCs w:val="22"/>
        </w:rPr>
        <w:t xml:space="preserve"> na </w:t>
      </w:r>
      <w:r w:rsidRPr="006532BE">
        <w:rPr>
          <w:rFonts w:ascii="Arial" w:hAnsi="Arial" w:cs="Arial"/>
          <w:color w:val="000000"/>
          <w:sz w:val="22"/>
          <w:szCs w:val="22"/>
        </w:rPr>
        <w:t>budování sítě) uvede stanovený podnik současnou cenu síťového zařízení</w:t>
      </w:r>
      <w:r w:rsidR="0047095F" w:rsidRPr="006532BE">
        <w:rPr>
          <w:rFonts w:ascii="Arial" w:hAnsi="Arial" w:cs="Arial"/>
          <w:color w:val="000000"/>
          <w:sz w:val="22"/>
          <w:szCs w:val="22"/>
        </w:rPr>
        <w:t xml:space="preserve"> v </w:t>
      </w:r>
      <w:r w:rsidRPr="006532BE">
        <w:rPr>
          <w:rFonts w:ascii="Arial" w:hAnsi="Arial" w:cs="Arial"/>
          <w:color w:val="000000"/>
          <w:sz w:val="22"/>
          <w:szCs w:val="22"/>
        </w:rPr>
        <w:t>Kč nebo</w:t>
      </w:r>
      <w:r w:rsidR="0047095F" w:rsidRPr="006532BE">
        <w:rPr>
          <w:rFonts w:ascii="Arial" w:hAnsi="Arial" w:cs="Arial"/>
          <w:color w:val="000000"/>
          <w:sz w:val="22"/>
          <w:szCs w:val="22"/>
        </w:rPr>
        <w:t xml:space="preserve"> v </w:t>
      </w:r>
      <w:r w:rsidRPr="006532BE">
        <w:rPr>
          <w:rFonts w:ascii="Arial" w:hAnsi="Arial" w:cs="Arial"/>
          <w:color w:val="000000"/>
          <w:sz w:val="22"/>
          <w:szCs w:val="22"/>
        </w:rPr>
        <w:t xml:space="preserve">EUR, jeho životnost a předpokládanou míru změny ceny. </w:t>
      </w:r>
    </w:p>
    <w:p w:rsidR="006700AC" w:rsidRPr="00BE289A" w:rsidRDefault="006700AC" w:rsidP="006700AC">
      <w:pPr>
        <w:autoSpaceDE w:val="0"/>
        <w:autoSpaceDN w:val="0"/>
        <w:adjustRightInd w:val="0"/>
        <w:spacing w:before="120"/>
        <w:rPr>
          <w:rFonts w:ascii="Arial" w:hAnsi="Arial" w:cs="Arial"/>
          <w:color w:val="000000"/>
          <w:sz w:val="22"/>
          <w:szCs w:val="22"/>
        </w:rPr>
      </w:pPr>
      <w:r w:rsidRPr="00BE289A">
        <w:rPr>
          <w:rFonts w:ascii="Arial" w:hAnsi="Arial" w:cs="Arial"/>
          <w:color w:val="000000"/>
          <w:sz w:val="22"/>
          <w:szCs w:val="22"/>
        </w:rPr>
        <w:t>A. Infrast</w:t>
      </w:r>
      <w:r>
        <w:rPr>
          <w:rFonts w:ascii="Arial" w:hAnsi="Arial" w:cs="Arial"/>
          <w:color w:val="000000"/>
          <w:sz w:val="22"/>
          <w:szCs w:val="22"/>
        </w:rPr>
        <w:t>r</w:t>
      </w:r>
      <w:r w:rsidRPr="00BE289A">
        <w:rPr>
          <w:rFonts w:ascii="Arial" w:hAnsi="Arial" w:cs="Arial"/>
          <w:color w:val="000000"/>
          <w:sz w:val="22"/>
          <w:szCs w:val="22"/>
        </w:rPr>
        <w:t>uktura</w:t>
      </w:r>
    </w:p>
    <w:p w:rsidR="006700AC" w:rsidRPr="00BE289A" w:rsidRDefault="006700AC" w:rsidP="006700AC">
      <w:pPr>
        <w:numPr>
          <w:ilvl w:val="0"/>
          <w:numId w:val="51"/>
        </w:numPr>
        <w:tabs>
          <w:tab w:val="clear" w:pos="360"/>
          <w:tab w:val="num" w:pos="993"/>
        </w:tabs>
        <w:autoSpaceDE w:val="0"/>
        <w:autoSpaceDN w:val="0"/>
        <w:adjustRightInd w:val="0"/>
        <w:spacing w:before="60"/>
        <w:ind w:left="850" w:hanging="357"/>
        <w:rPr>
          <w:rFonts w:ascii="Arial" w:hAnsi="Arial" w:cs="Arial"/>
          <w:color w:val="000000"/>
          <w:sz w:val="22"/>
          <w:szCs w:val="22"/>
        </w:rPr>
      </w:pPr>
      <w:r w:rsidRPr="00BE289A">
        <w:rPr>
          <w:rFonts w:ascii="Arial" w:hAnsi="Arial" w:cs="Arial"/>
          <w:color w:val="000000"/>
          <w:sz w:val="22"/>
          <w:szCs w:val="22"/>
        </w:rPr>
        <w:t>Výkop</w:t>
      </w:r>
    </w:p>
    <w:p w:rsidR="006700AC" w:rsidRPr="00BE289A" w:rsidRDefault="006700AC" w:rsidP="006700AC">
      <w:pPr>
        <w:numPr>
          <w:ilvl w:val="0"/>
          <w:numId w:val="51"/>
        </w:numPr>
        <w:tabs>
          <w:tab w:val="clear" w:pos="360"/>
          <w:tab w:val="num" w:pos="993"/>
        </w:tabs>
        <w:autoSpaceDE w:val="0"/>
        <w:autoSpaceDN w:val="0"/>
        <w:adjustRightInd w:val="0"/>
        <w:spacing w:before="60"/>
        <w:ind w:left="850" w:hanging="357"/>
        <w:rPr>
          <w:rFonts w:ascii="Arial" w:hAnsi="Arial" w:cs="Arial"/>
          <w:color w:val="000000"/>
          <w:sz w:val="22"/>
          <w:szCs w:val="22"/>
        </w:rPr>
      </w:pPr>
      <w:r w:rsidRPr="00BE289A">
        <w:rPr>
          <w:rFonts w:ascii="Arial" w:hAnsi="Arial" w:cs="Arial"/>
          <w:color w:val="000000"/>
          <w:sz w:val="22"/>
          <w:szCs w:val="22"/>
        </w:rPr>
        <w:t xml:space="preserve">Primární </w:t>
      </w:r>
      <w:proofErr w:type="spellStart"/>
      <w:r w:rsidRPr="00BE289A">
        <w:rPr>
          <w:rFonts w:ascii="Arial" w:hAnsi="Arial" w:cs="Arial"/>
          <w:color w:val="000000"/>
          <w:sz w:val="22"/>
          <w:szCs w:val="22"/>
        </w:rPr>
        <w:t>kabelovod</w:t>
      </w:r>
      <w:proofErr w:type="spellEnd"/>
      <w:r w:rsidRPr="00BE289A">
        <w:rPr>
          <w:rFonts w:ascii="Arial" w:hAnsi="Arial" w:cs="Arial"/>
          <w:color w:val="000000"/>
          <w:sz w:val="22"/>
          <w:szCs w:val="22"/>
        </w:rPr>
        <w:t xml:space="preserve"> 1x1 (1 otvor)</w:t>
      </w:r>
    </w:p>
    <w:p w:rsidR="006700AC" w:rsidRPr="00BE289A" w:rsidRDefault="006700AC" w:rsidP="006700AC">
      <w:pPr>
        <w:numPr>
          <w:ilvl w:val="0"/>
          <w:numId w:val="51"/>
        </w:numPr>
        <w:tabs>
          <w:tab w:val="clear" w:pos="360"/>
          <w:tab w:val="num" w:pos="993"/>
        </w:tabs>
        <w:autoSpaceDE w:val="0"/>
        <w:autoSpaceDN w:val="0"/>
        <w:adjustRightInd w:val="0"/>
        <w:spacing w:before="60"/>
        <w:ind w:left="850" w:hanging="357"/>
        <w:rPr>
          <w:rFonts w:ascii="Arial" w:hAnsi="Arial" w:cs="Arial"/>
          <w:color w:val="000000"/>
          <w:sz w:val="22"/>
          <w:szCs w:val="22"/>
        </w:rPr>
      </w:pPr>
      <w:r w:rsidRPr="00BE289A">
        <w:rPr>
          <w:rFonts w:ascii="Arial" w:hAnsi="Arial" w:cs="Arial"/>
          <w:color w:val="000000"/>
          <w:sz w:val="22"/>
          <w:szCs w:val="22"/>
        </w:rPr>
        <w:t xml:space="preserve">Primární </w:t>
      </w:r>
      <w:proofErr w:type="spellStart"/>
      <w:r w:rsidRPr="00BE289A">
        <w:rPr>
          <w:rFonts w:ascii="Arial" w:hAnsi="Arial" w:cs="Arial"/>
          <w:color w:val="000000"/>
          <w:sz w:val="22"/>
          <w:szCs w:val="22"/>
        </w:rPr>
        <w:t>kabelovod</w:t>
      </w:r>
      <w:proofErr w:type="spellEnd"/>
      <w:r w:rsidRPr="00BE289A">
        <w:rPr>
          <w:rFonts w:ascii="Arial" w:hAnsi="Arial" w:cs="Arial"/>
          <w:color w:val="000000"/>
          <w:sz w:val="22"/>
          <w:szCs w:val="22"/>
        </w:rPr>
        <w:t xml:space="preserve"> 1x2 (2 otvory)</w:t>
      </w:r>
    </w:p>
    <w:p w:rsidR="006700AC" w:rsidRPr="00BE289A" w:rsidRDefault="006700AC" w:rsidP="006700AC">
      <w:pPr>
        <w:numPr>
          <w:ilvl w:val="0"/>
          <w:numId w:val="51"/>
        </w:numPr>
        <w:tabs>
          <w:tab w:val="clear" w:pos="360"/>
          <w:tab w:val="num" w:pos="993"/>
        </w:tabs>
        <w:autoSpaceDE w:val="0"/>
        <w:autoSpaceDN w:val="0"/>
        <w:adjustRightInd w:val="0"/>
        <w:spacing w:before="60"/>
        <w:ind w:left="850" w:hanging="357"/>
        <w:rPr>
          <w:rFonts w:ascii="Arial" w:hAnsi="Arial" w:cs="Arial"/>
          <w:color w:val="000000"/>
          <w:sz w:val="22"/>
          <w:szCs w:val="22"/>
        </w:rPr>
      </w:pPr>
      <w:r w:rsidRPr="00BE289A">
        <w:rPr>
          <w:rFonts w:ascii="Arial" w:hAnsi="Arial" w:cs="Arial"/>
          <w:color w:val="000000"/>
          <w:sz w:val="22"/>
          <w:szCs w:val="22"/>
        </w:rPr>
        <w:t xml:space="preserve">Primární </w:t>
      </w:r>
      <w:proofErr w:type="spellStart"/>
      <w:r w:rsidRPr="00BE289A">
        <w:rPr>
          <w:rFonts w:ascii="Arial" w:hAnsi="Arial" w:cs="Arial"/>
          <w:color w:val="000000"/>
          <w:sz w:val="22"/>
          <w:szCs w:val="22"/>
        </w:rPr>
        <w:t>kabelovod</w:t>
      </w:r>
      <w:proofErr w:type="spellEnd"/>
      <w:r w:rsidRPr="00BE289A">
        <w:rPr>
          <w:rFonts w:ascii="Arial" w:hAnsi="Arial" w:cs="Arial"/>
          <w:color w:val="000000"/>
          <w:sz w:val="22"/>
          <w:szCs w:val="22"/>
        </w:rPr>
        <w:t xml:space="preserve"> 2x3 (6 otvorů)</w:t>
      </w:r>
    </w:p>
    <w:p w:rsidR="006700AC" w:rsidRPr="00BE289A" w:rsidRDefault="006700AC" w:rsidP="006700AC">
      <w:pPr>
        <w:numPr>
          <w:ilvl w:val="0"/>
          <w:numId w:val="51"/>
        </w:numPr>
        <w:tabs>
          <w:tab w:val="clear" w:pos="360"/>
          <w:tab w:val="num" w:pos="993"/>
        </w:tabs>
        <w:autoSpaceDE w:val="0"/>
        <w:autoSpaceDN w:val="0"/>
        <w:adjustRightInd w:val="0"/>
        <w:spacing w:before="60"/>
        <w:ind w:left="850" w:hanging="357"/>
        <w:rPr>
          <w:rFonts w:ascii="Arial" w:hAnsi="Arial" w:cs="Arial"/>
          <w:color w:val="000000"/>
          <w:sz w:val="22"/>
          <w:szCs w:val="22"/>
        </w:rPr>
      </w:pPr>
      <w:r w:rsidRPr="00BE289A">
        <w:rPr>
          <w:rFonts w:ascii="Arial" w:hAnsi="Arial" w:cs="Arial"/>
          <w:color w:val="000000"/>
          <w:sz w:val="22"/>
          <w:szCs w:val="22"/>
        </w:rPr>
        <w:t xml:space="preserve">Primární </w:t>
      </w:r>
      <w:proofErr w:type="spellStart"/>
      <w:r w:rsidRPr="00BE289A">
        <w:rPr>
          <w:rFonts w:ascii="Arial" w:hAnsi="Arial" w:cs="Arial"/>
          <w:color w:val="000000"/>
          <w:sz w:val="22"/>
          <w:szCs w:val="22"/>
        </w:rPr>
        <w:t>kabelovod</w:t>
      </w:r>
      <w:proofErr w:type="spellEnd"/>
      <w:r w:rsidRPr="00BE289A">
        <w:rPr>
          <w:rFonts w:ascii="Arial" w:hAnsi="Arial" w:cs="Arial"/>
          <w:color w:val="000000"/>
          <w:sz w:val="22"/>
          <w:szCs w:val="22"/>
        </w:rPr>
        <w:t xml:space="preserve"> 3x4 (12 otvorů)</w:t>
      </w:r>
    </w:p>
    <w:p w:rsidR="006700AC" w:rsidRPr="00BE289A" w:rsidRDefault="006700AC" w:rsidP="006700AC">
      <w:pPr>
        <w:numPr>
          <w:ilvl w:val="0"/>
          <w:numId w:val="51"/>
        </w:numPr>
        <w:tabs>
          <w:tab w:val="clear" w:pos="360"/>
          <w:tab w:val="num" w:pos="993"/>
        </w:tabs>
        <w:autoSpaceDE w:val="0"/>
        <w:autoSpaceDN w:val="0"/>
        <w:adjustRightInd w:val="0"/>
        <w:spacing w:before="60"/>
        <w:ind w:left="850" w:hanging="357"/>
        <w:rPr>
          <w:rFonts w:ascii="Arial" w:hAnsi="Arial" w:cs="Arial"/>
          <w:color w:val="000000"/>
          <w:sz w:val="22"/>
          <w:szCs w:val="22"/>
        </w:rPr>
      </w:pPr>
      <w:r w:rsidRPr="00BE289A">
        <w:rPr>
          <w:rFonts w:ascii="Arial" w:hAnsi="Arial" w:cs="Arial"/>
          <w:color w:val="000000"/>
          <w:sz w:val="22"/>
          <w:szCs w:val="22"/>
        </w:rPr>
        <w:t xml:space="preserve">Primární </w:t>
      </w:r>
      <w:proofErr w:type="spellStart"/>
      <w:r w:rsidRPr="00BE289A">
        <w:rPr>
          <w:rFonts w:ascii="Arial" w:hAnsi="Arial" w:cs="Arial"/>
          <w:color w:val="000000"/>
          <w:sz w:val="22"/>
          <w:szCs w:val="22"/>
        </w:rPr>
        <w:t>kabelovod</w:t>
      </w:r>
      <w:proofErr w:type="spellEnd"/>
      <w:r w:rsidRPr="00BE289A">
        <w:rPr>
          <w:rFonts w:ascii="Arial" w:hAnsi="Arial" w:cs="Arial"/>
          <w:color w:val="000000"/>
          <w:sz w:val="22"/>
          <w:szCs w:val="22"/>
        </w:rPr>
        <w:t xml:space="preserve"> 3x4 (24 otvorů)</w:t>
      </w:r>
    </w:p>
    <w:p w:rsidR="006700AC" w:rsidRPr="00BE289A" w:rsidRDefault="006700AC" w:rsidP="006700AC">
      <w:pPr>
        <w:numPr>
          <w:ilvl w:val="0"/>
          <w:numId w:val="51"/>
        </w:numPr>
        <w:tabs>
          <w:tab w:val="clear" w:pos="360"/>
          <w:tab w:val="num" w:pos="993"/>
        </w:tabs>
        <w:autoSpaceDE w:val="0"/>
        <w:autoSpaceDN w:val="0"/>
        <w:adjustRightInd w:val="0"/>
        <w:spacing w:before="60"/>
        <w:ind w:left="850" w:hanging="357"/>
        <w:rPr>
          <w:rFonts w:ascii="Arial" w:hAnsi="Arial" w:cs="Arial"/>
          <w:color w:val="000000"/>
          <w:sz w:val="22"/>
          <w:szCs w:val="22"/>
        </w:rPr>
      </w:pPr>
      <w:r w:rsidRPr="00BE289A">
        <w:rPr>
          <w:rFonts w:ascii="Arial" w:hAnsi="Arial" w:cs="Arial"/>
          <w:color w:val="000000"/>
          <w:sz w:val="22"/>
          <w:szCs w:val="22"/>
        </w:rPr>
        <w:t xml:space="preserve">Primární </w:t>
      </w:r>
      <w:proofErr w:type="spellStart"/>
      <w:r w:rsidRPr="00BE289A">
        <w:rPr>
          <w:rFonts w:ascii="Arial" w:hAnsi="Arial" w:cs="Arial"/>
          <w:color w:val="000000"/>
          <w:sz w:val="22"/>
          <w:szCs w:val="22"/>
        </w:rPr>
        <w:t>kabelovod</w:t>
      </w:r>
      <w:proofErr w:type="spellEnd"/>
      <w:r w:rsidRPr="00BE289A">
        <w:rPr>
          <w:rFonts w:ascii="Arial" w:hAnsi="Arial" w:cs="Arial"/>
          <w:color w:val="000000"/>
          <w:sz w:val="22"/>
          <w:szCs w:val="22"/>
        </w:rPr>
        <w:t xml:space="preserve"> 3x4 (48 otvorů)</w:t>
      </w:r>
    </w:p>
    <w:p w:rsidR="006700AC" w:rsidRPr="00BE289A" w:rsidRDefault="006700AC" w:rsidP="006700AC">
      <w:pPr>
        <w:autoSpaceDE w:val="0"/>
        <w:autoSpaceDN w:val="0"/>
        <w:adjustRightInd w:val="0"/>
        <w:spacing w:before="240"/>
        <w:rPr>
          <w:rFonts w:ascii="Arial" w:hAnsi="Arial" w:cs="Arial"/>
          <w:color w:val="000000"/>
          <w:sz w:val="22"/>
          <w:szCs w:val="22"/>
        </w:rPr>
      </w:pPr>
      <w:r w:rsidRPr="00BE289A">
        <w:rPr>
          <w:rFonts w:ascii="Arial" w:hAnsi="Arial" w:cs="Arial"/>
          <w:color w:val="000000"/>
          <w:sz w:val="22"/>
          <w:szCs w:val="22"/>
        </w:rPr>
        <w:t>B. Pozemní rekonstrukční práce</w:t>
      </w:r>
    </w:p>
    <w:p w:rsidR="006700AC" w:rsidRPr="00BE289A" w:rsidRDefault="006700AC" w:rsidP="006700AC">
      <w:pPr>
        <w:numPr>
          <w:ilvl w:val="0"/>
          <w:numId w:val="52"/>
        </w:numPr>
        <w:tabs>
          <w:tab w:val="clear" w:pos="360"/>
          <w:tab w:val="num" w:pos="993"/>
        </w:tabs>
        <w:autoSpaceDE w:val="0"/>
        <w:autoSpaceDN w:val="0"/>
        <w:adjustRightInd w:val="0"/>
        <w:spacing w:before="60"/>
        <w:ind w:left="992" w:hanging="425"/>
        <w:rPr>
          <w:rFonts w:ascii="Arial" w:hAnsi="Arial" w:cs="Arial"/>
          <w:color w:val="000000"/>
          <w:sz w:val="22"/>
          <w:szCs w:val="22"/>
        </w:rPr>
      </w:pPr>
      <w:r w:rsidRPr="00BE289A">
        <w:rPr>
          <w:rFonts w:ascii="Arial" w:hAnsi="Arial" w:cs="Arial"/>
          <w:color w:val="000000"/>
          <w:sz w:val="22"/>
          <w:szCs w:val="22"/>
        </w:rPr>
        <w:t xml:space="preserve">Obnova trávníku </w:t>
      </w:r>
    </w:p>
    <w:p w:rsidR="006700AC" w:rsidRPr="00BE289A" w:rsidRDefault="006700AC" w:rsidP="006700AC">
      <w:pPr>
        <w:numPr>
          <w:ilvl w:val="0"/>
          <w:numId w:val="52"/>
        </w:numPr>
        <w:tabs>
          <w:tab w:val="clear" w:pos="360"/>
          <w:tab w:val="num" w:pos="993"/>
        </w:tabs>
        <w:autoSpaceDE w:val="0"/>
        <w:autoSpaceDN w:val="0"/>
        <w:adjustRightInd w:val="0"/>
        <w:spacing w:before="60"/>
        <w:ind w:left="992" w:hanging="425"/>
        <w:rPr>
          <w:rFonts w:ascii="Arial" w:hAnsi="Arial" w:cs="Arial"/>
          <w:color w:val="000000"/>
          <w:sz w:val="22"/>
          <w:szCs w:val="22"/>
        </w:rPr>
      </w:pPr>
      <w:r w:rsidRPr="00BE289A">
        <w:rPr>
          <w:rFonts w:ascii="Arial" w:hAnsi="Arial" w:cs="Arial"/>
          <w:color w:val="000000"/>
          <w:sz w:val="22"/>
          <w:szCs w:val="22"/>
        </w:rPr>
        <w:t>Rekonstrukce chodníku –</w:t>
      </w:r>
      <w:r>
        <w:rPr>
          <w:rFonts w:ascii="Arial" w:hAnsi="Arial" w:cs="Arial"/>
          <w:color w:val="000000"/>
          <w:sz w:val="22"/>
          <w:szCs w:val="22"/>
        </w:rPr>
        <w:t xml:space="preserve"> podle </w:t>
      </w:r>
      <w:r w:rsidRPr="00BE289A">
        <w:rPr>
          <w:rFonts w:ascii="Arial" w:hAnsi="Arial" w:cs="Arial"/>
          <w:color w:val="000000"/>
          <w:sz w:val="22"/>
          <w:szCs w:val="22"/>
        </w:rPr>
        <w:t>jednotlivých typů (v souladu</w:t>
      </w:r>
      <w:r>
        <w:rPr>
          <w:rFonts w:ascii="Arial" w:hAnsi="Arial" w:cs="Arial"/>
          <w:color w:val="000000"/>
          <w:sz w:val="22"/>
          <w:szCs w:val="22"/>
        </w:rPr>
        <w:t xml:space="preserve"> s </w:t>
      </w:r>
      <w:r w:rsidRPr="00BE289A">
        <w:rPr>
          <w:rFonts w:ascii="Arial" w:hAnsi="Arial" w:cs="Arial"/>
          <w:color w:val="000000"/>
          <w:sz w:val="22"/>
          <w:szCs w:val="22"/>
        </w:rPr>
        <w:t>listem A5)</w:t>
      </w:r>
    </w:p>
    <w:p w:rsidR="006700AC" w:rsidRPr="00BE289A" w:rsidRDefault="006700AC" w:rsidP="006700AC">
      <w:pPr>
        <w:numPr>
          <w:ilvl w:val="0"/>
          <w:numId w:val="52"/>
        </w:numPr>
        <w:tabs>
          <w:tab w:val="clear" w:pos="360"/>
          <w:tab w:val="num" w:pos="993"/>
        </w:tabs>
        <w:autoSpaceDE w:val="0"/>
        <w:autoSpaceDN w:val="0"/>
        <w:adjustRightInd w:val="0"/>
        <w:spacing w:before="60"/>
        <w:ind w:left="992" w:hanging="425"/>
        <w:rPr>
          <w:rFonts w:ascii="Arial" w:hAnsi="Arial" w:cs="Arial"/>
          <w:color w:val="000000"/>
          <w:sz w:val="22"/>
          <w:szCs w:val="22"/>
        </w:rPr>
      </w:pPr>
      <w:r w:rsidRPr="00BE289A">
        <w:rPr>
          <w:rFonts w:ascii="Arial" w:hAnsi="Arial" w:cs="Arial"/>
          <w:color w:val="000000"/>
          <w:sz w:val="22"/>
          <w:szCs w:val="22"/>
        </w:rPr>
        <w:t xml:space="preserve">Rekonstrukce asfaltového povrchu </w:t>
      </w:r>
    </w:p>
    <w:p w:rsidR="006700AC" w:rsidRPr="00BE289A" w:rsidRDefault="006700AC" w:rsidP="006700AC">
      <w:pPr>
        <w:numPr>
          <w:ilvl w:val="0"/>
          <w:numId w:val="52"/>
        </w:numPr>
        <w:tabs>
          <w:tab w:val="clear" w:pos="360"/>
          <w:tab w:val="num" w:pos="993"/>
        </w:tabs>
        <w:autoSpaceDE w:val="0"/>
        <w:autoSpaceDN w:val="0"/>
        <w:adjustRightInd w:val="0"/>
        <w:spacing w:before="60"/>
        <w:ind w:left="992" w:hanging="425"/>
        <w:rPr>
          <w:rFonts w:ascii="Arial" w:hAnsi="Arial" w:cs="Arial"/>
          <w:color w:val="000000"/>
          <w:sz w:val="22"/>
          <w:szCs w:val="22"/>
        </w:rPr>
      </w:pPr>
      <w:r w:rsidRPr="00BE289A">
        <w:rPr>
          <w:rFonts w:ascii="Arial" w:hAnsi="Arial" w:cs="Arial"/>
          <w:color w:val="000000"/>
          <w:sz w:val="22"/>
          <w:szCs w:val="22"/>
        </w:rPr>
        <w:t xml:space="preserve">Rekonstrukce betonového povrchu </w:t>
      </w:r>
    </w:p>
    <w:p w:rsidR="006700AC" w:rsidRPr="00BE289A" w:rsidRDefault="006700AC" w:rsidP="006700AC">
      <w:pPr>
        <w:spacing w:before="120"/>
        <w:rPr>
          <w:rFonts w:ascii="Arial" w:hAnsi="Arial" w:cs="Arial"/>
          <w:color w:val="000000"/>
          <w:sz w:val="22"/>
          <w:szCs w:val="22"/>
        </w:rPr>
      </w:pPr>
      <w:r w:rsidRPr="00BE289A">
        <w:rPr>
          <w:rFonts w:ascii="Arial" w:hAnsi="Arial" w:cs="Arial"/>
          <w:color w:val="000000"/>
          <w:sz w:val="22"/>
          <w:szCs w:val="22"/>
        </w:rPr>
        <w:lastRenderedPageBreak/>
        <w:t>C. Vedení pod překážkami</w:t>
      </w:r>
    </w:p>
    <w:p w:rsidR="006700AC" w:rsidRPr="00BE289A" w:rsidRDefault="006700AC" w:rsidP="006700AC">
      <w:pPr>
        <w:numPr>
          <w:ilvl w:val="0"/>
          <w:numId w:val="53"/>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Vedení pod silnicí (do 15</w:t>
      </w:r>
      <w:r>
        <w:rPr>
          <w:rFonts w:ascii="Arial" w:hAnsi="Arial" w:cs="Arial"/>
          <w:color w:val="000000"/>
          <w:sz w:val="22"/>
          <w:szCs w:val="22"/>
        </w:rPr>
        <w:t xml:space="preserve"> </w:t>
      </w:r>
      <w:r w:rsidRPr="00BE289A">
        <w:rPr>
          <w:rFonts w:ascii="Arial" w:hAnsi="Arial" w:cs="Arial"/>
          <w:color w:val="000000"/>
          <w:sz w:val="22"/>
          <w:szCs w:val="22"/>
        </w:rPr>
        <w:t>m)</w:t>
      </w:r>
    </w:p>
    <w:p w:rsidR="006700AC" w:rsidRPr="00BE289A" w:rsidRDefault="006700AC" w:rsidP="006700AC">
      <w:pPr>
        <w:numPr>
          <w:ilvl w:val="0"/>
          <w:numId w:val="53"/>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Vedení pod silnicí (nad 15</w:t>
      </w:r>
      <w:r>
        <w:rPr>
          <w:rFonts w:ascii="Arial" w:hAnsi="Arial" w:cs="Arial"/>
          <w:color w:val="000000"/>
          <w:sz w:val="22"/>
          <w:szCs w:val="22"/>
        </w:rPr>
        <w:t xml:space="preserve"> </w:t>
      </w:r>
      <w:r w:rsidRPr="00BE289A">
        <w:rPr>
          <w:rFonts w:ascii="Arial" w:hAnsi="Arial" w:cs="Arial"/>
          <w:color w:val="000000"/>
          <w:sz w:val="22"/>
          <w:szCs w:val="22"/>
        </w:rPr>
        <w:t>m)</w:t>
      </w:r>
    </w:p>
    <w:p w:rsidR="006700AC" w:rsidRPr="00BE289A" w:rsidRDefault="006700AC" w:rsidP="006700AC">
      <w:pPr>
        <w:numPr>
          <w:ilvl w:val="0"/>
          <w:numId w:val="53"/>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Vedení pod tramvajovou tratí</w:t>
      </w:r>
    </w:p>
    <w:p w:rsidR="006700AC" w:rsidRPr="00BE289A" w:rsidRDefault="006700AC" w:rsidP="006700AC">
      <w:pPr>
        <w:numPr>
          <w:ilvl w:val="0"/>
          <w:numId w:val="53"/>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Vedení pod železniční tratí</w:t>
      </w:r>
    </w:p>
    <w:p w:rsidR="006700AC" w:rsidRPr="00BE289A" w:rsidRDefault="006700AC" w:rsidP="006700AC">
      <w:pPr>
        <w:numPr>
          <w:ilvl w:val="0"/>
          <w:numId w:val="53"/>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Vedení pod řekami</w:t>
      </w:r>
      <w:r>
        <w:rPr>
          <w:rFonts w:ascii="Arial" w:hAnsi="Arial" w:cs="Arial"/>
          <w:color w:val="000000"/>
          <w:sz w:val="22"/>
          <w:szCs w:val="22"/>
        </w:rPr>
        <w:t xml:space="preserve"> a </w:t>
      </w:r>
      <w:r w:rsidRPr="00BE289A">
        <w:rPr>
          <w:rFonts w:ascii="Arial" w:hAnsi="Arial" w:cs="Arial"/>
          <w:color w:val="000000"/>
          <w:sz w:val="22"/>
          <w:szCs w:val="22"/>
        </w:rPr>
        <w:t>kanály</w:t>
      </w:r>
    </w:p>
    <w:p w:rsidR="006700AC" w:rsidRPr="00BE289A" w:rsidRDefault="006700AC" w:rsidP="006700AC">
      <w:pPr>
        <w:numPr>
          <w:ilvl w:val="0"/>
          <w:numId w:val="53"/>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Vedení pod jinými překážkami</w:t>
      </w:r>
    </w:p>
    <w:p w:rsidR="006700AC" w:rsidRPr="00BE289A" w:rsidRDefault="006700AC" w:rsidP="006700AC">
      <w:pPr>
        <w:autoSpaceDE w:val="0"/>
        <w:autoSpaceDN w:val="0"/>
        <w:adjustRightInd w:val="0"/>
        <w:spacing w:before="120"/>
        <w:rPr>
          <w:rFonts w:ascii="Arial" w:hAnsi="Arial" w:cs="Arial"/>
          <w:color w:val="000000"/>
          <w:sz w:val="22"/>
          <w:szCs w:val="22"/>
        </w:rPr>
      </w:pPr>
      <w:r w:rsidRPr="00BE289A">
        <w:rPr>
          <w:rFonts w:ascii="Arial" w:hAnsi="Arial" w:cs="Arial"/>
          <w:color w:val="000000"/>
          <w:sz w:val="22"/>
          <w:szCs w:val="22"/>
        </w:rPr>
        <w:t>D. Dodatečné práce</w:t>
      </w:r>
    </w:p>
    <w:p w:rsidR="006700AC" w:rsidRPr="00BE289A" w:rsidRDefault="006700AC" w:rsidP="006700AC">
      <w:pPr>
        <w:numPr>
          <w:ilvl w:val="0"/>
          <w:numId w:val="54"/>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Projekční práce</w:t>
      </w:r>
    </w:p>
    <w:p w:rsidR="006700AC" w:rsidRPr="00BE289A" w:rsidRDefault="006700AC" w:rsidP="006700AC">
      <w:pPr>
        <w:numPr>
          <w:ilvl w:val="0"/>
          <w:numId w:val="54"/>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Souhlas majitelů pozemků</w:t>
      </w:r>
    </w:p>
    <w:p w:rsidR="006700AC" w:rsidRPr="00BE289A" w:rsidRDefault="006700AC" w:rsidP="006700AC">
      <w:pPr>
        <w:numPr>
          <w:ilvl w:val="0"/>
          <w:numId w:val="54"/>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Geodetické služby</w:t>
      </w:r>
    </w:p>
    <w:p w:rsidR="006700AC" w:rsidRPr="00BE289A" w:rsidRDefault="006700AC" w:rsidP="006700AC">
      <w:pPr>
        <w:autoSpaceDE w:val="0"/>
        <w:autoSpaceDN w:val="0"/>
        <w:adjustRightInd w:val="0"/>
        <w:spacing w:before="120"/>
        <w:rPr>
          <w:rFonts w:ascii="Arial" w:hAnsi="Arial" w:cs="Arial"/>
          <w:color w:val="000000"/>
          <w:sz w:val="22"/>
          <w:szCs w:val="22"/>
        </w:rPr>
      </w:pPr>
      <w:r w:rsidRPr="00BE289A">
        <w:rPr>
          <w:rFonts w:ascii="Arial" w:hAnsi="Arial" w:cs="Arial"/>
          <w:color w:val="000000"/>
          <w:sz w:val="22"/>
          <w:szCs w:val="22"/>
        </w:rPr>
        <w:t>E. Optický kabel</w:t>
      </w:r>
    </w:p>
    <w:p w:rsidR="006700AC" w:rsidRPr="00BE289A" w:rsidRDefault="006700AC" w:rsidP="006700AC">
      <w:pPr>
        <w:numPr>
          <w:ilvl w:val="0"/>
          <w:numId w:val="55"/>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Optický kabel - 12 vláken</w:t>
      </w:r>
    </w:p>
    <w:p w:rsidR="006700AC" w:rsidRPr="00BE289A" w:rsidRDefault="006700AC" w:rsidP="006700AC">
      <w:pPr>
        <w:numPr>
          <w:ilvl w:val="0"/>
          <w:numId w:val="55"/>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Optický kabel - 24 vláken</w:t>
      </w:r>
    </w:p>
    <w:p w:rsidR="006700AC" w:rsidRPr="00BE289A" w:rsidRDefault="006700AC" w:rsidP="006700AC">
      <w:pPr>
        <w:numPr>
          <w:ilvl w:val="0"/>
          <w:numId w:val="55"/>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Optický kabel - 48 vláken</w:t>
      </w:r>
    </w:p>
    <w:p w:rsidR="006700AC" w:rsidRPr="00BE289A" w:rsidRDefault="006700AC" w:rsidP="006700AC">
      <w:pPr>
        <w:numPr>
          <w:ilvl w:val="0"/>
          <w:numId w:val="55"/>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Optický kabel - 72 vláken</w:t>
      </w:r>
    </w:p>
    <w:p w:rsidR="006700AC" w:rsidRPr="00BE289A" w:rsidRDefault="006700AC" w:rsidP="006700AC">
      <w:pPr>
        <w:numPr>
          <w:ilvl w:val="0"/>
          <w:numId w:val="55"/>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Optický kabel - 96 vláken</w:t>
      </w:r>
    </w:p>
    <w:p w:rsidR="006700AC" w:rsidRPr="00BE289A" w:rsidRDefault="006700AC" w:rsidP="006700AC">
      <w:pPr>
        <w:numPr>
          <w:ilvl w:val="0"/>
          <w:numId w:val="55"/>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Optický kabel - 144 vláken</w:t>
      </w:r>
    </w:p>
    <w:p w:rsidR="006700AC" w:rsidRPr="00BE289A" w:rsidRDefault="006700AC" w:rsidP="006700AC">
      <w:pPr>
        <w:autoSpaceDE w:val="0"/>
        <w:autoSpaceDN w:val="0"/>
        <w:adjustRightInd w:val="0"/>
        <w:spacing w:before="120"/>
        <w:rPr>
          <w:rFonts w:ascii="Arial" w:hAnsi="Arial" w:cs="Arial"/>
          <w:color w:val="000000"/>
          <w:sz w:val="22"/>
          <w:szCs w:val="22"/>
        </w:rPr>
      </w:pPr>
      <w:r w:rsidRPr="00BE289A">
        <w:rPr>
          <w:rFonts w:ascii="Arial" w:hAnsi="Arial" w:cs="Arial"/>
          <w:color w:val="000000"/>
          <w:sz w:val="22"/>
          <w:szCs w:val="22"/>
        </w:rPr>
        <w:t>F. Spojky</w:t>
      </w:r>
      <w:r>
        <w:rPr>
          <w:rFonts w:ascii="Arial" w:hAnsi="Arial" w:cs="Arial"/>
          <w:color w:val="000000"/>
          <w:sz w:val="22"/>
          <w:szCs w:val="22"/>
        </w:rPr>
        <w:t xml:space="preserve"> pro </w:t>
      </w:r>
      <w:r w:rsidRPr="00BE289A">
        <w:rPr>
          <w:rFonts w:ascii="Arial" w:hAnsi="Arial" w:cs="Arial"/>
          <w:color w:val="000000"/>
          <w:sz w:val="22"/>
          <w:szCs w:val="22"/>
        </w:rPr>
        <w:t>optické kabely</w:t>
      </w:r>
    </w:p>
    <w:p w:rsidR="006700AC" w:rsidRPr="00BE289A" w:rsidRDefault="006700AC" w:rsidP="006700AC">
      <w:pPr>
        <w:numPr>
          <w:ilvl w:val="0"/>
          <w:numId w:val="56"/>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Spojka</w:t>
      </w:r>
      <w:r>
        <w:rPr>
          <w:rFonts w:ascii="Arial" w:hAnsi="Arial" w:cs="Arial"/>
          <w:color w:val="000000"/>
          <w:sz w:val="22"/>
          <w:szCs w:val="22"/>
        </w:rPr>
        <w:t xml:space="preserve"> pro </w:t>
      </w:r>
      <w:r w:rsidRPr="00BE289A">
        <w:rPr>
          <w:rFonts w:ascii="Arial" w:hAnsi="Arial" w:cs="Arial"/>
          <w:color w:val="000000"/>
          <w:sz w:val="22"/>
          <w:szCs w:val="22"/>
        </w:rPr>
        <w:t>12 vláken</w:t>
      </w:r>
    </w:p>
    <w:p w:rsidR="006700AC" w:rsidRPr="00BE289A" w:rsidRDefault="006700AC" w:rsidP="006700AC">
      <w:pPr>
        <w:numPr>
          <w:ilvl w:val="0"/>
          <w:numId w:val="56"/>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Spojka</w:t>
      </w:r>
      <w:r>
        <w:rPr>
          <w:rFonts w:ascii="Arial" w:hAnsi="Arial" w:cs="Arial"/>
          <w:color w:val="000000"/>
          <w:sz w:val="22"/>
          <w:szCs w:val="22"/>
        </w:rPr>
        <w:t xml:space="preserve"> pro </w:t>
      </w:r>
      <w:r w:rsidRPr="00BE289A">
        <w:rPr>
          <w:rFonts w:ascii="Arial" w:hAnsi="Arial" w:cs="Arial"/>
          <w:color w:val="000000"/>
          <w:sz w:val="22"/>
          <w:szCs w:val="22"/>
        </w:rPr>
        <w:t>24 vláken</w:t>
      </w:r>
    </w:p>
    <w:p w:rsidR="006700AC" w:rsidRPr="00BE289A" w:rsidRDefault="006700AC" w:rsidP="006700AC">
      <w:pPr>
        <w:numPr>
          <w:ilvl w:val="0"/>
          <w:numId w:val="56"/>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Spojka</w:t>
      </w:r>
      <w:r>
        <w:rPr>
          <w:rFonts w:ascii="Arial" w:hAnsi="Arial" w:cs="Arial"/>
          <w:color w:val="000000"/>
          <w:sz w:val="22"/>
          <w:szCs w:val="22"/>
        </w:rPr>
        <w:t xml:space="preserve"> pro </w:t>
      </w:r>
      <w:r w:rsidRPr="00BE289A">
        <w:rPr>
          <w:rFonts w:ascii="Arial" w:hAnsi="Arial" w:cs="Arial"/>
          <w:color w:val="000000"/>
          <w:sz w:val="22"/>
          <w:szCs w:val="22"/>
        </w:rPr>
        <w:t>48 vláken</w:t>
      </w:r>
    </w:p>
    <w:p w:rsidR="006700AC" w:rsidRPr="00BE289A" w:rsidRDefault="006700AC" w:rsidP="006700AC">
      <w:pPr>
        <w:numPr>
          <w:ilvl w:val="0"/>
          <w:numId w:val="56"/>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Spojka</w:t>
      </w:r>
      <w:r>
        <w:rPr>
          <w:rFonts w:ascii="Arial" w:hAnsi="Arial" w:cs="Arial"/>
          <w:color w:val="000000"/>
          <w:sz w:val="22"/>
          <w:szCs w:val="22"/>
        </w:rPr>
        <w:t xml:space="preserve"> pro </w:t>
      </w:r>
      <w:r w:rsidRPr="00BE289A">
        <w:rPr>
          <w:rFonts w:ascii="Arial" w:hAnsi="Arial" w:cs="Arial"/>
          <w:color w:val="000000"/>
          <w:sz w:val="22"/>
          <w:szCs w:val="22"/>
        </w:rPr>
        <w:t>72 vláken</w:t>
      </w:r>
    </w:p>
    <w:p w:rsidR="006700AC" w:rsidRPr="00BE289A" w:rsidRDefault="006700AC" w:rsidP="006700AC">
      <w:pPr>
        <w:numPr>
          <w:ilvl w:val="0"/>
          <w:numId w:val="56"/>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Spojka</w:t>
      </w:r>
      <w:r>
        <w:rPr>
          <w:rFonts w:ascii="Arial" w:hAnsi="Arial" w:cs="Arial"/>
          <w:color w:val="000000"/>
          <w:sz w:val="22"/>
          <w:szCs w:val="22"/>
        </w:rPr>
        <w:t xml:space="preserve"> pro </w:t>
      </w:r>
      <w:r w:rsidRPr="00BE289A">
        <w:rPr>
          <w:rFonts w:ascii="Arial" w:hAnsi="Arial" w:cs="Arial"/>
          <w:color w:val="000000"/>
          <w:sz w:val="22"/>
          <w:szCs w:val="22"/>
        </w:rPr>
        <w:t>96 vláken</w:t>
      </w:r>
    </w:p>
    <w:p w:rsidR="006700AC" w:rsidRPr="00BE289A" w:rsidRDefault="006700AC" w:rsidP="006700AC">
      <w:pPr>
        <w:numPr>
          <w:ilvl w:val="0"/>
          <w:numId w:val="56"/>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Spojka</w:t>
      </w:r>
      <w:r>
        <w:rPr>
          <w:rFonts w:ascii="Arial" w:hAnsi="Arial" w:cs="Arial"/>
          <w:color w:val="000000"/>
          <w:sz w:val="22"/>
          <w:szCs w:val="22"/>
        </w:rPr>
        <w:t xml:space="preserve"> pro </w:t>
      </w:r>
      <w:r w:rsidRPr="00BE289A">
        <w:rPr>
          <w:rFonts w:ascii="Arial" w:hAnsi="Arial" w:cs="Arial"/>
          <w:color w:val="000000"/>
          <w:sz w:val="22"/>
          <w:szCs w:val="22"/>
        </w:rPr>
        <w:t>144 vláken</w:t>
      </w:r>
    </w:p>
    <w:p w:rsidR="006700AC" w:rsidRPr="00BE289A" w:rsidRDefault="006700AC" w:rsidP="006700AC">
      <w:pPr>
        <w:numPr>
          <w:ilvl w:val="0"/>
          <w:numId w:val="56"/>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Rozměr úseku</w:t>
      </w:r>
    </w:p>
    <w:p w:rsidR="006700AC" w:rsidRPr="00BE289A" w:rsidRDefault="006700AC" w:rsidP="006700AC">
      <w:pPr>
        <w:autoSpaceDE w:val="0"/>
        <w:autoSpaceDN w:val="0"/>
        <w:adjustRightInd w:val="0"/>
        <w:spacing w:before="120"/>
        <w:rPr>
          <w:rFonts w:ascii="Arial" w:hAnsi="Arial" w:cs="Arial"/>
          <w:color w:val="000000"/>
          <w:sz w:val="22"/>
          <w:szCs w:val="22"/>
        </w:rPr>
      </w:pPr>
      <w:r w:rsidRPr="00BE289A">
        <w:rPr>
          <w:rFonts w:ascii="Arial" w:hAnsi="Arial" w:cs="Arial"/>
          <w:color w:val="000000"/>
          <w:sz w:val="22"/>
          <w:szCs w:val="22"/>
        </w:rPr>
        <w:t>G. MSAN/RSU</w:t>
      </w:r>
    </w:p>
    <w:p w:rsidR="006700AC" w:rsidRPr="00BE289A" w:rsidRDefault="006700AC" w:rsidP="006700AC">
      <w:pPr>
        <w:numPr>
          <w:ilvl w:val="0"/>
          <w:numId w:val="57"/>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Šasi –</w:t>
      </w:r>
      <w:r>
        <w:rPr>
          <w:rFonts w:ascii="Arial" w:hAnsi="Arial" w:cs="Arial"/>
          <w:color w:val="000000"/>
          <w:sz w:val="22"/>
          <w:szCs w:val="22"/>
        </w:rPr>
        <w:t xml:space="preserve"> podle </w:t>
      </w:r>
      <w:r w:rsidRPr="00BE289A">
        <w:rPr>
          <w:rFonts w:ascii="Arial" w:hAnsi="Arial" w:cs="Arial"/>
          <w:color w:val="000000"/>
          <w:sz w:val="22"/>
          <w:szCs w:val="22"/>
        </w:rPr>
        <w:t>jednotlivých typů</w:t>
      </w:r>
    </w:p>
    <w:p w:rsidR="006700AC" w:rsidRPr="004A52A1" w:rsidRDefault="006700AC" w:rsidP="006700AC">
      <w:pPr>
        <w:numPr>
          <w:ilvl w:val="0"/>
          <w:numId w:val="57"/>
        </w:numPr>
        <w:tabs>
          <w:tab w:val="clear" w:pos="360"/>
          <w:tab w:val="num" w:pos="993"/>
        </w:tabs>
        <w:autoSpaceDE w:val="0"/>
        <w:autoSpaceDN w:val="0"/>
        <w:adjustRightInd w:val="0"/>
        <w:spacing w:before="60"/>
        <w:ind w:left="357" w:firstLine="210"/>
        <w:rPr>
          <w:rFonts w:ascii="Arial" w:hAnsi="Arial" w:cs="Arial"/>
          <w:color w:val="000000"/>
          <w:sz w:val="22"/>
          <w:szCs w:val="22"/>
        </w:rPr>
      </w:pPr>
      <w:r>
        <w:rPr>
          <w:rFonts w:ascii="Arial" w:hAnsi="Arial" w:cs="Arial"/>
          <w:color w:val="000000"/>
          <w:sz w:val="22"/>
          <w:szCs w:val="22"/>
        </w:rPr>
        <w:t xml:space="preserve">Účastnické karty </w:t>
      </w:r>
      <w:r w:rsidRPr="004A52A1">
        <w:rPr>
          <w:rFonts w:ascii="Arial" w:hAnsi="Arial" w:cs="Arial"/>
          <w:color w:val="000000"/>
          <w:sz w:val="22"/>
          <w:szCs w:val="22"/>
        </w:rPr>
        <w:t>Typ 1 – POTS</w:t>
      </w:r>
    </w:p>
    <w:p w:rsidR="006700AC" w:rsidRPr="004A52A1" w:rsidRDefault="006700AC" w:rsidP="006700AC">
      <w:pPr>
        <w:numPr>
          <w:ilvl w:val="0"/>
          <w:numId w:val="57"/>
        </w:numPr>
        <w:tabs>
          <w:tab w:val="clear" w:pos="360"/>
          <w:tab w:val="num" w:pos="993"/>
        </w:tabs>
        <w:autoSpaceDE w:val="0"/>
        <w:autoSpaceDN w:val="0"/>
        <w:adjustRightInd w:val="0"/>
        <w:spacing w:before="60"/>
        <w:ind w:left="357" w:firstLine="210"/>
        <w:rPr>
          <w:rFonts w:ascii="Arial" w:hAnsi="Arial" w:cs="Arial"/>
          <w:color w:val="000000"/>
          <w:sz w:val="22"/>
          <w:szCs w:val="22"/>
        </w:rPr>
      </w:pPr>
      <w:r>
        <w:rPr>
          <w:rFonts w:ascii="Arial" w:hAnsi="Arial" w:cs="Arial"/>
          <w:color w:val="000000"/>
          <w:sz w:val="22"/>
          <w:szCs w:val="22"/>
        </w:rPr>
        <w:t xml:space="preserve">Účastnické karty </w:t>
      </w:r>
      <w:r w:rsidRPr="004A52A1">
        <w:rPr>
          <w:rFonts w:ascii="Arial" w:hAnsi="Arial" w:cs="Arial"/>
          <w:color w:val="000000"/>
          <w:sz w:val="22"/>
          <w:szCs w:val="22"/>
        </w:rPr>
        <w:t>Typ 2 – ISDN-BRA</w:t>
      </w:r>
    </w:p>
    <w:p w:rsidR="006700AC" w:rsidRPr="00BE289A" w:rsidRDefault="006700AC" w:rsidP="006700AC">
      <w:pPr>
        <w:numPr>
          <w:ilvl w:val="0"/>
          <w:numId w:val="57"/>
        </w:numPr>
        <w:tabs>
          <w:tab w:val="clear" w:pos="360"/>
          <w:tab w:val="num" w:pos="993"/>
        </w:tabs>
        <w:autoSpaceDE w:val="0"/>
        <w:autoSpaceDN w:val="0"/>
        <w:adjustRightInd w:val="0"/>
        <w:spacing w:before="60"/>
        <w:ind w:left="357" w:firstLine="210"/>
        <w:rPr>
          <w:rFonts w:ascii="Arial" w:hAnsi="Arial" w:cs="Arial"/>
          <w:color w:val="000000"/>
          <w:sz w:val="22"/>
          <w:szCs w:val="22"/>
        </w:rPr>
      </w:pPr>
      <w:r>
        <w:rPr>
          <w:rFonts w:ascii="Arial" w:hAnsi="Arial" w:cs="Arial"/>
          <w:color w:val="000000"/>
          <w:sz w:val="22"/>
          <w:szCs w:val="22"/>
        </w:rPr>
        <w:t xml:space="preserve">Přepínací karty </w:t>
      </w:r>
      <w:r w:rsidRPr="00BE289A">
        <w:rPr>
          <w:rFonts w:ascii="Arial" w:hAnsi="Arial" w:cs="Arial"/>
          <w:color w:val="000000"/>
          <w:sz w:val="22"/>
          <w:szCs w:val="22"/>
        </w:rPr>
        <w:t>Typ 1 (DTRH)</w:t>
      </w:r>
    </w:p>
    <w:p w:rsidR="006700AC" w:rsidRPr="00BE289A" w:rsidRDefault="006700AC" w:rsidP="006700AC">
      <w:pPr>
        <w:numPr>
          <w:ilvl w:val="0"/>
          <w:numId w:val="57"/>
        </w:numPr>
        <w:tabs>
          <w:tab w:val="clear" w:pos="360"/>
          <w:tab w:val="num" w:pos="993"/>
        </w:tabs>
        <w:autoSpaceDE w:val="0"/>
        <w:autoSpaceDN w:val="0"/>
        <w:adjustRightInd w:val="0"/>
        <w:spacing w:before="60"/>
        <w:ind w:left="357" w:firstLine="210"/>
        <w:rPr>
          <w:rFonts w:ascii="Arial" w:hAnsi="Arial" w:cs="Arial"/>
          <w:color w:val="000000"/>
          <w:sz w:val="22"/>
          <w:szCs w:val="22"/>
        </w:rPr>
      </w:pPr>
      <w:r>
        <w:rPr>
          <w:rFonts w:ascii="Arial" w:hAnsi="Arial" w:cs="Arial"/>
          <w:color w:val="000000"/>
          <w:sz w:val="22"/>
          <w:szCs w:val="22"/>
        </w:rPr>
        <w:t xml:space="preserve">Přepínací karty </w:t>
      </w:r>
      <w:r w:rsidRPr="00BE289A">
        <w:rPr>
          <w:rFonts w:ascii="Arial" w:hAnsi="Arial" w:cs="Arial"/>
          <w:color w:val="000000"/>
          <w:sz w:val="22"/>
          <w:szCs w:val="22"/>
        </w:rPr>
        <w:t>Typ 2 (DTRF)</w:t>
      </w:r>
    </w:p>
    <w:p w:rsidR="006700AC" w:rsidRPr="00BE289A" w:rsidRDefault="006700AC" w:rsidP="006700AC">
      <w:pPr>
        <w:autoSpaceDE w:val="0"/>
        <w:autoSpaceDN w:val="0"/>
        <w:adjustRightInd w:val="0"/>
        <w:spacing w:before="120"/>
        <w:rPr>
          <w:rFonts w:ascii="Arial" w:hAnsi="Arial" w:cs="Arial"/>
          <w:color w:val="000000"/>
          <w:sz w:val="22"/>
          <w:szCs w:val="22"/>
        </w:rPr>
      </w:pPr>
      <w:r>
        <w:rPr>
          <w:rFonts w:ascii="Arial" w:hAnsi="Arial" w:cs="Arial"/>
          <w:color w:val="000000"/>
          <w:sz w:val="22"/>
          <w:szCs w:val="22"/>
        </w:rPr>
        <w:t>H. MSAN</w:t>
      </w:r>
      <w:r w:rsidRPr="00BE289A">
        <w:rPr>
          <w:rFonts w:ascii="Arial" w:hAnsi="Arial" w:cs="Arial"/>
          <w:color w:val="000000"/>
          <w:sz w:val="22"/>
          <w:szCs w:val="22"/>
        </w:rPr>
        <w:t>/DSLAM</w:t>
      </w:r>
    </w:p>
    <w:p w:rsidR="006700AC" w:rsidRPr="00BE289A" w:rsidRDefault="006700AC" w:rsidP="006700AC">
      <w:pPr>
        <w:numPr>
          <w:ilvl w:val="0"/>
          <w:numId w:val="58"/>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Šasi –</w:t>
      </w:r>
      <w:r>
        <w:rPr>
          <w:rFonts w:ascii="Arial" w:hAnsi="Arial" w:cs="Arial"/>
          <w:color w:val="000000"/>
          <w:sz w:val="22"/>
          <w:szCs w:val="22"/>
        </w:rPr>
        <w:t xml:space="preserve"> podle </w:t>
      </w:r>
      <w:r w:rsidRPr="00BE289A">
        <w:rPr>
          <w:rFonts w:ascii="Arial" w:hAnsi="Arial" w:cs="Arial"/>
          <w:color w:val="000000"/>
          <w:sz w:val="22"/>
          <w:szCs w:val="22"/>
        </w:rPr>
        <w:t>jednotlivých typů</w:t>
      </w:r>
    </w:p>
    <w:p w:rsidR="006700AC" w:rsidRPr="004A52A1" w:rsidRDefault="006700AC" w:rsidP="006700AC">
      <w:pPr>
        <w:numPr>
          <w:ilvl w:val="0"/>
          <w:numId w:val="58"/>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4A52A1">
        <w:rPr>
          <w:rFonts w:ascii="Arial" w:hAnsi="Arial" w:cs="Arial"/>
          <w:color w:val="000000"/>
          <w:sz w:val="22"/>
          <w:szCs w:val="22"/>
        </w:rPr>
        <w:t>Účastnické karty Typ 1 – ADSL</w:t>
      </w:r>
    </w:p>
    <w:p w:rsidR="006700AC" w:rsidRPr="004A52A1" w:rsidRDefault="006700AC" w:rsidP="006700AC">
      <w:pPr>
        <w:numPr>
          <w:ilvl w:val="0"/>
          <w:numId w:val="58"/>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4A52A1">
        <w:rPr>
          <w:rFonts w:ascii="Arial" w:hAnsi="Arial" w:cs="Arial"/>
          <w:color w:val="000000"/>
          <w:sz w:val="22"/>
          <w:szCs w:val="22"/>
        </w:rPr>
        <w:t>Účastnické karty Typ 2 – SHDSL</w:t>
      </w:r>
    </w:p>
    <w:p w:rsidR="006700AC" w:rsidRPr="004A52A1" w:rsidRDefault="006700AC" w:rsidP="006700AC">
      <w:pPr>
        <w:numPr>
          <w:ilvl w:val="0"/>
          <w:numId w:val="58"/>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4A52A1">
        <w:rPr>
          <w:rFonts w:ascii="Arial" w:hAnsi="Arial" w:cs="Arial"/>
          <w:color w:val="000000"/>
          <w:sz w:val="22"/>
          <w:szCs w:val="22"/>
        </w:rPr>
        <w:t xml:space="preserve">Účastnické karty Typ 3 – VDSL </w:t>
      </w:r>
    </w:p>
    <w:p w:rsidR="006700AC" w:rsidRPr="00BE289A" w:rsidRDefault="006700AC" w:rsidP="006700AC">
      <w:pPr>
        <w:numPr>
          <w:ilvl w:val="0"/>
          <w:numId w:val="58"/>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SFP modul – LR – dlouhý rozsah</w:t>
      </w:r>
    </w:p>
    <w:p w:rsidR="006700AC" w:rsidRPr="00BE289A" w:rsidRDefault="006700AC" w:rsidP="00B83C0E">
      <w:pPr>
        <w:autoSpaceDE w:val="0"/>
        <w:autoSpaceDN w:val="0"/>
        <w:adjustRightInd w:val="0"/>
        <w:spacing w:before="120"/>
        <w:rPr>
          <w:rFonts w:ascii="Arial" w:hAnsi="Arial" w:cs="Arial"/>
          <w:color w:val="000000"/>
          <w:sz w:val="22"/>
          <w:szCs w:val="22"/>
        </w:rPr>
      </w:pPr>
      <w:r w:rsidRPr="00BE289A">
        <w:rPr>
          <w:rFonts w:ascii="Arial" w:hAnsi="Arial" w:cs="Arial"/>
          <w:color w:val="000000"/>
          <w:sz w:val="22"/>
          <w:szCs w:val="22"/>
        </w:rPr>
        <w:t xml:space="preserve">I. Modul MSAN/TDM-IP </w:t>
      </w:r>
    </w:p>
    <w:p w:rsidR="006700AC" w:rsidRPr="00BE289A" w:rsidRDefault="006700AC" w:rsidP="006700AC">
      <w:pPr>
        <w:numPr>
          <w:ilvl w:val="0"/>
          <w:numId w:val="59"/>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Šasi –</w:t>
      </w:r>
      <w:r>
        <w:rPr>
          <w:rFonts w:ascii="Arial" w:hAnsi="Arial" w:cs="Arial"/>
          <w:color w:val="000000"/>
          <w:sz w:val="22"/>
          <w:szCs w:val="22"/>
        </w:rPr>
        <w:t xml:space="preserve"> podle </w:t>
      </w:r>
      <w:r w:rsidRPr="00BE289A">
        <w:rPr>
          <w:rFonts w:ascii="Arial" w:hAnsi="Arial" w:cs="Arial"/>
          <w:color w:val="000000"/>
          <w:sz w:val="22"/>
          <w:szCs w:val="22"/>
        </w:rPr>
        <w:t>jednotlivých typů</w:t>
      </w:r>
    </w:p>
    <w:p w:rsidR="006700AC" w:rsidRPr="00BE289A" w:rsidRDefault="006700AC" w:rsidP="006700AC">
      <w:pPr>
        <w:numPr>
          <w:ilvl w:val="0"/>
          <w:numId w:val="59"/>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 xml:space="preserve">TDM </w:t>
      </w:r>
      <w:r>
        <w:rPr>
          <w:rFonts w:ascii="Arial" w:hAnsi="Arial" w:cs="Arial"/>
          <w:color w:val="000000"/>
          <w:sz w:val="22"/>
          <w:szCs w:val="22"/>
        </w:rPr>
        <w:t>karty – podle jednotlivých typů</w:t>
      </w:r>
    </w:p>
    <w:p w:rsidR="006700AC" w:rsidRPr="00BE289A" w:rsidRDefault="006700AC" w:rsidP="006700AC">
      <w:pPr>
        <w:autoSpaceDE w:val="0"/>
        <w:autoSpaceDN w:val="0"/>
        <w:adjustRightInd w:val="0"/>
        <w:spacing w:before="120"/>
        <w:rPr>
          <w:rFonts w:ascii="Arial" w:hAnsi="Arial" w:cs="Arial"/>
          <w:color w:val="000000"/>
          <w:sz w:val="22"/>
          <w:szCs w:val="22"/>
        </w:rPr>
      </w:pPr>
      <w:r w:rsidRPr="00BE289A">
        <w:rPr>
          <w:rFonts w:ascii="Arial" w:hAnsi="Arial" w:cs="Arial"/>
          <w:color w:val="000000"/>
          <w:sz w:val="22"/>
          <w:szCs w:val="22"/>
        </w:rPr>
        <w:t>J. Okrajový Ethernet přepínač</w:t>
      </w:r>
    </w:p>
    <w:p w:rsidR="006700AC" w:rsidRPr="00BE289A" w:rsidRDefault="006700AC" w:rsidP="006700AC">
      <w:pPr>
        <w:numPr>
          <w:ilvl w:val="0"/>
          <w:numId w:val="60"/>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Šasi –</w:t>
      </w:r>
      <w:r>
        <w:rPr>
          <w:rFonts w:ascii="Arial" w:hAnsi="Arial" w:cs="Arial"/>
          <w:color w:val="000000"/>
          <w:sz w:val="22"/>
          <w:szCs w:val="22"/>
        </w:rPr>
        <w:t xml:space="preserve"> podle </w:t>
      </w:r>
      <w:r w:rsidRPr="00BE289A">
        <w:rPr>
          <w:rFonts w:ascii="Arial" w:hAnsi="Arial" w:cs="Arial"/>
          <w:color w:val="000000"/>
          <w:sz w:val="22"/>
          <w:szCs w:val="22"/>
        </w:rPr>
        <w:t xml:space="preserve">jednotlivých typů </w:t>
      </w:r>
    </w:p>
    <w:p w:rsidR="006700AC" w:rsidRPr="00BE289A" w:rsidRDefault="006700AC" w:rsidP="006700AC">
      <w:pPr>
        <w:numPr>
          <w:ilvl w:val="0"/>
          <w:numId w:val="60"/>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Přepínací karty </w:t>
      </w:r>
    </w:p>
    <w:p w:rsidR="006700AC" w:rsidRPr="00BE289A" w:rsidRDefault="006700AC" w:rsidP="006700AC">
      <w:pPr>
        <w:numPr>
          <w:ilvl w:val="0"/>
          <w:numId w:val="60"/>
        </w:numPr>
        <w:tabs>
          <w:tab w:val="clear" w:pos="360"/>
          <w:tab w:val="num" w:pos="993"/>
        </w:tabs>
        <w:autoSpaceDE w:val="0"/>
        <w:autoSpaceDN w:val="0"/>
        <w:adjustRightInd w:val="0"/>
        <w:spacing w:before="60"/>
        <w:ind w:left="992" w:hanging="357"/>
        <w:rPr>
          <w:rFonts w:ascii="Arial" w:hAnsi="Arial" w:cs="Arial"/>
          <w:color w:val="000000"/>
          <w:sz w:val="22"/>
          <w:szCs w:val="22"/>
        </w:rPr>
      </w:pPr>
      <w:proofErr w:type="spellStart"/>
      <w:r w:rsidRPr="00BE289A">
        <w:rPr>
          <w:rFonts w:ascii="Arial" w:hAnsi="Arial" w:cs="Arial"/>
          <w:color w:val="000000"/>
          <w:sz w:val="22"/>
          <w:szCs w:val="22"/>
        </w:rPr>
        <w:lastRenderedPageBreak/>
        <w:t>Trunkové</w:t>
      </w:r>
      <w:proofErr w:type="spellEnd"/>
      <w:r w:rsidRPr="00BE289A">
        <w:rPr>
          <w:rFonts w:ascii="Arial" w:hAnsi="Arial" w:cs="Arial"/>
          <w:color w:val="000000"/>
          <w:sz w:val="22"/>
          <w:szCs w:val="22"/>
        </w:rPr>
        <w:t xml:space="preserve"> karty 1GE port – počet SFP slotů –</w:t>
      </w:r>
      <w:r>
        <w:rPr>
          <w:rFonts w:ascii="Arial" w:hAnsi="Arial" w:cs="Arial"/>
          <w:color w:val="000000"/>
          <w:sz w:val="22"/>
          <w:szCs w:val="22"/>
        </w:rPr>
        <w:t xml:space="preserve"> podle </w:t>
      </w:r>
      <w:r w:rsidRPr="00BE289A">
        <w:rPr>
          <w:rFonts w:ascii="Arial" w:hAnsi="Arial" w:cs="Arial"/>
          <w:color w:val="000000"/>
          <w:sz w:val="22"/>
          <w:szCs w:val="22"/>
        </w:rPr>
        <w:t>jednotlivých typů</w:t>
      </w:r>
    </w:p>
    <w:p w:rsidR="006700AC" w:rsidRPr="00BE289A" w:rsidRDefault="006700AC" w:rsidP="006700AC">
      <w:pPr>
        <w:numPr>
          <w:ilvl w:val="0"/>
          <w:numId w:val="60"/>
        </w:numPr>
        <w:tabs>
          <w:tab w:val="clear" w:pos="360"/>
          <w:tab w:val="num" w:pos="993"/>
        </w:tabs>
        <w:autoSpaceDE w:val="0"/>
        <w:autoSpaceDN w:val="0"/>
        <w:adjustRightInd w:val="0"/>
        <w:spacing w:before="60"/>
        <w:ind w:left="992" w:hanging="357"/>
        <w:rPr>
          <w:rFonts w:ascii="Arial" w:hAnsi="Arial" w:cs="Arial"/>
          <w:color w:val="000000"/>
          <w:sz w:val="22"/>
          <w:szCs w:val="22"/>
        </w:rPr>
      </w:pPr>
      <w:proofErr w:type="spellStart"/>
      <w:r w:rsidRPr="00BE289A">
        <w:rPr>
          <w:rFonts w:ascii="Arial" w:hAnsi="Arial" w:cs="Arial"/>
          <w:color w:val="000000"/>
          <w:sz w:val="22"/>
          <w:szCs w:val="22"/>
        </w:rPr>
        <w:t>Trunkové</w:t>
      </w:r>
      <w:proofErr w:type="spellEnd"/>
      <w:r w:rsidRPr="00BE289A">
        <w:rPr>
          <w:rFonts w:ascii="Arial" w:hAnsi="Arial" w:cs="Arial"/>
          <w:color w:val="000000"/>
          <w:sz w:val="22"/>
          <w:szCs w:val="22"/>
        </w:rPr>
        <w:t xml:space="preserve"> karty 10 GE portů – počet XFP slotů nebo </w:t>
      </w:r>
      <w:proofErr w:type="spellStart"/>
      <w:r w:rsidRPr="00BE289A">
        <w:rPr>
          <w:rFonts w:ascii="Arial" w:hAnsi="Arial" w:cs="Arial"/>
          <w:color w:val="000000"/>
          <w:sz w:val="22"/>
          <w:szCs w:val="22"/>
        </w:rPr>
        <w:t>xenpack</w:t>
      </w:r>
      <w:proofErr w:type="spellEnd"/>
      <w:r w:rsidRPr="00BE289A">
        <w:rPr>
          <w:rFonts w:ascii="Arial" w:hAnsi="Arial" w:cs="Arial"/>
          <w:color w:val="000000"/>
          <w:sz w:val="22"/>
          <w:szCs w:val="22"/>
        </w:rPr>
        <w:t xml:space="preserve"> slotů –</w:t>
      </w:r>
      <w:r>
        <w:rPr>
          <w:rFonts w:ascii="Arial" w:hAnsi="Arial" w:cs="Arial"/>
          <w:color w:val="000000"/>
          <w:sz w:val="22"/>
          <w:szCs w:val="22"/>
        </w:rPr>
        <w:t xml:space="preserve"> podle </w:t>
      </w:r>
      <w:r w:rsidRPr="00BE289A">
        <w:rPr>
          <w:rFonts w:ascii="Arial" w:hAnsi="Arial" w:cs="Arial"/>
          <w:color w:val="000000"/>
          <w:sz w:val="22"/>
          <w:szCs w:val="22"/>
        </w:rPr>
        <w:t>jednotlivých typů</w:t>
      </w:r>
    </w:p>
    <w:p w:rsidR="006700AC" w:rsidRDefault="006700AC" w:rsidP="006700AC">
      <w:pPr>
        <w:numPr>
          <w:ilvl w:val="0"/>
          <w:numId w:val="60"/>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Optické moduly (SFP) </w:t>
      </w:r>
      <w:r>
        <w:rPr>
          <w:rFonts w:ascii="Arial" w:hAnsi="Arial" w:cs="Arial"/>
          <w:color w:val="000000"/>
          <w:sz w:val="22"/>
          <w:szCs w:val="22"/>
        </w:rPr>
        <w:t xml:space="preserve">– </w:t>
      </w:r>
      <w:r w:rsidRPr="00BE289A">
        <w:rPr>
          <w:rFonts w:ascii="Arial" w:hAnsi="Arial" w:cs="Arial"/>
          <w:color w:val="000000"/>
          <w:sz w:val="22"/>
          <w:szCs w:val="22"/>
        </w:rPr>
        <w:t>SR</w:t>
      </w:r>
      <w:r>
        <w:rPr>
          <w:rFonts w:ascii="Arial" w:hAnsi="Arial" w:cs="Arial"/>
          <w:color w:val="000000"/>
          <w:sz w:val="22"/>
          <w:szCs w:val="22"/>
        </w:rPr>
        <w:t xml:space="preserve"> </w:t>
      </w:r>
      <w:r w:rsidRPr="00BE289A">
        <w:rPr>
          <w:rFonts w:ascii="Arial" w:hAnsi="Arial" w:cs="Arial"/>
          <w:color w:val="000000"/>
          <w:sz w:val="22"/>
          <w:szCs w:val="22"/>
        </w:rPr>
        <w:t>(krátký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r>
        <w:rPr>
          <w:rFonts w:ascii="Arial" w:hAnsi="Arial" w:cs="Arial"/>
          <w:color w:val="000000"/>
          <w:sz w:val="22"/>
          <w:szCs w:val="22"/>
        </w:rPr>
        <w:t xml:space="preserve"> (</w:t>
      </w:r>
      <w:proofErr w:type="spellStart"/>
      <w:r>
        <w:rPr>
          <w:rFonts w:ascii="Arial" w:hAnsi="Arial" w:cs="Arial"/>
          <w:color w:val="000000"/>
          <w:sz w:val="22"/>
          <w:szCs w:val="22"/>
        </w:rPr>
        <w:t>Gbps</w:t>
      </w:r>
      <w:proofErr w:type="spellEnd"/>
      <w:r>
        <w:rPr>
          <w:rFonts w:ascii="Arial" w:hAnsi="Arial" w:cs="Arial"/>
          <w:color w:val="000000"/>
          <w:sz w:val="22"/>
          <w:szCs w:val="22"/>
        </w:rPr>
        <w:t xml:space="preserve"> Ethernet)</w:t>
      </w:r>
    </w:p>
    <w:p w:rsidR="006700AC" w:rsidRDefault="006700AC" w:rsidP="006700AC">
      <w:pPr>
        <w:numPr>
          <w:ilvl w:val="0"/>
          <w:numId w:val="60"/>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Optické moduly (SFP) </w:t>
      </w:r>
      <w:r>
        <w:rPr>
          <w:rFonts w:ascii="Arial" w:hAnsi="Arial" w:cs="Arial"/>
          <w:color w:val="000000"/>
          <w:sz w:val="22"/>
          <w:szCs w:val="22"/>
        </w:rPr>
        <w:t>– L</w:t>
      </w:r>
      <w:r w:rsidRPr="00BE289A">
        <w:rPr>
          <w:rFonts w:ascii="Arial" w:hAnsi="Arial" w:cs="Arial"/>
          <w:color w:val="000000"/>
          <w:sz w:val="22"/>
          <w:szCs w:val="22"/>
        </w:rPr>
        <w:t>R</w:t>
      </w:r>
      <w:r>
        <w:rPr>
          <w:rFonts w:ascii="Arial" w:hAnsi="Arial" w:cs="Arial"/>
          <w:color w:val="000000"/>
          <w:sz w:val="22"/>
          <w:szCs w:val="22"/>
        </w:rPr>
        <w:t xml:space="preserve"> </w:t>
      </w:r>
      <w:r w:rsidRPr="00BE289A">
        <w:rPr>
          <w:rFonts w:ascii="Arial" w:hAnsi="Arial" w:cs="Arial"/>
          <w:color w:val="000000"/>
          <w:sz w:val="22"/>
          <w:szCs w:val="22"/>
        </w:rPr>
        <w:t>(dlouhý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0"/>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r>
        <w:rPr>
          <w:rFonts w:ascii="Arial" w:hAnsi="Arial" w:cs="Arial"/>
          <w:color w:val="000000"/>
          <w:sz w:val="22"/>
          <w:szCs w:val="22"/>
        </w:rPr>
        <w:t>X</w:t>
      </w:r>
      <w:r w:rsidRPr="00BE289A">
        <w:rPr>
          <w:rFonts w:ascii="Arial" w:hAnsi="Arial" w:cs="Arial"/>
          <w:color w:val="000000"/>
          <w:sz w:val="22"/>
          <w:szCs w:val="22"/>
        </w:rPr>
        <w:t xml:space="preserve">FP) </w:t>
      </w:r>
      <w:r>
        <w:rPr>
          <w:rFonts w:ascii="Arial" w:hAnsi="Arial" w:cs="Arial"/>
          <w:color w:val="000000"/>
          <w:sz w:val="22"/>
          <w:szCs w:val="22"/>
        </w:rPr>
        <w:t xml:space="preserve">– </w:t>
      </w:r>
      <w:r w:rsidRPr="00BE289A">
        <w:rPr>
          <w:rFonts w:ascii="Arial" w:hAnsi="Arial" w:cs="Arial"/>
          <w:color w:val="000000"/>
          <w:sz w:val="22"/>
          <w:szCs w:val="22"/>
        </w:rPr>
        <w:t>SR</w:t>
      </w:r>
      <w:r>
        <w:rPr>
          <w:rFonts w:ascii="Arial" w:hAnsi="Arial" w:cs="Arial"/>
          <w:color w:val="000000"/>
          <w:sz w:val="22"/>
          <w:szCs w:val="22"/>
        </w:rPr>
        <w:t xml:space="preserve"> </w:t>
      </w:r>
      <w:r w:rsidRPr="00BE289A">
        <w:rPr>
          <w:rFonts w:ascii="Arial" w:hAnsi="Arial" w:cs="Arial"/>
          <w:color w:val="000000"/>
          <w:sz w:val="22"/>
          <w:szCs w:val="22"/>
        </w:rPr>
        <w:t>(krátký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0"/>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r>
        <w:rPr>
          <w:rFonts w:ascii="Arial" w:hAnsi="Arial" w:cs="Arial"/>
          <w:color w:val="000000"/>
          <w:sz w:val="22"/>
          <w:szCs w:val="22"/>
        </w:rPr>
        <w:t>X</w:t>
      </w:r>
      <w:r w:rsidRPr="00BE289A">
        <w:rPr>
          <w:rFonts w:ascii="Arial" w:hAnsi="Arial" w:cs="Arial"/>
          <w:color w:val="000000"/>
          <w:sz w:val="22"/>
          <w:szCs w:val="22"/>
        </w:rPr>
        <w:t xml:space="preserve">FP) </w:t>
      </w:r>
      <w:r>
        <w:rPr>
          <w:rFonts w:ascii="Arial" w:hAnsi="Arial" w:cs="Arial"/>
          <w:color w:val="000000"/>
          <w:sz w:val="22"/>
          <w:szCs w:val="22"/>
        </w:rPr>
        <w:t>– L</w:t>
      </w:r>
      <w:r w:rsidRPr="00BE289A">
        <w:rPr>
          <w:rFonts w:ascii="Arial" w:hAnsi="Arial" w:cs="Arial"/>
          <w:color w:val="000000"/>
          <w:sz w:val="22"/>
          <w:szCs w:val="22"/>
        </w:rPr>
        <w:t>R</w:t>
      </w:r>
      <w:r>
        <w:rPr>
          <w:rFonts w:ascii="Arial" w:hAnsi="Arial" w:cs="Arial"/>
          <w:color w:val="000000"/>
          <w:sz w:val="22"/>
          <w:szCs w:val="22"/>
        </w:rPr>
        <w:t xml:space="preserve"> </w:t>
      </w:r>
      <w:r w:rsidRPr="00BE289A">
        <w:rPr>
          <w:rFonts w:ascii="Arial" w:hAnsi="Arial" w:cs="Arial"/>
          <w:color w:val="000000"/>
          <w:sz w:val="22"/>
          <w:szCs w:val="22"/>
        </w:rPr>
        <w:t>(dlouhý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0"/>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proofErr w:type="spellStart"/>
      <w:r w:rsidRPr="00BE289A">
        <w:rPr>
          <w:rFonts w:ascii="Arial" w:hAnsi="Arial" w:cs="Arial"/>
          <w:color w:val="000000"/>
          <w:sz w:val="22"/>
          <w:szCs w:val="22"/>
        </w:rPr>
        <w:t>xenpack</w:t>
      </w:r>
      <w:proofErr w:type="spellEnd"/>
      <w:r w:rsidRPr="00BE289A">
        <w:rPr>
          <w:rFonts w:ascii="Arial" w:hAnsi="Arial" w:cs="Arial"/>
          <w:color w:val="000000"/>
          <w:sz w:val="22"/>
          <w:szCs w:val="22"/>
        </w:rPr>
        <w:t xml:space="preserve">) </w:t>
      </w:r>
      <w:r>
        <w:rPr>
          <w:rFonts w:ascii="Arial" w:hAnsi="Arial" w:cs="Arial"/>
          <w:color w:val="000000"/>
          <w:sz w:val="22"/>
          <w:szCs w:val="22"/>
        </w:rPr>
        <w:t xml:space="preserve">– </w:t>
      </w:r>
      <w:r w:rsidRPr="00BE289A">
        <w:rPr>
          <w:rFonts w:ascii="Arial" w:hAnsi="Arial" w:cs="Arial"/>
          <w:color w:val="000000"/>
          <w:sz w:val="22"/>
          <w:szCs w:val="22"/>
        </w:rPr>
        <w:t>SR</w:t>
      </w:r>
      <w:r>
        <w:rPr>
          <w:rFonts w:ascii="Arial" w:hAnsi="Arial" w:cs="Arial"/>
          <w:color w:val="000000"/>
          <w:sz w:val="22"/>
          <w:szCs w:val="22"/>
        </w:rPr>
        <w:t xml:space="preserve"> </w:t>
      </w:r>
      <w:r w:rsidRPr="00BE289A">
        <w:rPr>
          <w:rFonts w:ascii="Arial" w:hAnsi="Arial" w:cs="Arial"/>
          <w:color w:val="000000"/>
          <w:sz w:val="22"/>
          <w:szCs w:val="22"/>
        </w:rPr>
        <w:t>(krátký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0"/>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proofErr w:type="spellStart"/>
      <w:r w:rsidRPr="00BE289A">
        <w:rPr>
          <w:rFonts w:ascii="Arial" w:hAnsi="Arial" w:cs="Arial"/>
          <w:color w:val="000000"/>
          <w:sz w:val="22"/>
          <w:szCs w:val="22"/>
        </w:rPr>
        <w:t>xenpack</w:t>
      </w:r>
      <w:proofErr w:type="spellEnd"/>
      <w:r w:rsidRPr="00BE289A">
        <w:rPr>
          <w:rFonts w:ascii="Arial" w:hAnsi="Arial" w:cs="Arial"/>
          <w:color w:val="000000"/>
          <w:sz w:val="22"/>
          <w:szCs w:val="22"/>
        </w:rPr>
        <w:t xml:space="preserve">) </w:t>
      </w:r>
      <w:r>
        <w:rPr>
          <w:rFonts w:ascii="Arial" w:hAnsi="Arial" w:cs="Arial"/>
          <w:color w:val="000000"/>
          <w:sz w:val="22"/>
          <w:szCs w:val="22"/>
        </w:rPr>
        <w:t>– L</w:t>
      </w:r>
      <w:r w:rsidRPr="00BE289A">
        <w:rPr>
          <w:rFonts w:ascii="Arial" w:hAnsi="Arial" w:cs="Arial"/>
          <w:color w:val="000000"/>
          <w:sz w:val="22"/>
          <w:szCs w:val="22"/>
        </w:rPr>
        <w:t>R</w:t>
      </w:r>
      <w:r>
        <w:rPr>
          <w:rFonts w:ascii="Arial" w:hAnsi="Arial" w:cs="Arial"/>
          <w:color w:val="000000"/>
          <w:sz w:val="22"/>
          <w:szCs w:val="22"/>
        </w:rPr>
        <w:t xml:space="preserve"> </w:t>
      </w:r>
      <w:r w:rsidRPr="00BE289A">
        <w:rPr>
          <w:rFonts w:ascii="Arial" w:hAnsi="Arial" w:cs="Arial"/>
          <w:color w:val="000000"/>
          <w:sz w:val="22"/>
          <w:szCs w:val="22"/>
        </w:rPr>
        <w:t>(dlouhý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Pr="004A52A1" w:rsidRDefault="006700AC" w:rsidP="006700AC">
      <w:pPr>
        <w:autoSpaceDE w:val="0"/>
        <w:autoSpaceDN w:val="0"/>
        <w:adjustRightInd w:val="0"/>
        <w:spacing w:before="120"/>
        <w:rPr>
          <w:rFonts w:ascii="Arial" w:hAnsi="Arial" w:cs="Arial"/>
          <w:color w:val="000000"/>
          <w:sz w:val="22"/>
          <w:szCs w:val="22"/>
        </w:rPr>
      </w:pPr>
      <w:r w:rsidRPr="004A52A1">
        <w:rPr>
          <w:rFonts w:ascii="Arial" w:hAnsi="Arial" w:cs="Arial"/>
          <w:color w:val="000000"/>
          <w:sz w:val="22"/>
          <w:szCs w:val="22"/>
        </w:rPr>
        <w:t xml:space="preserve">K. Páteřní Ethernet přepínač </w:t>
      </w:r>
    </w:p>
    <w:p w:rsidR="006700AC" w:rsidRPr="00BE289A" w:rsidRDefault="006700AC" w:rsidP="006700AC">
      <w:pPr>
        <w:numPr>
          <w:ilvl w:val="0"/>
          <w:numId w:val="61"/>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4A52A1">
        <w:rPr>
          <w:rFonts w:ascii="Arial" w:hAnsi="Arial" w:cs="Arial"/>
          <w:color w:val="000000"/>
          <w:sz w:val="22"/>
          <w:szCs w:val="22"/>
        </w:rPr>
        <w:t>Šasi –</w:t>
      </w:r>
      <w:r>
        <w:rPr>
          <w:rFonts w:ascii="Arial" w:hAnsi="Arial" w:cs="Arial"/>
          <w:color w:val="000000"/>
          <w:sz w:val="22"/>
          <w:szCs w:val="22"/>
        </w:rPr>
        <w:t xml:space="preserve"> podle </w:t>
      </w:r>
      <w:r w:rsidRPr="004A52A1">
        <w:rPr>
          <w:rFonts w:ascii="Arial" w:hAnsi="Arial" w:cs="Arial"/>
          <w:color w:val="000000"/>
          <w:sz w:val="22"/>
          <w:szCs w:val="22"/>
        </w:rPr>
        <w:t>jednotlivých typů</w:t>
      </w:r>
      <w:r w:rsidRPr="00BE289A">
        <w:rPr>
          <w:rFonts w:ascii="Arial" w:hAnsi="Arial" w:cs="Arial"/>
          <w:color w:val="000000"/>
          <w:sz w:val="22"/>
          <w:szCs w:val="22"/>
        </w:rPr>
        <w:t xml:space="preserve"> </w:t>
      </w:r>
    </w:p>
    <w:p w:rsidR="006700AC" w:rsidRPr="00BE289A" w:rsidRDefault="006700AC" w:rsidP="006700AC">
      <w:pPr>
        <w:numPr>
          <w:ilvl w:val="0"/>
          <w:numId w:val="61"/>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Přepínací karty </w:t>
      </w:r>
    </w:p>
    <w:p w:rsidR="006700AC" w:rsidRPr="00BE289A" w:rsidRDefault="006700AC" w:rsidP="006700AC">
      <w:pPr>
        <w:numPr>
          <w:ilvl w:val="0"/>
          <w:numId w:val="61"/>
        </w:numPr>
        <w:tabs>
          <w:tab w:val="clear" w:pos="360"/>
          <w:tab w:val="num" w:pos="993"/>
        </w:tabs>
        <w:autoSpaceDE w:val="0"/>
        <w:autoSpaceDN w:val="0"/>
        <w:adjustRightInd w:val="0"/>
        <w:spacing w:before="60"/>
        <w:ind w:left="992" w:hanging="357"/>
        <w:rPr>
          <w:rFonts w:ascii="Arial" w:hAnsi="Arial" w:cs="Arial"/>
          <w:color w:val="000000"/>
          <w:sz w:val="22"/>
          <w:szCs w:val="22"/>
        </w:rPr>
      </w:pPr>
      <w:proofErr w:type="spellStart"/>
      <w:r w:rsidRPr="00BE289A">
        <w:rPr>
          <w:rFonts w:ascii="Arial" w:hAnsi="Arial" w:cs="Arial"/>
          <w:color w:val="000000"/>
          <w:sz w:val="22"/>
          <w:szCs w:val="22"/>
        </w:rPr>
        <w:t>Trunkové</w:t>
      </w:r>
      <w:proofErr w:type="spellEnd"/>
      <w:r w:rsidRPr="00BE289A">
        <w:rPr>
          <w:rFonts w:ascii="Arial" w:hAnsi="Arial" w:cs="Arial"/>
          <w:color w:val="000000"/>
          <w:sz w:val="22"/>
          <w:szCs w:val="22"/>
        </w:rPr>
        <w:t xml:space="preserve"> karty 1GE port – počet SFP slotů –</w:t>
      </w:r>
      <w:r>
        <w:rPr>
          <w:rFonts w:ascii="Arial" w:hAnsi="Arial" w:cs="Arial"/>
          <w:color w:val="000000"/>
          <w:sz w:val="22"/>
          <w:szCs w:val="22"/>
        </w:rPr>
        <w:t xml:space="preserve"> podle </w:t>
      </w:r>
      <w:r w:rsidRPr="00BE289A">
        <w:rPr>
          <w:rFonts w:ascii="Arial" w:hAnsi="Arial" w:cs="Arial"/>
          <w:color w:val="000000"/>
          <w:sz w:val="22"/>
          <w:szCs w:val="22"/>
        </w:rPr>
        <w:t>jednotlivých typů</w:t>
      </w:r>
    </w:p>
    <w:p w:rsidR="006700AC" w:rsidRPr="00BE289A" w:rsidRDefault="006700AC" w:rsidP="006700AC">
      <w:pPr>
        <w:numPr>
          <w:ilvl w:val="0"/>
          <w:numId w:val="61"/>
        </w:numPr>
        <w:tabs>
          <w:tab w:val="clear" w:pos="360"/>
          <w:tab w:val="num" w:pos="993"/>
        </w:tabs>
        <w:autoSpaceDE w:val="0"/>
        <w:autoSpaceDN w:val="0"/>
        <w:adjustRightInd w:val="0"/>
        <w:spacing w:before="60"/>
        <w:ind w:left="992" w:hanging="357"/>
        <w:rPr>
          <w:rFonts w:ascii="Arial" w:hAnsi="Arial" w:cs="Arial"/>
          <w:color w:val="000000"/>
          <w:sz w:val="22"/>
          <w:szCs w:val="22"/>
        </w:rPr>
      </w:pPr>
      <w:proofErr w:type="spellStart"/>
      <w:r w:rsidRPr="00BE289A">
        <w:rPr>
          <w:rFonts w:ascii="Arial" w:hAnsi="Arial" w:cs="Arial"/>
          <w:color w:val="000000"/>
          <w:sz w:val="22"/>
          <w:szCs w:val="22"/>
        </w:rPr>
        <w:t>Trunkové</w:t>
      </w:r>
      <w:proofErr w:type="spellEnd"/>
      <w:r w:rsidRPr="00BE289A">
        <w:rPr>
          <w:rFonts w:ascii="Arial" w:hAnsi="Arial" w:cs="Arial"/>
          <w:color w:val="000000"/>
          <w:sz w:val="22"/>
          <w:szCs w:val="22"/>
        </w:rPr>
        <w:t xml:space="preserve"> karty 10 GE portů – počet XFP slotů nebo </w:t>
      </w:r>
      <w:proofErr w:type="spellStart"/>
      <w:r w:rsidRPr="00BE289A">
        <w:rPr>
          <w:rFonts w:ascii="Arial" w:hAnsi="Arial" w:cs="Arial"/>
          <w:color w:val="000000"/>
          <w:sz w:val="22"/>
          <w:szCs w:val="22"/>
        </w:rPr>
        <w:t>xenpack</w:t>
      </w:r>
      <w:proofErr w:type="spellEnd"/>
      <w:r w:rsidRPr="00BE289A">
        <w:rPr>
          <w:rFonts w:ascii="Arial" w:hAnsi="Arial" w:cs="Arial"/>
          <w:color w:val="000000"/>
          <w:sz w:val="22"/>
          <w:szCs w:val="22"/>
        </w:rPr>
        <w:t xml:space="preserve"> slotů –</w:t>
      </w:r>
      <w:r>
        <w:rPr>
          <w:rFonts w:ascii="Arial" w:hAnsi="Arial" w:cs="Arial"/>
          <w:color w:val="000000"/>
          <w:sz w:val="22"/>
          <w:szCs w:val="22"/>
        </w:rPr>
        <w:t xml:space="preserve"> podle </w:t>
      </w:r>
      <w:r w:rsidRPr="00BE289A">
        <w:rPr>
          <w:rFonts w:ascii="Arial" w:hAnsi="Arial" w:cs="Arial"/>
          <w:color w:val="000000"/>
          <w:sz w:val="22"/>
          <w:szCs w:val="22"/>
        </w:rPr>
        <w:t>jednotlivých typů</w:t>
      </w:r>
    </w:p>
    <w:p w:rsidR="006700AC" w:rsidRDefault="006700AC" w:rsidP="006700AC">
      <w:pPr>
        <w:numPr>
          <w:ilvl w:val="0"/>
          <w:numId w:val="61"/>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Optické moduly (SFP) </w:t>
      </w:r>
      <w:r>
        <w:rPr>
          <w:rFonts w:ascii="Arial" w:hAnsi="Arial" w:cs="Arial"/>
          <w:color w:val="000000"/>
          <w:sz w:val="22"/>
          <w:szCs w:val="22"/>
        </w:rPr>
        <w:t xml:space="preserve">– </w:t>
      </w:r>
      <w:r w:rsidRPr="00BE289A">
        <w:rPr>
          <w:rFonts w:ascii="Arial" w:hAnsi="Arial" w:cs="Arial"/>
          <w:color w:val="000000"/>
          <w:sz w:val="22"/>
          <w:szCs w:val="22"/>
        </w:rPr>
        <w:t>SR</w:t>
      </w:r>
      <w:r>
        <w:rPr>
          <w:rFonts w:ascii="Arial" w:hAnsi="Arial" w:cs="Arial"/>
          <w:color w:val="000000"/>
          <w:sz w:val="22"/>
          <w:szCs w:val="22"/>
        </w:rPr>
        <w:t xml:space="preserve"> </w:t>
      </w:r>
      <w:r w:rsidRPr="00BE289A">
        <w:rPr>
          <w:rFonts w:ascii="Arial" w:hAnsi="Arial" w:cs="Arial"/>
          <w:color w:val="000000"/>
          <w:sz w:val="22"/>
          <w:szCs w:val="22"/>
        </w:rPr>
        <w:t>(krátký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1"/>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Optické moduly (SFP) </w:t>
      </w:r>
      <w:r>
        <w:rPr>
          <w:rFonts w:ascii="Arial" w:hAnsi="Arial" w:cs="Arial"/>
          <w:color w:val="000000"/>
          <w:sz w:val="22"/>
          <w:szCs w:val="22"/>
        </w:rPr>
        <w:t>– L</w:t>
      </w:r>
      <w:r w:rsidRPr="00BE289A">
        <w:rPr>
          <w:rFonts w:ascii="Arial" w:hAnsi="Arial" w:cs="Arial"/>
          <w:color w:val="000000"/>
          <w:sz w:val="22"/>
          <w:szCs w:val="22"/>
        </w:rPr>
        <w:t>R</w:t>
      </w:r>
      <w:r>
        <w:rPr>
          <w:rFonts w:ascii="Arial" w:hAnsi="Arial" w:cs="Arial"/>
          <w:color w:val="000000"/>
          <w:sz w:val="22"/>
          <w:szCs w:val="22"/>
        </w:rPr>
        <w:t xml:space="preserve"> </w:t>
      </w:r>
      <w:r w:rsidRPr="00BE289A">
        <w:rPr>
          <w:rFonts w:ascii="Arial" w:hAnsi="Arial" w:cs="Arial"/>
          <w:color w:val="000000"/>
          <w:sz w:val="22"/>
          <w:szCs w:val="22"/>
        </w:rPr>
        <w:t>(dlouhý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1"/>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r>
        <w:rPr>
          <w:rFonts w:ascii="Arial" w:hAnsi="Arial" w:cs="Arial"/>
          <w:color w:val="000000"/>
          <w:sz w:val="22"/>
          <w:szCs w:val="22"/>
        </w:rPr>
        <w:t>X</w:t>
      </w:r>
      <w:r w:rsidRPr="00BE289A">
        <w:rPr>
          <w:rFonts w:ascii="Arial" w:hAnsi="Arial" w:cs="Arial"/>
          <w:color w:val="000000"/>
          <w:sz w:val="22"/>
          <w:szCs w:val="22"/>
        </w:rPr>
        <w:t xml:space="preserve">FP) </w:t>
      </w:r>
      <w:r>
        <w:rPr>
          <w:rFonts w:ascii="Arial" w:hAnsi="Arial" w:cs="Arial"/>
          <w:color w:val="000000"/>
          <w:sz w:val="22"/>
          <w:szCs w:val="22"/>
        </w:rPr>
        <w:t xml:space="preserve">– </w:t>
      </w:r>
      <w:r w:rsidRPr="00BE289A">
        <w:rPr>
          <w:rFonts w:ascii="Arial" w:hAnsi="Arial" w:cs="Arial"/>
          <w:color w:val="000000"/>
          <w:sz w:val="22"/>
          <w:szCs w:val="22"/>
        </w:rPr>
        <w:t>SR</w:t>
      </w:r>
      <w:r>
        <w:rPr>
          <w:rFonts w:ascii="Arial" w:hAnsi="Arial" w:cs="Arial"/>
          <w:color w:val="000000"/>
          <w:sz w:val="22"/>
          <w:szCs w:val="22"/>
        </w:rPr>
        <w:t xml:space="preserve"> </w:t>
      </w:r>
      <w:r w:rsidRPr="00BE289A">
        <w:rPr>
          <w:rFonts w:ascii="Arial" w:hAnsi="Arial" w:cs="Arial"/>
          <w:color w:val="000000"/>
          <w:sz w:val="22"/>
          <w:szCs w:val="22"/>
        </w:rPr>
        <w:t>(krátký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1"/>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r>
        <w:rPr>
          <w:rFonts w:ascii="Arial" w:hAnsi="Arial" w:cs="Arial"/>
          <w:color w:val="000000"/>
          <w:sz w:val="22"/>
          <w:szCs w:val="22"/>
        </w:rPr>
        <w:t>X</w:t>
      </w:r>
      <w:r w:rsidRPr="00BE289A">
        <w:rPr>
          <w:rFonts w:ascii="Arial" w:hAnsi="Arial" w:cs="Arial"/>
          <w:color w:val="000000"/>
          <w:sz w:val="22"/>
          <w:szCs w:val="22"/>
        </w:rPr>
        <w:t xml:space="preserve">FP) </w:t>
      </w:r>
      <w:r>
        <w:rPr>
          <w:rFonts w:ascii="Arial" w:hAnsi="Arial" w:cs="Arial"/>
          <w:color w:val="000000"/>
          <w:sz w:val="22"/>
          <w:szCs w:val="22"/>
        </w:rPr>
        <w:t>– L</w:t>
      </w:r>
      <w:r w:rsidRPr="00BE289A">
        <w:rPr>
          <w:rFonts w:ascii="Arial" w:hAnsi="Arial" w:cs="Arial"/>
          <w:color w:val="000000"/>
          <w:sz w:val="22"/>
          <w:szCs w:val="22"/>
        </w:rPr>
        <w:t>R</w:t>
      </w:r>
      <w:r>
        <w:rPr>
          <w:rFonts w:ascii="Arial" w:hAnsi="Arial" w:cs="Arial"/>
          <w:color w:val="000000"/>
          <w:sz w:val="22"/>
          <w:szCs w:val="22"/>
        </w:rPr>
        <w:t xml:space="preserve"> </w:t>
      </w:r>
      <w:r w:rsidRPr="00BE289A">
        <w:rPr>
          <w:rFonts w:ascii="Arial" w:hAnsi="Arial" w:cs="Arial"/>
          <w:color w:val="000000"/>
          <w:sz w:val="22"/>
          <w:szCs w:val="22"/>
        </w:rPr>
        <w:t>(dlouhý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1"/>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proofErr w:type="spellStart"/>
      <w:r w:rsidRPr="00BE289A">
        <w:rPr>
          <w:rFonts w:ascii="Arial" w:hAnsi="Arial" w:cs="Arial"/>
          <w:color w:val="000000"/>
          <w:sz w:val="22"/>
          <w:szCs w:val="22"/>
        </w:rPr>
        <w:t>xenpack</w:t>
      </w:r>
      <w:proofErr w:type="spellEnd"/>
      <w:r w:rsidRPr="00BE289A">
        <w:rPr>
          <w:rFonts w:ascii="Arial" w:hAnsi="Arial" w:cs="Arial"/>
          <w:color w:val="000000"/>
          <w:sz w:val="22"/>
          <w:szCs w:val="22"/>
        </w:rPr>
        <w:t xml:space="preserve">) </w:t>
      </w:r>
      <w:r>
        <w:rPr>
          <w:rFonts w:ascii="Arial" w:hAnsi="Arial" w:cs="Arial"/>
          <w:color w:val="000000"/>
          <w:sz w:val="22"/>
          <w:szCs w:val="22"/>
        </w:rPr>
        <w:t xml:space="preserve">– </w:t>
      </w:r>
      <w:r w:rsidRPr="00BE289A">
        <w:rPr>
          <w:rFonts w:ascii="Arial" w:hAnsi="Arial" w:cs="Arial"/>
          <w:color w:val="000000"/>
          <w:sz w:val="22"/>
          <w:szCs w:val="22"/>
        </w:rPr>
        <w:t>SR</w:t>
      </w:r>
      <w:r>
        <w:rPr>
          <w:rFonts w:ascii="Arial" w:hAnsi="Arial" w:cs="Arial"/>
          <w:color w:val="000000"/>
          <w:sz w:val="22"/>
          <w:szCs w:val="22"/>
        </w:rPr>
        <w:t xml:space="preserve"> </w:t>
      </w:r>
      <w:r w:rsidRPr="00BE289A">
        <w:rPr>
          <w:rFonts w:ascii="Arial" w:hAnsi="Arial" w:cs="Arial"/>
          <w:color w:val="000000"/>
          <w:sz w:val="22"/>
          <w:szCs w:val="22"/>
        </w:rPr>
        <w:t>(krátký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1"/>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proofErr w:type="spellStart"/>
      <w:r w:rsidRPr="00BE289A">
        <w:rPr>
          <w:rFonts w:ascii="Arial" w:hAnsi="Arial" w:cs="Arial"/>
          <w:color w:val="000000"/>
          <w:sz w:val="22"/>
          <w:szCs w:val="22"/>
        </w:rPr>
        <w:t>xenpack</w:t>
      </w:r>
      <w:proofErr w:type="spellEnd"/>
      <w:r w:rsidRPr="00BE289A">
        <w:rPr>
          <w:rFonts w:ascii="Arial" w:hAnsi="Arial" w:cs="Arial"/>
          <w:color w:val="000000"/>
          <w:sz w:val="22"/>
          <w:szCs w:val="22"/>
        </w:rPr>
        <w:t xml:space="preserve">) </w:t>
      </w:r>
      <w:r>
        <w:rPr>
          <w:rFonts w:ascii="Arial" w:hAnsi="Arial" w:cs="Arial"/>
          <w:color w:val="000000"/>
          <w:sz w:val="22"/>
          <w:szCs w:val="22"/>
        </w:rPr>
        <w:t>– L</w:t>
      </w:r>
      <w:r w:rsidRPr="00BE289A">
        <w:rPr>
          <w:rFonts w:ascii="Arial" w:hAnsi="Arial" w:cs="Arial"/>
          <w:color w:val="000000"/>
          <w:sz w:val="22"/>
          <w:szCs w:val="22"/>
        </w:rPr>
        <w:t>R</w:t>
      </w:r>
      <w:r>
        <w:rPr>
          <w:rFonts w:ascii="Arial" w:hAnsi="Arial" w:cs="Arial"/>
          <w:color w:val="000000"/>
          <w:sz w:val="22"/>
          <w:szCs w:val="22"/>
        </w:rPr>
        <w:t xml:space="preserve"> </w:t>
      </w:r>
      <w:r w:rsidRPr="00BE289A">
        <w:rPr>
          <w:rFonts w:ascii="Arial" w:hAnsi="Arial" w:cs="Arial"/>
          <w:color w:val="000000"/>
          <w:sz w:val="22"/>
          <w:szCs w:val="22"/>
        </w:rPr>
        <w:t>(dlouhý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Pr="00BE289A" w:rsidRDefault="006700AC" w:rsidP="006700AC">
      <w:pPr>
        <w:autoSpaceDE w:val="0"/>
        <w:autoSpaceDN w:val="0"/>
        <w:adjustRightInd w:val="0"/>
        <w:spacing w:before="120"/>
        <w:rPr>
          <w:rFonts w:ascii="Arial" w:hAnsi="Arial" w:cs="Arial"/>
          <w:color w:val="000000"/>
          <w:sz w:val="22"/>
          <w:szCs w:val="22"/>
        </w:rPr>
      </w:pPr>
      <w:r w:rsidRPr="00BE289A">
        <w:rPr>
          <w:rFonts w:ascii="Arial" w:hAnsi="Arial" w:cs="Arial"/>
          <w:color w:val="000000"/>
          <w:sz w:val="22"/>
          <w:szCs w:val="22"/>
        </w:rPr>
        <w:t>L. Místní uzel – IP router</w:t>
      </w:r>
    </w:p>
    <w:p w:rsidR="006700AC" w:rsidRPr="00BE289A" w:rsidRDefault="006700AC" w:rsidP="006700AC">
      <w:pPr>
        <w:numPr>
          <w:ilvl w:val="0"/>
          <w:numId w:val="62"/>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Šasi –</w:t>
      </w:r>
      <w:r>
        <w:rPr>
          <w:rFonts w:ascii="Arial" w:hAnsi="Arial" w:cs="Arial"/>
          <w:color w:val="000000"/>
          <w:sz w:val="22"/>
          <w:szCs w:val="22"/>
        </w:rPr>
        <w:t xml:space="preserve"> podle </w:t>
      </w:r>
      <w:r w:rsidRPr="00BE289A">
        <w:rPr>
          <w:rFonts w:ascii="Arial" w:hAnsi="Arial" w:cs="Arial"/>
          <w:color w:val="000000"/>
          <w:sz w:val="22"/>
          <w:szCs w:val="22"/>
        </w:rPr>
        <w:t xml:space="preserve">jednotlivých typů </w:t>
      </w:r>
    </w:p>
    <w:p w:rsidR="006700AC" w:rsidRPr="00BE289A" w:rsidRDefault="006700AC" w:rsidP="006700AC">
      <w:pPr>
        <w:numPr>
          <w:ilvl w:val="0"/>
          <w:numId w:val="62"/>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Přepínací karty </w:t>
      </w:r>
    </w:p>
    <w:p w:rsidR="006700AC" w:rsidRPr="00BE289A" w:rsidRDefault="006700AC" w:rsidP="006700AC">
      <w:pPr>
        <w:numPr>
          <w:ilvl w:val="0"/>
          <w:numId w:val="62"/>
        </w:numPr>
        <w:tabs>
          <w:tab w:val="clear" w:pos="360"/>
          <w:tab w:val="num" w:pos="993"/>
        </w:tabs>
        <w:autoSpaceDE w:val="0"/>
        <w:autoSpaceDN w:val="0"/>
        <w:adjustRightInd w:val="0"/>
        <w:spacing w:before="60"/>
        <w:ind w:left="992" w:hanging="357"/>
        <w:rPr>
          <w:rFonts w:ascii="Arial" w:hAnsi="Arial" w:cs="Arial"/>
          <w:color w:val="000000"/>
          <w:sz w:val="22"/>
          <w:szCs w:val="22"/>
        </w:rPr>
      </w:pPr>
      <w:proofErr w:type="spellStart"/>
      <w:r w:rsidRPr="00BE289A">
        <w:rPr>
          <w:rFonts w:ascii="Arial" w:hAnsi="Arial" w:cs="Arial"/>
          <w:color w:val="000000"/>
          <w:sz w:val="22"/>
          <w:szCs w:val="22"/>
        </w:rPr>
        <w:t>Trunkové</w:t>
      </w:r>
      <w:proofErr w:type="spellEnd"/>
      <w:r w:rsidRPr="00BE289A">
        <w:rPr>
          <w:rFonts w:ascii="Arial" w:hAnsi="Arial" w:cs="Arial"/>
          <w:color w:val="000000"/>
          <w:sz w:val="22"/>
          <w:szCs w:val="22"/>
        </w:rPr>
        <w:t xml:space="preserve"> karty 1GE port –</w:t>
      </w:r>
      <w:r>
        <w:rPr>
          <w:rFonts w:ascii="Arial" w:hAnsi="Arial" w:cs="Arial"/>
          <w:color w:val="000000"/>
          <w:sz w:val="22"/>
          <w:szCs w:val="22"/>
        </w:rPr>
        <w:t xml:space="preserve"> podle </w:t>
      </w:r>
      <w:r w:rsidRPr="00BE289A">
        <w:rPr>
          <w:rFonts w:ascii="Arial" w:hAnsi="Arial" w:cs="Arial"/>
          <w:color w:val="000000"/>
          <w:sz w:val="22"/>
          <w:szCs w:val="22"/>
        </w:rPr>
        <w:t>jednotlivých typů</w:t>
      </w:r>
    </w:p>
    <w:p w:rsidR="006700AC" w:rsidRPr="00BE289A" w:rsidRDefault="006700AC" w:rsidP="006700AC">
      <w:pPr>
        <w:numPr>
          <w:ilvl w:val="0"/>
          <w:numId w:val="62"/>
        </w:numPr>
        <w:tabs>
          <w:tab w:val="clear" w:pos="360"/>
          <w:tab w:val="num" w:pos="993"/>
        </w:tabs>
        <w:autoSpaceDE w:val="0"/>
        <w:autoSpaceDN w:val="0"/>
        <w:adjustRightInd w:val="0"/>
        <w:spacing w:before="60"/>
        <w:ind w:left="992" w:hanging="357"/>
        <w:rPr>
          <w:rFonts w:ascii="Arial" w:hAnsi="Arial" w:cs="Arial"/>
          <w:color w:val="000000"/>
          <w:sz w:val="22"/>
          <w:szCs w:val="22"/>
        </w:rPr>
      </w:pPr>
      <w:proofErr w:type="spellStart"/>
      <w:r w:rsidRPr="00BE289A">
        <w:rPr>
          <w:rFonts w:ascii="Arial" w:hAnsi="Arial" w:cs="Arial"/>
          <w:color w:val="000000"/>
          <w:sz w:val="22"/>
          <w:szCs w:val="22"/>
        </w:rPr>
        <w:t>Trunkové</w:t>
      </w:r>
      <w:proofErr w:type="spellEnd"/>
      <w:r w:rsidRPr="00BE289A">
        <w:rPr>
          <w:rFonts w:ascii="Arial" w:hAnsi="Arial" w:cs="Arial"/>
          <w:color w:val="000000"/>
          <w:sz w:val="22"/>
          <w:szCs w:val="22"/>
        </w:rPr>
        <w:t xml:space="preserve"> karty 10 GE portů –</w:t>
      </w:r>
      <w:r>
        <w:rPr>
          <w:rFonts w:ascii="Arial" w:hAnsi="Arial" w:cs="Arial"/>
          <w:color w:val="000000"/>
          <w:sz w:val="22"/>
          <w:szCs w:val="22"/>
        </w:rPr>
        <w:t xml:space="preserve"> podle </w:t>
      </w:r>
      <w:r w:rsidRPr="00BE289A">
        <w:rPr>
          <w:rFonts w:ascii="Arial" w:hAnsi="Arial" w:cs="Arial"/>
          <w:color w:val="000000"/>
          <w:sz w:val="22"/>
          <w:szCs w:val="22"/>
        </w:rPr>
        <w:t>jednotlivých typů</w:t>
      </w:r>
    </w:p>
    <w:p w:rsidR="006700AC" w:rsidRDefault="006700AC" w:rsidP="006700AC">
      <w:pPr>
        <w:numPr>
          <w:ilvl w:val="0"/>
          <w:numId w:val="62"/>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Optické moduly (SFP) </w:t>
      </w:r>
      <w:r>
        <w:rPr>
          <w:rFonts w:ascii="Arial" w:hAnsi="Arial" w:cs="Arial"/>
          <w:color w:val="000000"/>
          <w:sz w:val="22"/>
          <w:szCs w:val="22"/>
        </w:rPr>
        <w:t xml:space="preserve">– </w:t>
      </w:r>
      <w:r w:rsidRPr="00BE289A">
        <w:rPr>
          <w:rFonts w:ascii="Arial" w:hAnsi="Arial" w:cs="Arial"/>
          <w:color w:val="000000"/>
          <w:sz w:val="22"/>
          <w:szCs w:val="22"/>
        </w:rPr>
        <w:t>SR</w:t>
      </w:r>
      <w:r>
        <w:rPr>
          <w:rFonts w:ascii="Arial" w:hAnsi="Arial" w:cs="Arial"/>
          <w:color w:val="000000"/>
          <w:sz w:val="22"/>
          <w:szCs w:val="22"/>
        </w:rPr>
        <w:t xml:space="preserve"> </w:t>
      </w:r>
      <w:r w:rsidRPr="00BE289A">
        <w:rPr>
          <w:rFonts w:ascii="Arial" w:hAnsi="Arial" w:cs="Arial"/>
          <w:color w:val="000000"/>
          <w:sz w:val="22"/>
          <w:szCs w:val="22"/>
        </w:rPr>
        <w:t>(krátký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2"/>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Optické moduly (SFP) </w:t>
      </w:r>
      <w:r>
        <w:rPr>
          <w:rFonts w:ascii="Arial" w:hAnsi="Arial" w:cs="Arial"/>
          <w:color w:val="000000"/>
          <w:sz w:val="22"/>
          <w:szCs w:val="22"/>
        </w:rPr>
        <w:t>– L</w:t>
      </w:r>
      <w:r w:rsidRPr="00BE289A">
        <w:rPr>
          <w:rFonts w:ascii="Arial" w:hAnsi="Arial" w:cs="Arial"/>
          <w:color w:val="000000"/>
          <w:sz w:val="22"/>
          <w:szCs w:val="22"/>
        </w:rPr>
        <w:t>R</w:t>
      </w:r>
      <w:r>
        <w:rPr>
          <w:rFonts w:ascii="Arial" w:hAnsi="Arial" w:cs="Arial"/>
          <w:color w:val="000000"/>
          <w:sz w:val="22"/>
          <w:szCs w:val="22"/>
        </w:rPr>
        <w:t xml:space="preserve"> </w:t>
      </w:r>
      <w:r w:rsidRPr="00BE289A">
        <w:rPr>
          <w:rFonts w:ascii="Arial" w:hAnsi="Arial" w:cs="Arial"/>
          <w:color w:val="000000"/>
          <w:sz w:val="22"/>
          <w:szCs w:val="22"/>
        </w:rPr>
        <w:t>(dlouhý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2"/>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r>
        <w:rPr>
          <w:rFonts w:ascii="Arial" w:hAnsi="Arial" w:cs="Arial"/>
          <w:color w:val="000000"/>
          <w:sz w:val="22"/>
          <w:szCs w:val="22"/>
        </w:rPr>
        <w:t>X</w:t>
      </w:r>
      <w:r w:rsidRPr="00BE289A">
        <w:rPr>
          <w:rFonts w:ascii="Arial" w:hAnsi="Arial" w:cs="Arial"/>
          <w:color w:val="000000"/>
          <w:sz w:val="22"/>
          <w:szCs w:val="22"/>
        </w:rPr>
        <w:t xml:space="preserve">FP) </w:t>
      </w:r>
      <w:r>
        <w:rPr>
          <w:rFonts w:ascii="Arial" w:hAnsi="Arial" w:cs="Arial"/>
          <w:color w:val="000000"/>
          <w:sz w:val="22"/>
          <w:szCs w:val="22"/>
        </w:rPr>
        <w:t xml:space="preserve">– </w:t>
      </w:r>
      <w:r w:rsidRPr="00BE289A">
        <w:rPr>
          <w:rFonts w:ascii="Arial" w:hAnsi="Arial" w:cs="Arial"/>
          <w:color w:val="000000"/>
          <w:sz w:val="22"/>
          <w:szCs w:val="22"/>
        </w:rPr>
        <w:t>SR</w:t>
      </w:r>
      <w:r>
        <w:rPr>
          <w:rFonts w:ascii="Arial" w:hAnsi="Arial" w:cs="Arial"/>
          <w:color w:val="000000"/>
          <w:sz w:val="22"/>
          <w:szCs w:val="22"/>
        </w:rPr>
        <w:t xml:space="preserve"> </w:t>
      </w:r>
      <w:r w:rsidRPr="00BE289A">
        <w:rPr>
          <w:rFonts w:ascii="Arial" w:hAnsi="Arial" w:cs="Arial"/>
          <w:color w:val="000000"/>
          <w:sz w:val="22"/>
          <w:szCs w:val="22"/>
        </w:rPr>
        <w:t>(krátký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2"/>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r>
        <w:rPr>
          <w:rFonts w:ascii="Arial" w:hAnsi="Arial" w:cs="Arial"/>
          <w:color w:val="000000"/>
          <w:sz w:val="22"/>
          <w:szCs w:val="22"/>
        </w:rPr>
        <w:t>X</w:t>
      </w:r>
      <w:r w:rsidRPr="00BE289A">
        <w:rPr>
          <w:rFonts w:ascii="Arial" w:hAnsi="Arial" w:cs="Arial"/>
          <w:color w:val="000000"/>
          <w:sz w:val="22"/>
          <w:szCs w:val="22"/>
        </w:rPr>
        <w:t xml:space="preserve">FP) </w:t>
      </w:r>
      <w:r>
        <w:rPr>
          <w:rFonts w:ascii="Arial" w:hAnsi="Arial" w:cs="Arial"/>
          <w:color w:val="000000"/>
          <w:sz w:val="22"/>
          <w:szCs w:val="22"/>
        </w:rPr>
        <w:t>– L</w:t>
      </w:r>
      <w:r w:rsidRPr="00BE289A">
        <w:rPr>
          <w:rFonts w:ascii="Arial" w:hAnsi="Arial" w:cs="Arial"/>
          <w:color w:val="000000"/>
          <w:sz w:val="22"/>
          <w:szCs w:val="22"/>
        </w:rPr>
        <w:t>R</w:t>
      </w:r>
      <w:r>
        <w:rPr>
          <w:rFonts w:ascii="Arial" w:hAnsi="Arial" w:cs="Arial"/>
          <w:color w:val="000000"/>
          <w:sz w:val="22"/>
          <w:szCs w:val="22"/>
        </w:rPr>
        <w:t xml:space="preserve"> </w:t>
      </w:r>
      <w:r w:rsidRPr="00BE289A">
        <w:rPr>
          <w:rFonts w:ascii="Arial" w:hAnsi="Arial" w:cs="Arial"/>
          <w:color w:val="000000"/>
          <w:sz w:val="22"/>
          <w:szCs w:val="22"/>
        </w:rPr>
        <w:t>(dlouhý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2"/>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proofErr w:type="spellStart"/>
      <w:r w:rsidRPr="00BE289A">
        <w:rPr>
          <w:rFonts w:ascii="Arial" w:hAnsi="Arial" w:cs="Arial"/>
          <w:color w:val="000000"/>
          <w:sz w:val="22"/>
          <w:szCs w:val="22"/>
        </w:rPr>
        <w:t>xenpack</w:t>
      </w:r>
      <w:proofErr w:type="spellEnd"/>
      <w:r w:rsidRPr="00BE289A">
        <w:rPr>
          <w:rFonts w:ascii="Arial" w:hAnsi="Arial" w:cs="Arial"/>
          <w:color w:val="000000"/>
          <w:sz w:val="22"/>
          <w:szCs w:val="22"/>
        </w:rPr>
        <w:t xml:space="preserve">) </w:t>
      </w:r>
      <w:r>
        <w:rPr>
          <w:rFonts w:ascii="Arial" w:hAnsi="Arial" w:cs="Arial"/>
          <w:color w:val="000000"/>
          <w:sz w:val="22"/>
          <w:szCs w:val="22"/>
        </w:rPr>
        <w:t xml:space="preserve">– </w:t>
      </w:r>
      <w:r w:rsidRPr="00BE289A">
        <w:rPr>
          <w:rFonts w:ascii="Arial" w:hAnsi="Arial" w:cs="Arial"/>
          <w:color w:val="000000"/>
          <w:sz w:val="22"/>
          <w:szCs w:val="22"/>
        </w:rPr>
        <w:t>SR</w:t>
      </w:r>
      <w:r>
        <w:rPr>
          <w:rFonts w:ascii="Arial" w:hAnsi="Arial" w:cs="Arial"/>
          <w:color w:val="000000"/>
          <w:sz w:val="22"/>
          <w:szCs w:val="22"/>
        </w:rPr>
        <w:t xml:space="preserve"> </w:t>
      </w:r>
      <w:r w:rsidRPr="00BE289A">
        <w:rPr>
          <w:rFonts w:ascii="Arial" w:hAnsi="Arial" w:cs="Arial"/>
          <w:color w:val="000000"/>
          <w:sz w:val="22"/>
          <w:szCs w:val="22"/>
        </w:rPr>
        <w:t>(krátký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2"/>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proofErr w:type="spellStart"/>
      <w:r w:rsidRPr="00BE289A">
        <w:rPr>
          <w:rFonts w:ascii="Arial" w:hAnsi="Arial" w:cs="Arial"/>
          <w:color w:val="000000"/>
          <w:sz w:val="22"/>
          <w:szCs w:val="22"/>
        </w:rPr>
        <w:t>xenpack</w:t>
      </w:r>
      <w:proofErr w:type="spellEnd"/>
      <w:r w:rsidRPr="00BE289A">
        <w:rPr>
          <w:rFonts w:ascii="Arial" w:hAnsi="Arial" w:cs="Arial"/>
          <w:color w:val="000000"/>
          <w:sz w:val="22"/>
          <w:szCs w:val="22"/>
        </w:rPr>
        <w:t xml:space="preserve">) </w:t>
      </w:r>
      <w:r>
        <w:rPr>
          <w:rFonts w:ascii="Arial" w:hAnsi="Arial" w:cs="Arial"/>
          <w:color w:val="000000"/>
          <w:sz w:val="22"/>
          <w:szCs w:val="22"/>
        </w:rPr>
        <w:t>– L</w:t>
      </w:r>
      <w:r w:rsidRPr="00BE289A">
        <w:rPr>
          <w:rFonts w:ascii="Arial" w:hAnsi="Arial" w:cs="Arial"/>
          <w:color w:val="000000"/>
          <w:sz w:val="22"/>
          <w:szCs w:val="22"/>
        </w:rPr>
        <w:t>R</w:t>
      </w:r>
      <w:r>
        <w:rPr>
          <w:rFonts w:ascii="Arial" w:hAnsi="Arial" w:cs="Arial"/>
          <w:color w:val="000000"/>
          <w:sz w:val="22"/>
          <w:szCs w:val="22"/>
        </w:rPr>
        <w:t xml:space="preserve"> </w:t>
      </w:r>
      <w:r w:rsidRPr="00BE289A">
        <w:rPr>
          <w:rFonts w:ascii="Arial" w:hAnsi="Arial" w:cs="Arial"/>
          <w:color w:val="000000"/>
          <w:sz w:val="22"/>
          <w:szCs w:val="22"/>
        </w:rPr>
        <w:t>(dlouhý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Pr="00BE289A" w:rsidRDefault="006700AC" w:rsidP="006700AC">
      <w:pPr>
        <w:autoSpaceDE w:val="0"/>
        <w:autoSpaceDN w:val="0"/>
        <w:adjustRightInd w:val="0"/>
        <w:spacing w:before="120"/>
        <w:rPr>
          <w:rFonts w:ascii="Arial" w:hAnsi="Arial" w:cs="Arial"/>
          <w:color w:val="000000"/>
          <w:sz w:val="22"/>
          <w:szCs w:val="22"/>
        </w:rPr>
      </w:pPr>
      <w:r w:rsidRPr="00BE289A">
        <w:rPr>
          <w:rFonts w:ascii="Arial" w:hAnsi="Arial" w:cs="Arial"/>
          <w:color w:val="000000"/>
          <w:sz w:val="22"/>
          <w:szCs w:val="22"/>
        </w:rPr>
        <w:t>M. Tranzitní uzel – IP router</w:t>
      </w:r>
    </w:p>
    <w:p w:rsidR="006700AC" w:rsidRPr="00BE289A" w:rsidRDefault="006700AC" w:rsidP="006700AC">
      <w:pPr>
        <w:numPr>
          <w:ilvl w:val="0"/>
          <w:numId w:val="63"/>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Šasi –</w:t>
      </w:r>
      <w:r>
        <w:rPr>
          <w:rFonts w:ascii="Arial" w:hAnsi="Arial" w:cs="Arial"/>
          <w:color w:val="000000"/>
          <w:sz w:val="22"/>
          <w:szCs w:val="22"/>
        </w:rPr>
        <w:t xml:space="preserve"> podle </w:t>
      </w:r>
      <w:r w:rsidRPr="00BE289A">
        <w:rPr>
          <w:rFonts w:ascii="Arial" w:hAnsi="Arial" w:cs="Arial"/>
          <w:color w:val="000000"/>
          <w:sz w:val="22"/>
          <w:szCs w:val="22"/>
        </w:rPr>
        <w:t xml:space="preserve">jednotlivých typů </w:t>
      </w:r>
    </w:p>
    <w:p w:rsidR="006700AC" w:rsidRPr="00BE289A" w:rsidRDefault="006700AC" w:rsidP="006700AC">
      <w:pPr>
        <w:numPr>
          <w:ilvl w:val="0"/>
          <w:numId w:val="63"/>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Přepínací karty –</w:t>
      </w:r>
      <w:r>
        <w:rPr>
          <w:rFonts w:ascii="Arial" w:hAnsi="Arial" w:cs="Arial"/>
          <w:color w:val="000000"/>
          <w:sz w:val="22"/>
          <w:szCs w:val="22"/>
        </w:rPr>
        <w:t xml:space="preserve"> podle </w:t>
      </w:r>
      <w:r w:rsidRPr="00BE289A">
        <w:rPr>
          <w:rFonts w:ascii="Arial" w:hAnsi="Arial" w:cs="Arial"/>
          <w:color w:val="000000"/>
          <w:sz w:val="22"/>
          <w:szCs w:val="22"/>
        </w:rPr>
        <w:t xml:space="preserve">jednotlivých typů </w:t>
      </w:r>
    </w:p>
    <w:p w:rsidR="006700AC" w:rsidRPr="00BE289A" w:rsidRDefault="006700AC" w:rsidP="006700AC">
      <w:pPr>
        <w:numPr>
          <w:ilvl w:val="0"/>
          <w:numId w:val="63"/>
        </w:numPr>
        <w:tabs>
          <w:tab w:val="clear" w:pos="360"/>
          <w:tab w:val="num" w:pos="993"/>
        </w:tabs>
        <w:autoSpaceDE w:val="0"/>
        <w:autoSpaceDN w:val="0"/>
        <w:adjustRightInd w:val="0"/>
        <w:spacing w:before="60"/>
        <w:ind w:left="992" w:hanging="357"/>
        <w:rPr>
          <w:rFonts w:ascii="Arial" w:hAnsi="Arial" w:cs="Arial"/>
          <w:color w:val="000000"/>
          <w:sz w:val="22"/>
          <w:szCs w:val="22"/>
        </w:rPr>
      </w:pPr>
      <w:proofErr w:type="spellStart"/>
      <w:r w:rsidRPr="00BE289A">
        <w:rPr>
          <w:rFonts w:ascii="Arial" w:hAnsi="Arial" w:cs="Arial"/>
          <w:color w:val="000000"/>
          <w:sz w:val="22"/>
          <w:szCs w:val="22"/>
        </w:rPr>
        <w:t>Trunkové</w:t>
      </w:r>
      <w:proofErr w:type="spellEnd"/>
      <w:r w:rsidRPr="00BE289A">
        <w:rPr>
          <w:rFonts w:ascii="Arial" w:hAnsi="Arial" w:cs="Arial"/>
          <w:color w:val="000000"/>
          <w:sz w:val="22"/>
          <w:szCs w:val="22"/>
        </w:rPr>
        <w:t xml:space="preserve"> karty 10 GE portů –</w:t>
      </w:r>
      <w:r>
        <w:rPr>
          <w:rFonts w:ascii="Arial" w:hAnsi="Arial" w:cs="Arial"/>
          <w:color w:val="000000"/>
          <w:sz w:val="22"/>
          <w:szCs w:val="22"/>
        </w:rPr>
        <w:t xml:space="preserve"> podle </w:t>
      </w:r>
      <w:r w:rsidRPr="00BE289A">
        <w:rPr>
          <w:rFonts w:ascii="Arial" w:hAnsi="Arial" w:cs="Arial"/>
          <w:color w:val="000000"/>
          <w:sz w:val="22"/>
          <w:szCs w:val="22"/>
        </w:rPr>
        <w:t>jednotlivých typů</w:t>
      </w:r>
    </w:p>
    <w:p w:rsidR="006700AC" w:rsidRDefault="006700AC" w:rsidP="006700AC">
      <w:pPr>
        <w:numPr>
          <w:ilvl w:val="0"/>
          <w:numId w:val="63"/>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proofErr w:type="spellStart"/>
      <w:r w:rsidRPr="00BE289A">
        <w:rPr>
          <w:rFonts w:ascii="Arial" w:hAnsi="Arial" w:cs="Arial"/>
          <w:color w:val="000000"/>
          <w:sz w:val="22"/>
          <w:szCs w:val="22"/>
        </w:rPr>
        <w:t>xenpack</w:t>
      </w:r>
      <w:proofErr w:type="spellEnd"/>
      <w:r w:rsidRPr="00BE289A">
        <w:rPr>
          <w:rFonts w:ascii="Arial" w:hAnsi="Arial" w:cs="Arial"/>
          <w:color w:val="000000"/>
          <w:sz w:val="22"/>
          <w:szCs w:val="22"/>
        </w:rPr>
        <w:t xml:space="preserve">) </w:t>
      </w:r>
      <w:r>
        <w:rPr>
          <w:rFonts w:ascii="Arial" w:hAnsi="Arial" w:cs="Arial"/>
          <w:color w:val="000000"/>
          <w:sz w:val="22"/>
          <w:szCs w:val="22"/>
        </w:rPr>
        <w:t xml:space="preserve">– </w:t>
      </w:r>
      <w:r w:rsidRPr="00BE289A">
        <w:rPr>
          <w:rFonts w:ascii="Arial" w:hAnsi="Arial" w:cs="Arial"/>
          <w:color w:val="000000"/>
          <w:sz w:val="22"/>
          <w:szCs w:val="22"/>
        </w:rPr>
        <w:t>SR</w:t>
      </w:r>
      <w:r>
        <w:rPr>
          <w:rFonts w:ascii="Arial" w:hAnsi="Arial" w:cs="Arial"/>
          <w:color w:val="000000"/>
          <w:sz w:val="22"/>
          <w:szCs w:val="22"/>
        </w:rPr>
        <w:t xml:space="preserve"> </w:t>
      </w:r>
      <w:r w:rsidRPr="00BE289A">
        <w:rPr>
          <w:rFonts w:ascii="Arial" w:hAnsi="Arial" w:cs="Arial"/>
          <w:color w:val="000000"/>
          <w:sz w:val="22"/>
          <w:szCs w:val="22"/>
        </w:rPr>
        <w:t>(krátký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Default="006700AC" w:rsidP="006700AC">
      <w:pPr>
        <w:numPr>
          <w:ilvl w:val="0"/>
          <w:numId w:val="63"/>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Optické moduly (</w:t>
      </w:r>
      <w:proofErr w:type="spellStart"/>
      <w:r w:rsidRPr="00BE289A">
        <w:rPr>
          <w:rFonts w:ascii="Arial" w:hAnsi="Arial" w:cs="Arial"/>
          <w:color w:val="000000"/>
          <w:sz w:val="22"/>
          <w:szCs w:val="22"/>
        </w:rPr>
        <w:t>xenpack</w:t>
      </w:r>
      <w:proofErr w:type="spellEnd"/>
      <w:r w:rsidRPr="00BE289A">
        <w:rPr>
          <w:rFonts w:ascii="Arial" w:hAnsi="Arial" w:cs="Arial"/>
          <w:color w:val="000000"/>
          <w:sz w:val="22"/>
          <w:szCs w:val="22"/>
        </w:rPr>
        <w:t xml:space="preserve">) </w:t>
      </w:r>
      <w:r>
        <w:rPr>
          <w:rFonts w:ascii="Arial" w:hAnsi="Arial" w:cs="Arial"/>
          <w:color w:val="000000"/>
          <w:sz w:val="22"/>
          <w:szCs w:val="22"/>
        </w:rPr>
        <w:t>– L</w:t>
      </w:r>
      <w:r w:rsidRPr="00BE289A">
        <w:rPr>
          <w:rFonts w:ascii="Arial" w:hAnsi="Arial" w:cs="Arial"/>
          <w:color w:val="000000"/>
          <w:sz w:val="22"/>
          <w:szCs w:val="22"/>
        </w:rPr>
        <w:t>R</w:t>
      </w:r>
      <w:r>
        <w:rPr>
          <w:rFonts w:ascii="Arial" w:hAnsi="Arial" w:cs="Arial"/>
          <w:color w:val="000000"/>
          <w:sz w:val="22"/>
          <w:szCs w:val="22"/>
        </w:rPr>
        <w:t xml:space="preserve"> </w:t>
      </w:r>
      <w:r w:rsidRPr="00BE289A">
        <w:rPr>
          <w:rFonts w:ascii="Arial" w:hAnsi="Arial" w:cs="Arial"/>
          <w:color w:val="000000"/>
          <w:sz w:val="22"/>
          <w:szCs w:val="22"/>
        </w:rPr>
        <w:t>(dlouhý rozsah)</w:t>
      </w:r>
      <w:r>
        <w:rPr>
          <w:rFonts w:ascii="Arial" w:hAnsi="Arial" w:cs="Arial"/>
          <w:color w:val="000000"/>
          <w:sz w:val="22"/>
          <w:szCs w:val="22"/>
        </w:rPr>
        <w:t xml:space="preserve"> </w:t>
      </w:r>
      <w:r w:rsidRPr="00BE289A">
        <w:rPr>
          <w:rFonts w:ascii="Arial" w:hAnsi="Arial" w:cs="Arial"/>
          <w:color w:val="000000"/>
          <w:sz w:val="22"/>
          <w:szCs w:val="22"/>
        </w:rPr>
        <w:t>– kapacita</w:t>
      </w:r>
      <w:r>
        <w:rPr>
          <w:rFonts w:ascii="Arial" w:hAnsi="Arial" w:cs="Arial"/>
          <w:color w:val="000000"/>
          <w:sz w:val="22"/>
          <w:szCs w:val="22"/>
        </w:rPr>
        <w:t xml:space="preserve"> v </w:t>
      </w:r>
      <w:r w:rsidRPr="00BE289A">
        <w:rPr>
          <w:rFonts w:ascii="Arial" w:hAnsi="Arial" w:cs="Arial"/>
          <w:color w:val="000000"/>
          <w:sz w:val="22"/>
          <w:szCs w:val="22"/>
        </w:rPr>
        <w:t>GE</w:t>
      </w:r>
    </w:p>
    <w:p w:rsidR="006700AC" w:rsidRPr="00BE289A" w:rsidRDefault="006700AC" w:rsidP="006700AC">
      <w:pPr>
        <w:autoSpaceDE w:val="0"/>
        <w:autoSpaceDN w:val="0"/>
        <w:adjustRightInd w:val="0"/>
        <w:spacing w:before="120"/>
        <w:rPr>
          <w:rFonts w:ascii="Arial" w:hAnsi="Arial" w:cs="Arial"/>
          <w:color w:val="000000"/>
          <w:sz w:val="22"/>
          <w:szCs w:val="22"/>
        </w:rPr>
      </w:pPr>
      <w:r w:rsidRPr="00BE289A">
        <w:rPr>
          <w:rFonts w:ascii="Arial" w:hAnsi="Arial" w:cs="Arial"/>
          <w:color w:val="000000"/>
          <w:sz w:val="22"/>
          <w:szCs w:val="22"/>
        </w:rPr>
        <w:t xml:space="preserve">N. MGW (Media </w:t>
      </w:r>
      <w:proofErr w:type="spellStart"/>
      <w:r w:rsidRPr="00BE289A">
        <w:rPr>
          <w:rFonts w:ascii="Arial" w:hAnsi="Arial" w:cs="Arial"/>
          <w:color w:val="000000"/>
          <w:sz w:val="22"/>
          <w:szCs w:val="22"/>
        </w:rPr>
        <w:t>Gateway</w:t>
      </w:r>
      <w:proofErr w:type="spellEnd"/>
      <w:r w:rsidRPr="00BE289A">
        <w:rPr>
          <w:rFonts w:ascii="Arial" w:hAnsi="Arial" w:cs="Arial"/>
          <w:color w:val="000000"/>
          <w:sz w:val="22"/>
          <w:szCs w:val="22"/>
        </w:rPr>
        <w:t>, komunikační brána)</w:t>
      </w:r>
    </w:p>
    <w:p w:rsidR="006700AC" w:rsidRPr="00BE289A" w:rsidRDefault="006700AC" w:rsidP="006700AC">
      <w:pPr>
        <w:numPr>
          <w:ilvl w:val="0"/>
          <w:numId w:val="64"/>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Skříň </w:t>
      </w:r>
    </w:p>
    <w:p w:rsidR="006700AC" w:rsidRPr="00BE289A" w:rsidRDefault="006700AC" w:rsidP="006700AC">
      <w:pPr>
        <w:numPr>
          <w:ilvl w:val="0"/>
          <w:numId w:val="64"/>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Šasi </w:t>
      </w:r>
    </w:p>
    <w:p w:rsidR="006700AC" w:rsidRPr="00BE289A" w:rsidRDefault="006700AC" w:rsidP="006700AC">
      <w:pPr>
        <w:numPr>
          <w:ilvl w:val="0"/>
          <w:numId w:val="64"/>
        </w:numPr>
        <w:tabs>
          <w:tab w:val="clear" w:pos="360"/>
          <w:tab w:val="num" w:pos="993"/>
        </w:tabs>
        <w:autoSpaceDE w:val="0"/>
        <w:autoSpaceDN w:val="0"/>
        <w:adjustRightInd w:val="0"/>
        <w:spacing w:before="60"/>
        <w:ind w:left="992" w:hanging="357"/>
        <w:rPr>
          <w:rFonts w:ascii="Arial" w:hAnsi="Arial" w:cs="Arial"/>
          <w:color w:val="000000"/>
          <w:sz w:val="22"/>
          <w:szCs w:val="22"/>
        </w:rPr>
      </w:pPr>
      <w:proofErr w:type="spellStart"/>
      <w:r w:rsidRPr="00BE289A">
        <w:rPr>
          <w:rFonts w:ascii="Arial" w:hAnsi="Arial" w:cs="Arial"/>
          <w:color w:val="000000"/>
          <w:sz w:val="22"/>
          <w:szCs w:val="22"/>
        </w:rPr>
        <w:t>Trunkové</w:t>
      </w:r>
      <w:proofErr w:type="spellEnd"/>
      <w:r w:rsidRPr="00BE289A">
        <w:rPr>
          <w:rFonts w:ascii="Arial" w:hAnsi="Arial" w:cs="Arial"/>
          <w:color w:val="000000"/>
          <w:sz w:val="22"/>
          <w:szCs w:val="22"/>
        </w:rPr>
        <w:t xml:space="preserve"> karty 1GE port </w:t>
      </w:r>
    </w:p>
    <w:p w:rsidR="006700AC" w:rsidRPr="00BE289A" w:rsidRDefault="006700AC" w:rsidP="006700AC">
      <w:pPr>
        <w:numPr>
          <w:ilvl w:val="0"/>
          <w:numId w:val="64"/>
        </w:numPr>
        <w:tabs>
          <w:tab w:val="clear" w:pos="360"/>
          <w:tab w:val="num" w:pos="993"/>
        </w:tabs>
        <w:autoSpaceDE w:val="0"/>
        <w:autoSpaceDN w:val="0"/>
        <w:adjustRightInd w:val="0"/>
        <w:spacing w:before="60"/>
        <w:ind w:left="992" w:hanging="357"/>
        <w:rPr>
          <w:rFonts w:ascii="Arial" w:hAnsi="Arial" w:cs="Arial"/>
          <w:color w:val="000000"/>
          <w:sz w:val="22"/>
          <w:szCs w:val="22"/>
        </w:rPr>
      </w:pPr>
      <w:proofErr w:type="spellStart"/>
      <w:r w:rsidRPr="00BE289A">
        <w:rPr>
          <w:rFonts w:ascii="Arial" w:hAnsi="Arial" w:cs="Arial"/>
          <w:color w:val="000000"/>
          <w:sz w:val="22"/>
          <w:szCs w:val="22"/>
        </w:rPr>
        <w:t>Trunkové</w:t>
      </w:r>
      <w:proofErr w:type="spellEnd"/>
      <w:r w:rsidRPr="00BE289A">
        <w:rPr>
          <w:rFonts w:ascii="Arial" w:hAnsi="Arial" w:cs="Arial"/>
          <w:color w:val="000000"/>
          <w:sz w:val="22"/>
          <w:szCs w:val="22"/>
        </w:rPr>
        <w:t xml:space="preserve"> karty E1/STM –počet E1, STM-1, DS-3 portů –</w:t>
      </w:r>
      <w:r>
        <w:rPr>
          <w:rFonts w:ascii="Arial" w:hAnsi="Arial" w:cs="Arial"/>
          <w:color w:val="000000"/>
          <w:sz w:val="22"/>
          <w:szCs w:val="22"/>
        </w:rPr>
        <w:t xml:space="preserve"> podle </w:t>
      </w:r>
      <w:r w:rsidRPr="00BE289A">
        <w:rPr>
          <w:rFonts w:ascii="Arial" w:hAnsi="Arial" w:cs="Arial"/>
          <w:color w:val="000000"/>
          <w:sz w:val="22"/>
          <w:szCs w:val="22"/>
        </w:rPr>
        <w:t>jednotlivých typů</w:t>
      </w:r>
    </w:p>
    <w:p w:rsidR="006700AC" w:rsidRPr="00BE289A" w:rsidRDefault="006700AC" w:rsidP="006700AC">
      <w:pPr>
        <w:numPr>
          <w:ilvl w:val="0"/>
          <w:numId w:val="64"/>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Optické moduly (SFP) – SR (krátký rozsah) </w:t>
      </w:r>
    </w:p>
    <w:p w:rsidR="006700AC" w:rsidRPr="00BE289A" w:rsidRDefault="006700AC" w:rsidP="006700AC">
      <w:pPr>
        <w:autoSpaceDE w:val="0"/>
        <w:autoSpaceDN w:val="0"/>
        <w:adjustRightInd w:val="0"/>
        <w:spacing w:before="120"/>
        <w:rPr>
          <w:rFonts w:ascii="Arial" w:hAnsi="Arial" w:cs="Arial"/>
          <w:color w:val="000000"/>
          <w:sz w:val="22"/>
          <w:szCs w:val="22"/>
        </w:rPr>
      </w:pPr>
      <w:r w:rsidRPr="00BE289A">
        <w:rPr>
          <w:rFonts w:ascii="Arial" w:hAnsi="Arial" w:cs="Arial"/>
          <w:color w:val="000000"/>
          <w:sz w:val="22"/>
          <w:szCs w:val="22"/>
        </w:rPr>
        <w:t xml:space="preserve">O. Softwarový přepínač </w:t>
      </w:r>
    </w:p>
    <w:p w:rsidR="006700AC" w:rsidRPr="00BE289A" w:rsidRDefault="006700AC" w:rsidP="006700AC">
      <w:pPr>
        <w:numPr>
          <w:ilvl w:val="0"/>
          <w:numId w:val="65"/>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lastRenderedPageBreak/>
        <w:t xml:space="preserve">Skříň </w:t>
      </w:r>
    </w:p>
    <w:p w:rsidR="006700AC" w:rsidRPr="00BE289A" w:rsidRDefault="006700AC" w:rsidP="006700AC">
      <w:pPr>
        <w:numPr>
          <w:ilvl w:val="0"/>
          <w:numId w:val="65"/>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Úložiště </w:t>
      </w:r>
    </w:p>
    <w:p w:rsidR="006700AC" w:rsidRPr="00BE289A" w:rsidRDefault="006700AC" w:rsidP="006700AC">
      <w:pPr>
        <w:numPr>
          <w:ilvl w:val="0"/>
          <w:numId w:val="65"/>
        </w:numPr>
        <w:tabs>
          <w:tab w:val="clear" w:pos="360"/>
          <w:tab w:val="num" w:pos="993"/>
        </w:tabs>
        <w:autoSpaceDE w:val="0"/>
        <w:autoSpaceDN w:val="0"/>
        <w:adjustRightInd w:val="0"/>
        <w:spacing w:before="60"/>
        <w:ind w:left="992" w:hanging="357"/>
        <w:rPr>
          <w:rFonts w:ascii="Arial" w:hAnsi="Arial" w:cs="Arial"/>
          <w:color w:val="000000"/>
          <w:sz w:val="22"/>
          <w:szCs w:val="22"/>
        </w:rPr>
      </w:pPr>
      <w:r w:rsidRPr="00BE289A">
        <w:rPr>
          <w:rFonts w:ascii="Arial" w:hAnsi="Arial" w:cs="Arial"/>
          <w:color w:val="000000"/>
          <w:sz w:val="22"/>
          <w:szCs w:val="22"/>
        </w:rPr>
        <w:t xml:space="preserve">Procesní karty </w:t>
      </w:r>
    </w:p>
    <w:p w:rsidR="006700AC" w:rsidRPr="00BE289A" w:rsidRDefault="006700AC" w:rsidP="006700AC">
      <w:pPr>
        <w:autoSpaceDE w:val="0"/>
        <w:autoSpaceDN w:val="0"/>
        <w:adjustRightInd w:val="0"/>
        <w:spacing w:before="120"/>
        <w:rPr>
          <w:rFonts w:ascii="Arial" w:hAnsi="Arial" w:cs="Arial"/>
          <w:color w:val="000000"/>
          <w:sz w:val="22"/>
          <w:szCs w:val="22"/>
        </w:rPr>
      </w:pPr>
      <w:r w:rsidRPr="00BE289A">
        <w:rPr>
          <w:rFonts w:ascii="Arial" w:hAnsi="Arial" w:cs="Arial"/>
          <w:color w:val="000000"/>
          <w:sz w:val="22"/>
          <w:szCs w:val="22"/>
        </w:rPr>
        <w:t xml:space="preserve">P. </w:t>
      </w:r>
      <w:proofErr w:type="spellStart"/>
      <w:r w:rsidRPr="00BE289A">
        <w:rPr>
          <w:rFonts w:ascii="Arial" w:hAnsi="Arial" w:cs="Arial"/>
          <w:color w:val="000000"/>
          <w:sz w:val="22"/>
          <w:szCs w:val="22"/>
        </w:rPr>
        <w:t>Billingový</w:t>
      </w:r>
      <w:proofErr w:type="spellEnd"/>
      <w:r w:rsidRPr="00BE289A">
        <w:rPr>
          <w:rFonts w:ascii="Arial" w:hAnsi="Arial" w:cs="Arial"/>
          <w:color w:val="000000"/>
          <w:sz w:val="22"/>
          <w:szCs w:val="22"/>
        </w:rPr>
        <w:t xml:space="preserve"> systém</w:t>
      </w:r>
      <w:r>
        <w:rPr>
          <w:rFonts w:ascii="Arial" w:hAnsi="Arial" w:cs="Arial"/>
          <w:color w:val="000000"/>
          <w:sz w:val="22"/>
          <w:szCs w:val="22"/>
        </w:rPr>
        <w:t xml:space="preserve"> pro propojení</w:t>
      </w:r>
      <w:r w:rsidRPr="00BE289A">
        <w:rPr>
          <w:rFonts w:ascii="Arial" w:hAnsi="Arial" w:cs="Arial"/>
          <w:color w:val="000000"/>
          <w:sz w:val="22"/>
          <w:szCs w:val="22"/>
        </w:rPr>
        <w:t xml:space="preserve"> </w:t>
      </w:r>
    </w:p>
    <w:p w:rsidR="006700AC" w:rsidRPr="00BE289A" w:rsidRDefault="006700AC" w:rsidP="006700AC">
      <w:pPr>
        <w:numPr>
          <w:ilvl w:val="0"/>
          <w:numId w:val="66"/>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 xml:space="preserve">Šasi </w:t>
      </w:r>
    </w:p>
    <w:p w:rsidR="006700AC" w:rsidRPr="00BE289A" w:rsidRDefault="006700AC" w:rsidP="006700AC">
      <w:pPr>
        <w:numPr>
          <w:ilvl w:val="0"/>
          <w:numId w:val="66"/>
        </w:numPr>
        <w:tabs>
          <w:tab w:val="clear" w:pos="360"/>
          <w:tab w:val="num" w:pos="993"/>
        </w:tabs>
        <w:autoSpaceDE w:val="0"/>
        <w:autoSpaceDN w:val="0"/>
        <w:adjustRightInd w:val="0"/>
        <w:spacing w:before="60"/>
        <w:ind w:left="357" w:firstLine="210"/>
        <w:rPr>
          <w:rFonts w:ascii="Arial" w:hAnsi="Arial" w:cs="Arial"/>
          <w:color w:val="000000"/>
          <w:sz w:val="22"/>
          <w:szCs w:val="22"/>
        </w:rPr>
      </w:pPr>
      <w:r w:rsidRPr="00BE289A">
        <w:rPr>
          <w:rFonts w:ascii="Arial" w:hAnsi="Arial" w:cs="Arial"/>
          <w:color w:val="000000"/>
          <w:sz w:val="22"/>
          <w:szCs w:val="22"/>
        </w:rPr>
        <w:t xml:space="preserve">Procesní karty </w:t>
      </w:r>
    </w:p>
    <w:p w:rsidR="006700AC" w:rsidRPr="00DF23A3" w:rsidRDefault="006700AC" w:rsidP="006700AC">
      <w:pPr>
        <w:pStyle w:val="Nadpis2"/>
        <w:spacing w:before="240"/>
        <w:jc w:val="both"/>
        <w:rPr>
          <w:rFonts w:ascii="Arial" w:hAnsi="Arial" w:cs="Arial"/>
          <w:i w:val="0"/>
          <w:sz w:val="22"/>
          <w:szCs w:val="22"/>
        </w:rPr>
      </w:pPr>
      <w:r w:rsidRPr="00DF23A3">
        <w:rPr>
          <w:rFonts w:ascii="Arial" w:hAnsi="Arial" w:cs="Arial"/>
          <w:i w:val="0"/>
          <w:sz w:val="22"/>
          <w:szCs w:val="22"/>
        </w:rPr>
        <w:t>List A7 – Přirážky</w:t>
      </w:r>
    </w:p>
    <w:p w:rsidR="006700AC" w:rsidRPr="003364B8" w:rsidRDefault="006700AC" w:rsidP="00F62C63">
      <w:pPr>
        <w:autoSpaceDE w:val="0"/>
        <w:autoSpaceDN w:val="0"/>
        <w:adjustRightInd w:val="0"/>
        <w:spacing w:before="60"/>
        <w:rPr>
          <w:rFonts w:ascii="Arial" w:hAnsi="Arial" w:cs="Arial"/>
          <w:sz w:val="22"/>
          <w:szCs w:val="22"/>
        </w:rPr>
      </w:pPr>
      <w:r w:rsidRPr="003364B8">
        <w:rPr>
          <w:rFonts w:ascii="Arial" w:hAnsi="Arial" w:cs="Arial"/>
          <w:bCs/>
          <w:sz w:val="22"/>
          <w:szCs w:val="22"/>
        </w:rPr>
        <w:t>Sazby nákladů</w:t>
      </w:r>
      <w:r>
        <w:rPr>
          <w:rFonts w:ascii="Arial" w:hAnsi="Arial" w:cs="Arial"/>
          <w:bCs/>
          <w:sz w:val="22"/>
          <w:szCs w:val="22"/>
        </w:rPr>
        <w:t xml:space="preserve"> na </w:t>
      </w:r>
      <w:r w:rsidRPr="003364B8">
        <w:rPr>
          <w:rFonts w:ascii="Arial" w:hAnsi="Arial" w:cs="Arial"/>
          <w:bCs/>
          <w:sz w:val="22"/>
          <w:szCs w:val="22"/>
        </w:rPr>
        <w:t>kapitálové náklady sítě (GRC</w:t>
      </w:r>
      <w:r>
        <w:rPr>
          <w:rFonts w:ascii="Arial" w:hAnsi="Arial" w:cs="Arial"/>
          <w:bCs/>
          <w:sz w:val="22"/>
          <w:szCs w:val="22"/>
        </w:rPr>
        <w:t xml:space="preserve"> – hrubé reprodukční náklady</w:t>
      </w:r>
      <w:r w:rsidRPr="003364B8">
        <w:rPr>
          <w:rFonts w:ascii="Arial" w:hAnsi="Arial" w:cs="Arial"/>
          <w:bCs/>
          <w:sz w:val="22"/>
          <w:szCs w:val="22"/>
        </w:rPr>
        <w:t>)</w:t>
      </w:r>
    </w:p>
    <w:p w:rsidR="006700AC" w:rsidRPr="00BE289A" w:rsidRDefault="006700AC" w:rsidP="006700AC">
      <w:pPr>
        <w:autoSpaceDE w:val="0"/>
        <w:autoSpaceDN w:val="0"/>
        <w:adjustRightInd w:val="0"/>
        <w:spacing w:before="120"/>
        <w:rPr>
          <w:rFonts w:ascii="Arial" w:hAnsi="Arial" w:cs="Arial"/>
          <w:bCs/>
          <w:sz w:val="22"/>
          <w:szCs w:val="22"/>
        </w:rPr>
      </w:pPr>
      <w:r w:rsidRPr="00BE289A">
        <w:rPr>
          <w:rFonts w:ascii="Arial" w:hAnsi="Arial" w:cs="Arial"/>
          <w:bCs/>
          <w:sz w:val="22"/>
          <w:szCs w:val="22"/>
        </w:rPr>
        <w:t>A: Podíl provozních nákladů</w:t>
      </w:r>
      <w:r>
        <w:rPr>
          <w:rFonts w:ascii="Arial" w:hAnsi="Arial" w:cs="Arial"/>
          <w:bCs/>
          <w:sz w:val="22"/>
          <w:szCs w:val="22"/>
        </w:rPr>
        <w:t xml:space="preserve"> na </w:t>
      </w:r>
      <w:r w:rsidRPr="00BE289A">
        <w:rPr>
          <w:rFonts w:ascii="Arial" w:hAnsi="Arial" w:cs="Arial"/>
          <w:bCs/>
          <w:sz w:val="22"/>
          <w:szCs w:val="22"/>
        </w:rPr>
        <w:t>kapitálových nákladech</w:t>
      </w:r>
      <w:r>
        <w:rPr>
          <w:rFonts w:ascii="Arial" w:hAnsi="Arial" w:cs="Arial"/>
          <w:bCs/>
          <w:sz w:val="22"/>
          <w:szCs w:val="22"/>
        </w:rPr>
        <w:t xml:space="preserve"> na </w:t>
      </w:r>
      <w:r w:rsidRPr="00BE289A">
        <w:rPr>
          <w:rFonts w:ascii="Arial" w:hAnsi="Arial" w:cs="Arial"/>
          <w:bCs/>
          <w:sz w:val="22"/>
          <w:szCs w:val="22"/>
        </w:rPr>
        <w:t>síť</w:t>
      </w:r>
      <w:r>
        <w:rPr>
          <w:rFonts w:ascii="Arial" w:hAnsi="Arial" w:cs="Arial"/>
          <w:bCs/>
          <w:sz w:val="22"/>
          <w:szCs w:val="22"/>
        </w:rPr>
        <w:t xml:space="preserve"> v </w:t>
      </w:r>
      <w:r w:rsidRPr="00BE289A">
        <w:rPr>
          <w:rFonts w:ascii="Arial" w:hAnsi="Arial" w:cs="Arial"/>
          <w:bCs/>
          <w:sz w:val="22"/>
          <w:szCs w:val="22"/>
        </w:rPr>
        <w:t>následující kategorii nákladů: Provoz sítě, údržba</w:t>
      </w:r>
      <w:r>
        <w:rPr>
          <w:rFonts w:ascii="Arial" w:hAnsi="Arial" w:cs="Arial"/>
          <w:bCs/>
          <w:sz w:val="22"/>
          <w:szCs w:val="22"/>
        </w:rPr>
        <w:t xml:space="preserve"> a </w:t>
      </w:r>
      <w:r w:rsidRPr="00BE289A">
        <w:rPr>
          <w:rFonts w:ascii="Arial" w:hAnsi="Arial" w:cs="Arial"/>
          <w:bCs/>
          <w:sz w:val="22"/>
          <w:szCs w:val="22"/>
        </w:rPr>
        <w:t>plánování</w:t>
      </w:r>
    </w:p>
    <w:p w:rsidR="006700AC" w:rsidRPr="0072523A" w:rsidRDefault="006700AC" w:rsidP="006700AC">
      <w:pPr>
        <w:numPr>
          <w:ilvl w:val="0"/>
          <w:numId w:val="67"/>
        </w:numPr>
        <w:tabs>
          <w:tab w:val="clear" w:pos="360"/>
          <w:tab w:val="num" w:pos="993"/>
        </w:tabs>
        <w:autoSpaceDE w:val="0"/>
        <w:autoSpaceDN w:val="0"/>
        <w:adjustRightInd w:val="0"/>
        <w:spacing w:before="60"/>
        <w:ind w:firstLine="207"/>
        <w:rPr>
          <w:rFonts w:ascii="Arial" w:hAnsi="Arial" w:cs="Arial"/>
          <w:color w:val="000000"/>
          <w:sz w:val="22"/>
          <w:szCs w:val="22"/>
        </w:rPr>
      </w:pPr>
      <w:r w:rsidRPr="0072523A">
        <w:rPr>
          <w:rFonts w:ascii="Arial" w:hAnsi="Arial" w:cs="Arial"/>
          <w:color w:val="000000"/>
          <w:sz w:val="22"/>
          <w:szCs w:val="22"/>
        </w:rPr>
        <w:t>Optické kabely</w:t>
      </w:r>
      <w:r>
        <w:rPr>
          <w:rFonts w:ascii="Arial" w:hAnsi="Arial" w:cs="Arial"/>
          <w:color w:val="000000"/>
          <w:sz w:val="22"/>
          <w:szCs w:val="22"/>
        </w:rPr>
        <w:t xml:space="preserve"> a </w:t>
      </w:r>
      <w:proofErr w:type="spellStart"/>
      <w:r w:rsidRPr="0072523A">
        <w:rPr>
          <w:rFonts w:ascii="Arial" w:hAnsi="Arial" w:cs="Arial"/>
          <w:color w:val="000000"/>
          <w:sz w:val="22"/>
          <w:szCs w:val="22"/>
        </w:rPr>
        <w:t>kabelovody</w:t>
      </w:r>
      <w:proofErr w:type="spellEnd"/>
    </w:p>
    <w:p w:rsidR="006700AC" w:rsidRPr="0072523A" w:rsidRDefault="006700AC" w:rsidP="006700AC">
      <w:pPr>
        <w:numPr>
          <w:ilvl w:val="0"/>
          <w:numId w:val="67"/>
        </w:numPr>
        <w:tabs>
          <w:tab w:val="clear" w:pos="360"/>
          <w:tab w:val="num" w:pos="993"/>
        </w:tabs>
        <w:autoSpaceDE w:val="0"/>
        <w:autoSpaceDN w:val="0"/>
        <w:adjustRightInd w:val="0"/>
        <w:spacing w:before="60"/>
        <w:ind w:firstLine="207"/>
        <w:rPr>
          <w:rFonts w:ascii="Arial" w:hAnsi="Arial" w:cs="Arial"/>
          <w:color w:val="000000"/>
          <w:sz w:val="22"/>
          <w:szCs w:val="22"/>
        </w:rPr>
      </w:pPr>
      <w:r w:rsidRPr="0072523A">
        <w:rPr>
          <w:rFonts w:ascii="Arial" w:hAnsi="Arial" w:cs="Arial"/>
          <w:color w:val="000000"/>
          <w:sz w:val="22"/>
          <w:szCs w:val="22"/>
        </w:rPr>
        <w:t xml:space="preserve">Přístupové uzly </w:t>
      </w:r>
    </w:p>
    <w:p w:rsidR="006700AC" w:rsidRPr="0072523A" w:rsidRDefault="006700AC" w:rsidP="006700AC">
      <w:pPr>
        <w:numPr>
          <w:ilvl w:val="0"/>
          <w:numId w:val="67"/>
        </w:numPr>
        <w:tabs>
          <w:tab w:val="clear" w:pos="360"/>
          <w:tab w:val="num" w:pos="993"/>
        </w:tabs>
        <w:autoSpaceDE w:val="0"/>
        <w:autoSpaceDN w:val="0"/>
        <w:adjustRightInd w:val="0"/>
        <w:spacing w:before="60"/>
        <w:ind w:firstLine="207"/>
        <w:rPr>
          <w:rFonts w:ascii="Arial" w:hAnsi="Arial" w:cs="Arial"/>
          <w:color w:val="000000"/>
          <w:sz w:val="22"/>
          <w:szCs w:val="22"/>
        </w:rPr>
      </w:pPr>
      <w:r w:rsidRPr="0072523A">
        <w:rPr>
          <w:rFonts w:ascii="Arial" w:hAnsi="Arial" w:cs="Arial"/>
          <w:color w:val="000000"/>
          <w:sz w:val="22"/>
          <w:szCs w:val="22"/>
        </w:rPr>
        <w:t>Přenosová síť</w:t>
      </w:r>
    </w:p>
    <w:p w:rsidR="006700AC" w:rsidRPr="0072523A" w:rsidRDefault="006700AC" w:rsidP="006700AC">
      <w:pPr>
        <w:numPr>
          <w:ilvl w:val="0"/>
          <w:numId w:val="67"/>
        </w:numPr>
        <w:tabs>
          <w:tab w:val="clear" w:pos="360"/>
          <w:tab w:val="num" w:pos="993"/>
        </w:tabs>
        <w:autoSpaceDE w:val="0"/>
        <w:autoSpaceDN w:val="0"/>
        <w:adjustRightInd w:val="0"/>
        <w:spacing w:before="60"/>
        <w:ind w:firstLine="207"/>
        <w:rPr>
          <w:rFonts w:ascii="Arial" w:hAnsi="Arial" w:cs="Arial"/>
          <w:color w:val="000000"/>
          <w:sz w:val="22"/>
          <w:szCs w:val="22"/>
        </w:rPr>
      </w:pPr>
      <w:r w:rsidRPr="0072523A">
        <w:rPr>
          <w:rFonts w:ascii="Arial" w:hAnsi="Arial" w:cs="Arial"/>
          <w:color w:val="000000"/>
          <w:sz w:val="22"/>
          <w:szCs w:val="22"/>
        </w:rPr>
        <w:t>Přepínací síť</w:t>
      </w:r>
    </w:p>
    <w:p w:rsidR="006700AC" w:rsidRPr="00BE289A" w:rsidRDefault="006700AC" w:rsidP="006700AC">
      <w:pPr>
        <w:autoSpaceDE w:val="0"/>
        <w:autoSpaceDN w:val="0"/>
        <w:adjustRightInd w:val="0"/>
        <w:spacing w:before="120"/>
        <w:rPr>
          <w:rFonts w:ascii="Arial" w:hAnsi="Arial" w:cs="Arial"/>
          <w:bCs/>
          <w:sz w:val="22"/>
          <w:szCs w:val="22"/>
        </w:rPr>
      </w:pPr>
      <w:r w:rsidRPr="00BE289A">
        <w:rPr>
          <w:rFonts w:ascii="Arial" w:hAnsi="Arial" w:cs="Arial"/>
          <w:bCs/>
          <w:sz w:val="22"/>
          <w:szCs w:val="22"/>
        </w:rPr>
        <w:t>B: Podíl kapitálových nákladů</w:t>
      </w:r>
      <w:r>
        <w:rPr>
          <w:rFonts w:ascii="Arial" w:hAnsi="Arial" w:cs="Arial"/>
          <w:bCs/>
          <w:sz w:val="22"/>
          <w:szCs w:val="22"/>
        </w:rPr>
        <w:t xml:space="preserve"> na </w:t>
      </w:r>
      <w:r w:rsidRPr="00BE289A">
        <w:rPr>
          <w:rFonts w:ascii="Arial" w:hAnsi="Arial" w:cs="Arial"/>
          <w:bCs/>
          <w:sz w:val="22"/>
          <w:szCs w:val="22"/>
        </w:rPr>
        <w:t>kapitálových nákladech</w:t>
      </w:r>
      <w:r>
        <w:rPr>
          <w:rFonts w:ascii="Arial" w:hAnsi="Arial" w:cs="Arial"/>
          <w:bCs/>
          <w:sz w:val="22"/>
          <w:szCs w:val="22"/>
        </w:rPr>
        <w:t xml:space="preserve"> na </w:t>
      </w:r>
      <w:r w:rsidRPr="00BE289A">
        <w:rPr>
          <w:rFonts w:ascii="Arial" w:hAnsi="Arial" w:cs="Arial"/>
          <w:bCs/>
          <w:sz w:val="22"/>
          <w:szCs w:val="22"/>
        </w:rPr>
        <w:t>síť</w:t>
      </w:r>
      <w:r>
        <w:rPr>
          <w:rFonts w:ascii="Arial" w:hAnsi="Arial" w:cs="Arial"/>
          <w:bCs/>
          <w:sz w:val="22"/>
          <w:szCs w:val="22"/>
        </w:rPr>
        <w:t xml:space="preserve"> v </w:t>
      </w:r>
      <w:r w:rsidRPr="00BE289A">
        <w:rPr>
          <w:rFonts w:ascii="Arial" w:hAnsi="Arial" w:cs="Arial"/>
          <w:bCs/>
          <w:sz w:val="22"/>
          <w:szCs w:val="22"/>
        </w:rPr>
        <w:t>následující kategorii nákladů: Systém</w:t>
      </w:r>
      <w:r>
        <w:rPr>
          <w:rFonts w:ascii="Arial" w:hAnsi="Arial" w:cs="Arial"/>
          <w:bCs/>
          <w:sz w:val="22"/>
          <w:szCs w:val="22"/>
        </w:rPr>
        <w:t xml:space="preserve"> pro </w:t>
      </w:r>
      <w:r w:rsidRPr="00BE289A">
        <w:rPr>
          <w:rFonts w:ascii="Arial" w:hAnsi="Arial" w:cs="Arial"/>
          <w:bCs/>
          <w:sz w:val="22"/>
          <w:szCs w:val="22"/>
        </w:rPr>
        <w:t>správu sítě</w:t>
      </w:r>
    </w:p>
    <w:p w:rsidR="006700AC" w:rsidRPr="0072523A" w:rsidRDefault="006700AC" w:rsidP="006700AC">
      <w:pPr>
        <w:numPr>
          <w:ilvl w:val="0"/>
          <w:numId w:val="68"/>
        </w:numPr>
        <w:tabs>
          <w:tab w:val="clear" w:pos="360"/>
          <w:tab w:val="num" w:pos="993"/>
        </w:tabs>
        <w:autoSpaceDE w:val="0"/>
        <w:autoSpaceDN w:val="0"/>
        <w:adjustRightInd w:val="0"/>
        <w:spacing w:before="60"/>
        <w:ind w:firstLine="207"/>
        <w:rPr>
          <w:rFonts w:ascii="Arial" w:hAnsi="Arial" w:cs="Arial"/>
          <w:color w:val="000000"/>
          <w:sz w:val="22"/>
          <w:szCs w:val="22"/>
        </w:rPr>
      </w:pPr>
      <w:r w:rsidRPr="0072523A">
        <w:rPr>
          <w:rFonts w:ascii="Arial" w:hAnsi="Arial" w:cs="Arial"/>
          <w:color w:val="000000"/>
          <w:sz w:val="22"/>
          <w:szCs w:val="22"/>
        </w:rPr>
        <w:t xml:space="preserve">Přístupové uzly </w:t>
      </w:r>
    </w:p>
    <w:p w:rsidR="006700AC" w:rsidRPr="0072523A" w:rsidRDefault="006700AC" w:rsidP="006700AC">
      <w:pPr>
        <w:numPr>
          <w:ilvl w:val="0"/>
          <w:numId w:val="68"/>
        </w:numPr>
        <w:tabs>
          <w:tab w:val="clear" w:pos="360"/>
          <w:tab w:val="num" w:pos="993"/>
        </w:tabs>
        <w:autoSpaceDE w:val="0"/>
        <w:autoSpaceDN w:val="0"/>
        <w:adjustRightInd w:val="0"/>
        <w:spacing w:before="60"/>
        <w:ind w:firstLine="207"/>
        <w:rPr>
          <w:rFonts w:ascii="Arial" w:hAnsi="Arial" w:cs="Arial"/>
          <w:color w:val="000000"/>
          <w:sz w:val="22"/>
          <w:szCs w:val="22"/>
        </w:rPr>
      </w:pPr>
      <w:r w:rsidRPr="0072523A">
        <w:rPr>
          <w:rFonts w:ascii="Arial" w:hAnsi="Arial" w:cs="Arial"/>
          <w:color w:val="000000"/>
          <w:sz w:val="22"/>
          <w:szCs w:val="22"/>
        </w:rPr>
        <w:t>Přenosová síť</w:t>
      </w:r>
    </w:p>
    <w:p w:rsidR="006700AC" w:rsidRPr="0072523A" w:rsidRDefault="006700AC" w:rsidP="006700AC">
      <w:pPr>
        <w:numPr>
          <w:ilvl w:val="0"/>
          <w:numId w:val="68"/>
        </w:numPr>
        <w:tabs>
          <w:tab w:val="clear" w:pos="360"/>
          <w:tab w:val="num" w:pos="993"/>
        </w:tabs>
        <w:autoSpaceDE w:val="0"/>
        <w:autoSpaceDN w:val="0"/>
        <w:adjustRightInd w:val="0"/>
        <w:spacing w:before="60"/>
        <w:ind w:firstLine="207"/>
        <w:rPr>
          <w:rFonts w:ascii="Arial" w:hAnsi="Arial" w:cs="Arial"/>
          <w:color w:val="000000"/>
          <w:sz w:val="22"/>
          <w:szCs w:val="22"/>
        </w:rPr>
      </w:pPr>
      <w:r w:rsidRPr="0072523A">
        <w:rPr>
          <w:rFonts w:ascii="Arial" w:hAnsi="Arial" w:cs="Arial"/>
          <w:color w:val="000000"/>
          <w:sz w:val="22"/>
          <w:szCs w:val="22"/>
        </w:rPr>
        <w:t>Přepínací síť</w:t>
      </w:r>
    </w:p>
    <w:p w:rsidR="006700AC" w:rsidRPr="003364B8" w:rsidRDefault="006700AC" w:rsidP="006700AC">
      <w:pPr>
        <w:autoSpaceDE w:val="0"/>
        <w:autoSpaceDN w:val="0"/>
        <w:adjustRightInd w:val="0"/>
        <w:spacing w:before="120"/>
        <w:rPr>
          <w:rFonts w:ascii="Arial" w:hAnsi="Arial" w:cs="Arial"/>
          <w:bCs/>
          <w:sz w:val="22"/>
          <w:szCs w:val="22"/>
        </w:rPr>
      </w:pPr>
      <w:r w:rsidRPr="003364B8">
        <w:rPr>
          <w:rFonts w:ascii="Arial" w:hAnsi="Arial" w:cs="Arial"/>
          <w:bCs/>
          <w:sz w:val="22"/>
          <w:szCs w:val="22"/>
        </w:rPr>
        <w:t>Sazby nákladů</w:t>
      </w:r>
      <w:r>
        <w:rPr>
          <w:rFonts w:ascii="Arial" w:hAnsi="Arial" w:cs="Arial"/>
          <w:bCs/>
          <w:sz w:val="22"/>
          <w:szCs w:val="22"/>
        </w:rPr>
        <w:t xml:space="preserve"> na </w:t>
      </w:r>
      <w:r w:rsidRPr="003364B8">
        <w:rPr>
          <w:rFonts w:ascii="Arial" w:hAnsi="Arial" w:cs="Arial"/>
          <w:bCs/>
          <w:sz w:val="22"/>
          <w:szCs w:val="22"/>
        </w:rPr>
        <w:t>provozní náklady sítě (OPEX)</w:t>
      </w:r>
    </w:p>
    <w:p w:rsidR="006700AC" w:rsidRPr="00BE289A" w:rsidRDefault="006700AC" w:rsidP="006700AC">
      <w:pPr>
        <w:autoSpaceDE w:val="0"/>
        <w:autoSpaceDN w:val="0"/>
        <w:adjustRightInd w:val="0"/>
        <w:spacing w:before="120"/>
        <w:rPr>
          <w:rFonts w:ascii="Arial" w:hAnsi="Arial" w:cs="Arial"/>
          <w:bCs/>
          <w:sz w:val="22"/>
          <w:szCs w:val="22"/>
        </w:rPr>
      </w:pPr>
      <w:r w:rsidRPr="00BE289A">
        <w:rPr>
          <w:rFonts w:ascii="Arial" w:hAnsi="Arial" w:cs="Arial"/>
          <w:bCs/>
          <w:sz w:val="22"/>
          <w:szCs w:val="22"/>
        </w:rPr>
        <w:t>C: Podíl provozních nákladů</w:t>
      </w:r>
      <w:r>
        <w:rPr>
          <w:rFonts w:ascii="Arial" w:hAnsi="Arial" w:cs="Arial"/>
          <w:bCs/>
          <w:sz w:val="22"/>
          <w:szCs w:val="22"/>
        </w:rPr>
        <w:t xml:space="preserve"> na </w:t>
      </w:r>
      <w:r w:rsidRPr="00BE289A">
        <w:rPr>
          <w:rFonts w:ascii="Arial" w:hAnsi="Arial" w:cs="Arial"/>
          <w:bCs/>
          <w:sz w:val="22"/>
          <w:szCs w:val="22"/>
        </w:rPr>
        <w:t>provozních nákladech</w:t>
      </w:r>
      <w:r>
        <w:rPr>
          <w:rFonts w:ascii="Arial" w:hAnsi="Arial" w:cs="Arial"/>
          <w:bCs/>
          <w:sz w:val="22"/>
          <w:szCs w:val="22"/>
        </w:rPr>
        <w:t xml:space="preserve"> na </w:t>
      </w:r>
      <w:r w:rsidRPr="00BE289A">
        <w:rPr>
          <w:rFonts w:ascii="Arial" w:hAnsi="Arial" w:cs="Arial"/>
          <w:bCs/>
          <w:sz w:val="22"/>
          <w:szCs w:val="22"/>
        </w:rPr>
        <w:t>síť</w:t>
      </w:r>
      <w:r>
        <w:rPr>
          <w:rFonts w:ascii="Arial" w:hAnsi="Arial" w:cs="Arial"/>
          <w:bCs/>
          <w:sz w:val="22"/>
          <w:szCs w:val="22"/>
        </w:rPr>
        <w:t xml:space="preserve"> v </w:t>
      </w:r>
      <w:r w:rsidRPr="00BE289A">
        <w:rPr>
          <w:rFonts w:ascii="Arial" w:hAnsi="Arial" w:cs="Arial"/>
          <w:bCs/>
          <w:sz w:val="22"/>
          <w:szCs w:val="22"/>
        </w:rPr>
        <w:t>následující kategorii nákladů: Pronájem síťových stanovišť</w:t>
      </w:r>
      <w:r>
        <w:rPr>
          <w:rFonts w:ascii="Arial" w:hAnsi="Arial" w:cs="Arial"/>
          <w:bCs/>
          <w:sz w:val="22"/>
          <w:szCs w:val="22"/>
        </w:rPr>
        <w:t xml:space="preserve"> a </w:t>
      </w:r>
      <w:r w:rsidRPr="00BE289A">
        <w:rPr>
          <w:rFonts w:ascii="Arial" w:hAnsi="Arial" w:cs="Arial"/>
          <w:bCs/>
          <w:sz w:val="22"/>
          <w:szCs w:val="22"/>
        </w:rPr>
        <w:t>náklady</w:t>
      </w:r>
      <w:r>
        <w:rPr>
          <w:rFonts w:ascii="Arial" w:hAnsi="Arial" w:cs="Arial"/>
          <w:bCs/>
          <w:sz w:val="22"/>
          <w:szCs w:val="22"/>
        </w:rPr>
        <w:t xml:space="preserve"> na </w:t>
      </w:r>
      <w:r w:rsidRPr="00BE289A">
        <w:rPr>
          <w:rFonts w:ascii="Arial" w:hAnsi="Arial" w:cs="Arial"/>
          <w:bCs/>
          <w:sz w:val="22"/>
          <w:szCs w:val="22"/>
        </w:rPr>
        <w:t>energii</w:t>
      </w:r>
    </w:p>
    <w:p w:rsidR="006700AC" w:rsidRPr="0072523A" w:rsidRDefault="006700AC" w:rsidP="006700AC">
      <w:pPr>
        <w:numPr>
          <w:ilvl w:val="0"/>
          <w:numId w:val="69"/>
        </w:numPr>
        <w:tabs>
          <w:tab w:val="clear" w:pos="360"/>
          <w:tab w:val="num" w:pos="993"/>
        </w:tabs>
        <w:autoSpaceDE w:val="0"/>
        <w:autoSpaceDN w:val="0"/>
        <w:adjustRightInd w:val="0"/>
        <w:spacing w:before="60"/>
        <w:ind w:left="993"/>
        <w:rPr>
          <w:rFonts w:ascii="Arial" w:hAnsi="Arial" w:cs="Arial"/>
          <w:color w:val="000000"/>
          <w:sz w:val="22"/>
          <w:szCs w:val="22"/>
        </w:rPr>
      </w:pPr>
      <w:r w:rsidRPr="0072523A">
        <w:rPr>
          <w:rFonts w:ascii="Arial" w:hAnsi="Arial" w:cs="Arial"/>
          <w:color w:val="000000"/>
          <w:sz w:val="22"/>
          <w:szCs w:val="22"/>
        </w:rPr>
        <w:t xml:space="preserve">Přístupové uzly </w:t>
      </w:r>
    </w:p>
    <w:p w:rsidR="006700AC" w:rsidRPr="0072523A" w:rsidRDefault="006700AC" w:rsidP="006700AC">
      <w:pPr>
        <w:numPr>
          <w:ilvl w:val="0"/>
          <w:numId w:val="69"/>
        </w:numPr>
        <w:tabs>
          <w:tab w:val="clear" w:pos="360"/>
          <w:tab w:val="num" w:pos="993"/>
        </w:tabs>
        <w:autoSpaceDE w:val="0"/>
        <w:autoSpaceDN w:val="0"/>
        <w:adjustRightInd w:val="0"/>
        <w:spacing w:before="60"/>
        <w:ind w:left="993"/>
        <w:rPr>
          <w:rFonts w:ascii="Arial" w:hAnsi="Arial" w:cs="Arial"/>
          <w:color w:val="000000"/>
          <w:sz w:val="22"/>
          <w:szCs w:val="22"/>
        </w:rPr>
      </w:pPr>
      <w:r w:rsidRPr="0072523A">
        <w:rPr>
          <w:rFonts w:ascii="Arial" w:hAnsi="Arial" w:cs="Arial"/>
          <w:color w:val="000000"/>
          <w:sz w:val="22"/>
          <w:szCs w:val="22"/>
        </w:rPr>
        <w:t>Přenosová síť</w:t>
      </w:r>
    </w:p>
    <w:p w:rsidR="006700AC" w:rsidRPr="0072523A" w:rsidRDefault="006700AC" w:rsidP="006700AC">
      <w:pPr>
        <w:numPr>
          <w:ilvl w:val="0"/>
          <w:numId w:val="69"/>
        </w:numPr>
        <w:tabs>
          <w:tab w:val="clear" w:pos="360"/>
          <w:tab w:val="num" w:pos="993"/>
        </w:tabs>
        <w:autoSpaceDE w:val="0"/>
        <w:autoSpaceDN w:val="0"/>
        <w:adjustRightInd w:val="0"/>
        <w:spacing w:before="60"/>
        <w:ind w:left="993"/>
        <w:rPr>
          <w:rFonts w:ascii="Arial" w:hAnsi="Arial" w:cs="Arial"/>
          <w:color w:val="000000"/>
          <w:sz w:val="22"/>
          <w:szCs w:val="22"/>
        </w:rPr>
      </w:pPr>
      <w:r w:rsidRPr="0072523A">
        <w:rPr>
          <w:rFonts w:ascii="Arial" w:hAnsi="Arial" w:cs="Arial"/>
          <w:color w:val="000000"/>
          <w:sz w:val="22"/>
          <w:szCs w:val="22"/>
        </w:rPr>
        <w:t>Přepínací síť</w:t>
      </w:r>
    </w:p>
    <w:p w:rsidR="006700AC" w:rsidRPr="00BE289A" w:rsidRDefault="006700AC" w:rsidP="006700AC">
      <w:pPr>
        <w:autoSpaceDE w:val="0"/>
        <w:autoSpaceDN w:val="0"/>
        <w:adjustRightInd w:val="0"/>
        <w:spacing w:before="120"/>
        <w:rPr>
          <w:rFonts w:ascii="Arial" w:hAnsi="Arial" w:cs="Arial"/>
          <w:bCs/>
          <w:sz w:val="22"/>
          <w:szCs w:val="22"/>
        </w:rPr>
      </w:pPr>
      <w:r w:rsidRPr="00BE289A">
        <w:rPr>
          <w:rFonts w:ascii="Arial" w:hAnsi="Arial" w:cs="Arial"/>
          <w:bCs/>
          <w:sz w:val="22"/>
          <w:szCs w:val="22"/>
        </w:rPr>
        <w:t>D: Podíl kapitálových nákladů</w:t>
      </w:r>
      <w:r>
        <w:rPr>
          <w:rFonts w:ascii="Arial" w:hAnsi="Arial" w:cs="Arial"/>
          <w:bCs/>
          <w:sz w:val="22"/>
          <w:szCs w:val="22"/>
        </w:rPr>
        <w:t xml:space="preserve"> na </w:t>
      </w:r>
      <w:r w:rsidRPr="00BE289A">
        <w:rPr>
          <w:rFonts w:ascii="Arial" w:hAnsi="Arial" w:cs="Arial"/>
          <w:bCs/>
          <w:sz w:val="22"/>
          <w:szCs w:val="22"/>
        </w:rPr>
        <w:t>provozních nákladech</w:t>
      </w:r>
      <w:r>
        <w:rPr>
          <w:rFonts w:ascii="Arial" w:hAnsi="Arial" w:cs="Arial"/>
          <w:bCs/>
          <w:sz w:val="22"/>
          <w:szCs w:val="22"/>
        </w:rPr>
        <w:t xml:space="preserve"> na </w:t>
      </w:r>
      <w:r w:rsidRPr="00BE289A">
        <w:rPr>
          <w:rFonts w:ascii="Arial" w:hAnsi="Arial" w:cs="Arial"/>
          <w:bCs/>
          <w:sz w:val="22"/>
          <w:szCs w:val="22"/>
        </w:rPr>
        <w:t>síť</w:t>
      </w:r>
      <w:r>
        <w:rPr>
          <w:rFonts w:ascii="Arial" w:hAnsi="Arial" w:cs="Arial"/>
          <w:bCs/>
          <w:sz w:val="22"/>
          <w:szCs w:val="22"/>
        </w:rPr>
        <w:t xml:space="preserve"> v </w:t>
      </w:r>
      <w:r w:rsidRPr="00BE289A">
        <w:rPr>
          <w:rFonts w:ascii="Arial" w:hAnsi="Arial" w:cs="Arial"/>
          <w:bCs/>
          <w:sz w:val="22"/>
          <w:szCs w:val="22"/>
        </w:rPr>
        <w:t>následující kategorii nákladů: Síťová stanoviště</w:t>
      </w:r>
      <w:r>
        <w:rPr>
          <w:rFonts w:ascii="Arial" w:hAnsi="Arial" w:cs="Arial"/>
          <w:bCs/>
          <w:sz w:val="22"/>
          <w:szCs w:val="22"/>
        </w:rPr>
        <w:t xml:space="preserve"> a </w:t>
      </w:r>
      <w:r w:rsidRPr="00BE289A">
        <w:rPr>
          <w:rFonts w:ascii="Arial" w:hAnsi="Arial" w:cs="Arial"/>
          <w:bCs/>
          <w:sz w:val="22"/>
          <w:szCs w:val="22"/>
        </w:rPr>
        <w:t>pohonné jednotky</w:t>
      </w:r>
    </w:p>
    <w:p w:rsidR="006700AC" w:rsidRPr="0072523A" w:rsidRDefault="006700AC" w:rsidP="006700AC">
      <w:pPr>
        <w:numPr>
          <w:ilvl w:val="0"/>
          <w:numId w:val="70"/>
        </w:numPr>
        <w:tabs>
          <w:tab w:val="clear" w:pos="360"/>
          <w:tab w:val="num" w:pos="993"/>
        </w:tabs>
        <w:autoSpaceDE w:val="0"/>
        <w:autoSpaceDN w:val="0"/>
        <w:adjustRightInd w:val="0"/>
        <w:spacing w:before="60"/>
        <w:ind w:left="993"/>
        <w:rPr>
          <w:rFonts w:ascii="Arial" w:hAnsi="Arial" w:cs="Arial"/>
          <w:color w:val="000000"/>
          <w:sz w:val="22"/>
          <w:szCs w:val="22"/>
        </w:rPr>
      </w:pPr>
      <w:r w:rsidRPr="0072523A">
        <w:rPr>
          <w:rFonts w:ascii="Arial" w:hAnsi="Arial" w:cs="Arial"/>
          <w:color w:val="000000"/>
          <w:sz w:val="22"/>
          <w:szCs w:val="22"/>
        </w:rPr>
        <w:t xml:space="preserve">Přístupové uzly </w:t>
      </w:r>
    </w:p>
    <w:p w:rsidR="006700AC" w:rsidRPr="0072523A" w:rsidRDefault="006700AC" w:rsidP="006700AC">
      <w:pPr>
        <w:numPr>
          <w:ilvl w:val="0"/>
          <w:numId w:val="70"/>
        </w:numPr>
        <w:tabs>
          <w:tab w:val="clear" w:pos="360"/>
          <w:tab w:val="num" w:pos="993"/>
        </w:tabs>
        <w:autoSpaceDE w:val="0"/>
        <w:autoSpaceDN w:val="0"/>
        <w:adjustRightInd w:val="0"/>
        <w:spacing w:before="60"/>
        <w:ind w:left="993"/>
        <w:rPr>
          <w:rFonts w:ascii="Arial" w:hAnsi="Arial" w:cs="Arial"/>
          <w:color w:val="000000"/>
          <w:sz w:val="22"/>
          <w:szCs w:val="22"/>
        </w:rPr>
      </w:pPr>
      <w:r w:rsidRPr="0072523A">
        <w:rPr>
          <w:rFonts w:ascii="Arial" w:hAnsi="Arial" w:cs="Arial"/>
          <w:color w:val="000000"/>
          <w:sz w:val="22"/>
          <w:szCs w:val="22"/>
        </w:rPr>
        <w:t>Přenosová síť</w:t>
      </w:r>
    </w:p>
    <w:p w:rsidR="006700AC" w:rsidRPr="0072523A" w:rsidRDefault="006700AC" w:rsidP="006700AC">
      <w:pPr>
        <w:numPr>
          <w:ilvl w:val="0"/>
          <w:numId w:val="70"/>
        </w:numPr>
        <w:tabs>
          <w:tab w:val="clear" w:pos="360"/>
          <w:tab w:val="num" w:pos="993"/>
        </w:tabs>
        <w:autoSpaceDE w:val="0"/>
        <w:autoSpaceDN w:val="0"/>
        <w:adjustRightInd w:val="0"/>
        <w:spacing w:before="60"/>
        <w:ind w:left="993"/>
        <w:rPr>
          <w:rFonts w:ascii="Arial" w:hAnsi="Arial" w:cs="Arial"/>
          <w:color w:val="000000"/>
          <w:sz w:val="22"/>
          <w:szCs w:val="22"/>
        </w:rPr>
      </w:pPr>
      <w:r w:rsidRPr="0072523A">
        <w:rPr>
          <w:rFonts w:ascii="Arial" w:hAnsi="Arial" w:cs="Arial"/>
          <w:color w:val="000000"/>
          <w:sz w:val="22"/>
          <w:szCs w:val="22"/>
        </w:rPr>
        <w:t>Přepínací síť</w:t>
      </w:r>
    </w:p>
    <w:p w:rsidR="005A7C1B" w:rsidRDefault="005A7C1B" w:rsidP="006700AC">
      <w:pPr>
        <w:autoSpaceDE w:val="0"/>
        <w:autoSpaceDN w:val="0"/>
        <w:adjustRightInd w:val="0"/>
        <w:spacing w:before="240"/>
        <w:rPr>
          <w:rFonts w:ascii="Arial" w:hAnsi="Arial" w:cs="Arial"/>
          <w:b/>
          <w:bCs/>
          <w:sz w:val="22"/>
          <w:szCs w:val="22"/>
        </w:rPr>
      </w:pPr>
    </w:p>
    <w:p w:rsidR="00F17CD6" w:rsidRPr="006532BE" w:rsidRDefault="006700AC" w:rsidP="006700AC">
      <w:pPr>
        <w:autoSpaceDE w:val="0"/>
        <w:autoSpaceDN w:val="0"/>
        <w:adjustRightInd w:val="0"/>
        <w:spacing w:before="240"/>
        <w:rPr>
          <w:rFonts w:ascii="Arial" w:hAnsi="Arial" w:cs="Arial"/>
          <w:b/>
          <w:bCs/>
          <w:color w:val="000000"/>
          <w:sz w:val="22"/>
          <w:szCs w:val="22"/>
        </w:rPr>
      </w:pPr>
      <w:r w:rsidRPr="00F17CD6">
        <w:rPr>
          <w:rFonts w:ascii="Arial" w:hAnsi="Arial" w:cs="Arial"/>
          <w:b/>
          <w:bCs/>
          <w:sz w:val="22"/>
          <w:szCs w:val="22"/>
        </w:rPr>
        <w:t xml:space="preserve">II. </w:t>
      </w:r>
      <w:r w:rsidRPr="00F17CD6">
        <w:rPr>
          <w:rFonts w:ascii="Arial" w:hAnsi="Arial" w:cs="Arial"/>
          <w:b/>
          <w:bCs/>
          <w:color w:val="000000"/>
          <w:sz w:val="22"/>
          <w:szCs w:val="22"/>
        </w:rPr>
        <w:t>Podklad</w:t>
      </w:r>
      <w:r w:rsidRPr="00F17CD6">
        <w:rPr>
          <w:rFonts w:ascii="Arial" w:hAnsi="Arial" w:cs="Arial"/>
          <w:b/>
          <w:bCs/>
          <w:color w:val="000000"/>
          <w:spacing w:val="-1"/>
          <w:sz w:val="22"/>
          <w:szCs w:val="22"/>
        </w:rPr>
        <w:t>y</w:t>
      </w:r>
      <w:r w:rsidRPr="00F17CD6">
        <w:rPr>
          <w:rFonts w:ascii="Arial" w:hAnsi="Arial" w:cs="Arial"/>
          <w:b/>
          <w:bCs/>
          <w:color w:val="000000"/>
          <w:sz w:val="22"/>
          <w:szCs w:val="22"/>
        </w:rPr>
        <w:t>,</w:t>
      </w:r>
      <w:r w:rsidRPr="00F17CD6">
        <w:rPr>
          <w:rFonts w:ascii="Arial" w:hAnsi="Arial" w:cs="Arial"/>
          <w:b/>
          <w:bCs/>
          <w:color w:val="000000"/>
          <w:spacing w:val="-10"/>
          <w:sz w:val="22"/>
          <w:szCs w:val="22"/>
        </w:rPr>
        <w:t xml:space="preserve"> </w:t>
      </w:r>
      <w:r w:rsidRPr="00F17CD6">
        <w:rPr>
          <w:rFonts w:ascii="Arial" w:hAnsi="Arial" w:cs="Arial"/>
          <w:b/>
          <w:bCs/>
          <w:color w:val="000000"/>
          <w:sz w:val="22"/>
          <w:szCs w:val="22"/>
        </w:rPr>
        <w:t>které</w:t>
      </w:r>
      <w:r w:rsidRPr="00F17CD6">
        <w:rPr>
          <w:rFonts w:ascii="Arial" w:hAnsi="Arial" w:cs="Arial"/>
          <w:b/>
          <w:bCs/>
          <w:color w:val="000000"/>
          <w:spacing w:val="-5"/>
          <w:sz w:val="22"/>
          <w:szCs w:val="22"/>
        </w:rPr>
        <w:t xml:space="preserve"> </w:t>
      </w:r>
      <w:r w:rsidRPr="00F17CD6">
        <w:rPr>
          <w:rFonts w:ascii="Arial" w:hAnsi="Arial" w:cs="Arial"/>
          <w:b/>
          <w:bCs/>
          <w:color w:val="000000"/>
          <w:sz w:val="22"/>
          <w:szCs w:val="22"/>
        </w:rPr>
        <w:t>do</w:t>
      </w:r>
      <w:r w:rsidRPr="00F17CD6">
        <w:rPr>
          <w:rFonts w:ascii="Arial" w:hAnsi="Arial" w:cs="Arial"/>
          <w:b/>
          <w:bCs/>
          <w:color w:val="000000"/>
          <w:spacing w:val="2"/>
          <w:sz w:val="22"/>
          <w:szCs w:val="22"/>
        </w:rPr>
        <w:t>k</w:t>
      </w:r>
      <w:r w:rsidRPr="00F17CD6">
        <w:rPr>
          <w:rFonts w:ascii="Arial" w:hAnsi="Arial" w:cs="Arial"/>
          <w:b/>
          <w:bCs/>
          <w:color w:val="000000"/>
          <w:sz w:val="22"/>
          <w:szCs w:val="22"/>
        </w:rPr>
        <w:t>ládají</w:t>
      </w:r>
      <w:r w:rsidRPr="00F17CD6">
        <w:rPr>
          <w:rFonts w:ascii="Arial" w:hAnsi="Arial" w:cs="Arial"/>
          <w:b/>
          <w:bCs/>
          <w:color w:val="000000"/>
          <w:spacing w:val="-10"/>
          <w:sz w:val="22"/>
          <w:szCs w:val="22"/>
        </w:rPr>
        <w:t xml:space="preserve"> </w:t>
      </w:r>
      <w:r w:rsidRPr="00F17CD6">
        <w:rPr>
          <w:rFonts w:ascii="Arial" w:hAnsi="Arial" w:cs="Arial"/>
          <w:b/>
          <w:bCs/>
          <w:color w:val="000000"/>
          <w:sz w:val="22"/>
          <w:szCs w:val="22"/>
        </w:rPr>
        <w:t>správnost</w:t>
      </w:r>
      <w:r w:rsidRPr="00F17CD6">
        <w:rPr>
          <w:rFonts w:ascii="Arial" w:hAnsi="Arial" w:cs="Arial"/>
          <w:b/>
          <w:bCs/>
          <w:color w:val="000000"/>
          <w:spacing w:val="-10"/>
          <w:sz w:val="22"/>
          <w:szCs w:val="22"/>
        </w:rPr>
        <w:t xml:space="preserve"> </w:t>
      </w:r>
      <w:r w:rsidRPr="00F17CD6">
        <w:rPr>
          <w:rFonts w:ascii="Arial" w:hAnsi="Arial" w:cs="Arial"/>
          <w:b/>
          <w:bCs/>
          <w:color w:val="000000"/>
          <w:sz w:val="22"/>
          <w:szCs w:val="22"/>
        </w:rPr>
        <w:t>výše</w:t>
      </w:r>
      <w:r w:rsidRPr="00F17CD6">
        <w:rPr>
          <w:rFonts w:ascii="Arial" w:hAnsi="Arial" w:cs="Arial"/>
          <w:b/>
          <w:bCs/>
          <w:color w:val="000000"/>
          <w:spacing w:val="-5"/>
          <w:sz w:val="22"/>
          <w:szCs w:val="22"/>
        </w:rPr>
        <w:t xml:space="preserve"> </w:t>
      </w:r>
      <w:r w:rsidRPr="00F17CD6">
        <w:rPr>
          <w:rFonts w:ascii="Arial" w:hAnsi="Arial" w:cs="Arial"/>
          <w:b/>
          <w:bCs/>
          <w:color w:val="000000"/>
          <w:sz w:val="22"/>
          <w:szCs w:val="22"/>
        </w:rPr>
        <w:t>uvedených</w:t>
      </w:r>
      <w:r w:rsidRPr="00F17CD6">
        <w:rPr>
          <w:rFonts w:ascii="Arial" w:hAnsi="Arial" w:cs="Arial"/>
          <w:b/>
          <w:bCs/>
          <w:color w:val="000000"/>
          <w:spacing w:val="-11"/>
          <w:sz w:val="22"/>
          <w:szCs w:val="22"/>
        </w:rPr>
        <w:t xml:space="preserve"> </w:t>
      </w:r>
      <w:r w:rsidRPr="00F17CD6">
        <w:rPr>
          <w:rFonts w:ascii="Arial" w:hAnsi="Arial" w:cs="Arial"/>
          <w:b/>
          <w:bCs/>
          <w:color w:val="000000"/>
          <w:sz w:val="22"/>
          <w:szCs w:val="22"/>
        </w:rPr>
        <w:t>údajů</w:t>
      </w:r>
      <w:r w:rsidR="00F17CD6" w:rsidRPr="006532BE">
        <w:rPr>
          <w:rFonts w:ascii="Arial" w:hAnsi="Arial" w:cs="Arial"/>
          <w:b/>
          <w:bCs/>
          <w:color w:val="000000"/>
          <w:sz w:val="26"/>
          <w:szCs w:val="26"/>
        </w:rPr>
        <w:br w:type="page"/>
      </w:r>
    </w:p>
    <w:p w:rsidR="00242A0C" w:rsidRPr="006532BE" w:rsidRDefault="00242A0C" w:rsidP="00242A0C">
      <w:pPr>
        <w:widowControl w:val="0"/>
        <w:autoSpaceDE w:val="0"/>
        <w:autoSpaceDN w:val="0"/>
        <w:adjustRightInd w:val="0"/>
        <w:spacing w:before="240"/>
        <w:ind w:left="5245"/>
        <w:rPr>
          <w:rFonts w:ascii="Arial" w:hAnsi="Arial" w:cs="Arial"/>
          <w:b/>
          <w:bCs/>
          <w:color w:val="000000"/>
          <w:w w:val="99"/>
          <w:sz w:val="22"/>
          <w:szCs w:val="22"/>
        </w:rPr>
      </w:pPr>
      <w:r w:rsidRPr="006532BE">
        <w:rPr>
          <w:rFonts w:ascii="Arial" w:hAnsi="Arial" w:cs="Arial"/>
          <w:color w:val="000000"/>
          <w:sz w:val="22"/>
          <w:szCs w:val="22"/>
        </w:rPr>
        <w:lastRenderedPageBreak/>
        <w:t>Příloha</w:t>
      </w:r>
      <w:r w:rsidRPr="006532BE">
        <w:rPr>
          <w:rFonts w:ascii="Arial" w:hAnsi="Arial" w:cs="Arial"/>
          <w:color w:val="000000"/>
          <w:spacing w:val="-7"/>
          <w:sz w:val="22"/>
          <w:szCs w:val="22"/>
        </w:rPr>
        <w:t xml:space="preserve"> </w:t>
      </w:r>
      <w:r w:rsidRPr="006532BE">
        <w:rPr>
          <w:rFonts w:ascii="Arial" w:hAnsi="Arial" w:cs="Arial"/>
          <w:color w:val="000000"/>
          <w:sz w:val="22"/>
          <w:szCs w:val="22"/>
        </w:rPr>
        <w:t>č. 3</w:t>
      </w:r>
      <w:r w:rsidRPr="006532BE">
        <w:rPr>
          <w:rFonts w:ascii="Arial" w:hAnsi="Arial" w:cs="Arial"/>
          <w:color w:val="000000"/>
          <w:spacing w:val="-2"/>
          <w:sz w:val="22"/>
          <w:szCs w:val="22"/>
        </w:rPr>
        <w:t xml:space="preserve"> k </w:t>
      </w:r>
      <w:r w:rsidRPr="006532BE">
        <w:rPr>
          <w:rFonts w:ascii="Arial" w:hAnsi="Arial" w:cs="Arial"/>
          <w:color w:val="000000"/>
          <w:sz w:val="22"/>
          <w:szCs w:val="22"/>
        </w:rPr>
        <w:t>opatření</w:t>
      </w:r>
      <w:r w:rsidRPr="006532BE">
        <w:rPr>
          <w:rFonts w:ascii="Arial" w:hAnsi="Arial" w:cs="Arial"/>
          <w:color w:val="000000"/>
          <w:spacing w:val="-8"/>
          <w:sz w:val="22"/>
          <w:szCs w:val="22"/>
        </w:rPr>
        <w:t xml:space="preserve"> </w:t>
      </w:r>
      <w:r w:rsidRPr="006532BE">
        <w:rPr>
          <w:rFonts w:ascii="Arial" w:hAnsi="Arial" w:cs="Arial"/>
          <w:color w:val="000000"/>
          <w:spacing w:val="-1"/>
          <w:sz w:val="22"/>
          <w:szCs w:val="22"/>
        </w:rPr>
        <w:t>o</w:t>
      </w:r>
      <w:r w:rsidRPr="006532BE">
        <w:rPr>
          <w:rFonts w:ascii="Arial" w:hAnsi="Arial" w:cs="Arial"/>
          <w:color w:val="000000"/>
          <w:sz w:val="22"/>
          <w:szCs w:val="22"/>
        </w:rPr>
        <w:t>becné</w:t>
      </w:r>
      <w:r w:rsidRPr="006532BE">
        <w:rPr>
          <w:rFonts w:ascii="Arial" w:hAnsi="Arial" w:cs="Arial"/>
          <w:color w:val="000000"/>
          <w:spacing w:val="-7"/>
          <w:sz w:val="22"/>
          <w:szCs w:val="22"/>
        </w:rPr>
        <w:t xml:space="preserve"> </w:t>
      </w:r>
      <w:r w:rsidRPr="006532BE">
        <w:rPr>
          <w:rFonts w:ascii="Arial" w:hAnsi="Arial" w:cs="Arial"/>
          <w:color w:val="000000"/>
          <w:sz w:val="22"/>
          <w:szCs w:val="22"/>
        </w:rPr>
        <w:t>povahy</w:t>
      </w:r>
      <w:r w:rsidRPr="006532BE">
        <w:rPr>
          <w:rFonts w:ascii="Arial" w:hAnsi="Arial" w:cs="Arial"/>
          <w:color w:val="000000"/>
          <w:spacing w:val="-7"/>
          <w:sz w:val="22"/>
          <w:szCs w:val="22"/>
        </w:rPr>
        <w:t xml:space="preserve"> </w:t>
      </w:r>
      <w:r w:rsidRPr="006532BE">
        <w:rPr>
          <w:rFonts w:ascii="Arial" w:hAnsi="Arial" w:cs="Arial"/>
          <w:color w:val="000000"/>
          <w:spacing w:val="1"/>
          <w:sz w:val="22"/>
          <w:szCs w:val="22"/>
        </w:rPr>
        <w:t>č</w:t>
      </w:r>
      <w:r w:rsidRPr="006532BE">
        <w:rPr>
          <w:rFonts w:ascii="Arial" w:hAnsi="Arial" w:cs="Arial"/>
          <w:color w:val="000000"/>
          <w:sz w:val="22"/>
          <w:szCs w:val="22"/>
        </w:rPr>
        <w:t>.</w:t>
      </w:r>
      <w:r w:rsidRPr="006532BE">
        <w:rPr>
          <w:rFonts w:ascii="Arial" w:hAnsi="Arial" w:cs="Arial"/>
          <w:b/>
          <w:bCs/>
          <w:color w:val="000000"/>
          <w:spacing w:val="-1"/>
          <w:sz w:val="22"/>
          <w:szCs w:val="22"/>
        </w:rPr>
        <w:t xml:space="preserve"> </w:t>
      </w:r>
      <w:r w:rsidRPr="006532BE">
        <w:rPr>
          <w:rFonts w:ascii="Arial" w:hAnsi="Arial" w:cs="Arial"/>
          <w:b/>
          <w:bCs/>
          <w:color w:val="000000"/>
          <w:w w:val="99"/>
          <w:sz w:val="22"/>
          <w:szCs w:val="22"/>
        </w:rPr>
        <w:t>OOP/4</w:t>
      </w:r>
      <w:r w:rsidRPr="006532BE">
        <w:rPr>
          <w:rFonts w:ascii="Arial" w:hAnsi="Arial" w:cs="Arial"/>
          <w:b/>
          <w:bCs/>
          <w:color w:val="000000"/>
          <w:spacing w:val="1"/>
          <w:w w:val="99"/>
          <w:sz w:val="22"/>
          <w:szCs w:val="22"/>
        </w:rPr>
        <w:t>/</w:t>
      </w:r>
      <w:r w:rsidR="002C151C">
        <w:rPr>
          <w:rFonts w:ascii="Arial" w:hAnsi="Arial" w:cs="Arial"/>
          <w:b/>
          <w:bCs/>
          <w:color w:val="000000"/>
          <w:spacing w:val="1"/>
          <w:w w:val="99"/>
          <w:sz w:val="22"/>
          <w:szCs w:val="22"/>
        </w:rPr>
        <w:t>09</w:t>
      </w:r>
      <w:r w:rsidRPr="006532BE">
        <w:rPr>
          <w:rFonts w:ascii="Arial" w:hAnsi="Arial" w:cs="Arial"/>
          <w:b/>
          <w:bCs/>
          <w:color w:val="000000"/>
          <w:w w:val="99"/>
          <w:sz w:val="22"/>
          <w:szCs w:val="22"/>
        </w:rPr>
        <w:t>.2014-</w:t>
      </w:r>
      <w:r w:rsidR="002C151C">
        <w:rPr>
          <w:rFonts w:ascii="Arial" w:hAnsi="Arial" w:cs="Arial"/>
          <w:b/>
          <w:bCs/>
          <w:color w:val="000000"/>
          <w:w w:val="99"/>
          <w:sz w:val="22"/>
          <w:szCs w:val="22"/>
        </w:rPr>
        <w:t>6</w:t>
      </w:r>
    </w:p>
    <w:p w:rsidR="00242A0C" w:rsidRPr="006532BE" w:rsidRDefault="00242A0C" w:rsidP="001D3EF1">
      <w:pPr>
        <w:widowControl w:val="0"/>
        <w:autoSpaceDE w:val="0"/>
        <w:autoSpaceDN w:val="0"/>
        <w:adjustRightInd w:val="0"/>
        <w:spacing w:before="480"/>
        <w:rPr>
          <w:rFonts w:ascii="Arial" w:hAnsi="Arial" w:cs="Arial"/>
          <w:b/>
          <w:bCs/>
          <w:color w:val="000000"/>
          <w:sz w:val="22"/>
          <w:szCs w:val="22"/>
        </w:rPr>
      </w:pPr>
      <w:r w:rsidRPr="006532BE">
        <w:rPr>
          <w:rFonts w:ascii="Arial" w:hAnsi="Arial" w:cs="Arial"/>
          <w:b/>
          <w:bCs/>
          <w:color w:val="000000"/>
          <w:sz w:val="22"/>
          <w:szCs w:val="22"/>
        </w:rPr>
        <w:t>Struktura</w:t>
      </w:r>
      <w:r w:rsidRPr="006532BE">
        <w:rPr>
          <w:rFonts w:ascii="Arial" w:hAnsi="Arial" w:cs="Arial"/>
          <w:b/>
          <w:bCs/>
          <w:color w:val="000000"/>
          <w:spacing w:val="-10"/>
          <w:sz w:val="22"/>
          <w:szCs w:val="22"/>
        </w:rPr>
        <w:t xml:space="preserve"> </w:t>
      </w:r>
      <w:r w:rsidRPr="006532BE">
        <w:rPr>
          <w:rFonts w:ascii="Arial" w:hAnsi="Arial" w:cs="Arial"/>
          <w:b/>
          <w:bCs/>
          <w:color w:val="000000"/>
          <w:spacing w:val="1"/>
          <w:sz w:val="22"/>
          <w:szCs w:val="22"/>
        </w:rPr>
        <w:t>v</w:t>
      </w:r>
      <w:r w:rsidRPr="006532BE">
        <w:rPr>
          <w:rFonts w:ascii="Arial" w:hAnsi="Arial" w:cs="Arial"/>
          <w:b/>
          <w:bCs/>
          <w:color w:val="000000"/>
          <w:sz w:val="22"/>
          <w:szCs w:val="22"/>
        </w:rPr>
        <w:t>stupních</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údajů</w:t>
      </w:r>
      <w:r w:rsidRPr="006532BE">
        <w:rPr>
          <w:rFonts w:ascii="Arial" w:hAnsi="Arial" w:cs="Arial"/>
          <w:b/>
          <w:bCs/>
          <w:color w:val="000000"/>
          <w:spacing w:val="-5"/>
          <w:sz w:val="22"/>
          <w:szCs w:val="22"/>
        </w:rPr>
        <w:t xml:space="preserve"> </w:t>
      </w:r>
      <w:r w:rsidRPr="006532BE">
        <w:rPr>
          <w:rFonts w:ascii="Arial" w:hAnsi="Arial" w:cs="Arial"/>
          <w:b/>
          <w:bCs/>
          <w:color w:val="000000"/>
          <w:sz w:val="22"/>
          <w:szCs w:val="22"/>
        </w:rPr>
        <w:t>dle</w:t>
      </w:r>
      <w:r w:rsidRPr="006532BE">
        <w:rPr>
          <w:rFonts w:ascii="Arial" w:hAnsi="Arial" w:cs="Arial"/>
          <w:b/>
          <w:bCs/>
          <w:color w:val="000000"/>
          <w:spacing w:val="-3"/>
          <w:sz w:val="22"/>
          <w:szCs w:val="22"/>
        </w:rPr>
        <w:t xml:space="preserve"> </w:t>
      </w:r>
      <w:r w:rsidRPr="006532BE">
        <w:rPr>
          <w:rFonts w:ascii="Arial" w:hAnsi="Arial" w:cs="Arial"/>
          <w:b/>
          <w:bCs/>
          <w:color w:val="000000"/>
          <w:sz w:val="22"/>
          <w:szCs w:val="22"/>
        </w:rPr>
        <w:t>čl</w:t>
      </w:r>
      <w:r w:rsidRPr="006532BE">
        <w:rPr>
          <w:rFonts w:ascii="Arial" w:hAnsi="Arial" w:cs="Arial"/>
          <w:b/>
          <w:bCs/>
          <w:color w:val="000000"/>
          <w:spacing w:val="-1"/>
          <w:sz w:val="22"/>
          <w:szCs w:val="22"/>
        </w:rPr>
        <w:t>á</w:t>
      </w:r>
      <w:r w:rsidRPr="006532BE">
        <w:rPr>
          <w:rFonts w:ascii="Arial" w:hAnsi="Arial" w:cs="Arial"/>
          <w:b/>
          <w:bCs/>
          <w:color w:val="000000"/>
          <w:sz w:val="22"/>
          <w:szCs w:val="22"/>
        </w:rPr>
        <w:t>nku</w:t>
      </w:r>
      <w:r w:rsidRPr="006532BE">
        <w:rPr>
          <w:rFonts w:ascii="Arial" w:hAnsi="Arial" w:cs="Arial"/>
          <w:b/>
          <w:bCs/>
          <w:color w:val="000000"/>
          <w:spacing w:val="-7"/>
          <w:sz w:val="22"/>
          <w:szCs w:val="22"/>
        </w:rPr>
        <w:t xml:space="preserve"> </w:t>
      </w:r>
      <w:r w:rsidR="001C19DC" w:rsidRPr="006532BE">
        <w:rPr>
          <w:rFonts w:ascii="Arial" w:hAnsi="Arial" w:cs="Arial"/>
          <w:b/>
          <w:bCs/>
          <w:color w:val="000000"/>
          <w:spacing w:val="-7"/>
          <w:sz w:val="22"/>
          <w:szCs w:val="22"/>
        </w:rPr>
        <w:t>7</w:t>
      </w:r>
      <w:r w:rsidRPr="006532BE">
        <w:rPr>
          <w:rFonts w:ascii="Arial" w:hAnsi="Arial" w:cs="Arial"/>
          <w:b/>
          <w:bCs/>
          <w:color w:val="000000"/>
          <w:spacing w:val="-1"/>
          <w:sz w:val="22"/>
          <w:szCs w:val="22"/>
        </w:rPr>
        <w:t xml:space="preserve"> </w:t>
      </w:r>
      <w:r w:rsidRPr="006532BE">
        <w:rPr>
          <w:rFonts w:ascii="Arial" w:hAnsi="Arial" w:cs="Arial"/>
          <w:b/>
          <w:bCs/>
          <w:color w:val="000000"/>
          <w:sz w:val="22"/>
          <w:szCs w:val="22"/>
        </w:rPr>
        <w:t>písm.</w:t>
      </w:r>
      <w:r w:rsidRPr="006532BE">
        <w:rPr>
          <w:rFonts w:ascii="Arial" w:hAnsi="Arial" w:cs="Arial"/>
          <w:b/>
          <w:bCs/>
          <w:color w:val="000000"/>
          <w:spacing w:val="-6"/>
          <w:sz w:val="22"/>
          <w:szCs w:val="22"/>
        </w:rPr>
        <w:t xml:space="preserve"> b</w:t>
      </w:r>
      <w:r w:rsidRPr="006532BE">
        <w:rPr>
          <w:rFonts w:ascii="Arial" w:hAnsi="Arial" w:cs="Arial"/>
          <w:b/>
          <w:bCs/>
          <w:color w:val="000000"/>
          <w:sz w:val="22"/>
          <w:szCs w:val="22"/>
        </w:rPr>
        <w:t>)</w:t>
      </w:r>
      <w:r w:rsidRPr="006532BE">
        <w:rPr>
          <w:rFonts w:ascii="Arial" w:hAnsi="Arial" w:cs="Arial"/>
          <w:b/>
          <w:bCs/>
          <w:color w:val="000000"/>
          <w:spacing w:val="-2"/>
          <w:sz w:val="22"/>
          <w:szCs w:val="22"/>
        </w:rPr>
        <w:t xml:space="preserve"> </w:t>
      </w:r>
    </w:p>
    <w:p w:rsidR="00242A0C" w:rsidRPr="006532BE" w:rsidRDefault="00242A0C" w:rsidP="00E719A7">
      <w:pPr>
        <w:autoSpaceDE w:val="0"/>
        <w:autoSpaceDN w:val="0"/>
        <w:adjustRightInd w:val="0"/>
        <w:spacing w:before="240" w:after="40"/>
        <w:rPr>
          <w:rFonts w:ascii="Arial" w:hAnsi="Arial" w:cs="Arial"/>
          <w:b/>
          <w:color w:val="000000"/>
          <w:sz w:val="22"/>
          <w:szCs w:val="22"/>
        </w:rPr>
      </w:pPr>
      <w:bookmarkStart w:id="3" w:name="_Toc290043102"/>
      <w:r w:rsidRPr="006532BE">
        <w:rPr>
          <w:rFonts w:ascii="Arial" w:hAnsi="Arial" w:cs="Arial"/>
          <w:b/>
          <w:color w:val="000000"/>
          <w:sz w:val="22"/>
          <w:szCs w:val="22"/>
        </w:rPr>
        <w:t>I. Členění vstupních údajů</w:t>
      </w:r>
      <w:r w:rsidR="0047095F" w:rsidRPr="006532BE">
        <w:rPr>
          <w:rFonts w:ascii="Arial" w:hAnsi="Arial" w:cs="Arial"/>
          <w:b/>
          <w:color w:val="000000"/>
          <w:sz w:val="22"/>
          <w:szCs w:val="22"/>
        </w:rPr>
        <w:t xml:space="preserve"> podle </w:t>
      </w:r>
      <w:r w:rsidRPr="006532BE">
        <w:rPr>
          <w:rFonts w:ascii="Arial" w:hAnsi="Arial" w:cs="Arial"/>
          <w:b/>
          <w:color w:val="000000"/>
          <w:sz w:val="22"/>
          <w:szCs w:val="22"/>
        </w:rPr>
        <w:t xml:space="preserve">struktury LRIC modelu </w:t>
      </w:r>
    </w:p>
    <w:p w:rsidR="00242A0C" w:rsidRPr="006532BE" w:rsidRDefault="00242A0C" w:rsidP="001D3EF1">
      <w:pPr>
        <w:pStyle w:val="Nadpis2"/>
        <w:spacing w:before="120" w:after="0"/>
        <w:jc w:val="both"/>
        <w:rPr>
          <w:rFonts w:ascii="Arial" w:hAnsi="Arial" w:cs="Arial"/>
          <w:i w:val="0"/>
          <w:sz w:val="22"/>
          <w:szCs w:val="22"/>
        </w:rPr>
      </w:pPr>
      <w:r w:rsidRPr="006532BE">
        <w:rPr>
          <w:rFonts w:ascii="Arial" w:hAnsi="Arial" w:cs="Arial"/>
          <w:i w:val="0"/>
          <w:sz w:val="22"/>
          <w:szCs w:val="22"/>
        </w:rPr>
        <w:t>List 0 Hlavní vstupy</w:t>
      </w:r>
      <w:bookmarkEnd w:id="3"/>
    </w:p>
    <w:p w:rsidR="00242A0C" w:rsidRPr="006532BE" w:rsidRDefault="00242A0C" w:rsidP="00EF5199">
      <w:pPr>
        <w:pStyle w:val="Nadpis3"/>
        <w:keepLines/>
        <w:numPr>
          <w:ilvl w:val="1"/>
          <w:numId w:val="8"/>
        </w:numPr>
        <w:tabs>
          <w:tab w:val="clear" w:pos="360"/>
        </w:tabs>
        <w:spacing w:before="120"/>
        <w:ind w:left="567" w:hanging="567"/>
        <w:jc w:val="both"/>
        <w:rPr>
          <w:i/>
          <w:sz w:val="22"/>
          <w:szCs w:val="22"/>
        </w:rPr>
      </w:pPr>
      <w:bookmarkStart w:id="4" w:name="_Toc290043103"/>
      <w:r w:rsidRPr="006532BE">
        <w:rPr>
          <w:i/>
          <w:sz w:val="22"/>
          <w:szCs w:val="22"/>
        </w:rPr>
        <w:t>Poptávka</w:t>
      </w:r>
      <w:bookmarkEnd w:id="4"/>
    </w:p>
    <w:p w:rsidR="00242A0C" w:rsidRPr="006532BE" w:rsidRDefault="00242A0C" w:rsidP="00242A0C">
      <w:pPr>
        <w:pStyle w:val="Zkladntext"/>
        <w:rPr>
          <w:rFonts w:ascii="Arial" w:hAnsi="Arial" w:cs="Arial"/>
          <w:bCs/>
          <w:sz w:val="22"/>
          <w:szCs w:val="22"/>
        </w:rPr>
      </w:pPr>
      <w:r w:rsidRPr="006532BE">
        <w:rPr>
          <w:rFonts w:ascii="Arial" w:hAnsi="Arial" w:cs="Arial"/>
          <w:bCs/>
          <w:sz w:val="22"/>
          <w:szCs w:val="22"/>
        </w:rPr>
        <w:t>Údaje</w:t>
      </w:r>
      <w:r w:rsidR="0047095F" w:rsidRPr="006532BE">
        <w:rPr>
          <w:rFonts w:ascii="Arial" w:hAnsi="Arial" w:cs="Arial"/>
          <w:bCs/>
          <w:sz w:val="22"/>
          <w:szCs w:val="22"/>
        </w:rPr>
        <w:t xml:space="preserve"> v </w:t>
      </w:r>
      <w:r w:rsidRPr="006532BE">
        <w:rPr>
          <w:rFonts w:ascii="Arial" w:hAnsi="Arial" w:cs="Arial"/>
          <w:bCs/>
          <w:sz w:val="22"/>
          <w:szCs w:val="22"/>
        </w:rPr>
        <w:t>této části uvede stanovený podnik pro aktuální rok a dále vyplní předpověď vývoje pro následující 3 roky (rok 1, 2 a 3).</w:t>
      </w:r>
    </w:p>
    <w:p w:rsidR="00242A0C" w:rsidRPr="006532BE" w:rsidRDefault="00242A0C" w:rsidP="004D5694">
      <w:pPr>
        <w:pStyle w:val="Zkladntext"/>
        <w:spacing w:before="120" w:after="0"/>
        <w:jc w:val="both"/>
        <w:rPr>
          <w:rFonts w:ascii="Arial" w:hAnsi="Arial" w:cs="Arial"/>
          <w:bCs/>
          <w:sz w:val="22"/>
          <w:szCs w:val="22"/>
        </w:rPr>
      </w:pPr>
      <w:r w:rsidRPr="006532BE">
        <w:rPr>
          <w:rFonts w:ascii="Arial" w:hAnsi="Arial" w:cs="Arial"/>
          <w:bCs/>
          <w:sz w:val="22"/>
          <w:szCs w:val="22"/>
        </w:rPr>
        <w:t>Typ zákazníka</w:t>
      </w:r>
    </w:p>
    <w:p w:rsidR="00242A0C" w:rsidRPr="006532BE" w:rsidRDefault="00242A0C" w:rsidP="00BE3916">
      <w:pPr>
        <w:pStyle w:val="Zkladntext"/>
        <w:numPr>
          <w:ilvl w:val="0"/>
          <w:numId w:val="72"/>
        </w:numPr>
        <w:tabs>
          <w:tab w:val="clear" w:pos="3060"/>
          <w:tab w:val="num" w:pos="1134"/>
        </w:tabs>
        <w:spacing w:before="60" w:after="0"/>
        <w:ind w:left="1134" w:hanging="850"/>
        <w:jc w:val="both"/>
        <w:rPr>
          <w:rFonts w:ascii="Arial" w:hAnsi="Arial" w:cs="Arial"/>
          <w:bCs/>
          <w:sz w:val="22"/>
          <w:szCs w:val="22"/>
        </w:rPr>
      </w:pPr>
      <w:r w:rsidRPr="006532BE">
        <w:rPr>
          <w:rFonts w:ascii="Arial" w:hAnsi="Arial" w:cs="Arial"/>
          <w:sz w:val="22"/>
          <w:szCs w:val="22"/>
        </w:rPr>
        <w:t>Uživatelé s předplacenými službami (počet)</w:t>
      </w:r>
    </w:p>
    <w:p w:rsidR="00242A0C" w:rsidRPr="006532BE" w:rsidRDefault="00242A0C" w:rsidP="00BE3916">
      <w:pPr>
        <w:pStyle w:val="Zkladntext"/>
        <w:numPr>
          <w:ilvl w:val="0"/>
          <w:numId w:val="72"/>
        </w:numPr>
        <w:tabs>
          <w:tab w:val="clear" w:pos="3060"/>
          <w:tab w:val="num" w:pos="1134"/>
        </w:tabs>
        <w:spacing w:before="60" w:after="0"/>
        <w:ind w:left="1134" w:hanging="850"/>
        <w:jc w:val="both"/>
        <w:rPr>
          <w:rFonts w:ascii="Arial" w:hAnsi="Arial" w:cs="Arial"/>
          <w:sz w:val="22"/>
          <w:szCs w:val="22"/>
        </w:rPr>
      </w:pPr>
      <w:r w:rsidRPr="006532BE">
        <w:rPr>
          <w:rFonts w:ascii="Arial" w:hAnsi="Arial" w:cs="Arial"/>
          <w:sz w:val="22"/>
          <w:szCs w:val="22"/>
        </w:rPr>
        <w:t>Uživatelé, kterým je fakturováno (počet)</w:t>
      </w:r>
    </w:p>
    <w:p w:rsidR="00242A0C" w:rsidRPr="006532BE" w:rsidRDefault="00242A0C" w:rsidP="00BE3916">
      <w:pPr>
        <w:pStyle w:val="Zkladntext"/>
        <w:numPr>
          <w:ilvl w:val="0"/>
          <w:numId w:val="72"/>
        </w:numPr>
        <w:tabs>
          <w:tab w:val="clear" w:pos="3060"/>
          <w:tab w:val="num" w:pos="1134"/>
        </w:tabs>
        <w:spacing w:before="60" w:after="0"/>
        <w:ind w:left="1134" w:hanging="850"/>
        <w:jc w:val="both"/>
        <w:rPr>
          <w:rFonts w:ascii="Arial" w:hAnsi="Arial" w:cs="Arial"/>
          <w:sz w:val="22"/>
          <w:szCs w:val="22"/>
        </w:rPr>
      </w:pPr>
      <w:r w:rsidRPr="006532BE">
        <w:rPr>
          <w:rFonts w:ascii="Arial" w:hAnsi="Arial" w:cs="Arial"/>
          <w:sz w:val="22"/>
          <w:szCs w:val="22"/>
        </w:rPr>
        <w:t>Uživatelé roamingových služeb</w:t>
      </w:r>
      <w:r w:rsidR="0047095F" w:rsidRPr="006532BE">
        <w:rPr>
          <w:rFonts w:ascii="Arial" w:hAnsi="Arial" w:cs="Arial"/>
          <w:sz w:val="22"/>
          <w:szCs w:val="22"/>
        </w:rPr>
        <w:t xml:space="preserve"> v </w:t>
      </w:r>
      <w:r w:rsidRPr="006532BE">
        <w:rPr>
          <w:rFonts w:ascii="Arial" w:hAnsi="Arial" w:cs="Arial"/>
          <w:sz w:val="22"/>
          <w:szCs w:val="22"/>
        </w:rPr>
        <w:t>síti (počet)</w:t>
      </w:r>
    </w:p>
    <w:p w:rsidR="00242A0C" w:rsidRPr="006532BE" w:rsidRDefault="00242A0C" w:rsidP="00BE3916">
      <w:pPr>
        <w:pStyle w:val="Zkladntext"/>
        <w:numPr>
          <w:ilvl w:val="0"/>
          <w:numId w:val="72"/>
        </w:numPr>
        <w:tabs>
          <w:tab w:val="clear" w:pos="3060"/>
          <w:tab w:val="num" w:pos="1134"/>
        </w:tabs>
        <w:spacing w:before="60" w:after="0"/>
        <w:ind w:left="1134" w:hanging="850"/>
        <w:jc w:val="both"/>
        <w:rPr>
          <w:rFonts w:ascii="Arial" w:hAnsi="Arial" w:cs="Arial"/>
          <w:sz w:val="22"/>
          <w:szCs w:val="22"/>
        </w:rPr>
      </w:pPr>
      <w:r w:rsidRPr="006532BE">
        <w:rPr>
          <w:rFonts w:ascii="Arial" w:hAnsi="Arial" w:cs="Arial"/>
          <w:sz w:val="22"/>
          <w:szCs w:val="22"/>
        </w:rPr>
        <w:t>Uživatelé hlasových schránek (počet)</w:t>
      </w:r>
    </w:p>
    <w:p w:rsidR="00242A0C" w:rsidRPr="006532BE" w:rsidRDefault="00242A0C" w:rsidP="00BE3916">
      <w:pPr>
        <w:pStyle w:val="Zkladntext"/>
        <w:numPr>
          <w:ilvl w:val="0"/>
          <w:numId w:val="72"/>
        </w:numPr>
        <w:tabs>
          <w:tab w:val="clear" w:pos="3060"/>
          <w:tab w:val="num" w:pos="1134"/>
        </w:tabs>
        <w:spacing w:before="60" w:after="0"/>
        <w:ind w:left="1134" w:hanging="850"/>
        <w:jc w:val="both"/>
        <w:rPr>
          <w:rFonts w:ascii="Arial" w:hAnsi="Arial" w:cs="Arial"/>
          <w:sz w:val="22"/>
          <w:szCs w:val="22"/>
        </w:rPr>
      </w:pPr>
      <w:r w:rsidRPr="006532BE">
        <w:rPr>
          <w:rFonts w:ascii="Arial" w:hAnsi="Arial" w:cs="Arial"/>
          <w:sz w:val="22"/>
          <w:szCs w:val="22"/>
        </w:rPr>
        <w:t>Mobilní datoví uživatelé (počet)</w:t>
      </w:r>
    </w:p>
    <w:p w:rsidR="00242A0C" w:rsidRPr="006532BE" w:rsidRDefault="00242A0C" w:rsidP="001D3EF1">
      <w:pPr>
        <w:pStyle w:val="Zkladntext"/>
        <w:spacing w:before="120" w:after="0"/>
        <w:jc w:val="both"/>
        <w:rPr>
          <w:rFonts w:ascii="Arial" w:hAnsi="Arial" w:cs="Arial"/>
          <w:sz w:val="22"/>
          <w:szCs w:val="22"/>
        </w:rPr>
      </w:pPr>
      <w:r w:rsidRPr="006532BE">
        <w:rPr>
          <w:rFonts w:ascii="Arial" w:hAnsi="Arial" w:cs="Arial"/>
          <w:sz w:val="22"/>
          <w:szCs w:val="22"/>
        </w:rPr>
        <w:t>Provoz služeb mobilních komunikací</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 xml:space="preserve">Počet minut odchozích hovorů – hovory ve vlastní síti (on-net) </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 xml:space="preserve">Počet minut odchozích hovorů – hovory do sítí jiných mobilních operátorů </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minut odchozích hovorů – hovory do pevné sítě</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minut odchozích hovorů – hovory do zahraničí</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minut odchozích hovorů – hovory</w:t>
      </w:r>
      <w:r w:rsidR="0047095F" w:rsidRPr="006532BE">
        <w:rPr>
          <w:rFonts w:ascii="Arial" w:hAnsi="Arial" w:cs="Arial"/>
          <w:sz w:val="22"/>
          <w:szCs w:val="22"/>
        </w:rPr>
        <w:t xml:space="preserve"> na </w:t>
      </w:r>
      <w:r w:rsidRPr="006532BE">
        <w:rPr>
          <w:rFonts w:ascii="Arial" w:hAnsi="Arial" w:cs="Arial"/>
          <w:sz w:val="22"/>
          <w:szCs w:val="22"/>
        </w:rPr>
        <w:t>tísňová čísla</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 xml:space="preserve">Počet minut odchozích hovorů – hovory do hlasové schránky </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minut odchozích hovorů – hovory</w:t>
      </w:r>
      <w:r w:rsidR="0047095F" w:rsidRPr="006532BE">
        <w:rPr>
          <w:rFonts w:ascii="Arial" w:hAnsi="Arial" w:cs="Arial"/>
          <w:sz w:val="22"/>
          <w:szCs w:val="22"/>
        </w:rPr>
        <w:t xml:space="preserve"> na </w:t>
      </w:r>
      <w:r w:rsidRPr="006532BE">
        <w:rPr>
          <w:rFonts w:ascii="Arial" w:hAnsi="Arial" w:cs="Arial"/>
          <w:sz w:val="22"/>
          <w:szCs w:val="22"/>
        </w:rPr>
        <w:t>bezplatná čísla</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minut odchozích hovorů – hovory</w:t>
      </w:r>
      <w:r w:rsidR="0047095F" w:rsidRPr="006532BE">
        <w:rPr>
          <w:rFonts w:ascii="Arial" w:hAnsi="Arial" w:cs="Arial"/>
          <w:sz w:val="22"/>
          <w:szCs w:val="22"/>
        </w:rPr>
        <w:t xml:space="preserve"> na </w:t>
      </w:r>
      <w:r w:rsidRPr="006532BE">
        <w:rPr>
          <w:rFonts w:ascii="Arial" w:hAnsi="Arial" w:cs="Arial"/>
          <w:sz w:val="22"/>
          <w:szCs w:val="22"/>
        </w:rPr>
        <w:t>čísla Premium</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minut odchozích hovorů – příchozí roaming (</w:t>
      </w:r>
      <w:proofErr w:type="spellStart"/>
      <w:r w:rsidRPr="006532BE">
        <w:rPr>
          <w:rFonts w:ascii="Arial" w:hAnsi="Arial" w:cs="Arial"/>
          <w:sz w:val="22"/>
          <w:szCs w:val="22"/>
        </w:rPr>
        <w:t>inbound</w:t>
      </w:r>
      <w:proofErr w:type="spellEnd"/>
      <w:r w:rsidRPr="006532BE">
        <w:rPr>
          <w:rFonts w:ascii="Arial" w:hAnsi="Arial" w:cs="Arial"/>
          <w:sz w:val="22"/>
          <w:szCs w:val="22"/>
        </w:rPr>
        <w:t xml:space="preserve"> roaming)</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minut příchozích hovorů – hovory</w:t>
      </w:r>
      <w:r w:rsidR="0047095F" w:rsidRPr="006532BE">
        <w:rPr>
          <w:rFonts w:ascii="Arial" w:hAnsi="Arial" w:cs="Arial"/>
          <w:sz w:val="22"/>
          <w:szCs w:val="22"/>
        </w:rPr>
        <w:t xml:space="preserve"> od </w:t>
      </w:r>
      <w:r w:rsidRPr="006532BE">
        <w:rPr>
          <w:rFonts w:ascii="Arial" w:hAnsi="Arial" w:cs="Arial"/>
          <w:sz w:val="22"/>
          <w:szCs w:val="22"/>
        </w:rPr>
        <w:t>jiných mobilních operátorů</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minut příchozích hovorů – hovory z pevné sítě</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minut příchozích hovorů – hovory ze zahraničí</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minut příchozích hovorů – příchozí roaming (</w:t>
      </w:r>
      <w:proofErr w:type="spellStart"/>
      <w:r w:rsidRPr="006532BE">
        <w:rPr>
          <w:rFonts w:ascii="Arial" w:hAnsi="Arial" w:cs="Arial"/>
          <w:sz w:val="22"/>
          <w:szCs w:val="22"/>
        </w:rPr>
        <w:t>inbound</w:t>
      </w:r>
      <w:proofErr w:type="spellEnd"/>
      <w:r w:rsidRPr="006532BE">
        <w:rPr>
          <w:rFonts w:ascii="Arial" w:hAnsi="Arial" w:cs="Arial"/>
          <w:sz w:val="22"/>
          <w:szCs w:val="22"/>
        </w:rPr>
        <w:t xml:space="preserve"> roaming) </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 xml:space="preserve">Počet SMS zpráv odchozích – SMS ve vlastní síti </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 xml:space="preserve">Počet SMS zpráv odchozích – SMS do jiných sítí </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SMS zpráv odchozích – SMS do zahraničí</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SMS zpráv příchozích – SMS</w:t>
      </w:r>
      <w:r w:rsidR="0047095F" w:rsidRPr="006532BE">
        <w:rPr>
          <w:rFonts w:ascii="Arial" w:hAnsi="Arial" w:cs="Arial"/>
          <w:sz w:val="22"/>
          <w:szCs w:val="22"/>
        </w:rPr>
        <w:t xml:space="preserve"> od </w:t>
      </w:r>
      <w:r w:rsidRPr="006532BE">
        <w:rPr>
          <w:rFonts w:ascii="Arial" w:hAnsi="Arial" w:cs="Arial"/>
          <w:sz w:val="22"/>
          <w:szCs w:val="22"/>
        </w:rPr>
        <w:t>jiných mobilních operátorů</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SMS zpráv příchozích – SMS ze zahraničí</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MMS zpráv příchozích – MMS</w:t>
      </w:r>
      <w:r w:rsidR="0047095F" w:rsidRPr="006532BE">
        <w:rPr>
          <w:rFonts w:ascii="Arial" w:hAnsi="Arial" w:cs="Arial"/>
          <w:sz w:val="22"/>
          <w:szCs w:val="22"/>
        </w:rPr>
        <w:t xml:space="preserve"> v </w:t>
      </w:r>
      <w:r w:rsidRPr="006532BE">
        <w:rPr>
          <w:rFonts w:ascii="Arial" w:hAnsi="Arial" w:cs="Arial"/>
          <w:sz w:val="22"/>
          <w:szCs w:val="22"/>
        </w:rPr>
        <w:t>rámci sítě</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MMS zpráv odchozích – MMS do sítí jiných mobilních operátorů</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 xml:space="preserve">Počet MMS zpráv odchozích – MMS do zahraničí </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Počet MMS zpráv příchozích – MMS ze sítí jiných mobilních operátorů</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 xml:space="preserve">Počet MMS zpráv příchozích – MMS ze zahraničí </w:t>
      </w:r>
    </w:p>
    <w:p w:rsidR="00242A0C" w:rsidRPr="006532BE" w:rsidRDefault="00242A0C" w:rsidP="00BE3916">
      <w:pPr>
        <w:pStyle w:val="Zkladntext"/>
        <w:numPr>
          <w:ilvl w:val="0"/>
          <w:numId w:val="72"/>
        </w:numPr>
        <w:tabs>
          <w:tab w:val="clear" w:pos="3060"/>
        </w:tabs>
        <w:spacing w:before="60" w:after="0"/>
        <w:ind w:left="1134" w:hanging="850"/>
        <w:jc w:val="both"/>
        <w:rPr>
          <w:rFonts w:ascii="Arial" w:hAnsi="Arial" w:cs="Arial"/>
          <w:sz w:val="22"/>
          <w:szCs w:val="22"/>
        </w:rPr>
      </w:pPr>
      <w:r w:rsidRPr="006532BE">
        <w:rPr>
          <w:rFonts w:ascii="Arial" w:hAnsi="Arial" w:cs="Arial"/>
          <w:sz w:val="22"/>
          <w:szCs w:val="22"/>
        </w:rPr>
        <w:t>Objem mobilního datového přenosu</w:t>
      </w:r>
      <w:r w:rsidR="0047095F" w:rsidRPr="006532BE">
        <w:rPr>
          <w:rFonts w:ascii="Arial" w:hAnsi="Arial" w:cs="Arial"/>
          <w:sz w:val="22"/>
          <w:szCs w:val="22"/>
        </w:rPr>
        <w:t xml:space="preserve"> v </w:t>
      </w:r>
      <w:r w:rsidRPr="006532BE">
        <w:rPr>
          <w:rFonts w:ascii="Arial" w:hAnsi="Arial" w:cs="Arial"/>
          <w:sz w:val="22"/>
          <w:szCs w:val="22"/>
        </w:rPr>
        <w:t>MB</w:t>
      </w:r>
    </w:p>
    <w:p w:rsidR="00242A0C" w:rsidRPr="006532BE" w:rsidRDefault="00242A0C" w:rsidP="00B83E5C">
      <w:pPr>
        <w:pStyle w:val="Nadpis3"/>
        <w:keepLines/>
        <w:numPr>
          <w:ilvl w:val="1"/>
          <w:numId w:val="8"/>
        </w:numPr>
        <w:tabs>
          <w:tab w:val="clear" w:pos="360"/>
        </w:tabs>
        <w:spacing w:before="120" w:after="0"/>
        <w:ind w:left="567" w:hanging="567"/>
        <w:jc w:val="both"/>
        <w:rPr>
          <w:i/>
          <w:sz w:val="22"/>
          <w:szCs w:val="22"/>
        </w:rPr>
      </w:pPr>
      <w:bookmarkStart w:id="5" w:name="_Toc290043104"/>
      <w:r w:rsidRPr="006532BE">
        <w:rPr>
          <w:i/>
          <w:sz w:val="22"/>
          <w:szCs w:val="22"/>
        </w:rPr>
        <w:t>Statistiky hovorů</w:t>
      </w:r>
      <w:bookmarkEnd w:id="5"/>
    </w:p>
    <w:p w:rsidR="00242A0C" w:rsidRPr="006532BE" w:rsidRDefault="00242A0C" w:rsidP="00B83E5C">
      <w:pPr>
        <w:pStyle w:val="Zkladntext"/>
        <w:spacing w:before="60" w:after="0"/>
        <w:jc w:val="both"/>
        <w:rPr>
          <w:rFonts w:ascii="Arial" w:hAnsi="Arial" w:cs="Arial"/>
          <w:sz w:val="22"/>
          <w:szCs w:val="22"/>
        </w:rPr>
      </w:pPr>
      <w:r w:rsidRPr="006532BE">
        <w:rPr>
          <w:rFonts w:ascii="Arial" w:hAnsi="Arial" w:cs="Arial"/>
          <w:sz w:val="22"/>
          <w:szCs w:val="22"/>
        </w:rPr>
        <w:t>Statistiky hovorů uvede stanovený podnik pro následující typy hovorů (řádky)</w:t>
      </w:r>
    </w:p>
    <w:p w:rsidR="00242A0C" w:rsidRPr="006532BE" w:rsidRDefault="00242A0C" w:rsidP="00BE3916">
      <w:pPr>
        <w:pStyle w:val="Zkladntext"/>
        <w:numPr>
          <w:ilvl w:val="0"/>
          <w:numId w:val="9"/>
        </w:numPr>
        <w:tabs>
          <w:tab w:val="clear" w:pos="2700"/>
          <w:tab w:val="num" w:pos="1134"/>
          <w:tab w:val="num" w:pos="1728"/>
        </w:tabs>
        <w:spacing w:before="60" w:after="0"/>
        <w:ind w:left="1560" w:hanging="1276"/>
        <w:jc w:val="both"/>
        <w:rPr>
          <w:rFonts w:ascii="Arial" w:hAnsi="Arial" w:cs="Arial"/>
          <w:sz w:val="22"/>
          <w:szCs w:val="22"/>
        </w:rPr>
      </w:pPr>
      <w:r w:rsidRPr="006532BE">
        <w:rPr>
          <w:rFonts w:ascii="Arial" w:hAnsi="Arial" w:cs="Arial"/>
          <w:sz w:val="22"/>
          <w:szCs w:val="22"/>
        </w:rPr>
        <w:t xml:space="preserve">Počet minut odchozích hovorů – hovory ve vlastní síti (on-net) </w:t>
      </w:r>
    </w:p>
    <w:p w:rsidR="00242A0C" w:rsidRPr="006532BE" w:rsidRDefault="00242A0C" w:rsidP="00BE3916">
      <w:pPr>
        <w:pStyle w:val="Zkladntext"/>
        <w:numPr>
          <w:ilvl w:val="0"/>
          <w:numId w:val="9"/>
        </w:numPr>
        <w:tabs>
          <w:tab w:val="clear" w:pos="2700"/>
          <w:tab w:val="num" w:pos="1134"/>
        </w:tabs>
        <w:spacing w:before="60" w:after="0"/>
        <w:ind w:left="2268" w:hanging="1984"/>
        <w:jc w:val="both"/>
        <w:rPr>
          <w:rFonts w:ascii="Arial" w:hAnsi="Arial" w:cs="Arial"/>
          <w:sz w:val="22"/>
          <w:szCs w:val="22"/>
        </w:rPr>
      </w:pPr>
      <w:r w:rsidRPr="006532BE">
        <w:rPr>
          <w:rFonts w:ascii="Arial" w:hAnsi="Arial" w:cs="Arial"/>
          <w:sz w:val="22"/>
          <w:szCs w:val="22"/>
        </w:rPr>
        <w:t xml:space="preserve">Počet minut odchozích hovorů – hovory do sítí jiných mobilních operátorů </w:t>
      </w:r>
    </w:p>
    <w:p w:rsidR="00242A0C" w:rsidRPr="006532BE" w:rsidRDefault="00242A0C" w:rsidP="00BE3916">
      <w:pPr>
        <w:pStyle w:val="Zkladntext"/>
        <w:numPr>
          <w:ilvl w:val="0"/>
          <w:numId w:val="9"/>
        </w:numPr>
        <w:tabs>
          <w:tab w:val="clear" w:pos="2700"/>
          <w:tab w:val="num" w:pos="1134"/>
        </w:tabs>
        <w:spacing w:before="60" w:after="0"/>
        <w:ind w:left="2268" w:hanging="1984"/>
        <w:jc w:val="both"/>
        <w:rPr>
          <w:rFonts w:ascii="Arial" w:hAnsi="Arial" w:cs="Arial"/>
          <w:sz w:val="22"/>
          <w:szCs w:val="22"/>
        </w:rPr>
      </w:pPr>
      <w:r w:rsidRPr="006532BE">
        <w:rPr>
          <w:rFonts w:ascii="Arial" w:hAnsi="Arial" w:cs="Arial"/>
          <w:sz w:val="22"/>
          <w:szCs w:val="22"/>
        </w:rPr>
        <w:lastRenderedPageBreak/>
        <w:t>Počet minut odchozích hovorů – hovory do pevné sítě</w:t>
      </w:r>
    </w:p>
    <w:p w:rsidR="00242A0C" w:rsidRPr="006532BE" w:rsidRDefault="00242A0C" w:rsidP="00BE3916">
      <w:pPr>
        <w:pStyle w:val="Zkladntext"/>
        <w:numPr>
          <w:ilvl w:val="0"/>
          <w:numId w:val="9"/>
        </w:numPr>
        <w:tabs>
          <w:tab w:val="clear" w:pos="2700"/>
          <w:tab w:val="num" w:pos="1134"/>
        </w:tabs>
        <w:spacing w:before="60" w:after="0"/>
        <w:ind w:left="2268" w:hanging="1984"/>
        <w:jc w:val="both"/>
        <w:rPr>
          <w:rFonts w:ascii="Arial" w:hAnsi="Arial" w:cs="Arial"/>
          <w:sz w:val="22"/>
          <w:szCs w:val="22"/>
        </w:rPr>
      </w:pPr>
      <w:r w:rsidRPr="006532BE">
        <w:rPr>
          <w:rFonts w:ascii="Arial" w:hAnsi="Arial" w:cs="Arial"/>
          <w:sz w:val="22"/>
          <w:szCs w:val="22"/>
        </w:rPr>
        <w:t>Počet minut odchozích hovorů – hovory do zahraničí</w:t>
      </w:r>
    </w:p>
    <w:p w:rsidR="00242A0C" w:rsidRPr="006532BE" w:rsidRDefault="00242A0C" w:rsidP="00BE3916">
      <w:pPr>
        <w:pStyle w:val="Zkladntext"/>
        <w:numPr>
          <w:ilvl w:val="0"/>
          <w:numId w:val="9"/>
        </w:numPr>
        <w:tabs>
          <w:tab w:val="clear" w:pos="2700"/>
          <w:tab w:val="num" w:pos="1134"/>
        </w:tabs>
        <w:spacing w:before="60" w:after="0"/>
        <w:ind w:left="2268" w:hanging="1984"/>
        <w:jc w:val="both"/>
        <w:rPr>
          <w:rFonts w:ascii="Arial" w:hAnsi="Arial" w:cs="Arial"/>
          <w:sz w:val="22"/>
          <w:szCs w:val="22"/>
        </w:rPr>
      </w:pPr>
      <w:r w:rsidRPr="006532BE">
        <w:rPr>
          <w:rFonts w:ascii="Arial" w:hAnsi="Arial" w:cs="Arial"/>
          <w:sz w:val="22"/>
          <w:szCs w:val="22"/>
        </w:rPr>
        <w:t>Počet minut odchozích hovorů – hovory</w:t>
      </w:r>
      <w:r w:rsidR="0047095F" w:rsidRPr="006532BE">
        <w:rPr>
          <w:rFonts w:ascii="Arial" w:hAnsi="Arial" w:cs="Arial"/>
          <w:sz w:val="22"/>
          <w:szCs w:val="22"/>
        </w:rPr>
        <w:t xml:space="preserve"> na </w:t>
      </w:r>
      <w:r w:rsidRPr="006532BE">
        <w:rPr>
          <w:rFonts w:ascii="Arial" w:hAnsi="Arial" w:cs="Arial"/>
          <w:sz w:val="22"/>
          <w:szCs w:val="22"/>
        </w:rPr>
        <w:t>tísňová čísla</w:t>
      </w:r>
    </w:p>
    <w:p w:rsidR="00242A0C" w:rsidRPr="006532BE" w:rsidRDefault="00242A0C" w:rsidP="00BE3916">
      <w:pPr>
        <w:pStyle w:val="Zkladntext"/>
        <w:numPr>
          <w:ilvl w:val="0"/>
          <w:numId w:val="9"/>
        </w:numPr>
        <w:tabs>
          <w:tab w:val="clear" w:pos="2700"/>
          <w:tab w:val="num" w:pos="1134"/>
        </w:tabs>
        <w:spacing w:before="60" w:after="0"/>
        <w:ind w:left="2268" w:hanging="1984"/>
        <w:jc w:val="both"/>
        <w:rPr>
          <w:rFonts w:ascii="Arial" w:hAnsi="Arial" w:cs="Arial"/>
          <w:sz w:val="22"/>
          <w:szCs w:val="22"/>
        </w:rPr>
      </w:pPr>
      <w:r w:rsidRPr="006532BE">
        <w:rPr>
          <w:rFonts w:ascii="Arial" w:hAnsi="Arial" w:cs="Arial"/>
          <w:sz w:val="22"/>
          <w:szCs w:val="22"/>
        </w:rPr>
        <w:t xml:space="preserve">Počet minut odchozích hovorů – hovory do hlasové schránky </w:t>
      </w:r>
    </w:p>
    <w:p w:rsidR="00242A0C" w:rsidRPr="006532BE" w:rsidRDefault="00242A0C" w:rsidP="00BE3916">
      <w:pPr>
        <w:pStyle w:val="Zkladntext"/>
        <w:numPr>
          <w:ilvl w:val="0"/>
          <w:numId w:val="9"/>
        </w:numPr>
        <w:tabs>
          <w:tab w:val="clear" w:pos="2700"/>
          <w:tab w:val="num" w:pos="1134"/>
        </w:tabs>
        <w:spacing w:before="60" w:after="0"/>
        <w:ind w:left="2268" w:hanging="1984"/>
        <w:jc w:val="both"/>
        <w:rPr>
          <w:rFonts w:ascii="Arial" w:hAnsi="Arial" w:cs="Arial"/>
          <w:sz w:val="22"/>
          <w:szCs w:val="22"/>
        </w:rPr>
      </w:pPr>
      <w:r w:rsidRPr="006532BE">
        <w:rPr>
          <w:rFonts w:ascii="Arial" w:hAnsi="Arial" w:cs="Arial"/>
          <w:sz w:val="22"/>
          <w:szCs w:val="22"/>
        </w:rPr>
        <w:t>Počet minut odchozích hovorů – hovory</w:t>
      </w:r>
      <w:r w:rsidR="0047095F" w:rsidRPr="006532BE">
        <w:rPr>
          <w:rFonts w:ascii="Arial" w:hAnsi="Arial" w:cs="Arial"/>
          <w:sz w:val="22"/>
          <w:szCs w:val="22"/>
        </w:rPr>
        <w:t xml:space="preserve"> na </w:t>
      </w:r>
      <w:r w:rsidRPr="006532BE">
        <w:rPr>
          <w:rFonts w:ascii="Arial" w:hAnsi="Arial" w:cs="Arial"/>
          <w:sz w:val="22"/>
          <w:szCs w:val="22"/>
        </w:rPr>
        <w:t>bezplatná čísla</w:t>
      </w:r>
    </w:p>
    <w:p w:rsidR="00242A0C" w:rsidRPr="006532BE" w:rsidRDefault="00242A0C" w:rsidP="00BE3916">
      <w:pPr>
        <w:pStyle w:val="Zkladntext"/>
        <w:numPr>
          <w:ilvl w:val="0"/>
          <w:numId w:val="9"/>
        </w:numPr>
        <w:tabs>
          <w:tab w:val="clear" w:pos="2700"/>
          <w:tab w:val="num" w:pos="1134"/>
        </w:tabs>
        <w:spacing w:before="60" w:after="0"/>
        <w:ind w:left="2268" w:hanging="1984"/>
        <w:jc w:val="both"/>
        <w:rPr>
          <w:rFonts w:ascii="Arial" w:hAnsi="Arial" w:cs="Arial"/>
          <w:sz w:val="22"/>
          <w:szCs w:val="22"/>
        </w:rPr>
      </w:pPr>
      <w:r w:rsidRPr="006532BE">
        <w:rPr>
          <w:rFonts w:ascii="Arial" w:hAnsi="Arial" w:cs="Arial"/>
          <w:sz w:val="22"/>
          <w:szCs w:val="22"/>
        </w:rPr>
        <w:t>Počet minut odchozích hovorů – hovory</w:t>
      </w:r>
      <w:r w:rsidR="0047095F" w:rsidRPr="006532BE">
        <w:rPr>
          <w:rFonts w:ascii="Arial" w:hAnsi="Arial" w:cs="Arial"/>
          <w:sz w:val="22"/>
          <w:szCs w:val="22"/>
        </w:rPr>
        <w:t xml:space="preserve"> na </w:t>
      </w:r>
      <w:r w:rsidRPr="006532BE">
        <w:rPr>
          <w:rFonts w:ascii="Arial" w:hAnsi="Arial" w:cs="Arial"/>
          <w:sz w:val="22"/>
          <w:szCs w:val="22"/>
        </w:rPr>
        <w:t>čísla Premium</w:t>
      </w:r>
    </w:p>
    <w:p w:rsidR="00242A0C" w:rsidRPr="006532BE" w:rsidRDefault="00242A0C" w:rsidP="00BE3916">
      <w:pPr>
        <w:pStyle w:val="Zkladntext"/>
        <w:numPr>
          <w:ilvl w:val="0"/>
          <w:numId w:val="9"/>
        </w:numPr>
        <w:tabs>
          <w:tab w:val="clear" w:pos="2700"/>
          <w:tab w:val="num" w:pos="1134"/>
        </w:tabs>
        <w:spacing w:before="60" w:after="0"/>
        <w:ind w:left="2268" w:hanging="1984"/>
        <w:jc w:val="both"/>
        <w:rPr>
          <w:rFonts w:ascii="Arial" w:hAnsi="Arial" w:cs="Arial"/>
          <w:sz w:val="22"/>
          <w:szCs w:val="22"/>
        </w:rPr>
      </w:pPr>
      <w:r w:rsidRPr="006532BE">
        <w:rPr>
          <w:rFonts w:ascii="Arial" w:hAnsi="Arial" w:cs="Arial"/>
          <w:sz w:val="22"/>
          <w:szCs w:val="22"/>
        </w:rPr>
        <w:t>Počet minut odchozích hovorů – příchozí roaming (</w:t>
      </w:r>
      <w:proofErr w:type="spellStart"/>
      <w:r w:rsidRPr="006532BE">
        <w:rPr>
          <w:rFonts w:ascii="Arial" w:hAnsi="Arial" w:cs="Arial"/>
          <w:sz w:val="22"/>
          <w:szCs w:val="22"/>
        </w:rPr>
        <w:t>inbound</w:t>
      </w:r>
      <w:proofErr w:type="spellEnd"/>
      <w:r w:rsidRPr="006532BE">
        <w:rPr>
          <w:rFonts w:ascii="Arial" w:hAnsi="Arial" w:cs="Arial"/>
          <w:sz w:val="22"/>
          <w:szCs w:val="22"/>
        </w:rPr>
        <w:t xml:space="preserve"> roaming)</w:t>
      </w:r>
    </w:p>
    <w:p w:rsidR="00242A0C" w:rsidRPr="006532BE" w:rsidRDefault="00242A0C" w:rsidP="00BE3916">
      <w:pPr>
        <w:pStyle w:val="Zkladntext"/>
        <w:numPr>
          <w:ilvl w:val="0"/>
          <w:numId w:val="9"/>
        </w:numPr>
        <w:tabs>
          <w:tab w:val="clear" w:pos="2700"/>
          <w:tab w:val="num" w:pos="1134"/>
        </w:tabs>
        <w:spacing w:before="60" w:after="0"/>
        <w:ind w:left="2268" w:hanging="1984"/>
        <w:jc w:val="both"/>
        <w:rPr>
          <w:rFonts w:ascii="Arial" w:hAnsi="Arial" w:cs="Arial"/>
          <w:sz w:val="22"/>
          <w:szCs w:val="22"/>
        </w:rPr>
      </w:pPr>
      <w:r w:rsidRPr="006532BE">
        <w:rPr>
          <w:rFonts w:ascii="Arial" w:hAnsi="Arial" w:cs="Arial"/>
          <w:sz w:val="22"/>
          <w:szCs w:val="22"/>
        </w:rPr>
        <w:t>Počet minut příchozích hovorů – hovory</w:t>
      </w:r>
      <w:r w:rsidR="0047095F" w:rsidRPr="006532BE">
        <w:rPr>
          <w:rFonts w:ascii="Arial" w:hAnsi="Arial" w:cs="Arial"/>
          <w:sz w:val="22"/>
          <w:szCs w:val="22"/>
        </w:rPr>
        <w:t xml:space="preserve"> od </w:t>
      </w:r>
      <w:r w:rsidRPr="006532BE">
        <w:rPr>
          <w:rFonts w:ascii="Arial" w:hAnsi="Arial" w:cs="Arial"/>
          <w:sz w:val="22"/>
          <w:szCs w:val="22"/>
        </w:rPr>
        <w:t>jiných mobilních operátorů</w:t>
      </w:r>
    </w:p>
    <w:p w:rsidR="00242A0C" w:rsidRPr="006532BE" w:rsidRDefault="00242A0C" w:rsidP="00BE3916">
      <w:pPr>
        <w:pStyle w:val="Zkladntext"/>
        <w:numPr>
          <w:ilvl w:val="0"/>
          <w:numId w:val="9"/>
        </w:numPr>
        <w:tabs>
          <w:tab w:val="clear" w:pos="2700"/>
          <w:tab w:val="num" w:pos="1134"/>
        </w:tabs>
        <w:spacing w:before="60" w:after="0"/>
        <w:ind w:left="2268" w:hanging="1984"/>
        <w:jc w:val="both"/>
        <w:rPr>
          <w:rFonts w:ascii="Arial" w:hAnsi="Arial" w:cs="Arial"/>
          <w:sz w:val="22"/>
          <w:szCs w:val="22"/>
        </w:rPr>
      </w:pPr>
      <w:r w:rsidRPr="006532BE">
        <w:rPr>
          <w:rFonts w:ascii="Arial" w:hAnsi="Arial" w:cs="Arial"/>
          <w:sz w:val="22"/>
          <w:szCs w:val="22"/>
        </w:rPr>
        <w:t>Počet minut příchozích hovorů – hovory z pevné sítě</w:t>
      </w:r>
    </w:p>
    <w:p w:rsidR="00242A0C" w:rsidRPr="006532BE" w:rsidRDefault="00242A0C" w:rsidP="00BE3916">
      <w:pPr>
        <w:pStyle w:val="Zkladntext"/>
        <w:numPr>
          <w:ilvl w:val="0"/>
          <w:numId w:val="9"/>
        </w:numPr>
        <w:tabs>
          <w:tab w:val="clear" w:pos="2700"/>
          <w:tab w:val="num" w:pos="1134"/>
        </w:tabs>
        <w:spacing w:before="60" w:after="0"/>
        <w:ind w:left="2268" w:hanging="1984"/>
        <w:jc w:val="both"/>
        <w:rPr>
          <w:rFonts w:ascii="Arial" w:hAnsi="Arial" w:cs="Arial"/>
          <w:sz w:val="22"/>
          <w:szCs w:val="22"/>
        </w:rPr>
      </w:pPr>
      <w:r w:rsidRPr="006532BE">
        <w:rPr>
          <w:rFonts w:ascii="Arial" w:hAnsi="Arial" w:cs="Arial"/>
          <w:sz w:val="22"/>
          <w:szCs w:val="22"/>
        </w:rPr>
        <w:t>Počet minut příchozích hovorů – hovory ze zahraničí</w:t>
      </w:r>
    </w:p>
    <w:p w:rsidR="00242A0C" w:rsidRPr="006532BE" w:rsidRDefault="00242A0C" w:rsidP="00BE3916">
      <w:pPr>
        <w:pStyle w:val="Zkladntext"/>
        <w:numPr>
          <w:ilvl w:val="0"/>
          <w:numId w:val="9"/>
        </w:numPr>
        <w:tabs>
          <w:tab w:val="clear" w:pos="2700"/>
          <w:tab w:val="num" w:pos="1134"/>
        </w:tabs>
        <w:spacing w:before="60" w:after="0"/>
        <w:ind w:left="2268" w:hanging="1984"/>
        <w:jc w:val="both"/>
        <w:rPr>
          <w:rFonts w:ascii="Arial" w:hAnsi="Arial" w:cs="Arial"/>
          <w:sz w:val="22"/>
          <w:szCs w:val="22"/>
        </w:rPr>
      </w:pPr>
      <w:r w:rsidRPr="006532BE">
        <w:rPr>
          <w:rFonts w:ascii="Arial" w:hAnsi="Arial" w:cs="Arial"/>
          <w:sz w:val="22"/>
          <w:szCs w:val="22"/>
        </w:rPr>
        <w:t>Počet minut příchozích hovorů – příchozí roaming (</w:t>
      </w:r>
      <w:proofErr w:type="spellStart"/>
      <w:r w:rsidRPr="006532BE">
        <w:rPr>
          <w:rFonts w:ascii="Arial" w:hAnsi="Arial" w:cs="Arial"/>
          <w:sz w:val="22"/>
          <w:szCs w:val="22"/>
        </w:rPr>
        <w:t>inbound</w:t>
      </w:r>
      <w:proofErr w:type="spellEnd"/>
      <w:r w:rsidRPr="006532BE">
        <w:rPr>
          <w:rFonts w:ascii="Arial" w:hAnsi="Arial" w:cs="Arial"/>
          <w:sz w:val="22"/>
          <w:szCs w:val="22"/>
        </w:rPr>
        <w:t xml:space="preserve"> roaming)</w:t>
      </w:r>
    </w:p>
    <w:p w:rsidR="00242A0C" w:rsidRPr="006532BE" w:rsidRDefault="00242A0C" w:rsidP="005A3EE8">
      <w:pPr>
        <w:pStyle w:val="Zkladntext"/>
        <w:spacing w:before="60" w:after="0"/>
        <w:jc w:val="both"/>
        <w:rPr>
          <w:rFonts w:ascii="Arial" w:hAnsi="Arial" w:cs="Arial"/>
          <w:sz w:val="22"/>
          <w:szCs w:val="22"/>
        </w:rPr>
      </w:pPr>
      <w:r w:rsidRPr="006532BE">
        <w:rPr>
          <w:rFonts w:ascii="Arial" w:hAnsi="Arial" w:cs="Arial"/>
          <w:sz w:val="22"/>
          <w:szCs w:val="22"/>
        </w:rPr>
        <w:t>Pro výše uvedené typy hovorů vyplní stanovený podnik následující parametry (sloupce): Průměrná doba hovorů</w:t>
      </w:r>
      <w:r w:rsidR="0047095F" w:rsidRPr="006532BE">
        <w:rPr>
          <w:rFonts w:ascii="Arial" w:hAnsi="Arial" w:cs="Arial"/>
          <w:sz w:val="22"/>
          <w:szCs w:val="22"/>
        </w:rPr>
        <w:t xml:space="preserve"> v </w:t>
      </w:r>
      <w:r w:rsidRPr="006532BE">
        <w:rPr>
          <w:rFonts w:ascii="Arial" w:hAnsi="Arial" w:cs="Arial"/>
          <w:sz w:val="22"/>
          <w:szCs w:val="22"/>
        </w:rPr>
        <w:t>minutách, Průměrná čekací doba do navázání hovoru</w:t>
      </w:r>
      <w:r w:rsidR="0047095F" w:rsidRPr="006532BE">
        <w:rPr>
          <w:rFonts w:ascii="Arial" w:hAnsi="Arial" w:cs="Arial"/>
          <w:sz w:val="22"/>
          <w:szCs w:val="22"/>
        </w:rPr>
        <w:t xml:space="preserve"> v </w:t>
      </w:r>
      <w:r w:rsidRPr="006532BE">
        <w:rPr>
          <w:rFonts w:ascii="Arial" w:hAnsi="Arial" w:cs="Arial"/>
          <w:sz w:val="22"/>
          <w:szCs w:val="22"/>
        </w:rPr>
        <w:t>minutách, % přijatých (úspěšných) hovorů</w:t>
      </w:r>
      <w:r w:rsidR="0047095F" w:rsidRPr="006532BE">
        <w:rPr>
          <w:rFonts w:ascii="Arial" w:hAnsi="Arial" w:cs="Arial"/>
          <w:sz w:val="22"/>
          <w:szCs w:val="22"/>
        </w:rPr>
        <w:t xml:space="preserve"> na </w:t>
      </w:r>
      <w:r w:rsidRPr="006532BE">
        <w:rPr>
          <w:rFonts w:ascii="Arial" w:hAnsi="Arial" w:cs="Arial"/>
          <w:sz w:val="22"/>
          <w:szCs w:val="22"/>
        </w:rPr>
        <w:t xml:space="preserve">celkovém počtu hovorů. </w:t>
      </w:r>
    </w:p>
    <w:p w:rsidR="00242A0C" w:rsidRPr="006532BE" w:rsidRDefault="00242A0C" w:rsidP="00B83E5C">
      <w:pPr>
        <w:pStyle w:val="Zkladntext"/>
        <w:numPr>
          <w:ilvl w:val="1"/>
          <w:numId w:val="8"/>
        </w:numPr>
        <w:tabs>
          <w:tab w:val="clear" w:pos="360"/>
        </w:tabs>
        <w:spacing w:before="120" w:after="60"/>
        <w:ind w:left="567" w:hanging="567"/>
        <w:jc w:val="both"/>
        <w:rPr>
          <w:rFonts w:ascii="Arial" w:hAnsi="Arial" w:cs="Arial"/>
          <w:b/>
          <w:bCs/>
          <w:i/>
          <w:sz w:val="22"/>
          <w:szCs w:val="22"/>
        </w:rPr>
      </w:pPr>
      <w:r w:rsidRPr="006532BE">
        <w:rPr>
          <w:rFonts w:ascii="Arial" w:hAnsi="Arial" w:cs="Arial"/>
          <w:b/>
          <w:bCs/>
          <w:i/>
          <w:sz w:val="22"/>
          <w:szCs w:val="22"/>
        </w:rPr>
        <w:t xml:space="preserve">Hlavní provozní hodina (Busy </w:t>
      </w:r>
      <w:proofErr w:type="spellStart"/>
      <w:r w:rsidRPr="006532BE">
        <w:rPr>
          <w:rFonts w:ascii="Arial" w:hAnsi="Arial" w:cs="Arial"/>
          <w:b/>
          <w:bCs/>
          <w:i/>
          <w:sz w:val="22"/>
          <w:szCs w:val="22"/>
        </w:rPr>
        <w:t>hour</w:t>
      </w:r>
      <w:proofErr w:type="spellEnd"/>
      <w:r w:rsidRPr="006532BE">
        <w:rPr>
          <w:rFonts w:ascii="Arial" w:hAnsi="Arial" w:cs="Arial"/>
          <w:b/>
          <w:bCs/>
          <w:i/>
          <w:sz w:val="22"/>
          <w:szCs w:val="22"/>
        </w:rPr>
        <w:t>)</w:t>
      </w:r>
    </w:p>
    <w:p w:rsidR="00242A0C" w:rsidRPr="006532BE" w:rsidRDefault="00242A0C" w:rsidP="00BE3916">
      <w:pPr>
        <w:pStyle w:val="Zkladntext"/>
        <w:numPr>
          <w:ilvl w:val="0"/>
          <w:numId w:val="73"/>
        </w:numPr>
        <w:spacing w:after="0"/>
        <w:ind w:left="1134" w:hanging="850"/>
        <w:jc w:val="both"/>
        <w:rPr>
          <w:rFonts w:ascii="Arial" w:hAnsi="Arial" w:cs="Arial"/>
          <w:sz w:val="22"/>
          <w:szCs w:val="22"/>
        </w:rPr>
      </w:pPr>
      <w:r w:rsidRPr="006532BE">
        <w:rPr>
          <w:rFonts w:ascii="Arial" w:hAnsi="Arial" w:cs="Arial"/>
          <w:sz w:val="22"/>
          <w:szCs w:val="22"/>
        </w:rPr>
        <w:t>% ročního provozu</w:t>
      </w:r>
      <w:r w:rsidR="0047095F" w:rsidRPr="006532BE">
        <w:rPr>
          <w:rFonts w:ascii="Arial" w:hAnsi="Arial" w:cs="Arial"/>
          <w:sz w:val="22"/>
          <w:szCs w:val="22"/>
        </w:rPr>
        <w:t xml:space="preserve"> v </w:t>
      </w:r>
      <w:proofErr w:type="spellStart"/>
      <w:r w:rsidRPr="006532BE">
        <w:rPr>
          <w:rFonts w:ascii="Arial" w:hAnsi="Arial" w:cs="Arial"/>
          <w:sz w:val="22"/>
          <w:szCs w:val="22"/>
        </w:rPr>
        <w:t>Erlang</w:t>
      </w:r>
      <w:proofErr w:type="spellEnd"/>
      <w:r w:rsidR="0047095F" w:rsidRPr="006532BE">
        <w:rPr>
          <w:rFonts w:ascii="Arial" w:hAnsi="Arial" w:cs="Arial"/>
          <w:sz w:val="22"/>
          <w:szCs w:val="22"/>
        </w:rPr>
        <w:t xml:space="preserve"> v </w:t>
      </w:r>
      <w:r w:rsidRPr="006532BE">
        <w:rPr>
          <w:rFonts w:ascii="Arial" w:hAnsi="Arial" w:cs="Arial"/>
          <w:sz w:val="22"/>
          <w:szCs w:val="22"/>
        </w:rPr>
        <w:t xml:space="preserve">Busy </w:t>
      </w:r>
      <w:proofErr w:type="spellStart"/>
      <w:r w:rsidRPr="006532BE">
        <w:rPr>
          <w:rFonts w:ascii="Arial" w:hAnsi="Arial" w:cs="Arial"/>
          <w:sz w:val="22"/>
          <w:szCs w:val="22"/>
        </w:rPr>
        <w:t>Hour</w:t>
      </w:r>
      <w:proofErr w:type="spellEnd"/>
    </w:p>
    <w:p w:rsidR="00242A0C" w:rsidRPr="006532BE" w:rsidRDefault="00242A0C" w:rsidP="00B83E5C">
      <w:pPr>
        <w:pStyle w:val="Zkladntext"/>
        <w:numPr>
          <w:ilvl w:val="1"/>
          <w:numId w:val="8"/>
        </w:numPr>
        <w:tabs>
          <w:tab w:val="clear" w:pos="360"/>
        </w:tabs>
        <w:spacing w:before="120" w:after="60"/>
        <w:ind w:left="567" w:hanging="567"/>
        <w:jc w:val="both"/>
        <w:rPr>
          <w:rFonts w:ascii="Arial" w:hAnsi="Arial" w:cs="Arial"/>
          <w:b/>
          <w:bCs/>
          <w:i/>
          <w:sz w:val="22"/>
          <w:szCs w:val="22"/>
        </w:rPr>
      </w:pPr>
      <w:r w:rsidRPr="006532BE">
        <w:rPr>
          <w:rFonts w:ascii="Arial" w:hAnsi="Arial" w:cs="Arial"/>
          <w:b/>
          <w:bCs/>
          <w:i/>
          <w:sz w:val="22"/>
          <w:szCs w:val="22"/>
        </w:rPr>
        <w:t>Základní technická kritéria</w:t>
      </w:r>
    </w:p>
    <w:p w:rsidR="00242A0C" w:rsidRPr="006532BE" w:rsidRDefault="00242A0C" w:rsidP="00BE3916">
      <w:pPr>
        <w:pStyle w:val="Zkladntext"/>
        <w:numPr>
          <w:ilvl w:val="0"/>
          <w:numId w:val="7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 xml:space="preserve">Procentní údaj reprezentující kvalitu služby (Grade </w:t>
      </w:r>
      <w:proofErr w:type="spellStart"/>
      <w:r w:rsidRPr="006532BE">
        <w:rPr>
          <w:rFonts w:ascii="Arial" w:hAnsi="Arial" w:cs="Arial"/>
          <w:sz w:val="22"/>
          <w:szCs w:val="22"/>
        </w:rPr>
        <w:t>of</w:t>
      </w:r>
      <w:proofErr w:type="spellEnd"/>
      <w:r w:rsidRPr="006532BE">
        <w:rPr>
          <w:rFonts w:ascii="Arial" w:hAnsi="Arial" w:cs="Arial"/>
          <w:sz w:val="22"/>
          <w:szCs w:val="22"/>
        </w:rPr>
        <w:t xml:space="preserve"> </w:t>
      </w:r>
      <w:proofErr w:type="spellStart"/>
      <w:r w:rsidRPr="006532BE">
        <w:rPr>
          <w:rFonts w:ascii="Arial" w:hAnsi="Arial" w:cs="Arial"/>
          <w:sz w:val="22"/>
          <w:szCs w:val="22"/>
        </w:rPr>
        <w:t>Service</w:t>
      </w:r>
      <w:proofErr w:type="spellEnd"/>
      <w:r w:rsidRPr="006532BE">
        <w:rPr>
          <w:rFonts w:ascii="Arial" w:hAnsi="Arial" w:cs="Arial"/>
          <w:sz w:val="22"/>
          <w:szCs w:val="22"/>
        </w:rPr>
        <w:t>) - pravděpodobnost blokování hovorů, Kvalita služby (</w:t>
      </w:r>
      <w:proofErr w:type="spellStart"/>
      <w:r w:rsidRPr="006532BE">
        <w:rPr>
          <w:rFonts w:ascii="Arial" w:hAnsi="Arial" w:cs="Arial"/>
          <w:sz w:val="22"/>
          <w:szCs w:val="22"/>
        </w:rPr>
        <w:t>Radio</w:t>
      </w:r>
      <w:proofErr w:type="spellEnd"/>
      <w:r w:rsidRPr="006532BE">
        <w:rPr>
          <w:rFonts w:ascii="Arial" w:hAnsi="Arial" w:cs="Arial"/>
          <w:sz w:val="22"/>
          <w:szCs w:val="22"/>
        </w:rPr>
        <w:t xml:space="preserve"> </w:t>
      </w:r>
      <w:proofErr w:type="spellStart"/>
      <w:r w:rsidRPr="006532BE">
        <w:rPr>
          <w:rFonts w:ascii="Arial" w:hAnsi="Arial" w:cs="Arial"/>
          <w:sz w:val="22"/>
          <w:szCs w:val="22"/>
        </w:rPr>
        <w:t>path</w:t>
      </w:r>
      <w:proofErr w:type="spellEnd"/>
      <w:r w:rsidRPr="006532BE">
        <w:rPr>
          <w:rFonts w:ascii="Arial" w:hAnsi="Arial" w:cs="Arial"/>
          <w:sz w:val="22"/>
          <w:szCs w:val="22"/>
        </w:rPr>
        <w:t xml:space="preserve"> Grade </w:t>
      </w:r>
      <w:proofErr w:type="spellStart"/>
      <w:r w:rsidRPr="006532BE">
        <w:rPr>
          <w:rFonts w:ascii="Arial" w:hAnsi="Arial" w:cs="Arial"/>
          <w:sz w:val="22"/>
          <w:szCs w:val="22"/>
        </w:rPr>
        <w:t>of</w:t>
      </w:r>
      <w:proofErr w:type="spellEnd"/>
      <w:r w:rsidRPr="006532BE">
        <w:rPr>
          <w:rFonts w:ascii="Arial" w:hAnsi="Arial" w:cs="Arial"/>
          <w:sz w:val="22"/>
          <w:szCs w:val="22"/>
        </w:rPr>
        <w:t xml:space="preserve"> </w:t>
      </w:r>
      <w:proofErr w:type="spellStart"/>
      <w:r w:rsidRPr="006532BE">
        <w:rPr>
          <w:rFonts w:ascii="Arial" w:hAnsi="Arial" w:cs="Arial"/>
          <w:sz w:val="22"/>
          <w:szCs w:val="22"/>
        </w:rPr>
        <w:t>Service</w:t>
      </w:r>
      <w:proofErr w:type="spellEnd"/>
      <w:r w:rsidRPr="006532BE">
        <w:rPr>
          <w:rFonts w:ascii="Arial" w:hAnsi="Arial" w:cs="Arial"/>
          <w:sz w:val="22"/>
          <w:szCs w:val="22"/>
        </w:rPr>
        <w:t xml:space="preserve"> (</w:t>
      </w:r>
      <w:proofErr w:type="spellStart"/>
      <w:r w:rsidRPr="006532BE">
        <w:rPr>
          <w:rFonts w:ascii="Arial" w:hAnsi="Arial" w:cs="Arial"/>
          <w:sz w:val="22"/>
          <w:szCs w:val="22"/>
        </w:rPr>
        <w:t>GoS</w:t>
      </w:r>
      <w:proofErr w:type="spellEnd"/>
      <w:r w:rsidRPr="006532BE">
        <w:rPr>
          <w:rFonts w:ascii="Arial" w:hAnsi="Arial" w:cs="Arial"/>
          <w:sz w:val="22"/>
          <w:szCs w:val="22"/>
        </w:rPr>
        <w:t xml:space="preserve">): </w:t>
      </w:r>
      <w:proofErr w:type="spellStart"/>
      <w:r w:rsidRPr="006532BE">
        <w:rPr>
          <w:rFonts w:ascii="Arial" w:hAnsi="Arial" w:cs="Arial"/>
          <w:sz w:val="22"/>
          <w:szCs w:val="22"/>
        </w:rPr>
        <w:t>Blocking</w:t>
      </w:r>
      <w:proofErr w:type="spellEnd"/>
      <w:r w:rsidRPr="006532BE">
        <w:rPr>
          <w:rFonts w:ascii="Arial" w:hAnsi="Arial" w:cs="Arial"/>
          <w:sz w:val="22"/>
          <w:szCs w:val="22"/>
        </w:rPr>
        <w:t xml:space="preserve"> Probability)</w:t>
      </w:r>
    </w:p>
    <w:p w:rsidR="00242A0C" w:rsidRPr="006532BE" w:rsidRDefault="00242A0C" w:rsidP="00BE3916">
      <w:pPr>
        <w:pStyle w:val="Zkladntext"/>
        <w:numPr>
          <w:ilvl w:val="0"/>
          <w:numId w:val="7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Procentní údaj kapacitního plánování (rezerva pro rozvoj)</w:t>
      </w:r>
      <w:r w:rsidR="0047095F" w:rsidRPr="006532BE">
        <w:rPr>
          <w:rFonts w:ascii="Arial" w:hAnsi="Arial" w:cs="Arial"/>
          <w:sz w:val="22"/>
          <w:szCs w:val="22"/>
        </w:rPr>
        <w:t xml:space="preserve"> v </w:t>
      </w:r>
      <w:r w:rsidRPr="006532BE">
        <w:rPr>
          <w:rFonts w:ascii="Arial" w:hAnsi="Arial" w:cs="Arial"/>
          <w:sz w:val="22"/>
          <w:szCs w:val="22"/>
        </w:rPr>
        <w:t>síti</w:t>
      </w:r>
      <w:r w:rsidR="0047095F" w:rsidRPr="006532BE">
        <w:rPr>
          <w:rFonts w:ascii="Arial" w:hAnsi="Arial" w:cs="Arial"/>
          <w:sz w:val="22"/>
          <w:szCs w:val="22"/>
        </w:rPr>
        <w:t xml:space="preserve"> v </w:t>
      </w:r>
      <w:r w:rsidRPr="006532BE">
        <w:rPr>
          <w:rFonts w:ascii="Arial" w:hAnsi="Arial" w:cs="Arial"/>
          <w:sz w:val="22"/>
          <w:szCs w:val="22"/>
        </w:rPr>
        <w:t xml:space="preserve">části </w:t>
      </w:r>
      <w:r w:rsidR="00A542F8" w:rsidRPr="006532BE">
        <w:rPr>
          <w:rFonts w:ascii="Arial" w:hAnsi="Arial" w:cs="Arial"/>
          <w:sz w:val="22"/>
          <w:szCs w:val="22"/>
        </w:rPr>
        <w:t xml:space="preserve"> </w:t>
      </w:r>
      <w:r w:rsidRPr="006532BE">
        <w:rPr>
          <w:rFonts w:ascii="Arial" w:hAnsi="Arial" w:cs="Arial"/>
          <w:sz w:val="22"/>
          <w:szCs w:val="22"/>
        </w:rPr>
        <w:t>základnových stanic (</w:t>
      </w:r>
      <w:proofErr w:type="spellStart"/>
      <w:r w:rsidRPr="006532BE">
        <w:rPr>
          <w:rFonts w:ascii="Arial" w:hAnsi="Arial" w:cs="Arial"/>
          <w:sz w:val="22"/>
          <w:szCs w:val="22"/>
        </w:rPr>
        <w:t>Capacity</w:t>
      </w:r>
      <w:proofErr w:type="spellEnd"/>
      <w:r w:rsidRPr="006532BE">
        <w:rPr>
          <w:rFonts w:ascii="Arial" w:hAnsi="Arial" w:cs="Arial"/>
          <w:sz w:val="22"/>
          <w:szCs w:val="22"/>
        </w:rPr>
        <w:t xml:space="preserve"> </w:t>
      </w:r>
      <w:proofErr w:type="spellStart"/>
      <w:r w:rsidRPr="006532BE">
        <w:rPr>
          <w:rFonts w:ascii="Arial" w:hAnsi="Arial" w:cs="Arial"/>
          <w:sz w:val="22"/>
          <w:szCs w:val="22"/>
        </w:rPr>
        <w:t>planning</w:t>
      </w:r>
      <w:proofErr w:type="spellEnd"/>
      <w:r w:rsidRPr="006532BE">
        <w:rPr>
          <w:rFonts w:ascii="Arial" w:hAnsi="Arial" w:cs="Arial"/>
          <w:sz w:val="22"/>
          <w:szCs w:val="22"/>
        </w:rPr>
        <w:t xml:space="preserve"> max </w:t>
      </w:r>
      <w:proofErr w:type="spellStart"/>
      <w:r w:rsidRPr="006532BE">
        <w:rPr>
          <w:rFonts w:ascii="Arial" w:hAnsi="Arial" w:cs="Arial"/>
          <w:sz w:val="22"/>
          <w:szCs w:val="22"/>
        </w:rPr>
        <w:t>load</w:t>
      </w:r>
      <w:proofErr w:type="spellEnd"/>
      <w:r w:rsidRPr="006532BE">
        <w:rPr>
          <w:rFonts w:ascii="Arial" w:hAnsi="Arial" w:cs="Arial"/>
          <w:sz w:val="22"/>
          <w:szCs w:val="22"/>
        </w:rPr>
        <w:t xml:space="preserve"> </w:t>
      </w:r>
      <w:proofErr w:type="spellStart"/>
      <w:r w:rsidRPr="006532BE">
        <w:rPr>
          <w:rFonts w:ascii="Arial" w:hAnsi="Arial" w:cs="Arial"/>
          <w:sz w:val="22"/>
          <w:szCs w:val="22"/>
        </w:rPr>
        <w:t>factor</w:t>
      </w:r>
      <w:proofErr w:type="spellEnd"/>
      <w:r w:rsidRPr="006532BE">
        <w:rPr>
          <w:rFonts w:ascii="Arial" w:hAnsi="Arial" w:cs="Arial"/>
          <w:sz w:val="22"/>
          <w:szCs w:val="22"/>
        </w:rPr>
        <w:t xml:space="preserve"> – </w:t>
      </w:r>
      <w:proofErr w:type="spellStart"/>
      <w:r w:rsidRPr="006532BE">
        <w:rPr>
          <w:rFonts w:ascii="Arial" w:hAnsi="Arial" w:cs="Arial"/>
          <w:sz w:val="22"/>
          <w:szCs w:val="22"/>
        </w:rPr>
        <w:t>radio</w:t>
      </w:r>
      <w:proofErr w:type="spellEnd"/>
      <w:r w:rsidRPr="006532BE">
        <w:rPr>
          <w:rFonts w:ascii="Arial" w:hAnsi="Arial" w:cs="Arial"/>
          <w:sz w:val="22"/>
          <w:szCs w:val="22"/>
        </w:rPr>
        <w:t xml:space="preserve"> network)</w:t>
      </w:r>
    </w:p>
    <w:p w:rsidR="00242A0C" w:rsidRPr="006532BE" w:rsidRDefault="00242A0C" w:rsidP="00BE3916">
      <w:pPr>
        <w:pStyle w:val="Zkladntext"/>
        <w:numPr>
          <w:ilvl w:val="0"/>
          <w:numId w:val="7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Procentní údaj kapacitního plánování (rezerva pro rozvoj)</w:t>
      </w:r>
      <w:r w:rsidR="0047095F" w:rsidRPr="006532BE">
        <w:rPr>
          <w:rFonts w:ascii="Arial" w:hAnsi="Arial" w:cs="Arial"/>
          <w:sz w:val="22"/>
          <w:szCs w:val="22"/>
        </w:rPr>
        <w:t xml:space="preserve"> v </w:t>
      </w:r>
      <w:r w:rsidRPr="006532BE">
        <w:rPr>
          <w:rFonts w:ascii="Arial" w:hAnsi="Arial" w:cs="Arial"/>
          <w:sz w:val="22"/>
          <w:szCs w:val="22"/>
        </w:rPr>
        <w:t xml:space="preserve">síti ústředen (MGW – Media </w:t>
      </w:r>
      <w:proofErr w:type="spellStart"/>
      <w:r w:rsidRPr="006532BE">
        <w:rPr>
          <w:rFonts w:ascii="Arial" w:hAnsi="Arial" w:cs="Arial"/>
          <w:sz w:val="22"/>
          <w:szCs w:val="22"/>
        </w:rPr>
        <w:t>Gateway</w:t>
      </w:r>
      <w:proofErr w:type="spellEnd"/>
      <w:r w:rsidRPr="006532BE">
        <w:rPr>
          <w:rFonts w:ascii="Arial" w:hAnsi="Arial" w:cs="Arial"/>
          <w:sz w:val="22"/>
          <w:szCs w:val="22"/>
        </w:rPr>
        <w:t xml:space="preserve">, MSS – Mobile </w:t>
      </w:r>
      <w:proofErr w:type="spellStart"/>
      <w:r w:rsidRPr="006532BE">
        <w:rPr>
          <w:rFonts w:ascii="Arial" w:hAnsi="Arial" w:cs="Arial"/>
          <w:sz w:val="22"/>
          <w:szCs w:val="22"/>
        </w:rPr>
        <w:t>Switching</w:t>
      </w:r>
      <w:proofErr w:type="spellEnd"/>
      <w:r w:rsidRPr="006532BE">
        <w:rPr>
          <w:rFonts w:ascii="Arial" w:hAnsi="Arial" w:cs="Arial"/>
          <w:sz w:val="22"/>
          <w:szCs w:val="22"/>
        </w:rPr>
        <w:t xml:space="preserve"> Server, MSC – Mobile </w:t>
      </w:r>
      <w:proofErr w:type="spellStart"/>
      <w:r w:rsidRPr="006532BE">
        <w:rPr>
          <w:rFonts w:ascii="Arial" w:hAnsi="Arial" w:cs="Arial"/>
          <w:sz w:val="22"/>
          <w:szCs w:val="22"/>
        </w:rPr>
        <w:t>Switching</w:t>
      </w:r>
      <w:proofErr w:type="spellEnd"/>
      <w:r w:rsidRPr="006532BE">
        <w:rPr>
          <w:rFonts w:ascii="Arial" w:hAnsi="Arial" w:cs="Arial"/>
          <w:sz w:val="22"/>
          <w:szCs w:val="22"/>
        </w:rPr>
        <w:t xml:space="preserve"> Center) (</w:t>
      </w:r>
      <w:proofErr w:type="spellStart"/>
      <w:r w:rsidRPr="006532BE">
        <w:rPr>
          <w:rFonts w:ascii="Arial" w:hAnsi="Arial" w:cs="Arial"/>
          <w:sz w:val="22"/>
          <w:szCs w:val="22"/>
        </w:rPr>
        <w:t>Capacity</w:t>
      </w:r>
      <w:proofErr w:type="spellEnd"/>
      <w:r w:rsidRPr="006532BE">
        <w:rPr>
          <w:rFonts w:ascii="Arial" w:hAnsi="Arial" w:cs="Arial"/>
          <w:sz w:val="22"/>
          <w:szCs w:val="22"/>
        </w:rPr>
        <w:t xml:space="preserve"> </w:t>
      </w:r>
      <w:proofErr w:type="spellStart"/>
      <w:r w:rsidRPr="006532BE">
        <w:rPr>
          <w:rFonts w:ascii="Arial" w:hAnsi="Arial" w:cs="Arial"/>
          <w:sz w:val="22"/>
          <w:szCs w:val="22"/>
        </w:rPr>
        <w:t>planning</w:t>
      </w:r>
      <w:proofErr w:type="spellEnd"/>
      <w:r w:rsidRPr="006532BE">
        <w:rPr>
          <w:rFonts w:ascii="Arial" w:hAnsi="Arial" w:cs="Arial"/>
          <w:sz w:val="22"/>
          <w:szCs w:val="22"/>
        </w:rPr>
        <w:t xml:space="preserve"> max </w:t>
      </w:r>
      <w:proofErr w:type="spellStart"/>
      <w:r w:rsidRPr="006532BE">
        <w:rPr>
          <w:rFonts w:ascii="Arial" w:hAnsi="Arial" w:cs="Arial"/>
          <w:sz w:val="22"/>
          <w:szCs w:val="22"/>
        </w:rPr>
        <w:t>load</w:t>
      </w:r>
      <w:proofErr w:type="spellEnd"/>
      <w:r w:rsidRPr="006532BE">
        <w:rPr>
          <w:rFonts w:ascii="Arial" w:hAnsi="Arial" w:cs="Arial"/>
          <w:sz w:val="22"/>
          <w:szCs w:val="22"/>
        </w:rPr>
        <w:t xml:space="preserve"> </w:t>
      </w:r>
      <w:proofErr w:type="spellStart"/>
      <w:r w:rsidRPr="006532BE">
        <w:rPr>
          <w:rFonts w:ascii="Arial" w:hAnsi="Arial" w:cs="Arial"/>
          <w:sz w:val="22"/>
          <w:szCs w:val="22"/>
        </w:rPr>
        <w:t>factor</w:t>
      </w:r>
      <w:proofErr w:type="spellEnd"/>
      <w:r w:rsidRPr="006532BE">
        <w:rPr>
          <w:rFonts w:ascii="Arial" w:hAnsi="Arial" w:cs="Arial"/>
          <w:sz w:val="22"/>
          <w:szCs w:val="22"/>
        </w:rPr>
        <w:t xml:space="preserve"> – </w:t>
      </w:r>
      <w:proofErr w:type="spellStart"/>
      <w:r w:rsidRPr="006532BE">
        <w:rPr>
          <w:rFonts w:ascii="Arial" w:hAnsi="Arial" w:cs="Arial"/>
          <w:sz w:val="22"/>
          <w:szCs w:val="22"/>
        </w:rPr>
        <w:t>switching</w:t>
      </w:r>
      <w:proofErr w:type="spellEnd"/>
      <w:r w:rsidRPr="006532BE">
        <w:rPr>
          <w:rFonts w:ascii="Arial" w:hAnsi="Arial" w:cs="Arial"/>
          <w:sz w:val="22"/>
          <w:szCs w:val="22"/>
        </w:rPr>
        <w:t>)</w:t>
      </w:r>
    </w:p>
    <w:p w:rsidR="00242A0C" w:rsidRPr="006532BE" w:rsidRDefault="00242A0C" w:rsidP="00BE3916">
      <w:pPr>
        <w:pStyle w:val="Zkladntext"/>
        <w:numPr>
          <w:ilvl w:val="0"/>
          <w:numId w:val="7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Procentní údaj kapacitního plánování (rezerva pro rozvoj)</w:t>
      </w:r>
      <w:r w:rsidR="0047095F" w:rsidRPr="006532BE">
        <w:rPr>
          <w:rFonts w:ascii="Arial" w:hAnsi="Arial" w:cs="Arial"/>
          <w:sz w:val="22"/>
          <w:szCs w:val="22"/>
        </w:rPr>
        <w:t xml:space="preserve"> v </w:t>
      </w:r>
      <w:r w:rsidRPr="006532BE">
        <w:rPr>
          <w:rFonts w:ascii="Arial" w:hAnsi="Arial" w:cs="Arial"/>
          <w:sz w:val="22"/>
          <w:szCs w:val="22"/>
        </w:rPr>
        <w:t>síti</w:t>
      </w:r>
      <w:r w:rsidR="0047095F" w:rsidRPr="006532BE">
        <w:rPr>
          <w:rFonts w:ascii="Arial" w:hAnsi="Arial" w:cs="Arial"/>
          <w:sz w:val="22"/>
          <w:szCs w:val="22"/>
        </w:rPr>
        <w:t xml:space="preserve"> v </w:t>
      </w:r>
      <w:r w:rsidRPr="006532BE">
        <w:rPr>
          <w:rFonts w:ascii="Arial" w:hAnsi="Arial" w:cs="Arial"/>
          <w:sz w:val="22"/>
          <w:szCs w:val="22"/>
        </w:rPr>
        <w:t>části RAN (</w:t>
      </w:r>
      <w:proofErr w:type="spellStart"/>
      <w:r w:rsidRPr="006532BE">
        <w:rPr>
          <w:rFonts w:ascii="Arial" w:hAnsi="Arial" w:cs="Arial"/>
          <w:sz w:val="22"/>
          <w:szCs w:val="22"/>
        </w:rPr>
        <w:t>Radio</w:t>
      </w:r>
      <w:proofErr w:type="spellEnd"/>
      <w:r w:rsidRPr="006532BE">
        <w:rPr>
          <w:rFonts w:ascii="Arial" w:hAnsi="Arial" w:cs="Arial"/>
          <w:sz w:val="22"/>
          <w:szCs w:val="22"/>
        </w:rPr>
        <w:t xml:space="preserve"> Access Network) části přenosové sítě</w:t>
      </w:r>
      <w:r w:rsidR="0047095F" w:rsidRPr="006532BE">
        <w:rPr>
          <w:rFonts w:ascii="Arial" w:hAnsi="Arial" w:cs="Arial"/>
          <w:sz w:val="22"/>
          <w:szCs w:val="22"/>
        </w:rPr>
        <w:t xml:space="preserve"> po </w:t>
      </w:r>
      <w:r w:rsidRPr="006532BE">
        <w:rPr>
          <w:rFonts w:ascii="Arial" w:hAnsi="Arial" w:cs="Arial"/>
          <w:sz w:val="22"/>
          <w:szCs w:val="22"/>
        </w:rPr>
        <w:t>páteřní uzel (</w:t>
      </w:r>
      <w:proofErr w:type="spellStart"/>
      <w:r w:rsidRPr="006532BE">
        <w:rPr>
          <w:rFonts w:ascii="Arial" w:hAnsi="Arial" w:cs="Arial"/>
          <w:sz w:val="22"/>
          <w:szCs w:val="22"/>
        </w:rPr>
        <w:t>Core</w:t>
      </w:r>
      <w:proofErr w:type="spellEnd"/>
      <w:r w:rsidRPr="006532BE">
        <w:rPr>
          <w:rFonts w:ascii="Arial" w:hAnsi="Arial" w:cs="Arial"/>
          <w:sz w:val="22"/>
          <w:szCs w:val="22"/>
        </w:rPr>
        <w:t xml:space="preserve"> Node) (</w:t>
      </w:r>
      <w:proofErr w:type="spellStart"/>
      <w:r w:rsidRPr="006532BE">
        <w:rPr>
          <w:rFonts w:ascii="Arial" w:hAnsi="Arial" w:cs="Arial"/>
          <w:sz w:val="22"/>
          <w:szCs w:val="22"/>
        </w:rPr>
        <w:t>Capacity</w:t>
      </w:r>
      <w:proofErr w:type="spellEnd"/>
      <w:r w:rsidRPr="006532BE">
        <w:rPr>
          <w:rFonts w:ascii="Arial" w:hAnsi="Arial" w:cs="Arial"/>
          <w:sz w:val="22"/>
          <w:szCs w:val="22"/>
        </w:rPr>
        <w:t xml:space="preserve"> </w:t>
      </w:r>
      <w:proofErr w:type="spellStart"/>
      <w:r w:rsidRPr="006532BE">
        <w:rPr>
          <w:rFonts w:ascii="Arial" w:hAnsi="Arial" w:cs="Arial"/>
          <w:sz w:val="22"/>
          <w:szCs w:val="22"/>
        </w:rPr>
        <w:t>planning</w:t>
      </w:r>
      <w:proofErr w:type="spellEnd"/>
      <w:r w:rsidRPr="006532BE">
        <w:rPr>
          <w:rFonts w:ascii="Arial" w:hAnsi="Arial" w:cs="Arial"/>
          <w:sz w:val="22"/>
          <w:szCs w:val="22"/>
        </w:rPr>
        <w:t xml:space="preserve"> max </w:t>
      </w:r>
      <w:proofErr w:type="spellStart"/>
      <w:r w:rsidRPr="006532BE">
        <w:rPr>
          <w:rFonts w:ascii="Arial" w:hAnsi="Arial" w:cs="Arial"/>
          <w:sz w:val="22"/>
          <w:szCs w:val="22"/>
        </w:rPr>
        <w:t>load</w:t>
      </w:r>
      <w:proofErr w:type="spellEnd"/>
      <w:r w:rsidRPr="006532BE">
        <w:rPr>
          <w:rFonts w:ascii="Arial" w:hAnsi="Arial" w:cs="Arial"/>
          <w:sz w:val="22"/>
          <w:szCs w:val="22"/>
        </w:rPr>
        <w:t xml:space="preserve"> </w:t>
      </w:r>
      <w:proofErr w:type="spellStart"/>
      <w:r w:rsidRPr="006532BE">
        <w:rPr>
          <w:rFonts w:ascii="Arial" w:hAnsi="Arial" w:cs="Arial"/>
          <w:sz w:val="22"/>
          <w:szCs w:val="22"/>
        </w:rPr>
        <w:t>factor</w:t>
      </w:r>
      <w:proofErr w:type="spellEnd"/>
      <w:r w:rsidRPr="006532BE">
        <w:rPr>
          <w:rFonts w:ascii="Arial" w:hAnsi="Arial" w:cs="Arial"/>
          <w:sz w:val="22"/>
          <w:szCs w:val="22"/>
        </w:rPr>
        <w:t xml:space="preserve"> – </w:t>
      </w:r>
      <w:proofErr w:type="spellStart"/>
      <w:r w:rsidRPr="006532BE">
        <w:rPr>
          <w:rFonts w:ascii="Arial" w:hAnsi="Arial" w:cs="Arial"/>
          <w:sz w:val="22"/>
          <w:szCs w:val="22"/>
        </w:rPr>
        <w:t>transmission</w:t>
      </w:r>
      <w:proofErr w:type="spellEnd"/>
      <w:r w:rsidRPr="006532BE">
        <w:rPr>
          <w:rFonts w:ascii="Arial" w:hAnsi="Arial" w:cs="Arial"/>
          <w:sz w:val="22"/>
          <w:szCs w:val="22"/>
        </w:rPr>
        <w:t xml:space="preserve"> </w:t>
      </w:r>
      <w:proofErr w:type="spellStart"/>
      <w:r w:rsidRPr="006532BE">
        <w:rPr>
          <w:rFonts w:ascii="Arial" w:hAnsi="Arial" w:cs="Arial"/>
          <w:sz w:val="22"/>
          <w:szCs w:val="22"/>
        </w:rPr>
        <w:t>access</w:t>
      </w:r>
      <w:proofErr w:type="spellEnd"/>
      <w:r w:rsidRPr="006532BE">
        <w:rPr>
          <w:rFonts w:ascii="Arial" w:hAnsi="Arial" w:cs="Arial"/>
          <w:sz w:val="22"/>
          <w:szCs w:val="22"/>
        </w:rPr>
        <w:t>)</w:t>
      </w:r>
    </w:p>
    <w:p w:rsidR="00242A0C" w:rsidRPr="006532BE" w:rsidRDefault="00242A0C" w:rsidP="00BE3916">
      <w:pPr>
        <w:pStyle w:val="Zkladntext"/>
        <w:numPr>
          <w:ilvl w:val="0"/>
          <w:numId w:val="7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Procentní údaj kapacitního plánování (rezerva pro rozvoj)</w:t>
      </w:r>
      <w:r w:rsidR="0047095F" w:rsidRPr="006532BE">
        <w:rPr>
          <w:rFonts w:ascii="Arial" w:hAnsi="Arial" w:cs="Arial"/>
          <w:sz w:val="22"/>
          <w:szCs w:val="22"/>
        </w:rPr>
        <w:t xml:space="preserve"> v </w:t>
      </w:r>
      <w:r w:rsidRPr="006532BE">
        <w:rPr>
          <w:rFonts w:ascii="Arial" w:hAnsi="Arial" w:cs="Arial"/>
          <w:sz w:val="22"/>
          <w:szCs w:val="22"/>
        </w:rPr>
        <w:t>síti</w:t>
      </w:r>
      <w:r w:rsidR="0047095F" w:rsidRPr="006532BE">
        <w:rPr>
          <w:rFonts w:ascii="Arial" w:hAnsi="Arial" w:cs="Arial"/>
          <w:sz w:val="22"/>
          <w:szCs w:val="22"/>
        </w:rPr>
        <w:t xml:space="preserve"> v </w:t>
      </w:r>
      <w:r w:rsidRPr="006532BE">
        <w:rPr>
          <w:rFonts w:ascii="Arial" w:hAnsi="Arial" w:cs="Arial"/>
          <w:sz w:val="22"/>
          <w:szCs w:val="22"/>
        </w:rPr>
        <w:t>části páteřní přenosové sítě (</w:t>
      </w:r>
      <w:proofErr w:type="spellStart"/>
      <w:r w:rsidRPr="006532BE">
        <w:rPr>
          <w:rFonts w:ascii="Arial" w:hAnsi="Arial" w:cs="Arial"/>
          <w:sz w:val="22"/>
          <w:szCs w:val="22"/>
        </w:rPr>
        <w:t>Capacity</w:t>
      </w:r>
      <w:proofErr w:type="spellEnd"/>
      <w:r w:rsidRPr="006532BE">
        <w:rPr>
          <w:rFonts w:ascii="Arial" w:hAnsi="Arial" w:cs="Arial"/>
          <w:sz w:val="22"/>
          <w:szCs w:val="22"/>
        </w:rPr>
        <w:t xml:space="preserve"> </w:t>
      </w:r>
      <w:proofErr w:type="spellStart"/>
      <w:r w:rsidRPr="006532BE">
        <w:rPr>
          <w:rFonts w:ascii="Arial" w:hAnsi="Arial" w:cs="Arial"/>
          <w:sz w:val="22"/>
          <w:szCs w:val="22"/>
        </w:rPr>
        <w:t>planning</w:t>
      </w:r>
      <w:proofErr w:type="spellEnd"/>
      <w:r w:rsidRPr="006532BE">
        <w:rPr>
          <w:rFonts w:ascii="Arial" w:hAnsi="Arial" w:cs="Arial"/>
          <w:sz w:val="22"/>
          <w:szCs w:val="22"/>
        </w:rPr>
        <w:t xml:space="preserve"> max </w:t>
      </w:r>
      <w:proofErr w:type="spellStart"/>
      <w:r w:rsidRPr="006532BE">
        <w:rPr>
          <w:rFonts w:ascii="Arial" w:hAnsi="Arial" w:cs="Arial"/>
          <w:sz w:val="22"/>
          <w:szCs w:val="22"/>
        </w:rPr>
        <w:t>load</w:t>
      </w:r>
      <w:proofErr w:type="spellEnd"/>
      <w:r w:rsidRPr="006532BE">
        <w:rPr>
          <w:rFonts w:ascii="Arial" w:hAnsi="Arial" w:cs="Arial"/>
          <w:sz w:val="22"/>
          <w:szCs w:val="22"/>
        </w:rPr>
        <w:t xml:space="preserve"> </w:t>
      </w:r>
      <w:proofErr w:type="spellStart"/>
      <w:r w:rsidRPr="006532BE">
        <w:rPr>
          <w:rFonts w:ascii="Arial" w:hAnsi="Arial" w:cs="Arial"/>
          <w:sz w:val="22"/>
          <w:szCs w:val="22"/>
        </w:rPr>
        <w:t>factor</w:t>
      </w:r>
      <w:proofErr w:type="spellEnd"/>
      <w:r w:rsidRPr="006532BE">
        <w:rPr>
          <w:rFonts w:ascii="Arial" w:hAnsi="Arial" w:cs="Arial"/>
          <w:sz w:val="22"/>
          <w:szCs w:val="22"/>
        </w:rPr>
        <w:t xml:space="preserve"> – </w:t>
      </w:r>
      <w:proofErr w:type="spellStart"/>
      <w:r w:rsidRPr="006532BE">
        <w:rPr>
          <w:rFonts w:ascii="Arial" w:hAnsi="Arial" w:cs="Arial"/>
          <w:sz w:val="22"/>
          <w:szCs w:val="22"/>
        </w:rPr>
        <w:t>transmission</w:t>
      </w:r>
      <w:proofErr w:type="spellEnd"/>
      <w:r w:rsidRPr="006532BE">
        <w:rPr>
          <w:rFonts w:ascii="Arial" w:hAnsi="Arial" w:cs="Arial"/>
          <w:sz w:val="22"/>
          <w:szCs w:val="22"/>
        </w:rPr>
        <w:t xml:space="preserve"> </w:t>
      </w:r>
      <w:proofErr w:type="spellStart"/>
      <w:r w:rsidRPr="006532BE">
        <w:rPr>
          <w:rFonts w:ascii="Arial" w:hAnsi="Arial" w:cs="Arial"/>
          <w:sz w:val="22"/>
          <w:szCs w:val="22"/>
        </w:rPr>
        <w:t>core</w:t>
      </w:r>
      <w:proofErr w:type="spellEnd"/>
      <w:r w:rsidRPr="006532BE">
        <w:rPr>
          <w:rFonts w:ascii="Arial" w:hAnsi="Arial" w:cs="Arial"/>
          <w:sz w:val="22"/>
          <w:szCs w:val="22"/>
        </w:rPr>
        <w:t>)</w:t>
      </w:r>
    </w:p>
    <w:p w:rsidR="00242A0C" w:rsidRPr="006532BE" w:rsidRDefault="00242A0C" w:rsidP="00BE3916">
      <w:pPr>
        <w:pStyle w:val="Zkladntext"/>
        <w:numPr>
          <w:ilvl w:val="0"/>
          <w:numId w:val="7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Procentní údaj kapacitního plánování (rezerva pro rozvoj)</w:t>
      </w:r>
      <w:r w:rsidR="0047095F" w:rsidRPr="006532BE">
        <w:rPr>
          <w:rFonts w:ascii="Arial" w:hAnsi="Arial" w:cs="Arial"/>
          <w:sz w:val="22"/>
          <w:szCs w:val="22"/>
        </w:rPr>
        <w:t xml:space="preserve"> v </w:t>
      </w:r>
      <w:r w:rsidRPr="006532BE">
        <w:rPr>
          <w:rFonts w:ascii="Arial" w:hAnsi="Arial" w:cs="Arial"/>
          <w:sz w:val="22"/>
          <w:szCs w:val="22"/>
        </w:rPr>
        <w:t>síti</w:t>
      </w:r>
      <w:r w:rsidR="0047095F" w:rsidRPr="006532BE">
        <w:rPr>
          <w:rFonts w:ascii="Arial" w:hAnsi="Arial" w:cs="Arial"/>
          <w:sz w:val="22"/>
          <w:szCs w:val="22"/>
        </w:rPr>
        <w:t xml:space="preserve"> v </w:t>
      </w:r>
      <w:r w:rsidRPr="006532BE">
        <w:rPr>
          <w:rFonts w:ascii="Arial" w:hAnsi="Arial" w:cs="Arial"/>
          <w:sz w:val="22"/>
          <w:szCs w:val="22"/>
        </w:rPr>
        <w:t xml:space="preserve">části páteřní IP (Internet </w:t>
      </w:r>
      <w:proofErr w:type="spellStart"/>
      <w:r w:rsidRPr="006532BE">
        <w:rPr>
          <w:rFonts w:ascii="Arial" w:hAnsi="Arial" w:cs="Arial"/>
          <w:sz w:val="22"/>
          <w:szCs w:val="22"/>
        </w:rPr>
        <w:t>Protocol</w:t>
      </w:r>
      <w:proofErr w:type="spellEnd"/>
      <w:r w:rsidRPr="006532BE">
        <w:rPr>
          <w:rFonts w:ascii="Arial" w:hAnsi="Arial" w:cs="Arial"/>
          <w:sz w:val="22"/>
          <w:szCs w:val="22"/>
        </w:rPr>
        <w:t>) sítě (</w:t>
      </w:r>
      <w:proofErr w:type="spellStart"/>
      <w:r w:rsidRPr="006532BE">
        <w:rPr>
          <w:rFonts w:ascii="Arial" w:hAnsi="Arial" w:cs="Arial"/>
          <w:sz w:val="22"/>
          <w:szCs w:val="22"/>
        </w:rPr>
        <w:t>Capacity</w:t>
      </w:r>
      <w:proofErr w:type="spellEnd"/>
      <w:r w:rsidRPr="006532BE">
        <w:rPr>
          <w:rFonts w:ascii="Arial" w:hAnsi="Arial" w:cs="Arial"/>
          <w:sz w:val="22"/>
          <w:szCs w:val="22"/>
        </w:rPr>
        <w:t xml:space="preserve"> </w:t>
      </w:r>
      <w:proofErr w:type="spellStart"/>
      <w:r w:rsidRPr="006532BE">
        <w:rPr>
          <w:rFonts w:ascii="Arial" w:hAnsi="Arial" w:cs="Arial"/>
          <w:sz w:val="22"/>
          <w:szCs w:val="22"/>
        </w:rPr>
        <w:t>planning</w:t>
      </w:r>
      <w:proofErr w:type="spellEnd"/>
      <w:r w:rsidRPr="006532BE">
        <w:rPr>
          <w:rFonts w:ascii="Arial" w:hAnsi="Arial" w:cs="Arial"/>
          <w:sz w:val="22"/>
          <w:szCs w:val="22"/>
        </w:rPr>
        <w:t xml:space="preserve"> max </w:t>
      </w:r>
      <w:proofErr w:type="spellStart"/>
      <w:r w:rsidRPr="006532BE">
        <w:rPr>
          <w:rFonts w:ascii="Arial" w:hAnsi="Arial" w:cs="Arial"/>
          <w:sz w:val="22"/>
          <w:szCs w:val="22"/>
        </w:rPr>
        <w:t>load</w:t>
      </w:r>
      <w:proofErr w:type="spellEnd"/>
      <w:r w:rsidRPr="006532BE">
        <w:rPr>
          <w:rFonts w:ascii="Arial" w:hAnsi="Arial" w:cs="Arial"/>
          <w:sz w:val="22"/>
          <w:szCs w:val="22"/>
        </w:rPr>
        <w:t xml:space="preserve"> </w:t>
      </w:r>
      <w:proofErr w:type="spellStart"/>
      <w:r w:rsidRPr="006532BE">
        <w:rPr>
          <w:rFonts w:ascii="Arial" w:hAnsi="Arial" w:cs="Arial"/>
          <w:sz w:val="22"/>
          <w:szCs w:val="22"/>
        </w:rPr>
        <w:t>factor</w:t>
      </w:r>
      <w:proofErr w:type="spellEnd"/>
      <w:r w:rsidRPr="006532BE">
        <w:rPr>
          <w:rFonts w:ascii="Arial" w:hAnsi="Arial" w:cs="Arial"/>
          <w:sz w:val="22"/>
          <w:szCs w:val="22"/>
        </w:rPr>
        <w:t xml:space="preserve"> – IP </w:t>
      </w:r>
      <w:proofErr w:type="spellStart"/>
      <w:r w:rsidRPr="006532BE">
        <w:rPr>
          <w:rFonts w:ascii="Arial" w:hAnsi="Arial" w:cs="Arial"/>
          <w:sz w:val="22"/>
          <w:szCs w:val="22"/>
        </w:rPr>
        <w:t>backbone</w:t>
      </w:r>
      <w:proofErr w:type="spellEnd"/>
      <w:r w:rsidRPr="006532BE">
        <w:rPr>
          <w:rFonts w:ascii="Arial" w:hAnsi="Arial" w:cs="Arial"/>
          <w:sz w:val="22"/>
          <w:szCs w:val="22"/>
        </w:rPr>
        <w:t>)</w:t>
      </w:r>
    </w:p>
    <w:p w:rsidR="00242A0C" w:rsidRPr="006532BE" w:rsidRDefault="00242A0C" w:rsidP="00B83E5C">
      <w:pPr>
        <w:pStyle w:val="Zkladntext"/>
        <w:tabs>
          <w:tab w:val="num" w:pos="720"/>
        </w:tabs>
        <w:spacing w:before="120" w:after="0"/>
        <w:jc w:val="both"/>
        <w:rPr>
          <w:rFonts w:ascii="Arial" w:hAnsi="Arial" w:cs="Arial"/>
          <w:sz w:val="22"/>
          <w:szCs w:val="22"/>
        </w:rPr>
      </w:pPr>
      <w:r w:rsidRPr="006532BE">
        <w:rPr>
          <w:rFonts w:ascii="Arial" w:hAnsi="Arial" w:cs="Arial"/>
          <w:sz w:val="22"/>
          <w:szCs w:val="22"/>
        </w:rPr>
        <w:t>Hodnotu výše uvedených parametrů vyplní stanovený podnik</w:t>
      </w:r>
      <w:r w:rsidR="0047095F" w:rsidRPr="006532BE">
        <w:rPr>
          <w:rFonts w:ascii="Arial" w:hAnsi="Arial" w:cs="Arial"/>
          <w:sz w:val="22"/>
          <w:szCs w:val="22"/>
        </w:rPr>
        <w:t xml:space="preserve"> po </w:t>
      </w:r>
      <w:r w:rsidRPr="006532BE">
        <w:rPr>
          <w:rFonts w:ascii="Arial" w:hAnsi="Arial" w:cs="Arial"/>
          <w:sz w:val="22"/>
          <w:szCs w:val="22"/>
        </w:rPr>
        <w:t xml:space="preserve">jednotlivých sítích (sloupce): 2G, 3G, LTE (Long Term </w:t>
      </w:r>
      <w:proofErr w:type="spellStart"/>
      <w:r w:rsidRPr="006532BE">
        <w:rPr>
          <w:rFonts w:ascii="Arial" w:hAnsi="Arial" w:cs="Arial"/>
          <w:sz w:val="22"/>
          <w:szCs w:val="22"/>
        </w:rPr>
        <w:t>Evolution</w:t>
      </w:r>
      <w:proofErr w:type="spellEnd"/>
      <w:r w:rsidRPr="006532BE">
        <w:rPr>
          <w:rFonts w:ascii="Arial" w:hAnsi="Arial" w:cs="Arial"/>
          <w:sz w:val="22"/>
          <w:szCs w:val="22"/>
        </w:rPr>
        <w:t>).</w:t>
      </w:r>
    </w:p>
    <w:p w:rsidR="00242A0C" w:rsidRPr="006532BE" w:rsidRDefault="00242A0C" w:rsidP="00B83E5C">
      <w:pPr>
        <w:pStyle w:val="Zkladntext"/>
        <w:numPr>
          <w:ilvl w:val="1"/>
          <w:numId w:val="8"/>
        </w:numPr>
        <w:tabs>
          <w:tab w:val="clear" w:pos="360"/>
        </w:tabs>
        <w:spacing w:before="120" w:after="60"/>
        <w:ind w:left="567" w:hanging="567"/>
        <w:jc w:val="both"/>
        <w:rPr>
          <w:rFonts w:ascii="Arial" w:hAnsi="Arial" w:cs="Arial"/>
          <w:b/>
          <w:bCs/>
          <w:i/>
          <w:sz w:val="22"/>
          <w:szCs w:val="22"/>
        </w:rPr>
      </w:pPr>
      <w:r w:rsidRPr="006532BE">
        <w:rPr>
          <w:rFonts w:ascii="Arial" w:hAnsi="Arial" w:cs="Arial"/>
          <w:b/>
          <w:bCs/>
          <w:i/>
          <w:sz w:val="22"/>
          <w:szCs w:val="22"/>
        </w:rPr>
        <w:t>Spektrum</w:t>
      </w:r>
    </w:p>
    <w:p w:rsidR="00242A0C" w:rsidRPr="006532BE" w:rsidRDefault="00242A0C" w:rsidP="00BE3916">
      <w:pPr>
        <w:pStyle w:val="Zkladntext"/>
        <w:numPr>
          <w:ilvl w:val="0"/>
          <w:numId w:val="75"/>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Spektrum</w:t>
      </w:r>
      <w:r w:rsidR="0047095F" w:rsidRPr="006532BE">
        <w:rPr>
          <w:rFonts w:ascii="Arial" w:hAnsi="Arial" w:cs="Arial"/>
          <w:sz w:val="22"/>
          <w:szCs w:val="22"/>
        </w:rPr>
        <w:t xml:space="preserve"> v </w:t>
      </w:r>
      <w:r w:rsidRPr="006532BE">
        <w:rPr>
          <w:rFonts w:ascii="Arial" w:hAnsi="Arial" w:cs="Arial"/>
          <w:sz w:val="22"/>
          <w:szCs w:val="22"/>
        </w:rPr>
        <w:t>kHz</w:t>
      </w:r>
    </w:p>
    <w:p w:rsidR="00242A0C" w:rsidRPr="006532BE" w:rsidRDefault="00242A0C" w:rsidP="00BE3916">
      <w:pPr>
        <w:pStyle w:val="Zkladntext"/>
        <w:numPr>
          <w:ilvl w:val="0"/>
          <w:numId w:val="75"/>
        </w:numPr>
        <w:tabs>
          <w:tab w:val="clear" w:pos="2700"/>
          <w:tab w:val="left" w:pos="1134"/>
        </w:tabs>
        <w:spacing w:before="60" w:after="0"/>
        <w:ind w:left="1134" w:hanging="850"/>
        <w:jc w:val="both"/>
        <w:rPr>
          <w:rFonts w:ascii="Arial" w:hAnsi="Arial" w:cs="Arial"/>
          <w:sz w:val="22"/>
          <w:szCs w:val="22"/>
        </w:rPr>
      </w:pPr>
      <w:r w:rsidRPr="006532BE">
        <w:rPr>
          <w:rFonts w:ascii="Arial" w:hAnsi="Arial" w:cs="Arial"/>
          <w:sz w:val="22"/>
          <w:szCs w:val="22"/>
        </w:rPr>
        <w:t>Opakovací faktor</w:t>
      </w:r>
      <w:r w:rsidR="0047095F" w:rsidRPr="006532BE">
        <w:rPr>
          <w:rFonts w:ascii="Arial" w:hAnsi="Arial" w:cs="Arial"/>
          <w:sz w:val="22"/>
          <w:szCs w:val="22"/>
        </w:rPr>
        <w:t xml:space="preserve"> na </w:t>
      </w:r>
      <w:r w:rsidRPr="006532BE">
        <w:rPr>
          <w:rFonts w:ascii="Arial" w:hAnsi="Arial" w:cs="Arial"/>
          <w:sz w:val="22"/>
          <w:szCs w:val="22"/>
        </w:rPr>
        <w:t xml:space="preserve">buňku (Re-use </w:t>
      </w:r>
      <w:proofErr w:type="spellStart"/>
      <w:r w:rsidRPr="006532BE">
        <w:rPr>
          <w:rFonts w:ascii="Arial" w:hAnsi="Arial" w:cs="Arial"/>
          <w:sz w:val="22"/>
          <w:szCs w:val="22"/>
        </w:rPr>
        <w:t>factor</w:t>
      </w:r>
      <w:proofErr w:type="spellEnd"/>
      <w:r w:rsidRPr="006532BE">
        <w:rPr>
          <w:rFonts w:ascii="Arial" w:hAnsi="Arial" w:cs="Arial"/>
          <w:sz w:val="22"/>
          <w:szCs w:val="22"/>
        </w:rPr>
        <w:t xml:space="preserve"> per cell (</w:t>
      </w:r>
      <w:proofErr w:type="spellStart"/>
      <w:r w:rsidRPr="006532BE">
        <w:rPr>
          <w:rFonts w:ascii="Arial" w:hAnsi="Arial" w:cs="Arial"/>
          <w:sz w:val="22"/>
          <w:szCs w:val="22"/>
        </w:rPr>
        <w:t>frequency</w:t>
      </w:r>
      <w:proofErr w:type="spellEnd"/>
      <w:r w:rsidRPr="006532BE">
        <w:rPr>
          <w:rFonts w:ascii="Arial" w:hAnsi="Arial" w:cs="Arial"/>
          <w:sz w:val="22"/>
          <w:szCs w:val="22"/>
        </w:rPr>
        <w:t xml:space="preserve"> </w:t>
      </w:r>
      <w:proofErr w:type="spellStart"/>
      <w:r w:rsidRPr="006532BE">
        <w:rPr>
          <w:rFonts w:ascii="Arial" w:hAnsi="Arial" w:cs="Arial"/>
          <w:sz w:val="22"/>
          <w:szCs w:val="22"/>
        </w:rPr>
        <w:t>cannot</w:t>
      </w:r>
      <w:proofErr w:type="spellEnd"/>
      <w:r w:rsidRPr="006532BE">
        <w:rPr>
          <w:rFonts w:ascii="Arial" w:hAnsi="Arial" w:cs="Arial"/>
          <w:sz w:val="22"/>
          <w:szCs w:val="22"/>
        </w:rPr>
        <w:t xml:space="preserve"> </w:t>
      </w:r>
      <w:proofErr w:type="spellStart"/>
      <w:r w:rsidRPr="006532BE">
        <w:rPr>
          <w:rFonts w:ascii="Arial" w:hAnsi="Arial" w:cs="Arial"/>
          <w:sz w:val="22"/>
          <w:szCs w:val="22"/>
        </w:rPr>
        <w:t>be</w:t>
      </w:r>
      <w:proofErr w:type="spellEnd"/>
      <w:r w:rsidRPr="006532BE">
        <w:rPr>
          <w:rFonts w:ascii="Arial" w:hAnsi="Arial" w:cs="Arial"/>
          <w:sz w:val="22"/>
          <w:szCs w:val="22"/>
        </w:rPr>
        <w:t xml:space="preserve"> </w:t>
      </w:r>
      <w:proofErr w:type="spellStart"/>
      <w:r w:rsidRPr="006532BE">
        <w:rPr>
          <w:rFonts w:ascii="Arial" w:hAnsi="Arial" w:cs="Arial"/>
          <w:sz w:val="22"/>
          <w:szCs w:val="22"/>
        </w:rPr>
        <w:t>used</w:t>
      </w:r>
      <w:proofErr w:type="spellEnd"/>
      <w:r w:rsidRPr="006532BE">
        <w:rPr>
          <w:rFonts w:ascii="Arial" w:hAnsi="Arial" w:cs="Arial"/>
          <w:sz w:val="22"/>
          <w:szCs w:val="22"/>
        </w:rPr>
        <w:t xml:space="preserve"> in </w:t>
      </w:r>
      <w:proofErr w:type="spellStart"/>
      <w:r w:rsidRPr="006532BE">
        <w:rPr>
          <w:rFonts w:ascii="Arial" w:hAnsi="Arial" w:cs="Arial"/>
          <w:sz w:val="22"/>
          <w:szCs w:val="22"/>
        </w:rPr>
        <w:t>adjacent</w:t>
      </w:r>
      <w:proofErr w:type="spellEnd"/>
      <w:r w:rsidRPr="006532BE">
        <w:rPr>
          <w:rFonts w:ascii="Arial" w:hAnsi="Arial" w:cs="Arial"/>
          <w:sz w:val="22"/>
          <w:szCs w:val="22"/>
        </w:rPr>
        <w:t xml:space="preserve"> </w:t>
      </w:r>
      <w:proofErr w:type="spellStart"/>
      <w:r w:rsidRPr="006532BE">
        <w:rPr>
          <w:rFonts w:ascii="Arial" w:hAnsi="Arial" w:cs="Arial"/>
          <w:sz w:val="22"/>
          <w:szCs w:val="22"/>
        </w:rPr>
        <w:t>cells</w:t>
      </w:r>
      <w:proofErr w:type="spellEnd"/>
      <w:r w:rsidRPr="006532BE">
        <w:rPr>
          <w:rFonts w:ascii="Arial" w:hAnsi="Arial" w:cs="Arial"/>
          <w:sz w:val="22"/>
          <w:szCs w:val="22"/>
        </w:rPr>
        <w:t>))</w:t>
      </w:r>
    </w:p>
    <w:p w:rsidR="00242A0C" w:rsidRPr="006532BE" w:rsidRDefault="00242A0C" w:rsidP="00BE3916">
      <w:pPr>
        <w:pStyle w:val="Zkladntext"/>
        <w:numPr>
          <w:ilvl w:val="0"/>
          <w:numId w:val="75"/>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TRX (transce</w:t>
      </w:r>
      <w:r w:rsidR="004F10D3" w:rsidRPr="006532BE">
        <w:rPr>
          <w:rFonts w:ascii="Arial" w:hAnsi="Arial" w:cs="Arial"/>
          <w:sz w:val="22"/>
          <w:szCs w:val="22"/>
        </w:rPr>
        <w:t>i</w:t>
      </w:r>
      <w:r w:rsidRPr="006532BE">
        <w:rPr>
          <w:rFonts w:ascii="Arial" w:hAnsi="Arial" w:cs="Arial"/>
          <w:sz w:val="22"/>
          <w:szCs w:val="22"/>
        </w:rPr>
        <w:t>ver)/Šířka pásma (</w:t>
      </w:r>
      <w:proofErr w:type="spellStart"/>
      <w:r w:rsidRPr="006532BE">
        <w:rPr>
          <w:rFonts w:ascii="Arial" w:hAnsi="Arial" w:cs="Arial"/>
          <w:sz w:val="22"/>
          <w:szCs w:val="22"/>
        </w:rPr>
        <w:t>Carrier</w:t>
      </w:r>
      <w:proofErr w:type="spellEnd"/>
      <w:r w:rsidRPr="006532BE">
        <w:rPr>
          <w:rFonts w:ascii="Arial" w:hAnsi="Arial" w:cs="Arial"/>
          <w:sz w:val="22"/>
          <w:szCs w:val="22"/>
        </w:rPr>
        <w:t xml:space="preserve"> </w:t>
      </w:r>
      <w:proofErr w:type="spellStart"/>
      <w:r w:rsidRPr="006532BE">
        <w:rPr>
          <w:rFonts w:ascii="Arial" w:hAnsi="Arial" w:cs="Arial"/>
          <w:sz w:val="22"/>
          <w:szCs w:val="22"/>
        </w:rPr>
        <w:t>bandwidth</w:t>
      </w:r>
      <w:proofErr w:type="spellEnd"/>
      <w:r w:rsidRPr="006532BE">
        <w:rPr>
          <w:rFonts w:ascii="Arial" w:hAnsi="Arial" w:cs="Arial"/>
          <w:sz w:val="22"/>
          <w:szCs w:val="22"/>
        </w:rPr>
        <w:t>)</w:t>
      </w:r>
      <w:r w:rsidR="0047095F" w:rsidRPr="006532BE">
        <w:rPr>
          <w:rFonts w:ascii="Arial" w:hAnsi="Arial" w:cs="Arial"/>
          <w:sz w:val="22"/>
          <w:szCs w:val="22"/>
        </w:rPr>
        <w:t xml:space="preserve"> v </w:t>
      </w:r>
      <w:r w:rsidRPr="006532BE">
        <w:rPr>
          <w:rFonts w:ascii="Arial" w:hAnsi="Arial" w:cs="Arial"/>
          <w:sz w:val="22"/>
          <w:szCs w:val="22"/>
        </w:rPr>
        <w:t>kHz</w:t>
      </w:r>
    </w:p>
    <w:p w:rsidR="00242A0C" w:rsidRPr="006532BE" w:rsidRDefault="00242A0C" w:rsidP="00BE3916">
      <w:pPr>
        <w:pStyle w:val="Zkladntext"/>
        <w:numPr>
          <w:ilvl w:val="0"/>
          <w:numId w:val="75"/>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Spektrální kapacita sektoru (</w:t>
      </w:r>
      <w:proofErr w:type="spellStart"/>
      <w:r w:rsidRPr="006532BE">
        <w:rPr>
          <w:rFonts w:ascii="Arial" w:hAnsi="Arial" w:cs="Arial"/>
          <w:sz w:val="22"/>
          <w:szCs w:val="22"/>
        </w:rPr>
        <w:t>Spectral</w:t>
      </w:r>
      <w:proofErr w:type="spellEnd"/>
      <w:r w:rsidRPr="006532BE">
        <w:rPr>
          <w:rFonts w:ascii="Arial" w:hAnsi="Arial" w:cs="Arial"/>
          <w:sz w:val="22"/>
          <w:szCs w:val="22"/>
        </w:rPr>
        <w:t xml:space="preserve"> </w:t>
      </w:r>
      <w:proofErr w:type="spellStart"/>
      <w:r w:rsidRPr="006532BE">
        <w:rPr>
          <w:rFonts w:ascii="Arial" w:hAnsi="Arial" w:cs="Arial"/>
          <w:sz w:val="22"/>
          <w:szCs w:val="22"/>
        </w:rPr>
        <w:t>capacity</w:t>
      </w:r>
      <w:proofErr w:type="spellEnd"/>
      <w:r w:rsidRPr="006532BE">
        <w:rPr>
          <w:rFonts w:ascii="Arial" w:hAnsi="Arial" w:cs="Arial"/>
          <w:sz w:val="22"/>
          <w:szCs w:val="22"/>
        </w:rPr>
        <w:t xml:space="preserve"> </w:t>
      </w:r>
      <w:proofErr w:type="spellStart"/>
      <w:r w:rsidRPr="006532BE">
        <w:rPr>
          <w:rFonts w:ascii="Arial" w:hAnsi="Arial" w:cs="Arial"/>
          <w:sz w:val="22"/>
          <w:szCs w:val="22"/>
        </w:rPr>
        <w:t>of</w:t>
      </w:r>
      <w:proofErr w:type="spellEnd"/>
      <w:r w:rsidRPr="006532BE">
        <w:rPr>
          <w:rFonts w:ascii="Arial" w:hAnsi="Arial" w:cs="Arial"/>
          <w:sz w:val="22"/>
          <w:szCs w:val="22"/>
        </w:rPr>
        <w:t xml:space="preserve"> a </w:t>
      </w:r>
      <w:proofErr w:type="spellStart"/>
      <w:r w:rsidRPr="006532BE">
        <w:rPr>
          <w:rFonts w:ascii="Arial" w:hAnsi="Arial" w:cs="Arial"/>
          <w:sz w:val="22"/>
          <w:szCs w:val="22"/>
        </w:rPr>
        <w:t>sector</w:t>
      </w:r>
      <w:proofErr w:type="spellEnd"/>
      <w:r w:rsidRPr="006532BE">
        <w:rPr>
          <w:rFonts w:ascii="Arial" w:hAnsi="Arial" w:cs="Arial"/>
          <w:sz w:val="22"/>
          <w:szCs w:val="22"/>
        </w:rPr>
        <w:t xml:space="preserve"> (N. </w:t>
      </w:r>
      <w:proofErr w:type="spellStart"/>
      <w:r w:rsidRPr="006532BE">
        <w:rPr>
          <w:rFonts w:ascii="Arial" w:hAnsi="Arial" w:cs="Arial"/>
          <w:sz w:val="22"/>
          <w:szCs w:val="22"/>
        </w:rPr>
        <w:t>of</w:t>
      </w:r>
      <w:proofErr w:type="spellEnd"/>
      <w:r w:rsidRPr="006532BE">
        <w:rPr>
          <w:rFonts w:ascii="Arial" w:hAnsi="Arial" w:cs="Arial"/>
          <w:sz w:val="22"/>
          <w:szCs w:val="22"/>
        </w:rPr>
        <w:t xml:space="preserve"> TRX per </w:t>
      </w:r>
      <w:proofErr w:type="spellStart"/>
      <w:r w:rsidRPr="006532BE">
        <w:rPr>
          <w:rFonts w:ascii="Arial" w:hAnsi="Arial" w:cs="Arial"/>
          <w:sz w:val="22"/>
          <w:szCs w:val="22"/>
        </w:rPr>
        <w:t>sector</w:t>
      </w:r>
      <w:proofErr w:type="spellEnd"/>
      <w:r w:rsidRPr="006532BE">
        <w:rPr>
          <w:rFonts w:ascii="Arial" w:hAnsi="Arial" w:cs="Arial"/>
          <w:sz w:val="22"/>
          <w:szCs w:val="22"/>
        </w:rPr>
        <w:t>))</w:t>
      </w:r>
      <w:r w:rsidR="0047095F" w:rsidRPr="006532BE">
        <w:rPr>
          <w:rFonts w:ascii="Arial" w:hAnsi="Arial" w:cs="Arial"/>
          <w:sz w:val="22"/>
          <w:szCs w:val="22"/>
        </w:rPr>
        <w:t xml:space="preserve"> v </w:t>
      </w:r>
      <w:r w:rsidRPr="006532BE">
        <w:rPr>
          <w:rFonts w:ascii="Arial" w:hAnsi="Arial" w:cs="Arial"/>
          <w:sz w:val="22"/>
          <w:szCs w:val="22"/>
        </w:rPr>
        <w:t>TRX/sektor</w:t>
      </w:r>
    </w:p>
    <w:p w:rsidR="00242A0C" w:rsidRPr="006532BE" w:rsidRDefault="00242A0C" w:rsidP="00BE3916">
      <w:pPr>
        <w:pStyle w:val="Zkladntext"/>
        <w:numPr>
          <w:ilvl w:val="0"/>
          <w:numId w:val="75"/>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Fyzická kapacita sektoru (</w:t>
      </w:r>
      <w:proofErr w:type="spellStart"/>
      <w:r w:rsidRPr="006532BE">
        <w:rPr>
          <w:rFonts w:ascii="Arial" w:hAnsi="Arial" w:cs="Arial"/>
          <w:sz w:val="22"/>
          <w:szCs w:val="22"/>
        </w:rPr>
        <w:t>Physical</w:t>
      </w:r>
      <w:proofErr w:type="spellEnd"/>
      <w:r w:rsidRPr="006532BE">
        <w:rPr>
          <w:rFonts w:ascii="Arial" w:hAnsi="Arial" w:cs="Arial"/>
          <w:sz w:val="22"/>
          <w:szCs w:val="22"/>
        </w:rPr>
        <w:t xml:space="preserve"> </w:t>
      </w:r>
      <w:proofErr w:type="spellStart"/>
      <w:r w:rsidRPr="006532BE">
        <w:rPr>
          <w:rFonts w:ascii="Arial" w:hAnsi="Arial" w:cs="Arial"/>
          <w:sz w:val="22"/>
          <w:szCs w:val="22"/>
        </w:rPr>
        <w:t>capacity</w:t>
      </w:r>
      <w:proofErr w:type="spellEnd"/>
      <w:r w:rsidRPr="006532BE">
        <w:rPr>
          <w:rFonts w:ascii="Arial" w:hAnsi="Arial" w:cs="Arial"/>
          <w:sz w:val="22"/>
          <w:szCs w:val="22"/>
        </w:rPr>
        <w:t xml:space="preserve"> </w:t>
      </w:r>
      <w:proofErr w:type="spellStart"/>
      <w:r w:rsidRPr="006532BE">
        <w:rPr>
          <w:rFonts w:ascii="Arial" w:hAnsi="Arial" w:cs="Arial"/>
          <w:sz w:val="22"/>
          <w:szCs w:val="22"/>
        </w:rPr>
        <w:t>of</w:t>
      </w:r>
      <w:proofErr w:type="spellEnd"/>
      <w:r w:rsidRPr="006532BE">
        <w:rPr>
          <w:rFonts w:ascii="Arial" w:hAnsi="Arial" w:cs="Arial"/>
          <w:sz w:val="22"/>
          <w:szCs w:val="22"/>
        </w:rPr>
        <w:t xml:space="preserve"> a </w:t>
      </w:r>
      <w:proofErr w:type="spellStart"/>
      <w:r w:rsidRPr="006532BE">
        <w:rPr>
          <w:rFonts w:ascii="Arial" w:hAnsi="Arial" w:cs="Arial"/>
          <w:sz w:val="22"/>
          <w:szCs w:val="22"/>
        </w:rPr>
        <w:t>sector</w:t>
      </w:r>
      <w:proofErr w:type="spellEnd"/>
      <w:r w:rsidRPr="006532BE">
        <w:rPr>
          <w:rFonts w:ascii="Arial" w:hAnsi="Arial" w:cs="Arial"/>
          <w:sz w:val="22"/>
          <w:szCs w:val="22"/>
        </w:rPr>
        <w:t xml:space="preserve"> (N. </w:t>
      </w:r>
      <w:proofErr w:type="spellStart"/>
      <w:r w:rsidRPr="006532BE">
        <w:rPr>
          <w:rFonts w:ascii="Arial" w:hAnsi="Arial" w:cs="Arial"/>
          <w:sz w:val="22"/>
          <w:szCs w:val="22"/>
        </w:rPr>
        <w:t>of</w:t>
      </w:r>
      <w:proofErr w:type="spellEnd"/>
      <w:r w:rsidRPr="006532BE">
        <w:rPr>
          <w:rFonts w:ascii="Arial" w:hAnsi="Arial" w:cs="Arial"/>
          <w:sz w:val="22"/>
          <w:szCs w:val="22"/>
        </w:rPr>
        <w:t xml:space="preserve"> TRX per </w:t>
      </w:r>
      <w:proofErr w:type="spellStart"/>
      <w:r w:rsidRPr="006532BE">
        <w:rPr>
          <w:rFonts w:ascii="Arial" w:hAnsi="Arial" w:cs="Arial"/>
          <w:sz w:val="22"/>
          <w:szCs w:val="22"/>
        </w:rPr>
        <w:t>sector</w:t>
      </w:r>
      <w:proofErr w:type="spellEnd"/>
      <w:r w:rsidRPr="006532BE">
        <w:rPr>
          <w:rFonts w:ascii="Arial" w:hAnsi="Arial" w:cs="Arial"/>
          <w:sz w:val="22"/>
          <w:szCs w:val="22"/>
        </w:rPr>
        <w:t>))</w:t>
      </w:r>
      <w:r w:rsidR="0047095F" w:rsidRPr="006532BE">
        <w:rPr>
          <w:rFonts w:ascii="Arial" w:hAnsi="Arial" w:cs="Arial"/>
          <w:sz w:val="22"/>
          <w:szCs w:val="22"/>
        </w:rPr>
        <w:t xml:space="preserve"> v </w:t>
      </w:r>
      <w:r w:rsidRPr="006532BE">
        <w:rPr>
          <w:rFonts w:ascii="Arial" w:hAnsi="Arial" w:cs="Arial"/>
          <w:sz w:val="22"/>
          <w:szCs w:val="22"/>
        </w:rPr>
        <w:t>TRX/sektor</w:t>
      </w:r>
    </w:p>
    <w:p w:rsidR="00242A0C" w:rsidRPr="006532BE" w:rsidRDefault="00242A0C" w:rsidP="00B83E5C">
      <w:pPr>
        <w:pStyle w:val="Zkladntext"/>
        <w:tabs>
          <w:tab w:val="num" w:pos="720"/>
        </w:tabs>
        <w:spacing w:before="120" w:after="0"/>
        <w:jc w:val="both"/>
        <w:rPr>
          <w:rFonts w:ascii="Arial" w:hAnsi="Arial" w:cs="Arial"/>
          <w:sz w:val="22"/>
          <w:szCs w:val="22"/>
        </w:rPr>
      </w:pPr>
      <w:r w:rsidRPr="006532BE">
        <w:rPr>
          <w:rFonts w:ascii="Arial" w:hAnsi="Arial" w:cs="Arial"/>
          <w:sz w:val="22"/>
          <w:szCs w:val="22"/>
        </w:rPr>
        <w:t xml:space="preserve">Hodnotu výše uvedených parametrů uvede stanovený podnik pro jednotlivé sítě (sloupce): GSM 900, GSM 1800, UMTS (Universal Mobile </w:t>
      </w:r>
      <w:proofErr w:type="spellStart"/>
      <w:r w:rsidRPr="006532BE">
        <w:rPr>
          <w:rFonts w:ascii="Arial" w:hAnsi="Arial" w:cs="Arial"/>
          <w:sz w:val="22"/>
          <w:szCs w:val="22"/>
        </w:rPr>
        <w:t>Telecommunication</w:t>
      </w:r>
      <w:proofErr w:type="spellEnd"/>
      <w:r w:rsidRPr="006532BE">
        <w:rPr>
          <w:rFonts w:ascii="Arial" w:hAnsi="Arial" w:cs="Arial"/>
          <w:sz w:val="22"/>
          <w:szCs w:val="22"/>
        </w:rPr>
        <w:t xml:space="preserve"> </w:t>
      </w:r>
      <w:proofErr w:type="spellStart"/>
      <w:r w:rsidRPr="006532BE">
        <w:rPr>
          <w:rFonts w:ascii="Arial" w:hAnsi="Arial" w:cs="Arial"/>
          <w:sz w:val="22"/>
          <w:szCs w:val="22"/>
        </w:rPr>
        <w:t>System</w:t>
      </w:r>
      <w:proofErr w:type="spellEnd"/>
      <w:r w:rsidRPr="006532BE">
        <w:rPr>
          <w:rFonts w:ascii="Arial" w:hAnsi="Arial" w:cs="Arial"/>
          <w:sz w:val="22"/>
          <w:szCs w:val="22"/>
        </w:rPr>
        <w:t xml:space="preserve">), LTE (Long Term </w:t>
      </w:r>
      <w:proofErr w:type="spellStart"/>
      <w:r w:rsidRPr="006532BE">
        <w:rPr>
          <w:rFonts w:ascii="Arial" w:hAnsi="Arial" w:cs="Arial"/>
          <w:sz w:val="22"/>
          <w:szCs w:val="22"/>
        </w:rPr>
        <w:t>Evolution</w:t>
      </w:r>
      <w:proofErr w:type="spellEnd"/>
      <w:r w:rsidRPr="006532BE">
        <w:rPr>
          <w:rFonts w:ascii="Arial" w:hAnsi="Arial" w:cs="Arial"/>
          <w:sz w:val="22"/>
          <w:szCs w:val="22"/>
        </w:rPr>
        <w:t>).</w:t>
      </w:r>
    </w:p>
    <w:p w:rsidR="00242A0C" w:rsidRPr="006532BE" w:rsidRDefault="00242A0C" w:rsidP="006C13C0">
      <w:pPr>
        <w:pStyle w:val="Zkladntext"/>
        <w:numPr>
          <w:ilvl w:val="1"/>
          <w:numId w:val="8"/>
        </w:numPr>
        <w:tabs>
          <w:tab w:val="clear" w:pos="360"/>
        </w:tabs>
        <w:spacing w:before="120" w:after="60"/>
        <w:ind w:left="567" w:hanging="567"/>
        <w:jc w:val="both"/>
        <w:rPr>
          <w:rFonts w:ascii="Arial" w:hAnsi="Arial" w:cs="Arial"/>
          <w:b/>
          <w:bCs/>
          <w:i/>
          <w:sz w:val="22"/>
          <w:szCs w:val="22"/>
        </w:rPr>
      </w:pPr>
      <w:r w:rsidRPr="006532BE">
        <w:rPr>
          <w:rFonts w:ascii="Arial" w:hAnsi="Arial" w:cs="Arial"/>
          <w:b/>
          <w:bCs/>
          <w:i/>
          <w:sz w:val="22"/>
          <w:szCs w:val="22"/>
        </w:rPr>
        <w:t>Pokrytí</w:t>
      </w:r>
    </w:p>
    <w:p w:rsidR="00242A0C" w:rsidRPr="006532BE" w:rsidRDefault="00242A0C" w:rsidP="00BE3916">
      <w:pPr>
        <w:pStyle w:val="Zkladntext"/>
        <w:numPr>
          <w:ilvl w:val="0"/>
          <w:numId w:val="76"/>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Geotyp</w:t>
      </w:r>
      <w:proofErr w:type="spellEnd"/>
      <w:r w:rsidRPr="006532BE">
        <w:rPr>
          <w:rFonts w:ascii="Arial" w:hAnsi="Arial" w:cs="Arial"/>
          <w:sz w:val="22"/>
          <w:szCs w:val="22"/>
        </w:rPr>
        <w:t xml:space="preserve"> Aglomerace </w:t>
      </w:r>
    </w:p>
    <w:p w:rsidR="00242A0C" w:rsidRPr="006532BE" w:rsidRDefault="00242A0C" w:rsidP="00BE3916">
      <w:pPr>
        <w:pStyle w:val="Zkladntext"/>
        <w:numPr>
          <w:ilvl w:val="0"/>
          <w:numId w:val="76"/>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lastRenderedPageBreak/>
        <w:t>Geotyp</w:t>
      </w:r>
      <w:proofErr w:type="spellEnd"/>
      <w:r w:rsidRPr="006532BE">
        <w:rPr>
          <w:rFonts w:ascii="Arial" w:hAnsi="Arial" w:cs="Arial"/>
          <w:sz w:val="22"/>
          <w:szCs w:val="22"/>
        </w:rPr>
        <w:t xml:space="preserve"> Města</w:t>
      </w:r>
    </w:p>
    <w:p w:rsidR="00242A0C" w:rsidRPr="006532BE" w:rsidRDefault="00242A0C" w:rsidP="00BE3916">
      <w:pPr>
        <w:pStyle w:val="Zkladntext"/>
        <w:numPr>
          <w:ilvl w:val="0"/>
          <w:numId w:val="76"/>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Geotyp</w:t>
      </w:r>
      <w:proofErr w:type="spellEnd"/>
      <w:r w:rsidRPr="006532BE">
        <w:rPr>
          <w:rFonts w:ascii="Arial" w:hAnsi="Arial" w:cs="Arial"/>
          <w:sz w:val="22"/>
          <w:szCs w:val="22"/>
        </w:rPr>
        <w:t xml:space="preserve"> Venkov </w:t>
      </w:r>
    </w:p>
    <w:p w:rsidR="00242A0C" w:rsidRPr="006532BE" w:rsidRDefault="00242A0C" w:rsidP="00BE3916">
      <w:pPr>
        <w:pStyle w:val="Zkladntext"/>
        <w:numPr>
          <w:ilvl w:val="0"/>
          <w:numId w:val="76"/>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Dopravní koridory</w:t>
      </w:r>
    </w:p>
    <w:p w:rsidR="00242A0C" w:rsidRPr="006532BE" w:rsidRDefault="00242A0C" w:rsidP="00BE3916">
      <w:pPr>
        <w:pStyle w:val="Zkladntext"/>
        <w:numPr>
          <w:ilvl w:val="0"/>
          <w:numId w:val="76"/>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Rekreační oblasti</w:t>
      </w:r>
    </w:p>
    <w:p w:rsidR="00242A0C" w:rsidRPr="006532BE" w:rsidRDefault="00242A0C" w:rsidP="00BE3916">
      <w:pPr>
        <w:pStyle w:val="Zkladntext"/>
        <w:numPr>
          <w:ilvl w:val="0"/>
          <w:numId w:val="76"/>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Celkem území</w:t>
      </w:r>
    </w:p>
    <w:p w:rsidR="00242A0C" w:rsidRPr="006532BE" w:rsidRDefault="00242A0C" w:rsidP="005A3EE8">
      <w:pPr>
        <w:pStyle w:val="Zkladntext"/>
        <w:tabs>
          <w:tab w:val="num" w:pos="720"/>
        </w:tabs>
        <w:spacing w:before="120" w:after="0"/>
        <w:jc w:val="both"/>
        <w:rPr>
          <w:rFonts w:ascii="Arial" w:hAnsi="Arial" w:cs="Arial"/>
          <w:sz w:val="22"/>
          <w:szCs w:val="22"/>
        </w:rPr>
      </w:pPr>
      <w:r w:rsidRPr="006532BE">
        <w:rPr>
          <w:rFonts w:ascii="Arial" w:hAnsi="Arial" w:cs="Arial"/>
          <w:sz w:val="22"/>
          <w:szCs w:val="22"/>
        </w:rPr>
        <w:t>Pro jednotlivé typy území uvede stanovený podnik následující parametry (sloupce): Celkové pokrytí – GSM 900 (% celkové rozlohy), Celkové pokrytí – GSM 1800 (% celkové rozlohy), Celkové pokrytí – UMTS (% celkové rozlohy), Celkové pokrytí – LTE (% celkové rozlohy), GSM 900 průměrný poloměr buňky</w:t>
      </w:r>
      <w:r w:rsidR="0047095F" w:rsidRPr="006532BE">
        <w:rPr>
          <w:rFonts w:ascii="Arial" w:hAnsi="Arial" w:cs="Arial"/>
          <w:sz w:val="22"/>
          <w:szCs w:val="22"/>
        </w:rPr>
        <w:t xml:space="preserve"> v </w:t>
      </w:r>
      <w:r w:rsidRPr="006532BE">
        <w:rPr>
          <w:rFonts w:ascii="Arial" w:hAnsi="Arial" w:cs="Arial"/>
          <w:sz w:val="22"/>
          <w:szCs w:val="22"/>
        </w:rPr>
        <w:t>km, GSM 1800 průměrný poloměr buňky</w:t>
      </w:r>
      <w:r w:rsidR="0047095F" w:rsidRPr="006532BE">
        <w:rPr>
          <w:rFonts w:ascii="Arial" w:hAnsi="Arial" w:cs="Arial"/>
          <w:sz w:val="22"/>
          <w:szCs w:val="22"/>
        </w:rPr>
        <w:t xml:space="preserve"> v </w:t>
      </w:r>
      <w:r w:rsidRPr="006532BE">
        <w:rPr>
          <w:rFonts w:ascii="Arial" w:hAnsi="Arial" w:cs="Arial"/>
          <w:sz w:val="22"/>
          <w:szCs w:val="22"/>
        </w:rPr>
        <w:t>km, UMTS průměrný poloměr buňky</w:t>
      </w:r>
      <w:r w:rsidR="0047095F" w:rsidRPr="006532BE">
        <w:rPr>
          <w:rFonts w:ascii="Arial" w:hAnsi="Arial" w:cs="Arial"/>
          <w:sz w:val="22"/>
          <w:szCs w:val="22"/>
        </w:rPr>
        <w:t xml:space="preserve"> v </w:t>
      </w:r>
      <w:r w:rsidRPr="006532BE">
        <w:rPr>
          <w:rFonts w:ascii="Arial" w:hAnsi="Arial" w:cs="Arial"/>
          <w:sz w:val="22"/>
          <w:szCs w:val="22"/>
        </w:rPr>
        <w:t>km, LTE průměrný poloměr buňky</w:t>
      </w:r>
      <w:r w:rsidR="0047095F" w:rsidRPr="006532BE">
        <w:rPr>
          <w:rFonts w:ascii="Arial" w:hAnsi="Arial" w:cs="Arial"/>
          <w:sz w:val="22"/>
          <w:szCs w:val="22"/>
        </w:rPr>
        <w:t xml:space="preserve"> v </w:t>
      </w:r>
      <w:r w:rsidRPr="006532BE">
        <w:rPr>
          <w:rFonts w:ascii="Arial" w:hAnsi="Arial" w:cs="Arial"/>
          <w:sz w:val="22"/>
          <w:szCs w:val="22"/>
        </w:rPr>
        <w:t>km.</w:t>
      </w:r>
    </w:p>
    <w:p w:rsidR="00242A0C" w:rsidRPr="006532BE" w:rsidRDefault="00242A0C" w:rsidP="006C13C0">
      <w:pPr>
        <w:pStyle w:val="Zkladntext"/>
        <w:numPr>
          <w:ilvl w:val="1"/>
          <w:numId w:val="8"/>
        </w:numPr>
        <w:tabs>
          <w:tab w:val="clear" w:pos="360"/>
        </w:tabs>
        <w:spacing w:before="120" w:after="60"/>
        <w:ind w:left="567" w:hanging="567"/>
        <w:jc w:val="both"/>
        <w:rPr>
          <w:rFonts w:ascii="Arial" w:hAnsi="Arial" w:cs="Arial"/>
          <w:b/>
          <w:bCs/>
          <w:i/>
          <w:sz w:val="22"/>
          <w:szCs w:val="22"/>
        </w:rPr>
      </w:pPr>
      <w:r w:rsidRPr="006532BE">
        <w:rPr>
          <w:rFonts w:ascii="Arial" w:hAnsi="Arial" w:cs="Arial"/>
          <w:b/>
          <w:bCs/>
          <w:i/>
          <w:sz w:val="22"/>
          <w:szCs w:val="22"/>
        </w:rPr>
        <w:t>Rozložení provozu</w:t>
      </w:r>
    </w:p>
    <w:p w:rsidR="00242A0C" w:rsidRPr="006532BE" w:rsidRDefault="00242A0C" w:rsidP="00BE3916">
      <w:pPr>
        <w:pStyle w:val="Zkladntext"/>
        <w:numPr>
          <w:ilvl w:val="0"/>
          <w:numId w:val="77"/>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Geotyp</w:t>
      </w:r>
      <w:proofErr w:type="spellEnd"/>
      <w:r w:rsidRPr="006532BE">
        <w:rPr>
          <w:rFonts w:ascii="Arial" w:hAnsi="Arial" w:cs="Arial"/>
          <w:sz w:val="22"/>
          <w:szCs w:val="22"/>
        </w:rPr>
        <w:t xml:space="preserve"> Aglomerace</w:t>
      </w:r>
    </w:p>
    <w:p w:rsidR="00242A0C" w:rsidRPr="006532BE" w:rsidRDefault="00242A0C" w:rsidP="00BE3916">
      <w:pPr>
        <w:pStyle w:val="Zkladntext"/>
        <w:numPr>
          <w:ilvl w:val="0"/>
          <w:numId w:val="77"/>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Geotyp</w:t>
      </w:r>
      <w:proofErr w:type="spellEnd"/>
      <w:r w:rsidRPr="006532BE">
        <w:rPr>
          <w:rFonts w:ascii="Arial" w:hAnsi="Arial" w:cs="Arial"/>
          <w:sz w:val="22"/>
          <w:szCs w:val="22"/>
        </w:rPr>
        <w:t xml:space="preserve"> Města</w:t>
      </w:r>
    </w:p>
    <w:p w:rsidR="00242A0C" w:rsidRPr="006532BE" w:rsidRDefault="00242A0C" w:rsidP="00BE3916">
      <w:pPr>
        <w:pStyle w:val="Zkladntext"/>
        <w:numPr>
          <w:ilvl w:val="0"/>
          <w:numId w:val="77"/>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Geotyp</w:t>
      </w:r>
      <w:proofErr w:type="spellEnd"/>
      <w:r w:rsidRPr="006532BE">
        <w:rPr>
          <w:rFonts w:ascii="Arial" w:hAnsi="Arial" w:cs="Arial"/>
          <w:sz w:val="22"/>
          <w:szCs w:val="22"/>
        </w:rPr>
        <w:t xml:space="preserve"> Venkov</w:t>
      </w:r>
    </w:p>
    <w:p w:rsidR="00242A0C" w:rsidRPr="006532BE" w:rsidRDefault="00242A0C" w:rsidP="00BE3916">
      <w:pPr>
        <w:pStyle w:val="Zkladntext"/>
        <w:numPr>
          <w:ilvl w:val="0"/>
          <w:numId w:val="77"/>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Dopravní koridory</w:t>
      </w:r>
    </w:p>
    <w:p w:rsidR="00242A0C" w:rsidRPr="006532BE" w:rsidRDefault="00242A0C" w:rsidP="00BE3916">
      <w:pPr>
        <w:pStyle w:val="Zkladntext"/>
        <w:numPr>
          <w:ilvl w:val="0"/>
          <w:numId w:val="77"/>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Rekreační oblasti</w:t>
      </w:r>
    </w:p>
    <w:p w:rsidR="00242A0C" w:rsidRPr="006532BE" w:rsidRDefault="00242A0C" w:rsidP="00BE3916">
      <w:pPr>
        <w:pStyle w:val="Zkladntext"/>
        <w:numPr>
          <w:ilvl w:val="0"/>
          <w:numId w:val="77"/>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Celkem území</w:t>
      </w:r>
    </w:p>
    <w:p w:rsidR="00242A0C" w:rsidRPr="006532BE" w:rsidRDefault="00242A0C" w:rsidP="0024003A">
      <w:pPr>
        <w:pStyle w:val="Zkladntext"/>
        <w:tabs>
          <w:tab w:val="num" w:pos="720"/>
        </w:tabs>
        <w:spacing w:before="120" w:after="0"/>
        <w:jc w:val="both"/>
        <w:rPr>
          <w:rFonts w:ascii="Arial" w:hAnsi="Arial" w:cs="Arial"/>
          <w:sz w:val="22"/>
          <w:szCs w:val="22"/>
        </w:rPr>
      </w:pPr>
      <w:r w:rsidRPr="006532BE">
        <w:rPr>
          <w:rFonts w:ascii="Arial" w:hAnsi="Arial" w:cs="Arial"/>
          <w:sz w:val="22"/>
          <w:szCs w:val="22"/>
        </w:rPr>
        <w:t xml:space="preserve">Pro jednotlivé typy území uvede stanovený podnik následující parametry (sloupce): </w:t>
      </w:r>
      <w:r w:rsidR="00416BD3" w:rsidRPr="006532BE">
        <w:rPr>
          <w:rFonts w:ascii="Arial" w:hAnsi="Arial" w:cs="Arial"/>
          <w:sz w:val="22"/>
          <w:szCs w:val="22"/>
        </w:rPr>
        <w:br/>
      </w:r>
      <w:r w:rsidRPr="006532BE">
        <w:rPr>
          <w:rFonts w:ascii="Arial" w:hAnsi="Arial" w:cs="Arial"/>
          <w:sz w:val="22"/>
          <w:szCs w:val="22"/>
        </w:rPr>
        <w:t xml:space="preserve">% provozu </w:t>
      </w:r>
      <w:proofErr w:type="spellStart"/>
      <w:r w:rsidRPr="006532BE">
        <w:rPr>
          <w:rFonts w:ascii="Arial" w:hAnsi="Arial" w:cs="Arial"/>
          <w:sz w:val="22"/>
          <w:szCs w:val="22"/>
        </w:rPr>
        <w:t>geotypu</w:t>
      </w:r>
      <w:proofErr w:type="spellEnd"/>
      <w:r w:rsidR="0047095F" w:rsidRPr="006532BE">
        <w:rPr>
          <w:rFonts w:ascii="Arial" w:hAnsi="Arial" w:cs="Arial"/>
          <w:sz w:val="22"/>
          <w:szCs w:val="22"/>
        </w:rPr>
        <w:t xml:space="preserve"> na </w:t>
      </w:r>
      <w:r w:rsidRPr="006532BE">
        <w:rPr>
          <w:rFonts w:ascii="Arial" w:hAnsi="Arial" w:cs="Arial"/>
          <w:sz w:val="22"/>
          <w:szCs w:val="22"/>
        </w:rPr>
        <w:t xml:space="preserve">celkovém 2G provozu ČR, % provozu </w:t>
      </w:r>
      <w:proofErr w:type="spellStart"/>
      <w:r w:rsidRPr="006532BE">
        <w:rPr>
          <w:rFonts w:ascii="Arial" w:hAnsi="Arial" w:cs="Arial"/>
          <w:sz w:val="22"/>
          <w:szCs w:val="22"/>
        </w:rPr>
        <w:t>geotypu</w:t>
      </w:r>
      <w:proofErr w:type="spellEnd"/>
      <w:r w:rsidR="0047095F" w:rsidRPr="006532BE">
        <w:rPr>
          <w:rFonts w:ascii="Arial" w:hAnsi="Arial" w:cs="Arial"/>
          <w:sz w:val="22"/>
          <w:szCs w:val="22"/>
        </w:rPr>
        <w:t xml:space="preserve"> na </w:t>
      </w:r>
      <w:r w:rsidRPr="006532BE">
        <w:rPr>
          <w:rFonts w:ascii="Arial" w:hAnsi="Arial" w:cs="Arial"/>
          <w:sz w:val="22"/>
          <w:szCs w:val="22"/>
        </w:rPr>
        <w:t xml:space="preserve">celkovém 3G provozu ČR, % provozu </w:t>
      </w:r>
      <w:proofErr w:type="spellStart"/>
      <w:r w:rsidRPr="006532BE">
        <w:rPr>
          <w:rFonts w:ascii="Arial" w:hAnsi="Arial" w:cs="Arial"/>
          <w:sz w:val="22"/>
          <w:szCs w:val="22"/>
        </w:rPr>
        <w:t>geotypu</w:t>
      </w:r>
      <w:proofErr w:type="spellEnd"/>
      <w:r w:rsidR="0047095F" w:rsidRPr="006532BE">
        <w:rPr>
          <w:rFonts w:ascii="Arial" w:hAnsi="Arial" w:cs="Arial"/>
          <w:sz w:val="22"/>
          <w:szCs w:val="22"/>
        </w:rPr>
        <w:t xml:space="preserve"> na </w:t>
      </w:r>
      <w:r w:rsidRPr="006532BE">
        <w:rPr>
          <w:rFonts w:ascii="Arial" w:hAnsi="Arial" w:cs="Arial"/>
          <w:sz w:val="22"/>
          <w:szCs w:val="22"/>
        </w:rPr>
        <w:t>celkovém LTE provozu ČR.</w:t>
      </w:r>
    </w:p>
    <w:p w:rsidR="00242A0C" w:rsidRPr="006532BE" w:rsidRDefault="00242A0C" w:rsidP="006C13C0">
      <w:pPr>
        <w:pStyle w:val="Zkladntext"/>
        <w:numPr>
          <w:ilvl w:val="1"/>
          <w:numId w:val="8"/>
        </w:numPr>
        <w:tabs>
          <w:tab w:val="clear" w:pos="360"/>
        </w:tabs>
        <w:spacing w:before="120" w:after="60"/>
        <w:ind w:left="567" w:hanging="567"/>
        <w:jc w:val="both"/>
        <w:rPr>
          <w:rFonts w:ascii="Arial" w:hAnsi="Arial" w:cs="Arial"/>
          <w:b/>
          <w:bCs/>
          <w:i/>
          <w:sz w:val="22"/>
          <w:szCs w:val="22"/>
        </w:rPr>
      </w:pPr>
      <w:r w:rsidRPr="006532BE">
        <w:rPr>
          <w:rFonts w:ascii="Arial" w:hAnsi="Arial" w:cs="Arial"/>
          <w:b/>
          <w:bCs/>
          <w:i/>
          <w:sz w:val="22"/>
          <w:szCs w:val="22"/>
        </w:rPr>
        <w:t>Statistiky lokací</w:t>
      </w:r>
    </w:p>
    <w:p w:rsidR="00242A0C" w:rsidRPr="006532BE" w:rsidRDefault="00242A0C" w:rsidP="00BE3916">
      <w:pPr>
        <w:pStyle w:val="Zkladntext"/>
        <w:numPr>
          <w:ilvl w:val="0"/>
          <w:numId w:val="78"/>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Počet vlastních lokací – celkem</w:t>
      </w:r>
    </w:p>
    <w:p w:rsidR="00242A0C" w:rsidRPr="006532BE" w:rsidRDefault="00242A0C" w:rsidP="00BE3916">
      <w:pPr>
        <w:pStyle w:val="Zkladntext"/>
        <w:numPr>
          <w:ilvl w:val="0"/>
          <w:numId w:val="78"/>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Počet sdílených lokací (stožár)</w:t>
      </w:r>
    </w:p>
    <w:p w:rsidR="00242A0C" w:rsidRPr="006532BE" w:rsidRDefault="00242A0C" w:rsidP="00BE3916">
      <w:pPr>
        <w:pStyle w:val="Zkladntext"/>
        <w:numPr>
          <w:ilvl w:val="0"/>
          <w:numId w:val="78"/>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lokací napojených</w:t>
      </w:r>
      <w:r w:rsidR="0047095F" w:rsidRPr="006532BE">
        <w:rPr>
          <w:rFonts w:ascii="Arial" w:hAnsi="Arial" w:cs="Arial"/>
          <w:sz w:val="22"/>
          <w:szCs w:val="22"/>
        </w:rPr>
        <w:t xml:space="preserve"> na </w:t>
      </w:r>
      <w:r w:rsidRPr="006532BE">
        <w:rPr>
          <w:rFonts w:ascii="Arial" w:hAnsi="Arial" w:cs="Arial"/>
          <w:sz w:val="22"/>
          <w:szCs w:val="22"/>
        </w:rPr>
        <w:t>elektrickou síť</w:t>
      </w:r>
    </w:p>
    <w:p w:rsidR="00242A0C" w:rsidRPr="006532BE" w:rsidRDefault="00242A0C" w:rsidP="0024003A">
      <w:pPr>
        <w:pStyle w:val="Zkladntext"/>
        <w:spacing w:before="120" w:after="0"/>
        <w:jc w:val="both"/>
        <w:rPr>
          <w:rFonts w:ascii="Arial" w:hAnsi="Arial" w:cs="Arial"/>
          <w:sz w:val="22"/>
          <w:szCs w:val="22"/>
        </w:rPr>
      </w:pPr>
      <w:r w:rsidRPr="006532BE">
        <w:rPr>
          <w:rFonts w:ascii="Arial" w:hAnsi="Arial" w:cs="Arial"/>
          <w:sz w:val="22"/>
          <w:szCs w:val="22"/>
        </w:rPr>
        <w:t>Dále vyplní stanovený podnik pro následující typy území</w:t>
      </w:r>
    </w:p>
    <w:p w:rsidR="00242A0C" w:rsidRPr="006532BE" w:rsidRDefault="00242A0C" w:rsidP="00BE3916">
      <w:pPr>
        <w:pStyle w:val="Zkladntext"/>
        <w:numPr>
          <w:ilvl w:val="0"/>
          <w:numId w:val="78"/>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Geotyp</w:t>
      </w:r>
      <w:proofErr w:type="spellEnd"/>
      <w:r w:rsidRPr="006532BE">
        <w:rPr>
          <w:rFonts w:ascii="Arial" w:hAnsi="Arial" w:cs="Arial"/>
          <w:sz w:val="22"/>
          <w:szCs w:val="22"/>
        </w:rPr>
        <w:t xml:space="preserve"> Aglomerace </w:t>
      </w:r>
    </w:p>
    <w:p w:rsidR="00242A0C" w:rsidRPr="006532BE" w:rsidRDefault="00242A0C" w:rsidP="00BE3916">
      <w:pPr>
        <w:pStyle w:val="Zkladntext"/>
        <w:numPr>
          <w:ilvl w:val="0"/>
          <w:numId w:val="78"/>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Geotyp</w:t>
      </w:r>
      <w:proofErr w:type="spellEnd"/>
      <w:r w:rsidRPr="006532BE">
        <w:rPr>
          <w:rFonts w:ascii="Arial" w:hAnsi="Arial" w:cs="Arial"/>
          <w:sz w:val="22"/>
          <w:szCs w:val="22"/>
        </w:rPr>
        <w:t xml:space="preserve"> Města</w:t>
      </w:r>
    </w:p>
    <w:p w:rsidR="00242A0C" w:rsidRPr="006532BE" w:rsidRDefault="00242A0C" w:rsidP="00BE3916">
      <w:pPr>
        <w:pStyle w:val="Zkladntext"/>
        <w:numPr>
          <w:ilvl w:val="0"/>
          <w:numId w:val="78"/>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Geotyp</w:t>
      </w:r>
      <w:proofErr w:type="spellEnd"/>
      <w:r w:rsidRPr="006532BE">
        <w:rPr>
          <w:rFonts w:ascii="Arial" w:hAnsi="Arial" w:cs="Arial"/>
          <w:sz w:val="22"/>
          <w:szCs w:val="22"/>
        </w:rPr>
        <w:t xml:space="preserve"> Venkov </w:t>
      </w:r>
    </w:p>
    <w:p w:rsidR="00242A0C" w:rsidRPr="006532BE" w:rsidRDefault="00242A0C" w:rsidP="00BE3916">
      <w:pPr>
        <w:pStyle w:val="Zkladntext"/>
        <w:numPr>
          <w:ilvl w:val="0"/>
          <w:numId w:val="78"/>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Dopravní koridory</w:t>
      </w:r>
    </w:p>
    <w:p w:rsidR="00242A0C" w:rsidRPr="006532BE" w:rsidRDefault="00242A0C" w:rsidP="00BE3916">
      <w:pPr>
        <w:pStyle w:val="Zkladntext"/>
        <w:numPr>
          <w:ilvl w:val="0"/>
          <w:numId w:val="78"/>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Rekreační oblasti</w:t>
      </w:r>
    </w:p>
    <w:p w:rsidR="00242A0C" w:rsidRPr="006532BE" w:rsidRDefault="00242A0C" w:rsidP="00BE3916">
      <w:pPr>
        <w:pStyle w:val="Zkladntext"/>
        <w:numPr>
          <w:ilvl w:val="0"/>
          <w:numId w:val="78"/>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Celkem území</w:t>
      </w:r>
    </w:p>
    <w:p w:rsidR="00242A0C" w:rsidRPr="006532BE" w:rsidRDefault="00242A0C" w:rsidP="0024003A">
      <w:pPr>
        <w:pStyle w:val="Zkladntext"/>
        <w:tabs>
          <w:tab w:val="num" w:pos="720"/>
        </w:tabs>
        <w:spacing w:before="120" w:after="0"/>
        <w:jc w:val="both"/>
        <w:rPr>
          <w:rFonts w:ascii="Arial" w:hAnsi="Arial" w:cs="Arial"/>
          <w:sz w:val="22"/>
          <w:szCs w:val="22"/>
        </w:rPr>
      </w:pPr>
      <w:r w:rsidRPr="006532BE">
        <w:rPr>
          <w:rFonts w:ascii="Arial" w:hAnsi="Arial" w:cs="Arial"/>
          <w:sz w:val="22"/>
          <w:szCs w:val="22"/>
        </w:rPr>
        <w:t xml:space="preserve">Procentuální zastoupení lokací vybavených technologií (sloupce): GSM 900, GSM 1800, </w:t>
      </w:r>
      <w:proofErr w:type="spellStart"/>
      <w:r w:rsidRPr="006532BE">
        <w:rPr>
          <w:rFonts w:ascii="Arial" w:hAnsi="Arial" w:cs="Arial"/>
          <w:sz w:val="22"/>
          <w:szCs w:val="22"/>
        </w:rPr>
        <w:t>Dual</w:t>
      </w:r>
      <w:proofErr w:type="spellEnd"/>
      <w:r w:rsidRPr="006532BE">
        <w:rPr>
          <w:rFonts w:ascii="Arial" w:hAnsi="Arial" w:cs="Arial"/>
          <w:sz w:val="22"/>
          <w:szCs w:val="22"/>
        </w:rPr>
        <w:t>.</w:t>
      </w:r>
    </w:p>
    <w:p w:rsidR="00242A0C" w:rsidRPr="006532BE" w:rsidRDefault="00242A0C" w:rsidP="006C13C0">
      <w:pPr>
        <w:pStyle w:val="Zkladntext"/>
        <w:numPr>
          <w:ilvl w:val="1"/>
          <w:numId w:val="8"/>
        </w:numPr>
        <w:tabs>
          <w:tab w:val="clear" w:pos="360"/>
        </w:tabs>
        <w:spacing w:before="120" w:after="60"/>
        <w:ind w:left="567" w:hanging="567"/>
        <w:jc w:val="both"/>
        <w:rPr>
          <w:rFonts w:ascii="Arial" w:hAnsi="Arial" w:cs="Arial"/>
          <w:b/>
          <w:bCs/>
          <w:i/>
          <w:sz w:val="22"/>
          <w:szCs w:val="22"/>
        </w:rPr>
      </w:pPr>
      <w:proofErr w:type="spellStart"/>
      <w:r w:rsidRPr="006532BE">
        <w:rPr>
          <w:rFonts w:ascii="Arial" w:hAnsi="Arial" w:cs="Arial"/>
          <w:b/>
          <w:bCs/>
          <w:i/>
          <w:sz w:val="22"/>
          <w:szCs w:val="22"/>
        </w:rPr>
        <w:t>Dimenzační</w:t>
      </w:r>
      <w:proofErr w:type="spellEnd"/>
      <w:r w:rsidRPr="006532BE">
        <w:rPr>
          <w:rFonts w:ascii="Arial" w:hAnsi="Arial" w:cs="Arial"/>
          <w:b/>
          <w:bCs/>
          <w:i/>
          <w:sz w:val="22"/>
          <w:szCs w:val="22"/>
        </w:rPr>
        <w:t xml:space="preserve"> pravidla (Max </w:t>
      </w:r>
      <w:proofErr w:type="spellStart"/>
      <w:r w:rsidRPr="006532BE">
        <w:rPr>
          <w:rFonts w:ascii="Arial" w:hAnsi="Arial" w:cs="Arial"/>
          <w:b/>
          <w:bCs/>
          <w:i/>
          <w:sz w:val="22"/>
          <w:szCs w:val="22"/>
        </w:rPr>
        <w:t>switching</w:t>
      </w:r>
      <w:proofErr w:type="spellEnd"/>
      <w:r w:rsidRPr="006532BE">
        <w:rPr>
          <w:rFonts w:ascii="Arial" w:hAnsi="Arial" w:cs="Arial"/>
          <w:b/>
          <w:bCs/>
          <w:i/>
          <w:sz w:val="22"/>
          <w:szCs w:val="22"/>
        </w:rPr>
        <w:t xml:space="preserve"> kapacity)</w:t>
      </w:r>
    </w:p>
    <w:p w:rsidR="00242A0C" w:rsidRPr="006532BE" w:rsidRDefault="00242A0C" w:rsidP="0024003A">
      <w:pPr>
        <w:pStyle w:val="Zkladntext"/>
        <w:spacing w:before="60" w:after="0"/>
        <w:jc w:val="both"/>
        <w:rPr>
          <w:rFonts w:ascii="Arial" w:hAnsi="Arial" w:cs="Arial"/>
          <w:sz w:val="22"/>
          <w:szCs w:val="22"/>
        </w:rPr>
      </w:pPr>
      <w:r w:rsidRPr="006532BE">
        <w:rPr>
          <w:rFonts w:ascii="Arial" w:hAnsi="Arial" w:cs="Arial"/>
          <w:sz w:val="22"/>
          <w:szCs w:val="22"/>
        </w:rPr>
        <w:t xml:space="preserve">BSC (Base Station </w:t>
      </w:r>
      <w:proofErr w:type="spellStart"/>
      <w:r w:rsidRPr="006532BE">
        <w:rPr>
          <w:rFonts w:ascii="Arial" w:hAnsi="Arial" w:cs="Arial"/>
          <w:sz w:val="22"/>
          <w:szCs w:val="22"/>
        </w:rPr>
        <w:t>Controller</w:t>
      </w:r>
      <w:proofErr w:type="spellEnd"/>
      <w:r w:rsidRPr="006532BE">
        <w:rPr>
          <w:rFonts w:ascii="Arial" w:hAnsi="Arial" w:cs="Arial"/>
          <w:sz w:val="22"/>
          <w:szCs w:val="22"/>
        </w:rPr>
        <w:t xml:space="preserve">) </w:t>
      </w:r>
    </w:p>
    <w:p w:rsidR="00242A0C" w:rsidRPr="006532BE" w:rsidRDefault="00242A0C" w:rsidP="00BE3916">
      <w:pPr>
        <w:pStyle w:val="Zkladntext"/>
        <w:numPr>
          <w:ilvl w:val="0"/>
          <w:numId w:val="9"/>
        </w:numPr>
        <w:tabs>
          <w:tab w:val="clear" w:pos="2700"/>
          <w:tab w:val="num" w:pos="1134"/>
          <w:tab w:val="num" w:pos="1728"/>
        </w:tabs>
        <w:spacing w:before="60" w:after="0"/>
        <w:ind w:left="1276" w:hanging="992"/>
        <w:jc w:val="both"/>
        <w:rPr>
          <w:rFonts w:ascii="Arial" w:hAnsi="Arial" w:cs="Arial"/>
          <w:sz w:val="22"/>
          <w:szCs w:val="22"/>
        </w:rPr>
      </w:pPr>
      <w:r w:rsidRPr="006532BE">
        <w:rPr>
          <w:rFonts w:ascii="Arial" w:hAnsi="Arial" w:cs="Arial"/>
          <w:sz w:val="22"/>
          <w:szCs w:val="22"/>
        </w:rPr>
        <w:t>Maximální počet TRX (Max # TRX)</w:t>
      </w:r>
    </w:p>
    <w:p w:rsidR="00242A0C" w:rsidRPr="006532BE" w:rsidRDefault="00242A0C" w:rsidP="0024003A">
      <w:pPr>
        <w:pStyle w:val="Zkladntext"/>
        <w:spacing w:before="60" w:after="0"/>
        <w:jc w:val="both"/>
        <w:rPr>
          <w:rFonts w:ascii="Arial" w:hAnsi="Arial" w:cs="Arial"/>
          <w:sz w:val="22"/>
          <w:szCs w:val="22"/>
        </w:rPr>
      </w:pPr>
      <w:r w:rsidRPr="006532BE">
        <w:rPr>
          <w:rFonts w:ascii="Arial" w:hAnsi="Arial" w:cs="Arial"/>
          <w:sz w:val="22"/>
          <w:szCs w:val="22"/>
        </w:rPr>
        <w:t>RNC (</w:t>
      </w:r>
      <w:proofErr w:type="spellStart"/>
      <w:r w:rsidRPr="006532BE">
        <w:rPr>
          <w:rFonts w:ascii="Arial" w:hAnsi="Arial" w:cs="Arial"/>
          <w:sz w:val="22"/>
          <w:szCs w:val="22"/>
        </w:rPr>
        <w:t>Radio</w:t>
      </w:r>
      <w:proofErr w:type="spellEnd"/>
      <w:r w:rsidRPr="006532BE">
        <w:rPr>
          <w:rFonts w:ascii="Arial" w:hAnsi="Arial" w:cs="Arial"/>
          <w:sz w:val="22"/>
          <w:szCs w:val="22"/>
        </w:rPr>
        <w:t xml:space="preserve"> Network </w:t>
      </w:r>
      <w:proofErr w:type="spellStart"/>
      <w:r w:rsidRPr="006532BE">
        <w:rPr>
          <w:rFonts w:ascii="Arial" w:hAnsi="Arial" w:cs="Arial"/>
          <w:sz w:val="22"/>
          <w:szCs w:val="22"/>
        </w:rPr>
        <w:t>Controller</w:t>
      </w:r>
      <w:proofErr w:type="spellEnd"/>
      <w:r w:rsidRPr="006532BE">
        <w:rPr>
          <w:rFonts w:ascii="Arial" w:hAnsi="Arial" w:cs="Arial"/>
          <w:sz w:val="22"/>
          <w:szCs w:val="22"/>
        </w:rPr>
        <w:t xml:space="preserve">) </w:t>
      </w:r>
    </w:p>
    <w:p w:rsidR="00242A0C" w:rsidRPr="006532BE" w:rsidRDefault="00242A0C" w:rsidP="00BE3916">
      <w:pPr>
        <w:pStyle w:val="Zkladntext"/>
        <w:numPr>
          <w:ilvl w:val="0"/>
          <w:numId w:val="9"/>
        </w:numPr>
        <w:tabs>
          <w:tab w:val="clear" w:pos="2700"/>
          <w:tab w:val="num" w:pos="1134"/>
          <w:tab w:val="num" w:pos="1728"/>
        </w:tabs>
        <w:spacing w:before="60" w:after="0"/>
        <w:ind w:left="1134" w:hanging="850"/>
        <w:jc w:val="both"/>
        <w:rPr>
          <w:rFonts w:ascii="Arial" w:hAnsi="Arial" w:cs="Arial"/>
          <w:sz w:val="22"/>
          <w:szCs w:val="22"/>
        </w:rPr>
      </w:pPr>
      <w:r w:rsidRPr="006532BE">
        <w:rPr>
          <w:rFonts w:ascii="Arial" w:hAnsi="Arial" w:cs="Arial"/>
          <w:sz w:val="22"/>
          <w:szCs w:val="22"/>
        </w:rPr>
        <w:t>Maximální datový tok</w:t>
      </w:r>
      <w:r w:rsidR="0047095F" w:rsidRPr="006532BE">
        <w:rPr>
          <w:rFonts w:ascii="Arial" w:hAnsi="Arial" w:cs="Arial"/>
          <w:sz w:val="22"/>
          <w:szCs w:val="22"/>
        </w:rPr>
        <w:t xml:space="preserve"> na </w:t>
      </w:r>
      <w:r w:rsidRPr="006532BE">
        <w:rPr>
          <w:rFonts w:ascii="Arial" w:hAnsi="Arial" w:cs="Arial"/>
          <w:sz w:val="22"/>
          <w:szCs w:val="22"/>
        </w:rPr>
        <w:t xml:space="preserve">RNC (Max data </w:t>
      </w:r>
      <w:proofErr w:type="spellStart"/>
      <w:r w:rsidRPr="006532BE">
        <w:rPr>
          <w:rFonts w:ascii="Arial" w:hAnsi="Arial" w:cs="Arial"/>
          <w:sz w:val="22"/>
          <w:szCs w:val="22"/>
        </w:rPr>
        <w:t>rate</w:t>
      </w:r>
      <w:proofErr w:type="spellEnd"/>
      <w:r w:rsidRPr="006532BE">
        <w:rPr>
          <w:rFonts w:ascii="Arial" w:hAnsi="Arial" w:cs="Arial"/>
          <w:sz w:val="22"/>
          <w:szCs w:val="22"/>
        </w:rPr>
        <w:t xml:space="preserve"> per RNC)</w:t>
      </w:r>
    </w:p>
    <w:p w:rsidR="00242A0C" w:rsidRPr="006532BE" w:rsidRDefault="00242A0C" w:rsidP="0024003A">
      <w:pPr>
        <w:pStyle w:val="Zkladntext"/>
        <w:spacing w:before="120" w:after="0"/>
        <w:jc w:val="both"/>
        <w:rPr>
          <w:rFonts w:ascii="Arial" w:hAnsi="Arial" w:cs="Arial"/>
          <w:sz w:val="22"/>
          <w:szCs w:val="22"/>
        </w:rPr>
      </w:pPr>
      <w:r w:rsidRPr="006532BE">
        <w:rPr>
          <w:rFonts w:ascii="Arial" w:hAnsi="Arial" w:cs="Arial"/>
          <w:sz w:val="22"/>
          <w:szCs w:val="22"/>
        </w:rPr>
        <w:t xml:space="preserve">MSS </w:t>
      </w:r>
    </w:p>
    <w:p w:rsidR="00242A0C" w:rsidRPr="006532BE" w:rsidRDefault="00242A0C" w:rsidP="00BE3916">
      <w:pPr>
        <w:pStyle w:val="Zkladntext"/>
        <w:numPr>
          <w:ilvl w:val="0"/>
          <w:numId w:val="9"/>
        </w:numPr>
        <w:tabs>
          <w:tab w:val="clear" w:pos="2700"/>
          <w:tab w:val="num" w:pos="1134"/>
          <w:tab w:val="num" w:pos="1728"/>
        </w:tabs>
        <w:spacing w:before="60" w:after="0"/>
        <w:ind w:left="1134" w:hanging="850"/>
        <w:jc w:val="both"/>
        <w:rPr>
          <w:rFonts w:ascii="Arial" w:hAnsi="Arial" w:cs="Arial"/>
          <w:sz w:val="22"/>
          <w:szCs w:val="22"/>
        </w:rPr>
      </w:pPr>
      <w:r w:rsidRPr="006532BE">
        <w:rPr>
          <w:rFonts w:ascii="Arial" w:hAnsi="Arial" w:cs="Arial"/>
          <w:sz w:val="22"/>
          <w:szCs w:val="22"/>
        </w:rPr>
        <w:t>Maximální počet účastníků</w:t>
      </w:r>
      <w:r w:rsidR="0047095F" w:rsidRPr="006532BE">
        <w:rPr>
          <w:rFonts w:ascii="Arial" w:hAnsi="Arial" w:cs="Arial"/>
          <w:sz w:val="22"/>
          <w:szCs w:val="22"/>
        </w:rPr>
        <w:t xml:space="preserve"> na </w:t>
      </w:r>
      <w:r w:rsidRPr="006532BE">
        <w:rPr>
          <w:rFonts w:ascii="Arial" w:hAnsi="Arial" w:cs="Arial"/>
          <w:sz w:val="22"/>
          <w:szCs w:val="22"/>
        </w:rPr>
        <w:t xml:space="preserve">ústřednu (Max # </w:t>
      </w:r>
      <w:proofErr w:type="spellStart"/>
      <w:r w:rsidRPr="006532BE">
        <w:rPr>
          <w:rFonts w:ascii="Arial" w:hAnsi="Arial" w:cs="Arial"/>
          <w:sz w:val="22"/>
          <w:szCs w:val="22"/>
        </w:rPr>
        <w:t>of</w:t>
      </w:r>
      <w:proofErr w:type="spellEnd"/>
      <w:r w:rsidRPr="006532BE">
        <w:rPr>
          <w:rFonts w:ascii="Arial" w:hAnsi="Arial" w:cs="Arial"/>
          <w:sz w:val="22"/>
          <w:szCs w:val="22"/>
        </w:rPr>
        <w:t xml:space="preserve"> </w:t>
      </w:r>
      <w:proofErr w:type="spellStart"/>
      <w:r w:rsidRPr="006532BE">
        <w:rPr>
          <w:rFonts w:ascii="Arial" w:hAnsi="Arial" w:cs="Arial"/>
          <w:sz w:val="22"/>
          <w:szCs w:val="22"/>
        </w:rPr>
        <w:t>subscribers</w:t>
      </w:r>
      <w:proofErr w:type="spellEnd"/>
      <w:r w:rsidRPr="006532BE">
        <w:rPr>
          <w:rFonts w:ascii="Arial" w:hAnsi="Arial" w:cs="Arial"/>
          <w:sz w:val="22"/>
          <w:szCs w:val="22"/>
        </w:rPr>
        <w:t>)</w:t>
      </w:r>
    </w:p>
    <w:p w:rsidR="00242A0C" w:rsidRPr="006532BE" w:rsidRDefault="00242A0C" w:rsidP="00BE3916">
      <w:pPr>
        <w:pStyle w:val="Zkladntext"/>
        <w:numPr>
          <w:ilvl w:val="0"/>
          <w:numId w:val="9"/>
        </w:numPr>
        <w:tabs>
          <w:tab w:val="clear" w:pos="2700"/>
          <w:tab w:val="num" w:pos="1134"/>
          <w:tab w:val="num" w:pos="1728"/>
        </w:tabs>
        <w:spacing w:before="60" w:after="0"/>
        <w:ind w:left="1134" w:hanging="850"/>
        <w:jc w:val="both"/>
        <w:rPr>
          <w:rFonts w:ascii="Arial" w:hAnsi="Arial" w:cs="Arial"/>
          <w:sz w:val="22"/>
          <w:szCs w:val="22"/>
        </w:rPr>
      </w:pPr>
      <w:r w:rsidRPr="006532BE">
        <w:rPr>
          <w:rFonts w:ascii="Arial" w:hAnsi="Arial" w:cs="Arial"/>
          <w:sz w:val="22"/>
          <w:szCs w:val="22"/>
        </w:rPr>
        <w:t>Maximální počet souběžných hovorů (současné hovory)</w:t>
      </w:r>
      <w:r w:rsidR="0047095F" w:rsidRPr="006532BE">
        <w:rPr>
          <w:rFonts w:ascii="Arial" w:hAnsi="Arial" w:cs="Arial"/>
          <w:sz w:val="22"/>
          <w:szCs w:val="22"/>
        </w:rPr>
        <w:t xml:space="preserve"> na </w:t>
      </w:r>
      <w:r w:rsidRPr="006532BE">
        <w:rPr>
          <w:rFonts w:ascii="Arial" w:hAnsi="Arial" w:cs="Arial"/>
          <w:sz w:val="22"/>
          <w:szCs w:val="22"/>
        </w:rPr>
        <w:t xml:space="preserve">ústřednu (Max # </w:t>
      </w:r>
      <w:proofErr w:type="spellStart"/>
      <w:r w:rsidRPr="006532BE">
        <w:rPr>
          <w:rFonts w:ascii="Arial" w:hAnsi="Arial" w:cs="Arial"/>
          <w:sz w:val="22"/>
          <w:szCs w:val="22"/>
        </w:rPr>
        <w:t>of</w:t>
      </w:r>
      <w:proofErr w:type="spellEnd"/>
      <w:r w:rsidRPr="006532BE">
        <w:rPr>
          <w:rFonts w:ascii="Arial" w:hAnsi="Arial" w:cs="Arial"/>
          <w:sz w:val="22"/>
          <w:szCs w:val="22"/>
        </w:rPr>
        <w:t xml:space="preserve"> SCC)</w:t>
      </w:r>
    </w:p>
    <w:p w:rsidR="00242A0C" w:rsidRPr="006532BE" w:rsidRDefault="00242A0C" w:rsidP="00BE3916">
      <w:pPr>
        <w:pStyle w:val="Zkladntext"/>
        <w:numPr>
          <w:ilvl w:val="0"/>
          <w:numId w:val="9"/>
        </w:numPr>
        <w:tabs>
          <w:tab w:val="clear" w:pos="2700"/>
          <w:tab w:val="num" w:pos="1134"/>
          <w:tab w:val="num" w:pos="1728"/>
        </w:tabs>
        <w:spacing w:before="60" w:after="0"/>
        <w:ind w:left="1134" w:hanging="850"/>
        <w:jc w:val="both"/>
        <w:rPr>
          <w:rFonts w:ascii="Arial" w:hAnsi="Arial" w:cs="Arial"/>
          <w:sz w:val="22"/>
          <w:szCs w:val="22"/>
        </w:rPr>
      </w:pPr>
      <w:r w:rsidRPr="006532BE">
        <w:rPr>
          <w:rFonts w:ascii="Arial" w:hAnsi="Arial" w:cs="Arial"/>
          <w:sz w:val="22"/>
          <w:szCs w:val="22"/>
        </w:rPr>
        <w:t xml:space="preserve">Maximální počet HPH </w:t>
      </w:r>
      <w:proofErr w:type="spellStart"/>
      <w:r w:rsidRPr="006532BE">
        <w:rPr>
          <w:rFonts w:ascii="Arial" w:hAnsi="Arial" w:cs="Arial"/>
          <w:sz w:val="22"/>
          <w:szCs w:val="22"/>
        </w:rPr>
        <w:t>Erlangů</w:t>
      </w:r>
      <w:proofErr w:type="spellEnd"/>
      <w:r w:rsidR="0047095F" w:rsidRPr="006532BE">
        <w:rPr>
          <w:rFonts w:ascii="Arial" w:hAnsi="Arial" w:cs="Arial"/>
          <w:sz w:val="22"/>
          <w:szCs w:val="22"/>
        </w:rPr>
        <w:t xml:space="preserve"> na </w:t>
      </w:r>
      <w:r w:rsidRPr="006532BE">
        <w:rPr>
          <w:rFonts w:ascii="Arial" w:hAnsi="Arial" w:cs="Arial"/>
          <w:sz w:val="22"/>
          <w:szCs w:val="22"/>
        </w:rPr>
        <w:t xml:space="preserve">ústřednu (Max. # </w:t>
      </w:r>
      <w:proofErr w:type="spellStart"/>
      <w:r w:rsidRPr="006532BE">
        <w:rPr>
          <w:rFonts w:ascii="Arial" w:hAnsi="Arial" w:cs="Arial"/>
          <w:sz w:val="22"/>
          <w:szCs w:val="22"/>
        </w:rPr>
        <w:t>of</w:t>
      </w:r>
      <w:proofErr w:type="spellEnd"/>
      <w:r w:rsidRPr="006532BE">
        <w:rPr>
          <w:rFonts w:ascii="Arial" w:hAnsi="Arial" w:cs="Arial"/>
          <w:sz w:val="22"/>
          <w:szCs w:val="22"/>
        </w:rPr>
        <w:t xml:space="preserve"> BHE)</w:t>
      </w:r>
    </w:p>
    <w:p w:rsidR="00242A0C" w:rsidRPr="006532BE" w:rsidRDefault="00242A0C" w:rsidP="00BE3916">
      <w:pPr>
        <w:pStyle w:val="Zkladntext"/>
        <w:numPr>
          <w:ilvl w:val="0"/>
          <w:numId w:val="9"/>
        </w:numPr>
        <w:tabs>
          <w:tab w:val="clear" w:pos="2700"/>
          <w:tab w:val="num" w:pos="1134"/>
          <w:tab w:val="num" w:pos="1728"/>
        </w:tabs>
        <w:spacing w:before="60" w:after="0"/>
        <w:ind w:left="1134" w:hanging="850"/>
        <w:jc w:val="both"/>
        <w:rPr>
          <w:rFonts w:ascii="Arial" w:hAnsi="Arial" w:cs="Arial"/>
          <w:sz w:val="22"/>
          <w:szCs w:val="22"/>
        </w:rPr>
      </w:pPr>
      <w:r w:rsidRPr="006532BE">
        <w:rPr>
          <w:rFonts w:ascii="Arial" w:hAnsi="Arial" w:cs="Arial"/>
          <w:sz w:val="22"/>
          <w:szCs w:val="22"/>
        </w:rPr>
        <w:t>Maximální počet pokusů o navázání hovoru</w:t>
      </w:r>
      <w:r w:rsidR="0047095F" w:rsidRPr="006532BE">
        <w:rPr>
          <w:rFonts w:ascii="Arial" w:hAnsi="Arial" w:cs="Arial"/>
          <w:sz w:val="22"/>
          <w:szCs w:val="22"/>
        </w:rPr>
        <w:t xml:space="preserve"> na </w:t>
      </w:r>
      <w:r w:rsidRPr="006532BE">
        <w:rPr>
          <w:rFonts w:ascii="Arial" w:hAnsi="Arial" w:cs="Arial"/>
          <w:sz w:val="22"/>
          <w:szCs w:val="22"/>
        </w:rPr>
        <w:t xml:space="preserve">ústřednu (Max. # </w:t>
      </w:r>
      <w:proofErr w:type="spellStart"/>
      <w:r w:rsidRPr="006532BE">
        <w:rPr>
          <w:rFonts w:ascii="Arial" w:hAnsi="Arial" w:cs="Arial"/>
          <w:sz w:val="22"/>
          <w:szCs w:val="22"/>
        </w:rPr>
        <w:t>of</w:t>
      </w:r>
      <w:proofErr w:type="spellEnd"/>
      <w:r w:rsidRPr="006532BE">
        <w:rPr>
          <w:rFonts w:ascii="Arial" w:hAnsi="Arial" w:cs="Arial"/>
          <w:sz w:val="22"/>
          <w:szCs w:val="22"/>
        </w:rPr>
        <w:t xml:space="preserve"> BH call </w:t>
      </w:r>
      <w:proofErr w:type="spellStart"/>
      <w:r w:rsidRPr="006532BE">
        <w:rPr>
          <w:rFonts w:ascii="Arial" w:hAnsi="Arial" w:cs="Arial"/>
          <w:sz w:val="22"/>
          <w:szCs w:val="22"/>
        </w:rPr>
        <w:t>attempts</w:t>
      </w:r>
      <w:proofErr w:type="spellEnd"/>
      <w:r w:rsidRPr="006532BE">
        <w:rPr>
          <w:rFonts w:ascii="Arial" w:hAnsi="Arial" w:cs="Arial"/>
          <w:sz w:val="22"/>
          <w:szCs w:val="22"/>
        </w:rPr>
        <w:t>)</w:t>
      </w:r>
    </w:p>
    <w:p w:rsidR="00242A0C" w:rsidRPr="006532BE" w:rsidRDefault="00242A0C" w:rsidP="0024003A">
      <w:pPr>
        <w:pStyle w:val="Zkladntext"/>
        <w:spacing w:before="60" w:after="0"/>
        <w:jc w:val="both"/>
        <w:rPr>
          <w:rFonts w:ascii="Arial" w:hAnsi="Arial" w:cs="Arial"/>
          <w:sz w:val="22"/>
          <w:szCs w:val="22"/>
        </w:rPr>
      </w:pPr>
      <w:r w:rsidRPr="006532BE">
        <w:rPr>
          <w:rFonts w:ascii="Arial" w:hAnsi="Arial" w:cs="Arial"/>
          <w:sz w:val="22"/>
          <w:szCs w:val="22"/>
        </w:rPr>
        <w:t xml:space="preserve">MGW </w:t>
      </w:r>
    </w:p>
    <w:p w:rsidR="00242A0C" w:rsidRPr="006532BE" w:rsidRDefault="00242A0C" w:rsidP="00BE3916">
      <w:pPr>
        <w:pStyle w:val="Zkladntext"/>
        <w:numPr>
          <w:ilvl w:val="0"/>
          <w:numId w:val="9"/>
        </w:numPr>
        <w:tabs>
          <w:tab w:val="clear" w:pos="2700"/>
          <w:tab w:val="num" w:pos="1134"/>
          <w:tab w:val="num" w:pos="1728"/>
        </w:tabs>
        <w:spacing w:before="60" w:after="0"/>
        <w:ind w:left="1134" w:hanging="850"/>
        <w:jc w:val="both"/>
        <w:rPr>
          <w:rFonts w:ascii="Arial" w:hAnsi="Arial" w:cs="Arial"/>
          <w:sz w:val="22"/>
          <w:szCs w:val="22"/>
        </w:rPr>
      </w:pPr>
      <w:r w:rsidRPr="006532BE">
        <w:rPr>
          <w:rFonts w:ascii="Arial" w:hAnsi="Arial" w:cs="Arial"/>
          <w:sz w:val="22"/>
          <w:szCs w:val="22"/>
        </w:rPr>
        <w:lastRenderedPageBreak/>
        <w:t>Maximální počet pokusů o navázání hovoru</w:t>
      </w:r>
      <w:r w:rsidR="0047095F" w:rsidRPr="006532BE">
        <w:rPr>
          <w:rFonts w:ascii="Arial" w:hAnsi="Arial" w:cs="Arial"/>
          <w:sz w:val="22"/>
          <w:szCs w:val="22"/>
        </w:rPr>
        <w:t xml:space="preserve"> v </w:t>
      </w:r>
      <w:r w:rsidRPr="006532BE">
        <w:rPr>
          <w:rFonts w:ascii="Arial" w:hAnsi="Arial" w:cs="Arial"/>
          <w:sz w:val="22"/>
          <w:szCs w:val="22"/>
        </w:rPr>
        <w:t>HPH</w:t>
      </w:r>
      <w:r w:rsidR="0047095F" w:rsidRPr="006532BE">
        <w:rPr>
          <w:rFonts w:ascii="Arial" w:hAnsi="Arial" w:cs="Arial"/>
          <w:sz w:val="22"/>
          <w:szCs w:val="22"/>
        </w:rPr>
        <w:t xml:space="preserve"> na </w:t>
      </w:r>
      <w:r w:rsidRPr="006532BE">
        <w:rPr>
          <w:rFonts w:ascii="Arial" w:hAnsi="Arial" w:cs="Arial"/>
          <w:sz w:val="22"/>
          <w:szCs w:val="22"/>
        </w:rPr>
        <w:t xml:space="preserve">MGW (Max. # </w:t>
      </w:r>
      <w:proofErr w:type="spellStart"/>
      <w:r w:rsidRPr="006532BE">
        <w:rPr>
          <w:rFonts w:ascii="Arial" w:hAnsi="Arial" w:cs="Arial"/>
          <w:sz w:val="22"/>
          <w:szCs w:val="22"/>
        </w:rPr>
        <w:t>of</w:t>
      </w:r>
      <w:proofErr w:type="spellEnd"/>
      <w:r w:rsidRPr="006532BE">
        <w:rPr>
          <w:rFonts w:ascii="Arial" w:hAnsi="Arial" w:cs="Arial"/>
          <w:sz w:val="22"/>
          <w:szCs w:val="22"/>
        </w:rPr>
        <w:t xml:space="preserve"> BH call </w:t>
      </w:r>
      <w:proofErr w:type="spellStart"/>
      <w:r w:rsidRPr="006532BE">
        <w:rPr>
          <w:rFonts w:ascii="Arial" w:hAnsi="Arial" w:cs="Arial"/>
          <w:sz w:val="22"/>
          <w:szCs w:val="22"/>
        </w:rPr>
        <w:t>attempts</w:t>
      </w:r>
      <w:proofErr w:type="spellEnd"/>
      <w:r w:rsidRPr="006532BE">
        <w:rPr>
          <w:rFonts w:ascii="Arial" w:hAnsi="Arial" w:cs="Arial"/>
          <w:sz w:val="22"/>
          <w:szCs w:val="22"/>
        </w:rPr>
        <w:t>)</w:t>
      </w:r>
    </w:p>
    <w:p w:rsidR="00242A0C" w:rsidRPr="006532BE" w:rsidRDefault="00242A0C" w:rsidP="00BE3916">
      <w:pPr>
        <w:pStyle w:val="Zkladntext"/>
        <w:numPr>
          <w:ilvl w:val="0"/>
          <w:numId w:val="9"/>
        </w:numPr>
        <w:tabs>
          <w:tab w:val="clear" w:pos="2700"/>
          <w:tab w:val="num" w:pos="1134"/>
          <w:tab w:val="num" w:pos="1728"/>
        </w:tabs>
        <w:spacing w:before="60" w:after="0"/>
        <w:ind w:left="1134" w:hanging="850"/>
        <w:jc w:val="both"/>
        <w:rPr>
          <w:rFonts w:ascii="Arial" w:hAnsi="Arial" w:cs="Arial"/>
          <w:sz w:val="22"/>
          <w:szCs w:val="22"/>
        </w:rPr>
      </w:pPr>
      <w:r w:rsidRPr="006532BE">
        <w:rPr>
          <w:rFonts w:ascii="Arial" w:hAnsi="Arial" w:cs="Arial"/>
          <w:sz w:val="22"/>
          <w:szCs w:val="22"/>
        </w:rPr>
        <w:t xml:space="preserve">Maximální počet HPH </w:t>
      </w:r>
      <w:proofErr w:type="spellStart"/>
      <w:r w:rsidRPr="006532BE">
        <w:rPr>
          <w:rFonts w:ascii="Arial" w:hAnsi="Arial" w:cs="Arial"/>
          <w:sz w:val="22"/>
          <w:szCs w:val="22"/>
        </w:rPr>
        <w:t>Erlangů</w:t>
      </w:r>
      <w:proofErr w:type="spellEnd"/>
      <w:r w:rsidR="0047095F" w:rsidRPr="006532BE">
        <w:rPr>
          <w:rFonts w:ascii="Arial" w:hAnsi="Arial" w:cs="Arial"/>
          <w:sz w:val="22"/>
          <w:szCs w:val="22"/>
        </w:rPr>
        <w:t xml:space="preserve"> na </w:t>
      </w:r>
      <w:r w:rsidRPr="006532BE">
        <w:rPr>
          <w:rFonts w:ascii="Arial" w:hAnsi="Arial" w:cs="Arial"/>
          <w:sz w:val="22"/>
          <w:szCs w:val="22"/>
        </w:rPr>
        <w:t xml:space="preserve">MGW (Max. # </w:t>
      </w:r>
      <w:proofErr w:type="spellStart"/>
      <w:r w:rsidRPr="006532BE">
        <w:rPr>
          <w:rFonts w:ascii="Arial" w:hAnsi="Arial" w:cs="Arial"/>
          <w:sz w:val="22"/>
          <w:szCs w:val="22"/>
        </w:rPr>
        <w:t>of</w:t>
      </w:r>
      <w:proofErr w:type="spellEnd"/>
      <w:r w:rsidRPr="006532BE">
        <w:rPr>
          <w:rFonts w:ascii="Arial" w:hAnsi="Arial" w:cs="Arial"/>
          <w:sz w:val="22"/>
          <w:szCs w:val="22"/>
        </w:rPr>
        <w:t xml:space="preserve"> BHE)</w:t>
      </w:r>
    </w:p>
    <w:p w:rsidR="00242A0C" w:rsidRPr="006532BE" w:rsidRDefault="00242A0C" w:rsidP="0024003A">
      <w:pPr>
        <w:pStyle w:val="Zkladntext"/>
        <w:numPr>
          <w:ilvl w:val="1"/>
          <w:numId w:val="8"/>
        </w:numPr>
        <w:tabs>
          <w:tab w:val="clear" w:pos="360"/>
        </w:tabs>
        <w:spacing w:before="120" w:after="60"/>
        <w:ind w:left="567" w:hanging="567"/>
        <w:jc w:val="both"/>
        <w:rPr>
          <w:rFonts w:ascii="Arial" w:hAnsi="Arial" w:cs="Arial"/>
          <w:b/>
          <w:bCs/>
          <w:i/>
          <w:sz w:val="22"/>
          <w:szCs w:val="22"/>
        </w:rPr>
      </w:pPr>
      <w:r w:rsidRPr="006532BE">
        <w:rPr>
          <w:rFonts w:ascii="Arial" w:hAnsi="Arial" w:cs="Arial"/>
          <w:b/>
          <w:bCs/>
          <w:i/>
          <w:sz w:val="22"/>
          <w:szCs w:val="22"/>
        </w:rPr>
        <w:t>Přenos</w:t>
      </w:r>
    </w:p>
    <w:p w:rsidR="00242A0C" w:rsidRPr="006532BE" w:rsidRDefault="00242A0C" w:rsidP="00BE3916">
      <w:pPr>
        <w:pStyle w:val="Zkladntext"/>
        <w:numPr>
          <w:ilvl w:val="0"/>
          <w:numId w:val="79"/>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Aglomerace</w:t>
      </w:r>
    </w:p>
    <w:p w:rsidR="00242A0C" w:rsidRPr="006532BE" w:rsidRDefault="00242A0C" w:rsidP="00BE3916">
      <w:pPr>
        <w:pStyle w:val="Zkladntext"/>
        <w:numPr>
          <w:ilvl w:val="0"/>
          <w:numId w:val="79"/>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Města</w:t>
      </w:r>
    </w:p>
    <w:p w:rsidR="00242A0C" w:rsidRPr="006532BE" w:rsidRDefault="00242A0C" w:rsidP="00BE3916">
      <w:pPr>
        <w:pStyle w:val="Zkladntext"/>
        <w:numPr>
          <w:ilvl w:val="0"/>
          <w:numId w:val="79"/>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Venkov</w:t>
      </w:r>
    </w:p>
    <w:p w:rsidR="00242A0C" w:rsidRPr="006532BE" w:rsidRDefault="00242A0C" w:rsidP="00BE3916">
      <w:pPr>
        <w:pStyle w:val="Zkladntext"/>
        <w:numPr>
          <w:ilvl w:val="0"/>
          <w:numId w:val="79"/>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Dopravní koridory</w:t>
      </w:r>
    </w:p>
    <w:p w:rsidR="00242A0C" w:rsidRPr="006532BE" w:rsidRDefault="00242A0C" w:rsidP="00BE3916">
      <w:pPr>
        <w:pStyle w:val="Zkladntext"/>
        <w:numPr>
          <w:ilvl w:val="0"/>
          <w:numId w:val="79"/>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Rekreační oblasti</w:t>
      </w:r>
    </w:p>
    <w:p w:rsidR="00242A0C" w:rsidRPr="006532BE" w:rsidRDefault="00242A0C" w:rsidP="00BE3916">
      <w:pPr>
        <w:pStyle w:val="Zkladntext"/>
        <w:numPr>
          <w:ilvl w:val="0"/>
          <w:numId w:val="79"/>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Celkem území</w:t>
      </w:r>
    </w:p>
    <w:p w:rsidR="00242A0C" w:rsidRPr="006532BE" w:rsidRDefault="00242A0C" w:rsidP="0024003A">
      <w:pPr>
        <w:pStyle w:val="Zkladntext"/>
        <w:tabs>
          <w:tab w:val="num" w:pos="720"/>
        </w:tabs>
        <w:spacing w:before="120" w:after="0"/>
        <w:jc w:val="both"/>
        <w:rPr>
          <w:rFonts w:ascii="Arial" w:hAnsi="Arial" w:cs="Arial"/>
          <w:sz w:val="22"/>
          <w:szCs w:val="22"/>
        </w:rPr>
      </w:pPr>
      <w:r w:rsidRPr="006532BE">
        <w:rPr>
          <w:rFonts w:ascii="Arial" w:hAnsi="Arial" w:cs="Arial"/>
          <w:sz w:val="22"/>
          <w:szCs w:val="22"/>
        </w:rPr>
        <w:t xml:space="preserve">Pro jednotlivé typy území uvede stanovený podnik následující parametry (sloupce): </w:t>
      </w:r>
      <w:r w:rsidR="006C4131" w:rsidRPr="006532BE">
        <w:rPr>
          <w:rFonts w:ascii="Arial" w:hAnsi="Arial" w:cs="Arial"/>
          <w:sz w:val="22"/>
          <w:szCs w:val="22"/>
        </w:rPr>
        <w:br/>
      </w:r>
      <w:r w:rsidRPr="006532BE">
        <w:rPr>
          <w:rFonts w:ascii="Arial" w:hAnsi="Arial" w:cs="Arial"/>
          <w:sz w:val="22"/>
          <w:szCs w:val="22"/>
        </w:rPr>
        <w:t>% sdílených spojů BSC/RNC – MGW (mikrovlnné spojení), Průměrný počet mikrovlnných skoků pro přístup, Průměrná vzdálenost kabelu pro přístup</w:t>
      </w:r>
      <w:r w:rsidR="0047095F" w:rsidRPr="006532BE">
        <w:rPr>
          <w:rFonts w:ascii="Arial" w:hAnsi="Arial" w:cs="Arial"/>
          <w:sz w:val="22"/>
          <w:szCs w:val="22"/>
        </w:rPr>
        <w:t xml:space="preserve"> v </w:t>
      </w:r>
      <w:r w:rsidRPr="006532BE">
        <w:rPr>
          <w:rFonts w:ascii="Arial" w:hAnsi="Arial" w:cs="Arial"/>
          <w:sz w:val="22"/>
          <w:szCs w:val="22"/>
        </w:rPr>
        <w:t>km.</w:t>
      </w:r>
    </w:p>
    <w:p w:rsidR="00242A0C" w:rsidRPr="006532BE" w:rsidRDefault="00242A0C" w:rsidP="0024003A">
      <w:pPr>
        <w:pStyle w:val="Zkladntext"/>
        <w:numPr>
          <w:ilvl w:val="1"/>
          <w:numId w:val="8"/>
        </w:numPr>
        <w:tabs>
          <w:tab w:val="clear" w:pos="360"/>
        </w:tabs>
        <w:spacing w:before="120" w:after="60"/>
        <w:ind w:left="567" w:hanging="567"/>
        <w:jc w:val="both"/>
        <w:rPr>
          <w:rFonts w:ascii="Arial" w:hAnsi="Arial" w:cs="Arial"/>
          <w:b/>
          <w:bCs/>
          <w:i/>
          <w:sz w:val="22"/>
          <w:szCs w:val="22"/>
        </w:rPr>
      </w:pPr>
      <w:r w:rsidRPr="006532BE">
        <w:rPr>
          <w:rFonts w:ascii="Arial" w:hAnsi="Arial" w:cs="Arial"/>
          <w:b/>
          <w:bCs/>
          <w:i/>
          <w:sz w:val="22"/>
          <w:szCs w:val="22"/>
        </w:rPr>
        <w:t>Současné jednotkové ceny</w:t>
      </w:r>
    </w:p>
    <w:p w:rsidR="00242A0C" w:rsidRPr="006532BE" w:rsidRDefault="00242A0C" w:rsidP="0024003A">
      <w:pPr>
        <w:pStyle w:val="Zkladntext"/>
        <w:spacing w:before="60"/>
        <w:jc w:val="both"/>
        <w:rPr>
          <w:rFonts w:ascii="Arial" w:hAnsi="Arial" w:cs="Arial"/>
          <w:bCs/>
          <w:sz w:val="22"/>
          <w:szCs w:val="22"/>
        </w:rPr>
      </w:pPr>
      <w:r w:rsidRPr="006532BE">
        <w:rPr>
          <w:rFonts w:ascii="Arial" w:hAnsi="Arial" w:cs="Arial"/>
          <w:bCs/>
          <w:sz w:val="22"/>
          <w:szCs w:val="22"/>
        </w:rPr>
        <w:t>Variabilní spektrální náklady</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Průměrný náklad mikrovlnného spoje do 4x2 Mbps (v Kč)</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Náklady</w:t>
      </w:r>
      <w:r w:rsidR="0047095F" w:rsidRPr="006532BE">
        <w:rPr>
          <w:rFonts w:ascii="Arial" w:hAnsi="Arial" w:cs="Arial"/>
          <w:sz w:val="22"/>
          <w:szCs w:val="22"/>
        </w:rPr>
        <w:t xml:space="preserve"> na </w:t>
      </w:r>
      <w:r w:rsidRPr="006532BE">
        <w:rPr>
          <w:rFonts w:ascii="Arial" w:hAnsi="Arial" w:cs="Arial"/>
          <w:sz w:val="22"/>
          <w:szCs w:val="22"/>
        </w:rPr>
        <w:t>kmitočty pro spojení BTS (Base Transceiver Station) – účastník (v Kč)</w:t>
      </w:r>
    </w:p>
    <w:p w:rsidR="00242A0C" w:rsidRPr="006532BE" w:rsidRDefault="00242A0C" w:rsidP="00FD61AC">
      <w:pPr>
        <w:pStyle w:val="Zkladntext"/>
        <w:spacing w:before="120" w:after="60"/>
        <w:jc w:val="both"/>
        <w:rPr>
          <w:rFonts w:ascii="Arial" w:hAnsi="Arial" w:cs="Arial"/>
          <w:sz w:val="22"/>
          <w:szCs w:val="22"/>
        </w:rPr>
      </w:pPr>
      <w:r w:rsidRPr="006532BE">
        <w:rPr>
          <w:rFonts w:ascii="Arial" w:hAnsi="Arial" w:cs="Arial"/>
          <w:sz w:val="22"/>
          <w:szCs w:val="22"/>
        </w:rPr>
        <w:t>Síťová aktiva (řádky)</w:t>
      </w:r>
    </w:p>
    <w:p w:rsidR="00242A0C" w:rsidRPr="006532BE" w:rsidRDefault="00242A0C" w:rsidP="00FD61AC">
      <w:pPr>
        <w:pStyle w:val="Zkladntext"/>
        <w:spacing w:before="60" w:after="0"/>
        <w:jc w:val="both"/>
        <w:rPr>
          <w:rFonts w:ascii="Arial" w:hAnsi="Arial" w:cs="Arial"/>
          <w:sz w:val="22"/>
          <w:szCs w:val="22"/>
        </w:rPr>
      </w:pPr>
      <w:r w:rsidRPr="006532BE">
        <w:rPr>
          <w:rFonts w:ascii="Arial" w:hAnsi="Arial" w:cs="Arial"/>
          <w:sz w:val="22"/>
          <w:szCs w:val="22"/>
        </w:rPr>
        <w:t>Přístup a přepínání</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Rádiová stanoviště (</w:t>
      </w:r>
      <w:proofErr w:type="spellStart"/>
      <w:r w:rsidRPr="006532BE">
        <w:rPr>
          <w:rFonts w:ascii="Arial" w:hAnsi="Arial" w:cs="Arial"/>
          <w:sz w:val="22"/>
          <w:szCs w:val="22"/>
        </w:rPr>
        <w:t>Radio</w:t>
      </w:r>
      <w:proofErr w:type="spellEnd"/>
      <w:r w:rsidRPr="006532BE">
        <w:rPr>
          <w:rFonts w:ascii="Arial" w:hAnsi="Arial" w:cs="Arial"/>
          <w:sz w:val="22"/>
          <w:szCs w:val="22"/>
        </w:rPr>
        <w:t xml:space="preserve"> Access </w:t>
      </w:r>
      <w:proofErr w:type="spellStart"/>
      <w:r w:rsidRPr="006532BE">
        <w:rPr>
          <w:rFonts w:ascii="Arial" w:hAnsi="Arial" w:cs="Arial"/>
          <w:sz w:val="22"/>
          <w:szCs w:val="22"/>
        </w:rPr>
        <w:t>Sites</w:t>
      </w:r>
      <w:proofErr w:type="spellEnd"/>
      <w:r w:rsidRPr="006532BE">
        <w:rPr>
          <w:rFonts w:ascii="Arial" w:hAnsi="Arial" w:cs="Arial"/>
          <w:sz w:val="22"/>
          <w:szCs w:val="22"/>
        </w:rPr>
        <w:t>)</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BTS (Base Transceiver Station) </w:t>
      </w:r>
      <w:proofErr w:type="spellStart"/>
      <w:r w:rsidRPr="006532BE">
        <w:rPr>
          <w:rFonts w:ascii="Arial" w:hAnsi="Arial" w:cs="Arial"/>
          <w:sz w:val="22"/>
          <w:szCs w:val="22"/>
        </w:rPr>
        <w:t>Cabinet</w:t>
      </w:r>
      <w:proofErr w:type="spellEnd"/>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TRX (Transceiver) 2G</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BSC (Base Station </w:t>
      </w:r>
      <w:proofErr w:type="spellStart"/>
      <w:r w:rsidRPr="006532BE">
        <w:rPr>
          <w:rFonts w:ascii="Arial" w:hAnsi="Arial" w:cs="Arial"/>
          <w:sz w:val="22"/>
          <w:szCs w:val="22"/>
        </w:rPr>
        <w:t>Controller</w:t>
      </w:r>
      <w:proofErr w:type="spellEnd"/>
      <w:r w:rsidRPr="006532BE">
        <w:rPr>
          <w:rFonts w:ascii="Arial" w:hAnsi="Arial" w:cs="Arial"/>
          <w:sz w:val="22"/>
          <w:szCs w:val="22"/>
        </w:rPr>
        <w:t>)</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NodeB</w:t>
      </w:r>
      <w:proofErr w:type="spellEnd"/>
      <w:r w:rsidRPr="006532BE">
        <w:rPr>
          <w:rFonts w:ascii="Arial" w:hAnsi="Arial" w:cs="Arial"/>
          <w:sz w:val="22"/>
          <w:szCs w:val="22"/>
        </w:rPr>
        <w:t xml:space="preserve"> </w:t>
      </w:r>
      <w:proofErr w:type="spellStart"/>
      <w:r w:rsidRPr="006532BE">
        <w:rPr>
          <w:rFonts w:ascii="Arial" w:hAnsi="Arial" w:cs="Arial"/>
          <w:sz w:val="22"/>
          <w:szCs w:val="22"/>
        </w:rPr>
        <w:t>Cabinet</w:t>
      </w:r>
      <w:proofErr w:type="spellEnd"/>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NodeB</w:t>
      </w:r>
      <w:proofErr w:type="spellEnd"/>
      <w:r w:rsidRPr="006532BE">
        <w:rPr>
          <w:rFonts w:ascii="Arial" w:hAnsi="Arial" w:cs="Arial"/>
          <w:sz w:val="22"/>
          <w:szCs w:val="22"/>
        </w:rPr>
        <w:t xml:space="preserve"> </w:t>
      </w:r>
      <w:proofErr w:type="spellStart"/>
      <w:r w:rsidRPr="006532BE">
        <w:rPr>
          <w:rFonts w:ascii="Arial" w:hAnsi="Arial" w:cs="Arial"/>
          <w:sz w:val="22"/>
          <w:szCs w:val="22"/>
        </w:rPr>
        <w:t>Carrier</w:t>
      </w:r>
      <w:proofErr w:type="spellEnd"/>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NodeB</w:t>
      </w:r>
      <w:proofErr w:type="spellEnd"/>
      <w:r w:rsidRPr="006532BE">
        <w:rPr>
          <w:rFonts w:ascii="Arial" w:hAnsi="Arial" w:cs="Arial"/>
          <w:sz w:val="22"/>
          <w:szCs w:val="22"/>
        </w:rPr>
        <w:t xml:space="preserve"> </w:t>
      </w:r>
      <w:proofErr w:type="spellStart"/>
      <w:r w:rsidRPr="006532BE">
        <w:rPr>
          <w:rFonts w:ascii="Arial" w:hAnsi="Arial" w:cs="Arial"/>
          <w:sz w:val="22"/>
          <w:szCs w:val="22"/>
        </w:rPr>
        <w:t>Channel</w:t>
      </w:r>
      <w:proofErr w:type="spellEnd"/>
      <w:r w:rsidRPr="006532BE">
        <w:rPr>
          <w:rFonts w:ascii="Arial" w:hAnsi="Arial" w:cs="Arial"/>
          <w:sz w:val="22"/>
          <w:szCs w:val="22"/>
        </w:rPr>
        <w:t xml:space="preserve"> </w:t>
      </w:r>
      <w:proofErr w:type="spellStart"/>
      <w:r w:rsidRPr="006532BE">
        <w:rPr>
          <w:rFonts w:ascii="Arial" w:hAnsi="Arial" w:cs="Arial"/>
          <w:sz w:val="22"/>
          <w:szCs w:val="22"/>
        </w:rPr>
        <w:t>Kit</w:t>
      </w:r>
      <w:proofErr w:type="spellEnd"/>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NodeB</w:t>
      </w:r>
      <w:proofErr w:type="spellEnd"/>
      <w:r w:rsidRPr="006532BE">
        <w:rPr>
          <w:rFonts w:ascii="Arial" w:hAnsi="Arial" w:cs="Arial"/>
          <w:sz w:val="22"/>
          <w:szCs w:val="22"/>
        </w:rPr>
        <w:t xml:space="preserve"> HSPA (</w:t>
      </w:r>
      <w:proofErr w:type="spellStart"/>
      <w:r w:rsidRPr="006532BE">
        <w:rPr>
          <w:rFonts w:ascii="Arial" w:hAnsi="Arial" w:cs="Arial"/>
          <w:sz w:val="22"/>
          <w:szCs w:val="22"/>
        </w:rPr>
        <w:t>High</w:t>
      </w:r>
      <w:proofErr w:type="spellEnd"/>
      <w:r w:rsidRPr="006532BE">
        <w:rPr>
          <w:rFonts w:ascii="Arial" w:hAnsi="Arial" w:cs="Arial"/>
          <w:sz w:val="22"/>
          <w:szCs w:val="22"/>
        </w:rPr>
        <w:t xml:space="preserve"> Speed Packet Access) Upgrade</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eNode</w:t>
      </w:r>
      <w:proofErr w:type="spellEnd"/>
      <w:r w:rsidRPr="006532BE">
        <w:rPr>
          <w:rFonts w:ascii="Arial" w:hAnsi="Arial" w:cs="Arial"/>
          <w:sz w:val="22"/>
          <w:szCs w:val="22"/>
        </w:rPr>
        <w:t xml:space="preserve"> B</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RNC (</w:t>
      </w:r>
      <w:proofErr w:type="spellStart"/>
      <w:r w:rsidRPr="006532BE">
        <w:rPr>
          <w:rFonts w:ascii="Arial" w:hAnsi="Arial" w:cs="Arial"/>
          <w:sz w:val="22"/>
          <w:szCs w:val="22"/>
        </w:rPr>
        <w:t>Radio</w:t>
      </w:r>
      <w:proofErr w:type="spellEnd"/>
      <w:r w:rsidRPr="006532BE">
        <w:rPr>
          <w:rFonts w:ascii="Arial" w:hAnsi="Arial" w:cs="Arial"/>
          <w:sz w:val="22"/>
          <w:szCs w:val="22"/>
        </w:rPr>
        <w:t xml:space="preserve"> Network </w:t>
      </w:r>
      <w:proofErr w:type="spellStart"/>
      <w:r w:rsidRPr="006532BE">
        <w:rPr>
          <w:rFonts w:ascii="Arial" w:hAnsi="Arial" w:cs="Arial"/>
          <w:sz w:val="22"/>
          <w:szCs w:val="22"/>
        </w:rPr>
        <w:t>Controller</w:t>
      </w:r>
      <w:proofErr w:type="spellEnd"/>
      <w:r w:rsidRPr="006532BE">
        <w:rPr>
          <w:rFonts w:ascii="Arial" w:hAnsi="Arial" w:cs="Arial"/>
          <w:sz w:val="22"/>
          <w:szCs w:val="22"/>
        </w:rPr>
        <w:t>)</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HLR (</w:t>
      </w:r>
      <w:proofErr w:type="spellStart"/>
      <w:r w:rsidRPr="006532BE">
        <w:rPr>
          <w:rFonts w:ascii="Arial" w:hAnsi="Arial" w:cs="Arial"/>
          <w:sz w:val="22"/>
          <w:szCs w:val="22"/>
        </w:rPr>
        <w:t>Home</w:t>
      </w:r>
      <w:proofErr w:type="spellEnd"/>
      <w:r w:rsidRPr="006532BE">
        <w:rPr>
          <w:rFonts w:ascii="Arial" w:hAnsi="Arial" w:cs="Arial"/>
          <w:sz w:val="22"/>
          <w:szCs w:val="22"/>
        </w:rPr>
        <w:t xml:space="preserve"> </w:t>
      </w:r>
      <w:proofErr w:type="spellStart"/>
      <w:r w:rsidRPr="006532BE">
        <w:rPr>
          <w:rFonts w:ascii="Arial" w:hAnsi="Arial" w:cs="Arial"/>
          <w:sz w:val="22"/>
          <w:szCs w:val="22"/>
        </w:rPr>
        <w:t>Location</w:t>
      </w:r>
      <w:proofErr w:type="spellEnd"/>
      <w:r w:rsidRPr="006532BE">
        <w:rPr>
          <w:rFonts w:ascii="Arial" w:hAnsi="Arial" w:cs="Arial"/>
          <w:sz w:val="22"/>
          <w:szCs w:val="22"/>
        </w:rPr>
        <w:t xml:space="preserve"> </w:t>
      </w:r>
      <w:proofErr w:type="spellStart"/>
      <w:r w:rsidRPr="006532BE">
        <w:rPr>
          <w:rFonts w:ascii="Arial" w:hAnsi="Arial" w:cs="Arial"/>
          <w:sz w:val="22"/>
          <w:szCs w:val="22"/>
        </w:rPr>
        <w:t>Register</w:t>
      </w:r>
      <w:proofErr w:type="spellEnd"/>
      <w:r w:rsidRPr="006532BE">
        <w:rPr>
          <w:rFonts w:ascii="Arial" w:hAnsi="Arial" w:cs="Arial"/>
          <w:sz w:val="22"/>
          <w:szCs w:val="22"/>
        </w:rPr>
        <w:t>)</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MSS (Mobile </w:t>
      </w:r>
      <w:proofErr w:type="spellStart"/>
      <w:r w:rsidRPr="006532BE">
        <w:rPr>
          <w:rFonts w:ascii="Arial" w:hAnsi="Arial" w:cs="Arial"/>
          <w:sz w:val="22"/>
          <w:szCs w:val="22"/>
        </w:rPr>
        <w:t>Switching</w:t>
      </w:r>
      <w:proofErr w:type="spellEnd"/>
      <w:r w:rsidRPr="006532BE">
        <w:rPr>
          <w:rFonts w:ascii="Arial" w:hAnsi="Arial" w:cs="Arial"/>
          <w:sz w:val="22"/>
          <w:szCs w:val="22"/>
        </w:rPr>
        <w:t xml:space="preserve"> Server)</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MGW (Media </w:t>
      </w:r>
      <w:proofErr w:type="spellStart"/>
      <w:r w:rsidRPr="006532BE">
        <w:rPr>
          <w:rFonts w:ascii="Arial" w:hAnsi="Arial" w:cs="Arial"/>
          <w:sz w:val="22"/>
          <w:szCs w:val="22"/>
        </w:rPr>
        <w:t>Gateway</w:t>
      </w:r>
      <w:proofErr w:type="spellEnd"/>
      <w:r w:rsidRPr="006532BE">
        <w:rPr>
          <w:rFonts w:ascii="Arial" w:hAnsi="Arial" w:cs="Arial"/>
          <w:sz w:val="22"/>
          <w:szCs w:val="22"/>
        </w:rPr>
        <w:t>)</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Mobile </w:t>
      </w:r>
      <w:proofErr w:type="spellStart"/>
      <w:r w:rsidRPr="006532BE">
        <w:rPr>
          <w:rFonts w:ascii="Arial" w:hAnsi="Arial" w:cs="Arial"/>
          <w:sz w:val="22"/>
          <w:szCs w:val="22"/>
        </w:rPr>
        <w:t>voicemail</w:t>
      </w:r>
      <w:proofErr w:type="spellEnd"/>
      <w:r w:rsidRPr="006532BE">
        <w:rPr>
          <w:rFonts w:ascii="Arial" w:hAnsi="Arial" w:cs="Arial"/>
          <w:sz w:val="22"/>
          <w:szCs w:val="22"/>
        </w:rPr>
        <w:t xml:space="preserve"> </w:t>
      </w:r>
      <w:proofErr w:type="spellStart"/>
      <w:r w:rsidRPr="006532BE">
        <w:rPr>
          <w:rFonts w:ascii="Arial" w:hAnsi="Arial" w:cs="Arial"/>
          <w:sz w:val="22"/>
          <w:szCs w:val="22"/>
        </w:rPr>
        <w:t>platform</w:t>
      </w:r>
      <w:proofErr w:type="spellEnd"/>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SMS Centrum</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MMS Centrum</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Inteligentní síť (</w:t>
      </w:r>
      <w:proofErr w:type="spellStart"/>
      <w:r w:rsidRPr="006532BE">
        <w:rPr>
          <w:rFonts w:ascii="Arial" w:hAnsi="Arial" w:cs="Arial"/>
          <w:sz w:val="22"/>
          <w:szCs w:val="22"/>
        </w:rPr>
        <w:t>Intelligent</w:t>
      </w:r>
      <w:proofErr w:type="spellEnd"/>
      <w:r w:rsidRPr="006532BE">
        <w:rPr>
          <w:rFonts w:ascii="Arial" w:hAnsi="Arial" w:cs="Arial"/>
          <w:sz w:val="22"/>
          <w:szCs w:val="22"/>
        </w:rPr>
        <w:t xml:space="preserve"> Network)</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SGSN </w:t>
      </w:r>
      <w:proofErr w:type="spellStart"/>
      <w:r w:rsidRPr="006532BE">
        <w:rPr>
          <w:rFonts w:ascii="Arial" w:hAnsi="Arial" w:cs="Arial"/>
          <w:sz w:val="22"/>
          <w:szCs w:val="22"/>
        </w:rPr>
        <w:t>Platform</w:t>
      </w:r>
      <w:proofErr w:type="spellEnd"/>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GGSN </w:t>
      </w:r>
      <w:proofErr w:type="spellStart"/>
      <w:r w:rsidRPr="006532BE">
        <w:rPr>
          <w:rFonts w:ascii="Arial" w:hAnsi="Arial" w:cs="Arial"/>
          <w:sz w:val="22"/>
          <w:szCs w:val="22"/>
        </w:rPr>
        <w:t>Platform</w:t>
      </w:r>
      <w:proofErr w:type="spellEnd"/>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BTS – BSC </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Node B – RNC</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eNode</w:t>
      </w:r>
      <w:proofErr w:type="spellEnd"/>
      <w:r w:rsidRPr="006532BE">
        <w:rPr>
          <w:rFonts w:ascii="Arial" w:hAnsi="Arial" w:cs="Arial"/>
          <w:sz w:val="22"/>
          <w:szCs w:val="22"/>
        </w:rPr>
        <w:t xml:space="preserve"> B – MGW </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BSC – MGW </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RNC – MGW</w:t>
      </w:r>
    </w:p>
    <w:p w:rsidR="00242A0C" w:rsidRPr="006532BE" w:rsidRDefault="00242A0C" w:rsidP="00BE3916">
      <w:pPr>
        <w:pStyle w:val="Zkladntext"/>
        <w:numPr>
          <w:ilvl w:val="0"/>
          <w:numId w:val="80"/>
        </w:numPr>
        <w:tabs>
          <w:tab w:val="num" w:pos="720"/>
        </w:tabs>
        <w:spacing w:before="60" w:after="0"/>
        <w:ind w:left="1134" w:hanging="850"/>
        <w:jc w:val="both"/>
        <w:rPr>
          <w:rFonts w:ascii="Arial" w:hAnsi="Arial" w:cs="Arial"/>
          <w:sz w:val="22"/>
          <w:szCs w:val="22"/>
        </w:rPr>
      </w:pPr>
      <w:r w:rsidRPr="006532BE">
        <w:rPr>
          <w:rFonts w:ascii="Arial" w:hAnsi="Arial" w:cs="Arial"/>
          <w:sz w:val="22"/>
          <w:szCs w:val="22"/>
        </w:rPr>
        <w:t>Propojení (</w:t>
      </w:r>
      <w:proofErr w:type="spellStart"/>
      <w:r w:rsidRPr="006532BE">
        <w:rPr>
          <w:rFonts w:ascii="Arial" w:hAnsi="Arial" w:cs="Arial"/>
          <w:sz w:val="22"/>
          <w:szCs w:val="22"/>
        </w:rPr>
        <w:t>Interconnection</w:t>
      </w:r>
      <w:proofErr w:type="spellEnd"/>
      <w:r w:rsidRPr="006532BE">
        <w:rPr>
          <w:rFonts w:ascii="Arial" w:hAnsi="Arial" w:cs="Arial"/>
          <w:sz w:val="22"/>
          <w:szCs w:val="22"/>
        </w:rPr>
        <w:t>)</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lastRenderedPageBreak/>
        <w:t xml:space="preserve">Optická vlákna </w:t>
      </w:r>
    </w:p>
    <w:p w:rsidR="00242A0C" w:rsidRPr="006532BE" w:rsidRDefault="00242A0C" w:rsidP="00BE3916">
      <w:pPr>
        <w:pStyle w:val="Zkladntext"/>
        <w:numPr>
          <w:ilvl w:val="0"/>
          <w:numId w:val="80"/>
        </w:numPr>
        <w:spacing w:before="60" w:after="0"/>
        <w:ind w:left="1134" w:hanging="850"/>
        <w:jc w:val="both"/>
        <w:rPr>
          <w:rFonts w:ascii="Arial" w:hAnsi="Arial" w:cs="Arial"/>
          <w:sz w:val="22"/>
          <w:szCs w:val="22"/>
        </w:rPr>
      </w:pPr>
      <w:r w:rsidRPr="006532BE">
        <w:rPr>
          <w:rFonts w:ascii="Arial" w:hAnsi="Arial" w:cs="Arial"/>
          <w:sz w:val="22"/>
          <w:szCs w:val="22"/>
        </w:rPr>
        <w:t>Vlákno, průměrný náklad včetně výkopu, vedení atd.</w:t>
      </w:r>
      <w:r w:rsidR="0047095F" w:rsidRPr="006532BE">
        <w:rPr>
          <w:rFonts w:ascii="Arial" w:hAnsi="Arial" w:cs="Arial"/>
          <w:sz w:val="22"/>
          <w:szCs w:val="22"/>
        </w:rPr>
        <w:t xml:space="preserve"> na </w:t>
      </w:r>
      <w:r w:rsidRPr="006532BE">
        <w:rPr>
          <w:rFonts w:ascii="Arial" w:hAnsi="Arial" w:cs="Arial"/>
          <w:sz w:val="22"/>
          <w:szCs w:val="22"/>
        </w:rPr>
        <w:t>venkově (</w:t>
      </w:r>
      <w:proofErr w:type="spellStart"/>
      <w:r w:rsidRPr="006532BE">
        <w:rPr>
          <w:rFonts w:ascii="Arial" w:hAnsi="Arial" w:cs="Arial"/>
          <w:sz w:val="22"/>
          <w:szCs w:val="22"/>
        </w:rPr>
        <w:t>Fibr</w:t>
      </w:r>
      <w:r w:rsidR="004F10D3" w:rsidRPr="006532BE">
        <w:rPr>
          <w:rFonts w:ascii="Arial" w:hAnsi="Arial" w:cs="Arial"/>
          <w:sz w:val="22"/>
          <w:szCs w:val="22"/>
        </w:rPr>
        <w:t>e</w:t>
      </w:r>
      <w:proofErr w:type="spellEnd"/>
      <w:r w:rsidRPr="006532BE">
        <w:rPr>
          <w:rFonts w:ascii="Arial" w:hAnsi="Arial" w:cs="Arial"/>
          <w:sz w:val="22"/>
          <w:szCs w:val="22"/>
        </w:rPr>
        <w:t xml:space="preserve">, </w:t>
      </w:r>
      <w:proofErr w:type="spellStart"/>
      <w:r w:rsidRPr="006532BE">
        <w:rPr>
          <w:rFonts w:ascii="Arial" w:hAnsi="Arial" w:cs="Arial"/>
          <w:sz w:val="22"/>
          <w:szCs w:val="22"/>
        </w:rPr>
        <w:t>average</w:t>
      </w:r>
      <w:proofErr w:type="spellEnd"/>
      <w:r w:rsidRPr="006532BE">
        <w:rPr>
          <w:rFonts w:ascii="Arial" w:hAnsi="Arial" w:cs="Arial"/>
          <w:sz w:val="22"/>
          <w:szCs w:val="22"/>
        </w:rPr>
        <w:t xml:space="preserve"> </w:t>
      </w:r>
      <w:proofErr w:type="spellStart"/>
      <w:r w:rsidRPr="006532BE">
        <w:rPr>
          <w:rFonts w:ascii="Arial" w:hAnsi="Arial" w:cs="Arial"/>
          <w:sz w:val="22"/>
          <w:szCs w:val="22"/>
        </w:rPr>
        <w:t>cost</w:t>
      </w:r>
      <w:proofErr w:type="spellEnd"/>
      <w:r w:rsidRPr="006532BE">
        <w:rPr>
          <w:rFonts w:ascii="Arial" w:hAnsi="Arial" w:cs="Arial"/>
          <w:sz w:val="22"/>
          <w:szCs w:val="22"/>
        </w:rPr>
        <w:t xml:space="preserve"> </w:t>
      </w:r>
      <w:proofErr w:type="spellStart"/>
      <w:r w:rsidRPr="006532BE">
        <w:rPr>
          <w:rFonts w:ascii="Arial" w:hAnsi="Arial" w:cs="Arial"/>
          <w:sz w:val="22"/>
          <w:szCs w:val="22"/>
        </w:rPr>
        <w:t>i</w:t>
      </w:r>
      <w:r w:rsidR="004F10D3" w:rsidRPr="006532BE">
        <w:rPr>
          <w:rFonts w:ascii="Arial" w:hAnsi="Arial" w:cs="Arial"/>
          <w:sz w:val="22"/>
          <w:szCs w:val="22"/>
        </w:rPr>
        <w:t>ncluding</w:t>
      </w:r>
      <w:proofErr w:type="spellEnd"/>
      <w:r w:rsidR="004F10D3" w:rsidRPr="006532BE">
        <w:rPr>
          <w:rFonts w:ascii="Arial" w:hAnsi="Arial" w:cs="Arial"/>
          <w:sz w:val="22"/>
          <w:szCs w:val="22"/>
        </w:rPr>
        <w:t xml:space="preserve"> </w:t>
      </w:r>
      <w:proofErr w:type="spellStart"/>
      <w:r w:rsidR="004F10D3" w:rsidRPr="006532BE">
        <w:rPr>
          <w:rFonts w:ascii="Arial" w:hAnsi="Arial" w:cs="Arial"/>
          <w:sz w:val="22"/>
          <w:szCs w:val="22"/>
        </w:rPr>
        <w:t>duct</w:t>
      </w:r>
      <w:proofErr w:type="spellEnd"/>
      <w:r w:rsidR="004F10D3" w:rsidRPr="006532BE">
        <w:rPr>
          <w:rFonts w:ascii="Arial" w:hAnsi="Arial" w:cs="Arial"/>
          <w:sz w:val="22"/>
          <w:szCs w:val="22"/>
        </w:rPr>
        <w:t xml:space="preserve">, </w:t>
      </w:r>
      <w:proofErr w:type="spellStart"/>
      <w:r w:rsidR="004F10D3" w:rsidRPr="006532BE">
        <w:rPr>
          <w:rFonts w:ascii="Arial" w:hAnsi="Arial" w:cs="Arial"/>
          <w:sz w:val="22"/>
          <w:szCs w:val="22"/>
        </w:rPr>
        <w:t>trench</w:t>
      </w:r>
      <w:proofErr w:type="spellEnd"/>
      <w:r w:rsidRPr="006532BE">
        <w:rPr>
          <w:rFonts w:ascii="Arial" w:hAnsi="Arial" w:cs="Arial"/>
          <w:sz w:val="22"/>
          <w:szCs w:val="22"/>
        </w:rPr>
        <w:t xml:space="preserve"> – URBAN)</w:t>
      </w:r>
    </w:p>
    <w:p w:rsidR="00242A0C" w:rsidRPr="006532BE" w:rsidRDefault="00242A0C" w:rsidP="00BE3916">
      <w:pPr>
        <w:pStyle w:val="Zkladntext"/>
        <w:numPr>
          <w:ilvl w:val="0"/>
          <w:numId w:val="80"/>
        </w:numPr>
        <w:tabs>
          <w:tab w:val="num" w:pos="1134"/>
        </w:tabs>
        <w:spacing w:before="60" w:after="0"/>
        <w:ind w:left="1134" w:hanging="850"/>
        <w:jc w:val="both"/>
        <w:rPr>
          <w:rFonts w:ascii="Arial" w:hAnsi="Arial" w:cs="Arial"/>
          <w:sz w:val="22"/>
          <w:szCs w:val="22"/>
        </w:rPr>
      </w:pPr>
      <w:r w:rsidRPr="006532BE">
        <w:rPr>
          <w:rFonts w:ascii="Arial" w:hAnsi="Arial" w:cs="Arial"/>
          <w:sz w:val="22"/>
          <w:szCs w:val="22"/>
        </w:rPr>
        <w:t>Vlákno, průměrný náklad včetně výkopu, vedení atd. ve městě (</w:t>
      </w:r>
      <w:proofErr w:type="spellStart"/>
      <w:r w:rsidRPr="006532BE">
        <w:rPr>
          <w:rFonts w:ascii="Arial" w:hAnsi="Arial" w:cs="Arial"/>
          <w:sz w:val="22"/>
          <w:szCs w:val="22"/>
        </w:rPr>
        <w:t>Fibr</w:t>
      </w:r>
      <w:r w:rsidR="004F10D3" w:rsidRPr="006532BE">
        <w:rPr>
          <w:rFonts w:ascii="Arial" w:hAnsi="Arial" w:cs="Arial"/>
          <w:sz w:val="22"/>
          <w:szCs w:val="22"/>
        </w:rPr>
        <w:t>e</w:t>
      </w:r>
      <w:proofErr w:type="spellEnd"/>
      <w:r w:rsidRPr="006532BE">
        <w:rPr>
          <w:rFonts w:ascii="Arial" w:hAnsi="Arial" w:cs="Arial"/>
          <w:sz w:val="22"/>
          <w:szCs w:val="22"/>
        </w:rPr>
        <w:t xml:space="preserve">, </w:t>
      </w:r>
      <w:proofErr w:type="spellStart"/>
      <w:r w:rsidRPr="006532BE">
        <w:rPr>
          <w:rFonts w:ascii="Arial" w:hAnsi="Arial" w:cs="Arial"/>
          <w:sz w:val="22"/>
          <w:szCs w:val="22"/>
        </w:rPr>
        <w:t>avera</w:t>
      </w:r>
      <w:r w:rsidR="004F10D3" w:rsidRPr="006532BE">
        <w:rPr>
          <w:rFonts w:ascii="Arial" w:hAnsi="Arial" w:cs="Arial"/>
          <w:sz w:val="22"/>
          <w:szCs w:val="22"/>
        </w:rPr>
        <w:t>ge</w:t>
      </w:r>
      <w:proofErr w:type="spellEnd"/>
      <w:r w:rsidR="004F10D3" w:rsidRPr="006532BE">
        <w:rPr>
          <w:rFonts w:ascii="Arial" w:hAnsi="Arial" w:cs="Arial"/>
          <w:sz w:val="22"/>
          <w:szCs w:val="22"/>
        </w:rPr>
        <w:t xml:space="preserve"> </w:t>
      </w:r>
      <w:proofErr w:type="spellStart"/>
      <w:r w:rsidR="004F10D3" w:rsidRPr="006532BE">
        <w:rPr>
          <w:rFonts w:ascii="Arial" w:hAnsi="Arial" w:cs="Arial"/>
          <w:sz w:val="22"/>
          <w:szCs w:val="22"/>
        </w:rPr>
        <w:t>cost</w:t>
      </w:r>
      <w:proofErr w:type="spellEnd"/>
      <w:r w:rsidR="004F10D3" w:rsidRPr="006532BE">
        <w:rPr>
          <w:rFonts w:ascii="Arial" w:hAnsi="Arial" w:cs="Arial"/>
          <w:sz w:val="22"/>
          <w:szCs w:val="22"/>
        </w:rPr>
        <w:t xml:space="preserve"> </w:t>
      </w:r>
      <w:proofErr w:type="spellStart"/>
      <w:r w:rsidR="004F10D3" w:rsidRPr="006532BE">
        <w:rPr>
          <w:rFonts w:ascii="Arial" w:hAnsi="Arial" w:cs="Arial"/>
          <w:sz w:val="22"/>
          <w:szCs w:val="22"/>
        </w:rPr>
        <w:t>including</w:t>
      </w:r>
      <w:proofErr w:type="spellEnd"/>
      <w:r w:rsidR="004F10D3" w:rsidRPr="006532BE">
        <w:rPr>
          <w:rFonts w:ascii="Arial" w:hAnsi="Arial" w:cs="Arial"/>
          <w:sz w:val="22"/>
          <w:szCs w:val="22"/>
        </w:rPr>
        <w:t xml:space="preserve"> </w:t>
      </w:r>
      <w:proofErr w:type="spellStart"/>
      <w:r w:rsidR="004F10D3" w:rsidRPr="006532BE">
        <w:rPr>
          <w:rFonts w:ascii="Arial" w:hAnsi="Arial" w:cs="Arial"/>
          <w:sz w:val="22"/>
          <w:szCs w:val="22"/>
        </w:rPr>
        <w:t>duct</w:t>
      </w:r>
      <w:proofErr w:type="spellEnd"/>
      <w:r w:rsidR="004F10D3" w:rsidRPr="006532BE">
        <w:rPr>
          <w:rFonts w:ascii="Arial" w:hAnsi="Arial" w:cs="Arial"/>
          <w:sz w:val="22"/>
          <w:szCs w:val="22"/>
        </w:rPr>
        <w:t xml:space="preserve">, </w:t>
      </w:r>
      <w:proofErr w:type="spellStart"/>
      <w:r w:rsidR="004F10D3" w:rsidRPr="006532BE">
        <w:rPr>
          <w:rFonts w:ascii="Arial" w:hAnsi="Arial" w:cs="Arial"/>
          <w:sz w:val="22"/>
          <w:szCs w:val="22"/>
        </w:rPr>
        <w:t>trench</w:t>
      </w:r>
      <w:proofErr w:type="spellEnd"/>
      <w:r w:rsidRPr="006532BE">
        <w:rPr>
          <w:rFonts w:ascii="Arial" w:hAnsi="Arial" w:cs="Arial"/>
          <w:sz w:val="22"/>
          <w:szCs w:val="22"/>
        </w:rPr>
        <w:t xml:space="preserve"> – RURAL)</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t>NGN přenosová zařízení</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r w:rsidRPr="006532BE">
        <w:rPr>
          <w:rFonts w:ascii="Arial" w:hAnsi="Arial" w:cs="Arial"/>
          <w:sz w:val="22"/>
          <w:szCs w:val="22"/>
        </w:rPr>
        <w:t>IP Switch</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r w:rsidRPr="006532BE">
        <w:rPr>
          <w:rFonts w:ascii="Arial" w:hAnsi="Arial" w:cs="Arial"/>
          <w:sz w:val="22"/>
          <w:szCs w:val="22"/>
        </w:rPr>
        <w:t>IP Router</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t>SDH zařízení</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STM1</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STM4</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STM16</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STM64</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t>Mikrovlny</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r w:rsidRPr="006532BE">
        <w:rPr>
          <w:rFonts w:ascii="Arial" w:hAnsi="Arial" w:cs="Arial"/>
          <w:sz w:val="22"/>
          <w:szCs w:val="22"/>
        </w:rPr>
        <w:t>Link 2 Mbit/s</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r w:rsidRPr="006532BE">
        <w:rPr>
          <w:rFonts w:ascii="Arial" w:hAnsi="Arial" w:cs="Arial"/>
          <w:sz w:val="22"/>
          <w:szCs w:val="22"/>
        </w:rPr>
        <w:t>Link 8 Mbit/s</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r w:rsidRPr="006532BE">
        <w:rPr>
          <w:rFonts w:ascii="Arial" w:hAnsi="Arial" w:cs="Arial"/>
          <w:sz w:val="22"/>
          <w:szCs w:val="22"/>
        </w:rPr>
        <w:t>Link 32 Mbit/s</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r w:rsidRPr="006532BE">
        <w:rPr>
          <w:rFonts w:ascii="Arial" w:hAnsi="Arial" w:cs="Arial"/>
          <w:sz w:val="22"/>
          <w:szCs w:val="22"/>
        </w:rPr>
        <w:t>Link 128 Mbit/s</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r w:rsidRPr="006532BE">
        <w:rPr>
          <w:rFonts w:ascii="Arial" w:hAnsi="Arial" w:cs="Arial"/>
          <w:sz w:val="22"/>
          <w:szCs w:val="22"/>
        </w:rPr>
        <w:t>Link STM-1</w:t>
      </w:r>
    </w:p>
    <w:p w:rsidR="00242A0C" w:rsidRPr="006532BE" w:rsidRDefault="00242A0C" w:rsidP="00312210">
      <w:pPr>
        <w:pStyle w:val="Zkladntext"/>
        <w:tabs>
          <w:tab w:val="left" w:pos="1134"/>
        </w:tabs>
        <w:spacing w:before="120" w:after="0"/>
        <w:ind w:left="1134" w:hanging="1134"/>
        <w:jc w:val="both"/>
        <w:rPr>
          <w:rFonts w:ascii="Arial" w:hAnsi="Arial" w:cs="Arial"/>
          <w:bCs/>
          <w:sz w:val="22"/>
          <w:szCs w:val="22"/>
        </w:rPr>
      </w:pPr>
      <w:r w:rsidRPr="006532BE">
        <w:rPr>
          <w:rFonts w:ascii="Arial" w:hAnsi="Arial" w:cs="Arial"/>
          <w:bCs/>
          <w:sz w:val="22"/>
          <w:szCs w:val="22"/>
        </w:rPr>
        <w:t>Satelit</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r w:rsidRPr="006532BE">
        <w:rPr>
          <w:rFonts w:ascii="Arial" w:hAnsi="Arial" w:cs="Arial"/>
          <w:sz w:val="22"/>
          <w:szCs w:val="22"/>
        </w:rPr>
        <w:t>Link 2 Mbit/s</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r w:rsidRPr="006532BE">
        <w:rPr>
          <w:rFonts w:ascii="Arial" w:hAnsi="Arial" w:cs="Arial"/>
          <w:sz w:val="22"/>
          <w:szCs w:val="22"/>
        </w:rPr>
        <w:t>Link 8 Mbit/s</w:t>
      </w:r>
    </w:p>
    <w:p w:rsidR="00242A0C" w:rsidRPr="006532BE" w:rsidRDefault="00242A0C" w:rsidP="00312210">
      <w:pPr>
        <w:pStyle w:val="Zkladntext"/>
        <w:numPr>
          <w:ilvl w:val="0"/>
          <w:numId w:val="80"/>
        </w:numPr>
        <w:tabs>
          <w:tab w:val="left" w:pos="1134"/>
        </w:tabs>
        <w:spacing w:before="60" w:after="0"/>
        <w:ind w:left="1134" w:hanging="850"/>
        <w:jc w:val="both"/>
        <w:rPr>
          <w:rFonts w:ascii="Arial" w:hAnsi="Arial" w:cs="Arial"/>
          <w:sz w:val="22"/>
          <w:szCs w:val="22"/>
        </w:rPr>
      </w:pPr>
      <w:r w:rsidRPr="006532BE">
        <w:rPr>
          <w:rFonts w:ascii="Arial" w:hAnsi="Arial" w:cs="Arial"/>
          <w:sz w:val="22"/>
          <w:szCs w:val="22"/>
        </w:rPr>
        <w:t xml:space="preserve">Link 32 Mbit/s </w:t>
      </w:r>
    </w:p>
    <w:p w:rsidR="00242A0C" w:rsidRPr="006532BE" w:rsidRDefault="00242A0C" w:rsidP="00312210">
      <w:pPr>
        <w:pStyle w:val="Zkladntext"/>
        <w:numPr>
          <w:ilvl w:val="0"/>
          <w:numId w:val="80"/>
        </w:numPr>
        <w:tabs>
          <w:tab w:val="left" w:pos="1134"/>
          <w:tab w:val="num" w:pos="1276"/>
        </w:tabs>
        <w:spacing w:before="60" w:after="0"/>
        <w:ind w:left="1134" w:hanging="850"/>
        <w:jc w:val="both"/>
        <w:rPr>
          <w:rFonts w:ascii="Arial" w:hAnsi="Arial" w:cs="Arial"/>
          <w:sz w:val="22"/>
          <w:szCs w:val="22"/>
        </w:rPr>
      </w:pPr>
      <w:r w:rsidRPr="006532BE">
        <w:rPr>
          <w:rFonts w:ascii="Arial" w:hAnsi="Arial" w:cs="Arial"/>
          <w:sz w:val="22"/>
          <w:szCs w:val="22"/>
        </w:rPr>
        <w:t>Link 128 Mbit/s</w:t>
      </w:r>
    </w:p>
    <w:p w:rsidR="00242A0C" w:rsidRPr="006532BE" w:rsidRDefault="00242A0C" w:rsidP="0024003A">
      <w:pPr>
        <w:pStyle w:val="Zkladntext"/>
        <w:spacing w:before="120" w:after="0"/>
        <w:jc w:val="both"/>
        <w:rPr>
          <w:rFonts w:ascii="Arial" w:hAnsi="Arial" w:cs="Arial"/>
          <w:sz w:val="22"/>
          <w:szCs w:val="22"/>
        </w:rPr>
      </w:pPr>
      <w:r w:rsidRPr="006532BE">
        <w:rPr>
          <w:rFonts w:ascii="Arial" w:hAnsi="Arial" w:cs="Arial"/>
          <w:sz w:val="22"/>
          <w:szCs w:val="22"/>
        </w:rPr>
        <w:t>Pro výše uvedená síťová aktiva se sledují následující parametry (sloupce): Základní jednotková cena, Cenový trend, Životnost aktiva, Doba obstarání (průměrná doba</w:t>
      </w:r>
      <w:r w:rsidR="0047095F" w:rsidRPr="006532BE">
        <w:rPr>
          <w:rFonts w:ascii="Arial" w:hAnsi="Arial" w:cs="Arial"/>
          <w:sz w:val="22"/>
          <w:szCs w:val="22"/>
        </w:rPr>
        <w:t xml:space="preserve"> od </w:t>
      </w:r>
      <w:r w:rsidRPr="006532BE">
        <w:rPr>
          <w:rFonts w:ascii="Arial" w:hAnsi="Arial" w:cs="Arial"/>
          <w:sz w:val="22"/>
          <w:szCs w:val="22"/>
        </w:rPr>
        <w:t>obstarání do zařazení do užívání).</w:t>
      </w:r>
    </w:p>
    <w:p w:rsidR="00242A0C" w:rsidRPr="006532BE" w:rsidRDefault="00242A0C" w:rsidP="006C13C0">
      <w:pPr>
        <w:pStyle w:val="Zkladntext"/>
        <w:numPr>
          <w:ilvl w:val="1"/>
          <w:numId w:val="8"/>
        </w:numPr>
        <w:tabs>
          <w:tab w:val="clear" w:pos="360"/>
        </w:tabs>
        <w:spacing w:before="120" w:after="60"/>
        <w:ind w:left="567" w:hanging="567"/>
        <w:jc w:val="both"/>
        <w:rPr>
          <w:rFonts w:ascii="Arial" w:hAnsi="Arial" w:cs="Arial"/>
          <w:b/>
          <w:bCs/>
          <w:i/>
          <w:sz w:val="22"/>
          <w:szCs w:val="22"/>
        </w:rPr>
      </w:pPr>
      <w:r w:rsidRPr="006532BE">
        <w:rPr>
          <w:rFonts w:ascii="Arial" w:hAnsi="Arial" w:cs="Arial"/>
          <w:b/>
          <w:bCs/>
          <w:i/>
          <w:sz w:val="22"/>
          <w:szCs w:val="22"/>
        </w:rPr>
        <w:t>Přirážka (</w:t>
      </w:r>
      <w:proofErr w:type="spellStart"/>
      <w:r w:rsidRPr="006532BE">
        <w:rPr>
          <w:rFonts w:ascii="Arial" w:hAnsi="Arial" w:cs="Arial"/>
          <w:b/>
          <w:bCs/>
          <w:i/>
          <w:sz w:val="22"/>
          <w:szCs w:val="22"/>
        </w:rPr>
        <w:t>mark</w:t>
      </w:r>
      <w:proofErr w:type="spellEnd"/>
      <w:r w:rsidRPr="006532BE">
        <w:rPr>
          <w:rFonts w:ascii="Arial" w:hAnsi="Arial" w:cs="Arial"/>
          <w:b/>
          <w:bCs/>
          <w:i/>
          <w:sz w:val="22"/>
          <w:szCs w:val="22"/>
        </w:rPr>
        <w:t>-up) pro velkoobchodní služby a síťový OPEX</w:t>
      </w:r>
    </w:p>
    <w:p w:rsidR="00242A0C" w:rsidRPr="006532BE" w:rsidRDefault="00242A0C" w:rsidP="00E13CDB">
      <w:pPr>
        <w:pStyle w:val="Zkladntext"/>
        <w:numPr>
          <w:ilvl w:val="0"/>
          <w:numId w:val="81"/>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 xml:space="preserve">Mark-up </w:t>
      </w:r>
      <w:proofErr w:type="spellStart"/>
      <w:r w:rsidRPr="006532BE">
        <w:rPr>
          <w:rFonts w:ascii="Arial" w:hAnsi="Arial" w:cs="Arial"/>
          <w:sz w:val="22"/>
          <w:szCs w:val="22"/>
        </w:rPr>
        <w:t>Opex</w:t>
      </w:r>
      <w:proofErr w:type="spellEnd"/>
      <w:r w:rsidRPr="006532BE">
        <w:rPr>
          <w:rFonts w:ascii="Arial" w:hAnsi="Arial" w:cs="Arial"/>
          <w:sz w:val="22"/>
          <w:szCs w:val="22"/>
        </w:rPr>
        <w:t xml:space="preserve"> přenosová média</w:t>
      </w:r>
    </w:p>
    <w:p w:rsidR="00242A0C" w:rsidRPr="006532BE" w:rsidRDefault="00242A0C" w:rsidP="00E13CDB">
      <w:pPr>
        <w:pStyle w:val="Zkladntext"/>
        <w:numPr>
          <w:ilvl w:val="0"/>
          <w:numId w:val="81"/>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 xml:space="preserve">Mark-up </w:t>
      </w:r>
      <w:proofErr w:type="spellStart"/>
      <w:r w:rsidRPr="006532BE">
        <w:rPr>
          <w:rFonts w:ascii="Arial" w:hAnsi="Arial" w:cs="Arial"/>
          <w:sz w:val="22"/>
          <w:szCs w:val="22"/>
        </w:rPr>
        <w:t>Opex</w:t>
      </w:r>
      <w:proofErr w:type="spellEnd"/>
      <w:r w:rsidRPr="006532BE">
        <w:rPr>
          <w:rFonts w:ascii="Arial" w:hAnsi="Arial" w:cs="Arial"/>
          <w:sz w:val="22"/>
          <w:szCs w:val="22"/>
        </w:rPr>
        <w:t xml:space="preserve"> síťové prvky </w:t>
      </w:r>
      <w:proofErr w:type="spellStart"/>
      <w:r w:rsidRPr="006532BE">
        <w:rPr>
          <w:rFonts w:ascii="Arial" w:hAnsi="Arial" w:cs="Arial"/>
          <w:sz w:val="22"/>
          <w:szCs w:val="22"/>
        </w:rPr>
        <w:t>Backbone</w:t>
      </w:r>
      <w:proofErr w:type="spellEnd"/>
    </w:p>
    <w:p w:rsidR="00242A0C" w:rsidRPr="006532BE" w:rsidRDefault="00242A0C" w:rsidP="00E13CDB">
      <w:pPr>
        <w:pStyle w:val="Zkladntext"/>
        <w:numPr>
          <w:ilvl w:val="0"/>
          <w:numId w:val="81"/>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 xml:space="preserve">Mark-up </w:t>
      </w:r>
      <w:proofErr w:type="spellStart"/>
      <w:r w:rsidRPr="006532BE">
        <w:rPr>
          <w:rFonts w:ascii="Arial" w:hAnsi="Arial" w:cs="Arial"/>
          <w:sz w:val="22"/>
          <w:szCs w:val="22"/>
        </w:rPr>
        <w:t>Opex</w:t>
      </w:r>
      <w:proofErr w:type="spellEnd"/>
      <w:r w:rsidRPr="006532BE">
        <w:rPr>
          <w:rFonts w:ascii="Arial" w:hAnsi="Arial" w:cs="Arial"/>
          <w:sz w:val="22"/>
          <w:szCs w:val="22"/>
        </w:rPr>
        <w:t xml:space="preserve"> síťové prvky RAN</w:t>
      </w:r>
    </w:p>
    <w:p w:rsidR="00242A0C" w:rsidRPr="006532BE" w:rsidRDefault="00242A0C" w:rsidP="00E13CDB">
      <w:pPr>
        <w:pStyle w:val="Zkladntext"/>
        <w:numPr>
          <w:ilvl w:val="0"/>
          <w:numId w:val="81"/>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Mark-up nepřímá aktiva</w:t>
      </w:r>
    </w:p>
    <w:p w:rsidR="00242A0C" w:rsidRPr="006532BE" w:rsidRDefault="00242A0C" w:rsidP="00E13CDB">
      <w:pPr>
        <w:pStyle w:val="Zkladntext"/>
        <w:numPr>
          <w:ilvl w:val="0"/>
          <w:numId w:val="81"/>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 xml:space="preserve">Mark-up pro velkoobchodní </w:t>
      </w:r>
      <w:proofErr w:type="spellStart"/>
      <w:r w:rsidRPr="006532BE">
        <w:rPr>
          <w:rFonts w:ascii="Arial" w:hAnsi="Arial" w:cs="Arial"/>
          <w:sz w:val="22"/>
          <w:szCs w:val="22"/>
        </w:rPr>
        <w:t>billing</w:t>
      </w:r>
      <w:proofErr w:type="spellEnd"/>
      <w:r w:rsidRPr="006532BE">
        <w:rPr>
          <w:rFonts w:ascii="Arial" w:hAnsi="Arial" w:cs="Arial"/>
          <w:sz w:val="22"/>
          <w:szCs w:val="22"/>
        </w:rPr>
        <w:t xml:space="preserve"> (Wholesale </w:t>
      </w:r>
      <w:proofErr w:type="spellStart"/>
      <w:r w:rsidRPr="006532BE">
        <w:rPr>
          <w:rFonts w:ascii="Arial" w:hAnsi="Arial" w:cs="Arial"/>
          <w:sz w:val="22"/>
          <w:szCs w:val="22"/>
        </w:rPr>
        <w:t>Billing</w:t>
      </w:r>
      <w:proofErr w:type="spellEnd"/>
      <w:r w:rsidRPr="006532BE">
        <w:rPr>
          <w:rFonts w:ascii="Arial" w:hAnsi="Arial" w:cs="Arial"/>
          <w:sz w:val="22"/>
          <w:szCs w:val="22"/>
        </w:rPr>
        <w:t>)</w:t>
      </w:r>
    </w:p>
    <w:p w:rsidR="00242A0C" w:rsidRPr="006532BE" w:rsidRDefault="00242A0C" w:rsidP="00E13CDB">
      <w:pPr>
        <w:pStyle w:val="Zkladntext"/>
        <w:numPr>
          <w:ilvl w:val="0"/>
          <w:numId w:val="81"/>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Mark-up pracovní kapitál</w:t>
      </w:r>
    </w:p>
    <w:p w:rsidR="00242A0C" w:rsidRPr="006532BE" w:rsidRDefault="00242A0C" w:rsidP="006C13C0">
      <w:pPr>
        <w:pStyle w:val="Zkladntext"/>
        <w:spacing w:before="120" w:after="60"/>
        <w:ind w:left="567" w:hanging="567"/>
        <w:jc w:val="both"/>
        <w:rPr>
          <w:rFonts w:ascii="Arial" w:hAnsi="Arial" w:cs="Arial"/>
          <w:b/>
          <w:bCs/>
          <w:i/>
          <w:sz w:val="22"/>
          <w:szCs w:val="22"/>
        </w:rPr>
      </w:pPr>
      <w:r w:rsidRPr="006532BE">
        <w:rPr>
          <w:rFonts w:ascii="Arial" w:hAnsi="Arial" w:cs="Arial"/>
          <w:b/>
          <w:bCs/>
          <w:i/>
          <w:sz w:val="22"/>
          <w:szCs w:val="22"/>
        </w:rPr>
        <w:t>0.14</w:t>
      </w:r>
      <w:r w:rsidRPr="006532BE">
        <w:rPr>
          <w:rFonts w:ascii="Arial" w:hAnsi="Arial" w:cs="Arial"/>
          <w:b/>
          <w:bCs/>
          <w:i/>
          <w:sz w:val="22"/>
          <w:szCs w:val="22"/>
        </w:rPr>
        <w:tab/>
        <w:t>Anualizace radiových nákladů a nákladů</w:t>
      </w:r>
      <w:r w:rsidR="0047095F" w:rsidRPr="006532BE">
        <w:rPr>
          <w:rFonts w:ascii="Arial" w:hAnsi="Arial" w:cs="Arial"/>
          <w:b/>
          <w:bCs/>
          <w:i/>
          <w:sz w:val="22"/>
          <w:szCs w:val="22"/>
        </w:rPr>
        <w:t xml:space="preserve"> na </w:t>
      </w:r>
      <w:r w:rsidRPr="006532BE">
        <w:rPr>
          <w:rFonts w:ascii="Arial" w:hAnsi="Arial" w:cs="Arial"/>
          <w:b/>
          <w:bCs/>
          <w:i/>
          <w:sz w:val="22"/>
          <w:szCs w:val="22"/>
        </w:rPr>
        <w:t>spojování - počet zařízení</w:t>
      </w:r>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Radiová stanoviště (</w:t>
      </w:r>
      <w:proofErr w:type="spellStart"/>
      <w:r w:rsidRPr="006532BE">
        <w:rPr>
          <w:rFonts w:ascii="Arial" w:hAnsi="Arial" w:cs="Arial"/>
          <w:sz w:val="22"/>
          <w:szCs w:val="22"/>
        </w:rPr>
        <w:t>Radio</w:t>
      </w:r>
      <w:proofErr w:type="spellEnd"/>
      <w:r w:rsidRPr="006532BE">
        <w:rPr>
          <w:rFonts w:ascii="Arial" w:hAnsi="Arial" w:cs="Arial"/>
          <w:sz w:val="22"/>
          <w:szCs w:val="22"/>
        </w:rPr>
        <w:t xml:space="preserve"> Access </w:t>
      </w:r>
      <w:proofErr w:type="spellStart"/>
      <w:r w:rsidRPr="006532BE">
        <w:rPr>
          <w:rFonts w:ascii="Arial" w:hAnsi="Arial" w:cs="Arial"/>
          <w:sz w:val="22"/>
          <w:szCs w:val="22"/>
        </w:rPr>
        <w:t>Sites</w:t>
      </w:r>
      <w:proofErr w:type="spellEnd"/>
      <w:r w:rsidRPr="006532BE">
        <w:rPr>
          <w:rFonts w:ascii="Arial" w:hAnsi="Arial" w:cs="Arial"/>
          <w:sz w:val="22"/>
          <w:szCs w:val="22"/>
        </w:rPr>
        <w:t>)</w:t>
      </w:r>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 xml:space="preserve">BTS </w:t>
      </w:r>
      <w:proofErr w:type="spellStart"/>
      <w:r w:rsidRPr="006532BE">
        <w:rPr>
          <w:rFonts w:ascii="Arial" w:hAnsi="Arial" w:cs="Arial"/>
          <w:sz w:val="22"/>
          <w:szCs w:val="22"/>
        </w:rPr>
        <w:t>Cabinet</w:t>
      </w:r>
      <w:proofErr w:type="spellEnd"/>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TRX 2G</w:t>
      </w:r>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BSC</w:t>
      </w:r>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NodeB</w:t>
      </w:r>
      <w:proofErr w:type="spellEnd"/>
      <w:r w:rsidRPr="006532BE">
        <w:rPr>
          <w:rFonts w:ascii="Arial" w:hAnsi="Arial" w:cs="Arial"/>
          <w:sz w:val="22"/>
          <w:szCs w:val="22"/>
        </w:rPr>
        <w:t xml:space="preserve"> </w:t>
      </w:r>
      <w:proofErr w:type="spellStart"/>
      <w:r w:rsidRPr="006532BE">
        <w:rPr>
          <w:rFonts w:ascii="Arial" w:hAnsi="Arial" w:cs="Arial"/>
          <w:sz w:val="22"/>
          <w:szCs w:val="22"/>
        </w:rPr>
        <w:t>Cabinet</w:t>
      </w:r>
      <w:proofErr w:type="spellEnd"/>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NodeB</w:t>
      </w:r>
      <w:proofErr w:type="spellEnd"/>
      <w:r w:rsidRPr="006532BE">
        <w:rPr>
          <w:rFonts w:ascii="Arial" w:hAnsi="Arial" w:cs="Arial"/>
          <w:sz w:val="22"/>
          <w:szCs w:val="22"/>
        </w:rPr>
        <w:t xml:space="preserve"> </w:t>
      </w:r>
      <w:proofErr w:type="spellStart"/>
      <w:r w:rsidRPr="006532BE">
        <w:rPr>
          <w:rFonts w:ascii="Arial" w:hAnsi="Arial" w:cs="Arial"/>
          <w:sz w:val="22"/>
          <w:szCs w:val="22"/>
        </w:rPr>
        <w:t>Carrier</w:t>
      </w:r>
      <w:proofErr w:type="spellEnd"/>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NodeB</w:t>
      </w:r>
      <w:proofErr w:type="spellEnd"/>
      <w:r w:rsidRPr="006532BE">
        <w:rPr>
          <w:rFonts w:ascii="Arial" w:hAnsi="Arial" w:cs="Arial"/>
          <w:sz w:val="22"/>
          <w:szCs w:val="22"/>
        </w:rPr>
        <w:t xml:space="preserve"> </w:t>
      </w:r>
      <w:proofErr w:type="spellStart"/>
      <w:r w:rsidRPr="006532BE">
        <w:rPr>
          <w:rFonts w:ascii="Arial" w:hAnsi="Arial" w:cs="Arial"/>
          <w:sz w:val="22"/>
          <w:szCs w:val="22"/>
        </w:rPr>
        <w:t>Channel</w:t>
      </w:r>
      <w:proofErr w:type="spellEnd"/>
      <w:r w:rsidRPr="006532BE">
        <w:rPr>
          <w:rFonts w:ascii="Arial" w:hAnsi="Arial" w:cs="Arial"/>
          <w:sz w:val="22"/>
          <w:szCs w:val="22"/>
        </w:rPr>
        <w:t xml:space="preserve"> </w:t>
      </w:r>
      <w:proofErr w:type="spellStart"/>
      <w:r w:rsidRPr="006532BE">
        <w:rPr>
          <w:rFonts w:ascii="Arial" w:hAnsi="Arial" w:cs="Arial"/>
          <w:sz w:val="22"/>
          <w:szCs w:val="22"/>
        </w:rPr>
        <w:t>Kit</w:t>
      </w:r>
      <w:proofErr w:type="spellEnd"/>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NodeB</w:t>
      </w:r>
      <w:proofErr w:type="spellEnd"/>
      <w:r w:rsidRPr="006532BE">
        <w:rPr>
          <w:rFonts w:ascii="Arial" w:hAnsi="Arial" w:cs="Arial"/>
          <w:sz w:val="22"/>
          <w:szCs w:val="22"/>
        </w:rPr>
        <w:t xml:space="preserve"> HSPA Upgrade</w:t>
      </w:r>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eNode</w:t>
      </w:r>
      <w:proofErr w:type="spellEnd"/>
      <w:r w:rsidRPr="006532BE">
        <w:rPr>
          <w:rFonts w:ascii="Arial" w:hAnsi="Arial" w:cs="Arial"/>
          <w:sz w:val="22"/>
          <w:szCs w:val="22"/>
        </w:rPr>
        <w:t xml:space="preserve"> B</w:t>
      </w:r>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RNC</w:t>
      </w:r>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lastRenderedPageBreak/>
        <w:t>HLR</w:t>
      </w:r>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MSS</w:t>
      </w:r>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MGW</w:t>
      </w:r>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 xml:space="preserve">Mobile </w:t>
      </w:r>
      <w:proofErr w:type="spellStart"/>
      <w:r w:rsidRPr="006532BE">
        <w:rPr>
          <w:rFonts w:ascii="Arial" w:hAnsi="Arial" w:cs="Arial"/>
          <w:sz w:val="22"/>
          <w:szCs w:val="22"/>
        </w:rPr>
        <w:t>voicemail</w:t>
      </w:r>
      <w:proofErr w:type="spellEnd"/>
      <w:r w:rsidRPr="006532BE">
        <w:rPr>
          <w:rFonts w:ascii="Arial" w:hAnsi="Arial" w:cs="Arial"/>
          <w:sz w:val="22"/>
          <w:szCs w:val="22"/>
        </w:rPr>
        <w:t xml:space="preserve"> </w:t>
      </w:r>
      <w:proofErr w:type="spellStart"/>
      <w:r w:rsidRPr="006532BE">
        <w:rPr>
          <w:rFonts w:ascii="Arial" w:hAnsi="Arial" w:cs="Arial"/>
          <w:sz w:val="22"/>
          <w:szCs w:val="22"/>
        </w:rPr>
        <w:t>platform</w:t>
      </w:r>
      <w:proofErr w:type="spellEnd"/>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SMS Centrum</w:t>
      </w:r>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MMS Centrum</w:t>
      </w:r>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Inteligentní síť (</w:t>
      </w:r>
      <w:proofErr w:type="spellStart"/>
      <w:r w:rsidRPr="006532BE">
        <w:rPr>
          <w:rFonts w:ascii="Arial" w:hAnsi="Arial" w:cs="Arial"/>
          <w:sz w:val="22"/>
          <w:szCs w:val="22"/>
        </w:rPr>
        <w:t>Intelligent</w:t>
      </w:r>
      <w:proofErr w:type="spellEnd"/>
      <w:r w:rsidRPr="006532BE">
        <w:rPr>
          <w:rFonts w:ascii="Arial" w:hAnsi="Arial" w:cs="Arial"/>
          <w:sz w:val="22"/>
          <w:szCs w:val="22"/>
        </w:rPr>
        <w:t xml:space="preserve"> Network)</w:t>
      </w:r>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 xml:space="preserve">SGSN </w:t>
      </w:r>
      <w:proofErr w:type="spellStart"/>
      <w:r w:rsidRPr="006532BE">
        <w:rPr>
          <w:rFonts w:ascii="Arial" w:hAnsi="Arial" w:cs="Arial"/>
          <w:sz w:val="22"/>
          <w:szCs w:val="22"/>
        </w:rPr>
        <w:t>Platform</w:t>
      </w:r>
      <w:proofErr w:type="spellEnd"/>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 xml:space="preserve">GGSN </w:t>
      </w:r>
      <w:proofErr w:type="spellStart"/>
      <w:r w:rsidRPr="006532BE">
        <w:rPr>
          <w:rFonts w:ascii="Arial" w:hAnsi="Arial" w:cs="Arial"/>
          <w:sz w:val="22"/>
          <w:szCs w:val="22"/>
        </w:rPr>
        <w:t>Platform</w:t>
      </w:r>
      <w:proofErr w:type="spellEnd"/>
    </w:p>
    <w:p w:rsidR="00242A0C" w:rsidRPr="006532BE" w:rsidRDefault="00242A0C" w:rsidP="00E13CDB">
      <w:pPr>
        <w:pStyle w:val="Zkladntext"/>
        <w:numPr>
          <w:ilvl w:val="0"/>
          <w:numId w:val="8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Propojování (</w:t>
      </w:r>
      <w:proofErr w:type="spellStart"/>
      <w:r w:rsidRPr="006532BE">
        <w:rPr>
          <w:rFonts w:ascii="Arial" w:hAnsi="Arial" w:cs="Arial"/>
          <w:sz w:val="22"/>
          <w:szCs w:val="22"/>
        </w:rPr>
        <w:t>Interconnection</w:t>
      </w:r>
      <w:proofErr w:type="spellEnd"/>
      <w:r w:rsidRPr="006532BE">
        <w:rPr>
          <w:rFonts w:ascii="Arial" w:hAnsi="Arial" w:cs="Arial"/>
          <w:sz w:val="22"/>
          <w:szCs w:val="22"/>
        </w:rPr>
        <w:t>)</w:t>
      </w:r>
    </w:p>
    <w:p w:rsidR="00242A0C" w:rsidRPr="006532BE" w:rsidRDefault="00242A0C" w:rsidP="006C13C0">
      <w:pPr>
        <w:pStyle w:val="Zkladntext"/>
        <w:spacing w:before="120" w:after="60"/>
        <w:ind w:left="567" w:hanging="567"/>
        <w:jc w:val="both"/>
        <w:rPr>
          <w:rFonts w:ascii="Arial" w:hAnsi="Arial" w:cs="Arial"/>
          <w:b/>
          <w:i/>
          <w:sz w:val="22"/>
          <w:szCs w:val="22"/>
        </w:rPr>
      </w:pPr>
      <w:r w:rsidRPr="006532BE">
        <w:rPr>
          <w:rFonts w:ascii="Arial" w:hAnsi="Arial" w:cs="Arial"/>
          <w:b/>
          <w:i/>
          <w:sz w:val="22"/>
          <w:szCs w:val="22"/>
        </w:rPr>
        <w:t xml:space="preserve">0.15 </w:t>
      </w:r>
      <w:r w:rsidRPr="006532BE">
        <w:rPr>
          <w:rFonts w:ascii="Arial" w:hAnsi="Arial" w:cs="Arial"/>
          <w:b/>
          <w:i/>
          <w:sz w:val="22"/>
          <w:szCs w:val="22"/>
        </w:rPr>
        <w:tab/>
        <w:t>Anualizace nákladů</w:t>
      </w:r>
      <w:r w:rsidR="0047095F" w:rsidRPr="006532BE">
        <w:rPr>
          <w:rFonts w:ascii="Arial" w:hAnsi="Arial" w:cs="Arial"/>
          <w:b/>
          <w:i/>
          <w:sz w:val="22"/>
          <w:szCs w:val="22"/>
        </w:rPr>
        <w:t xml:space="preserve"> na </w:t>
      </w:r>
      <w:r w:rsidRPr="006532BE">
        <w:rPr>
          <w:rFonts w:ascii="Arial" w:hAnsi="Arial" w:cs="Arial"/>
          <w:b/>
          <w:i/>
          <w:sz w:val="22"/>
          <w:szCs w:val="22"/>
        </w:rPr>
        <w:t>přenos – počet zařízení</w:t>
      </w:r>
    </w:p>
    <w:p w:rsidR="00242A0C" w:rsidRPr="006532BE" w:rsidRDefault="00242A0C" w:rsidP="0024003A">
      <w:pPr>
        <w:pStyle w:val="Zkladntext"/>
        <w:spacing w:before="60" w:after="0"/>
        <w:jc w:val="both"/>
        <w:rPr>
          <w:rFonts w:ascii="Arial" w:hAnsi="Arial" w:cs="Arial"/>
          <w:sz w:val="22"/>
          <w:szCs w:val="22"/>
        </w:rPr>
      </w:pPr>
      <w:r w:rsidRPr="006532BE">
        <w:rPr>
          <w:rFonts w:ascii="Arial" w:hAnsi="Arial" w:cs="Arial"/>
          <w:sz w:val="22"/>
          <w:szCs w:val="22"/>
        </w:rPr>
        <w:t>BTS/</w:t>
      </w:r>
      <w:proofErr w:type="spellStart"/>
      <w:r w:rsidRPr="006532BE">
        <w:rPr>
          <w:rFonts w:ascii="Arial" w:hAnsi="Arial" w:cs="Arial"/>
          <w:sz w:val="22"/>
          <w:szCs w:val="22"/>
        </w:rPr>
        <w:t>NodeB</w:t>
      </w:r>
      <w:proofErr w:type="spellEnd"/>
      <w:r w:rsidRPr="006532BE">
        <w:rPr>
          <w:rFonts w:ascii="Arial" w:hAnsi="Arial" w:cs="Arial"/>
          <w:sz w:val="22"/>
          <w:szCs w:val="22"/>
        </w:rPr>
        <w:t xml:space="preserve"> – BSC/RNC</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Optické vlákno (v km)</w:t>
      </w:r>
    </w:p>
    <w:p w:rsidR="00242A0C" w:rsidRPr="006532BE" w:rsidRDefault="00242A0C" w:rsidP="0024003A">
      <w:pPr>
        <w:pStyle w:val="Zkladntext"/>
        <w:spacing w:before="120" w:after="0"/>
        <w:jc w:val="both"/>
        <w:rPr>
          <w:rFonts w:ascii="Arial" w:hAnsi="Arial" w:cs="Arial"/>
          <w:sz w:val="22"/>
          <w:szCs w:val="22"/>
        </w:rPr>
      </w:pPr>
      <w:r w:rsidRPr="006532BE">
        <w:rPr>
          <w:rFonts w:ascii="Arial" w:hAnsi="Arial" w:cs="Arial"/>
          <w:bCs/>
          <w:sz w:val="22"/>
          <w:szCs w:val="22"/>
        </w:rPr>
        <w:t>SDH zařízení</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STM1</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STM4</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STM16</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STM64</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t>Mikrovlnné zařízení</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2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8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32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128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STM-1</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t>Satelitní zařízení</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2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8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32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128 Mbit/s</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t xml:space="preserve">BSC/RNC – MGW </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Optické vlákno (v km)</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t>SDH zařízení</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STM1</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STM4</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STM16</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STM64</w:t>
      </w:r>
    </w:p>
    <w:p w:rsidR="00242A0C" w:rsidRPr="006532BE" w:rsidRDefault="00242A0C" w:rsidP="0024003A">
      <w:pPr>
        <w:pStyle w:val="Zkladntext"/>
        <w:spacing w:before="120" w:after="0"/>
        <w:jc w:val="both"/>
        <w:rPr>
          <w:rFonts w:ascii="Arial" w:hAnsi="Arial" w:cs="Arial"/>
          <w:sz w:val="22"/>
          <w:szCs w:val="22"/>
        </w:rPr>
      </w:pPr>
      <w:r w:rsidRPr="006532BE">
        <w:rPr>
          <w:rFonts w:ascii="Arial" w:hAnsi="Arial" w:cs="Arial"/>
          <w:bCs/>
          <w:sz w:val="22"/>
          <w:szCs w:val="22"/>
        </w:rPr>
        <w:t>Mikrovlnné zařízení</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2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8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32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128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STM-1</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t>Satelitní zařízení</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2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lastRenderedPageBreak/>
        <w:t>Link 8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32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128 Mbit/s</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t>Spoje páteřní sítě</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Optické vlákno (v km)</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t>SDH zařízení</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STM1</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STM4</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STM16</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STM64</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t>Satelitní zařízení</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2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8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32 Mbit/s</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128 Mbit/s</w:t>
      </w:r>
    </w:p>
    <w:p w:rsidR="00242A0C" w:rsidRPr="006532BE" w:rsidRDefault="00242A0C" w:rsidP="0024003A">
      <w:pPr>
        <w:pStyle w:val="Zkladntext"/>
        <w:spacing w:before="120" w:after="0"/>
        <w:jc w:val="both"/>
        <w:rPr>
          <w:rFonts w:ascii="Arial" w:hAnsi="Arial" w:cs="Arial"/>
          <w:sz w:val="22"/>
          <w:szCs w:val="22"/>
        </w:rPr>
      </w:pPr>
      <w:r w:rsidRPr="006532BE">
        <w:rPr>
          <w:rFonts w:ascii="Arial" w:hAnsi="Arial" w:cs="Arial"/>
          <w:bCs/>
          <w:sz w:val="22"/>
          <w:szCs w:val="22"/>
        </w:rPr>
        <w:t>NGN přenosové</w:t>
      </w:r>
      <w:r w:rsidR="00416BD3" w:rsidRPr="006532BE">
        <w:rPr>
          <w:rFonts w:ascii="Arial" w:hAnsi="Arial" w:cs="Arial"/>
          <w:bCs/>
          <w:sz w:val="22"/>
          <w:szCs w:val="22"/>
        </w:rPr>
        <w:t xml:space="preserve"> </w:t>
      </w:r>
      <w:r w:rsidRPr="006532BE">
        <w:rPr>
          <w:rFonts w:ascii="Arial" w:hAnsi="Arial" w:cs="Arial"/>
          <w:bCs/>
          <w:sz w:val="22"/>
          <w:szCs w:val="22"/>
        </w:rPr>
        <w:t xml:space="preserve">zařízení </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IP Switch</w:t>
      </w:r>
    </w:p>
    <w:p w:rsidR="00242A0C" w:rsidRPr="006532BE" w:rsidRDefault="00242A0C" w:rsidP="00E13CDB">
      <w:pPr>
        <w:pStyle w:val="Zkladntext"/>
        <w:numPr>
          <w:ilvl w:val="0"/>
          <w:numId w:val="8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IP Router</w:t>
      </w:r>
    </w:p>
    <w:p w:rsidR="00242A0C" w:rsidRPr="006532BE" w:rsidRDefault="00242A0C" w:rsidP="0024003A">
      <w:pPr>
        <w:pStyle w:val="Zkladntext"/>
        <w:spacing w:before="120" w:after="0"/>
        <w:ind w:left="567" w:hanging="567"/>
        <w:jc w:val="both"/>
        <w:rPr>
          <w:rFonts w:ascii="Arial" w:hAnsi="Arial" w:cs="Arial"/>
          <w:b/>
          <w:i/>
          <w:sz w:val="22"/>
          <w:szCs w:val="22"/>
        </w:rPr>
      </w:pPr>
      <w:r w:rsidRPr="006532BE">
        <w:rPr>
          <w:rFonts w:ascii="Arial" w:hAnsi="Arial" w:cs="Arial"/>
          <w:b/>
          <w:i/>
          <w:sz w:val="22"/>
          <w:szCs w:val="22"/>
        </w:rPr>
        <w:t xml:space="preserve">0.16 </w:t>
      </w:r>
      <w:r w:rsidRPr="006532BE">
        <w:rPr>
          <w:rFonts w:ascii="Arial" w:hAnsi="Arial" w:cs="Arial"/>
          <w:b/>
          <w:i/>
          <w:sz w:val="22"/>
          <w:szCs w:val="22"/>
        </w:rPr>
        <w:tab/>
        <w:t>Počet pronajatých zařízení</w:t>
      </w:r>
    </w:p>
    <w:p w:rsidR="00242A0C" w:rsidRPr="006532BE" w:rsidRDefault="00242A0C" w:rsidP="0024003A">
      <w:pPr>
        <w:pStyle w:val="Zkladntext"/>
        <w:spacing w:before="60" w:after="0"/>
        <w:jc w:val="both"/>
        <w:rPr>
          <w:rFonts w:ascii="Arial" w:hAnsi="Arial" w:cs="Arial"/>
          <w:bCs/>
          <w:sz w:val="22"/>
          <w:szCs w:val="22"/>
        </w:rPr>
      </w:pPr>
      <w:r w:rsidRPr="006532BE">
        <w:rPr>
          <w:rFonts w:ascii="Arial" w:hAnsi="Arial" w:cs="Arial"/>
          <w:bCs/>
          <w:sz w:val="22"/>
          <w:szCs w:val="22"/>
        </w:rPr>
        <w:t>BTS/</w:t>
      </w:r>
      <w:proofErr w:type="spellStart"/>
      <w:r w:rsidRPr="006532BE">
        <w:rPr>
          <w:rFonts w:ascii="Arial" w:hAnsi="Arial" w:cs="Arial"/>
          <w:bCs/>
          <w:sz w:val="22"/>
          <w:szCs w:val="22"/>
        </w:rPr>
        <w:t>NodeB</w:t>
      </w:r>
      <w:proofErr w:type="spellEnd"/>
      <w:r w:rsidRPr="006532BE">
        <w:rPr>
          <w:rFonts w:ascii="Arial" w:hAnsi="Arial" w:cs="Arial"/>
          <w:bCs/>
          <w:sz w:val="22"/>
          <w:szCs w:val="22"/>
        </w:rPr>
        <w:t xml:space="preserve"> – BSC/RNC</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Kabelová vzdálenost (v km)</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2 Mbit/s</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8 Mbit/s</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32 Mbit/s</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128 Mbit/s</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STM1</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STM4</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STM16</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STM64</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t>BSC/RNC – MGW</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Kabelová vzdálenost (v km)</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2 Mbit/s</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8 Mbit/s</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32 Mbit/s</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128 Mbit/s</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STM-1</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STM-4</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STM-16</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STM-64</w:t>
      </w:r>
    </w:p>
    <w:p w:rsidR="00242A0C" w:rsidRPr="006532BE" w:rsidRDefault="00242A0C" w:rsidP="0024003A">
      <w:pPr>
        <w:pStyle w:val="Zkladntext"/>
        <w:spacing w:before="120" w:after="0"/>
        <w:jc w:val="both"/>
        <w:rPr>
          <w:rFonts w:ascii="Arial" w:hAnsi="Arial" w:cs="Arial"/>
          <w:bCs/>
          <w:sz w:val="22"/>
          <w:szCs w:val="22"/>
        </w:rPr>
      </w:pPr>
      <w:r w:rsidRPr="006532BE">
        <w:rPr>
          <w:rFonts w:ascii="Arial" w:hAnsi="Arial" w:cs="Arial"/>
          <w:bCs/>
          <w:sz w:val="22"/>
          <w:szCs w:val="22"/>
        </w:rPr>
        <w:t>Spoje páteřní sítě</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Kabelová vzdálenost (v km)</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2 Mbit/s</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8 Mbit/s</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32 Mbit/s</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lastRenderedPageBreak/>
        <w:t>Link 128 Mbit/s</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STM-1</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STM-4</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STM-16</w:t>
      </w:r>
    </w:p>
    <w:p w:rsidR="00242A0C" w:rsidRPr="006532BE" w:rsidRDefault="00242A0C" w:rsidP="00E13CDB">
      <w:pPr>
        <w:pStyle w:val="Zkladntext"/>
        <w:numPr>
          <w:ilvl w:val="0"/>
          <w:numId w:val="8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Link STM-64</w:t>
      </w:r>
    </w:p>
    <w:p w:rsidR="00242A0C" w:rsidRPr="006532BE" w:rsidRDefault="00242A0C" w:rsidP="0024003A">
      <w:pPr>
        <w:pStyle w:val="Zkladntext"/>
        <w:spacing w:before="120" w:after="0"/>
        <w:ind w:left="567" w:hanging="567"/>
        <w:jc w:val="both"/>
        <w:rPr>
          <w:rFonts w:ascii="Arial" w:hAnsi="Arial" w:cs="Arial"/>
          <w:b/>
          <w:i/>
          <w:sz w:val="22"/>
          <w:szCs w:val="22"/>
        </w:rPr>
      </w:pPr>
      <w:r w:rsidRPr="006532BE">
        <w:rPr>
          <w:rFonts w:ascii="Arial" w:hAnsi="Arial" w:cs="Arial"/>
          <w:b/>
          <w:i/>
          <w:sz w:val="22"/>
          <w:szCs w:val="22"/>
        </w:rPr>
        <w:t xml:space="preserve">0.17 </w:t>
      </w:r>
      <w:r w:rsidRPr="006532BE">
        <w:rPr>
          <w:rFonts w:ascii="Arial" w:hAnsi="Arial" w:cs="Arial"/>
          <w:b/>
          <w:i/>
          <w:sz w:val="22"/>
          <w:szCs w:val="22"/>
        </w:rPr>
        <w:tab/>
        <w:t>Náklady</w:t>
      </w:r>
      <w:r w:rsidR="0047095F" w:rsidRPr="006532BE">
        <w:rPr>
          <w:rFonts w:ascii="Arial" w:hAnsi="Arial" w:cs="Arial"/>
          <w:b/>
          <w:i/>
          <w:sz w:val="22"/>
          <w:szCs w:val="22"/>
        </w:rPr>
        <w:t xml:space="preserve"> na </w:t>
      </w:r>
      <w:r w:rsidRPr="006532BE">
        <w:rPr>
          <w:rFonts w:ascii="Arial" w:hAnsi="Arial" w:cs="Arial"/>
          <w:b/>
          <w:i/>
          <w:sz w:val="22"/>
          <w:szCs w:val="22"/>
        </w:rPr>
        <w:t>pronajaté lokace – počet pronajatých zařízení</w:t>
      </w:r>
    </w:p>
    <w:p w:rsidR="00242A0C" w:rsidRPr="006532BE" w:rsidRDefault="00242A0C" w:rsidP="00E13CDB">
      <w:pPr>
        <w:pStyle w:val="Zkladntext"/>
        <w:numPr>
          <w:ilvl w:val="0"/>
          <w:numId w:val="87"/>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 xml:space="preserve">Stanoviště (Access </w:t>
      </w:r>
      <w:proofErr w:type="spellStart"/>
      <w:r w:rsidRPr="006532BE">
        <w:rPr>
          <w:rFonts w:ascii="Arial" w:hAnsi="Arial" w:cs="Arial"/>
          <w:sz w:val="22"/>
          <w:szCs w:val="22"/>
        </w:rPr>
        <w:t>Sites</w:t>
      </w:r>
      <w:proofErr w:type="spellEnd"/>
      <w:r w:rsidRPr="006532BE">
        <w:rPr>
          <w:rFonts w:ascii="Arial" w:hAnsi="Arial" w:cs="Arial"/>
          <w:sz w:val="22"/>
          <w:szCs w:val="22"/>
        </w:rPr>
        <w:t>)</w:t>
      </w:r>
    </w:p>
    <w:p w:rsidR="00242A0C" w:rsidRPr="006532BE" w:rsidRDefault="00242A0C" w:rsidP="0024003A">
      <w:pPr>
        <w:pStyle w:val="Zkladntext"/>
        <w:spacing w:before="120" w:after="0"/>
        <w:ind w:left="567" w:hanging="567"/>
        <w:jc w:val="both"/>
        <w:rPr>
          <w:rFonts w:ascii="Arial" w:hAnsi="Arial" w:cs="Arial"/>
          <w:b/>
          <w:i/>
          <w:sz w:val="22"/>
          <w:szCs w:val="22"/>
        </w:rPr>
      </w:pPr>
      <w:r w:rsidRPr="006532BE">
        <w:rPr>
          <w:rFonts w:ascii="Arial" w:hAnsi="Arial" w:cs="Arial"/>
          <w:b/>
          <w:i/>
          <w:sz w:val="22"/>
          <w:szCs w:val="22"/>
        </w:rPr>
        <w:t xml:space="preserve">0.18 </w:t>
      </w:r>
      <w:r w:rsidRPr="006532BE">
        <w:rPr>
          <w:rFonts w:ascii="Arial" w:hAnsi="Arial" w:cs="Arial"/>
          <w:b/>
          <w:i/>
          <w:sz w:val="22"/>
          <w:szCs w:val="22"/>
        </w:rPr>
        <w:tab/>
        <w:t>Trend vývoje OPEX (v modelu nazvaný jako Inflace OPEX)</w:t>
      </w:r>
    </w:p>
    <w:p w:rsidR="00242A0C" w:rsidRPr="006532BE" w:rsidRDefault="00242A0C" w:rsidP="00E13CDB">
      <w:pPr>
        <w:pStyle w:val="Zkladntext"/>
        <w:numPr>
          <w:ilvl w:val="0"/>
          <w:numId w:val="88"/>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Inflace rok 1</w:t>
      </w:r>
    </w:p>
    <w:p w:rsidR="00242A0C" w:rsidRPr="006532BE" w:rsidRDefault="00242A0C" w:rsidP="00E13CDB">
      <w:pPr>
        <w:pStyle w:val="Zkladntext"/>
        <w:numPr>
          <w:ilvl w:val="0"/>
          <w:numId w:val="88"/>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Inflace rok 2</w:t>
      </w:r>
    </w:p>
    <w:p w:rsidR="00242A0C" w:rsidRPr="006532BE" w:rsidRDefault="00242A0C" w:rsidP="00E13CDB">
      <w:pPr>
        <w:pStyle w:val="Zkladntext"/>
        <w:numPr>
          <w:ilvl w:val="0"/>
          <w:numId w:val="88"/>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Inflace rok 3</w:t>
      </w:r>
    </w:p>
    <w:p w:rsidR="00242A0C" w:rsidRPr="006532BE" w:rsidRDefault="00242A0C" w:rsidP="006C13C0">
      <w:pPr>
        <w:pStyle w:val="Zkladntext"/>
        <w:spacing w:before="240" w:after="40"/>
        <w:jc w:val="both"/>
        <w:rPr>
          <w:rFonts w:ascii="Arial" w:hAnsi="Arial" w:cs="Arial"/>
          <w:b/>
          <w:bCs/>
          <w:sz w:val="22"/>
          <w:szCs w:val="22"/>
        </w:rPr>
      </w:pPr>
      <w:r w:rsidRPr="006532BE">
        <w:rPr>
          <w:rFonts w:ascii="Arial" w:hAnsi="Arial" w:cs="Arial"/>
          <w:b/>
          <w:bCs/>
          <w:sz w:val="22"/>
          <w:szCs w:val="22"/>
        </w:rPr>
        <w:t>List 2. Poptávka</w:t>
      </w:r>
    </w:p>
    <w:p w:rsidR="00242A0C" w:rsidRPr="006532BE" w:rsidRDefault="00242A0C" w:rsidP="0024003A">
      <w:pPr>
        <w:pStyle w:val="Zkladntext"/>
        <w:spacing w:before="60" w:after="0"/>
        <w:ind w:left="567" w:hanging="567"/>
        <w:jc w:val="both"/>
        <w:rPr>
          <w:rFonts w:ascii="Arial" w:hAnsi="Arial" w:cs="Arial"/>
          <w:b/>
          <w:i/>
          <w:sz w:val="22"/>
          <w:szCs w:val="22"/>
        </w:rPr>
      </w:pPr>
      <w:r w:rsidRPr="006532BE">
        <w:rPr>
          <w:rFonts w:ascii="Arial" w:hAnsi="Arial" w:cs="Arial"/>
          <w:b/>
          <w:i/>
          <w:sz w:val="22"/>
          <w:szCs w:val="22"/>
        </w:rPr>
        <w:t xml:space="preserve">2.2 </w:t>
      </w:r>
      <w:r w:rsidRPr="006532BE">
        <w:rPr>
          <w:rFonts w:ascii="Arial" w:hAnsi="Arial" w:cs="Arial"/>
          <w:b/>
          <w:i/>
          <w:sz w:val="22"/>
          <w:szCs w:val="22"/>
        </w:rPr>
        <w:tab/>
        <w:t>Objem provozu pro hlasové služby</w:t>
      </w:r>
    </w:p>
    <w:p w:rsidR="00242A0C" w:rsidRPr="006532BE" w:rsidRDefault="00242A0C" w:rsidP="00E13CDB">
      <w:pPr>
        <w:pStyle w:val="Zkladntext"/>
        <w:numPr>
          <w:ilvl w:val="0"/>
          <w:numId w:val="85"/>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Rozdělení hlasového provozu mezi GSM, UMTS a LTE (v %)</w:t>
      </w:r>
    </w:p>
    <w:p w:rsidR="00242A0C" w:rsidRPr="006532BE" w:rsidRDefault="00242A0C" w:rsidP="00E03AEF">
      <w:pPr>
        <w:pStyle w:val="Zkladntext"/>
        <w:spacing w:before="120" w:after="0"/>
        <w:ind w:left="567" w:hanging="567"/>
        <w:jc w:val="both"/>
        <w:rPr>
          <w:rFonts w:ascii="Arial" w:hAnsi="Arial" w:cs="Arial"/>
          <w:b/>
          <w:i/>
          <w:sz w:val="22"/>
          <w:szCs w:val="22"/>
        </w:rPr>
      </w:pPr>
      <w:r w:rsidRPr="006532BE">
        <w:rPr>
          <w:rFonts w:ascii="Arial" w:hAnsi="Arial" w:cs="Arial"/>
          <w:b/>
          <w:i/>
          <w:sz w:val="22"/>
          <w:szCs w:val="22"/>
        </w:rPr>
        <w:t xml:space="preserve">2.3 </w:t>
      </w:r>
      <w:r w:rsidRPr="006532BE">
        <w:rPr>
          <w:rFonts w:ascii="Arial" w:hAnsi="Arial" w:cs="Arial"/>
          <w:b/>
          <w:i/>
          <w:sz w:val="22"/>
          <w:szCs w:val="22"/>
        </w:rPr>
        <w:tab/>
        <w:t>Objemy SMS a MMS</w:t>
      </w:r>
    </w:p>
    <w:p w:rsidR="00242A0C" w:rsidRPr="006532BE" w:rsidRDefault="00242A0C" w:rsidP="00E13CDB">
      <w:pPr>
        <w:pStyle w:val="Zkladntext"/>
        <w:numPr>
          <w:ilvl w:val="0"/>
          <w:numId w:val="86"/>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Rozdělení SMS &amp; MMS provozu mezi GSM, UMTS a LTE (v %)</w:t>
      </w:r>
    </w:p>
    <w:p w:rsidR="00242A0C" w:rsidRPr="006532BE" w:rsidRDefault="00242A0C" w:rsidP="00E03AEF">
      <w:pPr>
        <w:pStyle w:val="Zkladntext"/>
        <w:spacing w:before="120" w:after="0"/>
        <w:ind w:left="567" w:hanging="567"/>
        <w:jc w:val="both"/>
        <w:rPr>
          <w:rFonts w:ascii="Arial" w:hAnsi="Arial" w:cs="Arial"/>
          <w:b/>
          <w:i/>
          <w:sz w:val="22"/>
          <w:szCs w:val="22"/>
        </w:rPr>
      </w:pPr>
      <w:r w:rsidRPr="006532BE">
        <w:rPr>
          <w:rFonts w:ascii="Arial" w:hAnsi="Arial" w:cs="Arial"/>
          <w:b/>
          <w:i/>
          <w:sz w:val="22"/>
          <w:szCs w:val="22"/>
        </w:rPr>
        <w:t xml:space="preserve">2.4 </w:t>
      </w:r>
      <w:r w:rsidRPr="006532BE">
        <w:rPr>
          <w:rFonts w:ascii="Arial" w:hAnsi="Arial" w:cs="Arial"/>
          <w:b/>
          <w:i/>
          <w:sz w:val="22"/>
          <w:szCs w:val="22"/>
        </w:rPr>
        <w:tab/>
        <w:t>Objemy mobilních dat</w:t>
      </w:r>
    </w:p>
    <w:p w:rsidR="00242A0C" w:rsidRPr="006532BE" w:rsidRDefault="00242A0C" w:rsidP="00E13CDB">
      <w:pPr>
        <w:pStyle w:val="Zkladntext"/>
        <w:numPr>
          <w:ilvl w:val="0"/>
          <w:numId w:val="89"/>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Rozdělení provozu mobilních dat mezi GSM, UMTS a LTE (v %)</w:t>
      </w:r>
    </w:p>
    <w:p w:rsidR="00242A0C" w:rsidRPr="006532BE" w:rsidRDefault="00242A0C" w:rsidP="00E03AEF">
      <w:pPr>
        <w:pStyle w:val="Zkladntext"/>
        <w:spacing w:before="120" w:after="0"/>
        <w:ind w:left="567" w:hanging="567"/>
        <w:jc w:val="both"/>
        <w:rPr>
          <w:rFonts w:ascii="Arial" w:hAnsi="Arial" w:cs="Arial"/>
          <w:b/>
          <w:i/>
          <w:sz w:val="22"/>
          <w:szCs w:val="22"/>
        </w:rPr>
      </w:pPr>
      <w:r w:rsidRPr="006532BE">
        <w:rPr>
          <w:rFonts w:ascii="Arial" w:hAnsi="Arial" w:cs="Arial"/>
          <w:b/>
          <w:i/>
          <w:sz w:val="22"/>
          <w:szCs w:val="22"/>
        </w:rPr>
        <w:t xml:space="preserve">2.5 </w:t>
      </w:r>
      <w:r w:rsidRPr="006532BE">
        <w:rPr>
          <w:rFonts w:ascii="Arial" w:hAnsi="Arial" w:cs="Arial"/>
          <w:b/>
          <w:i/>
          <w:sz w:val="22"/>
          <w:szCs w:val="22"/>
        </w:rPr>
        <w:tab/>
        <w:t>Statistiky hovorů</w:t>
      </w:r>
    </w:p>
    <w:p w:rsidR="00242A0C" w:rsidRPr="006532BE" w:rsidRDefault="00242A0C" w:rsidP="0024003A">
      <w:pPr>
        <w:pStyle w:val="Zkladntext"/>
        <w:spacing w:before="60" w:after="0"/>
        <w:jc w:val="both"/>
        <w:rPr>
          <w:rFonts w:ascii="Arial" w:hAnsi="Arial" w:cs="Arial"/>
          <w:sz w:val="22"/>
          <w:szCs w:val="22"/>
        </w:rPr>
      </w:pPr>
      <w:r w:rsidRPr="006532BE">
        <w:rPr>
          <w:rFonts w:ascii="Arial" w:hAnsi="Arial" w:cs="Arial"/>
          <w:sz w:val="22"/>
          <w:szCs w:val="22"/>
        </w:rPr>
        <w:t>% úspěšných SMS a MMS</w:t>
      </w:r>
      <w:r w:rsidR="0047095F" w:rsidRPr="006532BE">
        <w:rPr>
          <w:rFonts w:ascii="Arial" w:hAnsi="Arial" w:cs="Arial"/>
          <w:sz w:val="22"/>
          <w:szCs w:val="22"/>
        </w:rPr>
        <w:t xml:space="preserve"> v </w:t>
      </w:r>
      <w:r w:rsidRPr="006532BE">
        <w:rPr>
          <w:rFonts w:ascii="Arial" w:hAnsi="Arial" w:cs="Arial"/>
          <w:sz w:val="22"/>
          <w:szCs w:val="22"/>
        </w:rPr>
        <w:t>členění na</w:t>
      </w:r>
    </w:p>
    <w:p w:rsidR="00242A0C" w:rsidRPr="006532BE" w:rsidRDefault="00242A0C" w:rsidP="00E13CDB">
      <w:pPr>
        <w:pStyle w:val="Zkladntext"/>
        <w:numPr>
          <w:ilvl w:val="0"/>
          <w:numId w:val="90"/>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Odchozí – SMS</w:t>
      </w:r>
      <w:r w:rsidR="0047095F" w:rsidRPr="006532BE">
        <w:rPr>
          <w:rFonts w:ascii="Arial" w:hAnsi="Arial" w:cs="Arial"/>
          <w:sz w:val="22"/>
          <w:szCs w:val="22"/>
        </w:rPr>
        <w:t xml:space="preserve"> v </w:t>
      </w:r>
      <w:r w:rsidRPr="006532BE">
        <w:rPr>
          <w:rFonts w:ascii="Arial" w:hAnsi="Arial" w:cs="Arial"/>
          <w:sz w:val="22"/>
          <w:szCs w:val="22"/>
        </w:rPr>
        <w:t>rámci sítě</w:t>
      </w:r>
    </w:p>
    <w:p w:rsidR="00242A0C" w:rsidRPr="006532BE" w:rsidRDefault="00242A0C" w:rsidP="00E13CDB">
      <w:pPr>
        <w:pStyle w:val="Zkladntext"/>
        <w:numPr>
          <w:ilvl w:val="0"/>
          <w:numId w:val="90"/>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Odchozí – SMS do sítí jiných mobilních operátorů</w:t>
      </w:r>
    </w:p>
    <w:p w:rsidR="00242A0C" w:rsidRPr="006532BE" w:rsidRDefault="00242A0C" w:rsidP="00E13CDB">
      <w:pPr>
        <w:pStyle w:val="Zkladntext"/>
        <w:numPr>
          <w:ilvl w:val="0"/>
          <w:numId w:val="90"/>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Odchozí – SMS do zahraničí</w:t>
      </w:r>
    </w:p>
    <w:p w:rsidR="00242A0C" w:rsidRPr="006532BE" w:rsidRDefault="00242A0C" w:rsidP="00E13CDB">
      <w:pPr>
        <w:pStyle w:val="Zkladntext"/>
        <w:numPr>
          <w:ilvl w:val="0"/>
          <w:numId w:val="90"/>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Příchozí – SMS z jiných sítí mobilních operátorů</w:t>
      </w:r>
    </w:p>
    <w:p w:rsidR="00242A0C" w:rsidRPr="006532BE" w:rsidRDefault="00242A0C" w:rsidP="00E13CDB">
      <w:pPr>
        <w:pStyle w:val="Zkladntext"/>
        <w:numPr>
          <w:ilvl w:val="0"/>
          <w:numId w:val="90"/>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 xml:space="preserve">Příchozí – SMS ze zahraničí </w:t>
      </w:r>
    </w:p>
    <w:p w:rsidR="00242A0C" w:rsidRPr="006532BE" w:rsidRDefault="00242A0C" w:rsidP="00E13CDB">
      <w:pPr>
        <w:pStyle w:val="Zkladntext"/>
        <w:numPr>
          <w:ilvl w:val="0"/>
          <w:numId w:val="90"/>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Odchozí – MMS</w:t>
      </w:r>
      <w:r w:rsidR="0047095F" w:rsidRPr="006532BE">
        <w:rPr>
          <w:rFonts w:ascii="Arial" w:hAnsi="Arial" w:cs="Arial"/>
          <w:sz w:val="22"/>
          <w:szCs w:val="22"/>
        </w:rPr>
        <w:t xml:space="preserve"> v </w:t>
      </w:r>
      <w:r w:rsidRPr="006532BE">
        <w:rPr>
          <w:rFonts w:ascii="Arial" w:hAnsi="Arial" w:cs="Arial"/>
          <w:sz w:val="22"/>
          <w:szCs w:val="22"/>
        </w:rPr>
        <w:t>rámci sítě</w:t>
      </w:r>
    </w:p>
    <w:p w:rsidR="00242A0C" w:rsidRPr="006532BE" w:rsidRDefault="00242A0C" w:rsidP="00E13CDB">
      <w:pPr>
        <w:pStyle w:val="Zkladntext"/>
        <w:numPr>
          <w:ilvl w:val="0"/>
          <w:numId w:val="90"/>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Odchozí – MMS do sítí jiných mobilních operátorů</w:t>
      </w:r>
    </w:p>
    <w:p w:rsidR="00242A0C" w:rsidRPr="006532BE" w:rsidRDefault="00242A0C" w:rsidP="00E13CDB">
      <w:pPr>
        <w:pStyle w:val="Zkladntext"/>
        <w:numPr>
          <w:ilvl w:val="0"/>
          <w:numId w:val="90"/>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Odchozí – MMS do zahraničí</w:t>
      </w:r>
    </w:p>
    <w:p w:rsidR="00242A0C" w:rsidRPr="006532BE" w:rsidRDefault="00242A0C" w:rsidP="00E13CDB">
      <w:pPr>
        <w:pStyle w:val="Zkladntext"/>
        <w:numPr>
          <w:ilvl w:val="0"/>
          <w:numId w:val="90"/>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Příchozí – MMS z jiných sítí mobilních operátorů</w:t>
      </w:r>
    </w:p>
    <w:p w:rsidR="00242A0C" w:rsidRPr="006532BE" w:rsidRDefault="00242A0C" w:rsidP="00E13CDB">
      <w:pPr>
        <w:pStyle w:val="Zkladntext"/>
        <w:numPr>
          <w:ilvl w:val="0"/>
          <w:numId w:val="90"/>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 xml:space="preserve">Příchozí – MMS ze zahraničí </w:t>
      </w:r>
    </w:p>
    <w:p w:rsidR="00242A0C" w:rsidRPr="006532BE" w:rsidRDefault="00242A0C" w:rsidP="006C13C0">
      <w:pPr>
        <w:pStyle w:val="Zkladntext"/>
        <w:spacing w:before="240" w:after="40"/>
        <w:jc w:val="both"/>
        <w:rPr>
          <w:rFonts w:ascii="Arial" w:hAnsi="Arial" w:cs="Arial"/>
          <w:b/>
          <w:bCs/>
          <w:sz w:val="22"/>
          <w:szCs w:val="22"/>
        </w:rPr>
      </w:pPr>
      <w:r w:rsidRPr="006532BE">
        <w:rPr>
          <w:rFonts w:ascii="Arial" w:hAnsi="Arial" w:cs="Arial"/>
          <w:b/>
          <w:bCs/>
          <w:sz w:val="22"/>
          <w:szCs w:val="22"/>
        </w:rPr>
        <w:t>List 3. Směrovací faktory</w:t>
      </w:r>
    </w:p>
    <w:p w:rsidR="00242A0C" w:rsidRPr="006532BE" w:rsidRDefault="00242A0C" w:rsidP="00E03AEF">
      <w:pPr>
        <w:pStyle w:val="Zkladntext"/>
        <w:spacing w:before="120" w:after="0"/>
        <w:ind w:left="567" w:hanging="567"/>
        <w:jc w:val="both"/>
        <w:rPr>
          <w:rFonts w:ascii="Arial" w:hAnsi="Arial" w:cs="Arial"/>
          <w:b/>
          <w:i/>
          <w:sz w:val="22"/>
          <w:szCs w:val="22"/>
        </w:rPr>
      </w:pPr>
      <w:r w:rsidRPr="006532BE">
        <w:rPr>
          <w:rFonts w:ascii="Arial" w:hAnsi="Arial" w:cs="Arial"/>
          <w:b/>
          <w:i/>
          <w:sz w:val="22"/>
          <w:szCs w:val="22"/>
        </w:rPr>
        <w:t xml:space="preserve">3. </w:t>
      </w:r>
      <w:r w:rsidRPr="006532BE">
        <w:rPr>
          <w:rFonts w:ascii="Arial" w:hAnsi="Arial" w:cs="Arial"/>
          <w:b/>
          <w:i/>
          <w:sz w:val="22"/>
          <w:szCs w:val="22"/>
        </w:rPr>
        <w:tab/>
        <w:t>Směrovací faktory služeb</w:t>
      </w:r>
    </w:p>
    <w:p w:rsidR="00242A0C" w:rsidRPr="006532BE" w:rsidRDefault="00242A0C" w:rsidP="0024003A">
      <w:pPr>
        <w:pStyle w:val="Zkladntext"/>
        <w:spacing w:before="60" w:after="0"/>
        <w:jc w:val="both"/>
        <w:rPr>
          <w:rFonts w:ascii="Arial" w:hAnsi="Arial" w:cs="Arial"/>
          <w:sz w:val="22"/>
          <w:szCs w:val="22"/>
        </w:rPr>
      </w:pPr>
      <w:r w:rsidRPr="006532BE">
        <w:rPr>
          <w:rFonts w:ascii="Arial" w:hAnsi="Arial" w:cs="Arial"/>
          <w:sz w:val="22"/>
          <w:szCs w:val="22"/>
        </w:rPr>
        <w:t>Směrovací faktory</w:t>
      </w:r>
      <w:r w:rsidR="0047095F" w:rsidRPr="006532BE">
        <w:rPr>
          <w:rFonts w:ascii="Arial" w:hAnsi="Arial" w:cs="Arial"/>
          <w:sz w:val="22"/>
          <w:szCs w:val="22"/>
        </w:rPr>
        <w:t xml:space="preserve"> v </w:t>
      </w:r>
      <w:r w:rsidRPr="006532BE">
        <w:rPr>
          <w:rFonts w:ascii="Arial" w:hAnsi="Arial" w:cs="Arial"/>
          <w:sz w:val="22"/>
          <w:szCs w:val="22"/>
        </w:rPr>
        <w:t>členění</w:t>
      </w:r>
      <w:r w:rsidR="0047095F" w:rsidRPr="006532BE">
        <w:rPr>
          <w:rFonts w:ascii="Arial" w:hAnsi="Arial" w:cs="Arial"/>
          <w:sz w:val="22"/>
          <w:szCs w:val="22"/>
        </w:rPr>
        <w:t xml:space="preserve"> na </w:t>
      </w:r>
      <w:r w:rsidRPr="006532BE">
        <w:rPr>
          <w:rFonts w:ascii="Arial" w:hAnsi="Arial" w:cs="Arial"/>
          <w:sz w:val="22"/>
          <w:szCs w:val="22"/>
        </w:rPr>
        <w:t>služby (řádky)</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hovory</w:t>
      </w:r>
      <w:r w:rsidR="0047095F" w:rsidRPr="006532BE">
        <w:rPr>
          <w:rFonts w:ascii="Arial" w:hAnsi="Arial" w:cs="Arial"/>
          <w:sz w:val="22"/>
          <w:szCs w:val="22"/>
        </w:rPr>
        <w:t xml:space="preserve"> v </w:t>
      </w:r>
      <w:r w:rsidRPr="006532BE">
        <w:rPr>
          <w:rFonts w:ascii="Arial" w:hAnsi="Arial" w:cs="Arial"/>
          <w:sz w:val="22"/>
          <w:szCs w:val="22"/>
        </w:rPr>
        <w:t>síti (on-net)</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hovory do sítí jiných mobilních operátorů</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hovory do pevné sítě</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 xml:space="preserve">Odchozí – hovory do zahraničí </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hovory</w:t>
      </w:r>
      <w:r w:rsidR="0047095F" w:rsidRPr="006532BE">
        <w:rPr>
          <w:rFonts w:ascii="Arial" w:hAnsi="Arial" w:cs="Arial"/>
          <w:sz w:val="22"/>
          <w:szCs w:val="22"/>
        </w:rPr>
        <w:t xml:space="preserve"> na </w:t>
      </w:r>
      <w:r w:rsidRPr="006532BE">
        <w:rPr>
          <w:rFonts w:ascii="Arial" w:hAnsi="Arial" w:cs="Arial"/>
          <w:sz w:val="22"/>
          <w:szCs w:val="22"/>
        </w:rPr>
        <w:t>tísňová čísla</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hovory do hlasové schránky</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hovory</w:t>
      </w:r>
      <w:r w:rsidR="0047095F" w:rsidRPr="006532BE">
        <w:rPr>
          <w:rFonts w:ascii="Arial" w:hAnsi="Arial" w:cs="Arial"/>
          <w:sz w:val="22"/>
          <w:szCs w:val="22"/>
        </w:rPr>
        <w:t xml:space="preserve"> na </w:t>
      </w:r>
      <w:r w:rsidRPr="006532BE">
        <w:rPr>
          <w:rFonts w:ascii="Arial" w:hAnsi="Arial" w:cs="Arial"/>
          <w:sz w:val="22"/>
          <w:szCs w:val="22"/>
        </w:rPr>
        <w:t>bezplatná čísla</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hovory</w:t>
      </w:r>
      <w:r w:rsidR="0047095F" w:rsidRPr="006532BE">
        <w:rPr>
          <w:rFonts w:ascii="Arial" w:hAnsi="Arial" w:cs="Arial"/>
          <w:sz w:val="22"/>
          <w:szCs w:val="22"/>
        </w:rPr>
        <w:t xml:space="preserve"> na </w:t>
      </w:r>
      <w:r w:rsidRPr="006532BE">
        <w:rPr>
          <w:rFonts w:ascii="Arial" w:hAnsi="Arial" w:cs="Arial"/>
          <w:sz w:val="22"/>
          <w:szCs w:val="22"/>
        </w:rPr>
        <w:t>čísla Premium</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příchozí</w:t>
      </w:r>
      <w:r w:rsidR="00416BD3" w:rsidRPr="006532BE">
        <w:rPr>
          <w:rFonts w:ascii="Arial" w:hAnsi="Arial" w:cs="Arial"/>
          <w:sz w:val="22"/>
          <w:szCs w:val="22"/>
        </w:rPr>
        <w:t xml:space="preserve"> </w:t>
      </w:r>
      <w:r w:rsidRPr="006532BE">
        <w:rPr>
          <w:rFonts w:ascii="Arial" w:hAnsi="Arial" w:cs="Arial"/>
          <w:sz w:val="22"/>
          <w:szCs w:val="22"/>
        </w:rPr>
        <w:t>roaming</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Příchozí – hovory</w:t>
      </w:r>
      <w:r w:rsidR="0047095F" w:rsidRPr="006532BE">
        <w:rPr>
          <w:rFonts w:ascii="Arial" w:hAnsi="Arial" w:cs="Arial"/>
          <w:sz w:val="22"/>
          <w:szCs w:val="22"/>
        </w:rPr>
        <w:t xml:space="preserve"> od </w:t>
      </w:r>
      <w:r w:rsidRPr="006532BE">
        <w:rPr>
          <w:rFonts w:ascii="Arial" w:hAnsi="Arial" w:cs="Arial"/>
          <w:sz w:val="22"/>
          <w:szCs w:val="22"/>
        </w:rPr>
        <w:t>jiných mobilních operátorů</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Příchozí – hovory z pevné sítě</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lastRenderedPageBreak/>
        <w:t>Příchozí – hovory ze zahraničí</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Příchozí – příchozí roaming</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SMS</w:t>
      </w:r>
      <w:r w:rsidR="0047095F" w:rsidRPr="006532BE">
        <w:rPr>
          <w:rFonts w:ascii="Arial" w:hAnsi="Arial" w:cs="Arial"/>
          <w:sz w:val="22"/>
          <w:szCs w:val="22"/>
        </w:rPr>
        <w:t xml:space="preserve"> v </w:t>
      </w:r>
      <w:r w:rsidRPr="006532BE">
        <w:rPr>
          <w:rFonts w:ascii="Arial" w:hAnsi="Arial" w:cs="Arial"/>
          <w:sz w:val="22"/>
          <w:szCs w:val="22"/>
        </w:rPr>
        <w:t>rámci sítě</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SMS do sítí jiných mobilních operátorů</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SMS do zahraničí</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Příchozí – SMS z jiných sítí mobilních operátorů</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 xml:space="preserve">Příchozí – SMS ze zahraničí </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MMS</w:t>
      </w:r>
      <w:r w:rsidR="0047095F" w:rsidRPr="006532BE">
        <w:rPr>
          <w:rFonts w:ascii="Arial" w:hAnsi="Arial" w:cs="Arial"/>
          <w:sz w:val="22"/>
          <w:szCs w:val="22"/>
        </w:rPr>
        <w:t xml:space="preserve"> v </w:t>
      </w:r>
      <w:r w:rsidRPr="006532BE">
        <w:rPr>
          <w:rFonts w:ascii="Arial" w:hAnsi="Arial" w:cs="Arial"/>
          <w:sz w:val="22"/>
          <w:szCs w:val="22"/>
        </w:rPr>
        <w:t>rámci sítě</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MMS do sítí jiných mobilních operátorů</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Odchozí – MMS do zahraničí</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Příchozí – MMS z jiných sítí mobilních operátorů</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 xml:space="preserve">Příchozí – MMS ze zahraničí </w:t>
      </w:r>
    </w:p>
    <w:p w:rsidR="00242A0C" w:rsidRPr="006532BE" w:rsidRDefault="00242A0C" w:rsidP="008E09CC">
      <w:pPr>
        <w:pStyle w:val="Zkladntext"/>
        <w:numPr>
          <w:ilvl w:val="0"/>
          <w:numId w:val="91"/>
        </w:numPr>
        <w:tabs>
          <w:tab w:val="clear" w:pos="2700"/>
        </w:tabs>
        <w:spacing w:before="60" w:after="0"/>
        <w:ind w:left="993" w:hanging="567"/>
        <w:jc w:val="both"/>
        <w:rPr>
          <w:rFonts w:ascii="Arial" w:hAnsi="Arial" w:cs="Arial"/>
          <w:sz w:val="22"/>
          <w:szCs w:val="22"/>
        </w:rPr>
      </w:pPr>
      <w:r w:rsidRPr="006532BE">
        <w:rPr>
          <w:rFonts w:ascii="Arial" w:hAnsi="Arial" w:cs="Arial"/>
          <w:sz w:val="22"/>
          <w:szCs w:val="22"/>
        </w:rPr>
        <w:t>Mobilní data</w:t>
      </w:r>
    </w:p>
    <w:p w:rsidR="00242A0C" w:rsidRPr="006532BE" w:rsidRDefault="00242A0C" w:rsidP="0024003A">
      <w:pPr>
        <w:pStyle w:val="Zkladntext"/>
        <w:tabs>
          <w:tab w:val="num" w:pos="720"/>
        </w:tabs>
        <w:spacing w:before="120" w:after="0"/>
        <w:jc w:val="both"/>
        <w:rPr>
          <w:rFonts w:ascii="Arial" w:hAnsi="Arial" w:cs="Arial"/>
          <w:sz w:val="22"/>
          <w:szCs w:val="22"/>
        </w:rPr>
      </w:pPr>
      <w:r w:rsidRPr="006532BE">
        <w:rPr>
          <w:rFonts w:ascii="Arial" w:hAnsi="Arial" w:cs="Arial"/>
          <w:sz w:val="22"/>
          <w:szCs w:val="22"/>
        </w:rPr>
        <w:t>Směrovací faktory ve výše uvedeném členění pro prvky sítě (sloupce): MSS, MGW, Propoj MGW-MGW.</w:t>
      </w:r>
    </w:p>
    <w:p w:rsidR="00242A0C" w:rsidRPr="006532BE" w:rsidRDefault="00242A0C" w:rsidP="00E03AEF">
      <w:pPr>
        <w:pStyle w:val="Zkladntext"/>
        <w:spacing w:before="240" w:after="40"/>
        <w:ind w:left="567" w:hanging="567"/>
        <w:jc w:val="both"/>
        <w:rPr>
          <w:rFonts w:ascii="Arial" w:hAnsi="Arial" w:cs="Arial"/>
          <w:b/>
          <w:bCs/>
          <w:sz w:val="22"/>
          <w:szCs w:val="22"/>
        </w:rPr>
      </w:pPr>
      <w:r w:rsidRPr="006532BE">
        <w:rPr>
          <w:rFonts w:ascii="Arial" w:hAnsi="Arial" w:cs="Arial"/>
          <w:b/>
          <w:bCs/>
          <w:sz w:val="22"/>
          <w:szCs w:val="22"/>
        </w:rPr>
        <w:t>List 4. Parametry dimenzování sítě</w:t>
      </w:r>
    </w:p>
    <w:p w:rsidR="00242A0C" w:rsidRPr="006532BE" w:rsidRDefault="00242A0C" w:rsidP="00E03AEF">
      <w:pPr>
        <w:pStyle w:val="Zkladntext"/>
        <w:spacing w:before="120" w:after="0"/>
        <w:ind w:left="567" w:hanging="567"/>
        <w:jc w:val="both"/>
        <w:rPr>
          <w:rFonts w:ascii="Arial" w:hAnsi="Arial" w:cs="Arial"/>
          <w:b/>
          <w:i/>
          <w:sz w:val="22"/>
          <w:szCs w:val="22"/>
        </w:rPr>
      </w:pPr>
      <w:r w:rsidRPr="006532BE">
        <w:rPr>
          <w:rFonts w:ascii="Arial" w:hAnsi="Arial" w:cs="Arial"/>
          <w:b/>
          <w:i/>
          <w:sz w:val="22"/>
          <w:szCs w:val="22"/>
        </w:rPr>
        <w:t xml:space="preserve">4.6 </w:t>
      </w:r>
      <w:r w:rsidRPr="006532BE">
        <w:rPr>
          <w:rFonts w:ascii="Arial" w:hAnsi="Arial" w:cs="Arial"/>
          <w:b/>
          <w:i/>
          <w:sz w:val="22"/>
          <w:szCs w:val="22"/>
        </w:rPr>
        <w:tab/>
        <w:t>Mapování provozu</w:t>
      </w:r>
      <w:r w:rsidR="0047095F" w:rsidRPr="006532BE">
        <w:rPr>
          <w:rFonts w:ascii="Arial" w:hAnsi="Arial" w:cs="Arial"/>
          <w:b/>
          <w:i/>
          <w:sz w:val="22"/>
          <w:szCs w:val="22"/>
        </w:rPr>
        <w:t xml:space="preserve"> na </w:t>
      </w:r>
      <w:proofErr w:type="spellStart"/>
      <w:r w:rsidRPr="006532BE">
        <w:rPr>
          <w:rFonts w:ascii="Arial" w:hAnsi="Arial" w:cs="Arial"/>
          <w:b/>
          <w:i/>
          <w:sz w:val="22"/>
          <w:szCs w:val="22"/>
        </w:rPr>
        <w:t>Core</w:t>
      </w:r>
      <w:proofErr w:type="spellEnd"/>
      <w:r w:rsidRPr="006532BE">
        <w:rPr>
          <w:rFonts w:ascii="Arial" w:hAnsi="Arial" w:cs="Arial"/>
          <w:b/>
          <w:i/>
          <w:sz w:val="22"/>
          <w:szCs w:val="22"/>
        </w:rPr>
        <w:t xml:space="preserve"> </w:t>
      </w:r>
      <w:proofErr w:type="spellStart"/>
      <w:r w:rsidRPr="006532BE">
        <w:rPr>
          <w:rFonts w:ascii="Arial" w:hAnsi="Arial" w:cs="Arial"/>
          <w:b/>
          <w:i/>
          <w:sz w:val="22"/>
          <w:szCs w:val="22"/>
        </w:rPr>
        <w:t>Nodes</w:t>
      </w:r>
      <w:proofErr w:type="spellEnd"/>
    </w:p>
    <w:p w:rsidR="00242A0C" w:rsidRPr="006532BE" w:rsidRDefault="00242A0C" w:rsidP="0014130B">
      <w:pPr>
        <w:pStyle w:val="Zkladntext"/>
        <w:numPr>
          <w:ilvl w:val="0"/>
          <w:numId w:val="92"/>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Geotyp</w:t>
      </w:r>
      <w:proofErr w:type="spellEnd"/>
      <w:r w:rsidRPr="006532BE">
        <w:rPr>
          <w:rFonts w:ascii="Arial" w:hAnsi="Arial" w:cs="Arial"/>
          <w:sz w:val="22"/>
          <w:szCs w:val="22"/>
        </w:rPr>
        <w:t xml:space="preserve"> Aglomerace</w:t>
      </w:r>
    </w:p>
    <w:p w:rsidR="00242A0C" w:rsidRPr="006532BE" w:rsidRDefault="00242A0C" w:rsidP="0014130B">
      <w:pPr>
        <w:pStyle w:val="Zkladntext"/>
        <w:numPr>
          <w:ilvl w:val="0"/>
          <w:numId w:val="92"/>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Geotyp</w:t>
      </w:r>
      <w:proofErr w:type="spellEnd"/>
      <w:r w:rsidRPr="006532BE">
        <w:rPr>
          <w:rFonts w:ascii="Arial" w:hAnsi="Arial" w:cs="Arial"/>
          <w:sz w:val="22"/>
          <w:szCs w:val="22"/>
        </w:rPr>
        <w:t xml:space="preserve"> Města</w:t>
      </w:r>
    </w:p>
    <w:p w:rsidR="00242A0C" w:rsidRPr="006532BE" w:rsidRDefault="00242A0C" w:rsidP="0014130B">
      <w:pPr>
        <w:pStyle w:val="Zkladntext"/>
        <w:numPr>
          <w:ilvl w:val="0"/>
          <w:numId w:val="92"/>
        </w:numPr>
        <w:tabs>
          <w:tab w:val="clear" w:pos="2700"/>
        </w:tabs>
        <w:spacing w:before="60" w:after="0"/>
        <w:ind w:left="1134" w:hanging="850"/>
        <w:jc w:val="both"/>
        <w:rPr>
          <w:rFonts w:ascii="Arial" w:hAnsi="Arial" w:cs="Arial"/>
          <w:sz w:val="22"/>
          <w:szCs w:val="22"/>
        </w:rPr>
      </w:pPr>
      <w:proofErr w:type="spellStart"/>
      <w:r w:rsidRPr="006532BE">
        <w:rPr>
          <w:rFonts w:ascii="Arial" w:hAnsi="Arial" w:cs="Arial"/>
          <w:sz w:val="22"/>
          <w:szCs w:val="22"/>
        </w:rPr>
        <w:t>Geotyp</w:t>
      </w:r>
      <w:proofErr w:type="spellEnd"/>
      <w:r w:rsidRPr="006532BE">
        <w:rPr>
          <w:rFonts w:ascii="Arial" w:hAnsi="Arial" w:cs="Arial"/>
          <w:sz w:val="22"/>
          <w:szCs w:val="22"/>
        </w:rPr>
        <w:t xml:space="preserve"> Venkov</w:t>
      </w:r>
    </w:p>
    <w:p w:rsidR="00242A0C" w:rsidRPr="006532BE" w:rsidRDefault="00242A0C" w:rsidP="0014130B">
      <w:pPr>
        <w:pStyle w:val="Zkladntext"/>
        <w:numPr>
          <w:ilvl w:val="0"/>
          <w:numId w:val="9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Dopravní koridory</w:t>
      </w:r>
    </w:p>
    <w:p w:rsidR="00242A0C" w:rsidRPr="006532BE" w:rsidRDefault="00242A0C" w:rsidP="0014130B">
      <w:pPr>
        <w:pStyle w:val="Zkladntext"/>
        <w:numPr>
          <w:ilvl w:val="0"/>
          <w:numId w:val="92"/>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Rekreační oblasti</w:t>
      </w:r>
    </w:p>
    <w:p w:rsidR="00242A0C" w:rsidRPr="006532BE" w:rsidRDefault="00242A0C" w:rsidP="006532BE">
      <w:pPr>
        <w:pStyle w:val="Zkladntext"/>
        <w:tabs>
          <w:tab w:val="num" w:pos="720"/>
        </w:tabs>
        <w:spacing w:before="120" w:after="0"/>
        <w:jc w:val="both"/>
        <w:rPr>
          <w:rFonts w:ascii="Arial" w:hAnsi="Arial" w:cs="Arial"/>
          <w:sz w:val="22"/>
          <w:szCs w:val="22"/>
        </w:rPr>
      </w:pPr>
      <w:r w:rsidRPr="006532BE">
        <w:rPr>
          <w:rFonts w:ascii="Arial" w:hAnsi="Arial" w:cs="Arial"/>
          <w:sz w:val="22"/>
          <w:szCs w:val="22"/>
        </w:rPr>
        <w:t xml:space="preserve">Pro každý </w:t>
      </w:r>
      <w:proofErr w:type="spellStart"/>
      <w:r w:rsidRPr="006532BE">
        <w:rPr>
          <w:rFonts w:ascii="Arial" w:hAnsi="Arial" w:cs="Arial"/>
          <w:sz w:val="22"/>
          <w:szCs w:val="22"/>
        </w:rPr>
        <w:t>geotyp</w:t>
      </w:r>
      <w:proofErr w:type="spellEnd"/>
      <w:r w:rsidRPr="006532BE">
        <w:rPr>
          <w:rFonts w:ascii="Arial" w:hAnsi="Arial" w:cs="Arial"/>
          <w:sz w:val="22"/>
          <w:szCs w:val="22"/>
        </w:rPr>
        <w:t xml:space="preserve"> uvede stanovený podnik procentuální hodnotu pro jednotlivé páteřní uzly (sloupce): Praha 1, Praha 2, Praha 3, Brno 1, Brno 2, České Budějovice, Plzeň, Ústí nad Labem, Hradec Králové, Ostrava.</w:t>
      </w:r>
    </w:p>
    <w:p w:rsidR="00242A0C" w:rsidRPr="006532BE" w:rsidRDefault="00242A0C" w:rsidP="008D6DDA">
      <w:pPr>
        <w:pStyle w:val="Zkladntext"/>
        <w:numPr>
          <w:ilvl w:val="1"/>
          <w:numId w:val="11"/>
        </w:numPr>
        <w:tabs>
          <w:tab w:val="clear" w:pos="420"/>
        </w:tabs>
        <w:spacing w:before="120" w:after="0"/>
        <w:ind w:left="567" w:hanging="567"/>
        <w:jc w:val="both"/>
        <w:rPr>
          <w:rFonts w:ascii="Arial" w:hAnsi="Arial" w:cs="Arial"/>
          <w:b/>
          <w:i/>
          <w:sz w:val="22"/>
          <w:szCs w:val="22"/>
        </w:rPr>
      </w:pPr>
      <w:r w:rsidRPr="006532BE">
        <w:rPr>
          <w:rFonts w:ascii="Arial" w:hAnsi="Arial" w:cs="Arial"/>
          <w:b/>
          <w:i/>
          <w:sz w:val="22"/>
          <w:szCs w:val="22"/>
        </w:rPr>
        <w:t xml:space="preserve">BTS / </w:t>
      </w:r>
      <w:proofErr w:type="spellStart"/>
      <w:r w:rsidRPr="006532BE">
        <w:rPr>
          <w:rFonts w:ascii="Arial" w:hAnsi="Arial" w:cs="Arial"/>
          <w:b/>
          <w:i/>
          <w:sz w:val="22"/>
          <w:szCs w:val="22"/>
        </w:rPr>
        <w:t>NodeB</w:t>
      </w:r>
      <w:proofErr w:type="spellEnd"/>
      <w:r w:rsidRPr="006532BE">
        <w:rPr>
          <w:rFonts w:ascii="Arial" w:hAnsi="Arial" w:cs="Arial"/>
          <w:b/>
          <w:i/>
          <w:sz w:val="22"/>
          <w:szCs w:val="22"/>
        </w:rPr>
        <w:t xml:space="preserve"> zařízení</w:t>
      </w:r>
    </w:p>
    <w:p w:rsidR="00242A0C" w:rsidRPr="006532BE" w:rsidRDefault="00242A0C" w:rsidP="0014130B">
      <w:pPr>
        <w:pStyle w:val="Zkladntext"/>
        <w:numPr>
          <w:ilvl w:val="0"/>
          <w:numId w:val="9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Kapacita: Maximální počet TRX/</w:t>
      </w:r>
      <w:proofErr w:type="spellStart"/>
      <w:r w:rsidRPr="006532BE">
        <w:rPr>
          <w:rFonts w:ascii="Arial" w:hAnsi="Arial" w:cs="Arial"/>
          <w:sz w:val="22"/>
          <w:szCs w:val="22"/>
        </w:rPr>
        <w:t>Carrier</w:t>
      </w:r>
      <w:proofErr w:type="spellEnd"/>
      <w:r w:rsidR="0047095F" w:rsidRPr="006532BE">
        <w:rPr>
          <w:rFonts w:ascii="Arial" w:hAnsi="Arial" w:cs="Arial"/>
          <w:sz w:val="22"/>
          <w:szCs w:val="22"/>
        </w:rPr>
        <w:t xml:space="preserve"> na </w:t>
      </w:r>
      <w:r w:rsidRPr="006532BE">
        <w:rPr>
          <w:rFonts w:ascii="Arial" w:hAnsi="Arial" w:cs="Arial"/>
          <w:sz w:val="22"/>
          <w:szCs w:val="22"/>
        </w:rPr>
        <w:t>BTS/</w:t>
      </w:r>
      <w:proofErr w:type="spellStart"/>
      <w:r w:rsidRPr="006532BE">
        <w:rPr>
          <w:rFonts w:ascii="Arial" w:hAnsi="Arial" w:cs="Arial"/>
          <w:sz w:val="22"/>
          <w:szCs w:val="22"/>
        </w:rPr>
        <w:t>NodeB</w:t>
      </w:r>
      <w:proofErr w:type="spellEnd"/>
    </w:p>
    <w:p w:rsidR="00242A0C" w:rsidRPr="006532BE" w:rsidRDefault="00242A0C" w:rsidP="0014130B">
      <w:pPr>
        <w:pStyle w:val="Zkladntext"/>
        <w:numPr>
          <w:ilvl w:val="0"/>
          <w:numId w:val="9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Plánovací období (počet měsíců)</w:t>
      </w:r>
    </w:p>
    <w:p w:rsidR="00242A0C" w:rsidRPr="006532BE" w:rsidRDefault="00242A0C" w:rsidP="0024003A">
      <w:pPr>
        <w:keepNext/>
        <w:spacing w:before="120"/>
        <w:rPr>
          <w:rFonts w:ascii="Arial" w:hAnsi="Arial" w:cs="Arial"/>
          <w:sz w:val="22"/>
          <w:szCs w:val="22"/>
          <w:lang w:eastAsia="en-US"/>
        </w:rPr>
      </w:pPr>
      <w:r w:rsidRPr="006532BE">
        <w:rPr>
          <w:rFonts w:ascii="Arial" w:hAnsi="Arial" w:cs="Arial"/>
          <w:sz w:val="22"/>
          <w:szCs w:val="22"/>
          <w:lang w:eastAsia="en-US"/>
        </w:rPr>
        <w:t>Využití TRX</w:t>
      </w:r>
      <w:r w:rsidR="0047095F" w:rsidRPr="006532BE">
        <w:rPr>
          <w:rFonts w:ascii="Arial" w:hAnsi="Arial" w:cs="Arial"/>
          <w:sz w:val="22"/>
          <w:szCs w:val="22"/>
          <w:lang w:eastAsia="en-US"/>
        </w:rPr>
        <w:t xml:space="preserve"> v </w:t>
      </w:r>
      <w:r w:rsidRPr="006532BE">
        <w:rPr>
          <w:rFonts w:ascii="Arial" w:hAnsi="Arial" w:cs="Arial"/>
          <w:sz w:val="22"/>
          <w:szCs w:val="22"/>
          <w:lang w:eastAsia="en-US"/>
        </w:rPr>
        <w:t>HPH (%)</w:t>
      </w:r>
    </w:p>
    <w:p w:rsidR="00242A0C" w:rsidRPr="006532BE" w:rsidRDefault="00242A0C" w:rsidP="0014130B">
      <w:pPr>
        <w:pStyle w:val="Zkladntext"/>
        <w:numPr>
          <w:ilvl w:val="0"/>
          <w:numId w:val="9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Aglomerace</w:t>
      </w:r>
    </w:p>
    <w:p w:rsidR="00242A0C" w:rsidRPr="006532BE" w:rsidRDefault="00242A0C" w:rsidP="0014130B">
      <w:pPr>
        <w:pStyle w:val="Zkladntext"/>
        <w:numPr>
          <w:ilvl w:val="0"/>
          <w:numId w:val="9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Města</w:t>
      </w:r>
    </w:p>
    <w:p w:rsidR="00242A0C" w:rsidRPr="006532BE" w:rsidRDefault="00242A0C" w:rsidP="0014130B">
      <w:pPr>
        <w:pStyle w:val="Zkladntext"/>
        <w:numPr>
          <w:ilvl w:val="0"/>
          <w:numId w:val="9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Venkov</w:t>
      </w:r>
    </w:p>
    <w:p w:rsidR="00242A0C" w:rsidRPr="006532BE" w:rsidRDefault="00242A0C" w:rsidP="0014130B">
      <w:pPr>
        <w:pStyle w:val="Zkladntext"/>
        <w:numPr>
          <w:ilvl w:val="0"/>
          <w:numId w:val="9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Dopravní koridory</w:t>
      </w:r>
    </w:p>
    <w:p w:rsidR="00242A0C" w:rsidRPr="006532BE" w:rsidRDefault="00242A0C" w:rsidP="0014130B">
      <w:pPr>
        <w:pStyle w:val="Zkladntext"/>
        <w:numPr>
          <w:ilvl w:val="0"/>
          <w:numId w:val="93"/>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Rekreační oblasti</w:t>
      </w:r>
    </w:p>
    <w:p w:rsidR="00242A0C" w:rsidRPr="006532BE" w:rsidRDefault="00242A0C" w:rsidP="0024003A">
      <w:pPr>
        <w:tabs>
          <w:tab w:val="left" w:pos="1720"/>
          <w:tab w:val="left" w:pos="3380"/>
        </w:tabs>
        <w:spacing w:before="120"/>
        <w:ind w:left="62"/>
        <w:rPr>
          <w:rFonts w:ascii="Arial" w:hAnsi="Arial" w:cs="Arial"/>
          <w:sz w:val="22"/>
          <w:szCs w:val="22"/>
        </w:rPr>
      </w:pPr>
      <w:r w:rsidRPr="006532BE">
        <w:rPr>
          <w:rFonts w:ascii="Arial" w:hAnsi="Arial" w:cs="Arial"/>
          <w:sz w:val="22"/>
          <w:szCs w:val="22"/>
          <w:lang w:eastAsia="en-US"/>
        </w:rPr>
        <w:t xml:space="preserve">Pro každý </w:t>
      </w:r>
      <w:proofErr w:type="spellStart"/>
      <w:r w:rsidRPr="006532BE">
        <w:rPr>
          <w:rFonts w:ascii="Arial" w:hAnsi="Arial" w:cs="Arial"/>
          <w:sz w:val="22"/>
          <w:szCs w:val="22"/>
          <w:lang w:eastAsia="en-US"/>
        </w:rPr>
        <w:t>geotyp</w:t>
      </w:r>
      <w:proofErr w:type="spellEnd"/>
      <w:r w:rsidRPr="006532BE">
        <w:rPr>
          <w:rFonts w:ascii="Arial" w:hAnsi="Arial" w:cs="Arial"/>
          <w:sz w:val="22"/>
          <w:szCs w:val="22"/>
          <w:lang w:eastAsia="en-US"/>
        </w:rPr>
        <w:t xml:space="preserve"> uvede stanovený podnik hodnotu</w:t>
      </w:r>
      <w:r w:rsidR="0047095F" w:rsidRPr="006532BE">
        <w:rPr>
          <w:rFonts w:ascii="Arial" w:hAnsi="Arial" w:cs="Arial"/>
          <w:sz w:val="22"/>
          <w:szCs w:val="22"/>
          <w:lang w:eastAsia="en-US"/>
        </w:rPr>
        <w:t xml:space="preserve"> v </w:t>
      </w:r>
      <w:r w:rsidRPr="006532BE">
        <w:rPr>
          <w:rFonts w:ascii="Arial" w:hAnsi="Arial" w:cs="Arial"/>
          <w:sz w:val="22"/>
          <w:szCs w:val="22"/>
          <w:lang w:eastAsia="en-US"/>
        </w:rPr>
        <w:t xml:space="preserve">sloupcích pro: </w:t>
      </w:r>
      <w:r w:rsidRPr="006532BE">
        <w:rPr>
          <w:rFonts w:ascii="Arial" w:hAnsi="Arial" w:cs="Arial"/>
          <w:sz w:val="22"/>
          <w:szCs w:val="22"/>
        </w:rPr>
        <w:t xml:space="preserve">GSM 900, GSM 1800, GSM </w:t>
      </w:r>
      <w:proofErr w:type="spellStart"/>
      <w:r w:rsidRPr="006532BE">
        <w:rPr>
          <w:rFonts w:ascii="Arial" w:hAnsi="Arial" w:cs="Arial"/>
          <w:sz w:val="22"/>
          <w:szCs w:val="22"/>
        </w:rPr>
        <w:t>Dual</w:t>
      </w:r>
      <w:proofErr w:type="spellEnd"/>
      <w:r w:rsidRPr="006532BE">
        <w:rPr>
          <w:rFonts w:ascii="Arial" w:hAnsi="Arial" w:cs="Arial"/>
          <w:sz w:val="22"/>
          <w:szCs w:val="22"/>
        </w:rPr>
        <w:t>.</w:t>
      </w:r>
    </w:p>
    <w:p w:rsidR="00242A0C" w:rsidRPr="006532BE" w:rsidRDefault="00242A0C" w:rsidP="008D6DDA">
      <w:pPr>
        <w:numPr>
          <w:ilvl w:val="1"/>
          <w:numId w:val="11"/>
        </w:numPr>
        <w:tabs>
          <w:tab w:val="clear" w:pos="420"/>
        </w:tabs>
        <w:spacing w:before="120"/>
        <w:ind w:left="567" w:hanging="567"/>
        <w:rPr>
          <w:rFonts w:ascii="Arial" w:hAnsi="Arial" w:cs="Arial"/>
          <w:b/>
          <w:i/>
          <w:sz w:val="22"/>
          <w:szCs w:val="22"/>
          <w:lang w:eastAsia="en-US"/>
        </w:rPr>
      </w:pPr>
      <w:r w:rsidRPr="006532BE">
        <w:rPr>
          <w:rFonts w:ascii="Arial" w:hAnsi="Arial" w:cs="Arial"/>
          <w:b/>
          <w:i/>
          <w:sz w:val="22"/>
          <w:szCs w:val="22"/>
          <w:lang w:eastAsia="en-US"/>
        </w:rPr>
        <w:t>BTS</w:t>
      </w:r>
      <w:r w:rsidR="00183AA2" w:rsidRPr="006532BE">
        <w:rPr>
          <w:rFonts w:ascii="Arial" w:hAnsi="Arial" w:cs="Arial"/>
          <w:b/>
          <w:i/>
          <w:sz w:val="22"/>
          <w:szCs w:val="22"/>
          <w:lang w:eastAsia="en-US"/>
        </w:rPr>
        <w:t xml:space="preserve"> </w:t>
      </w:r>
      <w:r w:rsidRPr="006532BE">
        <w:rPr>
          <w:rFonts w:ascii="Arial" w:hAnsi="Arial" w:cs="Arial"/>
          <w:b/>
          <w:i/>
          <w:sz w:val="22"/>
          <w:szCs w:val="22"/>
          <w:lang w:eastAsia="en-US"/>
        </w:rPr>
        <w:t>/</w:t>
      </w:r>
      <w:r w:rsidR="00183AA2" w:rsidRPr="006532BE">
        <w:rPr>
          <w:rFonts w:ascii="Arial" w:hAnsi="Arial" w:cs="Arial"/>
          <w:b/>
          <w:i/>
          <w:sz w:val="22"/>
          <w:szCs w:val="22"/>
          <w:lang w:eastAsia="en-US"/>
        </w:rPr>
        <w:t xml:space="preserve"> </w:t>
      </w:r>
      <w:proofErr w:type="spellStart"/>
      <w:r w:rsidRPr="006532BE">
        <w:rPr>
          <w:rFonts w:ascii="Arial" w:hAnsi="Arial" w:cs="Arial"/>
          <w:b/>
          <w:i/>
          <w:sz w:val="22"/>
          <w:szCs w:val="22"/>
          <w:lang w:eastAsia="en-US"/>
        </w:rPr>
        <w:t>NodeB</w:t>
      </w:r>
      <w:proofErr w:type="spellEnd"/>
      <w:r w:rsidRPr="006532BE">
        <w:rPr>
          <w:rFonts w:ascii="Arial" w:hAnsi="Arial" w:cs="Arial"/>
          <w:b/>
          <w:i/>
          <w:sz w:val="22"/>
          <w:szCs w:val="22"/>
          <w:lang w:eastAsia="en-US"/>
        </w:rPr>
        <w:t xml:space="preserve"> </w:t>
      </w:r>
      <w:proofErr w:type="spellStart"/>
      <w:r w:rsidRPr="006532BE">
        <w:rPr>
          <w:rFonts w:ascii="Arial" w:hAnsi="Arial" w:cs="Arial"/>
          <w:b/>
          <w:i/>
          <w:sz w:val="22"/>
          <w:szCs w:val="22"/>
          <w:lang w:eastAsia="en-US"/>
        </w:rPr>
        <w:t>sektorizace</w:t>
      </w:r>
      <w:proofErr w:type="spellEnd"/>
    </w:p>
    <w:p w:rsidR="00242A0C" w:rsidRPr="006532BE" w:rsidRDefault="00242A0C" w:rsidP="0014130B">
      <w:pPr>
        <w:pStyle w:val="Zkladntext"/>
        <w:numPr>
          <w:ilvl w:val="0"/>
          <w:numId w:val="9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Aglomerace</w:t>
      </w:r>
    </w:p>
    <w:p w:rsidR="00242A0C" w:rsidRPr="006532BE" w:rsidRDefault="00242A0C" w:rsidP="0014130B">
      <w:pPr>
        <w:pStyle w:val="Zkladntext"/>
        <w:numPr>
          <w:ilvl w:val="0"/>
          <w:numId w:val="9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Města</w:t>
      </w:r>
    </w:p>
    <w:p w:rsidR="00242A0C" w:rsidRPr="006532BE" w:rsidRDefault="00242A0C" w:rsidP="0014130B">
      <w:pPr>
        <w:pStyle w:val="Zkladntext"/>
        <w:numPr>
          <w:ilvl w:val="0"/>
          <w:numId w:val="9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Venkov</w:t>
      </w:r>
    </w:p>
    <w:p w:rsidR="00242A0C" w:rsidRPr="006532BE" w:rsidRDefault="00242A0C" w:rsidP="0014130B">
      <w:pPr>
        <w:pStyle w:val="Zkladntext"/>
        <w:numPr>
          <w:ilvl w:val="0"/>
          <w:numId w:val="9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Dopravní koridory</w:t>
      </w:r>
    </w:p>
    <w:p w:rsidR="00242A0C" w:rsidRPr="006532BE" w:rsidRDefault="00242A0C" w:rsidP="0014130B">
      <w:pPr>
        <w:pStyle w:val="Zkladntext"/>
        <w:numPr>
          <w:ilvl w:val="0"/>
          <w:numId w:val="9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Rekreační oblasti</w:t>
      </w:r>
    </w:p>
    <w:p w:rsidR="00242A0C" w:rsidRPr="006532BE" w:rsidRDefault="00242A0C" w:rsidP="0014130B">
      <w:pPr>
        <w:pStyle w:val="Zkladntext"/>
        <w:numPr>
          <w:ilvl w:val="0"/>
          <w:numId w:val="94"/>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Území celkem</w:t>
      </w:r>
    </w:p>
    <w:p w:rsidR="00242A0C" w:rsidRPr="006532BE" w:rsidRDefault="00242A0C" w:rsidP="006532BE">
      <w:pPr>
        <w:tabs>
          <w:tab w:val="left" w:pos="1720"/>
          <w:tab w:val="left" w:pos="3380"/>
        </w:tabs>
        <w:spacing w:before="120"/>
        <w:ind w:left="62"/>
        <w:rPr>
          <w:rFonts w:ascii="Arial" w:hAnsi="Arial" w:cs="Arial"/>
          <w:sz w:val="22"/>
          <w:szCs w:val="22"/>
        </w:rPr>
      </w:pPr>
      <w:r w:rsidRPr="006532BE">
        <w:rPr>
          <w:rFonts w:ascii="Arial" w:hAnsi="Arial" w:cs="Arial"/>
          <w:sz w:val="22"/>
          <w:szCs w:val="22"/>
        </w:rPr>
        <w:t xml:space="preserve">Pro každý </w:t>
      </w:r>
      <w:proofErr w:type="spellStart"/>
      <w:r w:rsidRPr="006532BE">
        <w:rPr>
          <w:rFonts w:ascii="Arial" w:hAnsi="Arial" w:cs="Arial"/>
          <w:sz w:val="22"/>
          <w:szCs w:val="22"/>
        </w:rPr>
        <w:t>geotyp</w:t>
      </w:r>
      <w:proofErr w:type="spellEnd"/>
      <w:r w:rsidRPr="006532BE">
        <w:rPr>
          <w:rFonts w:ascii="Arial" w:hAnsi="Arial" w:cs="Arial"/>
          <w:sz w:val="22"/>
          <w:szCs w:val="22"/>
        </w:rPr>
        <w:t xml:space="preserve"> uvede stanovený podnik podíl stanovišť s 1, 2 a 3 a více sektory pro (sloupce): GSM 900, GSM 1800, GSM </w:t>
      </w:r>
      <w:proofErr w:type="spellStart"/>
      <w:r w:rsidRPr="006532BE">
        <w:rPr>
          <w:rFonts w:ascii="Arial" w:hAnsi="Arial" w:cs="Arial"/>
          <w:sz w:val="22"/>
          <w:szCs w:val="22"/>
        </w:rPr>
        <w:t>Dual</w:t>
      </w:r>
      <w:proofErr w:type="spellEnd"/>
      <w:r w:rsidRPr="006532BE">
        <w:rPr>
          <w:rFonts w:ascii="Arial" w:hAnsi="Arial" w:cs="Arial"/>
          <w:sz w:val="22"/>
          <w:szCs w:val="22"/>
        </w:rPr>
        <w:t xml:space="preserve">, Node B, </w:t>
      </w:r>
      <w:proofErr w:type="spellStart"/>
      <w:r w:rsidRPr="006532BE">
        <w:rPr>
          <w:rFonts w:ascii="Arial" w:hAnsi="Arial" w:cs="Arial"/>
          <w:sz w:val="22"/>
          <w:szCs w:val="22"/>
        </w:rPr>
        <w:t>eNode</w:t>
      </w:r>
      <w:proofErr w:type="spellEnd"/>
      <w:r w:rsidRPr="006532BE">
        <w:rPr>
          <w:rFonts w:ascii="Arial" w:hAnsi="Arial" w:cs="Arial"/>
          <w:sz w:val="22"/>
          <w:szCs w:val="22"/>
        </w:rPr>
        <w:t xml:space="preserve"> B.</w:t>
      </w:r>
    </w:p>
    <w:p w:rsidR="00242A0C" w:rsidRPr="006532BE" w:rsidRDefault="00242A0C" w:rsidP="0024003A">
      <w:pPr>
        <w:numPr>
          <w:ilvl w:val="1"/>
          <w:numId w:val="11"/>
        </w:numPr>
        <w:tabs>
          <w:tab w:val="clear" w:pos="420"/>
        </w:tabs>
        <w:spacing w:before="120"/>
        <w:ind w:left="567" w:hanging="567"/>
        <w:rPr>
          <w:rFonts w:ascii="Arial" w:hAnsi="Arial" w:cs="Arial"/>
          <w:b/>
          <w:i/>
          <w:sz w:val="22"/>
          <w:szCs w:val="22"/>
          <w:lang w:eastAsia="en-US"/>
        </w:rPr>
      </w:pPr>
      <w:r w:rsidRPr="006532BE">
        <w:rPr>
          <w:rFonts w:ascii="Arial" w:hAnsi="Arial" w:cs="Arial"/>
          <w:b/>
          <w:i/>
          <w:sz w:val="22"/>
          <w:szCs w:val="22"/>
          <w:lang w:eastAsia="en-US"/>
        </w:rPr>
        <w:lastRenderedPageBreak/>
        <w:t>BSC/RNC zařízení</w:t>
      </w:r>
    </w:p>
    <w:p w:rsidR="00242A0C" w:rsidRPr="006532BE" w:rsidRDefault="00242A0C" w:rsidP="0014130B">
      <w:pPr>
        <w:pStyle w:val="Zkladntext"/>
        <w:numPr>
          <w:ilvl w:val="0"/>
          <w:numId w:val="95"/>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BSC – Maximální efektivní kapacita</w:t>
      </w:r>
    </w:p>
    <w:p w:rsidR="00242A0C" w:rsidRPr="006532BE" w:rsidRDefault="00242A0C" w:rsidP="0024003A">
      <w:pPr>
        <w:spacing w:before="120"/>
        <w:jc w:val="both"/>
        <w:rPr>
          <w:rFonts w:ascii="Arial" w:hAnsi="Arial" w:cs="Arial"/>
          <w:sz w:val="22"/>
          <w:szCs w:val="22"/>
        </w:rPr>
      </w:pPr>
      <w:r w:rsidRPr="006532BE">
        <w:rPr>
          <w:rFonts w:ascii="Arial" w:hAnsi="Arial" w:cs="Arial"/>
          <w:sz w:val="22"/>
          <w:szCs w:val="22"/>
        </w:rPr>
        <w:t>Stanovený podnik uvede maximální počet TRX (citlivost provozu) a počet měsíců plánovacího období.</w:t>
      </w:r>
    </w:p>
    <w:p w:rsidR="00242A0C" w:rsidRPr="006532BE" w:rsidRDefault="00242A0C" w:rsidP="0014130B">
      <w:pPr>
        <w:pStyle w:val="Zkladntext"/>
        <w:numPr>
          <w:ilvl w:val="0"/>
          <w:numId w:val="95"/>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RNC – Maximální efektivní kapacita</w:t>
      </w:r>
    </w:p>
    <w:p w:rsidR="00242A0C" w:rsidRPr="006532BE" w:rsidRDefault="00242A0C" w:rsidP="0024003A">
      <w:pPr>
        <w:spacing w:before="120"/>
        <w:jc w:val="both"/>
        <w:rPr>
          <w:rFonts w:ascii="Arial" w:hAnsi="Arial" w:cs="Arial"/>
          <w:sz w:val="22"/>
          <w:szCs w:val="22"/>
        </w:rPr>
      </w:pPr>
      <w:r w:rsidRPr="006532BE">
        <w:rPr>
          <w:rFonts w:ascii="Arial" w:hAnsi="Arial" w:cs="Arial"/>
          <w:sz w:val="22"/>
          <w:szCs w:val="22"/>
        </w:rPr>
        <w:t>Stanovený podnik uvede maximální datový provoz</w:t>
      </w:r>
      <w:r w:rsidR="0047095F" w:rsidRPr="006532BE">
        <w:rPr>
          <w:rFonts w:ascii="Arial" w:hAnsi="Arial" w:cs="Arial"/>
          <w:sz w:val="22"/>
          <w:szCs w:val="22"/>
        </w:rPr>
        <w:t xml:space="preserve"> na </w:t>
      </w:r>
      <w:r w:rsidRPr="006532BE">
        <w:rPr>
          <w:rFonts w:ascii="Arial" w:hAnsi="Arial" w:cs="Arial"/>
          <w:sz w:val="22"/>
          <w:szCs w:val="22"/>
        </w:rPr>
        <w:t>RNC (Mbps) a počet měsíců plánovacího období.</w:t>
      </w:r>
    </w:p>
    <w:p w:rsidR="00242A0C" w:rsidRPr="006532BE" w:rsidRDefault="00242A0C" w:rsidP="008D6DDA">
      <w:pPr>
        <w:pStyle w:val="Zkladntext"/>
        <w:numPr>
          <w:ilvl w:val="1"/>
          <w:numId w:val="11"/>
        </w:numPr>
        <w:tabs>
          <w:tab w:val="clear" w:pos="420"/>
        </w:tabs>
        <w:spacing w:before="120" w:after="0"/>
        <w:ind w:left="567" w:hanging="567"/>
        <w:jc w:val="both"/>
        <w:rPr>
          <w:rFonts w:ascii="Arial" w:hAnsi="Arial" w:cs="Arial"/>
          <w:b/>
          <w:i/>
          <w:sz w:val="22"/>
          <w:szCs w:val="22"/>
        </w:rPr>
      </w:pPr>
      <w:r w:rsidRPr="006532BE">
        <w:rPr>
          <w:rFonts w:ascii="Arial" w:hAnsi="Arial" w:cs="Arial"/>
          <w:b/>
          <w:i/>
          <w:sz w:val="22"/>
          <w:szCs w:val="22"/>
        </w:rPr>
        <w:t>MSS zařízení</w:t>
      </w:r>
    </w:p>
    <w:p w:rsidR="00242A0C" w:rsidRPr="006532BE" w:rsidRDefault="00242A0C" w:rsidP="008D6DDA">
      <w:pPr>
        <w:spacing w:before="60"/>
        <w:jc w:val="both"/>
        <w:rPr>
          <w:rFonts w:ascii="Arial" w:hAnsi="Arial" w:cs="Arial"/>
          <w:sz w:val="22"/>
          <w:szCs w:val="22"/>
        </w:rPr>
      </w:pPr>
      <w:r w:rsidRPr="006532BE">
        <w:rPr>
          <w:rFonts w:ascii="Arial" w:hAnsi="Arial" w:cs="Arial"/>
          <w:sz w:val="22"/>
          <w:szCs w:val="22"/>
        </w:rPr>
        <w:t>Stanovený podnik uvede skutečnou kapacitu souběžných/současných hovorů</w:t>
      </w:r>
      <w:r w:rsidR="0047095F" w:rsidRPr="006532BE">
        <w:rPr>
          <w:rFonts w:ascii="Arial" w:hAnsi="Arial" w:cs="Arial"/>
          <w:sz w:val="22"/>
          <w:szCs w:val="22"/>
        </w:rPr>
        <w:t xml:space="preserve"> v </w:t>
      </w:r>
      <w:r w:rsidRPr="006532BE">
        <w:rPr>
          <w:rFonts w:ascii="Arial" w:hAnsi="Arial" w:cs="Arial"/>
          <w:sz w:val="22"/>
          <w:szCs w:val="22"/>
        </w:rPr>
        <w:t>HPH (Aktuální počet # SCC), skutečné zatížení ústředny</w:t>
      </w:r>
      <w:r w:rsidR="0047095F" w:rsidRPr="006532BE">
        <w:rPr>
          <w:rFonts w:ascii="Arial" w:hAnsi="Arial" w:cs="Arial"/>
          <w:sz w:val="22"/>
          <w:szCs w:val="22"/>
        </w:rPr>
        <w:t xml:space="preserve"> v </w:t>
      </w:r>
      <w:proofErr w:type="spellStart"/>
      <w:r w:rsidRPr="006532BE">
        <w:rPr>
          <w:rFonts w:ascii="Arial" w:hAnsi="Arial" w:cs="Arial"/>
          <w:sz w:val="22"/>
          <w:szCs w:val="22"/>
        </w:rPr>
        <w:t>Erlanzích</w:t>
      </w:r>
      <w:proofErr w:type="spellEnd"/>
      <w:r w:rsidR="0047095F" w:rsidRPr="006532BE">
        <w:rPr>
          <w:rFonts w:ascii="Arial" w:hAnsi="Arial" w:cs="Arial"/>
          <w:sz w:val="22"/>
          <w:szCs w:val="22"/>
        </w:rPr>
        <w:t xml:space="preserve"> v </w:t>
      </w:r>
      <w:r w:rsidRPr="006532BE">
        <w:rPr>
          <w:rFonts w:ascii="Arial" w:hAnsi="Arial" w:cs="Arial"/>
          <w:sz w:val="22"/>
          <w:szCs w:val="22"/>
        </w:rPr>
        <w:t>HPH (</w:t>
      </w:r>
      <w:proofErr w:type="spellStart"/>
      <w:r w:rsidRPr="006532BE">
        <w:rPr>
          <w:rFonts w:ascii="Arial" w:hAnsi="Arial" w:cs="Arial"/>
          <w:sz w:val="22"/>
          <w:szCs w:val="22"/>
        </w:rPr>
        <w:t>Actual</w:t>
      </w:r>
      <w:proofErr w:type="spellEnd"/>
      <w:r w:rsidRPr="006532BE">
        <w:rPr>
          <w:rFonts w:ascii="Arial" w:hAnsi="Arial" w:cs="Arial"/>
          <w:sz w:val="22"/>
          <w:szCs w:val="22"/>
        </w:rPr>
        <w:t xml:space="preserve"> # BHE) a počet měsíců plánovacího období</w:t>
      </w:r>
      <w:r w:rsidR="00F27160" w:rsidRPr="006532BE">
        <w:rPr>
          <w:rFonts w:ascii="Arial" w:hAnsi="Arial" w:cs="Arial"/>
          <w:sz w:val="22"/>
          <w:szCs w:val="22"/>
        </w:rPr>
        <w:t>.</w:t>
      </w:r>
    </w:p>
    <w:p w:rsidR="00242A0C" w:rsidRPr="006532BE" w:rsidRDefault="00242A0C" w:rsidP="008D6DDA">
      <w:pPr>
        <w:spacing w:before="120"/>
        <w:ind w:left="567" w:hanging="567"/>
        <w:jc w:val="both"/>
        <w:rPr>
          <w:rFonts w:ascii="Arial" w:hAnsi="Arial" w:cs="Arial"/>
          <w:b/>
          <w:i/>
          <w:sz w:val="22"/>
          <w:szCs w:val="22"/>
          <w:lang w:eastAsia="en-US"/>
        </w:rPr>
      </w:pPr>
      <w:r w:rsidRPr="006532BE">
        <w:rPr>
          <w:rFonts w:ascii="Arial" w:hAnsi="Arial" w:cs="Arial"/>
          <w:b/>
          <w:i/>
          <w:sz w:val="22"/>
          <w:szCs w:val="22"/>
          <w:lang w:eastAsia="en-US"/>
        </w:rPr>
        <w:t>4.12 MGW zařízení</w:t>
      </w:r>
    </w:p>
    <w:p w:rsidR="00242A0C" w:rsidRPr="006532BE" w:rsidRDefault="00242A0C" w:rsidP="008D6DDA">
      <w:pPr>
        <w:spacing w:before="60"/>
        <w:jc w:val="both"/>
        <w:rPr>
          <w:rFonts w:ascii="Arial" w:hAnsi="Arial" w:cs="Arial"/>
          <w:sz w:val="22"/>
          <w:szCs w:val="22"/>
        </w:rPr>
      </w:pPr>
      <w:r w:rsidRPr="006532BE">
        <w:rPr>
          <w:rFonts w:ascii="Arial" w:hAnsi="Arial" w:cs="Arial"/>
          <w:sz w:val="22"/>
          <w:szCs w:val="22"/>
        </w:rPr>
        <w:t>Stanovený podnik uvede skutečnou kapacitu souběžných/současných hovorů</w:t>
      </w:r>
      <w:r w:rsidR="0047095F" w:rsidRPr="006532BE">
        <w:rPr>
          <w:rFonts w:ascii="Arial" w:hAnsi="Arial" w:cs="Arial"/>
          <w:sz w:val="22"/>
          <w:szCs w:val="22"/>
        </w:rPr>
        <w:t xml:space="preserve"> v </w:t>
      </w:r>
      <w:r w:rsidRPr="006532BE">
        <w:rPr>
          <w:rFonts w:ascii="Arial" w:hAnsi="Arial" w:cs="Arial"/>
          <w:sz w:val="22"/>
          <w:szCs w:val="22"/>
        </w:rPr>
        <w:t>HPH (Aktuální počet # SCC), skutečné zatížení ústředny</w:t>
      </w:r>
      <w:r w:rsidR="0047095F" w:rsidRPr="006532BE">
        <w:rPr>
          <w:rFonts w:ascii="Arial" w:hAnsi="Arial" w:cs="Arial"/>
          <w:sz w:val="22"/>
          <w:szCs w:val="22"/>
        </w:rPr>
        <w:t xml:space="preserve"> v </w:t>
      </w:r>
      <w:proofErr w:type="spellStart"/>
      <w:r w:rsidRPr="006532BE">
        <w:rPr>
          <w:rFonts w:ascii="Arial" w:hAnsi="Arial" w:cs="Arial"/>
          <w:sz w:val="22"/>
          <w:szCs w:val="22"/>
        </w:rPr>
        <w:t>Erlanzích</w:t>
      </w:r>
      <w:proofErr w:type="spellEnd"/>
      <w:r w:rsidR="0047095F" w:rsidRPr="006532BE">
        <w:rPr>
          <w:rFonts w:ascii="Arial" w:hAnsi="Arial" w:cs="Arial"/>
          <w:sz w:val="22"/>
          <w:szCs w:val="22"/>
        </w:rPr>
        <w:t xml:space="preserve"> v </w:t>
      </w:r>
      <w:r w:rsidRPr="006532BE">
        <w:rPr>
          <w:rFonts w:ascii="Arial" w:hAnsi="Arial" w:cs="Arial"/>
          <w:sz w:val="22"/>
          <w:szCs w:val="22"/>
        </w:rPr>
        <w:t>HPH (</w:t>
      </w:r>
      <w:proofErr w:type="spellStart"/>
      <w:r w:rsidRPr="006532BE">
        <w:rPr>
          <w:rFonts w:ascii="Arial" w:hAnsi="Arial" w:cs="Arial"/>
          <w:sz w:val="22"/>
          <w:szCs w:val="22"/>
        </w:rPr>
        <w:t>Actual</w:t>
      </w:r>
      <w:proofErr w:type="spellEnd"/>
      <w:r w:rsidRPr="006532BE">
        <w:rPr>
          <w:rFonts w:ascii="Arial" w:hAnsi="Arial" w:cs="Arial"/>
          <w:sz w:val="22"/>
          <w:szCs w:val="22"/>
        </w:rPr>
        <w:t xml:space="preserve"> # BHE) a počet měsíců plánovacího období.</w:t>
      </w:r>
    </w:p>
    <w:p w:rsidR="00242A0C" w:rsidRPr="006532BE" w:rsidRDefault="00242A0C" w:rsidP="008D6DDA">
      <w:pPr>
        <w:pStyle w:val="Zkladntext"/>
        <w:spacing w:before="120" w:after="0"/>
        <w:ind w:left="567" w:hanging="567"/>
        <w:jc w:val="both"/>
        <w:rPr>
          <w:rFonts w:ascii="Arial" w:hAnsi="Arial" w:cs="Arial"/>
          <w:b/>
          <w:i/>
          <w:sz w:val="22"/>
          <w:szCs w:val="22"/>
        </w:rPr>
      </w:pPr>
      <w:r w:rsidRPr="006532BE">
        <w:rPr>
          <w:rFonts w:ascii="Arial" w:hAnsi="Arial" w:cs="Arial"/>
          <w:b/>
          <w:i/>
          <w:sz w:val="22"/>
          <w:szCs w:val="22"/>
        </w:rPr>
        <w:t xml:space="preserve">4.13 Ostatní zařízení </w:t>
      </w:r>
      <w:proofErr w:type="spellStart"/>
      <w:r w:rsidRPr="006532BE">
        <w:rPr>
          <w:rFonts w:ascii="Arial" w:hAnsi="Arial" w:cs="Arial"/>
          <w:b/>
          <w:i/>
          <w:sz w:val="22"/>
          <w:szCs w:val="22"/>
        </w:rPr>
        <w:t>core</w:t>
      </w:r>
      <w:proofErr w:type="spellEnd"/>
      <w:r w:rsidRPr="006532BE">
        <w:rPr>
          <w:rFonts w:ascii="Arial" w:hAnsi="Arial" w:cs="Arial"/>
          <w:b/>
          <w:i/>
          <w:sz w:val="22"/>
          <w:szCs w:val="22"/>
        </w:rPr>
        <w:t xml:space="preserve"> </w:t>
      </w:r>
      <w:proofErr w:type="spellStart"/>
      <w:r w:rsidRPr="006532BE">
        <w:rPr>
          <w:rFonts w:ascii="Arial" w:hAnsi="Arial" w:cs="Arial"/>
          <w:b/>
          <w:i/>
          <w:sz w:val="22"/>
          <w:szCs w:val="22"/>
        </w:rPr>
        <w:t>platforms</w:t>
      </w:r>
      <w:proofErr w:type="spellEnd"/>
    </w:p>
    <w:p w:rsidR="00242A0C" w:rsidRPr="006532BE" w:rsidRDefault="00242A0C" w:rsidP="008D6DDA">
      <w:pPr>
        <w:pStyle w:val="Zkladntext"/>
        <w:spacing w:before="60" w:after="0"/>
        <w:jc w:val="both"/>
        <w:rPr>
          <w:rFonts w:ascii="Arial" w:hAnsi="Arial" w:cs="Arial"/>
          <w:sz w:val="22"/>
          <w:szCs w:val="22"/>
        </w:rPr>
      </w:pPr>
      <w:r w:rsidRPr="006532BE">
        <w:rPr>
          <w:rFonts w:ascii="Arial" w:hAnsi="Arial" w:cs="Arial"/>
          <w:sz w:val="22"/>
          <w:szCs w:val="22"/>
        </w:rPr>
        <w:t xml:space="preserve">Stanovený podnik uvede skutečný počet zařízení (bez zálohování a nevyužitých), minimální počet platforem, celkovou kapacitu a počet měsíců plánovacího období pro zařízení </w:t>
      </w:r>
    </w:p>
    <w:p w:rsidR="00242A0C" w:rsidRPr="006532BE" w:rsidRDefault="00242A0C" w:rsidP="0014130B">
      <w:pPr>
        <w:pStyle w:val="Zkladntext"/>
        <w:numPr>
          <w:ilvl w:val="0"/>
          <w:numId w:val="96"/>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Home</w:t>
      </w:r>
      <w:proofErr w:type="spellEnd"/>
      <w:r w:rsidRPr="006532BE">
        <w:rPr>
          <w:rFonts w:ascii="Arial" w:hAnsi="Arial" w:cs="Arial"/>
          <w:sz w:val="22"/>
          <w:szCs w:val="22"/>
        </w:rPr>
        <w:t xml:space="preserve"> </w:t>
      </w:r>
      <w:proofErr w:type="spellStart"/>
      <w:r w:rsidRPr="006532BE">
        <w:rPr>
          <w:rFonts w:ascii="Arial" w:hAnsi="Arial" w:cs="Arial"/>
          <w:sz w:val="22"/>
          <w:szCs w:val="22"/>
        </w:rPr>
        <w:t>Location</w:t>
      </w:r>
      <w:proofErr w:type="spellEnd"/>
      <w:r w:rsidRPr="006532BE">
        <w:rPr>
          <w:rFonts w:ascii="Arial" w:hAnsi="Arial" w:cs="Arial"/>
          <w:sz w:val="22"/>
          <w:szCs w:val="22"/>
        </w:rPr>
        <w:t xml:space="preserve"> </w:t>
      </w:r>
      <w:proofErr w:type="spellStart"/>
      <w:r w:rsidRPr="006532BE">
        <w:rPr>
          <w:rFonts w:ascii="Arial" w:hAnsi="Arial" w:cs="Arial"/>
          <w:sz w:val="22"/>
          <w:szCs w:val="22"/>
        </w:rPr>
        <w:t>Register</w:t>
      </w:r>
      <w:proofErr w:type="spellEnd"/>
      <w:r w:rsidRPr="006532BE">
        <w:rPr>
          <w:rFonts w:ascii="Arial" w:hAnsi="Arial" w:cs="Arial"/>
          <w:sz w:val="22"/>
          <w:szCs w:val="22"/>
        </w:rPr>
        <w:t xml:space="preserve"> (HLR)</w:t>
      </w:r>
    </w:p>
    <w:p w:rsidR="00242A0C" w:rsidRPr="006532BE" w:rsidRDefault="00242A0C" w:rsidP="0014130B">
      <w:pPr>
        <w:pStyle w:val="Zkladntext"/>
        <w:numPr>
          <w:ilvl w:val="0"/>
          <w:numId w:val="96"/>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Voicemail</w:t>
      </w:r>
      <w:proofErr w:type="spellEnd"/>
      <w:r w:rsidRPr="006532BE">
        <w:rPr>
          <w:rFonts w:ascii="Arial" w:hAnsi="Arial" w:cs="Arial"/>
          <w:sz w:val="22"/>
          <w:szCs w:val="22"/>
        </w:rPr>
        <w:t xml:space="preserve"> </w:t>
      </w:r>
      <w:proofErr w:type="spellStart"/>
      <w:r w:rsidRPr="006532BE">
        <w:rPr>
          <w:rFonts w:ascii="Arial" w:hAnsi="Arial" w:cs="Arial"/>
          <w:sz w:val="22"/>
          <w:szCs w:val="22"/>
        </w:rPr>
        <w:t>platform</w:t>
      </w:r>
      <w:proofErr w:type="spellEnd"/>
    </w:p>
    <w:p w:rsidR="00242A0C" w:rsidRPr="006532BE" w:rsidRDefault="00242A0C" w:rsidP="0014130B">
      <w:pPr>
        <w:pStyle w:val="Zkladntext"/>
        <w:numPr>
          <w:ilvl w:val="0"/>
          <w:numId w:val="96"/>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SMSC </w:t>
      </w:r>
      <w:proofErr w:type="spellStart"/>
      <w:r w:rsidRPr="006532BE">
        <w:rPr>
          <w:rFonts w:ascii="Arial" w:hAnsi="Arial" w:cs="Arial"/>
          <w:sz w:val="22"/>
          <w:szCs w:val="22"/>
        </w:rPr>
        <w:t>platform</w:t>
      </w:r>
      <w:proofErr w:type="spellEnd"/>
    </w:p>
    <w:p w:rsidR="00242A0C" w:rsidRPr="006532BE" w:rsidRDefault="00242A0C" w:rsidP="0014130B">
      <w:pPr>
        <w:pStyle w:val="Zkladntext"/>
        <w:numPr>
          <w:ilvl w:val="0"/>
          <w:numId w:val="96"/>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MMSC </w:t>
      </w:r>
      <w:proofErr w:type="spellStart"/>
      <w:r w:rsidRPr="006532BE">
        <w:rPr>
          <w:rFonts w:ascii="Arial" w:hAnsi="Arial" w:cs="Arial"/>
          <w:sz w:val="22"/>
          <w:szCs w:val="22"/>
        </w:rPr>
        <w:t>platform</w:t>
      </w:r>
      <w:proofErr w:type="spellEnd"/>
    </w:p>
    <w:p w:rsidR="00242A0C" w:rsidRPr="006532BE" w:rsidRDefault="00242A0C" w:rsidP="0014130B">
      <w:pPr>
        <w:pStyle w:val="Zkladntext"/>
        <w:numPr>
          <w:ilvl w:val="0"/>
          <w:numId w:val="96"/>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Mobile IN</w:t>
      </w:r>
    </w:p>
    <w:p w:rsidR="00242A0C" w:rsidRPr="006532BE" w:rsidRDefault="00242A0C" w:rsidP="0014130B">
      <w:pPr>
        <w:pStyle w:val="Zkladntext"/>
        <w:numPr>
          <w:ilvl w:val="0"/>
          <w:numId w:val="96"/>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SGSN </w:t>
      </w:r>
      <w:proofErr w:type="spellStart"/>
      <w:r w:rsidRPr="006532BE">
        <w:rPr>
          <w:rFonts w:ascii="Arial" w:hAnsi="Arial" w:cs="Arial"/>
          <w:sz w:val="22"/>
          <w:szCs w:val="22"/>
        </w:rPr>
        <w:t>Platform</w:t>
      </w:r>
      <w:proofErr w:type="spellEnd"/>
    </w:p>
    <w:p w:rsidR="00242A0C" w:rsidRPr="006532BE" w:rsidRDefault="00242A0C" w:rsidP="0014130B">
      <w:pPr>
        <w:pStyle w:val="Zkladntext"/>
        <w:numPr>
          <w:ilvl w:val="0"/>
          <w:numId w:val="96"/>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GGSN </w:t>
      </w:r>
      <w:proofErr w:type="spellStart"/>
      <w:r w:rsidRPr="006532BE">
        <w:rPr>
          <w:rFonts w:ascii="Arial" w:hAnsi="Arial" w:cs="Arial"/>
          <w:sz w:val="22"/>
          <w:szCs w:val="22"/>
        </w:rPr>
        <w:t>Platform</w:t>
      </w:r>
      <w:proofErr w:type="spellEnd"/>
    </w:p>
    <w:p w:rsidR="00242A0C" w:rsidRPr="006532BE" w:rsidRDefault="00242A0C" w:rsidP="008D6DDA">
      <w:pPr>
        <w:spacing w:before="120"/>
        <w:ind w:left="567" w:hanging="567"/>
        <w:jc w:val="both"/>
        <w:rPr>
          <w:rFonts w:ascii="Arial" w:hAnsi="Arial" w:cs="Arial"/>
          <w:b/>
          <w:i/>
          <w:sz w:val="22"/>
          <w:szCs w:val="22"/>
          <w:lang w:eastAsia="en-US"/>
        </w:rPr>
      </w:pPr>
      <w:r w:rsidRPr="006532BE">
        <w:rPr>
          <w:rFonts w:ascii="Arial" w:hAnsi="Arial" w:cs="Arial"/>
          <w:b/>
          <w:i/>
          <w:sz w:val="22"/>
          <w:szCs w:val="22"/>
          <w:lang w:eastAsia="en-US"/>
        </w:rPr>
        <w:t xml:space="preserve">4.14 Mapování </w:t>
      </w:r>
      <w:proofErr w:type="spellStart"/>
      <w:r w:rsidRPr="006532BE">
        <w:rPr>
          <w:rFonts w:ascii="Arial" w:hAnsi="Arial" w:cs="Arial"/>
          <w:b/>
          <w:i/>
          <w:sz w:val="22"/>
          <w:szCs w:val="22"/>
          <w:lang w:eastAsia="en-US"/>
        </w:rPr>
        <w:t>Core</w:t>
      </w:r>
      <w:proofErr w:type="spellEnd"/>
      <w:r w:rsidRPr="006532BE">
        <w:rPr>
          <w:rFonts w:ascii="Arial" w:hAnsi="Arial" w:cs="Arial"/>
          <w:b/>
          <w:i/>
          <w:sz w:val="22"/>
          <w:szCs w:val="22"/>
          <w:lang w:eastAsia="en-US"/>
        </w:rPr>
        <w:t xml:space="preserve"> platforem</w:t>
      </w:r>
      <w:r w:rsidR="0047095F" w:rsidRPr="006532BE">
        <w:rPr>
          <w:rFonts w:ascii="Arial" w:hAnsi="Arial" w:cs="Arial"/>
          <w:b/>
          <w:i/>
          <w:sz w:val="22"/>
          <w:szCs w:val="22"/>
          <w:lang w:eastAsia="en-US"/>
        </w:rPr>
        <w:t xml:space="preserve"> na </w:t>
      </w:r>
      <w:proofErr w:type="spellStart"/>
      <w:r w:rsidRPr="006532BE">
        <w:rPr>
          <w:rFonts w:ascii="Arial" w:hAnsi="Arial" w:cs="Arial"/>
          <w:b/>
          <w:i/>
          <w:sz w:val="22"/>
          <w:szCs w:val="22"/>
          <w:lang w:eastAsia="en-US"/>
        </w:rPr>
        <w:t>Core</w:t>
      </w:r>
      <w:proofErr w:type="spellEnd"/>
      <w:r w:rsidRPr="006532BE">
        <w:rPr>
          <w:rFonts w:ascii="Arial" w:hAnsi="Arial" w:cs="Arial"/>
          <w:b/>
          <w:i/>
          <w:sz w:val="22"/>
          <w:szCs w:val="22"/>
          <w:lang w:eastAsia="en-US"/>
        </w:rPr>
        <w:t xml:space="preserve"> Node uzly</w:t>
      </w:r>
    </w:p>
    <w:p w:rsidR="00242A0C" w:rsidRPr="006532BE" w:rsidRDefault="00242A0C" w:rsidP="0014130B">
      <w:pPr>
        <w:pStyle w:val="Zkladntext"/>
        <w:numPr>
          <w:ilvl w:val="0"/>
          <w:numId w:val="97"/>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Network Center</w:t>
      </w:r>
    </w:p>
    <w:p w:rsidR="00242A0C" w:rsidRPr="006532BE" w:rsidRDefault="00242A0C" w:rsidP="0014130B">
      <w:pPr>
        <w:pStyle w:val="Zkladntext"/>
        <w:numPr>
          <w:ilvl w:val="0"/>
          <w:numId w:val="97"/>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Switch </w:t>
      </w:r>
      <w:proofErr w:type="spellStart"/>
      <w:r w:rsidRPr="006532BE">
        <w:rPr>
          <w:rFonts w:ascii="Arial" w:hAnsi="Arial" w:cs="Arial"/>
          <w:sz w:val="22"/>
          <w:szCs w:val="22"/>
        </w:rPr>
        <w:t>locations</w:t>
      </w:r>
      <w:proofErr w:type="spellEnd"/>
    </w:p>
    <w:p w:rsidR="00242A0C" w:rsidRPr="006532BE" w:rsidRDefault="00242A0C" w:rsidP="0014130B">
      <w:pPr>
        <w:pStyle w:val="Zkladntext"/>
        <w:numPr>
          <w:ilvl w:val="0"/>
          <w:numId w:val="97"/>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Home</w:t>
      </w:r>
      <w:proofErr w:type="spellEnd"/>
      <w:r w:rsidRPr="006532BE">
        <w:rPr>
          <w:rFonts w:ascii="Arial" w:hAnsi="Arial" w:cs="Arial"/>
          <w:sz w:val="22"/>
          <w:szCs w:val="22"/>
        </w:rPr>
        <w:t xml:space="preserve"> </w:t>
      </w:r>
      <w:proofErr w:type="spellStart"/>
      <w:r w:rsidRPr="006532BE">
        <w:rPr>
          <w:rFonts w:ascii="Arial" w:hAnsi="Arial" w:cs="Arial"/>
          <w:sz w:val="22"/>
          <w:szCs w:val="22"/>
        </w:rPr>
        <w:t>Location</w:t>
      </w:r>
      <w:proofErr w:type="spellEnd"/>
      <w:r w:rsidRPr="006532BE">
        <w:rPr>
          <w:rFonts w:ascii="Arial" w:hAnsi="Arial" w:cs="Arial"/>
          <w:sz w:val="22"/>
          <w:szCs w:val="22"/>
        </w:rPr>
        <w:t xml:space="preserve"> </w:t>
      </w:r>
      <w:proofErr w:type="spellStart"/>
      <w:r w:rsidRPr="006532BE">
        <w:rPr>
          <w:rFonts w:ascii="Arial" w:hAnsi="Arial" w:cs="Arial"/>
          <w:sz w:val="22"/>
          <w:szCs w:val="22"/>
        </w:rPr>
        <w:t>Register</w:t>
      </w:r>
      <w:proofErr w:type="spellEnd"/>
      <w:r w:rsidRPr="006532BE">
        <w:rPr>
          <w:rFonts w:ascii="Arial" w:hAnsi="Arial" w:cs="Arial"/>
          <w:sz w:val="22"/>
          <w:szCs w:val="22"/>
        </w:rPr>
        <w:t xml:space="preserve"> (HLR)</w:t>
      </w:r>
    </w:p>
    <w:p w:rsidR="00242A0C" w:rsidRPr="006532BE" w:rsidRDefault="00242A0C" w:rsidP="0014130B">
      <w:pPr>
        <w:pStyle w:val="Zkladntext"/>
        <w:numPr>
          <w:ilvl w:val="0"/>
          <w:numId w:val="97"/>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Voicemail</w:t>
      </w:r>
      <w:proofErr w:type="spellEnd"/>
      <w:r w:rsidRPr="006532BE">
        <w:rPr>
          <w:rFonts w:ascii="Arial" w:hAnsi="Arial" w:cs="Arial"/>
          <w:sz w:val="22"/>
          <w:szCs w:val="22"/>
        </w:rPr>
        <w:t xml:space="preserve"> </w:t>
      </w:r>
      <w:proofErr w:type="spellStart"/>
      <w:r w:rsidRPr="006532BE">
        <w:rPr>
          <w:rFonts w:ascii="Arial" w:hAnsi="Arial" w:cs="Arial"/>
          <w:sz w:val="22"/>
          <w:szCs w:val="22"/>
        </w:rPr>
        <w:t>platform</w:t>
      </w:r>
      <w:proofErr w:type="spellEnd"/>
    </w:p>
    <w:p w:rsidR="00242A0C" w:rsidRPr="006532BE" w:rsidRDefault="00242A0C" w:rsidP="0014130B">
      <w:pPr>
        <w:pStyle w:val="Zkladntext"/>
        <w:numPr>
          <w:ilvl w:val="0"/>
          <w:numId w:val="97"/>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SMSC </w:t>
      </w:r>
      <w:proofErr w:type="spellStart"/>
      <w:r w:rsidRPr="006532BE">
        <w:rPr>
          <w:rFonts w:ascii="Arial" w:hAnsi="Arial" w:cs="Arial"/>
          <w:sz w:val="22"/>
          <w:szCs w:val="22"/>
        </w:rPr>
        <w:t>platform</w:t>
      </w:r>
      <w:proofErr w:type="spellEnd"/>
    </w:p>
    <w:p w:rsidR="00242A0C" w:rsidRPr="006532BE" w:rsidRDefault="00242A0C" w:rsidP="0014130B">
      <w:pPr>
        <w:pStyle w:val="Zkladntext"/>
        <w:numPr>
          <w:ilvl w:val="0"/>
          <w:numId w:val="97"/>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MMSC </w:t>
      </w:r>
      <w:proofErr w:type="spellStart"/>
      <w:r w:rsidRPr="006532BE">
        <w:rPr>
          <w:rFonts w:ascii="Arial" w:hAnsi="Arial" w:cs="Arial"/>
          <w:sz w:val="22"/>
          <w:szCs w:val="22"/>
        </w:rPr>
        <w:t>platform</w:t>
      </w:r>
      <w:proofErr w:type="spellEnd"/>
    </w:p>
    <w:p w:rsidR="00242A0C" w:rsidRPr="006532BE" w:rsidRDefault="00242A0C" w:rsidP="0014130B">
      <w:pPr>
        <w:pStyle w:val="Zkladntext"/>
        <w:numPr>
          <w:ilvl w:val="0"/>
          <w:numId w:val="97"/>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Mobile IN</w:t>
      </w:r>
    </w:p>
    <w:p w:rsidR="00242A0C" w:rsidRPr="006532BE" w:rsidRDefault="00242A0C" w:rsidP="0014130B">
      <w:pPr>
        <w:pStyle w:val="Zkladntext"/>
        <w:numPr>
          <w:ilvl w:val="0"/>
          <w:numId w:val="97"/>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SGSN </w:t>
      </w:r>
      <w:proofErr w:type="spellStart"/>
      <w:r w:rsidRPr="006532BE">
        <w:rPr>
          <w:rFonts w:ascii="Arial" w:hAnsi="Arial" w:cs="Arial"/>
          <w:sz w:val="22"/>
          <w:szCs w:val="22"/>
        </w:rPr>
        <w:t>Platform</w:t>
      </w:r>
      <w:proofErr w:type="spellEnd"/>
    </w:p>
    <w:p w:rsidR="00242A0C" w:rsidRPr="006532BE" w:rsidRDefault="00242A0C" w:rsidP="0014130B">
      <w:pPr>
        <w:pStyle w:val="Zkladntext"/>
        <w:numPr>
          <w:ilvl w:val="0"/>
          <w:numId w:val="97"/>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GGSN </w:t>
      </w:r>
      <w:proofErr w:type="spellStart"/>
      <w:r w:rsidRPr="006532BE">
        <w:rPr>
          <w:rFonts w:ascii="Arial" w:hAnsi="Arial" w:cs="Arial"/>
          <w:sz w:val="22"/>
          <w:szCs w:val="22"/>
        </w:rPr>
        <w:t>Platform</w:t>
      </w:r>
      <w:proofErr w:type="spellEnd"/>
    </w:p>
    <w:p w:rsidR="00242A0C" w:rsidRPr="006532BE" w:rsidRDefault="00242A0C" w:rsidP="00395671">
      <w:pPr>
        <w:pStyle w:val="Zkladntext"/>
        <w:numPr>
          <w:ilvl w:val="0"/>
          <w:numId w:val="97"/>
        </w:numPr>
        <w:tabs>
          <w:tab w:val="clear" w:pos="2700"/>
          <w:tab w:val="num" w:pos="1134"/>
        </w:tabs>
        <w:spacing w:before="60" w:after="0"/>
        <w:ind w:left="1134" w:hanging="850"/>
        <w:jc w:val="both"/>
        <w:rPr>
          <w:rFonts w:ascii="Arial" w:hAnsi="Arial" w:cs="Arial"/>
          <w:sz w:val="22"/>
          <w:szCs w:val="22"/>
        </w:rPr>
      </w:pPr>
      <w:r w:rsidRPr="006532BE">
        <w:rPr>
          <w:rFonts w:ascii="Arial" w:hAnsi="Arial" w:cs="Arial"/>
          <w:sz w:val="22"/>
          <w:szCs w:val="22"/>
        </w:rPr>
        <w:t xml:space="preserve">Point </w:t>
      </w:r>
      <w:proofErr w:type="spellStart"/>
      <w:r w:rsidRPr="006532BE">
        <w:rPr>
          <w:rFonts w:ascii="Arial" w:hAnsi="Arial" w:cs="Arial"/>
          <w:sz w:val="22"/>
          <w:szCs w:val="22"/>
        </w:rPr>
        <w:t>Of</w:t>
      </w:r>
      <w:proofErr w:type="spellEnd"/>
      <w:r w:rsidRPr="006532BE">
        <w:rPr>
          <w:rFonts w:ascii="Arial" w:hAnsi="Arial" w:cs="Arial"/>
          <w:sz w:val="22"/>
          <w:szCs w:val="22"/>
        </w:rPr>
        <w:t xml:space="preserve"> </w:t>
      </w:r>
      <w:proofErr w:type="spellStart"/>
      <w:r w:rsidRPr="006532BE">
        <w:rPr>
          <w:rFonts w:ascii="Arial" w:hAnsi="Arial" w:cs="Arial"/>
          <w:sz w:val="22"/>
          <w:szCs w:val="22"/>
        </w:rPr>
        <w:t>Interconnect</w:t>
      </w:r>
      <w:proofErr w:type="spellEnd"/>
    </w:p>
    <w:p w:rsidR="00242A0C" w:rsidRPr="006532BE" w:rsidRDefault="00242A0C" w:rsidP="0014130B">
      <w:pPr>
        <w:pStyle w:val="Zkladntext"/>
        <w:numPr>
          <w:ilvl w:val="0"/>
          <w:numId w:val="97"/>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Maintenance</w:t>
      </w:r>
      <w:proofErr w:type="spellEnd"/>
      <w:r w:rsidRPr="006532BE">
        <w:rPr>
          <w:rFonts w:ascii="Arial" w:hAnsi="Arial" w:cs="Arial"/>
          <w:sz w:val="22"/>
          <w:szCs w:val="22"/>
        </w:rPr>
        <w:t xml:space="preserve">/monitoring </w:t>
      </w:r>
      <w:proofErr w:type="spellStart"/>
      <w:r w:rsidRPr="006532BE">
        <w:rPr>
          <w:rFonts w:ascii="Arial" w:hAnsi="Arial" w:cs="Arial"/>
          <w:sz w:val="22"/>
          <w:szCs w:val="22"/>
        </w:rPr>
        <w:t>ports</w:t>
      </w:r>
      <w:proofErr w:type="spellEnd"/>
    </w:p>
    <w:p w:rsidR="00242A0C" w:rsidRPr="006532BE" w:rsidRDefault="00242A0C" w:rsidP="0024003A">
      <w:pPr>
        <w:pStyle w:val="Zkladntext"/>
        <w:tabs>
          <w:tab w:val="num" w:pos="720"/>
        </w:tabs>
        <w:spacing w:before="120" w:after="0"/>
        <w:jc w:val="both"/>
        <w:rPr>
          <w:rFonts w:ascii="Arial" w:hAnsi="Arial" w:cs="Arial"/>
          <w:sz w:val="22"/>
          <w:szCs w:val="22"/>
        </w:rPr>
      </w:pPr>
      <w:r w:rsidRPr="006532BE">
        <w:rPr>
          <w:rFonts w:ascii="Arial" w:hAnsi="Arial" w:cs="Arial"/>
          <w:sz w:val="22"/>
          <w:szCs w:val="22"/>
        </w:rPr>
        <w:t>Pro každý typ platformy uvede stanovený podnik umístění a počet pro jednotlivé páteřní uzly</w:t>
      </w:r>
      <w:r w:rsidR="0047095F" w:rsidRPr="006532BE">
        <w:rPr>
          <w:rFonts w:ascii="Arial" w:hAnsi="Arial" w:cs="Arial"/>
          <w:sz w:val="22"/>
          <w:szCs w:val="22"/>
        </w:rPr>
        <w:t xml:space="preserve"> v </w:t>
      </w:r>
      <w:r w:rsidRPr="006532BE">
        <w:rPr>
          <w:rFonts w:ascii="Arial" w:hAnsi="Arial" w:cs="Arial"/>
          <w:sz w:val="22"/>
          <w:szCs w:val="22"/>
        </w:rPr>
        <w:t>sloupcích: Praha 1, Praha 2, Praha 3, Brno 1, Brno 2, České Budějovice, Plzeň, Ústí nad Labem, Hradec Králové, Ostrava.</w:t>
      </w:r>
    </w:p>
    <w:p w:rsidR="00242A0C" w:rsidRPr="006532BE" w:rsidRDefault="00242A0C" w:rsidP="008D6DDA">
      <w:pPr>
        <w:pStyle w:val="Zkladntext"/>
        <w:spacing w:before="120"/>
        <w:ind w:left="567" w:hanging="567"/>
        <w:jc w:val="both"/>
        <w:rPr>
          <w:rFonts w:ascii="Arial" w:hAnsi="Arial" w:cs="Arial"/>
          <w:b/>
          <w:i/>
          <w:sz w:val="22"/>
          <w:szCs w:val="22"/>
        </w:rPr>
      </w:pPr>
      <w:r w:rsidRPr="006532BE">
        <w:rPr>
          <w:rFonts w:ascii="Arial" w:hAnsi="Arial" w:cs="Arial"/>
          <w:b/>
          <w:i/>
          <w:sz w:val="22"/>
          <w:szCs w:val="22"/>
        </w:rPr>
        <w:t>4.16.1 IP (NGN) zařízení</w:t>
      </w:r>
    </w:p>
    <w:p w:rsidR="00242A0C" w:rsidRPr="006532BE" w:rsidRDefault="00242A0C" w:rsidP="0014130B">
      <w:pPr>
        <w:pStyle w:val="Zkladntext"/>
        <w:numPr>
          <w:ilvl w:val="0"/>
          <w:numId w:val="98"/>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Maximální kapacita pro IP switch (</w:t>
      </w:r>
      <w:proofErr w:type="spellStart"/>
      <w:r w:rsidRPr="006532BE">
        <w:rPr>
          <w:rFonts w:ascii="Arial" w:hAnsi="Arial" w:cs="Arial"/>
          <w:sz w:val="22"/>
          <w:szCs w:val="22"/>
        </w:rPr>
        <w:t>access</w:t>
      </w:r>
      <w:proofErr w:type="spellEnd"/>
      <w:r w:rsidRPr="006532BE">
        <w:rPr>
          <w:rFonts w:ascii="Arial" w:hAnsi="Arial" w:cs="Arial"/>
          <w:sz w:val="22"/>
          <w:szCs w:val="22"/>
        </w:rPr>
        <w:t>) – počet karet</w:t>
      </w:r>
    </w:p>
    <w:p w:rsidR="00242A0C" w:rsidRPr="006532BE" w:rsidRDefault="00242A0C" w:rsidP="0014130B">
      <w:pPr>
        <w:pStyle w:val="Zkladntext"/>
        <w:numPr>
          <w:ilvl w:val="0"/>
          <w:numId w:val="98"/>
        </w:numPr>
        <w:tabs>
          <w:tab w:val="clear" w:pos="2700"/>
        </w:tabs>
        <w:spacing w:before="60" w:after="0"/>
        <w:ind w:left="1134" w:hanging="850"/>
        <w:jc w:val="both"/>
        <w:rPr>
          <w:rFonts w:ascii="Arial" w:hAnsi="Arial" w:cs="Arial"/>
          <w:sz w:val="22"/>
          <w:szCs w:val="22"/>
        </w:rPr>
      </w:pPr>
      <w:r w:rsidRPr="006532BE">
        <w:rPr>
          <w:rFonts w:ascii="Arial" w:hAnsi="Arial" w:cs="Arial"/>
          <w:sz w:val="22"/>
          <w:szCs w:val="22"/>
        </w:rPr>
        <w:t>Maximální kapacita pro IP router</w:t>
      </w:r>
      <w:r w:rsidR="00601240" w:rsidRPr="006532BE">
        <w:rPr>
          <w:rFonts w:ascii="Arial" w:hAnsi="Arial" w:cs="Arial"/>
          <w:sz w:val="22"/>
          <w:szCs w:val="22"/>
        </w:rPr>
        <w:t xml:space="preserve"> </w:t>
      </w:r>
      <w:r w:rsidRPr="006532BE">
        <w:rPr>
          <w:rFonts w:ascii="Arial" w:hAnsi="Arial" w:cs="Arial"/>
          <w:sz w:val="22"/>
          <w:szCs w:val="22"/>
        </w:rPr>
        <w:t>– počet karet</w:t>
      </w:r>
    </w:p>
    <w:p w:rsidR="00242A0C" w:rsidRPr="006532BE" w:rsidRDefault="00183AA2" w:rsidP="008D6DDA">
      <w:pPr>
        <w:pStyle w:val="Zkladntext"/>
        <w:spacing w:before="120" w:after="0"/>
        <w:jc w:val="both"/>
        <w:rPr>
          <w:rFonts w:ascii="Arial" w:hAnsi="Arial" w:cs="Arial"/>
          <w:b/>
          <w:i/>
          <w:sz w:val="22"/>
          <w:szCs w:val="22"/>
        </w:rPr>
      </w:pPr>
      <w:r w:rsidRPr="006532BE">
        <w:rPr>
          <w:rFonts w:ascii="Arial" w:hAnsi="Arial" w:cs="Arial"/>
          <w:b/>
          <w:i/>
          <w:sz w:val="22"/>
          <w:szCs w:val="22"/>
        </w:rPr>
        <w:t xml:space="preserve">4.16.2 </w:t>
      </w:r>
      <w:r w:rsidR="00242A0C" w:rsidRPr="006532BE">
        <w:rPr>
          <w:rFonts w:ascii="Arial" w:hAnsi="Arial" w:cs="Arial"/>
          <w:b/>
          <w:i/>
          <w:sz w:val="22"/>
          <w:szCs w:val="22"/>
        </w:rPr>
        <w:t xml:space="preserve">Přenosové zařízení </w:t>
      </w:r>
    </w:p>
    <w:p w:rsidR="00242A0C" w:rsidRPr="006532BE" w:rsidRDefault="00242A0C" w:rsidP="0014130B">
      <w:pPr>
        <w:pStyle w:val="Zkladntext"/>
        <w:numPr>
          <w:ilvl w:val="0"/>
          <w:numId w:val="99"/>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Pronajaté spoje % jako procento kabelových spojů</w:t>
      </w:r>
    </w:p>
    <w:p w:rsidR="00242A0C" w:rsidRPr="006532BE" w:rsidRDefault="00242A0C" w:rsidP="006532BE">
      <w:pPr>
        <w:spacing w:before="120"/>
        <w:jc w:val="both"/>
        <w:rPr>
          <w:rFonts w:ascii="Arial" w:hAnsi="Arial" w:cs="Arial"/>
          <w:sz w:val="22"/>
          <w:szCs w:val="22"/>
        </w:rPr>
      </w:pPr>
      <w:r w:rsidRPr="006532BE">
        <w:rPr>
          <w:rFonts w:ascii="Arial" w:hAnsi="Arial" w:cs="Arial"/>
          <w:sz w:val="22"/>
          <w:szCs w:val="22"/>
          <w:lang w:eastAsia="en-US"/>
        </w:rPr>
        <w:lastRenderedPageBreak/>
        <w:t>Stanovený podnik uvede celkovou délku pronajatých spojů</w:t>
      </w:r>
      <w:r w:rsidR="0047095F" w:rsidRPr="006532BE">
        <w:rPr>
          <w:rFonts w:ascii="Arial" w:hAnsi="Arial" w:cs="Arial"/>
          <w:sz w:val="22"/>
          <w:szCs w:val="22"/>
          <w:lang w:eastAsia="en-US"/>
        </w:rPr>
        <w:t xml:space="preserve"> v </w:t>
      </w:r>
      <w:r w:rsidRPr="006532BE">
        <w:rPr>
          <w:rFonts w:ascii="Arial" w:hAnsi="Arial" w:cs="Arial"/>
          <w:sz w:val="22"/>
          <w:szCs w:val="22"/>
          <w:lang w:eastAsia="en-US"/>
        </w:rPr>
        <w:t xml:space="preserve">km, a procento pronajatých kabelových spojů z celkových kabelových spojů pro úrovně (sloupce): </w:t>
      </w:r>
      <w:r w:rsidRPr="006532BE">
        <w:rPr>
          <w:rFonts w:ascii="Arial" w:hAnsi="Arial" w:cs="Arial"/>
          <w:sz w:val="22"/>
          <w:szCs w:val="22"/>
        </w:rPr>
        <w:t>BTS/</w:t>
      </w:r>
      <w:proofErr w:type="spellStart"/>
      <w:r w:rsidRPr="006532BE">
        <w:rPr>
          <w:rFonts w:ascii="Arial" w:hAnsi="Arial" w:cs="Arial"/>
          <w:sz w:val="22"/>
          <w:szCs w:val="22"/>
        </w:rPr>
        <w:t>NodeB</w:t>
      </w:r>
      <w:proofErr w:type="spellEnd"/>
      <w:r w:rsidRPr="006532BE">
        <w:rPr>
          <w:rFonts w:ascii="Arial" w:hAnsi="Arial" w:cs="Arial"/>
          <w:sz w:val="22"/>
          <w:szCs w:val="22"/>
        </w:rPr>
        <w:t xml:space="preserve"> - BSC/RNC, BSC/RNC – MGW, Páteřní spoje.</w:t>
      </w:r>
    </w:p>
    <w:p w:rsidR="00242A0C" w:rsidRPr="006532BE" w:rsidRDefault="00242A0C" w:rsidP="008D6DDA">
      <w:pPr>
        <w:spacing w:before="120"/>
        <w:jc w:val="both"/>
        <w:rPr>
          <w:rFonts w:ascii="Arial" w:hAnsi="Arial" w:cs="Arial"/>
          <w:b/>
          <w:i/>
          <w:sz w:val="22"/>
          <w:szCs w:val="22"/>
        </w:rPr>
      </w:pPr>
      <w:r w:rsidRPr="006532BE">
        <w:rPr>
          <w:rFonts w:ascii="Arial" w:hAnsi="Arial" w:cs="Arial"/>
          <w:b/>
          <w:i/>
          <w:sz w:val="22"/>
          <w:szCs w:val="22"/>
        </w:rPr>
        <w:t>4.16.3 Průměrné mikrovlnné skoky a kabelová vzdálenost</w:t>
      </w:r>
    </w:p>
    <w:p w:rsidR="00242A0C" w:rsidRPr="006532BE" w:rsidRDefault="00242A0C" w:rsidP="0014130B">
      <w:pPr>
        <w:pStyle w:val="Zkladntext"/>
        <w:numPr>
          <w:ilvl w:val="0"/>
          <w:numId w:val="100"/>
        </w:numPr>
        <w:tabs>
          <w:tab w:val="clear" w:pos="1920"/>
        </w:tabs>
        <w:spacing w:before="60" w:after="0"/>
        <w:ind w:left="1418" w:hanging="1134"/>
        <w:jc w:val="both"/>
        <w:rPr>
          <w:rFonts w:ascii="Arial" w:hAnsi="Arial" w:cs="Arial"/>
          <w:sz w:val="22"/>
          <w:szCs w:val="22"/>
        </w:rPr>
      </w:pPr>
      <w:r w:rsidRPr="006532BE">
        <w:rPr>
          <w:rFonts w:ascii="Arial" w:hAnsi="Arial" w:cs="Arial"/>
          <w:sz w:val="22"/>
          <w:szCs w:val="22"/>
        </w:rPr>
        <w:t>Procento sdílených spojů</w:t>
      </w:r>
      <w:r w:rsidR="0047095F" w:rsidRPr="006532BE">
        <w:rPr>
          <w:rFonts w:ascii="Arial" w:hAnsi="Arial" w:cs="Arial"/>
          <w:sz w:val="22"/>
          <w:szCs w:val="22"/>
        </w:rPr>
        <w:t xml:space="preserve"> v </w:t>
      </w:r>
      <w:proofErr w:type="spellStart"/>
      <w:r w:rsidRPr="006532BE">
        <w:rPr>
          <w:rFonts w:ascii="Arial" w:hAnsi="Arial" w:cs="Arial"/>
          <w:sz w:val="22"/>
          <w:szCs w:val="22"/>
        </w:rPr>
        <w:t>backhaul</w:t>
      </w:r>
      <w:proofErr w:type="spellEnd"/>
      <w:r w:rsidRPr="006532BE">
        <w:rPr>
          <w:rFonts w:ascii="Arial" w:hAnsi="Arial" w:cs="Arial"/>
          <w:sz w:val="22"/>
          <w:szCs w:val="22"/>
        </w:rPr>
        <w:t xml:space="preserve"> části (mezi řídící bloky </w:t>
      </w:r>
      <w:r w:rsidR="00A30A60">
        <w:rPr>
          <w:rFonts w:ascii="Arial" w:hAnsi="Arial" w:cs="Arial"/>
          <w:sz w:val="22"/>
          <w:szCs w:val="22"/>
        </w:rPr>
        <w:t>a</w:t>
      </w:r>
      <w:r w:rsidRPr="006532BE">
        <w:rPr>
          <w:rFonts w:ascii="Arial" w:hAnsi="Arial" w:cs="Arial"/>
          <w:sz w:val="22"/>
          <w:szCs w:val="22"/>
        </w:rPr>
        <w:t xml:space="preserve"> lokacemi </w:t>
      </w:r>
      <w:proofErr w:type="spellStart"/>
      <w:r w:rsidRPr="006532BE">
        <w:rPr>
          <w:rFonts w:ascii="Arial" w:hAnsi="Arial" w:cs="Arial"/>
          <w:sz w:val="22"/>
          <w:szCs w:val="22"/>
        </w:rPr>
        <w:t>Core</w:t>
      </w:r>
      <w:proofErr w:type="spellEnd"/>
      <w:r w:rsidRPr="006532BE">
        <w:rPr>
          <w:rFonts w:ascii="Arial" w:hAnsi="Arial" w:cs="Arial"/>
          <w:sz w:val="22"/>
          <w:szCs w:val="22"/>
        </w:rPr>
        <w:t xml:space="preserve"> Node uzlů)</w:t>
      </w:r>
    </w:p>
    <w:p w:rsidR="00242A0C" w:rsidRPr="006532BE" w:rsidRDefault="00242A0C" w:rsidP="0024003A">
      <w:pPr>
        <w:pStyle w:val="Zkladntext"/>
        <w:tabs>
          <w:tab w:val="num" w:pos="720"/>
        </w:tabs>
        <w:spacing w:before="60" w:after="0"/>
        <w:jc w:val="both"/>
        <w:rPr>
          <w:rFonts w:ascii="Arial" w:hAnsi="Arial" w:cs="Arial"/>
          <w:sz w:val="22"/>
          <w:szCs w:val="22"/>
        </w:rPr>
      </w:pPr>
      <w:r w:rsidRPr="006532BE">
        <w:rPr>
          <w:rFonts w:ascii="Arial" w:hAnsi="Arial" w:cs="Arial"/>
          <w:sz w:val="22"/>
          <w:szCs w:val="22"/>
        </w:rPr>
        <w:t xml:space="preserve">Stanovený podnik uvede podíly pro jednotlivé </w:t>
      </w:r>
      <w:proofErr w:type="spellStart"/>
      <w:r w:rsidRPr="006532BE">
        <w:rPr>
          <w:rFonts w:ascii="Arial" w:hAnsi="Arial" w:cs="Arial"/>
          <w:sz w:val="22"/>
          <w:szCs w:val="22"/>
        </w:rPr>
        <w:t>geotypy</w:t>
      </w:r>
      <w:proofErr w:type="spellEnd"/>
      <w:r w:rsidRPr="006532BE">
        <w:rPr>
          <w:rFonts w:ascii="Arial" w:hAnsi="Arial" w:cs="Arial"/>
          <w:sz w:val="22"/>
          <w:szCs w:val="22"/>
        </w:rPr>
        <w:t xml:space="preserve"> (sloupce): Aglomerace, Města, Venkov, Dopravní koridory, Rekreační oblasti, Území celkem. </w:t>
      </w:r>
    </w:p>
    <w:p w:rsidR="00242A0C" w:rsidRPr="006532BE" w:rsidRDefault="00242A0C" w:rsidP="0024003A">
      <w:pPr>
        <w:spacing w:before="120"/>
        <w:jc w:val="both"/>
        <w:rPr>
          <w:rFonts w:ascii="Arial" w:hAnsi="Arial" w:cs="Arial"/>
          <w:sz w:val="22"/>
          <w:szCs w:val="22"/>
          <w:lang w:eastAsia="en-US"/>
        </w:rPr>
      </w:pPr>
      <w:r w:rsidRPr="006532BE">
        <w:rPr>
          <w:rFonts w:ascii="Arial" w:hAnsi="Arial" w:cs="Arial"/>
          <w:sz w:val="22"/>
          <w:szCs w:val="22"/>
          <w:lang w:eastAsia="en-US"/>
        </w:rPr>
        <w:t>Stanovený podnik uvede pro spádové oblasti (řádky):</w:t>
      </w:r>
    </w:p>
    <w:p w:rsidR="00242A0C" w:rsidRPr="006532BE" w:rsidRDefault="00242A0C" w:rsidP="006864A3">
      <w:pPr>
        <w:pStyle w:val="Zkladntext"/>
        <w:numPr>
          <w:ilvl w:val="0"/>
          <w:numId w:val="100"/>
        </w:numPr>
        <w:tabs>
          <w:tab w:val="clear" w:pos="1920"/>
          <w:tab w:val="num" w:pos="720"/>
          <w:tab w:val="left" w:pos="1418"/>
        </w:tabs>
        <w:spacing w:before="60" w:after="0"/>
        <w:ind w:left="1134" w:hanging="850"/>
        <w:jc w:val="both"/>
        <w:rPr>
          <w:rFonts w:ascii="Arial" w:hAnsi="Arial" w:cs="Arial"/>
          <w:sz w:val="22"/>
          <w:szCs w:val="22"/>
        </w:rPr>
      </w:pPr>
      <w:r w:rsidRPr="006532BE">
        <w:rPr>
          <w:rFonts w:ascii="Arial" w:hAnsi="Arial" w:cs="Arial"/>
          <w:sz w:val="22"/>
          <w:szCs w:val="22"/>
        </w:rPr>
        <w:t>Praha 1</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Praha 2</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Praha 3</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Brno 1</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Brno 2</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České Budějovice</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Plzeň</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Ústí nad Labem</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Hradec Králové </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Ostrava</w:t>
      </w:r>
    </w:p>
    <w:p w:rsidR="00242A0C" w:rsidRPr="006532BE" w:rsidRDefault="00242A0C" w:rsidP="0024003A">
      <w:pPr>
        <w:spacing w:before="120"/>
        <w:jc w:val="both"/>
        <w:rPr>
          <w:rFonts w:ascii="Arial" w:hAnsi="Arial" w:cs="Arial"/>
          <w:sz w:val="22"/>
          <w:szCs w:val="22"/>
          <w:lang w:eastAsia="en-US"/>
        </w:rPr>
      </w:pPr>
      <w:r w:rsidRPr="006532BE">
        <w:rPr>
          <w:rFonts w:ascii="Arial" w:hAnsi="Arial" w:cs="Arial"/>
          <w:sz w:val="22"/>
          <w:szCs w:val="22"/>
          <w:lang w:eastAsia="en-US"/>
        </w:rPr>
        <w:t>průměrné mikro skoky</w:t>
      </w:r>
      <w:r w:rsidR="0047095F" w:rsidRPr="006532BE">
        <w:rPr>
          <w:rFonts w:ascii="Arial" w:hAnsi="Arial" w:cs="Arial"/>
          <w:sz w:val="22"/>
          <w:szCs w:val="22"/>
          <w:lang w:eastAsia="en-US"/>
        </w:rPr>
        <w:t xml:space="preserve"> na </w:t>
      </w:r>
      <w:r w:rsidRPr="006532BE">
        <w:rPr>
          <w:rFonts w:ascii="Arial" w:hAnsi="Arial" w:cs="Arial"/>
          <w:sz w:val="22"/>
          <w:szCs w:val="22"/>
          <w:lang w:eastAsia="en-US"/>
        </w:rPr>
        <w:t>BSC/RNC - MGW spoj a průměrnou vzdálenost BSC/RNC - MGW spoje (sloupce).</w:t>
      </w:r>
    </w:p>
    <w:p w:rsidR="00242A0C" w:rsidRPr="006532BE" w:rsidRDefault="00242A0C" w:rsidP="006532BE">
      <w:pPr>
        <w:spacing w:before="120"/>
        <w:jc w:val="both"/>
        <w:rPr>
          <w:rFonts w:ascii="Arial" w:hAnsi="Arial" w:cs="Arial"/>
          <w:sz w:val="22"/>
          <w:szCs w:val="22"/>
          <w:lang w:eastAsia="en-US"/>
        </w:rPr>
      </w:pPr>
      <w:r w:rsidRPr="006532BE">
        <w:rPr>
          <w:rFonts w:ascii="Arial" w:hAnsi="Arial" w:cs="Arial"/>
          <w:sz w:val="22"/>
          <w:szCs w:val="22"/>
          <w:lang w:eastAsia="en-US"/>
        </w:rPr>
        <w:t xml:space="preserve">Kabelové vzdálenosti jednotlivých </w:t>
      </w:r>
      <w:proofErr w:type="spellStart"/>
      <w:r w:rsidRPr="006532BE">
        <w:rPr>
          <w:rFonts w:ascii="Arial" w:hAnsi="Arial" w:cs="Arial"/>
          <w:sz w:val="22"/>
          <w:szCs w:val="22"/>
          <w:lang w:eastAsia="en-US"/>
        </w:rPr>
        <w:t>Core</w:t>
      </w:r>
      <w:proofErr w:type="spellEnd"/>
      <w:r w:rsidRPr="006532BE">
        <w:rPr>
          <w:rFonts w:ascii="Arial" w:hAnsi="Arial" w:cs="Arial"/>
          <w:sz w:val="22"/>
          <w:szCs w:val="22"/>
          <w:lang w:eastAsia="en-US"/>
        </w:rPr>
        <w:t xml:space="preserve"> Node uzlů do Network Centra (definovaných dle tabulky 4.14), ke kterému je </w:t>
      </w:r>
      <w:proofErr w:type="spellStart"/>
      <w:r w:rsidRPr="006532BE">
        <w:rPr>
          <w:rFonts w:ascii="Arial" w:hAnsi="Arial" w:cs="Arial"/>
          <w:sz w:val="22"/>
          <w:szCs w:val="22"/>
          <w:lang w:eastAsia="en-US"/>
        </w:rPr>
        <w:t>Core</w:t>
      </w:r>
      <w:proofErr w:type="spellEnd"/>
      <w:r w:rsidRPr="006532BE">
        <w:rPr>
          <w:rFonts w:ascii="Arial" w:hAnsi="Arial" w:cs="Arial"/>
          <w:sz w:val="22"/>
          <w:szCs w:val="22"/>
          <w:lang w:eastAsia="en-US"/>
        </w:rPr>
        <w:t xml:space="preserve"> Node uzel připojený (řádky i sloupce – matice)</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Praha 1</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Praha 2</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Praha 3</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Brno 1</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Brno 2</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České Budějovice</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Plzeň</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Ústí nad Labem</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Hradec Králové </w:t>
      </w:r>
    </w:p>
    <w:p w:rsidR="00242A0C" w:rsidRPr="006532BE" w:rsidRDefault="00242A0C" w:rsidP="0014130B">
      <w:pPr>
        <w:pStyle w:val="Zkladntext"/>
        <w:numPr>
          <w:ilvl w:val="0"/>
          <w:numId w:val="100"/>
        </w:numPr>
        <w:tabs>
          <w:tab w:val="clear" w:pos="1920"/>
          <w:tab w:val="num" w:pos="720"/>
        </w:tabs>
        <w:spacing w:before="60" w:after="0"/>
        <w:ind w:left="1134" w:hanging="850"/>
        <w:jc w:val="both"/>
        <w:rPr>
          <w:rFonts w:ascii="Arial" w:hAnsi="Arial" w:cs="Arial"/>
          <w:sz w:val="22"/>
          <w:szCs w:val="22"/>
        </w:rPr>
      </w:pPr>
      <w:r w:rsidRPr="006532BE">
        <w:rPr>
          <w:rFonts w:ascii="Arial" w:hAnsi="Arial" w:cs="Arial"/>
          <w:sz w:val="22"/>
          <w:szCs w:val="22"/>
        </w:rPr>
        <w:t>Ostrava</w:t>
      </w:r>
    </w:p>
    <w:p w:rsidR="00242A0C" w:rsidRPr="006532BE" w:rsidRDefault="00242A0C" w:rsidP="006C13C0">
      <w:pPr>
        <w:pStyle w:val="Zkladntext"/>
        <w:spacing w:before="120" w:after="0"/>
        <w:jc w:val="both"/>
        <w:rPr>
          <w:rFonts w:ascii="Arial" w:hAnsi="Arial" w:cs="Arial"/>
          <w:b/>
          <w:i/>
          <w:sz w:val="22"/>
          <w:szCs w:val="22"/>
        </w:rPr>
      </w:pPr>
      <w:r w:rsidRPr="006532BE">
        <w:rPr>
          <w:rFonts w:ascii="Arial" w:hAnsi="Arial" w:cs="Arial"/>
          <w:b/>
          <w:i/>
          <w:sz w:val="22"/>
          <w:szCs w:val="22"/>
        </w:rPr>
        <w:t>4.16.4 Přenos dle media</w:t>
      </w:r>
    </w:p>
    <w:p w:rsidR="00242A0C" w:rsidRPr="006532BE" w:rsidRDefault="00242A0C" w:rsidP="008D6DDA">
      <w:pPr>
        <w:spacing w:before="60"/>
        <w:rPr>
          <w:rFonts w:ascii="Arial" w:hAnsi="Arial" w:cs="Arial"/>
          <w:sz w:val="22"/>
          <w:szCs w:val="22"/>
          <w:lang w:eastAsia="en-US"/>
        </w:rPr>
      </w:pPr>
      <w:r w:rsidRPr="006532BE">
        <w:rPr>
          <w:rFonts w:ascii="Arial" w:hAnsi="Arial" w:cs="Arial"/>
          <w:sz w:val="22"/>
          <w:szCs w:val="22"/>
          <w:lang w:eastAsia="en-US"/>
        </w:rPr>
        <w:t>BTS/</w:t>
      </w:r>
      <w:proofErr w:type="spellStart"/>
      <w:r w:rsidRPr="006532BE">
        <w:rPr>
          <w:rFonts w:ascii="Arial" w:hAnsi="Arial" w:cs="Arial"/>
          <w:sz w:val="22"/>
          <w:szCs w:val="22"/>
          <w:lang w:eastAsia="en-US"/>
        </w:rPr>
        <w:t>NodeB</w:t>
      </w:r>
      <w:proofErr w:type="spellEnd"/>
      <w:r w:rsidRPr="006532BE">
        <w:rPr>
          <w:rFonts w:ascii="Arial" w:hAnsi="Arial" w:cs="Arial"/>
          <w:sz w:val="22"/>
          <w:szCs w:val="22"/>
          <w:lang w:eastAsia="en-US"/>
        </w:rPr>
        <w:t xml:space="preserve"> spoje do BSC/RNC (řádky)</w:t>
      </w:r>
    </w:p>
    <w:p w:rsidR="00242A0C" w:rsidRPr="006532BE" w:rsidRDefault="00242A0C" w:rsidP="0014130B">
      <w:pPr>
        <w:pStyle w:val="Odstavecseseznamem"/>
        <w:numPr>
          <w:ilvl w:val="0"/>
          <w:numId w:val="101"/>
        </w:numPr>
        <w:tabs>
          <w:tab w:val="clear" w:pos="2700"/>
        </w:tabs>
        <w:spacing w:before="120"/>
        <w:ind w:left="1134" w:hanging="850"/>
        <w:rPr>
          <w:rFonts w:ascii="Arial" w:hAnsi="Arial" w:cs="Arial"/>
          <w:sz w:val="22"/>
          <w:szCs w:val="22"/>
          <w:lang w:eastAsia="en-US"/>
        </w:rPr>
      </w:pPr>
      <w:r w:rsidRPr="006532BE">
        <w:rPr>
          <w:rFonts w:ascii="Arial" w:hAnsi="Arial" w:cs="Arial"/>
          <w:sz w:val="22"/>
          <w:szCs w:val="22"/>
          <w:lang w:eastAsia="en-US"/>
        </w:rPr>
        <w:t>Mikrovlnné</w:t>
      </w:r>
    </w:p>
    <w:p w:rsidR="00242A0C" w:rsidRPr="006532BE" w:rsidRDefault="00242A0C" w:rsidP="0014130B">
      <w:pPr>
        <w:pStyle w:val="Odstavecseseznamem"/>
        <w:numPr>
          <w:ilvl w:val="0"/>
          <w:numId w:val="101"/>
        </w:numPr>
        <w:tabs>
          <w:tab w:val="clear" w:pos="2700"/>
        </w:tabs>
        <w:spacing w:before="120"/>
        <w:ind w:left="1134" w:hanging="850"/>
        <w:rPr>
          <w:rFonts w:ascii="Arial" w:hAnsi="Arial" w:cs="Arial"/>
          <w:sz w:val="22"/>
          <w:szCs w:val="22"/>
          <w:lang w:eastAsia="en-US"/>
        </w:rPr>
      </w:pPr>
      <w:r w:rsidRPr="006532BE">
        <w:rPr>
          <w:rFonts w:ascii="Arial" w:hAnsi="Arial" w:cs="Arial"/>
          <w:sz w:val="22"/>
          <w:szCs w:val="22"/>
          <w:lang w:eastAsia="en-US"/>
        </w:rPr>
        <w:t xml:space="preserve">Kabelové </w:t>
      </w:r>
    </w:p>
    <w:p w:rsidR="00242A0C" w:rsidRPr="006532BE" w:rsidRDefault="00242A0C" w:rsidP="0014130B">
      <w:pPr>
        <w:pStyle w:val="Odstavecseseznamem"/>
        <w:numPr>
          <w:ilvl w:val="0"/>
          <w:numId w:val="101"/>
        </w:numPr>
        <w:tabs>
          <w:tab w:val="clear" w:pos="2700"/>
        </w:tabs>
        <w:spacing w:before="120"/>
        <w:ind w:left="1134" w:hanging="850"/>
        <w:rPr>
          <w:rFonts w:ascii="Arial" w:hAnsi="Arial" w:cs="Arial"/>
          <w:sz w:val="22"/>
          <w:szCs w:val="22"/>
          <w:lang w:eastAsia="en-US"/>
        </w:rPr>
      </w:pPr>
      <w:r w:rsidRPr="006532BE">
        <w:rPr>
          <w:rFonts w:ascii="Arial" w:hAnsi="Arial" w:cs="Arial"/>
          <w:sz w:val="22"/>
          <w:szCs w:val="22"/>
          <w:lang w:eastAsia="en-US"/>
        </w:rPr>
        <w:t>Pronajatá kapacita</w:t>
      </w:r>
    </w:p>
    <w:p w:rsidR="00242A0C" w:rsidRPr="006532BE" w:rsidRDefault="00242A0C" w:rsidP="0014130B">
      <w:pPr>
        <w:pStyle w:val="Odstavecseseznamem"/>
        <w:numPr>
          <w:ilvl w:val="0"/>
          <w:numId w:val="101"/>
        </w:numPr>
        <w:tabs>
          <w:tab w:val="clear" w:pos="2700"/>
        </w:tabs>
        <w:spacing w:before="120"/>
        <w:ind w:left="1134" w:hanging="850"/>
        <w:rPr>
          <w:rFonts w:ascii="Arial" w:hAnsi="Arial" w:cs="Arial"/>
          <w:sz w:val="22"/>
          <w:szCs w:val="22"/>
          <w:lang w:eastAsia="en-US"/>
        </w:rPr>
      </w:pPr>
      <w:r w:rsidRPr="006532BE">
        <w:rPr>
          <w:rFonts w:ascii="Arial" w:hAnsi="Arial" w:cs="Arial"/>
          <w:sz w:val="22"/>
          <w:szCs w:val="22"/>
          <w:lang w:eastAsia="en-US"/>
        </w:rPr>
        <w:t>Kolokace s BSC/RNC</w:t>
      </w:r>
    </w:p>
    <w:p w:rsidR="00242A0C" w:rsidRPr="006532BE" w:rsidRDefault="00242A0C" w:rsidP="0024003A">
      <w:pPr>
        <w:pStyle w:val="Zkladntext"/>
        <w:spacing w:before="120" w:after="0"/>
        <w:jc w:val="both"/>
        <w:rPr>
          <w:rFonts w:ascii="Arial" w:hAnsi="Arial" w:cs="Arial"/>
          <w:sz w:val="22"/>
          <w:szCs w:val="22"/>
        </w:rPr>
      </w:pPr>
      <w:r w:rsidRPr="006532BE">
        <w:rPr>
          <w:rFonts w:ascii="Arial" w:hAnsi="Arial" w:cs="Arial"/>
          <w:sz w:val="22"/>
          <w:szCs w:val="22"/>
        </w:rPr>
        <w:t xml:space="preserve">Stanovený podnik uvede podíly pro jednotlivé </w:t>
      </w:r>
      <w:proofErr w:type="spellStart"/>
      <w:r w:rsidRPr="006532BE">
        <w:rPr>
          <w:rFonts w:ascii="Arial" w:hAnsi="Arial" w:cs="Arial"/>
          <w:sz w:val="22"/>
          <w:szCs w:val="22"/>
        </w:rPr>
        <w:t>geotypy</w:t>
      </w:r>
      <w:proofErr w:type="spellEnd"/>
      <w:r w:rsidRPr="006532BE">
        <w:rPr>
          <w:rFonts w:ascii="Arial" w:hAnsi="Arial" w:cs="Arial"/>
          <w:sz w:val="22"/>
          <w:szCs w:val="22"/>
        </w:rPr>
        <w:t xml:space="preserve"> (sloupce): Aglomerace, Města, Venkov, Dopravní koridory, Rekreační oblasti.</w:t>
      </w:r>
    </w:p>
    <w:p w:rsidR="00242A0C" w:rsidRPr="006532BE" w:rsidRDefault="00242A0C" w:rsidP="0024003A">
      <w:pPr>
        <w:spacing w:before="120"/>
        <w:rPr>
          <w:rFonts w:ascii="Arial" w:hAnsi="Arial" w:cs="Arial"/>
          <w:sz w:val="22"/>
          <w:szCs w:val="22"/>
          <w:lang w:eastAsia="en-US"/>
        </w:rPr>
      </w:pPr>
      <w:r w:rsidRPr="006532BE">
        <w:rPr>
          <w:rFonts w:ascii="Arial" w:hAnsi="Arial" w:cs="Arial"/>
          <w:sz w:val="22"/>
          <w:szCs w:val="22"/>
          <w:lang w:eastAsia="en-US"/>
        </w:rPr>
        <w:t>BSC/RNC spoje do </w:t>
      </w:r>
      <w:proofErr w:type="spellStart"/>
      <w:r w:rsidRPr="006532BE">
        <w:rPr>
          <w:rFonts w:ascii="Arial" w:hAnsi="Arial" w:cs="Arial"/>
          <w:sz w:val="22"/>
          <w:szCs w:val="22"/>
          <w:lang w:eastAsia="en-US"/>
        </w:rPr>
        <w:t>Core</w:t>
      </w:r>
      <w:proofErr w:type="spellEnd"/>
      <w:r w:rsidRPr="006532BE">
        <w:rPr>
          <w:rFonts w:ascii="Arial" w:hAnsi="Arial" w:cs="Arial"/>
          <w:sz w:val="22"/>
          <w:szCs w:val="22"/>
          <w:lang w:eastAsia="en-US"/>
        </w:rPr>
        <w:t xml:space="preserve"> Node (řádky)</w:t>
      </w:r>
    </w:p>
    <w:p w:rsidR="00242A0C" w:rsidRPr="006532BE" w:rsidRDefault="00242A0C" w:rsidP="0014130B">
      <w:pPr>
        <w:pStyle w:val="Odstavecseseznamem"/>
        <w:numPr>
          <w:ilvl w:val="0"/>
          <w:numId w:val="101"/>
        </w:numPr>
        <w:tabs>
          <w:tab w:val="clear" w:pos="2700"/>
        </w:tabs>
        <w:spacing w:before="120"/>
        <w:ind w:left="1134" w:hanging="850"/>
        <w:rPr>
          <w:rFonts w:ascii="Arial" w:hAnsi="Arial" w:cs="Arial"/>
          <w:sz w:val="22"/>
          <w:szCs w:val="22"/>
          <w:lang w:eastAsia="en-US"/>
        </w:rPr>
      </w:pPr>
      <w:r w:rsidRPr="006532BE">
        <w:rPr>
          <w:rFonts w:ascii="Arial" w:hAnsi="Arial" w:cs="Arial"/>
          <w:sz w:val="22"/>
          <w:szCs w:val="22"/>
          <w:lang w:eastAsia="en-US"/>
        </w:rPr>
        <w:t>Mikrovlnné</w:t>
      </w:r>
    </w:p>
    <w:p w:rsidR="00242A0C" w:rsidRPr="006532BE" w:rsidRDefault="00242A0C" w:rsidP="0014130B">
      <w:pPr>
        <w:pStyle w:val="Odstavecseseznamem"/>
        <w:numPr>
          <w:ilvl w:val="0"/>
          <w:numId w:val="101"/>
        </w:numPr>
        <w:tabs>
          <w:tab w:val="clear" w:pos="2700"/>
        </w:tabs>
        <w:spacing w:before="120"/>
        <w:ind w:left="1134" w:hanging="850"/>
        <w:rPr>
          <w:rFonts w:ascii="Arial" w:hAnsi="Arial" w:cs="Arial"/>
          <w:sz w:val="22"/>
          <w:szCs w:val="22"/>
          <w:lang w:eastAsia="en-US"/>
        </w:rPr>
      </w:pPr>
      <w:r w:rsidRPr="006532BE">
        <w:rPr>
          <w:rFonts w:ascii="Arial" w:hAnsi="Arial" w:cs="Arial"/>
          <w:sz w:val="22"/>
          <w:szCs w:val="22"/>
          <w:lang w:eastAsia="en-US"/>
        </w:rPr>
        <w:t xml:space="preserve">Kabelové </w:t>
      </w:r>
    </w:p>
    <w:p w:rsidR="00242A0C" w:rsidRPr="006532BE" w:rsidRDefault="00242A0C" w:rsidP="0014130B">
      <w:pPr>
        <w:pStyle w:val="Odstavecseseznamem"/>
        <w:numPr>
          <w:ilvl w:val="0"/>
          <w:numId w:val="101"/>
        </w:numPr>
        <w:tabs>
          <w:tab w:val="clear" w:pos="2700"/>
        </w:tabs>
        <w:spacing w:before="120"/>
        <w:ind w:left="1134" w:hanging="850"/>
        <w:rPr>
          <w:rFonts w:ascii="Arial" w:hAnsi="Arial" w:cs="Arial"/>
          <w:sz w:val="22"/>
          <w:szCs w:val="22"/>
          <w:lang w:eastAsia="en-US"/>
        </w:rPr>
      </w:pPr>
      <w:r w:rsidRPr="006532BE">
        <w:rPr>
          <w:rFonts w:ascii="Arial" w:hAnsi="Arial" w:cs="Arial"/>
          <w:sz w:val="22"/>
          <w:szCs w:val="22"/>
          <w:lang w:eastAsia="en-US"/>
        </w:rPr>
        <w:lastRenderedPageBreak/>
        <w:t>Pronajatá kapacita</w:t>
      </w:r>
    </w:p>
    <w:p w:rsidR="00242A0C" w:rsidRPr="006532BE" w:rsidRDefault="00242A0C" w:rsidP="0014130B">
      <w:pPr>
        <w:pStyle w:val="Odstavecseseznamem"/>
        <w:numPr>
          <w:ilvl w:val="0"/>
          <w:numId w:val="101"/>
        </w:numPr>
        <w:tabs>
          <w:tab w:val="clear" w:pos="2700"/>
        </w:tabs>
        <w:spacing w:before="120"/>
        <w:ind w:left="1134" w:hanging="850"/>
        <w:rPr>
          <w:rFonts w:ascii="Arial" w:hAnsi="Arial" w:cs="Arial"/>
          <w:sz w:val="22"/>
          <w:szCs w:val="22"/>
          <w:lang w:eastAsia="en-US"/>
        </w:rPr>
      </w:pPr>
      <w:r w:rsidRPr="006532BE">
        <w:rPr>
          <w:rFonts w:ascii="Arial" w:hAnsi="Arial" w:cs="Arial"/>
          <w:sz w:val="22"/>
          <w:szCs w:val="22"/>
          <w:lang w:eastAsia="en-US"/>
        </w:rPr>
        <w:t>Kolokace s MGW</w:t>
      </w:r>
    </w:p>
    <w:p w:rsidR="00242A0C" w:rsidRPr="006532BE" w:rsidRDefault="00242A0C" w:rsidP="0024003A">
      <w:pPr>
        <w:pStyle w:val="Zkladntext"/>
        <w:tabs>
          <w:tab w:val="num" w:pos="720"/>
        </w:tabs>
        <w:spacing w:before="120" w:after="0"/>
        <w:jc w:val="both"/>
        <w:rPr>
          <w:rFonts w:ascii="Arial" w:hAnsi="Arial" w:cs="Arial"/>
          <w:sz w:val="22"/>
          <w:szCs w:val="22"/>
        </w:rPr>
      </w:pPr>
      <w:r w:rsidRPr="006532BE">
        <w:rPr>
          <w:rFonts w:ascii="Arial" w:hAnsi="Arial" w:cs="Arial"/>
          <w:sz w:val="22"/>
          <w:szCs w:val="22"/>
        </w:rPr>
        <w:t>Stanovený podnik uvede poměr, jakým médiem je přenášený celkový provoz mezi řídícími bloky a </w:t>
      </w:r>
      <w:proofErr w:type="spellStart"/>
      <w:r w:rsidRPr="006532BE">
        <w:rPr>
          <w:rFonts w:ascii="Arial" w:hAnsi="Arial" w:cs="Arial"/>
          <w:sz w:val="22"/>
          <w:szCs w:val="22"/>
        </w:rPr>
        <w:t>Core</w:t>
      </w:r>
      <w:proofErr w:type="spellEnd"/>
      <w:r w:rsidRPr="006532BE">
        <w:rPr>
          <w:rFonts w:ascii="Arial" w:hAnsi="Arial" w:cs="Arial"/>
          <w:sz w:val="22"/>
          <w:szCs w:val="22"/>
        </w:rPr>
        <w:t xml:space="preserve"> Node uzly (sloupce): Praha 1, Praha 2, Praha 3, Brno 1, Brno 2, České Budějovice, Plzeň, Ústí nad Labem, Hradec Králové, Ostrava. </w:t>
      </w:r>
    </w:p>
    <w:p w:rsidR="00242A0C" w:rsidRPr="006532BE" w:rsidRDefault="00242A0C" w:rsidP="0024003A">
      <w:pPr>
        <w:pStyle w:val="Zkladntext"/>
        <w:tabs>
          <w:tab w:val="num" w:pos="720"/>
        </w:tabs>
        <w:spacing w:before="120" w:after="0"/>
        <w:jc w:val="both"/>
        <w:rPr>
          <w:rFonts w:ascii="Arial" w:hAnsi="Arial" w:cs="Arial"/>
          <w:sz w:val="22"/>
          <w:szCs w:val="22"/>
          <w:lang w:eastAsia="en-US"/>
        </w:rPr>
      </w:pPr>
      <w:r w:rsidRPr="006532BE">
        <w:rPr>
          <w:rFonts w:ascii="Arial" w:hAnsi="Arial" w:cs="Arial"/>
          <w:sz w:val="22"/>
          <w:szCs w:val="22"/>
          <w:lang w:eastAsia="en-US"/>
        </w:rPr>
        <w:t xml:space="preserve">Páteřní spoje z </w:t>
      </w:r>
      <w:proofErr w:type="spellStart"/>
      <w:r w:rsidRPr="006532BE">
        <w:rPr>
          <w:rFonts w:ascii="Arial" w:hAnsi="Arial" w:cs="Arial"/>
          <w:sz w:val="22"/>
          <w:szCs w:val="22"/>
          <w:lang w:eastAsia="en-US"/>
        </w:rPr>
        <w:t>Core</w:t>
      </w:r>
      <w:proofErr w:type="spellEnd"/>
      <w:r w:rsidRPr="006532BE">
        <w:rPr>
          <w:rFonts w:ascii="Arial" w:hAnsi="Arial" w:cs="Arial"/>
          <w:sz w:val="22"/>
          <w:szCs w:val="22"/>
          <w:lang w:eastAsia="en-US"/>
        </w:rPr>
        <w:t xml:space="preserve"> Node do Network Centre</w:t>
      </w:r>
    </w:p>
    <w:p w:rsidR="00242A0C" w:rsidRPr="006532BE" w:rsidRDefault="00242A0C" w:rsidP="0014130B">
      <w:pPr>
        <w:pStyle w:val="Odstavecseseznamem"/>
        <w:numPr>
          <w:ilvl w:val="0"/>
          <w:numId w:val="101"/>
        </w:numPr>
        <w:tabs>
          <w:tab w:val="clear" w:pos="2700"/>
        </w:tabs>
        <w:spacing w:before="120"/>
        <w:ind w:left="1134" w:hanging="850"/>
        <w:rPr>
          <w:rFonts w:ascii="Arial" w:hAnsi="Arial" w:cs="Arial"/>
          <w:sz w:val="22"/>
          <w:szCs w:val="22"/>
          <w:lang w:eastAsia="en-US"/>
        </w:rPr>
      </w:pPr>
      <w:r w:rsidRPr="006532BE">
        <w:rPr>
          <w:rFonts w:ascii="Arial" w:hAnsi="Arial" w:cs="Arial"/>
          <w:sz w:val="22"/>
          <w:szCs w:val="22"/>
          <w:lang w:eastAsia="en-US"/>
        </w:rPr>
        <w:t>Kabel</w:t>
      </w:r>
    </w:p>
    <w:p w:rsidR="00242A0C" w:rsidRPr="006532BE" w:rsidRDefault="00242A0C" w:rsidP="0014130B">
      <w:pPr>
        <w:pStyle w:val="Odstavecseseznamem"/>
        <w:numPr>
          <w:ilvl w:val="0"/>
          <w:numId w:val="101"/>
        </w:numPr>
        <w:tabs>
          <w:tab w:val="clear" w:pos="2700"/>
        </w:tabs>
        <w:spacing w:before="120"/>
        <w:ind w:left="1134" w:hanging="850"/>
        <w:rPr>
          <w:rFonts w:ascii="Arial" w:hAnsi="Arial" w:cs="Arial"/>
          <w:sz w:val="22"/>
          <w:szCs w:val="22"/>
          <w:lang w:eastAsia="en-US"/>
        </w:rPr>
      </w:pPr>
      <w:r w:rsidRPr="006532BE">
        <w:rPr>
          <w:rFonts w:ascii="Arial" w:hAnsi="Arial" w:cs="Arial"/>
          <w:sz w:val="22"/>
          <w:szCs w:val="22"/>
          <w:lang w:eastAsia="en-US"/>
        </w:rPr>
        <w:t>Pronajatá kapacita</w:t>
      </w:r>
    </w:p>
    <w:p w:rsidR="00242A0C" w:rsidRPr="006532BE" w:rsidRDefault="00242A0C" w:rsidP="0014130B">
      <w:pPr>
        <w:pStyle w:val="Odstavecseseznamem"/>
        <w:numPr>
          <w:ilvl w:val="0"/>
          <w:numId w:val="101"/>
        </w:numPr>
        <w:tabs>
          <w:tab w:val="clear" w:pos="2700"/>
        </w:tabs>
        <w:spacing w:before="120"/>
        <w:ind w:left="1134" w:hanging="850"/>
        <w:rPr>
          <w:rFonts w:ascii="Arial" w:hAnsi="Arial" w:cs="Arial"/>
          <w:sz w:val="22"/>
          <w:szCs w:val="22"/>
          <w:lang w:eastAsia="en-US"/>
        </w:rPr>
      </w:pPr>
      <w:r w:rsidRPr="006532BE">
        <w:rPr>
          <w:rFonts w:ascii="Arial" w:hAnsi="Arial" w:cs="Arial"/>
          <w:sz w:val="22"/>
          <w:szCs w:val="22"/>
          <w:lang w:eastAsia="en-US"/>
        </w:rPr>
        <w:t>Kolokace s jinými MGW</w:t>
      </w:r>
    </w:p>
    <w:p w:rsidR="00242A0C" w:rsidRPr="006532BE" w:rsidRDefault="00242A0C" w:rsidP="0024003A">
      <w:pPr>
        <w:pStyle w:val="Zkladntext"/>
        <w:tabs>
          <w:tab w:val="num" w:pos="720"/>
        </w:tabs>
        <w:spacing w:before="120" w:after="0"/>
        <w:jc w:val="both"/>
        <w:rPr>
          <w:rFonts w:ascii="Arial" w:hAnsi="Arial" w:cs="Arial"/>
          <w:sz w:val="22"/>
          <w:szCs w:val="22"/>
        </w:rPr>
      </w:pPr>
      <w:r w:rsidRPr="006532BE">
        <w:rPr>
          <w:rFonts w:ascii="Arial" w:hAnsi="Arial" w:cs="Arial"/>
          <w:sz w:val="22"/>
          <w:szCs w:val="22"/>
        </w:rPr>
        <w:t>Stanovený podnik uvede poměr, jakým médiem je přenášený celkový provoz</w:t>
      </w:r>
      <w:r w:rsidR="0047095F" w:rsidRPr="006532BE">
        <w:rPr>
          <w:rFonts w:ascii="Arial" w:hAnsi="Arial" w:cs="Arial"/>
          <w:sz w:val="22"/>
          <w:szCs w:val="22"/>
        </w:rPr>
        <w:t xml:space="preserve"> v </w:t>
      </w:r>
      <w:r w:rsidRPr="006532BE">
        <w:rPr>
          <w:rFonts w:ascii="Arial" w:hAnsi="Arial" w:cs="Arial"/>
          <w:sz w:val="22"/>
          <w:szCs w:val="22"/>
        </w:rPr>
        <w:t>páteřní síti (dle jednotlivých propojení mezi </w:t>
      </w:r>
      <w:proofErr w:type="spellStart"/>
      <w:r w:rsidRPr="006532BE">
        <w:rPr>
          <w:rFonts w:ascii="Arial" w:hAnsi="Arial" w:cs="Arial"/>
          <w:sz w:val="22"/>
          <w:szCs w:val="22"/>
        </w:rPr>
        <w:t>Core</w:t>
      </w:r>
      <w:proofErr w:type="spellEnd"/>
      <w:r w:rsidRPr="006532BE">
        <w:rPr>
          <w:rFonts w:ascii="Arial" w:hAnsi="Arial" w:cs="Arial"/>
          <w:sz w:val="22"/>
          <w:szCs w:val="22"/>
        </w:rPr>
        <w:t xml:space="preserve"> Node uzly a Network Centrem, se kterým je daný </w:t>
      </w:r>
      <w:proofErr w:type="spellStart"/>
      <w:r w:rsidRPr="006532BE">
        <w:rPr>
          <w:rFonts w:ascii="Arial" w:hAnsi="Arial" w:cs="Arial"/>
          <w:sz w:val="22"/>
          <w:szCs w:val="22"/>
        </w:rPr>
        <w:t>Core</w:t>
      </w:r>
      <w:proofErr w:type="spellEnd"/>
      <w:r w:rsidRPr="006532BE">
        <w:rPr>
          <w:rFonts w:ascii="Arial" w:hAnsi="Arial" w:cs="Arial"/>
          <w:sz w:val="22"/>
          <w:szCs w:val="22"/>
        </w:rPr>
        <w:t xml:space="preserve"> Node uzel spojený): Praha 1, Praha 2, Praha 3, Brno 1, Brno 2, České Budějovice, Plzeň, Ústí nad Labem, Hradec Králové, Ostrava. </w:t>
      </w:r>
    </w:p>
    <w:p w:rsidR="00242A0C" w:rsidRPr="006532BE" w:rsidRDefault="00242A0C" w:rsidP="006532BE">
      <w:pPr>
        <w:pStyle w:val="Zkladntext"/>
        <w:spacing w:before="240" w:after="40"/>
        <w:jc w:val="both"/>
        <w:rPr>
          <w:rFonts w:ascii="Arial" w:hAnsi="Arial" w:cs="Arial"/>
          <w:b/>
          <w:bCs/>
          <w:sz w:val="22"/>
          <w:szCs w:val="22"/>
        </w:rPr>
      </w:pPr>
      <w:r w:rsidRPr="006532BE">
        <w:rPr>
          <w:rFonts w:ascii="Arial" w:hAnsi="Arial" w:cs="Arial"/>
          <w:b/>
          <w:bCs/>
          <w:sz w:val="22"/>
          <w:szCs w:val="22"/>
        </w:rPr>
        <w:t xml:space="preserve">List 5. Jednotkové investice &amp; </w:t>
      </w:r>
      <w:proofErr w:type="spellStart"/>
      <w:r w:rsidRPr="006532BE">
        <w:rPr>
          <w:rFonts w:ascii="Arial" w:hAnsi="Arial" w:cs="Arial"/>
          <w:b/>
          <w:bCs/>
          <w:sz w:val="22"/>
          <w:szCs w:val="22"/>
        </w:rPr>
        <w:t>Opex</w:t>
      </w:r>
      <w:proofErr w:type="spellEnd"/>
    </w:p>
    <w:p w:rsidR="00242A0C" w:rsidRPr="006532BE" w:rsidRDefault="00242A0C" w:rsidP="006C13C0">
      <w:pPr>
        <w:pStyle w:val="Zkladntext"/>
        <w:spacing w:before="120" w:after="0"/>
        <w:ind w:left="567" w:hanging="567"/>
        <w:jc w:val="both"/>
        <w:rPr>
          <w:rFonts w:ascii="Arial" w:hAnsi="Arial" w:cs="Arial"/>
          <w:b/>
          <w:i/>
          <w:sz w:val="22"/>
          <w:szCs w:val="22"/>
        </w:rPr>
      </w:pPr>
      <w:r w:rsidRPr="006532BE">
        <w:rPr>
          <w:rFonts w:ascii="Arial" w:hAnsi="Arial" w:cs="Arial"/>
          <w:b/>
          <w:i/>
          <w:sz w:val="22"/>
          <w:szCs w:val="22"/>
        </w:rPr>
        <w:t xml:space="preserve">5.1 </w:t>
      </w:r>
      <w:r w:rsidRPr="006532BE">
        <w:rPr>
          <w:rFonts w:ascii="Arial" w:hAnsi="Arial" w:cs="Arial"/>
          <w:b/>
          <w:i/>
          <w:sz w:val="22"/>
          <w:szCs w:val="22"/>
        </w:rPr>
        <w:tab/>
        <w:t>Jednotkové aktuální ceny pro přístupové (RAN) a propojovací síťové prvky</w:t>
      </w:r>
    </w:p>
    <w:p w:rsidR="00242A0C" w:rsidRPr="006532BE" w:rsidRDefault="00242A0C" w:rsidP="00F62C63">
      <w:pPr>
        <w:pStyle w:val="Zkladntext"/>
        <w:spacing w:before="60" w:after="0"/>
        <w:jc w:val="both"/>
        <w:rPr>
          <w:rFonts w:ascii="Arial" w:hAnsi="Arial" w:cs="Arial"/>
          <w:sz w:val="22"/>
          <w:szCs w:val="22"/>
        </w:rPr>
      </w:pPr>
      <w:r w:rsidRPr="006532BE">
        <w:rPr>
          <w:rFonts w:ascii="Arial" w:hAnsi="Arial" w:cs="Arial"/>
          <w:sz w:val="22"/>
          <w:szCs w:val="22"/>
        </w:rPr>
        <w:t xml:space="preserve">Jiné investiční výdaje (v %) pro prvky </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Radiová stanoviště (</w:t>
      </w:r>
      <w:proofErr w:type="spellStart"/>
      <w:r w:rsidRPr="006532BE">
        <w:rPr>
          <w:rFonts w:ascii="Arial" w:hAnsi="Arial" w:cs="Arial"/>
          <w:sz w:val="22"/>
          <w:szCs w:val="22"/>
        </w:rPr>
        <w:t>Radio</w:t>
      </w:r>
      <w:proofErr w:type="spellEnd"/>
      <w:r w:rsidRPr="006532BE">
        <w:rPr>
          <w:rFonts w:ascii="Arial" w:hAnsi="Arial" w:cs="Arial"/>
          <w:sz w:val="22"/>
          <w:szCs w:val="22"/>
        </w:rPr>
        <w:t xml:space="preserve"> Access </w:t>
      </w:r>
      <w:proofErr w:type="spellStart"/>
      <w:r w:rsidRPr="006532BE">
        <w:rPr>
          <w:rFonts w:ascii="Arial" w:hAnsi="Arial" w:cs="Arial"/>
          <w:sz w:val="22"/>
          <w:szCs w:val="22"/>
        </w:rPr>
        <w:t>Sites</w:t>
      </w:r>
      <w:proofErr w:type="spellEnd"/>
      <w:r w:rsidRPr="006532BE">
        <w:rPr>
          <w:rFonts w:ascii="Arial" w:hAnsi="Arial" w:cs="Arial"/>
          <w:sz w:val="22"/>
          <w:szCs w:val="22"/>
        </w:rPr>
        <w:t>)</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BTS </w:t>
      </w:r>
      <w:proofErr w:type="spellStart"/>
      <w:r w:rsidRPr="006532BE">
        <w:rPr>
          <w:rFonts w:ascii="Arial" w:hAnsi="Arial" w:cs="Arial"/>
          <w:sz w:val="22"/>
          <w:szCs w:val="22"/>
        </w:rPr>
        <w:t>Cabinet</w:t>
      </w:r>
      <w:proofErr w:type="spellEnd"/>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TRX 2G</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BSC</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NodeB</w:t>
      </w:r>
      <w:proofErr w:type="spellEnd"/>
      <w:r w:rsidRPr="006532BE">
        <w:rPr>
          <w:rFonts w:ascii="Arial" w:hAnsi="Arial" w:cs="Arial"/>
          <w:sz w:val="22"/>
          <w:szCs w:val="22"/>
        </w:rPr>
        <w:t xml:space="preserve"> </w:t>
      </w:r>
      <w:proofErr w:type="spellStart"/>
      <w:r w:rsidRPr="006532BE">
        <w:rPr>
          <w:rFonts w:ascii="Arial" w:hAnsi="Arial" w:cs="Arial"/>
          <w:sz w:val="22"/>
          <w:szCs w:val="22"/>
        </w:rPr>
        <w:t>Cabinet</w:t>
      </w:r>
      <w:proofErr w:type="spellEnd"/>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NodeB</w:t>
      </w:r>
      <w:proofErr w:type="spellEnd"/>
      <w:r w:rsidRPr="006532BE">
        <w:rPr>
          <w:rFonts w:ascii="Arial" w:hAnsi="Arial" w:cs="Arial"/>
          <w:sz w:val="22"/>
          <w:szCs w:val="22"/>
        </w:rPr>
        <w:t xml:space="preserve"> </w:t>
      </w:r>
      <w:proofErr w:type="spellStart"/>
      <w:r w:rsidRPr="006532BE">
        <w:rPr>
          <w:rFonts w:ascii="Arial" w:hAnsi="Arial" w:cs="Arial"/>
          <w:sz w:val="22"/>
          <w:szCs w:val="22"/>
        </w:rPr>
        <w:t>Carrier</w:t>
      </w:r>
      <w:proofErr w:type="spellEnd"/>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NodeB</w:t>
      </w:r>
      <w:proofErr w:type="spellEnd"/>
      <w:r w:rsidRPr="006532BE">
        <w:rPr>
          <w:rFonts w:ascii="Arial" w:hAnsi="Arial" w:cs="Arial"/>
          <w:sz w:val="22"/>
          <w:szCs w:val="22"/>
        </w:rPr>
        <w:t xml:space="preserve"> </w:t>
      </w:r>
      <w:proofErr w:type="spellStart"/>
      <w:r w:rsidRPr="006532BE">
        <w:rPr>
          <w:rFonts w:ascii="Arial" w:hAnsi="Arial" w:cs="Arial"/>
          <w:sz w:val="22"/>
          <w:szCs w:val="22"/>
        </w:rPr>
        <w:t>Channel</w:t>
      </w:r>
      <w:proofErr w:type="spellEnd"/>
      <w:r w:rsidRPr="006532BE">
        <w:rPr>
          <w:rFonts w:ascii="Arial" w:hAnsi="Arial" w:cs="Arial"/>
          <w:sz w:val="22"/>
          <w:szCs w:val="22"/>
        </w:rPr>
        <w:t xml:space="preserve"> </w:t>
      </w:r>
      <w:proofErr w:type="spellStart"/>
      <w:r w:rsidRPr="006532BE">
        <w:rPr>
          <w:rFonts w:ascii="Arial" w:hAnsi="Arial" w:cs="Arial"/>
          <w:sz w:val="22"/>
          <w:szCs w:val="22"/>
        </w:rPr>
        <w:t>Kit</w:t>
      </w:r>
      <w:proofErr w:type="spellEnd"/>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NodeB</w:t>
      </w:r>
      <w:proofErr w:type="spellEnd"/>
      <w:r w:rsidRPr="006532BE">
        <w:rPr>
          <w:rFonts w:ascii="Arial" w:hAnsi="Arial" w:cs="Arial"/>
          <w:sz w:val="22"/>
          <w:szCs w:val="22"/>
        </w:rPr>
        <w:t xml:space="preserve"> HSPA Upgrade</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eNode</w:t>
      </w:r>
      <w:proofErr w:type="spellEnd"/>
      <w:r w:rsidRPr="006532BE">
        <w:rPr>
          <w:rFonts w:ascii="Arial" w:hAnsi="Arial" w:cs="Arial"/>
          <w:sz w:val="22"/>
          <w:szCs w:val="22"/>
        </w:rPr>
        <w:t xml:space="preserve"> B</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RNC</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HLR</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MSS</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MGW</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Mobile </w:t>
      </w:r>
      <w:proofErr w:type="spellStart"/>
      <w:r w:rsidRPr="006532BE">
        <w:rPr>
          <w:rFonts w:ascii="Arial" w:hAnsi="Arial" w:cs="Arial"/>
          <w:sz w:val="22"/>
          <w:szCs w:val="22"/>
        </w:rPr>
        <w:t>voicemail</w:t>
      </w:r>
      <w:proofErr w:type="spellEnd"/>
      <w:r w:rsidRPr="006532BE">
        <w:rPr>
          <w:rFonts w:ascii="Arial" w:hAnsi="Arial" w:cs="Arial"/>
          <w:sz w:val="22"/>
          <w:szCs w:val="22"/>
        </w:rPr>
        <w:t xml:space="preserve"> </w:t>
      </w:r>
      <w:proofErr w:type="spellStart"/>
      <w:r w:rsidRPr="006532BE">
        <w:rPr>
          <w:rFonts w:ascii="Arial" w:hAnsi="Arial" w:cs="Arial"/>
          <w:sz w:val="22"/>
          <w:szCs w:val="22"/>
        </w:rPr>
        <w:t>platform</w:t>
      </w:r>
      <w:proofErr w:type="spellEnd"/>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SMS Centrum</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MMS Centrum</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Inteligentní síť (</w:t>
      </w:r>
      <w:proofErr w:type="spellStart"/>
      <w:r w:rsidRPr="006532BE">
        <w:rPr>
          <w:rFonts w:ascii="Arial" w:hAnsi="Arial" w:cs="Arial"/>
          <w:sz w:val="22"/>
          <w:szCs w:val="22"/>
        </w:rPr>
        <w:t>Intelligent</w:t>
      </w:r>
      <w:proofErr w:type="spellEnd"/>
      <w:r w:rsidRPr="006532BE">
        <w:rPr>
          <w:rFonts w:ascii="Arial" w:hAnsi="Arial" w:cs="Arial"/>
          <w:sz w:val="22"/>
          <w:szCs w:val="22"/>
        </w:rPr>
        <w:t xml:space="preserve"> Network)</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SGSN </w:t>
      </w:r>
      <w:proofErr w:type="spellStart"/>
      <w:r w:rsidRPr="006532BE">
        <w:rPr>
          <w:rFonts w:ascii="Arial" w:hAnsi="Arial" w:cs="Arial"/>
          <w:sz w:val="22"/>
          <w:szCs w:val="22"/>
        </w:rPr>
        <w:t>Platform</w:t>
      </w:r>
      <w:proofErr w:type="spellEnd"/>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GGSN </w:t>
      </w:r>
      <w:proofErr w:type="spellStart"/>
      <w:r w:rsidRPr="006532BE">
        <w:rPr>
          <w:rFonts w:ascii="Arial" w:hAnsi="Arial" w:cs="Arial"/>
          <w:sz w:val="22"/>
          <w:szCs w:val="22"/>
        </w:rPr>
        <w:t>Platform</w:t>
      </w:r>
      <w:proofErr w:type="spellEnd"/>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BTS – BSC </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Node B – RNC </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proofErr w:type="spellStart"/>
      <w:r w:rsidRPr="006532BE">
        <w:rPr>
          <w:rFonts w:ascii="Arial" w:hAnsi="Arial" w:cs="Arial"/>
          <w:sz w:val="22"/>
          <w:szCs w:val="22"/>
        </w:rPr>
        <w:t>eNode</w:t>
      </w:r>
      <w:proofErr w:type="spellEnd"/>
      <w:r w:rsidRPr="006532BE">
        <w:rPr>
          <w:rFonts w:ascii="Arial" w:hAnsi="Arial" w:cs="Arial"/>
          <w:sz w:val="22"/>
          <w:szCs w:val="22"/>
        </w:rPr>
        <w:t xml:space="preserve"> B – MGW </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BSC – MGW </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RNC – MGW </w:t>
      </w:r>
    </w:p>
    <w:p w:rsidR="00242A0C" w:rsidRPr="006532BE" w:rsidRDefault="00242A0C" w:rsidP="0014130B">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 xml:space="preserve">MGW – MGW </w:t>
      </w:r>
    </w:p>
    <w:p w:rsidR="00242A0C" w:rsidRPr="006532BE" w:rsidRDefault="00242A0C" w:rsidP="00EB506E">
      <w:pPr>
        <w:pStyle w:val="Zkladntext"/>
        <w:numPr>
          <w:ilvl w:val="0"/>
          <w:numId w:val="102"/>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Propojování (</w:t>
      </w:r>
      <w:proofErr w:type="spellStart"/>
      <w:r w:rsidRPr="006532BE">
        <w:rPr>
          <w:rFonts w:ascii="Arial" w:hAnsi="Arial" w:cs="Arial"/>
          <w:sz w:val="22"/>
          <w:szCs w:val="22"/>
        </w:rPr>
        <w:t>Interconnection</w:t>
      </w:r>
      <w:proofErr w:type="spellEnd"/>
      <w:r w:rsidRPr="006532BE">
        <w:rPr>
          <w:rFonts w:ascii="Arial" w:hAnsi="Arial" w:cs="Arial"/>
          <w:sz w:val="22"/>
          <w:szCs w:val="22"/>
        </w:rPr>
        <w:t>)</w:t>
      </w:r>
    </w:p>
    <w:p w:rsidR="00242A0C" w:rsidRPr="006532BE" w:rsidRDefault="00242A0C" w:rsidP="006C13C0">
      <w:pPr>
        <w:pStyle w:val="Zkladntext"/>
        <w:spacing w:before="120" w:after="0"/>
        <w:ind w:left="567" w:hanging="567"/>
        <w:jc w:val="both"/>
        <w:rPr>
          <w:rFonts w:ascii="Arial" w:hAnsi="Arial" w:cs="Arial"/>
          <w:b/>
          <w:i/>
          <w:sz w:val="22"/>
          <w:szCs w:val="22"/>
        </w:rPr>
      </w:pPr>
      <w:r w:rsidRPr="006532BE">
        <w:rPr>
          <w:rFonts w:ascii="Arial" w:hAnsi="Arial" w:cs="Arial"/>
          <w:b/>
          <w:i/>
          <w:sz w:val="22"/>
          <w:szCs w:val="22"/>
        </w:rPr>
        <w:t xml:space="preserve">5.2 </w:t>
      </w:r>
      <w:r w:rsidRPr="006532BE">
        <w:rPr>
          <w:rFonts w:ascii="Arial" w:hAnsi="Arial" w:cs="Arial"/>
          <w:b/>
          <w:i/>
          <w:sz w:val="22"/>
          <w:szCs w:val="22"/>
        </w:rPr>
        <w:tab/>
        <w:t>Jednotkové aktuální ceny pro vlastněné přenosové síťové prvky</w:t>
      </w:r>
    </w:p>
    <w:p w:rsidR="00242A0C" w:rsidRPr="006532BE" w:rsidRDefault="00242A0C" w:rsidP="00F62C63">
      <w:pPr>
        <w:pStyle w:val="Zkladntext"/>
        <w:spacing w:before="60" w:after="0"/>
        <w:jc w:val="both"/>
        <w:rPr>
          <w:rFonts w:ascii="Arial" w:hAnsi="Arial" w:cs="Arial"/>
          <w:sz w:val="22"/>
          <w:szCs w:val="22"/>
        </w:rPr>
      </w:pPr>
      <w:r w:rsidRPr="006532BE">
        <w:rPr>
          <w:rFonts w:ascii="Arial" w:hAnsi="Arial" w:cs="Arial"/>
          <w:sz w:val="22"/>
          <w:szCs w:val="22"/>
        </w:rPr>
        <w:t>Jiné investiční výdaje pro prvky</w:t>
      </w:r>
    </w:p>
    <w:p w:rsidR="00242A0C" w:rsidRPr="006532BE" w:rsidRDefault="00242A0C" w:rsidP="00242A0C">
      <w:pPr>
        <w:spacing w:before="120"/>
        <w:rPr>
          <w:rFonts w:ascii="Arial" w:hAnsi="Arial" w:cs="Arial"/>
          <w:sz w:val="22"/>
          <w:szCs w:val="22"/>
          <w:lang w:eastAsia="en-US"/>
        </w:rPr>
      </w:pPr>
      <w:r w:rsidRPr="006532BE">
        <w:rPr>
          <w:rFonts w:ascii="Arial" w:hAnsi="Arial" w:cs="Arial"/>
          <w:sz w:val="22"/>
          <w:szCs w:val="22"/>
          <w:lang w:eastAsia="en-US"/>
        </w:rPr>
        <w:lastRenderedPageBreak/>
        <w:t>Optické vlákno</w:t>
      </w:r>
    </w:p>
    <w:p w:rsidR="00242A0C" w:rsidRPr="006532BE" w:rsidRDefault="00242A0C" w:rsidP="00EB506E">
      <w:pPr>
        <w:pStyle w:val="Zkladntext"/>
        <w:numPr>
          <w:ilvl w:val="0"/>
          <w:numId w:val="103"/>
        </w:numPr>
        <w:tabs>
          <w:tab w:val="clear" w:pos="2700"/>
          <w:tab w:val="num" w:pos="720"/>
        </w:tabs>
        <w:spacing w:before="60" w:after="0" w:line="240" w:lineRule="atLeast"/>
        <w:ind w:left="1134" w:hanging="850"/>
        <w:jc w:val="both"/>
        <w:rPr>
          <w:rFonts w:ascii="Arial" w:hAnsi="Arial" w:cs="Arial"/>
          <w:sz w:val="22"/>
          <w:szCs w:val="22"/>
        </w:rPr>
      </w:pPr>
      <w:r w:rsidRPr="006532BE">
        <w:rPr>
          <w:rFonts w:ascii="Arial" w:hAnsi="Arial" w:cs="Arial"/>
          <w:sz w:val="22"/>
          <w:szCs w:val="22"/>
        </w:rPr>
        <w:t xml:space="preserve">Vlákno včetně </w:t>
      </w:r>
      <w:proofErr w:type="spellStart"/>
      <w:r w:rsidRPr="006532BE">
        <w:rPr>
          <w:rFonts w:ascii="Arial" w:hAnsi="Arial" w:cs="Arial"/>
          <w:sz w:val="22"/>
          <w:szCs w:val="22"/>
        </w:rPr>
        <w:t>kabelovodů</w:t>
      </w:r>
      <w:proofErr w:type="spellEnd"/>
      <w:r w:rsidRPr="006532BE">
        <w:rPr>
          <w:rFonts w:ascii="Arial" w:hAnsi="Arial" w:cs="Arial"/>
          <w:sz w:val="22"/>
          <w:szCs w:val="22"/>
        </w:rPr>
        <w:t xml:space="preserve"> a zemních prací - Město &amp; Aglomerace</w:t>
      </w:r>
    </w:p>
    <w:p w:rsidR="00242A0C" w:rsidRPr="006532BE" w:rsidRDefault="00242A0C" w:rsidP="00EB506E">
      <w:pPr>
        <w:pStyle w:val="Zkladntext"/>
        <w:numPr>
          <w:ilvl w:val="0"/>
          <w:numId w:val="103"/>
        </w:numPr>
        <w:tabs>
          <w:tab w:val="clear" w:pos="2700"/>
          <w:tab w:val="num" w:pos="720"/>
        </w:tabs>
        <w:spacing w:before="60" w:after="0" w:line="240" w:lineRule="atLeast"/>
        <w:ind w:left="1134" w:hanging="850"/>
        <w:jc w:val="both"/>
        <w:rPr>
          <w:rFonts w:ascii="Arial" w:hAnsi="Arial" w:cs="Arial"/>
          <w:sz w:val="22"/>
          <w:szCs w:val="22"/>
        </w:rPr>
      </w:pPr>
      <w:r w:rsidRPr="006532BE">
        <w:rPr>
          <w:rFonts w:ascii="Arial" w:hAnsi="Arial" w:cs="Arial"/>
          <w:sz w:val="22"/>
          <w:szCs w:val="22"/>
        </w:rPr>
        <w:t xml:space="preserve">Vlákno včetně </w:t>
      </w:r>
      <w:proofErr w:type="spellStart"/>
      <w:r w:rsidRPr="006532BE">
        <w:rPr>
          <w:rFonts w:ascii="Arial" w:hAnsi="Arial" w:cs="Arial"/>
          <w:sz w:val="22"/>
          <w:szCs w:val="22"/>
        </w:rPr>
        <w:t>kabelovodů</w:t>
      </w:r>
      <w:proofErr w:type="spellEnd"/>
      <w:r w:rsidRPr="006532BE">
        <w:rPr>
          <w:rFonts w:ascii="Arial" w:hAnsi="Arial" w:cs="Arial"/>
          <w:sz w:val="22"/>
          <w:szCs w:val="22"/>
        </w:rPr>
        <w:t xml:space="preserve"> a zemních prací - Venkov</w:t>
      </w:r>
    </w:p>
    <w:p w:rsidR="00242A0C" w:rsidRPr="006532BE" w:rsidRDefault="00242A0C" w:rsidP="00242A0C">
      <w:pPr>
        <w:spacing w:before="120"/>
        <w:rPr>
          <w:rFonts w:ascii="Arial" w:hAnsi="Arial" w:cs="Arial"/>
          <w:sz w:val="22"/>
          <w:szCs w:val="22"/>
          <w:lang w:eastAsia="en-US"/>
        </w:rPr>
      </w:pPr>
      <w:r w:rsidRPr="006532BE">
        <w:rPr>
          <w:rFonts w:ascii="Arial" w:hAnsi="Arial" w:cs="Arial"/>
          <w:sz w:val="22"/>
          <w:szCs w:val="22"/>
          <w:lang w:eastAsia="en-US"/>
        </w:rPr>
        <w:t xml:space="preserve">NGN přenosové zařízení </w:t>
      </w:r>
    </w:p>
    <w:p w:rsidR="00242A0C" w:rsidRPr="006532BE" w:rsidRDefault="00242A0C" w:rsidP="00EB506E">
      <w:pPr>
        <w:pStyle w:val="Zkladntext"/>
        <w:numPr>
          <w:ilvl w:val="0"/>
          <w:numId w:val="103"/>
        </w:numPr>
        <w:tabs>
          <w:tab w:val="clear" w:pos="2700"/>
          <w:tab w:val="num" w:pos="720"/>
        </w:tabs>
        <w:spacing w:before="60" w:after="0" w:line="240" w:lineRule="atLeast"/>
        <w:ind w:left="1134" w:hanging="850"/>
        <w:jc w:val="both"/>
        <w:rPr>
          <w:rFonts w:ascii="Arial" w:hAnsi="Arial" w:cs="Arial"/>
          <w:sz w:val="22"/>
          <w:szCs w:val="22"/>
        </w:rPr>
      </w:pPr>
      <w:r w:rsidRPr="006532BE">
        <w:rPr>
          <w:rFonts w:ascii="Arial" w:hAnsi="Arial" w:cs="Arial"/>
          <w:sz w:val="22"/>
          <w:szCs w:val="22"/>
        </w:rPr>
        <w:t>IP Switch</w:t>
      </w:r>
    </w:p>
    <w:p w:rsidR="00242A0C" w:rsidRPr="006532BE" w:rsidRDefault="00242A0C" w:rsidP="00EB506E">
      <w:pPr>
        <w:pStyle w:val="Zkladntext"/>
        <w:numPr>
          <w:ilvl w:val="0"/>
          <w:numId w:val="103"/>
        </w:numPr>
        <w:tabs>
          <w:tab w:val="clear" w:pos="2700"/>
          <w:tab w:val="num" w:pos="720"/>
        </w:tabs>
        <w:spacing w:before="60" w:after="0" w:line="240" w:lineRule="atLeast"/>
        <w:ind w:left="1134" w:hanging="850"/>
        <w:jc w:val="both"/>
        <w:rPr>
          <w:rFonts w:ascii="Arial" w:hAnsi="Arial" w:cs="Arial"/>
          <w:sz w:val="22"/>
          <w:szCs w:val="22"/>
        </w:rPr>
      </w:pPr>
      <w:r w:rsidRPr="006532BE">
        <w:rPr>
          <w:rFonts w:ascii="Arial" w:hAnsi="Arial" w:cs="Arial"/>
          <w:sz w:val="22"/>
          <w:szCs w:val="22"/>
        </w:rPr>
        <w:t>IP Router</w:t>
      </w:r>
    </w:p>
    <w:p w:rsidR="00242A0C" w:rsidRPr="006532BE" w:rsidRDefault="00242A0C" w:rsidP="00242A0C">
      <w:pPr>
        <w:spacing w:before="120"/>
        <w:rPr>
          <w:rFonts w:ascii="Arial" w:hAnsi="Arial" w:cs="Arial"/>
          <w:sz w:val="22"/>
          <w:szCs w:val="22"/>
          <w:lang w:eastAsia="en-US"/>
        </w:rPr>
      </w:pPr>
      <w:r w:rsidRPr="006532BE">
        <w:rPr>
          <w:rFonts w:ascii="Arial" w:hAnsi="Arial" w:cs="Arial"/>
          <w:sz w:val="22"/>
          <w:szCs w:val="22"/>
          <w:lang w:eastAsia="en-US"/>
        </w:rPr>
        <w:t xml:space="preserve">SDH zařízení </w:t>
      </w:r>
    </w:p>
    <w:p w:rsidR="00242A0C" w:rsidRPr="006532BE" w:rsidRDefault="00242A0C" w:rsidP="00EB506E">
      <w:pPr>
        <w:pStyle w:val="Zkladntext"/>
        <w:numPr>
          <w:ilvl w:val="0"/>
          <w:numId w:val="103"/>
        </w:numPr>
        <w:tabs>
          <w:tab w:val="clear" w:pos="2700"/>
          <w:tab w:val="num" w:pos="720"/>
        </w:tabs>
        <w:spacing w:before="60" w:after="0" w:line="240" w:lineRule="atLeast"/>
        <w:ind w:left="1134" w:hanging="850"/>
        <w:jc w:val="both"/>
        <w:rPr>
          <w:rFonts w:ascii="Arial" w:hAnsi="Arial" w:cs="Arial"/>
          <w:sz w:val="22"/>
          <w:szCs w:val="22"/>
        </w:rPr>
      </w:pPr>
      <w:r w:rsidRPr="006532BE">
        <w:rPr>
          <w:rFonts w:ascii="Arial" w:hAnsi="Arial" w:cs="Arial"/>
          <w:sz w:val="22"/>
          <w:szCs w:val="22"/>
        </w:rPr>
        <w:t xml:space="preserve">Digital </w:t>
      </w:r>
      <w:proofErr w:type="spellStart"/>
      <w:r w:rsidRPr="006532BE">
        <w:rPr>
          <w:rFonts w:ascii="Arial" w:hAnsi="Arial" w:cs="Arial"/>
          <w:sz w:val="22"/>
          <w:szCs w:val="22"/>
        </w:rPr>
        <w:t>Cross</w:t>
      </w:r>
      <w:proofErr w:type="spellEnd"/>
      <w:r w:rsidRPr="006532BE">
        <w:rPr>
          <w:rFonts w:ascii="Arial" w:hAnsi="Arial" w:cs="Arial"/>
          <w:sz w:val="22"/>
          <w:szCs w:val="22"/>
        </w:rPr>
        <w:t xml:space="preserve"> </w:t>
      </w:r>
      <w:proofErr w:type="spellStart"/>
      <w:r w:rsidRPr="006532BE">
        <w:rPr>
          <w:rFonts w:ascii="Arial" w:hAnsi="Arial" w:cs="Arial"/>
          <w:sz w:val="22"/>
          <w:szCs w:val="22"/>
        </w:rPr>
        <w:t>Connect</w:t>
      </w:r>
      <w:proofErr w:type="spellEnd"/>
      <w:r w:rsidRPr="006532BE">
        <w:rPr>
          <w:rFonts w:ascii="Arial" w:hAnsi="Arial" w:cs="Arial"/>
          <w:sz w:val="22"/>
          <w:szCs w:val="22"/>
        </w:rPr>
        <w:t xml:space="preserve"> (DXC)</w:t>
      </w:r>
    </w:p>
    <w:p w:rsidR="00242A0C" w:rsidRPr="006532BE" w:rsidRDefault="00242A0C" w:rsidP="00EB506E">
      <w:pPr>
        <w:pStyle w:val="Zkladntext"/>
        <w:numPr>
          <w:ilvl w:val="0"/>
          <w:numId w:val="103"/>
        </w:numPr>
        <w:tabs>
          <w:tab w:val="clear" w:pos="2700"/>
          <w:tab w:val="num" w:pos="720"/>
        </w:tabs>
        <w:spacing w:before="60" w:after="0" w:line="240" w:lineRule="atLeast"/>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STM1</w:t>
      </w:r>
    </w:p>
    <w:p w:rsidR="00242A0C" w:rsidRPr="006532BE" w:rsidRDefault="00242A0C" w:rsidP="00EB506E">
      <w:pPr>
        <w:pStyle w:val="Zkladntext"/>
        <w:numPr>
          <w:ilvl w:val="0"/>
          <w:numId w:val="103"/>
        </w:numPr>
        <w:tabs>
          <w:tab w:val="clear" w:pos="2700"/>
          <w:tab w:val="num" w:pos="720"/>
        </w:tabs>
        <w:spacing w:before="60" w:after="0" w:line="240" w:lineRule="atLeast"/>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STM4</w:t>
      </w:r>
    </w:p>
    <w:p w:rsidR="00242A0C" w:rsidRPr="006532BE" w:rsidRDefault="00242A0C" w:rsidP="00EB506E">
      <w:pPr>
        <w:pStyle w:val="Zkladntext"/>
        <w:numPr>
          <w:ilvl w:val="0"/>
          <w:numId w:val="103"/>
        </w:numPr>
        <w:tabs>
          <w:tab w:val="clear" w:pos="2700"/>
          <w:tab w:val="num" w:pos="720"/>
        </w:tabs>
        <w:spacing w:before="60" w:after="0" w:line="240" w:lineRule="atLeast"/>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STM16</w:t>
      </w:r>
    </w:p>
    <w:p w:rsidR="00242A0C" w:rsidRPr="006532BE" w:rsidRDefault="00242A0C" w:rsidP="00EB506E">
      <w:pPr>
        <w:pStyle w:val="Zkladntext"/>
        <w:numPr>
          <w:ilvl w:val="0"/>
          <w:numId w:val="103"/>
        </w:numPr>
        <w:tabs>
          <w:tab w:val="clear" w:pos="2700"/>
          <w:tab w:val="num" w:pos="720"/>
        </w:tabs>
        <w:spacing w:before="60" w:after="0" w:line="240" w:lineRule="atLeast"/>
        <w:ind w:left="1134" w:hanging="850"/>
        <w:jc w:val="both"/>
        <w:rPr>
          <w:rFonts w:ascii="Arial" w:hAnsi="Arial" w:cs="Arial"/>
          <w:sz w:val="22"/>
          <w:szCs w:val="22"/>
        </w:rPr>
      </w:pPr>
      <w:proofErr w:type="spellStart"/>
      <w:r w:rsidRPr="006532BE">
        <w:rPr>
          <w:rFonts w:ascii="Arial" w:hAnsi="Arial" w:cs="Arial"/>
          <w:sz w:val="22"/>
          <w:szCs w:val="22"/>
        </w:rPr>
        <w:t>Add</w:t>
      </w:r>
      <w:proofErr w:type="spellEnd"/>
      <w:r w:rsidRPr="006532BE">
        <w:rPr>
          <w:rFonts w:ascii="Arial" w:hAnsi="Arial" w:cs="Arial"/>
          <w:sz w:val="22"/>
          <w:szCs w:val="22"/>
        </w:rPr>
        <w:t xml:space="preserve"> Drop </w:t>
      </w:r>
      <w:proofErr w:type="spellStart"/>
      <w:r w:rsidRPr="006532BE">
        <w:rPr>
          <w:rFonts w:ascii="Arial" w:hAnsi="Arial" w:cs="Arial"/>
          <w:sz w:val="22"/>
          <w:szCs w:val="22"/>
        </w:rPr>
        <w:t>Multiplexer</w:t>
      </w:r>
      <w:proofErr w:type="spellEnd"/>
      <w:r w:rsidRPr="006532BE">
        <w:rPr>
          <w:rFonts w:ascii="Arial" w:hAnsi="Arial" w:cs="Arial"/>
          <w:sz w:val="22"/>
          <w:szCs w:val="22"/>
        </w:rPr>
        <w:t xml:space="preserve"> - STM64</w:t>
      </w:r>
    </w:p>
    <w:p w:rsidR="00242A0C" w:rsidRPr="006532BE" w:rsidRDefault="00242A0C" w:rsidP="00E236B2">
      <w:pPr>
        <w:spacing w:before="120"/>
        <w:rPr>
          <w:rFonts w:ascii="Arial" w:hAnsi="Arial" w:cs="Arial"/>
          <w:sz w:val="22"/>
          <w:szCs w:val="22"/>
          <w:lang w:eastAsia="en-US"/>
        </w:rPr>
      </w:pPr>
      <w:r w:rsidRPr="006532BE">
        <w:rPr>
          <w:rFonts w:ascii="Arial" w:hAnsi="Arial" w:cs="Arial"/>
          <w:sz w:val="22"/>
          <w:szCs w:val="22"/>
          <w:lang w:eastAsia="en-US"/>
        </w:rPr>
        <w:t xml:space="preserve">Mikrovlnné zařízení </w:t>
      </w:r>
    </w:p>
    <w:p w:rsidR="00242A0C" w:rsidRPr="006532BE" w:rsidRDefault="00242A0C" w:rsidP="00EB506E">
      <w:pPr>
        <w:pStyle w:val="Zkladntext"/>
        <w:numPr>
          <w:ilvl w:val="0"/>
          <w:numId w:val="103"/>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2 Mbit/s</w:t>
      </w:r>
    </w:p>
    <w:p w:rsidR="00242A0C" w:rsidRPr="006532BE" w:rsidRDefault="00242A0C" w:rsidP="00EB506E">
      <w:pPr>
        <w:pStyle w:val="Zkladntext"/>
        <w:numPr>
          <w:ilvl w:val="0"/>
          <w:numId w:val="103"/>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8 Mbit/s</w:t>
      </w:r>
    </w:p>
    <w:p w:rsidR="00242A0C" w:rsidRPr="006532BE" w:rsidRDefault="00242A0C" w:rsidP="00EB506E">
      <w:pPr>
        <w:pStyle w:val="Zkladntext"/>
        <w:numPr>
          <w:ilvl w:val="0"/>
          <w:numId w:val="103"/>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32 Mbit/s</w:t>
      </w:r>
    </w:p>
    <w:p w:rsidR="00242A0C" w:rsidRPr="006532BE" w:rsidRDefault="00242A0C" w:rsidP="00EB506E">
      <w:pPr>
        <w:pStyle w:val="Zkladntext"/>
        <w:numPr>
          <w:ilvl w:val="0"/>
          <w:numId w:val="103"/>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128 Mbit/s</w:t>
      </w:r>
    </w:p>
    <w:p w:rsidR="00242A0C" w:rsidRPr="006532BE" w:rsidRDefault="00242A0C" w:rsidP="00EB506E">
      <w:pPr>
        <w:pStyle w:val="Zkladntext"/>
        <w:numPr>
          <w:ilvl w:val="0"/>
          <w:numId w:val="103"/>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STM-1</w:t>
      </w:r>
    </w:p>
    <w:p w:rsidR="00242A0C" w:rsidRPr="006532BE" w:rsidRDefault="00242A0C" w:rsidP="00E236B2">
      <w:pPr>
        <w:spacing w:before="120"/>
        <w:rPr>
          <w:rFonts w:ascii="Arial" w:hAnsi="Arial" w:cs="Arial"/>
          <w:sz w:val="22"/>
          <w:szCs w:val="22"/>
          <w:lang w:eastAsia="en-US"/>
        </w:rPr>
      </w:pPr>
      <w:r w:rsidRPr="006532BE">
        <w:rPr>
          <w:rFonts w:ascii="Arial" w:hAnsi="Arial" w:cs="Arial"/>
          <w:sz w:val="22"/>
          <w:szCs w:val="22"/>
          <w:lang w:eastAsia="en-US"/>
        </w:rPr>
        <w:t xml:space="preserve">Satelitní zařízení </w:t>
      </w:r>
    </w:p>
    <w:p w:rsidR="00242A0C" w:rsidRPr="006532BE" w:rsidRDefault="00242A0C" w:rsidP="00EB506E">
      <w:pPr>
        <w:pStyle w:val="Zkladntext"/>
        <w:numPr>
          <w:ilvl w:val="0"/>
          <w:numId w:val="103"/>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2 Mbit/s</w:t>
      </w:r>
    </w:p>
    <w:p w:rsidR="00242A0C" w:rsidRPr="006532BE" w:rsidRDefault="00242A0C" w:rsidP="00EB506E">
      <w:pPr>
        <w:pStyle w:val="Zkladntext"/>
        <w:numPr>
          <w:ilvl w:val="0"/>
          <w:numId w:val="103"/>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8 Mbit/s</w:t>
      </w:r>
    </w:p>
    <w:p w:rsidR="00242A0C" w:rsidRPr="006532BE" w:rsidRDefault="00242A0C" w:rsidP="00EB506E">
      <w:pPr>
        <w:pStyle w:val="Zkladntext"/>
        <w:numPr>
          <w:ilvl w:val="0"/>
          <w:numId w:val="103"/>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32 Mbit/s</w:t>
      </w:r>
    </w:p>
    <w:p w:rsidR="00242A0C" w:rsidRPr="006532BE" w:rsidRDefault="00242A0C" w:rsidP="00EB506E">
      <w:pPr>
        <w:pStyle w:val="Zkladntext"/>
        <w:numPr>
          <w:ilvl w:val="0"/>
          <w:numId w:val="103"/>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128 Mbit/s</w:t>
      </w:r>
    </w:p>
    <w:p w:rsidR="00242A0C" w:rsidRPr="006532BE" w:rsidRDefault="00242A0C" w:rsidP="00E236B2">
      <w:pPr>
        <w:pStyle w:val="Zkladntext"/>
        <w:spacing w:before="120" w:after="0"/>
        <w:ind w:left="567" w:hanging="567"/>
        <w:jc w:val="both"/>
        <w:rPr>
          <w:rFonts w:ascii="Arial" w:hAnsi="Arial" w:cs="Arial"/>
          <w:b/>
          <w:i/>
          <w:sz w:val="22"/>
          <w:szCs w:val="22"/>
        </w:rPr>
      </w:pPr>
      <w:r w:rsidRPr="006532BE">
        <w:rPr>
          <w:rFonts w:ascii="Arial" w:hAnsi="Arial" w:cs="Arial"/>
          <w:b/>
          <w:i/>
          <w:sz w:val="22"/>
          <w:szCs w:val="22"/>
        </w:rPr>
        <w:t xml:space="preserve">5.3 </w:t>
      </w:r>
      <w:r w:rsidRPr="006532BE">
        <w:rPr>
          <w:rFonts w:ascii="Arial" w:hAnsi="Arial" w:cs="Arial"/>
          <w:b/>
          <w:i/>
          <w:sz w:val="22"/>
          <w:szCs w:val="22"/>
        </w:rPr>
        <w:tab/>
        <w:t>Jednotkové aktuální ceny za pronajatou infrastrukturu</w:t>
      </w:r>
    </w:p>
    <w:p w:rsidR="00242A0C" w:rsidRPr="006532BE" w:rsidRDefault="00242A0C" w:rsidP="00F62C63">
      <w:pPr>
        <w:pStyle w:val="Zkladntext"/>
        <w:spacing w:before="60" w:after="0"/>
        <w:jc w:val="both"/>
        <w:rPr>
          <w:rFonts w:ascii="Arial" w:hAnsi="Arial" w:cs="Arial"/>
          <w:sz w:val="22"/>
          <w:szCs w:val="22"/>
        </w:rPr>
      </w:pPr>
      <w:r w:rsidRPr="006532BE">
        <w:rPr>
          <w:rFonts w:ascii="Arial" w:hAnsi="Arial" w:cs="Arial"/>
          <w:sz w:val="22"/>
          <w:szCs w:val="22"/>
        </w:rPr>
        <w:t>Pronajaté lokace a pozemky</w:t>
      </w:r>
    </w:p>
    <w:p w:rsidR="00242A0C" w:rsidRPr="006532BE" w:rsidRDefault="00242A0C" w:rsidP="00E236B2">
      <w:pPr>
        <w:pStyle w:val="Zkladntext"/>
        <w:spacing w:before="60" w:after="0"/>
        <w:jc w:val="both"/>
        <w:rPr>
          <w:rFonts w:ascii="Arial" w:hAnsi="Arial" w:cs="Arial"/>
          <w:sz w:val="22"/>
          <w:szCs w:val="22"/>
        </w:rPr>
      </w:pPr>
      <w:r w:rsidRPr="006532BE">
        <w:rPr>
          <w:rFonts w:ascii="Arial" w:hAnsi="Arial" w:cs="Arial"/>
          <w:sz w:val="22"/>
          <w:szCs w:val="22"/>
        </w:rPr>
        <w:t>Cena měsíčního pronájmu a množství (sloupce) pro (řádky)</w:t>
      </w:r>
    </w:p>
    <w:p w:rsidR="00242A0C" w:rsidRPr="006532BE" w:rsidRDefault="00242A0C" w:rsidP="00EB506E">
      <w:pPr>
        <w:pStyle w:val="Zkladntext"/>
        <w:numPr>
          <w:ilvl w:val="0"/>
          <w:numId w:val="104"/>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Pronajaté stožáry</w:t>
      </w:r>
    </w:p>
    <w:p w:rsidR="00242A0C" w:rsidRPr="006532BE" w:rsidRDefault="00242A0C" w:rsidP="00EB506E">
      <w:pPr>
        <w:pStyle w:val="Zkladntext"/>
        <w:numPr>
          <w:ilvl w:val="0"/>
          <w:numId w:val="104"/>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Pronajaté střechy</w:t>
      </w:r>
    </w:p>
    <w:p w:rsidR="00242A0C" w:rsidRPr="006532BE" w:rsidRDefault="00242A0C" w:rsidP="00E236B2">
      <w:pPr>
        <w:pStyle w:val="Zkladntext"/>
        <w:spacing w:before="120" w:after="0"/>
        <w:jc w:val="both"/>
        <w:rPr>
          <w:rFonts w:ascii="Arial" w:hAnsi="Arial" w:cs="Arial"/>
          <w:sz w:val="22"/>
          <w:szCs w:val="22"/>
        </w:rPr>
      </w:pPr>
      <w:r w:rsidRPr="006532BE">
        <w:rPr>
          <w:rFonts w:ascii="Arial" w:hAnsi="Arial" w:cs="Arial"/>
          <w:sz w:val="22"/>
          <w:szCs w:val="22"/>
        </w:rPr>
        <w:t>Pronajaté přenosové spoje</w:t>
      </w:r>
    </w:p>
    <w:p w:rsidR="00242A0C" w:rsidRPr="006532BE" w:rsidRDefault="00242A0C" w:rsidP="00EB506E">
      <w:pPr>
        <w:pStyle w:val="Zkladntext"/>
        <w:numPr>
          <w:ilvl w:val="0"/>
          <w:numId w:val="104"/>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Kabelová vzdálenost</w:t>
      </w:r>
      <w:r w:rsidR="0047095F" w:rsidRPr="006532BE">
        <w:rPr>
          <w:rFonts w:ascii="Arial" w:hAnsi="Arial" w:cs="Arial"/>
          <w:sz w:val="22"/>
          <w:szCs w:val="22"/>
        </w:rPr>
        <w:t xml:space="preserve"> v </w:t>
      </w:r>
      <w:r w:rsidRPr="006532BE">
        <w:rPr>
          <w:rFonts w:ascii="Arial" w:hAnsi="Arial" w:cs="Arial"/>
          <w:sz w:val="22"/>
          <w:szCs w:val="22"/>
        </w:rPr>
        <w:t>km</w:t>
      </w:r>
    </w:p>
    <w:p w:rsidR="00242A0C" w:rsidRPr="006532BE" w:rsidRDefault="00242A0C" w:rsidP="00E236B2">
      <w:pPr>
        <w:pStyle w:val="Zkladntext"/>
        <w:spacing w:before="120" w:after="0"/>
        <w:jc w:val="both"/>
        <w:rPr>
          <w:rFonts w:ascii="Arial" w:hAnsi="Arial" w:cs="Arial"/>
          <w:sz w:val="22"/>
          <w:szCs w:val="22"/>
        </w:rPr>
      </w:pPr>
      <w:r w:rsidRPr="006532BE">
        <w:rPr>
          <w:rFonts w:ascii="Arial" w:hAnsi="Arial" w:cs="Arial"/>
          <w:sz w:val="22"/>
          <w:szCs w:val="22"/>
        </w:rPr>
        <w:t>Měsíční cena pronájmu</w:t>
      </w:r>
    </w:p>
    <w:p w:rsidR="00242A0C" w:rsidRPr="006532BE" w:rsidRDefault="00242A0C" w:rsidP="00EB506E">
      <w:pPr>
        <w:pStyle w:val="Zkladntext"/>
        <w:numPr>
          <w:ilvl w:val="0"/>
          <w:numId w:val="104"/>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2 Mbit/s</w:t>
      </w:r>
    </w:p>
    <w:p w:rsidR="00242A0C" w:rsidRPr="006532BE" w:rsidRDefault="00242A0C" w:rsidP="00EB506E">
      <w:pPr>
        <w:pStyle w:val="Zkladntext"/>
        <w:numPr>
          <w:ilvl w:val="0"/>
          <w:numId w:val="104"/>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8 Mbit/s</w:t>
      </w:r>
    </w:p>
    <w:p w:rsidR="00242A0C" w:rsidRPr="006532BE" w:rsidRDefault="00242A0C" w:rsidP="00EB506E">
      <w:pPr>
        <w:pStyle w:val="Zkladntext"/>
        <w:numPr>
          <w:ilvl w:val="0"/>
          <w:numId w:val="104"/>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32 Mbit/s</w:t>
      </w:r>
    </w:p>
    <w:p w:rsidR="00242A0C" w:rsidRPr="006532BE" w:rsidRDefault="00242A0C" w:rsidP="00EB506E">
      <w:pPr>
        <w:pStyle w:val="Zkladntext"/>
        <w:numPr>
          <w:ilvl w:val="0"/>
          <w:numId w:val="104"/>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128 Mbit/s</w:t>
      </w:r>
    </w:p>
    <w:p w:rsidR="00242A0C" w:rsidRPr="006532BE" w:rsidRDefault="00242A0C" w:rsidP="00EB506E">
      <w:pPr>
        <w:pStyle w:val="Zkladntext"/>
        <w:numPr>
          <w:ilvl w:val="0"/>
          <w:numId w:val="104"/>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STM-1</w:t>
      </w:r>
    </w:p>
    <w:p w:rsidR="00242A0C" w:rsidRPr="006532BE" w:rsidRDefault="00242A0C" w:rsidP="00EB506E">
      <w:pPr>
        <w:pStyle w:val="Zkladntext"/>
        <w:numPr>
          <w:ilvl w:val="0"/>
          <w:numId w:val="104"/>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STM-4</w:t>
      </w:r>
    </w:p>
    <w:p w:rsidR="00242A0C" w:rsidRPr="006532BE" w:rsidRDefault="00242A0C" w:rsidP="00EB506E">
      <w:pPr>
        <w:pStyle w:val="Zkladntext"/>
        <w:numPr>
          <w:ilvl w:val="0"/>
          <w:numId w:val="104"/>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STM-16</w:t>
      </w:r>
    </w:p>
    <w:p w:rsidR="00242A0C" w:rsidRPr="006532BE" w:rsidRDefault="00242A0C" w:rsidP="00EB506E">
      <w:pPr>
        <w:pStyle w:val="Zkladntext"/>
        <w:numPr>
          <w:ilvl w:val="0"/>
          <w:numId w:val="104"/>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Link STM-64</w:t>
      </w:r>
    </w:p>
    <w:p w:rsidR="00242A0C" w:rsidRPr="006532BE" w:rsidRDefault="00242A0C" w:rsidP="00510F4D">
      <w:pPr>
        <w:pStyle w:val="Zkladntext"/>
        <w:spacing w:before="240" w:after="0"/>
        <w:jc w:val="both"/>
        <w:rPr>
          <w:rFonts w:ascii="Arial" w:hAnsi="Arial" w:cs="Arial"/>
          <w:b/>
          <w:bCs/>
          <w:sz w:val="22"/>
          <w:szCs w:val="22"/>
        </w:rPr>
      </w:pPr>
      <w:r w:rsidRPr="006532BE">
        <w:rPr>
          <w:rFonts w:ascii="Arial" w:hAnsi="Arial" w:cs="Arial"/>
          <w:b/>
          <w:bCs/>
          <w:sz w:val="22"/>
          <w:szCs w:val="22"/>
        </w:rPr>
        <w:t>List 9. Páteřní NE</w:t>
      </w:r>
    </w:p>
    <w:p w:rsidR="00242A0C" w:rsidRPr="006532BE" w:rsidRDefault="00242A0C" w:rsidP="00E236B2">
      <w:pPr>
        <w:pStyle w:val="Zkladntext"/>
        <w:spacing w:before="120" w:after="0"/>
        <w:ind w:left="567" w:hanging="567"/>
        <w:jc w:val="both"/>
        <w:rPr>
          <w:rFonts w:ascii="Arial" w:hAnsi="Arial" w:cs="Arial"/>
          <w:b/>
          <w:bCs/>
          <w:i/>
          <w:sz w:val="22"/>
          <w:szCs w:val="22"/>
        </w:rPr>
      </w:pPr>
      <w:r w:rsidRPr="006532BE">
        <w:rPr>
          <w:rFonts w:ascii="Arial" w:hAnsi="Arial" w:cs="Arial"/>
          <w:b/>
          <w:i/>
          <w:sz w:val="22"/>
          <w:szCs w:val="22"/>
        </w:rPr>
        <w:t xml:space="preserve">9.2 </w:t>
      </w:r>
      <w:r w:rsidRPr="006532BE">
        <w:rPr>
          <w:rFonts w:ascii="Arial" w:hAnsi="Arial" w:cs="Arial"/>
          <w:b/>
          <w:i/>
          <w:sz w:val="22"/>
          <w:szCs w:val="22"/>
        </w:rPr>
        <w:tab/>
        <w:t>Kapacitní údaje propojování</w:t>
      </w:r>
    </w:p>
    <w:p w:rsidR="00242A0C" w:rsidRPr="006532BE" w:rsidRDefault="00242A0C" w:rsidP="00EB506E">
      <w:pPr>
        <w:pStyle w:val="Zkladntext"/>
        <w:numPr>
          <w:ilvl w:val="0"/>
          <w:numId w:val="105"/>
        </w:numPr>
        <w:tabs>
          <w:tab w:val="clear" w:pos="2700"/>
          <w:tab w:val="num" w:pos="720"/>
        </w:tabs>
        <w:spacing w:before="60" w:after="0"/>
        <w:ind w:left="1134" w:hanging="850"/>
        <w:jc w:val="both"/>
        <w:rPr>
          <w:rFonts w:ascii="Arial" w:hAnsi="Arial" w:cs="Arial"/>
          <w:sz w:val="22"/>
          <w:szCs w:val="22"/>
        </w:rPr>
      </w:pPr>
      <w:r w:rsidRPr="006532BE">
        <w:rPr>
          <w:rFonts w:ascii="Arial" w:hAnsi="Arial" w:cs="Arial"/>
          <w:sz w:val="22"/>
          <w:szCs w:val="22"/>
        </w:rPr>
        <w:t>Minimální počet propojovacích lokalit</w:t>
      </w:r>
    </w:p>
    <w:p w:rsidR="00242A0C" w:rsidRPr="006532BE" w:rsidRDefault="00242A0C" w:rsidP="009F76E8">
      <w:pPr>
        <w:tabs>
          <w:tab w:val="left" w:pos="5245"/>
        </w:tabs>
        <w:autoSpaceDE w:val="0"/>
        <w:autoSpaceDN w:val="0"/>
        <w:adjustRightInd w:val="0"/>
        <w:spacing w:before="240"/>
        <w:ind w:left="5245" w:hanging="5245"/>
        <w:rPr>
          <w:rFonts w:ascii="Arial" w:hAnsi="Arial" w:cs="Arial"/>
          <w:color w:val="000000"/>
          <w:sz w:val="22"/>
          <w:szCs w:val="22"/>
        </w:rPr>
      </w:pPr>
      <w:r w:rsidRPr="006532BE">
        <w:rPr>
          <w:rFonts w:ascii="Arial" w:hAnsi="Arial" w:cs="Arial"/>
          <w:b/>
          <w:bCs/>
          <w:sz w:val="22"/>
          <w:szCs w:val="22"/>
        </w:rPr>
        <w:t xml:space="preserve">II. </w:t>
      </w:r>
      <w:r w:rsidRPr="006532BE">
        <w:rPr>
          <w:rFonts w:ascii="Arial" w:hAnsi="Arial" w:cs="Arial"/>
          <w:b/>
          <w:bCs/>
          <w:color w:val="000000"/>
          <w:sz w:val="22"/>
          <w:szCs w:val="22"/>
        </w:rPr>
        <w:t>Podklad</w:t>
      </w:r>
      <w:r w:rsidRPr="006532BE">
        <w:rPr>
          <w:rFonts w:ascii="Arial" w:hAnsi="Arial" w:cs="Arial"/>
          <w:b/>
          <w:bCs/>
          <w:color w:val="000000"/>
          <w:spacing w:val="-1"/>
          <w:sz w:val="22"/>
          <w:szCs w:val="22"/>
        </w:rPr>
        <w:t>y</w:t>
      </w:r>
      <w:r w:rsidRPr="006532BE">
        <w:rPr>
          <w:rFonts w:ascii="Arial" w:hAnsi="Arial" w:cs="Arial"/>
          <w:b/>
          <w:bCs/>
          <w:color w:val="000000"/>
          <w:sz w:val="22"/>
          <w:szCs w:val="22"/>
        </w:rPr>
        <w:t>,</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které</w:t>
      </w:r>
      <w:r w:rsidRPr="006532BE">
        <w:rPr>
          <w:rFonts w:ascii="Arial" w:hAnsi="Arial" w:cs="Arial"/>
          <w:b/>
          <w:bCs/>
          <w:color w:val="000000"/>
          <w:spacing w:val="-5"/>
          <w:sz w:val="22"/>
          <w:szCs w:val="22"/>
        </w:rPr>
        <w:t xml:space="preserve"> </w:t>
      </w:r>
      <w:r w:rsidRPr="006532BE">
        <w:rPr>
          <w:rFonts w:ascii="Arial" w:hAnsi="Arial" w:cs="Arial"/>
          <w:b/>
          <w:bCs/>
          <w:color w:val="000000"/>
          <w:sz w:val="22"/>
          <w:szCs w:val="22"/>
        </w:rPr>
        <w:t>do</w:t>
      </w:r>
      <w:r w:rsidRPr="006532BE">
        <w:rPr>
          <w:rFonts w:ascii="Arial" w:hAnsi="Arial" w:cs="Arial"/>
          <w:b/>
          <w:bCs/>
          <w:color w:val="000000"/>
          <w:spacing w:val="2"/>
          <w:sz w:val="22"/>
          <w:szCs w:val="22"/>
        </w:rPr>
        <w:t>k</w:t>
      </w:r>
      <w:r w:rsidRPr="006532BE">
        <w:rPr>
          <w:rFonts w:ascii="Arial" w:hAnsi="Arial" w:cs="Arial"/>
          <w:b/>
          <w:bCs/>
          <w:color w:val="000000"/>
          <w:sz w:val="22"/>
          <w:szCs w:val="22"/>
        </w:rPr>
        <w:t>ládají</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správnost</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výše</w:t>
      </w:r>
      <w:r w:rsidRPr="006532BE">
        <w:rPr>
          <w:rFonts w:ascii="Arial" w:hAnsi="Arial" w:cs="Arial"/>
          <w:b/>
          <w:bCs/>
          <w:color w:val="000000"/>
          <w:spacing w:val="-5"/>
          <w:sz w:val="22"/>
          <w:szCs w:val="22"/>
        </w:rPr>
        <w:t xml:space="preserve"> </w:t>
      </w:r>
      <w:r w:rsidRPr="006532BE">
        <w:rPr>
          <w:rFonts w:ascii="Arial" w:hAnsi="Arial" w:cs="Arial"/>
          <w:b/>
          <w:bCs/>
          <w:color w:val="000000"/>
          <w:sz w:val="22"/>
          <w:szCs w:val="22"/>
        </w:rPr>
        <w:t>uvedených</w:t>
      </w:r>
      <w:r w:rsidRPr="006532BE">
        <w:rPr>
          <w:rFonts w:ascii="Arial" w:hAnsi="Arial" w:cs="Arial"/>
          <w:b/>
          <w:bCs/>
          <w:color w:val="000000"/>
          <w:spacing w:val="-11"/>
          <w:sz w:val="22"/>
          <w:szCs w:val="22"/>
        </w:rPr>
        <w:t xml:space="preserve"> </w:t>
      </w:r>
      <w:r w:rsidRPr="006532BE">
        <w:rPr>
          <w:rFonts w:ascii="Arial" w:hAnsi="Arial" w:cs="Arial"/>
          <w:b/>
          <w:bCs/>
          <w:color w:val="000000"/>
          <w:sz w:val="22"/>
          <w:szCs w:val="22"/>
        </w:rPr>
        <w:t>údajů</w:t>
      </w:r>
      <w:r w:rsidRPr="006532BE">
        <w:rPr>
          <w:rFonts w:ascii="Arial" w:hAnsi="Arial" w:cs="Arial"/>
          <w:color w:val="000000"/>
          <w:sz w:val="22"/>
          <w:szCs w:val="22"/>
        </w:rPr>
        <w:br w:type="page"/>
      </w:r>
      <w:r w:rsidRPr="006532BE">
        <w:rPr>
          <w:rFonts w:ascii="Arial" w:hAnsi="Arial" w:cs="Arial"/>
          <w:color w:val="000000"/>
          <w:sz w:val="22"/>
          <w:szCs w:val="22"/>
        </w:rPr>
        <w:lastRenderedPageBreak/>
        <w:t>Příloha</w:t>
      </w:r>
      <w:r w:rsidRPr="006532BE">
        <w:rPr>
          <w:rFonts w:ascii="Arial" w:hAnsi="Arial" w:cs="Arial"/>
          <w:color w:val="000000"/>
          <w:spacing w:val="-7"/>
          <w:sz w:val="22"/>
          <w:szCs w:val="22"/>
        </w:rPr>
        <w:t xml:space="preserve"> </w:t>
      </w:r>
      <w:r w:rsidRPr="006532BE">
        <w:rPr>
          <w:rFonts w:ascii="Arial" w:hAnsi="Arial" w:cs="Arial"/>
          <w:color w:val="000000"/>
          <w:sz w:val="22"/>
          <w:szCs w:val="22"/>
        </w:rPr>
        <w:t>č. 4</w:t>
      </w:r>
      <w:r w:rsidRPr="006532BE">
        <w:rPr>
          <w:rFonts w:ascii="Arial" w:hAnsi="Arial" w:cs="Arial"/>
          <w:color w:val="000000"/>
          <w:spacing w:val="-2"/>
          <w:sz w:val="22"/>
          <w:szCs w:val="22"/>
        </w:rPr>
        <w:t xml:space="preserve"> k </w:t>
      </w:r>
      <w:r w:rsidRPr="006532BE">
        <w:rPr>
          <w:rFonts w:ascii="Arial" w:hAnsi="Arial" w:cs="Arial"/>
          <w:color w:val="000000"/>
          <w:sz w:val="22"/>
          <w:szCs w:val="22"/>
        </w:rPr>
        <w:t>opatření</w:t>
      </w:r>
      <w:r w:rsidRPr="006532BE">
        <w:rPr>
          <w:rFonts w:ascii="Arial" w:hAnsi="Arial" w:cs="Arial"/>
          <w:color w:val="000000"/>
          <w:spacing w:val="-8"/>
          <w:sz w:val="22"/>
          <w:szCs w:val="22"/>
        </w:rPr>
        <w:t xml:space="preserve"> </w:t>
      </w:r>
      <w:r w:rsidRPr="006532BE">
        <w:rPr>
          <w:rFonts w:ascii="Arial" w:hAnsi="Arial" w:cs="Arial"/>
          <w:color w:val="000000"/>
          <w:spacing w:val="-1"/>
          <w:sz w:val="22"/>
          <w:szCs w:val="22"/>
        </w:rPr>
        <w:t>o</w:t>
      </w:r>
      <w:r w:rsidRPr="006532BE">
        <w:rPr>
          <w:rFonts w:ascii="Arial" w:hAnsi="Arial" w:cs="Arial"/>
          <w:color w:val="000000"/>
          <w:sz w:val="22"/>
          <w:szCs w:val="22"/>
        </w:rPr>
        <w:t>becné</w:t>
      </w:r>
      <w:r w:rsidRPr="006532BE">
        <w:rPr>
          <w:rFonts w:ascii="Arial" w:hAnsi="Arial" w:cs="Arial"/>
          <w:color w:val="000000"/>
          <w:spacing w:val="-7"/>
          <w:sz w:val="22"/>
          <w:szCs w:val="22"/>
        </w:rPr>
        <w:t xml:space="preserve"> </w:t>
      </w:r>
      <w:r w:rsidRPr="006532BE">
        <w:rPr>
          <w:rFonts w:ascii="Arial" w:hAnsi="Arial" w:cs="Arial"/>
          <w:color w:val="000000"/>
          <w:sz w:val="22"/>
          <w:szCs w:val="22"/>
        </w:rPr>
        <w:t>povahy</w:t>
      </w:r>
      <w:r w:rsidRPr="006532BE">
        <w:rPr>
          <w:rFonts w:ascii="Arial" w:hAnsi="Arial" w:cs="Arial"/>
          <w:color w:val="000000"/>
          <w:spacing w:val="-7"/>
          <w:sz w:val="22"/>
          <w:szCs w:val="22"/>
        </w:rPr>
        <w:t xml:space="preserve"> </w:t>
      </w:r>
      <w:r w:rsidRPr="006532BE">
        <w:rPr>
          <w:rFonts w:ascii="Arial" w:hAnsi="Arial" w:cs="Arial"/>
          <w:color w:val="000000"/>
          <w:spacing w:val="1"/>
          <w:sz w:val="22"/>
          <w:szCs w:val="22"/>
        </w:rPr>
        <w:t>č</w:t>
      </w:r>
      <w:r w:rsidRPr="006532BE">
        <w:rPr>
          <w:rFonts w:ascii="Arial" w:hAnsi="Arial" w:cs="Arial"/>
          <w:color w:val="000000"/>
          <w:sz w:val="22"/>
          <w:szCs w:val="22"/>
        </w:rPr>
        <w:t>.</w:t>
      </w:r>
      <w:r w:rsidRPr="006532BE">
        <w:rPr>
          <w:rFonts w:ascii="Arial" w:hAnsi="Arial" w:cs="Arial"/>
          <w:b/>
          <w:bCs/>
          <w:color w:val="000000"/>
          <w:spacing w:val="-1"/>
          <w:sz w:val="22"/>
          <w:szCs w:val="22"/>
        </w:rPr>
        <w:t xml:space="preserve"> </w:t>
      </w:r>
      <w:r w:rsidRPr="006532BE">
        <w:rPr>
          <w:rFonts w:ascii="Arial" w:hAnsi="Arial" w:cs="Arial"/>
          <w:b/>
          <w:bCs/>
          <w:color w:val="000000"/>
          <w:w w:val="99"/>
          <w:sz w:val="22"/>
          <w:szCs w:val="22"/>
        </w:rPr>
        <w:t>OOP/4</w:t>
      </w:r>
      <w:r w:rsidRPr="006532BE">
        <w:rPr>
          <w:rFonts w:ascii="Arial" w:hAnsi="Arial" w:cs="Arial"/>
          <w:b/>
          <w:bCs/>
          <w:color w:val="000000"/>
          <w:spacing w:val="1"/>
          <w:w w:val="99"/>
          <w:sz w:val="22"/>
          <w:szCs w:val="22"/>
        </w:rPr>
        <w:t>/</w:t>
      </w:r>
      <w:r w:rsidR="002C151C">
        <w:rPr>
          <w:rFonts w:ascii="Arial" w:hAnsi="Arial" w:cs="Arial"/>
          <w:b/>
          <w:bCs/>
          <w:color w:val="000000"/>
          <w:spacing w:val="1"/>
          <w:w w:val="99"/>
          <w:sz w:val="22"/>
          <w:szCs w:val="22"/>
        </w:rPr>
        <w:t>09</w:t>
      </w:r>
      <w:r w:rsidRPr="006532BE">
        <w:rPr>
          <w:rFonts w:ascii="Arial" w:hAnsi="Arial" w:cs="Arial"/>
          <w:b/>
          <w:bCs/>
          <w:color w:val="000000"/>
          <w:w w:val="99"/>
          <w:sz w:val="22"/>
          <w:szCs w:val="22"/>
        </w:rPr>
        <w:t>.2014-</w:t>
      </w:r>
      <w:r w:rsidR="002C151C">
        <w:rPr>
          <w:rFonts w:ascii="Arial" w:hAnsi="Arial" w:cs="Arial"/>
          <w:b/>
          <w:bCs/>
          <w:color w:val="000000"/>
          <w:w w:val="99"/>
          <w:sz w:val="22"/>
          <w:szCs w:val="22"/>
        </w:rPr>
        <w:t>6</w:t>
      </w:r>
    </w:p>
    <w:p w:rsidR="00242A0C" w:rsidRPr="006532BE" w:rsidRDefault="00242A0C" w:rsidP="007E4737">
      <w:pPr>
        <w:widowControl w:val="0"/>
        <w:autoSpaceDE w:val="0"/>
        <w:autoSpaceDN w:val="0"/>
        <w:adjustRightInd w:val="0"/>
        <w:spacing w:before="480"/>
        <w:jc w:val="both"/>
        <w:rPr>
          <w:rFonts w:ascii="Arial" w:hAnsi="Arial" w:cs="Arial"/>
          <w:b/>
          <w:bCs/>
          <w:color w:val="000000"/>
          <w:sz w:val="22"/>
          <w:szCs w:val="22"/>
        </w:rPr>
      </w:pPr>
      <w:r w:rsidRPr="006532BE">
        <w:rPr>
          <w:rFonts w:ascii="Arial" w:hAnsi="Arial" w:cs="Arial"/>
          <w:b/>
          <w:bCs/>
          <w:color w:val="000000"/>
          <w:sz w:val="22"/>
          <w:szCs w:val="22"/>
        </w:rPr>
        <w:t>Struktura</w:t>
      </w:r>
      <w:r w:rsidRPr="006532BE">
        <w:rPr>
          <w:rFonts w:ascii="Arial" w:hAnsi="Arial" w:cs="Arial"/>
          <w:b/>
          <w:bCs/>
          <w:color w:val="000000"/>
          <w:spacing w:val="-10"/>
          <w:sz w:val="22"/>
          <w:szCs w:val="22"/>
        </w:rPr>
        <w:t xml:space="preserve"> </w:t>
      </w:r>
      <w:r w:rsidRPr="006532BE">
        <w:rPr>
          <w:rFonts w:ascii="Arial" w:hAnsi="Arial" w:cs="Arial"/>
          <w:b/>
          <w:bCs/>
          <w:color w:val="000000"/>
          <w:spacing w:val="1"/>
          <w:sz w:val="22"/>
          <w:szCs w:val="22"/>
        </w:rPr>
        <w:t>v</w:t>
      </w:r>
      <w:r w:rsidRPr="006532BE">
        <w:rPr>
          <w:rFonts w:ascii="Arial" w:hAnsi="Arial" w:cs="Arial"/>
          <w:b/>
          <w:bCs/>
          <w:color w:val="000000"/>
          <w:sz w:val="22"/>
          <w:szCs w:val="22"/>
        </w:rPr>
        <w:t>stupních</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údajů</w:t>
      </w:r>
      <w:r w:rsidRPr="006532BE">
        <w:rPr>
          <w:rFonts w:ascii="Arial" w:hAnsi="Arial" w:cs="Arial"/>
          <w:b/>
          <w:bCs/>
          <w:color w:val="000000"/>
          <w:spacing w:val="-5"/>
          <w:sz w:val="22"/>
          <w:szCs w:val="22"/>
        </w:rPr>
        <w:t xml:space="preserve"> </w:t>
      </w:r>
      <w:r w:rsidRPr="006532BE">
        <w:rPr>
          <w:rFonts w:ascii="Arial" w:hAnsi="Arial" w:cs="Arial"/>
          <w:b/>
          <w:bCs/>
          <w:color w:val="000000"/>
          <w:sz w:val="22"/>
          <w:szCs w:val="22"/>
        </w:rPr>
        <w:t>dle</w:t>
      </w:r>
      <w:r w:rsidRPr="006532BE">
        <w:rPr>
          <w:rFonts w:ascii="Arial" w:hAnsi="Arial" w:cs="Arial"/>
          <w:b/>
          <w:bCs/>
          <w:color w:val="000000"/>
          <w:spacing w:val="-3"/>
          <w:sz w:val="22"/>
          <w:szCs w:val="22"/>
        </w:rPr>
        <w:t xml:space="preserve"> </w:t>
      </w:r>
      <w:r w:rsidRPr="006532BE">
        <w:rPr>
          <w:rFonts w:ascii="Arial" w:hAnsi="Arial" w:cs="Arial"/>
          <w:b/>
          <w:bCs/>
          <w:color w:val="000000"/>
          <w:sz w:val="22"/>
          <w:szCs w:val="22"/>
        </w:rPr>
        <w:t>čl</w:t>
      </w:r>
      <w:r w:rsidRPr="006532BE">
        <w:rPr>
          <w:rFonts w:ascii="Arial" w:hAnsi="Arial" w:cs="Arial"/>
          <w:b/>
          <w:bCs/>
          <w:color w:val="000000"/>
          <w:spacing w:val="-1"/>
          <w:sz w:val="22"/>
          <w:szCs w:val="22"/>
        </w:rPr>
        <w:t>á</w:t>
      </w:r>
      <w:r w:rsidRPr="006532BE">
        <w:rPr>
          <w:rFonts w:ascii="Arial" w:hAnsi="Arial" w:cs="Arial"/>
          <w:b/>
          <w:bCs/>
          <w:color w:val="000000"/>
          <w:sz w:val="22"/>
          <w:szCs w:val="22"/>
        </w:rPr>
        <w:t>nku</w:t>
      </w:r>
      <w:r w:rsidRPr="006532BE">
        <w:rPr>
          <w:rFonts w:ascii="Arial" w:hAnsi="Arial" w:cs="Arial"/>
          <w:b/>
          <w:bCs/>
          <w:color w:val="000000"/>
          <w:spacing w:val="-7"/>
          <w:sz w:val="22"/>
          <w:szCs w:val="22"/>
        </w:rPr>
        <w:t xml:space="preserve"> </w:t>
      </w:r>
      <w:r w:rsidR="001C19DC" w:rsidRPr="006532BE">
        <w:rPr>
          <w:rFonts w:ascii="Arial" w:hAnsi="Arial" w:cs="Arial"/>
          <w:b/>
          <w:bCs/>
          <w:color w:val="000000"/>
          <w:spacing w:val="-7"/>
          <w:sz w:val="22"/>
          <w:szCs w:val="22"/>
        </w:rPr>
        <w:t>7</w:t>
      </w:r>
      <w:r w:rsidRPr="006532BE">
        <w:rPr>
          <w:rFonts w:ascii="Arial" w:hAnsi="Arial" w:cs="Arial"/>
          <w:b/>
          <w:bCs/>
          <w:color w:val="000000"/>
          <w:spacing w:val="-1"/>
          <w:sz w:val="22"/>
          <w:szCs w:val="22"/>
        </w:rPr>
        <w:t xml:space="preserve"> </w:t>
      </w:r>
      <w:r w:rsidRPr="006532BE">
        <w:rPr>
          <w:rFonts w:ascii="Arial" w:hAnsi="Arial" w:cs="Arial"/>
          <w:b/>
          <w:bCs/>
          <w:color w:val="000000"/>
          <w:sz w:val="22"/>
          <w:szCs w:val="22"/>
        </w:rPr>
        <w:t>písm.</w:t>
      </w:r>
      <w:r w:rsidRPr="006532BE">
        <w:rPr>
          <w:rFonts w:ascii="Arial" w:hAnsi="Arial" w:cs="Arial"/>
          <w:b/>
          <w:bCs/>
          <w:color w:val="000000"/>
          <w:spacing w:val="-6"/>
          <w:sz w:val="22"/>
          <w:szCs w:val="22"/>
        </w:rPr>
        <w:t xml:space="preserve"> </w:t>
      </w:r>
      <w:r w:rsidRPr="006532BE">
        <w:rPr>
          <w:rFonts w:ascii="Arial" w:hAnsi="Arial" w:cs="Arial"/>
          <w:b/>
          <w:bCs/>
          <w:color w:val="000000"/>
          <w:sz w:val="22"/>
          <w:szCs w:val="22"/>
        </w:rPr>
        <w:t>c)</w:t>
      </w:r>
      <w:r w:rsidRPr="006532BE">
        <w:rPr>
          <w:rFonts w:ascii="Arial" w:hAnsi="Arial" w:cs="Arial"/>
          <w:b/>
          <w:bCs/>
          <w:color w:val="000000"/>
          <w:spacing w:val="-2"/>
          <w:sz w:val="22"/>
          <w:szCs w:val="22"/>
        </w:rPr>
        <w:t xml:space="preserve"> a d)</w:t>
      </w:r>
    </w:p>
    <w:p w:rsidR="00242A0C" w:rsidRPr="006532BE" w:rsidRDefault="00242A0C" w:rsidP="00510F4D">
      <w:pPr>
        <w:autoSpaceDE w:val="0"/>
        <w:autoSpaceDN w:val="0"/>
        <w:adjustRightInd w:val="0"/>
        <w:spacing w:before="240" w:after="40"/>
        <w:jc w:val="both"/>
        <w:rPr>
          <w:rFonts w:ascii="Arial" w:hAnsi="Arial" w:cs="Arial"/>
          <w:b/>
          <w:color w:val="000000"/>
          <w:sz w:val="22"/>
          <w:szCs w:val="22"/>
        </w:rPr>
      </w:pPr>
      <w:r w:rsidRPr="006532BE">
        <w:rPr>
          <w:rFonts w:ascii="Arial" w:hAnsi="Arial" w:cs="Arial"/>
          <w:b/>
          <w:color w:val="000000"/>
          <w:sz w:val="22"/>
          <w:szCs w:val="22"/>
        </w:rPr>
        <w:t>I. Členění vstupních údajů</w:t>
      </w:r>
      <w:r w:rsidR="0047095F" w:rsidRPr="006532BE">
        <w:rPr>
          <w:rFonts w:ascii="Arial" w:hAnsi="Arial" w:cs="Arial"/>
          <w:b/>
          <w:color w:val="000000"/>
          <w:sz w:val="22"/>
          <w:szCs w:val="22"/>
        </w:rPr>
        <w:t xml:space="preserve"> podle </w:t>
      </w:r>
      <w:r w:rsidRPr="006532BE">
        <w:rPr>
          <w:rFonts w:ascii="Arial" w:hAnsi="Arial" w:cs="Arial"/>
          <w:b/>
          <w:color w:val="000000"/>
          <w:sz w:val="22"/>
          <w:szCs w:val="22"/>
        </w:rPr>
        <w:t xml:space="preserve">struktury broadbandového modelu </w:t>
      </w:r>
    </w:p>
    <w:p w:rsidR="00242A0C" w:rsidRPr="006532BE" w:rsidRDefault="00242A0C" w:rsidP="009F76E8">
      <w:pPr>
        <w:autoSpaceDE w:val="0"/>
        <w:autoSpaceDN w:val="0"/>
        <w:adjustRightInd w:val="0"/>
        <w:spacing w:before="120"/>
        <w:jc w:val="both"/>
        <w:rPr>
          <w:rFonts w:ascii="Arial" w:hAnsi="Arial" w:cs="Arial"/>
          <w:b/>
          <w:color w:val="000000"/>
          <w:sz w:val="22"/>
          <w:szCs w:val="22"/>
        </w:rPr>
      </w:pPr>
      <w:r w:rsidRPr="006532BE">
        <w:rPr>
          <w:rFonts w:ascii="Arial" w:hAnsi="Arial" w:cs="Arial"/>
          <w:b/>
          <w:color w:val="000000"/>
          <w:sz w:val="22"/>
          <w:szCs w:val="22"/>
        </w:rPr>
        <w:t>List – Seznamy a číselníky</w:t>
      </w:r>
    </w:p>
    <w:p w:rsidR="00242A0C" w:rsidRPr="006532BE" w:rsidRDefault="00242A0C" w:rsidP="008D6DDA">
      <w:pPr>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Sledované parametry (sloupce)</w:t>
      </w:r>
    </w:p>
    <w:p w:rsidR="00242A0C" w:rsidRPr="006532BE" w:rsidRDefault="00242A0C" w:rsidP="00510F4D">
      <w:pPr>
        <w:numPr>
          <w:ilvl w:val="0"/>
          <w:numId w:val="21"/>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Účetní životnost</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druhu daného aktiva (v letech)</w:t>
      </w:r>
    </w:p>
    <w:p w:rsidR="00242A0C" w:rsidRPr="006532BE" w:rsidRDefault="00242A0C" w:rsidP="00510F4D">
      <w:pPr>
        <w:numPr>
          <w:ilvl w:val="0"/>
          <w:numId w:val="21"/>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Cenový trend pořizovacích nákladů</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druhu aktiva (v %)</w:t>
      </w:r>
    </w:p>
    <w:p w:rsidR="00242A0C" w:rsidRPr="006532BE" w:rsidRDefault="00242A0C" w:rsidP="00510F4D">
      <w:pPr>
        <w:numPr>
          <w:ilvl w:val="0"/>
          <w:numId w:val="21"/>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Průměrný čas k vytvoření daného druhu aktiva (v rozpětí 0</w:t>
      </w:r>
      <w:r w:rsidR="00DD4F53" w:rsidRPr="006532BE">
        <w:rPr>
          <w:rFonts w:ascii="Arial" w:hAnsi="Arial" w:cs="Arial"/>
          <w:color w:val="000000"/>
          <w:sz w:val="22"/>
          <w:szCs w:val="22"/>
        </w:rPr>
        <w:t xml:space="preserve"> </w:t>
      </w:r>
      <w:r w:rsidRPr="006532BE">
        <w:rPr>
          <w:rFonts w:ascii="Arial" w:hAnsi="Arial" w:cs="Arial"/>
          <w:color w:val="000000"/>
          <w:sz w:val="22"/>
          <w:szCs w:val="22"/>
        </w:rPr>
        <w:t>–</w:t>
      </w:r>
      <w:r w:rsidR="00DD4F53" w:rsidRPr="006532BE">
        <w:rPr>
          <w:rFonts w:ascii="Arial" w:hAnsi="Arial" w:cs="Arial"/>
          <w:color w:val="000000"/>
          <w:sz w:val="22"/>
          <w:szCs w:val="22"/>
        </w:rPr>
        <w:t xml:space="preserve"> </w:t>
      </w:r>
      <w:r w:rsidRPr="006532BE">
        <w:rPr>
          <w:rFonts w:ascii="Arial" w:hAnsi="Arial" w:cs="Arial"/>
          <w:color w:val="000000"/>
          <w:sz w:val="22"/>
          <w:szCs w:val="22"/>
        </w:rPr>
        <w:t>10 let)</w:t>
      </w:r>
    </w:p>
    <w:p w:rsidR="00242A0C" w:rsidRPr="006532BE" w:rsidRDefault="00242A0C" w:rsidP="00510F4D">
      <w:pPr>
        <w:numPr>
          <w:ilvl w:val="0"/>
          <w:numId w:val="21"/>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Provozní náklady (podíl z pořizovacích nákladů</w:t>
      </w:r>
      <w:r w:rsidR="0047095F" w:rsidRPr="006532BE">
        <w:rPr>
          <w:rFonts w:ascii="Arial" w:hAnsi="Arial" w:cs="Arial"/>
          <w:color w:val="000000"/>
          <w:sz w:val="22"/>
          <w:szCs w:val="22"/>
        </w:rPr>
        <w:t xml:space="preserve"> v </w:t>
      </w:r>
      <w:r w:rsidRPr="006532BE">
        <w:rPr>
          <w:rFonts w:ascii="Arial" w:hAnsi="Arial" w:cs="Arial"/>
          <w:color w:val="000000"/>
          <w:sz w:val="22"/>
          <w:szCs w:val="22"/>
        </w:rPr>
        <w:t>%)</w:t>
      </w:r>
    </w:p>
    <w:p w:rsidR="00242A0C" w:rsidRPr="006532BE" w:rsidRDefault="00242A0C" w:rsidP="00510F4D">
      <w:pPr>
        <w:numPr>
          <w:ilvl w:val="0"/>
          <w:numId w:val="21"/>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Cenový trend provozních nákladů (v %)</w:t>
      </w:r>
    </w:p>
    <w:p w:rsidR="00242A0C" w:rsidRPr="006532BE" w:rsidRDefault="00242A0C" w:rsidP="00DF2D43">
      <w:p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vše ve struktuře</w:t>
      </w:r>
      <w:r w:rsidR="0047095F" w:rsidRPr="006532BE">
        <w:rPr>
          <w:rFonts w:ascii="Arial" w:hAnsi="Arial" w:cs="Arial"/>
          <w:color w:val="000000"/>
          <w:sz w:val="22"/>
          <w:szCs w:val="22"/>
        </w:rPr>
        <w:t xml:space="preserve"> na </w:t>
      </w:r>
      <w:r w:rsidRPr="006532BE">
        <w:rPr>
          <w:rFonts w:ascii="Arial" w:hAnsi="Arial" w:cs="Arial"/>
          <w:color w:val="000000"/>
          <w:sz w:val="22"/>
          <w:szCs w:val="22"/>
        </w:rPr>
        <w:t>jednotlivá aktiva (řádky):</w:t>
      </w:r>
    </w:p>
    <w:p w:rsidR="00242A0C" w:rsidRPr="006532BE" w:rsidRDefault="00242A0C" w:rsidP="006840DB">
      <w:pPr>
        <w:numPr>
          <w:ilvl w:val="1"/>
          <w:numId w:val="20"/>
        </w:numPr>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hlavní rozvaděč (HR)</w:t>
      </w:r>
    </w:p>
    <w:p w:rsidR="00242A0C" w:rsidRPr="006532BE" w:rsidRDefault="00242A0C" w:rsidP="006840DB">
      <w:pPr>
        <w:numPr>
          <w:ilvl w:val="1"/>
          <w:numId w:val="20"/>
        </w:numPr>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kabel – koncový rozvaděč</w:t>
      </w:r>
    </w:p>
    <w:p w:rsidR="00242A0C" w:rsidRPr="006532BE" w:rsidRDefault="00242A0C" w:rsidP="006840DB">
      <w:pPr>
        <w:numPr>
          <w:ilvl w:val="1"/>
          <w:numId w:val="20"/>
        </w:numPr>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kabel – síťový rozvaděč</w:t>
      </w:r>
    </w:p>
    <w:p w:rsidR="00242A0C" w:rsidRPr="006532BE" w:rsidRDefault="00242A0C" w:rsidP="006840DB">
      <w:pPr>
        <w:numPr>
          <w:ilvl w:val="1"/>
          <w:numId w:val="20"/>
        </w:numPr>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kabel – traťový rozvaděč</w:t>
      </w:r>
    </w:p>
    <w:p w:rsidR="00242A0C" w:rsidRPr="006532BE" w:rsidRDefault="00242A0C" w:rsidP="006840DB">
      <w:pPr>
        <w:numPr>
          <w:ilvl w:val="1"/>
          <w:numId w:val="20"/>
        </w:numPr>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kabel – účastnický rozvaděč</w:t>
      </w:r>
    </w:p>
    <w:p w:rsidR="00242A0C" w:rsidRPr="006532BE" w:rsidRDefault="00242A0C" w:rsidP="006840DB">
      <w:pPr>
        <w:numPr>
          <w:ilvl w:val="1"/>
          <w:numId w:val="20"/>
        </w:numPr>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kabel – POPS</w:t>
      </w:r>
    </w:p>
    <w:p w:rsidR="00242A0C" w:rsidRPr="006532BE" w:rsidRDefault="00242A0C" w:rsidP="006840DB">
      <w:pPr>
        <w:numPr>
          <w:ilvl w:val="1"/>
          <w:numId w:val="20"/>
        </w:numPr>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kabel – SOPS</w:t>
      </w:r>
    </w:p>
    <w:p w:rsidR="00242A0C" w:rsidRPr="006532BE" w:rsidRDefault="00242A0C" w:rsidP="006840DB">
      <w:pPr>
        <w:numPr>
          <w:ilvl w:val="1"/>
          <w:numId w:val="20"/>
        </w:numPr>
        <w:autoSpaceDE w:val="0"/>
        <w:autoSpaceDN w:val="0"/>
        <w:adjustRightInd w:val="0"/>
        <w:spacing w:before="60"/>
        <w:jc w:val="both"/>
        <w:rPr>
          <w:rFonts w:ascii="Arial" w:hAnsi="Arial" w:cs="Arial"/>
          <w:color w:val="000000"/>
          <w:sz w:val="22"/>
          <w:szCs w:val="22"/>
        </w:rPr>
      </w:pP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 koncový rozvaděč</w:t>
      </w:r>
    </w:p>
    <w:p w:rsidR="00242A0C" w:rsidRPr="006532BE" w:rsidRDefault="00242A0C" w:rsidP="006840DB">
      <w:pPr>
        <w:numPr>
          <w:ilvl w:val="1"/>
          <w:numId w:val="20"/>
        </w:numPr>
        <w:autoSpaceDE w:val="0"/>
        <w:autoSpaceDN w:val="0"/>
        <w:adjustRightInd w:val="0"/>
        <w:spacing w:before="60"/>
        <w:jc w:val="both"/>
        <w:rPr>
          <w:rFonts w:ascii="Arial" w:hAnsi="Arial" w:cs="Arial"/>
          <w:color w:val="000000"/>
          <w:sz w:val="22"/>
          <w:szCs w:val="22"/>
        </w:rPr>
      </w:pP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 síťový rozvaděč</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 traťový rozvaděč</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 účastnický rozvaděč</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 POPS</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 SOPS</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koncový rozvaděč (KR)</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síťový rozvaděč (SR)</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proofErr w:type="spellStart"/>
      <w:r w:rsidRPr="006532BE">
        <w:rPr>
          <w:rFonts w:ascii="Arial" w:hAnsi="Arial" w:cs="Arial"/>
          <w:color w:val="000000"/>
          <w:sz w:val="22"/>
          <w:szCs w:val="22"/>
        </w:rPr>
        <w:t>splitter</w:t>
      </w:r>
      <w:proofErr w:type="spellEnd"/>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spojky – koncový rozvaděč</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spojky – síťový rozvaděč</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spojky – traťový rozvaděč</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spojky – účastnický rozvaděč</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spojky – POPS</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spojky – SOPS</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traťový rozvaděč (TR)</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účastnický rozvaděč (ÚR)</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výkop – koncový rozvaděč</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výkop – síťový rozvaděč</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výkop – traťový rozvaděč</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výkop – účastnický rozvaděč</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výkop – POPS</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výkop – SOPS</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zařízení pro </w:t>
      </w:r>
      <w:proofErr w:type="spellStart"/>
      <w:r w:rsidRPr="006532BE">
        <w:rPr>
          <w:rFonts w:ascii="Arial" w:hAnsi="Arial" w:cs="Arial"/>
          <w:color w:val="000000"/>
          <w:sz w:val="22"/>
          <w:szCs w:val="22"/>
        </w:rPr>
        <w:t>spectrum</w:t>
      </w:r>
      <w:proofErr w:type="spellEnd"/>
      <w:r w:rsidRPr="006532BE">
        <w:rPr>
          <w:rFonts w:ascii="Arial" w:hAnsi="Arial" w:cs="Arial"/>
          <w:color w:val="000000"/>
          <w:sz w:val="22"/>
          <w:szCs w:val="22"/>
        </w:rPr>
        <w:t xml:space="preserve"> management</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DSLAM – přístupový</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lastRenderedPageBreak/>
        <w:t>GW DSLAM</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kabel – optika PU–AG</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kabel – optika AG–TU</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kabel – optika TU-TU</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 optika PU-AG</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 optika AG-TU</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proofErr w:type="spellStart"/>
      <w:r w:rsidRPr="006532BE">
        <w:rPr>
          <w:rFonts w:ascii="Arial" w:hAnsi="Arial" w:cs="Arial"/>
          <w:color w:val="000000"/>
          <w:sz w:val="22"/>
          <w:szCs w:val="22"/>
        </w:rPr>
        <w:t>kabelovod</w:t>
      </w:r>
      <w:proofErr w:type="spellEnd"/>
      <w:r w:rsidRPr="006532BE">
        <w:rPr>
          <w:rFonts w:ascii="Arial" w:hAnsi="Arial" w:cs="Arial"/>
          <w:color w:val="000000"/>
          <w:sz w:val="22"/>
          <w:szCs w:val="22"/>
        </w:rPr>
        <w:t xml:space="preserve"> – optika TU-TU</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spojky – optika PU-AG</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spojky – optika AG-TU</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spojky – optika TU-TU</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výkop – optika PU-AG</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výkop – optika AG-TU</w:t>
      </w:r>
    </w:p>
    <w:p w:rsidR="00242A0C" w:rsidRPr="006532BE" w:rsidRDefault="00242A0C" w:rsidP="00510F4D">
      <w:pPr>
        <w:numPr>
          <w:ilvl w:val="1"/>
          <w:numId w:val="20"/>
        </w:numPr>
        <w:tabs>
          <w:tab w:val="left" w:pos="993"/>
        </w:tabs>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výkop – optika TU-TU</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ethernet přepínače</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BRAS</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BRAS–PE</w:t>
      </w:r>
    </w:p>
    <w:p w:rsidR="00242A0C" w:rsidRPr="006532BE" w:rsidRDefault="00242A0C" w:rsidP="006840DB">
      <w:pPr>
        <w:numPr>
          <w:ilvl w:val="1"/>
          <w:numId w:val="20"/>
        </w:numPr>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X–</w:t>
      </w:r>
      <w:proofErr w:type="spellStart"/>
      <w:r w:rsidRPr="006532BE">
        <w:rPr>
          <w:rFonts w:ascii="Arial" w:hAnsi="Arial" w:cs="Arial"/>
          <w:color w:val="000000"/>
          <w:sz w:val="22"/>
          <w:szCs w:val="22"/>
        </w:rPr>
        <w:t>Connect</w:t>
      </w:r>
      <w:proofErr w:type="spellEnd"/>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IP směrovače</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SDF</w:t>
      </w:r>
    </w:p>
    <w:p w:rsidR="00242A0C" w:rsidRPr="006532BE" w:rsidRDefault="00242A0C" w:rsidP="006840DB">
      <w:pPr>
        <w:numPr>
          <w:ilvl w:val="1"/>
          <w:numId w:val="20"/>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ODF</w:t>
      </w:r>
    </w:p>
    <w:p w:rsidR="00242A0C" w:rsidRPr="006532BE" w:rsidRDefault="00242A0C" w:rsidP="006532BE">
      <w:pPr>
        <w:autoSpaceDE w:val="0"/>
        <w:autoSpaceDN w:val="0"/>
        <w:adjustRightInd w:val="0"/>
        <w:spacing w:before="240" w:after="40"/>
        <w:jc w:val="both"/>
        <w:rPr>
          <w:rFonts w:ascii="Arial" w:hAnsi="Arial" w:cs="Arial"/>
          <w:b/>
          <w:color w:val="000000"/>
          <w:sz w:val="22"/>
          <w:szCs w:val="22"/>
        </w:rPr>
      </w:pPr>
      <w:r w:rsidRPr="006532BE">
        <w:rPr>
          <w:rFonts w:ascii="Arial" w:hAnsi="Arial" w:cs="Arial"/>
          <w:b/>
          <w:color w:val="000000"/>
          <w:sz w:val="22"/>
          <w:szCs w:val="22"/>
        </w:rPr>
        <w:t>List – Vstupy provozní</w:t>
      </w:r>
    </w:p>
    <w:p w:rsidR="00242A0C" w:rsidRPr="006532BE" w:rsidRDefault="00242A0C" w:rsidP="008D6DDA">
      <w:pPr>
        <w:numPr>
          <w:ilvl w:val="0"/>
          <w:numId w:val="12"/>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Počet poskytnutí služby zpřístupnění</w:t>
      </w:r>
      <w:r w:rsidR="0047095F" w:rsidRPr="006532BE">
        <w:rPr>
          <w:rFonts w:ascii="Arial" w:hAnsi="Arial" w:cs="Arial"/>
          <w:color w:val="000000"/>
          <w:sz w:val="22"/>
          <w:szCs w:val="22"/>
        </w:rPr>
        <w:t xml:space="preserve"> v </w:t>
      </w:r>
      <w:r w:rsidRPr="006532BE">
        <w:rPr>
          <w:rFonts w:ascii="Arial" w:hAnsi="Arial" w:cs="Arial"/>
          <w:color w:val="000000"/>
          <w:sz w:val="22"/>
          <w:szCs w:val="22"/>
        </w:rPr>
        <w:t>jednotlivých letech</w:t>
      </w:r>
    </w:p>
    <w:p w:rsidR="00242A0C" w:rsidRPr="006532BE" w:rsidRDefault="00242A0C" w:rsidP="001F4246">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Zřízení služby pro OLO</w:t>
      </w:r>
      <w:r w:rsidRPr="006532BE">
        <w:rPr>
          <w:rFonts w:ascii="Arial" w:hAnsi="Arial" w:cs="Arial"/>
          <w:color w:val="000000"/>
          <w:sz w:val="22"/>
          <w:szCs w:val="22"/>
        </w:rPr>
        <w:tab/>
      </w:r>
    </w:p>
    <w:p w:rsidR="00242A0C" w:rsidRPr="006532BE" w:rsidRDefault="00242A0C" w:rsidP="001F4246">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Změna služby pro OLO</w:t>
      </w:r>
      <w:r w:rsidRPr="006532BE">
        <w:rPr>
          <w:rFonts w:ascii="Arial" w:hAnsi="Arial" w:cs="Arial"/>
          <w:color w:val="000000"/>
          <w:sz w:val="22"/>
          <w:szCs w:val="22"/>
        </w:rPr>
        <w:tab/>
      </w:r>
    </w:p>
    <w:p w:rsidR="00242A0C" w:rsidRPr="006532BE" w:rsidRDefault="00242A0C" w:rsidP="001F4246">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Ukončení služby pro OLO</w:t>
      </w:r>
    </w:p>
    <w:p w:rsidR="00242A0C" w:rsidRPr="006532BE" w:rsidRDefault="00242A0C" w:rsidP="00DF2D43">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Počet OLO – stav ke konci roku</w:t>
      </w:r>
      <w:r w:rsidRPr="006532BE">
        <w:rPr>
          <w:rFonts w:ascii="Arial" w:hAnsi="Arial" w:cs="Arial"/>
          <w:color w:val="000000"/>
          <w:sz w:val="22"/>
          <w:szCs w:val="22"/>
        </w:rPr>
        <w:tab/>
      </w:r>
    </w:p>
    <w:p w:rsidR="00242A0C" w:rsidRPr="006532BE" w:rsidRDefault="00242A0C" w:rsidP="00DF2D43">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PPV PROVIDE a MIGRACE z IE/CB</w:t>
      </w:r>
      <w:r w:rsidR="0047095F" w:rsidRPr="006532BE">
        <w:rPr>
          <w:rFonts w:ascii="Arial" w:hAnsi="Arial" w:cs="Arial"/>
          <w:color w:val="000000"/>
          <w:sz w:val="22"/>
          <w:szCs w:val="22"/>
        </w:rPr>
        <w:t xml:space="preserve"> na </w:t>
      </w:r>
      <w:r w:rsidRPr="006532BE">
        <w:rPr>
          <w:rFonts w:ascii="Arial" w:hAnsi="Arial" w:cs="Arial"/>
          <w:color w:val="000000"/>
          <w:sz w:val="22"/>
          <w:szCs w:val="22"/>
        </w:rPr>
        <w:t>PPV</w:t>
      </w:r>
    </w:p>
    <w:p w:rsidR="00242A0C" w:rsidRPr="006532BE" w:rsidRDefault="00242A0C" w:rsidP="00DF2D43">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bez rekonfigurace</w:t>
      </w:r>
    </w:p>
    <w:p w:rsidR="00242A0C" w:rsidRPr="006532BE" w:rsidRDefault="00242A0C" w:rsidP="00DF2D43">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s rekonfigurací</w:t>
      </w:r>
    </w:p>
    <w:p w:rsidR="00242A0C" w:rsidRPr="006532BE" w:rsidRDefault="00242A0C" w:rsidP="00DF2D43">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bez rekonfigurace s MIGRACÍ</w:t>
      </w:r>
    </w:p>
    <w:p w:rsidR="00242A0C" w:rsidRPr="006532BE" w:rsidRDefault="00242A0C" w:rsidP="00DF2D43">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zřízení LLU</w:t>
      </w:r>
      <w:r w:rsidR="0047095F" w:rsidRPr="006532BE">
        <w:rPr>
          <w:rFonts w:ascii="Arial" w:hAnsi="Arial" w:cs="Arial"/>
          <w:color w:val="000000"/>
          <w:sz w:val="22"/>
          <w:szCs w:val="22"/>
        </w:rPr>
        <w:t xml:space="preserve"> na </w:t>
      </w:r>
      <w:r w:rsidRPr="006532BE">
        <w:rPr>
          <w:rFonts w:ascii="Arial" w:hAnsi="Arial" w:cs="Arial"/>
          <w:color w:val="000000"/>
          <w:sz w:val="22"/>
          <w:szCs w:val="22"/>
        </w:rPr>
        <w:t>neaktivním vedení</w:t>
      </w:r>
    </w:p>
    <w:p w:rsidR="00242A0C" w:rsidRPr="006532BE" w:rsidRDefault="00242A0C" w:rsidP="00DF2D43">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Realizace objednávky zřízení u PPV-B+</w:t>
      </w:r>
    </w:p>
    <w:p w:rsidR="00242A0C" w:rsidRPr="006532BE" w:rsidRDefault="00242A0C" w:rsidP="00DF2D43">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vrácení vedení PPV</w:t>
      </w:r>
    </w:p>
    <w:p w:rsidR="00242A0C" w:rsidRPr="006532BE" w:rsidRDefault="00242A0C" w:rsidP="00DF2D43">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změny třídy služby PPV CHANGE (</w:t>
      </w:r>
      <w:proofErr w:type="spellStart"/>
      <w:r w:rsidRPr="006532BE">
        <w:rPr>
          <w:rFonts w:ascii="Arial" w:hAnsi="Arial" w:cs="Arial"/>
          <w:color w:val="000000"/>
          <w:sz w:val="22"/>
          <w:szCs w:val="22"/>
        </w:rPr>
        <w:t>CoS</w:t>
      </w:r>
      <w:proofErr w:type="spellEnd"/>
      <w:r w:rsidRPr="006532BE">
        <w:rPr>
          <w:rFonts w:ascii="Arial" w:hAnsi="Arial" w:cs="Arial"/>
          <w:color w:val="000000"/>
          <w:sz w:val="22"/>
          <w:szCs w:val="22"/>
        </w:rPr>
        <w:t>)</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bez změny pozice</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se změnou pozice</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w:t>
      </w:r>
    </w:p>
    <w:p w:rsidR="00242A0C" w:rsidRPr="006532BE" w:rsidRDefault="00242A0C" w:rsidP="00DF2D43">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PPV TRANSFER</w:t>
      </w:r>
      <w:r w:rsidR="0047095F" w:rsidRPr="006532BE">
        <w:rPr>
          <w:rFonts w:ascii="Arial" w:hAnsi="Arial" w:cs="Arial"/>
          <w:color w:val="000000"/>
          <w:sz w:val="22"/>
          <w:szCs w:val="22"/>
        </w:rPr>
        <w:t xml:space="preserve"> v </w:t>
      </w:r>
      <w:r w:rsidRPr="006532BE">
        <w:rPr>
          <w:rFonts w:ascii="Arial" w:hAnsi="Arial" w:cs="Arial"/>
          <w:color w:val="000000"/>
          <w:sz w:val="22"/>
          <w:szCs w:val="22"/>
        </w:rPr>
        <w:t>rámci PPV</w:t>
      </w:r>
    </w:p>
    <w:p w:rsidR="00242A0C" w:rsidRPr="006532BE" w:rsidRDefault="00242A0C" w:rsidP="00DF2D43">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Odmítnutí objednávky PPV</w:t>
      </w:r>
    </w:p>
    <w:p w:rsidR="00242A0C" w:rsidRPr="006532BE" w:rsidRDefault="00242A0C" w:rsidP="00DF2D43">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Zrušení objednávky PPV</w:t>
      </w:r>
    </w:p>
    <w:p w:rsidR="00242A0C" w:rsidRPr="006532BE" w:rsidRDefault="00242A0C" w:rsidP="00DF2D43">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Storno objednávky PPV</w:t>
      </w:r>
    </w:p>
    <w:p w:rsidR="00242A0C" w:rsidRPr="006532BE" w:rsidRDefault="00242A0C" w:rsidP="00DF2D43">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ABORT objednávky PPV</w:t>
      </w:r>
    </w:p>
    <w:p w:rsidR="00242A0C" w:rsidRPr="006532BE" w:rsidRDefault="00242A0C" w:rsidP="00DF2D43">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SPV PROVIDE a MIGRACE z IE/CB</w:t>
      </w:r>
      <w:r w:rsidR="0047095F" w:rsidRPr="006532BE">
        <w:rPr>
          <w:rFonts w:ascii="Arial" w:hAnsi="Arial" w:cs="Arial"/>
          <w:color w:val="000000"/>
          <w:sz w:val="22"/>
          <w:szCs w:val="22"/>
        </w:rPr>
        <w:t xml:space="preserve"> na </w:t>
      </w:r>
      <w:r w:rsidRPr="006532BE">
        <w:rPr>
          <w:rFonts w:ascii="Arial" w:hAnsi="Arial" w:cs="Arial"/>
          <w:color w:val="000000"/>
          <w:sz w:val="22"/>
          <w:szCs w:val="22"/>
        </w:rPr>
        <w:t>SPV</w:t>
      </w:r>
    </w:p>
    <w:p w:rsidR="00242A0C" w:rsidRPr="006532BE" w:rsidRDefault="00242A0C" w:rsidP="00DF2D43">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bez rekonfigurace</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s rekonfigurací</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bez rekonfigurace s MIGRACÍ</w:t>
      </w:r>
    </w:p>
    <w:p w:rsidR="00242A0C" w:rsidRPr="006532BE" w:rsidRDefault="00242A0C" w:rsidP="00DF2D43">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lastRenderedPageBreak/>
        <w:t>Objednávka vrácení vedení SPV</w:t>
      </w:r>
    </w:p>
    <w:p w:rsidR="00242A0C" w:rsidRPr="006532BE" w:rsidRDefault="00242A0C" w:rsidP="00DF2D43">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SPV CONVERT</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bez změny COS a pozice</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se změnou COS a pozice</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w:t>
      </w:r>
      <w:r w:rsidR="0047095F" w:rsidRPr="006532BE">
        <w:rPr>
          <w:rFonts w:ascii="Arial" w:hAnsi="Arial" w:cs="Arial"/>
          <w:color w:val="000000"/>
          <w:sz w:val="22"/>
          <w:szCs w:val="22"/>
        </w:rPr>
        <w:t xml:space="preserve"> na </w:t>
      </w:r>
      <w:r w:rsidRPr="006532BE">
        <w:rPr>
          <w:rFonts w:ascii="Arial" w:hAnsi="Arial" w:cs="Arial"/>
          <w:color w:val="000000"/>
          <w:sz w:val="22"/>
          <w:szCs w:val="22"/>
        </w:rPr>
        <w:t xml:space="preserve">základě </w:t>
      </w:r>
      <w:proofErr w:type="spellStart"/>
      <w:r w:rsidRPr="006532BE">
        <w:rPr>
          <w:rFonts w:ascii="Arial" w:hAnsi="Arial" w:cs="Arial"/>
          <w:color w:val="000000"/>
          <w:sz w:val="22"/>
          <w:szCs w:val="22"/>
        </w:rPr>
        <w:t>Convert</w:t>
      </w:r>
      <w:proofErr w:type="spellEnd"/>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SPV TRANSFER</w:t>
      </w:r>
      <w:r w:rsidR="0047095F" w:rsidRPr="006532BE">
        <w:rPr>
          <w:rFonts w:ascii="Arial" w:hAnsi="Arial" w:cs="Arial"/>
          <w:color w:val="000000"/>
          <w:sz w:val="22"/>
          <w:szCs w:val="22"/>
        </w:rPr>
        <w:t xml:space="preserve"> v </w:t>
      </w:r>
      <w:r w:rsidRPr="006532BE">
        <w:rPr>
          <w:rFonts w:ascii="Arial" w:hAnsi="Arial" w:cs="Arial"/>
          <w:color w:val="000000"/>
          <w:sz w:val="22"/>
          <w:szCs w:val="22"/>
        </w:rPr>
        <w:t>rámci SPV</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Odmítnutí objednávky SPV</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Zrušení objednávky SPV</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Storno objednávky SPV</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ABORT objednávky SPV</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PPÚ PROVIDE</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bez rekonfigurace</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s rekonfigurací</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bez rekonfigurace s MIGRACÍ</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vrácení vedení PPÚ</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změny třídy služby PPÚ CHANGE (C</w:t>
      </w:r>
      <w:r w:rsidR="00F17CD6" w:rsidRPr="006532BE">
        <w:rPr>
          <w:rFonts w:ascii="Arial" w:hAnsi="Arial" w:cs="Arial"/>
          <w:color w:val="000000"/>
          <w:sz w:val="22"/>
          <w:szCs w:val="22"/>
        </w:rPr>
        <w:t>O</w:t>
      </w:r>
      <w:r w:rsidRPr="006532BE">
        <w:rPr>
          <w:rFonts w:ascii="Arial" w:hAnsi="Arial" w:cs="Arial"/>
          <w:color w:val="000000"/>
          <w:sz w:val="22"/>
          <w:szCs w:val="22"/>
        </w:rPr>
        <w:t>S)</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bez změny pozice</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se změnou pozice</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PPÚ TRANSFER</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Odmítnutí objednávky PPÚ</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Zrušení objednávky PPÚ</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Storno objednávky PPÚ</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SPÚ PROVIDE</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bez rekonfigurace</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s rekonfigurací</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bez rekonfigurace s MIGRACÍ</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vrácení vedení SPÚ</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SPÚ CONVERT</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bez změny COS a pozice</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se změnou COS a pozice</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Objednávka SPÚ TRANSFER</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Odmítnutí objednávky SPÚ</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Zrušení objednávky SPÚ</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Storno objednávky SPÚ</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Činnosti</w:t>
      </w:r>
      <w:r w:rsidR="0047095F" w:rsidRPr="006532BE">
        <w:rPr>
          <w:rFonts w:ascii="Arial" w:hAnsi="Arial" w:cs="Arial"/>
          <w:color w:val="000000"/>
          <w:sz w:val="22"/>
          <w:szCs w:val="22"/>
        </w:rPr>
        <w:t xml:space="preserve"> v </w:t>
      </w:r>
      <w:r w:rsidRPr="006532BE">
        <w:rPr>
          <w:rFonts w:ascii="Arial" w:hAnsi="Arial" w:cs="Arial"/>
          <w:color w:val="000000"/>
          <w:sz w:val="22"/>
          <w:szCs w:val="22"/>
        </w:rPr>
        <w:t>důsledku nesprávného hlášení poruchy</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u PPV a PPÚ</w:t>
      </w:r>
    </w:p>
    <w:p w:rsidR="00242A0C" w:rsidRPr="006532BE" w:rsidRDefault="00242A0C" w:rsidP="0039664F">
      <w:pPr>
        <w:numPr>
          <w:ilvl w:val="2"/>
          <w:numId w:val="13"/>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z toho u SPV a SPÚ</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MDF QUERY</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LQI</w:t>
      </w:r>
    </w:p>
    <w:p w:rsidR="00242A0C" w:rsidRPr="006532BE" w:rsidRDefault="00242A0C" w:rsidP="00CF06A2">
      <w:pPr>
        <w:numPr>
          <w:ilvl w:val="1"/>
          <w:numId w:val="13"/>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LQM</w:t>
      </w:r>
    </w:p>
    <w:p w:rsidR="00242A0C" w:rsidRPr="006532BE" w:rsidRDefault="00242A0C" w:rsidP="00242A0C">
      <w:pPr>
        <w:numPr>
          <w:ilvl w:val="0"/>
          <w:numId w:val="12"/>
        </w:num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Údaje o kapacitě zařízení</w:t>
      </w:r>
      <w:r w:rsidR="0047095F" w:rsidRPr="006532BE">
        <w:rPr>
          <w:rFonts w:ascii="Arial" w:hAnsi="Arial" w:cs="Arial"/>
          <w:color w:val="000000"/>
          <w:sz w:val="22"/>
          <w:szCs w:val="22"/>
        </w:rPr>
        <w:t xml:space="preserve"> v </w:t>
      </w:r>
      <w:r w:rsidRPr="006532BE">
        <w:rPr>
          <w:rFonts w:ascii="Arial" w:hAnsi="Arial" w:cs="Arial"/>
          <w:color w:val="000000"/>
          <w:sz w:val="22"/>
          <w:szCs w:val="22"/>
        </w:rPr>
        <w:t>přístupové síti</w:t>
      </w:r>
    </w:p>
    <w:p w:rsidR="00242A0C" w:rsidRPr="006532BE" w:rsidRDefault="00242A0C" w:rsidP="00CF06A2">
      <w:pPr>
        <w:keepNext/>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Celková kapacita párů (celková možná kapacita párů</w:t>
      </w:r>
      <w:r w:rsidR="0047095F" w:rsidRPr="006532BE">
        <w:rPr>
          <w:rFonts w:ascii="Arial" w:hAnsi="Arial" w:cs="Arial"/>
          <w:color w:val="000000"/>
          <w:sz w:val="22"/>
          <w:szCs w:val="22"/>
        </w:rPr>
        <w:t xml:space="preserve"> na </w:t>
      </w:r>
      <w:r w:rsidRPr="006532BE">
        <w:rPr>
          <w:rFonts w:ascii="Arial" w:hAnsi="Arial" w:cs="Arial"/>
          <w:color w:val="000000"/>
          <w:sz w:val="22"/>
          <w:szCs w:val="22"/>
        </w:rPr>
        <w:t>hlavních rozvaděčích, tj. celková kapacita za ČR a pouze páry</w:t>
      </w:r>
      <w:r w:rsidR="0047095F" w:rsidRPr="006532BE">
        <w:rPr>
          <w:rFonts w:ascii="Arial" w:hAnsi="Arial" w:cs="Arial"/>
          <w:color w:val="000000"/>
          <w:sz w:val="22"/>
          <w:szCs w:val="22"/>
        </w:rPr>
        <w:t xml:space="preserve"> na </w:t>
      </w:r>
      <w:r w:rsidRPr="006532BE">
        <w:rPr>
          <w:rFonts w:ascii="Arial" w:hAnsi="Arial" w:cs="Arial"/>
          <w:color w:val="000000"/>
          <w:sz w:val="22"/>
          <w:szCs w:val="22"/>
        </w:rPr>
        <w:t xml:space="preserve">hlavních rozvaděčích, nikoliv </w:t>
      </w:r>
      <w:r w:rsidRPr="006532BE">
        <w:rPr>
          <w:rFonts w:ascii="Arial" w:hAnsi="Arial" w:cs="Arial"/>
          <w:color w:val="000000"/>
          <w:sz w:val="22"/>
          <w:szCs w:val="22"/>
        </w:rPr>
        <w:lastRenderedPageBreak/>
        <w:t>prodloužení k podřízeným rozvaděčům). Hodnoty jsou navázány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dimenzační</w:t>
      </w:r>
      <w:proofErr w:type="spellEnd"/>
      <w:r w:rsidRPr="006532BE">
        <w:rPr>
          <w:rFonts w:ascii="Arial" w:hAnsi="Arial" w:cs="Arial"/>
          <w:color w:val="000000"/>
          <w:sz w:val="22"/>
          <w:szCs w:val="22"/>
        </w:rPr>
        <w:t xml:space="preserve"> vstupy.</w:t>
      </w:r>
    </w:p>
    <w:p w:rsidR="00242A0C" w:rsidRPr="006532BE" w:rsidRDefault="00242A0C" w:rsidP="00CF06A2">
      <w:pPr>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Kapacita aktivních párů (páry, které jsou obsazeny určitým typem (jakýmkoliv) přenosu dat z párů obsažených (reportovaných)</w:t>
      </w:r>
      <w:r w:rsidR="0047095F" w:rsidRPr="006532BE">
        <w:rPr>
          <w:rFonts w:ascii="Arial" w:hAnsi="Arial" w:cs="Arial"/>
          <w:color w:val="000000"/>
          <w:sz w:val="22"/>
          <w:szCs w:val="22"/>
        </w:rPr>
        <w:t xml:space="preserve"> v </w:t>
      </w:r>
      <w:r w:rsidRPr="006532BE">
        <w:rPr>
          <w:rFonts w:ascii="Arial" w:hAnsi="Arial" w:cs="Arial"/>
          <w:color w:val="000000"/>
          <w:sz w:val="22"/>
          <w:szCs w:val="22"/>
        </w:rPr>
        <w:t>předchozím bodě)</w:t>
      </w:r>
    </w:p>
    <w:p w:rsidR="00242A0C" w:rsidRPr="006532BE" w:rsidRDefault="00242A0C" w:rsidP="00CF06A2">
      <w:pPr>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FTTH (celková možná kapacita párů optického vedení</w:t>
      </w:r>
      <w:r w:rsidR="0047095F" w:rsidRPr="006532BE">
        <w:rPr>
          <w:rFonts w:ascii="Arial" w:hAnsi="Arial" w:cs="Arial"/>
          <w:color w:val="000000"/>
          <w:sz w:val="22"/>
          <w:szCs w:val="22"/>
        </w:rPr>
        <w:t xml:space="preserve"> v </w:t>
      </w:r>
      <w:r w:rsidRPr="006532BE">
        <w:rPr>
          <w:rFonts w:ascii="Arial" w:hAnsi="Arial" w:cs="Arial"/>
          <w:color w:val="000000"/>
          <w:sz w:val="22"/>
          <w:szCs w:val="22"/>
        </w:rPr>
        <w:t>přístupové síti)</w:t>
      </w:r>
    </w:p>
    <w:p w:rsidR="00242A0C" w:rsidRPr="006532BE" w:rsidRDefault="00242A0C" w:rsidP="00CF06A2">
      <w:pPr>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Maximální kapacita párů (celková maximální kapacita párů</w:t>
      </w:r>
      <w:r w:rsidR="0047095F" w:rsidRPr="006532BE">
        <w:rPr>
          <w:rFonts w:ascii="Arial" w:hAnsi="Arial" w:cs="Arial"/>
          <w:color w:val="000000"/>
          <w:sz w:val="22"/>
          <w:szCs w:val="22"/>
        </w:rPr>
        <w:t xml:space="preserve"> na </w:t>
      </w:r>
      <w:r w:rsidRPr="006532BE">
        <w:rPr>
          <w:rFonts w:ascii="Arial" w:hAnsi="Arial" w:cs="Arial"/>
          <w:color w:val="000000"/>
          <w:sz w:val="22"/>
          <w:szCs w:val="22"/>
        </w:rPr>
        <w:t>hlavních rozvaděčích, kde by se dala zřídit služba, i když</w:t>
      </w:r>
      <w:r w:rsidR="0047095F" w:rsidRPr="006532BE">
        <w:rPr>
          <w:rFonts w:ascii="Arial" w:hAnsi="Arial" w:cs="Arial"/>
          <w:color w:val="000000"/>
          <w:sz w:val="22"/>
          <w:szCs w:val="22"/>
        </w:rPr>
        <w:t xml:space="preserve"> v </w:t>
      </w:r>
      <w:r w:rsidRPr="006532BE">
        <w:rPr>
          <w:rFonts w:ascii="Arial" w:hAnsi="Arial" w:cs="Arial"/>
          <w:color w:val="000000"/>
          <w:sz w:val="22"/>
          <w:szCs w:val="22"/>
        </w:rPr>
        <w:t>současnosti nemusí být připojena k účastníkovi. Jedná se o páry, které nejsou</w:t>
      </w:r>
      <w:r w:rsidR="0047095F" w:rsidRPr="006532BE">
        <w:rPr>
          <w:rFonts w:ascii="Arial" w:hAnsi="Arial" w:cs="Arial"/>
          <w:color w:val="000000"/>
          <w:sz w:val="22"/>
          <w:szCs w:val="22"/>
        </w:rPr>
        <w:t xml:space="preserve"> v </w:t>
      </w:r>
      <w:r w:rsidRPr="006532BE">
        <w:rPr>
          <w:rFonts w:ascii="Arial" w:hAnsi="Arial" w:cs="Arial"/>
          <w:color w:val="000000"/>
          <w:sz w:val="22"/>
          <w:szCs w:val="22"/>
        </w:rPr>
        <w:t>mimoprovozním stavu, tzn. je zde možno zřídit službu anebo zde již služba je provozována.)</w:t>
      </w:r>
    </w:p>
    <w:p w:rsidR="00242A0C" w:rsidRPr="006532BE" w:rsidRDefault="00242A0C" w:rsidP="00CF06A2">
      <w:pPr>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Optimální FTTH (optimální kapacita párů optického vedení</w:t>
      </w:r>
      <w:r w:rsidR="0047095F" w:rsidRPr="006532BE">
        <w:rPr>
          <w:rFonts w:ascii="Arial" w:hAnsi="Arial" w:cs="Arial"/>
          <w:color w:val="000000"/>
          <w:sz w:val="22"/>
          <w:szCs w:val="22"/>
        </w:rPr>
        <w:t xml:space="preserve"> v </w:t>
      </w:r>
      <w:r w:rsidRPr="006532BE">
        <w:rPr>
          <w:rFonts w:ascii="Arial" w:hAnsi="Arial" w:cs="Arial"/>
          <w:color w:val="000000"/>
          <w:sz w:val="22"/>
          <w:szCs w:val="22"/>
        </w:rPr>
        <w:t>přístupové síti s výhledem</w:t>
      </w:r>
      <w:r w:rsidR="0047095F" w:rsidRPr="006532BE">
        <w:rPr>
          <w:rFonts w:ascii="Arial" w:hAnsi="Arial" w:cs="Arial"/>
          <w:color w:val="000000"/>
          <w:sz w:val="22"/>
          <w:szCs w:val="22"/>
        </w:rPr>
        <w:t xml:space="preserve"> na </w:t>
      </w:r>
      <w:r w:rsidRPr="006532BE">
        <w:rPr>
          <w:rFonts w:ascii="Arial" w:hAnsi="Arial" w:cs="Arial"/>
          <w:color w:val="000000"/>
          <w:sz w:val="22"/>
          <w:szCs w:val="22"/>
        </w:rPr>
        <w:t>10</w:t>
      </w:r>
      <w:r w:rsidR="00DD4F53" w:rsidRPr="006532BE">
        <w:rPr>
          <w:rFonts w:ascii="Arial" w:hAnsi="Arial" w:cs="Arial"/>
          <w:color w:val="000000"/>
          <w:sz w:val="22"/>
          <w:szCs w:val="22"/>
        </w:rPr>
        <w:t xml:space="preserve"> </w:t>
      </w:r>
      <w:r w:rsidRPr="006532BE">
        <w:rPr>
          <w:rFonts w:ascii="Arial" w:hAnsi="Arial" w:cs="Arial"/>
          <w:color w:val="000000"/>
          <w:sz w:val="22"/>
          <w:szCs w:val="22"/>
        </w:rPr>
        <w:t>–</w:t>
      </w:r>
      <w:r w:rsidR="00DD4F53" w:rsidRPr="006532BE">
        <w:rPr>
          <w:rFonts w:ascii="Arial" w:hAnsi="Arial" w:cs="Arial"/>
          <w:color w:val="000000"/>
          <w:sz w:val="22"/>
          <w:szCs w:val="22"/>
        </w:rPr>
        <w:t xml:space="preserve"> </w:t>
      </w:r>
      <w:r w:rsidRPr="006532BE">
        <w:rPr>
          <w:rFonts w:ascii="Arial" w:hAnsi="Arial" w:cs="Arial"/>
          <w:color w:val="000000"/>
          <w:sz w:val="22"/>
          <w:szCs w:val="22"/>
        </w:rPr>
        <w:t>15 let</w:t>
      </w:r>
      <w:r w:rsidR="0047095F" w:rsidRPr="006532BE">
        <w:rPr>
          <w:rFonts w:ascii="Arial" w:hAnsi="Arial" w:cs="Arial"/>
          <w:color w:val="000000"/>
          <w:sz w:val="22"/>
          <w:szCs w:val="22"/>
        </w:rPr>
        <w:t xml:space="preserve"> od </w:t>
      </w:r>
      <w:r w:rsidRPr="006532BE">
        <w:rPr>
          <w:rFonts w:ascii="Arial" w:hAnsi="Arial" w:cs="Arial"/>
          <w:color w:val="000000"/>
          <w:sz w:val="22"/>
          <w:szCs w:val="22"/>
        </w:rPr>
        <w:t>počátku spuštění služby)</w:t>
      </w:r>
    </w:p>
    <w:p w:rsidR="00242A0C" w:rsidRPr="006532BE" w:rsidRDefault="00242A0C" w:rsidP="00242A0C">
      <w:pPr>
        <w:numPr>
          <w:ilvl w:val="0"/>
          <w:numId w:val="12"/>
        </w:num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Údaje o počtu účastníků</w:t>
      </w:r>
    </w:p>
    <w:p w:rsidR="00242A0C" w:rsidRPr="006532BE" w:rsidRDefault="00242A0C" w:rsidP="00CF06A2">
      <w:pPr>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Počet účastníků ADSL (maloobchodních i velkoobchodních)</w:t>
      </w:r>
    </w:p>
    <w:p w:rsidR="00242A0C" w:rsidRPr="006532BE" w:rsidRDefault="00242A0C" w:rsidP="00CF06A2">
      <w:pPr>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Počet účastníků VDSL (maloobchodních i velkoobchodních)</w:t>
      </w:r>
    </w:p>
    <w:p w:rsidR="00242A0C" w:rsidRPr="006532BE" w:rsidRDefault="00242A0C" w:rsidP="00CF06A2">
      <w:pPr>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Počet účastníků SHDSL(maloobchodních i velkoobchodních)</w:t>
      </w:r>
    </w:p>
    <w:p w:rsidR="00242A0C" w:rsidRPr="006532BE" w:rsidRDefault="00242A0C" w:rsidP="00CF06A2">
      <w:pPr>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Počet účastníků maloobchodní služby přístupu k síti Internet</w:t>
      </w:r>
      <w:r w:rsidRPr="006532BE">
        <w:rPr>
          <w:rFonts w:ascii="Arial" w:hAnsi="Arial" w:cs="Arial"/>
          <w:color w:val="000000"/>
          <w:sz w:val="22"/>
          <w:szCs w:val="22"/>
        </w:rPr>
        <w:tab/>
      </w:r>
    </w:p>
    <w:p w:rsidR="00242A0C" w:rsidRPr="006532BE" w:rsidRDefault="00242A0C" w:rsidP="00CF06A2">
      <w:pPr>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Počet účastníků – internetové služby IOL (internet on line) a služby IP </w:t>
      </w:r>
      <w:proofErr w:type="spellStart"/>
      <w:r w:rsidRPr="006532BE">
        <w:rPr>
          <w:rFonts w:ascii="Arial" w:hAnsi="Arial" w:cs="Arial"/>
          <w:color w:val="000000"/>
          <w:sz w:val="22"/>
          <w:szCs w:val="22"/>
        </w:rPr>
        <w:t>Connect</w:t>
      </w:r>
      <w:proofErr w:type="spellEnd"/>
      <w:r w:rsidRPr="006532BE">
        <w:rPr>
          <w:rFonts w:ascii="Arial" w:hAnsi="Arial" w:cs="Arial"/>
          <w:color w:val="000000"/>
          <w:sz w:val="22"/>
          <w:szCs w:val="22"/>
        </w:rPr>
        <w:t xml:space="preserve"> využívající DSLAM (nezahrnovat </w:t>
      </w: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účastníky)</w:t>
      </w:r>
    </w:p>
    <w:p w:rsidR="00242A0C" w:rsidRPr="006532BE" w:rsidRDefault="00242A0C" w:rsidP="00CF06A2">
      <w:pPr>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Počet účastníků IPTV (jen účastníci se službou IPTV, bez služby ADSL)</w:t>
      </w:r>
    </w:p>
    <w:p w:rsidR="00242A0C" w:rsidRPr="006532BE" w:rsidRDefault="00242A0C" w:rsidP="00CF06A2">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Počet velkoobchodních služeb širokopásmového přístupu k síti Internet s aktivní HTS/ISDN (dle rychlostního profilu a agregace</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aktuální nabídky)</w:t>
      </w:r>
    </w:p>
    <w:p w:rsidR="00242A0C" w:rsidRPr="006532BE" w:rsidRDefault="00242A0C" w:rsidP="00CF06A2">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Počet velkoobchodních služeb širokopásmového přístupu k síti Internet bez aktivní HTS/ISDN (dle rychlostního profilu a agregace</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aktuální nabídky)</w:t>
      </w:r>
    </w:p>
    <w:p w:rsidR="00242A0C" w:rsidRPr="006532BE" w:rsidRDefault="00242A0C" w:rsidP="00CF06A2">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Počet zřízení velkoobchodní služby širokopásmového přístupu k síti Internet</w:t>
      </w:r>
    </w:p>
    <w:p w:rsidR="00242A0C" w:rsidRPr="006532BE" w:rsidRDefault="00242A0C" w:rsidP="008D6DDA">
      <w:pPr>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 aktivní HTS/ISDN</w:t>
      </w:r>
    </w:p>
    <w:p w:rsidR="00242A0C" w:rsidRPr="006532BE" w:rsidRDefault="00242A0C" w:rsidP="008D6DDA">
      <w:pPr>
        <w:numPr>
          <w:ilvl w:val="1"/>
          <w:numId w:val="12"/>
        </w:numPr>
        <w:tabs>
          <w:tab w:val="left" w:pos="357"/>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bez aktivní HTS/ISDN</w:t>
      </w:r>
    </w:p>
    <w:p w:rsidR="00242A0C" w:rsidRPr="006532BE" w:rsidRDefault="00242A0C" w:rsidP="00CF06A2">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Počty dalších velkoobchodních služeb širokopásmového přístupu k síti Internet (v členění dle aktuální nabídky (např. změna přístupové rychlosti, přeložení přístupu, zřízení sdružené virtuální cesty, zřízení a změna privátní cesty</w:t>
      </w:r>
      <w:r w:rsidR="0047095F" w:rsidRPr="006532BE">
        <w:rPr>
          <w:rFonts w:ascii="Arial" w:hAnsi="Arial" w:cs="Arial"/>
          <w:color w:val="000000"/>
          <w:sz w:val="22"/>
          <w:szCs w:val="22"/>
        </w:rPr>
        <w:t xml:space="preserve"> v </w:t>
      </w:r>
      <w:r w:rsidRPr="006532BE">
        <w:rPr>
          <w:rFonts w:ascii="Arial" w:hAnsi="Arial" w:cs="Arial"/>
          <w:color w:val="000000"/>
          <w:sz w:val="22"/>
          <w:szCs w:val="22"/>
        </w:rPr>
        <w:t xml:space="preserve">rámci sdružené virtuální cesty apod.) </w:t>
      </w:r>
    </w:p>
    <w:p w:rsidR="00242A0C" w:rsidRPr="006532BE" w:rsidRDefault="00242A0C" w:rsidP="00CF06A2">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Počty maloobchodní služby širokopásmový přístup k síti Internet</w:t>
      </w:r>
    </w:p>
    <w:p w:rsidR="00242A0C" w:rsidRPr="006532BE" w:rsidRDefault="00242A0C" w:rsidP="008D6DDA">
      <w:pPr>
        <w:numPr>
          <w:ilvl w:val="1"/>
          <w:numId w:val="12"/>
        </w:numPr>
        <w:tabs>
          <w:tab w:val="left" w:pos="357"/>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Počty zřízení maloobchodní služby širokopásmový přístup k síti Internet </w:t>
      </w:r>
    </w:p>
    <w:p w:rsidR="00242A0C" w:rsidRPr="006532BE" w:rsidRDefault="00242A0C" w:rsidP="008D6DDA">
      <w:pPr>
        <w:numPr>
          <w:ilvl w:val="1"/>
          <w:numId w:val="12"/>
        </w:numPr>
        <w:tabs>
          <w:tab w:val="left" w:pos="357"/>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Poštovné a balné</w:t>
      </w:r>
    </w:p>
    <w:p w:rsidR="00242A0C" w:rsidRPr="006532BE" w:rsidRDefault="00242A0C" w:rsidP="008D6DDA">
      <w:pPr>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Prodané modemy</w:t>
      </w:r>
    </w:p>
    <w:p w:rsidR="00242A0C" w:rsidRPr="006532BE" w:rsidRDefault="00242A0C" w:rsidP="008D6DDA">
      <w:pPr>
        <w:numPr>
          <w:ilvl w:val="1"/>
          <w:numId w:val="12"/>
        </w:num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Počty maloobchodní služby širokopásmový přístup k síti Internet (v členění dle aktuální nabídky)</w:t>
      </w:r>
    </w:p>
    <w:p w:rsidR="00242A0C" w:rsidRPr="006532BE" w:rsidRDefault="00242A0C" w:rsidP="0039664F">
      <w:pPr>
        <w:numPr>
          <w:ilvl w:val="2"/>
          <w:numId w:val="19"/>
        </w:numPr>
        <w:autoSpaceDE w:val="0"/>
        <w:autoSpaceDN w:val="0"/>
        <w:adjustRightInd w:val="0"/>
        <w:spacing w:before="60"/>
        <w:ind w:left="1560" w:hanging="840"/>
        <w:jc w:val="both"/>
        <w:rPr>
          <w:rFonts w:ascii="Arial" w:hAnsi="Arial" w:cs="Arial"/>
          <w:color w:val="000000"/>
          <w:sz w:val="22"/>
          <w:szCs w:val="22"/>
        </w:rPr>
      </w:pPr>
      <w:r w:rsidRPr="006532BE">
        <w:rPr>
          <w:rFonts w:ascii="Arial" w:hAnsi="Arial" w:cs="Arial"/>
          <w:color w:val="000000"/>
          <w:sz w:val="22"/>
          <w:szCs w:val="22"/>
        </w:rPr>
        <w:t>s aktivní HTS/ISDN</w:t>
      </w:r>
    </w:p>
    <w:p w:rsidR="00242A0C" w:rsidRPr="006532BE" w:rsidRDefault="00242A0C" w:rsidP="0039664F">
      <w:pPr>
        <w:numPr>
          <w:ilvl w:val="2"/>
          <w:numId w:val="19"/>
        </w:numPr>
        <w:autoSpaceDE w:val="0"/>
        <w:autoSpaceDN w:val="0"/>
        <w:adjustRightInd w:val="0"/>
        <w:spacing w:before="120"/>
        <w:ind w:left="1560" w:hanging="840"/>
        <w:jc w:val="both"/>
        <w:rPr>
          <w:rFonts w:ascii="Arial" w:hAnsi="Arial" w:cs="Arial"/>
          <w:color w:val="000000"/>
          <w:sz w:val="22"/>
          <w:szCs w:val="22"/>
        </w:rPr>
      </w:pPr>
      <w:r w:rsidRPr="006532BE">
        <w:rPr>
          <w:rFonts w:ascii="Arial" w:hAnsi="Arial" w:cs="Arial"/>
          <w:color w:val="000000"/>
          <w:sz w:val="22"/>
          <w:szCs w:val="22"/>
        </w:rPr>
        <w:t xml:space="preserve">bez aktivní HTS/ISDN </w:t>
      </w:r>
    </w:p>
    <w:p w:rsidR="00242A0C" w:rsidRPr="006532BE" w:rsidRDefault="00242A0C" w:rsidP="00CF06A2">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Přepojování packetů – roční provoz (objem ročního provozu dané služby</w:t>
      </w:r>
      <w:r w:rsidR="0047095F" w:rsidRPr="006532BE">
        <w:rPr>
          <w:rFonts w:ascii="Arial" w:hAnsi="Arial" w:cs="Arial"/>
          <w:color w:val="000000"/>
          <w:sz w:val="22"/>
          <w:szCs w:val="22"/>
        </w:rPr>
        <w:t xml:space="preserve"> v </w:t>
      </w:r>
      <w:r w:rsidRPr="006532BE">
        <w:rPr>
          <w:rFonts w:ascii="Arial" w:hAnsi="Arial" w:cs="Arial"/>
          <w:color w:val="000000"/>
          <w:sz w:val="22"/>
          <w:szCs w:val="22"/>
        </w:rPr>
        <w:t>GB/TB)</w:t>
      </w:r>
    </w:p>
    <w:p w:rsidR="00242A0C" w:rsidRPr="006532BE" w:rsidRDefault="00242A0C" w:rsidP="008D6DDA">
      <w:pPr>
        <w:numPr>
          <w:ilvl w:val="1"/>
          <w:numId w:val="12"/>
        </w:numPr>
        <w:tabs>
          <w:tab w:val="left" w:pos="357"/>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u služeb ADSL / VDSL / SHDSL</w:t>
      </w:r>
    </w:p>
    <w:p w:rsidR="00242A0C" w:rsidRPr="006532BE" w:rsidRDefault="00242A0C" w:rsidP="008D6DDA">
      <w:pPr>
        <w:numPr>
          <w:ilvl w:val="1"/>
          <w:numId w:val="12"/>
        </w:numPr>
        <w:tabs>
          <w:tab w:val="left" w:pos="357"/>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u služeb IOL služby a služby IP </w:t>
      </w:r>
      <w:proofErr w:type="spellStart"/>
      <w:r w:rsidRPr="006532BE">
        <w:rPr>
          <w:rFonts w:ascii="Arial" w:hAnsi="Arial" w:cs="Arial"/>
          <w:color w:val="000000"/>
          <w:sz w:val="22"/>
          <w:szCs w:val="22"/>
        </w:rPr>
        <w:t>Connect</w:t>
      </w:r>
      <w:proofErr w:type="spellEnd"/>
      <w:r w:rsidRPr="006532BE">
        <w:rPr>
          <w:rFonts w:ascii="Arial" w:hAnsi="Arial" w:cs="Arial"/>
          <w:color w:val="000000"/>
          <w:sz w:val="22"/>
          <w:szCs w:val="22"/>
        </w:rPr>
        <w:t xml:space="preserve"> využívající stejnou páteřní síť jako </w:t>
      </w:r>
      <w:proofErr w:type="spellStart"/>
      <w:r w:rsidRPr="006532BE">
        <w:rPr>
          <w:rFonts w:ascii="Arial" w:hAnsi="Arial" w:cs="Arial"/>
          <w:color w:val="000000"/>
          <w:sz w:val="22"/>
          <w:szCs w:val="22"/>
        </w:rPr>
        <w:t>xDSL</w:t>
      </w:r>
      <w:proofErr w:type="spellEnd"/>
      <w:r w:rsidRPr="006532BE">
        <w:rPr>
          <w:rFonts w:ascii="Arial" w:hAnsi="Arial" w:cs="Arial"/>
          <w:color w:val="000000"/>
          <w:sz w:val="22"/>
          <w:szCs w:val="22"/>
        </w:rPr>
        <w:t xml:space="preserve"> služby</w:t>
      </w:r>
    </w:p>
    <w:p w:rsidR="00F17CD6" w:rsidRPr="006532BE" w:rsidRDefault="00242A0C" w:rsidP="008D6DDA">
      <w:pPr>
        <w:numPr>
          <w:ilvl w:val="1"/>
          <w:numId w:val="12"/>
        </w:numPr>
        <w:tabs>
          <w:tab w:val="left" w:pos="357"/>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u služby IPTV</w:t>
      </w:r>
    </w:p>
    <w:p w:rsidR="00242A0C" w:rsidRPr="006532BE" w:rsidRDefault="00242A0C" w:rsidP="006532BE">
      <w:pPr>
        <w:autoSpaceDE w:val="0"/>
        <w:autoSpaceDN w:val="0"/>
        <w:adjustRightInd w:val="0"/>
        <w:spacing w:before="240" w:after="40"/>
        <w:jc w:val="both"/>
        <w:rPr>
          <w:rFonts w:ascii="Arial" w:hAnsi="Arial" w:cs="Arial"/>
          <w:b/>
          <w:sz w:val="22"/>
          <w:szCs w:val="22"/>
        </w:rPr>
      </w:pPr>
      <w:r w:rsidRPr="006532BE">
        <w:rPr>
          <w:rFonts w:ascii="Arial" w:hAnsi="Arial" w:cs="Arial"/>
          <w:b/>
          <w:sz w:val="22"/>
          <w:szCs w:val="22"/>
        </w:rPr>
        <w:t>List – Vstupy technické</w:t>
      </w:r>
    </w:p>
    <w:p w:rsidR="00242A0C" w:rsidRPr="006532BE" w:rsidRDefault="00242A0C" w:rsidP="008D6DDA">
      <w:pPr>
        <w:numPr>
          <w:ilvl w:val="0"/>
          <w:numId w:val="18"/>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Průměrný počet spojek</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propoj</w:t>
      </w:r>
      <w:r w:rsidR="0047095F" w:rsidRPr="006532BE">
        <w:rPr>
          <w:rFonts w:ascii="Arial" w:hAnsi="Arial" w:cs="Arial"/>
          <w:color w:val="000000"/>
          <w:sz w:val="22"/>
          <w:szCs w:val="22"/>
        </w:rPr>
        <w:t xml:space="preserve"> v </w:t>
      </w:r>
      <w:r w:rsidRPr="006532BE">
        <w:rPr>
          <w:rFonts w:ascii="Arial" w:hAnsi="Arial" w:cs="Arial"/>
          <w:color w:val="000000"/>
          <w:sz w:val="22"/>
          <w:szCs w:val="22"/>
        </w:rPr>
        <w:t>přístupové síti</w:t>
      </w:r>
    </w:p>
    <w:p w:rsidR="00242A0C" w:rsidRPr="006532BE" w:rsidRDefault="00242A0C" w:rsidP="00F70E18">
      <w:pPr>
        <w:autoSpaceDE w:val="0"/>
        <w:autoSpaceDN w:val="0"/>
        <w:adjustRightInd w:val="0"/>
        <w:ind w:left="992" w:hanging="635"/>
        <w:jc w:val="both"/>
        <w:rPr>
          <w:rFonts w:ascii="Arial" w:hAnsi="Arial" w:cs="Arial"/>
          <w:color w:val="000000"/>
          <w:sz w:val="22"/>
          <w:szCs w:val="22"/>
        </w:rPr>
      </w:pPr>
      <w:r w:rsidRPr="006532BE">
        <w:rPr>
          <w:rFonts w:ascii="Arial" w:hAnsi="Arial" w:cs="Arial"/>
          <w:color w:val="000000"/>
          <w:sz w:val="22"/>
          <w:szCs w:val="22"/>
        </w:rPr>
        <w:t xml:space="preserve">ve struktuře rozdělení na: </w:t>
      </w:r>
    </w:p>
    <w:p w:rsidR="00242A0C" w:rsidRPr="006532BE" w:rsidRDefault="00242A0C" w:rsidP="00F70E18">
      <w:pPr>
        <w:numPr>
          <w:ilvl w:val="1"/>
          <w:numId w:val="22"/>
        </w:numPr>
        <w:tabs>
          <w:tab w:val="left" w:pos="1276"/>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koncový rozvaděč (KR)</w:t>
      </w:r>
    </w:p>
    <w:p w:rsidR="00242A0C" w:rsidRPr="006532BE" w:rsidRDefault="00242A0C" w:rsidP="00F70E18">
      <w:pPr>
        <w:numPr>
          <w:ilvl w:val="1"/>
          <w:numId w:val="22"/>
        </w:numPr>
        <w:tabs>
          <w:tab w:val="left" w:pos="1276"/>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lastRenderedPageBreak/>
        <w:t>účastnický rozvaděč (ÚR)</w:t>
      </w:r>
    </w:p>
    <w:p w:rsidR="00242A0C" w:rsidRPr="006532BE" w:rsidRDefault="00242A0C" w:rsidP="00F70E18">
      <w:pPr>
        <w:numPr>
          <w:ilvl w:val="1"/>
          <w:numId w:val="22"/>
        </w:numPr>
        <w:tabs>
          <w:tab w:val="left" w:pos="1276"/>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síťový rozvaděč (SR)</w:t>
      </w:r>
    </w:p>
    <w:p w:rsidR="00242A0C" w:rsidRPr="006532BE" w:rsidRDefault="00242A0C" w:rsidP="00F70E18">
      <w:pPr>
        <w:numPr>
          <w:ilvl w:val="1"/>
          <w:numId w:val="22"/>
        </w:numPr>
        <w:tabs>
          <w:tab w:val="left" w:pos="1276"/>
        </w:tabs>
        <w:autoSpaceDE w:val="0"/>
        <w:autoSpaceDN w:val="0"/>
        <w:adjustRightInd w:val="0"/>
        <w:spacing w:before="60" w:after="120"/>
        <w:ind w:left="992" w:hanging="635"/>
        <w:jc w:val="both"/>
        <w:rPr>
          <w:rFonts w:ascii="Arial" w:hAnsi="Arial" w:cs="Arial"/>
          <w:color w:val="000000"/>
          <w:sz w:val="22"/>
          <w:szCs w:val="22"/>
        </w:rPr>
      </w:pPr>
      <w:r w:rsidRPr="006532BE">
        <w:rPr>
          <w:rFonts w:ascii="Arial" w:hAnsi="Arial" w:cs="Arial"/>
          <w:color w:val="000000"/>
          <w:sz w:val="22"/>
          <w:szCs w:val="22"/>
        </w:rPr>
        <w:t>traťový rozvaděč (TR)</w:t>
      </w:r>
    </w:p>
    <w:p w:rsidR="00242A0C" w:rsidRPr="006532BE" w:rsidRDefault="00242A0C" w:rsidP="00242A0C">
      <w:pPr>
        <w:numPr>
          <w:ilvl w:val="0"/>
          <w:numId w:val="18"/>
        </w:numPr>
        <w:autoSpaceDE w:val="0"/>
        <w:autoSpaceDN w:val="0"/>
        <w:adjustRightInd w:val="0"/>
        <w:spacing w:before="120"/>
        <w:jc w:val="both"/>
        <w:rPr>
          <w:rFonts w:ascii="Arial" w:hAnsi="Arial" w:cs="Arial"/>
          <w:color w:val="000000"/>
          <w:sz w:val="22"/>
          <w:szCs w:val="22"/>
        </w:rPr>
      </w:pPr>
      <w:proofErr w:type="spellStart"/>
      <w:r w:rsidRPr="006532BE">
        <w:rPr>
          <w:rFonts w:ascii="Arial" w:hAnsi="Arial" w:cs="Arial"/>
          <w:color w:val="000000"/>
          <w:sz w:val="22"/>
          <w:szCs w:val="22"/>
        </w:rPr>
        <w:t>Dimenzace</w:t>
      </w:r>
      <w:proofErr w:type="spellEnd"/>
      <w:r w:rsidRPr="006532BE">
        <w:rPr>
          <w:rFonts w:ascii="Arial" w:hAnsi="Arial" w:cs="Arial"/>
          <w:color w:val="000000"/>
          <w:sz w:val="22"/>
          <w:szCs w:val="22"/>
        </w:rPr>
        <w:t xml:space="preserve"> hlavního rozvaděče (počet párů)</w:t>
      </w:r>
    </w:p>
    <w:p w:rsidR="00624489" w:rsidRPr="006532BE" w:rsidRDefault="00624489" w:rsidP="00F70E18">
      <w:p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2.1.</w:t>
      </w:r>
      <w:r w:rsidR="00F70E18" w:rsidRPr="006532BE">
        <w:rPr>
          <w:rFonts w:ascii="Arial" w:hAnsi="Arial" w:cs="Arial"/>
          <w:color w:val="000000"/>
          <w:sz w:val="22"/>
          <w:szCs w:val="22"/>
        </w:rPr>
        <w:tab/>
      </w:r>
      <w:r w:rsidRPr="006532BE">
        <w:rPr>
          <w:rFonts w:ascii="Arial" w:hAnsi="Arial" w:cs="Arial"/>
          <w:color w:val="000000"/>
          <w:sz w:val="22"/>
          <w:szCs w:val="22"/>
        </w:rPr>
        <w:t xml:space="preserve">kapacita </w:t>
      </w:r>
      <w:proofErr w:type="spellStart"/>
      <w:r w:rsidRPr="006532BE">
        <w:rPr>
          <w:rFonts w:ascii="Arial" w:hAnsi="Arial" w:cs="Arial"/>
          <w:color w:val="000000"/>
          <w:sz w:val="22"/>
          <w:szCs w:val="22"/>
        </w:rPr>
        <w:t>rovodného</w:t>
      </w:r>
      <w:proofErr w:type="spellEnd"/>
      <w:r w:rsidRPr="006532BE">
        <w:rPr>
          <w:rFonts w:ascii="Arial" w:hAnsi="Arial" w:cs="Arial"/>
          <w:color w:val="000000"/>
          <w:sz w:val="22"/>
          <w:szCs w:val="22"/>
        </w:rPr>
        <w:t xml:space="preserve"> pole</w:t>
      </w:r>
    </w:p>
    <w:p w:rsidR="00624489" w:rsidRPr="006532BE" w:rsidRDefault="00624489" w:rsidP="00F70E18">
      <w:p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2.2.</w:t>
      </w:r>
      <w:r w:rsidR="00F70E18" w:rsidRPr="006532BE">
        <w:rPr>
          <w:rFonts w:ascii="Arial" w:hAnsi="Arial" w:cs="Arial"/>
          <w:color w:val="000000"/>
          <w:sz w:val="22"/>
          <w:szCs w:val="22"/>
        </w:rPr>
        <w:tab/>
      </w:r>
      <w:r w:rsidRPr="006532BE">
        <w:rPr>
          <w:rFonts w:ascii="Arial" w:hAnsi="Arial" w:cs="Arial"/>
          <w:color w:val="000000"/>
          <w:sz w:val="22"/>
          <w:szCs w:val="22"/>
        </w:rPr>
        <w:t>kapacita pásku směrem k účastníkům</w:t>
      </w:r>
    </w:p>
    <w:p w:rsidR="00624489" w:rsidRPr="006532BE" w:rsidRDefault="00624489" w:rsidP="00F70E18">
      <w:pPr>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2.3.</w:t>
      </w:r>
      <w:r w:rsidR="00F70E18" w:rsidRPr="006532BE">
        <w:rPr>
          <w:rFonts w:ascii="Arial" w:hAnsi="Arial" w:cs="Arial"/>
          <w:color w:val="000000"/>
          <w:sz w:val="22"/>
          <w:szCs w:val="22"/>
        </w:rPr>
        <w:tab/>
      </w:r>
      <w:r w:rsidRPr="006532BE">
        <w:rPr>
          <w:rFonts w:ascii="Arial" w:hAnsi="Arial" w:cs="Arial"/>
          <w:color w:val="000000"/>
          <w:sz w:val="22"/>
          <w:szCs w:val="22"/>
        </w:rPr>
        <w:t>kapacita pásku směrem k ústředně</w:t>
      </w:r>
    </w:p>
    <w:p w:rsidR="00242A0C" w:rsidRPr="006532BE" w:rsidRDefault="00242A0C" w:rsidP="00242A0C">
      <w:pPr>
        <w:numPr>
          <w:ilvl w:val="0"/>
          <w:numId w:val="18"/>
        </w:num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 xml:space="preserve">Typická </w:t>
      </w:r>
      <w:proofErr w:type="spellStart"/>
      <w:r w:rsidRPr="006532BE">
        <w:rPr>
          <w:rFonts w:ascii="Arial" w:hAnsi="Arial" w:cs="Arial"/>
          <w:color w:val="000000"/>
          <w:sz w:val="22"/>
          <w:szCs w:val="22"/>
        </w:rPr>
        <w:t>dimenzace</w:t>
      </w:r>
      <w:proofErr w:type="spellEnd"/>
      <w:r w:rsidRPr="006532BE">
        <w:rPr>
          <w:rFonts w:ascii="Arial" w:hAnsi="Arial" w:cs="Arial"/>
          <w:color w:val="000000"/>
          <w:sz w:val="22"/>
          <w:szCs w:val="22"/>
        </w:rPr>
        <w:t xml:space="preserve"> ostatních typů rozvaděčů (počet párů)</w:t>
      </w:r>
    </w:p>
    <w:p w:rsidR="00242A0C" w:rsidRPr="006532BE" w:rsidRDefault="00242A0C" w:rsidP="00F70E18">
      <w:pPr>
        <w:numPr>
          <w:ilvl w:val="1"/>
          <w:numId w:val="23"/>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svorkovnice</w:t>
      </w:r>
    </w:p>
    <w:p w:rsidR="00242A0C" w:rsidRPr="006532BE" w:rsidRDefault="00242A0C" w:rsidP="00F70E18">
      <w:pPr>
        <w:numPr>
          <w:ilvl w:val="1"/>
          <w:numId w:val="23"/>
        </w:numPr>
        <w:tabs>
          <w:tab w:val="left" w:pos="993"/>
        </w:tabs>
        <w:autoSpaceDE w:val="0"/>
        <w:autoSpaceDN w:val="0"/>
        <w:adjustRightInd w:val="0"/>
        <w:spacing w:before="60" w:after="120"/>
        <w:ind w:left="992" w:hanging="635"/>
        <w:jc w:val="both"/>
        <w:rPr>
          <w:rFonts w:ascii="Arial" w:hAnsi="Arial" w:cs="Arial"/>
          <w:color w:val="000000"/>
          <w:sz w:val="22"/>
          <w:szCs w:val="22"/>
        </w:rPr>
      </w:pPr>
      <w:r w:rsidRPr="006532BE">
        <w:rPr>
          <w:rFonts w:ascii="Arial" w:hAnsi="Arial" w:cs="Arial"/>
          <w:color w:val="000000"/>
          <w:sz w:val="22"/>
          <w:szCs w:val="22"/>
        </w:rPr>
        <w:t>ukončení čtyřky</w:t>
      </w:r>
    </w:p>
    <w:p w:rsidR="00242A0C" w:rsidRPr="006532BE" w:rsidRDefault="00242A0C" w:rsidP="00242A0C">
      <w:pPr>
        <w:numPr>
          <w:ilvl w:val="0"/>
          <w:numId w:val="18"/>
        </w:num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 xml:space="preserve">Typická </w:t>
      </w:r>
      <w:proofErr w:type="spellStart"/>
      <w:r w:rsidRPr="006532BE">
        <w:rPr>
          <w:rFonts w:ascii="Arial" w:hAnsi="Arial" w:cs="Arial"/>
          <w:color w:val="000000"/>
          <w:sz w:val="22"/>
          <w:szCs w:val="22"/>
        </w:rPr>
        <w:t>dimenzace</w:t>
      </w:r>
      <w:proofErr w:type="spellEnd"/>
      <w:r w:rsidRPr="006532BE">
        <w:rPr>
          <w:rFonts w:ascii="Arial" w:hAnsi="Arial" w:cs="Arial"/>
          <w:color w:val="000000"/>
          <w:sz w:val="22"/>
          <w:szCs w:val="22"/>
        </w:rPr>
        <w:t xml:space="preserve"> ostatních typů rozvaděčů (počet párů)</w:t>
      </w:r>
    </w:p>
    <w:p w:rsidR="00242A0C" w:rsidRPr="006532BE" w:rsidRDefault="00242A0C" w:rsidP="00242A0C">
      <w:pPr>
        <w:numPr>
          <w:ilvl w:val="0"/>
          <w:numId w:val="18"/>
        </w:num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Přehled lokalit</w:t>
      </w:r>
    </w:p>
    <w:p w:rsidR="00242A0C" w:rsidRPr="006532BE" w:rsidRDefault="00242A0C" w:rsidP="00F70E18">
      <w:pPr>
        <w:numPr>
          <w:ilvl w:val="1"/>
          <w:numId w:val="24"/>
        </w:numPr>
        <w:tabs>
          <w:tab w:val="clear" w:pos="360"/>
          <w:tab w:val="left" w:pos="993"/>
          <w:tab w:val="num" w:pos="1418"/>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počet agregačních lokalit (okresní města)</w:t>
      </w:r>
    </w:p>
    <w:p w:rsidR="00242A0C" w:rsidRPr="006532BE" w:rsidRDefault="00242A0C" w:rsidP="00F70E18">
      <w:pPr>
        <w:numPr>
          <w:ilvl w:val="1"/>
          <w:numId w:val="24"/>
        </w:numPr>
        <w:tabs>
          <w:tab w:val="clear" w:pos="360"/>
          <w:tab w:val="left" w:pos="993"/>
          <w:tab w:val="num" w:pos="1418"/>
        </w:tabs>
        <w:autoSpaceDE w:val="0"/>
        <w:autoSpaceDN w:val="0"/>
        <w:adjustRightInd w:val="0"/>
        <w:spacing w:before="60" w:after="120"/>
        <w:ind w:left="992" w:hanging="635"/>
        <w:jc w:val="both"/>
        <w:rPr>
          <w:rFonts w:ascii="Arial" w:hAnsi="Arial" w:cs="Arial"/>
          <w:color w:val="000000"/>
          <w:sz w:val="22"/>
          <w:szCs w:val="22"/>
        </w:rPr>
      </w:pPr>
      <w:r w:rsidRPr="006532BE">
        <w:rPr>
          <w:rFonts w:ascii="Arial" w:hAnsi="Arial" w:cs="Arial"/>
          <w:color w:val="000000"/>
          <w:sz w:val="22"/>
          <w:szCs w:val="22"/>
        </w:rPr>
        <w:t>počet tranzitních lokalit</w:t>
      </w:r>
    </w:p>
    <w:p w:rsidR="00242A0C" w:rsidRPr="006532BE" w:rsidRDefault="00242A0C" w:rsidP="00242A0C">
      <w:pPr>
        <w:numPr>
          <w:ilvl w:val="0"/>
          <w:numId w:val="18"/>
        </w:num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Podíl rozvaděčů</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zón (dle vzorku lokalit)</w:t>
      </w:r>
    </w:p>
    <w:p w:rsidR="00242A0C" w:rsidRPr="006532BE" w:rsidRDefault="00242A0C" w:rsidP="00F70E18">
      <w:pPr>
        <w:autoSpaceDE w:val="0"/>
        <w:autoSpaceDN w:val="0"/>
        <w:adjustRightInd w:val="0"/>
        <w:ind w:left="357"/>
        <w:jc w:val="both"/>
        <w:rPr>
          <w:rFonts w:ascii="Arial" w:hAnsi="Arial" w:cs="Arial"/>
          <w:color w:val="000000"/>
          <w:sz w:val="22"/>
          <w:szCs w:val="22"/>
        </w:rPr>
      </w:pPr>
      <w:r w:rsidRPr="006532BE">
        <w:rPr>
          <w:rFonts w:ascii="Arial" w:hAnsi="Arial" w:cs="Arial"/>
          <w:color w:val="000000"/>
          <w:sz w:val="22"/>
          <w:szCs w:val="22"/>
        </w:rPr>
        <w:t>ve struktuře rozdělení na:</w:t>
      </w:r>
    </w:p>
    <w:p w:rsidR="00242A0C" w:rsidRPr="006532BE" w:rsidRDefault="00242A0C" w:rsidP="00F70E18">
      <w:pPr>
        <w:numPr>
          <w:ilvl w:val="1"/>
          <w:numId w:val="25"/>
        </w:numPr>
        <w:tabs>
          <w:tab w:val="clear" w:pos="360"/>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koncový rozvaděč (KR)</w:t>
      </w:r>
    </w:p>
    <w:p w:rsidR="00242A0C" w:rsidRPr="006532BE" w:rsidRDefault="00242A0C" w:rsidP="00F70E18">
      <w:pPr>
        <w:numPr>
          <w:ilvl w:val="1"/>
          <w:numId w:val="25"/>
        </w:numPr>
        <w:tabs>
          <w:tab w:val="clear" w:pos="360"/>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účastnický rozvaděč (ÚR)</w:t>
      </w:r>
    </w:p>
    <w:p w:rsidR="00242A0C" w:rsidRPr="006532BE" w:rsidRDefault="00242A0C" w:rsidP="00F70E18">
      <w:pPr>
        <w:numPr>
          <w:ilvl w:val="1"/>
          <w:numId w:val="25"/>
        </w:numPr>
        <w:tabs>
          <w:tab w:val="clear" w:pos="360"/>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síťový rozvaděč (SR)</w:t>
      </w:r>
    </w:p>
    <w:p w:rsidR="00242A0C" w:rsidRPr="006532BE" w:rsidRDefault="00242A0C" w:rsidP="00F70E18">
      <w:pPr>
        <w:numPr>
          <w:ilvl w:val="1"/>
          <w:numId w:val="25"/>
        </w:numPr>
        <w:tabs>
          <w:tab w:val="clear" w:pos="360"/>
          <w:tab w:val="left" w:pos="993"/>
        </w:tabs>
        <w:autoSpaceDE w:val="0"/>
        <w:autoSpaceDN w:val="0"/>
        <w:adjustRightInd w:val="0"/>
        <w:spacing w:before="60" w:after="120"/>
        <w:ind w:left="992" w:hanging="635"/>
        <w:jc w:val="both"/>
        <w:rPr>
          <w:rFonts w:ascii="Arial" w:hAnsi="Arial" w:cs="Arial"/>
          <w:color w:val="000000"/>
          <w:sz w:val="22"/>
          <w:szCs w:val="22"/>
        </w:rPr>
      </w:pPr>
      <w:r w:rsidRPr="006532BE">
        <w:rPr>
          <w:rFonts w:ascii="Arial" w:hAnsi="Arial" w:cs="Arial"/>
          <w:color w:val="000000"/>
          <w:sz w:val="22"/>
          <w:szCs w:val="22"/>
        </w:rPr>
        <w:t>traťový rozvaděč (TR)</w:t>
      </w:r>
    </w:p>
    <w:p w:rsidR="00242A0C" w:rsidRPr="006532BE" w:rsidRDefault="00242A0C" w:rsidP="00242A0C">
      <w:pPr>
        <w:numPr>
          <w:ilvl w:val="0"/>
          <w:numId w:val="18"/>
        </w:num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Podíl kabelů</w:t>
      </w:r>
      <w:r w:rsidR="0047095F" w:rsidRPr="006532BE">
        <w:rPr>
          <w:rFonts w:ascii="Arial" w:hAnsi="Arial" w:cs="Arial"/>
          <w:color w:val="000000"/>
          <w:sz w:val="22"/>
          <w:szCs w:val="22"/>
        </w:rPr>
        <w:t xml:space="preserve"> v </w:t>
      </w:r>
      <w:proofErr w:type="spellStart"/>
      <w:r w:rsidRPr="006532BE">
        <w:rPr>
          <w:rFonts w:ascii="Arial" w:hAnsi="Arial" w:cs="Arial"/>
          <w:color w:val="000000"/>
          <w:sz w:val="22"/>
          <w:szCs w:val="22"/>
        </w:rPr>
        <w:t>kabelovodech</w:t>
      </w:r>
      <w:proofErr w:type="spellEnd"/>
      <w:r w:rsidR="0047095F" w:rsidRPr="006532BE">
        <w:rPr>
          <w:rFonts w:ascii="Arial" w:hAnsi="Arial" w:cs="Arial"/>
          <w:color w:val="000000"/>
          <w:sz w:val="22"/>
          <w:szCs w:val="22"/>
        </w:rPr>
        <w:t xml:space="preserve"> podle </w:t>
      </w:r>
      <w:r w:rsidRPr="006532BE">
        <w:rPr>
          <w:rFonts w:ascii="Arial" w:hAnsi="Arial" w:cs="Arial"/>
          <w:color w:val="000000"/>
          <w:sz w:val="22"/>
          <w:szCs w:val="22"/>
        </w:rPr>
        <w:t>zón (dle vzorku lokalit)</w:t>
      </w:r>
    </w:p>
    <w:p w:rsidR="00242A0C" w:rsidRPr="006532BE" w:rsidRDefault="00242A0C" w:rsidP="00F70E18">
      <w:pPr>
        <w:autoSpaceDE w:val="0"/>
        <w:autoSpaceDN w:val="0"/>
        <w:adjustRightInd w:val="0"/>
        <w:ind w:left="357"/>
        <w:jc w:val="both"/>
        <w:rPr>
          <w:rFonts w:ascii="Arial" w:hAnsi="Arial" w:cs="Arial"/>
          <w:color w:val="000000"/>
          <w:sz w:val="22"/>
          <w:szCs w:val="22"/>
        </w:rPr>
      </w:pPr>
      <w:r w:rsidRPr="006532BE">
        <w:rPr>
          <w:rFonts w:ascii="Arial" w:hAnsi="Arial" w:cs="Arial"/>
          <w:color w:val="000000"/>
          <w:sz w:val="22"/>
          <w:szCs w:val="22"/>
        </w:rPr>
        <w:t>ve struktuře rozdělení na:</w:t>
      </w:r>
    </w:p>
    <w:p w:rsidR="00242A0C" w:rsidRPr="006532BE" w:rsidRDefault="00242A0C" w:rsidP="00F70E18">
      <w:pPr>
        <w:numPr>
          <w:ilvl w:val="1"/>
          <w:numId w:val="26"/>
        </w:numPr>
        <w:tabs>
          <w:tab w:val="clear" w:pos="360"/>
          <w:tab w:val="num"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koncový rozvaděč (KR)</w:t>
      </w:r>
    </w:p>
    <w:p w:rsidR="00242A0C" w:rsidRPr="006532BE" w:rsidRDefault="00242A0C" w:rsidP="00F70E18">
      <w:pPr>
        <w:numPr>
          <w:ilvl w:val="1"/>
          <w:numId w:val="26"/>
        </w:numPr>
        <w:tabs>
          <w:tab w:val="clear" w:pos="360"/>
          <w:tab w:val="num"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účastnický rozvaděč (ÚR)</w:t>
      </w:r>
    </w:p>
    <w:p w:rsidR="00242A0C" w:rsidRPr="006532BE" w:rsidRDefault="00242A0C" w:rsidP="00F70E18">
      <w:pPr>
        <w:numPr>
          <w:ilvl w:val="1"/>
          <w:numId w:val="26"/>
        </w:numPr>
        <w:tabs>
          <w:tab w:val="clear" w:pos="360"/>
          <w:tab w:val="num"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síťový rozvaděč (SR)</w:t>
      </w:r>
    </w:p>
    <w:p w:rsidR="00242A0C" w:rsidRPr="006532BE" w:rsidRDefault="00242A0C" w:rsidP="00F70E18">
      <w:pPr>
        <w:numPr>
          <w:ilvl w:val="1"/>
          <w:numId w:val="26"/>
        </w:numPr>
        <w:tabs>
          <w:tab w:val="clear" w:pos="360"/>
          <w:tab w:val="num"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traťový rozvaděč (TR)</w:t>
      </w:r>
    </w:p>
    <w:p w:rsidR="00242A0C" w:rsidRPr="006532BE" w:rsidRDefault="00242A0C" w:rsidP="00242A0C">
      <w:pPr>
        <w:numPr>
          <w:ilvl w:val="0"/>
          <w:numId w:val="18"/>
        </w:num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Průměrná délka</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propojení rozvaděčů</w:t>
      </w:r>
      <w:r w:rsidR="0047095F" w:rsidRPr="006532BE">
        <w:rPr>
          <w:rFonts w:ascii="Arial" w:hAnsi="Arial" w:cs="Arial"/>
          <w:color w:val="000000"/>
          <w:sz w:val="22"/>
          <w:szCs w:val="22"/>
        </w:rPr>
        <w:t xml:space="preserve"> v </w:t>
      </w:r>
      <w:r w:rsidRPr="006532BE">
        <w:rPr>
          <w:rFonts w:ascii="Arial" w:hAnsi="Arial" w:cs="Arial"/>
          <w:color w:val="000000"/>
          <w:sz w:val="22"/>
          <w:szCs w:val="22"/>
        </w:rPr>
        <w:t>metrech</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zón</w:t>
      </w:r>
    </w:p>
    <w:p w:rsidR="00242A0C" w:rsidRPr="006532BE" w:rsidRDefault="00242A0C" w:rsidP="00F70E18">
      <w:pPr>
        <w:autoSpaceDE w:val="0"/>
        <w:autoSpaceDN w:val="0"/>
        <w:adjustRightInd w:val="0"/>
        <w:ind w:left="357"/>
        <w:jc w:val="both"/>
        <w:rPr>
          <w:rFonts w:ascii="Arial" w:hAnsi="Arial" w:cs="Arial"/>
          <w:color w:val="000000"/>
          <w:sz w:val="22"/>
          <w:szCs w:val="22"/>
        </w:rPr>
      </w:pPr>
      <w:r w:rsidRPr="006532BE">
        <w:rPr>
          <w:rFonts w:ascii="Arial" w:hAnsi="Arial" w:cs="Arial"/>
          <w:color w:val="000000"/>
          <w:sz w:val="22"/>
          <w:szCs w:val="22"/>
        </w:rPr>
        <w:t xml:space="preserve">ve struktuře rozdělení na: </w:t>
      </w:r>
    </w:p>
    <w:p w:rsidR="00242A0C" w:rsidRPr="006532BE" w:rsidRDefault="00242A0C" w:rsidP="00F70E18">
      <w:pPr>
        <w:numPr>
          <w:ilvl w:val="1"/>
          <w:numId w:val="31"/>
        </w:numPr>
        <w:tabs>
          <w:tab w:val="clear" w:pos="360"/>
          <w:tab w:val="num"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koncový rozvaděč (KR)</w:t>
      </w:r>
    </w:p>
    <w:p w:rsidR="00242A0C" w:rsidRPr="006532BE" w:rsidRDefault="00242A0C" w:rsidP="00F70E18">
      <w:pPr>
        <w:numPr>
          <w:ilvl w:val="1"/>
          <w:numId w:val="31"/>
        </w:numPr>
        <w:tabs>
          <w:tab w:val="clear" w:pos="360"/>
          <w:tab w:val="num"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účastnický rozvaděč (ÚR)</w:t>
      </w:r>
    </w:p>
    <w:p w:rsidR="00242A0C" w:rsidRPr="006532BE" w:rsidRDefault="00242A0C" w:rsidP="00F70E18">
      <w:pPr>
        <w:numPr>
          <w:ilvl w:val="1"/>
          <w:numId w:val="31"/>
        </w:numPr>
        <w:tabs>
          <w:tab w:val="clear" w:pos="360"/>
          <w:tab w:val="num"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síťový rozvaděč (SR)</w:t>
      </w:r>
    </w:p>
    <w:p w:rsidR="00242A0C" w:rsidRPr="006532BE" w:rsidRDefault="00242A0C" w:rsidP="00F70E18">
      <w:pPr>
        <w:numPr>
          <w:ilvl w:val="1"/>
          <w:numId w:val="31"/>
        </w:numPr>
        <w:tabs>
          <w:tab w:val="clear" w:pos="360"/>
          <w:tab w:val="num"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traťový rozvaděč (TR)</w:t>
      </w:r>
    </w:p>
    <w:p w:rsidR="00242A0C" w:rsidRPr="006532BE" w:rsidRDefault="00242A0C" w:rsidP="00242A0C">
      <w:pPr>
        <w:numPr>
          <w:ilvl w:val="0"/>
          <w:numId w:val="18"/>
        </w:numPr>
        <w:autoSpaceDE w:val="0"/>
        <w:autoSpaceDN w:val="0"/>
        <w:adjustRightInd w:val="0"/>
        <w:spacing w:before="120" w:after="120"/>
        <w:ind w:left="357" w:hanging="357"/>
        <w:jc w:val="both"/>
        <w:rPr>
          <w:rFonts w:ascii="Arial" w:hAnsi="Arial" w:cs="Arial"/>
          <w:color w:val="000000"/>
          <w:sz w:val="22"/>
          <w:szCs w:val="22"/>
        </w:rPr>
      </w:pPr>
      <w:r w:rsidRPr="006532BE">
        <w:rPr>
          <w:rFonts w:ascii="Arial" w:hAnsi="Arial" w:cs="Arial"/>
          <w:color w:val="000000"/>
          <w:sz w:val="22"/>
          <w:szCs w:val="22"/>
        </w:rPr>
        <w:t>Koeficient stromu a sdílení výkopu metalickými páry</w:t>
      </w:r>
      <w:r w:rsidR="0047095F" w:rsidRPr="006532BE">
        <w:rPr>
          <w:rFonts w:ascii="Arial" w:hAnsi="Arial" w:cs="Arial"/>
          <w:color w:val="000000"/>
          <w:sz w:val="22"/>
          <w:szCs w:val="22"/>
        </w:rPr>
        <w:t xml:space="preserve"> v </w:t>
      </w:r>
      <w:r w:rsidRPr="006532BE">
        <w:rPr>
          <w:rFonts w:ascii="Arial" w:hAnsi="Arial" w:cs="Arial"/>
          <w:color w:val="000000"/>
          <w:sz w:val="22"/>
          <w:szCs w:val="22"/>
        </w:rPr>
        <w:t>přístupové síti</w:t>
      </w:r>
    </w:p>
    <w:p w:rsidR="00242A0C" w:rsidRPr="006532BE" w:rsidRDefault="00242A0C" w:rsidP="00242A0C">
      <w:pPr>
        <w:numPr>
          <w:ilvl w:val="0"/>
          <w:numId w:val="12"/>
        </w:num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Zastoupení jednotlivých typů rozvaděčů (maximální počet párů)</w:t>
      </w:r>
    </w:p>
    <w:p w:rsidR="00242A0C" w:rsidRPr="006532BE" w:rsidRDefault="00242A0C" w:rsidP="00F70E18">
      <w:pPr>
        <w:autoSpaceDE w:val="0"/>
        <w:autoSpaceDN w:val="0"/>
        <w:adjustRightInd w:val="0"/>
        <w:ind w:left="357"/>
        <w:jc w:val="both"/>
        <w:rPr>
          <w:rFonts w:ascii="Arial" w:hAnsi="Arial" w:cs="Arial"/>
          <w:color w:val="000000"/>
          <w:sz w:val="22"/>
          <w:szCs w:val="22"/>
        </w:rPr>
      </w:pPr>
      <w:r w:rsidRPr="006532BE">
        <w:rPr>
          <w:rFonts w:ascii="Arial" w:hAnsi="Arial" w:cs="Arial"/>
          <w:color w:val="000000"/>
          <w:sz w:val="22"/>
          <w:szCs w:val="22"/>
        </w:rPr>
        <w:t>v členění</w:t>
      </w:r>
    </w:p>
    <w:p w:rsidR="00242A0C" w:rsidRPr="006532BE" w:rsidRDefault="00242A0C" w:rsidP="00F70E18">
      <w:pPr>
        <w:numPr>
          <w:ilvl w:val="1"/>
          <w:numId w:val="27"/>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2 páry </w:t>
      </w:r>
    </w:p>
    <w:p w:rsidR="00242A0C" w:rsidRPr="006532BE" w:rsidRDefault="00242A0C" w:rsidP="00F70E18">
      <w:pPr>
        <w:numPr>
          <w:ilvl w:val="1"/>
          <w:numId w:val="27"/>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po 10 párech až do hranice 100 párů </w:t>
      </w:r>
    </w:p>
    <w:p w:rsidR="00242A0C" w:rsidRPr="006532BE" w:rsidRDefault="00242A0C" w:rsidP="00F70E18">
      <w:pPr>
        <w:numPr>
          <w:ilvl w:val="1"/>
          <w:numId w:val="27"/>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 100 párech až do hranice 5000 párů</w:t>
      </w:r>
    </w:p>
    <w:p w:rsidR="00242A0C" w:rsidRPr="006532BE" w:rsidRDefault="00242A0C" w:rsidP="00F70E18">
      <w:pPr>
        <w:numPr>
          <w:ilvl w:val="1"/>
          <w:numId w:val="27"/>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nad 5000 párů</w:t>
      </w:r>
    </w:p>
    <w:p w:rsidR="00242A0C" w:rsidRPr="006532BE" w:rsidRDefault="00242A0C" w:rsidP="00242A0C">
      <w:pPr>
        <w:numPr>
          <w:ilvl w:val="0"/>
          <w:numId w:val="12"/>
        </w:num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Geografické členění optiky</w:t>
      </w:r>
      <w:r w:rsidR="0047095F" w:rsidRPr="006532BE">
        <w:rPr>
          <w:rFonts w:ascii="Arial" w:hAnsi="Arial" w:cs="Arial"/>
          <w:color w:val="000000"/>
          <w:sz w:val="22"/>
          <w:szCs w:val="22"/>
        </w:rPr>
        <w:t xml:space="preserve"> v </w:t>
      </w:r>
      <w:r w:rsidRPr="006532BE">
        <w:rPr>
          <w:rFonts w:ascii="Arial" w:hAnsi="Arial" w:cs="Arial"/>
          <w:color w:val="000000"/>
          <w:sz w:val="22"/>
          <w:szCs w:val="22"/>
        </w:rPr>
        <w:t>přístupové síti (dle vzorku lokalit)</w:t>
      </w:r>
    </w:p>
    <w:p w:rsidR="00242A0C" w:rsidRPr="006532BE" w:rsidRDefault="00242A0C" w:rsidP="004901BA">
      <w:pPr>
        <w:numPr>
          <w:ilvl w:val="1"/>
          <w:numId w:val="12"/>
        </w:numPr>
        <w:tabs>
          <w:tab w:val="left" w:pos="993"/>
        </w:tabs>
        <w:autoSpaceDE w:val="0"/>
        <w:autoSpaceDN w:val="0"/>
        <w:adjustRightInd w:val="0"/>
        <w:spacing w:before="60"/>
        <w:ind w:left="788" w:hanging="431"/>
        <w:jc w:val="both"/>
        <w:rPr>
          <w:rFonts w:ascii="Arial" w:hAnsi="Arial" w:cs="Arial"/>
          <w:color w:val="000000"/>
          <w:sz w:val="22"/>
          <w:szCs w:val="22"/>
        </w:rPr>
      </w:pPr>
      <w:r w:rsidRPr="006532BE">
        <w:rPr>
          <w:rFonts w:ascii="Arial" w:hAnsi="Arial" w:cs="Arial"/>
          <w:color w:val="000000"/>
          <w:sz w:val="22"/>
          <w:szCs w:val="22"/>
        </w:rPr>
        <w:t xml:space="preserve">Podíl optických </w:t>
      </w:r>
      <w:proofErr w:type="spellStart"/>
      <w:r w:rsidRPr="006532BE">
        <w:rPr>
          <w:rFonts w:ascii="Arial" w:hAnsi="Arial" w:cs="Arial"/>
          <w:color w:val="000000"/>
          <w:sz w:val="22"/>
          <w:szCs w:val="22"/>
        </w:rPr>
        <w:t>splitterů</w:t>
      </w:r>
      <w:proofErr w:type="spellEnd"/>
      <w:r w:rsidRPr="006532BE">
        <w:rPr>
          <w:rFonts w:ascii="Arial" w:hAnsi="Arial" w:cs="Arial"/>
          <w:color w:val="000000"/>
          <w:sz w:val="22"/>
          <w:szCs w:val="22"/>
        </w:rPr>
        <w:t xml:space="preserve"> (SDF)</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zón</w:t>
      </w:r>
    </w:p>
    <w:p w:rsidR="00242A0C" w:rsidRPr="006532BE" w:rsidRDefault="00242A0C" w:rsidP="004901BA">
      <w:pPr>
        <w:numPr>
          <w:ilvl w:val="1"/>
          <w:numId w:val="12"/>
        </w:numPr>
        <w:tabs>
          <w:tab w:val="left" w:pos="993"/>
        </w:tabs>
        <w:autoSpaceDE w:val="0"/>
        <w:autoSpaceDN w:val="0"/>
        <w:adjustRightInd w:val="0"/>
        <w:spacing w:before="60"/>
        <w:ind w:left="788" w:hanging="431"/>
        <w:jc w:val="both"/>
        <w:rPr>
          <w:rFonts w:ascii="Arial" w:hAnsi="Arial" w:cs="Arial"/>
          <w:color w:val="000000"/>
          <w:sz w:val="22"/>
          <w:szCs w:val="22"/>
        </w:rPr>
      </w:pPr>
      <w:r w:rsidRPr="006532BE">
        <w:rPr>
          <w:rFonts w:ascii="Arial" w:hAnsi="Arial" w:cs="Arial"/>
          <w:color w:val="000000"/>
          <w:sz w:val="22"/>
          <w:szCs w:val="22"/>
        </w:rPr>
        <w:t>Podíl optických kabelů</w:t>
      </w:r>
      <w:r w:rsidR="0047095F" w:rsidRPr="006532BE">
        <w:rPr>
          <w:rFonts w:ascii="Arial" w:hAnsi="Arial" w:cs="Arial"/>
          <w:color w:val="000000"/>
          <w:sz w:val="22"/>
          <w:szCs w:val="22"/>
        </w:rPr>
        <w:t xml:space="preserve"> v </w:t>
      </w:r>
      <w:proofErr w:type="spellStart"/>
      <w:r w:rsidRPr="006532BE">
        <w:rPr>
          <w:rFonts w:ascii="Arial" w:hAnsi="Arial" w:cs="Arial"/>
          <w:color w:val="000000"/>
          <w:sz w:val="22"/>
          <w:szCs w:val="22"/>
        </w:rPr>
        <w:t>kabelovodech</w:t>
      </w:r>
      <w:proofErr w:type="spellEnd"/>
      <w:r w:rsidR="0047095F" w:rsidRPr="006532BE">
        <w:rPr>
          <w:rFonts w:ascii="Arial" w:hAnsi="Arial" w:cs="Arial"/>
          <w:color w:val="000000"/>
          <w:sz w:val="22"/>
          <w:szCs w:val="22"/>
        </w:rPr>
        <w:t xml:space="preserve"> podle </w:t>
      </w:r>
      <w:r w:rsidRPr="006532BE">
        <w:rPr>
          <w:rFonts w:ascii="Arial" w:hAnsi="Arial" w:cs="Arial"/>
          <w:color w:val="000000"/>
          <w:sz w:val="22"/>
          <w:szCs w:val="22"/>
        </w:rPr>
        <w:t>zón</w:t>
      </w:r>
    </w:p>
    <w:p w:rsidR="00242A0C" w:rsidRPr="006532BE" w:rsidRDefault="00242A0C" w:rsidP="004901BA">
      <w:pPr>
        <w:numPr>
          <w:ilvl w:val="1"/>
          <w:numId w:val="12"/>
        </w:numPr>
        <w:tabs>
          <w:tab w:val="left" w:pos="993"/>
        </w:tabs>
        <w:autoSpaceDE w:val="0"/>
        <w:autoSpaceDN w:val="0"/>
        <w:adjustRightInd w:val="0"/>
        <w:spacing w:before="60"/>
        <w:ind w:left="788" w:hanging="431"/>
        <w:jc w:val="both"/>
        <w:rPr>
          <w:rFonts w:ascii="Arial" w:hAnsi="Arial" w:cs="Arial"/>
          <w:color w:val="000000"/>
          <w:sz w:val="22"/>
          <w:szCs w:val="22"/>
        </w:rPr>
      </w:pPr>
      <w:r w:rsidRPr="006532BE">
        <w:rPr>
          <w:rFonts w:ascii="Arial" w:hAnsi="Arial" w:cs="Arial"/>
          <w:color w:val="000000"/>
          <w:sz w:val="22"/>
          <w:szCs w:val="22"/>
        </w:rPr>
        <w:t>Průměrná délka</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propoj SDF-ODF (POPS)</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zón</w:t>
      </w:r>
    </w:p>
    <w:p w:rsidR="00242A0C" w:rsidRPr="006532BE" w:rsidRDefault="00242A0C" w:rsidP="004901BA">
      <w:pPr>
        <w:numPr>
          <w:ilvl w:val="1"/>
          <w:numId w:val="12"/>
        </w:numPr>
        <w:tabs>
          <w:tab w:val="left" w:pos="993"/>
        </w:tabs>
        <w:autoSpaceDE w:val="0"/>
        <w:autoSpaceDN w:val="0"/>
        <w:adjustRightInd w:val="0"/>
        <w:spacing w:before="60"/>
        <w:ind w:left="788" w:hanging="431"/>
        <w:jc w:val="both"/>
        <w:rPr>
          <w:rFonts w:ascii="Arial" w:hAnsi="Arial" w:cs="Arial"/>
          <w:color w:val="000000"/>
          <w:sz w:val="22"/>
          <w:szCs w:val="22"/>
        </w:rPr>
      </w:pPr>
      <w:r w:rsidRPr="006532BE">
        <w:rPr>
          <w:rFonts w:ascii="Arial" w:hAnsi="Arial" w:cs="Arial"/>
          <w:color w:val="000000"/>
          <w:sz w:val="22"/>
          <w:szCs w:val="22"/>
        </w:rPr>
        <w:t>Průměrná délka</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propoj ONT-SDF (SOPS)</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zón</w:t>
      </w:r>
    </w:p>
    <w:p w:rsidR="00242A0C" w:rsidRPr="006532BE" w:rsidRDefault="00242A0C" w:rsidP="004901BA">
      <w:pPr>
        <w:numPr>
          <w:ilvl w:val="1"/>
          <w:numId w:val="12"/>
        </w:numPr>
        <w:tabs>
          <w:tab w:val="left" w:pos="993"/>
        </w:tabs>
        <w:autoSpaceDE w:val="0"/>
        <w:autoSpaceDN w:val="0"/>
        <w:adjustRightInd w:val="0"/>
        <w:spacing w:before="60"/>
        <w:ind w:left="788" w:hanging="431"/>
        <w:jc w:val="both"/>
        <w:rPr>
          <w:rFonts w:ascii="Arial" w:hAnsi="Arial" w:cs="Arial"/>
          <w:color w:val="000000"/>
          <w:sz w:val="22"/>
          <w:szCs w:val="22"/>
        </w:rPr>
      </w:pPr>
      <w:r w:rsidRPr="006532BE">
        <w:rPr>
          <w:rFonts w:ascii="Arial" w:hAnsi="Arial" w:cs="Arial"/>
          <w:color w:val="000000"/>
          <w:sz w:val="22"/>
          <w:szCs w:val="22"/>
        </w:rPr>
        <w:t>Průměrný počet optických spojek</w:t>
      </w:r>
      <w:r w:rsidR="0047095F" w:rsidRPr="006532BE">
        <w:rPr>
          <w:rFonts w:ascii="Arial" w:hAnsi="Arial" w:cs="Arial"/>
          <w:color w:val="000000"/>
          <w:sz w:val="22"/>
          <w:szCs w:val="22"/>
        </w:rPr>
        <w:t xml:space="preserve"> na </w:t>
      </w:r>
      <w:r w:rsidRPr="006532BE">
        <w:rPr>
          <w:rFonts w:ascii="Arial" w:hAnsi="Arial" w:cs="Arial"/>
          <w:color w:val="000000"/>
          <w:sz w:val="22"/>
          <w:szCs w:val="22"/>
        </w:rPr>
        <w:t>1m POPS</w:t>
      </w:r>
    </w:p>
    <w:p w:rsidR="00242A0C" w:rsidRPr="006532BE" w:rsidRDefault="00242A0C" w:rsidP="004901BA">
      <w:pPr>
        <w:numPr>
          <w:ilvl w:val="1"/>
          <w:numId w:val="12"/>
        </w:numPr>
        <w:tabs>
          <w:tab w:val="left" w:pos="993"/>
        </w:tabs>
        <w:autoSpaceDE w:val="0"/>
        <w:autoSpaceDN w:val="0"/>
        <w:adjustRightInd w:val="0"/>
        <w:spacing w:before="60"/>
        <w:ind w:left="788" w:hanging="431"/>
        <w:jc w:val="both"/>
        <w:rPr>
          <w:rFonts w:ascii="Arial" w:hAnsi="Arial" w:cs="Arial"/>
          <w:color w:val="000000"/>
          <w:sz w:val="22"/>
          <w:szCs w:val="22"/>
        </w:rPr>
      </w:pPr>
      <w:r w:rsidRPr="006532BE">
        <w:rPr>
          <w:rFonts w:ascii="Arial" w:hAnsi="Arial" w:cs="Arial"/>
          <w:color w:val="000000"/>
          <w:sz w:val="22"/>
          <w:szCs w:val="22"/>
        </w:rPr>
        <w:lastRenderedPageBreak/>
        <w:t>Průměrný počet optických spojek</w:t>
      </w:r>
      <w:r w:rsidR="0047095F" w:rsidRPr="006532BE">
        <w:rPr>
          <w:rFonts w:ascii="Arial" w:hAnsi="Arial" w:cs="Arial"/>
          <w:color w:val="000000"/>
          <w:sz w:val="22"/>
          <w:szCs w:val="22"/>
        </w:rPr>
        <w:t xml:space="preserve"> na </w:t>
      </w:r>
      <w:r w:rsidRPr="006532BE">
        <w:rPr>
          <w:rFonts w:ascii="Arial" w:hAnsi="Arial" w:cs="Arial"/>
          <w:color w:val="000000"/>
          <w:sz w:val="22"/>
          <w:szCs w:val="22"/>
        </w:rPr>
        <w:t>1m SOPS</w:t>
      </w:r>
    </w:p>
    <w:p w:rsidR="00242A0C" w:rsidRPr="006532BE" w:rsidRDefault="00242A0C" w:rsidP="004901BA">
      <w:pPr>
        <w:numPr>
          <w:ilvl w:val="1"/>
          <w:numId w:val="12"/>
        </w:numPr>
        <w:tabs>
          <w:tab w:val="left" w:pos="993"/>
        </w:tabs>
        <w:autoSpaceDE w:val="0"/>
        <w:autoSpaceDN w:val="0"/>
        <w:adjustRightInd w:val="0"/>
        <w:spacing w:before="60"/>
        <w:ind w:left="788" w:hanging="431"/>
        <w:jc w:val="both"/>
        <w:rPr>
          <w:rFonts w:ascii="Arial" w:hAnsi="Arial" w:cs="Arial"/>
          <w:color w:val="000000"/>
          <w:sz w:val="22"/>
          <w:szCs w:val="22"/>
        </w:rPr>
      </w:pPr>
      <w:r w:rsidRPr="006532BE">
        <w:rPr>
          <w:rFonts w:ascii="Arial" w:hAnsi="Arial" w:cs="Arial"/>
          <w:color w:val="000000"/>
          <w:sz w:val="22"/>
          <w:szCs w:val="22"/>
        </w:rPr>
        <w:t>Koeficient stromu a sdílení výkopu optickými kabely</w:t>
      </w:r>
      <w:r w:rsidR="0047095F" w:rsidRPr="006532BE">
        <w:rPr>
          <w:rFonts w:ascii="Arial" w:hAnsi="Arial" w:cs="Arial"/>
          <w:color w:val="000000"/>
          <w:sz w:val="22"/>
          <w:szCs w:val="22"/>
        </w:rPr>
        <w:t xml:space="preserve"> v </w:t>
      </w:r>
      <w:r w:rsidRPr="006532BE">
        <w:rPr>
          <w:rFonts w:ascii="Arial" w:hAnsi="Arial" w:cs="Arial"/>
          <w:color w:val="000000"/>
          <w:sz w:val="22"/>
          <w:szCs w:val="22"/>
        </w:rPr>
        <w:t>přístupové síti</w:t>
      </w:r>
    </w:p>
    <w:p w:rsidR="00242A0C" w:rsidRPr="006532BE" w:rsidRDefault="00242A0C" w:rsidP="00242A0C">
      <w:pPr>
        <w:numPr>
          <w:ilvl w:val="0"/>
          <w:numId w:val="12"/>
        </w:numPr>
        <w:autoSpaceDE w:val="0"/>
        <w:autoSpaceDN w:val="0"/>
        <w:adjustRightInd w:val="0"/>
        <w:spacing w:before="120"/>
        <w:jc w:val="both"/>
        <w:rPr>
          <w:rFonts w:ascii="Arial" w:hAnsi="Arial" w:cs="Arial"/>
          <w:color w:val="000000"/>
          <w:sz w:val="22"/>
          <w:szCs w:val="22"/>
        </w:rPr>
      </w:pPr>
      <w:proofErr w:type="spellStart"/>
      <w:r w:rsidRPr="006532BE">
        <w:rPr>
          <w:rFonts w:ascii="Arial" w:hAnsi="Arial" w:cs="Arial"/>
          <w:color w:val="000000"/>
          <w:sz w:val="22"/>
          <w:szCs w:val="22"/>
        </w:rPr>
        <w:t>Dimenzace</w:t>
      </w:r>
      <w:proofErr w:type="spellEnd"/>
      <w:r w:rsidRPr="006532BE">
        <w:rPr>
          <w:rFonts w:ascii="Arial" w:hAnsi="Arial" w:cs="Arial"/>
          <w:color w:val="000000"/>
          <w:sz w:val="22"/>
          <w:szCs w:val="22"/>
        </w:rPr>
        <w:t xml:space="preserve"> přístupových </w:t>
      </w:r>
      <w:proofErr w:type="spellStart"/>
      <w:r w:rsidRPr="006532BE">
        <w:rPr>
          <w:rFonts w:ascii="Arial" w:hAnsi="Arial" w:cs="Arial"/>
          <w:color w:val="000000"/>
          <w:sz w:val="22"/>
          <w:szCs w:val="22"/>
        </w:rPr>
        <w:t>DSLAMů</w:t>
      </w:r>
      <w:proofErr w:type="spellEnd"/>
    </w:p>
    <w:p w:rsidR="00242A0C" w:rsidRPr="006532BE" w:rsidRDefault="00242A0C" w:rsidP="004901BA">
      <w:pPr>
        <w:numPr>
          <w:ilvl w:val="1"/>
          <w:numId w:val="12"/>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Počet slotů</w:t>
      </w:r>
    </w:p>
    <w:p w:rsidR="00242A0C" w:rsidRPr="006532BE" w:rsidRDefault="00242A0C" w:rsidP="004901BA">
      <w:pPr>
        <w:numPr>
          <w:ilvl w:val="1"/>
          <w:numId w:val="12"/>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Počet portů</w:t>
      </w:r>
      <w:r w:rsidR="0047095F" w:rsidRPr="006532BE">
        <w:rPr>
          <w:rFonts w:ascii="Arial" w:hAnsi="Arial" w:cs="Arial"/>
          <w:color w:val="000000"/>
          <w:sz w:val="22"/>
          <w:szCs w:val="22"/>
        </w:rPr>
        <w:t xml:space="preserve"> na </w:t>
      </w:r>
      <w:r w:rsidRPr="006532BE">
        <w:rPr>
          <w:rFonts w:ascii="Arial" w:hAnsi="Arial" w:cs="Arial"/>
          <w:color w:val="000000"/>
          <w:sz w:val="22"/>
          <w:szCs w:val="22"/>
        </w:rPr>
        <w:t>kartě – ADSL2+</w:t>
      </w:r>
    </w:p>
    <w:p w:rsidR="00242A0C" w:rsidRPr="006532BE" w:rsidRDefault="00242A0C" w:rsidP="004901BA">
      <w:pPr>
        <w:numPr>
          <w:ilvl w:val="1"/>
          <w:numId w:val="12"/>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Počet portů</w:t>
      </w:r>
      <w:r w:rsidR="0047095F" w:rsidRPr="006532BE">
        <w:rPr>
          <w:rFonts w:ascii="Arial" w:hAnsi="Arial" w:cs="Arial"/>
          <w:color w:val="000000"/>
          <w:sz w:val="22"/>
          <w:szCs w:val="22"/>
        </w:rPr>
        <w:t xml:space="preserve"> na </w:t>
      </w:r>
      <w:r w:rsidRPr="006532BE">
        <w:rPr>
          <w:rFonts w:ascii="Arial" w:hAnsi="Arial" w:cs="Arial"/>
          <w:color w:val="000000"/>
          <w:sz w:val="22"/>
          <w:szCs w:val="22"/>
        </w:rPr>
        <w:t>kartě – VDSL</w:t>
      </w:r>
    </w:p>
    <w:p w:rsidR="00242A0C" w:rsidRPr="006532BE" w:rsidRDefault="00242A0C" w:rsidP="004901BA">
      <w:pPr>
        <w:numPr>
          <w:ilvl w:val="1"/>
          <w:numId w:val="12"/>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Počet portů</w:t>
      </w:r>
      <w:r w:rsidR="0047095F" w:rsidRPr="006532BE">
        <w:rPr>
          <w:rFonts w:ascii="Arial" w:hAnsi="Arial" w:cs="Arial"/>
          <w:color w:val="000000"/>
          <w:sz w:val="22"/>
          <w:szCs w:val="22"/>
        </w:rPr>
        <w:t xml:space="preserve"> na </w:t>
      </w:r>
      <w:r w:rsidRPr="006532BE">
        <w:rPr>
          <w:rFonts w:ascii="Arial" w:hAnsi="Arial" w:cs="Arial"/>
          <w:color w:val="000000"/>
          <w:sz w:val="22"/>
          <w:szCs w:val="22"/>
        </w:rPr>
        <w:t>kartě – SHDSL</w:t>
      </w:r>
    </w:p>
    <w:p w:rsidR="00242A0C" w:rsidRPr="006532BE" w:rsidRDefault="00242A0C" w:rsidP="004901BA">
      <w:pPr>
        <w:numPr>
          <w:ilvl w:val="1"/>
          <w:numId w:val="12"/>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Počet van</w:t>
      </w:r>
      <w:r w:rsidR="0047095F" w:rsidRPr="006532BE">
        <w:rPr>
          <w:rFonts w:ascii="Arial" w:hAnsi="Arial" w:cs="Arial"/>
          <w:color w:val="000000"/>
          <w:sz w:val="22"/>
          <w:szCs w:val="22"/>
        </w:rPr>
        <w:t xml:space="preserve"> na </w:t>
      </w:r>
      <w:r w:rsidRPr="006532BE">
        <w:rPr>
          <w:rFonts w:ascii="Arial" w:hAnsi="Arial" w:cs="Arial"/>
          <w:color w:val="000000"/>
          <w:sz w:val="22"/>
          <w:szCs w:val="22"/>
        </w:rPr>
        <w:t>stojan</w:t>
      </w:r>
    </w:p>
    <w:p w:rsidR="00242A0C" w:rsidRPr="006532BE" w:rsidRDefault="00242A0C" w:rsidP="004901BA">
      <w:pPr>
        <w:numPr>
          <w:ilvl w:val="1"/>
          <w:numId w:val="12"/>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Koeficient rezervy DSLAM</w:t>
      </w:r>
    </w:p>
    <w:p w:rsidR="00242A0C" w:rsidRPr="006532BE" w:rsidRDefault="00242A0C" w:rsidP="004901BA">
      <w:pPr>
        <w:numPr>
          <w:ilvl w:val="1"/>
          <w:numId w:val="12"/>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Počet skříní (údaj u největšího OLO)</w:t>
      </w:r>
    </w:p>
    <w:p w:rsidR="00242A0C" w:rsidRPr="006532BE" w:rsidRDefault="00242A0C" w:rsidP="004901BA">
      <w:pPr>
        <w:numPr>
          <w:ilvl w:val="1"/>
          <w:numId w:val="12"/>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Předpokládané optimální využití skříní pro OLO</w:t>
      </w:r>
    </w:p>
    <w:p w:rsidR="00242A0C" w:rsidRPr="006532BE" w:rsidRDefault="00242A0C" w:rsidP="004901BA">
      <w:pPr>
        <w:numPr>
          <w:ilvl w:val="1"/>
          <w:numId w:val="12"/>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Životnost operátora</w:t>
      </w:r>
      <w:r w:rsidR="0047095F" w:rsidRPr="006532BE">
        <w:rPr>
          <w:rFonts w:ascii="Arial" w:hAnsi="Arial" w:cs="Arial"/>
          <w:color w:val="000000"/>
          <w:sz w:val="22"/>
          <w:szCs w:val="22"/>
        </w:rPr>
        <w:t xml:space="preserve"> v </w:t>
      </w:r>
      <w:r w:rsidRPr="006532BE">
        <w:rPr>
          <w:rFonts w:ascii="Arial" w:hAnsi="Arial" w:cs="Arial"/>
          <w:color w:val="000000"/>
          <w:sz w:val="22"/>
          <w:szCs w:val="22"/>
        </w:rPr>
        <w:t>kolokační místnosti (v letech)</w:t>
      </w:r>
    </w:p>
    <w:p w:rsidR="00242A0C" w:rsidRPr="006532BE" w:rsidRDefault="00242A0C" w:rsidP="004901BA">
      <w:pPr>
        <w:numPr>
          <w:ilvl w:val="1"/>
          <w:numId w:val="12"/>
        </w:num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Životnost koncového zákazníka</w:t>
      </w:r>
    </w:p>
    <w:p w:rsidR="00242A0C" w:rsidRPr="006532BE" w:rsidRDefault="00242A0C" w:rsidP="004901BA">
      <w:pPr>
        <w:numPr>
          <w:ilvl w:val="1"/>
          <w:numId w:val="12"/>
        </w:numPr>
        <w:tabs>
          <w:tab w:val="left" w:pos="993"/>
        </w:tabs>
        <w:autoSpaceDE w:val="0"/>
        <w:autoSpaceDN w:val="0"/>
        <w:adjustRightInd w:val="0"/>
        <w:spacing w:before="60"/>
        <w:ind w:left="993" w:hanging="633"/>
        <w:jc w:val="both"/>
        <w:rPr>
          <w:rFonts w:ascii="Arial" w:hAnsi="Arial" w:cs="Arial"/>
          <w:color w:val="000000"/>
          <w:sz w:val="22"/>
          <w:szCs w:val="22"/>
        </w:rPr>
      </w:pPr>
      <w:r w:rsidRPr="006532BE">
        <w:rPr>
          <w:rFonts w:ascii="Arial" w:hAnsi="Arial" w:cs="Arial"/>
          <w:color w:val="000000"/>
          <w:sz w:val="22"/>
          <w:szCs w:val="22"/>
        </w:rPr>
        <w:t>Průměrná spotřeba</w:t>
      </w:r>
      <w:r w:rsidR="0047095F" w:rsidRPr="006532BE">
        <w:rPr>
          <w:rFonts w:ascii="Arial" w:hAnsi="Arial" w:cs="Arial"/>
          <w:color w:val="000000"/>
          <w:sz w:val="22"/>
          <w:szCs w:val="22"/>
        </w:rPr>
        <w:t xml:space="preserve"> v </w:t>
      </w:r>
      <w:r w:rsidRPr="006532BE">
        <w:rPr>
          <w:rFonts w:ascii="Arial" w:hAnsi="Arial" w:cs="Arial"/>
          <w:color w:val="000000"/>
          <w:sz w:val="22"/>
          <w:szCs w:val="22"/>
        </w:rPr>
        <w:t>kW příkonu instalovaného DSLAM</w:t>
      </w:r>
      <w:r w:rsidR="0047095F" w:rsidRPr="006532BE">
        <w:rPr>
          <w:rFonts w:ascii="Arial" w:hAnsi="Arial" w:cs="Arial"/>
          <w:color w:val="000000"/>
          <w:sz w:val="22"/>
          <w:szCs w:val="22"/>
        </w:rPr>
        <w:t xml:space="preserve"> při </w:t>
      </w:r>
      <w:r w:rsidRPr="006532BE">
        <w:rPr>
          <w:rFonts w:ascii="Arial" w:hAnsi="Arial" w:cs="Arial"/>
          <w:color w:val="000000"/>
          <w:sz w:val="22"/>
          <w:szCs w:val="22"/>
        </w:rPr>
        <w:t>předpokládaném využití skříně</w:t>
      </w:r>
    </w:p>
    <w:p w:rsidR="00242A0C" w:rsidRPr="006532BE" w:rsidRDefault="00242A0C" w:rsidP="00242A0C">
      <w:pPr>
        <w:numPr>
          <w:ilvl w:val="0"/>
          <w:numId w:val="12"/>
        </w:numPr>
        <w:autoSpaceDE w:val="0"/>
        <w:autoSpaceDN w:val="0"/>
        <w:adjustRightInd w:val="0"/>
        <w:spacing w:before="120"/>
        <w:jc w:val="both"/>
        <w:rPr>
          <w:rFonts w:ascii="Arial" w:hAnsi="Arial" w:cs="Arial"/>
          <w:color w:val="000000"/>
          <w:sz w:val="22"/>
          <w:szCs w:val="22"/>
        </w:rPr>
      </w:pPr>
      <w:proofErr w:type="spellStart"/>
      <w:r w:rsidRPr="006532BE">
        <w:rPr>
          <w:rFonts w:ascii="Arial" w:hAnsi="Arial" w:cs="Arial"/>
          <w:color w:val="000000"/>
          <w:sz w:val="22"/>
          <w:szCs w:val="22"/>
        </w:rPr>
        <w:t>Dimenzace</w:t>
      </w:r>
      <w:proofErr w:type="spellEnd"/>
      <w:r w:rsidRPr="006532BE">
        <w:rPr>
          <w:rFonts w:ascii="Arial" w:hAnsi="Arial" w:cs="Arial"/>
          <w:color w:val="000000"/>
          <w:sz w:val="22"/>
          <w:szCs w:val="22"/>
        </w:rPr>
        <w:t xml:space="preserve"> přístupových GW </w:t>
      </w:r>
      <w:proofErr w:type="spellStart"/>
      <w:r w:rsidRPr="006532BE">
        <w:rPr>
          <w:rFonts w:ascii="Arial" w:hAnsi="Arial" w:cs="Arial"/>
          <w:color w:val="000000"/>
          <w:sz w:val="22"/>
          <w:szCs w:val="22"/>
        </w:rPr>
        <w:t>DSLAMů</w:t>
      </w:r>
      <w:proofErr w:type="spellEnd"/>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Počet slotů</w:t>
      </w:r>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Počet </w:t>
      </w:r>
      <w:proofErr w:type="spellStart"/>
      <w:r w:rsidRPr="006532BE">
        <w:rPr>
          <w:rFonts w:ascii="Arial" w:hAnsi="Arial" w:cs="Arial"/>
          <w:color w:val="000000"/>
          <w:sz w:val="22"/>
          <w:szCs w:val="22"/>
        </w:rPr>
        <w:t>downlinků</w:t>
      </w:r>
      <w:proofErr w:type="spellEnd"/>
      <w:r w:rsidR="0047095F" w:rsidRPr="006532BE">
        <w:rPr>
          <w:rFonts w:ascii="Arial" w:hAnsi="Arial" w:cs="Arial"/>
          <w:color w:val="000000"/>
          <w:sz w:val="22"/>
          <w:szCs w:val="22"/>
        </w:rPr>
        <w:t xml:space="preserve"> na </w:t>
      </w:r>
      <w:r w:rsidRPr="006532BE">
        <w:rPr>
          <w:rFonts w:ascii="Arial" w:hAnsi="Arial" w:cs="Arial"/>
          <w:color w:val="000000"/>
          <w:sz w:val="22"/>
          <w:szCs w:val="22"/>
        </w:rPr>
        <w:t>jeden slot</w:t>
      </w:r>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Průměrný počet osazených van (</w:t>
      </w:r>
      <w:proofErr w:type="spellStart"/>
      <w:r w:rsidRPr="006532BE">
        <w:rPr>
          <w:rFonts w:ascii="Arial" w:hAnsi="Arial" w:cs="Arial"/>
          <w:color w:val="000000"/>
          <w:sz w:val="22"/>
          <w:szCs w:val="22"/>
        </w:rPr>
        <w:t>subracků</w:t>
      </w:r>
      <w:proofErr w:type="spellEnd"/>
      <w:r w:rsidRPr="006532BE">
        <w:rPr>
          <w:rFonts w:ascii="Arial" w:hAnsi="Arial" w:cs="Arial"/>
          <w:color w:val="000000"/>
          <w:sz w:val="22"/>
          <w:szCs w:val="22"/>
        </w:rPr>
        <w:t>)</w:t>
      </w:r>
      <w:r w:rsidR="0047095F" w:rsidRPr="006532BE">
        <w:rPr>
          <w:rFonts w:ascii="Arial" w:hAnsi="Arial" w:cs="Arial"/>
          <w:color w:val="000000"/>
          <w:sz w:val="22"/>
          <w:szCs w:val="22"/>
        </w:rPr>
        <w:t xml:space="preserve"> na </w:t>
      </w:r>
      <w:r w:rsidRPr="006532BE">
        <w:rPr>
          <w:rFonts w:ascii="Arial" w:hAnsi="Arial" w:cs="Arial"/>
          <w:color w:val="000000"/>
          <w:sz w:val="22"/>
          <w:szCs w:val="22"/>
        </w:rPr>
        <w:t>jeden GW DSLAM</w:t>
      </w:r>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Koeficient stromu</w:t>
      </w:r>
    </w:p>
    <w:p w:rsidR="00242A0C" w:rsidRPr="006532BE" w:rsidRDefault="00242A0C" w:rsidP="00242A0C">
      <w:pPr>
        <w:numPr>
          <w:ilvl w:val="0"/>
          <w:numId w:val="12"/>
        </w:numPr>
        <w:autoSpaceDE w:val="0"/>
        <w:autoSpaceDN w:val="0"/>
        <w:adjustRightInd w:val="0"/>
        <w:spacing w:before="120"/>
        <w:jc w:val="both"/>
        <w:rPr>
          <w:rFonts w:ascii="Arial" w:hAnsi="Arial" w:cs="Arial"/>
          <w:color w:val="000000"/>
          <w:sz w:val="22"/>
          <w:szCs w:val="22"/>
        </w:rPr>
      </w:pPr>
      <w:r w:rsidRPr="006532BE">
        <w:rPr>
          <w:rFonts w:ascii="Arial" w:hAnsi="Arial" w:cs="Arial"/>
          <w:color w:val="000000"/>
          <w:sz w:val="22"/>
          <w:szCs w:val="22"/>
        </w:rPr>
        <w:t>Geografické členění</w:t>
      </w:r>
      <w:r w:rsidR="0047095F" w:rsidRPr="006532BE">
        <w:rPr>
          <w:rFonts w:ascii="Arial" w:hAnsi="Arial" w:cs="Arial"/>
          <w:color w:val="000000"/>
          <w:sz w:val="22"/>
          <w:szCs w:val="22"/>
        </w:rPr>
        <w:t xml:space="preserve"> v </w:t>
      </w:r>
      <w:r w:rsidRPr="006532BE">
        <w:rPr>
          <w:rFonts w:ascii="Arial" w:hAnsi="Arial" w:cs="Arial"/>
          <w:color w:val="000000"/>
          <w:sz w:val="22"/>
          <w:szCs w:val="22"/>
        </w:rPr>
        <w:t>páteřní síti (dle vzorku lokalit)</w:t>
      </w:r>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Podíl kabelů</w:t>
      </w:r>
      <w:r w:rsidR="0047095F" w:rsidRPr="006532BE">
        <w:rPr>
          <w:rFonts w:ascii="Arial" w:hAnsi="Arial" w:cs="Arial"/>
          <w:color w:val="000000"/>
          <w:sz w:val="22"/>
          <w:szCs w:val="22"/>
        </w:rPr>
        <w:t xml:space="preserve"> v </w:t>
      </w:r>
      <w:proofErr w:type="spellStart"/>
      <w:r w:rsidRPr="006532BE">
        <w:rPr>
          <w:rFonts w:ascii="Arial" w:hAnsi="Arial" w:cs="Arial"/>
          <w:color w:val="000000"/>
          <w:sz w:val="22"/>
          <w:szCs w:val="22"/>
        </w:rPr>
        <w:t>kabelovodech</w:t>
      </w:r>
      <w:proofErr w:type="spellEnd"/>
      <w:r w:rsidR="0047095F" w:rsidRPr="006532BE">
        <w:rPr>
          <w:rFonts w:ascii="Arial" w:hAnsi="Arial" w:cs="Arial"/>
          <w:color w:val="000000"/>
          <w:sz w:val="22"/>
          <w:szCs w:val="22"/>
        </w:rPr>
        <w:t xml:space="preserve"> podle </w:t>
      </w:r>
      <w:r w:rsidRPr="006532BE">
        <w:rPr>
          <w:rFonts w:ascii="Arial" w:hAnsi="Arial" w:cs="Arial"/>
          <w:color w:val="000000"/>
          <w:sz w:val="22"/>
          <w:szCs w:val="22"/>
        </w:rPr>
        <w:t>zón</w:t>
      </w:r>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Podíl délky optických kabelů</w:t>
      </w:r>
      <w:r w:rsidR="0047095F" w:rsidRPr="006532BE">
        <w:rPr>
          <w:rFonts w:ascii="Arial" w:hAnsi="Arial" w:cs="Arial"/>
          <w:color w:val="000000"/>
          <w:sz w:val="22"/>
          <w:szCs w:val="22"/>
        </w:rPr>
        <w:t xml:space="preserve"> v </w:t>
      </w:r>
      <w:r w:rsidRPr="006532BE">
        <w:rPr>
          <w:rFonts w:ascii="Arial" w:hAnsi="Arial" w:cs="Arial"/>
          <w:color w:val="000000"/>
          <w:sz w:val="22"/>
          <w:szCs w:val="22"/>
        </w:rPr>
        <w:t>jednotlivých zónách</w:t>
      </w:r>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Koeficient sdílení výkopu optickými kabely</w:t>
      </w:r>
      <w:r w:rsidR="0047095F" w:rsidRPr="006532BE">
        <w:rPr>
          <w:rFonts w:ascii="Arial" w:hAnsi="Arial" w:cs="Arial"/>
          <w:color w:val="000000"/>
          <w:sz w:val="22"/>
          <w:szCs w:val="22"/>
        </w:rPr>
        <w:t xml:space="preserve"> v </w:t>
      </w:r>
      <w:r w:rsidRPr="006532BE">
        <w:rPr>
          <w:rFonts w:ascii="Arial" w:hAnsi="Arial" w:cs="Arial"/>
          <w:color w:val="000000"/>
          <w:sz w:val="22"/>
          <w:szCs w:val="22"/>
        </w:rPr>
        <w:t>páteřní síti</w:t>
      </w:r>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Průměrná délka </w:t>
      </w:r>
      <w:proofErr w:type="spellStart"/>
      <w:r w:rsidRPr="006532BE">
        <w:rPr>
          <w:rFonts w:ascii="Arial" w:hAnsi="Arial" w:cs="Arial"/>
          <w:color w:val="000000"/>
          <w:sz w:val="22"/>
          <w:szCs w:val="22"/>
        </w:rPr>
        <w:t>propojů</w:t>
      </w:r>
      <w:proofErr w:type="spellEnd"/>
      <w:r w:rsidRPr="006532BE">
        <w:rPr>
          <w:rFonts w:ascii="Arial" w:hAnsi="Arial" w:cs="Arial"/>
          <w:color w:val="000000"/>
          <w:sz w:val="22"/>
          <w:szCs w:val="22"/>
        </w:rPr>
        <w:t xml:space="preserve"> mezi sousedními elementy</w:t>
      </w:r>
      <w:r w:rsidR="0047095F" w:rsidRPr="006532BE">
        <w:rPr>
          <w:rFonts w:ascii="Arial" w:hAnsi="Arial" w:cs="Arial"/>
          <w:color w:val="000000"/>
          <w:sz w:val="22"/>
          <w:szCs w:val="22"/>
        </w:rPr>
        <w:t xml:space="preserve"> v </w:t>
      </w:r>
      <w:r w:rsidRPr="006532BE">
        <w:rPr>
          <w:rFonts w:ascii="Arial" w:hAnsi="Arial" w:cs="Arial"/>
          <w:color w:val="000000"/>
          <w:sz w:val="22"/>
          <w:szCs w:val="22"/>
        </w:rPr>
        <w:t>metrech</w:t>
      </w:r>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Obsazenost optických vláken</w:t>
      </w:r>
    </w:p>
    <w:p w:rsidR="00242A0C" w:rsidRPr="006532BE" w:rsidRDefault="00242A0C" w:rsidP="00F70E18">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Zastoupení optických kabelů</w:t>
      </w:r>
      <w:r w:rsidR="0047095F" w:rsidRPr="006532BE">
        <w:rPr>
          <w:rFonts w:ascii="Arial" w:hAnsi="Arial" w:cs="Arial"/>
          <w:color w:val="000000"/>
          <w:sz w:val="22"/>
          <w:szCs w:val="22"/>
        </w:rPr>
        <w:t xml:space="preserve"> v </w:t>
      </w:r>
      <w:r w:rsidRPr="006532BE">
        <w:rPr>
          <w:rFonts w:ascii="Arial" w:hAnsi="Arial" w:cs="Arial"/>
          <w:color w:val="000000"/>
          <w:sz w:val="22"/>
          <w:szCs w:val="22"/>
        </w:rPr>
        <w:t>členění dle počtu vláken</w:t>
      </w:r>
      <w:r w:rsidR="0047095F" w:rsidRPr="006532BE">
        <w:rPr>
          <w:rFonts w:ascii="Arial" w:hAnsi="Arial" w:cs="Arial"/>
          <w:color w:val="000000"/>
          <w:sz w:val="22"/>
          <w:szCs w:val="22"/>
        </w:rPr>
        <w:t xml:space="preserve"> v </w:t>
      </w:r>
      <w:r w:rsidRPr="006532BE">
        <w:rPr>
          <w:rFonts w:ascii="Arial" w:hAnsi="Arial" w:cs="Arial"/>
          <w:color w:val="000000"/>
          <w:sz w:val="22"/>
          <w:szCs w:val="22"/>
        </w:rPr>
        <w:t>%</w:t>
      </w:r>
    </w:p>
    <w:p w:rsidR="00242A0C" w:rsidRPr="006532BE" w:rsidRDefault="00242A0C" w:rsidP="00F70E18">
      <w:pPr>
        <w:autoSpaceDE w:val="0"/>
        <w:autoSpaceDN w:val="0"/>
        <w:adjustRightInd w:val="0"/>
        <w:ind w:left="357"/>
        <w:jc w:val="both"/>
        <w:rPr>
          <w:rFonts w:ascii="Arial" w:hAnsi="Arial" w:cs="Arial"/>
          <w:color w:val="000000"/>
          <w:sz w:val="22"/>
          <w:szCs w:val="22"/>
        </w:rPr>
      </w:pPr>
      <w:r w:rsidRPr="006532BE">
        <w:rPr>
          <w:rFonts w:ascii="Arial" w:hAnsi="Arial" w:cs="Arial"/>
          <w:color w:val="000000"/>
          <w:sz w:val="22"/>
          <w:szCs w:val="22"/>
        </w:rPr>
        <w:t>ve struktuře rozdělení</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vláken (např. 12, 24, 48, 72, 96 a 144)</w:t>
      </w:r>
    </w:p>
    <w:p w:rsidR="00242A0C" w:rsidRPr="006532BE" w:rsidRDefault="00242A0C" w:rsidP="00F70E18">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Počet spojek optického kabelu</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vláken</w:t>
      </w:r>
      <w:r w:rsidR="0047095F" w:rsidRPr="006532BE">
        <w:rPr>
          <w:rFonts w:ascii="Arial" w:hAnsi="Arial" w:cs="Arial"/>
          <w:color w:val="000000"/>
          <w:sz w:val="22"/>
          <w:szCs w:val="22"/>
        </w:rPr>
        <w:t xml:space="preserve"> na </w:t>
      </w:r>
      <w:smartTag w:uri="urn:schemas-microsoft-com:office:smarttags" w:element="metricconverter">
        <w:smartTagPr>
          <w:attr w:name="ProductID" w:val="1 km"/>
        </w:smartTagPr>
        <w:r w:rsidRPr="006532BE">
          <w:rPr>
            <w:rFonts w:ascii="Arial" w:hAnsi="Arial" w:cs="Arial"/>
            <w:color w:val="000000"/>
            <w:sz w:val="22"/>
            <w:szCs w:val="22"/>
          </w:rPr>
          <w:t>1 km</w:t>
        </w:r>
      </w:smartTag>
      <w:r w:rsidRPr="006532BE">
        <w:rPr>
          <w:rFonts w:ascii="Arial" w:hAnsi="Arial" w:cs="Arial"/>
          <w:color w:val="000000"/>
          <w:sz w:val="22"/>
          <w:szCs w:val="22"/>
        </w:rPr>
        <w:t xml:space="preserve"> délky (v ks)</w:t>
      </w:r>
    </w:p>
    <w:p w:rsidR="00242A0C" w:rsidRPr="006532BE" w:rsidRDefault="00242A0C" w:rsidP="00F70E18">
      <w:pPr>
        <w:autoSpaceDE w:val="0"/>
        <w:autoSpaceDN w:val="0"/>
        <w:adjustRightInd w:val="0"/>
        <w:ind w:left="357"/>
        <w:jc w:val="both"/>
        <w:rPr>
          <w:rFonts w:ascii="Arial" w:hAnsi="Arial" w:cs="Arial"/>
          <w:color w:val="000000"/>
          <w:sz w:val="22"/>
          <w:szCs w:val="22"/>
        </w:rPr>
      </w:pPr>
      <w:r w:rsidRPr="006532BE">
        <w:rPr>
          <w:rFonts w:ascii="Arial" w:hAnsi="Arial" w:cs="Arial"/>
          <w:color w:val="000000"/>
          <w:sz w:val="22"/>
          <w:szCs w:val="22"/>
        </w:rPr>
        <w:t>ve struktuře rozdělení</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vláken (např. 12, 24, 48, 72, 96 a</w:t>
      </w:r>
      <w:r w:rsidR="002E3753" w:rsidRPr="006532BE">
        <w:rPr>
          <w:rFonts w:ascii="Arial" w:hAnsi="Arial" w:cs="Arial"/>
          <w:color w:val="000000"/>
          <w:sz w:val="22"/>
          <w:szCs w:val="22"/>
        </w:rPr>
        <w:t xml:space="preserve"> </w:t>
      </w:r>
      <w:r w:rsidRPr="006532BE">
        <w:rPr>
          <w:rFonts w:ascii="Arial" w:hAnsi="Arial" w:cs="Arial"/>
          <w:color w:val="000000"/>
          <w:sz w:val="22"/>
          <w:szCs w:val="22"/>
        </w:rPr>
        <w:t>144)</w:t>
      </w:r>
    </w:p>
    <w:p w:rsidR="00242A0C" w:rsidRPr="006532BE" w:rsidRDefault="00242A0C" w:rsidP="00F70E18">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 xml:space="preserve">Počet vláken pro připojení </w:t>
      </w:r>
      <w:proofErr w:type="spellStart"/>
      <w:r w:rsidRPr="006532BE">
        <w:rPr>
          <w:rFonts w:ascii="Arial" w:hAnsi="Arial" w:cs="Arial"/>
          <w:color w:val="000000"/>
          <w:sz w:val="22"/>
          <w:szCs w:val="22"/>
        </w:rPr>
        <w:t>DSLAMů</w:t>
      </w:r>
      <w:proofErr w:type="spellEnd"/>
    </w:p>
    <w:p w:rsidR="00242A0C" w:rsidRPr="006532BE" w:rsidRDefault="00242A0C" w:rsidP="00F70E18">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 xml:space="preserve">Počty Ethernet přepínačů </w:t>
      </w:r>
    </w:p>
    <w:p w:rsidR="00242A0C" w:rsidRPr="006532BE" w:rsidRDefault="00242A0C" w:rsidP="00F70E18">
      <w:pPr>
        <w:autoSpaceDE w:val="0"/>
        <w:autoSpaceDN w:val="0"/>
        <w:adjustRightInd w:val="0"/>
        <w:ind w:left="357"/>
        <w:jc w:val="both"/>
        <w:rPr>
          <w:rFonts w:ascii="Arial" w:hAnsi="Arial" w:cs="Arial"/>
          <w:color w:val="000000"/>
          <w:sz w:val="22"/>
          <w:szCs w:val="22"/>
        </w:rPr>
      </w:pPr>
      <w:r w:rsidRPr="006532BE">
        <w:rPr>
          <w:rFonts w:ascii="Arial" w:hAnsi="Arial" w:cs="Arial"/>
          <w:color w:val="000000"/>
          <w:sz w:val="22"/>
          <w:szCs w:val="22"/>
        </w:rPr>
        <w:t>ve struktuře rozdělení</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 xml:space="preserve">počtu slotů (např. 3, 4, 6, 9 slotů) </w:t>
      </w:r>
    </w:p>
    <w:p w:rsidR="00242A0C" w:rsidRPr="006532BE" w:rsidRDefault="00242A0C" w:rsidP="00F70E18">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Ethernet přepínače – porty (počet karet)</w:t>
      </w:r>
    </w:p>
    <w:p w:rsidR="00242A0C" w:rsidRPr="006532BE" w:rsidRDefault="00242A0C" w:rsidP="00F70E18">
      <w:pPr>
        <w:autoSpaceDE w:val="0"/>
        <w:autoSpaceDN w:val="0"/>
        <w:adjustRightInd w:val="0"/>
        <w:ind w:left="357"/>
        <w:jc w:val="both"/>
        <w:rPr>
          <w:rFonts w:ascii="Arial" w:hAnsi="Arial" w:cs="Arial"/>
          <w:color w:val="000000"/>
          <w:sz w:val="22"/>
          <w:szCs w:val="22"/>
        </w:rPr>
      </w:pPr>
      <w:r w:rsidRPr="006532BE">
        <w:rPr>
          <w:rFonts w:ascii="Arial" w:hAnsi="Arial" w:cs="Arial"/>
          <w:color w:val="000000"/>
          <w:sz w:val="22"/>
          <w:szCs w:val="22"/>
        </w:rPr>
        <w:t>v členění</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kapacity a</w:t>
      </w:r>
      <w:r w:rsidR="002E3753" w:rsidRPr="006532BE">
        <w:rPr>
          <w:rFonts w:ascii="Arial" w:hAnsi="Arial" w:cs="Arial"/>
          <w:color w:val="000000"/>
          <w:sz w:val="22"/>
          <w:szCs w:val="22"/>
        </w:rPr>
        <w:t xml:space="preserve"> </w:t>
      </w:r>
      <w:r w:rsidRPr="006532BE">
        <w:rPr>
          <w:rFonts w:ascii="Arial" w:hAnsi="Arial" w:cs="Arial"/>
          <w:color w:val="000000"/>
          <w:sz w:val="22"/>
          <w:szCs w:val="22"/>
        </w:rPr>
        <w:t>počtu portů</w:t>
      </w:r>
      <w:r w:rsidR="0047095F" w:rsidRPr="006532BE">
        <w:rPr>
          <w:rFonts w:ascii="Arial" w:hAnsi="Arial" w:cs="Arial"/>
          <w:color w:val="000000"/>
          <w:sz w:val="22"/>
          <w:szCs w:val="22"/>
        </w:rPr>
        <w:t xml:space="preserve"> na </w:t>
      </w:r>
      <w:r w:rsidRPr="006532BE">
        <w:rPr>
          <w:rFonts w:ascii="Arial" w:hAnsi="Arial" w:cs="Arial"/>
          <w:color w:val="000000"/>
          <w:sz w:val="22"/>
          <w:szCs w:val="22"/>
        </w:rPr>
        <w:t>kartě (např. 1G +SFP 24 portů, 1G +SFP 48 portů, 10G +</w:t>
      </w:r>
      <w:proofErr w:type="spellStart"/>
      <w:r w:rsidRPr="006532BE">
        <w:rPr>
          <w:rFonts w:ascii="Arial" w:hAnsi="Arial" w:cs="Arial"/>
          <w:color w:val="000000"/>
          <w:sz w:val="22"/>
          <w:szCs w:val="22"/>
        </w:rPr>
        <w:t>Xenpack</w:t>
      </w:r>
      <w:proofErr w:type="spellEnd"/>
      <w:r w:rsidRPr="006532BE">
        <w:rPr>
          <w:rFonts w:ascii="Arial" w:hAnsi="Arial" w:cs="Arial"/>
          <w:color w:val="000000"/>
          <w:sz w:val="22"/>
          <w:szCs w:val="22"/>
        </w:rPr>
        <w:t xml:space="preserve"> 4 porty, 10G +</w:t>
      </w:r>
      <w:proofErr w:type="spellStart"/>
      <w:r w:rsidRPr="006532BE">
        <w:rPr>
          <w:rFonts w:ascii="Arial" w:hAnsi="Arial" w:cs="Arial"/>
          <w:color w:val="000000"/>
          <w:sz w:val="22"/>
          <w:szCs w:val="22"/>
        </w:rPr>
        <w:t>Xenpack</w:t>
      </w:r>
      <w:proofErr w:type="spellEnd"/>
      <w:r w:rsidRPr="006532BE">
        <w:rPr>
          <w:rFonts w:ascii="Arial" w:hAnsi="Arial" w:cs="Arial"/>
          <w:color w:val="000000"/>
          <w:sz w:val="22"/>
          <w:szCs w:val="22"/>
        </w:rPr>
        <w:t xml:space="preserve"> 8 portů)</w:t>
      </w:r>
    </w:p>
    <w:p w:rsidR="00242A0C" w:rsidRPr="006532BE" w:rsidRDefault="00242A0C" w:rsidP="00F70E18">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Počet vláken pro</w:t>
      </w:r>
      <w:r w:rsidR="002E3753" w:rsidRPr="006532BE">
        <w:rPr>
          <w:rFonts w:ascii="Arial" w:hAnsi="Arial" w:cs="Arial"/>
          <w:color w:val="000000"/>
          <w:sz w:val="22"/>
          <w:szCs w:val="22"/>
        </w:rPr>
        <w:t xml:space="preserve"> </w:t>
      </w:r>
      <w:r w:rsidRPr="006532BE">
        <w:rPr>
          <w:rFonts w:ascii="Arial" w:hAnsi="Arial" w:cs="Arial"/>
          <w:color w:val="000000"/>
          <w:sz w:val="22"/>
          <w:szCs w:val="22"/>
        </w:rPr>
        <w:t>připojení Ethernet</w:t>
      </w:r>
    </w:p>
    <w:p w:rsidR="00242A0C" w:rsidRPr="006532BE" w:rsidRDefault="00242A0C" w:rsidP="00CF06A2">
      <w:pPr>
        <w:numPr>
          <w:ilvl w:val="0"/>
          <w:numId w:val="12"/>
        </w:numPr>
        <w:autoSpaceDE w:val="0"/>
        <w:autoSpaceDN w:val="0"/>
        <w:adjustRightInd w:val="0"/>
        <w:spacing w:before="120"/>
        <w:ind w:left="357" w:hanging="357"/>
        <w:jc w:val="both"/>
        <w:rPr>
          <w:rFonts w:ascii="Arial" w:hAnsi="Arial" w:cs="Arial"/>
          <w:color w:val="000000"/>
          <w:sz w:val="22"/>
          <w:szCs w:val="22"/>
        </w:rPr>
      </w:pPr>
      <w:proofErr w:type="spellStart"/>
      <w:r w:rsidRPr="006532BE">
        <w:rPr>
          <w:rFonts w:ascii="Arial" w:hAnsi="Arial" w:cs="Arial"/>
          <w:color w:val="000000"/>
          <w:sz w:val="22"/>
          <w:szCs w:val="22"/>
        </w:rPr>
        <w:t>Dimenzace</w:t>
      </w:r>
      <w:proofErr w:type="spellEnd"/>
      <w:r w:rsidRPr="006532BE">
        <w:rPr>
          <w:rFonts w:ascii="Arial" w:hAnsi="Arial" w:cs="Arial"/>
          <w:color w:val="000000"/>
          <w:sz w:val="22"/>
          <w:szCs w:val="22"/>
        </w:rPr>
        <w:t xml:space="preserve"> zařízení BRAS a</w:t>
      </w:r>
      <w:r w:rsidR="002E3753" w:rsidRPr="006532BE">
        <w:rPr>
          <w:rFonts w:ascii="Arial" w:hAnsi="Arial" w:cs="Arial"/>
          <w:color w:val="000000"/>
          <w:sz w:val="22"/>
          <w:szCs w:val="22"/>
        </w:rPr>
        <w:t xml:space="preserve"> </w:t>
      </w:r>
      <w:r w:rsidRPr="006532BE">
        <w:rPr>
          <w:rFonts w:ascii="Arial" w:hAnsi="Arial" w:cs="Arial"/>
          <w:color w:val="000000"/>
          <w:sz w:val="22"/>
          <w:szCs w:val="22"/>
        </w:rPr>
        <w:t>X-</w:t>
      </w:r>
      <w:proofErr w:type="spellStart"/>
      <w:r w:rsidRPr="006532BE">
        <w:rPr>
          <w:rFonts w:ascii="Arial" w:hAnsi="Arial" w:cs="Arial"/>
          <w:color w:val="000000"/>
          <w:sz w:val="22"/>
          <w:szCs w:val="22"/>
        </w:rPr>
        <w:t>Connect</w:t>
      </w:r>
      <w:proofErr w:type="spellEnd"/>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Počet zařízení BRAS</w:t>
      </w:r>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Počet zařízení BRAS-PE (včetně zálohy)</w:t>
      </w:r>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Počet zařízení X-</w:t>
      </w:r>
      <w:proofErr w:type="spellStart"/>
      <w:r w:rsidRPr="006532BE">
        <w:rPr>
          <w:rFonts w:ascii="Arial" w:hAnsi="Arial" w:cs="Arial"/>
          <w:color w:val="000000"/>
          <w:sz w:val="22"/>
          <w:szCs w:val="22"/>
        </w:rPr>
        <w:t>Connect</w:t>
      </w:r>
      <w:proofErr w:type="spellEnd"/>
    </w:p>
    <w:p w:rsidR="00242A0C" w:rsidRPr="006532BE" w:rsidRDefault="00242A0C" w:rsidP="002B44AD">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Počet IP směrovačů</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slotů</w:t>
      </w:r>
    </w:p>
    <w:p w:rsidR="00242A0C" w:rsidRPr="006532BE" w:rsidRDefault="00242A0C" w:rsidP="00F70E18">
      <w:pPr>
        <w:autoSpaceDE w:val="0"/>
        <w:autoSpaceDN w:val="0"/>
        <w:adjustRightInd w:val="0"/>
        <w:ind w:left="357"/>
        <w:jc w:val="both"/>
        <w:rPr>
          <w:rFonts w:ascii="Arial" w:hAnsi="Arial" w:cs="Arial"/>
          <w:color w:val="000000"/>
          <w:sz w:val="22"/>
          <w:szCs w:val="22"/>
        </w:rPr>
      </w:pPr>
      <w:r w:rsidRPr="006532BE">
        <w:rPr>
          <w:rFonts w:ascii="Arial" w:hAnsi="Arial" w:cs="Arial"/>
          <w:color w:val="000000"/>
          <w:sz w:val="22"/>
          <w:szCs w:val="22"/>
        </w:rPr>
        <w:t>v rozdělení</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slotů (např. 6, 10, 16, 16 CRS)</w:t>
      </w:r>
    </w:p>
    <w:p w:rsidR="00242A0C" w:rsidRPr="006532BE" w:rsidRDefault="00242A0C" w:rsidP="002B44AD">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Počet vláken pro propojení IP směrovačů</w:t>
      </w:r>
    </w:p>
    <w:p w:rsidR="00242A0C" w:rsidRPr="006532BE" w:rsidRDefault="00242A0C" w:rsidP="002B44AD">
      <w:pPr>
        <w:numPr>
          <w:ilvl w:val="0"/>
          <w:numId w:val="12"/>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 xml:space="preserve">Služba </w:t>
      </w:r>
      <w:proofErr w:type="spellStart"/>
      <w:r w:rsidRPr="006532BE">
        <w:rPr>
          <w:rFonts w:ascii="Arial" w:hAnsi="Arial" w:cs="Arial"/>
          <w:color w:val="000000"/>
          <w:sz w:val="22"/>
          <w:szCs w:val="22"/>
        </w:rPr>
        <w:t>Carrier</w:t>
      </w:r>
      <w:proofErr w:type="spellEnd"/>
      <w:r w:rsidRPr="006532BE">
        <w:rPr>
          <w:rFonts w:ascii="Arial" w:hAnsi="Arial" w:cs="Arial"/>
          <w:color w:val="000000"/>
          <w:sz w:val="22"/>
          <w:szCs w:val="22"/>
        </w:rPr>
        <w:t xml:space="preserve"> IP Access</w:t>
      </w:r>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lastRenderedPageBreak/>
        <w:t xml:space="preserve">Počet přístupů </w:t>
      </w:r>
      <w:proofErr w:type="spellStart"/>
      <w:r w:rsidRPr="006532BE">
        <w:rPr>
          <w:rFonts w:ascii="Arial" w:hAnsi="Arial" w:cs="Arial"/>
          <w:color w:val="000000"/>
          <w:sz w:val="22"/>
          <w:szCs w:val="22"/>
        </w:rPr>
        <w:t>Carrier</w:t>
      </w:r>
      <w:proofErr w:type="spellEnd"/>
      <w:r w:rsidRPr="006532BE">
        <w:rPr>
          <w:rFonts w:ascii="Arial" w:hAnsi="Arial" w:cs="Arial"/>
          <w:color w:val="000000"/>
          <w:sz w:val="22"/>
          <w:szCs w:val="22"/>
        </w:rPr>
        <w:t xml:space="preserve"> IP Access 10Gbps</w:t>
      </w:r>
    </w:p>
    <w:p w:rsidR="00242A0C" w:rsidRPr="006532BE" w:rsidRDefault="00242A0C" w:rsidP="002B44AD">
      <w:pPr>
        <w:numPr>
          <w:ilvl w:val="1"/>
          <w:numId w:val="12"/>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Zálohovaný přístup</w:t>
      </w:r>
    </w:p>
    <w:p w:rsidR="00242A0C" w:rsidRPr="006532BE" w:rsidRDefault="00242A0C" w:rsidP="006532BE">
      <w:pPr>
        <w:autoSpaceDE w:val="0"/>
        <w:autoSpaceDN w:val="0"/>
        <w:adjustRightInd w:val="0"/>
        <w:spacing w:before="240" w:after="40"/>
        <w:jc w:val="both"/>
        <w:rPr>
          <w:rFonts w:ascii="Arial" w:hAnsi="Arial" w:cs="Arial"/>
          <w:b/>
          <w:color w:val="000000"/>
          <w:sz w:val="22"/>
          <w:szCs w:val="22"/>
        </w:rPr>
      </w:pPr>
      <w:r w:rsidRPr="006532BE">
        <w:rPr>
          <w:rFonts w:ascii="Arial" w:hAnsi="Arial" w:cs="Arial"/>
          <w:b/>
          <w:color w:val="000000"/>
          <w:sz w:val="22"/>
          <w:szCs w:val="22"/>
        </w:rPr>
        <w:t xml:space="preserve">List – Vstupy </w:t>
      </w:r>
      <w:proofErr w:type="spellStart"/>
      <w:r w:rsidRPr="006532BE">
        <w:rPr>
          <w:rFonts w:ascii="Arial" w:hAnsi="Arial" w:cs="Arial"/>
          <w:b/>
          <w:color w:val="000000"/>
          <w:sz w:val="22"/>
          <w:szCs w:val="22"/>
        </w:rPr>
        <w:t>dimenzační</w:t>
      </w:r>
      <w:proofErr w:type="spellEnd"/>
    </w:p>
    <w:p w:rsidR="00242A0C" w:rsidRPr="006532BE" w:rsidRDefault="00242A0C" w:rsidP="008D6DDA">
      <w:pPr>
        <w:numPr>
          <w:ilvl w:val="0"/>
          <w:numId w:val="28"/>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Přístupové uzly RSU/HOST (kapacita párů celkem a aktivních párů dle jednotlivých přístupových uzlů)</w:t>
      </w:r>
    </w:p>
    <w:p w:rsidR="00242A0C" w:rsidRPr="006532BE" w:rsidRDefault="00242A0C" w:rsidP="00DF2D43">
      <w:pPr>
        <w:autoSpaceDE w:val="0"/>
        <w:autoSpaceDN w:val="0"/>
        <w:adjustRightInd w:val="0"/>
        <w:spacing w:before="240" w:after="40"/>
        <w:jc w:val="both"/>
        <w:rPr>
          <w:rFonts w:ascii="Arial" w:hAnsi="Arial" w:cs="Arial"/>
          <w:b/>
          <w:color w:val="000000"/>
          <w:sz w:val="22"/>
          <w:szCs w:val="22"/>
        </w:rPr>
      </w:pPr>
      <w:r w:rsidRPr="006532BE">
        <w:rPr>
          <w:rFonts w:ascii="Arial" w:hAnsi="Arial" w:cs="Arial"/>
          <w:b/>
          <w:color w:val="000000"/>
          <w:sz w:val="22"/>
          <w:szCs w:val="22"/>
        </w:rPr>
        <w:t>List – Vstupy ekonomické</w:t>
      </w:r>
    </w:p>
    <w:p w:rsidR="00242A0C" w:rsidRPr="006532BE" w:rsidRDefault="00242A0C" w:rsidP="008D6DDA">
      <w:pPr>
        <w:numPr>
          <w:ilvl w:val="0"/>
          <w:numId w:val="28"/>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Přirážka režijních nákladů (</w:t>
      </w:r>
      <w:proofErr w:type="spellStart"/>
      <w:r w:rsidRPr="006532BE">
        <w:rPr>
          <w:rFonts w:ascii="Arial" w:hAnsi="Arial" w:cs="Arial"/>
          <w:color w:val="000000"/>
          <w:sz w:val="22"/>
          <w:szCs w:val="22"/>
        </w:rPr>
        <w:t>mark</w:t>
      </w:r>
      <w:proofErr w:type="spellEnd"/>
      <w:r w:rsidRPr="006532BE">
        <w:rPr>
          <w:rFonts w:ascii="Arial" w:hAnsi="Arial" w:cs="Arial"/>
          <w:color w:val="000000"/>
          <w:sz w:val="22"/>
          <w:szCs w:val="22"/>
        </w:rPr>
        <w:t>-up)</w:t>
      </w:r>
    </w:p>
    <w:p w:rsidR="00242A0C" w:rsidRPr="006532BE" w:rsidRDefault="00242A0C" w:rsidP="002122FE">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Pořizovací ceny hlavního rozvaděče včetně montáže a příslušenství (v Kč)</w:t>
      </w:r>
    </w:p>
    <w:p w:rsidR="00242A0C" w:rsidRPr="006532BE" w:rsidRDefault="00242A0C" w:rsidP="002B44AD">
      <w:pPr>
        <w:numPr>
          <w:ilvl w:val="1"/>
          <w:numId w:val="29"/>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Příprava místa</w:t>
      </w:r>
    </w:p>
    <w:p w:rsidR="00242A0C" w:rsidRPr="006532BE" w:rsidRDefault="00242A0C" w:rsidP="002B44AD">
      <w:pPr>
        <w:numPr>
          <w:ilvl w:val="1"/>
          <w:numId w:val="29"/>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Rozvodní pole</w:t>
      </w:r>
      <w:r w:rsidR="0047095F" w:rsidRPr="006532BE">
        <w:rPr>
          <w:rFonts w:ascii="Arial" w:hAnsi="Arial" w:cs="Arial"/>
          <w:color w:val="000000"/>
          <w:sz w:val="22"/>
          <w:szCs w:val="22"/>
        </w:rPr>
        <w:t xml:space="preserve"> na </w:t>
      </w:r>
      <w:r w:rsidRPr="006532BE">
        <w:rPr>
          <w:rFonts w:ascii="Arial" w:hAnsi="Arial" w:cs="Arial"/>
          <w:color w:val="000000"/>
          <w:sz w:val="22"/>
          <w:szCs w:val="22"/>
        </w:rPr>
        <w:t>3000 párů</w:t>
      </w:r>
    </w:p>
    <w:p w:rsidR="00242A0C" w:rsidRPr="006532BE" w:rsidRDefault="00242A0C" w:rsidP="002B44AD">
      <w:pPr>
        <w:numPr>
          <w:ilvl w:val="1"/>
          <w:numId w:val="29"/>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Pásek – účastník</w:t>
      </w:r>
      <w:r w:rsidR="0047095F" w:rsidRPr="006532BE">
        <w:rPr>
          <w:rFonts w:ascii="Arial" w:hAnsi="Arial" w:cs="Arial"/>
          <w:color w:val="000000"/>
          <w:sz w:val="22"/>
          <w:szCs w:val="22"/>
        </w:rPr>
        <w:t xml:space="preserve"> na </w:t>
      </w:r>
      <w:r w:rsidRPr="006532BE">
        <w:rPr>
          <w:rFonts w:ascii="Arial" w:hAnsi="Arial" w:cs="Arial"/>
          <w:color w:val="000000"/>
          <w:sz w:val="22"/>
          <w:szCs w:val="22"/>
        </w:rPr>
        <w:t>100 párů</w:t>
      </w:r>
    </w:p>
    <w:p w:rsidR="00242A0C" w:rsidRPr="006532BE" w:rsidRDefault="00242A0C" w:rsidP="002B44AD">
      <w:pPr>
        <w:numPr>
          <w:ilvl w:val="1"/>
          <w:numId w:val="29"/>
        </w:numPr>
        <w:tabs>
          <w:tab w:val="left" w:pos="993"/>
        </w:tabs>
        <w:autoSpaceDE w:val="0"/>
        <w:autoSpaceDN w:val="0"/>
        <w:adjustRightInd w:val="0"/>
        <w:spacing w:before="60" w:after="120"/>
        <w:ind w:left="992" w:hanging="635"/>
        <w:jc w:val="both"/>
        <w:rPr>
          <w:rFonts w:ascii="Arial" w:hAnsi="Arial" w:cs="Arial"/>
          <w:color w:val="000000"/>
          <w:sz w:val="22"/>
          <w:szCs w:val="22"/>
        </w:rPr>
      </w:pPr>
      <w:r w:rsidRPr="006532BE">
        <w:rPr>
          <w:rFonts w:ascii="Arial" w:hAnsi="Arial" w:cs="Arial"/>
          <w:color w:val="000000"/>
          <w:sz w:val="22"/>
          <w:szCs w:val="22"/>
        </w:rPr>
        <w:t>Pásek – ústředna</w:t>
      </w:r>
      <w:r w:rsidR="0047095F" w:rsidRPr="006532BE">
        <w:rPr>
          <w:rFonts w:ascii="Arial" w:hAnsi="Arial" w:cs="Arial"/>
          <w:color w:val="000000"/>
          <w:sz w:val="22"/>
          <w:szCs w:val="22"/>
        </w:rPr>
        <w:t xml:space="preserve"> na </w:t>
      </w:r>
      <w:r w:rsidRPr="006532BE">
        <w:rPr>
          <w:rFonts w:ascii="Arial" w:hAnsi="Arial" w:cs="Arial"/>
          <w:color w:val="000000"/>
          <w:sz w:val="22"/>
          <w:szCs w:val="22"/>
        </w:rPr>
        <w:t>256 párů</w:t>
      </w:r>
    </w:p>
    <w:p w:rsidR="00242A0C" w:rsidRPr="006532BE" w:rsidRDefault="00242A0C" w:rsidP="002122FE">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Pořizovací ceny ostatních rozvaděčů mimo hl. rozvaděč včetně montáže a příslušenství (v Kč)</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Skříň a montáž</w:t>
      </w:r>
      <w:r w:rsidRPr="006532BE">
        <w:rPr>
          <w:rFonts w:ascii="Arial" w:hAnsi="Arial" w:cs="Arial"/>
          <w:color w:val="000000"/>
          <w:sz w:val="22"/>
          <w:szCs w:val="22"/>
        </w:rPr>
        <w:tab/>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Svorkovnice</w:t>
      </w:r>
      <w:r w:rsidR="0047095F" w:rsidRPr="006532BE">
        <w:rPr>
          <w:rFonts w:ascii="Arial" w:hAnsi="Arial" w:cs="Arial"/>
          <w:color w:val="000000"/>
          <w:sz w:val="22"/>
          <w:szCs w:val="22"/>
        </w:rPr>
        <w:t xml:space="preserve"> na </w:t>
      </w:r>
      <w:r w:rsidRPr="006532BE">
        <w:rPr>
          <w:rFonts w:ascii="Arial" w:hAnsi="Arial" w:cs="Arial"/>
          <w:color w:val="000000"/>
          <w:sz w:val="22"/>
          <w:szCs w:val="22"/>
        </w:rPr>
        <w:t>10 párů</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Ukončení čtyřky</w:t>
      </w:r>
      <w:r w:rsidR="0047095F" w:rsidRPr="006532BE">
        <w:rPr>
          <w:rFonts w:ascii="Arial" w:hAnsi="Arial" w:cs="Arial"/>
          <w:color w:val="000000"/>
          <w:sz w:val="22"/>
          <w:szCs w:val="22"/>
        </w:rPr>
        <w:t xml:space="preserve"> na </w:t>
      </w:r>
      <w:r w:rsidRPr="006532BE">
        <w:rPr>
          <w:rFonts w:ascii="Arial" w:hAnsi="Arial" w:cs="Arial"/>
          <w:color w:val="000000"/>
          <w:sz w:val="22"/>
          <w:szCs w:val="22"/>
        </w:rPr>
        <w:t>4 páry</w:t>
      </w:r>
      <w:r w:rsidRPr="006532BE">
        <w:rPr>
          <w:rFonts w:ascii="Arial" w:hAnsi="Arial" w:cs="Arial"/>
          <w:color w:val="000000"/>
          <w:sz w:val="22"/>
          <w:szCs w:val="22"/>
        </w:rPr>
        <w:tab/>
      </w:r>
    </w:p>
    <w:p w:rsidR="00242A0C" w:rsidRPr="006532BE" w:rsidRDefault="00242A0C" w:rsidP="002122FE">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Pořizovací ceny optických rozvaděčů včetně montáže a příslušenství (v Kč)</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ODF</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SDF</w:t>
      </w:r>
    </w:p>
    <w:p w:rsidR="00242A0C" w:rsidRPr="006532BE" w:rsidRDefault="00242A0C" w:rsidP="002122FE">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Pořizovací ceny dalších síťových prvků</w:t>
      </w:r>
      <w:r w:rsidR="0047095F" w:rsidRPr="006532BE">
        <w:rPr>
          <w:rFonts w:ascii="Arial" w:hAnsi="Arial" w:cs="Arial"/>
          <w:color w:val="000000"/>
          <w:sz w:val="22"/>
          <w:szCs w:val="22"/>
        </w:rPr>
        <w:t xml:space="preserve"> v </w:t>
      </w:r>
      <w:r w:rsidRPr="006532BE">
        <w:rPr>
          <w:rFonts w:ascii="Arial" w:hAnsi="Arial" w:cs="Arial"/>
          <w:color w:val="000000"/>
          <w:sz w:val="22"/>
          <w:szCs w:val="22"/>
        </w:rPr>
        <w:t>přístupové síti (v Kč)</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Zařízení pro </w:t>
      </w:r>
      <w:proofErr w:type="spellStart"/>
      <w:r w:rsidR="00E3569C" w:rsidRPr="006532BE">
        <w:rPr>
          <w:rFonts w:ascii="Arial" w:hAnsi="Arial" w:cs="Arial"/>
          <w:color w:val="000000"/>
          <w:sz w:val="22"/>
          <w:szCs w:val="22"/>
        </w:rPr>
        <w:t>spectrum</w:t>
      </w:r>
      <w:proofErr w:type="spellEnd"/>
      <w:r w:rsidR="00E3569C" w:rsidRPr="006532BE">
        <w:rPr>
          <w:rFonts w:ascii="Arial" w:hAnsi="Arial" w:cs="Arial"/>
          <w:color w:val="000000"/>
          <w:sz w:val="22"/>
          <w:szCs w:val="22"/>
        </w:rPr>
        <w:t xml:space="preserve"> management</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proofErr w:type="spellStart"/>
      <w:r w:rsidRPr="006532BE">
        <w:rPr>
          <w:rFonts w:ascii="Arial" w:hAnsi="Arial" w:cs="Arial"/>
          <w:color w:val="000000"/>
          <w:sz w:val="22"/>
          <w:szCs w:val="22"/>
        </w:rPr>
        <w:t>Splitter</w:t>
      </w:r>
      <w:proofErr w:type="spellEnd"/>
      <w:r w:rsidR="0047095F" w:rsidRPr="006532BE">
        <w:rPr>
          <w:rFonts w:ascii="Arial" w:hAnsi="Arial" w:cs="Arial"/>
          <w:color w:val="000000"/>
          <w:sz w:val="22"/>
          <w:szCs w:val="22"/>
        </w:rPr>
        <w:t xml:space="preserve"> na </w:t>
      </w:r>
      <w:r w:rsidR="00E3569C" w:rsidRPr="006532BE">
        <w:rPr>
          <w:rFonts w:ascii="Arial" w:hAnsi="Arial" w:cs="Arial"/>
          <w:color w:val="000000"/>
          <w:sz w:val="22"/>
          <w:szCs w:val="22"/>
        </w:rPr>
        <w:t>ústředně</w:t>
      </w:r>
    </w:p>
    <w:p w:rsidR="00242A0C" w:rsidRPr="006532BE" w:rsidRDefault="00242A0C" w:rsidP="002122FE">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Pořizovací ceny ulož</w:t>
      </w:r>
      <w:r w:rsidR="00E3569C" w:rsidRPr="006532BE">
        <w:rPr>
          <w:rFonts w:ascii="Arial" w:hAnsi="Arial" w:cs="Arial"/>
          <w:color w:val="000000"/>
          <w:sz w:val="22"/>
          <w:szCs w:val="22"/>
        </w:rPr>
        <w:t>ení kabelů (v Kč/m)</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Do výkopu</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Do </w:t>
      </w:r>
      <w:proofErr w:type="spellStart"/>
      <w:r w:rsidRPr="006532BE">
        <w:rPr>
          <w:rFonts w:ascii="Arial" w:hAnsi="Arial" w:cs="Arial"/>
          <w:color w:val="000000"/>
          <w:sz w:val="22"/>
          <w:szCs w:val="22"/>
        </w:rPr>
        <w:t>kabelovodu</w:t>
      </w:r>
      <w:proofErr w:type="spellEnd"/>
      <w:r w:rsidRPr="006532BE">
        <w:rPr>
          <w:rFonts w:ascii="Arial" w:hAnsi="Arial" w:cs="Arial"/>
          <w:color w:val="000000"/>
          <w:sz w:val="22"/>
          <w:szCs w:val="22"/>
        </w:rPr>
        <w:tab/>
      </w:r>
    </w:p>
    <w:p w:rsidR="00242A0C" w:rsidRPr="006532BE" w:rsidRDefault="00242A0C" w:rsidP="002122FE">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Pořizovací ceny metalických kabelů</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párů (v Kč/m)</w:t>
      </w:r>
      <w:r w:rsidRPr="006532BE">
        <w:rPr>
          <w:rFonts w:ascii="Arial" w:hAnsi="Arial" w:cs="Arial"/>
          <w:color w:val="000000"/>
          <w:sz w:val="22"/>
          <w:szCs w:val="22"/>
        </w:rPr>
        <w:tab/>
      </w:r>
    </w:p>
    <w:p w:rsidR="00242A0C" w:rsidRPr="006532BE" w:rsidRDefault="003D10D3" w:rsidP="002B44AD">
      <w:pPr>
        <w:tabs>
          <w:tab w:val="left" w:pos="993"/>
        </w:tabs>
        <w:autoSpaceDE w:val="0"/>
        <w:autoSpaceDN w:val="0"/>
        <w:adjustRightInd w:val="0"/>
        <w:ind w:firstLine="357"/>
        <w:jc w:val="both"/>
        <w:rPr>
          <w:rFonts w:ascii="Arial" w:hAnsi="Arial" w:cs="Arial"/>
          <w:color w:val="000000"/>
          <w:sz w:val="22"/>
          <w:szCs w:val="22"/>
        </w:rPr>
      </w:pPr>
      <w:r w:rsidRPr="006532BE">
        <w:rPr>
          <w:rFonts w:ascii="Arial" w:hAnsi="Arial" w:cs="Arial"/>
          <w:color w:val="000000"/>
          <w:sz w:val="22"/>
          <w:szCs w:val="22"/>
        </w:rPr>
        <w:t>v členění</w:t>
      </w:r>
    </w:p>
    <w:p w:rsidR="00242A0C" w:rsidRPr="006532BE" w:rsidRDefault="003D10D3"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2 páry</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 10 párech až do hranice 100 párů</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 100 párech až do hranice 5000 párů</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nad 5000 párů</w:t>
      </w:r>
    </w:p>
    <w:p w:rsidR="00242A0C" w:rsidRPr="006532BE" w:rsidRDefault="00242A0C" w:rsidP="002122FE">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Pořizovací ceny spojek metalických kabelů (v Kč/ks)</w:t>
      </w:r>
    </w:p>
    <w:p w:rsidR="00242A0C" w:rsidRPr="006532BE" w:rsidRDefault="00242A0C" w:rsidP="0008474D">
      <w:pPr>
        <w:tabs>
          <w:tab w:val="left" w:pos="993"/>
        </w:tabs>
        <w:autoSpaceDE w:val="0"/>
        <w:autoSpaceDN w:val="0"/>
        <w:adjustRightInd w:val="0"/>
        <w:ind w:firstLine="357"/>
        <w:jc w:val="both"/>
        <w:rPr>
          <w:rFonts w:ascii="Arial" w:hAnsi="Arial" w:cs="Arial"/>
          <w:color w:val="000000"/>
          <w:sz w:val="22"/>
          <w:szCs w:val="22"/>
        </w:rPr>
      </w:pPr>
      <w:r w:rsidRPr="006532BE">
        <w:rPr>
          <w:rFonts w:ascii="Arial" w:hAnsi="Arial" w:cs="Arial"/>
          <w:color w:val="000000"/>
          <w:sz w:val="22"/>
          <w:szCs w:val="22"/>
        </w:rPr>
        <w:t>ve struktuře rozdělení na:</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koncový rozvaděč (KR)</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účastnický rozvaděč (ÚR)</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síťový rozvaděč (SR)</w:t>
      </w:r>
    </w:p>
    <w:p w:rsidR="00242A0C" w:rsidRPr="006532BE" w:rsidRDefault="00242A0C" w:rsidP="002B44AD">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traťový rozvaděč (TR)</w:t>
      </w:r>
    </w:p>
    <w:p w:rsidR="00242A0C" w:rsidRPr="006532BE" w:rsidRDefault="00242A0C" w:rsidP="000B2AC0">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Pořizovací ceny optických kabelů</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vláken (v Kč/m)</w:t>
      </w:r>
    </w:p>
    <w:p w:rsidR="00242A0C" w:rsidRPr="006532BE" w:rsidRDefault="00242A0C" w:rsidP="002B44AD">
      <w:pPr>
        <w:autoSpaceDE w:val="0"/>
        <w:autoSpaceDN w:val="0"/>
        <w:adjustRightInd w:val="0"/>
        <w:ind w:firstLine="357"/>
        <w:jc w:val="both"/>
        <w:rPr>
          <w:rFonts w:ascii="Arial" w:hAnsi="Arial" w:cs="Arial"/>
          <w:color w:val="000000"/>
          <w:sz w:val="22"/>
          <w:szCs w:val="22"/>
        </w:rPr>
      </w:pPr>
      <w:r w:rsidRPr="006532BE">
        <w:rPr>
          <w:rFonts w:ascii="Arial" w:hAnsi="Arial" w:cs="Arial"/>
          <w:color w:val="000000"/>
          <w:sz w:val="22"/>
          <w:szCs w:val="22"/>
        </w:rPr>
        <w:t>ve struktuře rozdělení</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vláken (např. 12, 24, 48, 72, 96 a 144)</w:t>
      </w:r>
    </w:p>
    <w:p w:rsidR="00242A0C" w:rsidRPr="006532BE" w:rsidRDefault="00242A0C" w:rsidP="002122FE">
      <w:pPr>
        <w:numPr>
          <w:ilvl w:val="0"/>
          <w:numId w:val="28"/>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Pořizovací cena spojky optického kabelu</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vláken (v Kč/ks)</w:t>
      </w:r>
    </w:p>
    <w:p w:rsidR="00242A0C" w:rsidRPr="006532BE" w:rsidRDefault="00242A0C" w:rsidP="00F66591">
      <w:pPr>
        <w:autoSpaceDE w:val="0"/>
        <w:autoSpaceDN w:val="0"/>
        <w:adjustRightInd w:val="0"/>
        <w:ind w:left="357"/>
        <w:jc w:val="both"/>
        <w:rPr>
          <w:rFonts w:ascii="Arial" w:hAnsi="Arial" w:cs="Arial"/>
          <w:color w:val="000000"/>
          <w:sz w:val="22"/>
          <w:szCs w:val="22"/>
        </w:rPr>
      </w:pPr>
      <w:r w:rsidRPr="006532BE">
        <w:rPr>
          <w:rFonts w:ascii="Arial" w:hAnsi="Arial" w:cs="Arial"/>
          <w:color w:val="000000"/>
          <w:sz w:val="22"/>
          <w:szCs w:val="22"/>
        </w:rPr>
        <w:t>ve struktuře rozdělení</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vláken (např. 12, 24, 48, 72, 96 a 144)</w:t>
      </w:r>
    </w:p>
    <w:p w:rsidR="00242A0C" w:rsidRPr="006532BE" w:rsidRDefault="00242A0C" w:rsidP="00F66591">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(v Kč)</w:t>
      </w:r>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jednorázovýc</w:t>
      </w:r>
      <w:r w:rsidR="00197783" w:rsidRPr="006532BE">
        <w:rPr>
          <w:rFonts w:ascii="Arial" w:hAnsi="Arial" w:cs="Arial"/>
          <w:color w:val="000000"/>
          <w:sz w:val="22"/>
          <w:szCs w:val="22"/>
        </w:rPr>
        <w:t xml:space="preserve">h služeb zpřístupnění – bez </w:t>
      </w:r>
      <w:proofErr w:type="spellStart"/>
      <w:r w:rsidR="00197783" w:rsidRPr="006532BE">
        <w:rPr>
          <w:rFonts w:ascii="Arial" w:hAnsi="Arial" w:cs="Arial"/>
          <w:color w:val="000000"/>
          <w:sz w:val="22"/>
          <w:szCs w:val="22"/>
        </w:rPr>
        <w:t>CoC</w:t>
      </w:r>
      <w:proofErr w:type="spellEnd"/>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lastRenderedPageBreak/>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jednorázových služeb zpřístupnění – </w:t>
      </w:r>
      <w:proofErr w:type="spellStart"/>
      <w:r w:rsidRPr="006532BE">
        <w:rPr>
          <w:rFonts w:ascii="Arial" w:hAnsi="Arial" w:cs="Arial"/>
          <w:color w:val="000000"/>
          <w:sz w:val="22"/>
          <w:szCs w:val="22"/>
        </w:rPr>
        <w:t>CoC</w:t>
      </w:r>
      <w:proofErr w:type="spellEnd"/>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měsíčních služeb zpřístupnění – bez </w:t>
      </w:r>
      <w:proofErr w:type="spellStart"/>
      <w:r w:rsidRPr="006532BE">
        <w:rPr>
          <w:rFonts w:ascii="Arial" w:hAnsi="Arial" w:cs="Arial"/>
          <w:color w:val="000000"/>
          <w:sz w:val="22"/>
          <w:szCs w:val="22"/>
        </w:rPr>
        <w:t>CoC</w:t>
      </w:r>
      <w:proofErr w:type="spellEnd"/>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měsíčních služeb zpřístupnění – </w:t>
      </w:r>
      <w:proofErr w:type="spellStart"/>
      <w:r w:rsidRPr="006532BE">
        <w:rPr>
          <w:rFonts w:ascii="Arial" w:hAnsi="Arial" w:cs="Arial"/>
          <w:color w:val="000000"/>
          <w:sz w:val="22"/>
          <w:szCs w:val="22"/>
        </w:rPr>
        <w:t>CoC</w:t>
      </w:r>
      <w:proofErr w:type="spellEnd"/>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jednorázových velkoobchodních služeb </w:t>
      </w:r>
      <w:r w:rsidR="00B32B68" w:rsidRPr="006532BE">
        <w:rPr>
          <w:rFonts w:ascii="Arial" w:hAnsi="Arial" w:cs="Arial"/>
          <w:color w:val="000000"/>
          <w:sz w:val="22"/>
          <w:szCs w:val="22"/>
        </w:rPr>
        <w:br/>
      </w:r>
      <w:r w:rsidRPr="006532BE">
        <w:rPr>
          <w:rFonts w:ascii="Arial" w:hAnsi="Arial" w:cs="Arial"/>
          <w:color w:val="000000"/>
          <w:sz w:val="22"/>
          <w:szCs w:val="22"/>
        </w:rPr>
        <w:t>ADSL</w:t>
      </w:r>
      <w:r w:rsidR="00197783" w:rsidRPr="006532BE">
        <w:rPr>
          <w:rFonts w:ascii="Arial" w:hAnsi="Arial" w:cs="Arial"/>
          <w:color w:val="000000"/>
          <w:sz w:val="22"/>
          <w:szCs w:val="22"/>
        </w:rPr>
        <w:t xml:space="preserve"> </w:t>
      </w:r>
      <w:r w:rsidRPr="006532BE">
        <w:rPr>
          <w:rFonts w:ascii="Arial" w:hAnsi="Arial" w:cs="Arial"/>
          <w:color w:val="000000"/>
          <w:sz w:val="22"/>
          <w:szCs w:val="22"/>
        </w:rPr>
        <w:t>–</w:t>
      </w:r>
      <w:r w:rsidR="00197783" w:rsidRPr="006532BE">
        <w:rPr>
          <w:rFonts w:ascii="Arial" w:hAnsi="Arial" w:cs="Arial"/>
          <w:color w:val="000000"/>
          <w:sz w:val="22"/>
          <w:szCs w:val="22"/>
        </w:rPr>
        <w:t xml:space="preserve"> b</w:t>
      </w:r>
      <w:r w:rsidRPr="006532BE">
        <w:rPr>
          <w:rFonts w:ascii="Arial" w:hAnsi="Arial" w:cs="Arial"/>
          <w:color w:val="000000"/>
          <w:sz w:val="22"/>
          <w:szCs w:val="22"/>
        </w:rPr>
        <w:t>ez </w:t>
      </w:r>
      <w:proofErr w:type="spellStart"/>
      <w:r w:rsidRPr="006532BE">
        <w:rPr>
          <w:rFonts w:ascii="Arial" w:hAnsi="Arial" w:cs="Arial"/>
          <w:color w:val="000000"/>
          <w:sz w:val="22"/>
          <w:szCs w:val="22"/>
        </w:rPr>
        <w:t>CoC</w:t>
      </w:r>
      <w:proofErr w:type="spellEnd"/>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jednorázových velkoobchodních služeb </w:t>
      </w:r>
      <w:r w:rsidR="00E3569C" w:rsidRPr="006532BE">
        <w:rPr>
          <w:rFonts w:ascii="Arial" w:hAnsi="Arial" w:cs="Arial"/>
          <w:color w:val="000000"/>
          <w:sz w:val="22"/>
          <w:szCs w:val="22"/>
        </w:rPr>
        <w:br/>
      </w:r>
      <w:r w:rsidRPr="006532BE">
        <w:rPr>
          <w:rFonts w:ascii="Arial" w:hAnsi="Arial" w:cs="Arial"/>
          <w:color w:val="000000"/>
          <w:sz w:val="22"/>
          <w:szCs w:val="22"/>
        </w:rPr>
        <w:t xml:space="preserve">ADSL – </w:t>
      </w:r>
      <w:proofErr w:type="spellStart"/>
      <w:r w:rsidRPr="006532BE">
        <w:rPr>
          <w:rFonts w:ascii="Arial" w:hAnsi="Arial" w:cs="Arial"/>
          <w:color w:val="000000"/>
          <w:sz w:val="22"/>
          <w:szCs w:val="22"/>
        </w:rPr>
        <w:t>CoC</w:t>
      </w:r>
      <w:proofErr w:type="spellEnd"/>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měsíčních velkoobchodních služeb </w:t>
      </w:r>
      <w:r w:rsidR="00E3569C" w:rsidRPr="006532BE">
        <w:rPr>
          <w:rFonts w:ascii="Arial" w:hAnsi="Arial" w:cs="Arial"/>
          <w:color w:val="000000"/>
          <w:sz w:val="22"/>
          <w:szCs w:val="22"/>
        </w:rPr>
        <w:br/>
      </w:r>
      <w:r w:rsidRPr="006532BE">
        <w:rPr>
          <w:rFonts w:ascii="Arial" w:hAnsi="Arial" w:cs="Arial"/>
          <w:color w:val="000000"/>
          <w:sz w:val="22"/>
          <w:szCs w:val="22"/>
        </w:rPr>
        <w:t xml:space="preserve">ADSL – bez </w:t>
      </w:r>
      <w:proofErr w:type="spellStart"/>
      <w:r w:rsidRPr="006532BE">
        <w:rPr>
          <w:rFonts w:ascii="Arial" w:hAnsi="Arial" w:cs="Arial"/>
          <w:color w:val="000000"/>
          <w:sz w:val="22"/>
          <w:szCs w:val="22"/>
        </w:rPr>
        <w:t>CoC</w:t>
      </w:r>
      <w:proofErr w:type="spellEnd"/>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měsíčních velkoobchodních služeb ADSL – </w:t>
      </w:r>
      <w:proofErr w:type="spellStart"/>
      <w:r w:rsidRPr="006532BE">
        <w:rPr>
          <w:rFonts w:ascii="Arial" w:hAnsi="Arial" w:cs="Arial"/>
          <w:color w:val="000000"/>
          <w:sz w:val="22"/>
          <w:szCs w:val="22"/>
        </w:rPr>
        <w:t>CoC</w:t>
      </w:r>
      <w:proofErr w:type="spellEnd"/>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jednorázových maloobchodních služeb ADSL (bez velkoobchodních systémů) – bez </w:t>
      </w:r>
      <w:proofErr w:type="spellStart"/>
      <w:r w:rsidRPr="006532BE">
        <w:rPr>
          <w:rFonts w:ascii="Arial" w:hAnsi="Arial" w:cs="Arial"/>
          <w:color w:val="000000"/>
          <w:sz w:val="22"/>
          <w:szCs w:val="22"/>
        </w:rPr>
        <w:t>CoC</w:t>
      </w:r>
      <w:proofErr w:type="spellEnd"/>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jednorázových maloobchodních služeb ADSL (bez velkoobchodních systémů) – </w:t>
      </w:r>
      <w:proofErr w:type="spellStart"/>
      <w:r w:rsidRPr="006532BE">
        <w:rPr>
          <w:rFonts w:ascii="Arial" w:hAnsi="Arial" w:cs="Arial"/>
          <w:color w:val="000000"/>
          <w:sz w:val="22"/>
          <w:szCs w:val="22"/>
        </w:rPr>
        <w:t>CoC</w:t>
      </w:r>
      <w:proofErr w:type="spellEnd"/>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měsíčních maloobchodních služeb ADSL (bez velkoobchodních systémů) – bez </w:t>
      </w:r>
      <w:proofErr w:type="spellStart"/>
      <w:r w:rsidRPr="006532BE">
        <w:rPr>
          <w:rFonts w:ascii="Arial" w:hAnsi="Arial" w:cs="Arial"/>
          <w:color w:val="000000"/>
          <w:sz w:val="22"/>
          <w:szCs w:val="22"/>
        </w:rPr>
        <w:t>CoC</w:t>
      </w:r>
      <w:proofErr w:type="spellEnd"/>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billing</w:t>
      </w:r>
      <w:proofErr w:type="spellEnd"/>
      <w:r w:rsidRPr="006532BE">
        <w:rPr>
          <w:rFonts w:ascii="Arial" w:hAnsi="Arial" w:cs="Arial"/>
          <w:color w:val="000000"/>
          <w:sz w:val="22"/>
          <w:szCs w:val="22"/>
        </w:rPr>
        <w:t xml:space="preserve"> měsíčních maloobchodních služeb ADSL (bez velkoobchodních systémů) – </w:t>
      </w:r>
      <w:proofErr w:type="spellStart"/>
      <w:r w:rsidRPr="006532BE">
        <w:rPr>
          <w:rFonts w:ascii="Arial" w:hAnsi="Arial" w:cs="Arial"/>
          <w:color w:val="000000"/>
          <w:sz w:val="22"/>
          <w:szCs w:val="22"/>
        </w:rPr>
        <w:t>CoC</w:t>
      </w:r>
      <w:proofErr w:type="spellEnd"/>
    </w:p>
    <w:p w:rsidR="00242A0C" w:rsidRPr="006532BE" w:rsidRDefault="00242A0C" w:rsidP="00F270D8">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vybrané nákladové objekty (v Kč)</w:t>
      </w:r>
    </w:p>
    <w:p w:rsidR="00242A0C" w:rsidRPr="006532BE" w:rsidRDefault="00242A0C" w:rsidP="00DF2D43">
      <w:pPr>
        <w:autoSpaceDE w:val="0"/>
        <w:autoSpaceDN w:val="0"/>
        <w:adjustRightInd w:val="0"/>
        <w:ind w:left="357"/>
        <w:jc w:val="both"/>
        <w:rPr>
          <w:rFonts w:ascii="Arial" w:hAnsi="Arial" w:cs="Arial"/>
          <w:color w:val="000000"/>
          <w:sz w:val="22"/>
          <w:szCs w:val="22"/>
        </w:rPr>
      </w:pPr>
      <w:r w:rsidRPr="006532BE">
        <w:rPr>
          <w:rFonts w:ascii="Arial" w:hAnsi="Arial" w:cs="Arial"/>
          <w:color w:val="000000"/>
          <w:sz w:val="22"/>
          <w:szCs w:val="22"/>
        </w:rPr>
        <w:t>v aktuálním členění určeném pro</w:t>
      </w:r>
      <w:r w:rsidR="00815066" w:rsidRPr="006532BE">
        <w:rPr>
          <w:rFonts w:ascii="Arial" w:hAnsi="Arial" w:cs="Arial"/>
          <w:color w:val="000000"/>
          <w:sz w:val="22"/>
          <w:szCs w:val="22"/>
        </w:rPr>
        <w:t xml:space="preserve"> </w:t>
      </w:r>
      <w:r w:rsidRPr="006532BE">
        <w:rPr>
          <w:rFonts w:ascii="Arial" w:hAnsi="Arial" w:cs="Arial"/>
          <w:color w:val="000000"/>
          <w:sz w:val="22"/>
          <w:szCs w:val="22"/>
        </w:rPr>
        <w:t>controlling nákladů společnosti zahrnující činnosti spojené s</w:t>
      </w:r>
      <w:r w:rsidR="00815066" w:rsidRPr="006532BE">
        <w:rPr>
          <w:rFonts w:ascii="Arial" w:hAnsi="Arial" w:cs="Arial"/>
          <w:color w:val="000000"/>
          <w:sz w:val="22"/>
          <w:szCs w:val="22"/>
        </w:rPr>
        <w:t xml:space="preserve"> </w:t>
      </w:r>
      <w:r w:rsidRPr="006532BE">
        <w:rPr>
          <w:rFonts w:ascii="Arial" w:hAnsi="Arial" w:cs="Arial"/>
          <w:color w:val="000000"/>
          <w:sz w:val="22"/>
          <w:szCs w:val="22"/>
        </w:rPr>
        <w:t>velkoprodejem a</w:t>
      </w:r>
      <w:r w:rsidR="00815066" w:rsidRPr="006532BE">
        <w:rPr>
          <w:rFonts w:ascii="Arial" w:hAnsi="Arial" w:cs="Arial"/>
          <w:color w:val="000000"/>
          <w:sz w:val="22"/>
          <w:szCs w:val="22"/>
        </w:rPr>
        <w:t xml:space="preserve"> </w:t>
      </w:r>
      <w:r w:rsidRPr="006532BE">
        <w:rPr>
          <w:rFonts w:ascii="Arial" w:hAnsi="Arial" w:cs="Arial"/>
          <w:color w:val="000000"/>
          <w:sz w:val="22"/>
          <w:szCs w:val="22"/>
        </w:rPr>
        <w:t>propojováním, administrací a</w:t>
      </w:r>
      <w:r w:rsidR="00815066" w:rsidRPr="006532BE">
        <w:rPr>
          <w:rFonts w:ascii="Arial" w:hAnsi="Arial" w:cs="Arial"/>
          <w:color w:val="000000"/>
          <w:sz w:val="22"/>
          <w:szCs w:val="22"/>
        </w:rPr>
        <w:t xml:space="preserve"> </w:t>
      </w:r>
      <w:r w:rsidRPr="006532BE">
        <w:rPr>
          <w:rFonts w:ascii="Arial" w:hAnsi="Arial" w:cs="Arial"/>
          <w:color w:val="000000"/>
          <w:sz w:val="22"/>
          <w:szCs w:val="22"/>
        </w:rPr>
        <w:t>dokumentací sítě, péčí o zákazníky, informačními systémy, řízením prací a </w:t>
      </w:r>
      <w:r w:rsidR="00F17CD6" w:rsidRPr="006532BE">
        <w:rPr>
          <w:rFonts w:ascii="Arial" w:hAnsi="Arial" w:cs="Arial"/>
          <w:color w:val="000000"/>
          <w:sz w:val="22"/>
          <w:szCs w:val="22"/>
        </w:rPr>
        <w:t>poskytováním služeb</w:t>
      </w:r>
      <w:r w:rsidRPr="006532BE">
        <w:rPr>
          <w:rFonts w:ascii="Arial" w:hAnsi="Arial" w:cs="Arial"/>
          <w:color w:val="000000"/>
          <w:sz w:val="22"/>
          <w:szCs w:val="22"/>
        </w:rPr>
        <w:t xml:space="preserve"> přístupové sítě</w:t>
      </w:r>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Roční náklad připadající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nákladový objekt</w:t>
      </w:r>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Počet hodin připadajících</w:t>
      </w:r>
      <w:r w:rsidR="0047095F" w:rsidRPr="006532BE">
        <w:rPr>
          <w:rFonts w:ascii="Arial" w:hAnsi="Arial" w:cs="Arial"/>
          <w:color w:val="000000"/>
          <w:sz w:val="22"/>
          <w:szCs w:val="22"/>
        </w:rPr>
        <w:t xml:space="preserve"> na </w:t>
      </w:r>
      <w:r w:rsidRPr="006532BE">
        <w:rPr>
          <w:rFonts w:ascii="Arial" w:hAnsi="Arial" w:cs="Arial"/>
          <w:color w:val="000000"/>
          <w:sz w:val="22"/>
          <w:szCs w:val="22"/>
        </w:rPr>
        <w:t>daný nákladový objekt</w:t>
      </w:r>
    </w:p>
    <w:p w:rsidR="00242A0C" w:rsidRPr="006532BE" w:rsidRDefault="00242A0C" w:rsidP="00F66591">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NBV – vložený kapitál</w:t>
      </w:r>
      <w:r w:rsidR="0047095F" w:rsidRPr="006532BE">
        <w:rPr>
          <w:rFonts w:ascii="Arial" w:hAnsi="Arial" w:cs="Arial"/>
          <w:color w:val="000000"/>
          <w:sz w:val="22"/>
          <w:szCs w:val="22"/>
        </w:rPr>
        <w:t xml:space="preserve"> v </w:t>
      </w:r>
      <w:r w:rsidRPr="006532BE">
        <w:rPr>
          <w:rFonts w:ascii="Arial" w:hAnsi="Arial" w:cs="Arial"/>
          <w:color w:val="000000"/>
          <w:sz w:val="22"/>
          <w:szCs w:val="22"/>
        </w:rPr>
        <w:t>daném nákladovém objektu</w:t>
      </w:r>
    </w:p>
    <w:p w:rsidR="00242A0C" w:rsidRPr="006532BE" w:rsidRDefault="00242A0C" w:rsidP="00F270D8">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Činnosti externích dodavatelů za aktivitu (v Kč)</w:t>
      </w:r>
    </w:p>
    <w:p w:rsidR="00242A0C" w:rsidRPr="006532BE" w:rsidRDefault="00242A0C" w:rsidP="002B44AD">
      <w:pPr>
        <w:tabs>
          <w:tab w:val="left" w:pos="993"/>
        </w:tabs>
        <w:autoSpaceDE w:val="0"/>
        <w:autoSpaceDN w:val="0"/>
        <w:adjustRightInd w:val="0"/>
        <w:ind w:left="992" w:hanging="635"/>
        <w:jc w:val="both"/>
        <w:rPr>
          <w:rFonts w:ascii="Arial" w:hAnsi="Arial" w:cs="Arial"/>
          <w:color w:val="000000"/>
          <w:sz w:val="22"/>
          <w:szCs w:val="22"/>
        </w:rPr>
      </w:pPr>
      <w:r w:rsidRPr="006532BE">
        <w:rPr>
          <w:rFonts w:ascii="Arial" w:hAnsi="Arial" w:cs="Arial"/>
          <w:color w:val="000000"/>
          <w:sz w:val="22"/>
          <w:szCs w:val="22"/>
        </w:rPr>
        <w:t>(průměrné ceny aktivit (nikoliv hodinové sazby), prováděné externími partnery)</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Měření vedení</w:t>
      </w:r>
      <w:r w:rsidR="0047095F" w:rsidRPr="006532BE">
        <w:rPr>
          <w:rFonts w:ascii="Arial" w:hAnsi="Arial" w:cs="Arial"/>
          <w:color w:val="000000"/>
          <w:sz w:val="22"/>
          <w:szCs w:val="22"/>
        </w:rPr>
        <w:t xml:space="preserve"> na </w:t>
      </w:r>
      <w:r w:rsidRPr="006532BE">
        <w:rPr>
          <w:rFonts w:ascii="Arial" w:hAnsi="Arial" w:cs="Arial"/>
          <w:color w:val="000000"/>
          <w:sz w:val="22"/>
          <w:szCs w:val="22"/>
        </w:rPr>
        <w:t>zásuvce u účastníka</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Zřízení LLU</w:t>
      </w:r>
      <w:r w:rsidR="0047095F" w:rsidRPr="006532BE">
        <w:rPr>
          <w:rFonts w:ascii="Arial" w:hAnsi="Arial" w:cs="Arial"/>
          <w:color w:val="000000"/>
          <w:sz w:val="22"/>
          <w:szCs w:val="22"/>
        </w:rPr>
        <w:t xml:space="preserve"> na </w:t>
      </w:r>
      <w:r w:rsidRPr="006532BE">
        <w:rPr>
          <w:rFonts w:ascii="Arial" w:hAnsi="Arial" w:cs="Arial"/>
          <w:color w:val="000000"/>
          <w:sz w:val="22"/>
          <w:szCs w:val="22"/>
        </w:rPr>
        <w:t>HR</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Zrušení </w:t>
      </w:r>
      <w:proofErr w:type="spellStart"/>
      <w:r w:rsidRPr="006532BE">
        <w:rPr>
          <w:rFonts w:ascii="Arial" w:hAnsi="Arial" w:cs="Arial"/>
          <w:color w:val="000000"/>
          <w:sz w:val="22"/>
          <w:szCs w:val="22"/>
        </w:rPr>
        <w:t>ranžíru</w:t>
      </w:r>
      <w:proofErr w:type="spellEnd"/>
      <w:r w:rsidR="0047095F" w:rsidRPr="006532BE">
        <w:rPr>
          <w:rFonts w:ascii="Arial" w:hAnsi="Arial" w:cs="Arial"/>
          <w:color w:val="000000"/>
          <w:sz w:val="22"/>
          <w:szCs w:val="22"/>
        </w:rPr>
        <w:t xml:space="preserve"> na </w:t>
      </w:r>
      <w:r w:rsidRPr="006532BE">
        <w:rPr>
          <w:rFonts w:ascii="Arial" w:hAnsi="Arial" w:cs="Arial"/>
          <w:color w:val="000000"/>
          <w:sz w:val="22"/>
          <w:szCs w:val="22"/>
        </w:rPr>
        <w:t>HR – druhá práce</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Práce</w:t>
      </w:r>
      <w:r w:rsidR="0047095F" w:rsidRPr="006532BE">
        <w:rPr>
          <w:rFonts w:ascii="Arial" w:hAnsi="Arial" w:cs="Arial"/>
          <w:color w:val="000000"/>
          <w:sz w:val="22"/>
          <w:szCs w:val="22"/>
        </w:rPr>
        <w:t xml:space="preserve"> na </w:t>
      </w:r>
      <w:r w:rsidRPr="006532BE">
        <w:rPr>
          <w:rFonts w:ascii="Arial" w:hAnsi="Arial" w:cs="Arial"/>
          <w:color w:val="000000"/>
          <w:sz w:val="22"/>
          <w:szCs w:val="22"/>
        </w:rPr>
        <w:t xml:space="preserve">poruše </w:t>
      </w:r>
    </w:p>
    <w:p w:rsidR="00242A0C" w:rsidRPr="006532BE" w:rsidRDefault="00242A0C" w:rsidP="00F270D8">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 xml:space="preserve">Jednotkové ceny </w:t>
      </w:r>
      <w:proofErr w:type="spellStart"/>
      <w:r w:rsidRPr="006532BE">
        <w:rPr>
          <w:rFonts w:ascii="Arial" w:hAnsi="Arial" w:cs="Arial"/>
          <w:color w:val="000000"/>
          <w:sz w:val="22"/>
          <w:szCs w:val="22"/>
        </w:rPr>
        <w:t>DSLAMů</w:t>
      </w:r>
      <w:proofErr w:type="spellEnd"/>
      <w:r w:rsidRPr="006532BE">
        <w:rPr>
          <w:rFonts w:ascii="Arial" w:hAnsi="Arial" w:cs="Arial"/>
          <w:color w:val="000000"/>
          <w:sz w:val="22"/>
          <w:szCs w:val="22"/>
        </w:rPr>
        <w:t xml:space="preserve"> včetně montáže a příslušenství (v Kč) – pořizovací cena</w:t>
      </w:r>
    </w:p>
    <w:p w:rsidR="00242A0C" w:rsidRPr="006532BE" w:rsidRDefault="00242A0C" w:rsidP="00F66591">
      <w:pPr>
        <w:tabs>
          <w:tab w:val="left" w:pos="993"/>
        </w:tabs>
        <w:autoSpaceDE w:val="0"/>
        <w:autoSpaceDN w:val="0"/>
        <w:adjustRightInd w:val="0"/>
        <w:ind w:left="357"/>
        <w:jc w:val="both"/>
        <w:rPr>
          <w:rFonts w:ascii="Arial" w:hAnsi="Arial" w:cs="Arial"/>
          <w:color w:val="000000"/>
          <w:sz w:val="22"/>
          <w:szCs w:val="22"/>
        </w:rPr>
      </w:pPr>
      <w:r w:rsidRPr="006532BE">
        <w:rPr>
          <w:rFonts w:ascii="Arial" w:hAnsi="Arial" w:cs="Arial"/>
          <w:color w:val="000000"/>
          <w:sz w:val="22"/>
          <w:szCs w:val="22"/>
        </w:rPr>
        <w:t>(podle aktuálně nabízených typů zařízení pokrývající síť poskytovatele, např. Alcatel ISAM 7302XD, Alcatel ISAM 7302FD, Huawei MA5600, Huawei MA5103, GW DSLAM atd.)</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Příprava místa (cena pro všechny racky</w:t>
      </w:r>
      <w:r w:rsidR="0047095F" w:rsidRPr="006532BE">
        <w:rPr>
          <w:rFonts w:ascii="Arial" w:hAnsi="Arial" w:cs="Arial"/>
          <w:color w:val="000000"/>
          <w:sz w:val="22"/>
          <w:szCs w:val="22"/>
        </w:rPr>
        <w:t xml:space="preserve"> v </w:t>
      </w:r>
      <w:r w:rsidRPr="006532BE">
        <w:rPr>
          <w:rFonts w:ascii="Arial" w:hAnsi="Arial" w:cs="Arial"/>
          <w:color w:val="000000"/>
          <w:sz w:val="22"/>
          <w:szCs w:val="22"/>
        </w:rPr>
        <w:t>lokalitě)</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Vana, tj. </w:t>
      </w:r>
      <w:proofErr w:type="spellStart"/>
      <w:r w:rsidRPr="006532BE">
        <w:rPr>
          <w:rFonts w:ascii="Arial" w:hAnsi="Arial" w:cs="Arial"/>
          <w:color w:val="000000"/>
          <w:sz w:val="22"/>
          <w:szCs w:val="22"/>
        </w:rPr>
        <w:t>subrack</w:t>
      </w:r>
      <w:proofErr w:type="spellEnd"/>
      <w:r w:rsidR="0047095F" w:rsidRPr="006532BE">
        <w:rPr>
          <w:rFonts w:ascii="Arial" w:hAnsi="Arial" w:cs="Arial"/>
          <w:color w:val="000000"/>
          <w:sz w:val="22"/>
          <w:szCs w:val="22"/>
        </w:rPr>
        <w:t xml:space="preserve"> v </w:t>
      </w:r>
      <w:r w:rsidRPr="006532BE">
        <w:rPr>
          <w:rFonts w:ascii="Arial" w:hAnsi="Arial" w:cs="Arial"/>
          <w:color w:val="000000"/>
          <w:sz w:val="22"/>
          <w:szCs w:val="22"/>
        </w:rPr>
        <w:t>základní variantě (včetně napájení, kontrol. karet apod.)</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Kabelování 1. účastnické karty</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Kabelování 2. a další účastnické karty</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Účastnická karta – ADSL2+</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Účastnická karta – VDSL</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Účastnická karta – SHDSL</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proofErr w:type="spellStart"/>
      <w:r w:rsidRPr="006532BE">
        <w:rPr>
          <w:rFonts w:ascii="Arial" w:hAnsi="Arial" w:cs="Arial"/>
          <w:color w:val="000000"/>
          <w:sz w:val="22"/>
          <w:szCs w:val="22"/>
        </w:rPr>
        <w:t>Uplink</w:t>
      </w:r>
      <w:proofErr w:type="spellEnd"/>
      <w:r w:rsidRPr="006532BE">
        <w:rPr>
          <w:rFonts w:ascii="Arial" w:hAnsi="Arial" w:cs="Arial"/>
          <w:color w:val="000000"/>
          <w:sz w:val="22"/>
          <w:szCs w:val="22"/>
        </w:rPr>
        <w:t xml:space="preserve"> karta vč. SFP modulu</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Kabelování </w:t>
      </w:r>
      <w:proofErr w:type="spellStart"/>
      <w:r w:rsidRPr="006532BE">
        <w:rPr>
          <w:rFonts w:ascii="Arial" w:hAnsi="Arial" w:cs="Arial"/>
          <w:color w:val="000000"/>
          <w:sz w:val="22"/>
          <w:szCs w:val="22"/>
        </w:rPr>
        <w:t>downlink</w:t>
      </w:r>
      <w:proofErr w:type="spellEnd"/>
      <w:r w:rsidRPr="006532BE">
        <w:rPr>
          <w:rFonts w:ascii="Arial" w:hAnsi="Arial" w:cs="Arial"/>
          <w:color w:val="000000"/>
          <w:sz w:val="22"/>
          <w:szCs w:val="22"/>
        </w:rPr>
        <w:t xml:space="preserve"> karty</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proofErr w:type="spellStart"/>
      <w:r w:rsidRPr="006532BE">
        <w:rPr>
          <w:rFonts w:ascii="Arial" w:hAnsi="Arial" w:cs="Arial"/>
          <w:color w:val="000000"/>
          <w:sz w:val="22"/>
          <w:szCs w:val="22"/>
        </w:rPr>
        <w:t>Downlink</w:t>
      </w:r>
      <w:proofErr w:type="spellEnd"/>
      <w:r w:rsidRPr="006532BE">
        <w:rPr>
          <w:rFonts w:ascii="Arial" w:hAnsi="Arial" w:cs="Arial"/>
          <w:color w:val="000000"/>
          <w:sz w:val="22"/>
          <w:szCs w:val="22"/>
        </w:rPr>
        <w:t xml:space="preserve"> karta vč. SFP modulu</w:t>
      </w:r>
    </w:p>
    <w:p w:rsidR="00242A0C" w:rsidRPr="006532BE" w:rsidRDefault="00242A0C" w:rsidP="00F270D8">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Ethernet přepínače – šasi včetně montáže a příslušenství</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slotů (v Kč) – pořizovací cena včetně montáže a příslušenství ve struktuře rozdělení</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slotů (např. 3, 4, 6,</w:t>
      </w:r>
      <w:r w:rsidR="00815066" w:rsidRPr="006532BE">
        <w:rPr>
          <w:rFonts w:ascii="Arial" w:hAnsi="Arial" w:cs="Arial"/>
          <w:color w:val="000000"/>
          <w:sz w:val="22"/>
          <w:szCs w:val="22"/>
        </w:rPr>
        <w:t xml:space="preserve"> </w:t>
      </w:r>
      <w:r w:rsidRPr="006532BE">
        <w:rPr>
          <w:rFonts w:ascii="Arial" w:hAnsi="Arial" w:cs="Arial"/>
          <w:color w:val="000000"/>
          <w:sz w:val="22"/>
          <w:szCs w:val="22"/>
        </w:rPr>
        <w:t>9 slotů)</w:t>
      </w:r>
    </w:p>
    <w:p w:rsidR="00242A0C" w:rsidRPr="006532BE" w:rsidRDefault="00242A0C" w:rsidP="00F270D8">
      <w:pPr>
        <w:numPr>
          <w:ilvl w:val="0"/>
          <w:numId w:val="28"/>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lastRenderedPageBreak/>
        <w:t>Ethernet přepínače – pořizovací cena přepínací karty (v Kč)</w:t>
      </w:r>
      <w:r w:rsidR="00815066" w:rsidRPr="006532BE">
        <w:rPr>
          <w:rFonts w:ascii="Arial" w:hAnsi="Arial" w:cs="Arial"/>
          <w:color w:val="000000"/>
          <w:sz w:val="22"/>
          <w:szCs w:val="22"/>
        </w:rPr>
        <w:t xml:space="preserve"> </w:t>
      </w:r>
    </w:p>
    <w:p w:rsidR="00242A0C" w:rsidRPr="006532BE" w:rsidRDefault="00242A0C" w:rsidP="00DF2D43">
      <w:pPr>
        <w:tabs>
          <w:tab w:val="left" w:pos="993"/>
        </w:tabs>
        <w:autoSpaceDE w:val="0"/>
        <w:autoSpaceDN w:val="0"/>
        <w:adjustRightInd w:val="0"/>
        <w:ind w:firstLine="357"/>
        <w:jc w:val="both"/>
        <w:rPr>
          <w:rFonts w:ascii="Arial" w:hAnsi="Arial" w:cs="Arial"/>
          <w:color w:val="000000"/>
          <w:sz w:val="22"/>
          <w:szCs w:val="22"/>
        </w:rPr>
      </w:pPr>
      <w:r w:rsidRPr="006532BE">
        <w:rPr>
          <w:rFonts w:ascii="Arial" w:hAnsi="Arial" w:cs="Arial"/>
          <w:color w:val="000000"/>
          <w:sz w:val="22"/>
          <w:szCs w:val="22"/>
        </w:rPr>
        <w:t>ve struktuře rozdělení</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portů (24x 1G, 48x 1G, 4x 10G, 8x 10G)</w:t>
      </w:r>
    </w:p>
    <w:p w:rsidR="00242A0C" w:rsidRPr="006532BE" w:rsidRDefault="00242A0C" w:rsidP="00F270D8">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Ethernet přepínače – optický modul</w:t>
      </w:r>
      <w:r w:rsidR="0047095F" w:rsidRPr="006532BE">
        <w:rPr>
          <w:rFonts w:ascii="Arial" w:hAnsi="Arial" w:cs="Arial"/>
          <w:color w:val="000000"/>
          <w:sz w:val="22"/>
          <w:szCs w:val="22"/>
        </w:rPr>
        <w:t xml:space="preserve"> na </w:t>
      </w:r>
      <w:r w:rsidRPr="006532BE">
        <w:rPr>
          <w:rFonts w:ascii="Arial" w:hAnsi="Arial" w:cs="Arial"/>
          <w:color w:val="000000"/>
          <w:sz w:val="22"/>
          <w:szCs w:val="22"/>
        </w:rPr>
        <w:t>1 port – pořizovací cena</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SFP (1G)</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proofErr w:type="spellStart"/>
      <w:r w:rsidRPr="006532BE">
        <w:rPr>
          <w:rFonts w:ascii="Arial" w:hAnsi="Arial" w:cs="Arial"/>
          <w:color w:val="000000"/>
          <w:sz w:val="22"/>
          <w:szCs w:val="22"/>
        </w:rPr>
        <w:t>Xenpack</w:t>
      </w:r>
      <w:proofErr w:type="spellEnd"/>
      <w:r w:rsidRPr="006532BE">
        <w:rPr>
          <w:rFonts w:ascii="Arial" w:hAnsi="Arial" w:cs="Arial"/>
          <w:color w:val="000000"/>
          <w:sz w:val="22"/>
          <w:szCs w:val="22"/>
        </w:rPr>
        <w:t xml:space="preserve"> (10G)</w:t>
      </w:r>
    </w:p>
    <w:p w:rsidR="00242A0C" w:rsidRPr="006532BE" w:rsidRDefault="00242A0C" w:rsidP="00F270D8">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Pořizovací ceny BRASS a X-</w:t>
      </w:r>
      <w:proofErr w:type="spellStart"/>
      <w:r w:rsidRPr="006532BE">
        <w:rPr>
          <w:rFonts w:ascii="Arial" w:hAnsi="Arial" w:cs="Arial"/>
          <w:color w:val="000000"/>
          <w:sz w:val="22"/>
          <w:szCs w:val="22"/>
        </w:rPr>
        <w:t>Connect</w:t>
      </w:r>
      <w:proofErr w:type="spellEnd"/>
      <w:r w:rsidRPr="006532BE">
        <w:rPr>
          <w:rFonts w:ascii="Arial" w:hAnsi="Arial" w:cs="Arial"/>
          <w:color w:val="000000"/>
          <w:sz w:val="22"/>
          <w:szCs w:val="22"/>
        </w:rPr>
        <w:t xml:space="preserve"> (v Kč)</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BRAS</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BRAS-PE</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X-</w:t>
      </w:r>
      <w:proofErr w:type="spellStart"/>
      <w:r w:rsidRPr="006532BE">
        <w:rPr>
          <w:rFonts w:ascii="Arial" w:hAnsi="Arial" w:cs="Arial"/>
          <w:color w:val="000000"/>
          <w:sz w:val="22"/>
          <w:szCs w:val="22"/>
        </w:rPr>
        <w:t>Connect</w:t>
      </w:r>
      <w:proofErr w:type="spellEnd"/>
    </w:p>
    <w:p w:rsidR="00242A0C" w:rsidRPr="006532BE" w:rsidRDefault="00242A0C" w:rsidP="00F270D8">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IP směrovače – šasi včetně montáže a příslušenství</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slotů (v Kč) ve struktuře rozdělení</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počtu slotů (např. 6, 10, 16, 16 CRS)</w:t>
      </w:r>
    </w:p>
    <w:p w:rsidR="00242A0C" w:rsidRPr="006532BE" w:rsidRDefault="00242A0C" w:rsidP="00F270D8">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IP směrovače – optický modul</w:t>
      </w:r>
      <w:r w:rsidR="0047095F" w:rsidRPr="006532BE">
        <w:rPr>
          <w:rFonts w:ascii="Arial" w:hAnsi="Arial" w:cs="Arial"/>
          <w:color w:val="000000"/>
          <w:sz w:val="22"/>
          <w:szCs w:val="22"/>
        </w:rPr>
        <w:t xml:space="preserve"> na </w:t>
      </w:r>
      <w:r w:rsidRPr="006532BE">
        <w:rPr>
          <w:rFonts w:ascii="Arial" w:hAnsi="Arial" w:cs="Arial"/>
          <w:color w:val="000000"/>
          <w:sz w:val="22"/>
          <w:szCs w:val="22"/>
        </w:rPr>
        <w:t xml:space="preserve">1 port (v Kč) </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proofErr w:type="spellStart"/>
      <w:r w:rsidRPr="006532BE">
        <w:rPr>
          <w:rFonts w:ascii="Arial" w:hAnsi="Arial" w:cs="Arial"/>
          <w:color w:val="000000"/>
          <w:sz w:val="22"/>
          <w:szCs w:val="22"/>
        </w:rPr>
        <w:t>Xenpack</w:t>
      </w:r>
      <w:proofErr w:type="spellEnd"/>
      <w:r w:rsidRPr="006532BE">
        <w:rPr>
          <w:rFonts w:ascii="Arial" w:hAnsi="Arial" w:cs="Arial"/>
          <w:color w:val="000000"/>
          <w:sz w:val="22"/>
          <w:szCs w:val="22"/>
        </w:rPr>
        <w:t xml:space="preserve"> (10G)</w:t>
      </w:r>
    </w:p>
    <w:p w:rsidR="00242A0C" w:rsidRPr="006532BE" w:rsidRDefault="00242A0C" w:rsidP="00F270D8">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 xml:space="preserve">Služba </w:t>
      </w:r>
      <w:proofErr w:type="spellStart"/>
      <w:r w:rsidRPr="006532BE">
        <w:rPr>
          <w:rFonts w:ascii="Arial" w:hAnsi="Arial" w:cs="Arial"/>
          <w:color w:val="000000"/>
          <w:sz w:val="22"/>
          <w:szCs w:val="22"/>
        </w:rPr>
        <w:t>Carrier</w:t>
      </w:r>
      <w:proofErr w:type="spellEnd"/>
      <w:r w:rsidRPr="006532BE">
        <w:rPr>
          <w:rFonts w:ascii="Arial" w:hAnsi="Arial" w:cs="Arial"/>
          <w:color w:val="000000"/>
          <w:sz w:val="22"/>
          <w:szCs w:val="22"/>
        </w:rPr>
        <w:t xml:space="preserve"> IP Access (v Kč)</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Cena za zřízení služby </w:t>
      </w:r>
      <w:proofErr w:type="spellStart"/>
      <w:r w:rsidRPr="006532BE">
        <w:rPr>
          <w:rFonts w:ascii="Arial" w:hAnsi="Arial" w:cs="Arial"/>
          <w:color w:val="000000"/>
          <w:sz w:val="22"/>
          <w:szCs w:val="22"/>
        </w:rPr>
        <w:t>Carrier</w:t>
      </w:r>
      <w:proofErr w:type="spellEnd"/>
      <w:r w:rsidRPr="006532BE">
        <w:rPr>
          <w:rFonts w:ascii="Arial" w:hAnsi="Arial" w:cs="Arial"/>
          <w:color w:val="000000"/>
          <w:sz w:val="22"/>
          <w:szCs w:val="22"/>
        </w:rPr>
        <w:t xml:space="preserve"> IP Access 10Gbps – pořizovací cena</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Pravidelná měsíční cena za službu IP Access 10Gbps (konkrétní cena pro operátora za jedno vlákno se službou </w:t>
      </w:r>
      <w:proofErr w:type="spellStart"/>
      <w:r w:rsidRPr="006532BE">
        <w:rPr>
          <w:rFonts w:ascii="Arial" w:hAnsi="Arial" w:cs="Arial"/>
          <w:color w:val="000000"/>
          <w:sz w:val="22"/>
          <w:szCs w:val="22"/>
        </w:rPr>
        <w:t>Carrier</w:t>
      </w:r>
      <w:proofErr w:type="spellEnd"/>
      <w:r w:rsidRPr="006532BE">
        <w:rPr>
          <w:rFonts w:ascii="Arial" w:hAnsi="Arial" w:cs="Arial"/>
          <w:color w:val="000000"/>
          <w:sz w:val="22"/>
          <w:szCs w:val="22"/>
        </w:rPr>
        <w:t xml:space="preserve"> Access 10Gbps)</w:t>
      </w:r>
    </w:p>
    <w:p w:rsidR="00242A0C" w:rsidRPr="006532BE" w:rsidRDefault="00242A0C" w:rsidP="00F270D8">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prodej, péči o</w:t>
      </w:r>
      <w:r w:rsidR="004A5926" w:rsidRPr="006532BE">
        <w:rPr>
          <w:rFonts w:ascii="Arial" w:hAnsi="Arial" w:cs="Arial"/>
          <w:color w:val="000000"/>
          <w:sz w:val="22"/>
          <w:szCs w:val="22"/>
        </w:rPr>
        <w:t xml:space="preserve"> </w:t>
      </w:r>
      <w:r w:rsidRPr="006532BE">
        <w:rPr>
          <w:rFonts w:ascii="Arial" w:hAnsi="Arial" w:cs="Arial"/>
          <w:color w:val="000000"/>
          <w:sz w:val="22"/>
          <w:szCs w:val="22"/>
        </w:rPr>
        <w:t>zákazníka</w:t>
      </w:r>
      <w:r w:rsidR="004A5926" w:rsidRPr="006532BE">
        <w:rPr>
          <w:rFonts w:ascii="Arial" w:hAnsi="Arial" w:cs="Arial"/>
          <w:color w:val="000000"/>
          <w:sz w:val="22"/>
          <w:szCs w:val="22"/>
        </w:rPr>
        <w:t xml:space="preserve"> a </w:t>
      </w:r>
      <w:proofErr w:type="spellStart"/>
      <w:r w:rsidRPr="006532BE">
        <w:rPr>
          <w:rFonts w:ascii="Arial" w:hAnsi="Arial" w:cs="Arial"/>
          <w:color w:val="000000"/>
          <w:sz w:val="22"/>
          <w:szCs w:val="22"/>
        </w:rPr>
        <w:t>product</w:t>
      </w:r>
      <w:proofErr w:type="spellEnd"/>
      <w:r w:rsidRPr="006532BE">
        <w:rPr>
          <w:rFonts w:ascii="Arial" w:hAnsi="Arial" w:cs="Arial"/>
          <w:color w:val="000000"/>
          <w:sz w:val="22"/>
          <w:szCs w:val="22"/>
        </w:rPr>
        <w:t xml:space="preserve"> management u</w:t>
      </w:r>
      <w:r w:rsidR="004A5926" w:rsidRPr="006532BE">
        <w:rPr>
          <w:rFonts w:ascii="Arial" w:hAnsi="Arial" w:cs="Arial"/>
          <w:color w:val="000000"/>
          <w:sz w:val="22"/>
          <w:szCs w:val="22"/>
        </w:rPr>
        <w:t xml:space="preserve"> </w:t>
      </w:r>
      <w:r w:rsidRPr="006532BE">
        <w:rPr>
          <w:rFonts w:ascii="Arial" w:hAnsi="Arial" w:cs="Arial"/>
          <w:color w:val="000000"/>
          <w:sz w:val="22"/>
          <w:szCs w:val="22"/>
        </w:rPr>
        <w:t>velkoobchodních služeb (v</w:t>
      </w:r>
      <w:r w:rsidR="004A5926" w:rsidRPr="006532BE">
        <w:rPr>
          <w:rFonts w:ascii="Arial" w:hAnsi="Arial" w:cs="Arial"/>
          <w:color w:val="000000"/>
          <w:sz w:val="22"/>
          <w:szCs w:val="22"/>
        </w:rPr>
        <w:t xml:space="preserve"> </w:t>
      </w:r>
      <w:r w:rsidRPr="006532BE">
        <w:rPr>
          <w:rFonts w:ascii="Arial" w:hAnsi="Arial" w:cs="Arial"/>
          <w:color w:val="000000"/>
          <w:sz w:val="22"/>
          <w:szCs w:val="22"/>
        </w:rPr>
        <w:t>Kč)</w:t>
      </w:r>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prodej, péči o</w:t>
      </w:r>
      <w:r w:rsidR="004A5926" w:rsidRPr="006532BE">
        <w:rPr>
          <w:rFonts w:ascii="Arial" w:hAnsi="Arial" w:cs="Arial"/>
          <w:color w:val="000000"/>
          <w:sz w:val="22"/>
          <w:szCs w:val="22"/>
        </w:rPr>
        <w:t xml:space="preserve"> </w:t>
      </w:r>
      <w:r w:rsidRPr="006532BE">
        <w:rPr>
          <w:rFonts w:ascii="Arial" w:hAnsi="Arial" w:cs="Arial"/>
          <w:color w:val="000000"/>
          <w:sz w:val="22"/>
          <w:szCs w:val="22"/>
        </w:rPr>
        <w:t>zákazníka a</w:t>
      </w:r>
      <w:r w:rsidR="004A5926" w:rsidRPr="006532BE">
        <w:rPr>
          <w:rFonts w:ascii="Arial" w:hAnsi="Arial" w:cs="Arial"/>
          <w:color w:val="000000"/>
          <w:sz w:val="22"/>
          <w:szCs w:val="22"/>
        </w:rPr>
        <w:t xml:space="preserve"> </w:t>
      </w:r>
      <w:proofErr w:type="spellStart"/>
      <w:r w:rsidRPr="006532BE">
        <w:rPr>
          <w:rFonts w:ascii="Arial" w:hAnsi="Arial" w:cs="Arial"/>
          <w:color w:val="000000"/>
          <w:sz w:val="22"/>
          <w:szCs w:val="22"/>
        </w:rPr>
        <w:t>product</w:t>
      </w:r>
      <w:proofErr w:type="spellEnd"/>
      <w:r w:rsidRPr="006532BE">
        <w:rPr>
          <w:rFonts w:ascii="Arial" w:hAnsi="Arial" w:cs="Arial"/>
          <w:color w:val="000000"/>
          <w:sz w:val="22"/>
          <w:szCs w:val="22"/>
        </w:rPr>
        <w:t xml:space="preserve"> management jednorázových služeb zpřístupnění – bez </w:t>
      </w:r>
      <w:proofErr w:type="spellStart"/>
      <w:r w:rsidRPr="006532BE">
        <w:rPr>
          <w:rFonts w:ascii="Arial" w:hAnsi="Arial" w:cs="Arial"/>
          <w:color w:val="000000"/>
          <w:sz w:val="22"/>
          <w:szCs w:val="22"/>
        </w:rPr>
        <w:t>CoC</w:t>
      </w:r>
      <w:proofErr w:type="spellEnd"/>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prodej, péči o</w:t>
      </w:r>
      <w:r w:rsidR="004A5926" w:rsidRPr="006532BE">
        <w:rPr>
          <w:rFonts w:ascii="Arial" w:hAnsi="Arial" w:cs="Arial"/>
          <w:color w:val="000000"/>
          <w:sz w:val="22"/>
          <w:szCs w:val="22"/>
        </w:rPr>
        <w:t xml:space="preserve"> </w:t>
      </w:r>
      <w:r w:rsidRPr="006532BE">
        <w:rPr>
          <w:rFonts w:ascii="Arial" w:hAnsi="Arial" w:cs="Arial"/>
          <w:color w:val="000000"/>
          <w:sz w:val="22"/>
          <w:szCs w:val="22"/>
        </w:rPr>
        <w:t>zákazníka a</w:t>
      </w:r>
      <w:r w:rsidR="004A5926" w:rsidRPr="006532BE">
        <w:rPr>
          <w:rFonts w:ascii="Arial" w:hAnsi="Arial" w:cs="Arial"/>
          <w:color w:val="000000"/>
          <w:sz w:val="22"/>
          <w:szCs w:val="22"/>
        </w:rPr>
        <w:t xml:space="preserve"> </w:t>
      </w:r>
      <w:proofErr w:type="spellStart"/>
      <w:r w:rsidRPr="006532BE">
        <w:rPr>
          <w:rFonts w:ascii="Arial" w:hAnsi="Arial" w:cs="Arial"/>
          <w:color w:val="000000"/>
          <w:sz w:val="22"/>
          <w:szCs w:val="22"/>
        </w:rPr>
        <w:t>product</w:t>
      </w:r>
      <w:proofErr w:type="spellEnd"/>
      <w:r w:rsidRPr="006532BE">
        <w:rPr>
          <w:rFonts w:ascii="Arial" w:hAnsi="Arial" w:cs="Arial"/>
          <w:color w:val="000000"/>
          <w:sz w:val="22"/>
          <w:szCs w:val="22"/>
        </w:rPr>
        <w:t xml:space="preserve"> management jednorázových služeb zpřístupnění – </w:t>
      </w:r>
      <w:proofErr w:type="spellStart"/>
      <w:r w:rsidRPr="006532BE">
        <w:rPr>
          <w:rFonts w:ascii="Arial" w:hAnsi="Arial" w:cs="Arial"/>
          <w:color w:val="000000"/>
          <w:sz w:val="22"/>
          <w:szCs w:val="22"/>
        </w:rPr>
        <w:t>CoC</w:t>
      </w:r>
      <w:proofErr w:type="spellEnd"/>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prodej, péči o</w:t>
      </w:r>
      <w:r w:rsidR="004A5926" w:rsidRPr="006532BE">
        <w:rPr>
          <w:rFonts w:ascii="Arial" w:hAnsi="Arial" w:cs="Arial"/>
          <w:color w:val="000000"/>
          <w:sz w:val="22"/>
          <w:szCs w:val="22"/>
        </w:rPr>
        <w:t xml:space="preserve"> </w:t>
      </w:r>
      <w:r w:rsidRPr="006532BE">
        <w:rPr>
          <w:rFonts w:ascii="Arial" w:hAnsi="Arial" w:cs="Arial"/>
          <w:color w:val="000000"/>
          <w:sz w:val="22"/>
          <w:szCs w:val="22"/>
        </w:rPr>
        <w:t>zákazníka a</w:t>
      </w:r>
      <w:r w:rsidR="004A5926" w:rsidRPr="006532BE">
        <w:rPr>
          <w:rFonts w:ascii="Arial" w:hAnsi="Arial" w:cs="Arial"/>
          <w:color w:val="000000"/>
          <w:sz w:val="22"/>
          <w:szCs w:val="22"/>
        </w:rPr>
        <w:t xml:space="preserve"> </w:t>
      </w:r>
      <w:proofErr w:type="spellStart"/>
      <w:r w:rsidRPr="006532BE">
        <w:rPr>
          <w:rFonts w:ascii="Arial" w:hAnsi="Arial" w:cs="Arial"/>
          <w:color w:val="000000"/>
          <w:sz w:val="22"/>
          <w:szCs w:val="22"/>
        </w:rPr>
        <w:t>product</w:t>
      </w:r>
      <w:proofErr w:type="spellEnd"/>
      <w:r w:rsidRPr="006532BE">
        <w:rPr>
          <w:rFonts w:ascii="Arial" w:hAnsi="Arial" w:cs="Arial"/>
          <w:color w:val="000000"/>
          <w:sz w:val="22"/>
          <w:szCs w:val="22"/>
        </w:rPr>
        <w:t xml:space="preserve"> management měsíčních služeb zpřístupnění – bez </w:t>
      </w:r>
      <w:proofErr w:type="spellStart"/>
      <w:r w:rsidRPr="006532BE">
        <w:rPr>
          <w:rFonts w:ascii="Arial" w:hAnsi="Arial" w:cs="Arial"/>
          <w:color w:val="000000"/>
          <w:sz w:val="22"/>
          <w:szCs w:val="22"/>
        </w:rPr>
        <w:t>CoC</w:t>
      </w:r>
      <w:proofErr w:type="spellEnd"/>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prodej, péči o zákazníka a</w:t>
      </w:r>
      <w:r w:rsidR="004A5926" w:rsidRPr="006532BE">
        <w:rPr>
          <w:rFonts w:ascii="Arial" w:hAnsi="Arial" w:cs="Arial"/>
          <w:color w:val="000000"/>
          <w:sz w:val="22"/>
          <w:szCs w:val="22"/>
        </w:rPr>
        <w:t xml:space="preserve"> </w:t>
      </w:r>
      <w:proofErr w:type="spellStart"/>
      <w:r w:rsidRPr="006532BE">
        <w:rPr>
          <w:rFonts w:ascii="Arial" w:hAnsi="Arial" w:cs="Arial"/>
          <w:color w:val="000000"/>
          <w:sz w:val="22"/>
          <w:szCs w:val="22"/>
        </w:rPr>
        <w:t>product</w:t>
      </w:r>
      <w:proofErr w:type="spellEnd"/>
      <w:r w:rsidRPr="006532BE">
        <w:rPr>
          <w:rFonts w:ascii="Arial" w:hAnsi="Arial" w:cs="Arial"/>
          <w:color w:val="000000"/>
          <w:sz w:val="22"/>
          <w:szCs w:val="22"/>
        </w:rPr>
        <w:t xml:space="preserve"> management měsíčních služeb zpřístupnění – </w:t>
      </w:r>
      <w:proofErr w:type="spellStart"/>
      <w:r w:rsidRPr="006532BE">
        <w:rPr>
          <w:rFonts w:ascii="Arial" w:hAnsi="Arial" w:cs="Arial"/>
          <w:color w:val="000000"/>
          <w:sz w:val="22"/>
          <w:szCs w:val="22"/>
        </w:rPr>
        <w:t>CoC</w:t>
      </w:r>
      <w:proofErr w:type="spellEnd"/>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prodej, péči o</w:t>
      </w:r>
      <w:r w:rsidR="00C94F18" w:rsidRPr="006532BE">
        <w:rPr>
          <w:rFonts w:ascii="Arial" w:hAnsi="Arial" w:cs="Arial"/>
          <w:color w:val="000000"/>
          <w:sz w:val="22"/>
          <w:szCs w:val="22"/>
        </w:rPr>
        <w:t xml:space="preserve"> </w:t>
      </w:r>
      <w:r w:rsidRPr="006532BE">
        <w:rPr>
          <w:rFonts w:ascii="Arial" w:hAnsi="Arial" w:cs="Arial"/>
          <w:color w:val="000000"/>
          <w:sz w:val="22"/>
          <w:szCs w:val="22"/>
        </w:rPr>
        <w:t>zákazníka a</w:t>
      </w:r>
      <w:r w:rsidR="004A5926" w:rsidRPr="006532BE">
        <w:rPr>
          <w:rFonts w:ascii="Arial" w:hAnsi="Arial" w:cs="Arial"/>
          <w:color w:val="000000"/>
          <w:sz w:val="22"/>
          <w:szCs w:val="22"/>
        </w:rPr>
        <w:t xml:space="preserve"> </w:t>
      </w:r>
      <w:proofErr w:type="spellStart"/>
      <w:r w:rsidRPr="006532BE">
        <w:rPr>
          <w:rFonts w:ascii="Arial" w:hAnsi="Arial" w:cs="Arial"/>
          <w:color w:val="000000"/>
          <w:sz w:val="22"/>
          <w:szCs w:val="22"/>
        </w:rPr>
        <w:t>product</w:t>
      </w:r>
      <w:proofErr w:type="spellEnd"/>
      <w:r w:rsidRPr="006532BE">
        <w:rPr>
          <w:rFonts w:ascii="Arial" w:hAnsi="Arial" w:cs="Arial"/>
          <w:color w:val="000000"/>
          <w:sz w:val="22"/>
          <w:szCs w:val="22"/>
        </w:rPr>
        <w:t xml:space="preserve"> management jednorázových velkoobchodních služeb širokopásmového přístupu k</w:t>
      </w:r>
      <w:r w:rsidR="00C94F18" w:rsidRPr="006532BE">
        <w:rPr>
          <w:rFonts w:ascii="Arial" w:hAnsi="Arial" w:cs="Arial"/>
          <w:color w:val="000000"/>
          <w:sz w:val="22"/>
          <w:szCs w:val="22"/>
        </w:rPr>
        <w:t xml:space="preserve"> </w:t>
      </w:r>
      <w:r w:rsidRPr="006532BE">
        <w:rPr>
          <w:rFonts w:ascii="Arial" w:hAnsi="Arial" w:cs="Arial"/>
          <w:color w:val="000000"/>
          <w:sz w:val="22"/>
          <w:szCs w:val="22"/>
        </w:rPr>
        <w:t xml:space="preserve">síti </w:t>
      </w:r>
      <w:r w:rsidR="00E3569C" w:rsidRPr="006532BE">
        <w:rPr>
          <w:rFonts w:ascii="Arial" w:hAnsi="Arial" w:cs="Arial"/>
          <w:color w:val="000000"/>
          <w:sz w:val="22"/>
          <w:szCs w:val="22"/>
        </w:rPr>
        <w:br/>
      </w:r>
      <w:r w:rsidRPr="006532BE">
        <w:rPr>
          <w:rFonts w:ascii="Arial" w:hAnsi="Arial" w:cs="Arial"/>
          <w:color w:val="000000"/>
          <w:sz w:val="22"/>
          <w:szCs w:val="22"/>
        </w:rPr>
        <w:t xml:space="preserve">Internet – bez </w:t>
      </w:r>
      <w:proofErr w:type="spellStart"/>
      <w:r w:rsidRPr="006532BE">
        <w:rPr>
          <w:rFonts w:ascii="Arial" w:hAnsi="Arial" w:cs="Arial"/>
          <w:color w:val="000000"/>
          <w:sz w:val="22"/>
          <w:szCs w:val="22"/>
        </w:rPr>
        <w:t>CoC</w:t>
      </w:r>
      <w:proofErr w:type="spellEnd"/>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prodej, péči o</w:t>
      </w:r>
      <w:r w:rsidR="00C94F18" w:rsidRPr="006532BE">
        <w:rPr>
          <w:rFonts w:ascii="Arial" w:hAnsi="Arial" w:cs="Arial"/>
          <w:color w:val="000000"/>
          <w:sz w:val="22"/>
          <w:szCs w:val="22"/>
        </w:rPr>
        <w:t xml:space="preserve"> </w:t>
      </w:r>
      <w:r w:rsidRPr="006532BE">
        <w:rPr>
          <w:rFonts w:ascii="Arial" w:hAnsi="Arial" w:cs="Arial"/>
          <w:color w:val="000000"/>
          <w:sz w:val="22"/>
          <w:szCs w:val="22"/>
        </w:rPr>
        <w:t>zákazníka a</w:t>
      </w:r>
      <w:r w:rsidR="00C94F18" w:rsidRPr="006532BE">
        <w:rPr>
          <w:rFonts w:ascii="Arial" w:hAnsi="Arial" w:cs="Arial"/>
          <w:color w:val="000000"/>
          <w:sz w:val="22"/>
          <w:szCs w:val="22"/>
        </w:rPr>
        <w:t xml:space="preserve"> </w:t>
      </w:r>
      <w:proofErr w:type="spellStart"/>
      <w:r w:rsidRPr="006532BE">
        <w:rPr>
          <w:rFonts w:ascii="Arial" w:hAnsi="Arial" w:cs="Arial"/>
          <w:color w:val="000000"/>
          <w:sz w:val="22"/>
          <w:szCs w:val="22"/>
        </w:rPr>
        <w:t>product</w:t>
      </w:r>
      <w:proofErr w:type="spellEnd"/>
      <w:r w:rsidRPr="006532BE">
        <w:rPr>
          <w:rFonts w:ascii="Arial" w:hAnsi="Arial" w:cs="Arial"/>
          <w:color w:val="000000"/>
          <w:sz w:val="22"/>
          <w:szCs w:val="22"/>
        </w:rPr>
        <w:t xml:space="preserve"> management jednorázových velkoobchodních služeb širokopásmového přístupu k</w:t>
      </w:r>
      <w:r w:rsidR="00C94F18" w:rsidRPr="006532BE">
        <w:rPr>
          <w:rFonts w:ascii="Arial" w:hAnsi="Arial" w:cs="Arial"/>
          <w:color w:val="000000"/>
          <w:sz w:val="22"/>
          <w:szCs w:val="22"/>
        </w:rPr>
        <w:t xml:space="preserve"> </w:t>
      </w:r>
      <w:r w:rsidRPr="006532BE">
        <w:rPr>
          <w:rFonts w:ascii="Arial" w:hAnsi="Arial" w:cs="Arial"/>
          <w:color w:val="000000"/>
          <w:sz w:val="22"/>
          <w:szCs w:val="22"/>
        </w:rPr>
        <w:t xml:space="preserve">síti </w:t>
      </w:r>
      <w:r w:rsidR="00E3569C" w:rsidRPr="006532BE">
        <w:rPr>
          <w:rFonts w:ascii="Arial" w:hAnsi="Arial" w:cs="Arial"/>
          <w:color w:val="000000"/>
          <w:sz w:val="22"/>
          <w:szCs w:val="22"/>
        </w:rPr>
        <w:br/>
      </w:r>
      <w:r w:rsidRPr="006532BE">
        <w:rPr>
          <w:rFonts w:ascii="Arial" w:hAnsi="Arial" w:cs="Arial"/>
          <w:color w:val="000000"/>
          <w:sz w:val="22"/>
          <w:szCs w:val="22"/>
        </w:rPr>
        <w:t xml:space="preserve">Internet – </w:t>
      </w:r>
      <w:proofErr w:type="spellStart"/>
      <w:r w:rsidRPr="006532BE">
        <w:rPr>
          <w:rFonts w:ascii="Arial" w:hAnsi="Arial" w:cs="Arial"/>
          <w:color w:val="000000"/>
          <w:sz w:val="22"/>
          <w:szCs w:val="22"/>
        </w:rPr>
        <w:t>CoC</w:t>
      </w:r>
      <w:proofErr w:type="spellEnd"/>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prodej, péči o zákazníka a</w:t>
      </w:r>
      <w:r w:rsidR="00C94F18" w:rsidRPr="006532BE">
        <w:rPr>
          <w:rFonts w:ascii="Arial" w:hAnsi="Arial" w:cs="Arial"/>
          <w:color w:val="000000"/>
          <w:sz w:val="22"/>
          <w:szCs w:val="22"/>
        </w:rPr>
        <w:t xml:space="preserve"> </w:t>
      </w:r>
      <w:proofErr w:type="spellStart"/>
      <w:r w:rsidRPr="006532BE">
        <w:rPr>
          <w:rFonts w:ascii="Arial" w:hAnsi="Arial" w:cs="Arial"/>
          <w:color w:val="000000"/>
          <w:sz w:val="22"/>
          <w:szCs w:val="22"/>
        </w:rPr>
        <w:t>product</w:t>
      </w:r>
      <w:proofErr w:type="spellEnd"/>
      <w:r w:rsidRPr="006532BE">
        <w:rPr>
          <w:rFonts w:ascii="Arial" w:hAnsi="Arial" w:cs="Arial"/>
          <w:color w:val="000000"/>
          <w:sz w:val="22"/>
          <w:szCs w:val="22"/>
        </w:rPr>
        <w:t xml:space="preserve"> management měsíčních velkoobchodních služeb širokopásmového přístupu</w:t>
      </w:r>
      <w:r w:rsidR="00C94F18" w:rsidRPr="006532BE">
        <w:rPr>
          <w:rFonts w:ascii="Arial" w:hAnsi="Arial" w:cs="Arial"/>
          <w:color w:val="000000"/>
          <w:sz w:val="22"/>
          <w:szCs w:val="22"/>
        </w:rPr>
        <w:t xml:space="preserve"> k </w:t>
      </w:r>
      <w:r w:rsidRPr="006532BE">
        <w:rPr>
          <w:rFonts w:ascii="Arial" w:hAnsi="Arial" w:cs="Arial"/>
          <w:color w:val="000000"/>
          <w:sz w:val="22"/>
          <w:szCs w:val="22"/>
        </w:rPr>
        <w:t xml:space="preserve">síti </w:t>
      </w:r>
      <w:r w:rsidR="00C94F18" w:rsidRPr="006532BE">
        <w:rPr>
          <w:rFonts w:ascii="Arial" w:hAnsi="Arial" w:cs="Arial"/>
          <w:color w:val="000000"/>
          <w:sz w:val="22"/>
          <w:szCs w:val="22"/>
        </w:rPr>
        <w:br/>
      </w:r>
      <w:r w:rsidRPr="006532BE">
        <w:rPr>
          <w:rFonts w:ascii="Arial" w:hAnsi="Arial" w:cs="Arial"/>
          <w:color w:val="000000"/>
          <w:sz w:val="22"/>
          <w:szCs w:val="22"/>
        </w:rPr>
        <w:t xml:space="preserve">Internet – bez </w:t>
      </w:r>
      <w:proofErr w:type="spellStart"/>
      <w:r w:rsidRPr="006532BE">
        <w:rPr>
          <w:rFonts w:ascii="Arial" w:hAnsi="Arial" w:cs="Arial"/>
          <w:color w:val="000000"/>
          <w:sz w:val="22"/>
          <w:szCs w:val="22"/>
        </w:rPr>
        <w:t>CoC</w:t>
      </w:r>
      <w:proofErr w:type="spellEnd"/>
    </w:p>
    <w:p w:rsidR="00242A0C" w:rsidRPr="006532BE" w:rsidRDefault="00242A0C" w:rsidP="00F270D8">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prodej, péči o</w:t>
      </w:r>
      <w:r w:rsidR="00C94F18" w:rsidRPr="006532BE">
        <w:rPr>
          <w:rFonts w:ascii="Arial" w:hAnsi="Arial" w:cs="Arial"/>
          <w:color w:val="000000"/>
          <w:sz w:val="22"/>
          <w:szCs w:val="22"/>
        </w:rPr>
        <w:t xml:space="preserve"> </w:t>
      </w:r>
      <w:r w:rsidRPr="006532BE">
        <w:rPr>
          <w:rFonts w:ascii="Arial" w:hAnsi="Arial" w:cs="Arial"/>
          <w:color w:val="000000"/>
          <w:sz w:val="22"/>
          <w:szCs w:val="22"/>
        </w:rPr>
        <w:t>zákazníka</w:t>
      </w:r>
      <w:r w:rsidR="00C94F18" w:rsidRPr="006532BE">
        <w:rPr>
          <w:rFonts w:ascii="Arial" w:hAnsi="Arial" w:cs="Arial"/>
          <w:color w:val="000000"/>
          <w:sz w:val="22"/>
          <w:szCs w:val="22"/>
        </w:rPr>
        <w:t xml:space="preserve"> a </w:t>
      </w:r>
      <w:proofErr w:type="spellStart"/>
      <w:r w:rsidRPr="006532BE">
        <w:rPr>
          <w:rFonts w:ascii="Arial" w:hAnsi="Arial" w:cs="Arial"/>
          <w:color w:val="000000"/>
          <w:sz w:val="22"/>
          <w:szCs w:val="22"/>
        </w:rPr>
        <w:t>product</w:t>
      </w:r>
      <w:proofErr w:type="spellEnd"/>
      <w:r w:rsidRPr="006532BE">
        <w:rPr>
          <w:rFonts w:ascii="Arial" w:hAnsi="Arial" w:cs="Arial"/>
          <w:color w:val="000000"/>
          <w:sz w:val="22"/>
          <w:szCs w:val="22"/>
        </w:rPr>
        <w:t xml:space="preserve"> management měsíčních velkoobchodních služeb širokopásmového přístupu</w:t>
      </w:r>
      <w:r w:rsidR="00C94F18" w:rsidRPr="006532BE">
        <w:rPr>
          <w:rFonts w:ascii="Arial" w:hAnsi="Arial" w:cs="Arial"/>
          <w:color w:val="000000"/>
          <w:sz w:val="22"/>
          <w:szCs w:val="22"/>
        </w:rPr>
        <w:t xml:space="preserve"> k </w:t>
      </w:r>
      <w:r w:rsidRPr="006532BE">
        <w:rPr>
          <w:rFonts w:ascii="Arial" w:hAnsi="Arial" w:cs="Arial"/>
          <w:color w:val="000000"/>
          <w:sz w:val="22"/>
          <w:szCs w:val="22"/>
        </w:rPr>
        <w:t xml:space="preserve">síti </w:t>
      </w:r>
      <w:r w:rsidR="00E3569C" w:rsidRPr="006532BE">
        <w:rPr>
          <w:rFonts w:ascii="Arial" w:hAnsi="Arial" w:cs="Arial"/>
          <w:color w:val="000000"/>
          <w:sz w:val="22"/>
          <w:szCs w:val="22"/>
        </w:rPr>
        <w:br/>
      </w:r>
      <w:r w:rsidRPr="006532BE">
        <w:rPr>
          <w:rFonts w:ascii="Arial" w:hAnsi="Arial" w:cs="Arial"/>
          <w:color w:val="000000"/>
          <w:sz w:val="22"/>
          <w:szCs w:val="22"/>
        </w:rPr>
        <w:t xml:space="preserve">Internet – </w:t>
      </w:r>
      <w:proofErr w:type="spellStart"/>
      <w:r w:rsidRPr="006532BE">
        <w:rPr>
          <w:rFonts w:ascii="Arial" w:hAnsi="Arial" w:cs="Arial"/>
          <w:color w:val="000000"/>
          <w:sz w:val="22"/>
          <w:szCs w:val="22"/>
        </w:rPr>
        <w:t>CoC</w:t>
      </w:r>
      <w:proofErr w:type="spellEnd"/>
    </w:p>
    <w:p w:rsidR="00242A0C" w:rsidRPr="006532BE" w:rsidRDefault="00242A0C" w:rsidP="00F270D8">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Další jednotkové náklady u maloobchodní služby širokopásmového přístupu k síti Internet (v Kč)</w:t>
      </w:r>
    </w:p>
    <w:p w:rsidR="00242A0C" w:rsidRPr="006532BE" w:rsidRDefault="00242A0C" w:rsidP="00CF1B4A">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 xml:space="preserve">prodej a péči o zákazníka u jednorázových maloobchodních služeb ADSL – bez </w:t>
      </w:r>
      <w:proofErr w:type="spellStart"/>
      <w:r w:rsidRPr="006532BE">
        <w:rPr>
          <w:rFonts w:ascii="Arial" w:hAnsi="Arial" w:cs="Arial"/>
          <w:color w:val="000000"/>
          <w:sz w:val="22"/>
          <w:szCs w:val="22"/>
        </w:rPr>
        <w:t>CoC</w:t>
      </w:r>
      <w:proofErr w:type="spellEnd"/>
    </w:p>
    <w:p w:rsidR="00242A0C" w:rsidRPr="006532BE" w:rsidRDefault="00242A0C" w:rsidP="00CF1B4A">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 xml:space="preserve">prodej a péči o zákazníka u jednorázových maloobchodních služeb ADSL – </w:t>
      </w:r>
      <w:proofErr w:type="spellStart"/>
      <w:r w:rsidRPr="006532BE">
        <w:rPr>
          <w:rFonts w:ascii="Arial" w:hAnsi="Arial" w:cs="Arial"/>
          <w:color w:val="000000"/>
          <w:sz w:val="22"/>
          <w:szCs w:val="22"/>
        </w:rPr>
        <w:t>CoC</w:t>
      </w:r>
      <w:proofErr w:type="spellEnd"/>
    </w:p>
    <w:p w:rsidR="00242A0C" w:rsidRPr="006532BE" w:rsidRDefault="00242A0C" w:rsidP="00CF1B4A">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 xml:space="preserve">prodej a péči o zákazníka u měsíčních maloobchodních služeb ADSL – bez </w:t>
      </w:r>
      <w:proofErr w:type="spellStart"/>
      <w:r w:rsidRPr="006532BE">
        <w:rPr>
          <w:rFonts w:ascii="Arial" w:hAnsi="Arial" w:cs="Arial"/>
          <w:color w:val="000000"/>
          <w:sz w:val="22"/>
          <w:szCs w:val="22"/>
        </w:rPr>
        <w:t>CoC</w:t>
      </w:r>
      <w:proofErr w:type="spellEnd"/>
    </w:p>
    <w:p w:rsidR="00242A0C" w:rsidRPr="006532BE" w:rsidRDefault="00242A0C" w:rsidP="00CF1B4A">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 xml:space="preserve">prodej a péči o zákazníka u měsíčních maloobchodních služeb ADSL – </w:t>
      </w:r>
      <w:proofErr w:type="spellStart"/>
      <w:r w:rsidRPr="006532BE">
        <w:rPr>
          <w:rFonts w:ascii="Arial" w:hAnsi="Arial" w:cs="Arial"/>
          <w:color w:val="000000"/>
          <w:sz w:val="22"/>
          <w:szCs w:val="22"/>
        </w:rPr>
        <w:t>CoC</w:t>
      </w:r>
      <w:proofErr w:type="spellEnd"/>
    </w:p>
    <w:p w:rsidR="00242A0C" w:rsidRPr="006532BE" w:rsidRDefault="00242A0C" w:rsidP="00CF1B4A">
      <w:pPr>
        <w:numPr>
          <w:ilvl w:val="1"/>
          <w:numId w:val="30"/>
        </w:numPr>
        <w:tabs>
          <w:tab w:val="left" w:pos="993"/>
        </w:tabs>
        <w:autoSpaceDE w:val="0"/>
        <w:autoSpaceDN w:val="0"/>
        <w:adjustRightInd w:val="0"/>
        <w:spacing w:before="60"/>
        <w:ind w:left="993" w:hanging="636"/>
        <w:jc w:val="both"/>
        <w:rPr>
          <w:rFonts w:ascii="Arial" w:hAnsi="Arial" w:cs="Arial"/>
          <w:color w:val="000000"/>
          <w:sz w:val="22"/>
          <w:szCs w:val="22"/>
        </w:rPr>
      </w:pPr>
      <w:r w:rsidRPr="006532BE">
        <w:rPr>
          <w:rFonts w:ascii="Arial" w:hAnsi="Arial" w:cs="Arial"/>
          <w:color w:val="000000"/>
          <w:sz w:val="22"/>
          <w:szCs w:val="22"/>
        </w:rPr>
        <w:lastRenderedPageBreak/>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marketing a </w:t>
      </w:r>
      <w:proofErr w:type="spellStart"/>
      <w:r w:rsidRPr="006532BE">
        <w:rPr>
          <w:rFonts w:ascii="Arial" w:hAnsi="Arial" w:cs="Arial"/>
          <w:color w:val="000000"/>
          <w:sz w:val="22"/>
          <w:szCs w:val="22"/>
        </w:rPr>
        <w:t>product</w:t>
      </w:r>
      <w:proofErr w:type="spellEnd"/>
      <w:r w:rsidRPr="006532BE">
        <w:rPr>
          <w:rFonts w:ascii="Arial" w:hAnsi="Arial" w:cs="Arial"/>
          <w:color w:val="000000"/>
          <w:sz w:val="22"/>
          <w:szCs w:val="22"/>
        </w:rPr>
        <w:t xml:space="preserve"> management u měsíčních maloobchodních služeb ADSL – bez </w:t>
      </w:r>
      <w:proofErr w:type="spellStart"/>
      <w:r w:rsidRPr="006532BE">
        <w:rPr>
          <w:rFonts w:ascii="Arial" w:hAnsi="Arial" w:cs="Arial"/>
          <w:color w:val="000000"/>
          <w:sz w:val="22"/>
          <w:szCs w:val="22"/>
        </w:rPr>
        <w:t>CoC</w:t>
      </w:r>
      <w:proofErr w:type="spellEnd"/>
    </w:p>
    <w:p w:rsidR="00242A0C" w:rsidRPr="006532BE" w:rsidRDefault="00242A0C" w:rsidP="00CF1B4A">
      <w:pPr>
        <w:numPr>
          <w:ilvl w:val="1"/>
          <w:numId w:val="30"/>
        </w:numPr>
        <w:tabs>
          <w:tab w:val="left" w:pos="993"/>
        </w:tabs>
        <w:autoSpaceDE w:val="0"/>
        <w:autoSpaceDN w:val="0"/>
        <w:adjustRightInd w:val="0"/>
        <w:spacing w:before="60"/>
        <w:ind w:left="993" w:hanging="636"/>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marketing a </w:t>
      </w:r>
      <w:proofErr w:type="spellStart"/>
      <w:r w:rsidRPr="006532BE">
        <w:rPr>
          <w:rFonts w:ascii="Arial" w:hAnsi="Arial" w:cs="Arial"/>
          <w:color w:val="000000"/>
          <w:sz w:val="22"/>
          <w:szCs w:val="22"/>
        </w:rPr>
        <w:t>product</w:t>
      </w:r>
      <w:proofErr w:type="spellEnd"/>
      <w:r w:rsidRPr="006532BE">
        <w:rPr>
          <w:rFonts w:ascii="Arial" w:hAnsi="Arial" w:cs="Arial"/>
          <w:color w:val="000000"/>
          <w:sz w:val="22"/>
          <w:szCs w:val="22"/>
        </w:rPr>
        <w:t xml:space="preserve"> management u měsíčních maloobchodních služeb ADSL – </w:t>
      </w:r>
      <w:proofErr w:type="spellStart"/>
      <w:r w:rsidRPr="006532BE">
        <w:rPr>
          <w:rFonts w:ascii="Arial" w:hAnsi="Arial" w:cs="Arial"/>
          <w:color w:val="000000"/>
          <w:sz w:val="22"/>
          <w:szCs w:val="22"/>
        </w:rPr>
        <w:t>CoC</w:t>
      </w:r>
      <w:proofErr w:type="spellEnd"/>
    </w:p>
    <w:p w:rsidR="00242A0C" w:rsidRPr="006532BE" w:rsidRDefault="00242A0C" w:rsidP="00CF1B4A">
      <w:pPr>
        <w:numPr>
          <w:ilvl w:val="1"/>
          <w:numId w:val="30"/>
        </w:numPr>
        <w:tabs>
          <w:tab w:val="left" w:pos="993"/>
        </w:tabs>
        <w:autoSpaceDE w:val="0"/>
        <w:autoSpaceDN w:val="0"/>
        <w:adjustRightInd w:val="0"/>
        <w:spacing w:before="60"/>
        <w:ind w:left="993" w:hanging="636"/>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kontentové</w:t>
      </w:r>
      <w:proofErr w:type="spellEnd"/>
      <w:r w:rsidRPr="006532BE">
        <w:rPr>
          <w:rFonts w:ascii="Arial" w:hAnsi="Arial" w:cs="Arial"/>
          <w:color w:val="000000"/>
          <w:sz w:val="22"/>
          <w:szCs w:val="22"/>
        </w:rPr>
        <w:t xml:space="preserve"> služby u měsíčních maloobchodních služeb ADSL (</w:t>
      </w:r>
      <w:proofErr w:type="spellStart"/>
      <w:r w:rsidRPr="006532BE">
        <w:rPr>
          <w:rFonts w:ascii="Arial" w:hAnsi="Arial" w:cs="Arial"/>
          <w:color w:val="000000"/>
          <w:sz w:val="22"/>
          <w:szCs w:val="22"/>
        </w:rPr>
        <w:t>Mail,Web</w:t>
      </w:r>
      <w:proofErr w:type="spellEnd"/>
      <w:r w:rsidRPr="006532BE">
        <w:rPr>
          <w:rFonts w:ascii="Arial" w:hAnsi="Arial" w:cs="Arial"/>
          <w:color w:val="000000"/>
          <w:sz w:val="22"/>
          <w:szCs w:val="22"/>
        </w:rPr>
        <w:t xml:space="preserve"> Hosting, antivirus apod.) – bez </w:t>
      </w:r>
      <w:proofErr w:type="spellStart"/>
      <w:r w:rsidRPr="006532BE">
        <w:rPr>
          <w:rFonts w:ascii="Arial" w:hAnsi="Arial" w:cs="Arial"/>
          <w:color w:val="000000"/>
          <w:sz w:val="22"/>
          <w:szCs w:val="22"/>
        </w:rPr>
        <w:t>CoC</w:t>
      </w:r>
      <w:proofErr w:type="spellEnd"/>
    </w:p>
    <w:p w:rsidR="00242A0C" w:rsidRPr="006532BE" w:rsidRDefault="00242A0C" w:rsidP="00CF1B4A">
      <w:pPr>
        <w:numPr>
          <w:ilvl w:val="1"/>
          <w:numId w:val="30"/>
        </w:numPr>
        <w:tabs>
          <w:tab w:val="left" w:pos="993"/>
        </w:tabs>
        <w:autoSpaceDE w:val="0"/>
        <w:autoSpaceDN w:val="0"/>
        <w:adjustRightInd w:val="0"/>
        <w:spacing w:before="60"/>
        <w:ind w:left="993" w:hanging="636"/>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proofErr w:type="spellStart"/>
      <w:r w:rsidRPr="006532BE">
        <w:rPr>
          <w:rFonts w:ascii="Arial" w:hAnsi="Arial" w:cs="Arial"/>
          <w:color w:val="000000"/>
          <w:sz w:val="22"/>
          <w:szCs w:val="22"/>
        </w:rPr>
        <w:t>kontentové</w:t>
      </w:r>
      <w:proofErr w:type="spellEnd"/>
      <w:r w:rsidRPr="006532BE">
        <w:rPr>
          <w:rFonts w:ascii="Arial" w:hAnsi="Arial" w:cs="Arial"/>
          <w:color w:val="000000"/>
          <w:sz w:val="22"/>
          <w:szCs w:val="22"/>
        </w:rPr>
        <w:t xml:space="preserve"> služby u měsíčních maloobchodních služeb ADSL (</w:t>
      </w:r>
      <w:proofErr w:type="spellStart"/>
      <w:r w:rsidRPr="006532BE">
        <w:rPr>
          <w:rFonts w:ascii="Arial" w:hAnsi="Arial" w:cs="Arial"/>
          <w:color w:val="000000"/>
          <w:sz w:val="22"/>
          <w:szCs w:val="22"/>
        </w:rPr>
        <w:t>Mail,Web</w:t>
      </w:r>
      <w:proofErr w:type="spellEnd"/>
      <w:r w:rsidRPr="006532BE">
        <w:rPr>
          <w:rFonts w:ascii="Arial" w:hAnsi="Arial" w:cs="Arial"/>
          <w:color w:val="000000"/>
          <w:sz w:val="22"/>
          <w:szCs w:val="22"/>
        </w:rPr>
        <w:t xml:space="preserve"> Hosting, antivirus apod.) – </w:t>
      </w:r>
      <w:proofErr w:type="spellStart"/>
      <w:r w:rsidRPr="006532BE">
        <w:rPr>
          <w:rFonts w:ascii="Arial" w:hAnsi="Arial" w:cs="Arial"/>
          <w:color w:val="000000"/>
          <w:sz w:val="22"/>
          <w:szCs w:val="22"/>
        </w:rPr>
        <w:t>CoC</w:t>
      </w:r>
      <w:proofErr w:type="spellEnd"/>
    </w:p>
    <w:p w:rsidR="00242A0C" w:rsidRPr="006532BE" w:rsidRDefault="00242A0C" w:rsidP="00CF1B4A">
      <w:pPr>
        <w:numPr>
          <w:ilvl w:val="1"/>
          <w:numId w:val="30"/>
        </w:numPr>
        <w:tabs>
          <w:tab w:val="left" w:pos="993"/>
        </w:tabs>
        <w:autoSpaceDE w:val="0"/>
        <w:autoSpaceDN w:val="0"/>
        <w:adjustRightInd w:val="0"/>
        <w:spacing w:before="60"/>
        <w:ind w:left="993" w:hanging="636"/>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dodatečnou infrastrukturu ISP u měsíčních maloobchodních služeb ADSL (</w:t>
      </w:r>
      <w:proofErr w:type="spellStart"/>
      <w:r w:rsidRPr="006532BE">
        <w:rPr>
          <w:rFonts w:ascii="Arial" w:hAnsi="Arial" w:cs="Arial"/>
          <w:color w:val="000000"/>
          <w:sz w:val="22"/>
          <w:szCs w:val="22"/>
        </w:rPr>
        <w:t>Radius</w:t>
      </w:r>
      <w:proofErr w:type="spellEnd"/>
      <w:r w:rsidRPr="006532BE">
        <w:rPr>
          <w:rFonts w:ascii="Arial" w:hAnsi="Arial" w:cs="Arial"/>
          <w:color w:val="000000"/>
          <w:sz w:val="22"/>
          <w:szCs w:val="22"/>
        </w:rPr>
        <w:t xml:space="preserve">, routery apod.) – bez </w:t>
      </w:r>
      <w:proofErr w:type="spellStart"/>
      <w:r w:rsidRPr="006532BE">
        <w:rPr>
          <w:rFonts w:ascii="Arial" w:hAnsi="Arial" w:cs="Arial"/>
          <w:color w:val="000000"/>
          <w:sz w:val="22"/>
          <w:szCs w:val="22"/>
        </w:rPr>
        <w:t>CoC</w:t>
      </w:r>
      <w:proofErr w:type="spellEnd"/>
    </w:p>
    <w:p w:rsidR="00242A0C" w:rsidRPr="006532BE" w:rsidRDefault="00242A0C" w:rsidP="00CF1B4A">
      <w:pPr>
        <w:numPr>
          <w:ilvl w:val="1"/>
          <w:numId w:val="30"/>
        </w:numPr>
        <w:tabs>
          <w:tab w:val="left" w:pos="851"/>
        </w:tabs>
        <w:autoSpaceDE w:val="0"/>
        <w:autoSpaceDN w:val="0"/>
        <w:adjustRightInd w:val="0"/>
        <w:spacing w:before="60"/>
        <w:ind w:left="993" w:hanging="636"/>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dodatečnou infrastrukturu ISP u měsíčních maloobchodních služeb ADSL (</w:t>
      </w:r>
      <w:proofErr w:type="spellStart"/>
      <w:r w:rsidRPr="006532BE">
        <w:rPr>
          <w:rFonts w:ascii="Arial" w:hAnsi="Arial" w:cs="Arial"/>
          <w:color w:val="000000"/>
          <w:sz w:val="22"/>
          <w:szCs w:val="22"/>
        </w:rPr>
        <w:t>Radius</w:t>
      </w:r>
      <w:proofErr w:type="spellEnd"/>
      <w:r w:rsidRPr="006532BE">
        <w:rPr>
          <w:rFonts w:ascii="Arial" w:hAnsi="Arial" w:cs="Arial"/>
          <w:color w:val="000000"/>
          <w:sz w:val="22"/>
          <w:szCs w:val="22"/>
        </w:rPr>
        <w:t xml:space="preserve">, routery apod.) – </w:t>
      </w:r>
      <w:proofErr w:type="spellStart"/>
      <w:r w:rsidRPr="006532BE">
        <w:rPr>
          <w:rFonts w:ascii="Arial" w:hAnsi="Arial" w:cs="Arial"/>
          <w:color w:val="000000"/>
          <w:sz w:val="22"/>
          <w:szCs w:val="22"/>
        </w:rPr>
        <w:t>CoC</w:t>
      </w:r>
      <w:proofErr w:type="spellEnd"/>
    </w:p>
    <w:p w:rsidR="00242A0C" w:rsidRPr="006532BE" w:rsidRDefault="00242A0C" w:rsidP="00CF1B4A">
      <w:pPr>
        <w:numPr>
          <w:ilvl w:val="1"/>
          <w:numId w:val="30"/>
        </w:numPr>
        <w:tabs>
          <w:tab w:val="left" w:pos="851"/>
        </w:tabs>
        <w:autoSpaceDE w:val="0"/>
        <w:autoSpaceDN w:val="0"/>
        <w:adjustRightInd w:val="0"/>
        <w:spacing w:before="60"/>
        <w:ind w:left="993" w:hanging="636"/>
        <w:jc w:val="both"/>
        <w:rPr>
          <w:rFonts w:ascii="Arial" w:hAnsi="Arial" w:cs="Arial"/>
          <w:color w:val="000000"/>
          <w:sz w:val="22"/>
          <w:szCs w:val="22"/>
        </w:rPr>
      </w:pPr>
      <w:r w:rsidRPr="006532BE">
        <w:rPr>
          <w:rFonts w:ascii="Arial" w:hAnsi="Arial" w:cs="Arial"/>
          <w:color w:val="000000"/>
          <w:sz w:val="22"/>
          <w:szCs w:val="22"/>
        </w:rPr>
        <w:t>Jednotkové náklady</w:t>
      </w:r>
      <w:r w:rsidR="0047095F" w:rsidRPr="006532BE">
        <w:rPr>
          <w:rFonts w:ascii="Arial" w:hAnsi="Arial" w:cs="Arial"/>
          <w:color w:val="000000"/>
          <w:sz w:val="22"/>
          <w:szCs w:val="22"/>
        </w:rPr>
        <w:t xml:space="preserve"> na </w:t>
      </w:r>
      <w:r w:rsidRPr="006532BE">
        <w:rPr>
          <w:rFonts w:ascii="Arial" w:hAnsi="Arial" w:cs="Arial"/>
          <w:color w:val="000000"/>
          <w:sz w:val="22"/>
          <w:szCs w:val="22"/>
        </w:rPr>
        <w:t>konektivitu do sítě Internet u měsíčních maloobchodních služeb ADSL</w:t>
      </w:r>
    </w:p>
    <w:p w:rsidR="00242A0C" w:rsidRPr="006532BE" w:rsidRDefault="00242A0C" w:rsidP="00CF1B4A">
      <w:pPr>
        <w:numPr>
          <w:ilvl w:val="1"/>
          <w:numId w:val="30"/>
        </w:numPr>
        <w:tabs>
          <w:tab w:val="left" w:pos="993"/>
        </w:tabs>
        <w:autoSpaceDE w:val="0"/>
        <w:autoSpaceDN w:val="0"/>
        <w:adjustRightInd w:val="0"/>
        <w:spacing w:before="60"/>
        <w:ind w:left="1066" w:hanging="709"/>
        <w:jc w:val="both"/>
        <w:rPr>
          <w:rFonts w:ascii="Arial" w:hAnsi="Arial" w:cs="Arial"/>
          <w:color w:val="000000"/>
          <w:sz w:val="22"/>
          <w:szCs w:val="22"/>
        </w:rPr>
      </w:pPr>
      <w:r w:rsidRPr="006532BE">
        <w:rPr>
          <w:rFonts w:ascii="Arial" w:hAnsi="Arial" w:cs="Arial"/>
          <w:color w:val="000000"/>
          <w:sz w:val="22"/>
          <w:szCs w:val="22"/>
        </w:rPr>
        <w:t>Podíl provize za nepřímý prodej</w:t>
      </w:r>
      <w:r w:rsidR="0047095F" w:rsidRPr="006532BE">
        <w:rPr>
          <w:rFonts w:ascii="Arial" w:hAnsi="Arial" w:cs="Arial"/>
          <w:color w:val="000000"/>
          <w:sz w:val="22"/>
          <w:szCs w:val="22"/>
        </w:rPr>
        <w:t xml:space="preserve"> na </w:t>
      </w:r>
      <w:r w:rsidRPr="006532BE">
        <w:rPr>
          <w:rFonts w:ascii="Arial" w:hAnsi="Arial" w:cs="Arial"/>
          <w:color w:val="000000"/>
          <w:sz w:val="22"/>
          <w:szCs w:val="22"/>
        </w:rPr>
        <w:t>zákazníka maloobchodní služby ADSL</w:t>
      </w:r>
    </w:p>
    <w:p w:rsidR="00242A0C" w:rsidRPr="006532BE" w:rsidRDefault="00242A0C" w:rsidP="00CF1B4A">
      <w:pPr>
        <w:numPr>
          <w:ilvl w:val="1"/>
          <w:numId w:val="30"/>
        </w:numPr>
        <w:tabs>
          <w:tab w:val="left" w:pos="993"/>
        </w:tabs>
        <w:autoSpaceDE w:val="0"/>
        <w:autoSpaceDN w:val="0"/>
        <w:adjustRightInd w:val="0"/>
        <w:spacing w:before="60"/>
        <w:ind w:left="1066" w:hanging="709"/>
        <w:jc w:val="both"/>
        <w:rPr>
          <w:rFonts w:ascii="Arial" w:hAnsi="Arial" w:cs="Arial"/>
          <w:color w:val="000000"/>
          <w:sz w:val="22"/>
          <w:szCs w:val="22"/>
        </w:rPr>
      </w:pPr>
      <w:r w:rsidRPr="006532BE">
        <w:rPr>
          <w:rFonts w:ascii="Arial" w:hAnsi="Arial" w:cs="Arial"/>
          <w:color w:val="000000"/>
          <w:sz w:val="22"/>
          <w:szCs w:val="22"/>
        </w:rPr>
        <w:t>Poštovné + krabice + balné u samoinstalačních balíčků (dodavatelská cena)</w:t>
      </w:r>
    </w:p>
    <w:p w:rsidR="00242A0C" w:rsidRPr="006532BE" w:rsidRDefault="00242A0C" w:rsidP="00CF1B4A">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 xml:space="preserve">Zisk / ztráta za ukončený rok (v Kč) </w:t>
      </w:r>
    </w:p>
    <w:p w:rsidR="00242A0C" w:rsidRPr="006532BE" w:rsidRDefault="00CF1B4A" w:rsidP="008D6DDA">
      <w:pPr>
        <w:tabs>
          <w:tab w:val="left" w:pos="993"/>
        </w:tabs>
        <w:autoSpaceDE w:val="0"/>
        <w:autoSpaceDN w:val="0"/>
        <w:adjustRightInd w:val="0"/>
        <w:ind w:left="357" w:hanging="357"/>
        <w:jc w:val="both"/>
        <w:rPr>
          <w:rFonts w:ascii="Arial" w:hAnsi="Arial" w:cs="Arial"/>
          <w:color w:val="000000"/>
          <w:sz w:val="22"/>
          <w:szCs w:val="22"/>
        </w:rPr>
      </w:pPr>
      <w:r w:rsidRPr="006532BE">
        <w:rPr>
          <w:rFonts w:ascii="Arial" w:hAnsi="Arial" w:cs="Arial"/>
          <w:color w:val="000000"/>
          <w:sz w:val="22"/>
          <w:szCs w:val="22"/>
        </w:rPr>
        <w:tab/>
      </w:r>
      <w:r w:rsidR="00242A0C" w:rsidRPr="006532BE">
        <w:rPr>
          <w:rFonts w:ascii="Arial" w:hAnsi="Arial" w:cs="Arial"/>
          <w:color w:val="000000"/>
          <w:sz w:val="22"/>
          <w:szCs w:val="22"/>
        </w:rPr>
        <w:t>Zisk / ztráta</w:t>
      </w:r>
      <w:r w:rsidR="0047095F" w:rsidRPr="006532BE">
        <w:rPr>
          <w:rFonts w:ascii="Arial" w:hAnsi="Arial" w:cs="Arial"/>
          <w:color w:val="000000"/>
          <w:sz w:val="22"/>
          <w:szCs w:val="22"/>
        </w:rPr>
        <w:t xml:space="preserve"> na </w:t>
      </w:r>
      <w:r w:rsidR="00242A0C" w:rsidRPr="006532BE">
        <w:rPr>
          <w:rFonts w:ascii="Arial" w:hAnsi="Arial" w:cs="Arial"/>
          <w:color w:val="000000"/>
          <w:sz w:val="22"/>
          <w:szCs w:val="22"/>
        </w:rPr>
        <w:t>modem poskytnutý u maloobchodní služby širokopásmového přístupu k síti Internet</w:t>
      </w:r>
    </w:p>
    <w:p w:rsidR="00242A0C" w:rsidRPr="006532BE" w:rsidRDefault="00242A0C" w:rsidP="00CF1B4A">
      <w:pPr>
        <w:numPr>
          <w:ilvl w:val="0"/>
          <w:numId w:val="28"/>
        </w:numPr>
        <w:autoSpaceDE w:val="0"/>
        <w:autoSpaceDN w:val="0"/>
        <w:adjustRightInd w:val="0"/>
        <w:spacing w:before="120"/>
        <w:ind w:left="357" w:hanging="357"/>
        <w:jc w:val="both"/>
        <w:rPr>
          <w:rFonts w:ascii="Arial" w:hAnsi="Arial" w:cs="Arial"/>
          <w:color w:val="000000"/>
          <w:sz w:val="22"/>
          <w:szCs w:val="22"/>
        </w:rPr>
      </w:pPr>
      <w:r w:rsidRPr="006532BE">
        <w:rPr>
          <w:rFonts w:ascii="Arial" w:hAnsi="Arial" w:cs="Arial"/>
          <w:color w:val="000000"/>
          <w:sz w:val="22"/>
          <w:szCs w:val="22"/>
        </w:rPr>
        <w:t>Průměrný jednotkový výnos velkoobchodní služby „širokopásmový přístup k síti Internet“ poskytované měsíčně (souhrn za rok</w:t>
      </w:r>
      <w:r w:rsidR="0047095F" w:rsidRPr="006532BE">
        <w:rPr>
          <w:rFonts w:ascii="Arial" w:hAnsi="Arial" w:cs="Arial"/>
          <w:color w:val="000000"/>
          <w:sz w:val="22"/>
          <w:szCs w:val="22"/>
        </w:rPr>
        <w:t xml:space="preserve"> v </w:t>
      </w:r>
      <w:r w:rsidRPr="006532BE">
        <w:rPr>
          <w:rFonts w:ascii="Arial" w:hAnsi="Arial" w:cs="Arial"/>
          <w:color w:val="000000"/>
          <w:sz w:val="22"/>
          <w:szCs w:val="22"/>
        </w:rPr>
        <w:t xml:space="preserve">Kč) </w:t>
      </w:r>
    </w:p>
    <w:p w:rsidR="00242A0C" w:rsidRPr="006532BE" w:rsidRDefault="00242A0C" w:rsidP="00CF1B4A">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s aktivní HTS/ISDN</w:t>
      </w:r>
    </w:p>
    <w:p w:rsidR="00242A0C" w:rsidRPr="006532BE" w:rsidRDefault="00242A0C" w:rsidP="00CF1B4A">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bez aktivní HTS/ISDN</w:t>
      </w:r>
    </w:p>
    <w:p w:rsidR="00242A0C" w:rsidRPr="006532BE" w:rsidRDefault="00242A0C" w:rsidP="00CF1B4A">
      <w:pPr>
        <w:numPr>
          <w:ilvl w:val="0"/>
          <w:numId w:val="28"/>
        </w:numPr>
        <w:autoSpaceDE w:val="0"/>
        <w:autoSpaceDN w:val="0"/>
        <w:adjustRightInd w:val="0"/>
        <w:spacing w:before="60"/>
        <w:ind w:left="357" w:hanging="357"/>
        <w:jc w:val="both"/>
        <w:rPr>
          <w:rFonts w:ascii="Arial" w:hAnsi="Arial" w:cs="Arial"/>
          <w:sz w:val="22"/>
          <w:szCs w:val="22"/>
        </w:rPr>
      </w:pPr>
      <w:r w:rsidRPr="006532BE">
        <w:rPr>
          <w:rFonts w:ascii="Arial" w:hAnsi="Arial" w:cs="Arial"/>
          <w:sz w:val="22"/>
          <w:szCs w:val="22"/>
        </w:rPr>
        <w:t>Průměrný jednotkový výnos maloobchodní služby „širokopásmový přístup k síti Internet“ poskytované měsíčně (souhrn za rok</w:t>
      </w:r>
      <w:r w:rsidR="0047095F" w:rsidRPr="006532BE">
        <w:rPr>
          <w:rFonts w:ascii="Arial" w:hAnsi="Arial" w:cs="Arial"/>
          <w:sz w:val="22"/>
          <w:szCs w:val="22"/>
        </w:rPr>
        <w:t xml:space="preserve"> v </w:t>
      </w:r>
      <w:r w:rsidRPr="006532BE">
        <w:rPr>
          <w:rFonts w:ascii="Arial" w:hAnsi="Arial" w:cs="Arial"/>
          <w:sz w:val="22"/>
          <w:szCs w:val="22"/>
        </w:rPr>
        <w:t xml:space="preserve">Kč) </w:t>
      </w:r>
    </w:p>
    <w:p w:rsidR="00242A0C" w:rsidRPr="006532BE" w:rsidRDefault="00242A0C" w:rsidP="00CF1B4A">
      <w:pPr>
        <w:numPr>
          <w:ilvl w:val="0"/>
          <w:numId w:val="28"/>
        </w:numPr>
        <w:autoSpaceDE w:val="0"/>
        <w:autoSpaceDN w:val="0"/>
        <w:adjustRightInd w:val="0"/>
        <w:spacing w:before="60"/>
        <w:ind w:left="357" w:hanging="357"/>
        <w:jc w:val="both"/>
        <w:rPr>
          <w:rFonts w:ascii="Arial" w:hAnsi="Arial" w:cs="Arial"/>
          <w:color w:val="000000"/>
          <w:sz w:val="22"/>
          <w:szCs w:val="22"/>
        </w:rPr>
      </w:pPr>
      <w:r w:rsidRPr="006532BE">
        <w:rPr>
          <w:rFonts w:ascii="Arial" w:hAnsi="Arial" w:cs="Arial"/>
          <w:color w:val="000000"/>
          <w:sz w:val="22"/>
          <w:szCs w:val="22"/>
        </w:rPr>
        <w:t xml:space="preserve">Ceny za jednorázově poskytované velkoobchodní služby (např. </w:t>
      </w:r>
      <w:proofErr w:type="spellStart"/>
      <w:r w:rsidRPr="006532BE">
        <w:rPr>
          <w:rFonts w:ascii="Arial" w:hAnsi="Arial" w:cs="Arial"/>
          <w:color w:val="000000"/>
          <w:sz w:val="22"/>
          <w:szCs w:val="22"/>
        </w:rPr>
        <w:t>Carrier</w:t>
      </w:r>
      <w:proofErr w:type="spellEnd"/>
      <w:r w:rsidRPr="006532BE">
        <w:rPr>
          <w:rFonts w:ascii="Arial" w:hAnsi="Arial" w:cs="Arial"/>
          <w:color w:val="000000"/>
          <w:sz w:val="22"/>
          <w:szCs w:val="22"/>
        </w:rPr>
        <w:t xml:space="preserve"> IP DSL CA, </w:t>
      </w:r>
      <w:proofErr w:type="spellStart"/>
      <w:r w:rsidRPr="006532BE">
        <w:rPr>
          <w:rFonts w:ascii="Arial" w:hAnsi="Arial" w:cs="Arial"/>
          <w:color w:val="000000"/>
          <w:sz w:val="22"/>
          <w:szCs w:val="22"/>
        </w:rPr>
        <w:t>Carrier</w:t>
      </w:r>
      <w:proofErr w:type="spellEnd"/>
      <w:r w:rsidRPr="006532BE">
        <w:rPr>
          <w:rFonts w:ascii="Arial" w:hAnsi="Arial" w:cs="Arial"/>
          <w:color w:val="000000"/>
          <w:sz w:val="22"/>
          <w:szCs w:val="22"/>
        </w:rPr>
        <w:t xml:space="preserve"> IP VPN;</w:t>
      </w:r>
      <w:r w:rsidR="0047095F" w:rsidRPr="006532BE">
        <w:rPr>
          <w:rFonts w:ascii="Arial" w:hAnsi="Arial" w:cs="Arial"/>
          <w:color w:val="000000"/>
          <w:sz w:val="22"/>
          <w:szCs w:val="22"/>
        </w:rPr>
        <w:t xml:space="preserve"> v </w:t>
      </w:r>
      <w:r w:rsidRPr="006532BE">
        <w:rPr>
          <w:rFonts w:ascii="Arial" w:hAnsi="Arial" w:cs="Arial"/>
          <w:color w:val="000000"/>
          <w:sz w:val="22"/>
          <w:szCs w:val="22"/>
        </w:rPr>
        <w:t>členění dle aktuální nabídky (např. změna přístupové rychlosti, přeložení přístupu, zřízení sdružené virtuální cesty, zřízení a změna privátní cesty</w:t>
      </w:r>
      <w:r w:rsidR="0047095F" w:rsidRPr="006532BE">
        <w:rPr>
          <w:rFonts w:ascii="Arial" w:hAnsi="Arial" w:cs="Arial"/>
          <w:color w:val="000000"/>
          <w:sz w:val="22"/>
          <w:szCs w:val="22"/>
        </w:rPr>
        <w:t xml:space="preserve"> v </w:t>
      </w:r>
      <w:r w:rsidRPr="006532BE">
        <w:rPr>
          <w:rFonts w:ascii="Arial" w:hAnsi="Arial" w:cs="Arial"/>
          <w:color w:val="000000"/>
          <w:sz w:val="22"/>
          <w:szCs w:val="22"/>
        </w:rPr>
        <w:t>rámci sdružené virtuální cesty apod.)</w:t>
      </w:r>
    </w:p>
    <w:p w:rsidR="00242A0C" w:rsidRPr="006532BE" w:rsidRDefault="00242A0C" w:rsidP="00CF1B4A">
      <w:pPr>
        <w:numPr>
          <w:ilvl w:val="0"/>
          <w:numId w:val="28"/>
        </w:numPr>
        <w:autoSpaceDE w:val="0"/>
        <w:autoSpaceDN w:val="0"/>
        <w:adjustRightInd w:val="0"/>
        <w:spacing w:before="60"/>
        <w:ind w:left="357" w:hanging="357"/>
        <w:jc w:val="both"/>
        <w:rPr>
          <w:rFonts w:ascii="Arial" w:hAnsi="Arial" w:cs="Arial"/>
          <w:sz w:val="22"/>
          <w:szCs w:val="22"/>
        </w:rPr>
      </w:pPr>
      <w:r w:rsidRPr="006532BE">
        <w:rPr>
          <w:rFonts w:ascii="Arial" w:hAnsi="Arial" w:cs="Arial"/>
          <w:sz w:val="22"/>
          <w:szCs w:val="22"/>
        </w:rPr>
        <w:t>Ceny za měsíčně poskytované velkoobchodní služby (s aktivní HTS/ISDN)</w:t>
      </w:r>
      <w:r w:rsidR="0047095F" w:rsidRPr="006532BE">
        <w:rPr>
          <w:rFonts w:ascii="Arial" w:hAnsi="Arial" w:cs="Arial"/>
          <w:sz w:val="22"/>
          <w:szCs w:val="22"/>
        </w:rPr>
        <w:t xml:space="preserve"> podle </w:t>
      </w:r>
      <w:r w:rsidRPr="006532BE">
        <w:rPr>
          <w:rFonts w:ascii="Arial" w:hAnsi="Arial" w:cs="Arial"/>
          <w:sz w:val="22"/>
          <w:szCs w:val="22"/>
        </w:rPr>
        <w:t>aktuální nabídky poskytovatele (v členění dle rychlostního profilu a agregace)</w:t>
      </w:r>
    </w:p>
    <w:p w:rsidR="00242A0C" w:rsidRPr="006532BE" w:rsidRDefault="00242A0C" w:rsidP="00CF1B4A">
      <w:pPr>
        <w:numPr>
          <w:ilvl w:val="0"/>
          <w:numId w:val="28"/>
        </w:numPr>
        <w:autoSpaceDE w:val="0"/>
        <w:autoSpaceDN w:val="0"/>
        <w:adjustRightInd w:val="0"/>
        <w:spacing w:before="60"/>
        <w:ind w:left="357" w:hanging="357"/>
        <w:jc w:val="both"/>
        <w:rPr>
          <w:rFonts w:ascii="Arial" w:hAnsi="Arial" w:cs="Arial"/>
          <w:sz w:val="22"/>
          <w:szCs w:val="22"/>
        </w:rPr>
      </w:pPr>
      <w:r w:rsidRPr="006532BE">
        <w:rPr>
          <w:rFonts w:ascii="Arial" w:hAnsi="Arial" w:cs="Arial"/>
          <w:sz w:val="22"/>
          <w:szCs w:val="22"/>
        </w:rPr>
        <w:t>Ceny za měsíčně poskytované velkoobchodní služby (bez aktivní HTS/ISDN</w:t>
      </w:r>
      <w:r w:rsidR="0047095F" w:rsidRPr="006532BE">
        <w:rPr>
          <w:rFonts w:ascii="Arial" w:hAnsi="Arial" w:cs="Arial"/>
          <w:sz w:val="22"/>
          <w:szCs w:val="22"/>
        </w:rPr>
        <w:t xml:space="preserve"> podle </w:t>
      </w:r>
      <w:r w:rsidRPr="006532BE">
        <w:rPr>
          <w:rFonts w:ascii="Arial" w:hAnsi="Arial" w:cs="Arial"/>
          <w:sz w:val="22"/>
          <w:szCs w:val="22"/>
        </w:rPr>
        <w:t xml:space="preserve">aktuální nabídky poskytovatele (v členění dle rychlostního profilu a agregace) </w:t>
      </w:r>
    </w:p>
    <w:p w:rsidR="00242A0C" w:rsidRPr="006532BE" w:rsidRDefault="00242A0C" w:rsidP="00CF1B4A">
      <w:pPr>
        <w:numPr>
          <w:ilvl w:val="0"/>
          <w:numId w:val="28"/>
        </w:numPr>
        <w:autoSpaceDE w:val="0"/>
        <w:autoSpaceDN w:val="0"/>
        <w:adjustRightInd w:val="0"/>
        <w:spacing w:before="60"/>
        <w:ind w:left="357" w:hanging="357"/>
        <w:jc w:val="both"/>
        <w:rPr>
          <w:rFonts w:ascii="Arial" w:hAnsi="Arial" w:cs="Arial"/>
          <w:sz w:val="22"/>
          <w:szCs w:val="22"/>
        </w:rPr>
      </w:pPr>
      <w:r w:rsidRPr="006532BE">
        <w:rPr>
          <w:rFonts w:ascii="Arial" w:hAnsi="Arial" w:cs="Arial"/>
          <w:sz w:val="22"/>
          <w:szCs w:val="22"/>
        </w:rPr>
        <w:t xml:space="preserve">Ceny za datový přenos iniciovaný velkoobchodní službou (např. přístupem </w:t>
      </w:r>
      <w:proofErr w:type="spellStart"/>
      <w:r w:rsidRPr="006532BE">
        <w:rPr>
          <w:rFonts w:ascii="Arial" w:hAnsi="Arial" w:cs="Arial"/>
          <w:sz w:val="22"/>
          <w:szCs w:val="22"/>
        </w:rPr>
        <w:t>Carrier</w:t>
      </w:r>
      <w:proofErr w:type="spellEnd"/>
      <w:r w:rsidRPr="006532BE">
        <w:rPr>
          <w:rFonts w:ascii="Arial" w:hAnsi="Arial" w:cs="Arial"/>
          <w:sz w:val="22"/>
          <w:szCs w:val="22"/>
        </w:rPr>
        <w:t xml:space="preserve"> IP DSL CA</w:t>
      </w:r>
      <w:r w:rsidR="0047095F" w:rsidRPr="006532BE">
        <w:rPr>
          <w:rFonts w:ascii="Arial" w:hAnsi="Arial" w:cs="Arial"/>
          <w:sz w:val="22"/>
          <w:szCs w:val="22"/>
        </w:rPr>
        <w:t xml:space="preserve"> v </w:t>
      </w:r>
      <w:r w:rsidRPr="006532BE">
        <w:rPr>
          <w:rFonts w:ascii="Arial" w:hAnsi="Arial" w:cs="Arial"/>
          <w:sz w:val="22"/>
          <w:szCs w:val="22"/>
        </w:rPr>
        <w:t xml:space="preserve">dané Virtuální privátní cestě (v členění dle rychlostního profilu a agregace) </w:t>
      </w:r>
    </w:p>
    <w:p w:rsidR="00242A0C" w:rsidRPr="006532BE" w:rsidRDefault="00242A0C" w:rsidP="00CF1B4A">
      <w:pPr>
        <w:numPr>
          <w:ilvl w:val="0"/>
          <w:numId w:val="28"/>
        </w:numPr>
        <w:autoSpaceDE w:val="0"/>
        <w:autoSpaceDN w:val="0"/>
        <w:adjustRightInd w:val="0"/>
        <w:spacing w:before="60"/>
        <w:ind w:left="357" w:hanging="357"/>
        <w:jc w:val="both"/>
        <w:rPr>
          <w:rFonts w:ascii="Arial" w:hAnsi="Arial" w:cs="Arial"/>
          <w:sz w:val="22"/>
          <w:szCs w:val="22"/>
        </w:rPr>
      </w:pPr>
      <w:r w:rsidRPr="006532BE">
        <w:rPr>
          <w:rFonts w:ascii="Arial" w:hAnsi="Arial" w:cs="Arial"/>
          <w:sz w:val="22"/>
          <w:szCs w:val="22"/>
        </w:rPr>
        <w:t>Ceny za maloobchodní služby širokopásmového přístupu k síti Internet</w:t>
      </w:r>
      <w:r w:rsidR="0047095F" w:rsidRPr="006532BE">
        <w:rPr>
          <w:rFonts w:ascii="Arial" w:hAnsi="Arial" w:cs="Arial"/>
          <w:sz w:val="22"/>
          <w:szCs w:val="22"/>
        </w:rPr>
        <w:t xml:space="preserve"> podle </w:t>
      </w:r>
      <w:r w:rsidRPr="006532BE">
        <w:rPr>
          <w:rFonts w:ascii="Arial" w:hAnsi="Arial" w:cs="Arial"/>
          <w:sz w:val="22"/>
          <w:szCs w:val="22"/>
        </w:rPr>
        <w:t>aktuální nabídky poskytovatele</w:t>
      </w:r>
    </w:p>
    <w:p w:rsidR="00242A0C" w:rsidRPr="006532BE" w:rsidRDefault="00242A0C" w:rsidP="00CF1B4A">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Jednorázově poskytované služby</w:t>
      </w:r>
    </w:p>
    <w:p w:rsidR="00242A0C" w:rsidRPr="006532BE" w:rsidRDefault="00242A0C" w:rsidP="00CF1B4A">
      <w:pPr>
        <w:numPr>
          <w:ilvl w:val="1"/>
          <w:numId w:val="30"/>
        </w:numPr>
        <w:tabs>
          <w:tab w:val="left" w:pos="993"/>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Měsíčně poskytované služby</w:t>
      </w:r>
    </w:p>
    <w:p w:rsidR="00242A0C" w:rsidRPr="006532BE" w:rsidRDefault="00242A0C" w:rsidP="000B2AC0">
      <w:pPr>
        <w:autoSpaceDE w:val="0"/>
        <w:autoSpaceDN w:val="0"/>
        <w:adjustRightInd w:val="0"/>
        <w:spacing w:before="240"/>
        <w:jc w:val="both"/>
        <w:rPr>
          <w:rFonts w:ascii="Arial" w:hAnsi="Arial" w:cs="Arial"/>
          <w:color w:val="000000"/>
          <w:sz w:val="22"/>
          <w:szCs w:val="22"/>
        </w:rPr>
      </w:pPr>
      <w:r w:rsidRPr="006532BE">
        <w:rPr>
          <w:rFonts w:ascii="Arial" w:hAnsi="Arial" w:cs="Arial"/>
          <w:b/>
          <w:sz w:val="22"/>
          <w:szCs w:val="22"/>
        </w:rPr>
        <w:t>List – Jednorázové procesy_RT4</w:t>
      </w:r>
    </w:p>
    <w:p w:rsidR="00242A0C" w:rsidRPr="006532BE" w:rsidRDefault="00242A0C" w:rsidP="008D6DDA">
      <w:pPr>
        <w:tabs>
          <w:tab w:val="left" w:pos="993"/>
        </w:tabs>
        <w:autoSpaceDE w:val="0"/>
        <w:autoSpaceDN w:val="0"/>
        <w:adjustRightInd w:val="0"/>
        <w:spacing w:before="60"/>
        <w:jc w:val="both"/>
        <w:rPr>
          <w:rFonts w:ascii="Arial" w:hAnsi="Arial" w:cs="Arial"/>
          <w:color w:val="000000"/>
          <w:sz w:val="22"/>
          <w:szCs w:val="22"/>
        </w:rPr>
      </w:pPr>
      <w:r w:rsidRPr="006532BE">
        <w:rPr>
          <w:rFonts w:ascii="Arial" w:hAnsi="Arial" w:cs="Arial"/>
          <w:color w:val="000000"/>
          <w:sz w:val="22"/>
          <w:szCs w:val="22"/>
        </w:rPr>
        <w:t>délka trvání jednotlivých aktiv</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oddělení, které aktivity provádí (rozděleno</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oddělení, které mohou tyto aktivity provádět: Velkoprodej a propojování; Administrace a dokumentace sítě; Péče o zákazníky; Informační systémy; Řízení prací a poskytování služeb; Provoz přístupové sítě apod.)</w:t>
      </w:r>
    </w:p>
    <w:p w:rsidR="00242A0C" w:rsidRPr="006532BE" w:rsidRDefault="00242A0C" w:rsidP="007D2120">
      <w:pPr>
        <w:spacing w:before="240"/>
        <w:ind w:left="5245" w:hanging="5245"/>
        <w:rPr>
          <w:rFonts w:ascii="Arial" w:hAnsi="Arial" w:cs="Arial"/>
          <w:color w:val="000000"/>
          <w:sz w:val="22"/>
          <w:szCs w:val="22"/>
        </w:rPr>
      </w:pPr>
      <w:r w:rsidRPr="006532BE">
        <w:rPr>
          <w:rFonts w:ascii="Arial" w:hAnsi="Arial" w:cs="Arial"/>
          <w:b/>
          <w:bCs/>
          <w:color w:val="000000"/>
          <w:spacing w:val="1"/>
          <w:sz w:val="22"/>
          <w:szCs w:val="22"/>
        </w:rPr>
        <w:t xml:space="preserve">II. </w:t>
      </w:r>
      <w:r w:rsidRPr="006532BE">
        <w:rPr>
          <w:rFonts w:ascii="Arial" w:hAnsi="Arial" w:cs="Arial"/>
          <w:b/>
          <w:bCs/>
          <w:color w:val="000000"/>
          <w:sz w:val="22"/>
          <w:szCs w:val="22"/>
        </w:rPr>
        <w:t>Podklad</w:t>
      </w:r>
      <w:r w:rsidRPr="006532BE">
        <w:rPr>
          <w:rFonts w:ascii="Arial" w:hAnsi="Arial" w:cs="Arial"/>
          <w:b/>
          <w:bCs/>
          <w:color w:val="000000"/>
          <w:spacing w:val="-1"/>
          <w:sz w:val="22"/>
          <w:szCs w:val="22"/>
        </w:rPr>
        <w:t>y</w:t>
      </w:r>
      <w:r w:rsidRPr="006532BE">
        <w:rPr>
          <w:rFonts w:ascii="Arial" w:hAnsi="Arial" w:cs="Arial"/>
          <w:b/>
          <w:bCs/>
          <w:color w:val="000000"/>
          <w:sz w:val="22"/>
          <w:szCs w:val="22"/>
        </w:rPr>
        <w:t>,</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které</w:t>
      </w:r>
      <w:r w:rsidRPr="006532BE">
        <w:rPr>
          <w:rFonts w:ascii="Arial" w:hAnsi="Arial" w:cs="Arial"/>
          <w:b/>
          <w:bCs/>
          <w:color w:val="000000"/>
          <w:spacing w:val="-5"/>
          <w:sz w:val="22"/>
          <w:szCs w:val="22"/>
        </w:rPr>
        <w:t xml:space="preserve"> </w:t>
      </w:r>
      <w:r w:rsidRPr="006532BE">
        <w:rPr>
          <w:rFonts w:ascii="Arial" w:hAnsi="Arial" w:cs="Arial"/>
          <w:b/>
          <w:bCs/>
          <w:color w:val="000000"/>
          <w:sz w:val="22"/>
          <w:szCs w:val="22"/>
        </w:rPr>
        <w:t>do</w:t>
      </w:r>
      <w:r w:rsidRPr="006532BE">
        <w:rPr>
          <w:rFonts w:ascii="Arial" w:hAnsi="Arial" w:cs="Arial"/>
          <w:b/>
          <w:bCs/>
          <w:color w:val="000000"/>
          <w:spacing w:val="2"/>
          <w:sz w:val="22"/>
          <w:szCs w:val="22"/>
        </w:rPr>
        <w:t>k</w:t>
      </w:r>
      <w:r w:rsidRPr="006532BE">
        <w:rPr>
          <w:rFonts w:ascii="Arial" w:hAnsi="Arial" w:cs="Arial"/>
          <w:b/>
          <w:bCs/>
          <w:color w:val="000000"/>
          <w:sz w:val="22"/>
          <w:szCs w:val="22"/>
        </w:rPr>
        <w:t>ládají</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správnost</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výše</w:t>
      </w:r>
      <w:r w:rsidRPr="006532BE">
        <w:rPr>
          <w:rFonts w:ascii="Arial" w:hAnsi="Arial" w:cs="Arial"/>
          <w:b/>
          <w:bCs/>
          <w:color w:val="000000"/>
          <w:spacing w:val="-5"/>
          <w:sz w:val="22"/>
          <w:szCs w:val="22"/>
        </w:rPr>
        <w:t xml:space="preserve"> </w:t>
      </w:r>
      <w:r w:rsidRPr="006532BE">
        <w:rPr>
          <w:rFonts w:ascii="Arial" w:hAnsi="Arial" w:cs="Arial"/>
          <w:b/>
          <w:bCs/>
          <w:color w:val="000000"/>
          <w:sz w:val="22"/>
          <w:szCs w:val="22"/>
        </w:rPr>
        <w:t>uvedených</w:t>
      </w:r>
      <w:r w:rsidRPr="006532BE">
        <w:rPr>
          <w:rFonts w:ascii="Arial" w:hAnsi="Arial" w:cs="Arial"/>
          <w:b/>
          <w:bCs/>
          <w:color w:val="000000"/>
          <w:spacing w:val="-11"/>
          <w:sz w:val="22"/>
          <w:szCs w:val="22"/>
        </w:rPr>
        <w:t xml:space="preserve"> </w:t>
      </w:r>
      <w:r w:rsidRPr="006532BE">
        <w:rPr>
          <w:rFonts w:ascii="Arial" w:hAnsi="Arial" w:cs="Arial"/>
          <w:b/>
          <w:bCs/>
          <w:color w:val="000000"/>
          <w:sz w:val="22"/>
          <w:szCs w:val="22"/>
        </w:rPr>
        <w:t>úda</w:t>
      </w:r>
      <w:r w:rsidRPr="006532BE">
        <w:rPr>
          <w:rFonts w:ascii="Arial" w:hAnsi="Arial" w:cs="Arial"/>
          <w:b/>
          <w:bCs/>
          <w:color w:val="000000"/>
          <w:spacing w:val="-1"/>
          <w:sz w:val="22"/>
          <w:szCs w:val="22"/>
        </w:rPr>
        <w:t>j</w:t>
      </w:r>
      <w:r w:rsidRPr="006532BE">
        <w:rPr>
          <w:rFonts w:ascii="Arial" w:hAnsi="Arial" w:cs="Arial"/>
          <w:b/>
          <w:bCs/>
          <w:color w:val="000000"/>
          <w:sz w:val="22"/>
          <w:szCs w:val="22"/>
        </w:rPr>
        <w:t>ů.</w:t>
      </w:r>
      <w:r w:rsidRPr="009F76E8">
        <w:rPr>
          <w:rFonts w:ascii="Arial" w:hAnsi="Arial" w:cs="Arial"/>
          <w:color w:val="000000"/>
          <w:sz w:val="22"/>
          <w:szCs w:val="22"/>
          <w:highlight w:val="cyan"/>
        </w:rPr>
        <w:br w:type="page"/>
      </w:r>
      <w:r w:rsidRPr="006532BE">
        <w:rPr>
          <w:rFonts w:ascii="Arial" w:hAnsi="Arial" w:cs="Arial"/>
          <w:color w:val="000000"/>
          <w:sz w:val="22"/>
          <w:szCs w:val="22"/>
        </w:rPr>
        <w:lastRenderedPageBreak/>
        <w:t>Příloha č. 5</w:t>
      </w:r>
      <w:r w:rsidRPr="006532BE">
        <w:rPr>
          <w:rFonts w:ascii="Arial" w:hAnsi="Arial" w:cs="Arial"/>
          <w:color w:val="000000"/>
          <w:spacing w:val="-7"/>
          <w:sz w:val="22"/>
          <w:szCs w:val="22"/>
        </w:rPr>
        <w:t xml:space="preserve"> k </w:t>
      </w:r>
      <w:r w:rsidRPr="006532BE">
        <w:rPr>
          <w:rFonts w:ascii="Arial" w:hAnsi="Arial" w:cs="Arial"/>
          <w:color w:val="000000"/>
          <w:sz w:val="22"/>
          <w:szCs w:val="22"/>
        </w:rPr>
        <w:t>opatření</w:t>
      </w:r>
      <w:r w:rsidRPr="006532BE">
        <w:rPr>
          <w:rFonts w:ascii="Arial" w:hAnsi="Arial" w:cs="Arial"/>
          <w:color w:val="000000"/>
          <w:spacing w:val="-8"/>
          <w:sz w:val="22"/>
          <w:szCs w:val="22"/>
        </w:rPr>
        <w:t xml:space="preserve"> </w:t>
      </w:r>
      <w:r w:rsidRPr="006532BE">
        <w:rPr>
          <w:rFonts w:ascii="Arial" w:hAnsi="Arial" w:cs="Arial"/>
          <w:color w:val="000000"/>
          <w:spacing w:val="-1"/>
          <w:sz w:val="22"/>
          <w:szCs w:val="22"/>
        </w:rPr>
        <w:t>o</w:t>
      </w:r>
      <w:r w:rsidRPr="006532BE">
        <w:rPr>
          <w:rFonts w:ascii="Arial" w:hAnsi="Arial" w:cs="Arial"/>
          <w:color w:val="000000"/>
          <w:sz w:val="22"/>
          <w:szCs w:val="22"/>
        </w:rPr>
        <w:t>becné</w:t>
      </w:r>
      <w:r w:rsidRPr="006532BE">
        <w:rPr>
          <w:rFonts w:ascii="Arial" w:hAnsi="Arial" w:cs="Arial"/>
          <w:color w:val="000000"/>
          <w:spacing w:val="-7"/>
          <w:sz w:val="22"/>
          <w:szCs w:val="22"/>
        </w:rPr>
        <w:t xml:space="preserve"> </w:t>
      </w:r>
      <w:r w:rsidRPr="006532BE">
        <w:rPr>
          <w:rFonts w:ascii="Arial" w:hAnsi="Arial" w:cs="Arial"/>
          <w:color w:val="000000"/>
          <w:sz w:val="22"/>
          <w:szCs w:val="22"/>
        </w:rPr>
        <w:t>povahy</w:t>
      </w:r>
      <w:r w:rsidRPr="006532BE">
        <w:rPr>
          <w:rFonts w:ascii="Arial" w:hAnsi="Arial" w:cs="Arial"/>
          <w:color w:val="000000"/>
          <w:spacing w:val="-7"/>
          <w:sz w:val="22"/>
          <w:szCs w:val="22"/>
        </w:rPr>
        <w:t xml:space="preserve"> </w:t>
      </w:r>
      <w:r w:rsidRPr="006532BE">
        <w:rPr>
          <w:rFonts w:ascii="Arial" w:hAnsi="Arial" w:cs="Arial"/>
          <w:color w:val="000000"/>
          <w:spacing w:val="1"/>
          <w:sz w:val="22"/>
          <w:szCs w:val="22"/>
        </w:rPr>
        <w:t>č</w:t>
      </w:r>
      <w:r w:rsidRPr="006532BE">
        <w:rPr>
          <w:rFonts w:ascii="Arial" w:hAnsi="Arial" w:cs="Arial"/>
          <w:color w:val="000000"/>
          <w:sz w:val="22"/>
          <w:szCs w:val="22"/>
        </w:rPr>
        <w:t>.</w:t>
      </w:r>
      <w:r w:rsidRPr="006532BE">
        <w:rPr>
          <w:rFonts w:ascii="Arial" w:hAnsi="Arial" w:cs="Arial"/>
          <w:color w:val="000000"/>
          <w:spacing w:val="-1"/>
          <w:sz w:val="22"/>
          <w:szCs w:val="22"/>
        </w:rPr>
        <w:t xml:space="preserve"> </w:t>
      </w:r>
      <w:r w:rsidRPr="006532BE">
        <w:rPr>
          <w:rFonts w:ascii="Arial" w:hAnsi="Arial" w:cs="Arial"/>
          <w:b/>
          <w:bCs/>
          <w:color w:val="000000"/>
          <w:w w:val="99"/>
          <w:sz w:val="22"/>
          <w:szCs w:val="22"/>
        </w:rPr>
        <w:t>OOP/4</w:t>
      </w:r>
      <w:r w:rsidRPr="006532BE">
        <w:rPr>
          <w:rFonts w:ascii="Arial" w:hAnsi="Arial" w:cs="Arial"/>
          <w:b/>
          <w:bCs/>
          <w:color w:val="000000"/>
          <w:spacing w:val="1"/>
          <w:w w:val="99"/>
          <w:sz w:val="22"/>
          <w:szCs w:val="22"/>
        </w:rPr>
        <w:t>/</w:t>
      </w:r>
      <w:r w:rsidR="002C151C">
        <w:rPr>
          <w:rFonts w:ascii="Arial" w:hAnsi="Arial" w:cs="Arial"/>
          <w:b/>
          <w:bCs/>
          <w:color w:val="000000"/>
          <w:spacing w:val="1"/>
          <w:w w:val="99"/>
          <w:sz w:val="22"/>
          <w:szCs w:val="22"/>
        </w:rPr>
        <w:t>09</w:t>
      </w:r>
      <w:r w:rsidRPr="006532BE">
        <w:rPr>
          <w:rFonts w:ascii="Arial" w:hAnsi="Arial" w:cs="Arial"/>
          <w:b/>
          <w:bCs/>
          <w:color w:val="000000"/>
          <w:w w:val="99"/>
          <w:sz w:val="22"/>
          <w:szCs w:val="22"/>
        </w:rPr>
        <w:t>.2014-</w:t>
      </w:r>
      <w:r w:rsidR="002C151C">
        <w:rPr>
          <w:rFonts w:ascii="Arial" w:hAnsi="Arial" w:cs="Arial"/>
          <w:b/>
          <w:bCs/>
          <w:color w:val="000000"/>
          <w:w w:val="99"/>
          <w:sz w:val="22"/>
          <w:szCs w:val="22"/>
        </w:rPr>
        <w:t>6</w:t>
      </w:r>
    </w:p>
    <w:p w:rsidR="00242A0C" w:rsidRPr="006532BE" w:rsidRDefault="00242A0C" w:rsidP="005362D7">
      <w:pPr>
        <w:tabs>
          <w:tab w:val="left" w:pos="993"/>
        </w:tabs>
        <w:autoSpaceDE w:val="0"/>
        <w:autoSpaceDN w:val="0"/>
        <w:adjustRightInd w:val="0"/>
        <w:spacing w:before="480"/>
        <w:rPr>
          <w:rFonts w:ascii="Arial" w:hAnsi="Arial" w:cs="Arial"/>
          <w:color w:val="000000"/>
          <w:sz w:val="22"/>
          <w:szCs w:val="22"/>
        </w:rPr>
      </w:pPr>
      <w:r w:rsidRPr="006532BE">
        <w:rPr>
          <w:rFonts w:ascii="Arial" w:hAnsi="Arial" w:cs="Arial"/>
          <w:b/>
          <w:bCs/>
          <w:color w:val="000000"/>
          <w:sz w:val="22"/>
          <w:szCs w:val="22"/>
        </w:rPr>
        <w:t>Struktura</w:t>
      </w:r>
      <w:r w:rsidRPr="006532BE">
        <w:rPr>
          <w:rFonts w:ascii="Arial" w:hAnsi="Arial" w:cs="Arial"/>
          <w:b/>
          <w:bCs/>
          <w:color w:val="000000"/>
          <w:spacing w:val="-10"/>
          <w:sz w:val="22"/>
          <w:szCs w:val="22"/>
        </w:rPr>
        <w:t xml:space="preserve"> </w:t>
      </w:r>
      <w:r w:rsidRPr="006532BE">
        <w:rPr>
          <w:rFonts w:ascii="Arial" w:hAnsi="Arial" w:cs="Arial"/>
          <w:b/>
          <w:bCs/>
          <w:color w:val="000000"/>
          <w:spacing w:val="1"/>
          <w:sz w:val="22"/>
          <w:szCs w:val="22"/>
        </w:rPr>
        <w:t>v</w:t>
      </w:r>
      <w:r w:rsidRPr="006532BE">
        <w:rPr>
          <w:rFonts w:ascii="Arial" w:hAnsi="Arial" w:cs="Arial"/>
          <w:b/>
          <w:bCs/>
          <w:color w:val="000000"/>
          <w:sz w:val="22"/>
          <w:szCs w:val="22"/>
        </w:rPr>
        <w:t>stupních</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údajů</w:t>
      </w:r>
      <w:r w:rsidRPr="006532BE">
        <w:rPr>
          <w:rFonts w:ascii="Arial" w:hAnsi="Arial" w:cs="Arial"/>
          <w:b/>
          <w:bCs/>
          <w:color w:val="000000"/>
          <w:spacing w:val="-5"/>
          <w:sz w:val="22"/>
          <w:szCs w:val="22"/>
        </w:rPr>
        <w:t xml:space="preserve"> </w:t>
      </w:r>
      <w:r w:rsidRPr="006532BE">
        <w:rPr>
          <w:rFonts w:ascii="Arial" w:hAnsi="Arial" w:cs="Arial"/>
          <w:b/>
          <w:bCs/>
          <w:color w:val="000000"/>
          <w:sz w:val="22"/>
          <w:szCs w:val="22"/>
        </w:rPr>
        <w:t>dle</w:t>
      </w:r>
      <w:r w:rsidRPr="006532BE">
        <w:rPr>
          <w:rFonts w:ascii="Arial" w:hAnsi="Arial" w:cs="Arial"/>
          <w:b/>
          <w:bCs/>
          <w:color w:val="000000"/>
          <w:spacing w:val="-3"/>
          <w:sz w:val="22"/>
          <w:szCs w:val="22"/>
        </w:rPr>
        <w:t xml:space="preserve"> </w:t>
      </w:r>
      <w:r w:rsidRPr="006532BE">
        <w:rPr>
          <w:rFonts w:ascii="Arial" w:hAnsi="Arial" w:cs="Arial"/>
          <w:b/>
          <w:bCs/>
          <w:color w:val="000000"/>
          <w:sz w:val="22"/>
          <w:szCs w:val="22"/>
        </w:rPr>
        <w:t>čl</w:t>
      </w:r>
      <w:r w:rsidRPr="006532BE">
        <w:rPr>
          <w:rFonts w:ascii="Arial" w:hAnsi="Arial" w:cs="Arial"/>
          <w:b/>
          <w:bCs/>
          <w:color w:val="000000"/>
          <w:spacing w:val="-1"/>
          <w:sz w:val="22"/>
          <w:szCs w:val="22"/>
        </w:rPr>
        <w:t>á</w:t>
      </w:r>
      <w:r w:rsidRPr="006532BE">
        <w:rPr>
          <w:rFonts w:ascii="Arial" w:hAnsi="Arial" w:cs="Arial"/>
          <w:b/>
          <w:bCs/>
          <w:color w:val="000000"/>
          <w:sz w:val="22"/>
          <w:szCs w:val="22"/>
        </w:rPr>
        <w:t>nku</w:t>
      </w:r>
      <w:r w:rsidRPr="006532BE">
        <w:rPr>
          <w:rFonts w:ascii="Arial" w:hAnsi="Arial" w:cs="Arial"/>
          <w:b/>
          <w:bCs/>
          <w:color w:val="000000"/>
          <w:spacing w:val="-7"/>
          <w:sz w:val="22"/>
          <w:szCs w:val="22"/>
        </w:rPr>
        <w:t xml:space="preserve"> </w:t>
      </w:r>
      <w:r w:rsidR="001C19DC" w:rsidRPr="006532BE">
        <w:rPr>
          <w:rFonts w:ascii="Arial" w:hAnsi="Arial" w:cs="Arial"/>
          <w:b/>
          <w:bCs/>
          <w:color w:val="000000"/>
          <w:spacing w:val="-7"/>
          <w:sz w:val="22"/>
          <w:szCs w:val="22"/>
        </w:rPr>
        <w:t>7</w:t>
      </w:r>
      <w:r w:rsidRPr="006532BE">
        <w:rPr>
          <w:rFonts w:ascii="Arial" w:hAnsi="Arial" w:cs="Arial"/>
          <w:b/>
          <w:bCs/>
          <w:color w:val="000000"/>
          <w:spacing w:val="-1"/>
          <w:sz w:val="22"/>
          <w:szCs w:val="22"/>
        </w:rPr>
        <w:t xml:space="preserve"> </w:t>
      </w:r>
      <w:r w:rsidRPr="006532BE">
        <w:rPr>
          <w:rFonts w:ascii="Arial" w:hAnsi="Arial" w:cs="Arial"/>
          <w:b/>
          <w:bCs/>
          <w:color w:val="000000"/>
          <w:sz w:val="22"/>
          <w:szCs w:val="22"/>
        </w:rPr>
        <w:t>písm.</w:t>
      </w:r>
      <w:r w:rsidRPr="006532BE">
        <w:rPr>
          <w:rFonts w:ascii="Arial" w:hAnsi="Arial" w:cs="Arial"/>
          <w:b/>
          <w:bCs/>
          <w:color w:val="000000"/>
          <w:spacing w:val="-6"/>
          <w:sz w:val="22"/>
          <w:szCs w:val="22"/>
        </w:rPr>
        <w:t xml:space="preserve"> e</w:t>
      </w:r>
      <w:r w:rsidRPr="006532BE">
        <w:rPr>
          <w:rFonts w:ascii="Arial" w:hAnsi="Arial" w:cs="Arial"/>
          <w:b/>
          <w:bCs/>
          <w:color w:val="000000"/>
          <w:sz w:val="22"/>
          <w:szCs w:val="22"/>
        </w:rPr>
        <w:t>)</w:t>
      </w:r>
    </w:p>
    <w:p w:rsidR="00242A0C" w:rsidRPr="006532BE" w:rsidRDefault="00242A0C" w:rsidP="00604792">
      <w:pPr>
        <w:widowControl w:val="0"/>
        <w:autoSpaceDE w:val="0"/>
        <w:autoSpaceDN w:val="0"/>
        <w:adjustRightInd w:val="0"/>
        <w:spacing w:before="240" w:after="40"/>
        <w:jc w:val="both"/>
        <w:rPr>
          <w:rFonts w:ascii="Arial" w:hAnsi="Arial" w:cs="Arial"/>
          <w:b/>
          <w:color w:val="000000"/>
          <w:sz w:val="22"/>
          <w:szCs w:val="22"/>
        </w:rPr>
      </w:pPr>
      <w:r w:rsidRPr="006532BE">
        <w:rPr>
          <w:rFonts w:ascii="Arial" w:hAnsi="Arial" w:cs="Arial"/>
          <w:b/>
          <w:bCs/>
          <w:color w:val="000000"/>
          <w:sz w:val="22"/>
          <w:szCs w:val="22"/>
        </w:rPr>
        <w:t>I</w:t>
      </w:r>
      <w:r w:rsidRPr="006532BE">
        <w:rPr>
          <w:rFonts w:ascii="Arial" w:hAnsi="Arial" w:cs="Arial"/>
          <w:b/>
          <w:color w:val="000000"/>
          <w:sz w:val="22"/>
          <w:szCs w:val="22"/>
        </w:rPr>
        <w:t>. Kolokace měsíční ceny</w:t>
      </w:r>
    </w:p>
    <w:p w:rsidR="00242A0C" w:rsidRPr="006532BE" w:rsidRDefault="00242A0C" w:rsidP="008D6DDA">
      <w:pPr>
        <w:widowControl w:val="0"/>
        <w:autoSpaceDE w:val="0"/>
        <w:autoSpaceDN w:val="0"/>
        <w:adjustRightInd w:val="0"/>
        <w:spacing w:before="60"/>
        <w:ind w:firstLine="828"/>
        <w:jc w:val="both"/>
        <w:rPr>
          <w:rFonts w:ascii="Arial" w:hAnsi="Arial" w:cs="Arial"/>
          <w:color w:val="000000"/>
          <w:sz w:val="22"/>
          <w:szCs w:val="22"/>
        </w:rPr>
      </w:pPr>
      <w:r w:rsidRPr="006532BE">
        <w:rPr>
          <w:rFonts w:ascii="Arial" w:hAnsi="Arial" w:cs="Arial"/>
          <w:bCs/>
          <w:color w:val="000000"/>
          <w:sz w:val="22"/>
          <w:szCs w:val="22"/>
        </w:rPr>
        <w:t>Pořizovací</w:t>
      </w:r>
      <w:r w:rsidRPr="006532BE">
        <w:rPr>
          <w:rFonts w:ascii="Arial" w:hAnsi="Arial" w:cs="Arial"/>
          <w:bCs/>
          <w:color w:val="000000"/>
          <w:spacing w:val="4"/>
          <w:sz w:val="22"/>
          <w:szCs w:val="22"/>
        </w:rPr>
        <w:t xml:space="preserve"> </w:t>
      </w:r>
      <w:r w:rsidRPr="006532BE">
        <w:rPr>
          <w:rFonts w:ascii="Arial" w:hAnsi="Arial" w:cs="Arial"/>
          <w:bCs/>
          <w:color w:val="000000"/>
          <w:sz w:val="22"/>
          <w:szCs w:val="22"/>
        </w:rPr>
        <w:t>ce</w:t>
      </w:r>
      <w:r w:rsidRPr="006532BE">
        <w:rPr>
          <w:rFonts w:ascii="Arial" w:hAnsi="Arial" w:cs="Arial"/>
          <w:bCs/>
          <w:color w:val="000000"/>
          <w:spacing w:val="1"/>
          <w:sz w:val="22"/>
          <w:szCs w:val="22"/>
        </w:rPr>
        <w:t>n</w:t>
      </w:r>
      <w:r w:rsidRPr="006532BE">
        <w:rPr>
          <w:rFonts w:ascii="Arial" w:hAnsi="Arial" w:cs="Arial"/>
          <w:bCs/>
          <w:color w:val="000000"/>
          <w:sz w:val="22"/>
          <w:szCs w:val="22"/>
        </w:rPr>
        <w:t>y</w:t>
      </w:r>
      <w:r w:rsidRPr="006532BE">
        <w:rPr>
          <w:rFonts w:ascii="Arial" w:hAnsi="Arial" w:cs="Arial"/>
          <w:bCs/>
          <w:color w:val="000000"/>
          <w:spacing w:val="7"/>
          <w:sz w:val="22"/>
          <w:szCs w:val="22"/>
        </w:rPr>
        <w:t xml:space="preserve"> </w:t>
      </w:r>
      <w:r w:rsidRPr="006532BE">
        <w:rPr>
          <w:rFonts w:ascii="Arial" w:hAnsi="Arial" w:cs="Arial"/>
          <w:bCs/>
          <w:color w:val="000000"/>
          <w:sz w:val="22"/>
          <w:szCs w:val="22"/>
        </w:rPr>
        <w:t>dlou</w:t>
      </w:r>
      <w:r w:rsidRPr="006532BE">
        <w:rPr>
          <w:rFonts w:ascii="Arial" w:hAnsi="Arial" w:cs="Arial"/>
          <w:bCs/>
          <w:color w:val="000000"/>
          <w:spacing w:val="2"/>
          <w:sz w:val="22"/>
          <w:szCs w:val="22"/>
        </w:rPr>
        <w:t>h</w:t>
      </w:r>
      <w:r w:rsidRPr="006532BE">
        <w:rPr>
          <w:rFonts w:ascii="Arial" w:hAnsi="Arial" w:cs="Arial"/>
          <w:bCs/>
          <w:color w:val="000000"/>
          <w:sz w:val="22"/>
          <w:szCs w:val="22"/>
        </w:rPr>
        <w:t>odobého hmotného</w:t>
      </w:r>
      <w:r w:rsidRPr="006532BE">
        <w:rPr>
          <w:rFonts w:ascii="Arial" w:hAnsi="Arial" w:cs="Arial"/>
          <w:bCs/>
          <w:color w:val="000000"/>
          <w:spacing w:val="5"/>
          <w:sz w:val="22"/>
          <w:szCs w:val="22"/>
        </w:rPr>
        <w:t xml:space="preserve"> a </w:t>
      </w:r>
      <w:r w:rsidRPr="006532BE">
        <w:rPr>
          <w:rFonts w:ascii="Arial" w:hAnsi="Arial" w:cs="Arial"/>
          <w:bCs/>
          <w:color w:val="000000"/>
          <w:sz w:val="22"/>
          <w:szCs w:val="22"/>
        </w:rPr>
        <w:t>nehmotného</w:t>
      </w:r>
      <w:r w:rsidRPr="006532BE">
        <w:rPr>
          <w:rFonts w:ascii="Arial" w:hAnsi="Arial" w:cs="Arial"/>
          <w:bCs/>
          <w:color w:val="000000"/>
          <w:spacing w:val="2"/>
          <w:sz w:val="22"/>
          <w:szCs w:val="22"/>
        </w:rPr>
        <w:t xml:space="preserve"> </w:t>
      </w:r>
      <w:r w:rsidRPr="006532BE">
        <w:rPr>
          <w:rFonts w:ascii="Arial" w:hAnsi="Arial" w:cs="Arial"/>
          <w:bCs/>
          <w:color w:val="000000"/>
          <w:sz w:val="22"/>
          <w:szCs w:val="22"/>
        </w:rPr>
        <w:t>majetku,</w:t>
      </w:r>
      <w:r w:rsidRPr="006532BE">
        <w:rPr>
          <w:rFonts w:ascii="Arial" w:hAnsi="Arial" w:cs="Arial"/>
          <w:bCs/>
          <w:color w:val="000000"/>
          <w:spacing w:val="6"/>
          <w:sz w:val="22"/>
          <w:szCs w:val="22"/>
        </w:rPr>
        <w:t xml:space="preserve"> </w:t>
      </w:r>
      <w:r w:rsidRPr="006532BE">
        <w:rPr>
          <w:rFonts w:ascii="Arial" w:hAnsi="Arial" w:cs="Arial"/>
          <w:bCs/>
          <w:color w:val="000000"/>
          <w:sz w:val="22"/>
          <w:szCs w:val="22"/>
        </w:rPr>
        <w:t>životnost, cenový</w:t>
      </w:r>
      <w:r w:rsidRPr="006532BE">
        <w:rPr>
          <w:rFonts w:ascii="Arial" w:hAnsi="Arial" w:cs="Arial"/>
          <w:bCs/>
          <w:color w:val="000000"/>
          <w:spacing w:val="7"/>
          <w:sz w:val="22"/>
          <w:szCs w:val="22"/>
        </w:rPr>
        <w:t xml:space="preserve"> </w:t>
      </w:r>
      <w:r w:rsidRPr="006532BE">
        <w:rPr>
          <w:rFonts w:ascii="Arial" w:hAnsi="Arial" w:cs="Arial"/>
          <w:bCs/>
          <w:color w:val="000000"/>
          <w:sz w:val="22"/>
          <w:szCs w:val="22"/>
        </w:rPr>
        <w:t>trend,</w:t>
      </w:r>
      <w:r w:rsidRPr="006532BE">
        <w:rPr>
          <w:rFonts w:ascii="Arial" w:hAnsi="Arial" w:cs="Arial"/>
          <w:bCs/>
          <w:color w:val="000000"/>
          <w:spacing w:val="9"/>
          <w:sz w:val="22"/>
          <w:szCs w:val="22"/>
        </w:rPr>
        <w:t xml:space="preserve"> </w:t>
      </w:r>
      <w:r w:rsidRPr="006532BE">
        <w:rPr>
          <w:rFonts w:ascii="Arial" w:hAnsi="Arial" w:cs="Arial"/>
          <w:bCs/>
          <w:color w:val="000000"/>
          <w:sz w:val="22"/>
          <w:szCs w:val="22"/>
        </w:rPr>
        <w:t>pravidelné</w:t>
      </w:r>
      <w:r w:rsidRPr="006532BE">
        <w:rPr>
          <w:rFonts w:ascii="Arial" w:hAnsi="Arial" w:cs="Arial"/>
          <w:bCs/>
          <w:color w:val="000000"/>
          <w:spacing w:val="4"/>
          <w:sz w:val="22"/>
          <w:szCs w:val="22"/>
        </w:rPr>
        <w:t xml:space="preserve"> </w:t>
      </w:r>
      <w:r w:rsidRPr="006532BE">
        <w:rPr>
          <w:rFonts w:ascii="Arial" w:hAnsi="Arial" w:cs="Arial"/>
          <w:bCs/>
          <w:color w:val="000000"/>
          <w:sz w:val="22"/>
          <w:szCs w:val="22"/>
        </w:rPr>
        <w:t>provozní</w:t>
      </w:r>
      <w:r w:rsidRPr="006532BE">
        <w:rPr>
          <w:rFonts w:ascii="Arial" w:hAnsi="Arial" w:cs="Arial"/>
          <w:bCs/>
          <w:color w:val="000000"/>
          <w:spacing w:val="6"/>
          <w:sz w:val="22"/>
          <w:szCs w:val="22"/>
        </w:rPr>
        <w:t xml:space="preserve"> </w:t>
      </w:r>
      <w:r w:rsidRPr="006532BE">
        <w:rPr>
          <w:rFonts w:ascii="Arial" w:hAnsi="Arial" w:cs="Arial"/>
          <w:bCs/>
          <w:color w:val="000000"/>
          <w:sz w:val="22"/>
          <w:szCs w:val="22"/>
        </w:rPr>
        <w:t>nákla</w:t>
      </w:r>
      <w:r w:rsidRPr="006532BE">
        <w:rPr>
          <w:rFonts w:ascii="Arial" w:hAnsi="Arial" w:cs="Arial"/>
          <w:bCs/>
          <w:color w:val="000000"/>
          <w:spacing w:val="2"/>
          <w:sz w:val="22"/>
          <w:szCs w:val="22"/>
        </w:rPr>
        <w:t>d</w:t>
      </w:r>
      <w:r w:rsidRPr="006532BE">
        <w:rPr>
          <w:rFonts w:ascii="Arial" w:hAnsi="Arial" w:cs="Arial"/>
          <w:bCs/>
          <w:color w:val="000000"/>
          <w:spacing w:val="-2"/>
          <w:sz w:val="22"/>
          <w:szCs w:val="22"/>
        </w:rPr>
        <w:t>y</w:t>
      </w:r>
      <w:r w:rsidRPr="006532BE">
        <w:rPr>
          <w:rFonts w:ascii="Arial" w:hAnsi="Arial" w:cs="Arial"/>
          <w:bCs/>
          <w:color w:val="000000"/>
          <w:sz w:val="22"/>
          <w:szCs w:val="22"/>
        </w:rPr>
        <w:t>,</w:t>
      </w:r>
      <w:r w:rsidRPr="006532BE">
        <w:rPr>
          <w:rFonts w:ascii="Arial" w:hAnsi="Arial" w:cs="Arial"/>
          <w:bCs/>
          <w:color w:val="000000"/>
          <w:spacing w:val="8"/>
          <w:sz w:val="22"/>
          <w:szCs w:val="22"/>
        </w:rPr>
        <w:t xml:space="preserve"> </w:t>
      </w:r>
      <w:r w:rsidRPr="006532BE">
        <w:rPr>
          <w:rFonts w:ascii="Arial" w:hAnsi="Arial" w:cs="Arial"/>
          <w:bCs/>
          <w:color w:val="000000"/>
          <w:sz w:val="22"/>
          <w:szCs w:val="22"/>
        </w:rPr>
        <w:t>technologická rezerva,</w:t>
      </w:r>
      <w:r w:rsidRPr="006532BE">
        <w:rPr>
          <w:rFonts w:ascii="Arial" w:hAnsi="Arial" w:cs="Arial"/>
          <w:bCs/>
          <w:color w:val="000000"/>
          <w:spacing w:val="6"/>
          <w:sz w:val="22"/>
          <w:szCs w:val="22"/>
        </w:rPr>
        <w:t xml:space="preserve"> </w:t>
      </w:r>
      <w:r w:rsidRPr="006532BE">
        <w:rPr>
          <w:rFonts w:ascii="Arial" w:hAnsi="Arial" w:cs="Arial"/>
          <w:bCs/>
          <w:color w:val="000000"/>
          <w:sz w:val="22"/>
          <w:szCs w:val="22"/>
        </w:rPr>
        <w:t>režie,</w:t>
      </w:r>
      <w:r w:rsidRPr="006532BE">
        <w:rPr>
          <w:rFonts w:ascii="Arial" w:hAnsi="Arial" w:cs="Arial"/>
          <w:bCs/>
          <w:color w:val="000000"/>
          <w:spacing w:val="9"/>
          <w:sz w:val="22"/>
          <w:szCs w:val="22"/>
        </w:rPr>
        <w:t xml:space="preserve"> </w:t>
      </w:r>
      <w:r w:rsidRPr="006532BE">
        <w:rPr>
          <w:rFonts w:ascii="Arial" w:hAnsi="Arial" w:cs="Arial"/>
          <w:bCs/>
          <w:color w:val="000000"/>
          <w:sz w:val="22"/>
          <w:szCs w:val="22"/>
        </w:rPr>
        <w:t>nákla</w:t>
      </w:r>
      <w:r w:rsidRPr="006532BE">
        <w:rPr>
          <w:rFonts w:ascii="Arial" w:hAnsi="Arial" w:cs="Arial"/>
          <w:bCs/>
          <w:color w:val="000000"/>
          <w:spacing w:val="2"/>
          <w:sz w:val="22"/>
          <w:szCs w:val="22"/>
        </w:rPr>
        <w:t>d</w:t>
      </w:r>
      <w:r w:rsidRPr="006532BE">
        <w:rPr>
          <w:rFonts w:ascii="Arial" w:hAnsi="Arial" w:cs="Arial"/>
          <w:bCs/>
          <w:color w:val="000000"/>
          <w:sz w:val="22"/>
          <w:szCs w:val="22"/>
        </w:rPr>
        <w:t>y</w:t>
      </w:r>
      <w:r w:rsidR="0047095F" w:rsidRPr="006532BE">
        <w:rPr>
          <w:rFonts w:ascii="Arial" w:hAnsi="Arial" w:cs="Arial"/>
          <w:bCs/>
          <w:color w:val="000000"/>
          <w:spacing w:val="5"/>
          <w:sz w:val="22"/>
          <w:szCs w:val="22"/>
        </w:rPr>
        <w:t xml:space="preserve"> na </w:t>
      </w:r>
      <w:proofErr w:type="spellStart"/>
      <w:r w:rsidRPr="006532BE">
        <w:rPr>
          <w:rFonts w:ascii="Arial" w:hAnsi="Arial" w:cs="Arial"/>
          <w:bCs/>
          <w:color w:val="000000"/>
          <w:sz w:val="22"/>
          <w:szCs w:val="22"/>
        </w:rPr>
        <w:t>billing</w:t>
      </w:r>
      <w:proofErr w:type="spellEnd"/>
      <w:r w:rsidRPr="006532BE">
        <w:rPr>
          <w:rFonts w:ascii="Arial" w:hAnsi="Arial" w:cs="Arial"/>
          <w:bCs/>
          <w:color w:val="000000"/>
          <w:sz w:val="22"/>
          <w:szCs w:val="22"/>
        </w:rPr>
        <w:t>,</w:t>
      </w:r>
      <w:r w:rsidRPr="006532BE">
        <w:rPr>
          <w:rFonts w:ascii="Arial" w:hAnsi="Arial" w:cs="Arial"/>
          <w:bCs/>
          <w:color w:val="000000"/>
          <w:spacing w:val="1"/>
          <w:sz w:val="22"/>
          <w:szCs w:val="22"/>
        </w:rPr>
        <w:t xml:space="preserve"> </w:t>
      </w:r>
      <w:r w:rsidRPr="006532BE">
        <w:rPr>
          <w:rFonts w:ascii="Arial" w:hAnsi="Arial" w:cs="Arial"/>
          <w:bCs/>
          <w:color w:val="000000"/>
          <w:sz w:val="22"/>
          <w:szCs w:val="22"/>
        </w:rPr>
        <w:t>nák</w:t>
      </w:r>
      <w:r w:rsidRPr="006532BE">
        <w:rPr>
          <w:rFonts w:ascii="Arial" w:hAnsi="Arial" w:cs="Arial"/>
          <w:bCs/>
          <w:color w:val="000000"/>
          <w:spacing w:val="-1"/>
          <w:sz w:val="22"/>
          <w:szCs w:val="22"/>
        </w:rPr>
        <w:t>l</w:t>
      </w:r>
      <w:r w:rsidRPr="006532BE">
        <w:rPr>
          <w:rFonts w:ascii="Arial" w:hAnsi="Arial" w:cs="Arial"/>
          <w:bCs/>
          <w:color w:val="000000"/>
          <w:sz w:val="22"/>
          <w:szCs w:val="22"/>
        </w:rPr>
        <w:t>a</w:t>
      </w:r>
      <w:r w:rsidRPr="006532BE">
        <w:rPr>
          <w:rFonts w:ascii="Arial" w:hAnsi="Arial" w:cs="Arial"/>
          <w:bCs/>
          <w:color w:val="000000"/>
          <w:spacing w:val="1"/>
          <w:sz w:val="22"/>
          <w:szCs w:val="22"/>
        </w:rPr>
        <w:t>d</w:t>
      </w:r>
      <w:r w:rsidRPr="006532BE">
        <w:rPr>
          <w:rFonts w:ascii="Arial" w:hAnsi="Arial" w:cs="Arial"/>
          <w:bCs/>
          <w:color w:val="000000"/>
          <w:sz w:val="22"/>
          <w:szCs w:val="22"/>
        </w:rPr>
        <w:t>y</w:t>
      </w:r>
      <w:r w:rsidR="0047095F" w:rsidRPr="006532BE">
        <w:rPr>
          <w:rFonts w:ascii="Arial" w:hAnsi="Arial" w:cs="Arial"/>
          <w:bCs/>
          <w:color w:val="000000"/>
          <w:spacing w:val="-10"/>
          <w:sz w:val="22"/>
          <w:szCs w:val="22"/>
        </w:rPr>
        <w:t xml:space="preserve"> na </w:t>
      </w:r>
      <w:r w:rsidRPr="006532BE">
        <w:rPr>
          <w:rFonts w:ascii="Arial" w:hAnsi="Arial" w:cs="Arial"/>
          <w:bCs/>
          <w:color w:val="000000"/>
          <w:sz w:val="22"/>
          <w:szCs w:val="22"/>
        </w:rPr>
        <w:t>MDF</w:t>
      </w:r>
      <w:r w:rsidRPr="006532BE">
        <w:rPr>
          <w:rFonts w:ascii="Arial" w:hAnsi="Arial" w:cs="Arial"/>
          <w:bCs/>
          <w:color w:val="000000"/>
          <w:spacing w:val="-5"/>
          <w:sz w:val="22"/>
          <w:szCs w:val="22"/>
        </w:rPr>
        <w:t xml:space="preserve"> u </w:t>
      </w:r>
      <w:r w:rsidRPr="006532BE">
        <w:rPr>
          <w:rFonts w:ascii="Arial" w:hAnsi="Arial" w:cs="Arial"/>
          <w:bCs/>
          <w:color w:val="000000"/>
          <w:sz w:val="22"/>
          <w:szCs w:val="22"/>
        </w:rPr>
        <w:t>následujících</w:t>
      </w:r>
      <w:r w:rsidRPr="006532BE">
        <w:rPr>
          <w:rFonts w:ascii="Arial" w:hAnsi="Arial" w:cs="Arial"/>
          <w:bCs/>
          <w:color w:val="000000"/>
          <w:spacing w:val="-13"/>
          <w:sz w:val="22"/>
          <w:szCs w:val="22"/>
        </w:rPr>
        <w:t xml:space="preserve"> </w:t>
      </w:r>
      <w:r w:rsidRPr="006532BE">
        <w:rPr>
          <w:rFonts w:ascii="Arial" w:hAnsi="Arial" w:cs="Arial"/>
          <w:bCs/>
          <w:color w:val="000000"/>
          <w:sz w:val="22"/>
          <w:szCs w:val="22"/>
        </w:rPr>
        <w:t>prvků</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Stíněný vnitřní spojovací kabel a pásek</w:t>
      </w:r>
      <w:r w:rsidR="0047095F" w:rsidRPr="006532BE">
        <w:rPr>
          <w:rFonts w:ascii="Arial" w:hAnsi="Arial" w:cs="Arial"/>
          <w:sz w:val="22"/>
          <w:szCs w:val="22"/>
        </w:rPr>
        <w:t xml:space="preserve"> na </w:t>
      </w:r>
      <w:r w:rsidRPr="006532BE">
        <w:rPr>
          <w:rFonts w:ascii="Arial" w:hAnsi="Arial" w:cs="Arial"/>
          <w:sz w:val="22"/>
          <w:szCs w:val="22"/>
        </w:rPr>
        <w:t>HR přidělený Poskytovateli</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Nestíněný vnitřní spojovací kabel a pásek</w:t>
      </w:r>
      <w:r w:rsidR="0047095F" w:rsidRPr="006532BE">
        <w:rPr>
          <w:rFonts w:ascii="Arial" w:hAnsi="Arial" w:cs="Arial"/>
          <w:sz w:val="22"/>
          <w:szCs w:val="22"/>
        </w:rPr>
        <w:t xml:space="preserve"> na </w:t>
      </w:r>
      <w:r w:rsidRPr="006532BE">
        <w:rPr>
          <w:rFonts w:ascii="Arial" w:hAnsi="Arial" w:cs="Arial"/>
          <w:sz w:val="22"/>
          <w:szCs w:val="22"/>
        </w:rPr>
        <w:t>HR přidělený Poskytovateli</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Stíněný vnitřní spojovací kabel, metalický 2 Mbit/s, včetně DR</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Optický vnitřní spojovací kabel včetně OR</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Poskytování napájení 48 V</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UPS</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Kabel sběrného okruhu – optický</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Kabel sběrného okruhu – metalický</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Vnější spojovací kabel – metalický – pro vnitřní prostředí</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Vnější spojovací kabel stíněný – metalický – pro vnitřní prostředí</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Vnější spojovací kabel – metalický – pro vnější prostředí</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Vnější spojovací kabel stíněný – metalický – pro vnější prostředí</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Poskytování technologického napájení 230V</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Kamerový systém</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Investice do kolokačních místností</w:t>
      </w:r>
    </w:p>
    <w:p w:rsidR="00242A0C" w:rsidRPr="006532BE" w:rsidRDefault="00242A0C"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Spotřeba energie</w:t>
      </w:r>
    </w:p>
    <w:p w:rsidR="00242A0C" w:rsidRPr="006532BE" w:rsidRDefault="00604792" w:rsidP="00604792">
      <w:pPr>
        <w:numPr>
          <w:ilvl w:val="0"/>
          <w:numId w:val="14"/>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Pronájem kolokačního prostoru</w:t>
      </w:r>
    </w:p>
    <w:p w:rsidR="00242A0C" w:rsidRPr="006532BE" w:rsidRDefault="00242A0C" w:rsidP="00E166CE">
      <w:pPr>
        <w:widowControl w:val="0"/>
        <w:autoSpaceDE w:val="0"/>
        <w:autoSpaceDN w:val="0"/>
        <w:adjustRightInd w:val="0"/>
        <w:spacing w:before="240" w:after="40"/>
        <w:jc w:val="both"/>
        <w:rPr>
          <w:rFonts w:ascii="Arial" w:hAnsi="Arial" w:cs="Arial"/>
          <w:color w:val="000000"/>
          <w:sz w:val="22"/>
          <w:szCs w:val="22"/>
        </w:rPr>
      </w:pPr>
      <w:r w:rsidRPr="006532BE">
        <w:rPr>
          <w:rFonts w:ascii="Arial" w:hAnsi="Arial" w:cs="Arial"/>
          <w:b/>
          <w:bCs/>
          <w:color w:val="000000"/>
          <w:sz w:val="22"/>
          <w:szCs w:val="22"/>
        </w:rPr>
        <w:t>II</w:t>
      </w:r>
      <w:r w:rsidRPr="006532BE">
        <w:rPr>
          <w:rFonts w:ascii="Arial" w:hAnsi="Arial" w:cs="Arial"/>
          <w:b/>
          <w:bCs/>
          <w:color w:val="000000"/>
          <w:spacing w:val="15"/>
          <w:sz w:val="22"/>
          <w:szCs w:val="22"/>
        </w:rPr>
        <w:t xml:space="preserve">. </w:t>
      </w:r>
      <w:r w:rsidRPr="006532BE">
        <w:rPr>
          <w:rFonts w:ascii="Arial" w:hAnsi="Arial" w:cs="Arial"/>
          <w:b/>
          <w:bCs/>
          <w:color w:val="000000"/>
          <w:sz w:val="22"/>
          <w:szCs w:val="22"/>
        </w:rPr>
        <w:t>Kolokace</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jednorázové</w:t>
      </w:r>
      <w:r w:rsidRPr="006532BE">
        <w:rPr>
          <w:rFonts w:ascii="Arial" w:hAnsi="Arial" w:cs="Arial"/>
          <w:b/>
          <w:bCs/>
          <w:color w:val="000000"/>
          <w:spacing w:val="-13"/>
          <w:sz w:val="22"/>
          <w:szCs w:val="22"/>
        </w:rPr>
        <w:t xml:space="preserve"> </w:t>
      </w:r>
      <w:r w:rsidRPr="006532BE">
        <w:rPr>
          <w:rFonts w:ascii="Arial" w:hAnsi="Arial" w:cs="Arial"/>
          <w:b/>
          <w:bCs/>
          <w:color w:val="000000"/>
          <w:sz w:val="22"/>
          <w:szCs w:val="22"/>
        </w:rPr>
        <w:t>ce</w:t>
      </w:r>
      <w:r w:rsidRPr="006532BE">
        <w:rPr>
          <w:rFonts w:ascii="Arial" w:hAnsi="Arial" w:cs="Arial"/>
          <w:b/>
          <w:bCs/>
          <w:color w:val="000000"/>
          <w:spacing w:val="2"/>
          <w:sz w:val="22"/>
          <w:szCs w:val="22"/>
        </w:rPr>
        <w:t>n</w:t>
      </w:r>
      <w:r w:rsidRPr="006532BE">
        <w:rPr>
          <w:rFonts w:ascii="Arial" w:hAnsi="Arial" w:cs="Arial"/>
          <w:b/>
          <w:bCs/>
          <w:color w:val="000000"/>
          <w:sz w:val="22"/>
          <w:szCs w:val="22"/>
        </w:rPr>
        <w:t>y</w:t>
      </w:r>
    </w:p>
    <w:p w:rsidR="00242A0C" w:rsidRPr="006532BE" w:rsidRDefault="00242A0C" w:rsidP="008D6DDA">
      <w:pPr>
        <w:numPr>
          <w:ilvl w:val="0"/>
          <w:numId w:val="15"/>
        </w:numPr>
        <w:autoSpaceDE w:val="0"/>
        <w:autoSpaceDN w:val="0"/>
        <w:adjustRightInd w:val="0"/>
        <w:spacing w:before="60"/>
        <w:ind w:left="357" w:hanging="357"/>
        <w:jc w:val="both"/>
        <w:outlineLvl w:val="1"/>
        <w:rPr>
          <w:rFonts w:ascii="Arial" w:hAnsi="Arial" w:cs="Arial"/>
          <w:sz w:val="22"/>
          <w:szCs w:val="22"/>
        </w:rPr>
      </w:pPr>
      <w:r w:rsidRPr="006532BE">
        <w:rPr>
          <w:rFonts w:ascii="Arial" w:hAnsi="Arial" w:cs="Arial"/>
          <w:sz w:val="22"/>
          <w:szCs w:val="22"/>
        </w:rPr>
        <w:t>Počet služeb</w:t>
      </w:r>
      <w:r w:rsidR="0047095F" w:rsidRPr="006532BE">
        <w:rPr>
          <w:rFonts w:ascii="Arial" w:hAnsi="Arial" w:cs="Arial"/>
          <w:sz w:val="22"/>
          <w:szCs w:val="22"/>
        </w:rPr>
        <w:t xml:space="preserve"> v </w:t>
      </w:r>
      <w:r w:rsidRPr="006532BE">
        <w:rPr>
          <w:rFonts w:ascii="Arial" w:hAnsi="Arial" w:cs="Arial"/>
          <w:sz w:val="22"/>
          <w:szCs w:val="22"/>
        </w:rPr>
        <w:t>jednotlivých letech</w:t>
      </w:r>
    </w:p>
    <w:p w:rsidR="00242A0C" w:rsidRPr="006532BE" w:rsidRDefault="00242A0C" w:rsidP="00453CD8">
      <w:pPr>
        <w:numPr>
          <w:ilvl w:val="0"/>
          <w:numId w:val="15"/>
        </w:numPr>
        <w:autoSpaceDE w:val="0"/>
        <w:autoSpaceDN w:val="0"/>
        <w:adjustRightInd w:val="0"/>
        <w:spacing w:before="120"/>
        <w:ind w:left="357" w:hanging="357"/>
        <w:jc w:val="both"/>
        <w:outlineLvl w:val="1"/>
        <w:rPr>
          <w:rFonts w:ascii="Arial" w:hAnsi="Arial" w:cs="Arial"/>
          <w:color w:val="000000"/>
          <w:sz w:val="22"/>
          <w:szCs w:val="22"/>
        </w:rPr>
      </w:pPr>
      <w:r w:rsidRPr="006532BE">
        <w:rPr>
          <w:rFonts w:ascii="Arial" w:hAnsi="Arial" w:cs="Arial"/>
          <w:bCs/>
          <w:color w:val="000000"/>
          <w:sz w:val="22"/>
          <w:szCs w:val="22"/>
        </w:rPr>
        <w:t>Nákla</w:t>
      </w:r>
      <w:r w:rsidRPr="006532BE">
        <w:rPr>
          <w:rFonts w:ascii="Arial" w:hAnsi="Arial" w:cs="Arial"/>
          <w:bCs/>
          <w:color w:val="000000"/>
          <w:spacing w:val="1"/>
          <w:sz w:val="22"/>
          <w:szCs w:val="22"/>
        </w:rPr>
        <w:t>d</w:t>
      </w:r>
      <w:r w:rsidRPr="006532BE">
        <w:rPr>
          <w:rFonts w:ascii="Arial" w:hAnsi="Arial" w:cs="Arial"/>
          <w:bCs/>
          <w:color w:val="000000"/>
          <w:sz w:val="22"/>
          <w:szCs w:val="22"/>
        </w:rPr>
        <w:t>y</w:t>
      </w:r>
      <w:r w:rsidR="0047095F" w:rsidRPr="006532BE">
        <w:rPr>
          <w:rFonts w:ascii="Arial" w:hAnsi="Arial" w:cs="Arial"/>
          <w:bCs/>
          <w:color w:val="000000"/>
          <w:spacing w:val="-10"/>
          <w:sz w:val="22"/>
          <w:szCs w:val="22"/>
        </w:rPr>
        <w:t xml:space="preserve"> na </w:t>
      </w:r>
      <w:r w:rsidRPr="006532BE">
        <w:rPr>
          <w:rFonts w:ascii="Arial" w:hAnsi="Arial" w:cs="Arial"/>
          <w:bCs/>
          <w:color w:val="000000"/>
          <w:sz w:val="22"/>
          <w:szCs w:val="22"/>
        </w:rPr>
        <w:t>jednotlivou</w:t>
      </w:r>
      <w:r w:rsidRPr="006532BE">
        <w:rPr>
          <w:rFonts w:ascii="Arial" w:hAnsi="Arial" w:cs="Arial"/>
          <w:bCs/>
          <w:color w:val="000000"/>
          <w:spacing w:val="-11"/>
          <w:sz w:val="22"/>
          <w:szCs w:val="22"/>
        </w:rPr>
        <w:t xml:space="preserve"> </w:t>
      </w:r>
      <w:r w:rsidRPr="006532BE">
        <w:rPr>
          <w:rFonts w:ascii="Arial" w:hAnsi="Arial" w:cs="Arial"/>
          <w:bCs/>
          <w:color w:val="000000"/>
          <w:sz w:val="22"/>
          <w:szCs w:val="22"/>
        </w:rPr>
        <w:t>službu</w:t>
      </w:r>
    </w:p>
    <w:p w:rsidR="00242A0C" w:rsidRPr="006532BE" w:rsidRDefault="00242A0C" w:rsidP="0008474D">
      <w:pPr>
        <w:numPr>
          <w:ilvl w:val="1"/>
          <w:numId w:val="15"/>
        </w:numPr>
        <w:tabs>
          <w:tab w:val="left" w:pos="851"/>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Počet odpracovaných hodin</w:t>
      </w:r>
      <w:r w:rsidR="0047095F" w:rsidRPr="006532BE">
        <w:rPr>
          <w:rFonts w:ascii="Arial" w:hAnsi="Arial" w:cs="Arial"/>
          <w:color w:val="000000"/>
          <w:sz w:val="22"/>
          <w:szCs w:val="22"/>
        </w:rPr>
        <w:t xml:space="preserve"> podle </w:t>
      </w:r>
      <w:r w:rsidRPr="006532BE">
        <w:rPr>
          <w:rFonts w:ascii="Arial" w:hAnsi="Arial" w:cs="Arial"/>
          <w:color w:val="000000"/>
          <w:sz w:val="22"/>
          <w:szCs w:val="22"/>
        </w:rPr>
        <w:t>středisek, které se</w:t>
      </w:r>
      <w:r w:rsidR="0047095F" w:rsidRPr="006532BE">
        <w:rPr>
          <w:rFonts w:ascii="Arial" w:hAnsi="Arial" w:cs="Arial"/>
          <w:color w:val="000000"/>
          <w:sz w:val="22"/>
          <w:szCs w:val="22"/>
        </w:rPr>
        <w:t xml:space="preserve"> na </w:t>
      </w:r>
      <w:r w:rsidRPr="006532BE">
        <w:rPr>
          <w:rFonts w:ascii="Arial" w:hAnsi="Arial" w:cs="Arial"/>
          <w:color w:val="000000"/>
          <w:sz w:val="22"/>
          <w:szCs w:val="22"/>
        </w:rPr>
        <w:t>službě podílejí</w:t>
      </w:r>
    </w:p>
    <w:p w:rsidR="00242A0C" w:rsidRPr="006532BE" w:rsidRDefault="00242A0C" w:rsidP="0008474D">
      <w:pPr>
        <w:numPr>
          <w:ilvl w:val="1"/>
          <w:numId w:val="15"/>
        </w:numPr>
        <w:tabs>
          <w:tab w:val="left" w:pos="851"/>
        </w:tabs>
        <w:autoSpaceDE w:val="0"/>
        <w:autoSpaceDN w:val="0"/>
        <w:adjustRightInd w:val="0"/>
        <w:spacing w:before="60"/>
        <w:ind w:left="993" w:hanging="636"/>
        <w:jc w:val="both"/>
        <w:rPr>
          <w:rFonts w:ascii="Arial" w:hAnsi="Arial" w:cs="Arial"/>
          <w:color w:val="000000"/>
          <w:sz w:val="22"/>
          <w:szCs w:val="22"/>
        </w:rPr>
      </w:pPr>
      <w:r w:rsidRPr="006532BE">
        <w:rPr>
          <w:rFonts w:ascii="Arial" w:hAnsi="Arial" w:cs="Arial"/>
          <w:color w:val="000000"/>
          <w:sz w:val="22"/>
          <w:szCs w:val="22"/>
        </w:rPr>
        <w:t>Náklad</w:t>
      </w:r>
      <w:r w:rsidR="0047095F" w:rsidRPr="006532BE">
        <w:rPr>
          <w:rFonts w:ascii="Arial" w:hAnsi="Arial" w:cs="Arial"/>
          <w:color w:val="000000"/>
          <w:sz w:val="22"/>
          <w:szCs w:val="22"/>
        </w:rPr>
        <w:t xml:space="preserve"> na </w:t>
      </w:r>
      <w:r w:rsidRPr="006532BE">
        <w:rPr>
          <w:rFonts w:ascii="Arial" w:hAnsi="Arial" w:cs="Arial"/>
          <w:color w:val="000000"/>
          <w:sz w:val="22"/>
          <w:szCs w:val="22"/>
        </w:rPr>
        <w:t>jednu hodinu práce jednotlivých středisek</w:t>
      </w:r>
    </w:p>
    <w:p w:rsidR="00242A0C" w:rsidRPr="006532BE" w:rsidRDefault="00242A0C" w:rsidP="00262839">
      <w:pPr>
        <w:widowControl w:val="0"/>
        <w:numPr>
          <w:ilvl w:val="2"/>
          <w:numId w:val="15"/>
        </w:numPr>
        <w:autoSpaceDE w:val="0"/>
        <w:autoSpaceDN w:val="0"/>
        <w:adjustRightInd w:val="0"/>
        <w:spacing w:before="60"/>
        <w:ind w:left="1225" w:hanging="505"/>
        <w:jc w:val="both"/>
        <w:rPr>
          <w:rFonts w:ascii="Arial" w:hAnsi="Arial" w:cs="Arial"/>
          <w:color w:val="000000"/>
          <w:sz w:val="22"/>
          <w:szCs w:val="22"/>
        </w:rPr>
      </w:pPr>
      <w:r w:rsidRPr="006532BE">
        <w:rPr>
          <w:rFonts w:ascii="Arial" w:hAnsi="Arial" w:cs="Arial"/>
          <w:color w:val="000000"/>
          <w:sz w:val="22"/>
          <w:szCs w:val="22"/>
        </w:rPr>
        <w:t>Celkový</w:t>
      </w:r>
      <w:r w:rsidRPr="006532BE">
        <w:rPr>
          <w:rFonts w:ascii="Arial" w:hAnsi="Arial" w:cs="Arial"/>
          <w:color w:val="000000"/>
          <w:spacing w:val="-8"/>
          <w:sz w:val="22"/>
          <w:szCs w:val="22"/>
        </w:rPr>
        <w:t xml:space="preserve"> </w:t>
      </w:r>
      <w:r w:rsidRPr="006532BE">
        <w:rPr>
          <w:rFonts w:ascii="Arial" w:hAnsi="Arial" w:cs="Arial"/>
          <w:color w:val="000000"/>
          <w:sz w:val="22"/>
          <w:szCs w:val="22"/>
        </w:rPr>
        <w:t>po</w:t>
      </w:r>
      <w:r w:rsidRPr="006532BE">
        <w:rPr>
          <w:rFonts w:ascii="Arial" w:hAnsi="Arial" w:cs="Arial"/>
          <w:color w:val="000000"/>
          <w:spacing w:val="1"/>
          <w:sz w:val="22"/>
          <w:szCs w:val="22"/>
        </w:rPr>
        <w:t>č</w:t>
      </w:r>
      <w:r w:rsidRPr="006532BE">
        <w:rPr>
          <w:rFonts w:ascii="Arial" w:hAnsi="Arial" w:cs="Arial"/>
          <w:color w:val="000000"/>
          <w:sz w:val="22"/>
          <w:szCs w:val="22"/>
        </w:rPr>
        <w:t>et</w:t>
      </w:r>
      <w:r w:rsidRPr="006532BE">
        <w:rPr>
          <w:rFonts w:ascii="Arial" w:hAnsi="Arial" w:cs="Arial"/>
          <w:color w:val="000000"/>
          <w:spacing w:val="-5"/>
          <w:sz w:val="22"/>
          <w:szCs w:val="22"/>
        </w:rPr>
        <w:t xml:space="preserve"> </w:t>
      </w:r>
      <w:r w:rsidRPr="006532BE">
        <w:rPr>
          <w:rFonts w:ascii="Arial" w:hAnsi="Arial" w:cs="Arial"/>
          <w:color w:val="000000"/>
          <w:sz w:val="22"/>
          <w:szCs w:val="22"/>
        </w:rPr>
        <w:t>hodin</w:t>
      </w:r>
      <w:r w:rsidRPr="006532BE">
        <w:rPr>
          <w:rFonts w:ascii="Arial" w:hAnsi="Arial" w:cs="Arial"/>
          <w:color w:val="000000"/>
          <w:spacing w:val="-5"/>
          <w:sz w:val="22"/>
          <w:szCs w:val="22"/>
        </w:rPr>
        <w:t xml:space="preserve"> </w:t>
      </w:r>
      <w:r w:rsidRPr="006532BE">
        <w:rPr>
          <w:rFonts w:ascii="Arial" w:hAnsi="Arial" w:cs="Arial"/>
          <w:color w:val="000000"/>
          <w:sz w:val="22"/>
          <w:szCs w:val="22"/>
        </w:rPr>
        <w:t>vykázaných</w:t>
      </w:r>
      <w:r w:rsidRPr="006532BE">
        <w:rPr>
          <w:rFonts w:ascii="Arial" w:hAnsi="Arial" w:cs="Arial"/>
          <w:color w:val="000000"/>
          <w:spacing w:val="-11"/>
          <w:sz w:val="22"/>
          <w:szCs w:val="22"/>
        </w:rPr>
        <w:t xml:space="preserve"> u </w:t>
      </w:r>
      <w:r w:rsidRPr="006532BE">
        <w:rPr>
          <w:rFonts w:ascii="Arial" w:hAnsi="Arial" w:cs="Arial"/>
          <w:color w:val="000000"/>
          <w:sz w:val="22"/>
          <w:szCs w:val="22"/>
        </w:rPr>
        <w:t>jednotlivých</w:t>
      </w:r>
      <w:r w:rsidRPr="006532BE">
        <w:rPr>
          <w:rFonts w:ascii="Arial" w:hAnsi="Arial" w:cs="Arial"/>
          <w:color w:val="000000"/>
          <w:spacing w:val="-12"/>
          <w:sz w:val="22"/>
          <w:szCs w:val="22"/>
        </w:rPr>
        <w:t xml:space="preserve"> </w:t>
      </w:r>
      <w:r w:rsidRPr="006532BE">
        <w:rPr>
          <w:rFonts w:ascii="Arial" w:hAnsi="Arial" w:cs="Arial"/>
          <w:color w:val="000000"/>
          <w:sz w:val="22"/>
          <w:szCs w:val="22"/>
        </w:rPr>
        <w:t>středisek</w:t>
      </w:r>
    </w:p>
    <w:p w:rsidR="00242A0C" w:rsidRPr="006532BE" w:rsidRDefault="00242A0C" w:rsidP="00262839">
      <w:pPr>
        <w:widowControl w:val="0"/>
        <w:numPr>
          <w:ilvl w:val="2"/>
          <w:numId w:val="15"/>
        </w:numPr>
        <w:autoSpaceDE w:val="0"/>
        <w:autoSpaceDN w:val="0"/>
        <w:adjustRightInd w:val="0"/>
        <w:spacing w:before="60"/>
        <w:ind w:left="1225" w:hanging="505"/>
        <w:jc w:val="both"/>
        <w:rPr>
          <w:rFonts w:ascii="Arial" w:hAnsi="Arial" w:cs="Arial"/>
          <w:color w:val="000000"/>
          <w:sz w:val="22"/>
          <w:szCs w:val="22"/>
        </w:rPr>
      </w:pPr>
      <w:r w:rsidRPr="006532BE">
        <w:rPr>
          <w:rFonts w:ascii="Arial" w:hAnsi="Arial" w:cs="Arial"/>
          <w:color w:val="000000"/>
          <w:sz w:val="22"/>
          <w:szCs w:val="22"/>
        </w:rPr>
        <w:t>Celkové</w:t>
      </w:r>
      <w:r w:rsidRPr="006532BE">
        <w:rPr>
          <w:rFonts w:ascii="Arial" w:hAnsi="Arial" w:cs="Arial"/>
          <w:color w:val="000000"/>
          <w:spacing w:val="-8"/>
          <w:sz w:val="22"/>
          <w:szCs w:val="22"/>
        </w:rPr>
        <w:t xml:space="preserve"> </w:t>
      </w:r>
      <w:r w:rsidRPr="006532BE">
        <w:rPr>
          <w:rFonts w:ascii="Arial" w:hAnsi="Arial" w:cs="Arial"/>
          <w:color w:val="000000"/>
          <w:sz w:val="22"/>
          <w:szCs w:val="22"/>
        </w:rPr>
        <w:t>náklady</w:t>
      </w:r>
      <w:r w:rsidRPr="006532BE">
        <w:rPr>
          <w:rFonts w:ascii="Arial" w:hAnsi="Arial" w:cs="Arial"/>
          <w:color w:val="000000"/>
          <w:spacing w:val="-8"/>
          <w:sz w:val="22"/>
          <w:szCs w:val="22"/>
        </w:rPr>
        <w:t xml:space="preserve"> </w:t>
      </w:r>
      <w:r w:rsidRPr="006532BE">
        <w:rPr>
          <w:rFonts w:ascii="Arial" w:hAnsi="Arial" w:cs="Arial"/>
          <w:color w:val="000000"/>
          <w:sz w:val="22"/>
          <w:szCs w:val="22"/>
        </w:rPr>
        <w:t>středisek</w:t>
      </w:r>
      <w:r w:rsidRPr="006532BE">
        <w:rPr>
          <w:rFonts w:ascii="Arial" w:hAnsi="Arial" w:cs="Arial"/>
          <w:color w:val="000000"/>
          <w:spacing w:val="-9"/>
          <w:sz w:val="22"/>
          <w:szCs w:val="22"/>
        </w:rPr>
        <w:t xml:space="preserve"> </w:t>
      </w:r>
      <w:r w:rsidRPr="006532BE">
        <w:rPr>
          <w:rFonts w:ascii="Arial" w:hAnsi="Arial" w:cs="Arial"/>
          <w:color w:val="000000"/>
          <w:sz w:val="22"/>
          <w:szCs w:val="22"/>
        </w:rPr>
        <w:t>(bez</w:t>
      </w:r>
      <w:r w:rsidRPr="006532BE">
        <w:rPr>
          <w:rFonts w:ascii="Arial" w:hAnsi="Arial" w:cs="Arial"/>
          <w:color w:val="000000"/>
          <w:spacing w:val="-4"/>
          <w:sz w:val="22"/>
          <w:szCs w:val="22"/>
        </w:rPr>
        <w:t xml:space="preserve"> </w:t>
      </w:r>
      <w:r w:rsidRPr="006532BE">
        <w:rPr>
          <w:rFonts w:ascii="Arial" w:hAnsi="Arial" w:cs="Arial"/>
          <w:color w:val="000000"/>
          <w:sz w:val="22"/>
          <w:szCs w:val="22"/>
        </w:rPr>
        <w:t>nákladů</w:t>
      </w:r>
      <w:r w:rsidRPr="006532BE">
        <w:rPr>
          <w:rFonts w:ascii="Arial" w:hAnsi="Arial" w:cs="Arial"/>
          <w:color w:val="000000"/>
          <w:spacing w:val="-7"/>
          <w:sz w:val="22"/>
          <w:szCs w:val="22"/>
        </w:rPr>
        <w:t xml:space="preserve"> </w:t>
      </w:r>
      <w:r w:rsidRPr="006532BE">
        <w:rPr>
          <w:rFonts w:ascii="Arial" w:hAnsi="Arial" w:cs="Arial"/>
          <w:color w:val="000000"/>
          <w:sz w:val="22"/>
          <w:szCs w:val="22"/>
        </w:rPr>
        <w:t>vloženého</w:t>
      </w:r>
      <w:r w:rsidRPr="006532BE">
        <w:rPr>
          <w:rFonts w:ascii="Arial" w:hAnsi="Arial" w:cs="Arial"/>
          <w:color w:val="000000"/>
          <w:spacing w:val="-10"/>
          <w:sz w:val="22"/>
          <w:szCs w:val="22"/>
        </w:rPr>
        <w:t xml:space="preserve"> </w:t>
      </w:r>
      <w:r w:rsidRPr="006532BE">
        <w:rPr>
          <w:rFonts w:ascii="Arial" w:hAnsi="Arial" w:cs="Arial"/>
          <w:color w:val="000000"/>
          <w:sz w:val="22"/>
          <w:szCs w:val="22"/>
        </w:rPr>
        <w:t>kapitálu)</w:t>
      </w:r>
    </w:p>
    <w:p w:rsidR="00242A0C" w:rsidRPr="006532BE" w:rsidRDefault="00242A0C" w:rsidP="00262839">
      <w:pPr>
        <w:widowControl w:val="0"/>
        <w:numPr>
          <w:ilvl w:val="2"/>
          <w:numId w:val="15"/>
        </w:numPr>
        <w:autoSpaceDE w:val="0"/>
        <w:autoSpaceDN w:val="0"/>
        <w:adjustRightInd w:val="0"/>
        <w:spacing w:before="60"/>
        <w:ind w:left="1225" w:hanging="505"/>
        <w:jc w:val="both"/>
        <w:rPr>
          <w:rFonts w:ascii="Arial" w:hAnsi="Arial" w:cs="Arial"/>
          <w:color w:val="000000"/>
          <w:sz w:val="22"/>
          <w:szCs w:val="22"/>
        </w:rPr>
      </w:pPr>
      <w:r w:rsidRPr="006532BE">
        <w:rPr>
          <w:rFonts w:ascii="Arial" w:hAnsi="Arial" w:cs="Arial"/>
          <w:color w:val="000000"/>
          <w:sz w:val="22"/>
          <w:szCs w:val="22"/>
        </w:rPr>
        <w:t>Vložený</w:t>
      </w:r>
      <w:r w:rsidRPr="006532BE">
        <w:rPr>
          <w:rFonts w:ascii="Arial" w:hAnsi="Arial" w:cs="Arial"/>
          <w:color w:val="000000"/>
          <w:spacing w:val="-8"/>
          <w:sz w:val="22"/>
          <w:szCs w:val="22"/>
        </w:rPr>
        <w:t xml:space="preserve"> </w:t>
      </w:r>
      <w:r w:rsidRPr="006532BE">
        <w:rPr>
          <w:rFonts w:ascii="Arial" w:hAnsi="Arial" w:cs="Arial"/>
          <w:color w:val="000000"/>
          <w:sz w:val="22"/>
          <w:szCs w:val="22"/>
        </w:rPr>
        <w:t>ka</w:t>
      </w:r>
      <w:r w:rsidRPr="006532BE">
        <w:rPr>
          <w:rFonts w:ascii="Arial" w:hAnsi="Arial" w:cs="Arial"/>
          <w:color w:val="000000"/>
          <w:spacing w:val="-1"/>
          <w:sz w:val="22"/>
          <w:szCs w:val="22"/>
        </w:rPr>
        <w:t>p</w:t>
      </w:r>
      <w:r w:rsidRPr="006532BE">
        <w:rPr>
          <w:rFonts w:ascii="Arial" w:hAnsi="Arial" w:cs="Arial"/>
          <w:color w:val="000000"/>
          <w:sz w:val="22"/>
          <w:szCs w:val="22"/>
        </w:rPr>
        <w:t>itál</w:t>
      </w:r>
      <w:r w:rsidRPr="006532BE">
        <w:rPr>
          <w:rFonts w:ascii="Arial" w:hAnsi="Arial" w:cs="Arial"/>
          <w:color w:val="000000"/>
          <w:spacing w:val="-6"/>
          <w:sz w:val="22"/>
          <w:szCs w:val="22"/>
        </w:rPr>
        <w:t xml:space="preserve"> </w:t>
      </w:r>
      <w:r w:rsidRPr="006532BE">
        <w:rPr>
          <w:rFonts w:ascii="Arial" w:hAnsi="Arial" w:cs="Arial"/>
          <w:color w:val="000000"/>
          <w:sz w:val="22"/>
          <w:szCs w:val="22"/>
        </w:rPr>
        <w:t>středisek</w:t>
      </w:r>
    </w:p>
    <w:p w:rsidR="00242A0C" w:rsidRPr="006532BE" w:rsidRDefault="00242A0C" w:rsidP="00453CD8">
      <w:pPr>
        <w:numPr>
          <w:ilvl w:val="0"/>
          <w:numId w:val="15"/>
        </w:numPr>
        <w:autoSpaceDE w:val="0"/>
        <w:autoSpaceDN w:val="0"/>
        <w:adjustRightInd w:val="0"/>
        <w:spacing w:before="120"/>
        <w:ind w:left="357" w:hanging="357"/>
        <w:jc w:val="both"/>
        <w:outlineLvl w:val="1"/>
        <w:rPr>
          <w:rFonts w:ascii="Arial" w:hAnsi="Arial" w:cs="Arial"/>
          <w:bCs/>
          <w:color w:val="000000"/>
          <w:sz w:val="22"/>
          <w:szCs w:val="22"/>
        </w:rPr>
      </w:pPr>
      <w:r w:rsidRPr="006532BE">
        <w:rPr>
          <w:rFonts w:ascii="Arial" w:hAnsi="Arial" w:cs="Arial"/>
          <w:bCs/>
          <w:color w:val="000000"/>
          <w:sz w:val="22"/>
          <w:szCs w:val="22"/>
        </w:rPr>
        <w:t>Náklady související se vstupem do kolokační místnosti</w:t>
      </w:r>
    </w:p>
    <w:p w:rsidR="00242A0C" w:rsidRPr="006532BE" w:rsidRDefault="00242A0C" w:rsidP="00453CD8">
      <w:pPr>
        <w:numPr>
          <w:ilvl w:val="0"/>
          <w:numId w:val="15"/>
        </w:numPr>
        <w:autoSpaceDE w:val="0"/>
        <w:autoSpaceDN w:val="0"/>
        <w:adjustRightInd w:val="0"/>
        <w:spacing w:before="120"/>
        <w:ind w:left="357" w:hanging="357"/>
        <w:jc w:val="both"/>
        <w:outlineLvl w:val="1"/>
        <w:rPr>
          <w:rFonts w:ascii="Arial" w:hAnsi="Arial" w:cs="Arial"/>
          <w:color w:val="000000"/>
          <w:sz w:val="22"/>
          <w:szCs w:val="22"/>
        </w:rPr>
      </w:pPr>
      <w:r w:rsidRPr="006532BE">
        <w:rPr>
          <w:rFonts w:ascii="Arial" w:hAnsi="Arial" w:cs="Arial"/>
          <w:bCs/>
          <w:color w:val="000000"/>
          <w:sz w:val="22"/>
          <w:szCs w:val="22"/>
        </w:rPr>
        <w:t>Režie</w:t>
      </w:r>
    </w:p>
    <w:p w:rsidR="00242A0C" w:rsidRPr="006532BE" w:rsidRDefault="00242A0C" w:rsidP="0008474D">
      <w:pPr>
        <w:numPr>
          <w:ilvl w:val="1"/>
          <w:numId w:val="15"/>
        </w:numPr>
        <w:tabs>
          <w:tab w:val="left" w:pos="851"/>
        </w:tabs>
        <w:autoSpaceDE w:val="0"/>
        <w:autoSpaceDN w:val="0"/>
        <w:adjustRightInd w:val="0"/>
        <w:spacing w:before="60"/>
        <w:ind w:left="993" w:hanging="636"/>
        <w:jc w:val="both"/>
        <w:rPr>
          <w:rFonts w:ascii="Arial" w:hAnsi="Arial" w:cs="Arial"/>
          <w:color w:val="000000"/>
          <w:sz w:val="22"/>
          <w:szCs w:val="22"/>
        </w:rPr>
      </w:pPr>
      <w:r w:rsidRPr="006532BE">
        <w:rPr>
          <w:rFonts w:ascii="Arial" w:hAnsi="Arial" w:cs="Arial"/>
          <w:color w:val="000000"/>
          <w:sz w:val="22"/>
          <w:szCs w:val="22"/>
        </w:rPr>
        <w:t>Jednotková režie</w:t>
      </w:r>
    </w:p>
    <w:p w:rsidR="00242A0C" w:rsidRPr="006532BE" w:rsidRDefault="00242A0C" w:rsidP="0008474D">
      <w:pPr>
        <w:numPr>
          <w:ilvl w:val="1"/>
          <w:numId w:val="15"/>
        </w:numPr>
        <w:tabs>
          <w:tab w:val="left" w:pos="851"/>
        </w:tabs>
        <w:autoSpaceDE w:val="0"/>
        <w:autoSpaceDN w:val="0"/>
        <w:adjustRightInd w:val="0"/>
        <w:spacing w:before="60"/>
        <w:ind w:left="993" w:hanging="636"/>
        <w:jc w:val="both"/>
        <w:rPr>
          <w:rFonts w:ascii="Arial" w:hAnsi="Arial" w:cs="Arial"/>
          <w:color w:val="000000"/>
          <w:sz w:val="22"/>
          <w:szCs w:val="22"/>
        </w:rPr>
      </w:pPr>
      <w:r w:rsidRPr="006532BE">
        <w:rPr>
          <w:rFonts w:ascii="Arial" w:hAnsi="Arial" w:cs="Arial"/>
          <w:color w:val="000000"/>
          <w:sz w:val="22"/>
          <w:szCs w:val="22"/>
        </w:rPr>
        <w:t>Celková režie</w:t>
      </w:r>
    </w:p>
    <w:p w:rsidR="00242A0C" w:rsidRPr="006532BE" w:rsidRDefault="00242A0C" w:rsidP="00453CD8">
      <w:pPr>
        <w:numPr>
          <w:ilvl w:val="0"/>
          <w:numId w:val="15"/>
        </w:numPr>
        <w:autoSpaceDE w:val="0"/>
        <w:autoSpaceDN w:val="0"/>
        <w:adjustRightInd w:val="0"/>
        <w:spacing w:before="120"/>
        <w:ind w:left="357" w:hanging="357"/>
        <w:jc w:val="both"/>
        <w:outlineLvl w:val="1"/>
        <w:rPr>
          <w:rFonts w:ascii="Arial" w:hAnsi="Arial" w:cs="Arial"/>
          <w:bCs/>
          <w:color w:val="000000"/>
          <w:sz w:val="22"/>
          <w:szCs w:val="22"/>
        </w:rPr>
      </w:pPr>
      <w:proofErr w:type="spellStart"/>
      <w:r w:rsidRPr="006532BE">
        <w:rPr>
          <w:rFonts w:ascii="Arial" w:hAnsi="Arial" w:cs="Arial"/>
          <w:bCs/>
          <w:color w:val="000000"/>
          <w:sz w:val="22"/>
          <w:szCs w:val="22"/>
        </w:rPr>
        <w:t>Billing</w:t>
      </w:r>
      <w:proofErr w:type="spellEnd"/>
    </w:p>
    <w:p w:rsidR="00242A0C" w:rsidRPr="006532BE" w:rsidRDefault="00242A0C" w:rsidP="0008474D">
      <w:pPr>
        <w:numPr>
          <w:ilvl w:val="1"/>
          <w:numId w:val="15"/>
        </w:numPr>
        <w:tabs>
          <w:tab w:val="left" w:pos="851"/>
        </w:tabs>
        <w:autoSpaceDE w:val="0"/>
        <w:autoSpaceDN w:val="0"/>
        <w:adjustRightInd w:val="0"/>
        <w:spacing w:before="60"/>
        <w:ind w:left="993" w:hanging="633"/>
        <w:jc w:val="both"/>
        <w:rPr>
          <w:rFonts w:ascii="Arial" w:hAnsi="Arial" w:cs="Arial"/>
          <w:color w:val="000000"/>
          <w:sz w:val="22"/>
          <w:szCs w:val="22"/>
        </w:rPr>
      </w:pPr>
      <w:r w:rsidRPr="006532BE">
        <w:rPr>
          <w:rFonts w:ascii="Arial" w:hAnsi="Arial" w:cs="Arial"/>
          <w:color w:val="000000"/>
          <w:sz w:val="22"/>
          <w:szCs w:val="22"/>
        </w:rPr>
        <w:t>Počet fakturovaných položek</w:t>
      </w:r>
    </w:p>
    <w:p w:rsidR="00242A0C" w:rsidRPr="006532BE" w:rsidRDefault="00242A0C" w:rsidP="0008474D">
      <w:pPr>
        <w:numPr>
          <w:ilvl w:val="1"/>
          <w:numId w:val="15"/>
        </w:numPr>
        <w:tabs>
          <w:tab w:val="left" w:pos="851"/>
        </w:tabs>
        <w:autoSpaceDE w:val="0"/>
        <w:autoSpaceDN w:val="0"/>
        <w:adjustRightInd w:val="0"/>
        <w:spacing w:before="60"/>
        <w:ind w:left="851" w:hanging="494"/>
        <w:jc w:val="both"/>
        <w:rPr>
          <w:rFonts w:ascii="Arial" w:hAnsi="Arial" w:cs="Arial"/>
          <w:color w:val="000000"/>
          <w:sz w:val="22"/>
          <w:szCs w:val="22"/>
        </w:rPr>
      </w:pPr>
      <w:r w:rsidRPr="006532BE">
        <w:rPr>
          <w:rFonts w:ascii="Arial" w:hAnsi="Arial" w:cs="Arial"/>
          <w:color w:val="000000"/>
          <w:sz w:val="22"/>
          <w:szCs w:val="22"/>
        </w:rPr>
        <w:t xml:space="preserve">Celkový roční náklad pro jednotlivé </w:t>
      </w:r>
      <w:proofErr w:type="spellStart"/>
      <w:r w:rsidRPr="006532BE">
        <w:rPr>
          <w:rFonts w:ascii="Arial" w:hAnsi="Arial" w:cs="Arial"/>
          <w:color w:val="000000"/>
          <w:sz w:val="22"/>
          <w:szCs w:val="22"/>
        </w:rPr>
        <w:t>billingové</w:t>
      </w:r>
      <w:proofErr w:type="spellEnd"/>
      <w:r w:rsidRPr="006532BE">
        <w:rPr>
          <w:rFonts w:ascii="Arial" w:hAnsi="Arial" w:cs="Arial"/>
          <w:color w:val="000000"/>
          <w:sz w:val="22"/>
          <w:szCs w:val="22"/>
        </w:rPr>
        <w:t xml:space="preserve"> systémy bez nákladů vlož</w:t>
      </w:r>
      <w:r w:rsidR="0008474D" w:rsidRPr="006532BE">
        <w:rPr>
          <w:rFonts w:ascii="Arial" w:hAnsi="Arial" w:cs="Arial"/>
          <w:color w:val="000000"/>
          <w:sz w:val="22"/>
          <w:szCs w:val="22"/>
        </w:rPr>
        <w:t xml:space="preserve">eného  </w:t>
      </w:r>
      <w:r w:rsidRPr="006532BE">
        <w:rPr>
          <w:rFonts w:ascii="Arial" w:hAnsi="Arial" w:cs="Arial"/>
          <w:color w:val="000000"/>
          <w:sz w:val="22"/>
          <w:szCs w:val="22"/>
        </w:rPr>
        <w:t>kapitálu</w:t>
      </w:r>
    </w:p>
    <w:p w:rsidR="00242A0C" w:rsidRPr="006532BE" w:rsidRDefault="00242A0C" w:rsidP="0008474D">
      <w:pPr>
        <w:numPr>
          <w:ilvl w:val="1"/>
          <w:numId w:val="15"/>
        </w:numPr>
        <w:tabs>
          <w:tab w:val="left" w:pos="851"/>
        </w:tabs>
        <w:autoSpaceDE w:val="0"/>
        <w:autoSpaceDN w:val="0"/>
        <w:adjustRightInd w:val="0"/>
        <w:spacing w:before="60"/>
        <w:ind w:left="992" w:hanging="635"/>
        <w:jc w:val="both"/>
        <w:rPr>
          <w:rFonts w:ascii="Arial" w:hAnsi="Arial" w:cs="Arial"/>
          <w:color w:val="000000"/>
          <w:sz w:val="22"/>
          <w:szCs w:val="22"/>
        </w:rPr>
      </w:pPr>
      <w:r w:rsidRPr="006532BE">
        <w:rPr>
          <w:rFonts w:ascii="Arial" w:hAnsi="Arial" w:cs="Arial"/>
          <w:color w:val="000000"/>
          <w:sz w:val="22"/>
          <w:szCs w:val="22"/>
        </w:rPr>
        <w:t xml:space="preserve">Náklady vloženého kapitálu pro jednotlivé </w:t>
      </w:r>
      <w:proofErr w:type="spellStart"/>
      <w:r w:rsidRPr="006532BE">
        <w:rPr>
          <w:rFonts w:ascii="Arial" w:hAnsi="Arial" w:cs="Arial"/>
          <w:color w:val="000000"/>
          <w:sz w:val="22"/>
          <w:szCs w:val="22"/>
        </w:rPr>
        <w:t>billingové</w:t>
      </w:r>
      <w:proofErr w:type="spellEnd"/>
      <w:r w:rsidRPr="006532BE">
        <w:rPr>
          <w:rFonts w:ascii="Arial" w:hAnsi="Arial" w:cs="Arial"/>
          <w:color w:val="000000"/>
          <w:sz w:val="22"/>
          <w:szCs w:val="22"/>
        </w:rPr>
        <w:t xml:space="preserve"> systémy</w:t>
      </w:r>
    </w:p>
    <w:p w:rsidR="00242A0C" w:rsidRDefault="00242A0C" w:rsidP="00E166CE">
      <w:pPr>
        <w:widowControl w:val="0"/>
        <w:autoSpaceDE w:val="0"/>
        <w:autoSpaceDN w:val="0"/>
        <w:adjustRightInd w:val="0"/>
        <w:spacing w:before="240"/>
        <w:rPr>
          <w:rFonts w:ascii="Arial" w:hAnsi="Arial" w:cs="Arial"/>
          <w:color w:val="000000"/>
          <w:sz w:val="22"/>
          <w:szCs w:val="22"/>
        </w:rPr>
        <w:sectPr w:rsidR="00242A0C" w:rsidSect="002C151C">
          <w:footerReference w:type="default" r:id="rId16"/>
          <w:pgSz w:w="11920" w:h="16840"/>
          <w:pgMar w:top="1276" w:right="1300" w:bottom="280" w:left="1680" w:header="0" w:footer="1013" w:gutter="0"/>
          <w:cols w:space="708" w:equalWidth="0">
            <w:col w:w="8940"/>
          </w:cols>
          <w:noEndnote/>
          <w:docGrid w:linePitch="326"/>
        </w:sectPr>
      </w:pPr>
      <w:r w:rsidRPr="006532BE">
        <w:rPr>
          <w:rFonts w:ascii="Arial" w:hAnsi="Arial" w:cs="Arial"/>
          <w:b/>
          <w:bCs/>
          <w:color w:val="000000"/>
          <w:sz w:val="22"/>
          <w:szCs w:val="22"/>
        </w:rPr>
        <w:t>III. Podklad</w:t>
      </w:r>
      <w:r w:rsidRPr="006532BE">
        <w:rPr>
          <w:rFonts w:ascii="Arial" w:hAnsi="Arial" w:cs="Arial"/>
          <w:b/>
          <w:bCs/>
          <w:color w:val="000000"/>
          <w:spacing w:val="-1"/>
          <w:sz w:val="22"/>
          <w:szCs w:val="22"/>
        </w:rPr>
        <w:t>y</w:t>
      </w:r>
      <w:r w:rsidRPr="006532BE">
        <w:rPr>
          <w:rFonts w:ascii="Arial" w:hAnsi="Arial" w:cs="Arial"/>
          <w:b/>
          <w:bCs/>
          <w:color w:val="000000"/>
          <w:sz w:val="22"/>
          <w:szCs w:val="22"/>
        </w:rPr>
        <w:t>,</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které</w:t>
      </w:r>
      <w:r w:rsidRPr="006532BE">
        <w:rPr>
          <w:rFonts w:ascii="Arial" w:hAnsi="Arial" w:cs="Arial"/>
          <w:b/>
          <w:bCs/>
          <w:color w:val="000000"/>
          <w:spacing w:val="-5"/>
          <w:sz w:val="22"/>
          <w:szCs w:val="22"/>
        </w:rPr>
        <w:t xml:space="preserve"> </w:t>
      </w:r>
      <w:r w:rsidRPr="006532BE">
        <w:rPr>
          <w:rFonts w:ascii="Arial" w:hAnsi="Arial" w:cs="Arial"/>
          <w:b/>
          <w:bCs/>
          <w:color w:val="000000"/>
          <w:sz w:val="22"/>
          <w:szCs w:val="22"/>
        </w:rPr>
        <w:t>do</w:t>
      </w:r>
      <w:r w:rsidRPr="006532BE">
        <w:rPr>
          <w:rFonts w:ascii="Arial" w:hAnsi="Arial" w:cs="Arial"/>
          <w:b/>
          <w:bCs/>
          <w:color w:val="000000"/>
          <w:spacing w:val="2"/>
          <w:sz w:val="22"/>
          <w:szCs w:val="22"/>
        </w:rPr>
        <w:t>k</w:t>
      </w:r>
      <w:r w:rsidRPr="006532BE">
        <w:rPr>
          <w:rFonts w:ascii="Arial" w:hAnsi="Arial" w:cs="Arial"/>
          <w:b/>
          <w:bCs/>
          <w:color w:val="000000"/>
          <w:sz w:val="22"/>
          <w:szCs w:val="22"/>
        </w:rPr>
        <w:t>ládají</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správnost</w:t>
      </w:r>
      <w:r w:rsidRPr="006532BE">
        <w:rPr>
          <w:rFonts w:ascii="Arial" w:hAnsi="Arial" w:cs="Arial"/>
          <w:b/>
          <w:bCs/>
          <w:color w:val="000000"/>
          <w:spacing w:val="-10"/>
          <w:sz w:val="22"/>
          <w:szCs w:val="22"/>
        </w:rPr>
        <w:t xml:space="preserve"> </w:t>
      </w:r>
      <w:r w:rsidRPr="006532BE">
        <w:rPr>
          <w:rFonts w:ascii="Arial" w:hAnsi="Arial" w:cs="Arial"/>
          <w:b/>
          <w:bCs/>
          <w:color w:val="000000"/>
          <w:sz w:val="22"/>
          <w:szCs w:val="22"/>
        </w:rPr>
        <w:t>výše</w:t>
      </w:r>
      <w:r w:rsidRPr="006532BE">
        <w:rPr>
          <w:rFonts w:ascii="Arial" w:hAnsi="Arial" w:cs="Arial"/>
          <w:b/>
          <w:bCs/>
          <w:color w:val="000000"/>
          <w:spacing w:val="-5"/>
          <w:sz w:val="22"/>
          <w:szCs w:val="22"/>
        </w:rPr>
        <w:t xml:space="preserve"> </w:t>
      </w:r>
      <w:r w:rsidRPr="006532BE">
        <w:rPr>
          <w:rFonts w:ascii="Arial" w:hAnsi="Arial" w:cs="Arial"/>
          <w:b/>
          <w:bCs/>
          <w:color w:val="000000"/>
          <w:sz w:val="22"/>
          <w:szCs w:val="22"/>
        </w:rPr>
        <w:t>uvedených</w:t>
      </w:r>
      <w:r w:rsidRPr="006532BE">
        <w:rPr>
          <w:rFonts w:ascii="Arial" w:hAnsi="Arial" w:cs="Arial"/>
          <w:b/>
          <w:bCs/>
          <w:color w:val="000000"/>
          <w:spacing w:val="-11"/>
          <w:sz w:val="22"/>
          <w:szCs w:val="22"/>
        </w:rPr>
        <w:t xml:space="preserve"> </w:t>
      </w:r>
      <w:r w:rsidRPr="006532BE">
        <w:rPr>
          <w:rFonts w:ascii="Arial" w:hAnsi="Arial" w:cs="Arial"/>
          <w:b/>
          <w:bCs/>
          <w:color w:val="000000"/>
          <w:sz w:val="22"/>
          <w:szCs w:val="22"/>
        </w:rPr>
        <w:t>úda</w:t>
      </w:r>
      <w:r w:rsidRPr="006532BE">
        <w:rPr>
          <w:rFonts w:ascii="Arial" w:hAnsi="Arial" w:cs="Arial"/>
          <w:b/>
          <w:bCs/>
          <w:color w:val="000000"/>
          <w:spacing w:val="-1"/>
          <w:sz w:val="22"/>
          <w:szCs w:val="22"/>
        </w:rPr>
        <w:t>j</w:t>
      </w:r>
      <w:r w:rsidRPr="006532BE">
        <w:rPr>
          <w:rFonts w:ascii="Arial" w:hAnsi="Arial" w:cs="Arial"/>
          <w:b/>
          <w:bCs/>
          <w:color w:val="000000"/>
          <w:sz w:val="22"/>
          <w:szCs w:val="22"/>
        </w:rPr>
        <w:t>ů</w:t>
      </w:r>
    </w:p>
    <w:p w:rsidR="00242A0C" w:rsidRDefault="00242A0C" w:rsidP="007D2120">
      <w:pPr>
        <w:widowControl w:val="0"/>
        <w:tabs>
          <w:tab w:val="left" w:pos="6237"/>
        </w:tabs>
        <w:autoSpaceDE w:val="0"/>
        <w:autoSpaceDN w:val="0"/>
        <w:adjustRightInd w:val="0"/>
        <w:spacing w:before="600"/>
        <w:ind w:left="5245"/>
        <w:rPr>
          <w:rFonts w:ascii="Arial" w:hAnsi="Arial" w:cs="Arial"/>
          <w:color w:val="000000"/>
          <w:spacing w:val="-7"/>
          <w:sz w:val="22"/>
          <w:szCs w:val="22"/>
        </w:rPr>
      </w:pPr>
      <w:r>
        <w:rPr>
          <w:rFonts w:ascii="Arial" w:hAnsi="Arial" w:cs="Arial"/>
          <w:color w:val="000000"/>
          <w:sz w:val="22"/>
          <w:szCs w:val="22"/>
        </w:rPr>
        <w:lastRenderedPageBreak/>
        <w:t>Příloha</w:t>
      </w:r>
      <w:r>
        <w:rPr>
          <w:rFonts w:ascii="Arial" w:hAnsi="Arial" w:cs="Arial"/>
          <w:color w:val="000000"/>
          <w:spacing w:val="-7"/>
          <w:sz w:val="22"/>
          <w:szCs w:val="22"/>
        </w:rPr>
        <w:t xml:space="preserve"> </w:t>
      </w:r>
      <w:r>
        <w:rPr>
          <w:rFonts w:ascii="Arial" w:hAnsi="Arial" w:cs="Arial"/>
          <w:color w:val="000000"/>
          <w:sz w:val="22"/>
          <w:szCs w:val="22"/>
        </w:rPr>
        <w:t>č. 6</w:t>
      </w:r>
      <w:r>
        <w:rPr>
          <w:rFonts w:ascii="Arial" w:hAnsi="Arial" w:cs="Arial"/>
          <w:color w:val="000000"/>
          <w:spacing w:val="-2"/>
          <w:sz w:val="22"/>
          <w:szCs w:val="22"/>
        </w:rPr>
        <w:t xml:space="preserve"> k </w:t>
      </w:r>
      <w:r>
        <w:rPr>
          <w:rFonts w:ascii="Arial" w:hAnsi="Arial" w:cs="Arial"/>
          <w:color w:val="000000"/>
          <w:sz w:val="22"/>
          <w:szCs w:val="22"/>
        </w:rPr>
        <w:t>opatření</w:t>
      </w:r>
      <w:r>
        <w:rPr>
          <w:rFonts w:ascii="Arial" w:hAnsi="Arial" w:cs="Arial"/>
          <w:color w:val="000000"/>
          <w:spacing w:val="-8"/>
          <w:sz w:val="22"/>
          <w:szCs w:val="22"/>
        </w:rPr>
        <w:t xml:space="preserve"> </w:t>
      </w:r>
      <w:r>
        <w:rPr>
          <w:rFonts w:ascii="Arial" w:hAnsi="Arial" w:cs="Arial"/>
          <w:color w:val="000000"/>
          <w:spacing w:val="-1"/>
          <w:sz w:val="22"/>
          <w:szCs w:val="22"/>
        </w:rPr>
        <w:t>o</w:t>
      </w:r>
      <w:r>
        <w:rPr>
          <w:rFonts w:ascii="Arial" w:hAnsi="Arial" w:cs="Arial"/>
          <w:color w:val="000000"/>
          <w:sz w:val="22"/>
          <w:szCs w:val="22"/>
        </w:rPr>
        <w:t>becné</w:t>
      </w:r>
      <w:r>
        <w:rPr>
          <w:rFonts w:ascii="Arial" w:hAnsi="Arial" w:cs="Arial"/>
          <w:color w:val="000000"/>
          <w:spacing w:val="-7"/>
          <w:sz w:val="22"/>
          <w:szCs w:val="22"/>
        </w:rPr>
        <w:t xml:space="preserve"> </w:t>
      </w:r>
      <w:r>
        <w:rPr>
          <w:rFonts w:ascii="Arial" w:hAnsi="Arial" w:cs="Arial"/>
          <w:color w:val="000000"/>
          <w:sz w:val="22"/>
          <w:szCs w:val="22"/>
        </w:rPr>
        <w:t>povahy</w:t>
      </w:r>
      <w:r>
        <w:rPr>
          <w:rFonts w:ascii="Arial" w:hAnsi="Arial" w:cs="Arial"/>
          <w:color w:val="000000"/>
          <w:spacing w:val="-7"/>
          <w:sz w:val="22"/>
          <w:szCs w:val="22"/>
        </w:rPr>
        <w:t xml:space="preserve"> </w:t>
      </w:r>
    </w:p>
    <w:p w:rsidR="00242A0C" w:rsidRDefault="00242A0C" w:rsidP="00242A0C">
      <w:pPr>
        <w:widowControl w:val="0"/>
        <w:tabs>
          <w:tab w:val="left" w:pos="6237"/>
        </w:tabs>
        <w:autoSpaceDE w:val="0"/>
        <w:autoSpaceDN w:val="0"/>
        <w:adjustRightInd w:val="0"/>
        <w:spacing w:before="87"/>
        <w:ind w:left="5245"/>
        <w:rPr>
          <w:rFonts w:ascii="Arial" w:hAnsi="Arial" w:cs="Arial"/>
          <w:color w:val="000000"/>
          <w:sz w:val="22"/>
          <w:szCs w:val="22"/>
        </w:rPr>
      </w:pPr>
      <w:r>
        <w:rPr>
          <w:rFonts w:ascii="Arial" w:hAnsi="Arial" w:cs="Arial"/>
          <w:color w:val="000000"/>
          <w:spacing w:val="1"/>
          <w:sz w:val="22"/>
          <w:szCs w:val="22"/>
        </w:rPr>
        <w:t>č</w:t>
      </w:r>
      <w:r>
        <w:rPr>
          <w:rFonts w:ascii="Arial" w:hAnsi="Arial" w:cs="Arial"/>
          <w:color w:val="000000"/>
          <w:sz w:val="22"/>
          <w:szCs w:val="22"/>
        </w:rPr>
        <w:t>.</w:t>
      </w:r>
      <w:r>
        <w:rPr>
          <w:rFonts w:ascii="Arial" w:hAnsi="Arial" w:cs="Arial"/>
          <w:color w:val="000000"/>
          <w:spacing w:val="-1"/>
          <w:sz w:val="22"/>
          <w:szCs w:val="22"/>
        </w:rPr>
        <w:t xml:space="preserve"> </w:t>
      </w:r>
      <w:r>
        <w:rPr>
          <w:rFonts w:ascii="Arial" w:hAnsi="Arial" w:cs="Arial"/>
          <w:b/>
          <w:bCs/>
          <w:color w:val="000000"/>
          <w:w w:val="99"/>
          <w:sz w:val="22"/>
          <w:szCs w:val="22"/>
        </w:rPr>
        <w:t>OOP/4</w:t>
      </w:r>
      <w:r>
        <w:rPr>
          <w:rFonts w:ascii="Arial" w:hAnsi="Arial" w:cs="Arial"/>
          <w:b/>
          <w:bCs/>
          <w:color w:val="000000"/>
          <w:spacing w:val="1"/>
          <w:w w:val="99"/>
          <w:sz w:val="22"/>
          <w:szCs w:val="22"/>
        </w:rPr>
        <w:t>/</w:t>
      </w:r>
      <w:r w:rsidR="002C151C">
        <w:rPr>
          <w:rFonts w:ascii="Arial" w:hAnsi="Arial" w:cs="Arial"/>
          <w:b/>
          <w:bCs/>
          <w:color w:val="000000"/>
          <w:spacing w:val="1"/>
          <w:w w:val="99"/>
          <w:sz w:val="22"/>
          <w:szCs w:val="22"/>
        </w:rPr>
        <w:t>09</w:t>
      </w:r>
      <w:r>
        <w:rPr>
          <w:rFonts w:ascii="Arial" w:hAnsi="Arial" w:cs="Arial"/>
          <w:b/>
          <w:bCs/>
          <w:color w:val="000000"/>
          <w:w w:val="99"/>
          <w:sz w:val="22"/>
          <w:szCs w:val="22"/>
        </w:rPr>
        <w:t>.2014-</w:t>
      </w:r>
      <w:r w:rsidR="002C151C">
        <w:rPr>
          <w:rFonts w:ascii="Arial" w:hAnsi="Arial" w:cs="Arial"/>
          <w:b/>
          <w:bCs/>
          <w:color w:val="000000"/>
          <w:w w:val="99"/>
          <w:sz w:val="22"/>
          <w:szCs w:val="22"/>
        </w:rPr>
        <w:t>6</w:t>
      </w:r>
      <w:r>
        <w:rPr>
          <w:rFonts w:ascii="Arial" w:hAnsi="Arial" w:cs="Arial"/>
          <w:color w:val="000000"/>
          <w:sz w:val="22"/>
          <w:szCs w:val="22"/>
        </w:rPr>
        <w:t xml:space="preserve"> </w:t>
      </w:r>
    </w:p>
    <w:p w:rsidR="00242A0C" w:rsidRDefault="00242A0C" w:rsidP="00242A0C">
      <w:pPr>
        <w:widowControl w:val="0"/>
        <w:tabs>
          <w:tab w:val="left" w:pos="540"/>
        </w:tabs>
        <w:autoSpaceDE w:val="0"/>
        <w:autoSpaceDN w:val="0"/>
        <w:adjustRightInd w:val="0"/>
        <w:spacing w:before="87"/>
        <w:ind w:left="136"/>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942"/>
        <w:gridCol w:w="4471"/>
      </w:tblGrid>
      <w:tr w:rsidR="00242A0C" w:rsidRPr="000B133B" w:rsidTr="00ED3D0B">
        <w:trPr>
          <w:trHeight w:val="390"/>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Zkratka</w:t>
            </w:r>
          </w:p>
        </w:tc>
        <w:tc>
          <w:tcPr>
            <w:tcW w:w="2942"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Název</w:t>
            </w:r>
          </w:p>
        </w:tc>
        <w:tc>
          <w:tcPr>
            <w:tcW w:w="4471"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Vysvětlivka</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2G</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 xml:space="preserve">second </w:t>
            </w:r>
            <w:proofErr w:type="spellStart"/>
            <w:r w:rsidRPr="00ED3D0B">
              <w:rPr>
                <w:rFonts w:ascii="Arial" w:hAnsi="Arial" w:cs="Arial"/>
                <w:iCs/>
                <w:color w:val="000000"/>
                <w:sz w:val="20"/>
                <w:szCs w:val="20"/>
              </w:rPr>
              <w:t>generation</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wireless</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telephone</w:t>
            </w:r>
            <w:proofErr w:type="spellEnd"/>
            <w:r w:rsidRPr="00ED3D0B">
              <w:rPr>
                <w:rFonts w:ascii="Arial" w:hAnsi="Arial" w:cs="Arial"/>
                <w:iCs/>
                <w:color w:val="000000"/>
                <w:sz w:val="20"/>
                <w:szCs w:val="20"/>
              </w:rPr>
              <w:t xml:space="preserve"> technology</w:t>
            </w:r>
          </w:p>
        </w:tc>
        <w:tc>
          <w:tcPr>
            <w:tcW w:w="4471"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color w:val="000000"/>
                <w:sz w:val="20"/>
                <w:szCs w:val="20"/>
              </w:rPr>
              <w:t xml:space="preserve">2. generace bezdrátové </w:t>
            </w:r>
            <w:hyperlink r:id="rId17" w:tooltip="Telefon" w:history="1">
              <w:r w:rsidRPr="00ED3D0B">
                <w:rPr>
                  <w:rFonts w:ascii="Arial" w:hAnsi="Arial" w:cs="Arial"/>
                  <w:color w:val="000000"/>
                  <w:sz w:val="20"/>
                  <w:szCs w:val="20"/>
                </w:rPr>
                <w:t>telefonní</w:t>
              </w:r>
            </w:hyperlink>
            <w:r w:rsidRPr="00ED3D0B">
              <w:rPr>
                <w:rFonts w:ascii="Arial" w:hAnsi="Arial" w:cs="Arial"/>
                <w:color w:val="000000"/>
                <w:sz w:val="20"/>
                <w:szCs w:val="20"/>
              </w:rPr>
              <w:t xml:space="preserve"> </w:t>
            </w:r>
            <w:hyperlink r:id="rId18" w:tooltip="Technologie" w:history="1">
              <w:r w:rsidRPr="00ED3D0B">
                <w:rPr>
                  <w:rFonts w:ascii="Arial" w:hAnsi="Arial" w:cs="Arial"/>
                  <w:color w:val="000000"/>
                  <w:sz w:val="20"/>
                  <w:szCs w:val="20"/>
                </w:rPr>
                <w:t>technologie</w:t>
              </w:r>
            </w:hyperlink>
            <w:r w:rsidRPr="00ED3D0B">
              <w:rPr>
                <w:rFonts w:ascii="Arial" w:hAnsi="Arial" w:cs="Arial"/>
                <w:color w:val="000000"/>
                <w:sz w:val="20"/>
                <w:szCs w:val="20"/>
              </w:rPr>
              <w:t xml:space="preserve"> </w:t>
            </w:r>
            <w:hyperlink r:id="rId19" w:tooltip="Mobilní telefon" w:history="1">
              <w:r w:rsidRPr="00ED3D0B">
                <w:rPr>
                  <w:rFonts w:ascii="Arial" w:hAnsi="Arial" w:cs="Arial"/>
                  <w:color w:val="000000"/>
                  <w:sz w:val="20"/>
                  <w:szCs w:val="20"/>
                </w:rPr>
                <w:t>mobilního telefonu</w:t>
              </w:r>
            </w:hyperlink>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3G</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third</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generation</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wireless</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telephone</w:t>
            </w:r>
            <w:proofErr w:type="spellEnd"/>
            <w:r w:rsidRPr="00ED3D0B">
              <w:rPr>
                <w:rFonts w:ascii="Arial" w:hAnsi="Arial" w:cs="Arial"/>
                <w:iCs/>
                <w:color w:val="000000"/>
                <w:sz w:val="20"/>
                <w:szCs w:val="20"/>
              </w:rPr>
              <w:t xml:space="preserve"> technology</w:t>
            </w:r>
          </w:p>
        </w:tc>
        <w:tc>
          <w:tcPr>
            <w:tcW w:w="4471"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color w:val="000000"/>
                <w:sz w:val="20"/>
                <w:szCs w:val="20"/>
              </w:rPr>
              <w:t xml:space="preserve">3. generace bezdrátové </w:t>
            </w:r>
            <w:hyperlink r:id="rId20" w:tooltip="Telefon" w:history="1">
              <w:r w:rsidRPr="00ED3D0B">
                <w:rPr>
                  <w:rFonts w:ascii="Arial" w:hAnsi="Arial" w:cs="Arial"/>
                  <w:color w:val="000000"/>
                  <w:sz w:val="20"/>
                  <w:szCs w:val="20"/>
                </w:rPr>
                <w:t>telefonní</w:t>
              </w:r>
            </w:hyperlink>
            <w:r w:rsidRPr="00ED3D0B">
              <w:rPr>
                <w:rFonts w:ascii="Arial" w:hAnsi="Arial" w:cs="Arial"/>
                <w:color w:val="000000"/>
                <w:sz w:val="20"/>
                <w:szCs w:val="20"/>
              </w:rPr>
              <w:t xml:space="preserve"> </w:t>
            </w:r>
            <w:hyperlink r:id="rId21" w:tooltip="Technologie" w:history="1">
              <w:r w:rsidRPr="00ED3D0B">
                <w:rPr>
                  <w:rFonts w:ascii="Arial" w:hAnsi="Arial" w:cs="Arial"/>
                  <w:color w:val="000000"/>
                  <w:sz w:val="20"/>
                  <w:szCs w:val="20"/>
                </w:rPr>
                <w:t>technologie</w:t>
              </w:r>
            </w:hyperlink>
            <w:r w:rsidRPr="00ED3D0B">
              <w:rPr>
                <w:rFonts w:ascii="Arial" w:hAnsi="Arial" w:cs="Arial"/>
                <w:color w:val="000000"/>
                <w:sz w:val="20"/>
                <w:szCs w:val="20"/>
              </w:rPr>
              <w:t xml:space="preserve"> </w:t>
            </w:r>
            <w:hyperlink r:id="rId22" w:tooltip="Mobilní telefon" w:history="1">
              <w:r w:rsidRPr="00ED3D0B">
                <w:rPr>
                  <w:rFonts w:ascii="Arial" w:hAnsi="Arial" w:cs="Arial"/>
                  <w:color w:val="000000"/>
                  <w:sz w:val="20"/>
                  <w:szCs w:val="20"/>
                </w:rPr>
                <w:t>mobilního telefonu</w:t>
              </w:r>
            </w:hyperlink>
          </w:p>
        </w:tc>
      </w:tr>
      <w:tr w:rsidR="005A3A85" w:rsidRPr="000B133B" w:rsidTr="00ED3D0B">
        <w:trPr>
          <w:jc w:val="center"/>
        </w:trPr>
        <w:tc>
          <w:tcPr>
            <w:tcW w:w="1649" w:type="dxa"/>
            <w:shd w:val="clear" w:color="auto" w:fill="auto"/>
            <w:vAlign w:val="center"/>
          </w:tcPr>
          <w:p w:rsidR="005A3A85" w:rsidRPr="00ED3D0B" w:rsidRDefault="005A3A85" w:rsidP="00242A0C">
            <w:pPr>
              <w:rPr>
                <w:rFonts w:ascii="Arial" w:hAnsi="Arial" w:cs="Arial"/>
                <w:color w:val="000000"/>
                <w:sz w:val="20"/>
                <w:szCs w:val="20"/>
              </w:rPr>
            </w:pPr>
            <w:r w:rsidRPr="00ED3D0B">
              <w:rPr>
                <w:rFonts w:ascii="Arial" w:hAnsi="Arial" w:cs="Arial"/>
                <w:color w:val="000000"/>
                <w:sz w:val="20"/>
                <w:szCs w:val="20"/>
              </w:rPr>
              <w:t>ABC</w:t>
            </w:r>
          </w:p>
        </w:tc>
        <w:tc>
          <w:tcPr>
            <w:tcW w:w="2942" w:type="dxa"/>
            <w:shd w:val="clear" w:color="auto" w:fill="auto"/>
            <w:vAlign w:val="center"/>
          </w:tcPr>
          <w:p w:rsidR="005A3A85" w:rsidRPr="00ED3D0B" w:rsidRDefault="005A3A85" w:rsidP="00242A0C">
            <w:pPr>
              <w:rPr>
                <w:rFonts w:ascii="Arial" w:hAnsi="Arial" w:cs="Arial"/>
                <w:iCs/>
                <w:color w:val="000000"/>
                <w:sz w:val="20"/>
                <w:szCs w:val="20"/>
              </w:rPr>
            </w:pPr>
            <w:proofErr w:type="spellStart"/>
            <w:r w:rsidRPr="00ED3D0B">
              <w:rPr>
                <w:rFonts w:ascii="Arial" w:hAnsi="Arial" w:cs="Arial"/>
                <w:iCs/>
                <w:color w:val="000000"/>
                <w:sz w:val="20"/>
                <w:szCs w:val="20"/>
              </w:rPr>
              <w:t>Activity</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Based</w:t>
            </w:r>
            <w:proofErr w:type="spellEnd"/>
            <w:r w:rsidRPr="00ED3D0B">
              <w:rPr>
                <w:rFonts w:ascii="Arial" w:hAnsi="Arial" w:cs="Arial"/>
                <w:iCs/>
                <w:color w:val="000000"/>
                <w:sz w:val="20"/>
                <w:szCs w:val="20"/>
              </w:rPr>
              <w:t xml:space="preserve"> Costing</w:t>
            </w:r>
          </w:p>
        </w:tc>
        <w:tc>
          <w:tcPr>
            <w:tcW w:w="4471" w:type="dxa"/>
            <w:shd w:val="clear" w:color="auto" w:fill="auto"/>
            <w:vAlign w:val="center"/>
          </w:tcPr>
          <w:p w:rsidR="005A3A85" w:rsidRPr="00ED3D0B" w:rsidRDefault="005A3A85" w:rsidP="00242A0C">
            <w:pPr>
              <w:rPr>
                <w:rFonts w:ascii="Arial" w:hAnsi="Arial" w:cs="Arial"/>
                <w:sz w:val="20"/>
                <w:szCs w:val="20"/>
              </w:rPr>
            </w:pPr>
            <w:r w:rsidRPr="00ED3D0B">
              <w:rPr>
                <w:rFonts w:ascii="Arial" w:hAnsi="Arial" w:cs="Arial"/>
                <w:sz w:val="20"/>
                <w:szCs w:val="20"/>
              </w:rPr>
              <w:t>metoda přiřazování nákladů</w:t>
            </w:r>
            <w:r w:rsidR="0047095F" w:rsidRPr="00ED3D0B">
              <w:rPr>
                <w:rFonts w:ascii="Arial" w:hAnsi="Arial" w:cs="Arial"/>
                <w:sz w:val="20"/>
                <w:szCs w:val="20"/>
              </w:rPr>
              <w:t xml:space="preserve"> na </w:t>
            </w:r>
            <w:r w:rsidRPr="00ED3D0B">
              <w:rPr>
                <w:rFonts w:ascii="Arial" w:hAnsi="Arial" w:cs="Arial"/>
                <w:sz w:val="20"/>
                <w:szCs w:val="20"/>
              </w:rPr>
              <w:t>základě činností</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ADSL</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Asymmetric</w:t>
            </w:r>
            <w:proofErr w:type="spellEnd"/>
            <w:r w:rsidRPr="00ED3D0B">
              <w:rPr>
                <w:rFonts w:ascii="Arial" w:hAnsi="Arial" w:cs="Arial"/>
                <w:iCs/>
                <w:color w:val="000000"/>
                <w:sz w:val="20"/>
                <w:szCs w:val="20"/>
              </w:rPr>
              <w:t xml:space="preserve"> Digital </w:t>
            </w:r>
            <w:proofErr w:type="spellStart"/>
            <w:r w:rsidRPr="00ED3D0B">
              <w:rPr>
                <w:rFonts w:ascii="Arial" w:hAnsi="Arial" w:cs="Arial"/>
                <w:iCs/>
                <w:color w:val="000000"/>
                <w:sz w:val="20"/>
                <w:szCs w:val="20"/>
              </w:rPr>
              <w:t>Subscriber</w:t>
            </w:r>
            <w:proofErr w:type="spellEnd"/>
            <w:r w:rsidRPr="00ED3D0B">
              <w:rPr>
                <w:rFonts w:ascii="Arial" w:hAnsi="Arial" w:cs="Arial"/>
                <w:iCs/>
                <w:color w:val="000000"/>
                <w:sz w:val="20"/>
                <w:szCs w:val="20"/>
              </w:rPr>
              <w:t xml:space="preserve"> Line</w:t>
            </w:r>
          </w:p>
        </w:tc>
        <w:tc>
          <w:tcPr>
            <w:tcW w:w="4471"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systém asymetrického připojení k Internetu</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AG</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aggregation</w:t>
            </w:r>
            <w:proofErr w:type="spellEnd"/>
          </w:p>
        </w:tc>
        <w:tc>
          <w:tcPr>
            <w:tcW w:w="4471"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agregace</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AON</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Active</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Optical</w:t>
            </w:r>
            <w:proofErr w:type="spellEnd"/>
            <w:r w:rsidRPr="00ED3D0B">
              <w:rPr>
                <w:rFonts w:ascii="Arial" w:hAnsi="Arial" w:cs="Arial"/>
                <w:iCs/>
                <w:color w:val="000000"/>
                <w:sz w:val="20"/>
                <w:szCs w:val="20"/>
              </w:rPr>
              <w:t xml:space="preserve"> Network</w:t>
            </w:r>
          </w:p>
        </w:tc>
        <w:tc>
          <w:tcPr>
            <w:tcW w:w="4471"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aktivní optická síť</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ATM</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Asynchronous</w:t>
            </w:r>
            <w:proofErr w:type="spellEnd"/>
            <w:r w:rsidRPr="00ED3D0B">
              <w:rPr>
                <w:rFonts w:ascii="Arial" w:hAnsi="Arial" w:cs="Arial"/>
                <w:iCs/>
                <w:color w:val="000000"/>
                <w:sz w:val="20"/>
                <w:szCs w:val="20"/>
              </w:rPr>
              <w:t xml:space="preserve"> Transfer Mode</w:t>
            </w:r>
          </w:p>
        </w:tc>
        <w:tc>
          <w:tcPr>
            <w:tcW w:w="4471"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síťový protokol přenosu dat</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BHE</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 xml:space="preserve">Busy </w:t>
            </w:r>
            <w:proofErr w:type="spellStart"/>
            <w:r w:rsidRPr="00ED3D0B">
              <w:rPr>
                <w:rFonts w:ascii="Arial" w:hAnsi="Arial" w:cs="Arial"/>
                <w:iCs/>
                <w:color w:val="000000"/>
                <w:sz w:val="20"/>
                <w:szCs w:val="20"/>
              </w:rPr>
              <w:t>Hour</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Erlang</w:t>
            </w:r>
            <w:proofErr w:type="spellEnd"/>
          </w:p>
        </w:tc>
        <w:tc>
          <w:tcPr>
            <w:tcW w:w="4471"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hlavní provozní hodina</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BU</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Bottom-up</w:t>
            </w:r>
          </w:p>
        </w:tc>
        <w:tc>
          <w:tcPr>
            <w:tcW w:w="4471"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zdola-nahoru (způsob kalkulace nákladů)</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BRAS, BBRAS</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Broadband</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Remote</w:t>
            </w:r>
            <w:proofErr w:type="spellEnd"/>
            <w:r w:rsidRPr="00ED3D0B">
              <w:rPr>
                <w:rFonts w:ascii="Arial" w:hAnsi="Arial" w:cs="Arial"/>
                <w:iCs/>
                <w:color w:val="000000"/>
                <w:sz w:val="20"/>
                <w:szCs w:val="20"/>
              </w:rPr>
              <w:t xml:space="preserve"> Access Server</w:t>
            </w:r>
          </w:p>
        </w:tc>
        <w:tc>
          <w:tcPr>
            <w:tcW w:w="4471"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širokopásmový agregační směrovač</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BRAS-PE</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Broadband</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Remote</w:t>
            </w:r>
            <w:proofErr w:type="spellEnd"/>
            <w:r w:rsidRPr="00ED3D0B">
              <w:rPr>
                <w:rFonts w:ascii="Arial" w:hAnsi="Arial" w:cs="Arial"/>
                <w:iCs/>
                <w:color w:val="000000"/>
                <w:sz w:val="20"/>
                <w:szCs w:val="20"/>
              </w:rPr>
              <w:t xml:space="preserve"> Access Server - Provider </w:t>
            </w:r>
            <w:proofErr w:type="spellStart"/>
            <w:r w:rsidRPr="00ED3D0B">
              <w:rPr>
                <w:rFonts w:ascii="Arial" w:hAnsi="Arial" w:cs="Arial"/>
                <w:iCs/>
                <w:color w:val="000000"/>
                <w:sz w:val="20"/>
                <w:szCs w:val="20"/>
              </w:rPr>
              <w:t>Edge</w:t>
            </w:r>
            <w:proofErr w:type="spellEnd"/>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širokopásmový agregační směrovač</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BTS</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Base Transceiver Station</w:t>
            </w:r>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základnová stanice</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BSC</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 xml:space="preserve">Base Station </w:t>
            </w:r>
            <w:proofErr w:type="spellStart"/>
            <w:r w:rsidRPr="00ED3D0B">
              <w:rPr>
                <w:rFonts w:ascii="Arial" w:hAnsi="Arial" w:cs="Arial"/>
                <w:iCs/>
                <w:color w:val="000000"/>
                <w:sz w:val="20"/>
                <w:szCs w:val="20"/>
              </w:rPr>
              <w:t>Controller</w:t>
            </w:r>
            <w:proofErr w:type="spellEnd"/>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řídící blok radiové sítě</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CAPEX</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Capital</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Expenditures</w:t>
            </w:r>
            <w:proofErr w:type="spellEnd"/>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kapitálové (investiční) výdaje</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CCA</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Current</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Cost</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Accounting</w:t>
            </w:r>
            <w:proofErr w:type="spellEnd"/>
          </w:p>
        </w:tc>
        <w:tc>
          <w:tcPr>
            <w:tcW w:w="4471" w:type="dxa"/>
            <w:shd w:val="clear" w:color="auto" w:fill="auto"/>
            <w:vAlign w:val="center"/>
          </w:tcPr>
          <w:p w:rsidR="00242A0C" w:rsidRPr="00ED3D0B" w:rsidRDefault="00C905FA" w:rsidP="00242A0C">
            <w:pPr>
              <w:rPr>
                <w:rFonts w:ascii="Arial" w:hAnsi="Arial" w:cs="Arial"/>
                <w:iCs/>
                <w:color w:val="000000"/>
                <w:sz w:val="20"/>
                <w:szCs w:val="20"/>
              </w:rPr>
            </w:pPr>
            <w:r w:rsidRPr="00ED3D0B">
              <w:rPr>
                <w:rFonts w:ascii="Arial" w:hAnsi="Arial" w:cs="Arial"/>
                <w:iCs/>
                <w:color w:val="000000"/>
                <w:sz w:val="20"/>
                <w:szCs w:val="20"/>
              </w:rPr>
              <w:t>o</w:t>
            </w:r>
            <w:r w:rsidR="00242A0C" w:rsidRPr="00ED3D0B">
              <w:rPr>
                <w:rFonts w:ascii="Arial" w:hAnsi="Arial" w:cs="Arial"/>
                <w:iCs/>
                <w:color w:val="000000"/>
                <w:sz w:val="20"/>
                <w:szCs w:val="20"/>
              </w:rPr>
              <w:t>ceňování běžnou cenou aktiva</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proofErr w:type="spellStart"/>
            <w:r w:rsidRPr="00ED3D0B">
              <w:rPr>
                <w:rFonts w:ascii="Arial" w:hAnsi="Arial" w:cs="Arial"/>
                <w:color w:val="000000"/>
                <w:sz w:val="20"/>
                <w:szCs w:val="20"/>
              </w:rPr>
              <w:t>CoC</w:t>
            </w:r>
            <w:proofErr w:type="spellEnd"/>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Costs</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of</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Capital</w:t>
            </w:r>
            <w:proofErr w:type="spellEnd"/>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náklady vloženého kapitálu</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COS</w:t>
            </w:r>
          </w:p>
        </w:tc>
        <w:tc>
          <w:tcPr>
            <w:tcW w:w="2942" w:type="dxa"/>
            <w:shd w:val="clear" w:color="auto" w:fill="auto"/>
            <w:vAlign w:val="center"/>
          </w:tcPr>
          <w:p w:rsidR="00242A0C" w:rsidRPr="00ED3D0B" w:rsidRDefault="00242A0C" w:rsidP="00DD2945">
            <w:pPr>
              <w:rPr>
                <w:rFonts w:ascii="Arial" w:hAnsi="Arial" w:cs="Arial"/>
                <w:iCs/>
                <w:color w:val="000000"/>
                <w:sz w:val="20"/>
                <w:szCs w:val="20"/>
              </w:rPr>
            </w:pPr>
            <w:proofErr w:type="spellStart"/>
            <w:r w:rsidRPr="00ED3D0B">
              <w:rPr>
                <w:rFonts w:ascii="Arial" w:hAnsi="Arial" w:cs="Arial"/>
                <w:iCs/>
                <w:color w:val="000000"/>
                <w:sz w:val="20"/>
                <w:szCs w:val="20"/>
              </w:rPr>
              <w:t>Class</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of</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Service</w:t>
            </w:r>
            <w:proofErr w:type="spellEnd"/>
          </w:p>
        </w:tc>
        <w:tc>
          <w:tcPr>
            <w:tcW w:w="4471"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iCs/>
                <w:color w:val="000000"/>
                <w:sz w:val="20"/>
                <w:szCs w:val="20"/>
              </w:rPr>
              <w:t>změna třídy služby zpřístupnění účastnického kovového vedení</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DF</w:t>
            </w:r>
          </w:p>
        </w:tc>
        <w:tc>
          <w:tcPr>
            <w:tcW w:w="2942" w:type="dxa"/>
            <w:shd w:val="clear" w:color="auto" w:fill="auto"/>
            <w:vAlign w:val="center"/>
          </w:tcPr>
          <w:p w:rsidR="00242A0C" w:rsidRPr="00ED3D0B" w:rsidRDefault="00242A0C" w:rsidP="00546AFF">
            <w:pPr>
              <w:rPr>
                <w:rFonts w:ascii="Arial" w:hAnsi="Arial" w:cs="Arial"/>
                <w:iCs/>
                <w:color w:val="000000"/>
                <w:sz w:val="20"/>
                <w:szCs w:val="20"/>
              </w:rPr>
            </w:pPr>
            <w:proofErr w:type="spellStart"/>
            <w:r w:rsidRPr="00ED3D0B">
              <w:rPr>
                <w:rFonts w:ascii="Arial" w:hAnsi="Arial" w:cs="Arial"/>
                <w:iCs/>
                <w:color w:val="000000"/>
                <w:sz w:val="20"/>
                <w:szCs w:val="20"/>
              </w:rPr>
              <w:t>Dark</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Fibr</w:t>
            </w:r>
            <w:r w:rsidR="00546AFF" w:rsidRPr="00ED3D0B">
              <w:rPr>
                <w:rFonts w:ascii="Arial" w:hAnsi="Arial" w:cs="Arial"/>
                <w:iCs/>
                <w:color w:val="000000"/>
                <w:sz w:val="20"/>
                <w:szCs w:val="20"/>
              </w:rPr>
              <w:t>e</w:t>
            </w:r>
            <w:proofErr w:type="spellEnd"/>
          </w:p>
        </w:tc>
        <w:tc>
          <w:tcPr>
            <w:tcW w:w="4471"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nenasvícené optické vlákno</w:t>
            </w:r>
          </w:p>
        </w:tc>
      </w:tr>
      <w:tr w:rsidR="00AC5CE5" w:rsidRPr="000B133B" w:rsidTr="00ED3D0B">
        <w:trPr>
          <w:jc w:val="center"/>
        </w:trPr>
        <w:tc>
          <w:tcPr>
            <w:tcW w:w="1649" w:type="dxa"/>
            <w:shd w:val="clear" w:color="auto" w:fill="auto"/>
            <w:vAlign w:val="center"/>
          </w:tcPr>
          <w:p w:rsidR="00AC5CE5" w:rsidRPr="00ED3D0B" w:rsidRDefault="00AC5CE5" w:rsidP="00242A0C">
            <w:pPr>
              <w:rPr>
                <w:rFonts w:ascii="Arial" w:hAnsi="Arial" w:cs="Arial"/>
                <w:color w:val="000000"/>
                <w:sz w:val="20"/>
                <w:szCs w:val="20"/>
              </w:rPr>
            </w:pPr>
            <w:r w:rsidRPr="00ED3D0B">
              <w:rPr>
                <w:rFonts w:ascii="Arial" w:hAnsi="Arial" w:cs="Arial"/>
                <w:color w:val="000000"/>
                <w:sz w:val="20"/>
                <w:szCs w:val="20"/>
              </w:rPr>
              <w:t>DS-3</w:t>
            </w:r>
          </w:p>
        </w:tc>
        <w:tc>
          <w:tcPr>
            <w:tcW w:w="2942" w:type="dxa"/>
            <w:shd w:val="clear" w:color="auto" w:fill="auto"/>
            <w:vAlign w:val="center"/>
          </w:tcPr>
          <w:p w:rsidR="00AC5CE5" w:rsidRPr="00ED3D0B" w:rsidRDefault="00AC5CE5" w:rsidP="00242A0C">
            <w:pPr>
              <w:rPr>
                <w:rFonts w:ascii="Arial" w:hAnsi="Arial" w:cs="Arial"/>
                <w:iCs/>
                <w:color w:val="000000"/>
                <w:sz w:val="20"/>
                <w:szCs w:val="20"/>
              </w:rPr>
            </w:pPr>
            <w:r w:rsidRPr="00ED3D0B">
              <w:rPr>
                <w:rFonts w:ascii="Arial" w:hAnsi="Arial" w:cs="Arial"/>
                <w:iCs/>
                <w:color w:val="000000"/>
                <w:sz w:val="20"/>
                <w:szCs w:val="20"/>
              </w:rPr>
              <w:t xml:space="preserve">Digital </w:t>
            </w:r>
            <w:proofErr w:type="spellStart"/>
            <w:r w:rsidRPr="00ED3D0B">
              <w:rPr>
                <w:rFonts w:ascii="Arial" w:hAnsi="Arial" w:cs="Arial"/>
                <w:iCs/>
                <w:color w:val="000000"/>
                <w:sz w:val="20"/>
                <w:szCs w:val="20"/>
              </w:rPr>
              <w:t>Signal</w:t>
            </w:r>
            <w:proofErr w:type="spellEnd"/>
            <w:r w:rsidRPr="00ED3D0B">
              <w:rPr>
                <w:rFonts w:ascii="Arial" w:hAnsi="Arial" w:cs="Arial"/>
                <w:iCs/>
                <w:color w:val="000000"/>
                <w:sz w:val="20"/>
                <w:szCs w:val="20"/>
              </w:rPr>
              <w:t xml:space="preserve"> 3</w:t>
            </w:r>
          </w:p>
        </w:tc>
        <w:tc>
          <w:tcPr>
            <w:tcW w:w="4471" w:type="dxa"/>
            <w:shd w:val="clear" w:color="auto" w:fill="auto"/>
            <w:vAlign w:val="center"/>
          </w:tcPr>
          <w:p w:rsidR="00AC5CE5" w:rsidRPr="00ED3D0B" w:rsidRDefault="00AC5CE5" w:rsidP="00C905FA">
            <w:pPr>
              <w:rPr>
                <w:rFonts w:ascii="Arial" w:hAnsi="Arial" w:cs="Arial"/>
                <w:sz w:val="20"/>
                <w:szCs w:val="20"/>
              </w:rPr>
            </w:pPr>
            <w:r w:rsidRPr="00ED3D0B">
              <w:rPr>
                <w:rFonts w:ascii="Arial" w:hAnsi="Arial" w:cs="Arial"/>
                <w:sz w:val="20"/>
                <w:szCs w:val="20"/>
              </w:rPr>
              <w:t xml:space="preserve">rozhraní umožňující přenos rychlostí 44.736 Mbit/s </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DSL</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 xml:space="preserve">Digital </w:t>
            </w:r>
            <w:proofErr w:type="spellStart"/>
            <w:r w:rsidRPr="00ED3D0B">
              <w:rPr>
                <w:rFonts w:ascii="Arial" w:hAnsi="Arial" w:cs="Arial"/>
                <w:iCs/>
                <w:color w:val="000000"/>
                <w:sz w:val="20"/>
                <w:szCs w:val="20"/>
              </w:rPr>
              <w:t>Subscriber</w:t>
            </w:r>
            <w:proofErr w:type="spellEnd"/>
            <w:r w:rsidRPr="00ED3D0B">
              <w:rPr>
                <w:rFonts w:ascii="Arial" w:hAnsi="Arial" w:cs="Arial"/>
                <w:iCs/>
                <w:color w:val="000000"/>
                <w:sz w:val="20"/>
                <w:szCs w:val="20"/>
              </w:rPr>
              <w:t xml:space="preserve"> Line</w:t>
            </w:r>
          </w:p>
        </w:tc>
        <w:tc>
          <w:tcPr>
            <w:tcW w:w="4471"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vysokorychlostní přenos dat účastníka prostřednictvím digitálního metalického vedení</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DSLAM</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 xml:space="preserve">Digital </w:t>
            </w:r>
            <w:proofErr w:type="spellStart"/>
            <w:r w:rsidRPr="00ED3D0B">
              <w:rPr>
                <w:rFonts w:ascii="Arial" w:hAnsi="Arial" w:cs="Arial"/>
                <w:iCs/>
                <w:color w:val="000000"/>
                <w:sz w:val="20"/>
                <w:szCs w:val="20"/>
              </w:rPr>
              <w:t>Subscriber</w:t>
            </w:r>
            <w:proofErr w:type="spellEnd"/>
            <w:r w:rsidRPr="00ED3D0B">
              <w:rPr>
                <w:rFonts w:ascii="Arial" w:hAnsi="Arial" w:cs="Arial"/>
                <w:iCs/>
                <w:color w:val="000000"/>
                <w:sz w:val="20"/>
                <w:szCs w:val="20"/>
              </w:rPr>
              <w:t xml:space="preserve"> Line Access </w:t>
            </w:r>
            <w:proofErr w:type="spellStart"/>
            <w:r w:rsidRPr="00ED3D0B">
              <w:rPr>
                <w:rFonts w:ascii="Arial" w:hAnsi="Arial" w:cs="Arial"/>
                <w:iCs/>
                <w:color w:val="000000"/>
                <w:sz w:val="20"/>
                <w:szCs w:val="20"/>
              </w:rPr>
              <w:t>Multiplexer</w:t>
            </w:r>
            <w:proofErr w:type="spellEnd"/>
          </w:p>
        </w:tc>
        <w:tc>
          <w:tcPr>
            <w:tcW w:w="4471"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připojení účastnických linek k datové síti poskytovatele (internetová ústředna)</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DR</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digitální rozvaděč</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E1</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 xml:space="preserve">přenosová rychlost 2048 </w:t>
            </w:r>
            <w:proofErr w:type="spellStart"/>
            <w:r w:rsidRPr="00ED3D0B">
              <w:rPr>
                <w:rFonts w:ascii="Arial" w:hAnsi="Arial" w:cs="Arial"/>
                <w:iCs/>
                <w:color w:val="000000"/>
                <w:sz w:val="20"/>
                <w:szCs w:val="20"/>
              </w:rPr>
              <w:t>kbit</w:t>
            </w:r>
            <w:proofErr w:type="spellEnd"/>
            <w:r w:rsidRPr="00ED3D0B">
              <w:rPr>
                <w:rFonts w:ascii="Arial" w:hAnsi="Arial" w:cs="Arial"/>
                <w:iCs/>
                <w:color w:val="000000"/>
                <w:sz w:val="20"/>
                <w:szCs w:val="20"/>
              </w:rPr>
              <w:t>/s</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EPON</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 xml:space="preserve">Ethernet </w:t>
            </w:r>
            <w:proofErr w:type="spellStart"/>
            <w:r w:rsidRPr="00ED3D0B">
              <w:rPr>
                <w:rFonts w:ascii="Arial" w:hAnsi="Arial" w:cs="Arial"/>
                <w:iCs/>
                <w:color w:val="000000"/>
                <w:sz w:val="20"/>
                <w:szCs w:val="20"/>
              </w:rPr>
              <w:t>Passive</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Optical</w:t>
            </w:r>
            <w:proofErr w:type="spellEnd"/>
            <w:r w:rsidRPr="00ED3D0B">
              <w:rPr>
                <w:rFonts w:ascii="Arial" w:hAnsi="Arial" w:cs="Arial"/>
                <w:iCs/>
                <w:color w:val="000000"/>
                <w:sz w:val="20"/>
                <w:szCs w:val="20"/>
              </w:rPr>
              <w:t xml:space="preserve"> Network</w:t>
            </w:r>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pasivní optická síť Ethernet</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ETH</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Ethernet</w:t>
            </w:r>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zařízení pro místní počítačové sítě</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FAC</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Fully</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Allocated</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Costs</w:t>
            </w:r>
            <w:proofErr w:type="spellEnd"/>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metoda plně alokovaných nákladů</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FTTC</w:t>
            </w:r>
          </w:p>
        </w:tc>
        <w:tc>
          <w:tcPr>
            <w:tcW w:w="2942" w:type="dxa"/>
            <w:shd w:val="clear" w:color="auto" w:fill="auto"/>
            <w:vAlign w:val="center"/>
          </w:tcPr>
          <w:p w:rsidR="00242A0C" w:rsidRPr="00ED3D0B" w:rsidRDefault="00242A0C" w:rsidP="00546AFF">
            <w:pPr>
              <w:rPr>
                <w:rFonts w:ascii="Arial" w:hAnsi="Arial" w:cs="Arial"/>
                <w:iCs/>
                <w:color w:val="000000"/>
                <w:sz w:val="20"/>
                <w:szCs w:val="20"/>
              </w:rPr>
            </w:pPr>
            <w:proofErr w:type="spellStart"/>
            <w:r w:rsidRPr="00ED3D0B">
              <w:rPr>
                <w:rFonts w:ascii="Arial" w:hAnsi="Arial" w:cs="Arial"/>
                <w:iCs/>
                <w:color w:val="000000"/>
                <w:sz w:val="20"/>
                <w:szCs w:val="20"/>
              </w:rPr>
              <w:t>Fibr</w:t>
            </w:r>
            <w:r w:rsidR="00546AFF" w:rsidRPr="00ED3D0B">
              <w:rPr>
                <w:rFonts w:ascii="Arial" w:hAnsi="Arial" w:cs="Arial"/>
                <w:iCs/>
                <w:color w:val="000000"/>
                <w:sz w:val="20"/>
                <w:szCs w:val="20"/>
              </w:rPr>
              <w:t>e</w:t>
            </w:r>
            <w:proofErr w:type="spellEnd"/>
            <w:r w:rsidRPr="00ED3D0B">
              <w:rPr>
                <w:rFonts w:ascii="Arial" w:hAnsi="Arial" w:cs="Arial"/>
                <w:iCs/>
                <w:color w:val="000000"/>
                <w:sz w:val="20"/>
                <w:szCs w:val="20"/>
              </w:rPr>
              <w:t>-to-</w:t>
            </w:r>
            <w:proofErr w:type="spellStart"/>
            <w:r w:rsidRPr="00ED3D0B">
              <w:rPr>
                <w:rFonts w:ascii="Arial" w:hAnsi="Arial" w:cs="Arial"/>
                <w:iCs/>
                <w:color w:val="000000"/>
                <w:sz w:val="20"/>
                <w:szCs w:val="20"/>
              </w:rPr>
              <w:t>the</w:t>
            </w:r>
            <w:proofErr w:type="spellEnd"/>
            <w:r w:rsidRPr="00ED3D0B">
              <w:rPr>
                <w:rFonts w:ascii="Arial" w:hAnsi="Arial" w:cs="Arial"/>
                <w:iCs/>
                <w:color w:val="000000"/>
                <w:sz w:val="20"/>
                <w:szCs w:val="20"/>
              </w:rPr>
              <w:t>-</w:t>
            </w:r>
            <w:proofErr w:type="spellStart"/>
            <w:r w:rsidRPr="00ED3D0B">
              <w:rPr>
                <w:rFonts w:ascii="Arial" w:hAnsi="Arial" w:cs="Arial"/>
                <w:iCs/>
                <w:color w:val="000000"/>
                <w:sz w:val="20"/>
                <w:szCs w:val="20"/>
              </w:rPr>
              <w:t>Cabinet</w:t>
            </w:r>
            <w:proofErr w:type="spellEnd"/>
          </w:p>
        </w:tc>
        <w:tc>
          <w:tcPr>
            <w:tcW w:w="4471"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 xml:space="preserve">optické vedení z hlavního rozvodu sítě do distribučního optického rozvaděče </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FTTH</w:t>
            </w:r>
          </w:p>
        </w:tc>
        <w:tc>
          <w:tcPr>
            <w:tcW w:w="2942" w:type="dxa"/>
            <w:shd w:val="clear" w:color="auto" w:fill="auto"/>
            <w:vAlign w:val="center"/>
          </w:tcPr>
          <w:p w:rsidR="00242A0C" w:rsidRPr="00ED3D0B" w:rsidRDefault="00242A0C" w:rsidP="00546AFF">
            <w:pPr>
              <w:rPr>
                <w:rFonts w:ascii="Arial" w:hAnsi="Arial" w:cs="Arial"/>
                <w:iCs/>
                <w:color w:val="000000"/>
                <w:sz w:val="20"/>
                <w:szCs w:val="20"/>
              </w:rPr>
            </w:pPr>
            <w:proofErr w:type="spellStart"/>
            <w:r w:rsidRPr="00ED3D0B">
              <w:rPr>
                <w:rFonts w:ascii="Arial" w:hAnsi="Arial" w:cs="Arial"/>
                <w:iCs/>
                <w:color w:val="000000"/>
                <w:sz w:val="20"/>
                <w:szCs w:val="20"/>
              </w:rPr>
              <w:t>Fibr</w:t>
            </w:r>
            <w:r w:rsidR="00546AFF" w:rsidRPr="00ED3D0B">
              <w:rPr>
                <w:rFonts w:ascii="Arial" w:hAnsi="Arial" w:cs="Arial"/>
                <w:iCs/>
                <w:color w:val="000000"/>
                <w:sz w:val="20"/>
                <w:szCs w:val="20"/>
              </w:rPr>
              <w:t>e</w:t>
            </w:r>
            <w:proofErr w:type="spellEnd"/>
            <w:r w:rsidRPr="00ED3D0B">
              <w:rPr>
                <w:rFonts w:ascii="Arial" w:hAnsi="Arial" w:cs="Arial"/>
                <w:iCs/>
                <w:color w:val="000000"/>
                <w:sz w:val="20"/>
                <w:szCs w:val="20"/>
              </w:rPr>
              <w:t>-to-</w:t>
            </w:r>
            <w:proofErr w:type="spellStart"/>
            <w:r w:rsidRPr="00ED3D0B">
              <w:rPr>
                <w:rFonts w:ascii="Arial" w:hAnsi="Arial" w:cs="Arial"/>
                <w:iCs/>
                <w:color w:val="000000"/>
                <w:sz w:val="20"/>
                <w:szCs w:val="20"/>
              </w:rPr>
              <w:t>the</w:t>
            </w:r>
            <w:proofErr w:type="spellEnd"/>
            <w:r w:rsidRPr="00ED3D0B">
              <w:rPr>
                <w:rFonts w:ascii="Arial" w:hAnsi="Arial" w:cs="Arial"/>
                <w:iCs/>
                <w:color w:val="000000"/>
                <w:sz w:val="20"/>
                <w:szCs w:val="20"/>
              </w:rPr>
              <w:t>-</w:t>
            </w:r>
            <w:proofErr w:type="spellStart"/>
            <w:r w:rsidRPr="00ED3D0B">
              <w:rPr>
                <w:rFonts w:ascii="Arial" w:hAnsi="Arial" w:cs="Arial"/>
                <w:iCs/>
                <w:color w:val="000000"/>
                <w:sz w:val="20"/>
                <w:szCs w:val="20"/>
              </w:rPr>
              <w:t>Home</w:t>
            </w:r>
            <w:proofErr w:type="spellEnd"/>
          </w:p>
        </w:tc>
        <w:tc>
          <w:tcPr>
            <w:tcW w:w="4471"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optické vedení z hlavního rozvodu sítě až přímo k účastníkovi</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GBV</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 xml:space="preserve">Gross </w:t>
            </w:r>
            <w:proofErr w:type="spellStart"/>
            <w:r w:rsidRPr="00ED3D0B">
              <w:rPr>
                <w:rFonts w:ascii="Arial" w:hAnsi="Arial" w:cs="Arial"/>
                <w:iCs/>
                <w:color w:val="000000"/>
                <w:sz w:val="20"/>
                <w:szCs w:val="20"/>
              </w:rPr>
              <w:t>Book</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Value</w:t>
            </w:r>
            <w:proofErr w:type="spellEnd"/>
          </w:p>
        </w:tc>
        <w:tc>
          <w:tcPr>
            <w:tcW w:w="4471"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hrubá účetní hodnota (pořizovací hodnota)</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GE</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Gbps</w:t>
            </w:r>
            <w:proofErr w:type="spellEnd"/>
            <w:r w:rsidRPr="00ED3D0B">
              <w:rPr>
                <w:rFonts w:ascii="Arial" w:hAnsi="Arial" w:cs="Arial"/>
                <w:iCs/>
                <w:color w:val="000000"/>
                <w:sz w:val="20"/>
                <w:szCs w:val="20"/>
              </w:rPr>
              <w:t xml:space="preserve"> Ethernet</w:t>
            </w:r>
          </w:p>
        </w:tc>
        <w:tc>
          <w:tcPr>
            <w:tcW w:w="4471" w:type="dxa"/>
            <w:shd w:val="clear" w:color="auto" w:fill="auto"/>
            <w:vAlign w:val="center"/>
          </w:tcPr>
          <w:p w:rsidR="00242A0C" w:rsidRPr="00ED3D0B" w:rsidRDefault="00C905FA" w:rsidP="00242A0C">
            <w:pPr>
              <w:rPr>
                <w:rFonts w:ascii="Arial" w:hAnsi="Arial" w:cs="Arial"/>
                <w:iCs/>
                <w:color w:val="000000"/>
                <w:sz w:val="20"/>
                <w:szCs w:val="20"/>
              </w:rPr>
            </w:pPr>
            <w:r w:rsidRPr="00ED3D0B">
              <w:rPr>
                <w:rFonts w:ascii="Arial" w:hAnsi="Arial" w:cs="Arial"/>
                <w:iCs/>
                <w:color w:val="000000"/>
                <w:sz w:val="20"/>
                <w:szCs w:val="20"/>
              </w:rPr>
              <w:t>propustnost sítě Ethernet</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GGSN</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Gateway</w:t>
            </w:r>
            <w:proofErr w:type="spellEnd"/>
            <w:r w:rsidRPr="00ED3D0B">
              <w:rPr>
                <w:rFonts w:ascii="Arial" w:hAnsi="Arial" w:cs="Arial"/>
                <w:iCs/>
                <w:color w:val="000000"/>
                <w:sz w:val="20"/>
                <w:szCs w:val="20"/>
              </w:rPr>
              <w:t xml:space="preserve"> GPRS Support Node</w:t>
            </w:r>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uzel brány GPRS</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GPRS</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 xml:space="preserve">General Packet </w:t>
            </w:r>
            <w:proofErr w:type="spellStart"/>
            <w:r w:rsidRPr="00ED3D0B">
              <w:rPr>
                <w:rFonts w:ascii="Arial" w:hAnsi="Arial" w:cs="Arial"/>
                <w:iCs/>
                <w:color w:val="000000"/>
                <w:sz w:val="20"/>
                <w:szCs w:val="20"/>
              </w:rPr>
              <w:t>Radio</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Service</w:t>
            </w:r>
            <w:proofErr w:type="spellEnd"/>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paketová služba</w:t>
            </w:r>
            <w:r w:rsidR="0047095F" w:rsidRPr="00ED3D0B">
              <w:rPr>
                <w:rFonts w:ascii="Arial" w:hAnsi="Arial" w:cs="Arial"/>
                <w:iCs/>
                <w:color w:val="000000"/>
                <w:sz w:val="20"/>
                <w:szCs w:val="20"/>
              </w:rPr>
              <w:t xml:space="preserve"> v </w:t>
            </w:r>
            <w:r w:rsidRPr="00ED3D0B">
              <w:rPr>
                <w:rFonts w:ascii="Arial" w:hAnsi="Arial" w:cs="Arial"/>
                <w:iCs/>
                <w:color w:val="000000"/>
                <w:sz w:val="20"/>
                <w:szCs w:val="20"/>
              </w:rPr>
              <w:t>radiové síti</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GSM</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Groupe</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Spécial</w:t>
            </w:r>
            <w:proofErr w:type="spellEnd"/>
            <w:r w:rsidRPr="00ED3D0B">
              <w:rPr>
                <w:rFonts w:ascii="Arial" w:hAnsi="Arial" w:cs="Arial"/>
                <w:iCs/>
                <w:color w:val="000000"/>
                <w:sz w:val="20"/>
                <w:szCs w:val="20"/>
              </w:rPr>
              <w:t xml:space="preserve"> Mobile</w:t>
            </w:r>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globální systém pro mobilní komunikaci</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GW DSLAM</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Gateway</w:t>
            </w:r>
            <w:proofErr w:type="spellEnd"/>
            <w:r w:rsidRPr="00ED3D0B">
              <w:rPr>
                <w:rFonts w:ascii="Arial" w:hAnsi="Arial" w:cs="Arial"/>
                <w:iCs/>
                <w:color w:val="000000"/>
                <w:sz w:val="20"/>
                <w:szCs w:val="20"/>
              </w:rPr>
              <w:t xml:space="preserve"> DSLAM</w:t>
            </w:r>
          </w:p>
        </w:tc>
        <w:tc>
          <w:tcPr>
            <w:tcW w:w="4471"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brána (směrovač</w:t>
            </w:r>
            <w:r w:rsidR="0047095F" w:rsidRPr="00ED3D0B">
              <w:rPr>
                <w:rFonts w:ascii="Arial" w:hAnsi="Arial" w:cs="Arial"/>
                <w:sz w:val="20"/>
                <w:szCs w:val="20"/>
              </w:rPr>
              <w:t xml:space="preserve"> v </w:t>
            </w:r>
            <w:r w:rsidRPr="00ED3D0B">
              <w:rPr>
                <w:rFonts w:ascii="Arial" w:hAnsi="Arial" w:cs="Arial"/>
                <w:sz w:val="20"/>
                <w:szCs w:val="20"/>
              </w:rPr>
              <w:t>síti) pro přechod do vyšších vrstev sítě</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color w:val="000000"/>
                <w:sz w:val="20"/>
                <w:szCs w:val="20"/>
              </w:rPr>
            </w:pPr>
            <w:r w:rsidRPr="00ED3D0B">
              <w:rPr>
                <w:rFonts w:ascii="Arial" w:hAnsi="Arial" w:cs="Arial"/>
                <w:color w:val="000000"/>
                <w:sz w:val="20"/>
                <w:szCs w:val="20"/>
              </w:rPr>
              <w:t>HDSL</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High</w:t>
            </w:r>
            <w:proofErr w:type="spellEnd"/>
            <w:r w:rsidRPr="00ED3D0B">
              <w:rPr>
                <w:rFonts w:ascii="Arial" w:hAnsi="Arial" w:cs="Arial"/>
                <w:iCs/>
                <w:color w:val="000000"/>
                <w:sz w:val="20"/>
                <w:szCs w:val="20"/>
              </w:rPr>
              <w:t xml:space="preserve"> bit </w:t>
            </w:r>
            <w:proofErr w:type="spellStart"/>
            <w:r w:rsidRPr="00ED3D0B">
              <w:rPr>
                <w:rFonts w:ascii="Arial" w:hAnsi="Arial" w:cs="Arial"/>
                <w:iCs/>
                <w:color w:val="000000"/>
                <w:sz w:val="20"/>
                <w:szCs w:val="20"/>
              </w:rPr>
              <w:t>rate</w:t>
            </w:r>
            <w:proofErr w:type="spellEnd"/>
            <w:r w:rsidRPr="00ED3D0B">
              <w:rPr>
                <w:rFonts w:ascii="Arial" w:hAnsi="Arial" w:cs="Arial"/>
                <w:iCs/>
                <w:color w:val="000000"/>
                <w:sz w:val="20"/>
                <w:szCs w:val="20"/>
              </w:rPr>
              <w:t xml:space="preserve"> Digital </w:t>
            </w:r>
            <w:proofErr w:type="spellStart"/>
            <w:r w:rsidRPr="00ED3D0B">
              <w:rPr>
                <w:rFonts w:ascii="Arial" w:hAnsi="Arial" w:cs="Arial"/>
                <w:iCs/>
                <w:color w:val="000000"/>
                <w:sz w:val="20"/>
                <w:szCs w:val="20"/>
              </w:rPr>
              <w:t>Subscriber</w:t>
            </w:r>
            <w:proofErr w:type="spellEnd"/>
            <w:r w:rsidRPr="00ED3D0B">
              <w:rPr>
                <w:rFonts w:ascii="Arial" w:hAnsi="Arial" w:cs="Arial"/>
                <w:iCs/>
                <w:color w:val="000000"/>
                <w:sz w:val="20"/>
                <w:szCs w:val="20"/>
              </w:rPr>
              <w:t xml:space="preserve"> Line</w:t>
            </w:r>
          </w:p>
        </w:tc>
        <w:tc>
          <w:tcPr>
            <w:tcW w:w="4471"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symetrická digitální účastnická přípojka o kapacitě 2 Mbit/s</w:t>
            </w:r>
            <w:r w:rsidR="0047095F" w:rsidRPr="00ED3D0B">
              <w:rPr>
                <w:rFonts w:ascii="Arial" w:hAnsi="Arial" w:cs="Arial"/>
                <w:sz w:val="20"/>
                <w:szCs w:val="20"/>
              </w:rPr>
              <w:t xml:space="preserve"> na </w:t>
            </w:r>
            <w:r w:rsidRPr="00ED3D0B">
              <w:rPr>
                <w:rFonts w:ascii="Arial" w:hAnsi="Arial" w:cs="Arial"/>
                <w:sz w:val="20"/>
                <w:szCs w:val="20"/>
              </w:rPr>
              <w:t>více metalických párech</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HLR</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roofErr w:type="spellStart"/>
            <w:r w:rsidRPr="00ED3D0B">
              <w:rPr>
                <w:rFonts w:ascii="Arial" w:hAnsi="Arial" w:cs="Arial"/>
                <w:iCs/>
                <w:color w:val="000000"/>
                <w:sz w:val="20"/>
                <w:szCs w:val="20"/>
              </w:rPr>
              <w:t>Home</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Location</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Register</w:t>
            </w:r>
            <w:proofErr w:type="spellEnd"/>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domovský registr účastníků</w:t>
            </w:r>
          </w:p>
        </w:tc>
      </w:tr>
      <w:tr w:rsidR="00FE1C53" w:rsidRPr="000B133B" w:rsidTr="00ED3D0B">
        <w:trPr>
          <w:jc w:val="center"/>
        </w:trPr>
        <w:tc>
          <w:tcPr>
            <w:tcW w:w="1649" w:type="dxa"/>
            <w:shd w:val="clear" w:color="auto" w:fill="auto"/>
            <w:vAlign w:val="center"/>
          </w:tcPr>
          <w:p w:rsidR="00FE1C53" w:rsidRPr="00ED3D0B" w:rsidRDefault="00FE1C53" w:rsidP="00242A0C">
            <w:pPr>
              <w:rPr>
                <w:rFonts w:ascii="Arial" w:hAnsi="Arial" w:cs="Arial"/>
                <w:sz w:val="20"/>
                <w:szCs w:val="20"/>
              </w:rPr>
            </w:pPr>
            <w:r w:rsidRPr="00ED3D0B">
              <w:rPr>
                <w:rFonts w:ascii="Arial" w:hAnsi="Arial" w:cs="Arial"/>
                <w:sz w:val="20"/>
                <w:szCs w:val="20"/>
              </w:rPr>
              <w:t>HOST</w:t>
            </w:r>
          </w:p>
        </w:tc>
        <w:tc>
          <w:tcPr>
            <w:tcW w:w="2942" w:type="dxa"/>
            <w:shd w:val="clear" w:color="auto" w:fill="auto"/>
            <w:vAlign w:val="center"/>
          </w:tcPr>
          <w:p w:rsidR="00FE1C53" w:rsidRPr="00ED3D0B" w:rsidRDefault="00FE1C53" w:rsidP="00242A0C">
            <w:pPr>
              <w:rPr>
                <w:rFonts w:ascii="Arial" w:hAnsi="Arial" w:cs="Arial"/>
                <w:iCs/>
                <w:color w:val="000000"/>
                <w:sz w:val="20"/>
                <w:szCs w:val="20"/>
              </w:rPr>
            </w:pPr>
          </w:p>
        </w:tc>
        <w:tc>
          <w:tcPr>
            <w:tcW w:w="4471" w:type="dxa"/>
            <w:shd w:val="clear" w:color="auto" w:fill="auto"/>
            <w:vAlign w:val="center"/>
          </w:tcPr>
          <w:p w:rsidR="00FE1C53" w:rsidRPr="00ED3D0B" w:rsidRDefault="00D80B05" w:rsidP="00242A0C">
            <w:pPr>
              <w:rPr>
                <w:rFonts w:ascii="Arial" w:hAnsi="Arial" w:cs="Arial"/>
                <w:iCs/>
                <w:color w:val="000000"/>
                <w:sz w:val="20"/>
                <w:szCs w:val="20"/>
              </w:rPr>
            </w:pPr>
            <w:r w:rsidRPr="00ED3D0B">
              <w:rPr>
                <w:rFonts w:ascii="Arial" w:hAnsi="Arial" w:cs="Arial"/>
                <w:iCs/>
                <w:color w:val="000000"/>
                <w:sz w:val="20"/>
                <w:szCs w:val="20"/>
              </w:rPr>
              <w:t xml:space="preserve">místní </w:t>
            </w:r>
            <w:r w:rsidR="00FE1C53" w:rsidRPr="00ED3D0B">
              <w:rPr>
                <w:rFonts w:ascii="Arial" w:hAnsi="Arial" w:cs="Arial"/>
                <w:iCs/>
                <w:color w:val="000000"/>
                <w:sz w:val="20"/>
                <w:szCs w:val="20"/>
              </w:rPr>
              <w:t xml:space="preserve">řídící </w:t>
            </w:r>
            <w:r w:rsidR="00546AFF" w:rsidRPr="00ED3D0B">
              <w:rPr>
                <w:rFonts w:ascii="Arial" w:hAnsi="Arial" w:cs="Arial"/>
                <w:iCs/>
                <w:color w:val="000000"/>
                <w:sz w:val="20"/>
                <w:szCs w:val="20"/>
              </w:rPr>
              <w:t xml:space="preserve">telefonní </w:t>
            </w:r>
            <w:r w:rsidR="00FE1C53" w:rsidRPr="00ED3D0B">
              <w:rPr>
                <w:rFonts w:ascii="Arial" w:hAnsi="Arial" w:cs="Arial"/>
                <w:iCs/>
                <w:color w:val="000000"/>
                <w:sz w:val="20"/>
                <w:szCs w:val="20"/>
              </w:rPr>
              <w:t>ústředna</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HPH</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hlavní provozní hodina</w:t>
            </w:r>
          </w:p>
        </w:tc>
      </w:tr>
      <w:tr w:rsidR="00242A0C" w:rsidRPr="000B133B" w:rsidTr="00ED3D0B">
        <w:trPr>
          <w:jc w:val="center"/>
        </w:trPr>
        <w:tc>
          <w:tcPr>
            <w:tcW w:w="1649" w:type="dxa"/>
            <w:shd w:val="clear" w:color="auto" w:fill="auto"/>
            <w:vAlign w:val="center"/>
          </w:tcPr>
          <w:p w:rsidR="00242A0C" w:rsidRPr="00ED3D0B" w:rsidRDefault="00242A0C" w:rsidP="00242A0C">
            <w:pPr>
              <w:rPr>
                <w:rFonts w:ascii="Arial" w:hAnsi="Arial" w:cs="Arial"/>
                <w:sz w:val="20"/>
                <w:szCs w:val="20"/>
              </w:rPr>
            </w:pPr>
            <w:r w:rsidRPr="00ED3D0B">
              <w:rPr>
                <w:rFonts w:ascii="Arial" w:hAnsi="Arial" w:cs="Arial"/>
                <w:sz w:val="20"/>
                <w:szCs w:val="20"/>
              </w:rPr>
              <w:t>HR</w:t>
            </w:r>
          </w:p>
        </w:tc>
        <w:tc>
          <w:tcPr>
            <w:tcW w:w="2942" w:type="dxa"/>
            <w:shd w:val="clear" w:color="auto" w:fill="auto"/>
            <w:vAlign w:val="center"/>
          </w:tcPr>
          <w:p w:rsidR="00242A0C" w:rsidRPr="00ED3D0B" w:rsidRDefault="00242A0C" w:rsidP="00242A0C">
            <w:pPr>
              <w:rPr>
                <w:rFonts w:ascii="Arial" w:hAnsi="Arial" w:cs="Arial"/>
                <w:iCs/>
                <w:color w:val="000000"/>
                <w:sz w:val="20"/>
                <w:szCs w:val="20"/>
              </w:rPr>
            </w:pPr>
          </w:p>
        </w:tc>
        <w:tc>
          <w:tcPr>
            <w:tcW w:w="4471" w:type="dxa"/>
            <w:shd w:val="clear" w:color="auto" w:fill="auto"/>
            <w:vAlign w:val="center"/>
          </w:tcPr>
          <w:p w:rsidR="00242A0C" w:rsidRPr="00ED3D0B" w:rsidRDefault="00242A0C" w:rsidP="00242A0C">
            <w:pPr>
              <w:rPr>
                <w:rFonts w:ascii="Arial" w:hAnsi="Arial" w:cs="Arial"/>
                <w:iCs/>
                <w:color w:val="000000"/>
                <w:sz w:val="20"/>
                <w:szCs w:val="20"/>
              </w:rPr>
            </w:pPr>
            <w:r w:rsidRPr="00ED3D0B">
              <w:rPr>
                <w:rFonts w:ascii="Arial" w:hAnsi="Arial" w:cs="Arial"/>
                <w:iCs/>
                <w:color w:val="000000"/>
                <w:sz w:val="20"/>
                <w:szCs w:val="20"/>
              </w:rPr>
              <w:t>hlavní rozvaděč</w:t>
            </w:r>
          </w:p>
        </w:tc>
      </w:tr>
      <w:tr w:rsidR="00FE1C53" w:rsidRPr="000B133B" w:rsidTr="00ED3D0B">
        <w:trPr>
          <w:jc w:val="center"/>
        </w:trPr>
        <w:tc>
          <w:tcPr>
            <w:tcW w:w="1649" w:type="dxa"/>
            <w:shd w:val="clear" w:color="auto" w:fill="auto"/>
            <w:vAlign w:val="center"/>
          </w:tcPr>
          <w:p w:rsidR="00FE1C53" w:rsidRPr="00ED3D0B" w:rsidRDefault="00FE1C53" w:rsidP="00242A0C">
            <w:pPr>
              <w:rPr>
                <w:rFonts w:ascii="Arial" w:hAnsi="Arial" w:cs="Arial"/>
                <w:color w:val="000000"/>
                <w:sz w:val="20"/>
                <w:szCs w:val="20"/>
              </w:rPr>
            </w:pPr>
            <w:r w:rsidRPr="00ED3D0B">
              <w:rPr>
                <w:rFonts w:ascii="Arial" w:hAnsi="Arial" w:cs="Arial"/>
                <w:color w:val="000000"/>
                <w:sz w:val="20"/>
                <w:szCs w:val="20"/>
              </w:rPr>
              <w:lastRenderedPageBreak/>
              <w:t>HTS</w:t>
            </w:r>
          </w:p>
        </w:tc>
        <w:tc>
          <w:tcPr>
            <w:tcW w:w="2942" w:type="dxa"/>
            <w:shd w:val="clear" w:color="auto" w:fill="auto"/>
            <w:vAlign w:val="center"/>
          </w:tcPr>
          <w:p w:rsidR="00FE1C53" w:rsidRPr="00ED3D0B" w:rsidRDefault="00FE1C53" w:rsidP="00242A0C">
            <w:pPr>
              <w:rPr>
                <w:rFonts w:ascii="Arial" w:hAnsi="Arial" w:cs="Arial"/>
                <w:iCs/>
                <w:color w:val="000000"/>
                <w:sz w:val="20"/>
                <w:szCs w:val="20"/>
              </w:rPr>
            </w:pPr>
          </w:p>
        </w:tc>
        <w:tc>
          <w:tcPr>
            <w:tcW w:w="4471" w:type="dxa"/>
            <w:shd w:val="clear" w:color="auto" w:fill="auto"/>
            <w:vAlign w:val="center"/>
          </w:tcPr>
          <w:p w:rsidR="00FE1C53" w:rsidRPr="00ED3D0B" w:rsidRDefault="00FE1C53" w:rsidP="00242A0C">
            <w:pPr>
              <w:rPr>
                <w:rFonts w:ascii="Arial" w:hAnsi="Arial" w:cs="Arial"/>
                <w:color w:val="000000"/>
                <w:sz w:val="20"/>
                <w:szCs w:val="20"/>
              </w:rPr>
            </w:pPr>
            <w:r w:rsidRPr="00ED3D0B">
              <w:rPr>
                <w:rFonts w:ascii="Arial" w:hAnsi="Arial" w:cs="Arial"/>
                <w:color w:val="000000"/>
                <w:sz w:val="20"/>
                <w:szCs w:val="20"/>
              </w:rPr>
              <w:t>hlavní telefonní stanice</w:t>
            </w:r>
          </w:p>
        </w:tc>
      </w:tr>
      <w:tr w:rsidR="00115C50" w:rsidRPr="000B133B" w:rsidTr="00ED3D0B">
        <w:trPr>
          <w:jc w:val="center"/>
        </w:trPr>
        <w:tc>
          <w:tcPr>
            <w:tcW w:w="1649" w:type="dxa"/>
            <w:shd w:val="clear" w:color="auto" w:fill="auto"/>
            <w:vAlign w:val="center"/>
          </w:tcPr>
          <w:p w:rsidR="00115C50" w:rsidRPr="00ED3D0B" w:rsidRDefault="00115C50" w:rsidP="00242A0C">
            <w:pPr>
              <w:rPr>
                <w:rFonts w:ascii="Arial" w:hAnsi="Arial" w:cs="Arial"/>
                <w:color w:val="000000"/>
                <w:sz w:val="20"/>
                <w:szCs w:val="20"/>
              </w:rPr>
            </w:pPr>
            <w:r w:rsidRPr="00ED3D0B">
              <w:rPr>
                <w:rFonts w:ascii="Arial" w:hAnsi="Arial" w:cs="Arial"/>
                <w:color w:val="000000"/>
                <w:sz w:val="20"/>
                <w:szCs w:val="20"/>
              </w:rPr>
              <w:t>IC</w:t>
            </w:r>
          </w:p>
        </w:tc>
        <w:tc>
          <w:tcPr>
            <w:tcW w:w="2942" w:type="dxa"/>
            <w:shd w:val="clear" w:color="auto" w:fill="auto"/>
            <w:vAlign w:val="center"/>
          </w:tcPr>
          <w:p w:rsidR="00115C50" w:rsidRPr="00ED3D0B" w:rsidRDefault="00115C50" w:rsidP="00242A0C">
            <w:pPr>
              <w:rPr>
                <w:rFonts w:ascii="Arial" w:hAnsi="Arial" w:cs="Arial"/>
                <w:iCs/>
                <w:color w:val="000000"/>
                <w:sz w:val="20"/>
                <w:szCs w:val="20"/>
              </w:rPr>
            </w:pPr>
            <w:proofErr w:type="spellStart"/>
            <w:r w:rsidRPr="00ED3D0B">
              <w:rPr>
                <w:rFonts w:ascii="Arial" w:hAnsi="Arial" w:cs="Arial"/>
                <w:iCs/>
                <w:color w:val="000000"/>
                <w:sz w:val="20"/>
                <w:szCs w:val="20"/>
              </w:rPr>
              <w:t>Interconnect</w:t>
            </w:r>
            <w:proofErr w:type="spellEnd"/>
          </w:p>
        </w:tc>
        <w:tc>
          <w:tcPr>
            <w:tcW w:w="4471" w:type="dxa"/>
            <w:shd w:val="clear" w:color="auto" w:fill="auto"/>
            <w:vAlign w:val="center"/>
          </w:tcPr>
          <w:p w:rsidR="00115C50" w:rsidRPr="00ED3D0B" w:rsidRDefault="00115C50" w:rsidP="00242A0C">
            <w:pPr>
              <w:rPr>
                <w:rFonts w:ascii="Arial" w:hAnsi="Arial" w:cs="Arial"/>
                <w:color w:val="000000"/>
                <w:sz w:val="20"/>
                <w:szCs w:val="20"/>
              </w:rPr>
            </w:pPr>
            <w:r w:rsidRPr="00ED3D0B">
              <w:rPr>
                <w:rFonts w:ascii="Arial" w:hAnsi="Arial" w:cs="Arial"/>
                <w:color w:val="000000"/>
                <w:sz w:val="20"/>
                <w:szCs w:val="20"/>
              </w:rPr>
              <w:t>propojení</w:t>
            </w:r>
          </w:p>
        </w:tc>
      </w:tr>
      <w:tr w:rsidR="00FE1C53" w:rsidRPr="000B133B"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IE/CB</w:t>
            </w:r>
          </w:p>
        </w:tc>
        <w:tc>
          <w:tcPr>
            <w:tcW w:w="2942" w:type="dxa"/>
            <w:shd w:val="clear" w:color="auto" w:fill="auto"/>
            <w:vAlign w:val="center"/>
          </w:tcPr>
          <w:p w:rsidR="00FE1C53" w:rsidRPr="00ED3D0B" w:rsidRDefault="00FE1C53" w:rsidP="00FE1C53">
            <w:pPr>
              <w:rPr>
                <w:rFonts w:ascii="Arial" w:hAnsi="Arial" w:cs="Arial"/>
                <w:i/>
                <w:iCs/>
                <w:sz w:val="20"/>
                <w:szCs w:val="20"/>
              </w:rPr>
            </w:pPr>
            <w:r w:rsidRPr="00ED3D0B">
              <w:rPr>
                <w:rFonts w:ascii="Arial" w:hAnsi="Arial" w:cs="Arial"/>
                <w:iCs/>
                <w:color w:val="000000"/>
                <w:sz w:val="20"/>
                <w:szCs w:val="20"/>
              </w:rPr>
              <w:t xml:space="preserve">Internet Expres / </w:t>
            </w:r>
            <w:proofErr w:type="spellStart"/>
            <w:r w:rsidRPr="00ED3D0B">
              <w:rPr>
                <w:rFonts w:ascii="Arial" w:hAnsi="Arial" w:cs="Arial"/>
                <w:iCs/>
                <w:color w:val="000000"/>
                <w:sz w:val="20"/>
                <w:szCs w:val="20"/>
              </w:rPr>
              <w:t>Carrier</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Broadband</w:t>
            </w:r>
            <w:proofErr w:type="spellEnd"/>
          </w:p>
        </w:tc>
        <w:tc>
          <w:tcPr>
            <w:tcW w:w="4471" w:type="dxa"/>
            <w:shd w:val="clear" w:color="auto" w:fill="auto"/>
          </w:tcPr>
          <w:p w:rsidR="00FE1C53" w:rsidRPr="00ED3D0B" w:rsidRDefault="00FE1C53" w:rsidP="00FE1C53">
            <w:pPr>
              <w:rPr>
                <w:rFonts w:ascii="Arial" w:hAnsi="Arial" w:cs="Arial"/>
                <w:sz w:val="20"/>
                <w:szCs w:val="20"/>
              </w:rPr>
            </w:pPr>
            <w:r w:rsidRPr="00ED3D0B">
              <w:rPr>
                <w:rFonts w:ascii="Arial" w:hAnsi="Arial" w:cs="Arial"/>
                <w:sz w:val="20"/>
                <w:szCs w:val="20"/>
              </w:rPr>
              <w:t>názvy datových služeb dominantního poskytovatele</w:t>
            </w:r>
          </w:p>
        </w:tc>
      </w:tr>
      <w:tr w:rsidR="00FE1C53" w:rsidRPr="000B133B"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IP</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Internet </w:t>
            </w:r>
            <w:proofErr w:type="spellStart"/>
            <w:r w:rsidRPr="00ED3D0B">
              <w:rPr>
                <w:rFonts w:ascii="Arial" w:hAnsi="Arial" w:cs="Arial"/>
                <w:iCs/>
                <w:color w:val="000000"/>
                <w:sz w:val="20"/>
                <w:szCs w:val="20"/>
              </w:rPr>
              <w:t>Protocol</w:t>
            </w:r>
            <w:proofErr w:type="spellEnd"/>
          </w:p>
        </w:tc>
        <w:tc>
          <w:tcPr>
            <w:tcW w:w="4471"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Internetový protokol</w:t>
            </w:r>
          </w:p>
        </w:tc>
      </w:tr>
      <w:tr w:rsidR="00FE1C53" w:rsidRPr="000B133B"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IPTV</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televize přes internetový protokol</w:t>
            </w:r>
          </w:p>
        </w:tc>
      </w:tr>
      <w:tr w:rsidR="00FE1C53" w:rsidRPr="000B133B"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IP/MPLS</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Internet </w:t>
            </w:r>
            <w:proofErr w:type="spellStart"/>
            <w:r w:rsidRPr="00ED3D0B">
              <w:rPr>
                <w:rFonts w:ascii="Arial" w:hAnsi="Arial" w:cs="Arial"/>
                <w:iCs/>
                <w:color w:val="000000"/>
                <w:sz w:val="20"/>
                <w:szCs w:val="20"/>
              </w:rPr>
              <w:t>Protocol</w:t>
            </w:r>
            <w:proofErr w:type="spellEnd"/>
            <w:r w:rsidRPr="00ED3D0B">
              <w:rPr>
                <w:rFonts w:ascii="Arial" w:hAnsi="Arial" w:cs="Arial"/>
                <w:iCs/>
                <w:color w:val="000000"/>
                <w:sz w:val="20"/>
                <w:szCs w:val="20"/>
              </w:rPr>
              <w:t xml:space="preserve"> / </w:t>
            </w:r>
            <w:proofErr w:type="spellStart"/>
            <w:r w:rsidRPr="00ED3D0B">
              <w:rPr>
                <w:rFonts w:ascii="Arial" w:hAnsi="Arial" w:cs="Arial"/>
                <w:iCs/>
                <w:color w:val="000000"/>
                <w:sz w:val="20"/>
                <w:szCs w:val="20"/>
              </w:rPr>
              <w:t>Multiprotocol</w:t>
            </w:r>
            <w:proofErr w:type="spellEnd"/>
            <w:r w:rsidRPr="00ED3D0B">
              <w:rPr>
                <w:rFonts w:ascii="Arial" w:hAnsi="Arial" w:cs="Arial"/>
                <w:iCs/>
                <w:color w:val="000000"/>
                <w:sz w:val="20"/>
                <w:szCs w:val="20"/>
              </w:rPr>
              <w:t xml:space="preserve"> Label </w:t>
            </w:r>
            <w:proofErr w:type="spellStart"/>
            <w:r w:rsidRPr="00ED3D0B">
              <w:rPr>
                <w:rFonts w:ascii="Arial" w:hAnsi="Arial" w:cs="Arial"/>
                <w:iCs/>
                <w:color w:val="000000"/>
                <w:sz w:val="20"/>
                <w:szCs w:val="20"/>
              </w:rPr>
              <w:t>Switching</w:t>
            </w:r>
            <w:proofErr w:type="spellEnd"/>
          </w:p>
        </w:tc>
        <w:tc>
          <w:tcPr>
            <w:tcW w:w="4471"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color w:val="000000"/>
                <w:sz w:val="20"/>
                <w:szCs w:val="20"/>
              </w:rPr>
              <w:t>řízená datová síť</w:t>
            </w:r>
            <w:r w:rsidR="0047095F" w:rsidRPr="00ED3D0B">
              <w:rPr>
                <w:rFonts w:ascii="Arial" w:hAnsi="Arial" w:cs="Arial"/>
                <w:color w:val="000000"/>
                <w:sz w:val="20"/>
                <w:szCs w:val="20"/>
              </w:rPr>
              <w:t xml:space="preserve"> na </w:t>
            </w:r>
            <w:r w:rsidRPr="00ED3D0B">
              <w:rPr>
                <w:rFonts w:ascii="Arial" w:hAnsi="Arial" w:cs="Arial"/>
                <w:color w:val="000000"/>
                <w:sz w:val="20"/>
                <w:szCs w:val="20"/>
              </w:rPr>
              <w:t>bázi IP protokolu</w:t>
            </w:r>
          </w:p>
        </w:tc>
      </w:tr>
      <w:tr w:rsidR="00FE1C53" w:rsidRPr="000B133B"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ISDN</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Integrated</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Services</w:t>
            </w:r>
            <w:proofErr w:type="spellEnd"/>
            <w:r w:rsidRPr="00ED3D0B">
              <w:rPr>
                <w:rFonts w:ascii="Arial" w:hAnsi="Arial" w:cs="Arial"/>
                <w:iCs/>
                <w:color w:val="000000"/>
                <w:sz w:val="20"/>
                <w:szCs w:val="20"/>
              </w:rPr>
              <w:t xml:space="preserve"> Digital Network</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sz w:val="20"/>
                <w:szCs w:val="20"/>
              </w:rPr>
              <w:t xml:space="preserve">účastnická digitální telefonní linka </w:t>
            </w:r>
          </w:p>
        </w:tc>
      </w:tr>
      <w:tr w:rsidR="00FE1C53" w:rsidRPr="000B133B"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ISDN-BRA</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Integrated</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Services</w:t>
            </w:r>
            <w:proofErr w:type="spellEnd"/>
            <w:r w:rsidRPr="00ED3D0B">
              <w:rPr>
                <w:rFonts w:ascii="Arial" w:hAnsi="Arial" w:cs="Arial"/>
                <w:iCs/>
                <w:color w:val="000000"/>
                <w:sz w:val="20"/>
                <w:szCs w:val="20"/>
              </w:rPr>
              <w:t xml:space="preserve"> Digital Network - Basic </w:t>
            </w:r>
            <w:proofErr w:type="spellStart"/>
            <w:r w:rsidRPr="00ED3D0B">
              <w:rPr>
                <w:rFonts w:ascii="Arial" w:hAnsi="Arial" w:cs="Arial"/>
                <w:iCs/>
                <w:color w:val="000000"/>
                <w:sz w:val="20"/>
                <w:szCs w:val="20"/>
              </w:rPr>
              <w:t>Rate</w:t>
            </w:r>
            <w:proofErr w:type="spellEnd"/>
            <w:r w:rsidRPr="00ED3D0B">
              <w:rPr>
                <w:rFonts w:ascii="Arial" w:hAnsi="Arial" w:cs="Arial"/>
                <w:iCs/>
                <w:color w:val="000000"/>
                <w:sz w:val="20"/>
                <w:szCs w:val="20"/>
              </w:rPr>
              <w:t xml:space="preserve"> Access</w:t>
            </w:r>
          </w:p>
        </w:tc>
        <w:tc>
          <w:tcPr>
            <w:tcW w:w="4471"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účastnická digitální telefonní linka – individuální připojení účastníků</w:t>
            </w:r>
          </w:p>
        </w:tc>
      </w:tr>
      <w:tr w:rsidR="00FE1C53" w:rsidRPr="000B133B"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ISDN PRA</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Integrated</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Services</w:t>
            </w:r>
            <w:proofErr w:type="spellEnd"/>
            <w:r w:rsidRPr="00ED3D0B">
              <w:rPr>
                <w:rFonts w:ascii="Arial" w:hAnsi="Arial" w:cs="Arial"/>
                <w:iCs/>
                <w:color w:val="000000"/>
                <w:sz w:val="20"/>
                <w:szCs w:val="20"/>
              </w:rPr>
              <w:t xml:space="preserve"> Digital Network - </w:t>
            </w:r>
            <w:proofErr w:type="spellStart"/>
            <w:r w:rsidRPr="00ED3D0B">
              <w:rPr>
                <w:rFonts w:ascii="Arial" w:hAnsi="Arial" w:cs="Arial"/>
                <w:iCs/>
                <w:color w:val="000000"/>
                <w:sz w:val="20"/>
                <w:szCs w:val="20"/>
              </w:rPr>
              <w:t>Primary</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Rate</w:t>
            </w:r>
            <w:proofErr w:type="spellEnd"/>
            <w:r w:rsidRPr="00ED3D0B">
              <w:rPr>
                <w:rFonts w:ascii="Arial" w:hAnsi="Arial" w:cs="Arial"/>
                <w:iCs/>
                <w:color w:val="000000"/>
                <w:sz w:val="20"/>
                <w:szCs w:val="20"/>
              </w:rPr>
              <w:t xml:space="preserve"> Access</w:t>
            </w:r>
          </w:p>
        </w:tc>
        <w:tc>
          <w:tcPr>
            <w:tcW w:w="4471"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účastnická digitální telefonní linka –2 Mbit/s připojení účastníků</w:t>
            </w:r>
            <w:r w:rsidR="0047095F" w:rsidRPr="00ED3D0B">
              <w:rPr>
                <w:rFonts w:ascii="Arial" w:hAnsi="Arial" w:cs="Arial"/>
                <w:sz w:val="20"/>
                <w:szCs w:val="20"/>
              </w:rPr>
              <w:t xml:space="preserve"> na </w:t>
            </w:r>
            <w:r w:rsidRPr="00ED3D0B">
              <w:rPr>
                <w:rFonts w:ascii="Arial" w:hAnsi="Arial" w:cs="Arial"/>
                <w:sz w:val="20"/>
                <w:szCs w:val="20"/>
              </w:rPr>
              <w:t>pobočkových ústřednách</w:t>
            </w:r>
          </w:p>
        </w:tc>
      </w:tr>
      <w:tr w:rsidR="00FE1C53" w:rsidRPr="000B133B"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KR</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koncový rozvaděč</w:t>
            </w:r>
          </w:p>
        </w:tc>
      </w:tr>
      <w:tr w:rsidR="00FE1C53" w:rsidRPr="000B133B"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LLU</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Local</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Loop</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Unbundling</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zpřístupnění místní smyčky</w:t>
            </w:r>
          </w:p>
        </w:tc>
      </w:tr>
      <w:tr w:rsidR="00FE1C53" w:rsidRPr="000B133B"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LN</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Local</w:t>
            </w:r>
            <w:proofErr w:type="spellEnd"/>
            <w:r w:rsidRPr="00ED3D0B">
              <w:rPr>
                <w:rFonts w:ascii="Arial" w:hAnsi="Arial" w:cs="Arial"/>
                <w:iCs/>
                <w:color w:val="000000"/>
                <w:sz w:val="20"/>
                <w:szCs w:val="20"/>
              </w:rPr>
              <w:t xml:space="preserve"> Node</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místní uzel</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LQI</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Loop</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Qualification</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Inquiry</w:t>
            </w:r>
            <w:proofErr w:type="spellEnd"/>
          </w:p>
        </w:tc>
        <w:tc>
          <w:tcPr>
            <w:tcW w:w="4471"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automatizovaný dotaz do registru místní sítě</w:t>
            </w:r>
            <w:r w:rsidR="0047095F" w:rsidRPr="00ED3D0B">
              <w:rPr>
                <w:rFonts w:ascii="Arial" w:hAnsi="Arial" w:cs="Arial"/>
                <w:color w:val="000000"/>
                <w:sz w:val="20"/>
                <w:szCs w:val="20"/>
              </w:rPr>
              <w:t xml:space="preserve"> na </w:t>
            </w:r>
            <w:r w:rsidRPr="00ED3D0B">
              <w:rPr>
                <w:rFonts w:ascii="Arial" w:hAnsi="Arial" w:cs="Arial"/>
                <w:color w:val="000000"/>
                <w:sz w:val="20"/>
                <w:szCs w:val="20"/>
              </w:rPr>
              <w:t>účastnické vedení</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LQM</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Loop</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Qualification</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Measurement</w:t>
            </w:r>
            <w:proofErr w:type="spellEnd"/>
          </w:p>
        </w:tc>
        <w:tc>
          <w:tcPr>
            <w:tcW w:w="4471"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color w:val="000000"/>
                <w:sz w:val="20"/>
                <w:szCs w:val="20"/>
              </w:rPr>
              <w:t>automatizovaný dotaz</w:t>
            </w:r>
            <w:r w:rsidR="0047095F" w:rsidRPr="00ED3D0B">
              <w:rPr>
                <w:rFonts w:ascii="Arial" w:hAnsi="Arial" w:cs="Arial"/>
                <w:color w:val="000000"/>
                <w:sz w:val="20"/>
                <w:szCs w:val="20"/>
              </w:rPr>
              <w:t xml:space="preserve"> na </w:t>
            </w:r>
            <w:r w:rsidRPr="00ED3D0B">
              <w:rPr>
                <w:rFonts w:ascii="Arial" w:hAnsi="Arial" w:cs="Arial"/>
                <w:color w:val="000000"/>
                <w:sz w:val="20"/>
                <w:szCs w:val="20"/>
              </w:rPr>
              <w:t>kvalitu účastnického vedení</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LRAIC</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Long-Run </w:t>
            </w:r>
            <w:proofErr w:type="spellStart"/>
            <w:r w:rsidRPr="00ED3D0B">
              <w:rPr>
                <w:rFonts w:ascii="Arial" w:hAnsi="Arial" w:cs="Arial"/>
                <w:iCs/>
                <w:color w:val="000000"/>
                <w:sz w:val="20"/>
                <w:szCs w:val="20"/>
              </w:rPr>
              <w:t>Average</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Incremental</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Cost</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metoda dlouhodobých průměrných přírůstkových nákladů</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LRIC</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Long-Run </w:t>
            </w:r>
            <w:proofErr w:type="spellStart"/>
            <w:r w:rsidRPr="00ED3D0B">
              <w:rPr>
                <w:rFonts w:ascii="Arial" w:hAnsi="Arial" w:cs="Arial"/>
                <w:iCs/>
                <w:color w:val="000000"/>
                <w:sz w:val="20"/>
                <w:szCs w:val="20"/>
              </w:rPr>
              <w:t>Incremental</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Cost</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metoda dlouhodobých přírůstkových nákladů</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LTE</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Long Term </w:t>
            </w:r>
            <w:proofErr w:type="spellStart"/>
            <w:r w:rsidRPr="00ED3D0B">
              <w:rPr>
                <w:rFonts w:ascii="Arial" w:hAnsi="Arial" w:cs="Arial"/>
                <w:iCs/>
                <w:color w:val="000000"/>
                <w:sz w:val="20"/>
                <w:szCs w:val="20"/>
              </w:rPr>
              <w:t>Evolution</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síť bezdrátové datové komunikace založená</w:t>
            </w:r>
            <w:r w:rsidR="0047095F" w:rsidRPr="00ED3D0B">
              <w:rPr>
                <w:rFonts w:ascii="Arial" w:hAnsi="Arial" w:cs="Arial"/>
                <w:iCs/>
                <w:color w:val="000000"/>
                <w:sz w:val="20"/>
                <w:szCs w:val="20"/>
              </w:rPr>
              <w:t xml:space="preserve"> na </w:t>
            </w:r>
            <w:r w:rsidRPr="00ED3D0B">
              <w:rPr>
                <w:rFonts w:ascii="Arial" w:hAnsi="Arial" w:cs="Arial"/>
                <w:iCs/>
                <w:color w:val="000000"/>
                <w:sz w:val="20"/>
                <w:szCs w:val="20"/>
              </w:rPr>
              <w:t>IP protokolu (přepojování paketů)</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MDF</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Main</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Distribution</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Frame</w:t>
            </w:r>
            <w:proofErr w:type="spellEnd"/>
          </w:p>
        </w:tc>
        <w:tc>
          <w:tcPr>
            <w:tcW w:w="4471"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hlavní rozvaděč metalických účastnických linek</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MEA</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Modern</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Equivalent</w:t>
            </w:r>
            <w:proofErr w:type="spellEnd"/>
            <w:r w:rsidRPr="00ED3D0B">
              <w:rPr>
                <w:rFonts w:ascii="Arial" w:hAnsi="Arial" w:cs="Arial"/>
                <w:iCs/>
                <w:color w:val="000000"/>
                <w:sz w:val="20"/>
                <w:szCs w:val="20"/>
              </w:rPr>
              <w:t xml:space="preserve"> Asset</w:t>
            </w:r>
          </w:p>
        </w:tc>
        <w:tc>
          <w:tcPr>
            <w:tcW w:w="4471"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oceňování běžnou cenou ekvivalentního aktiva</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MGW</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Media </w:t>
            </w:r>
            <w:proofErr w:type="spellStart"/>
            <w:r w:rsidRPr="00ED3D0B">
              <w:rPr>
                <w:rFonts w:ascii="Arial" w:hAnsi="Arial" w:cs="Arial"/>
                <w:iCs/>
                <w:color w:val="000000"/>
                <w:sz w:val="20"/>
                <w:szCs w:val="20"/>
              </w:rPr>
              <w:t>Gateway</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mediální brána</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MMS</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Multimedia </w:t>
            </w:r>
            <w:proofErr w:type="spellStart"/>
            <w:r w:rsidRPr="00ED3D0B">
              <w:rPr>
                <w:rFonts w:ascii="Arial" w:hAnsi="Arial" w:cs="Arial"/>
                <w:iCs/>
                <w:color w:val="000000"/>
                <w:sz w:val="20"/>
                <w:szCs w:val="20"/>
              </w:rPr>
              <w:t>Messaging</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Service</w:t>
            </w:r>
            <w:proofErr w:type="spellEnd"/>
          </w:p>
        </w:tc>
        <w:tc>
          <w:tcPr>
            <w:tcW w:w="4471" w:type="dxa"/>
            <w:shd w:val="clear" w:color="auto" w:fill="auto"/>
            <w:vAlign w:val="center"/>
          </w:tcPr>
          <w:p w:rsidR="00FE1C53" w:rsidRPr="00ED3D0B" w:rsidRDefault="00FE1C53" w:rsidP="00546AFF">
            <w:pPr>
              <w:rPr>
                <w:rFonts w:ascii="Arial" w:hAnsi="Arial" w:cs="Arial"/>
                <w:iCs/>
                <w:color w:val="000000"/>
                <w:sz w:val="20"/>
                <w:szCs w:val="20"/>
              </w:rPr>
            </w:pPr>
            <w:r w:rsidRPr="00ED3D0B">
              <w:rPr>
                <w:rFonts w:ascii="Arial" w:hAnsi="Arial" w:cs="Arial"/>
                <w:iCs/>
                <w:color w:val="000000"/>
                <w:sz w:val="20"/>
                <w:szCs w:val="20"/>
              </w:rPr>
              <w:t xml:space="preserve">služba </w:t>
            </w:r>
            <w:r w:rsidR="00546AFF" w:rsidRPr="00ED3D0B">
              <w:rPr>
                <w:rFonts w:ascii="Arial" w:hAnsi="Arial" w:cs="Arial"/>
                <w:iCs/>
                <w:color w:val="000000"/>
                <w:sz w:val="20"/>
                <w:szCs w:val="20"/>
              </w:rPr>
              <w:t>m</w:t>
            </w:r>
            <w:r w:rsidRPr="00ED3D0B">
              <w:rPr>
                <w:rFonts w:ascii="Arial" w:hAnsi="Arial" w:cs="Arial"/>
                <w:iCs/>
                <w:color w:val="000000"/>
                <w:sz w:val="20"/>
                <w:szCs w:val="20"/>
              </w:rPr>
              <w:t>ultimediálních zpráv</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MMSC</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Multimedia </w:t>
            </w:r>
            <w:proofErr w:type="spellStart"/>
            <w:r w:rsidRPr="00ED3D0B">
              <w:rPr>
                <w:rFonts w:ascii="Arial" w:hAnsi="Arial" w:cs="Arial"/>
                <w:iCs/>
                <w:color w:val="000000"/>
                <w:sz w:val="20"/>
                <w:szCs w:val="20"/>
              </w:rPr>
              <w:t>Messaging</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Service</w:t>
            </w:r>
            <w:proofErr w:type="spellEnd"/>
            <w:r w:rsidRPr="00ED3D0B">
              <w:rPr>
                <w:rFonts w:ascii="Arial" w:hAnsi="Arial" w:cs="Arial"/>
                <w:iCs/>
                <w:color w:val="000000"/>
                <w:sz w:val="20"/>
                <w:szCs w:val="20"/>
              </w:rPr>
              <w:t xml:space="preserve"> Center</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centrum multimediálních zpráv MMS</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MSAN</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Multi</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Services</w:t>
            </w:r>
            <w:proofErr w:type="spellEnd"/>
            <w:r w:rsidRPr="00ED3D0B">
              <w:rPr>
                <w:rFonts w:ascii="Arial" w:hAnsi="Arial" w:cs="Arial"/>
                <w:iCs/>
                <w:color w:val="000000"/>
                <w:sz w:val="20"/>
                <w:szCs w:val="20"/>
              </w:rPr>
              <w:t xml:space="preserve"> Access Node</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přístupový uzel pro všechny typy služeb</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MSC, MSS</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Mobile </w:t>
            </w:r>
            <w:proofErr w:type="spellStart"/>
            <w:r w:rsidRPr="00ED3D0B">
              <w:rPr>
                <w:rFonts w:ascii="Arial" w:hAnsi="Arial" w:cs="Arial"/>
                <w:iCs/>
                <w:color w:val="000000"/>
                <w:sz w:val="20"/>
                <w:szCs w:val="20"/>
              </w:rPr>
              <w:t>Switching</w:t>
            </w:r>
            <w:proofErr w:type="spellEnd"/>
            <w:r w:rsidRPr="00ED3D0B">
              <w:rPr>
                <w:rFonts w:ascii="Arial" w:hAnsi="Arial" w:cs="Arial"/>
                <w:iCs/>
                <w:color w:val="000000"/>
                <w:sz w:val="20"/>
                <w:szCs w:val="20"/>
              </w:rPr>
              <w:t xml:space="preserve"> Center Server</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ústředna mobilní sítě 3G</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NBV</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Net </w:t>
            </w:r>
            <w:proofErr w:type="spellStart"/>
            <w:r w:rsidRPr="00ED3D0B">
              <w:rPr>
                <w:rFonts w:ascii="Arial" w:hAnsi="Arial" w:cs="Arial"/>
                <w:iCs/>
                <w:color w:val="000000"/>
                <w:sz w:val="20"/>
                <w:szCs w:val="20"/>
              </w:rPr>
              <w:t>Book</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Value</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color w:val="000000"/>
                <w:sz w:val="20"/>
                <w:szCs w:val="20"/>
              </w:rPr>
              <w:t>čistá účetní hodnota (zůstatková hodnota)</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NC</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Network </w:t>
            </w:r>
            <w:proofErr w:type="spellStart"/>
            <w:r w:rsidRPr="00ED3D0B">
              <w:rPr>
                <w:rFonts w:ascii="Arial" w:hAnsi="Arial" w:cs="Arial"/>
                <w:iCs/>
                <w:color w:val="000000"/>
                <w:sz w:val="20"/>
                <w:szCs w:val="20"/>
              </w:rPr>
              <w:t>Component</w:t>
            </w:r>
            <w:proofErr w:type="spellEnd"/>
          </w:p>
        </w:tc>
        <w:tc>
          <w:tcPr>
            <w:tcW w:w="4471"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síťový prvek</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sz w:val="20"/>
                <w:szCs w:val="20"/>
              </w:rPr>
              <w:t>NGA</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Next</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Generation</w:t>
            </w:r>
            <w:proofErr w:type="spellEnd"/>
            <w:r w:rsidRPr="00ED3D0B">
              <w:rPr>
                <w:rFonts w:ascii="Arial" w:hAnsi="Arial" w:cs="Arial"/>
                <w:iCs/>
                <w:color w:val="000000"/>
                <w:sz w:val="20"/>
                <w:szCs w:val="20"/>
              </w:rPr>
              <w:t xml:space="preserve"> Access</w:t>
            </w:r>
          </w:p>
        </w:tc>
        <w:tc>
          <w:tcPr>
            <w:tcW w:w="4471"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přístupové sítě nové generace</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NGN</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Next</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Generation</w:t>
            </w:r>
            <w:proofErr w:type="spellEnd"/>
            <w:r w:rsidRPr="00ED3D0B">
              <w:rPr>
                <w:rFonts w:ascii="Arial" w:hAnsi="Arial" w:cs="Arial"/>
                <w:iCs/>
                <w:color w:val="000000"/>
                <w:sz w:val="20"/>
                <w:szCs w:val="20"/>
              </w:rPr>
              <w:t xml:space="preserve"> Network</w:t>
            </w:r>
          </w:p>
        </w:tc>
        <w:tc>
          <w:tcPr>
            <w:tcW w:w="4471"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sítě nové generace</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color w:val="000000"/>
                <w:sz w:val="20"/>
                <w:szCs w:val="20"/>
              </w:rPr>
              <w:t>NMS</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Network Management </w:t>
            </w:r>
            <w:proofErr w:type="spellStart"/>
            <w:r w:rsidRPr="00ED3D0B">
              <w:rPr>
                <w:rFonts w:ascii="Arial" w:hAnsi="Arial" w:cs="Arial"/>
                <w:iCs/>
                <w:color w:val="000000"/>
                <w:sz w:val="20"/>
                <w:szCs w:val="20"/>
              </w:rPr>
              <w:t>System</w:t>
            </w:r>
            <w:proofErr w:type="spellEnd"/>
          </w:p>
        </w:tc>
        <w:tc>
          <w:tcPr>
            <w:tcW w:w="4471"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iCs/>
                <w:color w:val="000000"/>
                <w:sz w:val="20"/>
                <w:szCs w:val="20"/>
              </w:rPr>
              <w:t>systém pro správu sítě</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ODF</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Optical</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Distribution</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Frame</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optický rozvaděč</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OLO</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Other</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Licensed</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Operator</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color w:val="000000"/>
                <w:sz w:val="20"/>
                <w:szCs w:val="20"/>
              </w:rPr>
              <w:t>alternativní operátor</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OLT</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Optical</w:t>
            </w:r>
            <w:proofErr w:type="spellEnd"/>
            <w:r w:rsidRPr="00ED3D0B">
              <w:rPr>
                <w:rFonts w:ascii="Arial" w:hAnsi="Arial" w:cs="Arial"/>
                <w:iCs/>
                <w:color w:val="000000"/>
                <w:sz w:val="20"/>
                <w:szCs w:val="20"/>
              </w:rPr>
              <w:t xml:space="preserve"> Line </w:t>
            </w:r>
            <w:proofErr w:type="spellStart"/>
            <w:r w:rsidRPr="00ED3D0B">
              <w:rPr>
                <w:rFonts w:ascii="Arial" w:hAnsi="Arial" w:cs="Arial"/>
                <w:iCs/>
                <w:color w:val="000000"/>
                <w:sz w:val="20"/>
                <w:szCs w:val="20"/>
              </w:rPr>
              <w:t>Termination</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optické linkové zakončení</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ONT</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Optical</w:t>
            </w:r>
            <w:proofErr w:type="spellEnd"/>
            <w:r w:rsidRPr="00ED3D0B">
              <w:rPr>
                <w:rFonts w:ascii="Arial" w:hAnsi="Arial" w:cs="Arial"/>
                <w:iCs/>
                <w:color w:val="000000"/>
                <w:sz w:val="20"/>
                <w:szCs w:val="20"/>
              </w:rPr>
              <w:t xml:space="preserve"> Network Terminal, </w:t>
            </w:r>
            <w:proofErr w:type="spellStart"/>
            <w:r w:rsidRPr="00ED3D0B">
              <w:rPr>
                <w:rFonts w:ascii="Arial" w:hAnsi="Arial" w:cs="Arial"/>
                <w:iCs/>
                <w:color w:val="000000"/>
                <w:sz w:val="20"/>
                <w:szCs w:val="20"/>
              </w:rPr>
              <w:t>Optical</w:t>
            </w:r>
            <w:proofErr w:type="spellEnd"/>
            <w:r w:rsidRPr="00ED3D0B">
              <w:rPr>
                <w:rFonts w:ascii="Arial" w:hAnsi="Arial" w:cs="Arial"/>
                <w:iCs/>
                <w:color w:val="000000"/>
                <w:sz w:val="20"/>
                <w:szCs w:val="20"/>
              </w:rPr>
              <w:t xml:space="preserve"> Network </w:t>
            </w:r>
            <w:proofErr w:type="spellStart"/>
            <w:r w:rsidRPr="00ED3D0B">
              <w:rPr>
                <w:rFonts w:ascii="Arial" w:hAnsi="Arial" w:cs="Arial"/>
                <w:iCs/>
                <w:color w:val="000000"/>
                <w:sz w:val="20"/>
                <w:szCs w:val="20"/>
              </w:rPr>
              <w:t>Termination</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optické síťové zakončení</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OPEX</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Operating</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Expenditures</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provozní výdaje</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OR</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optický rozvaděč</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POPS</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primární optická přístupová síť</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POTS</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Plain</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Old</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Telephone</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Service</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color w:val="000000"/>
                <w:sz w:val="20"/>
                <w:szCs w:val="20"/>
              </w:rPr>
              <w:t>analogová telefonie</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sz w:val="20"/>
                <w:szCs w:val="20"/>
              </w:rPr>
              <w:t>PPÚ</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plný přístup k úseku účastnického vedení</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PPV</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plný přístup k účastnickému vedení</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PU</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přístupový uzel</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RAO</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Reference Access </w:t>
            </w:r>
            <w:proofErr w:type="spellStart"/>
            <w:r w:rsidRPr="00ED3D0B">
              <w:rPr>
                <w:rFonts w:ascii="Arial" w:hAnsi="Arial" w:cs="Arial"/>
                <w:iCs/>
                <w:color w:val="000000"/>
                <w:sz w:val="20"/>
                <w:szCs w:val="20"/>
              </w:rPr>
              <w:t>Offer</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referenční nabídka zpřístupnění</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color w:val="000000"/>
                <w:sz w:val="20"/>
                <w:szCs w:val="20"/>
              </w:rPr>
              <w:t>REN</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Regional</w:t>
            </w:r>
            <w:proofErr w:type="spellEnd"/>
            <w:r w:rsidRPr="00ED3D0B">
              <w:rPr>
                <w:rFonts w:ascii="Arial" w:hAnsi="Arial" w:cs="Arial"/>
                <w:iCs/>
                <w:color w:val="000000"/>
                <w:sz w:val="20"/>
                <w:szCs w:val="20"/>
              </w:rPr>
              <w:t xml:space="preserve"> Ethernet Network</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color w:val="000000"/>
                <w:sz w:val="20"/>
                <w:szCs w:val="20"/>
              </w:rPr>
              <w:t>regionální datová síť</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RNC</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Radio</w:t>
            </w:r>
            <w:proofErr w:type="spellEnd"/>
            <w:r w:rsidRPr="00ED3D0B">
              <w:rPr>
                <w:rFonts w:ascii="Arial" w:hAnsi="Arial" w:cs="Arial"/>
                <w:iCs/>
                <w:color w:val="000000"/>
                <w:sz w:val="20"/>
                <w:szCs w:val="20"/>
              </w:rPr>
              <w:t xml:space="preserve"> Network </w:t>
            </w:r>
            <w:proofErr w:type="spellStart"/>
            <w:r w:rsidRPr="00ED3D0B">
              <w:rPr>
                <w:rFonts w:ascii="Arial" w:hAnsi="Arial" w:cs="Arial"/>
                <w:iCs/>
                <w:color w:val="000000"/>
                <w:sz w:val="20"/>
                <w:szCs w:val="20"/>
              </w:rPr>
              <w:t>Controller</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řídící blok radiové sítě</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RSU</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Remote</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Subscriber</w:t>
            </w:r>
            <w:proofErr w:type="spellEnd"/>
            <w:r w:rsidRPr="00ED3D0B">
              <w:rPr>
                <w:rFonts w:ascii="Arial" w:hAnsi="Arial" w:cs="Arial"/>
                <w:iCs/>
                <w:color w:val="000000"/>
                <w:sz w:val="20"/>
                <w:szCs w:val="20"/>
              </w:rPr>
              <w:t xml:space="preserve"> Unit</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color w:val="000000"/>
                <w:sz w:val="20"/>
                <w:szCs w:val="20"/>
              </w:rPr>
              <w:t>vzdálená telefonní jednotka ústředny pro připojení účastníků</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RT</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relevantní trh</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lastRenderedPageBreak/>
              <w:t>RTP</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color w:val="000000"/>
                <w:sz w:val="20"/>
                <w:szCs w:val="20"/>
              </w:rPr>
              <w:t>Real-</w:t>
            </w:r>
            <w:proofErr w:type="spellStart"/>
            <w:r w:rsidRPr="00ED3D0B">
              <w:rPr>
                <w:rFonts w:ascii="Arial" w:hAnsi="Arial" w:cs="Arial"/>
                <w:color w:val="000000"/>
                <w:sz w:val="20"/>
                <w:szCs w:val="20"/>
              </w:rPr>
              <w:t>time</w:t>
            </w:r>
            <w:proofErr w:type="spellEnd"/>
            <w:r w:rsidRPr="00ED3D0B">
              <w:rPr>
                <w:rFonts w:ascii="Arial" w:hAnsi="Arial" w:cs="Arial"/>
                <w:color w:val="000000"/>
                <w:sz w:val="20"/>
                <w:szCs w:val="20"/>
              </w:rPr>
              <w:t xml:space="preserve"> Transport </w:t>
            </w:r>
            <w:proofErr w:type="spellStart"/>
            <w:r w:rsidRPr="00ED3D0B">
              <w:rPr>
                <w:rFonts w:ascii="Arial" w:hAnsi="Arial" w:cs="Arial"/>
                <w:color w:val="000000"/>
                <w:sz w:val="20"/>
                <w:szCs w:val="20"/>
              </w:rPr>
              <w:t>Protocol</w:t>
            </w:r>
            <w:proofErr w:type="spellEnd"/>
            <w:r w:rsidRPr="00ED3D0B">
              <w:rPr>
                <w:rFonts w:ascii="Arial" w:hAnsi="Arial" w:cs="Arial"/>
                <w:color w:val="000000"/>
                <w:sz w:val="20"/>
                <w:szCs w:val="20"/>
              </w:rPr>
              <w:t xml:space="preserve"> (nebo </w:t>
            </w:r>
            <w:r w:rsidRPr="00ED3D0B">
              <w:rPr>
                <w:rFonts w:ascii="Arial" w:hAnsi="Arial" w:cs="Arial"/>
                <w:i/>
                <w:iCs/>
                <w:color w:val="000000"/>
                <w:sz w:val="20"/>
                <w:szCs w:val="20"/>
              </w:rPr>
              <w:t>RTP</w:t>
            </w:r>
            <w:r w:rsidRPr="00ED3D0B">
              <w:rPr>
                <w:rFonts w:ascii="Arial" w:hAnsi="Arial" w:cs="Arial"/>
                <w:color w:val="000000"/>
                <w:sz w:val="20"/>
                <w:szCs w:val="20"/>
              </w:rPr>
              <w:t>)</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color w:val="000000"/>
                <w:sz w:val="20"/>
                <w:szCs w:val="20"/>
              </w:rPr>
              <w:t>protokol standardizující paketové doručování zvukových a obrazových (video) dat</w:t>
            </w:r>
            <w:r w:rsidR="0047095F" w:rsidRPr="00ED3D0B">
              <w:rPr>
                <w:rFonts w:ascii="Arial" w:hAnsi="Arial" w:cs="Arial"/>
                <w:color w:val="000000"/>
                <w:sz w:val="20"/>
                <w:szCs w:val="20"/>
              </w:rPr>
              <w:t xml:space="preserve"> po </w:t>
            </w:r>
            <w:r w:rsidRPr="00ED3D0B">
              <w:rPr>
                <w:rFonts w:ascii="Arial" w:hAnsi="Arial" w:cs="Arial"/>
                <w:color w:val="000000"/>
                <w:sz w:val="20"/>
                <w:szCs w:val="20"/>
              </w:rPr>
              <w:t>internetu</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SDF</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Splitter</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Distribution</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Frame</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optický rozbočovač (</w:t>
            </w:r>
            <w:proofErr w:type="spellStart"/>
            <w:r w:rsidRPr="00ED3D0B">
              <w:rPr>
                <w:rFonts w:ascii="Arial" w:hAnsi="Arial" w:cs="Arial"/>
                <w:iCs/>
                <w:color w:val="000000"/>
                <w:sz w:val="20"/>
                <w:szCs w:val="20"/>
              </w:rPr>
              <w:t>splitter</w:t>
            </w:r>
            <w:proofErr w:type="spellEnd"/>
            <w:r w:rsidRPr="00ED3D0B">
              <w:rPr>
                <w:rFonts w:ascii="Arial" w:hAnsi="Arial" w:cs="Arial"/>
                <w:iCs/>
                <w:color w:val="000000"/>
                <w:sz w:val="20"/>
                <w:szCs w:val="20"/>
              </w:rPr>
              <w:t>)</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SDH</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Synchronous</w:t>
            </w:r>
            <w:proofErr w:type="spellEnd"/>
            <w:r w:rsidRPr="00ED3D0B">
              <w:rPr>
                <w:rFonts w:ascii="Arial" w:hAnsi="Arial" w:cs="Arial"/>
                <w:iCs/>
                <w:color w:val="000000"/>
                <w:sz w:val="20"/>
                <w:szCs w:val="20"/>
              </w:rPr>
              <w:t xml:space="preserve"> Digital Hierarchy</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synchronní digitální hierarchie</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color w:val="000000"/>
                <w:sz w:val="20"/>
                <w:szCs w:val="20"/>
              </w:rPr>
              <w:t>SDSL</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Symmetric</w:t>
            </w:r>
            <w:proofErr w:type="spellEnd"/>
            <w:r w:rsidRPr="00ED3D0B">
              <w:rPr>
                <w:rFonts w:ascii="Arial" w:hAnsi="Arial" w:cs="Arial"/>
                <w:iCs/>
                <w:color w:val="000000"/>
                <w:sz w:val="20"/>
                <w:szCs w:val="20"/>
              </w:rPr>
              <w:t xml:space="preserve"> Digital </w:t>
            </w:r>
            <w:proofErr w:type="spellStart"/>
            <w:r w:rsidRPr="00ED3D0B">
              <w:rPr>
                <w:rFonts w:ascii="Arial" w:hAnsi="Arial" w:cs="Arial"/>
                <w:iCs/>
                <w:color w:val="000000"/>
                <w:sz w:val="20"/>
                <w:szCs w:val="20"/>
              </w:rPr>
              <w:t>Subscriber</w:t>
            </w:r>
            <w:proofErr w:type="spellEnd"/>
            <w:r w:rsidRPr="00ED3D0B">
              <w:rPr>
                <w:rFonts w:ascii="Arial" w:hAnsi="Arial" w:cs="Arial"/>
                <w:iCs/>
                <w:color w:val="000000"/>
                <w:sz w:val="20"/>
                <w:szCs w:val="20"/>
              </w:rPr>
              <w:t xml:space="preserve"> Line</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sz w:val="20"/>
                <w:szCs w:val="20"/>
              </w:rPr>
              <w:t>symetrická digitální účastnická přípojka</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color w:val="000000"/>
                <w:sz w:val="20"/>
                <w:szCs w:val="20"/>
              </w:rPr>
            </w:pPr>
            <w:r w:rsidRPr="00ED3D0B">
              <w:rPr>
                <w:rFonts w:ascii="Arial" w:hAnsi="Arial" w:cs="Arial"/>
                <w:sz w:val="20"/>
                <w:szCs w:val="20"/>
              </w:rPr>
              <w:t>SFP</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Small</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Form-factor</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Pluggable</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standard pro optická zařízení</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SGSN</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Serving</w:t>
            </w:r>
            <w:proofErr w:type="spellEnd"/>
            <w:r w:rsidRPr="00ED3D0B">
              <w:rPr>
                <w:rFonts w:ascii="Arial" w:hAnsi="Arial" w:cs="Arial"/>
                <w:iCs/>
                <w:color w:val="000000"/>
                <w:sz w:val="20"/>
                <w:szCs w:val="20"/>
              </w:rPr>
              <w:t xml:space="preserve"> GPRS Support Node</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obslužný uzel GPRS</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SHDSL</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Single Pair </w:t>
            </w:r>
            <w:proofErr w:type="spellStart"/>
            <w:r w:rsidRPr="00ED3D0B">
              <w:rPr>
                <w:rFonts w:ascii="Arial" w:hAnsi="Arial" w:cs="Arial"/>
                <w:iCs/>
                <w:color w:val="000000"/>
                <w:sz w:val="20"/>
                <w:szCs w:val="20"/>
              </w:rPr>
              <w:t>High</w:t>
            </w:r>
            <w:proofErr w:type="spellEnd"/>
            <w:r w:rsidRPr="00ED3D0B">
              <w:rPr>
                <w:rFonts w:ascii="Arial" w:hAnsi="Arial" w:cs="Arial"/>
                <w:iCs/>
                <w:color w:val="000000"/>
                <w:sz w:val="20"/>
                <w:szCs w:val="20"/>
              </w:rPr>
              <w:t xml:space="preserve"> Speed Digital </w:t>
            </w:r>
            <w:proofErr w:type="spellStart"/>
            <w:r w:rsidRPr="00ED3D0B">
              <w:rPr>
                <w:rFonts w:ascii="Arial" w:hAnsi="Arial" w:cs="Arial"/>
                <w:iCs/>
                <w:color w:val="000000"/>
                <w:sz w:val="20"/>
                <w:szCs w:val="20"/>
              </w:rPr>
              <w:t>Subscriber</w:t>
            </w:r>
            <w:proofErr w:type="spellEnd"/>
            <w:r w:rsidRPr="00ED3D0B">
              <w:rPr>
                <w:rFonts w:ascii="Arial" w:hAnsi="Arial" w:cs="Arial"/>
                <w:iCs/>
                <w:color w:val="000000"/>
                <w:sz w:val="20"/>
                <w:szCs w:val="20"/>
              </w:rPr>
              <w:t xml:space="preserve"> Line</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sz w:val="20"/>
                <w:szCs w:val="20"/>
              </w:rPr>
              <w:t>symetrická digitální účastnická přípojka o vysokých rychlostech</w:t>
            </w:r>
            <w:r w:rsidR="0047095F" w:rsidRPr="00ED3D0B">
              <w:rPr>
                <w:rFonts w:ascii="Arial" w:hAnsi="Arial" w:cs="Arial"/>
                <w:sz w:val="20"/>
                <w:szCs w:val="20"/>
              </w:rPr>
              <w:t xml:space="preserve"> na </w:t>
            </w:r>
            <w:r w:rsidRPr="00ED3D0B">
              <w:rPr>
                <w:rFonts w:ascii="Arial" w:hAnsi="Arial" w:cs="Arial"/>
                <w:sz w:val="20"/>
                <w:szCs w:val="20"/>
              </w:rPr>
              <w:t>jednom páru vedení</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SMS</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Short</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message</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service</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služba krátkých textových zpráv</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SMSC</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Short</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message</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service</w:t>
            </w:r>
            <w:proofErr w:type="spellEnd"/>
            <w:r w:rsidRPr="00ED3D0B">
              <w:rPr>
                <w:rFonts w:ascii="Arial" w:hAnsi="Arial" w:cs="Arial"/>
                <w:iCs/>
                <w:color w:val="000000"/>
                <w:sz w:val="20"/>
                <w:szCs w:val="20"/>
              </w:rPr>
              <w:t xml:space="preserve"> center</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centrum služby krátkých textových zpráv</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SOPS</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sekundární optická přístupová síť</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SPL</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splitter</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rozbočovač</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SPÚ</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sdílený přístup k úseku účastnického vedení</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SPV</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sdílený přístup k účastnickému vedení</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SR</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síťový rozvaděč</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STM</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Synchronouse</w:t>
            </w:r>
            <w:proofErr w:type="spellEnd"/>
            <w:r w:rsidRPr="00ED3D0B">
              <w:rPr>
                <w:rFonts w:ascii="Arial" w:hAnsi="Arial" w:cs="Arial"/>
                <w:iCs/>
                <w:color w:val="000000"/>
                <w:sz w:val="20"/>
                <w:szCs w:val="20"/>
              </w:rPr>
              <w:t xml:space="preserve"> Transfer Mode</w:t>
            </w:r>
          </w:p>
        </w:tc>
        <w:tc>
          <w:tcPr>
            <w:tcW w:w="4471" w:type="dxa"/>
            <w:shd w:val="clear" w:color="auto" w:fill="auto"/>
            <w:vAlign w:val="center"/>
          </w:tcPr>
          <w:p w:rsidR="00FE1C53" w:rsidRPr="00ED3D0B" w:rsidRDefault="00D80B05" w:rsidP="00FE1C53">
            <w:pPr>
              <w:rPr>
                <w:rFonts w:ascii="Arial" w:hAnsi="Arial" w:cs="Arial"/>
                <w:iCs/>
                <w:color w:val="000000"/>
                <w:sz w:val="20"/>
                <w:szCs w:val="20"/>
              </w:rPr>
            </w:pPr>
            <w:r w:rsidRPr="00ED3D0B">
              <w:rPr>
                <w:rFonts w:ascii="Arial" w:hAnsi="Arial" w:cs="Arial"/>
                <w:iCs/>
                <w:color w:val="000000"/>
                <w:sz w:val="20"/>
                <w:szCs w:val="20"/>
              </w:rPr>
              <w:t>d</w:t>
            </w:r>
            <w:r w:rsidR="00FE1C53" w:rsidRPr="00ED3D0B">
              <w:rPr>
                <w:rFonts w:ascii="Arial" w:hAnsi="Arial" w:cs="Arial"/>
                <w:iCs/>
                <w:color w:val="000000"/>
                <w:sz w:val="20"/>
                <w:szCs w:val="20"/>
              </w:rPr>
              <w:t>igitální přenosový systém</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TDM</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Time </w:t>
            </w:r>
            <w:proofErr w:type="spellStart"/>
            <w:r w:rsidRPr="00ED3D0B">
              <w:rPr>
                <w:rFonts w:ascii="Arial" w:hAnsi="Arial" w:cs="Arial"/>
                <w:iCs/>
                <w:color w:val="000000"/>
                <w:sz w:val="20"/>
                <w:szCs w:val="20"/>
              </w:rPr>
              <w:t>Division</w:t>
            </w:r>
            <w:proofErr w:type="spellEnd"/>
            <w:r w:rsidRPr="00ED3D0B">
              <w:rPr>
                <w:rFonts w:ascii="Arial" w:hAnsi="Arial" w:cs="Arial"/>
                <w:iCs/>
                <w:color w:val="000000"/>
                <w:sz w:val="20"/>
                <w:szCs w:val="20"/>
              </w:rPr>
              <w:t xml:space="preserve"> Multiplex</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multiplex s časovým dělením</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TR</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traťový rozvaděč</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TRX</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Style w:val="st"/>
                <w:rFonts w:ascii="Arial" w:hAnsi="Arial" w:cs="Arial"/>
                <w:sz w:val="20"/>
                <w:szCs w:val="20"/>
              </w:rPr>
              <w:t>TRANSMIT RECEIVER</w:t>
            </w:r>
          </w:p>
        </w:tc>
        <w:tc>
          <w:tcPr>
            <w:tcW w:w="4471" w:type="dxa"/>
            <w:shd w:val="clear" w:color="auto" w:fill="auto"/>
            <w:vAlign w:val="center"/>
          </w:tcPr>
          <w:p w:rsidR="00FE1C53" w:rsidRPr="00ED3D0B" w:rsidRDefault="00D80B05" w:rsidP="00FE1C53">
            <w:pPr>
              <w:rPr>
                <w:rFonts w:ascii="Arial" w:hAnsi="Arial" w:cs="Arial"/>
                <w:iCs/>
                <w:color w:val="000000"/>
                <w:sz w:val="20"/>
                <w:szCs w:val="20"/>
              </w:rPr>
            </w:pPr>
            <w:r w:rsidRPr="00ED3D0B">
              <w:rPr>
                <w:rFonts w:ascii="Arial" w:hAnsi="Arial" w:cs="Arial"/>
                <w:iCs/>
                <w:color w:val="000000"/>
                <w:sz w:val="20"/>
                <w:szCs w:val="20"/>
              </w:rPr>
              <w:t>p</w:t>
            </w:r>
            <w:r w:rsidR="00FE1C53" w:rsidRPr="00ED3D0B">
              <w:rPr>
                <w:rFonts w:ascii="Arial" w:hAnsi="Arial" w:cs="Arial"/>
                <w:iCs/>
                <w:color w:val="000000"/>
                <w:sz w:val="20"/>
                <w:szCs w:val="20"/>
              </w:rPr>
              <w:t>řijímač/vysílač</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TU</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tranzitní uzel</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UMTS</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Universal Mobile </w:t>
            </w:r>
            <w:proofErr w:type="spellStart"/>
            <w:r w:rsidRPr="00ED3D0B">
              <w:rPr>
                <w:rFonts w:ascii="Arial" w:hAnsi="Arial" w:cs="Arial"/>
                <w:iCs/>
                <w:color w:val="000000"/>
                <w:sz w:val="20"/>
                <w:szCs w:val="20"/>
              </w:rPr>
              <w:t>Telecommunication</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System</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standard pro mobilní sítě 3. generace</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UPS</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Uninterruptible</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Power</w:t>
            </w:r>
            <w:proofErr w:type="spellEnd"/>
            <w:r w:rsidRPr="00ED3D0B">
              <w:rPr>
                <w:rFonts w:ascii="Arial" w:hAnsi="Arial" w:cs="Arial"/>
                <w:iCs/>
                <w:color w:val="000000"/>
                <w:sz w:val="20"/>
                <w:szCs w:val="20"/>
              </w:rPr>
              <w:t xml:space="preserve"> Supply (Source)</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nepřerušitelný zdroj energie</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ÚR</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účastnický rozvaděč</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VDSL</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Very </w:t>
            </w:r>
            <w:proofErr w:type="spellStart"/>
            <w:r w:rsidRPr="00ED3D0B">
              <w:rPr>
                <w:rFonts w:ascii="Arial" w:hAnsi="Arial" w:cs="Arial"/>
                <w:iCs/>
                <w:color w:val="000000"/>
                <w:sz w:val="20"/>
                <w:szCs w:val="20"/>
              </w:rPr>
              <w:t>High</w:t>
            </w:r>
            <w:proofErr w:type="spellEnd"/>
            <w:r w:rsidRPr="00ED3D0B">
              <w:rPr>
                <w:rFonts w:ascii="Arial" w:hAnsi="Arial" w:cs="Arial"/>
                <w:iCs/>
                <w:color w:val="000000"/>
                <w:sz w:val="20"/>
                <w:szCs w:val="20"/>
              </w:rPr>
              <w:t xml:space="preserve"> Speed Digital </w:t>
            </w:r>
            <w:proofErr w:type="spellStart"/>
            <w:r w:rsidRPr="00ED3D0B">
              <w:rPr>
                <w:rFonts w:ascii="Arial" w:hAnsi="Arial" w:cs="Arial"/>
                <w:iCs/>
                <w:color w:val="000000"/>
                <w:sz w:val="20"/>
                <w:szCs w:val="20"/>
              </w:rPr>
              <w:t>Subscriber</w:t>
            </w:r>
            <w:proofErr w:type="spellEnd"/>
            <w:r w:rsidRPr="00ED3D0B">
              <w:rPr>
                <w:rFonts w:ascii="Arial" w:hAnsi="Arial" w:cs="Arial"/>
                <w:iCs/>
                <w:color w:val="000000"/>
                <w:sz w:val="20"/>
                <w:szCs w:val="20"/>
              </w:rPr>
              <w:t xml:space="preserve"> Line</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sz w:val="20"/>
                <w:szCs w:val="20"/>
              </w:rPr>
              <w:t>velmi rychlý přenos dat</w:t>
            </w:r>
            <w:r w:rsidR="0047095F" w:rsidRPr="00ED3D0B">
              <w:rPr>
                <w:rFonts w:ascii="Arial" w:hAnsi="Arial" w:cs="Arial"/>
                <w:sz w:val="20"/>
                <w:szCs w:val="20"/>
              </w:rPr>
              <w:t xml:space="preserve"> na </w:t>
            </w:r>
            <w:r w:rsidRPr="00ED3D0B">
              <w:rPr>
                <w:rFonts w:ascii="Arial" w:hAnsi="Arial" w:cs="Arial"/>
                <w:sz w:val="20"/>
                <w:szCs w:val="20"/>
              </w:rPr>
              <w:t>jednom metalickém vedení</w:t>
            </w:r>
            <w:r w:rsidR="0047095F" w:rsidRPr="00ED3D0B">
              <w:rPr>
                <w:rFonts w:ascii="Arial" w:hAnsi="Arial" w:cs="Arial"/>
                <w:sz w:val="20"/>
                <w:szCs w:val="20"/>
              </w:rPr>
              <w:t xml:space="preserve"> na </w:t>
            </w:r>
            <w:r w:rsidRPr="00ED3D0B">
              <w:rPr>
                <w:rFonts w:ascii="Arial" w:hAnsi="Arial" w:cs="Arial"/>
                <w:sz w:val="20"/>
                <w:szCs w:val="20"/>
              </w:rPr>
              <w:t>krátkou vzdálenost</w:t>
            </w:r>
          </w:p>
        </w:tc>
      </w:tr>
      <w:tr w:rsidR="00FE1C53" w:rsidRPr="00D51353"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proofErr w:type="spellStart"/>
            <w:r w:rsidRPr="00ED3D0B">
              <w:rPr>
                <w:rFonts w:ascii="Arial" w:hAnsi="Arial" w:cs="Arial"/>
                <w:sz w:val="20"/>
                <w:szCs w:val="20"/>
              </w:rPr>
              <w:t>VoIP</w:t>
            </w:r>
            <w:proofErr w:type="spellEnd"/>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Voice</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over</w:t>
            </w:r>
            <w:proofErr w:type="spellEnd"/>
            <w:r w:rsidRPr="00ED3D0B">
              <w:rPr>
                <w:rFonts w:ascii="Arial" w:hAnsi="Arial" w:cs="Arial"/>
                <w:iCs/>
                <w:color w:val="000000"/>
                <w:sz w:val="20"/>
                <w:szCs w:val="20"/>
              </w:rPr>
              <w:t xml:space="preserve"> IP</w:t>
            </w:r>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sz w:val="20"/>
                <w:szCs w:val="20"/>
              </w:rPr>
              <w:t>hlasová služba s využitím IP protokolu, IP telefonie</w:t>
            </w:r>
          </w:p>
        </w:tc>
      </w:tr>
      <w:tr w:rsidR="00FE1C53" w:rsidRPr="000B133B"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WACC</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proofErr w:type="spellStart"/>
            <w:r w:rsidRPr="00ED3D0B">
              <w:rPr>
                <w:rFonts w:ascii="Arial" w:hAnsi="Arial" w:cs="Arial"/>
                <w:iCs/>
                <w:color w:val="000000"/>
                <w:sz w:val="20"/>
                <w:szCs w:val="20"/>
              </w:rPr>
              <w:t>Weighted</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Average</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Cost</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of</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Capital</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vážené průměrné náklady</w:t>
            </w:r>
            <w:r w:rsidR="0047095F" w:rsidRPr="00ED3D0B">
              <w:rPr>
                <w:rFonts w:ascii="Arial" w:hAnsi="Arial" w:cs="Arial"/>
                <w:iCs/>
                <w:color w:val="000000"/>
                <w:sz w:val="20"/>
                <w:szCs w:val="20"/>
              </w:rPr>
              <w:t xml:space="preserve"> na </w:t>
            </w:r>
            <w:r w:rsidRPr="00ED3D0B">
              <w:rPr>
                <w:rFonts w:ascii="Arial" w:hAnsi="Arial" w:cs="Arial"/>
                <w:iCs/>
                <w:color w:val="000000"/>
                <w:sz w:val="20"/>
                <w:szCs w:val="20"/>
              </w:rPr>
              <w:t>kapitál</w:t>
            </w:r>
          </w:p>
        </w:tc>
      </w:tr>
      <w:tr w:rsidR="00FE1C53" w:rsidRPr="000B133B" w:rsidTr="00ED3D0B">
        <w:trPr>
          <w:jc w:val="center"/>
        </w:trPr>
        <w:tc>
          <w:tcPr>
            <w:tcW w:w="1649" w:type="dxa"/>
            <w:shd w:val="clear" w:color="auto" w:fill="auto"/>
            <w:vAlign w:val="center"/>
          </w:tcPr>
          <w:p w:rsidR="00FE1C53" w:rsidRPr="00ED3D0B" w:rsidRDefault="00FE1C53" w:rsidP="00FE1C53">
            <w:pPr>
              <w:rPr>
                <w:rFonts w:ascii="Arial" w:hAnsi="Arial" w:cs="Arial"/>
                <w:sz w:val="20"/>
                <w:szCs w:val="20"/>
              </w:rPr>
            </w:pPr>
            <w:r w:rsidRPr="00ED3D0B">
              <w:rPr>
                <w:rFonts w:ascii="Arial" w:hAnsi="Arial" w:cs="Arial"/>
                <w:sz w:val="20"/>
                <w:szCs w:val="20"/>
              </w:rPr>
              <w:t>XFP</w:t>
            </w:r>
          </w:p>
        </w:tc>
        <w:tc>
          <w:tcPr>
            <w:tcW w:w="2942"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 xml:space="preserve">10 Gigabit </w:t>
            </w:r>
            <w:proofErr w:type="spellStart"/>
            <w:r w:rsidRPr="00ED3D0B">
              <w:rPr>
                <w:rFonts w:ascii="Arial" w:hAnsi="Arial" w:cs="Arial"/>
                <w:iCs/>
                <w:color w:val="000000"/>
                <w:sz w:val="20"/>
                <w:szCs w:val="20"/>
              </w:rPr>
              <w:t>Small</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Form</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Factor</w:t>
            </w:r>
            <w:proofErr w:type="spellEnd"/>
            <w:r w:rsidRPr="00ED3D0B">
              <w:rPr>
                <w:rFonts w:ascii="Arial" w:hAnsi="Arial" w:cs="Arial"/>
                <w:iCs/>
                <w:color w:val="000000"/>
                <w:sz w:val="20"/>
                <w:szCs w:val="20"/>
              </w:rPr>
              <w:t xml:space="preserve"> </w:t>
            </w:r>
            <w:proofErr w:type="spellStart"/>
            <w:r w:rsidRPr="00ED3D0B">
              <w:rPr>
                <w:rFonts w:ascii="Arial" w:hAnsi="Arial" w:cs="Arial"/>
                <w:iCs/>
                <w:color w:val="000000"/>
                <w:sz w:val="20"/>
                <w:szCs w:val="20"/>
              </w:rPr>
              <w:t>Pluggable</w:t>
            </w:r>
            <w:proofErr w:type="spellEnd"/>
          </w:p>
        </w:tc>
        <w:tc>
          <w:tcPr>
            <w:tcW w:w="4471" w:type="dxa"/>
            <w:shd w:val="clear" w:color="auto" w:fill="auto"/>
            <w:vAlign w:val="center"/>
          </w:tcPr>
          <w:p w:rsidR="00FE1C53" w:rsidRPr="00ED3D0B" w:rsidRDefault="00FE1C53" w:rsidP="00FE1C53">
            <w:pPr>
              <w:rPr>
                <w:rFonts w:ascii="Arial" w:hAnsi="Arial" w:cs="Arial"/>
                <w:iCs/>
                <w:color w:val="000000"/>
                <w:sz w:val="20"/>
                <w:szCs w:val="20"/>
              </w:rPr>
            </w:pPr>
            <w:r w:rsidRPr="00ED3D0B">
              <w:rPr>
                <w:rFonts w:ascii="Arial" w:hAnsi="Arial" w:cs="Arial"/>
                <w:iCs/>
                <w:color w:val="000000"/>
                <w:sz w:val="20"/>
                <w:szCs w:val="20"/>
              </w:rPr>
              <w:t>standard pro optická zařízení</w:t>
            </w:r>
          </w:p>
        </w:tc>
      </w:tr>
    </w:tbl>
    <w:p w:rsidR="00242A0C" w:rsidRDefault="00242A0C" w:rsidP="00242A0C">
      <w:pPr>
        <w:widowControl w:val="0"/>
        <w:tabs>
          <w:tab w:val="left" w:pos="540"/>
        </w:tabs>
        <w:autoSpaceDE w:val="0"/>
        <w:autoSpaceDN w:val="0"/>
        <w:adjustRightInd w:val="0"/>
        <w:spacing w:before="87"/>
        <w:ind w:left="136"/>
        <w:rPr>
          <w:rFonts w:ascii="Arial" w:hAnsi="Arial" w:cs="Arial"/>
          <w:sz w:val="12"/>
          <w:szCs w:val="12"/>
        </w:rPr>
        <w:sectPr w:rsidR="00242A0C">
          <w:footerReference w:type="default" r:id="rId23"/>
          <w:type w:val="continuous"/>
          <w:pgSz w:w="11920" w:h="16840"/>
          <w:pgMar w:top="1340" w:right="1040" w:bottom="280" w:left="1040" w:header="708" w:footer="708" w:gutter="0"/>
          <w:cols w:space="708" w:equalWidth="0">
            <w:col w:w="9840"/>
          </w:cols>
          <w:noEndnote/>
        </w:sectPr>
      </w:pPr>
    </w:p>
    <w:p w:rsidR="00242A0C" w:rsidRPr="00AA6417" w:rsidRDefault="00242A0C" w:rsidP="000E243E">
      <w:pPr>
        <w:widowControl w:val="0"/>
        <w:autoSpaceDE w:val="0"/>
        <w:autoSpaceDN w:val="0"/>
        <w:adjustRightInd w:val="0"/>
        <w:spacing w:before="77"/>
        <w:ind w:right="-2"/>
        <w:rPr>
          <w:rFonts w:ascii="Arial" w:hAnsi="Arial" w:cs="Arial"/>
          <w:b/>
          <w:bCs/>
          <w:sz w:val="22"/>
          <w:szCs w:val="22"/>
        </w:rPr>
      </w:pPr>
      <w:r w:rsidRPr="00852FF0">
        <w:rPr>
          <w:rFonts w:ascii="Arial" w:hAnsi="Arial" w:cs="Arial"/>
          <w:b/>
          <w:bCs/>
          <w:sz w:val="22"/>
          <w:szCs w:val="22"/>
          <w:highlight w:val="yellow"/>
        </w:rPr>
        <w:lastRenderedPageBreak/>
        <w:t>Odůvodnění</w:t>
      </w:r>
      <w:r w:rsidR="005B4607" w:rsidRPr="00852FF0">
        <w:rPr>
          <w:rFonts w:ascii="Arial" w:hAnsi="Arial" w:cs="Arial"/>
          <w:b/>
          <w:bCs/>
          <w:sz w:val="22"/>
          <w:szCs w:val="22"/>
          <w:highlight w:val="yellow"/>
        </w:rPr>
        <w:t xml:space="preserve"> k</w:t>
      </w:r>
      <w:r w:rsidR="000E243E" w:rsidRPr="00852FF0">
        <w:rPr>
          <w:rFonts w:ascii="Arial" w:hAnsi="Arial" w:cs="Arial"/>
          <w:b/>
          <w:bCs/>
          <w:sz w:val="22"/>
          <w:szCs w:val="22"/>
          <w:highlight w:val="yellow"/>
        </w:rPr>
        <w:t xml:space="preserve"> opatření obecné povahy č. </w:t>
      </w:r>
      <w:r w:rsidR="000E243E" w:rsidRPr="00852FF0">
        <w:rPr>
          <w:rFonts w:ascii="Arial" w:hAnsi="Arial" w:cs="Arial"/>
          <w:b/>
          <w:bCs/>
          <w:color w:val="000000"/>
          <w:sz w:val="22"/>
          <w:szCs w:val="22"/>
          <w:highlight w:val="yellow"/>
        </w:rPr>
        <w:t>OOP/4/09.2014-6 ze dne 3. září 2014</w:t>
      </w:r>
    </w:p>
    <w:p w:rsidR="00242A0C" w:rsidRPr="00AA6417" w:rsidRDefault="00242A0C" w:rsidP="00242A0C">
      <w:pPr>
        <w:widowControl w:val="0"/>
        <w:autoSpaceDE w:val="0"/>
        <w:autoSpaceDN w:val="0"/>
        <w:adjustRightInd w:val="0"/>
        <w:spacing w:before="8" w:line="110" w:lineRule="exact"/>
        <w:rPr>
          <w:rFonts w:ascii="Arial" w:hAnsi="Arial" w:cs="Arial"/>
          <w:sz w:val="11"/>
          <w:szCs w:val="11"/>
        </w:rPr>
      </w:pPr>
    </w:p>
    <w:p w:rsidR="00242A0C" w:rsidRPr="00AA6417" w:rsidRDefault="00242A0C" w:rsidP="006532BE">
      <w:pPr>
        <w:widowControl w:val="0"/>
        <w:autoSpaceDE w:val="0"/>
        <w:autoSpaceDN w:val="0"/>
        <w:adjustRightInd w:val="0"/>
        <w:ind w:firstLine="828"/>
        <w:jc w:val="both"/>
        <w:rPr>
          <w:rFonts w:ascii="Arial" w:hAnsi="Arial" w:cs="Arial"/>
          <w:sz w:val="22"/>
          <w:szCs w:val="22"/>
        </w:rPr>
      </w:pPr>
      <w:r w:rsidRPr="00AA6417">
        <w:rPr>
          <w:rFonts w:ascii="Arial" w:hAnsi="Arial" w:cs="Arial"/>
          <w:sz w:val="22"/>
          <w:szCs w:val="22"/>
        </w:rPr>
        <w:t>Úřad</w:t>
      </w:r>
      <w:r w:rsidRPr="00AA6417">
        <w:rPr>
          <w:rFonts w:ascii="Arial" w:hAnsi="Arial" w:cs="Arial"/>
          <w:spacing w:val="16"/>
          <w:sz w:val="22"/>
          <w:szCs w:val="22"/>
        </w:rPr>
        <w:t xml:space="preserve"> </w:t>
      </w:r>
      <w:r w:rsidRPr="00AA6417">
        <w:rPr>
          <w:rFonts w:ascii="Arial" w:hAnsi="Arial" w:cs="Arial"/>
          <w:sz w:val="22"/>
          <w:szCs w:val="22"/>
        </w:rPr>
        <w:t>vydává</w:t>
      </w:r>
      <w:r w:rsidRPr="00AA6417">
        <w:rPr>
          <w:rFonts w:ascii="Arial" w:hAnsi="Arial" w:cs="Arial"/>
          <w:spacing w:val="14"/>
          <w:sz w:val="22"/>
          <w:szCs w:val="22"/>
        </w:rPr>
        <w:t xml:space="preserve"> k</w:t>
      </w:r>
      <w:r w:rsidR="00F7734F" w:rsidRPr="00AA6417">
        <w:rPr>
          <w:rFonts w:ascii="Arial" w:hAnsi="Arial" w:cs="Arial"/>
          <w:spacing w:val="14"/>
          <w:sz w:val="22"/>
          <w:szCs w:val="22"/>
        </w:rPr>
        <w:t xml:space="preserve"> </w:t>
      </w:r>
      <w:r w:rsidRPr="00AA6417">
        <w:rPr>
          <w:rFonts w:ascii="Arial" w:hAnsi="Arial" w:cs="Arial"/>
          <w:sz w:val="22"/>
          <w:szCs w:val="22"/>
        </w:rPr>
        <w:t>provedení</w:t>
      </w:r>
      <w:r w:rsidRPr="00AA6417">
        <w:rPr>
          <w:rFonts w:ascii="Arial" w:hAnsi="Arial" w:cs="Arial"/>
          <w:spacing w:val="11"/>
          <w:sz w:val="22"/>
          <w:szCs w:val="22"/>
        </w:rPr>
        <w:t xml:space="preserve"> </w:t>
      </w:r>
      <w:r w:rsidRPr="00AA6417">
        <w:rPr>
          <w:rFonts w:ascii="Arial" w:hAnsi="Arial" w:cs="Arial"/>
          <w:sz w:val="22"/>
          <w:szCs w:val="22"/>
        </w:rPr>
        <w:t>§</w:t>
      </w:r>
      <w:r w:rsidRPr="00AA6417">
        <w:rPr>
          <w:rFonts w:ascii="Arial" w:hAnsi="Arial" w:cs="Arial"/>
          <w:spacing w:val="20"/>
          <w:sz w:val="22"/>
          <w:szCs w:val="22"/>
        </w:rPr>
        <w:t xml:space="preserve"> </w:t>
      </w:r>
      <w:r w:rsidRPr="00AA6417">
        <w:rPr>
          <w:rFonts w:ascii="Arial" w:hAnsi="Arial" w:cs="Arial"/>
          <w:sz w:val="22"/>
          <w:szCs w:val="22"/>
        </w:rPr>
        <w:t>86</w:t>
      </w:r>
      <w:r w:rsidRPr="00AA6417">
        <w:rPr>
          <w:rFonts w:ascii="Arial" w:hAnsi="Arial" w:cs="Arial"/>
          <w:spacing w:val="19"/>
          <w:sz w:val="22"/>
          <w:szCs w:val="22"/>
        </w:rPr>
        <w:t xml:space="preserve"> </w:t>
      </w:r>
      <w:r w:rsidRPr="00AA6417">
        <w:rPr>
          <w:rFonts w:ascii="Arial" w:hAnsi="Arial" w:cs="Arial"/>
          <w:sz w:val="22"/>
          <w:szCs w:val="22"/>
        </w:rPr>
        <w:t>ods</w:t>
      </w:r>
      <w:r w:rsidRPr="00AA6417">
        <w:rPr>
          <w:rFonts w:ascii="Arial" w:hAnsi="Arial" w:cs="Arial"/>
          <w:spacing w:val="-1"/>
          <w:sz w:val="22"/>
          <w:szCs w:val="22"/>
        </w:rPr>
        <w:t>t</w:t>
      </w:r>
      <w:r w:rsidRPr="00AA6417">
        <w:rPr>
          <w:rFonts w:ascii="Arial" w:hAnsi="Arial" w:cs="Arial"/>
          <w:sz w:val="22"/>
          <w:szCs w:val="22"/>
        </w:rPr>
        <w:t>.</w:t>
      </w:r>
      <w:r w:rsidRPr="00AA6417">
        <w:rPr>
          <w:rFonts w:ascii="Arial" w:hAnsi="Arial" w:cs="Arial"/>
          <w:spacing w:val="17"/>
          <w:sz w:val="22"/>
          <w:szCs w:val="22"/>
        </w:rPr>
        <w:t xml:space="preserve"> </w:t>
      </w:r>
      <w:r w:rsidRPr="00AA6417">
        <w:rPr>
          <w:rFonts w:ascii="Arial" w:hAnsi="Arial" w:cs="Arial"/>
          <w:sz w:val="22"/>
          <w:szCs w:val="22"/>
        </w:rPr>
        <w:t>3</w:t>
      </w:r>
      <w:r w:rsidRPr="00AA6417">
        <w:rPr>
          <w:rFonts w:ascii="Arial" w:hAnsi="Arial" w:cs="Arial"/>
          <w:spacing w:val="20"/>
          <w:sz w:val="22"/>
          <w:szCs w:val="22"/>
        </w:rPr>
        <w:t xml:space="preserve"> </w:t>
      </w:r>
      <w:r w:rsidRPr="00AA6417">
        <w:rPr>
          <w:rFonts w:ascii="Arial" w:hAnsi="Arial" w:cs="Arial"/>
          <w:sz w:val="22"/>
          <w:szCs w:val="22"/>
        </w:rPr>
        <w:t>zákona</w:t>
      </w:r>
      <w:r w:rsidRPr="00AA6417">
        <w:rPr>
          <w:rFonts w:ascii="Arial" w:hAnsi="Arial" w:cs="Arial"/>
          <w:spacing w:val="13"/>
          <w:sz w:val="22"/>
          <w:szCs w:val="22"/>
        </w:rPr>
        <w:t xml:space="preserve"> </w:t>
      </w:r>
      <w:r w:rsidRPr="00AA6417">
        <w:rPr>
          <w:rFonts w:ascii="Arial" w:hAnsi="Arial" w:cs="Arial"/>
          <w:sz w:val="22"/>
          <w:szCs w:val="22"/>
        </w:rPr>
        <w:t>opa</w:t>
      </w:r>
      <w:r w:rsidRPr="00AA6417">
        <w:rPr>
          <w:rFonts w:ascii="Arial" w:hAnsi="Arial" w:cs="Arial"/>
          <w:spacing w:val="1"/>
          <w:sz w:val="22"/>
          <w:szCs w:val="22"/>
        </w:rPr>
        <w:t>t</w:t>
      </w:r>
      <w:r w:rsidRPr="00AA6417">
        <w:rPr>
          <w:rFonts w:ascii="Arial" w:hAnsi="Arial" w:cs="Arial"/>
          <w:sz w:val="22"/>
          <w:szCs w:val="22"/>
        </w:rPr>
        <w:t>ření,</w:t>
      </w:r>
      <w:r w:rsidRPr="00AA6417">
        <w:rPr>
          <w:rFonts w:ascii="Arial" w:hAnsi="Arial" w:cs="Arial"/>
          <w:spacing w:val="12"/>
          <w:sz w:val="22"/>
          <w:szCs w:val="22"/>
        </w:rPr>
        <w:t xml:space="preserve"> </w:t>
      </w:r>
      <w:r w:rsidRPr="00AA6417">
        <w:rPr>
          <w:rFonts w:ascii="Arial" w:hAnsi="Arial" w:cs="Arial"/>
          <w:sz w:val="22"/>
          <w:szCs w:val="22"/>
        </w:rPr>
        <w:t>k</w:t>
      </w:r>
      <w:r w:rsidRPr="00AA6417">
        <w:rPr>
          <w:rFonts w:ascii="Arial" w:hAnsi="Arial" w:cs="Arial"/>
          <w:spacing w:val="-1"/>
          <w:sz w:val="22"/>
          <w:szCs w:val="22"/>
        </w:rPr>
        <w:t>t</w:t>
      </w:r>
      <w:r w:rsidRPr="00AA6417">
        <w:rPr>
          <w:rFonts w:ascii="Arial" w:hAnsi="Arial" w:cs="Arial"/>
          <w:sz w:val="22"/>
          <w:szCs w:val="22"/>
        </w:rPr>
        <w:t>erým</w:t>
      </w:r>
      <w:r w:rsidRPr="00AA6417">
        <w:rPr>
          <w:rFonts w:ascii="Arial" w:hAnsi="Arial" w:cs="Arial"/>
          <w:spacing w:val="14"/>
          <w:sz w:val="22"/>
          <w:szCs w:val="22"/>
        </w:rPr>
        <w:t xml:space="preserve"> </w:t>
      </w:r>
      <w:r w:rsidRPr="00AA6417">
        <w:rPr>
          <w:rFonts w:ascii="Arial" w:hAnsi="Arial" w:cs="Arial"/>
          <w:sz w:val="22"/>
          <w:szCs w:val="22"/>
        </w:rPr>
        <w:t>se</w:t>
      </w:r>
      <w:r w:rsidRPr="00AA6417">
        <w:rPr>
          <w:rFonts w:ascii="Arial" w:hAnsi="Arial" w:cs="Arial"/>
          <w:spacing w:val="19"/>
          <w:sz w:val="22"/>
          <w:szCs w:val="22"/>
        </w:rPr>
        <w:t xml:space="preserve"> </w:t>
      </w:r>
      <w:r w:rsidRPr="00AA6417">
        <w:rPr>
          <w:rFonts w:ascii="Arial" w:hAnsi="Arial" w:cs="Arial"/>
          <w:sz w:val="22"/>
          <w:szCs w:val="22"/>
        </w:rPr>
        <w:t>st</w:t>
      </w:r>
      <w:r w:rsidRPr="00AA6417">
        <w:rPr>
          <w:rFonts w:ascii="Arial" w:hAnsi="Arial" w:cs="Arial"/>
          <w:spacing w:val="-1"/>
          <w:sz w:val="22"/>
          <w:szCs w:val="22"/>
        </w:rPr>
        <w:t>a</w:t>
      </w:r>
      <w:r w:rsidRPr="00AA6417">
        <w:rPr>
          <w:rFonts w:ascii="Arial" w:hAnsi="Arial" w:cs="Arial"/>
          <w:sz w:val="22"/>
          <w:szCs w:val="22"/>
        </w:rPr>
        <w:t>noví</w:t>
      </w:r>
      <w:r w:rsidRPr="00AA6417">
        <w:rPr>
          <w:rFonts w:ascii="Arial" w:hAnsi="Arial" w:cs="Arial"/>
          <w:spacing w:val="14"/>
          <w:sz w:val="22"/>
          <w:szCs w:val="22"/>
        </w:rPr>
        <w:t xml:space="preserve"> pro</w:t>
      </w:r>
      <w:r w:rsidR="00F7734F" w:rsidRPr="00AA6417">
        <w:rPr>
          <w:rFonts w:ascii="Arial" w:hAnsi="Arial" w:cs="Arial"/>
          <w:spacing w:val="14"/>
          <w:sz w:val="22"/>
          <w:szCs w:val="22"/>
        </w:rPr>
        <w:t xml:space="preserve"> </w:t>
      </w:r>
      <w:r w:rsidRPr="00AA6417">
        <w:rPr>
          <w:rFonts w:ascii="Arial" w:hAnsi="Arial" w:cs="Arial"/>
          <w:sz w:val="22"/>
          <w:szCs w:val="22"/>
        </w:rPr>
        <w:t>ú</w:t>
      </w:r>
      <w:r w:rsidRPr="00AA6417">
        <w:rPr>
          <w:rFonts w:ascii="Arial" w:hAnsi="Arial" w:cs="Arial"/>
          <w:spacing w:val="1"/>
          <w:sz w:val="22"/>
          <w:szCs w:val="22"/>
        </w:rPr>
        <w:t>č</w:t>
      </w:r>
      <w:r w:rsidRPr="00AA6417">
        <w:rPr>
          <w:rFonts w:ascii="Arial" w:hAnsi="Arial" w:cs="Arial"/>
          <w:sz w:val="22"/>
          <w:szCs w:val="22"/>
        </w:rPr>
        <w:t>ely oddělené</w:t>
      </w:r>
      <w:r w:rsidRPr="00AA6417">
        <w:rPr>
          <w:rFonts w:ascii="Arial" w:hAnsi="Arial" w:cs="Arial"/>
          <w:spacing w:val="2"/>
          <w:sz w:val="22"/>
          <w:szCs w:val="22"/>
        </w:rPr>
        <w:t xml:space="preserve"> </w:t>
      </w:r>
      <w:r w:rsidRPr="00AA6417">
        <w:rPr>
          <w:rFonts w:ascii="Arial" w:hAnsi="Arial" w:cs="Arial"/>
          <w:sz w:val="22"/>
          <w:szCs w:val="22"/>
        </w:rPr>
        <w:t>evidence</w:t>
      </w:r>
      <w:r w:rsidRPr="00AA6417">
        <w:rPr>
          <w:rFonts w:ascii="Arial" w:hAnsi="Arial" w:cs="Arial"/>
          <w:spacing w:val="2"/>
          <w:sz w:val="22"/>
          <w:szCs w:val="22"/>
        </w:rPr>
        <w:t xml:space="preserve"> </w:t>
      </w:r>
      <w:r w:rsidRPr="00AA6417">
        <w:rPr>
          <w:rFonts w:ascii="Arial" w:hAnsi="Arial" w:cs="Arial"/>
          <w:sz w:val="22"/>
          <w:szCs w:val="22"/>
        </w:rPr>
        <w:t>metodika</w:t>
      </w:r>
      <w:r w:rsidRPr="00AA6417">
        <w:rPr>
          <w:rFonts w:ascii="Arial" w:hAnsi="Arial" w:cs="Arial"/>
          <w:spacing w:val="2"/>
          <w:sz w:val="22"/>
          <w:szCs w:val="22"/>
        </w:rPr>
        <w:t xml:space="preserve"> </w:t>
      </w:r>
      <w:r w:rsidRPr="00AA6417">
        <w:rPr>
          <w:rFonts w:ascii="Arial" w:hAnsi="Arial" w:cs="Arial"/>
          <w:sz w:val="22"/>
          <w:szCs w:val="22"/>
        </w:rPr>
        <w:t>ú</w:t>
      </w:r>
      <w:r w:rsidRPr="00AA6417">
        <w:rPr>
          <w:rFonts w:ascii="Arial" w:hAnsi="Arial" w:cs="Arial"/>
          <w:spacing w:val="1"/>
          <w:sz w:val="22"/>
          <w:szCs w:val="22"/>
        </w:rPr>
        <w:t>č</w:t>
      </w:r>
      <w:r w:rsidRPr="00AA6417">
        <w:rPr>
          <w:rFonts w:ascii="Arial" w:hAnsi="Arial" w:cs="Arial"/>
          <w:sz w:val="22"/>
          <w:szCs w:val="22"/>
        </w:rPr>
        <w:t>elo</w:t>
      </w:r>
      <w:r w:rsidRPr="00AA6417">
        <w:rPr>
          <w:rFonts w:ascii="Arial" w:hAnsi="Arial" w:cs="Arial"/>
          <w:spacing w:val="-2"/>
          <w:sz w:val="22"/>
          <w:szCs w:val="22"/>
        </w:rPr>
        <w:t>v</w:t>
      </w:r>
      <w:r w:rsidRPr="00AA6417">
        <w:rPr>
          <w:rFonts w:ascii="Arial" w:hAnsi="Arial" w:cs="Arial"/>
          <w:sz w:val="22"/>
          <w:szCs w:val="22"/>
        </w:rPr>
        <w:t>ého</w:t>
      </w:r>
      <w:r w:rsidRPr="00AA6417">
        <w:rPr>
          <w:rFonts w:ascii="Arial" w:hAnsi="Arial" w:cs="Arial"/>
          <w:spacing w:val="1"/>
          <w:sz w:val="22"/>
          <w:szCs w:val="22"/>
        </w:rPr>
        <w:t xml:space="preserve"> č</w:t>
      </w:r>
      <w:r w:rsidRPr="00AA6417">
        <w:rPr>
          <w:rFonts w:ascii="Arial" w:hAnsi="Arial" w:cs="Arial"/>
          <w:sz w:val="22"/>
          <w:szCs w:val="22"/>
        </w:rPr>
        <w:t>lenění</w:t>
      </w:r>
      <w:r w:rsidRPr="00AA6417">
        <w:rPr>
          <w:rFonts w:ascii="Arial" w:hAnsi="Arial" w:cs="Arial"/>
          <w:spacing w:val="3"/>
          <w:sz w:val="22"/>
          <w:szCs w:val="22"/>
        </w:rPr>
        <w:t xml:space="preserve"> </w:t>
      </w:r>
      <w:r w:rsidRPr="00AA6417">
        <w:rPr>
          <w:rFonts w:ascii="Arial" w:hAnsi="Arial" w:cs="Arial"/>
          <w:sz w:val="22"/>
          <w:szCs w:val="22"/>
        </w:rPr>
        <w:t>nákladů</w:t>
      </w:r>
      <w:r w:rsidRPr="00AA6417">
        <w:rPr>
          <w:rFonts w:ascii="Arial" w:hAnsi="Arial" w:cs="Arial"/>
          <w:spacing w:val="3"/>
          <w:sz w:val="22"/>
          <w:szCs w:val="22"/>
        </w:rPr>
        <w:t xml:space="preserve"> a</w:t>
      </w:r>
      <w:r w:rsidR="006C725D" w:rsidRPr="00AA6417">
        <w:rPr>
          <w:rFonts w:ascii="Arial" w:hAnsi="Arial" w:cs="Arial"/>
          <w:spacing w:val="3"/>
          <w:sz w:val="22"/>
          <w:szCs w:val="22"/>
        </w:rPr>
        <w:t xml:space="preserve"> </w:t>
      </w:r>
      <w:r w:rsidRPr="00AA6417">
        <w:rPr>
          <w:rFonts w:ascii="Arial" w:hAnsi="Arial" w:cs="Arial"/>
          <w:sz w:val="22"/>
          <w:szCs w:val="22"/>
        </w:rPr>
        <w:t>výnosů</w:t>
      </w:r>
      <w:r w:rsidRPr="00AA6417">
        <w:rPr>
          <w:rFonts w:ascii="Arial" w:hAnsi="Arial" w:cs="Arial"/>
          <w:spacing w:val="4"/>
          <w:sz w:val="22"/>
          <w:szCs w:val="22"/>
        </w:rPr>
        <w:t xml:space="preserve"> a</w:t>
      </w:r>
      <w:r w:rsidR="006C725D" w:rsidRPr="00AA6417">
        <w:rPr>
          <w:rFonts w:ascii="Arial" w:hAnsi="Arial" w:cs="Arial"/>
          <w:spacing w:val="4"/>
          <w:sz w:val="22"/>
          <w:szCs w:val="22"/>
        </w:rPr>
        <w:t xml:space="preserve"> </w:t>
      </w:r>
      <w:r w:rsidRPr="00AA6417">
        <w:rPr>
          <w:rFonts w:ascii="Arial" w:hAnsi="Arial" w:cs="Arial"/>
          <w:sz w:val="22"/>
          <w:szCs w:val="22"/>
        </w:rPr>
        <w:t>jejich</w:t>
      </w:r>
      <w:r w:rsidRPr="00AA6417">
        <w:rPr>
          <w:rFonts w:ascii="Arial" w:hAnsi="Arial" w:cs="Arial"/>
          <w:spacing w:val="6"/>
          <w:sz w:val="22"/>
          <w:szCs w:val="22"/>
        </w:rPr>
        <w:t xml:space="preserve"> </w:t>
      </w:r>
      <w:r w:rsidRPr="00AA6417">
        <w:rPr>
          <w:rFonts w:ascii="Arial" w:hAnsi="Arial" w:cs="Arial"/>
          <w:spacing w:val="1"/>
          <w:sz w:val="22"/>
          <w:szCs w:val="22"/>
        </w:rPr>
        <w:t>p</w:t>
      </w:r>
      <w:r w:rsidRPr="00AA6417">
        <w:rPr>
          <w:rFonts w:ascii="Arial" w:hAnsi="Arial" w:cs="Arial"/>
          <w:sz w:val="22"/>
          <w:szCs w:val="22"/>
        </w:rPr>
        <w:t xml:space="preserve">řiřazování </w:t>
      </w:r>
      <w:r w:rsidRPr="00AA6417">
        <w:rPr>
          <w:rFonts w:ascii="Arial" w:hAnsi="Arial" w:cs="Arial"/>
          <w:spacing w:val="-11"/>
          <w:sz w:val="22"/>
          <w:szCs w:val="22"/>
        </w:rPr>
        <w:t>a</w:t>
      </w:r>
      <w:r w:rsidR="006C725D" w:rsidRPr="00AA6417">
        <w:rPr>
          <w:rFonts w:ascii="Arial" w:hAnsi="Arial" w:cs="Arial"/>
          <w:spacing w:val="-11"/>
          <w:sz w:val="22"/>
          <w:szCs w:val="22"/>
        </w:rPr>
        <w:t xml:space="preserve"> </w:t>
      </w:r>
      <w:r w:rsidRPr="00AA6417">
        <w:rPr>
          <w:rFonts w:ascii="Arial" w:hAnsi="Arial" w:cs="Arial"/>
          <w:sz w:val="22"/>
          <w:szCs w:val="22"/>
        </w:rPr>
        <w:t>ur</w:t>
      </w:r>
      <w:r w:rsidRPr="00AA6417">
        <w:rPr>
          <w:rFonts w:ascii="Arial" w:hAnsi="Arial" w:cs="Arial"/>
          <w:spacing w:val="1"/>
          <w:sz w:val="22"/>
          <w:szCs w:val="22"/>
        </w:rPr>
        <w:t>č</w:t>
      </w:r>
      <w:r w:rsidRPr="00AA6417">
        <w:rPr>
          <w:rFonts w:ascii="Arial" w:hAnsi="Arial" w:cs="Arial"/>
          <w:sz w:val="22"/>
          <w:szCs w:val="22"/>
        </w:rPr>
        <w:t>uje</w:t>
      </w:r>
      <w:r w:rsidRPr="00AA6417">
        <w:rPr>
          <w:rFonts w:ascii="Arial" w:hAnsi="Arial" w:cs="Arial"/>
          <w:spacing w:val="-6"/>
          <w:sz w:val="22"/>
          <w:szCs w:val="22"/>
        </w:rPr>
        <w:t xml:space="preserve"> </w:t>
      </w:r>
      <w:r w:rsidR="00B8787D" w:rsidRPr="00AA6417">
        <w:rPr>
          <w:rFonts w:ascii="Arial" w:hAnsi="Arial" w:cs="Arial"/>
          <w:spacing w:val="-6"/>
          <w:sz w:val="22"/>
          <w:szCs w:val="22"/>
        </w:rPr>
        <w:t xml:space="preserve">se </w:t>
      </w:r>
      <w:r w:rsidRPr="00AA6417">
        <w:rPr>
          <w:rFonts w:ascii="Arial" w:hAnsi="Arial" w:cs="Arial"/>
          <w:sz w:val="22"/>
          <w:szCs w:val="22"/>
        </w:rPr>
        <w:t>s</w:t>
      </w:r>
      <w:r w:rsidRPr="00AA6417">
        <w:rPr>
          <w:rFonts w:ascii="Arial" w:hAnsi="Arial" w:cs="Arial"/>
          <w:spacing w:val="-1"/>
          <w:sz w:val="22"/>
          <w:szCs w:val="22"/>
        </w:rPr>
        <w:t>t</w:t>
      </w:r>
      <w:r w:rsidRPr="00AA6417">
        <w:rPr>
          <w:rFonts w:ascii="Arial" w:hAnsi="Arial" w:cs="Arial"/>
          <w:sz w:val="22"/>
          <w:szCs w:val="22"/>
        </w:rPr>
        <w:t>ruktur</w:t>
      </w:r>
      <w:r w:rsidR="00B8787D" w:rsidRPr="00AA6417">
        <w:rPr>
          <w:rFonts w:ascii="Arial" w:hAnsi="Arial" w:cs="Arial"/>
          <w:sz w:val="22"/>
          <w:szCs w:val="22"/>
        </w:rPr>
        <w:t>a</w:t>
      </w:r>
      <w:r w:rsidRPr="00AA6417">
        <w:rPr>
          <w:rFonts w:ascii="Arial" w:hAnsi="Arial" w:cs="Arial"/>
          <w:spacing w:val="-9"/>
          <w:sz w:val="22"/>
          <w:szCs w:val="22"/>
        </w:rPr>
        <w:t xml:space="preserve"> </w:t>
      </w:r>
      <w:r w:rsidRPr="00AA6417">
        <w:rPr>
          <w:rFonts w:ascii="Arial" w:hAnsi="Arial" w:cs="Arial"/>
          <w:sz w:val="22"/>
          <w:szCs w:val="22"/>
        </w:rPr>
        <w:t>vykazovaných</w:t>
      </w:r>
      <w:r w:rsidRPr="00AA6417">
        <w:rPr>
          <w:rFonts w:ascii="Arial" w:hAnsi="Arial" w:cs="Arial"/>
          <w:spacing w:val="-14"/>
          <w:sz w:val="22"/>
          <w:szCs w:val="22"/>
        </w:rPr>
        <w:t xml:space="preserve"> </w:t>
      </w:r>
      <w:r w:rsidRPr="00AA6417">
        <w:rPr>
          <w:rFonts w:ascii="Arial" w:hAnsi="Arial" w:cs="Arial"/>
          <w:sz w:val="22"/>
          <w:szCs w:val="22"/>
        </w:rPr>
        <w:t>in</w:t>
      </w:r>
      <w:r w:rsidRPr="00AA6417">
        <w:rPr>
          <w:rFonts w:ascii="Arial" w:hAnsi="Arial" w:cs="Arial"/>
          <w:spacing w:val="-1"/>
          <w:sz w:val="22"/>
          <w:szCs w:val="22"/>
        </w:rPr>
        <w:t>f</w:t>
      </w:r>
      <w:r w:rsidRPr="00AA6417">
        <w:rPr>
          <w:rFonts w:ascii="Arial" w:hAnsi="Arial" w:cs="Arial"/>
          <w:sz w:val="22"/>
          <w:szCs w:val="22"/>
        </w:rPr>
        <w:t>ormací.</w:t>
      </w:r>
    </w:p>
    <w:p w:rsidR="00242A0C" w:rsidRPr="00AA6417" w:rsidRDefault="00242A0C" w:rsidP="00D51D39">
      <w:pPr>
        <w:widowControl w:val="0"/>
        <w:tabs>
          <w:tab w:val="left" w:pos="2620"/>
        </w:tabs>
        <w:autoSpaceDE w:val="0"/>
        <w:autoSpaceDN w:val="0"/>
        <w:adjustRightInd w:val="0"/>
        <w:spacing w:before="240"/>
        <w:ind w:firstLine="828"/>
        <w:jc w:val="both"/>
        <w:rPr>
          <w:rFonts w:ascii="Arial" w:hAnsi="Arial" w:cs="Arial"/>
          <w:sz w:val="22"/>
          <w:szCs w:val="22"/>
        </w:rPr>
      </w:pPr>
      <w:r w:rsidRPr="00AA6417">
        <w:rPr>
          <w:rFonts w:ascii="Arial" w:hAnsi="Arial" w:cs="Arial"/>
          <w:sz w:val="22"/>
          <w:szCs w:val="22"/>
        </w:rPr>
        <w:t xml:space="preserve">Důvodem vydání opatření je povinnost Úřadu stanovit </w:t>
      </w:r>
      <w:r w:rsidR="0089366F" w:rsidRPr="00AA6417">
        <w:rPr>
          <w:rFonts w:ascii="Arial" w:hAnsi="Arial" w:cs="Arial"/>
          <w:sz w:val="22"/>
          <w:szCs w:val="22"/>
        </w:rPr>
        <w:t xml:space="preserve">tuto </w:t>
      </w:r>
      <w:r w:rsidRPr="00AA6417">
        <w:rPr>
          <w:rFonts w:ascii="Arial" w:hAnsi="Arial" w:cs="Arial"/>
          <w:sz w:val="22"/>
          <w:szCs w:val="22"/>
        </w:rPr>
        <w:t xml:space="preserve">metodiku </w:t>
      </w:r>
      <w:r w:rsidR="008A5A31" w:rsidRPr="00AA6417">
        <w:rPr>
          <w:rFonts w:ascii="Arial" w:hAnsi="Arial" w:cs="Arial"/>
          <w:spacing w:val="5"/>
          <w:sz w:val="22"/>
          <w:szCs w:val="22"/>
        </w:rPr>
        <w:t>p</w:t>
      </w:r>
      <w:r w:rsidRPr="00AA6417">
        <w:rPr>
          <w:rFonts w:ascii="Arial" w:hAnsi="Arial" w:cs="Arial"/>
          <w:spacing w:val="5"/>
          <w:sz w:val="22"/>
          <w:szCs w:val="22"/>
        </w:rPr>
        <w:t>ro</w:t>
      </w:r>
      <w:r w:rsidR="00050E58" w:rsidRPr="00AA6417">
        <w:rPr>
          <w:rFonts w:ascii="Arial" w:hAnsi="Arial" w:cs="Arial"/>
          <w:spacing w:val="5"/>
          <w:sz w:val="22"/>
          <w:szCs w:val="22"/>
        </w:rPr>
        <w:t xml:space="preserve"> </w:t>
      </w:r>
      <w:r w:rsidRPr="00AA6417">
        <w:rPr>
          <w:rFonts w:ascii="Arial" w:hAnsi="Arial" w:cs="Arial"/>
          <w:spacing w:val="5"/>
          <w:sz w:val="22"/>
          <w:szCs w:val="22"/>
        </w:rPr>
        <w:t xml:space="preserve">podniky, kterým povinnost vedení oddělené evidence </w:t>
      </w:r>
      <w:r w:rsidRPr="00AA6417">
        <w:rPr>
          <w:rFonts w:ascii="Arial" w:hAnsi="Arial" w:cs="Arial"/>
          <w:sz w:val="22"/>
          <w:szCs w:val="22"/>
        </w:rPr>
        <w:t>vyplývá přímo ze zákona, a</w:t>
      </w:r>
      <w:r w:rsidR="00F7734F" w:rsidRPr="00AA6417">
        <w:rPr>
          <w:rFonts w:ascii="Arial" w:hAnsi="Arial" w:cs="Arial"/>
          <w:sz w:val="22"/>
          <w:szCs w:val="22"/>
        </w:rPr>
        <w:t xml:space="preserve"> </w:t>
      </w:r>
      <w:r w:rsidRPr="00AA6417">
        <w:rPr>
          <w:rFonts w:ascii="Arial" w:hAnsi="Arial" w:cs="Arial"/>
          <w:sz w:val="22"/>
          <w:szCs w:val="22"/>
        </w:rPr>
        <w:t>podniky, které byly</w:t>
      </w:r>
      <w:r w:rsidR="0047095F">
        <w:rPr>
          <w:rFonts w:ascii="Arial" w:hAnsi="Arial" w:cs="Arial"/>
          <w:sz w:val="22"/>
          <w:szCs w:val="22"/>
        </w:rPr>
        <w:t xml:space="preserve"> na </w:t>
      </w:r>
      <w:r w:rsidRPr="00AA6417">
        <w:rPr>
          <w:rFonts w:ascii="Arial" w:hAnsi="Arial" w:cs="Arial"/>
          <w:sz w:val="22"/>
          <w:szCs w:val="22"/>
        </w:rPr>
        <w:t>základě analýzy trhu stanoveny jako</w:t>
      </w:r>
      <w:r w:rsidR="00F7734F" w:rsidRPr="00AA6417">
        <w:rPr>
          <w:rFonts w:ascii="Arial" w:hAnsi="Arial" w:cs="Arial"/>
          <w:sz w:val="22"/>
          <w:szCs w:val="22"/>
        </w:rPr>
        <w:t xml:space="preserve"> </w:t>
      </w:r>
      <w:r w:rsidRPr="00AA6417">
        <w:rPr>
          <w:rFonts w:ascii="Arial" w:hAnsi="Arial" w:cs="Arial"/>
          <w:sz w:val="22"/>
          <w:szCs w:val="22"/>
        </w:rPr>
        <w:t>podniky s</w:t>
      </w:r>
      <w:r w:rsidR="00050E58" w:rsidRPr="00AA6417">
        <w:rPr>
          <w:rFonts w:ascii="Arial" w:hAnsi="Arial" w:cs="Arial"/>
          <w:sz w:val="22"/>
          <w:szCs w:val="22"/>
        </w:rPr>
        <w:t xml:space="preserve"> </w:t>
      </w:r>
      <w:r w:rsidRPr="00AA6417">
        <w:rPr>
          <w:rFonts w:ascii="Arial" w:hAnsi="Arial" w:cs="Arial"/>
          <w:sz w:val="22"/>
          <w:szCs w:val="22"/>
        </w:rPr>
        <w:t>významnou tržní silou a</w:t>
      </w:r>
      <w:r w:rsidR="00050E58" w:rsidRPr="00AA6417">
        <w:rPr>
          <w:rFonts w:ascii="Arial" w:hAnsi="Arial" w:cs="Arial"/>
          <w:sz w:val="22"/>
          <w:szCs w:val="22"/>
        </w:rPr>
        <w:t xml:space="preserve"> </w:t>
      </w:r>
      <w:r w:rsidRPr="00AA6417">
        <w:rPr>
          <w:rFonts w:ascii="Arial" w:hAnsi="Arial" w:cs="Arial"/>
          <w:sz w:val="22"/>
          <w:szCs w:val="22"/>
        </w:rPr>
        <w:t>kterým byla tato povinnost uložena</w:t>
      </w:r>
      <w:r w:rsidR="0047095F">
        <w:rPr>
          <w:rFonts w:ascii="Arial" w:hAnsi="Arial" w:cs="Arial"/>
          <w:sz w:val="22"/>
          <w:szCs w:val="22"/>
        </w:rPr>
        <w:t xml:space="preserve"> v </w:t>
      </w:r>
      <w:r w:rsidR="0089366F" w:rsidRPr="00AA6417">
        <w:rPr>
          <w:rFonts w:ascii="Arial" w:hAnsi="Arial" w:cs="Arial"/>
          <w:sz w:val="22"/>
          <w:szCs w:val="22"/>
        </w:rPr>
        <w:t>rámci nápravných opatření</w:t>
      </w:r>
      <w:r w:rsidRPr="00AA6417">
        <w:rPr>
          <w:rFonts w:ascii="Arial" w:hAnsi="Arial" w:cs="Arial"/>
          <w:sz w:val="22"/>
          <w:szCs w:val="22"/>
        </w:rPr>
        <w:t>. Údaje získané z této evidence mohou sloužit zároveň pro</w:t>
      </w:r>
      <w:r w:rsidR="00050E58" w:rsidRPr="00AA6417">
        <w:rPr>
          <w:rFonts w:ascii="Arial" w:hAnsi="Arial" w:cs="Arial"/>
          <w:sz w:val="22"/>
          <w:szCs w:val="22"/>
        </w:rPr>
        <w:t xml:space="preserve"> </w:t>
      </w:r>
      <w:r w:rsidRPr="00AA6417">
        <w:rPr>
          <w:rFonts w:ascii="Arial" w:hAnsi="Arial" w:cs="Arial"/>
          <w:sz w:val="22"/>
          <w:szCs w:val="22"/>
        </w:rPr>
        <w:t>prokázání nediskriminace, průhlednosti a</w:t>
      </w:r>
      <w:r w:rsidR="00050E58" w:rsidRPr="00AA6417">
        <w:rPr>
          <w:rFonts w:ascii="Arial" w:hAnsi="Arial" w:cs="Arial"/>
          <w:sz w:val="22"/>
          <w:szCs w:val="22"/>
        </w:rPr>
        <w:t xml:space="preserve"> </w:t>
      </w:r>
      <w:r w:rsidRPr="00AA6417">
        <w:rPr>
          <w:rFonts w:ascii="Arial" w:hAnsi="Arial" w:cs="Arial"/>
          <w:sz w:val="22"/>
          <w:szCs w:val="22"/>
        </w:rPr>
        <w:t>nákladové orientace, pokud byly tyto povinnosti podniku uloženy, případně pro</w:t>
      </w:r>
      <w:r w:rsidR="00410A36" w:rsidRPr="00AA6417">
        <w:rPr>
          <w:rFonts w:ascii="Arial" w:hAnsi="Arial" w:cs="Arial"/>
          <w:sz w:val="22"/>
          <w:szCs w:val="22"/>
        </w:rPr>
        <w:t xml:space="preserve"> </w:t>
      </w:r>
      <w:r w:rsidRPr="00AA6417">
        <w:rPr>
          <w:rFonts w:ascii="Arial" w:hAnsi="Arial" w:cs="Arial"/>
          <w:sz w:val="22"/>
          <w:szCs w:val="22"/>
        </w:rPr>
        <w:t>prokázání, že nedochází</w:t>
      </w:r>
      <w:r w:rsidR="0089366F" w:rsidRPr="00AA6417">
        <w:rPr>
          <w:rFonts w:ascii="Arial" w:hAnsi="Arial" w:cs="Arial"/>
          <w:sz w:val="22"/>
          <w:szCs w:val="22"/>
        </w:rPr>
        <w:t xml:space="preserve"> </w:t>
      </w:r>
      <w:r w:rsidRPr="00AA6417">
        <w:rPr>
          <w:rFonts w:ascii="Arial" w:hAnsi="Arial" w:cs="Arial"/>
          <w:sz w:val="22"/>
          <w:szCs w:val="22"/>
        </w:rPr>
        <w:t>u</w:t>
      </w:r>
      <w:r w:rsidR="00F85498" w:rsidRPr="00AA6417">
        <w:rPr>
          <w:rFonts w:ascii="Arial" w:hAnsi="Arial" w:cs="Arial"/>
          <w:sz w:val="22"/>
          <w:szCs w:val="22"/>
        </w:rPr>
        <w:t xml:space="preserve"> </w:t>
      </w:r>
      <w:r w:rsidRPr="00AA6417">
        <w:rPr>
          <w:rFonts w:ascii="Arial" w:hAnsi="Arial" w:cs="Arial"/>
          <w:sz w:val="22"/>
          <w:szCs w:val="22"/>
        </w:rPr>
        <w:t>stanoveného podniku</w:t>
      </w:r>
      <w:r w:rsidR="006C725D" w:rsidRPr="00AA6417">
        <w:rPr>
          <w:rFonts w:ascii="Arial" w:hAnsi="Arial" w:cs="Arial"/>
          <w:sz w:val="22"/>
          <w:szCs w:val="22"/>
        </w:rPr>
        <w:t xml:space="preserve"> k </w:t>
      </w:r>
      <w:r w:rsidRPr="00AA6417">
        <w:rPr>
          <w:rFonts w:ascii="Arial" w:hAnsi="Arial" w:cs="Arial"/>
          <w:sz w:val="22"/>
          <w:szCs w:val="22"/>
        </w:rPr>
        <w:t xml:space="preserve">neodůvodněnému křížovému financování. Výsledky oddělené evidence jsou </w:t>
      </w:r>
      <w:r w:rsidR="00623F1D" w:rsidRPr="00AA6417">
        <w:rPr>
          <w:rFonts w:ascii="Arial" w:hAnsi="Arial" w:cs="Arial"/>
          <w:sz w:val="22"/>
          <w:szCs w:val="22"/>
        </w:rPr>
        <w:t xml:space="preserve">rovněž </w:t>
      </w:r>
      <w:r w:rsidRPr="00AA6417">
        <w:rPr>
          <w:rFonts w:ascii="Arial" w:hAnsi="Arial" w:cs="Arial"/>
          <w:sz w:val="22"/>
          <w:szCs w:val="22"/>
        </w:rPr>
        <w:t>klíčovým podkladem</w:t>
      </w:r>
      <w:r w:rsidR="0047095F">
        <w:rPr>
          <w:rFonts w:ascii="Arial" w:hAnsi="Arial" w:cs="Arial"/>
          <w:sz w:val="22"/>
          <w:szCs w:val="22"/>
        </w:rPr>
        <w:t xml:space="preserve"> při </w:t>
      </w:r>
      <w:r w:rsidRPr="00AA6417">
        <w:rPr>
          <w:rFonts w:ascii="Arial" w:hAnsi="Arial" w:cs="Arial"/>
          <w:sz w:val="22"/>
          <w:szCs w:val="22"/>
        </w:rPr>
        <w:t>výpočtu čistých nákladů</w:t>
      </w:r>
      <w:r w:rsidR="0047095F">
        <w:rPr>
          <w:rFonts w:ascii="Arial" w:hAnsi="Arial" w:cs="Arial"/>
          <w:sz w:val="22"/>
          <w:szCs w:val="22"/>
        </w:rPr>
        <w:t xml:space="preserve"> na </w:t>
      </w:r>
      <w:r w:rsidR="0089366F" w:rsidRPr="00AA6417">
        <w:rPr>
          <w:rFonts w:ascii="Arial" w:hAnsi="Arial" w:cs="Arial"/>
          <w:sz w:val="22"/>
          <w:szCs w:val="22"/>
        </w:rPr>
        <w:t>poskytování univerzální služby</w:t>
      </w:r>
      <w:r w:rsidRPr="00AA6417">
        <w:rPr>
          <w:rFonts w:ascii="Arial" w:hAnsi="Arial" w:cs="Arial"/>
          <w:sz w:val="22"/>
          <w:szCs w:val="22"/>
        </w:rPr>
        <w:t>.</w:t>
      </w:r>
    </w:p>
    <w:p w:rsidR="00242A0C" w:rsidRPr="00AA6417" w:rsidRDefault="00E4076E" w:rsidP="00620BB3">
      <w:pPr>
        <w:spacing w:before="240"/>
        <w:ind w:firstLine="828"/>
        <w:jc w:val="both"/>
        <w:rPr>
          <w:rFonts w:ascii="Arial" w:hAnsi="Arial" w:cs="Arial"/>
          <w:sz w:val="22"/>
          <w:szCs w:val="22"/>
        </w:rPr>
      </w:pPr>
      <w:r w:rsidRPr="00AA6417">
        <w:rPr>
          <w:rFonts w:ascii="Arial" w:hAnsi="Arial" w:cs="Arial"/>
          <w:sz w:val="22"/>
          <w:szCs w:val="22"/>
        </w:rPr>
        <w:t>Úřad</w:t>
      </w:r>
      <w:r w:rsidR="0047095F">
        <w:rPr>
          <w:rFonts w:ascii="Arial" w:hAnsi="Arial" w:cs="Arial"/>
          <w:sz w:val="22"/>
          <w:szCs w:val="22"/>
        </w:rPr>
        <w:t xml:space="preserve"> při </w:t>
      </w:r>
      <w:r w:rsidRPr="00AA6417">
        <w:rPr>
          <w:rFonts w:ascii="Arial" w:hAnsi="Arial" w:cs="Arial"/>
          <w:sz w:val="22"/>
          <w:szCs w:val="22"/>
        </w:rPr>
        <w:t xml:space="preserve">vydání tohoto opatření obecné povahy vycházel z právní úpravy předchozího opatření obecné povahy </w:t>
      </w:r>
      <w:r w:rsidR="0089366F" w:rsidRPr="00AA6417">
        <w:rPr>
          <w:rFonts w:ascii="Arial" w:hAnsi="Arial" w:cs="Arial"/>
          <w:sz w:val="22"/>
          <w:szCs w:val="22"/>
        </w:rPr>
        <w:t>přijaté</w:t>
      </w:r>
      <w:r w:rsidR="0047095F">
        <w:rPr>
          <w:rFonts w:ascii="Arial" w:hAnsi="Arial" w:cs="Arial"/>
          <w:sz w:val="22"/>
          <w:szCs w:val="22"/>
        </w:rPr>
        <w:t xml:space="preserve"> v </w:t>
      </w:r>
      <w:r w:rsidR="0089366F" w:rsidRPr="00AA6417">
        <w:rPr>
          <w:rFonts w:ascii="Arial" w:hAnsi="Arial" w:cs="Arial"/>
          <w:sz w:val="22"/>
          <w:szCs w:val="22"/>
        </w:rPr>
        <w:t>roce 2006 a novelizované</w:t>
      </w:r>
      <w:r w:rsidR="0047095F">
        <w:rPr>
          <w:rFonts w:ascii="Arial" w:hAnsi="Arial" w:cs="Arial"/>
          <w:sz w:val="22"/>
          <w:szCs w:val="22"/>
        </w:rPr>
        <w:t xml:space="preserve"> v </w:t>
      </w:r>
      <w:r w:rsidR="0089366F" w:rsidRPr="00AA6417">
        <w:rPr>
          <w:rFonts w:ascii="Arial" w:hAnsi="Arial" w:cs="Arial"/>
          <w:sz w:val="22"/>
          <w:szCs w:val="22"/>
        </w:rPr>
        <w:t>pozdějších letech</w:t>
      </w:r>
      <w:r w:rsidR="00242A0C" w:rsidRPr="00AA6417">
        <w:rPr>
          <w:rFonts w:ascii="Arial" w:hAnsi="Arial" w:cs="Arial"/>
          <w:sz w:val="22"/>
          <w:szCs w:val="22"/>
        </w:rPr>
        <w:t>, tj.</w:t>
      </w:r>
      <w:r w:rsidR="0047095F">
        <w:rPr>
          <w:rFonts w:ascii="Arial" w:hAnsi="Arial" w:cs="Arial"/>
          <w:sz w:val="22"/>
          <w:szCs w:val="22"/>
        </w:rPr>
        <w:t xml:space="preserve"> </w:t>
      </w:r>
      <w:r w:rsidR="00242A0C" w:rsidRPr="00AA6417">
        <w:rPr>
          <w:rFonts w:ascii="Arial" w:hAnsi="Arial" w:cs="Arial"/>
          <w:sz w:val="22"/>
          <w:szCs w:val="22"/>
        </w:rPr>
        <w:t>opatření OOP/4/03.2006-3,</w:t>
      </w:r>
      <w:r w:rsidR="00623F1D" w:rsidRPr="00AA6417">
        <w:rPr>
          <w:rFonts w:ascii="Arial" w:hAnsi="Arial" w:cs="Arial"/>
          <w:sz w:val="22"/>
          <w:szCs w:val="22"/>
        </w:rPr>
        <w:t xml:space="preserve"> kterým se</w:t>
      </w:r>
      <w:r w:rsidR="00CD539B" w:rsidRPr="00AA6417">
        <w:rPr>
          <w:rFonts w:ascii="Arial" w:hAnsi="Arial" w:cs="Arial"/>
          <w:sz w:val="22"/>
          <w:szCs w:val="22"/>
        </w:rPr>
        <w:t xml:space="preserve"> </w:t>
      </w:r>
      <w:r w:rsidR="00623F1D" w:rsidRPr="00AA6417">
        <w:rPr>
          <w:rFonts w:ascii="Arial" w:hAnsi="Arial" w:cs="Arial"/>
          <w:sz w:val="22"/>
          <w:szCs w:val="22"/>
        </w:rPr>
        <w:t xml:space="preserve">stanoví metodika účelového členění nákladů </w:t>
      </w:r>
      <w:r w:rsidR="006532BE">
        <w:rPr>
          <w:rFonts w:ascii="Arial" w:hAnsi="Arial" w:cs="Arial"/>
          <w:sz w:val="22"/>
          <w:szCs w:val="22"/>
        </w:rPr>
        <w:br/>
      </w:r>
      <w:r w:rsidR="00623F1D" w:rsidRPr="00AA6417">
        <w:rPr>
          <w:rFonts w:ascii="Arial" w:hAnsi="Arial" w:cs="Arial"/>
          <w:sz w:val="22"/>
          <w:szCs w:val="22"/>
        </w:rPr>
        <w:t>a</w:t>
      </w:r>
      <w:r w:rsidR="00853A8A" w:rsidRPr="00AA6417">
        <w:rPr>
          <w:rFonts w:ascii="Arial" w:hAnsi="Arial" w:cs="Arial"/>
          <w:sz w:val="22"/>
          <w:szCs w:val="22"/>
        </w:rPr>
        <w:t xml:space="preserve"> </w:t>
      </w:r>
      <w:r w:rsidR="00623F1D" w:rsidRPr="00AA6417">
        <w:rPr>
          <w:rFonts w:ascii="Arial" w:hAnsi="Arial" w:cs="Arial"/>
          <w:sz w:val="22"/>
          <w:szCs w:val="22"/>
        </w:rPr>
        <w:t>výnosů a</w:t>
      </w:r>
      <w:r w:rsidR="00853A8A" w:rsidRPr="00AA6417">
        <w:rPr>
          <w:rFonts w:ascii="Arial" w:hAnsi="Arial" w:cs="Arial"/>
          <w:sz w:val="22"/>
          <w:szCs w:val="22"/>
        </w:rPr>
        <w:t xml:space="preserve"> </w:t>
      </w:r>
      <w:r w:rsidR="00623F1D" w:rsidRPr="00AA6417">
        <w:rPr>
          <w:rFonts w:ascii="Arial" w:hAnsi="Arial" w:cs="Arial"/>
          <w:sz w:val="22"/>
          <w:szCs w:val="22"/>
        </w:rPr>
        <w:t>jejich přiřazování a</w:t>
      </w:r>
      <w:r w:rsidR="00CD539B" w:rsidRPr="00AA6417">
        <w:rPr>
          <w:rFonts w:ascii="Arial" w:hAnsi="Arial" w:cs="Arial"/>
          <w:sz w:val="22"/>
          <w:szCs w:val="22"/>
        </w:rPr>
        <w:t xml:space="preserve"> </w:t>
      </w:r>
      <w:r w:rsidR="00623F1D" w:rsidRPr="00AA6417">
        <w:rPr>
          <w:rFonts w:ascii="Arial" w:hAnsi="Arial" w:cs="Arial"/>
          <w:sz w:val="22"/>
          <w:szCs w:val="22"/>
        </w:rPr>
        <w:t>určuje</w:t>
      </w:r>
      <w:r w:rsidR="00CD539B" w:rsidRPr="00AA6417">
        <w:rPr>
          <w:rFonts w:ascii="Arial" w:hAnsi="Arial" w:cs="Arial"/>
          <w:sz w:val="22"/>
          <w:szCs w:val="22"/>
        </w:rPr>
        <w:t xml:space="preserve"> </w:t>
      </w:r>
      <w:r w:rsidR="00623F1D" w:rsidRPr="00AA6417">
        <w:rPr>
          <w:rFonts w:ascii="Arial" w:hAnsi="Arial" w:cs="Arial"/>
          <w:sz w:val="22"/>
          <w:szCs w:val="22"/>
        </w:rPr>
        <w:t>se</w:t>
      </w:r>
      <w:r w:rsidR="00CD539B" w:rsidRPr="00AA6417">
        <w:rPr>
          <w:rFonts w:ascii="Arial" w:hAnsi="Arial" w:cs="Arial"/>
          <w:sz w:val="22"/>
          <w:szCs w:val="22"/>
        </w:rPr>
        <w:t xml:space="preserve"> </w:t>
      </w:r>
      <w:r w:rsidR="00623F1D" w:rsidRPr="00AA6417">
        <w:rPr>
          <w:rFonts w:ascii="Arial" w:hAnsi="Arial" w:cs="Arial"/>
          <w:sz w:val="22"/>
          <w:szCs w:val="22"/>
        </w:rPr>
        <w:t>struktura vykazovaných informací</w:t>
      </w:r>
      <w:r w:rsidR="00242A0C" w:rsidRPr="00AA6417">
        <w:rPr>
          <w:rFonts w:ascii="Arial" w:hAnsi="Arial" w:cs="Arial"/>
          <w:sz w:val="22"/>
          <w:szCs w:val="22"/>
        </w:rPr>
        <w:t xml:space="preserve"> ve</w:t>
      </w:r>
      <w:r w:rsidR="00CD539B" w:rsidRPr="00AA6417">
        <w:rPr>
          <w:rFonts w:ascii="Arial" w:hAnsi="Arial" w:cs="Arial"/>
          <w:sz w:val="22"/>
          <w:szCs w:val="22"/>
        </w:rPr>
        <w:t xml:space="preserve"> </w:t>
      </w:r>
      <w:r w:rsidR="00242A0C" w:rsidRPr="00AA6417">
        <w:rPr>
          <w:rFonts w:ascii="Arial" w:hAnsi="Arial" w:cs="Arial"/>
          <w:sz w:val="22"/>
          <w:szCs w:val="22"/>
        </w:rPr>
        <w:t xml:space="preserve">znění </w:t>
      </w:r>
      <w:hyperlink r:id="rId24" w:tooltip="oop_04-02_2008-01.pdf (665 kB)" w:history="1">
        <w:r w:rsidR="00242A0C" w:rsidRPr="00AA6417">
          <w:rPr>
            <w:rFonts w:ascii="Arial" w:hAnsi="Arial" w:cs="Arial"/>
            <w:sz w:val="22"/>
            <w:szCs w:val="22"/>
          </w:rPr>
          <w:t>opatření obecné povahy č.</w:t>
        </w:r>
        <w:r w:rsidR="00CD539B" w:rsidRPr="00AA6417">
          <w:rPr>
            <w:rFonts w:ascii="Arial" w:hAnsi="Arial" w:cs="Arial"/>
            <w:sz w:val="22"/>
            <w:szCs w:val="22"/>
          </w:rPr>
          <w:t xml:space="preserve"> </w:t>
        </w:r>
        <w:r w:rsidR="00242A0C" w:rsidRPr="00AA6417">
          <w:rPr>
            <w:rFonts w:ascii="Arial" w:hAnsi="Arial" w:cs="Arial"/>
            <w:sz w:val="22"/>
            <w:szCs w:val="22"/>
          </w:rPr>
          <w:t>OOP/4/02.2008-1</w:t>
        </w:r>
      </w:hyperlink>
      <w:r w:rsidR="00242A0C" w:rsidRPr="00AA6417">
        <w:rPr>
          <w:rFonts w:ascii="Arial" w:hAnsi="Arial" w:cs="Arial"/>
          <w:sz w:val="22"/>
          <w:szCs w:val="22"/>
        </w:rPr>
        <w:t xml:space="preserve">, </w:t>
      </w:r>
      <w:hyperlink r:id="rId25" w:tooltip="oop_04-12_2011-19.pdf (814 kB)" w:history="1">
        <w:r w:rsidR="00242A0C" w:rsidRPr="00AA6417">
          <w:rPr>
            <w:rFonts w:ascii="Arial" w:hAnsi="Arial" w:cs="Arial"/>
            <w:sz w:val="22"/>
            <w:szCs w:val="22"/>
          </w:rPr>
          <w:t>opatření obecné povahy č.</w:t>
        </w:r>
        <w:r w:rsidR="00CD539B" w:rsidRPr="00AA6417">
          <w:rPr>
            <w:rFonts w:ascii="Arial" w:hAnsi="Arial" w:cs="Arial"/>
            <w:sz w:val="22"/>
            <w:szCs w:val="22"/>
          </w:rPr>
          <w:t xml:space="preserve"> </w:t>
        </w:r>
        <w:r w:rsidR="00242A0C" w:rsidRPr="00AA6417">
          <w:rPr>
            <w:rFonts w:ascii="Arial" w:hAnsi="Arial" w:cs="Arial"/>
            <w:sz w:val="22"/>
            <w:szCs w:val="22"/>
          </w:rPr>
          <w:t>OOP/4/12.2011-19</w:t>
        </w:r>
      </w:hyperlink>
      <w:r w:rsidR="00242A0C" w:rsidRPr="00AA6417">
        <w:rPr>
          <w:rFonts w:ascii="Arial" w:hAnsi="Arial" w:cs="Arial"/>
          <w:sz w:val="22"/>
          <w:szCs w:val="22"/>
        </w:rPr>
        <w:t>,</w:t>
      </w:r>
      <w:r w:rsidR="00CD539B" w:rsidRPr="00AA6417">
        <w:rPr>
          <w:rFonts w:ascii="Arial" w:hAnsi="Arial" w:cs="Arial"/>
          <w:sz w:val="22"/>
          <w:szCs w:val="22"/>
        </w:rPr>
        <w:t xml:space="preserve"> </w:t>
      </w:r>
      <w:hyperlink r:id="rId26" w:tooltip="oop_04-11_2012-15.pdf (525 kB)" w:history="1">
        <w:r w:rsidR="00242A0C" w:rsidRPr="00AA6417">
          <w:rPr>
            <w:rFonts w:ascii="Arial" w:hAnsi="Arial" w:cs="Arial"/>
            <w:sz w:val="22"/>
            <w:szCs w:val="22"/>
          </w:rPr>
          <w:t>opatření obecné povahy č.</w:t>
        </w:r>
        <w:r w:rsidR="00CD539B" w:rsidRPr="00AA6417">
          <w:rPr>
            <w:rFonts w:ascii="Arial" w:hAnsi="Arial" w:cs="Arial"/>
            <w:sz w:val="22"/>
            <w:szCs w:val="22"/>
          </w:rPr>
          <w:t xml:space="preserve"> </w:t>
        </w:r>
        <w:r w:rsidR="00242A0C" w:rsidRPr="00AA6417">
          <w:rPr>
            <w:rFonts w:ascii="Arial" w:hAnsi="Arial" w:cs="Arial"/>
            <w:sz w:val="22"/>
            <w:szCs w:val="22"/>
          </w:rPr>
          <w:t>OOP/4/11.2012-15 a</w:t>
        </w:r>
        <w:r w:rsidR="00CD539B" w:rsidRPr="00AA6417">
          <w:rPr>
            <w:rFonts w:ascii="Arial" w:hAnsi="Arial" w:cs="Arial"/>
            <w:sz w:val="22"/>
            <w:szCs w:val="22"/>
          </w:rPr>
          <w:t xml:space="preserve"> </w:t>
        </w:r>
        <w:r w:rsidR="00EF7AE5" w:rsidRPr="00AA6417">
          <w:rPr>
            <w:rFonts w:ascii="Arial" w:hAnsi="Arial" w:cs="Arial"/>
            <w:sz w:val="22"/>
            <w:szCs w:val="22"/>
          </w:rPr>
          <w:t>opatření</w:t>
        </w:r>
        <w:r w:rsidR="00254639" w:rsidRPr="00AA6417">
          <w:rPr>
            <w:rFonts w:ascii="Arial" w:hAnsi="Arial" w:cs="Arial"/>
            <w:sz w:val="22"/>
            <w:szCs w:val="22"/>
          </w:rPr>
          <w:t xml:space="preserve"> obecné povahy č.</w:t>
        </w:r>
        <w:r w:rsidR="00EF7AE5" w:rsidRPr="00AA6417">
          <w:rPr>
            <w:rFonts w:ascii="Arial" w:hAnsi="Arial" w:cs="Arial"/>
            <w:sz w:val="22"/>
            <w:szCs w:val="22"/>
          </w:rPr>
          <w:t xml:space="preserve"> </w:t>
        </w:r>
        <w:r w:rsidR="00242A0C" w:rsidRPr="00AA6417">
          <w:rPr>
            <w:rFonts w:ascii="Arial" w:hAnsi="Arial" w:cs="Arial"/>
            <w:sz w:val="22"/>
            <w:szCs w:val="22"/>
          </w:rPr>
          <w:t>OOP/4/08.2013-3.</w:t>
        </w:r>
      </w:hyperlink>
      <w:r w:rsidR="00242A0C" w:rsidRPr="00AA6417">
        <w:rPr>
          <w:rFonts w:ascii="Arial" w:hAnsi="Arial" w:cs="Arial"/>
          <w:sz w:val="22"/>
          <w:szCs w:val="22"/>
        </w:rPr>
        <w:t xml:space="preserve"> Úřad přistoupil k</w:t>
      </w:r>
      <w:r w:rsidR="00853A8A" w:rsidRPr="00AA6417">
        <w:rPr>
          <w:rFonts w:ascii="Arial" w:hAnsi="Arial" w:cs="Arial"/>
          <w:sz w:val="22"/>
          <w:szCs w:val="22"/>
        </w:rPr>
        <w:t xml:space="preserve"> </w:t>
      </w:r>
      <w:r w:rsidR="00242A0C" w:rsidRPr="00AA6417">
        <w:rPr>
          <w:rFonts w:ascii="Arial" w:hAnsi="Arial" w:cs="Arial"/>
          <w:sz w:val="22"/>
          <w:szCs w:val="22"/>
        </w:rPr>
        <w:t>vydání nového opatření a</w:t>
      </w:r>
      <w:r w:rsidR="00853A8A" w:rsidRPr="00AA6417">
        <w:rPr>
          <w:rFonts w:ascii="Arial" w:hAnsi="Arial" w:cs="Arial"/>
          <w:sz w:val="22"/>
          <w:szCs w:val="22"/>
        </w:rPr>
        <w:t xml:space="preserve"> </w:t>
      </w:r>
      <w:r w:rsidR="00242A0C" w:rsidRPr="00AA6417">
        <w:rPr>
          <w:rFonts w:ascii="Arial" w:hAnsi="Arial" w:cs="Arial"/>
          <w:sz w:val="22"/>
          <w:szCs w:val="22"/>
        </w:rPr>
        <w:t>nikoli k</w:t>
      </w:r>
      <w:r w:rsidR="00853A8A" w:rsidRPr="00AA6417">
        <w:rPr>
          <w:rFonts w:ascii="Arial" w:hAnsi="Arial" w:cs="Arial"/>
          <w:sz w:val="22"/>
          <w:szCs w:val="22"/>
        </w:rPr>
        <w:t xml:space="preserve"> </w:t>
      </w:r>
      <w:r w:rsidR="00242A0C" w:rsidRPr="00AA6417">
        <w:rPr>
          <w:rFonts w:ascii="Arial" w:hAnsi="Arial" w:cs="Arial"/>
          <w:sz w:val="22"/>
          <w:szCs w:val="22"/>
        </w:rPr>
        <w:t>novelizaci původního opatření OOP/4/03.2006-3 z</w:t>
      </w:r>
      <w:r w:rsidR="00853A8A" w:rsidRPr="00AA6417">
        <w:rPr>
          <w:rFonts w:ascii="Arial" w:hAnsi="Arial" w:cs="Arial"/>
          <w:sz w:val="22"/>
          <w:szCs w:val="22"/>
        </w:rPr>
        <w:t xml:space="preserve"> </w:t>
      </w:r>
      <w:r w:rsidR="00623F1D" w:rsidRPr="00AA6417">
        <w:rPr>
          <w:rFonts w:ascii="Arial" w:hAnsi="Arial" w:cs="Arial"/>
          <w:sz w:val="22"/>
          <w:szCs w:val="22"/>
        </w:rPr>
        <w:t xml:space="preserve">důvodu větší </w:t>
      </w:r>
      <w:r w:rsidR="00242A0C" w:rsidRPr="00AA6417">
        <w:rPr>
          <w:rFonts w:ascii="Arial" w:hAnsi="Arial" w:cs="Arial"/>
          <w:sz w:val="22"/>
          <w:szCs w:val="22"/>
        </w:rPr>
        <w:t>přehledn</w:t>
      </w:r>
      <w:r w:rsidR="00623F1D" w:rsidRPr="00AA6417">
        <w:rPr>
          <w:rFonts w:ascii="Arial" w:hAnsi="Arial" w:cs="Arial"/>
          <w:sz w:val="22"/>
          <w:szCs w:val="22"/>
        </w:rPr>
        <w:t>osti a srozumitelnosti.</w:t>
      </w:r>
      <w:r w:rsidR="00471452" w:rsidRPr="00AA6417">
        <w:rPr>
          <w:rFonts w:ascii="Arial" w:hAnsi="Arial" w:cs="Arial"/>
          <w:sz w:val="22"/>
          <w:szCs w:val="22"/>
        </w:rPr>
        <w:t xml:space="preserve"> Současně Úřad upravil strukturu </w:t>
      </w:r>
      <w:r w:rsidR="008A5A31" w:rsidRPr="00AA6417">
        <w:rPr>
          <w:rFonts w:ascii="Arial" w:hAnsi="Arial" w:cs="Arial"/>
          <w:sz w:val="22"/>
          <w:szCs w:val="22"/>
        </w:rPr>
        <w:t>v</w:t>
      </w:r>
      <w:r w:rsidR="00471452" w:rsidRPr="00AA6417">
        <w:rPr>
          <w:rFonts w:ascii="Arial" w:hAnsi="Arial" w:cs="Arial"/>
          <w:sz w:val="22"/>
          <w:szCs w:val="22"/>
        </w:rPr>
        <w:t>ykazovaných informací (příloha č. 1) s ohledem</w:t>
      </w:r>
      <w:r w:rsidR="0047095F">
        <w:rPr>
          <w:rFonts w:ascii="Arial" w:hAnsi="Arial" w:cs="Arial"/>
          <w:sz w:val="22"/>
          <w:szCs w:val="22"/>
        </w:rPr>
        <w:t xml:space="preserve"> na </w:t>
      </w:r>
      <w:r w:rsidR="00471452" w:rsidRPr="00AA6417">
        <w:rPr>
          <w:rFonts w:ascii="Arial" w:hAnsi="Arial" w:cs="Arial"/>
          <w:sz w:val="22"/>
          <w:szCs w:val="22"/>
        </w:rPr>
        <w:t>rozvoj sítí elektronických komunikací,</w:t>
      </w:r>
      <w:r w:rsidR="0047095F">
        <w:rPr>
          <w:rFonts w:ascii="Arial" w:hAnsi="Arial" w:cs="Arial"/>
          <w:sz w:val="22"/>
          <w:szCs w:val="22"/>
        </w:rPr>
        <w:t xml:space="preserve"> na </w:t>
      </w:r>
      <w:r w:rsidR="00471452" w:rsidRPr="00AA6417">
        <w:rPr>
          <w:rFonts w:ascii="Arial" w:hAnsi="Arial" w:cs="Arial"/>
          <w:sz w:val="22"/>
          <w:szCs w:val="22"/>
        </w:rPr>
        <w:t>potřeby Úřadu a připomínky operátorů k nápravným opatřením souvisejícím s regulací cen a vedení oddělené evidence.</w:t>
      </w:r>
    </w:p>
    <w:p w:rsidR="00AA6417" w:rsidRPr="00AA6417" w:rsidRDefault="00242A0C" w:rsidP="00D51D39">
      <w:pPr>
        <w:widowControl w:val="0"/>
        <w:autoSpaceDE w:val="0"/>
        <w:autoSpaceDN w:val="0"/>
        <w:adjustRightInd w:val="0"/>
        <w:spacing w:before="240"/>
        <w:ind w:firstLine="828"/>
        <w:jc w:val="both"/>
        <w:rPr>
          <w:rFonts w:ascii="Arial" w:hAnsi="Arial" w:cs="Arial"/>
          <w:spacing w:val="3"/>
          <w:sz w:val="22"/>
          <w:szCs w:val="22"/>
        </w:rPr>
      </w:pPr>
      <w:r w:rsidRPr="00AA6417">
        <w:rPr>
          <w:rFonts w:ascii="Arial" w:hAnsi="Arial" w:cs="Arial"/>
          <w:sz w:val="22"/>
          <w:szCs w:val="22"/>
        </w:rPr>
        <w:t>Článek</w:t>
      </w:r>
      <w:r w:rsidRPr="00AA6417">
        <w:rPr>
          <w:rFonts w:ascii="Arial" w:hAnsi="Arial" w:cs="Arial"/>
          <w:spacing w:val="20"/>
          <w:sz w:val="22"/>
          <w:szCs w:val="22"/>
        </w:rPr>
        <w:t xml:space="preserve"> </w:t>
      </w:r>
      <w:r w:rsidRPr="00AA6417">
        <w:rPr>
          <w:rFonts w:ascii="Arial" w:hAnsi="Arial" w:cs="Arial"/>
          <w:sz w:val="22"/>
          <w:szCs w:val="22"/>
        </w:rPr>
        <w:t>2</w:t>
      </w:r>
      <w:r w:rsidRPr="00AA6417">
        <w:rPr>
          <w:rFonts w:ascii="Arial" w:hAnsi="Arial" w:cs="Arial"/>
          <w:spacing w:val="26"/>
          <w:sz w:val="22"/>
          <w:szCs w:val="22"/>
        </w:rPr>
        <w:t xml:space="preserve"> </w:t>
      </w:r>
      <w:r w:rsidRPr="00AA6417">
        <w:rPr>
          <w:rFonts w:ascii="Arial" w:hAnsi="Arial" w:cs="Arial"/>
          <w:sz w:val="22"/>
          <w:szCs w:val="22"/>
        </w:rPr>
        <w:t>vymezuje</w:t>
      </w:r>
      <w:r w:rsidRPr="00AA6417">
        <w:rPr>
          <w:rFonts w:ascii="Arial" w:hAnsi="Arial" w:cs="Arial"/>
          <w:spacing w:val="18"/>
          <w:sz w:val="22"/>
          <w:szCs w:val="22"/>
        </w:rPr>
        <w:t xml:space="preserve"> </w:t>
      </w:r>
      <w:r w:rsidRPr="00AA6417">
        <w:rPr>
          <w:rFonts w:ascii="Arial" w:hAnsi="Arial" w:cs="Arial"/>
          <w:sz w:val="22"/>
          <w:szCs w:val="22"/>
        </w:rPr>
        <w:t>základní</w:t>
      </w:r>
      <w:r w:rsidRPr="00AA6417">
        <w:rPr>
          <w:rFonts w:ascii="Arial" w:hAnsi="Arial" w:cs="Arial"/>
          <w:spacing w:val="19"/>
          <w:sz w:val="22"/>
          <w:szCs w:val="22"/>
        </w:rPr>
        <w:t xml:space="preserve"> </w:t>
      </w:r>
      <w:r w:rsidRPr="00AA6417">
        <w:rPr>
          <w:rFonts w:ascii="Arial" w:hAnsi="Arial" w:cs="Arial"/>
          <w:sz w:val="22"/>
          <w:szCs w:val="22"/>
        </w:rPr>
        <w:t>pojmy</w:t>
      </w:r>
      <w:r w:rsidRPr="00AA6417">
        <w:rPr>
          <w:rFonts w:ascii="Arial" w:hAnsi="Arial" w:cs="Arial"/>
          <w:spacing w:val="22"/>
          <w:sz w:val="22"/>
          <w:szCs w:val="22"/>
        </w:rPr>
        <w:t xml:space="preserve"> </w:t>
      </w:r>
      <w:r w:rsidRPr="00AA6417">
        <w:rPr>
          <w:rFonts w:ascii="Arial" w:hAnsi="Arial" w:cs="Arial"/>
          <w:sz w:val="22"/>
          <w:szCs w:val="22"/>
        </w:rPr>
        <w:t>používané</w:t>
      </w:r>
      <w:r w:rsidR="0047095F">
        <w:rPr>
          <w:rFonts w:ascii="Arial" w:hAnsi="Arial" w:cs="Arial"/>
          <w:spacing w:val="17"/>
          <w:sz w:val="22"/>
          <w:szCs w:val="22"/>
        </w:rPr>
        <w:t xml:space="preserve"> v </w:t>
      </w:r>
      <w:r w:rsidRPr="00AA6417">
        <w:rPr>
          <w:rFonts w:ascii="Arial" w:hAnsi="Arial" w:cs="Arial"/>
          <w:sz w:val="22"/>
          <w:szCs w:val="22"/>
        </w:rPr>
        <w:t>opatření</w:t>
      </w:r>
      <w:r w:rsidRPr="00AA6417">
        <w:rPr>
          <w:rFonts w:ascii="Arial" w:hAnsi="Arial" w:cs="Arial"/>
          <w:spacing w:val="19"/>
          <w:sz w:val="22"/>
          <w:szCs w:val="22"/>
        </w:rPr>
        <w:t xml:space="preserve"> a</w:t>
      </w:r>
      <w:r w:rsidR="00F7734F" w:rsidRPr="00AA6417">
        <w:rPr>
          <w:rFonts w:ascii="Arial" w:hAnsi="Arial" w:cs="Arial"/>
          <w:spacing w:val="19"/>
          <w:sz w:val="22"/>
          <w:szCs w:val="22"/>
        </w:rPr>
        <w:t xml:space="preserve"> </w:t>
      </w:r>
      <w:r w:rsidRPr="00AA6417">
        <w:rPr>
          <w:rFonts w:ascii="Arial" w:hAnsi="Arial" w:cs="Arial"/>
          <w:sz w:val="22"/>
          <w:szCs w:val="22"/>
        </w:rPr>
        <w:t>stanoví</w:t>
      </w:r>
      <w:r w:rsidRPr="00AA6417">
        <w:rPr>
          <w:rFonts w:ascii="Arial" w:hAnsi="Arial" w:cs="Arial"/>
          <w:spacing w:val="20"/>
          <w:sz w:val="22"/>
          <w:szCs w:val="22"/>
        </w:rPr>
        <w:t xml:space="preserve"> </w:t>
      </w:r>
      <w:r w:rsidRPr="00AA6417">
        <w:rPr>
          <w:rFonts w:ascii="Arial" w:hAnsi="Arial" w:cs="Arial"/>
          <w:sz w:val="22"/>
          <w:szCs w:val="22"/>
        </w:rPr>
        <w:t>základní</w:t>
      </w:r>
      <w:r w:rsidRPr="00AA6417">
        <w:rPr>
          <w:rFonts w:ascii="Arial" w:hAnsi="Arial" w:cs="Arial"/>
          <w:spacing w:val="19"/>
          <w:sz w:val="22"/>
          <w:szCs w:val="22"/>
        </w:rPr>
        <w:t xml:space="preserve"> </w:t>
      </w:r>
      <w:r w:rsidRPr="00AA6417">
        <w:rPr>
          <w:rFonts w:ascii="Arial" w:hAnsi="Arial" w:cs="Arial"/>
          <w:sz w:val="22"/>
          <w:szCs w:val="22"/>
        </w:rPr>
        <w:t>zásady pro</w:t>
      </w:r>
      <w:r w:rsidR="00853A8A" w:rsidRPr="00AA6417">
        <w:rPr>
          <w:rFonts w:ascii="Arial" w:hAnsi="Arial" w:cs="Arial"/>
          <w:sz w:val="22"/>
          <w:szCs w:val="22"/>
        </w:rPr>
        <w:t xml:space="preserve"> </w:t>
      </w:r>
      <w:r w:rsidRPr="00AA6417">
        <w:rPr>
          <w:rFonts w:ascii="Arial" w:hAnsi="Arial" w:cs="Arial"/>
          <w:sz w:val="22"/>
          <w:szCs w:val="22"/>
        </w:rPr>
        <w:t>vedení</w:t>
      </w:r>
      <w:r w:rsidRPr="00AA6417">
        <w:rPr>
          <w:rFonts w:ascii="Arial" w:hAnsi="Arial" w:cs="Arial"/>
          <w:spacing w:val="4"/>
          <w:sz w:val="22"/>
          <w:szCs w:val="22"/>
        </w:rPr>
        <w:t xml:space="preserve"> </w:t>
      </w:r>
      <w:r w:rsidRPr="00AA6417">
        <w:rPr>
          <w:rFonts w:ascii="Arial" w:hAnsi="Arial" w:cs="Arial"/>
          <w:sz w:val="22"/>
          <w:szCs w:val="22"/>
        </w:rPr>
        <w:t>oddělené evidence. Členění</w:t>
      </w:r>
      <w:r w:rsidRPr="00AA6417">
        <w:rPr>
          <w:rFonts w:ascii="Arial" w:hAnsi="Arial" w:cs="Arial"/>
          <w:spacing w:val="2"/>
          <w:sz w:val="22"/>
          <w:szCs w:val="22"/>
        </w:rPr>
        <w:t xml:space="preserve"> </w:t>
      </w:r>
      <w:r w:rsidRPr="00AA6417">
        <w:rPr>
          <w:rFonts w:ascii="Arial" w:hAnsi="Arial" w:cs="Arial"/>
          <w:sz w:val="22"/>
          <w:szCs w:val="22"/>
        </w:rPr>
        <w:t>nákla</w:t>
      </w:r>
      <w:r w:rsidRPr="00AA6417">
        <w:rPr>
          <w:rFonts w:ascii="Arial" w:hAnsi="Arial" w:cs="Arial"/>
          <w:spacing w:val="-1"/>
          <w:sz w:val="22"/>
          <w:szCs w:val="22"/>
        </w:rPr>
        <w:t>d</w:t>
      </w:r>
      <w:r w:rsidRPr="00AA6417">
        <w:rPr>
          <w:rFonts w:ascii="Arial" w:hAnsi="Arial" w:cs="Arial"/>
          <w:sz w:val="22"/>
          <w:szCs w:val="22"/>
        </w:rPr>
        <w:t>ů</w:t>
      </w:r>
      <w:r w:rsidR="0047095F">
        <w:rPr>
          <w:rFonts w:ascii="Arial" w:hAnsi="Arial" w:cs="Arial"/>
          <w:spacing w:val="2"/>
          <w:sz w:val="22"/>
          <w:szCs w:val="22"/>
        </w:rPr>
        <w:t xml:space="preserve"> na </w:t>
      </w:r>
      <w:r w:rsidRPr="00AA6417">
        <w:rPr>
          <w:rFonts w:ascii="Arial" w:hAnsi="Arial" w:cs="Arial"/>
          <w:sz w:val="22"/>
          <w:szCs w:val="22"/>
        </w:rPr>
        <w:t>přímé,</w:t>
      </w:r>
      <w:r w:rsidRPr="00AA6417">
        <w:rPr>
          <w:rFonts w:ascii="Arial" w:hAnsi="Arial" w:cs="Arial"/>
          <w:spacing w:val="4"/>
          <w:sz w:val="22"/>
          <w:szCs w:val="22"/>
        </w:rPr>
        <w:t xml:space="preserve"> </w:t>
      </w:r>
      <w:r w:rsidRPr="00AA6417">
        <w:rPr>
          <w:rFonts w:ascii="Arial" w:hAnsi="Arial" w:cs="Arial"/>
          <w:sz w:val="22"/>
          <w:szCs w:val="22"/>
        </w:rPr>
        <w:t>nepřímé,</w:t>
      </w:r>
      <w:r w:rsidRPr="00AA6417">
        <w:rPr>
          <w:rFonts w:ascii="Arial" w:hAnsi="Arial" w:cs="Arial"/>
          <w:spacing w:val="1"/>
          <w:sz w:val="22"/>
          <w:szCs w:val="22"/>
        </w:rPr>
        <w:t xml:space="preserve"> </w:t>
      </w:r>
      <w:r w:rsidRPr="00AA6417">
        <w:rPr>
          <w:rFonts w:ascii="Arial" w:hAnsi="Arial" w:cs="Arial"/>
          <w:sz w:val="22"/>
          <w:szCs w:val="22"/>
        </w:rPr>
        <w:t>spole</w:t>
      </w:r>
      <w:r w:rsidRPr="00AA6417">
        <w:rPr>
          <w:rFonts w:ascii="Arial" w:hAnsi="Arial" w:cs="Arial"/>
          <w:spacing w:val="1"/>
          <w:sz w:val="22"/>
          <w:szCs w:val="22"/>
        </w:rPr>
        <w:t>č</w:t>
      </w:r>
      <w:r w:rsidRPr="00AA6417">
        <w:rPr>
          <w:rFonts w:ascii="Arial" w:hAnsi="Arial" w:cs="Arial"/>
          <w:sz w:val="22"/>
          <w:szCs w:val="22"/>
        </w:rPr>
        <w:t>né</w:t>
      </w:r>
      <w:r w:rsidRPr="00AA6417">
        <w:rPr>
          <w:rFonts w:ascii="Arial" w:hAnsi="Arial" w:cs="Arial"/>
          <w:spacing w:val="1"/>
          <w:sz w:val="22"/>
          <w:szCs w:val="22"/>
        </w:rPr>
        <w:t xml:space="preserve"> a </w:t>
      </w:r>
      <w:r w:rsidRPr="00AA6417">
        <w:rPr>
          <w:rFonts w:ascii="Arial" w:hAnsi="Arial" w:cs="Arial"/>
          <w:sz w:val="22"/>
          <w:szCs w:val="22"/>
        </w:rPr>
        <w:t>os</w:t>
      </w:r>
      <w:r w:rsidRPr="00AA6417">
        <w:rPr>
          <w:rFonts w:ascii="Arial" w:hAnsi="Arial" w:cs="Arial"/>
          <w:spacing w:val="-1"/>
          <w:sz w:val="22"/>
          <w:szCs w:val="22"/>
        </w:rPr>
        <w:t>t</w:t>
      </w:r>
      <w:r w:rsidRPr="00AA6417">
        <w:rPr>
          <w:rFonts w:ascii="Arial" w:hAnsi="Arial" w:cs="Arial"/>
          <w:sz w:val="22"/>
          <w:szCs w:val="22"/>
        </w:rPr>
        <w:t>atní</w:t>
      </w:r>
      <w:r w:rsidRPr="00AA6417">
        <w:rPr>
          <w:rFonts w:ascii="Arial" w:hAnsi="Arial" w:cs="Arial"/>
          <w:spacing w:val="3"/>
          <w:sz w:val="22"/>
          <w:szCs w:val="22"/>
        </w:rPr>
        <w:t xml:space="preserve"> </w:t>
      </w:r>
      <w:r w:rsidRPr="00AA6417">
        <w:rPr>
          <w:rFonts w:ascii="Arial" w:hAnsi="Arial" w:cs="Arial"/>
          <w:sz w:val="22"/>
          <w:szCs w:val="22"/>
        </w:rPr>
        <w:t>by</w:t>
      </w:r>
      <w:r w:rsidRPr="00AA6417">
        <w:rPr>
          <w:rFonts w:ascii="Arial" w:hAnsi="Arial" w:cs="Arial"/>
          <w:spacing w:val="1"/>
          <w:sz w:val="22"/>
          <w:szCs w:val="22"/>
        </w:rPr>
        <w:t>l</w:t>
      </w:r>
      <w:r w:rsidRPr="00AA6417">
        <w:rPr>
          <w:rFonts w:ascii="Arial" w:hAnsi="Arial" w:cs="Arial"/>
          <w:sz w:val="22"/>
          <w:szCs w:val="22"/>
        </w:rPr>
        <w:t>o zavedeno do</w:t>
      </w:r>
      <w:r w:rsidR="00853A8A" w:rsidRPr="00AA6417">
        <w:rPr>
          <w:rFonts w:ascii="Arial" w:hAnsi="Arial" w:cs="Arial"/>
          <w:sz w:val="22"/>
          <w:szCs w:val="22"/>
        </w:rPr>
        <w:t xml:space="preserve"> </w:t>
      </w:r>
      <w:r w:rsidRPr="00AA6417">
        <w:rPr>
          <w:rFonts w:ascii="Arial" w:hAnsi="Arial" w:cs="Arial"/>
          <w:sz w:val="22"/>
          <w:szCs w:val="22"/>
        </w:rPr>
        <w:t>praxe již</w:t>
      </w:r>
      <w:r w:rsidR="0047095F">
        <w:rPr>
          <w:rFonts w:ascii="Arial" w:hAnsi="Arial" w:cs="Arial"/>
          <w:sz w:val="22"/>
          <w:szCs w:val="22"/>
        </w:rPr>
        <w:t xml:space="preserve"> v </w:t>
      </w:r>
      <w:r w:rsidRPr="00AA6417">
        <w:rPr>
          <w:rFonts w:ascii="Arial" w:hAnsi="Arial" w:cs="Arial"/>
          <w:sz w:val="22"/>
          <w:szCs w:val="22"/>
        </w:rPr>
        <w:t>období před</w:t>
      </w:r>
      <w:r w:rsidR="00853A8A" w:rsidRPr="00AA6417">
        <w:rPr>
          <w:rFonts w:ascii="Arial" w:hAnsi="Arial" w:cs="Arial"/>
          <w:sz w:val="22"/>
          <w:szCs w:val="22"/>
        </w:rPr>
        <w:t xml:space="preserve"> </w:t>
      </w:r>
      <w:r w:rsidRPr="00AA6417">
        <w:rPr>
          <w:rFonts w:ascii="Arial" w:hAnsi="Arial" w:cs="Arial"/>
          <w:sz w:val="22"/>
          <w:szCs w:val="22"/>
        </w:rPr>
        <w:t>vstupem České republiky do</w:t>
      </w:r>
      <w:r w:rsidR="00F7734F" w:rsidRPr="00AA6417">
        <w:rPr>
          <w:rFonts w:ascii="Arial" w:hAnsi="Arial" w:cs="Arial"/>
          <w:sz w:val="22"/>
          <w:szCs w:val="22"/>
        </w:rPr>
        <w:t xml:space="preserve"> </w:t>
      </w:r>
      <w:r w:rsidRPr="00AA6417">
        <w:rPr>
          <w:rFonts w:ascii="Arial" w:hAnsi="Arial" w:cs="Arial"/>
          <w:sz w:val="22"/>
          <w:szCs w:val="22"/>
        </w:rPr>
        <w:t>Evropské unie (dále jen „EU“),</w:t>
      </w:r>
      <w:r w:rsidR="0047095F">
        <w:rPr>
          <w:rFonts w:ascii="Arial" w:hAnsi="Arial" w:cs="Arial"/>
          <w:sz w:val="22"/>
          <w:szCs w:val="22"/>
        </w:rPr>
        <w:t xml:space="preserve"> v </w:t>
      </w:r>
      <w:r w:rsidRPr="00AA6417">
        <w:rPr>
          <w:rFonts w:ascii="Arial" w:hAnsi="Arial" w:cs="Arial"/>
          <w:sz w:val="22"/>
          <w:szCs w:val="22"/>
        </w:rPr>
        <w:t>současné době však nabývá</w:t>
      </w:r>
      <w:r w:rsidR="0047095F">
        <w:rPr>
          <w:rFonts w:ascii="Arial" w:hAnsi="Arial" w:cs="Arial"/>
          <w:sz w:val="22"/>
          <w:szCs w:val="22"/>
        </w:rPr>
        <w:t xml:space="preserve"> na </w:t>
      </w:r>
      <w:r w:rsidRPr="00AA6417">
        <w:rPr>
          <w:rFonts w:ascii="Arial" w:hAnsi="Arial" w:cs="Arial"/>
          <w:sz w:val="22"/>
          <w:szCs w:val="22"/>
        </w:rPr>
        <w:t>významu zvláště</w:t>
      </w:r>
      <w:r w:rsidR="0047095F">
        <w:rPr>
          <w:rFonts w:ascii="Arial" w:hAnsi="Arial" w:cs="Arial"/>
          <w:sz w:val="22"/>
          <w:szCs w:val="22"/>
        </w:rPr>
        <w:t xml:space="preserve"> v </w:t>
      </w:r>
      <w:r w:rsidRPr="00AA6417">
        <w:rPr>
          <w:rFonts w:ascii="Arial" w:hAnsi="Arial" w:cs="Arial"/>
          <w:sz w:val="22"/>
          <w:szCs w:val="22"/>
        </w:rPr>
        <w:t xml:space="preserve">souvislosti </w:t>
      </w:r>
      <w:r w:rsidR="00853A8A" w:rsidRPr="00AA6417">
        <w:rPr>
          <w:rFonts w:ascii="Arial" w:hAnsi="Arial" w:cs="Arial"/>
          <w:sz w:val="22"/>
          <w:szCs w:val="22"/>
        </w:rPr>
        <w:br/>
      </w:r>
      <w:r w:rsidRPr="00AA6417">
        <w:rPr>
          <w:rFonts w:ascii="Arial" w:hAnsi="Arial" w:cs="Arial"/>
          <w:sz w:val="22"/>
          <w:szCs w:val="22"/>
        </w:rPr>
        <w:t>s</w:t>
      </w:r>
      <w:r w:rsidR="00853A8A" w:rsidRPr="00AA6417">
        <w:rPr>
          <w:rFonts w:ascii="Arial" w:hAnsi="Arial" w:cs="Arial"/>
          <w:sz w:val="22"/>
          <w:szCs w:val="22"/>
        </w:rPr>
        <w:t xml:space="preserve"> </w:t>
      </w:r>
      <w:r w:rsidRPr="00AA6417">
        <w:rPr>
          <w:rFonts w:ascii="Arial" w:hAnsi="Arial" w:cs="Arial"/>
          <w:sz w:val="22"/>
          <w:szCs w:val="22"/>
        </w:rPr>
        <w:t>výpočtem cen za</w:t>
      </w:r>
      <w:r w:rsidR="00853A8A" w:rsidRPr="00AA6417">
        <w:rPr>
          <w:rFonts w:ascii="Arial" w:hAnsi="Arial" w:cs="Arial"/>
          <w:sz w:val="22"/>
          <w:szCs w:val="22"/>
        </w:rPr>
        <w:t xml:space="preserve"> </w:t>
      </w:r>
      <w:r w:rsidRPr="00AA6417">
        <w:rPr>
          <w:rFonts w:ascii="Arial" w:hAnsi="Arial" w:cs="Arial"/>
          <w:sz w:val="22"/>
          <w:szCs w:val="22"/>
        </w:rPr>
        <w:t>propojení a</w:t>
      </w:r>
      <w:r w:rsidR="00F7734F" w:rsidRPr="00AA6417">
        <w:rPr>
          <w:rFonts w:ascii="Arial" w:hAnsi="Arial" w:cs="Arial"/>
          <w:sz w:val="22"/>
          <w:szCs w:val="22"/>
        </w:rPr>
        <w:t xml:space="preserve"> </w:t>
      </w:r>
      <w:r w:rsidR="00E4076E" w:rsidRPr="00AA6417">
        <w:rPr>
          <w:rFonts w:ascii="Arial" w:hAnsi="Arial" w:cs="Arial"/>
          <w:sz w:val="22"/>
          <w:szCs w:val="22"/>
        </w:rPr>
        <w:t>služeb přístupu</w:t>
      </w:r>
      <w:r w:rsidR="0047095F">
        <w:rPr>
          <w:rFonts w:ascii="Arial" w:hAnsi="Arial" w:cs="Arial"/>
          <w:sz w:val="22"/>
          <w:szCs w:val="22"/>
        </w:rPr>
        <w:t xml:space="preserve"> v </w:t>
      </w:r>
      <w:r w:rsidRPr="00AA6417">
        <w:rPr>
          <w:rFonts w:ascii="Arial" w:hAnsi="Arial" w:cs="Arial"/>
          <w:sz w:val="22"/>
          <w:szCs w:val="22"/>
        </w:rPr>
        <w:t>cenových modelech zpracovaných</w:t>
      </w:r>
      <w:r w:rsidR="0047095F">
        <w:rPr>
          <w:rFonts w:ascii="Arial" w:hAnsi="Arial" w:cs="Arial"/>
          <w:sz w:val="22"/>
          <w:szCs w:val="22"/>
        </w:rPr>
        <w:t xml:space="preserve"> v </w:t>
      </w:r>
      <w:r w:rsidRPr="00AA6417">
        <w:rPr>
          <w:rFonts w:ascii="Arial" w:hAnsi="Arial" w:cs="Arial"/>
          <w:sz w:val="22"/>
          <w:szCs w:val="22"/>
        </w:rPr>
        <w:t>souladu s</w:t>
      </w:r>
      <w:r w:rsidR="00853A8A" w:rsidRPr="00AA6417">
        <w:rPr>
          <w:rFonts w:ascii="Arial" w:hAnsi="Arial" w:cs="Arial"/>
          <w:sz w:val="22"/>
          <w:szCs w:val="22"/>
        </w:rPr>
        <w:t xml:space="preserve"> </w:t>
      </w:r>
      <w:r w:rsidRPr="00AA6417">
        <w:rPr>
          <w:rFonts w:ascii="Arial" w:hAnsi="Arial" w:cs="Arial"/>
          <w:sz w:val="22"/>
          <w:szCs w:val="22"/>
        </w:rPr>
        <w:t>metodikou EU. Stejně tak definování a</w:t>
      </w:r>
      <w:r w:rsidR="00F7734F" w:rsidRPr="00AA6417">
        <w:rPr>
          <w:rFonts w:ascii="Arial" w:hAnsi="Arial" w:cs="Arial"/>
          <w:sz w:val="22"/>
          <w:szCs w:val="22"/>
        </w:rPr>
        <w:t xml:space="preserve"> </w:t>
      </w:r>
      <w:r w:rsidRPr="00AA6417">
        <w:rPr>
          <w:rFonts w:ascii="Arial" w:hAnsi="Arial" w:cs="Arial"/>
          <w:sz w:val="22"/>
          <w:szCs w:val="22"/>
        </w:rPr>
        <w:t xml:space="preserve">následné </w:t>
      </w:r>
      <w:r w:rsidR="00623F1D" w:rsidRPr="00AA6417">
        <w:rPr>
          <w:rFonts w:ascii="Arial" w:hAnsi="Arial" w:cs="Arial"/>
          <w:sz w:val="22"/>
          <w:szCs w:val="22"/>
        </w:rPr>
        <w:t>vykazování</w:t>
      </w:r>
      <w:r w:rsidRPr="00AA6417">
        <w:rPr>
          <w:rFonts w:ascii="Arial" w:hAnsi="Arial" w:cs="Arial"/>
          <w:spacing w:val="30"/>
          <w:sz w:val="22"/>
          <w:szCs w:val="22"/>
        </w:rPr>
        <w:t xml:space="preserve"> </w:t>
      </w:r>
      <w:r w:rsidRPr="00AA6417">
        <w:rPr>
          <w:rFonts w:ascii="Arial" w:hAnsi="Arial" w:cs="Arial"/>
          <w:sz w:val="22"/>
          <w:szCs w:val="22"/>
        </w:rPr>
        <w:t>vloženého</w:t>
      </w:r>
      <w:r w:rsidRPr="00AA6417">
        <w:rPr>
          <w:rFonts w:ascii="Arial" w:hAnsi="Arial" w:cs="Arial"/>
          <w:spacing w:val="27"/>
          <w:sz w:val="22"/>
          <w:szCs w:val="22"/>
        </w:rPr>
        <w:t xml:space="preserve"> </w:t>
      </w:r>
      <w:r w:rsidRPr="00AA6417">
        <w:rPr>
          <w:rFonts w:ascii="Arial" w:hAnsi="Arial" w:cs="Arial"/>
          <w:sz w:val="22"/>
          <w:szCs w:val="22"/>
        </w:rPr>
        <w:t>kapitálu</w:t>
      </w:r>
      <w:r w:rsidRPr="00AA6417">
        <w:rPr>
          <w:rFonts w:ascii="Arial" w:hAnsi="Arial" w:cs="Arial"/>
          <w:spacing w:val="29"/>
          <w:sz w:val="22"/>
          <w:szCs w:val="22"/>
        </w:rPr>
        <w:t xml:space="preserve"> </w:t>
      </w:r>
      <w:r w:rsidRPr="00AA6417">
        <w:rPr>
          <w:rFonts w:ascii="Arial" w:hAnsi="Arial" w:cs="Arial"/>
          <w:sz w:val="22"/>
          <w:szCs w:val="22"/>
        </w:rPr>
        <w:t>je zásadní pro</w:t>
      </w:r>
      <w:r w:rsidR="00F7734F" w:rsidRPr="00AA6417">
        <w:rPr>
          <w:rFonts w:ascii="Arial" w:hAnsi="Arial" w:cs="Arial"/>
          <w:sz w:val="22"/>
          <w:szCs w:val="22"/>
        </w:rPr>
        <w:t xml:space="preserve"> </w:t>
      </w:r>
      <w:r w:rsidR="0089366F" w:rsidRPr="00AA6417">
        <w:rPr>
          <w:rFonts w:ascii="Arial" w:hAnsi="Arial" w:cs="Arial"/>
          <w:sz w:val="22"/>
          <w:szCs w:val="22"/>
        </w:rPr>
        <w:t>sledování ziskovosti regulovaných služeb.</w:t>
      </w:r>
      <w:r w:rsidRPr="00AA6417">
        <w:rPr>
          <w:rFonts w:ascii="Arial" w:hAnsi="Arial" w:cs="Arial"/>
          <w:sz w:val="22"/>
          <w:szCs w:val="22"/>
        </w:rPr>
        <w:t xml:space="preserve"> Vložený kapitál neobsahuje pracovní kapitál</w:t>
      </w:r>
      <w:r w:rsidR="00471452" w:rsidRPr="00AA6417">
        <w:rPr>
          <w:rFonts w:ascii="Arial" w:hAnsi="Arial" w:cs="Arial"/>
          <w:sz w:val="22"/>
          <w:szCs w:val="22"/>
        </w:rPr>
        <w:t>.</w:t>
      </w:r>
      <w:r w:rsidR="0047095F">
        <w:rPr>
          <w:rFonts w:ascii="Arial" w:hAnsi="Arial" w:cs="Arial"/>
          <w:sz w:val="22"/>
          <w:szCs w:val="22"/>
        </w:rPr>
        <w:t xml:space="preserve"> </w:t>
      </w:r>
      <w:r w:rsidR="007C0B5A">
        <w:rPr>
          <w:rFonts w:ascii="Arial" w:hAnsi="Arial" w:cs="Arial"/>
          <w:sz w:val="22"/>
          <w:szCs w:val="22"/>
        </w:rPr>
        <w:t>V</w:t>
      </w:r>
      <w:r w:rsidR="0047095F">
        <w:rPr>
          <w:rFonts w:ascii="Arial" w:hAnsi="Arial" w:cs="Arial"/>
          <w:sz w:val="22"/>
          <w:szCs w:val="22"/>
        </w:rPr>
        <w:t> </w:t>
      </w:r>
      <w:r w:rsidRPr="00AA6417">
        <w:rPr>
          <w:rFonts w:ascii="Arial" w:hAnsi="Arial" w:cs="Arial"/>
          <w:sz w:val="22"/>
          <w:szCs w:val="22"/>
        </w:rPr>
        <w:t xml:space="preserve">odvětví </w:t>
      </w:r>
      <w:r w:rsidR="00843E31" w:rsidRPr="00AA6417">
        <w:rPr>
          <w:rFonts w:ascii="Arial" w:hAnsi="Arial" w:cs="Arial"/>
          <w:sz w:val="22"/>
          <w:szCs w:val="22"/>
        </w:rPr>
        <w:t>elektronických komunikací</w:t>
      </w:r>
      <w:r w:rsidRPr="00AA6417">
        <w:rPr>
          <w:rFonts w:ascii="Arial" w:hAnsi="Arial" w:cs="Arial"/>
          <w:sz w:val="22"/>
          <w:szCs w:val="22"/>
        </w:rPr>
        <w:t xml:space="preserve"> převažuje kapitál investovaný do</w:t>
      </w:r>
      <w:r w:rsidR="007C0B5A">
        <w:rPr>
          <w:rFonts w:ascii="Arial" w:hAnsi="Arial" w:cs="Arial"/>
          <w:sz w:val="22"/>
          <w:szCs w:val="22"/>
        </w:rPr>
        <w:t> </w:t>
      </w:r>
      <w:r w:rsidRPr="00AA6417">
        <w:rPr>
          <w:rFonts w:ascii="Arial" w:hAnsi="Arial" w:cs="Arial"/>
          <w:sz w:val="22"/>
          <w:szCs w:val="22"/>
        </w:rPr>
        <w:t>dlouhodobého hmotného a nehmotného majetku, kdežto zásoby jsou</w:t>
      </w:r>
      <w:r w:rsidR="0047095F">
        <w:rPr>
          <w:rFonts w:ascii="Arial" w:hAnsi="Arial" w:cs="Arial"/>
          <w:sz w:val="22"/>
          <w:szCs w:val="22"/>
        </w:rPr>
        <w:t xml:space="preserve"> v </w:t>
      </w:r>
      <w:r w:rsidR="00623F1D" w:rsidRPr="00AA6417">
        <w:rPr>
          <w:rFonts w:ascii="Arial" w:hAnsi="Arial" w:cs="Arial"/>
          <w:sz w:val="22"/>
          <w:szCs w:val="22"/>
        </w:rPr>
        <w:t xml:space="preserve">hodnotě majetku pouze </w:t>
      </w:r>
      <w:r w:rsidRPr="00AA6417">
        <w:rPr>
          <w:rFonts w:ascii="Arial" w:hAnsi="Arial" w:cs="Arial"/>
          <w:sz w:val="22"/>
          <w:szCs w:val="22"/>
        </w:rPr>
        <w:t>marginální položkou.</w:t>
      </w:r>
      <w:r w:rsidRPr="00AA6417">
        <w:rPr>
          <w:rFonts w:ascii="Arial" w:hAnsi="Arial" w:cs="Arial"/>
          <w:spacing w:val="3"/>
          <w:sz w:val="22"/>
          <w:szCs w:val="22"/>
        </w:rPr>
        <w:t xml:space="preserve"> </w:t>
      </w:r>
    </w:p>
    <w:p w:rsidR="00242A0C" w:rsidRPr="00AA6417" w:rsidRDefault="00843E31" w:rsidP="00D51D39">
      <w:pPr>
        <w:widowControl w:val="0"/>
        <w:autoSpaceDE w:val="0"/>
        <w:autoSpaceDN w:val="0"/>
        <w:adjustRightInd w:val="0"/>
        <w:spacing w:before="240"/>
        <w:ind w:firstLine="828"/>
        <w:jc w:val="both"/>
        <w:rPr>
          <w:rFonts w:ascii="Arial" w:hAnsi="Arial" w:cs="Arial"/>
          <w:sz w:val="22"/>
          <w:szCs w:val="22"/>
        </w:rPr>
      </w:pPr>
      <w:r w:rsidRPr="00AA6417">
        <w:rPr>
          <w:rFonts w:ascii="Arial" w:hAnsi="Arial" w:cs="Arial"/>
          <w:sz w:val="22"/>
          <w:szCs w:val="22"/>
        </w:rPr>
        <w:t>V článku</w:t>
      </w:r>
      <w:r w:rsidRPr="007C0B5A">
        <w:rPr>
          <w:rFonts w:ascii="Arial" w:hAnsi="Arial" w:cs="Arial"/>
          <w:sz w:val="22"/>
          <w:szCs w:val="22"/>
        </w:rPr>
        <w:t xml:space="preserve"> </w:t>
      </w:r>
      <w:r w:rsidRPr="00AA6417">
        <w:rPr>
          <w:rFonts w:ascii="Arial" w:hAnsi="Arial" w:cs="Arial"/>
          <w:sz w:val="22"/>
          <w:szCs w:val="22"/>
        </w:rPr>
        <w:t>3</w:t>
      </w:r>
      <w:r w:rsidRPr="007C0B5A">
        <w:rPr>
          <w:rFonts w:ascii="Arial" w:hAnsi="Arial" w:cs="Arial"/>
          <w:sz w:val="22"/>
          <w:szCs w:val="22"/>
        </w:rPr>
        <w:t xml:space="preserve"> jsou obsaženy základní pravidla pro </w:t>
      </w:r>
      <w:r w:rsidR="00242A0C" w:rsidRPr="00AA6417">
        <w:rPr>
          <w:rFonts w:ascii="Arial" w:hAnsi="Arial" w:cs="Arial"/>
          <w:sz w:val="22"/>
          <w:szCs w:val="22"/>
        </w:rPr>
        <w:t>metodiku</w:t>
      </w:r>
      <w:r w:rsidR="00242A0C" w:rsidRPr="007C0B5A">
        <w:rPr>
          <w:rFonts w:ascii="Arial" w:hAnsi="Arial" w:cs="Arial"/>
          <w:sz w:val="22"/>
          <w:szCs w:val="22"/>
        </w:rPr>
        <w:t xml:space="preserve"> úče</w:t>
      </w:r>
      <w:r w:rsidR="00242A0C" w:rsidRPr="00AA6417">
        <w:rPr>
          <w:rFonts w:ascii="Arial" w:hAnsi="Arial" w:cs="Arial"/>
          <w:sz w:val="22"/>
          <w:szCs w:val="22"/>
        </w:rPr>
        <w:t xml:space="preserve">lového </w:t>
      </w:r>
      <w:r w:rsidR="00242A0C" w:rsidRPr="007C0B5A">
        <w:rPr>
          <w:rFonts w:ascii="Arial" w:hAnsi="Arial" w:cs="Arial"/>
          <w:sz w:val="22"/>
          <w:szCs w:val="22"/>
        </w:rPr>
        <w:t>č</w:t>
      </w:r>
      <w:r w:rsidR="00242A0C" w:rsidRPr="00AA6417">
        <w:rPr>
          <w:rFonts w:ascii="Arial" w:hAnsi="Arial" w:cs="Arial"/>
          <w:sz w:val="22"/>
          <w:szCs w:val="22"/>
        </w:rPr>
        <w:t>lenění</w:t>
      </w:r>
      <w:r w:rsidR="00242A0C" w:rsidRPr="007C0B5A">
        <w:rPr>
          <w:rFonts w:ascii="Arial" w:hAnsi="Arial" w:cs="Arial"/>
          <w:sz w:val="22"/>
          <w:szCs w:val="22"/>
        </w:rPr>
        <w:t xml:space="preserve"> </w:t>
      </w:r>
      <w:r w:rsidR="00242A0C" w:rsidRPr="00AA6417">
        <w:rPr>
          <w:rFonts w:ascii="Arial" w:hAnsi="Arial" w:cs="Arial"/>
          <w:sz w:val="22"/>
          <w:szCs w:val="22"/>
        </w:rPr>
        <w:t>nákladů</w:t>
      </w:r>
      <w:r w:rsidR="00242A0C" w:rsidRPr="007C0B5A">
        <w:rPr>
          <w:rFonts w:ascii="Arial" w:hAnsi="Arial" w:cs="Arial"/>
          <w:sz w:val="22"/>
          <w:szCs w:val="22"/>
        </w:rPr>
        <w:t xml:space="preserve"> a</w:t>
      </w:r>
      <w:r w:rsidR="00F7734F" w:rsidRPr="007C0B5A">
        <w:rPr>
          <w:rFonts w:ascii="Arial" w:hAnsi="Arial" w:cs="Arial"/>
          <w:sz w:val="22"/>
          <w:szCs w:val="22"/>
        </w:rPr>
        <w:t xml:space="preserve"> </w:t>
      </w:r>
      <w:r w:rsidR="00242A0C" w:rsidRPr="007C0B5A">
        <w:rPr>
          <w:rFonts w:ascii="Arial" w:hAnsi="Arial" w:cs="Arial"/>
          <w:sz w:val="22"/>
          <w:szCs w:val="22"/>
        </w:rPr>
        <w:t>v</w:t>
      </w:r>
      <w:r w:rsidR="00242A0C" w:rsidRPr="00AA6417">
        <w:rPr>
          <w:rFonts w:ascii="Arial" w:hAnsi="Arial" w:cs="Arial"/>
          <w:sz w:val="22"/>
          <w:szCs w:val="22"/>
        </w:rPr>
        <w:t>ýno</w:t>
      </w:r>
      <w:r w:rsidR="00242A0C" w:rsidRPr="007C0B5A">
        <w:rPr>
          <w:rFonts w:ascii="Arial" w:hAnsi="Arial" w:cs="Arial"/>
          <w:sz w:val="22"/>
          <w:szCs w:val="22"/>
        </w:rPr>
        <w:t>s</w:t>
      </w:r>
      <w:r w:rsidR="00242A0C" w:rsidRPr="00AA6417">
        <w:rPr>
          <w:rFonts w:ascii="Arial" w:hAnsi="Arial" w:cs="Arial"/>
          <w:sz w:val="22"/>
          <w:szCs w:val="22"/>
        </w:rPr>
        <w:t>ů.</w:t>
      </w:r>
      <w:r w:rsidR="00242A0C" w:rsidRPr="007C0B5A">
        <w:rPr>
          <w:rFonts w:ascii="Arial" w:hAnsi="Arial" w:cs="Arial"/>
          <w:sz w:val="22"/>
          <w:szCs w:val="22"/>
        </w:rPr>
        <w:t xml:space="preserve"> </w:t>
      </w:r>
      <w:r w:rsidR="00242A0C" w:rsidRPr="00AA6417">
        <w:rPr>
          <w:rFonts w:ascii="Arial" w:hAnsi="Arial" w:cs="Arial"/>
          <w:sz w:val="22"/>
          <w:szCs w:val="22"/>
        </w:rPr>
        <w:t>Náklady</w:t>
      </w:r>
      <w:r w:rsidR="00242A0C" w:rsidRPr="007C0B5A">
        <w:rPr>
          <w:rFonts w:ascii="Arial" w:hAnsi="Arial" w:cs="Arial"/>
          <w:sz w:val="22"/>
          <w:szCs w:val="22"/>
        </w:rPr>
        <w:t xml:space="preserve"> a </w:t>
      </w:r>
      <w:r w:rsidR="00242A0C" w:rsidRPr="00AA6417">
        <w:rPr>
          <w:rFonts w:ascii="Arial" w:hAnsi="Arial" w:cs="Arial"/>
          <w:sz w:val="22"/>
          <w:szCs w:val="22"/>
        </w:rPr>
        <w:t>výnosy jsou</w:t>
      </w:r>
      <w:r w:rsidR="00242A0C" w:rsidRPr="007C0B5A">
        <w:rPr>
          <w:rFonts w:ascii="Arial" w:hAnsi="Arial" w:cs="Arial"/>
          <w:sz w:val="22"/>
          <w:szCs w:val="22"/>
        </w:rPr>
        <w:t xml:space="preserve"> </w:t>
      </w:r>
      <w:r w:rsidR="00242A0C" w:rsidRPr="00AA6417">
        <w:rPr>
          <w:rFonts w:ascii="Arial" w:hAnsi="Arial" w:cs="Arial"/>
          <w:sz w:val="22"/>
          <w:szCs w:val="22"/>
        </w:rPr>
        <w:t>rozliš</w:t>
      </w:r>
      <w:r w:rsidR="00242A0C" w:rsidRPr="007C0B5A">
        <w:rPr>
          <w:rFonts w:ascii="Arial" w:hAnsi="Arial" w:cs="Arial"/>
          <w:sz w:val="22"/>
          <w:szCs w:val="22"/>
        </w:rPr>
        <w:t>e</w:t>
      </w:r>
      <w:r w:rsidR="00242A0C" w:rsidRPr="00AA6417">
        <w:rPr>
          <w:rFonts w:ascii="Arial" w:hAnsi="Arial" w:cs="Arial"/>
          <w:sz w:val="22"/>
          <w:szCs w:val="22"/>
        </w:rPr>
        <w:t>ny</w:t>
      </w:r>
      <w:r w:rsidR="0047095F" w:rsidRPr="007C0B5A">
        <w:rPr>
          <w:rFonts w:ascii="Arial" w:hAnsi="Arial" w:cs="Arial"/>
          <w:sz w:val="22"/>
          <w:szCs w:val="22"/>
        </w:rPr>
        <w:t xml:space="preserve"> podle </w:t>
      </w:r>
      <w:r w:rsidR="00242A0C" w:rsidRPr="00AA6417">
        <w:rPr>
          <w:rFonts w:ascii="Arial" w:hAnsi="Arial" w:cs="Arial"/>
          <w:sz w:val="22"/>
          <w:szCs w:val="22"/>
        </w:rPr>
        <w:t>toho,</w:t>
      </w:r>
      <w:r w:rsidR="00242A0C" w:rsidRPr="007C0B5A">
        <w:rPr>
          <w:rFonts w:ascii="Arial" w:hAnsi="Arial" w:cs="Arial"/>
          <w:sz w:val="22"/>
          <w:szCs w:val="22"/>
        </w:rPr>
        <w:t xml:space="preserve"> </w:t>
      </w:r>
      <w:r w:rsidR="00242A0C" w:rsidRPr="00AA6417">
        <w:rPr>
          <w:rFonts w:ascii="Arial" w:hAnsi="Arial" w:cs="Arial"/>
          <w:sz w:val="22"/>
          <w:szCs w:val="22"/>
        </w:rPr>
        <w:t>jestli</w:t>
      </w:r>
      <w:r w:rsidR="00242A0C" w:rsidRPr="007C0B5A">
        <w:rPr>
          <w:rFonts w:ascii="Arial" w:hAnsi="Arial" w:cs="Arial"/>
          <w:sz w:val="22"/>
          <w:szCs w:val="22"/>
        </w:rPr>
        <w:t xml:space="preserve"> </w:t>
      </w:r>
      <w:r w:rsidR="00242A0C" w:rsidRPr="00AA6417">
        <w:rPr>
          <w:rFonts w:ascii="Arial" w:hAnsi="Arial" w:cs="Arial"/>
          <w:sz w:val="22"/>
          <w:szCs w:val="22"/>
        </w:rPr>
        <w:t>s</w:t>
      </w:r>
      <w:r w:rsidR="00242A0C" w:rsidRPr="007C0B5A">
        <w:rPr>
          <w:rFonts w:ascii="Arial" w:hAnsi="Arial" w:cs="Arial"/>
          <w:sz w:val="22"/>
          <w:szCs w:val="22"/>
        </w:rPr>
        <w:t>o</w:t>
      </w:r>
      <w:r w:rsidR="00242A0C" w:rsidRPr="00AA6417">
        <w:rPr>
          <w:rFonts w:ascii="Arial" w:hAnsi="Arial" w:cs="Arial"/>
          <w:sz w:val="22"/>
          <w:szCs w:val="22"/>
        </w:rPr>
        <w:t>uvisí</w:t>
      </w:r>
      <w:r w:rsidR="00242A0C" w:rsidRPr="007C0B5A">
        <w:rPr>
          <w:rFonts w:ascii="Arial" w:hAnsi="Arial" w:cs="Arial"/>
          <w:sz w:val="22"/>
          <w:szCs w:val="22"/>
        </w:rPr>
        <w:t xml:space="preserve"> </w:t>
      </w:r>
      <w:r w:rsidR="00242A0C" w:rsidRPr="00AA6417">
        <w:rPr>
          <w:rFonts w:ascii="Arial" w:hAnsi="Arial" w:cs="Arial"/>
          <w:sz w:val="22"/>
          <w:szCs w:val="22"/>
        </w:rPr>
        <w:t>se</w:t>
      </w:r>
      <w:r w:rsidR="00242A0C" w:rsidRPr="007C0B5A">
        <w:rPr>
          <w:rFonts w:ascii="Arial" w:hAnsi="Arial" w:cs="Arial"/>
          <w:sz w:val="22"/>
          <w:szCs w:val="22"/>
        </w:rPr>
        <w:t xml:space="preserve"> </w:t>
      </w:r>
      <w:r w:rsidR="00242A0C" w:rsidRPr="00AA6417">
        <w:rPr>
          <w:rFonts w:ascii="Arial" w:hAnsi="Arial" w:cs="Arial"/>
          <w:sz w:val="22"/>
          <w:szCs w:val="22"/>
        </w:rPr>
        <w:t>službami</w:t>
      </w:r>
      <w:r w:rsidR="00242A0C" w:rsidRPr="007C0B5A">
        <w:rPr>
          <w:rFonts w:ascii="Arial" w:hAnsi="Arial" w:cs="Arial"/>
          <w:sz w:val="22"/>
          <w:szCs w:val="22"/>
        </w:rPr>
        <w:t xml:space="preserve"> </w:t>
      </w:r>
      <w:r w:rsidR="00242A0C" w:rsidRPr="00AA6417">
        <w:rPr>
          <w:rFonts w:ascii="Arial" w:hAnsi="Arial" w:cs="Arial"/>
          <w:sz w:val="22"/>
          <w:szCs w:val="22"/>
        </w:rPr>
        <w:t>regulovanými</w:t>
      </w:r>
      <w:r w:rsidR="00242A0C" w:rsidRPr="007C0B5A">
        <w:rPr>
          <w:rFonts w:ascii="Arial" w:hAnsi="Arial" w:cs="Arial"/>
          <w:sz w:val="22"/>
          <w:szCs w:val="22"/>
        </w:rPr>
        <w:t xml:space="preserve"> </w:t>
      </w:r>
      <w:r w:rsidR="00242A0C" w:rsidRPr="00AA6417">
        <w:rPr>
          <w:rFonts w:ascii="Arial" w:hAnsi="Arial" w:cs="Arial"/>
          <w:sz w:val="22"/>
          <w:szCs w:val="22"/>
        </w:rPr>
        <w:t>n</w:t>
      </w:r>
      <w:r w:rsidR="00242A0C" w:rsidRPr="007C0B5A">
        <w:rPr>
          <w:rFonts w:ascii="Arial" w:hAnsi="Arial" w:cs="Arial"/>
          <w:sz w:val="22"/>
          <w:szCs w:val="22"/>
        </w:rPr>
        <w:t>e</w:t>
      </w:r>
      <w:r w:rsidR="00242A0C" w:rsidRPr="00AA6417">
        <w:rPr>
          <w:rFonts w:ascii="Arial" w:hAnsi="Arial" w:cs="Arial"/>
          <w:sz w:val="22"/>
          <w:szCs w:val="22"/>
        </w:rPr>
        <w:t>bo</w:t>
      </w:r>
      <w:r w:rsidR="00242A0C" w:rsidRPr="007C0B5A">
        <w:rPr>
          <w:rFonts w:ascii="Arial" w:hAnsi="Arial" w:cs="Arial"/>
          <w:sz w:val="22"/>
          <w:szCs w:val="22"/>
        </w:rPr>
        <w:t xml:space="preserve"> </w:t>
      </w:r>
      <w:r w:rsidR="00242A0C" w:rsidRPr="00AA6417">
        <w:rPr>
          <w:rFonts w:ascii="Arial" w:hAnsi="Arial" w:cs="Arial"/>
          <w:sz w:val="22"/>
          <w:szCs w:val="22"/>
        </w:rPr>
        <w:t>neregulovanými.</w:t>
      </w:r>
      <w:r w:rsidR="0047095F">
        <w:rPr>
          <w:rFonts w:ascii="Arial" w:hAnsi="Arial" w:cs="Arial"/>
          <w:sz w:val="22"/>
          <w:szCs w:val="22"/>
        </w:rPr>
        <w:t xml:space="preserve"> v </w:t>
      </w:r>
      <w:r w:rsidR="00242A0C" w:rsidRPr="00AA6417">
        <w:rPr>
          <w:rFonts w:ascii="Arial" w:hAnsi="Arial" w:cs="Arial"/>
          <w:sz w:val="22"/>
          <w:szCs w:val="22"/>
        </w:rPr>
        <w:t>případě</w:t>
      </w:r>
      <w:r w:rsidR="00242A0C" w:rsidRPr="007C0B5A">
        <w:rPr>
          <w:rFonts w:ascii="Arial" w:hAnsi="Arial" w:cs="Arial"/>
          <w:sz w:val="22"/>
          <w:szCs w:val="22"/>
        </w:rPr>
        <w:t xml:space="preserve"> </w:t>
      </w:r>
      <w:r w:rsidR="00242A0C" w:rsidRPr="00AA6417">
        <w:rPr>
          <w:rFonts w:ascii="Arial" w:hAnsi="Arial" w:cs="Arial"/>
          <w:sz w:val="22"/>
          <w:szCs w:val="22"/>
        </w:rPr>
        <w:t>regulovaných</w:t>
      </w:r>
      <w:r w:rsidR="00242A0C" w:rsidRPr="007C0B5A">
        <w:rPr>
          <w:rFonts w:ascii="Arial" w:hAnsi="Arial" w:cs="Arial"/>
          <w:sz w:val="22"/>
          <w:szCs w:val="22"/>
        </w:rPr>
        <w:t xml:space="preserve"> </w:t>
      </w:r>
      <w:r w:rsidR="00242A0C" w:rsidRPr="00AA6417">
        <w:rPr>
          <w:rFonts w:ascii="Arial" w:hAnsi="Arial" w:cs="Arial"/>
          <w:sz w:val="22"/>
          <w:szCs w:val="22"/>
        </w:rPr>
        <w:t>služeb</w:t>
      </w:r>
      <w:r w:rsidR="00242A0C" w:rsidRPr="007C0B5A">
        <w:rPr>
          <w:rFonts w:ascii="Arial" w:hAnsi="Arial" w:cs="Arial"/>
          <w:sz w:val="22"/>
          <w:szCs w:val="22"/>
        </w:rPr>
        <w:t xml:space="preserve"> </w:t>
      </w:r>
      <w:r w:rsidR="00242A0C" w:rsidRPr="00AA6417">
        <w:rPr>
          <w:rFonts w:ascii="Arial" w:hAnsi="Arial" w:cs="Arial"/>
          <w:sz w:val="22"/>
          <w:szCs w:val="22"/>
        </w:rPr>
        <w:t>je</w:t>
      </w:r>
      <w:r w:rsidR="00242A0C" w:rsidRPr="007C0B5A">
        <w:rPr>
          <w:rFonts w:ascii="Arial" w:hAnsi="Arial" w:cs="Arial"/>
          <w:sz w:val="22"/>
          <w:szCs w:val="22"/>
        </w:rPr>
        <w:t xml:space="preserve"> </w:t>
      </w:r>
      <w:r w:rsidR="00242A0C" w:rsidRPr="00AA6417">
        <w:rPr>
          <w:rFonts w:ascii="Arial" w:hAnsi="Arial" w:cs="Arial"/>
          <w:sz w:val="22"/>
          <w:szCs w:val="22"/>
        </w:rPr>
        <w:t>podrobnost</w:t>
      </w:r>
      <w:r w:rsidR="00242A0C" w:rsidRPr="007C0B5A">
        <w:rPr>
          <w:rFonts w:ascii="Arial" w:hAnsi="Arial" w:cs="Arial"/>
          <w:sz w:val="22"/>
          <w:szCs w:val="22"/>
        </w:rPr>
        <w:t xml:space="preserve"> č</w:t>
      </w:r>
      <w:r w:rsidR="00242A0C" w:rsidRPr="00AA6417">
        <w:rPr>
          <w:rFonts w:ascii="Arial" w:hAnsi="Arial" w:cs="Arial"/>
          <w:sz w:val="22"/>
          <w:szCs w:val="22"/>
        </w:rPr>
        <w:t>lenění</w:t>
      </w:r>
      <w:r w:rsidR="00242A0C" w:rsidRPr="007C0B5A">
        <w:rPr>
          <w:rFonts w:ascii="Arial" w:hAnsi="Arial" w:cs="Arial"/>
          <w:sz w:val="22"/>
          <w:szCs w:val="22"/>
        </w:rPr>
        <w:t xml:space="preserve"> </w:t>
      </w:r>
      <w:r w:rsidR="00242A0C" w:rsidRPr="00AA6417">
        <w:rPr>
          <w:rFonts w:ascii="Arial" w:hAnsi="Arial" w:cs="Arial"/>
          <w:sz w:val="22"/>
          <w:szCs w:val="22"/>
        </w:rPr>
        <w:t>minimálně do</w:t>
      </w:r>
      <w:r w:rsidR="002B5B82" w:rsidRPr="00AA6417">
        <w:rPr>
          <w:rFonts w:ascii="Arial" w:hAnsi="Arial" w:cs="Arial"/>
          <w:sz w:val="22"/>
          <w:szCs w:val="22"/>
        </w:rPr>
        <w:t xml:space="preserve"> </w:t>
      </w:r>
      <w:r w:rsidR="00242A0C" w:rsidRPr="00AA6417">
        <w:rPr>
          <w:rFonts w:ascii="Arial" w:hAnsi="Arial" w:cs="Arial"/>
          <w:sz w:val="22"/>
          <w:szCs w:val="22"/>
        </w:rPr>
        <w:t>úrovně služeb, služby neregulované mohou být členěny</w:t>
      </w:r>
      <w:r w:rsidR="0047095F">
        <w:rPr>
          <w:rFonts w:ascii="Arial" w:hAnsi="Arial" w:cs="Arial"/>
          <w:sz w:val="22"/>
          <w:szCs w:val="22"/>
        </w:rPr>
        <w:t xml:space="preserve"> v </w:t>
      </w:r>
      <w:r w:rsidR="00242A0C" w:rsidRPr="00AA6417">
        <w:rPr>
          <w:rFonts w:ascii="Arial" w:hAnsi="Arial" w:cs="Arial"/>
          <w:sz w:val="22"/>
          <w:szCs w:val="22"/>
        </w:rPr>
        <w:t>podrobnosti menší. Stanovený podnik člení náklady a</w:t>
      </w:r>
      <w:r w:rsidR="002B5B82" w:rsidRPr="00AA6417">
        <w:rPr>
          <w:rFonts w:ascii="Arial" w:hAnsi="Arial" w:cs="Arial"/>
          <w:sz w:val="22"/>
          <w:szCs w:val="22"/>
        </w:rPr>
        <w:t xml:space="preserve"> </w:t>
      </w:r>
      <w:r w:rsidR="00242A0C" w:rsidRPr="00AA6417">
        <w:rPr>
          <w:rFonts w:ascii="Arial" w:hAnsi="Arial" w:cs="Arial"/>
          <w:sz w:val="22"/>
          <w:szCs w:val="22"/>
        </w:rPr>
        <w:t>výnosy za</w:t>
      </w:r>
      <w:r w:rsidR="002B5B82" w:rsidRPr="00AA6417">
        <w:rPr>
          <w:rFonts w:ascii="Arial" w:hAnsi="Arial" w:cs="Arial"/>
          <w:sz w:val="22"/>
          <w:szCs w:val="22"/>
        </w:rPr>
        <w:t xml:space="preserve"> </w:t>
      </w:r>
      <w:r w:rsidR="00242A0C" w:rsidRPr="00AA6417">
        <w:rPr>
          <w:rFonts w:ascii="Arial" w:hAnsi="Arial" w:cs="Arial"/>
          <w:sz w:val="22"/>
          <w:szCs w:val="22"/>
        </w:rPr>
        <w:t>každý relevantní trh a</w:t>
      </w:r>
      <w:r w:rsidR="002B5B82" w:rsidRPr="00AA6417">
        <w:rPr>
          <w:rFonts w:ascii="Arial" w:hAnsi="Arial" w:cs="Arial"/>
          <w:sz w:val="22"/>
          <w:szCs w:val="22"/>
        </w:rPr>
        <w:t xml:space="preserve"> </w:t>
      </w:r>
      <w:r w:rsidR="00242A0C" w:rsidRPr="00AA6417">
        <w:rPr>
          <w:rFonts w:ascii="Arial" w:hAnsi="Arial" w:cs="Arial"/>
          <w:sz w:val="22"/>
          <w:szCs w:val="22"/>
        </w:rPr>
        <w:t>služby</w:t>
      </w:r>
      <w:r w:rsidR="0047095F">
        <w:rPr>
          <w:rFonts w:ascii="Arial" w:hAnsi="Arial" w:cs="Arial"/>
          <w:sz w:val="22"/>
          <w:szCs w:val="22"/>
        </w:rPr>
        <w:t xml:space="preserve"> na </w:t>
      </w:r>
      <w:r w:rsidR="00242A0C" w:rsidRPr="00AA6417">
        <w:rPr>
          <w:rFonts w:ascii="Arial" w:hAnsi="Arial" w:cs="Arial"/>
          <w:sz w:val="22"/>
          <w:szCs w:val="22"/>
        </w:rPr>
        <w:t>něm poskytované a za</w:t>
      </w:r>
      <w:r w:rsidR="00853A8A" w:rsidRPr="00AA6417">
        <w:rPr>
          <w:rFonts w:ascii="Arial" w:hAnsi="Arial" w:cs="Arial"/>
          <w:sz w:val="22"/>
          <w:szCs w:val="22"/>
        </w:rPr>
        <w:t xml:space="preserve"> </w:t>
      </w:r>
      <w:r w:rsidR="00242A0C" w:rsidRPr="00AA6417">
        <w:rPr>
          <w:rFonts w:ascii="Arial" w:hAnsi="Arial" w:cs="Arial"/>
          <w:sz w:val="22"/>
          <w:szCs w:val="22"/>
        </w:rPr>
        <w:t>každou dílčí službu poskytovanou</w:t>
      </w:r>
      <w:r w:rsidR="0047095F">
        <w:rPr>
          <w:rFonts w:ascii="Arial" w:hAnsi="Arial" w:cs="Arial"/>
          <w:sz w:val="22"/>
          <w:szCs w:val="22"/>
        </w:rPr>
        <w:t xml:space="preserve"> v </w:t>
      </w:r>
      <w:r w:rsidR="00242A0C" w:rsidRPr="00AA6417">
        <w:rPr>
          <w:rFonts w:ascii="Arial" w:hAnsi="Arial" w:cs="Arial"/>
          <w:sz w:val="22"/>
          <w:szCs w:val="22"/>
        </w:rPr>
        <w:t>rámci univerzální služby.</w:t>
      </w:r>
      <w:r w:rsidR="0047095F">
        <w:rPr>
          <w:rFonts w:ascii="Arial" w:hAnsi="Arial" w:cs="Arial"/>
          <w:sz w:val="22"/>
          <w:szCs w:val="22"/>
        </w:rPr>
        <w:t xml:space="preserve"> </w:t>
      </w:r>
      <w:r w:rsidR="007C0B5A">
        <w:rPr>
          <w:rFonts w:ascii="Arial" w:hAnsi="Arial" w:cs="Arial"/>
          <w:sz w:val="22"/>
          <w:szCs w:val="22"/>
        </w:rPr>
        <w:t>P</w:t>
      </w:r>
      <w:r w:rsidR="0047095F">
        <w:rPr>
          <w:rFonts w:ascii="Arial" w:hAnsi="Arial" w:cs="Arial"/>
          <w:sz w:val="22"/>
          <w:szCs w:val="22"/>
        </w:rPr>
        <w:t>odle </w:t>
      </w:r>
      <w:r w:rsidR="00242A0C" w:rsidRPr="00AA6417">
        <w:rPr>
          <w:rFonts w:ascii="Arial" w:hAnsi="Arial" w:cs="Arial"/>
          <w:sz w:val="22"/>
          <w:szCs w:val="22"/>
        </w:rPr>
        <w:t>výše uvedených pravidel se sleduje také vložený kapitál. Celkový součet přímých, nepřímých, společných a</w:t>
      </w:r>
      <w:r w:rsidR="002B5B82" w:rsidRPr="00AA6417">
        <w:rPr>
          <w:rFonts w:ascii="Arial" w:hAnsi="Arial" w:cs="Arial"/>
          <w:sz w:val="22"/>
          <w:szCs w:val="22"/>
        </w:rPr>
        <w:t xml:space="preserve"> </w:t>
      </w:r>
      <w:r w:rsidR="00242A0C" w:rsidRPr="00AA6417">
        <w:rPr>
          <w:rFonts w:ascii="Arial" w:hAnsi="Arial" w:cs="Arial"/>
          <w:sz w:val="22"/>
          <w:szCs w:val="22"/>
        </w:rPr>
        <w:t>ostatních nákladů a</w:t>
      </w:r>
      <w:r w:rsidR="002B5B82" w:rsidRPr="00AA6417">
        <w:rPr>
          <w:rFonts w:ascii="Arial" w:hAnsi="Arial" w:cs="Arial"/>
          <w:sz w:val="22"/>
          <w:szCs w:val="22"/>
        </w:rPr>
        <w:t xml:space="preserve"> </w:t>
      </w:r>
      <w:r w:rsidR="00242A0C" w:rsidRPr="00AA6417">
        <w:rPr>
          <w:rFonts w:ascii="Arial" w:hAnsi="Arial" w:cs="Arial"/>
          <w:sz w:val="22"/>
          <w:szCs w:val="22"/>
        </w:rPr>
        <w:t>výnosů a</w:t>
      </w:r>
      <w:r w:rsidR="00853A8A" w:rsidRPr="00AA6417">
        <w:rPr>
          <w:rFonts w:ascii="Arial" w:hAnsi="Arial" w:cs="Arial"/>
          <w:sz w:val="22"/>
          <w:szCs w:val="22"/>
        </w:rPr>
        <w:t xml:space="preserve"> </w:t>
      </w:r>
      <w:r w:rsidR="00242A0C" w:rsidRPr="00AA6417">
        <w:rPr>
          <w:rFonts w:ascii="Arial" w:hAnsi="Arial" w:cs="Arial"/>
          <w:sz w:val="22"/>
          <w:szCs w:val="22"/>
        </w:rPr>
        <w:t>vloženého kapitálu sečtených za</w:t>
      </w:r>
      <w:r w:rsidR="00853A8A" w:rsidRPr="00AA6417">
        <w:rPr>
          <w:rFonts w:ascii="Arial" w:hAnsi="Arial" w:cs="Arial"/>
          <w:sz w:val="22"/>
          <w:szCs w:val="22"/>
        </w:rPr>
        <w:t xml:space="preserve"> </w:t>
      </w:r>
      <w:r w:rsidR="00242A0C" w:rsidRPr="00AA6417">
        <w:rPr>
          <w:rFonts w:ascii="Arial" w:hAnsi="Arial" w:cs="Arial"/>
          <w:sz w:val="22"/>
          <w:szCs w:val="22"/>
        </w:rPr>
        <w:t>jednotlivé služby a</w:t>
      </w:r>
      <w:r w:rsidR="00853A8A" w:rsidRPr="00AA6417">
        <w:rPr>
          <w:rFonts w:ascii="Arial" w:hAnsi="Arial" w:cs="Arial"/>
          <w:sz w:val="22"/>
          <w:szCs w:val="22"/>
        </w:rPr>
        <w:t xml:space="preserve"> </w:t>
      </w:r>
      <w:r w:rsidR="00242A0C" w:rsidRPr="00AA6417">
        <w:rPr>
          <w:rFonts w:ascii="Arial" w:hAnsi="Arial" w:cs="Arial"/>
          <w:sz w:val="22"/>
          <w:szCs w:val="22"/>
        </w:rPr>
        <w:t>činnosti se</w:t>
      </w:r>
      <w:r w:rsidR="0047095F">
        <w:rPr>
          <w:rFonts w:ascii="Arial" w:hAnsi="Arial" w:cs="Arial"/>
          <w:sz w:val="22"/>
          <w:szCs w:val="22"/>
        </w:rPr>
        <w:t xml:space="preserve"> při </w:t>
      </w:r>
      <w:r w:rsidR="00242A0C" w:rsidRPr="00AA6417">
        <w:rPr>
          <w:rFonts w:ascii="Arial" w:hAnsi="Arial" w:cs="Arial"/>
          <w:sz w:val="22"/>
          <w:szCs w:val="22"/>
        </w:rPr>
        <w:t>použití metody plně alokovaných historických nákladů (FAHC) musí rovnat údajům uvedeným ve</w:t>
      </w:r>
      <w:r w:rsidR="00853A8A" w:rsidRPr="00AA6417">
        <w:rPr>
          <w:rFonts w:ascii="Arial" w:hAnsi="Arial" w:cs="Arial"/>
          <w:sz w:val="22"/>
          <w:szCs w:val="22"/>
        </w:rPr>
        <w:t xml:space="preserve"> </w:t>
      </w:r>
      <w:r w:rsidR="00242A0C" w:rsidRPr="00AA6417">
        <w:rPr>
          <w:rFonts w:ascii="Arial" w:hAnsi="Arial" w:cs="Arial"/>
          <w:sz w:val="22"/>
          <w:szCs w:val="22"/>
        </w:rPr>
        <w:t>výkazech sestavovaných</w:t>
      </w:r>
      <w:r w:rsidR="0047095F">
        <w:rPr>
          <w:rFonts w:ascii="Arial" w:hAnsi="Arial" w:cs="Arial"/>
          <w:sz w:val="22"/>
          <w:szCs w:val="22"/>
        </w:rPr>
        <w:t xml:space="preserve"> v </w:t>
      </w:r>
      <w:r w:rsidR="00242A0C" w:rsidRPr="00AA6417">
        <w:rPr>
          <w:rFonts w:ascii="Arial" w:hAnsi="Arial" w:cs="Arial"/>
          <w:sz w:val="22"/>
          <w:szCs w:val="22"/>
        </w:rPr>
        <w:t>rámci roční účetní závěrky</w:t>
      </w:r>
      <w:r w:rsidR="00242A0C" w:rsidRPr="00F67658">
        <w:rPr>
          <w:rFonts w:ascii="Arial" w:hAnsi="Arial" w:cs="Arial"/>
          <w:sz w:val="22"/>
          <w:szCs w:val="22"/>
          <w:vertAlign w:val="superscript"/>
        </w:rPr>
        <w:footnoteReference w:id="7"/>
      </w:r>
      <w:r w:rsidR="00242A0C" w:rsidRPr="00AA6417">
        <w:rPr>
          <w:rFonts w:ascii="Arial" w:hAnsi="Arial" w:cs="Arial"/>
          <w:sz w:val="22"/>
          <w:szCs w:val="22"/>
        </w:rPr>
        <w:t>) stanoveného podniku. Samostatně je nutno sledovat veškeré přijaté náhrady za</w:t>
      </w:r>
      <w:r w:rsidR="00853A8A" w:rsidRPr="00AA6417">
        <w:rPr>
          <w:rFonts w:ascii="Arial" w:hAnsi="Arial" w:cs="Arial"/>
          <w:sz w:val="22"/>
          <w:szCs w:val="22"/>
        </w:rPr>
        <w:t xml:space="preserve"> </w:t>
      </w:r>
      <w:r w:rsidR="00242A0C" w:rsidRPr="00AA6417">
        <w:rPr>
          <w:rFonts w:ascii="Arial" w:hAnsi="Arial" w:cs="Arial"/>
          <w:sz w:val="22"/>
          <w:szCs w:val="22"/>
        </w:rPr>
        <w:t>povinnost poskytovat univerzální službu.</w:t>
      </w:r>
    </w:p>
    <w:p w:rsidR="005B4190" w:rsidRDefault="00242A0C" w:rsidP="005B4190">
      <w:pPr>
        <w:widowControl w:val="0"/>
        <w:autoSpaceDE w:val="0"/>
        <w:autoSpaceDN w:val="0"/>
        <w:adjustRightInd w:val="0"/>
        <w:spacing w:before="240"/>
        <w:ind w:firstLine="828"/>
        <w:jc w:val="both"/>
        <w:rPr>
          <w:rFonts w:ascii="Arial" w:hAnsi="Arial" w:cs="Arial"/>
          <w:sz w:val="22"/>
          <w:szCs w:val="22"/>
        </w:rPr>
      </w:pPr>
      <w:r w:rsidRPr="00AA6417">
        <w:rPr>
          <w:rFonts w:ascii="Arial" w:hAnsi="Arial" w:cs="Arial"/>
          <w:sz w:val="22"/>
          <w:szCs w:val="22"/>
        </w:rPr>
        <w:t xml:space="preserve">Článek </w:t>
      </w:r>
      <w:r w:rsidR="001C19DC" w:rsidRPr="00AA6417">
        <w:rPr>
          <w:rFonts w:ascii="Arial" w:hAnsi="Arial" w:cs="Arial"/>
          <w:sz w:val="22"/>
          <w:szCs w:val="22"/>
        </w:rPr>
        <w:t>4</w:t>
      </w:r>
      <w:r w:rsidRPr="00AA6417">
        <w:rPr>
          <w:rFonts w:ascii="Arial" w:hAnsi="Arial" w:cs="Arial"/>
          <w:sz w:val="22"/>
          <w:szCs w:val="22"/>
        </w:rPr>
        <w:t xml:space="preserve"> stanoví, jakým způsobem bude s</w:t>
      </w:r>
      <w:r w:rsidRPr="007C0B5A">
        <w:rPr>
          <w:rFonts w:ascii="Arial" w:hAnsi="Arial" w:cs="Arial"/>
          <w:sz w:val="22"/>
          <w:szCs w:val="22"/>
        </w:rPr>
        <w:t>t</w:t>
      </w:r>
      <w:r w:rsidRPr="00AA6417">
        <w:rPr>
          <w:rFonts w:ascii="Arial" w:hAnsi="Arial" w:cs="Arial"/>
          <w:sz w:val="22"/>
          <w:szCs w:val="22"/>
        </w:rPr>
        <w:t>anovený podnik přiřaz</w:t>
      </w:r>
      <w:r w:rsidRPr="007C0B5A">
        <w:rPr>
          <w:rFonts w:ascii="Arial" w:hAnsi="Arial" w:cs="Arial"/>
          <w:sz w:val="22"/>
          <w:szCs w:val="22"/>
        </w:rPr>
        <w:t>ov</w:t>
      </w:r>
      <w:r w:rsidRPr="00AA6417">
        <w:rPr>
          <w:rFonts w:ascii="Arial" w:hAnsi="Arial" w:cs="Arial"/>
          <w:sz w:val="22"/>
          <w:szCs w:val="22"/>
        </w:rPr>
        <w:t>at náklady, výnosy</w:t>
      </w:r>
      <w:r w:rsidRPr="007C0B5A">
        <w:rPr>
          <w:rFonts w:ascii="Arial" w:hAnsi="Arial" w:cs="Arial"/>
          <w:sz w:val="22"/>
          <w:szCs w:val="22"/>
        </w:rPr>
        <w:t xml:space="preserve"> a</w:t>
      </w:r>
      <w:r w:rsidR="00721A23" w:rsidRPr="007C0B5A">
        <w:rPr>
          <w:rFonts w:ascii="Arial" w:hAnsi="Arial" w:cs="Arial"/>
          <w:sz w:val="22"/>
          <w:szCs w:val="22"/>
        </w:rPr>
        <w:t xml:space="preserve"> </w:t>
      </w:r>
      <w:r w:rsidRPr="00AA6417">
        <w:rPr>
          <w:rFonts w:ascii="Arial" w:hAnsi="Arial" w:cs="Arial"/>
          <w:sz w:val="22"/>
          <w:szCs w:val="22"/>
        </w:rPr>
        <w:t>náklady</w:t>
      </w:r>
      <w:r w:rsidRPr="007C0B5A">
        <w:rPr>
          <w:rFonts w:ascii="Arial" w:hAnsi="Arial" w:cs="Arial"/>
          <w:sz w:val="22"/>
          <w:szCs w:val="22"/>
        </w:rPr>
        <w:t xml:space="preserve"> </w:t>
      </w:r>
      <w:r w:rsidRPr="00AA6417">
        <w:rPr>
          <w:rFonts w:ascii="Arial" w:hAnsi="Arial" w:cs="Arial"/>
          <w:sz w:val="22"/>
          <w:szCs w:val="22"/>
        </w:rPr>
        <w:t>vloženého k</w:t>
      </w:r>
      <w:r w:rsidRPr="007C0B5A">
        <w:rPr>
          <w:rFonts w:ascii="Arial" w:hAnsi="Arial" w:cs="Arial"/>
          <w:sz w:val="22"/>
          <w:szCs w:val="22"/>
        </w:rPr>
        <w:t>a</w:t>
      </w:r>
      <w:r w:rsidRPr="00AA6417">
        <w:rPr>
          <w:rFonts w:ascii="Arial" w:hAnsi="Arial" w:cs="Arial"/>
          <w:sz w:val="22"/>
          <w:szCs w:val="22"/>
        </w:rPr>
        <w:t>pitálu.</w:t>
      </w:r>
      <w:r w:rsidRPr="007C0B5A">
        <w:rPr>
          <w:rFonts w:ascii="Arial" w:hAnsi="Arial" w:cs="Arial"/>
          <w:sz w:val="22"/>
          <w:szCs w:val="22"/>
        </w:rPr>
        <w:t xml:space="preserve"> </w:t>
      </w:r>
      <w:r w:rsidRPr="00AA6417">
        <w:rPr>
          <w:rFonts w:ascii="Arial" w:hAnsi="Arial" w:cs="Arial"/>
          <w:sz w:val="22"/>
          <w:szCs w:val="22"/>
        </w:rPr>
        <w:t>Člá</w:t>
      </w:r>
      <w:r w:rsidRPr="007C0B5A">
        <w:rPr>
          <w:rFonts w:ascii="Arial" w:hAnsi="Arial" w:cs="Arial"/>
          <w:sz w:val="22"/>
          <w:szCs w:val="22"/>
        </w:rPr>
        <w:t>n</w:t>
      </w:r>
      <w:r w:rsidRPr="00AA6417">
        <w:rPr>
          <w:rFonts w:ascii="Arial" w:hAnsi="Arial" w:cs="Arial"/>
          <w:sz w:val="22"/>
          <w:szCs w:val="22"/>
        </w:rPr>
        <w:t>ek</w:t>
      </w:r>
      <w:r w:rsidRPr="007C0B5A">
        <w:rPr>
          <w:rFonts w:ascii="Arial" w:hAnsi="Arial" w:cs="Arial"/>
          <w:sz w:val="22"/>
          <w:szCs w:val="22"/>
        </w:rPr>
        <w:t xml:space="preserve"> </w:t>
      </w:r>
      <w:r w:rsidRPr="00AA6417">
        <w:rPr>
          <w:rFonts w:ascii="Arial" w:hAnsi="Arial" w:cs="Arial"/>
          <w:sz w:val="22"/>
          <w:szCs w:val="22"/>
        </w:rPr>
        <w:t>popisuje</w:t>
      </w:r>
      <w:r w:rsidRPr="007C0B5A">
        <w:rPr>
          <w:rFonts w:ascii="Arial" w:hAnsi="Arial" w:cs="Arial"/>
          <w:sz w:val="22"/>
          <w:szCs w:val="22"/>
        </w:rPr>
        <w:t xml:space="preserve"> </w:t>
      </w:r>
      <w:r w:rsidRPr="00AA6417">
        <w:rPr>
          <w:rFonts w:ascii="Arial" w:hAnsi="Arial" w:cs="Arial"/>
          <w:sz w:val="22"/>
          <w:szCs w:val="22"/>
        </w:rPr>
        <w:t>dvě</w:t>
      </w:r>
      <w:r w:rsidRPr="007C0B5A">
        <w:rPr>
          <w:rFonts w:ascii="Arial" w:hAnsi="Arial" w:cs="Arial"/>
          <w:sz w:val="22"/>
          <w:szCs w:val="22"/>
        </w:rPr>
        <w:t xml:space="preserve"> </w:t>
      </w:r>
      <w:r w:rsidRPr="00AA6417">
        <w:rPr>
          <w:rFonts w:ascii="Arial" w:hAnsi="Arial" w:cs="Arial"/>
          <w:sz w:val="22"/>
          <w:szCs w:val="22"/>
        </w:rPr>
        <w:t>základní</w:t>
      </w:r>
      <w:r w:rsidRPr="007C0B5A">
        <w:rPr>
          <w:rFonts w:ascii="Arial" w:hAnsi="Arial" w:cs="Arial"/>
          <w:sz w:val="22"/>
          <w:szCs w:val="22"/>
        </w:rPr>
        <w:t xml:space="preserve"> </w:t>
      </w:r>
      <w:r w:rsidRPr="00AA6417">
        <w:rPr>
          <w:rFonts w:ascii="Arial" w:hAnsi="Arial" w:cs="Arial"/>
          <w:sz w:val="22"/>
          <w:szCs w:val="22"/>
        </w:rPr>
        <w:t>metody</w:t>
      </w:r>
      <w:r w:rsidRPr="007C0B5A">
        <w:rPr>
          <w:rFonts w:ascii="Arial" w:hAnsi="Arial" w:cs="Arial"/>
          <w:sz w:val="22"/>
          <w:szCs w:val="22"/>
        </w:rPr>
        <w:t xml:space="preserve"> </w:t>
      </w:r>
      <w:r w:rsidRPr="00AA6417">
        <w:rPr>
          <w:rFonts w:ascii="Arial" w:hAnsi="Arial" w:cs="Arial"/>
          <w:sz w:val="22"/>
          <w:szCs w:val="22"/>
        </w:rPr>
        <w:t>vedení nákladového</w:t>
      </w:r>
      <w:r w:rsidRPr="007C0B5A">
        <w:rPr>
          <w:rFonts w:ascii="Arial" w:hAnsi="Arial" w:cs="Arial"/>
          <w:sz w:val="22"/>
          <w:szCs w:val="22"/>
        </w:rPr>
        <w:t xml:space="preserve"> </w:t>
      </w:r>
      <w:r w:rsidRPr="00AA6417">
        <w:rPr>
          <w:rFonts w:ascii="Arial" w:hAnsi="Arial" w:cs="Arial"/>
          <w:sz w:val="22"/>
          <w:szCs w:val="22"/>
        </w:rPr>
        <w:t>ú</w:t>
      </w:r>
      <w:r w:rsidRPr="007C0B5A">
        <w:rPr>
          <w:rFonts w:ascii="Arial" w:hAnsi="Arial" w:cs="Arial"/>
          <w:sz w:val="22"/>
          <w:szCs w:val="22"/>
        </w:rPr>
        <w:t>č</w:t>
      </w:r>
      <w:r w:rsidRPr="00AA6417">
        <w:rPr>
          <w:rFonts w:ascii="Arial" w:hAnsi="Arial" w:cs="Arial"/>
          <w:sz w:val="22"/>
          <w:szCs w:val="22"/>
        </w:rPr>
        <w:t>etnictví a</w:t>
      </w:r>
      <w:r w:rsidR="00721A23" w:rsidRPr="00AA6417">
        <w:rPr>
          <w:rFonts w:ascii="Arial" w:hAnsi="Arial" w:cs="Arial"/>
          <w:sz w:val="22"/>
          <w:szCs w:val="22"/>
        </w:rPr>
        <w:t xml:space="preserve"> </w:t>
      </w:r>
      <w:r w:rsidRPr="00AA6417">
        <w:rPr>
          <w:rFonts w:ascii="Arial" w:hAnsi="Arial" w:cs="Arial"/>
          <w:sz w:val="22"/>
          <w:szCs w:val="22"/>
        </w:rPr>
        <w:t>odděle</w:t>
      </w:r>
      <w:r w:rsidRPr="007C0B5A">
        <w:rPr>
          <w:rFonts w:ascii="Arial" w:hAnsi="Arial" w:cs="Arial"/>
          <w:sz w:val="22"/>
          <w:szCs w:val="22"/>
        </w:rPr>
        <w:t>n</w:t>
      </w:r>
      <w:r w:rsidRPr="00AA6417">
        <w:rPr>
          <w:rFonts w:ascii="Arial" w:hAnsi="Arial" w:cs="Arial"/>
          <w:sz w:val="22"/>
          <w:szCs w:val="22"/>
        </w:rPr>
        <w:t>é</w:t>
      </w:r>
      <w:r w:rsidRPr="007C0B5A">
        <w:rPr>
          <w:rFonts w:ascii="Arial" w:hAnsi="Arial" w:cs="Arial"/>
          <w:sz w:val="22"/>
          <w:szCs w:val="22"/>
        </w:rPr>
        <w:t xml:space="preserve"> </w:t>
      </w:r>
      <w:r w:rsidRPr="00AA6417">
        <w:rPr>
          <w:rFonts w:ascii="Arial" w:hAnsi="Arial" w:cs="Arial"/>
          <w:sz w:val="22"/>
          <w:szCs w:val="22"/>
        </w:rPr>
        <w:t>evidence, tj. vedení</w:t>
      </w:r>
      <w:r w:rsidR="0047095F">
        <w:rPr>
          <w:rFonts w:ascii="Arial" w:hAnsi="Arial" w:cs="Arial"/>
          <w:sz w:val="22"/>
          <w:szCs w:val="22"/>
        </w:rPr>
        <w:t xml:space="preserve"> v </w:t>
      </w:r>
      <w:r w:rsidRPr="00AA6417">
        <w:rPr>
          <w:rFonts w:ascii="Arial" w:hAnsi="Arial" w:cs="Arial"/>
          <w:sz w:val="22"/>
          <w:szCs w:val="22"/>
        </w:rPr>
        <w:t>nákladech vycházejících</w:t>
      </w:r>
      <w:r w:rsidRPr="007C0B5A">
        <w:rPr>
          <w:rFonts w:ascii="Arial" w:hAnsi="Arial" w:cs="Arial"/>
          <w:sz w:val="22"/>
          <w:szCs w:val="22"/>
        </w:rPr>
        <w:t xml:space="preserve"> </w:t>
      </w:r>
      <w:r w:rsidRPr="00AA6417">
        <w:rPr>
          <w:rFonts w:ascii="Arial" w:hAnsi="Arial" w:cs="Arial"/>
          <w:sz w:val="22"/>
          <w:szCs w:val="22"/>
        </w:rPr>
        <w:t>z</w:t>
      </w:r>
      <w:r w:rsidR="007C0B5A" w:rsidRPr="007C0B5A">
        <w:rPr>
          <w:rFonts w:ascii="Arial" w:hAnsi="Arial" w:cs="Arial"/>
          <w:sz w:val="22"/>
          <w:szCs w:val="22"/>
        </w:rPr>
        <w:t> </w:t>
      </w:r>
      <w:r w:rsidRPr="00AA6417">
        <w:rPr>
          <w:rFonts w:ascii="Arial" w:hAnsi="Arial" w:cs="Arial"/>
          <w:sz w:val="22"/>
          <w:szCs w:val="22"/>
        </w:rPr>
        <w:t>pořizovacích</w:t>
      </w:r>
      <w:r w:rsidRPr="007C0B5A">
        <w:rPr>
          <w:rFonts w:ascii="Arial" w:hAnsi="Arial" w:cs="Arial"/>
          <w:sz w:val="22"/>
          <w:szCs w:val="22"/>
        </w:rPr>
        <w:t xml:space="preserve"> </w:t>
      </w:r>
      <w:r w:rsidRPr="00AA6417">
        <w:rPr>
          <w:rFonts w:ascii="Arial" w:hAnsi="Arial" w:cs="Arial"/>
          <w:sz w:val="22"/>
          <w:szCs w:val="22"/>
        </w:rPr>
        <w:t>cen (historické ceny)</w:t>
      </w:r>
      <w:r w:rsidRPr="007C0B5A">
        <w:rPr>
          <w:rFonts w:ascii="Arial" w:hAnsi="Arial" w:cs="Arial"/>
          <w:sz w:val="22"/>
          <w:szCs w:val="22"/>
        </w:rPr>
        <w:t xml:space="preserve"> n</w:t>
      </w:r>
      <w:r w:rsidRPr="00AA6417">
        <w:rPr>
          <w:rFonts w:ascii="Arial" w:hAnsi="Arial" w:cs="Arial"/>
          <w:sz w:val="22"/>
          <w:szCs w:val="22"/>
        </w:rPr>
        <w:t>ebo</w:t>
      </w:r>
      <w:r w:rsidR="0047095F" w:rsidRPr="007C0B5A">
        <w:rPr>
          <w:rFonts w:ascii="Arial" w:hAnsi="Arial" w:cs="Arial"/>
          <w:sz w:val="22"/>
          <w:szCs w:val="22"/>
        </w:rPr>
        <w:t xml:space="preserve"> v </w:t>
      </w:r>
      <w:r w:rsidRPr="007C0B5A">
        <w:rPr>
          <w:rFonts w:ascii="Arial" w:hAnsi="Arial" w:cs="Arial"/>
          <w:sz w:val="22"/>
          <w:szCs w:val="22"/>
        </w:rPr>
        <w:t>b</w:t>
      </w:r>
      <w:r w:rsidRPr="00AA6417">
        <w:rPr>
          <w:rFonts w:ascii="Arial" w:hAnsi="Arial" w:cs="Arial"/>
          <w:sz w:val="22"/>
          <w:szCs w:val="22"/>
        </w:rPr>
        <w:t>ěžných</w:t>
      </w:r>
      <w:r w:rsidRPr="007C0B5A">
        <w:rPr>
          <w:rFonts w:ascii="Arial" w:hAnsi="Arial" w:cs="Arial"/>
          <w:sz w:val="22"/>
          <w:szCs w:val="22"/>
        </w:rPr>
        <w:t xml:space="preserve"> </w:t>
      </w:r>
      <w:r w:rsidRPr="00AA6417">
        <w:rPr>
          <w:rFonts w:ascii="Arial" w:hAnsi="Arial" w:cs="Arial"/>
          <w:sz w:val="22"/>
          <w:szCs w:val="22"/>
        </w:rPr>
        <w:t>cenách,</w:t>
      </w:r>
      <w:r w:rsidRPr="007C0B5A">
        <w:rPr>
          <w:rFonts w:ascii="Arial" w:hAnsi="Arial" w:cs="Arial"/>
          <w:sz w:val="22"/>
          <w:szCs w:val="22"/>
        </w:rPr>
        <w:t xml:space="preserve"> </w:t>
      </w:r>
      <w:r w:rsidRPr="00AA6417">
        <w:rPr>
          <w:rFonts w:ascii="Arial" w:hAnsi="Arial" w:cs="Arial"/>
          <w:sz w:val="22"/>
          <w:szCs w:val="22"/>
        </w:rPr>
        <w:t>při</w:t>
      </w:r>
      <w:r w:rsidRPr="007C0B5A">
        <w:rPr>
          <w:rFonts w:ascii="Arial" w:hAnsi="Arial" w:cs="Arial"/>
          <w:sz w:val="22"/>
          <w:szCs w:val="22"/>
        </w:rPr>
        <w:t>č</w:t>
      </w:r>
      <w:r w:rsidRPr="00AA6417">
        <w:rPr>
          <w:rFonts w:ascii="Arial" w:hAnsi="Arial" w:cs="Arial"/>
          <w:sz w:val="22"/>
          <w:szCs w:val="22"/>
        </w:rPr>
        <w:t>emž</w:t>
      </w:r>
      <w:r w:rsidRPr="007C0B5A">
        <w:rPr>
          <w:rFonts w:ascii="Arial" w:hAnsi="Arial" w:cs="Arial"/>
          <w:sz w:val="22"/>
          <w:szCs w:val="22"/>
        </w:rPr>
        <w:t xml:space="preserve"> </w:t>
      </w:r>
      <w:r w:rsidRPr="00AA6417">
        <w:rPr>
          <w:rFonts w:ascii="Arial" w:hAnsi="Arial" w:cs="Arial"/>
          <w:sz w:val="22"/>
          <w:szCs w:val="22"/>
        </w:rPr>
        <w:t>st</w:t>
      </w:r>
      <w:r w:rsidRPr="007C0B5A">
        <w:rPr>
          <w:rFonts w:ascii="Arial" w:hAnsi="Arial" w:cs="Arial"/>
          <w:sz w:val="22"/>
          <w:szCs w:val="22"/>
        </w:rPr>
        <w:t>a</w:t>
      </w:r>
      <w:r w:rsidRPr="00AA6417">
        <w:rPr>
          <w:rFonts w:ascii="Arial" w:hAnsi="Arial" w:cs="Arial"/>
          <w:sz w:val="22"/>
          <w:szCs w:val="22"/>
        </w:rPr>
        <w:t>noví,</w:t>
      </w:r>
      <w:r w:rsidRPr="007C0B5A">
        <w:rPr>
          <w:rFonts w:ascii="Arial" w:hAnsi="Arial" w:cs="Arial"/>
          <w:sz w:val="22"/>
          <w:szCs w:val="22"/>
        </w:rPr>
        <w:t xml:space="preserve"> </w:t>
      </w:r>
      <w:r w:rsidRPr="00AA6417">
        <w:rPr>
          <w:rFonts w:ascii="Arial" w:hAnsi="Arial" w:cs="Arial"/>
          <w:sz w:val="22"/>
          <w:szCs w:val="22"/>
        </w:rPr>
        <w:t>kdy</w:t>
      </w:r>
      <w:r w:rsidRPr="007C0B5A">
        <w:rPr>
          <w:rFonts w:ascii="Arial" w:hAnsi="Arial" w:cs="Arial"/>
          <w:sz w:val="22"/>
          <w:szCs w:val="22"/>
        </w:rPr>
        <w:t xml:space="preserve"> b</w:t>
      </w:r>
      <w:r w:rsidRPr="00AA6417">
        <w:rPr>
          <w:rFonts w:ascii="Arial" w:hAnsi="Arial" w:cs="Arial"/>
          <w:sz w:val="22"/>
          <w:szCs w:val="22"/>
        </w:rPr>
        <w:t>ude</w:t>
      </w:r>
      <w:r w:rsidRPr="007C0B5A">
        <w:rPr>
          <w:rFonts w:ascii="Arial" w:hAnsi="Arial" w:cs="Arial"/>
          <w:sz w:val="22"/>
          <w:szCs w:val="22"/>
        </w:rPr>
        <w:t xml:space="preserve"> která z </w:t>
      </w:r>
      <w:r w:rsidRPr="00AA6417">
        <w:rPr>
          <w:rFonts w:ascii="Arial" w:hAnsi="Arial" w:cs="Arial"/>
          <w:sz w:val="22"/>
          <w:szCs w:val="22"/>
        </w:rPr>
        <w:t>těchto</w:t>
      </w:r>
      <w:r w:rsidRPr="007C0B5A">
        <w:rPr>
          <w:rFonts w:ascii="Arial" w:hAnsi="Arial" w:cs="Arial"/>
          <w:sz w:val="22"/>
          <w:szCs w:val="22"/>
        </w:rPr>
        <w:t xml:space="preserve"> </w:t>
      </w:r>
      <w:r w:rsidRPr="00AA6417">
        <w:rPr>
          <w:rFonts w:ascii="Arial" w:hAnsi="Arial" w:cs="Arial"/>
          <w:sz w:val="22"/>
          <w:szCs w:val="22"/>
        </w:rPr>
        <w:t>metod</w:t>
      </w:r>
      <w:r w:rsidRPr="007C0B5A">
        <w:rPr>
          <w:rFonts w:ascii="Arial" w:hAnsi="Arial" w:cs="Arial"/>
          <w:sz w:val="22"/>
          <w:szCs w:val="22"/>
        </w:rPr>
        <w:t xml:space="preserve"> </w:t>
      </w:r>
      <w:r w:rsidRPr="00AA6417">
        <w:rPr>
          <w:rFonts w:ascii="Arial" w:hAnsi="Arial" w:cs="Arial"/>
          <w:sz w:val="22"/>
          <w:szCs w:val="22"/>
        </w:rPr>
        <w:lastRenderedPageBreak/>
        <w:t>použita.</w:t>
      </w:r>
      <w:r w:rsidRPr="007C0B5A">
        <w:rPr>
          <w:rFonts w:ascii="Arial" w:hAnsi="Arial" w:cs="Arial"/>
          <w:sz w:val="22"/>
          <w:szCs w:val="22"/>
        </w:rPr>
        <w:t xml:space="preserve"> </w:t>
      </w:r>
      <w:r w:rsidR="0089366F" w:rsidRPr="007C0B5A">
        <w:rPr>
          <w:rFonts w:ascii="Arial" w:hAnsi="Arial" w:cs="Arial"/>
          <w:sz w:val="22"/>
          <w:szCs w:val="22"/>
        </w:rPr>
        <w:t>P</w:t>
      </w:r>
      <w:r w:rsidRPr="007C0B5A">
        <w:rPr>
          <w:rFonts w:ascii="Arial" w:hAnsi="Arial" w:cs="Arial"/>
          <w:sz w:val="22"/>
          <w:szCs w:val="22"/>
        </w:rPr>
        <w:t>ro</w:t>
      </w:r>
      <w:r w:rsidR="00721A23" w:rsidRPr="007C0B5A">
        <w:rPr>
          <w:rFonts w:ascii="Arial" w:hAnsi="Arial" w:cs="Arial"/>
          <w:sz w:val="22"/>
          <w:szCs w:val="22"/>
        </w:rPr>
        <w:t xml:space="preserve"> </w:t>
      </w:r>
      <w:r w:rsidRPr="00AA6417">
        <w:rPr>
          <w:rFonts w:ascii="Arial" w:hAnsi="Arial" w:cs="Arial"/>
          <w:sz w:val="22"/>
          <w:szCs w:val="22"/>
        </w:rPr>
        <w:t>přiřazování nákladů</w:t>
      </w:r>
      <w:r w:rsidRPr="007C0B5A">
        <w:rPr>
          <w:rFonts w:ascii="Arial" w:hAnsi="Arial" w:cs="Arial"/>
          <w:sz w:val="22"/>
          <w:szCs w:val="22"/>
        </w:rPr>
        <w:t xml:space="preserve"> a</w:t>
      </w:r>
      <w:r w:rsidR="00721A23" w:rsidRPr="007C0B5A">
        <w:rPr>
          <w:rFonts w:ascii="Arial" w:hAnsi="Arial" w:cs="Arial"/>
          <w:sz w:val="22"/>
          <w:szCs w:val="22"/>
        </w:rPr>
        <w:t xml:space="preserve"> </w:t>
      </w:r>
      <w:r w:rsidRPr="00AA6417">
        <w:rPr>
          <w:rFonts w:ascii="Arial" w:hAnsi="Arial" w:cs="Arial"/>
          <w:sz w:val="22"/>
          <w:szCs w:val="22"/>
        </w:rPr>
        <w:t>výnosů</w:t>
      </w:r>
      <w:r w:rsidRPr="007C0B5A">
        <w:rPr>
          <w:rFonts w:ascii="Arial" w:hAnsi="Arial" w:cs="Arial"/>
          <w:sz w:val="22"/>
          <w:szCs w:val="22"/>
        </w:rPr>
        <w:t xml:space="preserve"> </w:t>
      </w:r>
      <w:r w:rsidRPr="00AA6417">
        <w:rPr>
          <w:rFonts w:ascii="Arial" w:hAnsi="Arial" w:cs="Arial"/>
          <w:sz w:val="22"/>
          <w:szCs w:val="22"/>
        </w:rPr>
        <w:t>je</w:t>
      </w:r>
      <w:r w:rsidRPr="007C0B5A">
        <w:rPr>
          <w:rFonts w:ascii="Arial" w:hAnsi="Arial" w:cs="Arial"/>
          <w:sz w:val="22"/>
          <w:szCs w:val="22"/>
        </w:rPr>
        <w:t xml:space="preserve"> </w:t>
      </w:r>
      <w:r w:rsidRPr="00AA6417">
        <w:rPr>
          <w:rFonts w:ascii="Arial" w:hAnsi="Arial" w:cs="Arial"/>
          <w:sz w:val="22"/>
          <w:szCs w:val="22"/>
        </w:rPr>
        <w:t>nutno</w:t>
      </w:r>
      <w:r w:rsidRPr="007C0B5A">
        <w:rPr>
          <w:rFonts w:ascii="Arial" w:hAnsi="Arial" w:cs="Arial"/>
          <w:sz w:val="22"/>
          <w:szCs w:val="22"/>
        </w:rPr>
        <w:t xml:space="preserve"> </w:t>
      </w:r>
      <w:r w:rsidRPr="00AA6417">
        <w:rPr>
          <w:rFonts w:ascii="Arial" w:hAnsi="Arial" w:cs="Arial"/>
          <w:sz w:val="22"/>
          <w:szCs w:val="22"/>
        </w:rPr>
        <w:t>dodržet</w:t>
      </w:r>
      <w:r w:rsidRPr="007C0B5A">
        <w:rPr>
          <w:rFonts w:ascii="Arial" w:hAnsi="Arial" w:cs="Arial"/>
          <w:sz w:val="22"/>
          <w:szCs w:val="22"/>
        </w:rPr>
        <w:t xml:space="preserve"> </w:t>
      </w:r>
      <w:r w:rsidRPr="00AA6417">
        <w:rPr>
          <w:rFonts w:ascii="Arial" w:hAnsi="Arial" w:cs="Arial"/>
          <w:sz w:val="22"/>
          <w:szCs w:val="22"/>
        </w:rPr>
        <w:t>základní</w:t>
      </w:r>
      <w:r w:rsidRPr="007C0B5A">
        <w:rPr>
          <w:rFonts w:ascii="Arial" w:hAnsi="Arial" w:cs="Arial"/>
          <w:sz w:val="22"/>
          <w:szCs w:val="22"/>
        </w:rPr>
        <w:t xml:space="preserve"> </w:t>
      </w:r>
      <w:r w:rsidRPr="00AA6417">
        <w:rPr>
          <w:rFonts w:ascii="Arial" w:hAnsi="Arial" w:cs="Arial"/>
          <w:sz w:val="22"/>
          <w:szCs w:val="22"/>
        </w:rPr>
        <w:t>principy objektivnosti, efektivnosti</w:t>
      </w:r>
      <w:r w:rsidRPr="007C0B5A">
        <w:rPr>
          <w:rFonts w:ascii="Arial" w:hAnsi="Arial" w:cs="Arial"/>
          <w:sz w:val="22"/>
          <w:szCs w:val="22"/>
        </w:rPr>
        <w:t xml:space="preserve"> a</w:t>
      </w:r>
      <w:r w:rsidR="00721A23" w:rsidRPr="007C0B5A">
        <w:rPr>
          <w:rFonts w:ascii="Arial" w:hAnsi="Arial" w:cs="Arial"/>
          <w:sz w:val="22"/>
          <w:szCs w:val="22"/>
        </w:rPr>
        <w:t xml:space="preserve"> </w:t>
      </w:r>
      <w:r w:rsidRPr="00AA6417">
        <w:rPr>
          <w:rFonts w:ascii="Arial" w:hAnsi="Arial" w:cs="Arial"/>
          <w:sz w:val="22"/>
          <w:szCs w:val="22"/>
        </w:rPr>
        <w:t xml:space="preserve">průhlednosti. </w:t>
      </w:r>
      <w:r w:rsidR="0089366F" w:rsidRPr="00AA6417">
        <w:rPr>
          <w:rFonts w:ascii="Arial" w:hAnsi="Arial" w:cs="Arial"/>
          <w:sz w:val="22"/>
          <w:szCs w:val="22"/>
        </w:rPr>
        <w:t>J</w:t>
      </w:r>
      <w:r w:rsidRPr="00AA6417">
        <w:rPr>
          <w:rFonts w:ascii="Arial" w:hAnsi="Arial" w:cs="Arial"/>
          <w:sz w:val="22"/>
          <w:szCs w:val="22"/>
        </w:rPr>
        <w:t>ako</w:t>
      </w:r>
      <w:r w:rsidR="00721A23" w:rsidRPr="00AA6417">
        <w:rPr>
          <w:rFonts w:ascii="Arial" w:hAnsi="Arial" w:cs="Arial"/>
          <w:sz w:val="22"/>
          <w:szCs w:val="22"/>
        </w:rPr>
        <w:t xml:space="preserve"> </w:t>
      </w:r>
      <w:r w:rsidRPr="00AA6417">
        <w:rPr>
          <w:rFonts w:ascii="Arial" w:hAnsi="Arial" w:cs="Arial"/>
          <w:sz w:val="22"/>
          <w:szCs w:val="22"/>
        </w:rPr>
        <w:t>vhodná</w:t>
      </w:r>
      <w:r w:rsidRPr="007C0B5A">
        <w:rPr>
          <w:rFonts w:ascii="Arial" w:hAnsi="Arial" w:cs="Arial"/>
          <w:sz w:val="22"/>
          <w:szCs w:val="22"/>
        </w:rPr>
        <w:t xml:space="preserve"> </w:t>
      </w:r>
      <w:r w:rsidRPr="00AA6417">
        <w:rPr>
          <w:rFonts w:ascii="Arial" w:hAnsi="Arial" w:cs="Arial"/>
          <w:sz w:val="22"/>
          <w:szCs w:val="22"/>
        </w:rPr>
        <w:t>me</w:t>
      </w:r>
      <w:r w:rsidRPr="007C0B5A">
        <w:rPr>
          <w:rFonts w:ascii="Arial" w:hAnsi="Arial" w:cs="Arial"/>
          <w:sz w:val="22"/>
          <w:szCs w:val="22"/>
        </w:rPr>
        <w:t>t</w:t>
      </w:r>
      <w:r w:rsidRPr="00AA6417">
        <w:rPr>
          <w:rFonts w:ascii="Arial" w:hAnsi="Arial" w:cs="Arial"/>
          <w:sz w:val="22"/>
          <w:szCs w:val="22"/>
        </w:rPr>
        <w:t>oda</w:t>
      </w:r>
      <w:r w:rsidRPr="007C0B5A">
        <w:rPr>
          <w:rFonts w:ascii="Arial" w:hAnsi="Arial" w:cs="Arial"/>
          <w:sz w:val="22"/>
          <w:szCs w:val="22"/>
        </w:rPr>
        <w:t xml:space="preserve"> </w:t>
      </w:r>
      <w:r w:rsidRPr="00AA6417">
        <w:rPr>
          <w:rFonts w:ascii="Arial" w:hAnsi="Arial" w:cs="Arial"/>
          <w:sz w:val="22"/>
          <w:szCs w:val="22"/>
        </w:rPr>
        <w:t>je</w:t>
      </w:r>
      <w:r w:rsidR="007C0B5A">
        <w:rPr>
          <w:rFonts w:ascii="Arial" w:hAnsi="Arial" w:cs="Arial"/>
          <w:sz w:val="22"/>
          <w:szCs w:val="22"/>
        </w:rPr>
        <w:t xml:space="preserve"> </w:t>
      </w:r>
      <w:r w:rsidRPr="007C0B5A">
        <w:rPr>
          <w:rFonts w:ascii="Arial" w:hAnsi="Arial" w:cs="Arial"/>
          <w:sz w:val="22"/>
          <w:szCs w:val="22"/>
        </w:rPr>
        <w:t>v</w:t>
      </w:r>
      <w:r w:rsidR="00721A23" w:rsidRPr="007C0B5A">
        <w:rPr>
          <w:rFonts w:ascii="Arial" w:hAnsi="Arial" w:cs="Arial"/>
          <w:sz w:val="22"/>
          <w:szCs w:val="22"/>
        </w:rPr>
        <w:t xml:space="preserve"> </w:t>
      </w:r>
      <w:r w:rsidRPr="00AA6417">
        <w:rPr>
          <w:rFonts w:ascii="Arial" w:hAnsi="Arial" w:cs="Arial"/>
          <w:sz w:val="22"/>
          <w:szCs w:val="22"/>
        </w:rPr>
        <w:t>s</w:t>
      </w:r>
      <w:r w:rsidRPr="007C0B5A">
        <w:rPr>
          <w:rFonts w:ascii="Arial" w:hAnsi="Arial" w:cs="Arial"/>
          <w:sz w:val="22"/>
          <w:szCs w:val="22"/>
        </w:rPr>
        <w:t>o</w:t>
      </w:r>
      <w:r w:rsidRPr="00AA6417">
        <w:rPr>
          <w:rFonts w:ascii="Arial" w:hAnsi="Arial" w:cs="Arial"/>
          <w:sz w:val="22"/>
          <w:szCs w:val="22"/>
        </w:rPr>
        <w:t>uladu</w:t>
      </w:r>
      <w:r w:rsidRPr="007C0B5A">
        <w:rPr>
          <w:rFonts w:ascii="Arial" w:hAnsi="Arial" w:cs="Arial"/>
          <w:sz w:val="22"/>
          <w:szCs w:val="22"/>
        </w:rPr>
        <w:t xml:space="preserve"> </w:t>
      </w:r>
      <w:r w:rsidRPr="00AA6417">
        <w:rPr>
          <w:rFonts w:ascii="Arial" w:hAnsi="Arial" w:cs="Arial"/>
          <w:sz w:val="22"/>
          <w:szCs w:val="22"/>
        </w:rPr>
        <w:t>Dopor</w:t>
      </w:r>
      <w:r w:rsidRPr="007C0B5A">
        <w:rPr>
          <w:rFonts w:ascii="Arial" w:hAnsi="Arial" w:cs="Arial"/>
          <w:sz w:val="22"/>
          <w:szCs w:val="22"/>
        </w:rPr>
        <w:t>uč</w:t>
      </w:r>
      <w:r w:rsidRPr="00AA6417">
        <w:rPr>
          <w:rFonts w:ascii="Arial" w:hAnsi="Arial" w:cs="Arial"/>
          <w:sz w:val="22"/>
          <w:szCs w:val="22"/>
        </w:rPr>
        <w:t>ením Komise</w:t>
      </w:r>
      <w:r w:rsidRPr="007C0B5A">
        <w:rPr>
          <w:rFonts w:ascii="Arial" w:hAnsi="Arial" w:cs="Arial"/>
          <w:sz w:val="22"/>
          <w:szCs w:val="22"/>
        </w:rPr>
        <w:t xml:space="preserve"> </w:t>
      </w:r>
      <w:r w:rsidRPr="00AA6417">
        <w:rPr>
          <w:rFonts w:ascii="Arial" w:hAnsi="Arial" w:cs="Arial"/>
          <w:sz w:val="22"/>
          <w:szCs w:val="22"/>
        </w:rPr>
        <w:t>E</w:t>
      </w:r>
      <w:r w:rsidRPr="007C0B5A">
        <w:rPr>
          <w:rFonts w:ascii="Arial" w:hAnsi="Arial" w:cs="Arial"/>
          <w:sz w:val="22"/>
          <w:szCs w:val="22"/>
        </w:rPr>
        <w:t>v</w:t>
      </w:r>
      <w:r w:rsidRPr="00AA6417">
        <w:rPr>
          <w:rFonts w:ascii="Arial" w:hAnsi="Arial" w:cs="Arial"/>
          <w:sz w:val="22"/>
          <w:szCs w:val="22"/>
        </w:rPr>
        <w:t>ropských s</w:t>
      </w:r>
      <w:r w:rsidRPr="007C0B5A">
        <w:rPr>
          <w:rFonts w:ascii="Arial" w:hAnsi="Arial" w:cs="Arial"/>
          <w:sz w:val="22"/>
          <w:szCs w:val="22"/>
        </w:rPr>
        <w:t>p</w:t>
      </w:r>
      <w:r w:rsidRPr="00AA6417">
        <w:rPr>
          <w:rFonts w:ascii="Arial" w:hAnsi="Arial" w:cs="Arial"/>
          <w:sz w:val="22"/>
          <w:szCs w:val="22"/>
        </w:rPr>
        <w:t>ol</w:t>
      </w:r>
      <w:r w:rsidRPr="007C0B5A">
        <w:rPr>
          <w:rFonts w:ascii="Arial" w:hAnsi="Arial" w:cs="Arial"/>
          <w:sz w:val="22"/>
          <w:szCs w:val="22"/>
        </w:rPr>
        <w:t>eč</w:t>
      </w:r>
      <w:r w:rsidRPr="00AA6417">
        <w:rPr>
          <w:rFonts w:ascii="Arial" w:hAnsi="Arial" w:cs="Arial"/>
          <w:sz w:val="22"/>
          <w:szCs w:val="22"/>
        </w:rPr>
        <w:t>enství ze</w:t>
      </w:r>
      <w:r w:rsidRPr="007C0B5A">
        <w:rPr>
          <w:rFonts w:ascii="Arial" w:hAnsi="Arial" w:cs="Arial"/>
          <w:sz w:val="22"/>
          <w:szCs w:val="22"/>
        </w:rPr>
        <w:t xml:space="preserve"> </w:t>
      </w:r>
      <w:r w:rsidRPr="00AA6417">
        <w:rPr>
          <w:rFonts w:ascii="Arial" w:hAnsi="Arial" w:cs="Arial"/>
          <w:sz w:val="22"/>
          <w:szCs w:val="22"/>
        </w:rPr>
        <w:t>dne</w:t>
      </w:r>
      <w:r w:rsidRPr="007C0B5A">
        <w:rPr>
          <w:rFonts w:ascii="Arial" w:hAnsi="Arial" w:cs="Arial"/>
          <w:sz w:val="22"/>
          <w:szCs w:val="22"/>
        </w:rPr>
        <w:t xml:space="preserve"> </w:t>
      </w:r>
      <w:r w:rsidRPr="00AA6417">
        <w:rPr>
          <w:rFonts w:ascii="Arial" w:hAnsi="Arial" w:cs="Arial"/>
          <w:sz w:val="22"/>
          <w:szCs w:val="22"/>
        </w:rPr>
        <w:t>19.</w:t>
      </w:r>
      <w:r w:rsidRPr="007C0B5A">
        <w:rPr>
          <w:rFonts w:ascii="Arial" w:hAnsi="Arial" w:cs="Arial"/>
          <w:sz w:val="22"/>
          <w:szCs w:val="22"/>
        </w:rPr>
        <w:t xml:space="preserve"> </w:t>
      </w:r>
      <w:r w:rsidRPr="00AA6417">
        <w:rPr>
          <w:rFonts w:ascii="Arial" w:hAnsi="Arial" w:cs="Arial"/>
          <w:sz w:val="22"/>
          <w:szCs w:val="22"/>
        </w:rPr>
        <w:t>září</w:t>
      </w:r>
      <w:r w:rsidRPr="007C0B5A">
        <w:rPr>
          <w:rFonts w:ascii="Arial" w:hAnsi="Arial" w:cs="Arial"/>
          <w:sz w:val="22"/>
          <w:szCs w:val="22"/>
        </w:rPr>
        <w:t xml:space="preserve"> </w:t>
      </w:r>
      <w:r w:rsidRPr="00AA6417">
        <w:rPr>
          <w:rFonts w:ascii="Arial" w:hAnsi="Arial" w:cs="Arial"/>
          <w:sz w:val="22"/>
          <w:szCs w:val="22"/>
        </w:rPr>
        <w:t>2005</w:t>
      </w:r>
      <w:r w:rsidR="007C0B5A">
        <w:rPr>
          <w:rFonts w:ascii="Arial" w:hAnsi="Arial" w:cs="Arial"/>
          <w:sz w:val="22"/>
          <w:szCs w:val="22"/>
        </w:rPr>
        <w:t xml:space="preserve"> </w:t>
      </w:r>
      <w:r w:rsidRPr="007C0B5A">
        <w:rPr>
          <w:rFonts w:ascii="Arial" w:hAnsi="Arial" w:cs="Arial"/>
          <w:sz w:val="22"/>
          <w:szCs w:val="22"/>
        </w:rPr>
        <w:t>o</w:t>
      </w:r>
      <w:r w:rsidR="00721A23" w:rsidRPr="007C0B5A">
        <w:rPr>
          <w:rFonts w:ascii="Arial" w:hAnsi="Arial" w:cs="Arial"/>
          <w:sz w:val="22"/>
          <w:szCs w:val="22"/>
        </w:rPr>
        <w:t xml:space="preserve"> </w:t>
      </w:r>
      <w:r w:rsidRPr="007C0B5A">
        <w:rPr>
          <w:rFonts w:ascii="Arial" w:hAnsi="Arial" w:cs="Arial"/>
          <w:sz w:val="22"/>
          <w:szCs w:val="22"/>
        </w:rPr>
        <w:t>o</w:t>
      </w:r>
      <w:r w:rsidRPr="00AA6417">
        <w:rPr>
          <w:rFonts w:ascii="Arial" w:hAnsi="Arial" w:cs="Arial"/>
          <w:sz w:val="22"/>
          <w:szCs w:val="22"/>
        </w:rPr>
        <w:t>dděleném</w:t>
      </w:r>
      <w:r w:rsidRPr="007C0B5A">
        <w:rPr>
          <w:rFonts w:ascii="Arial" w:hAnsi="Arial" w:cs="Arial"/>
          <w:sz w:val="22"/>
          <w:szCs w:val="22"/>
        </w:rPr>
        <w:t xml:space="preserve"> </w:t>
      </w:r>
      <w:r w:rsidRPr="00AA6417">
        <w:rPr>
          <w:rFonts w:ascii="Arial" w:hAnsi="Arial" w:cs="Arial"/>
          <w:sz w:val="22"/>
          <w:szCs w:val="22"/>
        </w:rPr>
        <w:t>ú</w:t>
      </w:r>
      <w:r w:rsidRPr="007C0B5A">
        <w:rPr>
          <w:rFonts w:ascii="Arial" w:hAnsi="Arial" w:cs="Arial"/>
          <w:sz w:val="22"/>
          <w:szCs w:val="22"/>
        </w:rPr>
        <w:t>č</w:t>
      </w:r>
      <w:r w:rsidRPr="00AA6417">
        <w:rPr>
          <w:rFonts w:ascii="Arial" w:hAnsi="Arial" w:cs="Arial"/>
          <w:sz w:val="22"/>
          <w:szCs w:val="22"/>
        </w:rPr>
        <w:t>etnictví</w:t>
      </w:r>
      <w:r w:rsidRPr="007C0B5A">
        <w:rPr>
          <w:rFonts w:ascii="Arial" w:hAnsi="Arial" w:cs="Arial"/>
          <w:sz w:val="22"/>
          <w:szCs w:val="22"/>
        </w:rPr>
        <w:t xml:space="preserve"> a</w:t>
      </w:r>
      <w:r w:rsidR="00721A23" w:rsidRPr="007C0B5A">
        <w:rPr>
          <w:rFonts w:ascii="Arial" w:hAnsi="Arial" w:cs="Arial"/>
          <w:sz w:val="22"/>
          <w:szCs w:val="22"/>
        </w:rPr>
        <w:t xml:space="preserve"> </w:t>
      </w:r>
      <w:r w:rsidRPr="00AA6417">
        <w:rPr>
          <w:rFonts w:ascii="Arial" w:hAnsi="Arial" w:cs="Arial"/>
          <w:sz w:val="22"/>
          <w:szCs w:val="22"/>
        </w:rPr>
        <w:t>systémech nákladového</w:t>
      </w:r>
      <w:r w:rsidRPr="007C0B5A">
        <w:rPr>
          <w:rFonts w:ascii="Arial" w:hAnsi="Arial" w:cs="Arial"/>
          <w:sz w:val="22"/>
          <w:szCs w:val="22"/>
        </w:rPr>
        <w:t xml:space="preserve"> </w:t>
      </w:r>
      <w:r w:rsidRPr="00AA6417">
        <w:rPr>
          <w:rFonts w:ascii="Arial" w:hAnsi="Arial" w:cs="Arial"/>
          <w:sz w:val="22"/>
          <w:szCs w:val="22"/>
        </w:rPr>
        <w:t>ú</w:t>
      </w:r>
      <w:r w:rsidRPr="007C0B5A">
        <w:rPr>
          <w:rFonts w:ascii="Arial" w:hAnsi="Arial" w:cs="Arial"/>
          <w:sz w:val="22"/>
          <w:szCs w:val="22"/>
        </w:rPr>
        <w:t>č</w:t>
      </w:r>
      <w:r w:rsidRPr="00AA6417">
        <w:rPr>
          <w:rFonts w:ascii="Arial" w:hAnsi="Arial" w:cs="Arial"/>
          <w:sz w:val="22"/>
          <w:szCs w:val="22"/>
        </w:rPr>
        <w:t>etnictví</w:t>
      </w:r>
      <w:r w:rsidR="0047095F" w:rsidRPr="007C0B5A">
        <w:rPr>
          <w:rFonts w:ascii="Arial" w:hAnsi="Arial" w:cs="Arial"/>
          <w:sz w:val="22"/>
          <w:szCs w:val="22"/>
        </w:rPr>
        <w:t xml:space="preserve"> podle </w:t>
      </w:r>
      <w:r w:rsidRPr="00AA6417">
        <w:rPr>
          <w:rFonts w:ascii="Arial" w:hAnsi="Arial" w:cs="Arial"/>
          <w:sz w:val="22"/>
          <w:szCs w:val="22"/>
        </w:rPr>
        <w:t>předpisového</w:t>
      </w:r>
      <w:r w:rsidRPr="007C0B5A">
        <w:rPr>
          <w:rFonts w:ascii="Arial" w:hAnsi="Arial" w:cs="Arial"/>
          <w:sz w:val="22"/>
          <w:szCs w:val="22"/>
        </w:rPr>
        <w:t xml:space="preserve"> </w:t>
      </w:r>
      <w:r w:rsidRPr="00AA6417">
        <w:rPr>
          <w:rFonts w:ascii="Arial" w:hAnsi="Arial" w:cs="Arial"/>
          <w:sz w:val="22"/>
          <w:szCs w:val="22"/>
        </w:rPr>
        <w:t>rámce</w:t>
      </w:r>
      <w:r w:rsidRPr="007C0B5A">
        <w:rPr>
          <w:rFonts w:ascii="Arial" w:hAnsi="Arial" w:cs="Arial"/>
          <w:sz w:val="22"/>
          <w:szCs w:val="22"/>
        </w:rPr>
        <w:t xml:space="preserve"> </w:t>
      </w:r>
      <w:r w:rsidRPr="00AA6417">
        <w:rPr>
          <w:rFonts w:ascii="Arial" w:hAnsi="Arial" w:cs="Arial"/>
          <w:sz w:val="22"/>
          <w:szCs w:val="22"/>
        </w:rPr>
        <w:t>pro</w:t>
      </w:r>
      <w:r w:rsidR="00721A23" w:rsidRPr="00AA6417">
        <w:rPr>
          <w:rFonts w:ascii="Arial" w:hAnsi="Arial" w:cs="Arial"/>
          <w:sz w:val="22"/>
          <w:szCs w:val="22"/>
        </w:rPr>
        <w:t xml:space="preserve"> </w:t>
      </w:r>
      <w:r w:rsidRPr="00AA6417">
        <w:rPr>
          <w:rFonts w:ascii="Arial" w:hAnsi="Arial" w:cs="Arial"/>
          <w:sz w:val="22"/>
          <w:szCs w:val="22"/>
        </w:rPr>
        <w:t>elektronické</w:t>
      </w:r>
      <w:r w:rsidRPr="007C0B5A">
        <w:rPr>
          <w:rFonts w:ascii="Arial" w:hAnsi="Arial" w:cs="Arial"/>
          <w:sz w:val="22"/>
          <w:szCs w:val="22"/>
        </w:rPr>
        <w:t xml:space="preserve"> </w:t>
      </w:r>
      <w:r w:rsidRPr="00AA6417">
        <w:rPr>
          <w:rFonts w:ascii="Arial" w:hAnsi="Arial" w:cs="Arial"/>
          <w:sz w:val="22"/>
          <w:szCs w:val="22"/>
        </w:rPr>
        <w:t>komunikace</w:t>
      </w:r>
      <w:r w:rsidRPr="007C0B5A">
        <w:rPr>
          <w:rFonts w:ascii="Arial" w:hAnsi="Arial" w:cs="Arial"/>
          <w:sz w:val="22"/>
          <w:szCs w:val="22"/>
        </w:rPr>
        <w:t xml:space="preserve"> </w:t>
      </w:r>
      <w:r w:rsidRPr="00AA6417">
        <w:rPr>
          <w:rFonts w:ascii="Arial" w:hAnsi="Arial" w:cs="Arial"/>
          <w:sz w:val="22"/>
          <w:szCs w:val="22"/>
        </w:rPr>
        <w:t>(dále</w:t>
      </w:r>
      <w:r w:rsidRPr="007C0B5A">
        <w:rPr>
          <w:rFonts w:ascii="Arial" w:hAnsi="Arial" w:cs="Arial"/>
          <w:sz w:val="22"/>
          <w:szCs w:val="22"/>
        </w:rPr>
        <w:t xml:space="preserve"> </w:t>
      </w:r>
      <w:r w:rsidRPr="00AA6417">
        <w:rPr>
          <w:rFonts w:ascii="Arial" w:hAnsi="Arial" w:cs="Arial"/>
          <w:sz w:val="22"/>
          <w:szCs w:val="22"/>
        </w:rPr>
        <w:t>jen „Doporu</w:t>
      </w:r>
      <w:r w:rsidRPr="007C0B5A">
        <w:rPr>
          <w:rFonts w:ascii="Arial" w:hAnsi="Arial" w:cs="Arial"/>
          <w:sz w:val="22"/>
          <w:szCs w:val="22"/>
        </w:rPr>
        <w:t>č</w:t>
      </w:r>
      <w:r w:rsidRPr="00AA6417">
        <w:rPr>
          <w:rFonts w:ascii="Arial" w:hAnsi="Arial" w:cs="Arial"/>
          <w:sz w:val="22"/>
          <w:szCs w:val="22"/>
        </w:rPr>
        <w:t>ení“) uvedena</w:t>
      </w:r>
      <w:r w:rsidRPr="007C0B5A">
        <w:rPr>
          <w:rFonts w:ascii="Arial" w:hAnsi="Arial" w:cs="Arial"/>
          <w:sz w:val="22"/>
          <w:szCs w:val="22"/>
        </w:rPr>
        <w:t xml:space="preserve"> </w:t>
      </w:r>
      <w:r w:rsidRPr="00AA6417">
        <w:rPr>
          <w:rFonts w:ascii="Arial" w:hAnsi="Arial" w:cs="Arial"/>
          <w:sz w:val="22"/>
          <w:szCs w:val="22"/>
        </w:rPr>
        <w:t>metoda</w:t>
      </w:r>
      <w:r w:rsidRPr="007C0B5A">
        <w:rPr>
          <w:rFonts w:ascii="Arial" w:hAnsi="Arial" w:cs="Arial"/>
          <w:sz w:val="22"/>
          <w:szCs w:val="22"/>
        </w:rPr>
        <w:t xml:space="preserve"> </w:t>
      </w:r>
      <w:r w:rsidRPr="00AA6417">
        <w:rPr>
          <w:rFonts w:ascii="Arial" w:hAnsi="Arial" w:cs="Arial"/>
          <w:sz w:val="22"/>
          <w:szCs w:val="22"/>
        </w:rPr>
        <w:t>ABC</w:t>
      </w:r>
      <w:r w:rsidRPr="007C0B5A">
        <w:rPr>
          <w:rFonts w:ascii="Arial" w:hAnsi="Arial" w:cs="Arial"/>
          <w:sz w:val="22"/>
          <w:szCs w:val="22"/>
        </w:rPr>
        <w:t xml:space="preserve"> p</w:t>
      </w:r>
      <w:r w:rsidRPr="00AA6417">
        <w:rPr>
          <w:rFonts w:ascii="Arial" w:hAnsi="Arial" w:cs="Arial"/>
          <w:sz w:val="22"/>
          <w:szCs w:val="22"/>
        </w:rPr>
        <w:t>řiřazování</w:t>
      </w:r>
      <w:r w:rsidRPr="007C0B5A">
        <w:rPr>
          <w:rFonts w:ascii="Arial" w:hAnsi="Arial" w:cs="Arial"/>
          <w:sz w:val="22"/>
          <w:szCs w:val="22"/>
        </w:rPr>
        <w:t xml:space="preserve"> </w:t>
      </w:r>
      <w:r w:rsidRPr="00AA6417">
        <w:rPr>
          <w:rFonts w:ascii="Arial" w:hAnsi="Arial" w:cs="Arial"/>
          <w:sz w:val="22"/>
          <w:szCs w:val="22"/>
        </w:rPr>
        <w:t>nákladů</w:t>
      </w:r>
      <w:r w:rsidR="0047095F" w:rsidRPr="007C0B5A">
        <w:rPr>
          <w:rFonts w:ascii="Arial" w:hAnsi="Arial" w:cs="Arial"/>
          <w:sz w:val="22"/>
          <w:szCs w:val="22"/>
        </w:rPr>
        <w:t xml:space="preserve"> podle </w:t>
      </w:r>
      <w:r w:rsidR="00721A23" w:rsidRPr="007C0B5A">
        <w:rPr>
          <w:rFonts w:ascii="Arial" w:hAnsi="Arial" w:cs="Arial"/>
          <w:sz w:val="22"/>
          <w:szCs w:val="22"/>
        </w:rPr>
        <w:t>č</w:t>
      </w:r>
      <w:r w:rsidRPr="00AA6417">
        <w:rPr>
          <w:rFonts w:ascii="Arial" w:hAnsi="Arial" w:cs="Arial"/>
          <w:sz w:val="22"/>
          <w:szCs w:val="22"/>
        </w:rPr>
        <w:t>in</w:t>
      </w:r>
      <w:r w:rsidRPr="007C0B5A">
        <w:rPr>
          <w:rFonts w:ascii="Arial" w:hAnsi="Arial" w:cs="Arial"/>
          <w:sz w:val="22"/>
          <w:szCs w:val="22"/>
        </w:rPr>
        <w:t>n</w:t>
      </w:r>
      <w:r w:rsidRPr="00AA6417">
        <w:rPr>
          <w:rFonts w:ascii="Arial" w:hAnsi="Arial" w:cs="Arial"/>
          <w:sz w:val="22"/>
          <w:szCs w:val="22"/>
        </w:rPr>
        <w:t>ostí</w:t>
      </w:r>
      <w:r w:rsidRPr="007C0B5A">
        <w:rPr>
          <w:rFonts w:ascii="Arial" w:hAnsi="Arial" w:cs="Arial"/>
          <w:sz w:val="22"/>
          <w:szCs w:val="22"/>
        </w:rPr>
        <w:t xml:space="preserve"> </w:t>
      </w:r>
      <w:r w:rsidRPr="00AA6417">
        <w:rPr>
          <w:rFonts w:ascii="Arial" w:hAnsi="Arial" w:cs="Arial"/>
          <w:sz w:val="22"/>
          <w:szCs w:val="22"/>
        </w:rPr>
        <w:t>(</w:t>
      </w:r>
      <w:proofErr w:type="spellStart"/>
      <w:r w:rsidRPr="00AA6417">
        <w:rPr>
          <w:rFonts w:ascii="Arial" w:hAnsi="Arial" w:cs="Arial"/>
          <w:sz w:val="22"/>
          <w:szCs w:val="22"/>
        </w:rPr>
        <w:t>Activi</w:t>
      </w:r>
      <w:r w:rsidRPr="007C0B5A">
        <w:rPr>
          <w:rFonts w:ascii="Arial" w:hAnsi="Arial" w:cs="Arial"/>
          <w:sz w:val="22"/>
          <w:szCs w:val="22"/>
        </w:rPr>
        <w:t>t</w:t>
      </w:r>
      <w:r w:rsidRPr="00AA6417">
        <w:rPr>
          <w:rFonts w:ascii="Arial" w:hAnsi="Arial" w:cs="Arial"/>
          <w:sz w:val="22"/>
          <w:szCs w:val="22"/>
        </w:rPr>
        <w:t>y</w:t>
      </w:r>
      <w:proofErr w:type="spellEnd"/>
      <w:r w:rsidRPr="007C0B5A">
        <w:rPr>
          <w:rFonts w:ascii="Arial" w:hAnsi="Arial" w:cs="Arial"/>
          <w:sz w:val="22"/>
          <w:szCs w:val="22"/>
        </w:rPr>
        <w:t xml:space="preserve"> </w:t>
      </w:r>
      <w:proofErr w:type="spellStart"/>
      <w:r w:rsidRPr="00AA6417">
        <w:rPr>
          <w:rFonts w:ascii="Arial" w:hAnsi="Arial" w:cs="Arial"/>
          <w:sz w:val="22"/>
          <w:szCs w:val="22"/>
        </w:rPr>
        <w:t>Based</w:t>
      </w:r>
      <w:proofErr w:type="spellEnd"/>
      <w:r w:rsidRPr="00AA6417">
        <w:rPr>
          <w:rFonts w:ascii="Arial" w:hAnsi="Arial" w:cs="Arial"/>
          <w:sz w:val="22"/>
          <w:szCs w:val="22"/>
        </w:rPr>
        <w:t xml:space="preserve"> Costing).</w:t>
      </w:r>
      <w:r w:rsidRPr="007C0B5A">
        <w:rPr>
          <w:rFonts w:ascii="Arial" w:hAnsi="Arial" w:cs="Arial"/>
          <w:sz w:val="22"/>
          <w:szCs w:val="22"/>
        </w:rPr>
        <w:t xml:space="preserve"> </w:t>
      </w:r>
      <w:r w:rsidRPr="00AA6417">
        <w:rPr>
          <w:rFonts w:ascii="Arial" w:hAnsi="Arial" w:cs="Arial"/>
          <w:sz w:val="22"/>
          <w:szCs w:val="22"/>
        </w:rPr>
        <w:t>Použi</w:t>
      </w:r>
      <w:r w:rsidRPr="007C0B5A">
        <w:rPr>
          <w:rFonts w:ascii="Arial" w:hAnsi="Arial" w:cs="Arial"/>
          <w:sz w:val="22"/>
          <w:szCs w:val="22"/>
        </w:rPr>
        <w:t>t</w:t>
      </w:r>
      <w:r w:rsidRPr="00AA6417">
        <w:rPr>
          <w:rFonts w:ascii="Arial" w:hAnsi="Arial" w:cs="Arial"/>
          <w:sz w:val="22"/>
          <w:szCs w:val="22"/>
        </w:rPr>
        <w:t>é</w:t>
      </w:r>
      <w:r w:rsidRPr="007C0B5A">
        <w:rPr>
          <w:rFonts w:ascii="Arial" w:hAnsi="Arial" w:cs="Arial"/>
          <w:sz w:val="22"/>
          <w:szCs w:val="22"/>
        </w:rPr>
        <w:t xml:space="preserve"> </w:t>
      </w:r>
      <w:r w:rsidRPr="00AA6417">
        <w:rPr>
          <w:rFonts w:ascii="Arial" w:hAnsi="Arial" w:cs="Arial"/>
          <w:sz w:val="22"/>
          <w:szCs w:val="22"/>
        </w:rPr>
        <w:t>alok</w:t>
      </w:r>
      <w:r w:rsidRPr="007C0B5A">
        <w:rPr>
          <w:rFonts w:ascii="Arial" w:hAnsi="Arial" w:cs="Arial"/>
          <w:sz w:val="22"/>
          <w:szCs w:val="22"/>
        </w:rPr>
        <w:t>ač</w:t>
      </w:r>
      <w:r w:rsidRPr="00AA6417">
        <w:rPr>
          <w:rFonts w:ascii="Arial" w:hAnsi="Arial" w:cs="Arial"/>
          <w:sz w:val="22"/>
          <w:szCs w:val="22"/>
        </w:rPr>
        <w:t>ní po</w:t>
      </w:r>
      <w:r w:rsidRPr="007C0B5A">
        <w:rPr>
          <w:rFonts w:ascii="Arial" w:hAnsi="Arial" w:cs="Arial"/>
          <w:sz w:val="22"/>
          <w:szCs w:val="22"/>
        </w:rPr>
        <w:t>m</w:t>
      </w:r>
      <w:r w:rsidRPr="00AA6417">
        <w:rPr>
          <w:rFonts w:ascii="Arial" w:hAnsi="Arial" w:cs="Arial"/>
          <w:sz w:val="22"/>
          <w:szCs w:val="22"/>
        </w:rPr>
        <w:t>ěry</w:t>
      </w:r>
      <w:r w:rsidRPr="007C0B5A">
        <w:rPr>
          <w:rFonts w:ascii="Arial" w:hAnsi="Arial" w:cs="Arial"/>
          <w:sz w:val="22"/>
          <w:szCs w:val="22"/>
        </w:rPr>
        <w:t xml:space="preserve"> m</w:t>
      </w:r>
      <w:r w:rsidRPr="00AA6417">
        <w:rPr>
          <w:rFonts w:ascii="Arial" w:hAnsi="Arial" w:cs="Arial"/>
          <w:sz w:val="22"/>
          <w:szCs w:val="22"/>
        </w:rPr>
        <w:t>usí</w:t>
      </w:r>
      <w:r w:rsidRPr="007C0B5A">
        <w:rPr>
          <w:rFonts w:ascii="Arial" w:hAnsi="Arial" w:cs="Arial"/>
          <w:sz w:val="22"/>
          <w:szCs w:val="22"/>
        </w:rPr>
        <w:t xml:space="preserve"> </w:t>
      </w:r>
      <w:r w:rsidRPr="00AA6417">
        <w:rPr>
          <w:rFonts w:ascii="Arial" w:hAnsi="Arial" w:cs="Arial"/>
          <w:sz w:val="22"/>
          <w:szCs w:val="22"/>
        </w:rPr>
        <w:t>s</w:t>
      </w:r>
      <w:r w:rsidRPr="007C0B5A">
        <w:rPr>
          <w:rFonts w:ascii="Arial" w:hAnsi="Arial" w:cs="Arial"/>
          <w:sz w:val="22"/>
          <w:szCs w:val="22"/>
        </w:rPr>
        <w:t>p</w:t>
      </w:r>
      <w:r w:rsidRPr="00AA6417">
        <w:rPr>
          <w:rFonts w:ascii="Arial" w:hAnsi="Arial" w:cs="Arial"/>
          <w:sz w:val="22"/>
          <w:szCs w:val="22"/>
        </w:rPr>
        <w:t xml:space="preserve">lňovat podmínku </w:t>
      </w:r>
      <w:r w:rsidRPr="007C0B5A">
        <w:rPr>
          <w:rFonts w:ascii="Arial" w:hAnsi="Arial" w:cs="Arial"/>
          <w:sz w:val="22"/>
          <w:szCs w:val="22"/>
        </w:rPr>
        <w:t>z</w:t>
      </w:r>
      <w:r w:rsidRPr="00AA6417">
        <w:rPr>
          <w:rFonts w:ascii="Arial" w:hAnsi="Arial" w:cs="Arial"/>
          <w:sz w:val="22"/>
          <w:szCs w:val="22"/>
        </w:rPr>
        <w:t>řejmých kauzálních souvislostí. Náklady</w:t>
      </w:r>
      <w:r w:rsidR="0047095F">
        <w:rPr>
          <w:rFonts w:ascii="Arial" w:hAnsi="Arial" w:cs="Arial"/>
          <w:sz w:val="22"/>
          <w:szCs w:val="22"/>
        </w:rPr>
        <w:t xml:space="preserve"> na </w:t>
      </w:r>
      <w:r w:rsidRPr="00AA6417">
        <w:rPr>
          <w:rFonts w:ascii="Arial" w:hAnsi="Arial" w:cs="Arial"/>
          <w:sz w:val="22"/>
          <w:szCs w:val="22"/>
        </w:rPr>
        <w:t>prvky sí</w:t>
      </w:r>
      <w:r w:rsidRPr="007C0B5A">
        <w:rPr>
          <w:rFonts w:ascii="Arial" w:hAnsi="Arial" w:cs="Arial"/>
          <w:sz w:val="22"/>
          <w:szCs w:val="22"/>
        </w:rPr>
        <w:t>t</w:t>
      </w:r>
      <w:r w:rsidRPr="00AA6417">
        <w:rPr>
          <w:rFonts w:ascii="Arial" w:hAnsi="Arial" w:cs="Arial"/>
          <w:sz w:val="22"/>
          <w:szCs w:val="22"/>
        </w:rPr>
        <w:t>ě se dále přiřazují j</w:t>
      </w:r>
      <w:r w:rsidRPr="007C0B5A">
        <w:rPr>
          <w:rFonts w:ascii="Arial" w:hAnsi="Arial" w:cs="Arial"/>
          <w:sz w:val="22"/>
          <w:szCs w:val="22"/>
        </w:rPr>
        <w:t>e</w:t>
      </w:r>
      <w:r w:rsidRPr="00AA6417">
        <w:rPr>
          <w:rFonts w:ascii="Arial" w:hAnsi="Arial" w:cs="Arial"/>
          <w:sz w:val="22"/>
          <w:szCs w:val="22"/>
        </w:rPr>
        <w:t xml:space="preserve">dnotlivým </w:t>
      </w:r>
      <w:r w:rsidRPr="007C0B5A">
        <w:rPr>
          <w:rFonts w:ascii="Arial" w:hAnsi="Arial" w:cs="Arial"/>
          <w:sz w:val="22"/>
          <w:szCs w:val="22"/>
        </w:rPr>
        <w:t>č</w:t>
      </w:r>
      <w:r w:rsidRPr="00AA6417">
        <w:rPr>
          <w:rFonts w:ascii="Arial" w:hAnsi="Arial" w:cs="Arial"/>
          <w:sz w:val="22"/>
          <w:szCs w:val="22"/>
        </w:rPr>
        <w:t>innostem nebo</w:t>
      </w:r>
      <w:r w:rsidRPr="007C0B5A">
        <w:rPr>
          <w:rFonts w:ascii="Arial" w:hAnsi="Arial" w:cs="Arial"/>
          <w:sz w:val="22"/>
          <w:szCs w:val="22"/>
        </w:rPr>
        <w:t xml:space="preserve"> </w:t>
      </w:r>
      <w:r w:rsidRPr="00AA6417">
        <w:rPr>
          <w:rFonts w:ascii="Arial" w:hAnsi="Arial" w:cs="Arial"/>
          <w:sz w:val="22"/>
          <w:szCs w:val="22"/>
        </w:rPr>
        <w:t>služ</w:t>
      </w:r>
      <w:r w:rsidRPr="007C0B5A">
        <w:rPr>
          <w:rFonts w:ascii="Arial" w:hAnsi="Arial" w:cs="Arial"/>
          <w:sz w:val="22"/>
          <w:szCs w:val="22"/>
        </w:rPr>
        <w:t>b</w:t>
      </w:r>
      <w:r w:rsidRPr="00AA6417">
        <w:rPr>
          <w:rFonts w:ascii="Arial" w:hAnsi="Arial" w:cs="Arial"/>
          <w:sz w:val="22"/>
          <w:szCs w:val="22"/>
        </w:rPr>
        <w:t>ám</w:t>
      </w:r>
      <w:r w:rsidR="0047095F" w:rsidRPr="007C0B5A">
        <w:rPr>
          <w:rFonts w:ascii="Arial" w:hAnsi="Arial" w:cs="Arial"/>
          <w:sz w:val="22"/>
          <w:szCs w:val="22"/>
        </w:rPr>
        <w:t xml:space="preserve"> podle </w:t>
      </w:r>
      <w:r w:rsidRPr="00AA6417">
        <w:rPr>
          <w:rFonts w:ascii="Arial" w:hAnsi="Arial" w:cs="Arial"/>
          <w:sz w:val="22"/>
          <w:szCs w:val="22"/>
        </w:rPr>
        <w:t>p</w:t>
      </w:r>
      <w:r w:rsidRPr="007C0B5A">
        <w:rPr>
          <w:rFonts w:ascii="Arial" w:hAnsi="Arial" w:cs="Arial"/>
          <w:sz w:val="22"/>
          <w:szCs w:val="22"/>
        </w:rPr>
        <w:t>r</w:t>
      </w:r>
      <w:r w:rsidRPr="00AA6417">
        <w:rPr>
          <w:rFonts w:ascii="Arial" w:hAnsi="Arial" w:cs="Arial"/>
          <w:sz w:val="22"/>
          <w:szCs w:val="22"/>
        </w:rPr>
        <w:t>ůměrného vytížení</w:t>
      </w:r>
      <w:r w:rsidRPr="007C0B5A">
        <w:rPr>
          <w:rFonts w:ascii="Arial" w:hAnsi="Arial" w:cs="Arial"/>
          <w:sz w:val="22"/>
          <w:szCs w:val="22"/>
        </w:rPr>
        <w:t xml:space="preserve"> </w:t>
      </w:r>
      <w:r w:rsidRPr="00AA6417">
        <w:rPr>
          <w:rFonts w:ascii="Arial" w:hAnsi="Arial" w:cs="Arial"/>
          <w:sz w:val="22"/>
          <w:szCs w:val="22"/>
        </w:rPr>
        <w:t>prv</w:t>
      </w:r>
      <w:r w:rsidRPr="007C0B5A">
        <w:rPr>
          <w:rFonts w:ascii="Arial" w:hAnsi="Arial" w:cs="Arial"/>
          <w:sz w:val="22"/>
          <w:szCs w:val="22"/>
        </w:rPr>
        <w:t>k</w:t>
      </w:r>
      <w:r w:rsidRPr="00AA6417">
        <w:rPr>
          <w:rFonts w:ascii="Arial" w:hAnsi="Arial" w:cs="Arial"/>
          <w:sz w:val="22"/>
          <w:szCs w:val="22"/>
        </w:rPr>
        <w:t>ů</w:t>
      </w:r>
      <w:r w:rsidRPr="007C0B5A">
        <w:rPr>
          <w:rFonts w:ascii="Arial" w:hAnsi="Arial" w:cs="Arial"/>
          <w:sz w:val="22"/>
          <w:szCs w:val="22"/>
        </w:rPr>
        <w:t xml:space="preserve"> </w:t>
      </w:r>
      <w:r w:rsidRPr="00AA6417">
        <w:rPr>
          <w:rFonts w:ascii="Arial" w:hAnsi="Arial" w:cs="Arial"/>
          <w:sz w:val="22"/>
          <w:szCs w:val="22"/>
        </w:rPr>
        <w:t>sítě</w:t>
      </w:r>
      <w:r w:rsidRPr="007C0B5A">
        <w:rPr>
          <w:rFonts w:ascii="Arial" w:hAnsi="Arial" w:cs="Arial"/>
          <w:sz w:val="22"/>
          <w:szCs w:val="22"/>
        </w:rPr>
        <w:t xml:space="preserve"> </w:t>
      </w:r>
      <w:r w:rsidRPr="00AA6417">
        <w:rPr>
          <w:rFonts w:ascii="Arial" w:hAnsi="Arial" w:cs="Arial"/>
          <w:sz w:val="22"/>
          <w:szCs w:val="22"/>
        </w:rPr>
        <w:t>t</w:t>
      </w:r>
      <w:r w:rsidRPr="007C0B5A">
        <w:rPr>
          <w:rFonts w:ascii="Arial" w:hAnsi="Arial" w:cs="Arial"/>
          <w:sz w:val="22"/>
          <w:szCs w:val="22"/>
        </w:rPr>
        <w:t>ě</w:t>
      </w:r>
      <w:r w:rsidRPr="00AA6417">
        <w:rPr>
          <w:rFonts w:ascii="Arial" w:hAnsi="Arial" w:cs="Arial"/>
          <w:sz w:val="22"/>
          <w:szCs w:val="22"/>
        </w:rPr>
        <w:t>mito</w:t>
      </w:r>
      <w:r w:rsidRPr="007C0B5A">
        <w:rPr>
          <w:rFonts w:ascii="Arial" w:hAnsi="Arial" w:cs="Arial"/>
          <w:sz w:val="22"/>
          <w:szCs w:val="22"/>
        </w:rPr>
        <w:t xml:space="preserve"> č</w:t>
      </w:r>
      <w:r w:rsidRPr="00AA6417">
        <w:rPr>
          <w:rFonts w:ascii="Arial" w:hAnsi="Arial" w:cs="Arial"/>
          <w:sz w:val="22"/>
          <w:szCs w:val="22"/>
        </w:rPr>
        <w:t>innostmi</w:t>
      </w:r>
      <w:r w:rsidRPr="007C0B5A">
        <w:rPr>
          <w:rFonts w:ascii="Arial" w:hAnsi="Arial" w:cs="Arial"/>
          <w:sz w:val="22"/>
          <w:szCs w:val="22"/>
        </w:rPr>
        <w:t xml:space="preserve"> </w:t>
      </w:r>
      <w:r w:rsidRPr="00AA6417">
        <w:rPr>
          <w:rFonts w:ascii="Arial" w:hAnsi="Arial" w:cs="Arial"/>
          <w:sz w:val="22"/>
          <w:szCs w:val="22"/>
        </w:rPr>
        <w:t>nebo službami. Vzhledem k</w:t>
      </w:r>
      <w:r w:rsidR="0028485B" w:rsidRPr="00AA6417">
        <w:rPr>
          <w:rFonts w:ascii="Arial" w:hAnsi="Arial" w:cs="Arial"/>
          <w:sz w:val="22"/>
          <w:szCs w:val="22"/>
        </w:rPr>
        <w:t xml:space="preserve"> </w:t>
      </w:r>
      <w:r w:rsidRPr="00AA6417">
        <w:rPr>
          <w:rFonts w:ascii="Arial" w:hAnsi="Arial" w:cs="Arial"/>
          <w:sz w:val="22"/>
          <w:szCs w:val="22"/>
        </w:rPr>
        <w:t>tomu, že Úřad zavedl</w:t>
      </w:r>
      <w:r w:rsidR="0047095F">
        <w:rPr>
          <w:rFonts w:ascii="Arial" w:hAnsi="Arial" w:cs="Arial"/>
          <w:sz w:val="22"/>
          <w:szCs w:val="22"/>
        </w:rPr>
        <w:t xml:space="preserve"> v </w:t>
      </w:r>
      <w:r w:rsidRPr="00AA6417">
        <w:rPr>
          <w:rFonts w:ascii="Arial" w:hAnsi="Arial" w:cs="Arial"/>
          <w:sz w:val="22"/>
          <w:szCs w:val="22"/>
        </w:rPr>
        <w:t>souladu s</w:t>
      </w:r>
      <w:r w:rsidR="0028485B" w:rsidRPr="00AA6417">
        <w:rPr>
          <w:rFonts w:ascii="Arial" w:hAnsi="Arial" w:cs="Arial"/>
          <w:sz w:val="22"/>
          <w:szCs w:val="22"/>
        </w:rPr>
        <w:t xml:space="preserve"> </w:t>
      </w:r>
      <w:r w:rsidR="0047095F">
        <w:rPr>
          <w:rFonts w:ascii="Arial" w:hAnsi="Arial" w:cs="Arial"/>
          <w:sz w:val="22"/>
          <w:szCs w:val="22"/>
        </w:rPr>
        <w:t xml:space="preserve">doporučením </w:t>
      </w:r>
      <w:r w:rsidR="00F67658" w:rsidRPr="00AA6417">
        <w:rPr>
          <w:rFonts w:ascii="Arial" w:hAnsi="Arial" w:cs="Arial"/>
          <w:sz w:val="22"/>
          <w:szCs w:val="22"/>
        </w:rPr>
        <w:t>Doporučení Komise ze dne 7. května 2009 o regulaci sazeb za ukončení volání</w:t>
      </w:r>
      <w:r w:rsidR="00F67658">
        <w:rPr>
          <w:rFonts w:ascii="Arial" w:hAnsi="Arial" w:cs="Arial"/>
          <w:sz w:val="22"/>
          <w:szCs w:val="22"/>
        </w:rPr>
        <w:t xml:space="preserve"> v </w:t>
      </w:r>
      <w:r w:rsidR="00F67658" w:rsidRPr="00AA6417">
        <w:rPr>
          <w:rFonts w:ascii="Arial" w:hAnsi="Arial" w:cs="Arial"/>
          <w:sz w:val="22"/>
          <w:szCs w:val="22"/>
        </w:rPr>
        <w:t>pevných a mobilních sítích</w:t>
      </w:r>
      <w:r w:rsidR="00F67658">
        <w:rPr>
          <w:rFonts w:ascii="Arial" w:hAnsi="Arial" w:cs="Arial"/>
          <w:sz w:val="22"/>
          <w:szCs w:val="22"/>
        </w:rPr>
        <w:t xml:space="preserve"> v </w:t>
      </w:r>
      <w:r w:rsidR="00F67658" w:rsidRPr="00AA6417">
        <w:rPr>
          <w:rFonts w:ascii="Arial" w:hAnsi="Arial" w:cs="Arial"/>
          <w:sz w:val="22"/>
          <w:szCs w:val="22"/>
        </w:rPr>
        <w:t xml:space="preserve">EU </w:t>
      </w:r>
      <w:r w:rsidR="0047095F">
        <w:rPr>
          <w:rFonts w:ascii="Arial" w:hAnsi="Arial" w:cs="Arial"/>
          <w:sz w:val="22"/>
          <w:szCs w:val="22"/>
        </w:rPr>
        <w:t>č. </w:t>
      </w:r>
      <w:r w:rsidRPr="00AA6417">
        <w:rPr>
          <w:rFonts w:ascii="Arial" w:hAnsi="Arial" w:cs="Arial"/>
          <w:sz w:val="22"/>
          <w:szCs w:val="22"/>
        </w:rPr>
        <w:t>2009/396/ES</w:t>
      </w:r>
      <w:r w:rsidR="00F67658">
        <w:rPr>
          <w:rFonts w:ascii="Arial" w:hAnsi="Arial" w:cs="Arial"/>
          <w:sz w:val="22"/>
          <w:szCs w:val="22"/>
        </w:rPr>
        <w:t xml:space="preserve"> </w:t>
      </w:r>
      <w:r w:rsidRPr="00AA6417">
        <w:rPr>
          <w:rFonts w:ascii="Arial" w:hAnsi="Arial" w:cs="Arial"/>
          <w:sz w:val="22"/>
          <w:szCs w:val="22"/>
        </w:rPr>
        <w:t xml:space="preserve"> pro</w:t>
      </w:r>
      <w:r w:rsidR="0028485B" w:rsidRPr="00AA6417">
        <w:rPr>
          <w:rFonts w:ascii="Arial" w:hAnsi="Arial" w:cs="Arial"/>
          <w:sz w:val="22"/>
          <w:szCs w:val="22"/>
        </w:rPr>
        <w:t xml:space="preserve"> </w:t>
      </w:r>
      <w:r w:rsidRPr="00AA6417">
        <w:rPr>
          <w:rFonts w:ascii="Arial" w:hAnsi="Arial" w:cs="Arial"/>
          <w:sz w:val="22"/>
          <w:szCs w:val="22"/>
        </w:rPr>
        <w:t xml:space="preserve">stanovení některých regulovaných cen metodu </w:t>
      </w:r>
      <w:proofErr w:type="spellStart"/>
      <w:r w:rsidRPr="00AA6417">
        <w:rPr>
          <w:rFonts w:ascii="Arial" w:hAnsi="Arial" w:cs="Arial"/>
          <w:sz w:val="22"/>
          <w:szCs w:val="22"/>
        </w:rPr>
        <w:t>pure</w:t>
      </w:r>
      <w:proofErr w:type="spellEnd"/>
      <w:r w:rsidRPr="00AA6417">
        <w:rPr>
          <w:rFonts w:ascii="Arial" w:hAnsi="Arial" w:cs="Arial"/>
          <w:sz w:val="22"/>
          <w:szCs w:val="22"/>
        </w:rPr>
        <w:t xml:space="preserve"> LRIC, stanovil nově</w:t>
      </w:r>
      <w:r w:rsidR="0047095F">
        <w:rPr>
          <w:rFonts w:ascii="Arial" w:hAnsi="Arial" w:cs="Arial"/>
          <w:sz w:val="22"/>
          <w:szCs w:val="22"/>
        </w:rPr>
        <w:t xml:space="preserve"> v </w:t>
      </w:r>
      <w:r w:rsidRPr="00AA6417">
        <w:rPr>
          <w:rFonts w:ascii="Arial" w:hAnsi="Arial" w:cs="Arial"/>
          <w:sz w:val="22"/>
          <w:szCs w:val="22"/>
        </w:rPr>
        <w:t xml:space="preserve">odstavci </w:t>
      </w:r>
      <w:r w:rsidR="001C19DC" w:rsidRPr="00AA6417">
        <w:rPr>
          <w:rFonts w:ascii="Arial" w:hAnsi="Arial" w:cs="Arial"/>
          <w:sz w:val="22"/>
          <w:szCs w:val="22"/>
        </w:rPr>
        <w:t>9</w:t>
      </w:r>
      <w:r w:rsidRPr="00AA6417">
        <w:rPr>
          <w:rFonts w:ascii="Arial" w:hAnsi="Arial" w:cs="Arial"/>
          <w:sz w:val="22"/>
          <w:szCs w:val="22"/>
        </w:rPr>
        <w:t xml:space="preserve"> způsob přiřazování společných nákladů. Společné (režijní) náklady se</w:t>
      </w:r>
      <w:r w:rsidR="0047095F">
        <w:rPr>
          <w:rFonts w:ascii="Arial" w:hAnsi="Arial" w:cs="Arial"/>
          <w:sz w:val="22"/>
          <w:szCs w:val="22"/>
        </w:rPr>
        <w:t xml:space="preserve"> na </w:t>
      </w:r>
      <w:r w:rsidRPr="00AA6417">
        <w:rPr>
          <w:rFonts w:ascii="Arial" w:hAnsi="Arial" w:cs="Arial"/>
          <w:sz w:val="22"/>
          <w:szCs w:val="22"/>
        </w:rPr>
        <w:t>služby</w:t>
      </w:r>
      <w:r w:rsidR="0089366F" w:rsidRPr="00AA6417">
        <w:rPr>
          <w:rFonts w:ascii="Arial" w:hAnsi="Arial" w:cs="Arial"/>
          <w:sz w:val="22"/>
          <w:szCs w:val="22"/>
        </w:rPr>
        <w:t xml:space="preserve">, jejichž ceny jsou stanoveny metodou </w:t>
      </w:r>
      <w:proofErr w:type="spellStart"/>
      <w:r w:rsidR="0089366F" w:rsidRPr="00AA6417">
        <w:rPr>
          <w:rFonts w:ascii="Arial" w:hAnsi="Arial" w:cs="Arial"/>
          <w:sz w:val="22"/>
          <w:szCs w:val="22"/>
        </w:rPr>
        <w:t>pure</w:t>
      </w:r>
      <w:proofErr w:type="spellEnd"/>
      <w:r w:rsidR="0089366F" w:rsidRPr="00AA6417">
        <w:rPr>
          <w:rFonts w:ascii="Arial" w:hAnsi="Arial" w:cs="Arial"/>
          <w:sz w:val="22"/>
          <w:szCs w:val="22"/>
        </w:rPr>
        <w:t xml:space="preserve"> LRIC,</w:t>
      </w:r>
      <w:r w:rsidRPr="00AA6417">
        <w:rPr>
          <w:rFonts w:ascii="Arial" w:hAnsi="Arial" w:cs="Arial"/>
          <w:sz w:val="22"/>
          <w:szCs w:val="22"/>
        </w:rPr>
        <w:t xml:space="preserve"> nepřiřazují.</w:t>
      </w:r>
    </w:p>
    <w:p w:rsidR="005B4190" w:rsidRPr="00AA6417" w:rsidRDefault="005B4190" w:rsidP="005B4190">
      <w:pPr>
        <w:widowControl w:val="0"/>
        <w:autoSpaceDE w:val="0"/>
        <w:autoSpaceDN w:val="0"/>
        <w:adjustRightInd w:val="0"/>
        <w:spacing w:before="240"/>
        <w:ind w:firstLine="828"/>
        <w:jc w:val="both"/>
        <w:rPr>
          <w:rFonts w:ascii="Arial" w:hAnsi="Arial" w:cs="Arial"/>
          <w:sz w:val="22"/>
          <w:szCs w:val="22"/>
        </w:rPr>
      </w:pPr>
      <w:r w:rsidRPr="008F1FBC">
        <w:rPr>
          <w:rFonts w:ascii="Arial" w:hAnsi="Arial" w:cs="Arial"/>
          <w:sz w:val="22"/>
          <w:szCs w:val="22"/>
        </w:rPr>
        <w:t>Metoda MEA</w:t>
      </w:r>
      <w:r w:rsidR="00405731" w:rsidRPr="008F1FBC">
        <w:rPr>
          <w:rFonts w:ascii="Arial" w:hAnsi="Arial" w:cs="Arial"/>
          <w:sz w:val="22"/>
          <w:szCs w:val="22"/>
        </w:rPr>
        <w:t xml:space="preserve"> (</w:t>
      </w:r>
      <w:proofErr w:type="spellStart"/>
      <w:r w:rsidR="00405731" w:rsidRPr="008F1FBC">
        <w:rPr>
          <w:rFonts w:ascii="Arial" w:hAnsi="Arial" w:cs="Arial"/>
          <w:sz w:val="22"/>
          <w:szCs w:val="22"/>
        </w:rPr>
        <w:t>Modern</w:t>
      </w:r>
      <w:proofErr w:type="spellEnd"/>
      <w:r w:rsidR="00405731" w:rsidRPr="008F1FBC">
        <w:rPr>
          <w:rFonts w:ascii="Arial" w:hAnsi="Arial" w:cs="Arial"/>
          <w:sz w:val="22"/>
          <w:szCs w:val="22"/>
        </w:rPr>
        <w:t xml:space="preserve"> </w:t>
      </w:r>
      <w:proofErr w:type="spellStart"/>
      <w:r w:rsidR="00405731" w:rsidRPr="008F1FBC">
        <w:rPr>
          <w:rFonts w:ascii="Arial" w:hAnsi="Arial" w:cs="Arial"/>
          <w:sz w:val="22"/>
          <w:szCs w:val="22"/>
        </w:rPr>
        <w:t>Equivalent</w:t>
      </w:r>
      <w:proofErr w:type="spellEnd"/>
      <w:r w:rsidR="00405731" w:rsidRPr="008F1FBC">
        <w:rPr>
          <w:rFonts w:ascii="Arial" w:hAnsi="Arial" w:cs="Arial"/>
          <w:sz w:val="22"/>
          <w:szCs w:val="22"/>
        </w:rPr>
        <w:t xml:space="preserve"> Asset) </w:t>
      </w:r>
      <w:r w:rsidRPr="008F1FBC">
        <w:rPr>
          <w:rFonts w:ascii="Arial" w:hAnsi="Arial" w:cs="Arial"/>
          <w:sz w:val="22"/>
          <w:szCs w:val="22"/>
        </w:rPr>
        <w:t xml:space="preserve"> spočívá v tom, že prvky sítě, které jsou zastaralé, jsou oceňovány prostřednictvím běžné pořizovací ceny srovnatelného dlouhodobého hmotného nebo nehmotného majetku. Příkladem použití metody MEA může být Nákladový model LRIC pro službu ukončení volání (terminace) ve veřejné telefonní síti v pevném místě, který je založen technologicky a topologicky na principech sítí NGN (</w:t>
      </w:r>
      <w:proofErr w:type="spellStart"/>
      <w:r w:rsidRPr="008F1FBC">
        <w:rPr>
          <w:rFonts w:ascii="Arial" w:hAnsi="Arial" w:cs="Arial"/>
          <w:sz w:val="22"/>
          <w:szCs w:val="22"/>
        </w:rPr>
        <w:t>N</w:t>
      </w:r>
      <w:r w:rsidR="0041340A" w:rsidRPr="008F1FBC">
        <w:rPr>
          <w:rFonts w:ascii="Arial" w:hAnsi="Arial" w:cs="Arial"/>
          <w:sz w:val="22"/>
          <w:szCs w:val="22"/>
        </w:rPr>
        <w:t>ext</w:t>
      </w:r>
      <w:proofErr w:type="spellEnd"/>
      <w:r w:rsidR="0041340A" w:rsidRPr="008F1FBC">
        <w:rPr>
          <w:rFonts w:ascii="Arial" w:hAnsi="Arial" w:cs="Arial"/>
          <w:sz w:val="22"/>
          <w:szCs w:val="22"/>
        </w:rPr>
        <w:t xml:space="preserve"> </w:t>
      </w:r>
      <w:proofErr w:type="spellStart"/>
      <w:r w:rsidR="0041340A" w:rsidRPr="008F1FBC">
        <w:rPr>
          <w:rFonts w:ascii="Arial" w:hAnsi="Arial" w:cs="Arial"/>
          <w:sz w:val="22"/>
          <w:szCs w:val="22"/>
        </w:rPr>
        <w:t>Generation</w:t>
      </w:r>
      <w:proofErr w:type="spellEnd"/>
      <w:r w:rsidR="0041340A" w:rsidRPr="008F1FBC">
        <w:rPr>
          <w:rFonts w:ascii="Arial" w:hAnsi="Arial" w:cs="Arial"/>
          <w:sz w:val="22"/>
          <w:szCs w:val="22"/>
        </w:rPr>
        <w:t xml:space="preserve"> Network). Dalším</w:t>
      </w:r>
      <w:r w:rsidRPr="008F1FBC">
        <w:rPr>
          <w:rFonts w:ascii="Arial" w:hAnsi="Arial" w:cs="Arial"/>
          <w:sz w:val="22"/>
          <w:szCs w:val="22"/>
        </w:rPr>
        <w:t xml:space="preserve"> příkladem může být využití optických kabelů místo kabelů měděných v Nákladovém modelu velkoobchodního (fyzického) přístupu k infrastruktuře sítě (včetně sdíleného nebo plného zpřístupnění účastnického vedení) v pevném místě, velkoobchodního širokopásmového přístupu v sítích elektronických komunikací a souvisejícího maloobchodního trhu.</w:t>
      </w:r>
    </w:p>
    <w:p w:rsidR="00242A0C" w:rsidRDefault="00242A0C" w:rsidP="00254DDB">
      <w:pPr>
        <w:widowControl w:val="0"/>
        <w:autoSpaceDE w:val="0"/>
        <w:autoSpaceDN w:val="0"/>
        <w:adjustRightInd w:val="0"/>
        <w:spacing w:before="240" w:after="120"/>
        <w:ind w:firstLine="828"/>
        <w:jc w:val="both"/>
        <w:rPr>
          <w:rFonts w:ascii="Arial" w:hAnsi="Arial" w:cs="Arial"/>
          <w:sz w:val="22"/>
          <w:szCs w:val="22"/>
        </w:rPr>
      </w:pPr>
      <w:r w:rsidRPr="00AA6417">
        <w:rPr>
          <w:rFonts w:ascii="Arial" w:hAnsi="Arial" w:cs="Arial"/>
          <w:sz w:val="22"/>
          <w:szCs w:val="22"/>
        </w:rPr>
        <w:t xml:space="preserve">Článek </w:t>
      </w:r>
      <w:r w:rsidR="001C19DC" w:rsidRPr="00AA6417">
        <w:rPr>
          <w:rFonts w:ascii="Arial" w:hAnsi="Arial" w:cs="Arial"/>
          <w:sz w:val="22"/>
          <w:szCs w:val="22"/>
        </w:rPr>
        <w:t>5</w:t>
      </w:r>
      <w:r w:rsidRPr="00AA6417">
        <w:rPr>
          <w:rFonts w:ascii="Arial" w:hAnsi="Arial" w:cs="Arial"/>
          <w:sz w:val="22"/>
          <w:szCs w:val="22"/>
        </w:rPr>
        <w:t xml:space="preserve"> </w:t>
      </w:r>
      <w:r w:rsidRPr="007C0B5A">
        <w:rPr>
          <w:rFonts w:ascii="Arial" w:hAnsi="Arial" w:cs="Arial"/>
          <w:sz w:val="22"/>
          <w:szCs w:val="22"/>
        </w:rPr>
        <w:t>uv</w:t>
      </w:r>
      <w:r w:rsidRPr="00AA6417">
        <w:rPr>
          <w:rFonts w:ascii="Arial" w:hAnsi="Arial" w:cs="Arial"/>
          <w:sz w:val="22"/>
          <w:szCs w:val="22"/>
        </w:rPr>
        <w:t>ádí postup výp</w:t>
      </w:r>
      <w:r w:rsidRPr="007C0B5A">
        <w:rPr>
          <w:rFonts w:ascii="Arial" w:hAnsi="Arial" w:cs="Arial"/>
          <w:sz w:val="22"/>
          <w:szCs w:val="22"/>
        </w:rPr>
        <w:t>oč</w:t>
      </w:r>
      <w:r w:rsidRPr="00AA6417">
        <w:rPr>
          <w:rFonts w:ascii="Arial" w:hAnsi="Arial" w:cs="Arial"/>
          <w:sz w:val="22"/>
          <w:szCs w:val="22"/>
        </w:rPr>
        <w:t xml:space="preserve">tu </w:t>
      </w:r>
      <w:r w:rsidRPr="007C0B5A">
        <w:rPr>
          <w:rFonts w:ascii="Arial" w:hAnsi="Arial" w:cs="Arial"/>
          <w:sz w:val="22"/>
          <w:szCs w:val="22"/>
        </w:rPr>
        <w:t>n</w:t>
      </w:r>
      <w:r w:rsidRPr="00AA6417">
        <w:rPr>
          <w:rFonts w:ascii="Arial" w:hAnsi="Arial" w:cs="Arial"/>
          <w:sz w:val="22"/>
          <w:szCs w:val="22"/>
        </w:rPr>
        <w:t>ákladů vloženého kapi</w:t>
      </w:r>
      <w:r w:rsidRPr="007C0B5A">
        <w:rPr>
          <w:rFonts w:ascii="Arial" w:hAnsi="Arial" w:cs="Arial"/>
          <w:sz w:val="22"/>
          <w:szCs w:val="22"/>
        </w:rPr>
        <w:t>t</w:t>
      </w:r>
      <w:r w:rsidRPr="00AA6417">
        <w:rPr>
          <w:rFonts w:ascii="Arial" w:hAnsi="Arial" w:cs="Arial"/>
          <w:sz w:val="22"/>
          <w:szCs w:val="22"/>
        </w:rPr>
        <w:t>álu</w:t>
      </w:r>
      <w:r w:rsidRPr="007C0B5A">
        <w:rPr>
          <w:rFonts w:ascii="Arial" w:hAnsi="Arial" w:cs="Arial"/>
          <w:sz w:val="22"/>
          <w:szCs w:val="22"/>
        </w:rPr>
        <w:t xml:space="preserve"> s</w:t>
      </w:r>
      <w:r w:rsidR="00546E0E" w:rsidRPr="007C0B5A">
        <w:rPr>
          <w:rFonts w:ascii="Arial" w:hAnsi="Arial" w:cs="Arial"/>
          <w:sz w:val="22"/>
          <w:szCs w:val="22"/>
        </w:rPr>
        <w:t xml:space="preserve"> </w:t>
      </w:r>
      <w:r w:rsidRPr="00AA6417">
        <w:rPr>
          <w:rFonts w:ascii="Arial" w:hAnsi="Arial" w:cs="Arial"/>
          <w:sz w:val="22"/>
          <w:szCs w:val="22"/>
        </w:rPr>
        <w:t>po</w:t>
      </w:r>
      <w:r w:rsidRPr="007C0B5A">
        <w:rPr>
          <w:rFonts w:ascii="Arial" w:hAnsi="Arial" w:cs="Arial"/>
          <w:sz w:val="22"/>
          <w:szCs w:val="22"/>
        </w:rPr>
        <w:t>u</w:t>
      </w:r>
      <w:r w:rsidRPr="00AA6417">
        <w:rPr>
          <w:rFonts w:ascii="Arial" w:hAnsi="Arial" w:cs="Arial"/>
          <w:sz w:val="22"/>
          <w:szCs w:val="22"/>
        </w:rPr>
        <w:t>ži</w:t>
      </w:r>
      <w:r w:rsidRPr="007C0B5A">
        <w:rPr>
          <w:rFonts w:ascii="Arial" w:hAnsi="Arial" w:cs="Arial"/>
          <w:sz w:val="22"/>
          <w:szCs w:val="22"/>
        </w:rPr>
        <w:t>t</w:t>
      </w:r>
      <w:r w:rsidRPr="00AA6417">
        <w:rPr>
          <w:rFonts w:ascii="Arial" w:hAnsi="Arial" w:cs="Arial"/>
          <w:sz w:val="22"/>
          <w:szCs w:val="22"/>
        </w:rPr>
        <w:t>ím procenta návratnosti</w:t>
      </w:r>
      <w:r w:rsidRPr="007C0B5A">
        <w:rPr>
          <w:rFonts w:ascii="Arial" w:hAnsi="Arial" w:cs="Arial"/>
          <w:sz w:val="22"/>
          <w:szCs w:val="22"/>
        </w:rPr>
        <w:t xml:space="preserve"> </w:t>
      </w:r>
      <w:r w:rsidRPr="00AA6417">
        <w:rPr>
          <w:rFonts w:ascii="Arial" w:hAnsi="Arial" w:cs="Arial"/>
          <w:sz w:val="22"/>
          <w:szCs w:val="22"/>
        </w:rPr>
        <w:t>vloženého</w:t>
      </w:r>
      <w:r w:rsidRPr="007C0B5A">
        <w:rPr>
          <w:rFonts w:ascii="Arial" w:hAnsi="Arial" w:cs="Arial"/>
          <w:sz w:val="22"/>
          <w:szCs w:val="22"/>
        </w:rPr>
        <w:t xml:space="preserve"> </w:t>
      </w:r>
      <w:r w:rsidRPr="00AA6417">
        <w:rPr>
          <w:rFonts w:ascii="Arial" w:hAnsi="Arial" w:cs="Arial"/>
          <w:sz w:val="22"/>
          <w:szCs w:val="22"/>
        </w:rPr>
        <w:t>kapitálu</w:t>
      </w:r>
      <w:r w:rsidRPr="007C0B5A">
        <w:rPr>
          <w:rFonts w:ascii="Arial" w:hAnsi="Arial" w:cs="Arial"/>
          <w:sz w:val="22"/>
          <w:szCs w:val="22"/>
        </w:rPr>
        <w:t xml:space="preserve"> </w:t>
      </w:r>
      <w:r w:rsidRPr="00AA6417">
        <w:rPr>
          <w:rFonts w:ascii="Arial" w:hAnsi="Arial" w:cs="Arial"/>
          <w:sz w:val="22"/>
          <w:szCs w:val="22"/>
        </w:rPr>
        <w:t>před</w:t>
      </w:r>
      <w:r w:rsidR="00546E0E" w:rsidRPr="007C0B5A">
        <w:rPr>
          <w:rFonts w:ascii="Arial" w:hAnsi="Arial" w:cs="Arial"/>
          <w:sz w:val="22"/>
          <w:szCs w:val="22"/>
        </w:rPr>
        <w:t xml:space="preserve"> </w:t>
      </w:r>
      <w:r w:rsidRPr="00AA6417">
        <w:rPr>
          <w:rFonts w:ascii="Arial" w:hAnsi="Arial" w:cs="Arial"/>
          <w:sz w:val="22"/>
          <w:szCs w:val="22"/>
        </w:rPr>
        <w:t>zda</w:t>
      </w:r>
      <w:r w:rsidRPr="007C0B5A">
        <w:rPr>
          <w:rFonts w:ascii="Arial" w:hAnsi="Arial" w:cs="Arial"/>
          <w:sz w:val="22"/>
          <w:szCs w:val="22"/>
        </w:rPr>
        <w:t>n</w:t>
      </w:r>
      <w:r w:rsidRPr="00AA6417">
        <w:rPr>
          <w:rFonts w:ascii="Arial" w:hAnsi="Arial" w:cs="Arial"/>
          <w:sz w:val="22"/>
          <w:szCs w:val="22"/>
        </w:rPr>
        <w:t>ěním</w:t>
      </w:r>
      <w:r w:rsidRPr="007C0B5A">
        <w:rPr>
          <w:rFonts w:ascii="Arial" w:hAnsi="Arial" w:cs="Arial"/>
          <w:sz w:val="22"/>
          <w:szCs w:val="22"/>
        </w:rPr>
        <w:t xml:space="preserve"> </w:t>
      </w:r>
      <w:r w:rsidRPr="00AA6417">
        <w:rPr>
          <w:rFonts w:ascii="Arial" w:hAnsi="Arial" w:cs="Arial"/>
          <w:sz w:val="22"/>
          <w:szCs w:val="22"/>
        </w:rPr>
        <w:t>WACC,</w:t>
      </w:r>
      <w:r w:rsidRPr="007C0B5A">
        <w:rPr>
          <w:rFonts w:ascii="Arial" w:hAnsi="Arial" w:cs="Arial"/>
          <w:sz w:val="22"/>
          <w:szCs w:val="22"/>
        </w:rPr>
        <w:t xml:space="preserve"> </w:t>
      </w:r>
      <w:r w:rsidRPr="00AA6417">
        <w:rPr>
          <w:rFonts w:ascii="Arial" w:hAnsi="Arial" w:cs="Arial"/>
          <w:sz w:val="22"/>
          <w:szCs w:val="22"/>
        </w:rPr>
        <w:t>který</w:t>
      </w:r>
      <w:r w:rsidRPr="007C0B5A">
        <w:rPr>
          <w:rFonts w:ascii="Arial" w:hAnsi="Arial" w:cs="Arial"/>
          <w:sz w:val="22"/>
          <w:szCs w:val="22"/>
        </w:rPr>
        <w:t xml:space="preserve"> </w:t>
      </w:r>
      <w:r w:rsidRPr="00AA6417">
        <w:rPr>
          <w:rFonts w:ascii="Arial" w:hAnsi="Arial" w:cs="Arial"/>
          <w:sz w:val="22"/>
          <w:szCs w:val="22"/>
        </w:rPr>
        <w:t>je</w:t>
      </w:r>
      <w:r w:rsidR="0047095F" w:rsidRPr="007C0B5A">
        <w:rPr>
          <w:rFonts w:ascii="Arial" w:hAnsi="Arial" w:cs="Arial"/>
          <w:sz w:val="22"/>
          <w:szCs w:val="22"/>
        </w:rPr>
        <w:t xml:space="preserve"> v </w:t>
      </w:r>
      <w:r w:rsidRPr="00AA6417">
        <w:rPr>
          <w:rFonts w:ascii="Arial" w:hAnsi="Arial" w:cs="Arial"/>
          <w:sz w:val="22"/>
          <w:szCs w:val="22"/>
        </w:rPr>
        <w:t>souladu</w:t>
      </w:r>
      <w:r w:rsidRPr="007C0B5A">
        <w:rPr>
          <w:rFonts w:ascii="Arial" w:hAnsi="Arial" w:cs="Arial"/>
          <w:sz w:val="22"/>
          <w:szCs w:val="22"/>
        </w:rPr>
        <w:t xml:space="preserve"> s</w:t>
      </w:r>
      <w:r w:rsidR="00546E0E" w:rsidRPr="007C0B5A">
        <w:rPr>
          <w:rFonts w:ascii="Arial" w:hAnsi="Arial" w:cs="Arial"/>
          <w:sz w:val="22"/>
          <w:szCs w:val="22"/>
        </w:rPr>
        <w:t xml:space="preserve"> </w:t>
      </w:r>
      <w:r w:rsidRPr="00AA6417">
        <w:rPr>
          <w:rFonts w:ascii="Arial" w:hAnsi="Arial" w:cs="Arial"/>
          <w:sz w:val="22"/>
          <w:szCs w:val="22"/>
        </w:rPr>
        <w:t>obec</w:t>
      </w:r>
      <w:r w:rsidRPr="007C0B5A">
        <w:rPr>
          <w:rFonts w:ascii="Arial" w:hAnsi="Arial" w:cs="Arial"/>
          <w:sz w:val="22"/>
          <w:szCs w:val="22"/>
        </w:rPr>
        <w:t>n</w:t>
      </w:r>
      <w:r w:rsidRPr="00AA6417">
        <w:rPr>
          <w:rFonts w:ascii="Arial" w:hAnsi="Arial" w:cs="Arial"/>
          <w:sz w:val="22"/>
          <w:szCs w:val="22"/>
        </w:rPr>
        <w:t>ou</w:t>
      </w:r>
      <w:r w:rsidRPr="007C0B5A">
        <w:rPr>
          <w:rFonts w:ascii="Arial" w:hAnsi="Arial" w:cs="Arial"/>
          <w:sz w:val="22"/>
          <w:szCs w:val="22"/>
        </w:rPr>
        <w:t xml:space="preserve"> praxí</w:t>
      </w:r>
      <w:r w:rsidR="0047095F" w:rsidRPr="007C0B5A">
        <w:rPr>
          <w:rFonts w:ascii="Arial" w:hAnsi="Arial" w:cs="Arial"/>
          <w:sz w:val="22"/>
          <w:szCs w:val="22"/>
        </w:rPr>
        <w:t xml:space="preserve"> v </w:t>
      </w:r>
      <w:r w:rsidRPr="00AA6417">
        <w:rPr>
          <w:rFonts w:ascii="Arial" w:hAnsi="Arial" w:cs="Arial"/>
          <w:sz w:val="22"/>
          <w:szCs w:val="22"/>
        </w:rPr>
        <w:t>odvět</w:t>
      </w:r>
      <w:r w:rsidRPr="007C0B5A">
        <w:rPr>
          <w:rFonts w:ascii="Arial" w:hAnsi="Arial" w:cs="Arial"/>
          <w:sz w:val="22"/>
          <w:szCs w:val="22"/>
        </w:rPr>
        <w:t>v</w:t>
      </w:r>
      <w:r w:rsidRPr="00AA6417">
        <w:rPr>
          <w:rFonts w:ascii="Arial" w:hAnsi="Arial" w:cs="Arial"/>
          <w:sz w:val="22"/>
          <w:szCs w:val="22"/>
        </w:rPr>
        <w:t>í</w:t>
      </w:r>
      <w:r w:rsidRPr="007C0B5A">
        <w:rPr>
          <w:rFonts w:ascii="Arial" w:hAnsi="Arial" w:cs="Arial"/>
          <w:sz w:val="22"/>
          <w:szCs w:val="22"/>
        </w:rPr>
        <w:t xml:space="preserve"> </w:t>
      </w:r>
      <w:r w:rsidRPr="00AA6417">
        <w:rPr>
          <w:rFonts w:ascii="Arial" w:hAnsi="Arial" w:cs="Arial"/>
          <w:sz w:val="22"/>
          <w:szCs w:val="22"/>
        </w:rPr>
        <w:t>elektronic</w:t>
      </w:r>
      <w:r w:rsidRPr="007C0B5A">
        <w:rPr>
          <w:rFonts w:ascii="Arial" w:hAnsi="Arial" w:cs="Arial"/>
          <w:sz w:val="22"/>
          <w:szCs w:val="22"/>
        </w:rPr>
        <w:t>k</w:t>
      </w:r>
      <w:r w:rsidRPr="00AA6417">
        <w:rPr>
          <w:rFonts w:ascii="Arial" w:hAnsi="Arial" w:cs="Arial"/>
          <w:sz w:val="22"/>
          <w:szCs w:val="22"/>
        </w:rPr>
        <w:t>ých</w:t>
      </w:r>
      <w:r w:rsidRPr="007C0B5A">
        <w:rPr>
          <w:rFonts w:ascii="Arial" w:hAnsi="Arial" w:cs="Arial"/>
          <w:sz w:val="22"/>
          <w:szCs w:val="22"/>
        </w:rPr>
        <w:t xml:space="preserve"> </w:t>
      </w:r>
      <w:r w:rsidRPr="00AA6417">
        <w:rPr>
          <w:rFonts w:ascii="Arial" w:hAnsi="Arial" w:cs="Arial"/>
          <w:sz w:val="22"/>
          <w:szCs w:val="22"/>
        </w:rPr>
        <w:t>komunikac</w:t>
      </w:r>
      <w:r w:rsidRPr="007C0B5A">
        <w:rPr>
          <w:rFonts w:ascii="Arial" w:hAnsi="Arial" w:cs="Arial"/>
          <w:sz w:val="22"/>
          <w:szCs w:val="22"/>
        </w:rPr>
        <w:t>í</w:t>
      </w:r>
      <w:r w:rsidRPr="00AA6417">
        <w:rPr>
          <w:rFonts w:ascii="Arial" w:hAnsi="Arial" w:cs="Arial"/>
          <w:sz w:val="22"/>
          <w:szCs w:val="22"/>
        </w:rPr>
        <w:t>.</w:t>
      </w:r>
      <w:r w:rsidR="0047095F" w:rsidRPr="007C0B5A">
        <w:rPr>
          <w:rFonts w:ascii="Arial" w:hAnsi="Arial" w:cs="Arial"/>
          <w:sz w:val="22"/>
          <w:szCs w:val="22"/>
        </w:rPr>
        <w:t xml:space="preserve"> </w:t>
      </w:r>
      <w:r w:rsidR="007C0B5A">
        <w:rPr>
          <w:rFonts w:ascii="Arial" w:hAnsi="Arial" w:cs="Arial"/>
          <w:sz w:val="22"/>
          <w:szCs w:val="22"/>
        </w:rPr>
        <w:t>V</w:t>
      </w:r>
      <w:r w:rsidR="0047095F" w:rsidRPr="007C0B5A">
        <w:rPr>
          <w:rFonts w:ascii="Arial" w:hAnsi="Arial" w:cs="Arial"/>
          <w:sz w:val="22"/>
          <w:szCs w:val="22"/>
        </w:rPr>
        <w:t> </w:t>
      </w:r>
      <w:r w:rsidRPr="007C0B5A">
        <w:rPr>
          <w:rFonts w:ascii="Arial" w:hAnsi="Arial" w:cs="Arial"/>
          <w:sz w:val="22"/>
          <w:szCs w:val="22"/>
        </w:rPr>
        <w:t>č</w:t>
      </w:r>
      <w:r w:rsidRPr="00AA6417">
        <w:rPr>
          <w:rFonts w:ascii="Arial" w:hAnsi="Arial" w:cs="Arial"/>
          <w:sz w:val="22"/>
          <w:szCs w:val="22"/>
        </w:rPr>
        <w:t>lánku</w:t>
      </w:r>
      <w:r w:rsidRPr="007C0B5A">
        <w:rPr>
          <w:rFonts w:ascii="Arial" w:hAnsi="Arial" w:cs="Arial"/>
          <w:sz w:val="22"/>
          <w:szCs w:val="22"/>
        </w:rPr>
        <w:t xml:space="preserve"> </w:t>
      </w:r>
      <w:r w:rsidRPr="00AA6417">
        <w:rPr>
          <w:rFonts w:ascii="Arial" w:hAnsi="Arial" w:cs="Arial"/>
          <w:sz w:val="22"/>
          <w:szCs w:val="22"/>
        </w:rPr>
        <w:t>je</w:t>
      </w:r>
      <w:r w:rsidRPr="007C0B5A">
        <w:rPr>
          <w:rFonts w:ascii="Arial" w:hAnsi="Arial" w:cs="Arial"/>
          <w:sz w:val="22"/>
          <w:szCs w:val="22"/>
        </w:rPr>
        <w:t xml:space="preserve"> </w:t>
      </w:r>
      <w:r w:rsidRPr="00AA6417">
        <w:rPr>
          <w:rFonts w:ascii="Arial" w:hAnsi="Arial" w:cs="Arial"/>
          <w:sz w:val="22"/>
          <w:szCs w:val="22"/>
        </w:rPr>
        <w:t>stanovena</w:t>
      </w:r>
      <w:r w:rsidRPr="007C0B5A">
        <w:rPr>
          <w:rFonts w:ascii="Arial" w:hAnsi="Arial" w:cs="Arial"/>
          <w:sz w:val="22"/>
          <w:szCs w:val="22"/>
        </w:rPr>
        <w:t xml:space="preserve"> </w:t>
      </w:r>
      <w:r w:rsidRPr="00AA6417">
        <w:rPr>
          <w:rFonts w:ascii="Arial" w:hAnsi="Arial" w:cs="Arial"/>
          <w:sz w:val="22"/>
          <w:szCs w:val="22"/>
        </w:rPr>
        <w:t>hodnota</w:t>
      </w:r>
      <w:r w:rsidRPr="007C0B5A">
        <w:rPr>
          <w:rFonts w:ascii="Arial" w:hAnsi="Arial" w:cs="Arial"/>
          <w:sz w:val="22"/>
          <w:szCs w:val="22"/>
        </w:rPr>
        <w:t xml:space="preserve"> </w:t>
      </w:r>
      <w:r w:rsidRPr="00AA6417">
        <w:rPr>
          <w:rFonts w:ascii="Arial" w:hAnsi="Arial" w:cs="Arial"/>
          <w:sz w:val="22"/>
          <w:szCs w:val="22"/>
        </w:rPr>
        <w:t>WACC</w:t>
      </w:r>
      <w:r w:rsidRPr="007C0B5A">
        <w:rPr>
          <w:rFonts w:ascii="Arial" w:hAnsi="Arial" w:cs="Arial"/>
          <w:sz w:val="22"/>
          <w:szCs w:val="22"/>
        </w:rPr>
        <w:t xml:space="preserve"> pro</w:t>
      </w:r>
      <w:r w:rsidR="0047095F" w:rsidRPr="007C0B5A">
        <w:rPr>
          <w:rFonts w:ascii="Arial" w:hAnsi="Arial" w:cs="Arial"/>
          <w:sz w:val="22"/>
          <w:szCs w:val="22"/>
        </w:rPr>
        <w:t> </w:t>
      </w:r>
      <w:r w:rsidRPr="00AA6417">
        <w:rPr>
          <w:rFonts w:ascii="Arial" w:hAnsi="Arial" w:cs="Arial"/>
          <w:sz w:val="22"/>
          <w:szCs w:val="22"/>
        </w:rPr>
        <w:t xml:space="preserve">podnikatelský subjekt </w:t>
      </w:r>
      <w:r w:rsidRPr="007C0B5A">
        <w:rPr>
          <w:rFonts w:ascii="Arial" w:hAnsi="Arial" w:cs="Arial"/>
          <w:sz w:val="22"/>
          <w:szCs w:val="22"/>
        </w:rPr>
        <w:t>zajišťující sítě elektronických komunikací nebo poskytující veřejně dostupnou službu elektronických komunikací, a</w:t>
      </w:r>
      <w:r w:rsidR="00546E0E" w:rsidRPr="007C0B5A">
        <w:rPr>
          <w:rFonts w:ascii="Arial" w:hAnsi="Arial" w:cs="Arial"/>
          <w:sz w:val="22"/>
          <w:szCs w:val="22"/>
        </w:rPr>
        <w:t xml:space="preserve"> </w:t>
      </w:r>
      <w:r w:rsidRPr="007C0B5A">
        <w:rPr>
          <w:rFonts w:ascii="Arial" w:hAnsi="Arial" w:cs="Arial"/>
          <w:sz w:val="22"/>
          <w:szCs w:val="22"/>
        </w:rPr>
        <w:t>to</w:t>
      </w:r>
      <w:r w:rsidRPr="00AA6417">
        <w:rPr>
          <w:rFonts w:ascii="Arial" w:hAnsi="Arial" w:cs="Arial"/>
          <w:sz w:val="22"/>
          <w:szCs w:val="22"/>
        </w:rPr>
        <w:t xml:space="preserve"> jednotně pro</w:t>
      </w:r>
      <w:r w:rsidR="00546E0E" w:rsidRPr="00AA6417">
        <w:rPr>
          <w:rFonts w:ascii="Arial" w:hAnsi="Arial" w:cs="Arial"/>
          <w:sz w:val="22"/>
          <w:szCs w:val="22"/>
        </w:rPr>
        <w:t xml:space="preserve"> </w:t>
      </w:r>
      <w:r w:rsidRPr="00AA6417">
        <w:rPr>
          <w:rFonts w:ascii="Arial" w:hAnsi="Arial" w:cs="Arial"/>
          <w:sz w:val="22"/>
          <w:szCs w:val="22"/>
        </w:rPr>
        <w:t>pevné</w:t>
      </w:r>
      <w:r w:rsidRPr="007C0B5A">
        <w:rPr>
          <w:rFonts w:ascii="Arial" w:hAnsi="Arial" w:cs="Arial"/>
          <w:sz w:val="22"/>
          <w:szCs w:val="22"/>
        </w:rPr>
        <w:t xml:space="preserve"> </w:t>
      </w:r>
      <w:r w:rsidR="00546E0E" w:rsidRPr="007C0B5A">
        <w:rPr>
          <w:rFonts w:ascii="Arial" w:hAnsi="Arial" w:cs="Arial"/>
          <w:sz w:val="22"/>
          <w:szCs w:val="22"/>
        </w:rPr>
        <w:br/>
      </w:r>
      <w:r w:rsidRPr="007C0B5A">
        <w:rPr>
          <w:rFonts w:ascii="Arial" w:hAnsi="Arial" w:cs="Arial"/>
          <w:sz w:val="22"/>
          <w:szCs w:val="22"/>
        </w:rPr>
        <w:t>a</w:t>
      </w:r>
      <w:r w:rsidR="00546E0E" w:rsidRPr="007C0B5A">
        <w:rPr>
          <w:rFonts w:ascii="Arial" w:hAnsi="Arial" w:cs="Arial"/>
          <w:sz w:val="22"/>
          <w:szCs w:val="22"/>
        </w:rPr>
        <w:t xml:space="preserve"> </w:t>
      </w:r>
      <w:r w:rsidRPr="00AA6417">
        <w:rPr>
          <w:rFonts w:ascii="Arial" w:hAnsi="Arial" w:cs="Arial"/>
          <w:sz w:val="22"/>
          <w:szCs w:val="22"/>
        </w:rPr>
        <w:t>mobilní</w:t>
      </w:r>
      <w:r w:rsidRPr="007C0B5A">
        <w:rPr>
          <w:rFonts w:ascii="Arial" w:hAnsi="Arial" w:cs="Arial"/>
          <w:sz w:val="22"/>
          <w:szCs w:val="22"/>
        </w:rPr>
        <w:t xml:space="preserve"> </w:t>
      </w:r>
      <w:r w:rsidRPr="00AA6417">
        <w:rPr>
          <w:rFonts w:ascii="Arial" w:hAnsi="Arial" w:cs="Arial"/>
          <w:sz w:val="22"/>
          <w:szCs w:val="22"/>
        </w:rPr>
        <w:t>v</w:t>
      </w:r>
      <w:r w:rsidRPr="007C0B5A">
        <w:rPr>
          <w:rFonts w:ascii="Arial" w:hAnsi="Arial" w:cs="Arial"/>
          <w:sz w:val="22"/>
          <w:szCs w:val="22"/>
        </w:rPr>
        <w:t>e</w:t>
      </w:r>
      <w:r w:rsidRPr="00AA6417">
        <w:rPr>
          <w:rFonts w:ascii="Arial" w:hAnsi="Arial" w:cs="Arial"/>
          <w:sz w:val="22"/>
          <w:szCs w:val="22"/>
        </w:rPr>
        <w:t>řejné</w:t>
      </w:r>
      <w:r w:rsidRPr="007C0B5A">
        <w:rPr>
          <w:rFonts w:ascii="Arial" w:hAnsi="Arial" w:cs="Arial"/>
          <w:sz w:val="22"/>
          <w:szCs w:val="22"/>
        </w:rPr>
        <w:t xml:space="preserve"> </w:t>
      </w:r>
      <w:r w:rsidRPr="00AA6417">
        <w:rPr>
          <w:rFonts w:ascii="Arial" w:hAnsi="Arial" w:cs="Arial"/>
          <w:sz w:val="22"/>
          <w:szCs w:val="22"/>
        </w:rPr>
        <w:t>komunika</w:t>
      </w:r>
      <w:r w:rsidRPr="007C0B5A">
        <w:rPr>
          <w:rFonts w:ascii="Arial" w:hAnsi="Arial" w:cs="Arial"/>
          <w:sz w:val="22"/>
          <w:szCs w:val="22"/>
        </w:rPr>
        <w:t>č</w:t>
      </w:r>
      <w:r w:rsidRPr="00AA6417">
        <w:rPr>
          <w:rFonts w:ascii="Arial" w:hAnsi="Arial" w:cs="Arial"/>
          <w:sz w:val="22"/>
          <w:szCs w:val="22"/>
        </w:rPr>
        <w:t>ní sítě. Tento postup odráží probíhající konvergenci sítí a</w:t>
      </w:r>
      <w:r w:rsidR="00546E0E" w:rsidRPr="00AA6417">
        <w:rPr>
          <w:rFonts w:ascii="Arial" w:hAnsi="Arial" w:cs="Arial"/>
          <w:sz w:val="22"/>
          <w:szCs w:val="22"/>
        </w:rPr>
        <w:t xml:space="preserve"> </w:t>
      </w:r>
      <w:r w:rsidRPr="00AA6417">
        <w:rPr>
          <w:rFonts w:ascii="Arial" w:hAnsi="Arial" w:cs="Arial"/>
          <w:sz w:val="22"/>
          <w:szCs w:val="22"/>
        </w:rPr>
        <w:t>služeb elektronických komunikací, která zmenšuje rozdíly</w:t>
      </w:r>
      <w:r w:rsidR="0047095F">
        <w:rPr>
          <w:rFonts w:ascii="Arial" w:hAnsi="Arial" w:cs="Arial"/>
          <w:sz w:val="22"/>
          <w:szCs w:val="22"/>
        </w:rPr>
        <w:t xml:space="preserve"> v </w:t>
      </w:r>
      <w:r w:rsidRPr="00AA6417">
        <w:rPr>
          <w:rFonts w:ascii="Arial" w:hAnsi="Arial" w:cs="Arial"/>
          <w:sz w:val="22"/>
          <w:szCs w:val="22"/>
        </w:rPr>
        <w:t>ekonomických vstupech do</w:t>
      </w:r>
      <w:r w:rsidR="002B5B82" w:rsidRPr="00AA6417">
        <w:rPr>
          <w:rFonts w:ascii="Arial" w:hAnsi="Arial" w:cs="Arial"/>
          <w:sz w:val="22"/>
          <w:szCs w:val="22"/>
        </w:rPr>
        <w:t xml:space="preserve"> </w:t>
      </w:r>
      <w:r w:rsidRPr="00AA6417">
        <w:rPr>
          <w:rFonts w:ascii="Arial" w:hAnsi="Arial" w:cs="Arial"/>
          <w:sz w:val="22"/>
          <w:szCs w:val="22"/>
        </w:rPr>
        <w:t>výpočtu WACC u</w:t>
      </w:r>
      <w:r w:rsidR="002B5B82" w:rsidRPr="00AA6417">
        <w:rPr>
          <w:rFonts w:ascii="Arial" w:hAnsi="Arial" w:cs="Arial"/>
          <w:sz w:val="22"/>
          <w:szCs w:val="22"/>
        </w:rPr>
        <w:t xml:space="preserve"> </w:t>
      </w:r>
      <w:r w:rsidRPr="00AA6417">
        <w:rPr>
          <w:rFonts w:ascii="Arial" w:hAnsi="Arial" w:cs="Arial"/>
          <w:sz w:val="22"/>
          <w:szCs w:val="22"/>
        </w:rPr>
        <w:t>jednotlivých technologií.</w:t>
      </w:r>
    </w:p>
    <w:p w:rsidR="00242A0C" w:rsidRPr="00F3618E" w:rsidRDefault="00242A0C" w:rsidP="00620BB3">
      <w:pPr>
        <w:autoSpaceDE w:val="0"/>
        <w:autoSpaceDN w:val="0"/>
        <w:adjustRightInd w:val="0"/>
        <w:ind w:firstLine="828"/>
        <w:jc w:val="both"/>
        <w:rPr>
          <w:rFonts w:ascii="Arial" w:hAnsi="Arial" w:cs="Arial"/>
          <w:sz w:val="22"/>
          <w:szCs w:val="22"/>
        </w:rPr>
      </w:pPr>
      <w:r w:rsidRPr="00F3618E">
        <w:rPr>
          <w:rFonts w:ascii="Arial" w:hAnsi="Arial" w:cs="Arial"/>
          <w:sz w:val="22"/>
          <w:szCs w:val="22"/>
        </w:rPr>
        <w:t>Hodnota WACC je ovlivňována situací</w:t>
      </w:r>
      <w:r w:rsidR="0047095F">
        <w:rPr>
          <w:rFonts w:ascii="Arial" w:hAnsi="Arial" w:cs="Arial"/>
          <w:sz w:val="22"/>
          <w:szCs w:val="22"/>
        </w:rPr>
        <w:t xml:space="preserve"> na </w:t>
      </w:r>
      <w:r w:rsidRPr="00F3618E">
        <w:rPr>
          <w:rFonts w:ascii="Arial" w:hAnsi="Arial" w:cs="Arial"/>
          <w:sz w:val="22"/>
          <w:szCs w:val="22"/>
        </w:rPr>
        <w:t>kapitálovém trhu.</w:t>
      </w:r>
      <w:r>
        <w:rPr>
          <w:rFonts w:ascii="Arial" w:hAnsi="Arial" w:cs="Arial"/>
          <w:sz w:val="22"/>
          <w:szCs w:val="22"/>
        </w:rPr>
        <w:t xml:space="preserve"> </w:t>
      </w:r>
      <w:r w:rsidR="00454BD8">
        <w:rPr>
          <w:rFonts w:ascii="Arial" w:hAnsi="Arial" w:cs="Arial"/>
          <w:sz w:val="22"/>
          <w:szCs w:val="22"/>
        </w:rPr>
        <w:t>M</w:t>
      </w:r>
      <w:r>
        <w:rPr>
          <w:rFonts w:ascii="Arial" w:hAnsi="Arial" w:cs="Arial"/>
          <w:sz w:val="22"/>
          <w:szCs w:val="22"/>
        </w:rPr>
        <w:t>ezi</w:t>
      </w:r>
      <w:r w:rsidR="00546E0E">
        <w:rPr>
          <w:rFonts w:ascii="Arial" w:hAnsi="Arial" w:cs="Arial"/>
          <w:sz w:val="22"/>
          <w:szCs w:val="22"/>
        </w:rPr>
        <w:t xml:space="preserve"> </w:t>
      </w:r>
      <w:r w:rsidRPr="00F3618E">
        <w:rPr>
          <w:rFonts w:ascii="Arial" w:hAnsi="Arial" w:cs="Arial"/>
          <w:sz w:val="22"/>
          <w:szCs w:val="22"/>
        </w:rPr>
        <w:t>klíčové faktory ovlivňující náklady kapitálu patří např. úrokové sazby nebo ceny akcií, což jsou veličiny měnící se</w:t>
      </w:r>
      <w:r w:rsidR="0047095F">
        <w:rPr>
          <w:rFonts w:ascii="Arial" w:hAnsi="Arial" w:cs="Arial"/>
          <w:sz w:val="22"/>
          <w:szCs w:val="22"/>
        </w:rPr>
        <w:t xml:space="preserve"> v </w:t>
      </w:r>
      <w:r w:rsidR="00546E0E">
        <w:rPr>
          <w:rFonts w:ascii="Arial" w:hAnsi="Arial" w:cs="Arial"/>
          <w:sz w:val="22"/>
          <w:szCs w:val="22"/>
        </w:rPr>
        <w:t xml:space="preserve">čase. Z </w:t>
      </w:r>
      <w:r w:rsidRPr="00F3618E">
        <w:rPr>
          <w:rFonts w:ascii="Arial" w:hAnsi="Arial" w:cs="Arial"/>
          <w:sz w:val="22"/>
          <w:szCs w:val="22"/>
        </w:rPr>
        <w:t>tohoto důvodu je nutná průběžná aktualizace hodnoty ukazatele WACC. Zástupci společností zajišťujících sítě elektronických komunikací měli možnost se</w:t>
      </w:r>
      <w:r>
        <w:rPr>
          <w:rFonts w:ascii="Arial" w:hAnsi="Arial" w:cs="Arial"/>
          <w:sz w:val="22"/>
          <w:szCs w:val="22"/>
        </w:rPr>
        <w:t xml:space="preserve"> </w:t>
      </w:r>
      <w:r w:rsidR="00546E0E">
        <w:rPr>
          <w:rFonts w:ascii="Arial" w:hAnsi="Arial" w:cs="Arial"/>
          <w:sz w:val="22"/>
          <w:szCs w:val="22"/>
        </w:rPr>
        <w:br/>
      </w:r>
      <w:r>
        <w:rPr>
          <w:rFonts w:ascii="Arial" w:hAnsi="Arial" w:cs="Arial"/>
          <w:sz w:val="22"/>
          <w:szCs w:val="22"/>
        </w:rPr>
        <w:t>s</w:t>
      </w:r>
      <w:r w:rsidR="00546E0E">
        <w:rPr>
          <w:rFonts w:ascii="Arial" w:hAnsi="Arial" w:cs="Arial"/>
          <w:sz w:val="22"/>
          <w:szCs w:val="22"/>
        </w:rPr>
        <w:t xml:space="preserve"> </w:t>
      </w:r>
      <w:r w:rsidRPr="00F3618E">
        <w:rPr>
          <w:rFonts w:ascii="Arial" w:hAnsi="Arial" w:cs="Arial"/>
          <w:sz w:val="22"/>
          <w:szCs w:val="22"/>
        </w:rPr>
        <w:t>aktualizovaným výpočtem seznámit</w:t>
      </w:r>
      <w:r w:rsidR="0047095F">
        <w:rPr>
          <w:rFonts w:ascii="Arial" w:hAnsi="Arial" w:cs="Arial"/>
          <w:sz w:val="22"/>
          <w:szCs w:val="22"/>
        </w:rPr>
        <w:t xml:space="preserve"> na </w:t>
      </w:r>
      <w:r w:rsidRPr="00F3618E">
        <w:rPr>
          <w:rFonts w:ascii="Arial" w:hAnsi="Arial" w:cs="Arial"/>
          <w:sz w:val="22"/>
          <w:szCs w:val="22"/>
        </w:rPr>
        <w:t>workshopu pořádaném Úřadem.</w:t>
      </w:r>
    </w:p>
    <w:p w:rsidR="00242A0C" w:rsidRPr="00ED5035" w:rsidRDefault="00242A0C" w:rsidP="00ED5035">
      <w:pPr>
        <w:spacing w:before="240"/>
        <w:ind w:firstLine="828"/>
        <w:rPr>
          <w:rFonts w:ascii="Arial" w:hAnsi="Arial" w:cs="Arial"/>
          <w:sz w:val="22"/>
          <w:szCs w:val="22"/>
        </w:rPr>
      </w:pPr>
      <w:r w:rsidRPr="00F3618E">
        <w:rPr>
          <w:rFonts w:ascii="Arial" w:hAnsi="Arial" w:cs="Arial"/>
          <w:sz w:val="22"/>
          <w:szCs w:val="22"/>
        </w:rPr>
        <w:t>Pro výpočet ukazatele WACC se používá následující vzorec:</w:t>
      </w:r>
    </w:p>
    <w:p w:rsidR="00242A0C" w:rsidRDefault="00242A0C" w:rsidP="00ED5035">
      <w:pPr>
        <w:spacing w:before="240"/>
        <w:ind w:firstLine="709"/>
        <w:jc w:val="center"/>
        <w:rPr>
          <w:rFonts w:cs="Arial"/>
          <w:szCs w:val="22"/>
        </w:rPr>
      </w:pPr>
      <w:r w:rsidRPr="00D528C3">
        <w:rPr>
          <w:rFonts w:cs="Arial"/>
          <w:position w:val="-24"/>
          <w:szCs w:val="22"/>
          <w:lang w:val="pt-BR"/>
        </w:rPr>
        <w:object w:dxaOrig="3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65pt;height:31pt" o:ole="">
            <v:imagedata r:id="rId27" o:title=""/>
          </v:shape>
          <o:OLEObject Type="Embed" ProgID="Equation.3" ShapeID="_x0000_i1025" DrawAspect="Content" ObjectID="_1761381318" r:id="rId28"/>
        </w:object>
      </w:r>
    </w:p>
    <w:p w:rsidR="00242A0C" w:rsidRPr="00F3618E" w:rsidRDefault="00242A0C" w:rsidP="00242A0C">
      <w:pPr>
        <w:rPr>
          <w:rFonts w:ascii="Arial" w:hAnsi="Arial" w:cs="Arial"/>
          <w:sz w:val="22"/>
          <w:szCs w:val="22"/>
        </w:rPr>
      </w:pPr>
      <w:r w:rsidRPr="00F3618E">
        <w:rPr>
          <w:rFonts w:ascii="Arial" w:hAnsi="Arial" w:cs="Arial"/>
          <w:sz w:val="22"/>
          <w:szCs w:val="22"/>
        </w:rPr>
        <w:t>kde:</w:t>
      </w:r>
    </w:p>
    <w:tbl>
      <w:tblPr>
        <w:tblW w:w="0" w:type="auto"/>
        <w:tblInd w:w="340" w:type="dxa"/>
        <w:tblLook w:val="01E0" w:firstRow="1" w:lastRow="1" w:firstColumn="1" w:lastColumn="1" w:noHBand="0" w:noVBand="0"/>
      </w:tblPr>
      <w:tblGrid>
        <w:gridCol w:w="4403"/>
      </w:tblGrid>
      <w:tr w:rsidR="00242A0C" w:rsidRPr="00D528C3" w:rsidTr="00ED3D0B">
        <w:tc>
          <w:tcPr>
            <w:tcW w:w="4403" w:type="dxa"/>
            <w:shd w:val="clear" w:color="auto" w:fill="auto"/>
          </w:tcPr>
          <w:p w:rsidR="00242A0C" w:rsidRPr="00ED3D0B" w:rsidRDefault="00242A0C" w:rsidP="00B32B68">
            <w:pPr>
              <w:pStyle w:val="Seznamsodrkami"/>
              <w:rPr>
                <w:rFonts w:ascii="Arial" w:hAnsi="Arial" w:cs="Arial"/>
                <w:szCs w:val="22"/>
              </w:rPr>
            </w:pPr>
            <w:r w:rsidRPr="00ED3D0B">
              <w:rPr>
                <w:rFonts w:ascii="Arial" w:hAnsi="Arial" w:cs="Arial"/>
                <w:szCs w:val="22"/>
                <w:lang w:val="cs-CZ" w:eastAsia="cs-CZ"/>
              </w:rPr>
              <w:t>r</w:t>
            </w:r>
            <w:r w:rsidRPr="00ED3D0B">
              <w:rPr>
                <w:rFonts w:ascii="Arial" w:hAnsi="Arial" w:cs="Arial"/>
                <w:szCs w:val="22"/>
                <w:vertAlign w:val="subscript"/>
                <w:lang w:val="cs-CZ" w:eastAsia="cs-CZ"/>
              </w:rPr>
              <w:t>e</w:t>
            </w:r>
            <w:r w:rsidRPr="00ED3D0B">
              <w:rPr>
                <w:rFonts w:ascii="Arial" w:hAnsi="Arial" w:cs="Arial"/>
                <w:szCs w:val="22"/>
                <w:lang w:val="cs-CZ" w:eastAsia="cs-CZ"/>
              </w:rPr>
              <w:t xml:space="preserve"> – náklady vlastního kapitálu,</w:t>
            </w:r>
          </w:p>
        </w:tc>
      </w:tr>
      <w:tr w:rsidR="00242A0C" w:rsidRPr="00D528C3" w:rsidTr="00ED3D0B">
        <w:tc>
          <w:tcPr>
            <w:tcW w:w="4403" w:type="dxa"/>
            <w:shd w:val="clear" w:color="auto" w:fill="auto"/>
          </w:tcPr>
          <w:p w:rsidR="00242A0C" w:rsidRPr="00ED3D0B" w:rsidRDefault="00242A0C" w:rsidP="00B32B68">
            <w:pPr>
              <w:pStyle w:val="Seznamsodrkami"/>
              <w:rPr>
                <w:rFonts w:ascii="Arial" w:hAnsi="Arial" w:cs="Arial"/>
                <w:szCs w:val="22"/>
              </w:rPr>
            </w:pPr>
            <w:proofErr w:type="spellStart"/>
            <w:r w:rsidRPr="00ED3D0B">
              <w:rPr>
                <w:rFonts w:ascii="Arial" w:hAnsi="Arial" w:cs="Arial"/>
                <w:szCs w:val="22"/>
              </w:rPr>
              <w:t>r</w:t>
            </w:r>
            <w:r w:rsidRPr="00ED3D0B">
              <w:rPr>
                <w:rFonts w:ascii="Arial" w:hAnsi="Arial" w:cs="Arial"/>
                <w:i/>
                <w:szCs w:val="22"/>
                <w:vertAlign w:val="subscript"/>
              </w:rPr>
              <w:t>d</w:t>
            </w:r>
            <w:proofErr w:type="spellEnd"/>
            <w:r w:rsidRPr="00ED3D0B">
              <w:rPr>
                <w:rFonts w:ascii="Arial" w:hAnsi="Arial" w:cs="Arial"/>
                <w:szCs w:val="22"/>
              </w:rPr>
              <w:t xml:space="preserve"> – náklady cizího kapitálu,</w:t>
            </w:r>
          </w:p>
        </w:tc>
      </w:tr>
      <w:tr w:rsidR="00242A0C" w:rsidRPr="00D528C3" w:rsidTr="00ED3D0B">
        <w:tc>
          <w:tcPr>
            <w:tcW w:w="4403" w:type="dxa"/>
            <w:shd w:val="clear" w:color="auto" w:fill="auto"/>
          </w:tcPr>
          <w:p w:rsidR="00242A0C" w:rsidRPr="00ED3D0B" w:rsidRDefault="00242A0C" w:rsidP="00242A0C">
            <w:pPr>
              <w:pStyle w:val="Seznamsodrkami"/>
              <w:rPr>
                <w:rFonts w:ascii="Arial" w:hAnsi="Arial" w:cs="Arial"/>
                <w:szCs w:val="22"/>
              </w:rPr>
            </w:pPr>
            <w:r w:rsidRPr="00ED3D0B">
              <w:rPr>
                <w:rFonts w:ascii="Arial" w:hAnsi="Arial" w:cs="Arial"/>
                <w:szCs w:val="22"/>
              </w:rPr>
              <w:t>E – objem vlastního kapitálu,</w:t>
            </w:r>
          </w:p>
        </w:tc>
      </w:tr>
      <w:tr w:rsidR="00242A0C" w:rsidRPr="00D528C3" w:rsidTr="00ED3D0B">
        <w:tc>
          <w:tcPr>
            <w:tcW w:w="4403" w:type="dxa"/>
            <w:shd w:val="clear" w:color="auto" w:fill="auto"/>
          </w:tcPr>
          <w:p w:rsidR="00242A0C" w:rsidRPr="00ED3D0B" w:rsidRDefault="00242A0C" w:rsidP="00242A0C">
            <w:pPr>
              <w:pStyle w:val="Seznamsodrkami"/>
              <w:rPr>
                <w:rFonts w:ascii="Arial" w:hAnsi="Arial" w:cs="Arial"/>
                <w:szCs w:val="22"/>
              </w:rPr>
            </w:pPr>
            <w:r w:rsidRPr="00ED3D0B">
              <w:rPr>
                <w:rFonts w:ascii="Arial" w:hAnsi="Arial" w:cs="Arial"/>
                <w:szCs w:val="22"/>
              </w:rPr>
              <w:t>D – objem cizího kapitálu.</w:t>
            </w:r>
          </w:p>
        </w:tc>
      </w:tr>
    </w:tbl>
    <w:p w:rsidR="00242A0C" w:rsidRPr="00BF5888" w:rsidRDefault="00242A0C" w:rsidP="009115E4">
      <w:pPr>
        <w:spacing w:before="120"/>
        <w:jc w:val="both"/>
        <w:rPr>
          <w:rFonts w:ascii="Arial" w:hAnsi="Arial" w:cs="Arial"/>
          <w:sz w:val="22"/>
          <w:szCs w:val="22"/>
        </w:rPr>
      </w:pPr>
      <w:r w:rsidRPr="00BF5888">
        <w:rPr>
          <w:rFonts w:ascii="Arial" w:hAnsi="Arial" w:cs="Arial"/>
          <w:sz w:val="22"/>
          <w:szCs w:val="22"/>
        </w:rPr>
        <w:lastRenderedPageBreak/>
        <w:t>Náklady vlastního kapitálu jsou určeny metodou CAPM (</w:t>
      </w:r>
      <w:proofErr w:type="spellStart"/>
      <w:r w:rsidRPr="00BF5888">
        <w:rPr>
          <w:rFonts w:ascii="Arial" w:hAnsi="Arial" w:cs="Arial"/>
          <w:sz w:val="22"/>
          <w:szCs w:val="22"/>
        </w:rPr>
        <w:t>Capital</w:t>
      </w:r>
      <w:proofErr w:type="spellEnd"/>
      <w:r w:rsidRPr="00BF5888">
        <w:rPr>
          <w:rFonts w:ascii="Arial" w:hAnsi="Arial" w:cs="Arial"/>
          <w:sz w:val="22"/>
          <w:szCs w:val="22"/>
        </w:rPr>
        <w:t xml:space="preserve"> Asset </w:t>
      </w:r>
      <w:proofErr w:type="spellStart"/>
      <w:r w:rsidRPr="00BF5888">
        <w:rPr>
          <w:rFonts w:ascii="Arial" w:hAnsi="Arial" w:cs="Arial"/>
          <w:sz w:val="22"/>
          <w:szCs w:val="22"/>
        </w:rPr>
        <w:t>Pricing</w:t>
      </w:r>
      <w:proofErr w:type="spellEnd"/>
      <w:r w:rsidRPr="00BF5888">
        <w:rPr>
          <w:rFonts w:ascii="Arial" w:hAnsi="Arial" w:cs="Arial"/>
          <w:sz w:val="22"/>
          <w:szCs w:val="22"/>
        </w:rPr>
        <w:t xml:space="preserve"> Model)</w:t>
      </w:r>
      <w:r w:rsidR="0047095F">
        <w:rPr>
          <w:rFonts w:ascii="Arial" w:hAnsi="Arial" w:cs="Arial"/>
          <w:sz w:val="22"/>
          <w:szCs w:val="22"/>
        </w:rPr>
        <w:t xml:space="preserve"> podle </w:t>
      </w:r>
      <w:r w:rsidRPr="00BF5888">
        <w:rPr>
          <w:rFonts w:ascii="Arial" w:hAnsi="Arial" w:cs="Arial"/>
          <w:sz w:val="22"/>
          <w:szCs w:val="22"/>
        </w:rPr>
        <w:t>vzorce:</w:t>
      </w:r>
    </w:p>
    <w:p w:rsidR="00242A0C" w:rsidRPr="00265E36" w:rsidRDefault="00242A0C" w:rsidP="00242A0C">
      <w:pPr>
        <w:pStyle w:val="Zkladntext"/>
        <w:jc w:val="center"/>
        <w:rPr>
          <w:rFonts w:ascii="Arial" w:hAnsi="Arial" w:cs="Arial"/>
          <w:szCs w:val="22"/>
        </w:rPr>
      </w:pPr>
      <w:r w:rsidRPr="00265E36">
        <w:rPr>
          <w:rFonts w:ascii="Arial" w:hAnsi="Arial" w:cs="Arial"/>
          <w:position w:val="-14"/>
          <w:szCs w:val="22"/>
        </w:rPr>
        <w:object w:dxaOrig="1920" w:dyaOrig="380">
          <v:shape id="_x0000_i1026" type="#_x0000_t75" style="width:92.65pt;height:20.65pt" o:ole="">
            <v:imagedata r:id="rId29" o:title=""/>
          </v:shape>
          <o:OLEObject Type="Embed" ProgID="Equation.3" ShapeID="_x0000_i1026" DrawAspect="Content" ObjectID="_1761381319" r:id="rId30"/>
        </w:object>
      </w:r>
    </w:p>
    <w:p w:rsidR="00242A0C" w:rsidRPr="00620BB3" w:rsidRDefault="00242A0C" w:rsidP="00242A0C">
      <w:pPr>
        <w:pStyle w:val="Zkladntext"/>
        <w:rPr>
          <w:rFonts w:ascii="Arial" w:hAnsi="Arial" w:cs="Arial"/>
          <w:sz w:val="22"/>
          <w:szCs w:val="22"/>
        </w:rPr>
      </w:pPr>
      <w:r w:rsidRPr="00620BB3">
        <w:rPr>
          <w:rFonts w:ascii="Arial" w:hAnsi="Arial" w:cs="Arial"/>
          <w:sz w:val="22"/>
          <w:szCs w:val="22"/>
        </w:rPr>
        <w:t>kde:</w:t>
      </w:r>
    </w:p>
    <w:p w:rsidR="00242A0C" w:rsidRPr="00265E36" w:rsidRDefault="00242A0C" w:rsidP="00242A0C">
      <w:pPr>
        <w:pStyle w:val="Seznamsodrkami"/>
        <w:tabs>
          <w:tab w:val="num" w:pos="720"/>
        </w:tabs>
        <w:rPr>
          <w:rFonts w:ascii="Arial" w:hAnsi="Arial" w:cs="Arial"/>
          <w:i/>
          <w:szCs w:val="22"/>
        </w:rPr>
      </w:pPr>
      <w:r w:rsidRPr="00265E36">
        <w:rPr>
          <w:rFonts w:ascii="Arial" w:hAnsi="Arial" w:cs="Arial"/>
          <w:i/>
          <w:szCs w:val="22"/>
        </w:rPr>
        <w:t>r</w:t>
      </w:r>
      <w:r w:rsidRPr="00265E36">
        <w:rPr>
          <w:rFonts w:ascii="Arial" w:hAnsi="Arial" w:cs="Arial"/>
          <w:i/>
          <w:szCs w:val="22"/>
          <w:vertAlign w:val="subscript"/>
        </w:rPr>
        <w:t>e</w:t>
      </w:r>
      <w:r w:rsidRPr="00546E0E">
        <w:rPr>
          <w:rFonts w:ascii="Arial" w:hAnsi="Arial" w:cs="Arial"/>
          <w:i/>
          <w:szCs w:val="22"/>
        </w:rPr>
        <w:t xml:space="preserve"> </w:t>
      </w:r>
      <w:r w:rsidRPr="00265E36">
        <w:rPr>
          <w:rFonts w:ascii="Arial" w:hAnsi="Arial" w:cs="Arial"/>
          <w:i/>
          <w:szCs w:val="22"/>
        </w:rPr>
        <w:t xml:space="preserve">– </w:t>
      </w:r>
      <w:r w:rsidRPr="00265E36">
        <w:rPr>
          <w:rFonts w:ascii="Arial" w:hAnsi="Arial" w:cs="Arial"/>
          <w:szCs w:val="22"/>
        </w:rPr>
        <w:t>náklady vlastního kapitálu,</w:t>
      </w:r>
    </w:p>
    <w:p w:rsidR="00242A0C" w:rsidRPr="00265E36" w:rsidRDefault="00242A0C" w:rsidP="006532BE">
      <w:pPr>
        <w:pStyle w:val="Seznamsodrkami"/>
        <w:tabs>
          <w:tab w:val="num" w:pos="720"/>
        </w:tabs>
        <w:rPr>
          <w:rFonts w:ascii="Arial" w:hAnsi="Arial" w:cs="Arial"/>
          <w:szCs w:val="22"/>
        </w:rPr>
      </w:pPr>
      <w:proofErr w:type="spellStart"/>
      <w:r w:rsidRPr="00265E36">
        <w:rPr>
          <w:rFonts w:ascii="Arial" w:hAnsi="Arial" w:cs="Arial"/>
          <w:i/>
          <w:szCs w:val="22"/>
        </w:rPr>
        <w:t>R</w:t>
      </w:r>
      <w:r w:rsidRPr="00265E36">
        <w:rPr>
          <w:rFonts w:ascii="Arial" w:hAnsi="Arial" w:cs="Arial"/>
          <w:i/>
          <w:szCs w:val="22"/>
          <w:vertAlign w:val="subscript"/>
        </w:rPr>
        <w:t>f</w:t>
      </w:r>
      <w:proofErr w:type="spellEnd"/>
      <w:r w:rsidRPr="00265E36">
        <w:rPr>
          <w:rFonts w:ascii="Arial" w:hAnsi="Arial" w:cs="Arial"/>
          <w:i/>
          <w:szCs w:val="22"/>
        </w:rPr>
        <w:t xml:space="preserve"> </w:t>
      </w:r>
      <w:r w:rsidRPr="00265E36">
        <w:rPr>
          <w:rFonts w:ascii="Arial" w:hAnsi="Arial" w:cs="Arial"/>
          <w:szCs w:val="22"/>
        </w:rPr>
        <w:t xml:space="preserve">– </w:t>
      </w:r>
      <w:r>
        <w:rPr>
          <w:rFonts w:ascii="Arial" w:hAnsi="Arial" w:cs="Arial"/>
          <w:szCs w:val="22"/>
        </w:rPr>
        <w:t>bezriziková výnosová míra</w:t>
      </w:r>
      <w:r w:rsidRPr="00265E36">
        <w:rPr>
          <w:rFonts w:ascii="Arial" w:hAnsi="Arial" w:cs="Arial"/>
          <w:szCs w:val="22"/>
        </w:rPr>
        <w:t>,</w:t>
      </w:r>
    </w:p>
    <w:p w:rsidR="00242A0C" w:rsidRPr="00265E36" w:rsidRDefault="00242A0C" w:rsidP="00242A0C">
      <w:pPr>
        <w:pStyle w:val="Seznamsodrkami"/>
        <w:tabs>
          <w:tab w:val="num" w:pos="720"/>
        </w:tabs>
        <w:rPr>
          <w:rFonts w:ascii="Arial" w:hAnsi="Arial" w:cs="Arial"/>
          <w:i/>
          <w:szCs w:val="22"/>
        </w:rPr>
      </w:pPr>
      <w:r w:rsidRPr="00265E36">
        <w:rPr>
          <w:rFonts w:ascii="Arial" w:hAnsi="Arial" w:cs="Arial"/>
          <w:i/>
          <w:szCs w:val="22"/>
        </w:rPr>
        <w:t>β</w:t>
      </w:r>
      <w:r w:rsidRPr="00265E36">
        <w:rPr>
          <w:rFonts w:ascii="Arial" w:hAnsi="Arial" w:cs="Arial"/>
          <w:i/>
          <w:szCs w:val="22"/>
          <w:vertAlign w:val="subscript"/>
        </w:rPr>
        <w:t>j</w:t>
      </w:r>
      <w:r w:rsidRPr="00265E36">
        <w:rPr>
          <w:rFonts w:ascii="Arial" w:hAnsi="Arial" w:cs="Arial"/>
          <w:i/>
          <w:szCs w:val="22"/>
        </w:rPr>
        <w:t xml:space="preserve"> </w:t>
      </w:r>
      <w:r w:rsidRPr="00265E36">
        <w:rPr>
          <w:rFonts w:ascii="Arial" w:hAnsi="Arial" w:cs="Arial"/>
          <w:szCs w:val="22"/>
        </w:rPr>
        <w:t xml:space="preserve">– </w:t>
      </w:r>
      <w:r>
        <w:rPr>
          <w:rFonts w:ascii="Arial" w:hAnsi="Arial" w:cs="Arial"/>
          <w:szCs w:val="22"/>
        </w:rPr>
        <w:t>koeficient beta</w:t>
      </w:r>
      <w:r w:rsidRPr="00265E36">
        <w:rPr>
          <w:rFonts w:ascii="Arial" w:hAnsi="Arial" w:cs="Arial"/>
          <w:szCs w:val="22"/>
        </w:rPr>
        <w:t>,</w:t>
      </w:r>
    </w:p>
    <w:p w:rsidR="00242A0C" w:rsidRDefault="00242A0C" w:rsidP="00242A0C">
      <w:pPr>
        <w:pStyle w:val="Seznamsodrkami"/>
        <w:tabs>
          <w:tab w:val="num" w:pos="720"/>
        </w:tabs>
        <w:rPr>
          <w:rFonts w:ascii="Arial" w:hAnsi="Arial" w:cs="Arial"/>
          <w:szCs w:val="22"/>
        </w:rPr>
      </w:pPr>
      <w:r w:rsidRPr="00900E79">
        <w:rPr>
          <w:rFonts w:ascii="Arial" w:hAnsi="Arial" w:cs="Arial"/>
          <w:szCs w:val="22"/>
        </w:rPr>
        <w:t>ERP – tržní riziková prémie.</w:t>
      </w:r>
    </w:p>
    <w:p w:rsidR="00242A0C" w:rsidRDefault="00242A0C" w:rsidP="00620BB3">
      <w:pPr>
        <w:spacing w:before="240" w:after="120"/>
        <w:ind w:firstLine="828"/>
        <w:jc w:val="both"/>
        <w:rPr>
          <w:rFonts w:ascii="Arial" w:hAnsi="Arial" w:cs="Arial"/>
          <w:sz w:val="22"/>
          <w:szCs w:val="22"/>
        </w:rPr>
      </w:pPr>
      <w:r w:rsidRPr="00BF5888">
        <w:rPr>
          <w:rFonts w:ascii="Arial" w:hAnsi="Arial" w:cs="Arial"/>
          <w:sz w:val="22"/>
          <w:szCs w:val="22"/>
        </w:rPr>
        <w:t>CAPM odhaduje výnosnost rizikového aktiva</w:t>
      </w:r>
      <w:r w:rsidR="0047095F">
        <w:rPr>
          <w:rFonts w:ascii="Arial" w:hAnsi="Arial" w:cs="Arial"/>
          <w:sz w:val="22"/>
          <w:szCs w:val="22"/>
        </w:rPr>
        <w:t xml:space="preserve"> na </w:t>
      </w:r>
      <w:r w:rsidRPr="00BF5888">
        <w:rPr>
          <w:rFonts w:ascii="Arial" w:hAnsi="Arial" w:cs="Arial"/>
          <w:sz w:val="22"/>
          <w:szCs w:val="22"/>
        </w:rPr>
        <w:t>základě lineární závislosti očekávaného výnosu tržního portfolia</w:t>
      </w:r>
      <w:r>
        <w:rPr>
          <w:rFonts w:ascii="Arial" w:hAnsi="Arial" w:cs="Arial"/>
          <w:sz w:val="22"/>
          <w:szCs w:val="22"/>
        </w:rPr>
        <w:t xml:space="preserve"> a</w:t>
      </w:r>
      <w:r w:rsidR="00546E0E">
        <w:rPr>
          <w:rFonts w:ascii="Arial" w:hAnsi="Arial" w:cs="Arial"/>
          <w:sz w:val="22"/>
          <w:szCs w:val="22"/>
        </w:rPr>
        <w:t xml:space="preserve"> </w:t>
      </w:r>
      <w:r w:rsidRPr="00BF5888">
        <w:rPr>
          <w:rFonts w:ascii="Arial" w:hAnsi="Arial" w:cs="Arial"/>
          <w:sz w:val="22"/>
          <w:szCs w:val="22"/>
        </w:rPr>
        <w:t>bezrizikové míry výnosu</w:t>
      </w:r>
      <w:r>
        <w:rPr>
          <w:rFonts w:ascii="Arial" w:hAnsi="Arial" w:cs="Arial"/>
          <w:sz w:val="22"/>
          <w:szCs w:val="22"/>
        </w:rPr>
        <w:t xml:space="preserve"> s</w:t>
      </w:r>
      <w:r w:rsidR="00546E0E">
        <w:rPr>
          <w:rFonts w:ascii="Arial" w:hAnsi="Arial" w:cs="Arial"/>
          <w:sz w:val="22"/>
          <w:szCs w:val="22"/>
        </w:rPr>
        <w:t xml:space="preserve"> </w:t>
      </w:r>
      <w:r w:rsidRPr="00BF5888">
        <w:rPr>
          <w:rFonts w:ascii="Arial" w:hAnsi="Arial" w:cs="Arial"/>
          <w:sz w:val="22"/>
          <w:szCs w:val="22"/>
        </w:rPr>
        <w:t>využitím beta</w:t>
      </w:r>
      <w:r>
        <w:rPr>
          <w:rFonts w:ascii="Arial" w:hAnsi="Arial" w:cs="Arial"/>
          <w:sz w:val="22"/>
          <w:szCs w:val="22"/>
        </w:rPr>
        <w:t xml:space="preserve"> jako</w:t>
      </w:r>
      <w:r w:rsidR="00546E0E">
        <w:rPr>
          <w:rFonts w:ascii="Arial" w:hAnsi="Arial" w:cs="Arial"/>
          <w:sz w:val="22"/>
          <w:szCs w:val="22"/>
        </w:rPr>
        <w:t xml:space="preserve"> </w:t>
      </w:r>
      <w:r w:rsidRPr="00BF5888">
        <w:rPr>
          <w:rFonts w:ascii="Arial" w:hAnsi="Arial" w:cs="Arial"/>
          <w:sz w:val="22"/>
          <w:szCs w:val="22"/>
        </w:rPr>
        <w:t>váhy.</w:t>
      </w:r>
    </w:p>
    <w:p w:rsidR="00454BD8" w:rsidRPr="00B36853" w:rsidRDefault="00454BD8" w:rsidP="00620BB3">
      <w:pPr>
        <w:spacing w:after="120"/>
        <w:ind w:firstLine="828"/>
        <w:jc w:val="both"/>
        <w:rPr>
          <w:rFonts w:ascii="Arial" w:hAnsi="Arial" w:cs="Arial"/>
          <w:sz w:val="22"/>
          <w:szCs w:val="22"/>
        </w:rPr>
      </w:pPr>
      <w:r>
        <w:rPr>
          <w:rFonts w:ascii="Arial" w:hAnsi="Arial" w:cs="Arial"/>
          <w:sz w:val="22"/>
          <w:szCs w:val="22"/>
        </w:rPr>
        <w:t>Hodnota</w:t>
      </w:r>
      <w:r w:rsidRPr="00B36853">
        <w:rPr>
          <w:rFonts w:ascii="Arial" w:hAnsi="Arial" w:cs="Arial"/>
          <w:sz w:val="22"/>
          <w:szCs w:val="22"/>
        </w:rPr>
        <w:t xml:space="preserve"> procenta návratnosti </w:t>
      </w:r>
      <w:r>
        <w:rPr>
          <w:rFonts w:ascii="Arial" w:hAnsi="Arial" w:cs="Arial"/>
          <w:sz w:val="22"/>
          <w:szCs w:val="22"/>
        </w:rPr>
        <w:t xml:space="preserve">vloženého kapitálu </w:t>
      </w:r>
      <w:r w:rsidR="0047095F">
        <w:rPr>
          <w:rFonts w:ascii="Arial" w:hAnsi="Arial" w:cs="Arial"/>
          <w:sz w:val="22"/>
          <w:szCs w:val="22"/>
        </w:rPr>
        <w:t>před </w:t>
      </w:r>
      <w:r w:rsidR="002C1028">
        <w:rPr>
          <w:rFonts w:ascii="Arial" w:hAnsi="Arial" w:cs="Arial"/>
          <w:sz w:val="22"/>
          <w:szCs w:val="22"/>
        </w:rPr>
        <w:t xml:space="preserve">zdaněním WACC </w:t>
      </w:r>
      <w:r>
        <w:rPr>
          <w:rFonts w:ascii="Arial" w:hAnsi="Arial" w:cs="Arial"/>
          <w:sz w:val="22"/>
          <w:szCs w:val="22"/>
        </w:rPr>
        <w:t>byla stanovena ve</w:t>
      </w:r>
      <w:r w:rsidR="00546E0E">
        <w:rPr>
          <w:rFonts w:ascii="Arial" w:hAnsi="Arial" w:cs="Arial"/>
          <w:sz w:val="22"/>
          <w:szCs w:val="22"/>
        </w:rPr>
        <w:t xml:space="preserve"> </w:t>
      </w:r>
      <w:r>
        <w:rPr>
          <w:rFonts w:ascii="Arial" w:hAnsi="Arial" w:cs="Arial"/>
          <w:sz w:val="22"/>
          <w:szCs w:val="22"/>
        </w:rPr>
        <w:t>výši 8,26</w:t>
      </w:r>
      <w:r w:rsidR="00546E0E">
        <w:rPr>
          <w:rFonts w:ascii="Arial" w:hAnsi="Arial" w:cs="Arial"/>
          <w:sz w:val="22"/>
          <w:szCs w:val="22"/>
        </w:rPr>
        <w:t xml:space="preserve"> </w:t>
      </w:r>
      <w:r w:rsidRPr="00B36853">
        <w:rPr>
          <w:rFonts w:ascii="Arial" w:hAnsi="Arial" w:cs="Arial"/>
          <w:sz w:val="22"/>
          <w:szCs w:val="22"/>
        </w:rPr>
        <w:t>%</w:t>
      </w:r>
      <w:r w:rsidR="00887F3F">
        <w:rPr>
          <w:rFonts w:ascii="Arial" w:hAnsi="Arial" w:cs="Arial"/>
          <w:sz w:val="22"/>
          <w:szCs w:val="22"/>
        </w:rPr>
        <w:t xml:space="preserve"> na základě studie, kterou s</w:t>
      </w:r>
      <w:r w:rsidR="00887F3F" w:rsidRPr="00454BD8">
        <w:rPr>
          <w:rFonts w:ascii="Arial" w:hAnsi="Arial" w:cs="Arial"/>
          <w:sz w:val="22"/>
          <w:szCs w:val="22"/>
        </w:rPr>
        <w:t xml:space="preserve">i Úřad nechal zpracovat </w:t>
      </w:r>
      <w:r w:rsidR="00887F3F">
        <w:rPr>
          <w:rFonts w:ascii="Arial" w:hAnsi="Arial" w:cs="Arial"/>
          <w:sz w:val="22"/>
          <w:szCs w:val="22"/>
        </w:rPr>
        <w:t>Vysokou školou ekonomickou v </w:t>
      </w:r>
      <w:r w:rsidR="00887F3F" w:rsidRPr="00454BD8">
        <w:rPr>
          <w:rFonts w:ascii="Arial" w:hAnsi="Arial" w:cs="Arial"/>
          <w:sz w:val="22"/>
          <w:szCs w:val="22"/>
        </w:rPr>
        <w:t>Praze, Institut oceňování majetku.</w:t>
      </w:r>
    </w:p>
    <w:p w:rsidR="00623F1D" w:rsidRPr="00BF5888" w:rsidRDefault="00623F1D" w:rsidP="00620BB3">
      <w:pPr>
        <w:spacing w:after="120"/>
        <w:ind w:firstLine="828"/>
        <w:jc w:val="both"/>
        <w:rPr>
          <w:rFonts w:ascii="Arial" w:hAnsi="Arial" w:cs="Arial"/>
          <w:sz w:val="22"/>
          <w:szCs w:val="22"/>
        </w:rPr>
      </w:pPr>
      <w:r w:rsidRPr="00BF5888">
        <w:rPr>
          <w:rFonts w:ascii="Arial" w:hAnsi="Arial" w:cs="Arial"/>
          <w:sz w:val="22"/>
          <w:szCs w:val="22"/>
        </w:rPr>
        <w:t>Metodika určení jednotlivých vstupních proměnných</w:t>
      </w:r>
      <w:r w:rsidR="00546E0E">
        <w:rPr>
          <w:rFonts w:ascii="Arial" w:hAnsi="Arial" w:cs="Arial"/>
          <w:sz w:val="22"/>
          <w:szCs w:val="22"/>
        </w:rPr>
        <w:t xml:space="preserve"> do </w:t>
      </w:r>
      <w:r w:rsidRPr="00BF5888">
        <w:rPr>
          <w:rFonts w:ascii="Arial" w:hAnsi="Arial" w:cs="Arial"/>
          <w:sz w:val="22"/>
          <w:szCs w:val="22"/>
        </w:rPr>
        <w:t>vzorce WACC byla následující:</w:t>
      </w:r>
    </w:p>
    <w:p w:rsidR="00242A0C" w:rsidRPr="00BF5888" w:rsidRDefault="00242A0C" w:rsidP="00620BB3">
      <w:pPr>
        <w:ind w:firstLine="828"/>
        <w:jc w:val="both"/>
        <w:rPr>
          <w:rFonts w:ascii="Arial" w:hAnsi="Arial" w:cs="Arial"/>
          <w:sz w:val="22"/>
          <w:szCs w:val="22"/>
        </w:rPr>
      </w:pPr>
      <w:r w:rsidRPr="00BF5888">
        <w:rPr>
          <w:rFonts w:ascii="Arial" w:hAnsi="Arial" w:cs="Arial"/>
          <w:sz w:val="22"/>
          <w:szCs w:val="22"/>
        </w:rPr>
        <w:t>Pro určení bezrizikové výnosové míry byly využity české korunové státní dluhopisy. Státní cenné papíry jsou všeobecně považovány</w:t>
      </w:r>
      <w:r>
        <w:rPr>
          <w:rFonts w:ascii="Arial" w:hAnsi="Arial" w:cs="Arial"/>
          <w:sz w:val="22"/>
          <w:szCs w:val="22"/>
        </w:rPr>
        <w:t xml:space="preserve"> za</w:t>
      </w:r>
      <w:r w:rsidR="00546E0E">
        <w:rPr>
          <w:rFonts w:ascii="Arial" w:hAnsi="Arial" w:cs="Arial"/>
          <w:sz w:val="22"/>
          <w:szCs w:val="22"/>
        </w:rPr>
        <w:t xml:space="preserve"> </w:t>
      </w:r>
      <w:r w:rsidRPr="00BF5888">
        <w:rPr>
          <w:rFonts w:ascii="Arial" w:hAnsi="Arial" w:cs="Arial"/>
          <w:sz w:val="22"/>
          <w:szCs w:val="22"/>
        </w:rPr>
        <w:t>aktivum, jehož riziko konverguje</w:t>
      </w:r>
      <w:r>
        <w:rPr>
          <w:rFonts w:ascii="Arial" w:hAnsi="Arial" w:cs="Arial"/>
          <w:sz w:val="22"/>
          <w:szCs w:val="22"/>
        </w:rPr>
        <w:t xml:space="preserve"> k</w:t>
      </w:r>
      <w:r w:rsidR="00546E0E">
        <w:rPr>
          <w:rFonts w:ascii="Arial" w:hAnsi="Arial" w:cs="Arial"/>
          <w:sz w:val="22"/>
          <w:szCs w:val="22"/>
        </w:rPr>
        <w:t xml:space="preserve"> </w:t>
      </w:r>
      <w:r w:rsidRPr="00BF5888">
        <w:rPr>
          <w:rFonts w:ascii="Arial" w:hAnsi="Arial" w:cs="Arial"/>
          <w:sz w:val="22"/>
          <w:szCs w:val="22"/>
        </w:rPr>
        <w:t>nule. Výnos takovýchto cenných papírů, který</w:t>
      </w:r>
      <w:r w:rsidR="0047095F">
        <w:rPr>
          <w:rFonts w:ascii="Arial" w:hAnsi="Arial" w:cs="Arial"/>
          <w:sz w:val="22"/>
          <w:szCs w:val="22"/>
        </w:rPr>
        <w:t xml:space="preserve"> v </w:t>
      </w:r>
      <w:r w:rsidRPr="00BF5888">
        <w:rPr>
          <w:rFonts w:ascii="Arial" w:hAnsi="Arial" w:cs="Arial"/>
          <w:sz w:val="22"/>
          <w:szCs w:val="22"/>
        </w:rPr>
        <w:t>sobě obsahuje inflační očekávání</w:t>
      </w:r>
      <w:r>
        <w:rPr>
          <w:rFonts w:ascii="Arial" w:hAnsi="Arial" w:cs="Arial"/>
          <w:sz w:val="22"/>
          <w:szCs w:val="22"/>
        </w:rPr>
        <w:t>,</w:t>
      </w:r>
      <w:r w:rsidRPr="00BF5888">
        <w:rPr>
          <w:rFonts w:ascii="Arial" w:hAnsi="Arial" w:cs="Arial"/>
          <w:sz w:val="22"/>
          <w:szCs w:val="22"/>
        </w:rPr>
        <w:t xml:space="preserve"> je všeobecně považován</w:t>
      </w:r>
      <w:r>
        <w:rPr>
          <w:rFonts w:ascii="Arial" w:hAnsi="Arial" w:cs="Arial"/>
          <w:sz w:val="22"/>
          <w:szCs w:val="22"/>
        </w:rPr>
        <w:t xml:space="preserve"> za</w:t>
      </w:r>
      <w:r w:rsidR="00546E0E">
        <w:rPr>
          <w:rFonts w:ascii="Arial" w:hAnsi="Arial" w:cs="Arial"/>
          <w:sz w:val="22"/>
          <w:szCs w:val="22"/>
        </w:rPr>
        <w:t xml:space="preserve"> </w:t>
      </w:r>
      <w:r w:rsidRPr="00BF5888">
        <w:rPr>
          <w:rFonts w:ascii="Arial" w:hAnsi="Arial" w:cs="Arial"/>
          <w:sz w:val="22"/>
          <w:szCs w:val="22"/>
        </w:rPr>
        <w:t>přijatelný odhad tržní bezrizikové výnosové míry. Bezriziková výnosová míra byla určena</w:t>
      </w:r>
      <w:r w:rsidR="0047095F">
        <w:rPr>
          <w:rFonts w:ascii="Arial" w:hAnsi="Arial" w:cs="Arial"/>
          <w:sz w:val="22"/>
          <w:szCs w:val="22"/>
        </w:rPr>
        <w:t xml:space="preserve"> na </w:t>
      </w:r>
      <w:r w:rsidRPr="00BF5888">
        <w:rPr>
          <w:rFonts w:ascii="Arial" w:hAnsi="Arial" w:cs="Arial"/>
          <w:sz w:val="22"/>
          <w:szCs w:val="22"/>
        </w:rPr>
        <w:t>základě šestiměsíční historie analyzovaných dat z</w:t>
      </w:r>
      <w:r w:rsidR="00546E0E">
        <w:rPr>
          <w:rFonts w:ascii="Arial" w:hAnsi="Arial" w:cs="Arial"/>
          <w:sz w:val="22"/>
          <w:szCs w:val="22"/>
        </w:rPr>
        <w:t xml:space="preserve"> </w:t>
      </w:r>
      <w:r w:rsidRPr="00BF5888">
        <w:rPr>
          <w:rFonts w:ascii="Arial" w:hAnsi="Arial" w:cs="Arial"/>
          <w:sz w:val="22"/>
          <w:szCs w:val="22"/>
        </w:rPr>
        <w:t>důvodu eliminace volatility trhu. Bezriziková výnosová míra byla spočítána</w:t>
      </w:r>
      <w:r>
        <w:rPr>
          <w:rFonts w:ascii="Arial" w:hAnsi="Arial" w:cs="Arial"/>
          <w:sz w:val="22"/>
          <w:szCs w:val="22"/>
        </w:rPr>
        <w:t xml:space="preserve"> jako</w:t>
      </w:r>
      <w:r w:rsidR="00546E0E">
        <w:rPr>
          <w:rFonts w:ascii="Arial" w:hAnsi="Arial" w:cs="Arial"/>
          <w:sz w:val="22"/>
          <w:szCs w:val="22"/>
        </w:rPr>
        <w:t xml:space="preserve"> </w:t>
      </w:r>
      <w:r w:rsidRPr="00BF5888">
        <w:rPr>
          <w:rFonts w:ascii="Arial" w:hAnsi="Arial" w:cs="Arial"/>
          <w:sz w:val="22"/>
          <w:szCs w:val="22"/>
        </w:rPr>
        <w:t>medián výnosů</w:t>
      </w:r>
      <w:r>
        <w:rPr>
          <w:rFonts w:ascii="Arial" w:hAnsi="Arial" w:cs="Arial"/>
          <w:sz w:val="22"/>
          <w:szCs w:val="22"/>
        </w:rPr>
        <w:t xml:space="preserve"> do</w:t>
      </w:r>
      <w:r w:rsidR="00546E0E">
        <w:rPr>
          <w:rFonts w:ascii="Arial" w:hAnsi="Arial" w:cs="Arial"/>
          <w:sz w:val="22"/>
          <w:szCs w:val="22"/>
        </w:rPr>
        <w:t xml:space="preserve"> </w:t>
      </w:r>
      <w:r w:rsidRPr="00BF5888">
        <w:rPr>
          <w:rFonts w:ascii="Arial" w:hAnsi="Arial" w:cs="Arial"/>
          <w:sz w:val="22"/>
          <w:szCs w:val="22"/>
        </w:rPr>
        <w:t>doby splatnosti státního dluhopisu 4,20/36</w:t>
      </w:r>
      <w:r>
        <w:rPr>
          <w:rFonts w:ascii="Arial" w:hAnsi="Arial" w:cs="Arial"/>
          <w:sz w:val="22"/>
          <w:szCs w:val="22"/>
        </w:rPr>
        <w:t xml:space="preserve"> za</w:t>
      </w:r>
      <w:r w:rsidR="00546E0E">
        <w:rPr>
          <w:rFonts w:ascii="Arial" w:hAnsi="Arial" w:cs="Arial"/>
          <w:sz w:val="22"/>
          <w:szCs w:val="22"/>
        </w:rPr>
        <w:t xml:space="preserve"> </w:t>
      </w:r>
      <w:r w:rsidRPr="00BF5888">
        <w:rPr>
          <w:rFonts w:ascii="Arial" w:hAnsi="Arial" w:cs="Arial"/>
          <w:sz w:val="22"/>
          <w:szCs w:val="22"/>
        </w:rPr>
        <w:t>posledních 6 měsíců</w:t>
      </w:r>
      <w:r>
        <w:rPr>
          <w:rFonts w:ascii="Arial" w:hAnsi="Arial" w:cs="Arial"/>
          <w:sz w:val="22"/>
          <w:szCs w:val="22"/>
        </w:rPr>
        <w:t xml:space="preserve"> před</w:t>
      </w:r>
      <w:r w:rsidR="00546E0E">
        <w:rPr>
          <w:rFonts w:ascii="Arial" w:hAnsi="Arial" w:cs="Arial"/>
          <w:sz w:val="22"/>
          <w:szCs w:val="22"/>
        </w:rPr>
        <w:t xml:space="preserve"> </w:t>
      </w:r>
      <w:r w:rsidRPr="00BF5888">
        <w:rPr>
          <w:rFonts w:ascii="Arial" w:hAnsi="Arial" w:cs="Arial"/>
          <w:sz w:val="22"/>
          <w:szCs w:val="22"/>
        </w:rPr>
        <w:t>datem výpočtu. Bezriziková výnosová míra byla určena</w:t>
      </w:r>
      <w:r>
        <w:rPr>
          <w:rFonts w:ascii="Arial" w:hAnsi="Arial" w:cs="Arial"/>
          <w:sz w:val="22"/>
          <w:szCs w:val="22"/>
        </w:rPr>
        <w:t xml:space="preserve"> ve</w:t>
      </w:r>
      <w:r w:rsidR="00546E0E">
        <w:rPr>
          <w:rFonts w:ascii="Arial" w:hAnsi="Arial" w:cs="Arial"/>
          <w:sz w:val="22"/>
          <w:szCs w:val="22"/>
        </w:rPr>
        <w:t xml:space="preserve"> </w:t>
      </w:r>
      <w:r w:rsidR="00EF5797">
        <w:rPr>
          <w:rFonts w:ascii="Arial" w:hAnsi="Arial" w:cs="Arial"/>
          <w:sz w:val="22"/>
          <w:szCs w:val="22"/>
        </w:rPr>
        <w:t>výši 4,384 %.</w:t>
      </w:r>
    </w:p>
    <w:p w:rsidR="00242A0C" w:rsidRPr="00BF5888" w:rsidRDefault="00242A0C" w:rsidP="00620BB3">
      <w:pPr>
        <w:spacing w:before="240"/>
        <w:ind w:firstLine="828"/>
        <w:jc w:val="both"/>
        <w:rPr>
          <w:rFonts w:ascii="Arial" w:hAnsi="Arial" w:cs="Arial"/>
          <w:sz w:val="22"/>
          <w:szCs w:val="22"/>
        </w:rPr>
      </w:pPr>
      <w:r w:rsidRPr="00BF5888">
        <w:rPr>
          <w:rFonts w:ascii="Arial" w:hAnsi="Arial" w:cs="Arial"/>
          <w:sz w:val="22"/>
          <w:szCs w:val="22"/>
        </w:rPr>
        <w:t>Koeficient beta byl určen metodou porovnání se srovnatelnými společnostmi, kterými bylo 48 veřejně obchodovatelných společností podnikajících</w:t>
      </w:r>
      <w:r w:rsidR="0047095F">
        <w:rPr>
          <w:rFonts w:ascii="Arial" w:hAnsi="Arial" w:cs="Arial"/>
          <w:sz w:val="22"/>
          <w:szCs w:val="22"/>
        </w:rPr>
        <w:t xml:space="preserve"> v </w:t>
      </w:r>
      <w:r w:rsidRPr="00BF5888">
        <w:rPr>
          <w:rFonts w:ascii="Arial" w:hAnsi="Arial" w:cs="Arial"/>
          <w:sz w:val="22"/>
          <w:szCs w:val="22"/>
        </w:rPr>
        <w:t>oboru elektronických komunikací</w:t>
      </w:r>
      <w:r>
        <w:rPr>
          <w:rFonts w:ascii="Arial" w:hAnsi="Arial" w:cs="Arial"/>
          <w:sz w:val="22"/>
          <w:szCs w:val="22"/>
        </w:rPr>
        <w:t xml:space="preserve"> jako</w:t>
      </w:r>
      <w:r w:rsidR="00546E0E">
        <w:rPr>
          <w:rFonts w:ascii="Arial" w:hAnsi="Arial" w:cs="Arial"/>
          <w:sz w:val="22"/>
          <w:szCs w:val="22"/>
        </w:rPr>
        <w:t xml:space="preserve"> </w:t>
      </w:r>
      <w:r w:rsidRPr="00BF5888">
        <w:rPr>
          <w:rFonts w:ascii="Arial" w:hAnsi="Arial" w:cs="Arial"/>
          <w:sz w:val="22"/>
          <w:szCs w:val="22"/>
        </w:rPr>
        <w:t>operátor fixních, nebo mobilních sítí, nebo</w:t>
      </w:r>
      <w:r>
        <w:rPr>
          <w:rFonts w:ascii="Arial" w:hAnsi="Arial" w:cs="Arial"/>
          <w:sz w:val="22"/>
          <w:szCs w:val="22"/>
        </w:rPr>
        <w:t xml:space="preserve"> jako</w:t>
      </w:r>
      <w:r w:rsidR="00546E0E">
        <w:rPr>
          <w:rFonts w:ascii="Arial" w:hAnsi="Arial" w:cs="Arial"/>
          <w:sz w:val="22"/>
          <w:szCs w:val="22"/>
        </w:rPr>
        <w:t xml:space="preserve"> </w:t>
      </w:r>
      <w:r w:rsidRPr="00BF5888">
        <w:rPr>
          <w:rFonts w:ascii="Arial" w:hAnsi="Arial" w:cs="Arial"/>
          <w:sz w:val="22"/>
          <w:szCs w:val="22"/>
        </w:rPr>
        <w:t>operátor konvergovaný. Koeficient byl stanoven</w:t>
      </w:r>
      <w:r>
        <w:rPr>
          <w:rFonts w:ascii="Arial" w:hAnsi="Arial" w:cs="Arial"/>
          <w:sz w:val="22"/>
          <w:szCs w:val="22"/>
        </w:rPr>
        <w:t xml:space="preserve"> jako</w:t>
      </w:r>
      <w:r w:rsidR="00546E0E">
        <w:rPr>
          <w:rFonts w:ascii="Arial" w:hAnsi="Arial" w:cs="Arial"/>
          <w:sz w:val="22"/>
          <w:szCs w:val="22"/>
        </w:rPr>
        <w:t xml:space="preserve"> </w:t>
      </w:r>
      <w:r w:rsidRPr="00BF5888">
        <w:rPr>
          <w:rFonts w:ascii="Arial" w:hAnsi="Arial" w:cs="Arial"/>
          <w:sz w:val="22"/>
          <w:szCs w:val="22"/>
        </w:rPr>
        <w:t>medián jednoletých beta koeficientů</w:t>
      </w:r>
      <w:r>
        <w:rPr>
          <w:rFonts w:ascii="Arial" w:hAnsi="Arial" w:cs="Arial"/>
          <w:sz w:val="22"/>
          <w:szCs w:val="22"/>
        </w:rPr>
        <w:t xml:space="preserve"> za</w:t>
      </w:r>
      <w:r w:rsidR="00546E0E">
        <w:rPr>
          <w:rFonts w:ascii="Arial" w:hAnsi="Arial" w:cs="Arial"/>
          <w:sz w:val="22"/>
          <w:szCs w:val="22"/>
        </w:rPr>
        <w:t xml:space="preserve"> </w:t>
      </w:r>
      <w:r w:rsidRPr="00BF5888">
        <w:rPr>
          <w:rFonts w:ascii="Arial" w:hAnsi="Arial" w:cs="Arial"/>
          <w:sz w:val="22"/>
          <w:szCs w:val="22"/>
        </w:rPr>
        <w:t>posledních 5 let (červen 2006 – červen 2011). Koeficient beta byl přepočten</w:t>
      </w:r>
      <w:r w:rsidR="0047095F">
        <w:rPr>
          <w:rFonts w:ascii="Arial" w:hAnsi="Arial" w:cs="Arial"/>
          <w:sz w:val="22"/>
          <w:szCs w:val="22"/>
        </w:rPr>
        <w:t xml:space="preserve"> na </w:t>
      </w:r>
      <w:r w:rsidRPr="00BF5888">
        <w:rPr>
          <w:rFonts w:ascii="Arial" w:hAnsi="Arial" w:cs="Arial"/>
          <w:sz w:val="22"/>
          <w:szCs w:val="22"/>
        </w:rPr>
        <w:t>zadlužení</w:t>
      </w:r>
      <w:r w:rsidR="0047095F">
        <w:rPr>
          <w:rFonts w:ascii="Arial" w:hAnsi="Arial" w:cs="Arial"/>
          <w:sz w:val="22"/>
          <w:szCs w:val="22"/>
        </w:rPr>
        <w:t xml:space="preserve"> na </w:t>
      </w:r>
      <w:r w:rsidRPr="00BF5888">
        <w:rPr>
          <w:rFonts w:ascii="Arial" w:hAnsi="Arial" w:cs="Arial"/>
          <w:sz w:val="22"/>
          <w:szCs w:val="22"/>
        </w:rPr>
        <w:t>úrovni mediánu souboru dat</w:t>
      </w:r>
      <w:r>
        <w:rPr>
          <w:rFonts w:ascii="Arial" w:hAnsi="Arial" w:cs="Arial"/>
          <w:sz w:val="22"/>
          <w:szCs w:val="22"/>
        </w:rPr>
        <w:t xml:space="preserve"> a</w:t>
      </w:r>
      <w:r w:rsidR="00546E0E">
        <w:rPr>
          <w:rFonts w:ascii="Arial" w:hAnsi="Arial" w:cs="Arial"/>
          <w:sz w:val="22"/>
          <w:szCs w:val="22"/>
        </w:rPr>
        <w:t xml:space="preserve"> </w:t>
      </w:r>
      <w:r w:rsidRPr="00BF5888">
        <w:rPr>
          <w:rFonts w:ascii="Arial" w:hAnsi="Arial" w:cs="Arial"/>
          <w:sz w:val="22"/>
          <w:szCs w:val="22"/>
        </w:rPr>
        <w:t>české daňové sazby. Jednoleté koeficienty beta byly vypočteny</w:t>
      </w:r>
      <w:r>
        <w:rPr>
          <w:rFonts w:ascii="Arial" w:hAnsi="Arial" w:cs="Arial"/>
          <w:sz w:val="22"/>
          <w:szCs w:val="22"/>
        </w:rPr>
        <w:t xml:space="preserve"> jako</w:t>
      </w:r>
      <w:r w:rsidR="00546E0E">
        <w:rPr>
          <w:rFonts w:ascii="Arial" w:hAnsi="Arial" w:cs="Arial"/>
          <w:sz w:val="22"/>
          <w:szCs w:val="22"/>
        </w:rPr>
        <w:t xml:space="preserve"> </w:t>
      </w:r>
      <w:r w:rsidRPr="00BF5888">
        <w:rPr>
          <w:rFonts w:ascii="Arial" w:hAnsi="Arial" w:cs="Arial"/>
          <w:sz w:val="22"/>
          <w:szCs w:val="22"/>
        </w:rPr>
        <w:t xml:space="preserve">regresní </w:t>
      </w:r>
      <w:r w:rsidR="00546E0E">
        <w:rPr>
          <w:rFonts w:ascii="Arial" w:hAnsi="Arial" w:cs="Arial"/>
          <w:sz w:val="22"/>
          <w:szCs w:val="22"/>
        </w:rPr>
        <w:br/>
      </w:r>
      <w:r w:rsidRPr="00BF5888">
        <w:rPr>
          <w:rFonts w:ascii="Arial" w:hAnsi="Arial" w:cs="Arial"/>
          <w:sz w:val="22"/>
          <w:szCs w:val="22"/>
        </w:rPr>
        <w:t>z</w:t>
      </w:r>
      <w:r w:rsidR="00546E0E">
        <w:rPr>
          <w:rFonts w:ascii="Arial" w:hAnsi="Arial" w:cs="Arial"/>
          <w:sz w:val="22"/>
          <w:szCs w:val="22"/>
        </w:rPr>
        <w:t xml:space="preserve"> </w:t>
      </w:r>
      <w:r w:rsidRPr="00BF5888">
        <w:rPr>
          <w:rFonts w:ascii="Arial" w:hAnsi="Arial" w:cs="Arial"/>
          <w:sz w:val="22"/>
          <w:szCs w:val="22"/>
        </w:rPr>
        <w:t>týdenních výnosností vůči lokálnímu akciovému indexu. Vztah</w:t>
      </w:r>
      <w:r>
        <w:rPr>
          <w:rFonts w:ascii="Arial" w:hAnsi="Arial" w:cs="Arial"/>
          <w:sz w:val="22"/>
          <w:szCs w:val="22"/>
        </w:rPr>
        <w:t xml:space="preserve"> mezi</w:t>
      </w:r>
      <w:r w:rsidR="00546E0E">
        <w:rPr>
          <w:rFonts w:ascii="Arial" w:hAnsi="Arial" w:cs="Arial"/>
          <w:sz w:val="22"/>
          <w:szCs w:val="22"/>
        </w:rPr>
        <w:t xml:space="preserve"> </w:t>
      </w:r>
      <w:r w:rsidRPr="00BF5888">
        <w:rPr>
          <w:rFonts w:ascii="Arial" w:hAnsi="Arial" w:cs="Arial"/>
          <w:sz w:val="22"/>
          <w:szCs w:val="22"/>
        </w:rPr>
        <w:t>zadluženým</w:t>
      </w:r>
      <w:r>
        <w:rPr>
          <w:rFonts w:ascii="Arial" w:hAnsi="Arial" w:cs="Arial"/>
          <w:sz w:val="22"/>
          <w:szCs w:val="22"/>
        </w:rPr>
        <w:t xml:space="preserve"> </w:t>
      </w:r>
      <w:r w:rsidR="00546E0E">
        <w:rPr>
          <w:rFonts w:ascii="Arial" w:hAnsi="Arial" w:cs="Arial"/>
          <w:sz w:val="22"/>
          <w:szCs w:val="22"/>
        </w:rPr>
        <w:br/>
      </w:r>
      <w:r>
        <w:rPr>
          <w:rFonts w:ascii="Arial" w:hAnsi="Arial" w:cs="Arial"/>
          <w:sz w:val="22"/>
          <w:szCs w:val="22"/>
        </w:rPr>
        <w:t>a</w:t>
      </w:r>
      <w:r w:rsidR="00546E0E">
        <w:rPr>
          <w:rFonts w:ascii="Arial" w:hAnsi="Arial" w:cs="Arial"/>
          <w:sz w:val="22"/>
          <w:szCs w:val="22"/>
        </w:rPr>
        <w:t xml:space="preserve"> </w:t>
      </w:r>
      <w:r w:rsidRPr="00BF5888">
        <w:rPr>
          <w:rFonts w:ascii="Arial" w:hAnsi="Arial" w:cs="Arial"/>
          <w:sz w:val="22"/>
          <w:szCs w:val="22"/>
        </w:rPr>
        <w:t>nezadluženým koeficientem beta byl vyjádřen pomocí rovnice Millera</w:t>
      </w:r>
      <w:r>
        <w:rPr>
          <w:rFonts w:ascii="Arial" w:hAnsi="Arial" w:cs="Arial"/>
          <w:sz w:val="22"/>
          <w:szCs w:val="22"/>
        </w:rPr>
        <w:t xml:space="preserve"> a</w:t>
      </w:r>
      <w:r w:rsidR="00546E0E">
        <w:rPr>
          <w:rFonts w:ascii="Arial" w:hAnsi="Arial" w:cs="Arial"/>
          <w:sz w:val="22"/>
          <w:szCs w:val="22"/>
        </w:rPr>
        <w:t xml:space="preserve"> </w:t>
      </w:r>
      <w:proofErr w:type="spellStart"/>
      <w:r w:rsidRPr="00BF5888">
        <w:rPr>
          <w:rFonts w:ascii="Arial" w:hAnsi="Arial" w:cs="Arial"/>
          <w:sz w:val="22"/>
          <w:szCs w:val="22"/>
        </w:rPr>
        <w:t>Modiglianiho</w:t>
      </w:r>
      <w:proofErr w:type="spellEnd"/>
      <w:r w:rsidRPr="00BF5888">
        <w:rPr>
          <w:rFonts w:ascii="Arial" w:hAnsi="Arial" w:cs="Arial"/>
          <w:sz w:val="22"/>
          <w:szCs w:val="22"/>
        </w:rPr>
        <w:t xml:space="preserve"> II, která stanoví:</w:t>
      </w:r>
    </w:p>
    <w:p w:rsidR="00242A0C" w:rsidRDefault="00242A0C" w:rsidP="00242A0C">
      <w:pPr>
        <w:ind w:firstLine="708"/>
        <w:jc w:val="center"/>
        <w:rPr>
          <w:rFonts w:cs="Arial"/>
          <w:sz w:val="16"/>
          <w:szCs w:val="16"/>
        </w:rPr>
      </w:pPr>
      <w:r w:rsidRPr="00764D21">
        <w:rPr>
          <w:rFonts w:cs="Arial"/>
          <w:position w:val="-28"/>
          <w:sz w:val="16"/>
          <w:szCs w:val="16"/>
        </w:rPr>
        <w:object w:dxaOrig="2620" w:dyaOrig="680">
          <v:shape id="_x0000_i1027" type="#_x0000_t75" style="width:128.65pt;height:36pt" o:ole="">
            <v:imagedata r:id="rId31" o:title=""/>
          </v:shape>
          <o:OLEObject Type="Embed" ProgID="Equation.3" ShapeID="_x0000_i1027" DrawAspect="Content" ObjectID="_1761381320" r:id="rId32"/>
        </w:object>
      </w:r>
    </w:p>
    <w:p w:rsidR="00242A0C" w:rsidRPr="00BF5888" w:rsidRDefault="00242A0C" w:rsidP="009C1EC7">
      <w:pPr>
        <w:spacing w:before="240"/>
        <w:rPr>
          <w:rFonts w:ascii="Arial" w:hAnsi="Arial" w:cs="Arial"/>
          <w:sz w:val="22"/>
          <w:szCs w:val="22"/>
        </w:rPr>
      </w:pPr>
      <w:r w:rsidRPr="00BF5888">
        <w:rPr>
          <w:rFonts w:ascii="Arial" w:hAnsi="Arial" w:cs="Arial"/>
          <w:sz w:val="22"/>
          <w:szCs w:val="22"/>
        </w:rPr>
        <w:t>kde:</w:t>
      </w:r>
    </w:p>
    <w:p w:rsidR="00242A0C" w:rsidRPr="00BF5888" w:rsidRDefault="00242A0C" w:rsidP="00242A0C">
      <w:pPr>
        <w:numPr>
          <w:ilvl w:val="0"/>
          <w:numId w:val="71"/>
        </w:numPr>
        <w:autoSpaceDE w:val="0"/>
        <w:autoSpaceDN w:val="0"/>
        <w:adjustRightInd w:val="0"/>
        <w:rPr>
          <w:rFonts w:ascii="Arial" w:hAnsi="Arial" w:cs="Arial"/>
          <w:sz w:val="22"/>
          <w:szCs w:val="22"/>
        </w:rPr>
      </w:pPr>
      <w:r w:rsidRPr="00BF5888">
        <w:rPr>
          <w:rFonts w:ascii="Arial" w:hAnsi="Arial" w:cs="Arial"/>
          <w:sz w:val="22"/>
          <w:szCs w:val="22"/>
        </w:rPr>
        <w:t>β</w:t>
      </w:r>
      <w:r w:rsidRPr="00EF5797">
        <w:rPr>
          <w:rFonts w:ascii="Arial" w:hAnsi="Arial" w:cs="Arial"/>
          <w:sz w:val="22"/>
          <w:szCs w:val="22"/>
          <w:vertAlign w:val="subscript"/>
        </w:rPr>
        <w:t>L</w:t>
      </w:r>
      <w:r w:rsidRPr="00BF5888">
        <w:rPr>
          <w:rFonts w:ascii="Arial" w:hAnsi="Arial" w:cs="Arial"/>
          <w:sz w:val="22"/>
          <w:szCs w:val="22"/>
        </w:rPr>
        <w:t xml:space="preserve"> - přepočtený koeficient beta</w:t>
      </w:r>
      <w:r>
        <w:rPr>
          <w:rFonts w:ascii="Arial" w:hAnsi="Arial" w:cs="Arial"/>
          <w:sz w:val="22"/>
          <w:szCs w:val="22"/>
        </w:rPr>
        <w:t xml:space="preserve"> pro </w:t>
      </w:r>
      <w:r w:rsidRPr="00BF5888">
        <w:rPr>
          <w:rFonts w:ascii="Arial" w:hAnsi="Arial" w:cs="Arial"/>
          <w:sz w:val="22"/>
          <w:szCs w:val="22"/>
        </w:rPr>
        <w:t>kapitál společnosti,</w:t>
      </w:r>
    </w:p>
    <w:p w:rsidR="00242A0C" w:rsidRPr="00BF5888" w:rsidRDefault="00242A0C" w:rsidP="00242A0C">
      <w:pPr>
        <w:numPr>
          <w:ilvl w:val="0"/>
          <w:numId w:val="71"/>
        </w:numPr>
        <w:rPr>
          <w:rFonts w:ascii="Arial" w:hAnsi="Arial" w:cs="Arial"/>
          <w:sz w:val="22"/>
          <w:szCs w:val="22"/>
        </w:rPr>
      </w:pPr>
      <w:r w:rsidRPr="00BF5888">
        <w:rPr>
          <w:rFonts w:ascii="Arial" w:hAnsi="Arial" w:cs="Arial"/>
          <w:sz w:val="22"/>
          <w:szCs w:val="22"/>
        </w:rPr>
        <w:t>β</w:t>
      </w:r>
      <w:r w:rsidRPr="00EF5797">
        <w:rPr>
          <w:rFonts w:ascii="Arial" w:hAnsi="Arial" w:cs="Arial"/>
          <w:sz w:val="22"/>
          <w:szCs w:val="22"/>
          <w:vertAlign w:val="subscript"/>
        </w:rPr>
        <w:t>U</w:t>
      </w:r>
      <w:r w:rsidRPr="00BF5888">
        <w:rPr>
          <w:rFonts w:ascii="Arial" w:hAnsi="Arial" w:cs="Arial"/>
          <w:sz w:val="22"/>
          <w:szCs w:val="22"/>
        </w:rPr>
        <w:t xml:space="preserve"> - nepřepočtený koeficient beta (koeficient beta</w:t>
      </w:r>
      <w:r>
        <w:rPr>
          <w:rFonts w:ascii="Arial" w:hAnsi="Arial" w:cs="Arial"/>
          <w:sz w:val="22"/>
          <w:szCs w:val="22"/>
        </w:rPr>
        <w:t xml:space="preserve"> pro </w:t>
      </w:r>
      <w:r w:rsidRPr="00BF5888">
        <w:rPr>
          <w:rFonts w:ascii="Arial" w:hAnsi="Arial" w:cs="Arial"/>
          <w:sz w:val="22"/>
          <w:szCs w:val="22"/>
        </w:rPr>
        <w:t>společnost bez cizího kapitálu),</w:t>
      </w:r>
    </w:p>
    <w:p w:rsidR="00242A0C" w:rsidRPr="00BF5888" w:rsidRDefault="00242A0C" w:rsidP="00242A0C">
      <w:pPr>
        <w:numPr>
          <w:ilvl w:val="0"/>
          <w:numId w:val="71"/>
        </w:numPr>
        <w:autoSpaceDE w:val="0"/>
        <w:autoSpaceDN w:val="0"/>
        <w:adjustRightInd w:val="0"/>
        <w:rPr>
          <w:rFonts w:ascii="Arial" w:hAnsi="Arial" w:cs="Arial"/>
          <w:sz w:val="22"/>
          <w:szCs w:val="22"/>
        </w:rPr>
      </w:pPr>
      <w:r w:rsidRPr="00BF5888">
        <w:rPr>
          <w:rFonts w:ascii="Arial" w:hAnsi="Arial" w:cs="Arial"/>
          <w:sz w:val="22"/>
          <w:szCs w:val="22"/>
        </w:rPr>
        <w:t>T - efektivní daňová sazba společnosti,</w:t>
      </w:r>
    </w:p>
    <w:p w:rsidR="00242A0C" w:rsidRPr="00BF5888" w:rsidRDefault="00242A0C" w:rsidP="00242A0C">
      <w:pPr>
        <w:numPr>
          <w:ilvl w:val="0"/>
          <w:numId w:val="71"/>
        </w:numPr>
        <w:autoSpaceDE w:val="0"/>
        <w:autoSpaceDN w:val="0"/>
        <w:adjustRightInd w:val="0"/>
        <w:rPr>
          <w:rFonts w:ascii="Arial" w:hAnsi="Arial" w:cs="Arial"/>
          <w:sz w:val="22"/>
          <w:szCs w:val="22"/>
        </w:rPr>
      </w:pPr>
      <w:r w:rsidRPr="00BF5888">
        <w:rPr>
          <w:rFonts w:ascii="Arial" w:hAnsi="Arial" w:cs="Arial"/>
          <w:sz w:val="22"/>
          <w:szCs w:val="22"/>
        </w:rPr>
        <w:t>D - cizí kapitál,</w:t>
      </w:r>
    </w:p>
    <w:p w:rsidR="00242A0C" w:rsidRPr="00BF5888" w:rsidRDefault="00242A0C" w:rsidP="00242A0C">
      <w:pPr>
        <w:numPr>
          <w:ilvl w:val="0"/>
          <w:numId w:val="71"/>
        </w:numPr>
        <w:rPr>
          <w:rFonts w:ascii="Arial" w:hAnsi="Arial" w:cs="Arial"/>
          <w:sz w:val="22"/>
          <w:szCs w:val="22"/>
        </w:rPr>
      </w:pPr>
      <w:r w:rsidRPr="00BF5888">
        <w:rPr>
          <w:rFonts w:ascii="Arial" w:hAnsi="Arial" w:cs="Arial"/>
          <w:sz w:val="22"/>
          <w:szCs w:val="22"/>
        </w:rPr>
        <w:t>E - vlastní kapitál.</w:t>
      </w:r>
    </w:p>
    <w:p w:rsidR="00242A0C" w:rsidRPr="00BF5888" w:rsidRDefault="00242A0C" w:rsidP="00620BB3">
      <w:pPr>
        <w:spacing w:before="120" w:after="120"/>
        <w:ind w:firstLine="828"/>
        <w:rPr>
          <w:rFonts w:ascii="Arial" w:hAnsi="Arial" w:cs="Arial"/>
          <w:sz w:val="22"/>
          <w:szCs w:val="22"/>
        </w:rPr>
      </w:pPr>
      <w:r w:rsidRPr="00BF5888">
        <w:rPr>
          <w:rFonts w:ascii="Arial" w:hAnsi="Arial" w:cs="Arial"/>
          <w:sz w:val="22"/>
          <w:szCs w:val="22"/>
        </w:rPr>
        <w:t>Koeficient beta byl určen</w:t>
      </w:r>
      <w:r>
        <w:rPr>
          <w:rFonts w:ascii="Arial" w:hAnsi="Arial" w:cs="Arial"/>
          <w:sz w:val="22"/>
          <w:szCs w:val="22"/>
        </w:rPr>
        <w:t xml:space="preserve"> ve </w:t>
      </w:r>
      <w:r w:rsidRPr="00BF5888">
        <w:rPr>
          <w:rFonts w:ascii="Arial" w:hAnsi="Arial" w:cs="Arial"/>
          <w:sz w:val="22"/>
          <w:szCs w:val="22"/>
        </w:rPr>
        <w:t xml:space="preserve">výši 0,5824. </w:t>
      </w:r>
    </w:p>
    <w:p w:rsidR="002C1028" w:rsidRPr="00BF5888" w:rsidRDefault="002C1028" w:rsidP="00620BB3">
      <w:pPr>
        <w:spacing w:after="120"/>
        <w:ind w:firstLine="828"/>
        <w:jc w:val="both"/>
        <w:rPr>
          <w:rFonts w:ascii="Arial" w:hAnsi="Arial" w:cs="Arial"/>
          <w:sz w:val="22"/>
          <w:szCs w:val="22"/>
        </w:rPr>
      </w:pPr>
      <w:r w:rsidRPr="00BF5888">
        <w:rPr>
          <w:rFonts w:ascii="Arial" w:hAnsi="Arial" w:cs="Arial"/>
          <w:sz w:val="22"/>
          <w:szCs w:val="22"/>
        </w:rPr>
        <w:t>Tržní riziková prémie byla určena metodou úpravy rizikové prémie z</w:t>
      </w:r>
      <w:r w:rsidR="00546E0E">
        <w:rPr>
          <w:rFonts w:ascii="Arial" w:hAnsi="Arial" w:cs="Arial"/>
          <w:sz w:val="22"/>
          <w:szCs w:val="22"/>
        </w:rPr>
        <w:t xml:space="preserve"> </w:t>
      </w:r>
      <w:r w:rsidRPr="00BF5888">
        <w:rPr>
          <w:rFonts w:ascii="Arial" w:hAnsi="Arial" w:cs="Arial"/>
          <w:sz w:val="22"/>
          <w:szCs w:val="22"/>
        </w:rPr>
        <w:t>efektivních trhů</w:t>
      </w:r>
      <w:r>
        <w:rPr>
          <w:rFonts w:ascii="Arial" w:hAnsi="Arial" w:cs="Arial"/>
          <w:sz w:val="22"/>
          <w:szCs w:val="22"/>
        </w:rPr>
        <w:t xml:space="preserve"> </w:t>
      </w:r>
      <w:r w:rsidR="00546E0E">
        <w:rPr>
          <w:rFonts w:ascii="Arial" w:hAnsi="Arial" w:cs="Arial"/>
          <w:sz w:val="22"/>
          <w:szCs w:val="22"/>
        </w:rPr>
        <w:br/>
      </w:r>
      <w:r>
        <w:rPr>
          <w:rFonts w:ascii="Arial" w:hAnsi="Arial" w:cs="Arial"/>
          <w:sz w:val="22"/>
          <w:szCs w:val="22"/>
        </w:rPr>
        <w:t>a</w:t>
      </w:r>
      <w:r w:rsidR="00546E0E">
        <w:rPr>
          <w:rFonts w:ascii="Arial" w:hAnsi="Arial" w:cs="Arial"/>
          <w:sz w:val="22"/>
          <w:szCs w:val="22"/>
        </w:rPr>
        <w:t xml:space="preserve"> </w:t>
      </w:r>
      <w:r w:rsidRPr="00BF5888">
        <w:rPr>
          <w:rFonts w:ascii="Arial" w:hAnsi="Arial" w:cs="Arial"/>
          <w:sz w:val="22"/>
          <w:szCs w:val="22"/>
        </w:rPr>
        <w:t>byla stanovena</w:t>
      </w:r>
      <w:r>
        <w:rPr>
          <w:rFonts w:ascii="Arial" w:hAnsi="Arial" w:cs="Arial"/>
          <w:sz w:val="22"/>
          <w:szCs w:val="22"/>
        </w:rPr>
        <w:t xml:space="preserve"> ve</w:t>
      </w:r>
      <w:r w:rsidR="00546E0E">
        <w:rPr>
          <w:rFonts w:ascii="Arial" w:hAnsi="Arial" w:cs="Arial"/>
          <w:sz w:val="22"/>
          <w:szCs w:val="22"/>
        </w:rPr>
        <w:t xml:space="preserve"> </w:t>
      </w:r>
      <w:r w:rsidRPr="00BF5888">
        <w:rPr>
          <w:rFonts w:ascii="Arial" w:hAnsi="Arial" w:cs="Arial"/>
          <w:sz w:val="22"/>
          <w:szCs w:val="22"/>
        </w:rPr>
        <w:t>výši 5,21 %.</w:t>
      </w:r>
    </w:p>
    <w:p w:rsidR="00242A0C" w:rsidRPr="00B36853" w:rsidRDefault="00242A0C" w:rsidP="00620BB3">
      <w:pPr>
        <w:spacing w:after="120"/>
        <w:ind w:firstLine="828"/>
        <w:jc w:val="both"/>
        <w:rPr>
          <w:rFonts w:ascii="Arial" w:hAnsi="Arial" w:cs="Arial"/>
          <w:sz w:val="22"/>
          <w:szCs w:val="22"/>
        </w:rPr>
      </w:pPr>
      <w:r w:rsidRPr="00B36853">
        <w:rPr>
          <w:rFonts w:ascii="Arial" w:hAnsi="Arial" w:cs="Arial"/>
          <w:sz w:val="22"/>
          <w:szCs w:val="22"/>
        </w:rPr>
        <w:t>Zadlužení (D/E) bylo počítáno ze shodného vzorku společností</w:t>
      </w:r>
      <w:r>
        <w:rPr>
          <w:rFonts w:ascii="Arial" w:hAnsi="Arial" w:cs="Arial"/>
          <w:sz w:val="22"/>
          <w:szCs w:val="22"/>
        </w:rPr>
        <w:t xml:space="preserve"> jako</w:t>
      </w:r>
      <w:r w:rsidR="006A7798">
        <w:rPr>
          <w:rFonts w:ascii="Arial" w:hAnsi="Arial" w:cs="Arial"/>
          <w:sz w:val="22"/>
          <w:szCs w:val="22"/>
        </w:rPr>
        <w:t xml:space="preserve"> </w:t>
      </w:r>
      <w:r w:rsidRPr="00B36853">
        <w:rPr>
          <w:rFonts w:ascii="Arial" w:hAnsi="Arial" w:cs="Arial"/>
          <w:sz w:val="22"/>
          <w:szCs w:val="22"/>
        </w:rPr>
        <w:t>koeficient beta</w:t>
      </w:r>
      <w:r>
        <w:rPr>
          <w:rFonts w:ascii="Arial" w:hAnsi="Arial" w:cs="Arial"/>
          <w:sz w:val="22"/>
          <w:szCs w:val="22"/>
        </w:rPr>
        <w:t xml:space="preserve"> za </w:t>
      </w:r>
      <w:r w:rsidRPr="00B36853">
        <w:rPr>
          <w:rFonts w:ascii="Arial" w:hAnsi="Arial" w:cs="Arial"/>
          <w:sz w:val="22"/>
          <w:szCs w:val="22"/>
        </w:rPr>
        <w:t>použití účetní hodnoty dluhu</w:t>
      </w:r>
      <w:r>
        <w:rPr>
          <w:rFonts w:ascii="Arial" w:hAnsi="Arial" w:cs="Arial"/>
          <w:sz w:val="22"/>
          <w:szCs w:val="22"/>
        </w:rPr>
        <w:t xml:space="preserve"> a</w:t>
      </w:r>
      <w:r w:rsidR="006A7798">
        <w:rPr>
          <w:rFonts w:ascii="Arial" w:hAnsi="Arial" w:cs="Arial"/>
          <w:sz w:val="22"/>
          <w:szCs w:val="22"/>
        </w:rPr>
        <w:t xml:space="preserve"> </w:t>
      </w:r>
      <w:r w:rsidRPr="00B36853">
        <w:rPr>
          <w:rFonts w:ascii="Arial" w:hAnsi="Arial" w:cs="Arial"/>
          <w:sz w:val="22"/>
          <w:szCs w:val="22"/>
        </w:rPr>
        <w:t>tržní hodnoty vlastního kapitálu (tržní kapitalizace)</w:t>
      </w:r>
      <w:r>
        <w:rPr>
          <w:rFonts w:ascii="Arial" w:hAnsi="Arial" w:cs="Arial"/>
          <w:sz w:val="22"/>
          <w:szCs w:val="22"/>
        </w:rPr>
        <w:t xml:space="preserve"> ke</w:t>
      </w:r>
      <w:r w:rsidR="006A7798">
        <w:rPr>
          <w:rFonts w:ascii="Arial" w:hAnsi="Arial" w:cs="Arial"/>
          <w:sz w:val="22"/>
          <w:szCs w:val="22"/>
        </w:rPr>
        <w:t xml:space="preserve"> </w:t>
      </w:r>
      <w:r w:rsidRPr="00B36853">
        <w:rPr>
          <w:rFonts w:ascii="Arial" w:hAnsi="Arial" w:cs="Arial"/>
          <w:sz w:val="22"/>
          <w:szCs w:val="22"/>
        </w:rPr>
        <w:t xml:space="preserve">konci </w:t>
      </w:r>
      <w:r w:rsidRPr="00B36853">
        <w:rPr>
          <w:rFonts w:ascii="Arial" w:hAnsi="Arial" w:cs="Arial"/>
          <w:sz w:val="22"/>
          <w:szCs w:val="22"/>
        </w:rPr>
        <w:lastRenderedPageBreak/>
        <w:t>příslušného hospodářského roku,</w:t>
      </w:r>
      <w:r>
        <w:rPr>
          <w:rFonts w:ascii="Arial" w:hAnsi="Arial" w:cs="Arial"/>
          <w:sz w:val="22"/>
          <w:szCs w:val="22"/>
        </w:rPr>
        <w:t xml:space="preserve"> k</w:t>
      </w:r>
      <w:r w:rsidR="006A7798">
        <w:rPr>
          <w:rFonts w:ascii="Arial" w:hAnsi="Arial" w:cs="Arial"/>
          <w:sz w:val="22"/>
          <w:szCs w:val="22"/>
        </w:rPr>
        <w:t xml:space="preserve"> </w:t>
      </w:r>
      <w:r w:rsidRPr="00B36853">
        <w:rPr>
          <w:rFonts w:ascii="Arial" w:hAnsi="Arial" w:cs="Arial"/>
          <w:sz w:val="22"/>
          <w:szCs w:val="22"/>
        </w:rPr>
        <w:t>němuž daná společnost sestavila účetní závěrku. Dluh byl počítán</w:t>
      </w:r>
      <w:r w:rsidR="0047095F">
        <w:rPr>
          <w:rFonts w:ascii="Arial" w:hAnsi="Arial" w:cs="Arial"/>
          <w:sz w:val="22"/>
          <w:szCs w:val="22"/>
        </w:rPr>
        <w:t xml:space="preserve"> v </w:t>
      </w:r>
      <w:r w:rsidRPr="00B36853">
        <w:rPr>
          <w:rFonts w:ascii="Arial" w:hAnsi="Arial" w:cs="Arial"/>
          <w:sz w:val="22"/>
          <w:szCs w:val="22"/>
        </w:rPr>
        <w:t>netto hodnotě, tedy očištěn</w:t>
      </w:r>
      <w:r>
        <w:rPr>
          <w:rFonts w:ascii="Arial" w:hAnsi="Arial" w:cs="Arial"/>
          <w:sz w:val="22"/>
          <w:szCs w:val="22"/>
        </w:rPr>
        <w:t xml:space="preserve"> o</w:t>
      </w:r>
      <w:r w:rsidR="006A7798">
        <w:rPr>
          <w:rFonts w:ascii="Arial" w:hAnsi="Arial" w:cs="Arial"/>
          <w:sz w:val="22"/>
          <w:szCs w:val="22"/>
        </w:rPr>
        <w:t xml:space="preserve"> </w:t>
      </w:r>
      <w:r w:rsidRPr="00B36853">
        <w:rPr>
          <w:rFonts w:ascii="Arial" w:hAnsi="Arial" w:cs="Arial"/>
          <w:sz w:val="22"/>
          <w:szCs w:val="22"/>
        </w:rPr>
        <w:t>neprovozní hotovost (hotovost nad 15 % peněžní likviditu)</w:t>
      </w:r>
      <w:r>
        <w:rPr>
          <w:rFonts w:ascii="Arial" w:hAnsi="Arial" w:cs="Arial"/>
          <w:sz w:val="22"/>
          <w:szCs w:val="22"/>
        </w:rPr>
        <w:t xml:space="preserve"> a</w:t>
      </w:r>
      <w:r w:rsidR="006A7798">
        <w:rPr>
          <w:rFonts w:ascii="Arial" w:hAnsi="Arial" w:cs="Arial"/>
          <w:sz w:val="22"/>
          <w:szCs w:val="22"/>
        </w:rPr>
        <w:t xml:space="preserve"> </w:t>
      </w:r>
      <w:r w:rsidRPr="00B36853">
        <w:rPr>
          <w:rFonts w:ascii="Arial" w:hAnsi="Arial" w:cs="Arial"/>
          <w:sz w:val="22"/>
          <w:szCs w:val="22"/>
        </w:rPr>
        <w:t>očištěn</w:t>
      </w:r>
      <w:r>
        <w:rPr>
          <w:rFonts w:ascii="Arial" w:hAnsi="Arial" w:cs="Arial"/>
          <w:sz w:val="22"/>
          <w:szCs w:val="22"/>
        </w:rPr>
        <w:t xml:space="preserve"> o</w:t>
      </w:r>
      <w:r w:rsidR="006A7798">
        <w:rPr>
          <w:rFonts w:ascii="Arial" w:hAnsi="Arial" w:cs="Arial"/>
          <w:sz w:val="22"/>
          <w:szCs w:val="22"/>
        </w:rPr>
        <w:t xml:space="preserve"> </w:t>
      </w:r>
      <w:r w:rsidRPr="00B36853">
        <w:rPr>
          <w:rFonts w:ascii="Arial" w:hAnsi="Arial" w:cs="Arial"/>
          <w:sz w:val="22"/>
          <w:szCs w:val="22"/>
        </w:rPr>
        <w:t>nekonsolidované investice</w:t>
      </w:r>
      <w:r>
        <w:rPr>
          <w:rFonts w:ascii="Arial" w:hAnsi="Arial" w:cs="Arial"/>
          <w:sz w:val="22"/>
          <w:szCs w:val="22"/>
        </w:rPr>
        <w:t xml:space="preserve"> do</w:t>
      </w:r>
      <w:r w:rsidR="006A7798">
        <w:rPr>
          <w:rFonts w:ascii="Arial" w:hAnsi="Arial" w:cs="Arial"/>
          <w:sz w:val="22"/>
          <w:szCs w:val="22"/>
        </w:rPr>
        <w:t xml:space="preserve"> </w:t>
      </w:r>
      <w:r w:rsidRPr="00B36853">
        <w:rPr>
          <w:rFonts w:ascii="Arial" w:hAnsi="Arial" w:cs="Arial"/>
          <w:sz w:val="22"/>
          <w:szCs w:val="22"/>
        </w:rPr>
        <w:t>finančních aktiv. Poměr D/E byl určen</w:t>
      </w:r>
      <w:r>
        <w:rPr>
          <w:rFonts w:ascii="Arial" w:hAnsi="Arial" w:cs="Arial"/>
          <w:sz w:val="22"/>
          <w:szCs w:val="22"/>
        </w:rPr>
        <w:t xml:space="preserve"> ve</w:t>
      </w:r>
      <w:r w:rsidR="0047095F">
        <w:rPr>
          <w:rFonts w:ascii="Arial" w:hAnsi="Arial" w:cs="Arial"/>
          <w:sz w:val="22"/>
          <w:szCs w:val="22"/>
        </w:rPr>
        <w:t> </w:t>
      </w:r>
      <w:r w:rsidRPr="00B36853">
        <w:rPr>
          <w:rFonts w:ascii="Arial" w:hAnsi="Arial" w:cs="Arial"/>
          <w:sz w:val="22"/>
          <w:szCs w:val="22"/>
        </w:rPr>
        <w:t>výši 24,21 %.</w:t>
      </w:r>
    </w:p>
    <w:p w:rsidR="00242A0C" w:rsidRPr="00B36853" w:rsidRDefault="00242A0C" w:rsidP="00620BB3">
      <w:pPr>
        <w:spacing w:after="120"/>
        <w:ind w:firstLine="828"/>
        <w:jc w:val="both"/>
        <w:rPr>
          <w:rFonts w:ascii="Arial" w:hAnsi="Arial" w:cs="Arial"/>
          <w:sz w:val="22"/>
          <w:szCs w:val="22"/>
        </w:rPr>
      </w:pPr>
      <w:r w:rsidRPr="00B36853">
        <w:rPr>
          <w:rFonts w:ascii="Arial" w:hAnsi="Arial" w:cs="Arial"/>
          <w:sz w:val="22"/>
          <w:szCs w:val="22"/>
        </w:rPr>
        <w:t>Pro stanovení nákladů cizího kapitálu se vycházelo z</w:t>
      </w:r>
      <w:r w:rsidR="006A7798">
        <w:rPr>
          <w:rFonts w:ascii="Arial" w:hAnsi="Arial" w:cs="Arial"/>
          <w:sz w:val="22"/>
          <w:szCs w:val="22"/>
        </w:rPr>
        <w:t xml:space="preserve"> </w:t>
      </w:r>
      <w:r w:rsidRPr="00B36853">
        <w:rPr>
          <w:rFonts w:ascii="Arial" w:hAnsi="Arial" w:cs="Arial"/>
          <w:sz w:val="22"/>
          <w:szCs w:val="22"/>
        </w:rPr>
        <w:t>tržní bezrizikové úrokové míry, která byla navýšena</w:t>
      </w:r>
      <w:r>
        <w:rPr>
          <w:rFonts w:ascii="Arial" w:hAnsi="Arial" w:cs="Arial"/>
          <w:sz w:val="22"/>
          <w:szCs w:val="22"/>
        </w:rPr>
        <w:t xml:space="preserve"> o</w:t>
      </w:r>
      <w:r w:rsidR="006A7798">
        <w:rPr>
          <w:rFonts w:ascii="Arial" w:hAnsi="Arial" w:cs="Arial"/>
          <w:sz w:val="22"/>
          <w:szCs w:val="22"/>
        </w:rPr>
        <w:t xml:space="preserve"> </w:t>
      </w:r>
      <w:r w:rsidRPr="00B36853">
        <w:rPr>
          <w:rFonts w:ascii="Arial" w:hAnsi="Arial" w:cs="Arial"/>
          <w:sz w:val="22"/>
          <w:szCs w:val="22"/>
        </w:rPr>
        <w:t>specifickou rizikovou prémii, která byla získána</w:t>
      </w:r>
      <w:r w:rsidR="0047095F">
        <w:rPr>
          <w:rFonts w:ascii="Arial" w:hAnsi="Arial" w:cs="Arial"/>
          <w:sz w:val="22"/>
          <w:szCs w:val="22"/>
        </w:rPr>
        <w:t xml:space="preserve"> na </w:t>
      </w:r>
      <w:r w:rsidRPr="00B36853">
        <w:rPr>
          <w:rFonts w:ascii="Arial" w:hAnsi="Arial" w:cs="Arial"/>
          <w:sz w:val="22"/>
          <w:szCs w:val="22"/>
        </w:rPr>
        <w:t>základě analýzy specifické rizikové prémie</w:t>
      </w:r>
      <w:r>
        <w:rPr>
          <w:rFonts w:ascii="Arial" w:hAnsi="Arial" w:cs="Arial"/>
          <w:sz w:val="22"/>
          <w:szCs w:val="22"/>
        </w:rPr>
        <w:t xml:space="preserve"> a</w:t>
      </w:r>
      <w:r w:rsidR="006A7798">
        <w:rPr>
          <w:rFonts w:ascii="Arial" w:hAnsi="Arial" w:cs="Arial"/>
          <w:sz w:val="22"/>
          <w:szCs w:val="22"/>
        </w:rPr>
        <w:t xml:space="preserve"> </w:t>
      </w:r>
      <w:r w:rsidRPr="00B36853">
        <w:rPr>
          <w:rFonts w:ascii="Arial" w:hAnsi="Arial" w:cs="Arial"/>
          <w:sz w:val="22"/>
          <w:szCs w:val="22"/>
        </w:rPr>
        <w:t>ratingu dluhopisů evropských telekomunikačních společností. Náklady cizího kapitálu byly stanoveny</w:t>
      </w:r>
      <w:r>
        <w:rPr>
          <w:rFonts w:ascii="Arial" w:hAnsi="Arial" w:cs="Arial"/>
          <w:sz w:val="22"/>
          <w:szCs w:val="22"/>
        </w:rPr>
        <w:t xml:space="preserve"> ve</w:t>
      </w:r>
      <w:r w:rsidR="006A7798">
        <w:rPr>
          <w:rFonts w:ascii="Arial" w:hAnsi="Arial" w:cs="Arial"/>
          <w:sz w:val="22"/>
          <w:szCs w:val="22"/>
        </w:rPr>
        <w:t xml:space="preserve"> </w:t>
      </w:r>
      <w:r w:rsidRPr="00B36853">
        <w:rPr>
          <w:rFonts w:ascii="Arial" w:hAnsi="Arial" w:cs="Arial"/>
          <w:sz w:val="22"/>
          <w:szCs w:val="22"/>
        </w:rPr>
        <w:t>výši 4,511 %.</w:t>
      </w:r>
    </w:p>
    <w:p w:rsidR="00242A0C" w:rsidRPr="00B36853" w:rsidRDefault="00242A0C" w:rsidP="00620BB3">
      <w:pPr>
        <w:spacing w:after="120"/>
        <w:ind w:firstLine="828"/>
        <w:jc w:val="both"/>
        <w:rPr>
          <w:rFonts w:ascii="Arial" w:hAnsi="Arial" w:cs="Arial"/>
          <w:sz w:val="22"/>
          <w:szCs w:val="22"/>
        </w:rPr>
      </w:pPr>
      <w:r w:rsidRPr="00B36853">
        <w:rPr>
          <w:rFonts w:ascii="Arial" w:hAnsi="Arial" w:cs="Arial"/>
          <w:sz w:val="22"/>
          <w:szCs w:val="22"/>
        </w:rPr>
        <w:t>Jako daňová sazba byla použita sazba daně z</w:t>
      </w:r>
      <w:r w:rsidR="006A7798">
        <w:rPr>
          <w:rFonts w:ascii="Arial" w:hAnsi="Arial" w:cs="Arial"/>
          <w:sz w:val="22"/>
          <w:szCs w:val="22"/>
        </w:rPr>
        <w:t xml:space="preserve"> </w:t>
      </w:r>
      <w:r w:rsidRPr="00B36853">
        <w:rPr>
          <w:rFonts w:ascii="Arial" w:hAnsi="Arial" w:cs="Arial"/>
          <w:sz w:val="22"/>
          <w:szCs w:val="22"/>
        </w:rPr>
        <w:t>příjmů právnických osob</w:t>
      </w:r>
      <w:r>
        <w:rPr>
          <w:rFonts w:ascii="Arial" w:hAnsi="Arial" w:cs="Arial"/>
          <w:sz w:val="22"/>
          <w:szCs w:val="22"/>
        </w:rPr>
        <w:t xml:space="preserve"> ve</w:t>
      </w:r>
      <w:r w:rsidR="006A7798">
        <w:rPr>
          <w:rFonts w:ascii="Arial" w:hAnsi="Arial" w:cs="Arial"/>
          <w:sz w:val="22"/>
          <w:szCs w:val="22"/>
        </w:rPr>
        <w:t xml:space="preserve"> </w:t>
      </w:r>
      <w:r w:rsidRPr="00B36853">
        <w:rPr>
          <w:rFonts w:ascii="Arial" w:hAnsi="Arial" w:cs="Arial"/>
          <w:sz w:val="22"/>
          <w:szCs w:val="22"/>
        </w:rPr>
        <w:t xml:space="preserve">výši </w:t>
      </w:r>
      <w:r w:rsidR="00620BB3">
        <w:rPr>
          <w:rFonts w:ascii="Arial" w:hAnsi="Arial" w:cs="Arial"/>
          <w:sz w:val="22"/>
          <w:szCs w:val="22"/>
        </w:rPr>
        <w:br/>
      </w:r>
      <w:r w:rsidRPr="00B36853">
        <w:rPr>
          <w:rFonts w:ascii="Arial" w:hAnsi="Arial" w:cs="Arial"/>
          <w:sz w:val="22"/>
          <w:szCs w:val="22"/>
        </w:rPr>
        <w:t>19 %.</w:t>
      </w:r>
    </w:p>
    <w:p w:rsidR="00242A0C" w:rsidRPr="00B36853" w:rsidRDefault="00454BD8" w:rsidP="00620BB3">
      <w:pPr>
        <w:spacing w:after="120"/>
        <w:ind w:firstLine="828"/>
        <w:jc w:val="both"/>
        <w:rPr>
          <w:rFonts w:ascii="Arial" w:hAnsi="Arial" w:cs="Arial"/>
          <w:sz w:val="22"/>
          <w:szCs w:val="22"/>
        </w:rPr>
      </w:pPr>
      <w:r>
        <w:rPr>
          <w:rFonts w:ascii="Arial" w:hAnsi="Arial" w:cs="Arial"/>
          <w:sz w:val="22"/>
          <w:szCs w:val="22"/>
        </w:rPr>
        <w:t>Samostatně</w:t>
      </w:r>
      <w:r w:rsidR="00242A0C" w:rsidRPr="00B36853">
        <w:rPr>
          <w:rFonts w:ascii="Arial" w:hAnsi="Arial" w:cs="Arial"/>
          <w:sz w:val="22"/>
          <w:szCs w:val="22"/>
        </w:rPr>
        <w:t xml:space="preserve"> je</w:t>
      </w:r>
      <w:r w:rsidR="0047095F">
        <w:rPr>
          <w:rFonts w:ascii="Arial" w:hAnsi="Arial" w:cs="Arial"/>
          <w:sz w:val="22"/>
          <w:szCs w:val="22"/>
        </w:rPr>
        <w:t xml:space="preserve"> v </w:t>
      </w:r>
      <w:r w:rsidR="00242A0C" w:rsidRPr="00B36853">
        <w:rPr>
          <w:rFonts w:ascii="Arial" w:hAnsi="Arial" w:cs="Arial"/>
          <w:sz w:val="22"/>
          <w:szCs w:val="22"/>
        </w:rPr>
        <w:t>článku 6 odst. 3 stanoveno procento návratnosti vloženého kapitálu</w:t>
      </w:r>
      <w:r w:rsidR="00242A0C">
        <w:rPr>
          <w:rFonts w:ascii="Arial" w:hAnsi="Arial" w:cs="Arial"/>
          <w:sz w:val="22"/>
          <w:szCs w:val="22"/>
        </w:rPr>
        <w:t xml:space="preserve"> před</w:t>
      </w:r>
      <w:r w:rsidR="006A7798">
        <w:rPr>
          <w:rFonts w:ascii="Arial" w:hAnsi="Arial" w:cs="Arial"/>
          <w:sz w:val="22"/>
          <w:szCs w:val="22"/>
        </w:rPr>
        <w:t xml:space="preserve"> </w:t>
      </w:r>
      <w:r w:rsidR="00242A0C" w:rsidRPr="00B36853">
        <w:rPr>
          <w:rFonts w:ascii="Arial" w:hAnsi="Arial" w:cs="Arial"/>
          <w:sz w:val="22"/>
          <w:szCs w:val="22"/>
        </w:rPr>
        <w:t>zdaněním WACC</w:t>
      </w:r>
      <w:r w:rsidR="00242A0C">
        <w:rPr>
          <w:rFonts w:ascii="Arial" w:hAnsi="Arial" w:cs="Arial"/>
          <w:sz w:val="22"/>
          <w:szCs w:val="22"/>
        </w:rPr>
        <w:t xml:space="preserve"> pro</w:t>
      </w:r>
      <w:r w:rsidR="006A7798">
        <w:rPr>
          <w:rFonts w:ascii="Arial" w:hAnsi="Arial" w:cs="Arial"/>
          <w:sz w:val="22"/>
          <w:szCs w:val="22"/>
        </w:rPr>
        <w:t xml:space="preserve"> </w:t>
      </w:r>
      <w:r w:rsidR="00242A0C" w:rsidRPr="00B36853">
        <w:rPr>
          <w:rFonts w:ascii="Arial" w:hAnsi="Arial" w:cs="Arial"/>
          <w:sz w:val="22"/>
          <w:szCs w:val="22"/>
        </w:rPr>
        <w:t>službu přístupu</w:t>
      </w:r>
      <w:r w:rsidR="0047095F">
        <w:rPr>
          <w:rFonts w:ascii="Arial" w:hAnsi="Arial" w:cs="Arial"/>
          <w:sz w:val="22"/>
          <w:szCs w:val="22"/>
        </w:rPr>
        <w:t xml:space="preserve"> na </w:t>
      </w:r>
      <w:r w:rsidR="00242A0C" w:rsidRPr="00B36853">
        <w:rPr>
          <w:rFonts w:ascii="Arial" w:hAnsi="Arial" w:cs="Arial"/>
          <w:sz w:val="22"/>
          <w:szCs w:val="22"/>
        </w:rPr>
        <w:t>přístupových sítích nové generace</w:t>
      </w:r>
      <w:r w:rsidR="0047095F">
        <w:rPr>
          <w:rFonts w:ascii="Arial" w:hAnsi="Arial" w:cs="Arial"/>
          <w:sz w:val="22"/>
          <w:szCs w:val="22"/>
        </w:rPr>
        <w:t xml:space="preserve"> v </w:t>
      </w:r>
      <w:r w:rsidRPr="00AA6417">
        <w:rPr>
          <w:rFonts w:ascii="Arial" w:hAnsi="Arial" w:cs="Arial"/>
          <w:sz w:val="22"/>
          <w:szCs w:val="22"/>
        </w:rPr>
        <w:t>souladu</w:t>
      </w:r>
      <w:r w:rsidR="006A7798" w:rsidRPr="00AA6417">
        <w:rPr>
          <w:rFonts w:ascii="Arial" w:hAnsi="Arial" w:cs="Arial"/>
          <w:sz w:val="22"/>
          <w:szCs w:val="22"/>
        </w:rPr>
        <w:t xml:space="preserve"> s </w:t>
      </w:r>
      <w:r w:rsidRPr="00AA6417">
        <w:rPr>
          <w:rFonts w:ascii="Arial" w:hAnsi="Arial" w:cs="Arial"/>
          <w:sz w:val="22"/>
          <w:szCs w:val="22"/>
        </w:rPr>
        <w:t>Doporučením Komise ze dne 20</w:t>
      </w:r>
      <w:r w:rsidR="00DD4F53">
        <w:rPr>
          <w:rFonts w:ascii="Arial" w:hAnsi="Arial" w:cs="Arial"/>
          <w:sz w:val="22"/>
          <w:szCs w:val="22"/>
        </w:rPr>
        <w:t>.</w:t>
      </w:r>
      <w:r w:rsidRPr="00AA6417">
        <w:rPr>
          <w:rFonts w:ascii="Arial" w:hAnsi="Arial" w:cs="Arial"/>
          <w:sz w:val="22"/>
          <w:szCs w:val="22"/>
        </w:rPr>
        <w:t xml:space="preserve"> září 2010 o regulovaném přístupu k přístupovým sítím nové generace (NGA) č. 2010/572/EU</w:t>
      </w:r>
      <w:r w:rsidR="00242A0C" w:rsidRPr="00AA6417">
        <w:rPr>
          <w:rFonts w:ascii="Arial" w:hAnsi="Arial" w:cs="Arial"/>
          <w:sz w:val="22"/>
          <w:szCs w:val="22"/>
        </w:rPr>
        <w:t>. Přístupovými sítěmi nové generace s</w:t>
      </w:r>
      <w:r w:rsidR="00242A0C" w:rsidRPr="00B36853">
        <w:rPr>
          <w:rFonts w:ascii="Arial" w:hAnsi="Arial" w:cs="Arial"/>
          <w:sz w:val="22"/>
          <w:szCs w:val="22"/>
        </w:rPr>
        <w:t>e rozumí kabelové přístupové sítě, které sestávají z</w:t>
      </w:r>
      <w:r w:rsidR="006A7798">
        <w:rPr>
          <w:rFonts w:ascii="Arial" w:hAnsi="Arial" w:cs="Arial"/>
          <w:sz w:val="22"/>
          <w:szCs w:val="22"/>
        </w:rPr>
        <w:t xml:space="preserve"> </w:t>
      </w:r>
      <w:r w:rsidR="00242A0C" w:rsidRPr="00B36853">
        <w:rPr>
          <w:rFonts w:ascii="Arial" w:hAnsi="Arial" w:cs="Arial"/>
          <w:sz w:val="22"/>
          <w:szCs w:val="22"/>
        </w:rPr>
        <w:t>optických prvků</w:t>
      </w:r>
      <w:r w:rsidR="00242A0C">
        <w:rPr>
          <w:rFonts w:ascii="Arial" w:hAnsi="Arial" w:cs="Arial"/>
          <w:sz w:val="22"/>
          <w:szCs w:val="22"/>
        </w:rPr>
        <w:t xml:space="preserve"> a</w:t>
      </w:r>
      <w:r w:rsidR="006A7798">
        <w:rPr>
          <w:rFonts w:ascii="Arial" w:hAnsi="Arial" w:cs="Arial"/>
          <w:sz w:val="22"/>
          <w:szCs w:val="22"/>
        </w:rPr>
        <w:t xml:space="preserve"> </w:t>
      </w:r>
      <w:r w:rsidR="00242A0C" w:rsidRPr="00B36853">
        <w:rPr>
          <w:rFonts w:ascii="Arial" w:hAnsi="Arial" w:cs="Arial"/>
          <w:sz w:val="22"/>
          <w:szCs w:val="22"/>
        </w:rPr>
        <w:t>které jsou schopné dodávat služby širokopásmového přístupu</w:t>
      </w:r>
      <w:r w:rsidR="006A7798">
        <w:rPr>
          <w:rFonts w:ascii="Arial" w:hAnsi="Arial" w:cs="Arial"/>
          <w:sz w:val="22"/>
          <w:szCs w:val="22"/>
        </w:rPr>
        <w:t xml:space="preserve"> s </w:t>
      </w:r>
      <w:r w:rsidR="00242A0C" w:rsidRPr="00B36853">
        <w:rPr>
          <w:rFonts w:ascii="Arial" w:hAnsi="Arial" w:cs="Arial"/>
          <w:sz w:val="22"/>
          <w:szCs w:val="22"/>
        </w:rPr>
        <w:t>dokonalejšími vlastnostmi (např.</w:t>
      </w:r>
      <w:r w:rsidR="00242A0C">
        <w:rPr>
          <w:rFonts w:ascii="Arial" w:hAnsi="Arial" w:cs="Arial"/>
          <w:sz w:val="22"/>
          <w:szCs w:val="22"/>
        </w:rPr>
        <w:t xml:space="preserve"> </w:t>
      </w:r>
      <w:r w:rsidR="006A7798">
        <w:rPr>
          <w:rFonts w:ascii="Arial" w:hAnsi="Arial" w:cs="Arial"/>
          <w:sz w:val="22"/>
          <w:szCs w:val="22"/>
        </w:rPr>
        <w:t xml:space="preserve">s </w:t>
      </w:r>
      <w:r w:rsidR="00242A0C" w:rsidRPr="00B36853">
        <w:rPr>
          <w:rFonts w:ascii="Arial" w:hAnsi="Arial" w:cs="Arial"/>
          <w:sz w:val="22"/>
          <w:szCs w:val="22"/>
        </w:rPr>
        <w:t>vyšší propustností)</w:t>
      </w:r>
      <w:r w:rsidR="00242A0C">
        <w:rPr>
          <w:rFonts w:ascii="Arial" w:hAnsi="Arial" w:cs="Arial"/>
          <w:sz w:val="22"/>
          <w:szCs w:val="22"/>
        </w:rPr>
        <w:t xml:space="preserve"> ve</w:t>
      </w:r>
      <w:r w:rsidR="007C0B5A">
        <w:rPr>
          <w:rFonts w:ascii="Arial" w:hAnsi="Arial" w:cs="Arial"/>
          <w:sz w:val="22"/>
          <w:szCs w:val="22"/>
        </w:rPr>
        <w:t> </w:t>
      </w:r>
      <w:r w:rsidR="00242A0C" w:rsidRPr="00B36853">
        <w:rPr>
          <w:rFonts w:ascii="Arial" w:hAnsi="Arial" w:cs="Arial"/>
          <w:sz w:val="22"/>
          <w:szCs w:val="22"/>
        </w:rPr>
        <w:t>srovnání se službami poskytovanými prostřednictvím stávajících sítí založených</w:t>
      </w:r>
      <w:r w:rsidR="0047095F">
        <w:rPr>
          <w:rFonts w:ascii="Arial" w:hAnsi="Arial" w:cs="Arial"/>
          <w:sz w:val="22"/>
          <w:szCs w:val="22"/>
        </w:rPr>
        <w:t xml:space="preserve"> na </w:t>
      </w:r>
      <w:r w:rsidR="00242A0C" w:rsidRPr="00B36853">
        <w:rPr>
          <w:rFonts w:ascii="Arial" w:hAnsi="Arial" w:cs="Arial"/>
          <w:sz w:val="22"/>
          <w:szCs w:val="22"/>
        </w:rPr>
        <w:t>kovovém vedení.</w:t>
      </w:r>
    </w:p>
    <w:p w:rsidR="00242A0C" w:rsidRPr="00B36853" w:rsidRDefault="00242A0C" w:rsidP="00620BB3">
      <w:pPr>
        <w:spacing w:before="240"/>
        <w:ind w:firstLine="828"/>
        <w:jc w:val="both"/>
        <w:rPr>
          <w:rFonts w:ascii="Arial" w:hAnsi="Arial" w:cs="Arial"/>
          <w:sz w:val="22"/>
          <w:szCs w:val="22"/>
        </w:rPr>
      </w:pPr>
      <w:r w:rsidRPr="00B36853">
        <w:rPr>
          <w:rFonts w:ascii="Arial" w:hAnsi="Arial" w:cs="Arial"/>
          <w:sz w:val="22"/>
          <w:szCs w:val="22"/>
        </w:rPr>
        <w:t xml:space="preserve">Zavádění </w:t>
      </w:r>
      <w:r w:rsidR="00454BD8" w:rsidRPr="00AA6417">
        <w:rPr>
          <w:rFonts w:ascii="Arial" w:hAnsi="Arial" w:cs="Arial"/>
          <w:sz w:val="22"/>
          <w:szCs w:val="22"/>
        </w:rPr>
        <w:t>přístupových sítí nové generace typu</w:t>
      </w:r>
      <w:r w:rsidR="00454BD8">
        <w:rPr>
          <w:rFonts w:ascii="Arial" w:hAnsi="Arial" w:cs="Arial"/>
          <w:sz w:val="22"/>
          <w:szCs w:val="22"/>
        </w:rPr>
        <w:t xml:space="preserve"> </w:t>
      </w:r>
      <w:r w:rsidRPr="00B36853">
        <w:rPr>
          <w:rFonts w:ascii="Arial" w:hAnsi="Arial" w:cs="Arial"/>
          <w:sz w:val="22"/>
          <w:szCs w:val="22"/>
        </w:rPr>
        <w:t>FTTH (</w:t>
      </w:r>
      <w:proofErr w:type="spellStart"/>
      <w:r w:rsidRPr="00B36853">
        <w:rPr>
          <w:rFonts w:ascii="Arial" w:hAnsi="Arial" w:cs="Arial"/>
          <w:sz w:val="22"/>
          <w:szCs w:val="22"/>
        </w:rPr>
        <w:t>Fibr</w:t>
      </w:r>
      <w:r w:rsidR="0001767B">
        <w:rPr>
          <w:rFonts w:ascii="Arial" w:hAnsi="Arial" w:cs="Arial"/>
          <w:sz w:val="22"/>
          <w:szCs w:val="22"/>
        </w:rPr>
        <w:t>e</w:t>
      </w:r>
      <w:proofErr w:type="spellEnd"/>
      <w:r w:rsidRPr="00B36853">
        <w:rPr>
          <w:rFonts w:ascii="Arial" w:hAnsi="Arial" w:cs="Arial"/>
          <w:sz w:val="22"/>
          <w:szCs w:val="22"/>
        </w:rPr>
        <w:t xml:space="preserve"> to </w:t>
      </w:r>
      <w:proofErr w:type="spellStart"/>
      <w:r w:rsidRPr="00B36853">
        <w:rPr>
          <w:rFonts w:ascii="Arial" w:hAnsi="Arial" w:cs="Arial"/>
          <w:sz w:val="22"/>
          <w:szCs w:val="22"/>
        </w:rPr>
        <w:t>the</w:t>
      </w:r>
      <w:proofErr w:type="spellEnd"/>
      <w:r w:rsidRPr="00B36853">
        <w:rPr>
          <w:rFonts w:ascii="Arial" w:hAnsi="Arial" w:cs="Arial"/>
          <w:sz w:val="22"/>
          <w:szCs w:val="22"/>
        </w:rPr>
        <w:t xml:space="preserve"> </w:t>
      </w:r>
      <w:proofErr w:type="spellStart"/>
      <w:r w:rsidRPr="00B36853">
        <w:rPr>
          <w:rFonts w:ascii="Arial" w:hAnsi="Arial" w:cs="Arial"/>
          <w:sz w:val="22"/>
          <w:szCs w:val="22"/>
        </w:rPr>
        <w:t>Home</w:t>
      </w:r>
      <w:proofErr w:type="spellEnd"/>
      <w:r w:rsidRPr="00B36853">
        <w:rPr>
          <w:rFonts w:ascii="Arial" w:hAnsi="Arial" w:cs="Arial"/>
          <w:sz w:val="22"/>
          <w:szCs w:val="22"/>
        </w:rPr>
        <w:t>) je obvykle spojeno se značnými riziky vzhledem</w:t>
      </w:r>
      <w:r>
        <w:rPr>
          <w:rFonts w:ascii="Arial" w:hAnsi="Arial" w:cs="Arial"/>
          <w:sz w:val="22"/>
          <w:szCs w:val="22"/>
        </w:rPr>
        <w:t xml:space="preserve"> k</w:t>
      </w:r>
      <w:r w:rsidR="006A7798">
        <w:rPr>
          <w:rFonts w:ascii="Arial" w:hAnsi="Arial" w:cs="Arial"/>
          <w:sz w:val="22"/>
          <w:szCs w:val="22"/>
        </w:rPr>
        <w:t xml:space="preserve"> </w:t>
      </w:r>
      <w:r w:rsidRPr="00B36853">
        <w:rPr>
          <w:rFonts w:ascii="Arial" w:hAnsi="Arial" w:cs="Arial"/>
          <w:sz w:val="22"/>
          <w:szCs w:val="22"/>
        </w:rPr>
        <w:t>vysokým nákladům</w:t>
      </w:r>
      <w:r w:rsidR="0047095F">
        <w:rPr>
          <w:rFonts w:ascii="Arial" w:hAnsi="Arial" w:cs="Arial"/>
          <w:sz w:val="22"/>
          <w:szCs w:val="22"/>
        </w:rPr>
        <w:t xml:space="preserve"> na </w:t>
      </w:r>
      <w:r w:rsidRPr="00B36853">
        <w:rPr>
          <w:rFonts w:ascii="Arial" w:hAnsi="Arial" w:cs="Arial"/>
          <w:sz w:val="22"/>
          <w:szCs w:val="22"/>
        </w:rPr>
        <w:t>jeho zavedení</w:t>
      </w:r>
      <w:r w:rsidR="0047095F">
        <w:rPr>
          <w:rFonts w:ascii="Arial" w:hAnsi="Arial" w:cs="Arial"/>
          <w:sz w:val="22"/>
          <w:szCs w:val="22"/>
        </w:rPr>
        <w:t xml:space="preserve"> na </w:t>
      </w:r>
      <w:r w:rsidRPr="00B36853">
        <w:rPr>
          <w:rFonts w:ascii="Arial" w:hAnsi="Arial" w:cs="Arial"/>
          <w:sz w:val="22"/>
          <w:szCs w:val="22"/>
        </w:rPr>
        <w:t>domácnost</w:t>
      </w:r>
      <w:r>
        <w:rPr>
          <w:rFonts w:ascii="Arial" w:hAnsi="Arial" w:cs="Arial"/>
          <w:sz w:val="22"/>
          <w:szCs w:val="22"/>
        </w:rPr>
        <w:t xml:space="preserve"> a ke</w:t>
      </w:r>
      <w:r w:rsidR="006A7798">
        <w:rPr>
          <w:rFonts w:ascii="Arial" w:hAnsi="Arial" w:cs="Arial"/>
          <w:sz w:val="22"/>
          <w:szCs w:val="22"/>
        </w:rPr>
        <w:t xml:space="preserve"> </w:t>
      </w:r>
      <w:r w:rsidRPr="00B36853">
        <w:rPr>
          <w:rFonts w:ascii="Arial" w:hAnsi="Arial" w:cs="Arial"/>
          <w:sz w:val="22"/>
          <w:szCs w:val="22"/>
        </w:rPr>
        <w:t>stále ještě omezenému počtu maloobchodních služeb vyžadujících dokonalejší vlastnosti (např. vyšší propustnost), které je možné poskytnout pouze</w:t>
      </w:r>
      <w:r>
        <w:rPr>
          <w:rFonts w:ascii="Arial" w:hAnsi="Arial" w:cs="Arial"/>
          <w:sz w:val="22"/>
          <w:szCs w:val="22"/>
        </w:rPr>
        <w:t xml:space="preserve"> s</w:t>
      </w:r>
      <w:r w:rsidR="006A7798">
        <w:rPr>
          <w:rFonts w:ascii="Arial" w:hAnsi="Arial" w:cs="Arial"/>
          <w:sz w:val="22"/>
          <w:szCs w:val="22"/>
        </w:rPr>
        <w:t xml:space="preserve"> </w:t>
      </w:r>
      <w:r w:rsidRPr="00B36853">
        <w:rPr>
          <w:rFonts w:ascii="Arial" w:hAnsi="Arial" w:cs="Arial"/>
          <w:sz w:val="22"/>
          <w:szCs w:val="22"/>
        </w:rPr>
        <w:t>využitím optických vláken. Investice</w:t>
      </w:r>
      <w:r>
        <w:rPr>
          <w:rFonts w:ascii="Arial" w:hAnsi="Arial" w:cs="Arial"/>
          <w:sz w:val="22"/>
          <w:szCs w:val="22"/>
        </w:rPr>
        <w:t xml:space="preserve"> do</w:t>
      </w:r>
      <w:r w:rsidR="006A7798">
        <w:rPr>
          <w:rFonts w:ascii="Arial" w:hAnsi="Arial" w:cs="Arial"/>
          <w:sz w:val="22"/>
          <w:szCs w:val="22"/>
        </w:rPr>
        <w:t xml:space="preserve"> </w:t>
      </w:r>
      <w:r w:rsidRPr="00B36853">
        <w:rPr>
          <w:rFonts w:ascii="Arial" w:hAnsi="Arial" w:cs="Arial"/>
          <w:sz w:val="22"/>
          <w:szCs w:val="22"/>
        </w:rPr>
        <w:t>optických vláken závisí, pokud jde</w:t>
      </w:r>
      <w:r>
        <w:rPr>
          <w:rFonts w:ascii="Arial" w:hAnsi="Arial" w:cs="Arial"/>
          <w:sz w:val="22"/>
          <w:szCs w:val="22"/>
        </w:rPr>
        <w:t xml:space="preserve"> o</w:t>
      </w:r>
      <w:r w:rsidR="006A7798">
        <w:rPr>
          <w:rFonts w:ascii="Arial" w:hAnsi="Arial" w:cs="Arial"/>
          <w:sz w:val="22"/>
          <w:szCs w:val="22"/>
        </w:rPr>
        <w:t xml:space="preserve"> </w:t>
      </w:r>
      <w:r w:rsidRPr="00B36853">
        <w:rPr>
          <w:rFonts w:ascii="Arial" w:hAnsi="Arial" w:cs="Arial"/>
          <w:sz w:val="22"/>
          <w:szCs w:val="22"/>
        </w:rPr>
        <w:t>jejich amortizaci,</w:t>
      </w:r>
      <w:r w:rsidR="0047095F">
        <w:rPr>
          <w:rFonts w:ascii="Arial" w:hAnsi="Arial" w:cs="Arial"/>
          <w:sz w:val="22"/>
          <w:szCs w:val="22"/>
        </w:rPr>
        <w:t xml:space="preserve"> na </w:t>
      </w:r>
      <w:r w:rsidRPr="00B36853">
        <w:rPr>
          <w:rFonts w:ascii="Arial" w:hAnsi="Arial" w:cs="Arial"/>
          <w:sz w:val="22"/>
          <w:szCs w:val="22"/>
        </w:rPr>
        <w:t>zavádění nových služeb poskytovaných prostřednictvím sítí NGA</w:t>
      </w:r>
      <w:r w:rsidR="0047095F">
        <w:rPr>
          <w:rFonts w:ascii="Arial" w:hAnsi="Arial" w:cs="Arial"/>
          <w:sz w:val="22"/>
          <w:szCs w:val="22"/>
        </w:rPr>
        <w:t xml:space="preserve"> v </w:t>
      </w:r>
      <w:r w:rsidRPr="00B36853">
        <w:rPr>
          <w:rFonts w:ascii="Arial" w:hAnsi="Arial" w:cs="Arial"/>
          <w:sz w:val="22"/>
          <w:szCs w:val="22"/>
        </w:rPr>
        <w:t>krátkodobém</w:t>
      </w:r>
      <w:r>
        <w:rPr>
          <w:rFonts w:ascii="Arial" w:hAnsi="Arial" w:cs="Arial"/>
          <w:sz w:val="22"/>
          <w:szCs w:val="22"/>
        </w:rPr>
        <w:t xml:space="preserve"> a</w:t>
      </w:r>
      <w:r w:rsidR="006A7798">
        <w:rPr>
          <w:rFonts w:ascii="Arial" w:hAnsi="Arial" w:cs="Arial"/>
          <w:sz w:val="22"/>
          <w:szCs w:val="22"/>
        </w:rPr>
        <w:t xml:space="preserve"> </w:t>
      </w:r>
      <w:r w:rsidRPr="00B36853">
        <w:rPr>
          <w:rFonts w:ascii="Arial" w:hAnsi="Arial" w:cs="Arial"/>
          <w:sz w:val="22"/>
          <w:szCs w:val="22"/>
        </w:rPr>
        <w:t>střednědobém horizontu. Náklady</w:t>
      </w:r>
      <w:r w:rsidR="0047095F">
        <w:rPr>
          <w:rFonts w:ascii="Arial" w:hAnsi="Arial" w:cs="Arial"/>
          <w:sz w:val="22"/>
          <w:szCs w:val="22"/>
        </w:rPr>
        <w:t xml:space="preserve"> na </w:t>
      </w:r>
      <w:r w:rsidRPr="00B36853">
        <w:rPr>
          <w:rFonts w:ascii="Arial" w:hAnsi="Arial" w:cs="Arial"/>
          <w:sz w:val="22"/>
          <w:szCs w:val="22"/>
        </w:rPr>
        <w:t>kapitál operátora</w:t>
      </w:r>
      <w:r>
        <w:rPr>
          <w:rFonts w:ascii="Arial" w:hAnsi="Arial" w:cs="Arial"/>
          <w:sz w:val="22"/>
          <w:szCs w:val="22"/>
        </w:rPr>
        <w:t xml:space="preserve"> s</w:t>
      </w:r>
      <w:r w:rsidR="006A7798">
        <w:rPr>
          <w:rFonts w:ascii="Arial" w:hAnsi="Arial" w:cs="Arial"/>
          <w:sz w:val="22"/>
          <w:szCs w:val="22"/>
        </w:rPr>
        <w:t xml:space="preserve"> </w:t>
      </w:r>
      <w:r w:rsidRPr="00B36853">
        <w:rPr>
          <w:rFonts w:ascii="Arial" w:hAnsi="Arial" w:cs="Arial"/>
          <w:sz w:val="22"/>
          <w:szCs w:val="22"/>
        </w:rPr>
        <w:t>významnou tržní silou by měly odrážet vyšší riziko investic</w:t>
      </w:r>
      <w:r w:rsidR="0047095F">
        <w:rPr>
          <w:rFonts w:ascii="Arial" w:hAnsi="Arial" w:cs="Arial"/>
          <w:sz w:val="22"/>
          <w:szCs w:val="22"/>
        </w:rPr>
        <w:t xml:space="preserve"> v </w:t>
      </w:r>
      <w:r w:rsidRPr="00B36853">
        <w:rPr>
          <w:rFonts w:ascii="Arial" w:hAnsi="Arial" w:cs="Arial"/>
          <w:sz w:val="22"/>
          <w:szCs w:val="22"/>
        </w:rPr>
        <w:t>poměru</w:t>
      </w:r>
      <w:r>
        <w:rPr>
          <w:rFonts w:ascii="Arial" w:hAnsi="Arial" w:cs="Arial"/>
          <w:sz w:val="22"/>
          <w:szCs w:val="22"/>
        </w:rPr>
        <w:t xml:space="preserve"> k</w:t>
      </w:r>
      <w:r w:rsidR="006A7798">
        <w:rPr>
          <w:rFonts w:ascii="Arial" w:hAnsi="Arial" w:cs="Arial"/>
          <w:sz w:val="22"/>
          <w:szCs w:val="22"/>
        </w:rPr>
        <w:t xml:space="preserve"> </w:t>
      </w:r>
      <w:r w:rsidRPr="00B36853">
        <w:rPr>
          <w:rFonts w:ascii="Arial" w:hAnsi="Arial" w:cs="Arial"/>
          <w:sz w:val="22"/>
          <w:szCs w:val="22"/>
        </w:rPr>
        <w:t>investicím</w:t>
      </w:r>
      <w:r>
        <w:rPr>
          <w:rFonts w:ascii="Arial" w:hAnsi="Arial" w:cs="Arial"/>
          <w:sz w:val="22"/>
          <w:szCs w:val="22"/>
        </w:rPr>
        <w:t xml:space="preserve"> do</w:t>
      </w:r>
      <w:r w:rsidR="006A7798">
        <w:rPr>
          <w:rFonts w:ascii="Arial" w:hAnsi="Arial" w:cs="Arial"/>
          <w:sz w:val="22"/>
          <w:szCs w:val="22"/>
        </w:rPr>
        <w:t xml:space="preserve"> </w:t>
      </w:r>
      <w:r w:rsidRPr="00B36853">
        <w:rPr>
          <w:rFonts w:ascii="Arial" w:hAnsi="Arial" w:cs="Arial"/>
          <w:sz w:val="22"/>
          <w:szCs w:val="22"/>
        </w:rPr>
        <w:t>stávajících sítí založených</w:t>
      </w:r>
      <w:r w:rsidR="0047095F">
        <w:rPr>
          <w:rFonts w:ascii="Arial" w:hAnsi="Arial" w:cs="Arial"/>
          <w:sz w:val="22"/>
          <w:szCs w:val="22"/>
        </w:rPr>
        <w:t xml:space="preserve"> na </w:t>
      </w:r>
      <w:r w:rsidRPr="00B36853">
        <w:rPr>
          <w:rFonts w:ascii="Arial" w:hAnsi="Arial" w:cs="Arial"/>
          <w:sz w:val="22"/>
          <w:szCs w:val="22"/>
        </w:rPr>
        <w:t xml:space="preserve">kovovém vedení. </w:t>
      </w:r>
    </w:p>
    <w:p w:rsidR="00242A0C" w:rsidRPr="00B36853" w:rsidRDefault="00454BD8" w:rsidP="00620BB3">
      <w:pPr>
        <w:spacing w:before="240"/>
        <w:ind w:firstLine="828"/>
        <w:jc w:val="both"/>
        <w:rPr>
          <w:rFonts w:ascii="Arial" w:hAnsi="Arial" w:cs="Arial"/>
          <w:sz w:val="22"/>
          <w:szCs w:val="22"/>
        </w:rPr>
      </w:pPr>
      <w:r w:rsidRPr="00454BD8">
        <w:rPr>
          <w:rFonts w:ascii="Arial" w:hAnsi="Arial" w:cs="Arial"/>
          <w:sz w:val="22"/>
          <w:szCs w:val="22"/>
        </w:rPr>
        <w:t>Doporučení Komise ze dne 20</w:t>
      </w:r>
      <w:r w:rsidR="00DD4F53">
        <w:rPr>
          <w:rFonts w:ascii="Arial" w:hAnsi="Arial" w:cs="Arial"/>
          <w:sz w:val="22"/>
          <w:szCs w:val="22"/>
        </w:rPr>
        <w:t>.</w:t>
      </w:r>
      <w:r w:rsidRPr="00454BD8">
        <w:rPr>
          <w:rFonts w:ascii="Arial" w:hAnsi="Arial" w:cs="Arial"/>
          <w:sz w:val="22"/>
          <w:szCs w:val="22"/>
        </w:rPr>
        <w:t xml:space="preserve"> září 2010 o regulovaném přístupu k</w:t>
      </w:r>
      <w:r w:rsidR="006A7798">
        <w:rPr>
          <w:rFonts w:ascii="Arial" w:hAnsi="Arial" w:cs="Arial"/>
          <w:sz w:val="22"/>
          <w:szCs w:val="22"/>
        </w:rPr>
        <w:t xml:space="preserve"> </w:t>
      </w:r>
      <w:r w:rsidRPr="00454BD8">
        <w:rPr>
          <w:rFonts w:ascii="Arial" w:hAnsi="Arial" w:cs="Arial"/>
          <w:sz w:val="22"/>
          <w:szCs w:val="22"/>
        </w:rPr>
        <w:t>přístupovým sítím nové generace (NGA) č. 2010/572/EU</w:t>
      </w:r>
      <w:r w:rsidRPr="00B36853">
        <w:rPr>
          <w:rFonts w:ascii="Arial" w:hAnsi="Arial" w:cs="Arial"/>
          <w:sz w:val="22"/>
          <w:szCs w:val="22"/>
        </w:rPr>
        <w:t xml:space="preserve"> </w:t>
      </w:r>
      <w:r w:rsidR="00242A0C" w:rsidRPr="00B36853">
        <w:rPr>
          <w:rFonts w:ascii="Arial" w:hAnsi="Arial" w:cs="Arial"/>
          <w:sz w:val="22"/>
          <w:szCs w:val="22"/>
        </w:rPr>
        <w:t>ukládá vnitrostátním regulačním orgánům</w:t>
      </w:r>
      <w:r w:rsidR="0047095F">
        <w:rPr>
          <w:rFonts w:ascii="Arial" w:hAnsi="Arial" w:cs="Arial"/>
          <w:sz w:val="22"/>
          <w:szCs w:val="22"/>
        </w:rPr>
        <w:t xml:space="preserve"> při </w:t>
      </w:r>
      <w:r w:rsidR="00242A0C" w:rsidRPr="00B36853">
        <w:rPr>
          <w:rFonts w:ascii="Arial" w:hAnsi="Arial" w:cs="Arial"/>
          <w:sz w:val="22"/>
          <w:szCs w:val="22"/>
        </w:rPr>
        <w:t>stanovování ceny</w:t>
      </w:r>
      <w:r w:rsidR="00242A0C">
        <w:rPr>
          <w:rFonts w:ascii="Arial" w:hAnsi="Arial" w:cs="Arial"/>
          <w:sz w:val="22"/>
          <w:szCs w:val="22"/>
        </w:rPr>
        <w:t xml:space="preserve"> za</w:t>
      </w:r>
      <w:r w:rsidR="006A7798">
        <w:rPr>
          <w:rFonts w:ascii="Arial" w:hAnsi="Arial" w:cs="Arial"/>
          <w:sz w:val="22"/>
          <w:szCs w:val="22"/>
        </w:rPr>
        <w:t xml:space="preserve"> </w:t>
      </w:r>
      <w:r w:rsidR="00242A0C" w:rsidRPr="00B36853">
        <w:rPr>
          <w:rFonts w:ascii="Arial" w:hAnsi="Arial" w:cs="Arial"/>
          <w:sz w:val="22"/>
          <w:szCs w:val="22"/>
        </w:rPr>
        <w:t>zpřístupnění účastnického vedení z</w:t>
      </w:r>
      <w:r w:rsidR="006A7798">
        <w:rPr>
          <w:rFonts w:ascii="Arial" w:hAnsi="Arial" w:cs="Arial"/>
          <w:sz w:val="22"/>
          <w:szCs w:val="22"/>
        </w:rPr>
        <w:t xml:space="preserve"> </w:t>
      </w:r>
      <w:r w:rsidR="00242A0C" w:rsidRPr="00B36853">
        <w:rPr>
          <w:rFonts w:ascii="Arial" w:hAnsi="Arial" w:cs="Arial"/>
          <w:sz w:val="22"/>
          <w:szCs w:val="22"/>
        </w:rPr>
        <w:t>optického vlákna</w:t>
      </w:r>
      <w:r w:rsidR="00242A0C">
        <w:rPr>
          <w:rFonts w:ascii="Arial" w:hAnsi="Arial" w:cs="Arial"/>
          <w:sz w:val="22"/>
          <w:szCs w:val="22"/>
        </w:rPr>
        <w:t xml:space="preserve"> a za</w:t>
      </w:r>
      <w:r w:rsidR="006A7798">
        <w:rPr>
          <w:rFonts w:ascii="Arial" w:hAnsi="Arial" w:cs="Arial"/>
          <w:sz w:val="22"/>
          <w:szCs w:val="22"/>
        </w:rPr>
        <w:t xml:space="preserve"> </w:t>
      </w:r>
      <w:r w:rsidR="00242A0C" w:rsidRPr="00B36853">
        <w:rPr>
          <w:rFonts w:ascii="Arial" w:hAnsi="Arial" w:cs="Arial"/>
          <w:sz w:val="22"/>
          <w:szCs w:val="22"/>
        </w:rPr>
        <w:t>přístup</w:t>
      </w:r>
      <w:r w:rsidR="00242A0C">
        <w:rPr>
          <w:rFonts w:ascii="Arial" w:hAnsi="Arial" w:cs="Arial"/>
          <w:sz w:val="22"/>
          <w:szCs w:val="22"/>
        </w:rPr>
        <w:t xml:space="preserve"> </w:t>
      </w:r>
      <w:r w:rsidR="000B12B6">
        <w:rPr>
          <w:rFonts w:ascii="Arial" w:hAnsi="Arial" w:cs="Arial"/>
          <w:sz w:val="22"/>
          <w:szCs w:val="22"/>
        </w:rPr>
        <w:br/>
      </w:r>
      <w:r w:rsidR="00242A0C">
        <w:rPr>
          <w:rFonts w:ascii="Arial" w:hAnsi="Arial" w:cs="Arial"/>
          <w:sz w:val="22"/>
          <w:szCs w:val="22"/>
        </w:rPr>
        <w:t>k</w:t>
      </w:r>
      <w:r w:rsidR="000B12B6">
        <w:rPr>
          <w:rFonts w:ascii="Arial" w:hAnsi="Arial" w:cs="Arial"/>
          <w:sz w:val="22"/>
          <w:szCs w:val="22"/>
        </w:rPr>
        <w:t xml:space="preserve"> </w:t>
      </w:r>
      <w:r w:rsidR="00242A0C" w:rsidRPr="00B36853">
        <w:rPr>
          <w:rFonts w:ascii="Arial" w:hAnsi="Arial" w:cs="Arial"/>
          <w:sz w:val="22"/>
          <w:szCs w:val="22"/>
        </w:rPr>
        <w:t>infrastruktuře FTTH zohlednit toto zvýšené riziko</w:t>
      </w:r>
      <w:r w:rsidR="00242A0C">
        <w:rPr>
          <w:rFonts w:ascii="Arial" w:hAnsi="Arial" w:cs="Arial"/>
          <w:sz w:val="22"/>
          <w:szCs w:val="22"/>
        </w:rPr>
        <w:t xml:space="preserve"> ve</w:t>
      </w:r>
      <w:r w:rsidR="006A7798">
        <w:rPr>
          <w:rFonts w:ascii="Arial" w:hAnsi="Arial" w:cs="Arial"/>
          <w:sz w:val="22"/>
          <w:szCs w:val="22"/>
        </w:rPr>
        <w:t xml:space="preserve"> </w:t>
      </w:r>
      <w:r w:rsidR="00242A0C" w:rsidRPr="00B36853">
        <w:rPr>
          <w:rFonts w:ascii="Arial" w:hAnsi="Arial" w:cs="Arial"/>
          <w:sz w:val="22"/>
          <w:szCs w:val="22"/>
        </w:rPr>
        <w:t>formě rizikové prémie zahrnuté</w:t>
      </w:r>
      <w:r w:rsidR="00242A0C">
        <w:rPr>
          <w:rFonts w:ascii="Arial" w:hAnsi="Arial" w:cs="Arial"/>
          <w:sz w:val="22"/>
          <w:szCs w:val="22"/>
        </w:rPr>
        <w:t xml:space="preserve"> </w:t>
      </w:r>
      <w:r w:rsidR="000B12B6">
        <w:rPr>
          <w:rFonts w:ascii="Arial" w:hAnsi="Arial" w:cs="Arial"/>
          <w:sz w:val="22"/>
          <w:szCs w:val="22"/>
        </w:rPr>
        <w:br/>
      </w:r>
      <w:r w:rsidR="00242A0C">
        <w:rPr>
          <w:rFonts w:ascii="Arial" w:hAnsi="Arial" w:cs="Arial"/>
          <w:sz w:val="22"/>
          <w:szCs w:val="22"/>
        </w:rPr>
        <w:t>v</w:t>
      </w:r>
      <w:r w:rsidR="000B12B6">
        <w:rPr>
          <w:rFonts w:ascii="Arial" w:hAnsi="Arial" w:cs="Arial"/>
          <w:sz w:val="22"/>
          <w:szCs w:val="22"/>
        </w:rPr>
        <w:t xml:space="preserve"> </w:t>
      </w:r>
      <w:r w:rsidR="00242A0C" w:rsidRPr="00B36853">
        <w:rPr>
          <w:rFonts w:ascii="Arial" w:hAnsi="Arial" w:cs="Arial"/>
          <w:sz w:val="22"/>
          <w:szCs w:val="22"/>
        </w:rPr>
        <w:t xml:space="preserve">nákladech kapitálu. </w:t>
      </w:r>
    </w:p>
    <w:p w:rsidR="00242A0C" w:rsidRPr="00B36853" w:rsidRDefault="00242A0C" w:rsidP="00620BB3">
      <w:pPr>
        <w:spacing w:before="240"/>
        <w:ind w:firstLine="828"/>
        <w:jc w:val="both"/>
        <w:rPr>
          <w:rFonts w:ascii="Arial" w:hAnsi="Arial" w:cs="Arial"/>
          <w:sz w:val="22"/>
          <w:szCs w:val="22"/>
        </w:rPr>
      </w:pPr>
      <w:r w:rsidRPr="00B36853">
        <w:rPr>
          <w:rFonts w:ascii="Arial" w:hAnsi="Arial" w:cs="Arial"/>
          <w:sz w:val="22"/>
          <w:szCs w:val="22"/>
        </w:rPr>
        <w:t>Úřad stanovil rizikovou prémii</w:t>
      </w:r>
      <w:r>
        <w:rPr>
          <w:rFonts w:ascii="Arial" w:hAnsi="Arial" w:cs="Arial"/>
          <w:sz w:val="22"/>
          <w:szCs w:val="22"/>
        </w:rPr>
        <w:t xml:space="preserve"> pro</w:t>
      </w:r>
      <w:r w:rsidR="006A7798">
        <w:rPr>
          <w:rFonts w:ascii="Arial" w:hAnsi="Arial" w:cs="Arial"/>
          <w:sz w:val="22"/>
          <w:szCs w:val="22"/>
        </w:rPr>
        <w:t xml:space="preserve"> </w:t>
      </w:r>
      <w:r w:rsidRPr="00B36853">
        <w:rPr>
          <w:rFonts w:ascii="Arial" w:hAnsi="Arial" w:cs="Arial"/>
          <w:sz w:val="22"/>
          <w:szCs w:val="22"/>
        </w:rPr>
        <w:t>investice</w:t>
      </w:r>
      <w:r>
        <w:rPr>
          <w:rFonts w:ascii="Arial" w:hAnsi="Arial" w:cs="Arial"/>
          <w:sz w:val="22"/>
          <w:szCs w:val="22"/>
        </w:rPr>
        <w:t xml:space="preserve"> do</w:t>
      </w:r>
      <w:r w:rsidR="006A7798">
        <w:rPr>
          <w:rFonts w:ascii="Arial" w:hAnsi="Arial" w:cs="Arial"/>
          <w:sz w:val="22"/>
          <w:szCs w:val="22"/>
        </w:rPr>
        <w:t xml:space="preserve"> </w:t>
      </w:r>
      <w:r w:rsidR="000B12B6">
        <w:rPr>
          <w:rFonts w:ascii="Arial" w:hAnsi="Arial" w:cs="Arial"/>
          <w:sz w:val="22"/>
          <w:szCs w:val="22"/>
        </w:rPr>
        <w:t xml:space="preserve">sítí z </w:t>
      </w:r>
      <w:r w:rsidRPr="00B36853">
        <w:rPr>
          <w:rFonts w:ascii="Arial" w:hAnsi="Arial" w:cs="Arial"/>
          <w:sz w:val="22"/>
          <w:szCs w:val="22"/>
        </w:rPr>
        <w:t>optického vlákna</w:t>
      </w:r>
      <w:r>
        <w:rPr>
          <w:rFonts w:ascii="Arial" w:hAnsi="Arial" w:cs="Arial"/>
          <w:sz w:val="22"/>
          <w:szCs w:val="22"/>
        </w:rPr>
        <w:t xml:space="preserve"> pro</w:t>
      </w:r>
      <w:r w:rsidR="006A7798">
        <w:rPr>
          <w:rFonts w:ascii="Arial" w:hAnsi="Arial" w:cs="Arial"/>
          <w:sz w:val="22"/>
          <w:szCs w:val="22"/>
        </w:rPr>
        <w:t xml:space="preserve"> </w:t>
      </w:r>
      <w:r w:rsidRPr="00B36853">
        <w:rPr>
          <w:rFonts w:ascii="Arial" w:hAnsi="Arial" w:cs="Arial"/>
          <w:sz w:val="22"/>
          <w:szCs w:val="22"/>
        </w:rPr>
        <w:t>systematická rizika</w:t>
      </w:r>
      <w:r>
        <w:rPr>
          <w:rFonts w:ascii="Arial" w:hAnsi="Arial" w:cs="Arial"/>
          <w:sz w:val="22"/>
          <w:szCs w:val="22"/>
        </w:rPr>
        <w:t xml:space="preserve"> ve</w:t>
      </w:r>
      <w:r w:rsidR="006A7798">
        <w:rPr>
          <w:rFonts w:ascii="Arial" w:hAnsi="Arial" w:cs="Arial"/>
          <w:sz w:val="22"/>
          <w:szCs w:val="22"/>
        </w:rPr>
        <w:t xml:space="preserve"> </w:t>
      </w:r>
      <w:r w:rsidRPr="00B36853">
        <w:rPr>
          <w:rFonts w:ascii="Arial" w:hAnsi="Arial" w:cs="Arial"/>
          <w:sz w:val="22"/>
          <w:szCs w:val="22"/>
        </w:rPr>
        <w:t>výši 2,38 % (dále též „</w:t>
      </w:r>
      <w:proofErr w:type="spellStart"/>
      <w:r w:rsidRPr="00B36853">
        <w:rPr>
          <w:rFonts w:ascii="Arial" w:hAnsi="Arial" w:cs="Arial"/>
          <w:sz w:val="22"/>
          <w:szCs w:val="22"/>
        </w:rPr>
        <w:t>RPsyst</w:t>
      </w:r>
      <w:proofErr w:type="spellEnd"/>
      <w:r w:rsidRPr="00B36853">
        <w:rPr>
          <w:rFonts w:ascii="Arial" w:hAnsi="Arial" w:cs="Arial"/>
          <w:sz w:val="22"/>
          <w:szCs w:val="22"/>
        </w:rPr>
        <w:t>“)</w:t>
      </w:r>
      <w:r>
        <w:rPr>
          <w:rFonts w:ascii="Arial" w:hAnsi="Arial" w:cs="Arial"/>
          <w:sz w:val="22"/>
          <w:szCs w:val="22"/>
        </w:rPr>
        <w:t xml:space="preserve"> a pro</w:t>
      </w:r>
      <w:r w:rsidR="006A7798">
        <w:rPr>
          <w:rFonts w:ascii="Arial" w:hAnsi="Arial" w:cs="Arial"/>
          <w:sz w:val="22"/>
          <w:szCs w:val="22"/>
        </w:rPr>
        <w:t xml:space="preserve"> </w:t>
      </w:r>
      <w:r w:rsidRPr="00B36853">
        <w:rPr>
          <w:rFonts w:ascii="Arial" w:hAnsi="Arial" w:cs="Arial"/>
          <w:sz w:val="22"/>
          <w:szCs w:val="22"/>
        </w:rPr>
        <w:t>nesystematická rizika</w:t>
      </w:r>
      <w:r>
        <w:rPr>
          <w:rFonts w:ascii="Arial" w:hAnsi="Arial" w:cs="Arial"/>
          <w:sz w:val="22"/>
          <w:szCs w:val="22"/>
        </w:rPr>
        <w:t xml:space="preserve"> ve</w:t>
      </w:r>
      <w:r w:rsidR="006A7798">
        <w:rPr>
          <w:rFonts w:ascii="Arial" w:hAnsi="Arial" w:cs="Arial"/>
          <w:sz w:val="22"/>
          <w:szCs w:val="22"/>
        </w:rPr>
        <w:t xml:space="preserve"> </w:t>
      </w:r>
      <w:r w:rsidRPr="00B36853">
        <w:rPr>
          <w:rFonts w:ascii="Arial" w:hAnsi="Arial" w:cs="Arial"/>
          <w:sz w:val="22"/>
          <w:szCs w:val="22"/>
        </w:rPr>
        <w:t xml:space="preserve">výši </w:t>
      </w:r>
      <w:r w:rsidR="006A7798">
        <w:rPr>
          <w:rFonts w:ascii="Arial" w:hAnsi="Arial" w:cs="Arial"/>
          <w:sz w:val="22"/>
          <w:szCs w:val="22"/>
        </w:rPr>
        <w:br/>
      </w:r>
      <w:r w:rsidRPr="00B36853">
        <w:rPr>
          <w:rFonts w:ascii="Arial" w:hAnsi="Arial" w:cs="Arial"/>
          <w:sz w:val="22"/>
          <w:szCs w:val="22"/>
        </w:rPr>
        <w:t>2 % (dále též „</w:t>
      </w:r>
      <w:proofErr w:type="spellStart"/>
      <w:r w:rsidRPr="00B36853">
        <w:rPr>
          <w:rFonts w:ascii="Arial" w:hAnsi="Arial" w:cs="Arial"/>
          <w:sz w:val="22"/>
          <w:szCs w:val="22"/>
        </w:rPr>
        <w:t>RPnesyst</w:t>
      </w:r>
      <w:proofErr w:type="spellEnd"/>
      <w:r w:rsidRPr="00B36853">
        <w:rPr>
          <w:rFonts w:ascii="Arial" w:hAnsi="Arial" w:cs="Arial"/>
          <w:sz w:val="22"/>
          <w:szCs w:val="22"/>
        </w:rPr>
        <w:t>“). Tuto rizikovou prémii zohlednil</w:t>
      </w:r>
      <w:r w:rsidR="0047095F">
        <w:rPr>
          <w:rFonts w:ascii="Arial" w:hAnsi="Arial" w:cs="Arial"/>
          <w:sz w:val="22"/>
          <w:szCs w:val="22"/>
        </w:rPr>
        <w:t xml:space="preserve"> při </w:t>
      </w:r>
      <w:r w:rsidRPr="00B36853">
        <w:rPr>
          <w:rFonts w:ascii="Arial" w:hAnsi="Arial" w:cs="Arial"/>
          <w:sz w:val="22"/>
          <w:szCs w:val="22"/>
        </w:rPr>
        <w:t>výpočtu ukazatele WACC, který bude použit</w:t>
      </w:r>
      <w:r>
        <w:rPr>
          <w:rFonts w:ascii="Arial" w:hAnsi="Arial" w:cs="Arial"/>
          <w:sz w:val="22"/>
          <w:szCs w:val="22"/>
        </w:rPr>
        <w:t xml:space="preserve"> pro </w:t>
      </w:r>
      <w:r w:rsidRPr="00B36853">
        <w:rPr>
          <w:rFonts w:ascii="Arial" w:hAnsi="Arial" w:cs="Arial"/>
          <w:sz w:val="22"/>
          <w:szCs w:val="22"/>
        </w:rPr>
        <w:t>služby přístupu</w:t>
      </w:r>
      <w:r>
        <w:rPr>
          <w:rFonts w:ascii="Arial" w:hAnsi="Arial" w:cs="Arial"/>
          <w:sz w:val="22"/>
          <w:szCs w:val="22"/>
        </w:rPr>
        <w:t xml:space="preserve"> do </w:t>
      </w:r>
      <w:r w:rsidRPr="00B36853">
        <w:rPr>
          <w:rFonts w:ascii="Arial" w:hAnsi="Arial" w:cs="Arial"/>
          <w:sz w:val="22"/>
          <w:szCs w:val="22"/>
        </w:rPr>
        <w:t>sítí NGA.</w:t>
      </w:r>
      <w:r w:rsidR="00454BD8">
        <w:rPr>
          <w:rFonts w:ascii="Arial" w:hAnsi="Arial" w:cs="Arial"/>
          <w:sz w:val="22"/>
          <w:szCs w:val="22"/>
        </w:rPr>
        <w:t xml:space="preserve"> WACC byl stanoven ve výši </w:t>
      </w:r>
      <w:r w:rsidR="00454BD8" w:rsidRPr="00C544AF">
        <w:rPr>
          <w:rFonts w:ascii="Arial" w:hAnsi="Arial" w:cs="Arial"/>
          <w:color w:val="000000"/>
          <w:sz w:val="22"/>
          <w:szCs w:val="22"/>
        </w:rPr>
        <w:t>11,62</w:t>
      </w:r>
      <w:r w:rsidR="000B12B6">
        <w:rPr>
          <w:rFonts w:ascii="Arial" w:hAnsi="Arial" w:cs="Arial"/>
          <w:color w:val="000000"/>
          <w:sz w:val="22"/>
          <w:szCs w:val="22"/>
        </w:rPr>
        <w:t xml:space="preserve"> </w:t>
      </w:r>
      <w:r w:rsidR="00454BD8" w:rsidRPr="00C544AF">
        <w:rPr>
          <w:rFonts w:ascii="Arial" w:hAnsi="Arial" w:cs="Arial"/>
          <w:color w:val="000000"/>
          <w:sz w:val="22"/>
          <w:szCs w:val="22"/>
        </w:rPr>
        <w:t>%.</w:t>
      </w:r>
    </w:p>
    <w:p w:rsidR="00242A0C" w:rsidRPr="002C15CF" w:rsidRDefault="00242A0C" w:rsidP="00620BB3">
      <w:pPr>
        <w:spacing w:before="240"/>
        <w:ind w:firstLine="828"/>
        <w:jc w:val="both"/>
        <w:rPr>
          <w:rFonts w:ascii="Arial" w:hAnsi="Arial" w:cs="Arial"/>
          <w:sz w:val="22"/>
          <w:szCs w:val="22"/>
        </w:rPr>
      </w:pPr>
      <w:r w:rsidRPr="002C15CF">
        <w:rPr>
          <w:rFonts w:ascii="Arial" w:hAnsi="Arial" w:cs="Arial"/>
          <w:sz w:val="22"/>
          <w:szCs w:val="22"/>
        </w:rPr>
        <w:t>Stanoven</w:t>
      </w:r>
      <w:r w:rsidR="002C1028">
        <w:rPr>
          <w:rFonts w:ascii="Arial" w:hAnsi="Arial" w:cs="Arial"/>
          <w:sz w:val="22"/>
          <w:szCs w:val="22"/>
        </w:rPr>
        <w:t>á</w:t>
      </w:r>
      <w:r w:rsidRPr="002C15CF">
        <w:rPr>
          <w:rFonts w:ascii="Arial" w:hAnsi="Arial" w:cs="Arial"/>
          <w:sz w:val="22"/>
          <w:szCs w:val="22"/>
        </w:rPr>
        <w:t xml:space="preserve"> riziková prémie (za systematická</w:t>
      </w:r>
      <w:r>
        <w:rPr>
          <w:rFonts w:ascii="Arial" w:hAnsi="Arial" w:cs="Arial"/>
          <w:sz w:val="22"/>
          <w:szCs w:val="22"/>
        </w:rPr>
        <w:t xml:space="preserve"> a</w:t>
      </w:r>
      <w:r w:rsidR="000B12B6">
        <w:rPr>
          <w:rFonts w:ascii="Arial" w:hAnsi="Arial" w:cs="Arial"/>
          <w:sz w:val="22"/>
          <w:szCs w:val="22"/>
        </w:rPr>
        <w:t xml:space="preserve"> </w:t>
      </w:r>
      <w:r w:rsidRPr="002C15CF">
        <w:rPr>
          <w:rFonts w:ascii="Arial" w:hAnsi="Arial" w:cs="Arial"/>
          <w:sz w:val="22"/>
          <w:szCs w:val="22"/>
        </w:rPr>
        <w:t>nesystematické rizika) je zohledněna</w:t>
      </w:r>
      <w:r>
        <w:rPr>
          <w:rFonts w:ascii="Arial" w:hAnsi="Arial" w:cs="Arial"/>
          <w:sz w:val="22"/>
          <w:szCs w:val="22"/>
        </w:rPr>
        <w:t xml:space="preserve"> </w:t>
      </w:r>
      <w:r w:rsidR="000B12B6">
        <w:rPr>
          <w:rFonts w:ascii="Arial" w:hAnsi="Arial" w:cs="Arial"/>
          <w:sz w:val="22"/>
          <w:szCs w:val="22"/>
        </w:rPr>
        <w:br/>
      </w:r>
      <w:r>
        <w:rPr>
          <w:rFonts w:ascii="Arial" w:hAnsi="Arial" w:cs="Arial"/>
          <w:sz w:val="22"/>
          <w:szCs w:val="22"/>
        </w:rPr>
        <w:t>v</w:t>
      </w:r>
      <w:r w:rsidR="000B12B6">
        <w:rPr>
          <w:rFonts w:ascii="Arial" w:hAnsi="Arial" w:cs="Arial"/>
          <w:sz w:val="22"/>
          <w:szCs w:val="22"/>
        </w:rPr>
        <w:t xml:space="preserve"> </w:t>
      </w:r>
      <w:r w:rsidRPr="002C15CF">
        <w:rPr>
          <w:rFonts w:ascii="Arial" w:hAnsi="Arial" w:cs="Arial"/>
          <w:sz w:val="22"/>
          <w:szCs w:val="22"/>
        </w:rPr>
        <w:t>nákladech vlastního kapitálu, určených metodou CAPM,</w:t>
      </w:r>
      <w:r>
        <w:rPr>
          <w:rFonts w:ascii="Arial" w:hAnsi="Arial" w:cs="Arial"/>
          <w:sz w:val="22"/>
          <w:szCs w:val="22"/>
        </w:rPr>
        <w:t xml:space="preserve"> a </w:t>
      </w:r>
      <w:r w:rsidRPr="002C15CF">
        <w:rPr>
          <w:rFonts w:ascii="Arial" w:hAnsi="Arial" w:cs="Arial"/>
          <w:sz w:val="22"/>
          <w:szCs w:val="22"/>
        </w:rPr>
        <w:t>to takto:</w:t>
      </w:r>
    </w:p>
    <w:p w:rsidR="00242A0C" w:rsidRDefault="0041340A" w:rsidP="00242A0C">
      <w:pPr>
        <w:tabs>
          <w:tab w:val="left" w:pos="709"/>
          <w:tab w:val="left" w:pos="993"/>
        </w:tabs>
        <w:spacing w:before="240"/>
        <w:ind w:firstLine="720"/>
        <w:rPr>
          <w:rFonts w:cs="Arial"/>
          <w:i/>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2954655</wp:posOffset>
                </wp:positionH>
                <wp:positionV relativeFrom="paragraph">
                  <wp:posOffset>76200</wp:posOffset>
                </wp:positionV>
                <wp:extent cx="384175" cy="308610"/>
                <wp:effectExtent l="0" t="0" r="15875" b="15240"/>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30861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4F178" id="Obdélník 16" o:spid="_x0000_s1026" style="position:absolute;margin-left:232.65pt;margin-top:6pt;width:30.25pt;height:2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YYgwIAAP0EAAAOAAAAZHJzL2Uyb0RvYy54bWysVMGO2yAQvVfqPyDuie3EySbWOquVnVSV&#10;tt2Vtv0AYnCMFgMFEmdb9YN66Ffsj3XASZp0L1VVHzAww2PezBuub/atQDtmLFcyx8kwxojJSlEu&#10;Nzn+/Gk1mGFkHZGUCCVZjp+ZxTeLt2+uO52xkWqUoMwgAJE263SOG+d0FkW2alhL7FBpJsFYK9MS&#10;B0uziaghHaC3IhrF8TTqlKHaqIpZC7tlb8SLgF/XrHL3dW2ZQyLHEJsLownj2o/R4ppkG0N0w6tD&#10;GOQfomgJl3DpCaokjqCt4a+gWl4ZZVXthpVqI1XXvGKBA7BJ4j/YPDZEs8AFkmP1KU32/8FWH3cP&#10;BnEKtZtiJEkLNbpf05cfQr78fEKwCRnqtM3A8VE/GM/R6jtVPVkkVdEQuWG3xqiuYYRCXIn3jy4O&#10;+IWFo2jdfVAU8MnWqZCsfW1aDwhpQPtQk+dTTdjeoQo2x7M0uZpgVIFpHM+mSahZRLLjYW2se8dU&#10;i/wkxwZKHsDJ7s46HwzJji7+LqlWXIhQdiFRl+P5ZDQJB6wSnHpj4Gg260IYtCMgnCL2X2AG7M/d&#10;Wu5AvoK3OZ6dnEjmk7GUNNziCBf9HCIR0oMDN4jtMOtl8m0ez5ez5SwdpKPpcpDGZTm4XRXpYLoC&#10;+uW4LIoy+e7jTNKs4ZQy6UM9SjZJ/04Sh+bpxXYS7QUle858Fb7XzKPLMEKWgdXxH9gFFfjC9wJa&#10;K/oMIjCq70F4M2DSKPMVow76L8f2y5YYhpF4L0FI8yRNfcOGRTq5GsHCnFvW5xYiK4DKscOonxau&#10;b/KtNnzTwE1JqLFUtyC+mgdheGH2UR0kCz0WGBzeA9/E5+vg9fvVWvwCAAD//wMAUEsDBBQABgAI&#10;AAAAIQA6JBT44AAAAAkBAAAPAAAAZHJzL2Rvd25yZXYueG1sTI/LTsMwEEX3SPyDNUhsEHUIbYRC&#10;nAq1qnhsCi0bdtN4SCLicRS7Tfh7hhUsR/fqzjnFcnKdOtEQWs8GbmYJKOLK25ZrA+/7zfUdqBCR&#10;LXaeycA3BViW52cF5taP/EanXayVjHDI0UATY59rHaqGHIaZ74kl+/SDwyjnUGs74CjjrtNpkmTa&#10;YcvyocGeVg1VX7ujM7CeXrbzZxxfN/XTR/q4svurrV0bc3kxPdyDijTFvzL84gs6lMJ08Ee2QXUG&#10;5tniVqoSpOIkhUW6EJeDgSzJQJeF/m9Q/gAAAP//AwBQSwECLQAUAAYACAAAACEAtoM4kv4AAADh&#10;AQAAEwAAAAAAAAAAAAAAAAAAAAAAW0NvbnRlbnRfVHlwZXNdLnhtbFBLAQItABQABgAIAAAAIQA4&#10;/SH/1gAAAJQBAAALAAAAAAAAAAAAAAAAAC8BAABfcmVscy8ucmVsc1BLAQItABQABgAIAAAAIQAD&#10;4jYYgwIAAP0EAAAOAAAAAAAAAAAAAAAAAC4CAABkcnMvZTJvRG9jLnhtbFBLAQItABQABgAIAAAA&#10;IQA6JBT44AAAAAkBAAAPAAAAAAAAAAAAAAAAAN0EAABkcnMvZG93bnJldi54bWxQSwUGAAAAAAQA&#10;BADzAAAA6gUAAAAA&#10;" filled="f" strokecolor="#c0000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3559175</wp:posOffset>
                </wp:positionH>
                <wp:positionV relativeFrom="paragraph">
                  <wp:posOffset>76200</wp:posOffset>
                </wp:positionV>
                <wp:extent cx="417195" cy="308610"/>
                <wp:effectExtent l="0" t="0" r="20955" b="15240"/>
                <wp:wrapNone/>
                <wp:docPr id="4"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30861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1C60D" id="Obdélník 15" o:spid="_x0000_s1026" style="position:absolute;margin-left:280.25pt;margin-top:6pt;width:32.8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CHhAIAAPwEAAAOAAAAZHJzL2Uyb0RvYy54bWysVMGO2yAQvVfqPyDuiU3WySbWOquVnVSV&#10;tt2Vtv0AYnCMFoMLJE5a9YN66Ffsj3XASZp0L1VVHzAww2PezBtubneNRFturNAqw2QYY8RVqZlQ&#10;6wx//rQcTDGyjipGpVY8w3tu8e387Zubrk35SNdaMm4QgCibdm2Ga+faNIpsWfOG2qFuuQJjpU1D&#10;HSzNOmKGdoDeyGgUx5Oo04a1RpfcWtgteiOeB/yq4qV7qCrLHZIZhthcGE0YV36M5jc0XRva1qI8&#10;hEH/IYqGCgWXnqAK6ijaGPEKqhGl0VZXbljqJtJVJUoeOAAbEv/B5qmmLQ9cIDm2PaXJ/j/Y8uP2&#10;0SDBMpxgpGgDJXpYsZcfUr38fEZk7BPUtTYFv6f20XiKtr3X5bNFSuc1VWt+Z4zuak4ZhEW8f3Rx&#10;wC8sHEWr7oNmgE83Todc7SrTeEDIAtqFkuxPJeE7h0rYTMg1mY0xKsF0FU8nJJQsounxcGuse8d1&#10;g/wkwwYqHsDp9t46HwxNjy7+LqWXQspQdalQl+HZeDQOB6yWgnlj4GjWq1watKWgmzz2X2AG7M/d&#10;GuFAvVI0GZ6enGjqk7FQLNziqJD9HCKRyoMDN4jtMOtV8m0WzxbTxTQZJKPJYpDERTG4W+bJYLIk&#10;1+Piqsjzgnz3cZIkrQVjXPlQj4olyd8p4tA7vdZOmr2gZM+ZL8P3mnl0GUbIMrA6/gO7oAJf+F5A&#10;K832IAKj+xaEJwMmtTZfMeqg/TJsv2yo4RjJ9wqENCNJ4vs1LJLx9QgW5tyyOrdQVQJUhh1G/TR3&#10;fY9vWiPWNdxEQo2VvgPxVSIIwwuzj+ogWWixwODwHPgePl8Hr9+P1vwXAAAA//8DAFBLAwQUAAYA&#10;CAAAACEAm/8ldOAAAAAJAQAADwAAAGRycy9kb3ducmV2LnhtbEyPzU7DMBCE70i8g7VIXBB1sKiF&#10;QpwKtar4uRTaXnrbxksSEdtR7Dbh7VlOcNvRfJqdKRaT68SZhtgGb+BuloEgXwXb+trAfre+fQAR&#10;E3qLXfBk4JsiLMrLiwJzG0b/QedtqgWH+JijgSalPpcyVg05jLPQk2fvMwwOE8uhlnbAkcNdJ1WW&#10;aemw9fyhwZ6WDVVf25MzsJreNvevOL6v65eDel7a3c3Groy5vpqeHkEkmtIfDL/1uTqU3OkYTt5G&#10;0RmY62zOKBuKNzGglVYgjnxkGmRZyP8Lyh8AAAD//wMAUEsBAi0AFAAGAAgAAAAhALaDOJL+AAAA&#10;4QEAABMAAAAAAAAAAAAAAAAAAAAAAFtDb250ZW50X1R5cGVzXS54bWxQSwECLQAUAAYACAAAACEA&#10;OP0h/9YAAACUAQAACwAAAAAAAAAAAAAAAAAvAQAAX3JlbHMvLnJlbHNQSwECLQAUAAYACAAAACEA&#10;nb5gh4QCAAD8BAAADgAAAAAAAAAAAAAAAAAuAgAAZHJzL2Uyb0RvYy54bWxQSwECLQAUAAYACAAA&#10;ACEAm/8ldOAAAAAJAQAADwAAAAAAAAAAAAAAAADeBAAAZHJzL2Rvd25yZXYueG1sUEsFBgAAAAAE&#10;AAQA8wAAAOsFAAAAAA==&#10;" filled="f" strokecolor="#c00000"/>
            </w:pict>
          </mc:Fallback>
        </mc:AlternateContent>
      </w:r>
      <w:r w:rsidR="009C0293">
        <w:rPr>
          <w:rFonts w:cs="Arial"/>
          <w:i/>
          <w:noProof/>
          <w:szCs w:val="22"/>
        </w:rPr>
        <w:object w:dxaOrig="1440" w:dyaOrig="1440">
          <v:shape id="Objekt 2" o:spid="_x0000_s1026" type="#_x0000_t75" style="position:absolute;left:0;text-align:left;margin-left:135.1pt;margin-top:8.3pt;width:178pt;height:19pt;z-index:251659264;visibility:visible;mso-position-horizontal-relative:text;mso-position-vertical-relative:text">
            <v:imagedata r:id="rId33" o:title=""/>
          </v:shape>
          <o:OLEObject Type="Embed" ProgID="Equation.3" ShapeID="Objekt 2" DrawAspect="Content" ObjectID="_1761381323" r:id="rId34"/>
        </w:object>
      </w:r>
    </w:p>
    <w:p w:rsidR="00242A0C" w:rsidRPr="00B36853" w:rsidRDefault="00242A0C" w:rsidP="00242A0C">
      <w:pPr>
        <w:rPr>
          <w:rFonts w:ascii="Arial" w:hAnsi="Arial" w:cs="Arial"/>
          <w:sz w:val="22"/>
          <w:szCs w:val="22"/>
        </w:rPr>
      </w:pPr>
      <w:r w:rsidRPr="00B36853">
        <w:rPr>
          <w:rFonts w:ascii="Arial" w:hAnsi="Arial" w:cs="Arial"/>
          <w:sz w:val="22"/>
          <w:szCs w:val="22"/>
        </w:rPr>
        <w:t>kde:</w:t>
      </w:r>
    </w:p>
    <w:p w:rsidR="00242A0C" w:rsidRPr="002351B0" w:rsidRDefault="00242A0C" w:rsidP="00242A0C">
      <w:pPr>
        <w:pStyle w:val="Seznamsodrkami"/>
        <w:numPr>
          <w:ilvl w:val="0"/>
          <w:numId w:val="0"/>
        </w:numPr>
        <w:spacing w:before="0" w:after="0"/>
        <w:ind w:left="340"/>
        <w:rPr>
          <w:rFonts w:ascii="Arial" w:hAnsi="Arial" w:cs="Arial"/>
          <w:szCs w:val="22"/>
        </w:rPr>
      </w:pPr>
      <w:r w:rsidRPr="002351B0">
        <w:rPr>
          <w:rFonts w:ascii="Arial" w:hAnsi="Arial" w:cs="Arial"/>
          <w:szCs w:val="22"/>
        </w:rPr>
        <w:t>r</w:t>
      </w:r>
      <w:r w:rsidRPr="002351B0">
        <w:rPr>
          <w:rFonts w:ascii="Arial" w:hAnsi="Arial" w:cs="Arial"/>
          <w:szCs w:val="22"/>
          <w:vertAlign w:val="subscript"/>
        </w:rPr>
        <w:t>e</w:t>
      </w:r>
      <w:r w:rsidR="009D366C" w:rsidRPr="009D366C">
        <w:rPr>
          <w:rFonts w:ascii="Arial" w:hAnsi="Arial" w:cs="Arial"/>
          <w:szCs w:val="22"/>
          <w:lang w:val="cs-CZ"/>
        </w:rPr>
        <w:t xml:space="preserve"> </w:t>
      </w:r>
      <w:r>
        <w:rPr>
          <w:rFonts w:ascii="Arial" w:hAnsi="Arial" w:cs="Arial"/>
          <w:szCs w:val="22"/>
        </w:rPr>
        <w:t>–</w:t>
      </w:r>
      <w:r w:rsidRPr="002351B0">
        <w:rPr>
          <w:rFonts w:ascii="Arial" w:hAnsi="Arial" w:cs="Arial"/>
          <w:szCs w:val="22"/>
        </w:rPr>
        <w:t xml:space="preserve"> náklady vlastního kapitálu,</w:t>
      </w:r>
    </w:p>
    <w:p w:rsidR="00242A0C" w:rsidRPr="002351B0" w:rsidRDefault="00242A0C" w:rsidP="00242A0C">
      <w:pPr>
        <w:pStyle w:val="Seznamsodrkami"/>
        <w:numPr>
          <w:ilvl w:val="0"/>
          <w:numId w:val="0"/>
        </w:numPr>
        <w:spacing w:before="0" w:after="0"/>
        <w:ind w:left="340"/>
        <w:rPr>
          <w:rFonts w:ascii="Arial" w:hAnsi="Arial" w:cs="Arial"/>
          <w:szCs w:val="22"/>
        </w:rPr>
      </w:pPr>
      <w:proofErr w:type="spellStart"/>
      <w:r w:rsidRPr="002351B0">
        <w:rPr>
          <w:rFonts w:ascii="Arial" w:hAnsi="Arial" w:cs="Arial"/>
          <w:szCs w:val="22"/>
        </w:rPr>
        <w:t>r</w:t>
      </w:r>
      <w:r w:rsidRPr="002351B0">
        <w:rPr>
          <w:rFonts w:ascii="Arial" w:hAnsi="Arial" w:cs="Arial"/>
          <w:szCs w:val="22"/>
          <w:vertAlign w:val="subscript"/>
        </w:rPr>
        <w:t>f</w:t>
      </w:r>
      <w:proofErr w:type="spellEnd"/>
      <w:r w:rsidRPr="002351B0">
        <w:rPr>
          <w:rFonts w:ascii="Arial" w:hAnsi="Arial" w:cs="Arial"/>
          <w:szCs w:val="22"/>
        </w:rPr>
        <w:t xml:space="preserve"> </w:t>
      </w:r>
      <w:r>
        <w:rPr>
          <w:rFonts w:ascii="Arial" w:hAnsi="Arial" w:cs="Arial"/>
          <w:szCs w:val="22"/>
        </w:rPr>
        <w:t>–</w:t>
      </w:r>
      <w:r w:rsidRPr="002351B0">
        <w:rPr>
          <w:rFonts w:ascii="Arial" w:hAnsi="Arial" w:cs="Arial"/>
          <w:szCs w:val="22"/>
        </w:rPr>
        <w:t xml:space="preserve"> bezriziková výnosová míra,</w:t>
      </w:r>
    </w:p>
    <w:p w:rsidR="00242A0C" w:rsidRPr="002351B0" w:rsidRDefault="00242A0C" w:rsidP="00242A0C">
      <w:pPr>
        <w:pStyle w:val="Seznamsodrkami"/>
        <w:numPr>
          <w:ilvl w:val="0"/>
          <w:numId w:val="0"/>
        </w:numPr>
        <w:spacing w:before="0" w:after="0"/>
        <w:ind w:left="340"/>
        <w:rPr>
          <w:rFonts w:ascii="Arial" w:hAnsi="Arial" w:cs="Arial"/>
          <w:szCs w:val="22"/>
        </w:rPr>
      </w:pPr>
      <w:r w:rsidRPr="002351B0">
        <w:rPr>
          <w:rFonts w:ascii="Arial" w:hAnsi="Arial" w:cs="Arial"/>
          <w:szCs w:val="22"/>
        </w:rPr>
        <w:t xml:space="preserve">β </w:t>
      </w:r>
      <w:r>
        <w:rPr>
          <w:rFonts w:ascii="Arial" w:hAnsi="Arial" w:cs="Arial"/>
          <w:szCs w:val="22"/>
        </w:rPr>
        <w:t>–</w:t>
      </w:r>
      <w:r w:rsidRPr="002351B0">
        <w:rPr>
          <w:rFonts w:ascii="Arial" w:hAnsi="Arial" w:cs="Arial"/>
          <w:szCs w:val="22"/>
        </w:rPr>
        <w:t xml:space="preserve"> koeficient Beta,</w:t>
      </w:r>
    </w:p>
    <w:p w:rsidR="00242A0C" w:rsidRDefault="00242A0C" w:rsidP="00242A0C">
      <w:pPr>
        <w:pStyle w:val="Seznamsodrkami"/>
        <w:numPr>
          <w:ilvl w:val="0"/>
          <w:numId w:val="0"/>
        </w:numPr>
        <w:tabs>
          <w:tab w:val="num" w:pos="720"/>
        </w:tabs>
        <w:spacing w:before="0" w:after="0"/>
        <w:ind w:left="340"/>
        <w:rPr>
          <w:rFonts w:ascii="Arial" w:hAnsi="Arial" w:cs="Arial"/>
          <w:szCs w:val="22"/>
        </w:rPr>
      </w:pPr>
      <w:r w:rsidRPr="002351B0">
        <w:rPr>
          <w:rFonts w:ascii="Arial" w:hAnsi="Arial" w:cs="Arial"/>
          <w:szCs w:val="22"/>
        </w:rPr>
        <w:t>(</w:t>
      </w:r>
      <w:proofErr w:type="spellStart"/>
      <w:r w:rsidRPr="002351B0">
        <w:rPr>
          <w:rFonts w:ascii="Arial" w:hAnsi="Arial" w:cs="Arial"/>
          <w:szCs w:val="22"/>
        </w:rPr>
        <w:t>r</w:t>
      </w:r>
      <w:r w:rsidRPr="002351B0">
        <w:rPr>
          <w:rFonts w:ascii="Arial" w:hAnsi="Arial" w:cs="Arial"/>
          <w:szCs w:val="22"/>
          <w:vertAlign w:val="subscript"/>
        </w:rPr>
        <w:t>m</w:t>
      </w:r>
      <w:proofErr w:type="spellEnd"/>
      <w:r w:rsidRPr="002351B0">
        <w:rPr>
          <w:rFonts w:ascii="Arial" w:hAnsi="Arial" w:cs="Arial"/>
          <w:szCs w:val="22"/>
        </w:rPr>
        <w:t xml:space="preserve"> – </w:t>
      </w:r>
      <w:proofErr w:type="spellStart"/>
      <w:r w:rsidRPr="002351B0">
        <w:rPr>
          <w:rFonts w:ascii="Arial" w:hAnsi="Arial" w:cs="Arial"/>
          <w:szCs w:val="22"/>
        </w:rPr>
        <w:t>r</w:t>
      </w:r>
      <w:r w:rsidRPr="002351B0">
        <w:rPr>
          <w:rFonts w:ascii="Arial" w:hAnsi="Arial" w:cs="Arial"/>
          <w:szCs w:val="22"/>
          <w:vertAlign w:val="subscript"/>
        </w:rPr>
        <w:t>f</w:t>
      </w:r>
      <w:proofErr w:type="spellEnd"/>
      <w:r w:rsidRPr="002351B0">
        <w:rPr>
          <w:rFonts w:ascii="Arial" w:hAnsi="Arial" w:cs="Arial"/>
          <w:szCs w:val="22"/>
        </w:rPr>
        <w:t xml:space="preserve">) </w:t>
      </w:r>
      <w:r>
        <w:rPr>
          <w:rFonts w:ascii="Arial" w:hAnsi="Arial" w:cs="Arial"/>
          <w:szCs w:val="22"/>
        </w:rPr>
        <w:t>–</w:t>
      </w:r>
      <w:r w:rsidRPr="002351B0">
        <w:rPr>
          <w:rFonts w:ascii="Arial" w:hAnsi="Arial" w:cs="Arial"/>
          <w:szCs w:val="22"/>
        </w:rPr>
        <w:t xml:space="preserve"> riziková prémie trhu,</w:t>
      </w:r>
    </w:p>
    <w:p w:rsidR="00242A0C" w:rsidRDefault="00242A0C" w:rsidP="00242A0C">
      <w:pPr>
        <w:pStyle w:val="Seznamsodrkami"/>
        <w:numPr>
          <w:ilvl w:val="0"/>
          <w:numId w:val="0"/>
        </w:numPr>
        <w:spacing w:before="0" w:after="0"/>
        <w:ind w:left="340"/>
        <w:rPr>
          <w:rFonts w:ascii="Arial" w:hAnsi="Arial" w:cs="Arial"/>
          <w:szCs w:val="22"/>
        </w:rPr>
      </w:pPr>
      <w:r w:rsidRPr="002351B0">
        <w:rPr>
          <w:rFonts w:ascii="Arial" w:hAnsi="Arial" w:cs="Arial"/>
          <w:szCs w:val="22"/>
        </w:rPr>
        <w:t>RP</w:t>
      </w:r>
      <w:r>
        <w:rPr>
          <w:rFonts w:ascii="Arial" w:hAnsi="Arial" w:cs="Arial"/>
          <w:szCs w:val="22"/>
        </w:rPr>
        <w:t xml:space="preserve"> – </w:t>
      </w:r>
      <w:r w:rsidRPr="002351B0">
        <w:rPr>
          <w:rFonts w:ascii="Arial" w:hAnsi="Arial" w:cs="Arial"/>
          <w:szCs w:val="22"/>
        </w:rPr>
        <w:t>riziková přirážka</w:t>
      </w:r>
      <w:r>
        <w:rPr>
          <w:rFonts w:ascii="Arial" w:hAnsi="Arial" w:cs="Arial"/>
          <w:szCs w:val="22"/>
        </w:rPr>
        <w:t xml:space="preserve"> za </w:t>
      </w:r>
      <w:r w:rsidRPr="002351B0">
        <w:rPr>
          <w:rFonts w:ascii="Arial" w:hAnsi="Arial" w:cs="Arial"/>
          <w:szCs w:val="22"/>
        </w:rPr>
        <w:t>specifická rizika</w:t>
      </w:r>
      <w:r>
        <w:rPr>
          <w:rFonts w:ascii="Arial" w:hAnsi="Arial" w:cs="Arial"/>
          <w:szCs w:val="22"/>
        </w:rPr>
        <w:t xml:space="preserve"> (systematická a nesystematická)</w:t>
      </w:r>
    </w:p>
    <w:p w:rsidR="00242A0C" w:rsidRPr="002C15CF" w:rsidRDefault="00242A0C" w:rsidP="00620BB3">
      <w:pPr>
        <w:spacing w:before="240"/>
        <w:ind w:firstLine="828"/>
        <w:jc w:val="both"/>
        <w:rPr>
          <w:rFonts w:ascii="Arial" w:hAnsi="Arial" w:cs="Arial"/>
          <w:sz w:val="22"/>
          <w:szCs w:val="22"/>
        </w:rPr>
      </w:pPr>
      <w:r>
        <w:rPr>
          <w:rFonts w:ascii="Arial" w:hAnsi="Arial" w:cs="Arial"/>
          <w:sz w:val="22"/>
          <w:szCs w:val="22"/>
        </w:rPr>
        <w:t>Rizikovou prémii</w:t>
      </w:r>
      <w:r w:rsidRPr="002C15CF">
        <w:rPr>
          <w:rFonts w:ascii="Arial" w:hAnsi="Arial" w:cs="Arial"/>
          <w:sz w:val="22"/>
          <w:szCs w:val="22"/>
        </w:rPr>
        <w:t xml:space="preserve"> Úřad určil</w:t>
      </w:r>
      <w:r>
        <w:rPr>
          <w:rFonts w:ascii="Arial" w:hAnsi="Arial" w:cs="Arial"/>
          <w:sz w:val="22"/>
          <w:szCs w:val="22"/>
        </w:rPr>
        <w:t xml:space="preserve"> ve</w:t>
      </w:r>
      <w:r w:rsidR="002A4ABB">
        <w:rPr>
          <w:rFonts w:ascii="Arial" w:hAnsi="Arial" w:cs="Arial"/>
          <w:sz w:val="22"/>
          <w:szCs w:val="22"/>
        </w:rPr>
        <w:t xml:space="preserve"> </w:t>
      </w:r>
      <w:r w:rsidRPr="002C15CF">
        <w:rPr>
          <w:rFonts w:ascii="Arial" w:hAnsi="Arial" w:cs="Arial"/>
          <w:sz w:val="22"/>
          <w:szCs w:val="22"/>
        </w:rPr>
        <w:t>spolupráci</w:t>
      </w:r>
      <w:r>
        <w:rPr>
          <w:rFonts w:ascii="Arial" w:hAnsi="Arial" w:cs="Arial"/>
          <w:sz w:val="22"/>
          <w:szCs w:val="22"/>
        </w:rPr>
        <w:t xml:space="preserve"> s</w:t>
      </w:r>
      <w:r w:rsidR="002A4ABB">
        <w:rPr>
          <w:rFonts w:ascii="Arial" w:hAnsi="Arial" w:cs="Arial"/>
          <w:sz w:val="22"/>
          <w:szCs w:val="22"/>
        </w:rPr>
        <w:t xml:space="preserve"> </w:t>
      </w:r>
      <w:r w:rsidRPr="002C15CF">
        <w:rPr>
          <w:rFonts w:ascii="Arial" w:hAnsi="Arial" w:cs="Arial"/>
          <w:sz w:val="22"/>
          <w:szCs w:val="22"/>
        </w:rPr>
        <w:t xml:space="preserve">poradenskou společností Grant Thornton </w:t>
      </w:r>
      <w:proofErr w:type="spellStart"/>
      <w:r w:rsidRPr="002C15CF">
        <w:rPr>
          <w:rFonts w:ascii="Arial" w:hAnsi="Arial" w:cs="Arial"/>
          <w:sz w:val="22"/>
          <w:szCs w:val="22"/>
        </w:rPr>
        <w:t>Advisory</w:t>
      </w:r>
      <w:proofErr w:type="spellEnd"/>
      <w:r w:rsidRPr="002C15CF">
        <w:rPr>
          <w:rFonts w:ascii="Arial" w:hAnsi="Arial" w:cs="Arial"/>
          <w:sz w:val="22"/>
          <w:szCs w:val="22"/>
        </w:rPr>
        <w:t xml:space="preserve"> s.r.o</w:t>
      </w:r>
      <w:r w:rsidR="00AA6417">
        <w:rPr>
          <w:rFonts w:ascii="Arial" w:hAnsi="Arial" w:cs="Arial"/>
          <w:sz w:val="22"/>
          <w:szCs w:val="22"/>
        </w:rPr>
        <w:t xml:space="preserve">. </w:t>
      </w:r>
      <w:r w:rsidRPr="002C15CF">
        <w:rPr>
          <w:rFonts w:ascii="Arial" w:hAnsi="Arial" w:cs="Arial"/>
          <w:sz w:val="22"/>
          <w:szCs w:val="22"/>
        </w:rPr>
        <w:t>Cílem studie bylo vytvořit metodiku určení této rizikové prémie</w:t>
      </w:r>
      <w:r>
        <w:rPr>
          <w:rFonts w:ascii="Arial" w:hAnsi="Arial" w:cs="Arial"/>
          <w:sz w:val="22"/>
          <w:szCs w:val="22"/>
        </w:rPr>
        <w:t xml:space="preserve"> a </w:t>
      </w:r>
      <w:r w:rsidRPr="002C15CF">
        <w:rPr>
          <w:rFonts w:ascii="Arial" w:hAnsi="Arial" w:cs="Arial"/>
          <w:sz w:val="22"/>
          <w:szCs w:val="22"/>
        </w:rPr>
        <w:t>určit hodnotu rizikové prémie</w:t>
      </w:r>
      <w:r>
        <w:rPr>
          <w:rFonts w:ascii="Arial" w:hAnsi="Arial" w:cs="Arial"/>
          <w:sz w:val="22"/>
          <w:szCs w:val="22"/>
        </w:rPr>
        <w:t xml:space="preserve"> pro</w:t>
      </w:r>
      <w:r w:rsidR="002A4ABB">
        <w:rPr>
          <w:rFonts w:ascii="Arial" w:hAnsi="Arial" w:cs="Arial"/>
          <w:sz w:val="22"/>
          <w:szCs w:val="22"/>
        </w:rPr>
        <w:t xml:space="preserve"> </w:t>
      </w:r>
      <w:r w:rsidRPr="002C15CF">
        <w:rPr>
          <w:rFonts w:ascii="Arial" w:hAnsi="Arial" w:cs="Arial"/>
          <w:sz w:val="22"/>
          <w:szCs w:val="22"/>
        </w:rPr>
        <w:t>aktuální období. Metodika stanovení rizikové přirážky</w:t>
      </w:r>
      <w:r w:rsidR="002A4ABB">
        <w:rPr>
          <w:rFonts w:ascii="Arial" w:hAnsi="Arial" w:cs="Arial"/>
          <w:sz w:val="22"/>
          <w:szCs w:val="22"/>
        </w:rPr>
        <w:t xml:space="preserve"> pro </w:t>
      </w:r>
      <w:r w:rsidRPr="002C15CF">
        <w:rPr>
          <w:rFonts w:ascii="Arial" w:hAnsi="Arial" w:cs="Arial"/>
          <w:sz w:val="22"/>
          <w:szCs w:val="22"/>
        </w:rPr>
        <w:t>investice</w:t>
      </w:r>
      <w:r>
        <w:rPr>
          <w:rFonts w:ascii="Arial" w:hAnsi="Arial" w:cs="Arial"/>
          <w:sz w:val="22"/>
          <w:szCs w:val="22"/>
        </w:rPr>
        <w:t xml:space="preserve"> do</w:t>
      </w:r>
      <w:r w:rsidR="002A4ABB">
        <w:rPr>
          <w:rFonts w:ascii="Arial" w:hAnsi="Arial" w:cs="Arial"/>
          <w:sz w:val="22"/>
          <w:szCs w:val="22"/>
        </w:rPr>
        <w:t xml:space="preserve"> </w:t>
      </w:r>
      <w:r w:rsidRPr="002C15CF">
        <w:rPr>
          <w:rFonts w:ascii="Arial" w:hAnsi="Arial" w:cs="Arial"/>
          <w:sz w:val="22"/>
          <w:szCs w:val="22"/>
        </w:rPr>
        <w:t>optických sítí vychází z</w:t>
      </w:r>
      <w:r w:rsidR="002A4ABB">
        <w:rPr>
          <w:rFonts w:ascii="Arial" w:hAnsi="Arial" w:cs="Arial"/>
          <w:sz w:val="22"/>
          <w:szCs w:val="22"/>
        </w:rPr>
        <w:t xml:space="preserve"> </w:t>
      </w:r>
      <w:r w:rsidRPr="002C15CF">
        <w:rPr>
          <w:rFonts w:ascii="Arial" w:hAnsi="Arial" w:cs="Arial"/>
          <w:sz w:val="22"/>
          <w:szCs w:val="22"/>
        </w:rPr>
        <w:t>informací</w:t>
      </w:r>
      <w:r>
        <w:rPr>
          <w:rFonts w:ascii="Arial" w:hAnsi="Arial" w:cs="Arial"/>
          <w:sz w:val="22"/>
          <w:szCs w:val="22"/>
        </w:rPr>
        <w:t xml:space="preserve"> o</w:t>
      </w:r>
      <w:r w:rsidR="002A4ABB">
        <w:rPr>
          <w:rFonts w:ascii="Arial" w:hAnsi="Arial" w:cs="Arial"/>
          <w:sz w:val="22"/>
          <w:szCs w:val="22"/>
        </w:rPr>
        <w:t xml:space="preserve"> </w:t>
      </w:r>
      <w:r w:rsidRPr="002C15CF">
        <w:rPr>
          <w:rFonts w:ascii="Arial" w:hAnsi="Arial" w:cs="Arial"/>
          <w:sz w:val="22"/>
          <w:szCs w:val="22"/>
        </w:rPr>
        <w:t>zemích, které již hodnotu ukazatele WACC</w:t>
      </w:r>
      <w:r>
        <w:rPr>
          <w:rFonts w:ascii="Arial" w:hAnsi="Arial" w:cs="Arial"/>
          <w:sz w:val="22"/>
          <w:szCs w:val="22"/>
        </w:rPr>
        <w:t xml:space="preserve"> pro</w:t>
      </w:r>
      <w:r w:rsidR="002A4ABB">
        <w:rPr>
          <w:rFonts w:ascii="Arial" w:hAnsi="Arial" w:cs="Arial"/>
          <w:sz w:val="22"/>
          <w:szCs w:val="22"/>
        </w:rPr>
        <w:t xml:space="preserve"> </w:t>
      </w:r>
      <w:r w:rsidRPr="002C15CF">
        <w:rPr>
          <w:rFonts w:ascii="Arial" w:hAnsi="Arial" w:cs="Arial"/>
          <w:sz w:val="22"/>
          <w:szCs w:val="22"/>
        </w:rPr>
        <w:t xml:space="preserve">optický </w:t>
      </w:r>
      <w:r w:rsidRPr="002C15CF">
        <w:rPr>
          <w:rFonts w:ascii="Arial" w:hAnsi="Arial" w:cs="Arial"/>
          <w:sz w:val="22"/>
          <w:szCs w:val="22"/>
        </w:rPr>
        <w:lastRenderedPageBreak/>
        <w:t>přístup vyhlásily nebo se</w:t>
      </w:r>
      <w:r w:rsidR="0047095F">
        <w:rPr>
          <w:rFonts w:ascii="Arial" w:hAnsi="Arial" w:cs="Arial"/>
          <w:sz w:val="22"/>
          <w:szCs w:val="22"/>
        </w:rPr>
        <w:t xml:space="preserve"> na </w:t>
      </w:r>
      <w:r w:rsidRPr="002C15CF">
        <w:rPr>
          <w:rFonts w:ascii="Arial" w:hAnsi="Arial" w:cs="Arial"/>
          <w:sz w:val="22"/>
          <w:szCs w:val="22"/>
        </w:rPr>
        <w:t>vyhlášení této hodnoty připravovaly (Slovinsko, Polsko, Německo</w:t>
      </w:r>
      <w:r>
        <w:rPr>
          <w:rFonts w:ascii="Arial" w:hAnsi="Arial" w:cs="Arial"/>
          <w:sz w:val="22"/>
          <w:szCs w:val="22"/>
        </w:rPr>
        <w:t xml:space="preserve"> a</w:t>
      </w:r>
      <w:r w:rsidR="002A4ABB">
        <w:rPr>
          <w:rFonts w:ascii="Arial" w:hAnsi="Arial" w:cs="Arial"/>
          <w:sz w:val="22"/>
          <w:szCs w:val="22"/>
        </w:rPr>
        <w:t xml:space="preserve"> </w:t>
      </w:r>
      <w:r w:rsidRPr="002C15CF">
        <w:rPr>
          <w:rFonts w:ascii="Arial" w:hAnsi="Arial" w:cs="Arial"/>
          <w:sz w:val="22"/>
          <w:szCs w:val="22"/>
        </w:rPr>
        <w:t>Holandsko).</w:t>
      </w:r>
      <w:r w:rsidR="0047095F">
        <w:rPr>
          <w:rFonts w:ascii="Arial" w:hAnsi="Arial" w:cs="Arial"/>
          <w:sz w:val="22"/>
          <w:szCs w:val="22"/>
        </w:rPr>
        <w:t xml:space="preserve"> </w:t>
      </w:r>
      <w:r w:rsidR="007C0B5A">
        <w:rPr>
          <w:rFonts w:ascii="Arial" w:hAnsi="Arial" w:cs="Arial"/>
          <w:sz w:val="22"/>
          <w:szCs w:val="22"/>
        </w:rPr>
        <w:t>P</w:t>
      </w:r>
      <w:r w:rsidR="0047095F">
        <w:rPr>
          <w:rFonts w:ascii="Arial" w:hAnsi="Arial" w:cs="Arial"/>
          <w:sz w:val="22"/>
          <w:szCs w:val="22"/>
        </w:rPr>
        <w:t>ři </w:t>
      </w:r>
      <w:r w:rsidRPr="002C15CF">
        <w:rPr>
          <w:rFonts w:ascii="Arial" w:hAnsi="Arial" w:cs="Arial"/>
          <w:sz w:val="22"/>
          <w:szCs w:val="22"/>
        </w:rPr>
        <w:t>stanovení rizikové prémie byly zohledněny tyto typy rizik:</w:t>
      </w:r>
    </w:p>
    <w:p w:rsidR="00242A0C" w:rsidRPr="002C15CF" w:rsidRDefault="00242A0C" w:rsidP="00242A0C">
      <w:pPr>
        <w:numPr>
          <w:ilvl w:val="0"/>
          <w:numId w:val="16"/>
        </w:numPr>
        <w:spacing w:before="240"/>
        <w:jc w:val="both"/>
        <w:rPr>
          <w:rFonts w:ascii="Arial" w:hAnsi="Arial" w:cs="Arial"/>
          <w:sz w:val="22"/>
          <w:szCs w:val="22"/>
        </w:rPr>
      </w:pPr>
      <w:r w:rsidRPr="002C15CF">
        <w:rPr>
          <w:rFonts w:ascii="Arial" w:hAnsi="Arial" w:cs="Arial"/>
          <w:sz w:val="22"/>
          <w:szCs w:val="22"/>
        </w:rPr>
        <w:t>Systematická rizika spojená</w:t>
      </w:r>
      <w:r w:rsidR="002A4ABB">
        <w:rPr>
          <w:rFonts w:ascii="Arial" w:hAnsi="Arial" w:cs="Arial"/>
          <w:sz w:val="22"/>
          <w:szCs w:val="22"/>
        </w:rPr>
        <w:t xml:space="preserve"> s </w:t>
      </w:r>
      <w:r w:rsidRPr="002C15CF">
        <w:rPr>
          <w:rFonts w:ascii="Arial" w:hAnsi="Arial" w:cs="Arial"/>
          <w:sz w:val="22"/>
          <w:szCs w:val="22"/>
        </w:rPr>
        <w:t>rizikem celého trhu. Jedná</w:t>
      </w:r>
      <w:r w:rsidR="0047095F">
        <w:rPr>
          <w:rFonts w:ascii="Arial" w:hAnsi="Arial" w:cs="Arial"/>
          <w:sz w:val="22"/>
          <w:szCs w:val="22"/>
        </w:rPr>
        <w:t xml:space="preserve"> na </w:t>
      </w:r>
      <w:r w:rsidRPr="002C15CF">
        <w:rPr>
          <w:rFonts w:ascii="Arial" w:hAnsi="Arial" w:cs="Arial"/>
          <w:sz w:val="22"/>
          <w:szCs w:val="22"/>
        </w:rPr>
        <w:t>například</w:t>
      </w:r>
      <w:r>
        <w:rPr>
          <w:rFonts w:ascii="Arial" w:hAnsi="Arial" w:cs="Arial"/>
          <w:sz w:val="22"/>
          <w:szCs w:val="22"/>
        </w:rPr>
        <w:t xml:space="preserve"> </w:t>
      </w:r>
      <w:r w:rsidR="002A4ABB">
        <w:rPr>
          <w:rFonts w:ascii="Arial" w:hAnsi="Arial" w:cs="Arial"/>
          <w:sz w:val="22"/>
          <w:szCs w:val="22"/>
        </w:rPr>
        <w:br/>
      </w:r>
      <w:r>
        <w:rPr>
          <w:rFonts w:ascii="Arial" w:hAnsi="Arial" w:cs="Arial"/>
          <w:sz w:val="22"/>
          <w:szCs w:val="22"/>
        </w:rPr>
        <w:t>o</w:t>
      </w:r>
      <w:r w:rsidR="002A4ABB">
        <w:rPr>
          <w:rFonts w:ascii="Arial" w:hAnsi="Arial" w:cs="Arial"/>
          <w:sz w:val="22"/>
          <w:szCs w:val="22"/>
        </w:rPr>
        <w:t xml:space="preserve"> </w:t>
      </w:r>
      <w:r w:rsidRPr="002C15CF">
        <w:rPr>
          <w:rFonts w:ascii="Arial" w:hAnsi="Arial" w:cs="Arial"/>
          <w:sz w:val="22"/>
          <w:szCs w:val="22"/>
        </w:rPr>
        <w:t>makroekonomické vlivy, politické</w:t>
      </w:r>
      <w:r>
        <w:rPr>
          <w:rFonts w:ascii="Arial" w:hAnsi="Arial" w:cs="Arial"/>
          <w:sz w:val="22"/>
          <w:szCs w:val="22"/>
        </w:rPr>
        <w:t xml:space="preserve"> a</w:t>
      </w:r>
      <w:r w:rsidR="002A4ABB">
        <w:rPr>
          <w:rFonts w:ascii="Arial" w:hAnsi="Arial" w:cs="Arial"/>
          <w:sz w:val="22"/>
          <w:szCs w:val="22"/>
        </w:rPr>
        <w:t xml:space="preserve"> </w:t>
      </w:r>
      <w:r w:rsidRPr="002C15CF">
        <w:rPr>
          <w:rFonts w:ascii="Arial" w:hAnsi="Arial" w:cs="Arial"/>
          <w:sz w:val="22"/>
          <w:szCs w:val="22"/>
        </w:rPr>
        <w:t>mezinárodní vlivy, rizika související</w:t>
      </w:r>
      <w:r>
        <w:rPr>
          <w:rFonts w:ascii="Arial" w:hAnsi="Arial" w:cs="Arial"/>
          <w:sz w:val="22"/>
          <w:szCs w:val="22"/>
        </w:rPr>
        <w:t xml:space="preserve"> s</w:t>
      </w:r>
      <w:r w:rsidR="002A4ABB">
        <w:rPr>
          <w:rFonts w:ascii="Arial" w:hAnsi="Arial" w:cs="Arial"/>
          <w:sz w:val="22"/>
          <w:szCs w:val="22"/>
        </w:rPr>
        <w:t xml:space="preserve"> </w:t>
      </w:r>
      <w:r w:rsidRPr="002C15CF">
        <w:rPr>
          <w:rFonts w:ascii="Arial" w:hAnsi="Arial" w:cs="Arial"/>
          <w:sz w:val="22"/>
          <w:szCs w:val="22"/>
        </w:rPr>
        <w:t>provozováním sítí různých typů.</w:t>
      </w:r>
    </w:p>
    <w:p w:rsidR="00242A0C" w:rsidRPr="002C15CF" w:rsidRDefault="00242A0C" w:rsidP="00242A0C">
      <w:pPr>
        <w:numPr>
          <w:ilvl w:val="0"/>
          <w:numId w:val="16"/>
        </w:numPr>
        <w:spacing w:before="240"/>
        <w:jc w:val="both"/>
        <w:rPr>
          <w:rFonts w:ascii="Arial" w:hAnsi="Arial" w:cs="Arial"/>
          <w:sz w:val="22"/>
          <w:szCs w:val="22"/>
        </w:rPr>
      </w:pPr>
      <w:r w:rsidRPr="002C15CF">
        <w:rPr>
          <w:rFonts w:ascii="Arial" w:hAnsi="Arial" w:cs="Arial"/>
          <w:sz w:val="22"/>
          <w:szCs w:val="22"/>
        </w:rPr>
        <w:t>Nesystematická rizika spojená</w:t>
      </w:r>
      <w:r>
        <w:rPr>
          <w:rFonts w:ascii="Arial" w:hAnsi="Arial" w:cs="Arial"/>
          <w:sz w:val="22"/>
          <w:szCs w:val="22"/>
        </w:rPr>
        <w:t xml:space="preserve"> s</w:t>
      </w:r>
      <w:r w:rsidR="002A4ABB">
        <w:rPr>
          <w:rFonts w:ascii="Arial" w:hAnsi="Arial" w:cs="Arial"/>
          <w:sz w:val="22"/>
          <w:szCs w:val="22"/>
        </w:rPr>
        <w:t xml:space="preserve"> </w:t>
      </w:r>
      <w:r w:rsidRPr="002C15CF">
        <w:rPr>
          <w:rFonts w:ascii="Arial" w:hAnsi="Arial" w:cs="Arial"/>
          <w:sz w:val="22"/>
          <w:szCs w:val="22"/>
        </w:rPr>
        <w:t>regulací, tj.</w:t>
      </w:r>
      <w:r w:rsidR="002A4ABB">
        <w:rPr>
          <w:rFonts w:ascii="Arial" w:hAnsi="Arial" w:cs="Arial"/>
          <w:sz w:val="22"/>
          <w:szCs w:val="22"/>
        </w:rPr>
        <w:t xml:space="preserve"> s </w:t>
      </w:r>
      <w:r w:rsidRPr="002C15CF">
        <w:rPr>
          <w:rFonts w:ascii="Arial" w:hAnsi="Arial" w:cs="Arial"/>
          <w:sz w:val="22"/>
          <w:szCs w:val="22"/>
        </w:rPr>
        <w:t>rozhodnutím regulátora</w:t>
      </w:r>
      <w:r>
        <w:rPr>
          <w:rFonts w:ascii="Arial" w:hAnsi="Arial" w:cs="Arial"/>
          <w:sz w:val="22"/>
          <w:szCs w:val="22"/>
        </w:rPr>
        <w:t xml:space="preserve"> ve</w:t>
      </w:r>
      <w:r w:rsidR="002A4ABB">
        <w:rPr>
          <w:rFonts w:ascii="Arial" w:hAnsi="Arial" w:cs="Arial"/>
          <w:sz w:val="22"/>
          <w:szCs w:val="22"/>
        </w:rPr>
        <w:t xml:space="preserve"> </w:t>
      </w:r>
      <w:r w:rsidRPr="002C15CF">
        <w:rPr>
          <w:rFonts w:ascii="Arial" w:hAnsi="Arial" w:cs="Arial"/>
          <w:sz w:val="22"/>
          <w:szCs w:val="22"/>
        </w:rPr>
        <w:t>vazbě</w:t>
      </w:r>
      <w:r w:rsidR="0047095F">
        <w:rPr>
          <w:rFonts w:ascii="Arial" w:hAnsi="Arial" w:cs="Arial"/>
          <w:sz w:val="22"/>
          <w:szCs w:val="22"/>
        </w:rPr>
        <w:t xml:space="preserve"> na </w:t>
      </w:r>
      <w:r w:rsidRPr="002C15CF">
        <w:rPr>
          <w:rFonts w:ascii="Arial" w:hAnsi="Arial" w:cs="Arial"/>
          <w:sz w:val="22"/>
          <w:szCs w:val="22"/>
        </w:rPr>
        <w:t>investování</w:t>
      </w:r>
      <w:r>
        <w:rPr>
          <w:rFonts w:ascii="Arial" w:hAnsi="Arial" w:cs="Arial"/>
          <w:sz w:val="22"/>
          <w:szCs w:val="22"/>
        </w:rPr>
        <w:t xml:space="preserve"> do</w:t>
      </w:r>
      <w:r w:rsidR="002A4ABB">
        <w:rPr>
          <w:rFonts w:ascii="Arial" w:hAnsi="Arial" w:cs="Arial"/>
          <w:sz w:val="22"/>
          <w:szCs w:val="22"/>
        </w:rPr>
        <w:t xml:space="preserve"> </w:t>
      </w:r>
      <w:r w:rsidRPr="002C15CF">
        <w:rPr>
          <w:rFonts w:ascii="Arial" w:hAnsi="Arial" w:cs="Arial"/>
          <w:sz w:val="22"/>
          <w:szCs w:val="22"/>
        </w:rPr>
        <w:t>sítí NGA/NGN</w:t>
      </w:r>
      <w:r w:rsidR="0047095F">
        <w:rPr>
          <w:rFonts w:ascii="Arial" w:hAnsi="Arial" w:cs="Arial"/>
          <w:sz w:val="22"/>
          <w:szCs w:val="22"/>
        </w:rPr>
        <w:t xml:space="preserve"> na </w:t>
      </w:r>
      <w:r w:rsidRPr="002C15CF">
        <w:rPr>
          <w:rFonts w:ascii="Arial" w:hAnsi="Arial" w:cs="Arial"/>
          <w:sz w:val="22"/>
          <w:szCs w:val="22"/>
        </w:rPr>
        <w:t xml:space="preserve">trzích bezprostředně ovlivňujících vymezené relevantní trhy. </w:t>
      </w:r>
    </w:p>
    <w:p w:rsidR="00242A0C" w:rsidRPr="002C15CF" w:rsidRDefault="00242A0C" w:rsidP="00620BB3">
      <w:pPr>
        <w:spacing w:before="240"/>
        <w:ind w:firstLine="828"/>
        <w:jc w:val="both"/>
        <w:rPr>
          <w:rFonts w:ascii="Arial" w:hAnsi="Arial" w:cs="Arial"/>
          <w:sz w:val="22"/>
          <w:szCs w:val="22"/>
        </w:rPr>
      </w:pPr>
      <w:r w:rsidRPr="002C15CF">
        <w:rPr>
          <w:rFonts w:ascii="Arial" w:hAnsi="Arial" w:cs="Arial"/>
          <w:sz w:val="22"/>
          <w:szCs w:val="22"/>
        </w:rPr>
        <w:t>Odhad velikosti systematických rizik vycházel jednak z</w:t>
      </w:r>
      <w:r w:rsidR="00F42DC5">
        <w:rPr>
          <w:rFonts w:ascii="Arial" w:hAnsi="Arial" w:cs="Arial"/>
          <w:sz w:val="22"/>
          <w:szCs w:val="22"/>
        </w:rPr>
        <w:t xml:space="preserve"> </w:t>
      </w:r>
      <w:r w:rsidRPr="002C15CF">
        <w:rPr>
          <w:rFonts w:ascii="Arial" w:hAnsi="Arial" w:cs="Arial"/>
          <w:sz w:val="22"/>
          <w:szCs w:val="22"/>
        </w:rPr>
        <w:t>publikované studie</w:t>
      </w:r>
      <w:r w:rsidR="00F116A0">
        <w:rPr>
          <w:rStyle w:val="Znakapoznpodarou"/>
          <w:rFonts w:ascii="Arial" w:hAnsi="Arial"/>
          <w:sz w:val="22"/>
          <w:szCs w:val="22"/>
        </w:rPr>
        <w:footnoteReference w:id="8"/>
      </w:r>
      <w:r w:rsidRPr="002C15CF">
        <w:rPr>
          <w:rFonts w:ascii="Arial" w:hAnsi="Arial"/>
          <w:sz w:val="22"/>
        </w:rPr>
        <w:t>)</w:t>
      </w:r>
      <w:r>
        <w:rPr>
          <w:rFonts w:ascii="Arial" w:hAnsi="Arial" w:cs="Arial"/>
          <w:sz w:val="22"/>
          <w:szCs w:val="22"/>
        </w:rPr>
        <w:t xml:space="preserve"> </w:t>
      </w:r>
      <w:r w:rsidR="00F42DC5">
        <w:rPr>
          <w:rFonts w:ascii="Arial" w:hAnsi="Arial" w:cs="Arial"/>
          <w:sz w:val="22"/>
          <w:szCs w:val="22"/>
        </w:rPr>
        <w:br/>
      </w:r>
      <w:r>
        <w:rPr>
          <w:rFonts w:ascii="Arial" w:hAnsi="Arial" w:cs="Arial"/>
          <w:sz w:val="22"/>
          <w:szCs w:val="22"/>
        </w:rPr>
        <w:t>s</w:t>
      </w:r>
      <w:r w:rsidR="00F42DC5">
        <w:rPr>
          <w:rFonts w:ascii="Arial" w:hAnsi="Arial" w:cs="Arial"/>
          <w:sz w:val="22"/>
          <w:szCs w:val="22"/>
        </w:rPr>
        <w:t xml:space="preserve"> </w:t>
      </w:r>
      <w:r w:rsidRPr="002C15CF">
        <w:rPr>
          <w:rFonts w:ascii="Arial" w:hAnsi="Arial" w:cs="Arial"/>
          <w:sz w:val="22"/>
          <w:szCs w:val="22"/>
        </w:rPr>
        <w:t>odhadem hodnoty</w:t>
      </w:r>
      <w:r>
        <w:rPr>
          <w:rFonts w:ascii="Arial" w:hAnsi="Arial" w:cs="Arial"/>
          <w:sz w:val="22"/>
          <w:szCs w:val="22"/>
        </w:rPr>
        <w:t xml:space="preserve"> pro</w:t>
      </w:r>
      <w:r w:rsidR="00F42DC5">
        <w:rPr>
          <w:rFonts w:ascii="Arial" w:hAnsi="Arial" w:cs="Arial"/>
          <w:sz w:val="22"/>
          <w:szCs w:val="22"/>
        </w:rPr>
        <w:t xml:space="preserve"> </w:t>
      </w:r>
      <w:r w:rsidRPr="002C15CF">
        <w:rPr>
          <w:rFonts w:ascii="Arial" w:hAnsi="Arial" w:cs="Arial"/>
          <w:sz w:val="22"/>
          <w:szCs w:val="22"/>
        </w:rPr>
        <w:t>Holandsko, jednak z</w:t>
      </w:r>
      <w:r w:rsidR="00F42DC5">
        <w:rPr>
          <w:rFonts w:ascii="Arial" w:hAnsi="Arial" w:cs="Arial"/>
          <w:sz w:val="22"/>
          <w:szCs w:val="22"/>
        </w:rPr>
        <w:t xml:space="preserve"> </w:t>
      </w:r>
      <w:r w:rsidRPr="002C15CF">
        <w:rPr>
          <w:rFonts w:ascii="Arial" w:hAnsi="Arial" w:cs="Arial"/>
          <w:sz w:val="22"/>
          <w:szCs w:val="22"/>
        </w:rPr>
        <w:t>odhadu možného navýšení WACC stanoveného</w:t>
      </w:r>
      <w:r>
        <w:rPr>
          <w:rFonts w:ascii="Arial" w:hAnsi="Arial" w:cs="Arial"/>
          <w:sz w:val="22"/>
          <w:szCs w:val="22"/>
        </w:rPr>
        <w:t xml:space="preserve"> pro</w:t>
      </w:r>
      <w:r w:rsidR="00F42DC5">
        <w:rPr>
          <w:rFonts w:ascii="Arial" w:hAnsi="Arial" w:cs="Arial"/>
          <w:sz w:val="22"/>
          <w:szCs w:val="22"/>
        </w:rPr>
        <w:t xml:space="preserve"> </w:t>
      </w:r>
      <w:r w:rsidRPr="002C15CF">
        <w:rPr>
          <w:rFonts w:ascii="Arial" w:hAnsi="Arial" w:cs="Arial"/>
          <w:sz w:val="22"/>
          <w:szCs w:val="22"/>
        </w:rPr>
        <w:t>sítě kovového vedení, založeném</w:t>
      </w:r>
      <w:r w:rsidR="0047095F">
        <w:rPr>
          <w:rFonts w:ascii="Arial" w:hAnsi="Arial" w:cs="Arial"/>
          <w:sz w:val="22"/>
          <w:szCs w:val="22"/>
        </w:rPr>
        <w:t xml:space="preserve"> na </w:t>
      </w:r>
      <w:r w:rsidRPr="002C15CF">
        <w:rPr>
          <w:rFonts w:ascii="Arial" w:hAnsi="Arial" w:cs="Arial"/>
          <w:sz w:val="22"/>
          <w:szCs w:val="22"/>
        </w:rPr>
        <w:t>číselné korelační analýze závislostí vybraných ekonomických ukazatelů</w:t>
      </w:r>
      <w:r>
        <w:rPr>
          <w:rFonts w:ascii="Arial" w:hAnsi="Arial" w:cs="Arial"/>
          <w:sz w:val="22"/>
          <w:szCs w:val="22"/>
        </w:rPr>
        <w:t xml:space="preserve"> a</w:t>
      </w:r>
      <w:r w:rsidR="00F42DC5">
        <w:rPr>
          <w:rFonts w:ascii="Arial" w:hAnsi="Arial" w:cs="Arial"/>
          <w:sz w:val="22"/>
          <w:szCs w:val="22"/>
        </w:rPr>
        <w:t xml:space="preserve"> </w:t>
      </w:r>
      <w:r w:rsidRPr="002C15CF">
        <w:rPr>
          <w:rFonts w:ascii="Arial" w:hAnsi="Arial" w:cs="Arial"/>
          <w:sz w:val="22"/>
          <w:szCs w:val="22"/>
        </w:rPr>
        <w:t>přírůstku ukazatele WACC</w:t>
      </w:r>
      <w:r w:rsidR="0047095F">
        <w:rPr>
          <w:rFonts w:ascii="Arial" w:hAnsi="Arial" w:cs="Arial"/>
          <w:sz w:val="22"/>
          <w:szCs w:val="22"/>
        </w:rPr>
        <w:t xml:space="preserve"> v </w:t>
      </w:r>
      <w:r w:rsidRPr="002C15CF">
        <w:rPr>
          <w:rFonts w:ascii="Arial" w:hAnsi="Arial" w:cs="Arial"/>
          <w:sz w:val="22"/>
          <w:szCs w:val="22"/>
        </w:rPr>
        <w:t>zemích, které se stanovením rizikové prémie</w:t>
      </w:r>
      <w:r>
        <w:rPr>
          <w:rFonts w:ascii="Arial" w:hAnsi="Arial" w:cs="Arial"/>
          <w:sz w:val="22"/>
          <w:szCs w:val="22"/>
        </w:rPr>
        <w:t xml:space="preserve"> pro</w:t>
      </w:r>
      <w:r w:rsidR="002A4ABB">
        <w:rPr>
          <w:rFonts w:ascii="Arial" w:hAnsi="Arial" w:cs="Arial"/>
          <w:sz w:val="22"/>
          <w:szCs w:val="22"/>
        </w:rPr>
        <w:t xml:space="preserve"> </w:t>
      </w:r>
      <w:r w:rsidRPr="002C15CF">
        <w:rPr>
          <w:rFonts w:ascii="Arial" w:hAnsi="Arial" w:cs="Arial"/>
          <w:sz w:val="22"/>
          <w:szCs w:val="22"/>
        </w:rPr>
        <w:t>investování</w:t>
      </w:r>
      <w:r>
        <w:rPr>
          <w:rFonts w:ascii="Arial" w:hAnsi="Arial" w:cs="Arial"/>
          <w:sz w:val="22"/>
          <w:szCs w:val="22"/>
        </w:rPr>
        <w:t xml:space="preserve"> do</w:t>
      </w:r>
      <w:r w:rsidR="002A4ABB">
        <w:rPr>
          <w:rFonts w:ascii="Arial" w:hAnsi="Arial" w:cs="Arial"/>
          <w:sz w:val="22"/>
          <w:szCs w:val="22"/>
        </w:rPr>
        <w:t xml:space="preserve"> </w:t>
      </w:r>
      <w:r w:rsidRPr="002C15CF">
        <w:rPr>
          <w:rFonts w:ascii="Arial" w:hAnsi="Arial" w:cs="Arial"/>
          <w:sz w:val="22"/>
          <w:szCs w:val="22"/>
        </w:rPr>
        <w:t>sítí NGA již zabývaly (Slovinsko, Polsko</w:t>
      </w:r>
      <w:r>
        <w:rPr>
          <w:rFonts w:ascii="Arial" w:hAnsi="Arial" w:cs="Arial"/>
          <w:sz w:val="22"/>
          <w:szCs w:val="22"/>
        </w:rPr>
        <w:t xml:space="preserve"> </w:t>
      </w:r>
      <w:r w:rsidR="00F42DC5">
        <w:rPr>
          <w:rFonts w:ascii="Arial" w:hAnsi="Arial" w:cs="Arial"/>
          <w:sz w:val="22"/>
          <w:szCs w:val="22"/>
        </w:rPr>
        <w:br/>
      </w:r>
      <w:r>
        <w:rPr>
          <w:rFonts w:ascii="Arial" w:hAnsi="Arial" w:cs="Arial"/>
          <w:sz w:val="22"/>
          <w:szCs w:val="22"/>
        </w:rPr>
        <w:t>a</w:t>
      </w:r>
      <w:r w:rsidR="00F42DC5">
        <w:rPr>
          <w:rFonts w:ascii="Arial" w:hAnsi="Arial" w:cs="Arial"/>
          <w:sz w:val="22"/>
          <w:szCs w:val="22"/>
        </w:rPr>
        <w:t xml:space="preserve"> </w:t>
      </w:r>
      <w:r w:rsidRPr="002C15CF">
        <w:rPr>
          <w:rFonts w:ascii="Arial" w:hAnsi="Arial" w:cs="Arial"/>
          <w:sz w:val="22"/>
          <w:szCs w:val="22"/>
        </w:rPr>
        <w:t>Německo)</w:t>
      </w:r>
      <w:r>
        <w:rPr>
          <w:rFonts w:ascii="Arial" w:hAnsi="Arial" w:cs="Arial"/>
          <w:sz w:val="22"/>
          <w:szCs w:val="22"/>
        </w:rPr>
        <w:t xml:space="preserve"> a</w:t>
      </w:r>
      <w:r w:rsidR="00F42DC5">
        <w:rPr>
          <w:rFonts w:ascii="Arial" w:hAnsi="Arial" w:cs="Arial"/>
          <w:sz w:val="22"/>
          <w:szCs w:val="22"/>
        </w:rPr>
        <w:t xml:space="preserve"> </w:t>
      </w:r>
      <w:r w:rsidRPr="002C15CF">
        <w:rPr>
          <w:rFonts w:ascii="Arial" w:hAnsi="Arial" w:cs="Arial"/>
          <w:sz w:val="22"/>
          <w:szCs w:val="22"/>
        </w:rPr>
        <w:t>poskytly ČTÚ informace. Tento odhad se dále opíral</w:t>
      </w:r>
      <w:r>
        <w:rPr>
          <w:rFonts w:ascii="Arial" w:hAnsi="Arial" w:cs="Arial"/>
          <w:sz w:val="22"/>
          <w:szCs w:val="22"/>
        </w:rPr>
        <w:t xml:space="preserve"> o</w:t>
      </w:r>
      <w:r w:rsidR="00F42DC5">
        <w:rPr>
          <w:rFonts w:ascii="Arial" w:hAnsi="Arial" w:cs="Arial"/>
          <w:sz w:val="22"/>
          <w:szCs w:val="22"/>
        </w:rPr>
        <w:t xml:space="preserve"> </w:t>
      </w:r>
      <w:r w:rsidRPr="002C15CF">
        <w:rPr>
          <w:rFonts w:ascii="Arial" w:hAnsi="Arial" w:cs="Arial"/>
          <w:sz w:val="22"/>
          <w:szCs w:val="22"/>
        </w:rPr>
        <w:t>odhadované hodnoty získané statistickým zpracováním ohodnocení jednotlivých rizikových faktorů tak, jak je ohodnotil tým vybraných expertů složený ze zástupců provozovatelů sítí elektronických komunikací</w:t>
      </w:r>
      <w:r w:rsidR="00F116A0">
        <w:rPr>
          <w:rStyle w:val="Znakapoznpodarou"/>
          <w:rFonts w:ascii="Arial" w:hAnsi="Arial"/>
          <w:sz w:val="22"/>
          <w:szCs w:val="22"/>
        </w:rPr>
        <w:footnoteReference w:id="9"/>
      </w:r>
      <w:r w:rsidRPr="002C15CF">
        <w:rPr>
          <w:rFonts w:ascii="Arial" w:hAnsi="Arial" w:cs="Arial"/>
          <w:sz w:val="22"/>
          <w:szCs w:val="22"/>
        </w:rPr>
        <w:t>), zástupců regulátora</w:t>
      </w:r>
      <w:r>
        <w:rPr>
          <w:rFonts w:ascii="Arial" w:hAnsi="Arial" w:cs="Arial"/>
          <w:sz w:val="22"/>
          <w:szCs w:val="22"/>
        </w:rPr>
        <w:t xml:space="preserve"> a</w:t>
      </w:r>
      <w:r w:rsidR="00F42DC5">
        <w:rPr>
          <w:rFonts w:ascii="Arial" w:hAnsi="Arial" w:cs="Arial"/>
          <w:sz w:val="22"/>
          <w:szCs w:val="22"/>
        </w:rPr>
        <w:t xml:space="preserve"> </w:t>
      </w:r>
      <w:r w:rsidRPr="002C15CF">
        <w:rPr>
          <w:rFonts w:ascii="Arial" w:hAnsi="Arial" w:cs="Arial"/>
          <w:sz w:val="22"/>
          <w:szCs w:val="22"/>
        </w:rPr>
        <w:t>poradenské společnosti.</w:t>
      </w:r>
    </w:p>
    <w:p w:rsidR="00242A0C" w:rsidRPr="002C15CF" w:rsidRDefault="00242A0C" w:rsidP="00620BB3">
      <w:pPr>
        <w:spacing w:before="240"/>
        <w:ind w:firstLine="828"/>
        <w:jc w:val="both"/>
        <w:rPr>
          <w:rFonts w:ascii="Arial" w:hAnsi="Arial" w:cs="Arial"/>
          <w:sz w:val="22"/>
          <w:szCs w:val="22"/>
        </w:rPr>
      </w:pPr>
      <w:r w:rsidRPr="002C15CF">
        <w:rPr>
          <w:rFonts w:ascii="Arial" w:hAnsi="Arial" w:cs="Arial"/>
          <w:sz w:val="22"/>
          <w:szCs w:val="22"/>
        </w:rPr>
        <w:t>Odhad velikosti nesystematických rizik vycházel z</w:t>
      </w:r>
      <w:r w:rsidR="00F42DC5">
        <w:rPr>
          <w:rFonts w:ascii="Arial" w:hAnsi="Arial" w:cs="Arial"/>
          <w:sz w:val="22"/>
          <w:szCs w:val="22"/>
        </w:rPr>
        <w:t xml:space="preserve"> </w:t>
      </w:r>
      <w:r w:rsidRPr="002C15CF">
        <w:rPr>
          <w:rFonts w:ascii="Arial" w:hAnsi="Arial" w:cs="Arial"/>
          <w:sz w:val="22"/>
          <w:szCs w:val="22"/>
        </w:rPr>
        <w:t>analýzy jednotlivých rizikových faktorů. Jedná se tyto oblasti nejistot:</w:t>
      </w:r>
    </w:p>
    <w:p w:rsidR="00242A0C" w:rsidRPr="002C15CF" w:rsidRDefault="00242A0C" w:rsidP="00242A0C">
      <w:pPr>
        <w:numPr>
          <w:ilvl w:val="0"/>
          <w:numId w:val="17"/>
        </w:numPr>
        <w:spacing w:before="240"/>
        <w:jc w:val="both"/>
        <w:rPr>
          <w:rFonts w:ascii="Arial" w:hAnsi="Arial" w:cs="Arial"/>
          <w:sz w:val="22"/>
          <w:szCs w:val="22"/>
        </w:rPr>
      </w:pPr>
      <w:r w:rsidRPr="002C15CF">
        <w:rPr>
          <w:rFonts w:ascii="Arial" w:hAnsi="Arial" w:cs="Arial"/>
          <w:sz w:val="22"/>
          <w:szCs w:val="22"/>
        </w:rPr>
        <w:t>Nejistota, zda investice</w:t>
      </w:r>
      <w:r>
        <w:rPr>
          <w:rFonts w:ascii="Arial" w:hAnsi="Arial" w:cs="Arial"/>
          <w:sz w:val="22"/>
          <w:szCs w:val="22"/>
        </w:rPr>
        <w:t xml:space="preserve"> do</w:t>
      </w:r>
      <w:r w:rsidR="00F42DC5">
        <w:rPr>
          <w:rFonts w:ascii="Arial" w:hAnsi="Arial" w:cs="Arial"/>
          <w:sz w:val="22"/>
          <w:szCs w:val="22"/>
        </w:rPr>
        <w:t xml:space="preserve"> </w:t>
      </w:r>
      <w:r w:rsidRPr="002C15CF">
        <w:rPr>
          <w:rFonts w:ascii="Arial" w:hAnsi="Arial" w:cs="Arial"/>
          <w:sz w:val="22"/>
          <w:szCs w:val="22"/>
        </w:rPr>
        <w:t>NGA bude čelit regulaci</w:t>
      </w:r>
      <w:r w:rsidR="00F42DC5">
        <w:rPr>
          <w:rFonts w:ascii="Arial" w:hAnsi="Arial" w:cs="Arial"/>
          <w:sz w:val="22"/>
          <w:szCs w:val="22"/>
        </w:rPr>
        <w:t xml:space="preserve"> ve </w:t>
      </w:r>
      <w:r w:rsidRPr="002C15CF">
        <w:rPr>
          <w:rFonts w:ascii="Arial" w:hAnsi="Arial" w:cs="Arial"/>
          <w:sz w:val="22"/>
          <w:szCs w:val="22"/>
        </w:rPr>
        <w:t>fázi vstupu, pokud ano, pak jakého typu</w:t>
      </w:r>
      <w:r>
        <w:rPr>
          <w:rFonts w:ascii="Arial" w:hAnsi="Arial" w:cs="Arial"/>
          <w:sz w:val="22"/>
          <w:szCs w:val="22"/>
        </w:rPr>
        <w:t xml:space="preserve"> a</w:t>
      </w:r>
      <w:r w:rsidR="00F42DC5">
        <w:rPr>
          <w:rFonts w:ascii="Arial" w:hAnsi="Arial" w:cs="Arial"/>
          <w:sz w:val="22"/>
          <w:szCs w:val="22"/>
        </w:rPr>
        <w:t xml:space="preserve"> </w:t>
      </w:r>
      <w:r w:rsidRPr="002C15CF">
        <w:rPr>
          <w:rFonts w:ascii="Arial" w:hAnsi="Arial" w:cs="Arial"/>
          <w:sz w:val="22"/>
          <w:szCs w:val="22"/>
        </w:rPr>
        <w:t>uplatňované</w:t>
      </w:r>
      <w:r w:rsidR="0047095F">
        <w:rPr>
          <w:rFonts w:ascii="Arial" w:hAnsi="Arial" w:cs="Arial"/>
          <w:sz w:val="22"/>
          <w:szCs w:val="22"/>
        </w:rPr>
        <w:t xml:space="preserve"> v </w:t>
      </w:r>
      <w:r w:rsidRPr="002C15CF">
        <w:rPr>
          <w:rFonts w:ascii="Arial" w:hAnsi="Arial" w:cs="Arial"/>
          <w:sz w:val="22"/>
          <w:szCs w:val="22"/>
        </w:rPr>
        <w:t>jakých časových okamžicích; jakým způsobem/za jakých podmínek budou nabízeny velkoobchodní služby.</w:t>
      </w:r>
    </w:p>
    <w:p w:rsidR="00242A0C" w:rsidRPr="002C15CF" w:rsidRDefault="00242A0C" w:rsidP="00242A0C">
      <w:pPr>
        <w:numPr>
          <w:ilvl w:val="0"/>
          <w:numId w:val="17"/>
        </w:numPr>
        <w:spacing w:before="240"/>
        <w:jc w:val="both"/>
        <w:rPr>
          <w:rFonts w:ascii="Arial" w:hAnsi="Arial" w:cs="Arial"/>
          <w:sz w:val="22"/>
          <w:szCs w:val="22"/>
        </w:rPr>
      </w:pPr>
      <w:r w:rsidRPr="002C15CF">
        <w:rPr>
          <w:rFonts w:ascii="Arial" w:hAnsi="Arial" w:cs="Arial"/>
          <w:sz w:val="22"/>
          <w:szCs w:val="22"/>
        </w:rPr>
        <w:t>Regulace může ovlivnit objem investovaných prostředků,</w:t>
      </w:r>
      <w:r>
        <w:rPr>
          <w:rFonts w:ascii="Arial" w:hAnsi="Arial" w:cs="Arial"/>
          <w:sz w:val="22"/>
          <w:szCs w:val="22"/>
        </w:rPr>
        <w:t xml:space="preserve"> a</w:t>
      </w:r>
      <w:r w:rsidR="00F42DC5">
        <w:rPr>
          <w:rFonts w:ascii="Arial" w:hAnsi="Arial" w:cs="Arial"/>
          <w:sz w:val="22"/>
          <w:szCs w:val="22"/>
        </w:rPr>
        <w:t xml:space="preserve"> </w:t>
      </w:r>
      <w:r w:rsidRPr="002C15CF">
        <w:rPr>
          <w:rFonts w:ascii="Arial" w:hAnsi="Arial" w:cs="Arial"/>
          <w:sz w:val="22"/>
          <w:szCs w:val="22"/>
        </w:rPr>
        <w:t>to přímo, pokud jsou</w:t>
      </w:r>
      <w:r>
        <w:rPr>
          <w:rFonts w:ascii="Arial" w:hAnsi="Arial" w:cs="Arial"/>
          <w:sz w:val="22"/>
          <w:szCs w:val="22"/>
        </w:rPr>
        <w:t xml:space="preserve"> pro</w:t>
      </w:r>
      <w:r w:rsidR="00F42DC5">
        <w:rPr>
          <w:rFonts w:ascii="Arial" w:hAnsi="Arial" w:cs="Arial"/>
          <w:sz w:val="22"/>
          <w:szCs w:val="22"/>
        </w:rPr>
        <w:t xml:space="preserve"> </w:t>
      </w:r>
      <w:r w:rsidRPr="002C15CF">
        <w:rPr>
          <w:rFonts w:ascii="Arial" w:hAnsi="Arial" w:cs="Arial"/>
          <w:sz w:val="22"/>
          <w:szCs w:val="22"/>
        </w:rPr>
        <w:t>investice</w:t>
      </w:r>
      <w:r>
        <w:rPr>
          <w:rFonts w:ascii="Arial" w:hAnsi="Arial" w:cs="Arial"/>
          <w:sz w:val="22"/>
          <w:szCs w:val="22"/>
        </w:rPr>
        <w:t xml:space="preserve"> do</w:t>
      </w:r>
      <w:r w:rsidR="00F42DC5">
        <w:rPr>
          <w:rFonts w:ascii="Arial" w:hAnsi="Arial" w:cs="Arial"/>
          <w:sz w:val="22"/>
          <w:szCs w:val="22"/>
        </w:rPr>
        <w:t xml:space="preserve"> </w:t>
      </w:r>
      <w:r w:rsidRPr="002C15CF">
        <w:rPr>
          <w:rFonts w:ascii="Arial" w:hAnsi="Arial" w:cs="Arial"/>
          <w:sz w:val="22"/>
          <w:szCs w:val="22"/>
        </w:rPr>
        <w:t xml:space="preserve">sítí NGA stanoveny podmínky týkající se architektury. Řadí se sem </w:t>
      </w:r>
      <w:r w:rsidR="00416BD3">
        <w:rPr>
          <w:rFonts w:ascii="Arial" w:hAnsi="Arial" w:cs="Arial"/>
          <w:sz w:val="22"/>
          <w:szCs w:val="22"/>
        </w:rPr>
        <w:br/>
      </w:r>
      <w:r w:rsidRPr="002C15CF">
        <w:rPr>
          <w:rFonts w:ascii="Arial" w:hAnsi="Arial" w:cs="Arial"/>
          <w:sz w:val="22"/>
          <w:szCs w:val="22"/>
        </w:rPr>
        <w:t>i rizika spojená</w:t>
      </w:r>
      <w:r>
        <w:rPr>
          <w:rFonts w:ascii="Arial" w:hAnsi="Arial" w:cs="Arial"/>
          <w:sz w:val="22"/>
          <w:szCs w:val="22"/>
        </w:rPr>
        <w:t xml:space="preserve"> s </w:t>
      </w:r>
      <w:r w:rsidRPr="002C15CF">
        <w:rPr>
          <w:rFonts w:ascii="Arial" w:hAnsi="Arial" w:cs="Arial"/>
          <w:sz w:val="22"/>
          <w:szCs w:val="22"/>
        </w:rPr>
        <w:t>povinností pokrýt méně hustě osídlené regiony, venkovské oblasti apod.</w:t>
      </w:r>
    </w:p>
    <w:p w:rsidR="00242A0C" w:rsidRPr="002C15CF" w:rsidRDefault="00242A0C" w:rsidP="00242A0C">
      <w:pPr>
        <w:numPr>
          <w:ilvl w:val="0"/>
          <w:numId w:val="17"/>
        </w:numPr>
        <w:spacing w:before="240"/>
        <w:jc w:val="both"/>
        <w:rPr>
          <w:rFonts w:ascii="Arial" w:hAnsi="Arial" w:cs="Arial"/>
          <w:sz w:val="22"/>
          <w:szCs w:val="22"/>
        </w:rPr>
      </w:pPr>
      <w:r w:rsidRPr="002C15CF">
        <w:rPr>
          <w:rFonts w:ascii="Arial" w:hAnsi="Arial" w:cs="Arial"/>
          <w:sz w:val="22"/>
          <w:szCs w:val="22"/>
        </w:rPr>
        <w:t>Nejistota investora ohledně podmínek stanovených regulátorem ohledně infrastruktury. Problematika cenové regulace, je-li stanovena, se projeví</w:t>
      </w:r>
      <w:r>
        <w:rPr>
          <w:rFonts w:ascii="Arial" w:hAnsi="Arial" w:cs="Arial"/>
          <w:sz w:val="22"/>
          <w:szCs w:val="22"/>
        </w:rPr>
        <w:t xml:space="preserve"> u</w:t>
      </w:r>
      <w:r w:rsidR="00F42DC5">
        <w:rPr>
          <w:rFonts w:ascii="Arial" w:hAnsi="Arial" w:cs="Arial"/>
          <w:sz w:val="22"/>
          <w:szCs w:val="22"/>
        </w:rPr>
        <w:t xml:space="preserve"> </w:t>
      </w:r>
      <w:r w:rsidRPr="002C15CF">
        <w:rPr>
          <w:rFonts w:ascii="Arial" w:hAnsi="Arial" w:cs="Arial"/>
          <w:sz w:val="22"/>
          <w:szCs w:val="22"/>
        </w:rPr>
        <w:t xml:space="preserve">cen maloobchodních </w:t>
      </w:r>
      <w:r w:rsidR="00F42DC5">
        <w:rPr>
          <w:rFonts w:ascii="Arial" w:hAnsi="Arial" w:cs="Arial"/>
          <w:sz w:val="22"/>
          <w:szCs w:val="22"/>
        </w:rPr>
        <w:br/>
      </w:r>
      <w:r w:rsidRPr="002C15CF">
        <w:rPr>
          <w:rFonts w:ascii="Arial" w:hAnsi="Arial" w:cs="Arial"/>
          <w:sz w:val="22"/>
          <w:szCs w:val="22"/>
        </w:rPr>
        <w:t>i</w:t>
      </w:r>
      <w:r w:rsidR="00F42DC5">
        <w:rPr>
          <w:rFonts w:ascii="Arial" w:hAnsi="Arial" w:cs="Arial"/>
          <w:sz w:val="22"/>
          <w:szCs w:val="22"/>
        </w:rPr>
        <w:t xml:space="preserve"> </w:t>
      </w:r>
      <w:r w:rsidRPr="002C15CF">
        <w:rPr>
          <w:rFonts w:ascii="Arial" w:hAnsi="Arial" w:cs="Arial"/>
          <w:sz w:val="22"/>
          <w:szCs w:val="22"/>
        </w:rPr>
        <w:t>velkoobchodních služeb</w:t>
      </w:r>
      <w:r>
        <w:rPr>
          <w:rFonts w:ascii="Arial" w:hAnsi="Arial" w:cs="Arial"/>
          <w:sz w:val="22"/>
          <w:szCs w:val="22"/>
        </w:rPr>
        <w:t xml:space="preserve"> a</w:t>
      </w:r>
      <w:r w:rsidR="002C1028">
        <w:rPr>
          <w:rFonts w:ascii="Arial" w:hAnsi="Arial" w:cs="Arial"/>
          <w:sz w:val="22"/>
          <w:szCs w:val="22"/>
        </w:rPr>
        <w:t xml:space="preserve"> </w:t>
      </w:r>
      <w:r w:rsidRPr="002C15CF">
        <w:rPr>
          <w:rFonts w:ascii="Arial" w:hAnsi="Arial" w:cs="Arial"/>
          <w:sz w:val="22"/>
          <w:szCs w:val="22"/>
        </w:rPr>
        <w:t>je ovlivněna metodikou stanovení nákladů (historické/současné ceny, odpisová metoda, postup shora-dolů nebo zdola-nahoru aj.).</w:t>
      </w:r>
    </w:p>
    <w:p w:rsidR="00242A0C" w:rsidRPr="002C15CF" w:rsidRDefault="00242A0C" w:rsidP="00242A0C">
      <w:pPr>
        <w:numPr>
          <w:ilvl w:val="0"/>
          <w:numId w:val="17"/>
        </w:numPr>
        <w:spacing w:before="240"/>
        <w:jc w:val="both"/>
        <w:rPr>
          <w:rFonts w:ascii="Arial" w:hAnsi="Arial" w:cs="Arial"/>
          <w:sz w:val="22"/>
          <w:szCs w:val="22"/>
        </w:rPr>
      </w:pPr>
      <w:r w:rsidRPr="002C15CF">
        <w:rPr>
          <w:rFonts w:ascii="Arial" w:hAnsi="Arial" w:cs="Arial"/>
          <w:sz w:val="22"/>
          <w:szCs w:val="22"/>
        </w:rPr>
        <w:t>Dalším rizikovým faktorem způsobujícím nejistotu investora je režim regulace</w:t>
      </w:r>
      <w:r>
        <w:rPr>
          <w:rFonts w:ascii="Arial" w:hAnsi="Arial" w:cs="Arial"/>
          <w:sz w:val="22"/>
          <w:szCs w:val="22"/>
        </w:rPr>
        <w:t xml:space="preserve"> a</w:t>
      </w:r>
      <w:r w:rsidR="00F42DC5">
        <w:rPr>
          <w:rFonts w:ascii="Arial" w:hAnsi="Arial" w:cs="Arial"/>
          <w:sz w:val="22"/>
          <w:szCs w:val="22"/>
        </w:rPr>
        <w:t xml:space="preserve"> </w:t>
      </w:r>
      <w:r w:rsidRPr="002C15CF">
        <w:rPr>
          <w:rFonts w:ascii="Arial" w:hAnsi="Arial" w:cs="Arial"/>
          <w:sz w:val="22"/>
          <w:szCs w:val="22"/>
        </w:rPr>
        <w:t>změny</w:t>
      </w:r>
      <w:r w:rsidR="0047095F">
        <w:rPr>
          <w:rFonts w:ascii="Arial" w:hAnsi="Arial" w:cs="Arial"/>
          <w:sz w:val="22"/>
          <w:szCs w:val="22"/>
        </w:rPr>
        <w:t xml:space="preserve"> v </w:t>
      </w:r>
      <w:r w:rsidRPr="002C15CF">
        <w:rPr>
          <w:rFonts w:ascii="Arial" w:hAnsi="Arial" w:cs="Arial"/>
          <w:sz w:val="22"/>
          <w:szCs w:val="22"/>
        </w:rPr>
        <w:t>parametrech regulačních nástrojů. Nemusí to být změny očekávané</w:t>
      </w:r>
      <w:r>
        <w:rPr>
          <w:rFonts w:ascii="Arial" w:hAnsi="Arial" w:cs="Arial"/>
          <w:sz w:val="22"/>
          <w:szCs w:val="22"/>
        </w:rPr>
        <w:t xml:space="preserve"> a</w:t>
      </w:r>
      <w:r w:rsidR="00F42DC5">
        <w:rPr>
          <w:rFonts w:ascii="Arial" w:hAnsi="Arial" w:cs="Arial"/>
          <w:sz w:val="22"/>
          <w:szCs w:val="22"/>
        </w:rPr>
        <w:t xml:space="preserve"> </w:t>
      </w:r>
      <w:r w:rsidRPr="002C15CF">
        <w:rPr>
          <w:rFonts w:ascii="Arial" w:hAnsi="Arial" w:cs="Arial"/>
          <w:sz w:val="22"/>
          <w:szCs w:val="22"/>
        </w:rPr>
        <w:t>předvídatelné spolu</w:t>
      </w:r>
      <w:r>
        <w:rPr>
          <w:rFonts w:ascii="Arial" w:hAnsi="Arial" w:cs="Arial"/>
          <w:sz w:val="22"/>
          <w:szCs w:val="22"/>
        </w:rPr>
        <w:t xml:space="preserve"> s</w:t>
      </w:r>
      <w:r w:rsidR="00F42DC5">
        <w:rPr>
          <w:rFonts w:ascii="Arial" w:hAnsi="Arial" w:cs="Arial"/>
          <w:sz w:val="22"/>
          <w:szCs w:val="22"/>
        </w:rPr>
        <w:t xml:space="preserve"> </w:t>
      </w:r>
      <w:r w:rsidRPr="002C15CF">
        <w:rPr>
          <w:rFonts w:ascii="Arial" w:hAnsi="Arial" w:cs="Arial"/>
          <w:sz w:val="22"/>
          <w:szCs w:val="22"/>
        </w:rPr>
        <w:t>vývojem ekonomických ukazatelů, ale například jednorázové nebo nečekané změny spojené</w:t>
      </w:r>
      <w:r>
        <w:rPr>
          <w:rFonts w:ascii="Arial" w:hAnsi="Arial" w:cs="Arial"/>
          <w:sz w:val="22"/>
          <w:szCs w:val="22"/>
        </w:rPr>
        <w:t xml:space="preserve"> s</w:t>
      </w:r>
      <w:r w:rsidR="00F42DC5">
        <w:rPr>
          <w:rFonts w:ascii="Arial" w:hAnsi="Arial" w:cs="Arial"/>
          <w:sz w:val="22"/>
          <w:szCs w:val="22"/>
        </w:rPr>
        <w:t xml:space="preserve"> </w:t>
      </w:r>
      <w:r w:rsidRPr="002C15CF">
        <w:rPr>
          <w:rFonts w:ascii="Arial" w:hAnsi="Arial" w:cs="Arial"/>
          <w:sz w:val="22"/>
          <w:szCs w:val="22"/>
        </w:rPr>
        <w:t>pozicí SMP operátora (operátor</w:t>
      </w:r>
      <w:r>
        <w:rPr>
          <w:rFonts w:ascii="Arial" w:hAnsi="Arial" w:cs="Arial"/>
          <w:sz w:val="22"/>
          <w:szCs w:val="22"/>
        </w:rPr>
        <w:t xml:space="preserve"> s</w:t>
      </w:r>
      <w:r w:rsidR="00F42DC5">
        <w:rPr>
          <w:rFonts w:ascii="Arial" w:hAnsi="Arial" w:cs="Arial"/>
          <w:sz w:val="22"/>
          <w:szCs w:val="22"/>
        </w:rPr>
        <w:t xml:space="preserve"> </w:t>
      </w:r>
      <w:r w:rsidRPr="002C15CF">
        <w:rPr>
          <w:rFonts w:ascii="Arial" w:hAnsi="Arial" w:cs="Arial"/>
          <w:sz w:val="22"/>
          <w:szCs w:val="22"/>
        </w:rPr>
        <w:t>významnou tržní silou).</w:t>
      </w:r>
    </w:p>
    <w:p w:rsidR="00242A0C" w:rsidRPr="002C15CF" w:rsidRDefault="00242A0C" w:rsidP="00242A0C">
      <w:pPr>
        <w:numPr>
          <w:ilvl w:val="0"/>
          <w:numId w:val="17"/>
        </w:numPr>
        <w:spacing w:before="240"/>
        <w:jc w:val="both"/>
        <w:rPr>
          <w:rFonts w:ascii="Arial" w:hAnsi="Arial" w:cs="Arial"/>
          <w:sz w:val="22"/>
          <w:szCs w:val="22"/>
        </w:rPr>
      </w:pPr>
      <w:r w:rsidRPr="002C15CF">
        <w:rPr>
          <w:rFonts w:ascii="Arial" w:hAnsi="Arial" w:cs="Arial"/>
          <w:sz w:val="22"/>
          <w:szCs w:val="22"/>
        </w:rPr>
        <w:t>Riziková přirážka</w:t>
      </w:r>
      <w:r>
        <w:rPr>
          <w:rFonts w:ascii="Arial" w:hAnsi="Arial" w:cs="Arial"/>
          <w:sz w:val="22"/>
          <w:szCs w:val="22"/>
        </w:rPr>
        <w:t xml:space="preserve"> pro</w:t>
      </w:r>
      <w:r w:rsidR="00F42DC5">
        <w:rPr>
          <w:rFonts w:ascii="Arial" w:hAnsi="Arial" w:cs="Arial"/>
          <w:sz w:val="22"/>
          <w:szCs w:val="22"/>
        </w:rPr>
        <w:t xml:space="preserve"> </w:t>
      </w:r>
      <w:r w:rsidRPr="002C15CF">
        <w:rPr>
          <w:rFonts w:ascii="Arial" w:hAnsi="Arial" w:cs="Arial"/>
          <w:sz w:val="22"/>
          <w:szCs w:val="22"/>
        </w:rPr>
        <w:t>systematická rizika byla stanovena</w:t>
      </w:r>
      <w:r w:rsidR="0047095F">
        <w:rPr>
          <w:rFonts w:ascii="Arial" w:hAnsi="Arial" w:cs="Arial"/>
          <w:sz w:val="22"/>
          <w:szCs w:val="22"/>
        </w:rPr>
        <w:t xml:space="preserve"> v </w:t>
      </w:r>
      <w:r w:rsidRPr="002C15CF">
        <w:rPr>
          <w:rFonts w:ascii="Arial" w:hAnsi="Arial" w:cs="Arial"/>
          <w:sz w:val="22"/>
          <w:szCs w:val="22"/>
        </w:rPr>
        <w:t>intervalu 1,38 %</w:t>
      </w:r>
      <w:r>
        <w:rPr>
          <w:rFonts w:ascii="Arial" w:hAnsi="Arial" w:cs="Arial"/>
          <w:sz w:val="22"/>
          <w:szCs w:val="22"/>
        </w:rPr>
        <w:t xml:space="preserve"> </w:t>
      </w:r>
      <w:r w:rsidRPr="002C15CF">
        <w:rPr>
          <w:rFonts w:ascii="Arial" w:hAnsi="Arial" w:cs="Arial"/>
          <w:sz w:val="22"/>
          <w:szCs w:val="22"/>
        </w:rPr>
        <w:t>–</w:t>
      </w:r>
      <w:r>
        <w:rPr>
          <w:rFonts w:ascii="Arial" w:hAnsi="Arial" w:cs="Arial"/>
          <w:sz w:val="22"/>
          <w:szCs w:val="22"/>
        </w:rPr>
        <w:t xml:space="preserve"> </w:t>
      </w:r>
      <w:r w:rsidRPr="002C15CF">
        <w:rPr>
          <w:rFonts w:ascii="Arial" w:hAnsi="Arial" w:cs="Arial"/>
          <w:sz w:val="22"/>
          <w:szCs w:val="22"/>
        </w:rPr>
        <w:t>2,38 %,</w:t>
      </w:r>
      <w:r>
        <w:rPr>
          <w:rFonts w:ascii="Arial" w:hAnsi="Arial" w:cs="Arial"/>
          <w:sz w:val="22"/>
          <w:szCs w:val="22"/>
        </w:rPr>
        <w:t xml:space="preserve"> pro </w:t>
      </w:r>
      <w:r w:rsidRPr="002C15CF">
        <w:rPr>
          <w:rFonts w:ascii="Arial" w:hAnsi="Arial" w:cs="Arial"/>
          <w:sz w:val="22"/>
          <w:szCs w:val="22"/>
        </w:rPr>
        <w:t>nesystematická rizika</w:t>
      </w:r>
      <w:r w:rsidR="0047095F">
        <w:rPr>
          <w:rFonts w:ascii="Arial" w:hAnsi="Arial" w:cs="Arial"/>
          <w:sz w:val="22"/>
          <w:szCs w:val="22"/>
        </w:rPr>
        <w:t xml:space="preserve"> v </w:t>
      </w:r>
      <w:r w:rsidRPr="002C15CF">
        <w:rPr>
          <w:rFonts w:ascii="Arial" w:hAnsi="Arial" w:cs="Arial"/>
          <w:sz w:val="22"/>
          <w:szCs w:val="22"/>
        </w:rPr>
        <w:t>intervalu 1,50 %</w:t>
      </w:r>
      <w:r>
        <w:rPr>
          <w:rFonts w:ascii="Arial" w:hAnsi="Arial" w:cs="Arial"/>
          <w:sz w:val="22"/>
          <w:szCs w:val="22"/>
        </w:rPr>
        <w:t xml:space="preserve"> </w:t>
      </w:r>
      <w:r w:rsidRPr="002C15CF">
        <w:rPr>
          <w:rFonts w:ascii="Arial" w:hAnsi="Arial" w:cs="Arial"/>
          <w:sz w:val="22"/>
          <w:szCs w:val="22"/>
        </w:rPr>
        <w:t>–</w:t>
      </w:r>
      <w:r>
        <w:rPr>
          <w:rFonts w:ascii="Arial" w:hAnsi="Arial" w:cs="Arial"/>
          <w:sz w:val="22"/>
          <w:szCs w:val="22"/>
        </w:rPr>
        <w:t xml:space="preserve"> </w:t>
      </w:r>
      <w:r w:rsidRPr="002C15CF">
        <w:rPr>
          <w:rFonts w:ascii="Arial" w:hAnsi="Arial" w:cs="Arial"/>
          <w:sz w:val="22"/>
          <w:szCs w:val="22"/>
        </w:rPr>
        <w:t>2 %.</w:t>
      </w:r>
    </w:p>
    <w:p w:rsidR="00242A0C" w:rsidRPr="00A154DC" w:rsidRDefault="00242A0C" w:rsidP="00620BB3">
      <w:pPr>
        <w:spacing w:before="240"/>
        <w:ind w:firstLine="828"/>
        <w:jc w:val="both"/>
        <w:rPr>
          <w:rFonts w:ascii="Arial" w:hAnsi="Arial" w:cs="Arial"/>
          <w:sz w:val="22"/>
          <w:szCs w:val="22"/>
        </w:rPr>
      </w:pPr>
      <w:r w:rsidRPr="002C15CF">
        <w:rPr>
          <w:rFonts w:ascii="Arial" w:hAnsi="Arial" w:cs="Arial"/>
          <w:sz w:val="22"/>
          <w:szCs w:val="22"/>
        </w:rPr>
        <w:t>Úřad stanovil rizikovou přirážku</w:t>
      </w:r>
      <w:r w:rsidR="0047095F">
        <w:rPr>
          <w:rFonts w:ascii="Arial" w:hAnsi="Arial" w:cs="Arial"/>
          <w:sz w:val="22"/>
          <w:szCs w:val="22"/>
        </w:rPr>
        <w:t xml:space="preserve"> na </w:t>
      </w:r>
      <w:r w:rsidRPr="002C15CF">
        <w:rPr>
          <w:rFonts w:ascii="Arial" w:hAnsi="Arial" w:cs="Arial"/>
          <w:sz w:val="22"/>
          <w:szCs w:val="22"/>
        </w:rPr>
        <w:t>horní hranici navrženého intervalu, protože nejvyšší riziko nese stanovený podnik</w:t>
      </w:r>
      <w:r w:rsidR="0047095F">
        <w:rPr>
          <w:rFonts w:ascii="Arial" w:hAnsi="Arial" w:cs="Arial"/>
          <w:sz w:val="22"/>
          <w:szCs w:val="22"/>
        </w:rPr>
        <w:t xml:space="preserve"> při </w:t>
      </w:r>
      <w:r w:rsidRPr="002C15CF">
        <w:rPr>
          <w:rFonts w:ascii="Arial" w:hAnsi="Arial" w:cs="Arial"/>
          <w:sz w:val="22"/>
          <w:szCs w:val="22"/>
        </w:rPr>
        <w:t>investici</w:t>
      </w:r>
      <w:r>
        <w:rPr>
          <w:rFonts w:ascii="Arial" w:hAnsi="Arial" w:cs="Arial"/>
          <w:sz w:val="22"/>
          <w:szCs w:val="22"/>
        </w:rPr>
        <w:t xml:space="preserve"> do</w:t>
      </w:r>
      <w:r w:rsidR="00F42DC5">
        <w:rPr>
          <w:rFonts w:ascii="Arial" w:hAnsi="Arial" w:cs="Arial"/>
          <w:sz w:val="22"/>
          <w:szCs w:val="22"/>
        </w:rPr>
        <w:t xml:space="preserve"> </w:t>
      </w:r>
      <w:r w:rsidRPr="002C15CF">
        <w:rPr>
          <w:rFonts w:ascii="Arial" w:hAnsi="Arial" w:cs="Arial"/>
          <w:sz w:val="22"/>
          <w:szCs w:val="22"/>
        </w:rPr>
        <w:t>optických sítí</w:t>
      </w:r>
      <w:r w:rsidR="0047095F">
        <w:rPr>
          <w:rFonts w:ascii="Arial" w:hAnsi="Arial" w:cs="Arial"/>
          <w:sz w:val="22"/>
          <w:szCs w:val="22"/>
        </w:rPr>
        <w:t xml:space="preserve"> v </w:t>
      </w:r>
      <w:r w:rsidRPr="002C15CF">
        <w:rPr>
          <w:rFonts w:ascii="Arial" w:hAnsi="Arial" w:cs="Arial"/>
          <w:sz w:val="22"/>
          <w:szCs w:val="22"/>
        </w:rPr>
        <w:t>současné době, kdy jednak není dostatečná poptávka</w:t>
      </w:r>
      <w:r w:rsidR="0047095F">
        <w:rPr>
          <w:rFonts w:ascii="Arial" w:hAnsi="Arial" w:cs="Arial"/>
          <w:sz w:val="22"/>
          <w:szCs w:val="22"/>
        </w:rPr>
        <w:t xml:space="preserve"> po </w:t>
      </w:r>
      <w:r w:rsidRPr="002C15CF">
        <w:rPr>
          <w:rFonts w:ascii="Arial" w:hAnsi="Arial" w:cs="Arial"/>
          <w:sz w:val="22"/>
          <w:szCs w:val="22"/>
        </w:rPr>
        <w:t>produktech, které lze poskytovat pouze</w:t>
      </w:r>
      <w:r>
        <w:rPr>
          <w:rFonts w:ascii="Arial" w:hAnsi="Arial" w:cs="Arial"/>
          <w:sz w:val="22"/>
          <w:szCs w:val="22"/>
        </w:rPr>
        <w:t xml:space="preserve"> s</w:t>
      </w:r>
      <w:r w:rsidR="00F42DC5">
        <w:rPr>
          <w:rFonts w:ascii="Arial" w:hAnsi="Arial" w:cs="Arial"/>
          <w:sz w:val="22"/>
          <w:szCs w:val="22"/>
        </w:rPr>
        <w:t xml:space="preserve"> </w:t>
      </w:r>
      <w:r w:rsidRPr="002C15CF">
        <w:rPr>
          <w:rFonts w:ascii="Arial" w:hAnsi="Arial" w:cs="Arial"/>
          <w:sz w:val="22"/>
          <w:szCs w:val="22"/>
        </w:rPr>
        <w:t>využitím optických sítí,</w:t>
      </w:r>
      <w:r>
        <w:rPr>
          <w:rFonts w:ascii="Arial" w:hAnsi="Arial" w:cs="Arial"/>
          <w:sz w:val="22"/>
          <w:szCs w:val="22"/>
        </w:rPr>
        <w:t xml:space="preserve"> a</w:t>
      </w:r>
      <w:r w:rsidR="00F42DC5">
        <w:rPr>
          <w:rFonts w:ascii="Arial" w:hAnsi="Arial" w:cs="Arial"/>
          <w:sz w:val="22"/>
          <w:szCs w:val="22"/>
        </w:rPr>
        <w:t xml:space="preserve"> </w:t>
      </w:r>
      <w:r w:rsidRPr="002C15CF">
        <w:rPr>
          <w:rFonts w:ascii="Arial" w:hAnsi="Arial" w:cs="Arial"/>
          <w:sz w:val="22"/>
          <w:szCs w:val="22"/>
        </w:rPr>
        <w:t>jednak nejsou</w:t>
      </w:r>
      <w:r w:rsidR="0047095F">
        <w:rPr>
          <w:rFonts w:ascii="Arial" w:hAnsi="Arial" w:cs="Arial"/>
          <w:sz w:val="22"/>
          <w:szCs w:val="22"/>
        </w:rPr>
        <w:t xml:space="preserve"> v </w:t>
      </w:r>
      <w:r w:rsidRPr="002C15CF">
        <w:rPr>
          <w:rFonts w:ascii="Arial" w:hAnsi="Arial" w:cs="Arial"/>
          <w:sz w:val="22"/>
          <w:szCs w:val="22"/>
        </w:rPr>
        <w:t>dostatečném předstihu známá rozhodnutí</w:t>
      </w:r>
      <w:r>
        <w:rPr>
          <w:rFonts w:ascii="Arial" w:hAnsi="Arial" w:cs="Arial"/>
          <w:sz w:val="22"/>
          <w:szCs w:val="22"/>
        </w:rPr>
        <w:t xml:space="preserve"> o</w:t>
      </w:r>
      <w:r w:rsidR="00F42DC5">
        <w:rPr>
          <w:rFonts w:ascii="Arial" w:hAnsi="Arial" w:cs="Arial"/>
          <w:sz w:val="22"/>
          <w:szCs w:val="22"/>
        </w:rPr>
        <w:t xml:space="preserve"> </w:t>
      </w:r>
      <w:r w:rsidRPr="002C15CF">
        <w:rPr>
          <w:rFonts w:ascii="Arial" w:hAnsi="Arial" w:cs="Arial"/>
          <w:sz w:val="22"/>
          <w:szCs w:val="22"/>
        </w:rPr>
        <w:t>regulačních opatřeních</w:t>
      </w:r>
      <w:r w:rsidR="0047095F">
        <w:rPr>
          <w:rFonts w:ascii="Arial" w:hAnsi="Arial" w:cs="Arial"/>
          <w:sz w:val="22"/>
          <w:szCs w:val="22"/>
        </w:rPr>
        <w:t xml:space="preserve"> na </w:t>
      </w:r>
      <w:r w:rsidRPr="002C15CF">
        <w:rPr>
          <w:rFonts w:ascii="Arial" w:hAnsi="Arial" w:cs="Arial"/>
          <w:sz w:val="22"/>
          <w:szCs w:val="22"/>
        </w:rPr>
        <w:t>daném relevantním trhu.</w:t>
      </w:r>
    </w:p>
    <w:p w:rsidR="00242A0C" w:rsidRDefault="00242A0C" w:rsidP="00242A0C">
      <w:pPr>
        <w:widowControl w:val="0"/>
        <w:autoSpaceDE w:val="0"/>
        <w:autoSpaceDN w:val="0"/>
        <w:adjustRightInd w:val="0"/>
        <w:ind w:left="118" w:right="117" w:firstLine="709"/>
        <w:jc w:val="both"/>
        <w:rPr>
          <w:rFonts w:ascii="Arial" w:hAnsi="Arial" w:cs="Arial"/>
          <w:spacing w:val="9"/>
          <w:sz w:val="22"/>
          <w:szCs w:val="22"/>
        </w:rPr>
      </w:pPr>
    </w:p>
    <w:p w:rsidR="00242A0C" w:rsidRPr="00AA6417" w:rsidRDefault="00242A0C" w:rsidP="00620BB3">
      <w:pPr>
        <w:widowControl w:val="0"/>
        <w:autoSpaceDE w:val="0"/>
        <w:autoSpaceDN w:val="0"/>
        <w:adjustRightInd w:val="0"/>
        <w:ind w:firstLine="828"/>
        <w:jc w:val="both"/>
        <w:rPr>
          <w:rFonts w:ascii="Arial" w:hAnsi="Arial" w:cs="Arial"/>
          <w:sz w:val="22"/>
          <w:szCs w:val="22"/>
        </w:rPr>
      </w:pPr>
      <w:r>
        <w:rPr>
          <w:rFonts w:ascii="Arial" w:hAnsi="Arial" w:cs="Arial"/>
          <w:sz w:val="22"/>
          <w:szCs w:val="22"/>
        </w:rPr>
        <w:t>Článek</w:t>
      </w:r>
      <w:r w:rsidRPr="00EF7AE5">
        <w:rPr>
          <w:rFonts w:ascii="Arial" w:hAnsi="Arial" w:cs="Arial"/>
          <w:sz w:val="22"/>
          <w:szCs w:val="22"/>
        </w:rPr>
        <w:t xml:space="preserve"> </w:t>
      </w:r>
      <w:r w:rsidR="001C19DC">
        <w:rPr>
          <w:rFonts w:ascii="Arial" w:hAnsi="Arial" w:cs="Arial"/>
          <w:sz w:val="22"/>
          <w:szCs w:val="22"/>
        </w:rPr>
        <w:t>6</w:t>
      </w:r>
      <w:r w:rsidRPr="00EF7AE5">
        <w:rPr>
          <w:rFonts w:ascii="Arial" w:hAnsi="Arial" w:cs="Arial"/>
          <w:sz w:val="22"/>
          <w:szCs w:val="22"/>
        </w:rPr>
        <w:t xml:space="preserve"> </w:t>
      </w:r>
      <w:r>
        <w:rPr>
          <w:rFonts w:ascii="Arial" w:hAnsi="Arial" w:cs="Arial"/>
          <w:sz w:val="22"/>
          <w:szCs w:val="22"/>
        </w:rPr>
        <w:t>stanoví</w:t>
      </w:r>
      <w:r w:rsidRPr="00EF7AE5">
        <w:rPr>
          <w:rFonts w:ascii="Arial" w:hAnsi="Arial" w:cs="Arial"/>
          <w:sz w:val="22"/>
          <w:szCs w:val="22"/>
        </w:rPr>
        <w:t xml:space="preserve"> </w:t>
      </w:r>
      <w:r>
        <w:rPr>
          <w:rFonts w:ascii="Arial" w:hAnsi="Arial" w:cs="Arial"/>
          <w:sz w:val="22"/>
          <w:szCs w:val="22"/>
        </w:rPr>
        <w:t>strukturu</w:t>
      </w:r>
      <w:r w:rsidRPr="00EF7AE5">
        <w:rPr>
          <w:rFonts w:ascii="Arial" w:hAnsi="Arial" w:cs="Arial"/>
          <w:sz w:val="22"/>
          <w:szCs w:val="22"/>
        </w:rPr>
        <w:t xml:space="preserve"> </w:t>
      </w:r>
      <w:r>
        <w:rPr>
          <w:rFonts w:ascii="Arial" w:hAnsi="Arial" w:cs="Arial"/>
          <w:sz w:val="22"/>
          <w:szCs w:val="22"/>
        </w:rPr>
        <w:t>vy</w:t>
      </w:r>
      <w:r w:rsidRPr="00EF7AE5">
        <w:rPr>
          <w:rFonts w:ascii="Arial" w:hAnsi="Arial" w:cs="Arial"/>
          <w:sz w:val="22"/>
          <w:szCs w:val="22"/>
        </w:rPr>
        <w:t>k</w:t>
      </w:r>
      <w:r>
        <w:rPr>
          <w:rFonts w:ascii="Arial" w:hAnsi="Arial" w:cs="Arial"/>
          <w:sz w:val="22"/>
          <w:szCs w:val="22"/>
        </w:rPr>
        <w:t>azovaných informací,</w:t>
      </w:r>
      <w:r w:rsidRPr="00EF7AE5">
        <w:rPr>
          <w:rFonts w:ascii="Arial" w:hAnsi="Arial" w:cs="Arial"/>
          <w:sz w:val="22"/>
          <w:szCs w:val="22"/>
        </w:rPr>
        <w:t xml:space="preserve"> </w:t>
      </w:r>
      <w:r>
        <w:rPr>
          <w:rFonts w:ascii="Arial" w:hAnsi="Arial" w:cs="Arial"/>
          <w:sz w:val="22"/>
          <w:szCs w:val="22"/>
        </w:rPr>
        <w:t>které</w:t>
      </w:r>
      <w:r w:rsidRPr="00EF7AE5">
        <w:rPr>
          <w:rFonts w:ascii="Arial" w:hAnsi="Arial" w:cs="Arial"/>
          <w:sz w:val="22"/>
          <w:szCs w:val="22"/>
        </w:rPr>
        <w:t xml:space="preserve"> </w:t>
      </w:r>
      <w:r>
        <w:rPr>
          <w:rFonts w:ascii="Arial" w:hAnsi="Arial" w:cs="Arial"/>
          <w:sz w:val="22"/>
          <w:szCs w:val="22"/>
        </w:rPr>
        <w:t>jsou</w:t>
      </w:r>
      <w:r w:rsidRPr="00EF7AE5">
        <w:rPr>
          <w:rFonts w:ascii="Arial" w:hAnsi="Arial" w:cs="Arial"/>
          <w:sz w:val="22"/>
          <w:szCs w:val="22"/>
        </w:rPr>
        <w:t xml:space="preserve"> p</w:t>
      </w:r>
      <w:r>
        <w:rPr>
          <w:rFonts w:ascii="Arial" w:hAnsi="Arial" w:cs="Arial"/>
          <w:sz w:val="22"/>
          <w:szCs w:val="22"/>
        </w:rPr>
        <w:t xml:space="preserve">ředkládány </w:t>
      </w:r>
      <w:r>
        <w:rPr>
          <w:rFonts w:ascii="Arial" w:hAnsi="Arial" w:cs="Arial"/>
          <w:sz w:val="22"/>
          <w:szCs w:val="22"/>
        </w:rPr>
        <w:lastRenderedPageBreak/>
        <w:t>prostřednic</w:t>
      </w:r>
      <w:r w:rsidRPr="00EF7AE5">
        <w:rPr>
          <w:rFonts w:ascii="Arial" w:hAnsi="Arial" w:cs="Arial"/>
          <w:sz w:val="22"/>
          <w:szCs w:val="22"/>
        </w:rPr>
        <w:t>t</w:t>
      </w:r>
      <w:r>
        <w:rPr>
          <w:rFonts w:ascii="Arial" w:hAnsi="Arial" w:cs="Arial"/>
          <w:sz w:val="22"/>
          <w:szCs w:val="22"/>
        </w:rPr>
        <w:t xml:space="preserve">vím jednotlivých výkazů oddělené evidence </w:t>
      </w:r>
      <w:r w:rsidRPr="00AA6417">
        <w:rPr>
          <w:rFonts w:ascii="Arial" w:hAnsi="Arial" w:cs="Arial"/>
          <w:sz w:val="22"/>
          <w:szCs w:val="22"/>
        </w:rPr>
        <w:t>uvedených</w:t>
      </w:r>
      <w:r w:rsidR="0047095F">
        <w:rPr>
          <w:rFonts w:ascii="Arial" w:hAnsi="Arial" w:cs="Arial"/>
          <w:sz w:val="22"/>
          <w:szCs w:val="22"/>
        </w:rPr>
        <w:t xml:space="preserve"> v </w:t>
      </w:r>
      <w:r w:rsidRPr="00AA6417">
        <w:rPr>
          <w:rFonts w:ascii="Arial" w:hAnsi="Arial" w:cs="Arial"/>
          <w:sz w:val="22"/>
          <w:szCs w:val="22"/>
        </w:rPr>
        <w:t>příloze č. 4. Stanovený podnik předloží také výroční zprávu a stanovisko auditora, které obsahuje zejména závěry auditora, veškeré zjištěné nesrovnalosti, doporučení auditora (s popisem odpovídajících účinků), úplný popis použité metodiky ověřování a</w:t>
      </w:r>
      <w:r w:rsidR="00F42DC5" w:rsidRPr="00AA6417">
        <w:rPr>
          <w:rFonts w:ascii="Arial" w:hAnsi="Arial" w:cs="Arial"/>
          <w:sz w:val="22"/>
          <w:szCs w:val="22"/>
        </w:rPr>
        <w:t xml:space="preserve"> </w:t>
      </w:r>
      <w:r w:rsidRPr="00AA6417">
        <w:rPr>
          <w:rFonts w:ascii="Arial" w:hAnsi="Arial" w:cs="Arial"/>
          <w:sz w:val="22"/>
          <w:szCs w:val="22"/>
        </w:rPr>
        <w:t>souhrnné finanční a účetní údaje (zejména úpravy</w:t>
      </w:r>
      <w:r w:rsidR="0047095F">
        <w:rPr>
          <w:rFonts w:ascii="Arial" w:hAnsi="Arial" w:cs="Arial"/>
          <w:sz w:val="22"/>
          <w:szCs w:val="22"/>
        </w:rPr>
        <w:t xml:space="preserve"> v </w:t>
      </w:r>
      <w:r w:rsidRPr="00AA6417">
        <w:rPr>
          <w:rFonts w:ascii="Arial" w:hAnsi="Arial" w:cs="Arial"/>
          <w:sz w:val="22"/>
          <w:szCs w:val="22"/>
        </w:rPr>
        <w:t>rámci metodiky nákladového účetnictví</w:t>
      </w:r>
      <w:r w:rsidR="0047095F">
        <w:rPr>
          <w:rFonts w:ascii="Arial" w:hAnsi="Arial" w:cs="Arial"/>
          <w:sz w:val="22"/>
          <w:szCs w:val="22"/>
        </w:rPr>
        <w:t xml:space="preserve"> v </w:t>
      </w:r>
      <w:r w:rsidRPr="00AA6417">
        <w:rPr>
          <w:rFonts w:ascii="Arial" w:hAnsi="Arial" w:cs="Arial"/>
          <w:sz w:val="22"/>
          <w:szCs w:val="22"/>
        </w:rPr>
        <w:t>běžných nákladech, hlavní předpoklady principů přiřazování, úroveň rozdělených nákladů a</w:t>
      </w:r>
      <w:r w:rsidR="00F42DC5" w:rsidRPr="00AA6417">
        <w:rPr>
          <w:rFonts w:ascii="Arial" w:hAnsi="Arial" w:cs="Arial"/>
          <w:sz w:val="22"/>
          <w:szCs w:val="22"/>
        </w:rPr>
        <w:t xml:space="preserve"> </w:t>
      </w:r>
      <w:r w:rsidRPr="00AA6417">
        <w:rPr>
          <w:rFonts w:ascii="Arial" w:hAnsi="Arial" w:cs="Arial"/>
          <w:sz w:val="22"/>
          <w:szCs w:val="22"/>
        </w:rPr>
        <w:t>úroveň podrobnosti modelu).</w:t>
      </w:r>
    </w:p>
    <w:p w:rsidR="001C19DC" w:rsidRPr="00706E25" w:rsidRDefault="001C19DC" w:rsidP="00620BB3">
      <w:pPr>
        <w:widowControl w:val="0"/>
        <w:autoSpaceDE w:val="0"/>
        <w:autoSpaceDN w:val="0"/>
        <w:adjustRightInd w:val="0"/>
        <w:spacing w:before="240" w:after="240"/>
        <w:ind w:firstLine="828"/>
        <w:jc w:val="both"/>
        <w:rPr>
          <w:rFonts w:ascii="Arial" w:hAnsi="Arial" w:cs="Arial"/>
          <w:sz w:val="22"/>
          <w:szCs w:val="22"/>
        </w:rPr>
      </w:pPr>
      <w:r w:rsidRPr="00683588">
        <w:rPr>
          <w:rFonts w:ascii="Arial" w:hAnsi="Arial" w:cs="Arial"/>
          <w:sz w:val="22"/>
          <w:szCs w:val="22"/>
        </w:rPr>
        <w:t xml:space="preserve">Článek </w:t>
      </w:r>
      <w:r>
        <w:rPr>
          <w:rFonts w:ascii="Arial" w:hAnsi="Arial" w:cs="Arial"/>
          <w:sz w:val="22"/>
          <w:szCs w:val="22"/>
        </w:rPr>
        <w:t>7</w:t>
      </w:r>
      <w:r w:rsidRPr="00683588">
        <w:rPr>
          <w:rFonts w:ascii="Arial" w:hAnsi="Arial" w:cs="Arial"/>
          <w:sz w:val="22"/>
          <w:szCs w:val="22"/>
        </w:rPr>
        <w:t xml:space="preserve"> se týká účelového členění nákladů</w:t>
      </w:r>
      <w:r w:rsidR="0047095F">
        <w:rPr>
          <w:rFonts w:ascii="Arial" w:hAnsi="Arial" w:cs="Arial"/>
          <w:sz w:val="22"/>
          <w:szCs w:val="22"/>
        </w:rPr>
        <w:t xml:space="preserve"> v </w:t>
      </w:r>
      <w:r>
        <w:rPr>
          <w:rFonts w:ascii="Arial" w:hAnsi="Arial" w:cs="Arial"/>
          <w:sz w:val="22"/>
          <w:szCs w:val="22"/>
        </w:rPr>
        <w:t>běžných cenách</w:t>
      </w:r>
      <w:r w:rsidRPr="00683588">
        <w:rPr>
          <w:rFonts w:ascii="Arial" w:hAnsi="Arial" w:cs="Arial"/>
          <w:sz w:val="22"/>
          <w:szCs w:val="22"/>
        </w:rPr>
        <w:t xml:space="preserve">, </w:t>
      </w:r>
      <w:r>
        <w:rPr>
          <w:rFonts w:ascii="Arial" w:hAnsi="Arial" w:cs="Arial"/>
          <w:sz w:val="22"/>
          <w:szCs w:val="22"/>
        </w:rPr>
        <w:t xml:space="preserve">které jsou nezbytné pro použití </w:t>
      </w:r>
      <w:r w:rsidRPr="00683588">
        <w:rPr>
          <w:rFonts w:ascii="Arial" w:hAnsi="Arial" w:cs="Arial"/>
          <w:sz w:val="22"/>
          <w:szCs w:val="22"/>
        </w:rPr>
        <w:t>nákladových modelů LRIC</w:t>
      </w:r>
      <w:r>
        <w:rPr>
          <w:rFonts w:ascii="Arial" w:hAnsi="Arial" w:cs="Arial"/>
          <w:sz w:val="22"/>
          <w:szCs w:val="22"/>
        </w:rPr>
        <w:t xml:space="preserve">. </w:t>
      </w:r>
      <w:r w:rsidRPr="002C15CF">
        <w:rPr>
          <w:rFonts w:ascii="Arial" w:hAnsi="Arial" w:cs="Arial"/>
          <w:sz w:val="22"/>
          <w:szCs w:val="22"/>
        </w:rPr>
        <w:t>Úřad zveřejnil model</w:t>
      </w:r>
      <w:r>
        <w:rPr>
          <w:rFonts w:ascii="Arial" w:hAnsi="Arial" w:cs="Arial"/>
          <w:sz w:val="22"/>
          <w:szCs w:val="22"/>
        </w:rPr>
        <w:t>y</w:t>
      </w:r>
      <w:r w:rsidRPr="002C15CF">
        <w:rPr>
          <w:rFonts w:ascii="Arial" w:hAnsi="Arial" w:cs="Arial"/>
          <w:sz w:val="22"/>
          <w:szCs w:val="22"/>
        </w:rPr>
        <w:t xml:space="preserve"> </w:t>
      </w:r>
      <w:r w:rsidRPr="00683588">
        <w:rPr>
          <w:rFonts w:ascii="Arial" w:hAnsi="Arial" w:cs="Arial"/>
          <w:sz w:val="22"/>
          <w:szCs w:val="22"/>
        </w:rPr>
        <w:t>LRIC</w:t>
      </w:r>
      <w:r>
        <w:rPr>
          <w:rFonts w:ascii="Arial" w:hAnsi="Arial" w:cs="Arial"/>
          <w:spacing w:val="36"/>
          <w:sz w:val="22"/>
          <w:szCs w:val="22"/>
        </w:rPr>
        <w:t xml:space="preserve"> </w:t>
      </w:r>
      <w:r w:rsidRPr="0089366F">
        <w:rPr>
          <w:rFonts w:ascii="Arial" w:hAnsi="Arial" w:cs="Arial"/>
          <w:sz w:val="22"/>
          <w:szCs w:val="22"/>
        </w:rPr>
        <w:t>pro</w:t>
      </w:r>
      <w:r>
        <w:rPr>
          <w:rFonts w:ascii="Arial" w:hAnsi="Arial" w:cs="Arial"/>
          <w:sz w:val="22"/>
          <w:szCs w:val="22"/>
        </w:rPr>
        <w:t xml:space="preserve"> </w:t>
      </w:r>
      <w:r w:rsidRPr="00683588">
        <w:rPr>
          <w:rFonts w:ascii="Arial" w:hAnsi="Arial" w:cs="Arial"/>
          <w:sz w:val="22"/>
          <w:szCs w:val="22"/>
        </w:rPr>
        <w:t>jednotlivé</w:t>
      </w:r>
      <w:r w:rsidRPr="008D4D6C">
        <w:rPr>
          <w:rFonts w:ascii="Arial" w:hAnsi="Arial" w:cs="Arial"/>
          <w:sz w:val="22"/>
          <w:szCs w:val="22"/>
        </w:rPr>
        <w:t xml:space="preserve"> regulované </w:t>
      </w:r>
      <w:r w:rsidRPr="00683588">
        <w:rPr>
          <w:rFonts w:ascii="Arial" w:hAnsi="Arial" w:cs="Arial"/>
          <w:sz w:val="22"/>
          <w:szCs w:val="22"/>
        </w:rPr>
        <w:t>služby</w:t>
      </w:r>
      <w:r w:rsidRPr="008D4D6C">
        <w:rPr>
          <w:rFonts w:ascii="Arial" w:hAnsi="Arial" w:cs="Arial"/>
          <w:sz w:val="22"/>
          <w:szCs w:val="22"/>
        </w:rPr>
        <w:t xml:space="preserve"> </w:t>
      </w:r>
      <w:r w:rsidRPr="00683588">
        <w:rPr>
          <w:rFonts w:ascii="Arial" w:hAnsi="Arial" w:cs="Arial"/>
          <w:sz w:val="22"/>
          <w:szCs w:val="22"/>
        </w:rPr>
        <w:t>uved</w:t>
      </w:r>
      <w:r w:rsidRPr="008D4D6C">
        <w:rPr>
          <w:rFonts w:ascii="Arial" w:hAnsi="Arial" w:cs="Arial"/>
          <w:sz w:val="22"/>
          <w:szCs w:val="22"/>
        </w:rPr>
        <w:t>e</w:t>
      </w:r>
      <w:r w:rsidRPr="00683588">
        <w:rPr>
          <w:rFonts w:ascii="Arial" w:hAnsi="Arial" w:cs="Arial"/>
          <w:sz w:val="22"/>
          <w:szCs w:val="22"/>
        </w:rPr>
        <w:t>né</w:t>
      </w:r>
      <w:r w:rsidR="0047095F">
        <w:rPr>
          <w:rFonts w:ascii="Arial" w:hAnsi="Arial" w:cs="Arial"/>
          <w:sz w:val="22"/>
          <w:szCs w:val="22"/>
        </w:rPr>
        <w:t xml:space="preserve"> v </w:t>
      </w:r>
      <w:r w:rsidRPr="008D4D6C">
        <w:rPr>
          <w:rFonts w:ascii="Arial" w:hAnsi="Arial" w:cs="Arial"/>
          <w:sz w:val="22"/>
          <w:szCs w:val="22"/>
        </w:rPr>
        <w:t>č</w:t>
      </w:r>
      <w:r w:rsidRPr="00683588">
        <w:rPr>
          <w:rFonts w:ascii="Arial" w:hAnsi="Arial" w:cs="Arial"/>
          <w:sz w:val="22"/>
          <w:szCs w:val="22"/>
        </w:rPr>
        <w:t>lánku</w:t>
      </w:r>
      <w:r w:rsidRPr="008D4D6C">
        <w:rPr>
          <w:rFonts w:ascii="Arial" w:hAnsi="Arial" w:cs="Arial"/>
          <w:sz w:val="22"/>
          <w:szCs w:val="22"/>
        </w:rPr>
        <w:t xml:space="preserve"> </w:t>
      </w:r>
      <w:r w:rsidR="00F67658">
        <w:rPr>
          <w:rFonts w:ascii="Arial" w:hAnsi="Arial" w:cs="Arial"/>
          <w:sz w:val="22"/>
          <w:szCs w:val="22"/>
        </w:rPr>
        <w:t>7</w:t>
      </w:r>
      <w:r w:rsidRPr="008D4D6C">
        <w:rPr>
          <w:rFonts w:ascii="Arial" w:hAnsi="Arial" w:cs="Arial"/>
          <w:sz w:val="22"/>
          <w:szCs w:val="22"/>
        </w:rPr>
        <w:t xml:space="preserve"> </w:t>
      </w:r>
      <w:r w:rsidRPr="00683588">
        <w:rPr>
          <w:rFonts w:ascii="Arial" w:hAnsi="Arial" w:cs="Arial"/>
          <w:sz w:val="22"/>
          <w:szCs w:val="22"/>
        </w:rPr>
        <w:t>opa</w:t>
      </w:r>
      <w:r w:rsidRPr="008D4D6C">
        <w:rPr>
          <w:rFonts w:ascii="Arial" w:hAnsi="Arial" w:cs="Arial"/>
          <w:sz w:val="22"/>
          <w:szCs w:val="22"/>
        </w:rPr>
        <w:t>t</w:t>
      </w:r>
      <w:r w:rsidRPr="00683588">
        <w:rPr>
          <w:rFonts w:ascii="Arial" w:hAnsi="Arial" w:cs="Arial"/>
          <w:sz w:val="22"/>
          <w:szCs w:val="22"/>
        </w:rPr>
        <w:t>ření</w:t>
      </w:r>
      <w:r w:rsidR="0047095F">
        <w:rPr>
          <w:rFonts w:ascii="Arial" w:hAnsi="Arial" w:cs="Arial"/>
          <w:sz w:val="22"/>
          <w:szCs w:val="22"/>
        </w:rPr>
        <w:t xml:space="preserve"> na </w:t>
      </w:r>
      <w:r w:rsidRPr="00AA6417">
        <w:rPr>
          <w:rFonts w:ascii="Arial" w:hAnsi="Arial" w:cs="Arial"/>
          <w:sz w:val="22"/>
          <w:szCs w:val="22"/>
        </w:rPr>
        <w:t>svých internetových stránkách. Vstupy do těchto cenových modelů jsou z důvodu transparentnosti a předvídatelnosti uvedeny</w:t>
      </w:r>
      <w:r w:rsidR="0047095F">
        <w:rPr>
          <w:rFonts w:ascii="Arial" w:hAnsi="Arial" w:cs="Arial"/>
          <w:sz w:val="22"/>
          <w:szCs w:val="22"/>
        </w:rPr>
        <w:t xml:space="preserve"> v </w:t>
      </w:r>
      <w:r w:rsidRPr="00AA6417">
        <w:rPr>
          <w:rFonts w:ascii="Arial" w:hAnsi="Arial" w:cs="Arial"/>
          <w:sz w:val="22"/>
          <w:szCs w:val="22"/>
        </w:rPr>
        <w:t>přílohách 2 až 5 k opatření obecné povahy. Pro naplnění modelů potřebnými vstupy je nezbytné, aby stanovené podniky nejen zajistily členění nákladů, ale aby také evidovaly příslušné provozní, technické a ekonomické údaje. Modely byly vytvořeny k provedení Doporučení Komise ze dne 7. května 2009 o regulaci sazeb za ukončení volání</w:t>
      </w:r>
      <w:r w:rsidR="0047095F">
        <w:rPr>
          <w:rFonts w:ascii="Arial" w:hAnsi="Arial" w:cs="Arial"/>
          <w:sz w:val="22"/>
          <w:szCs w:val="22"/>
        </w:rPr>
        <w:t xml:space="preserve"> v </w:t>
      </w:r>
      <w:r w:rsidRPr="00AA6417">
        <w:rPr>
          <w:rFonts w:ascii="Arial" w:hAnsi="Arial" w:cs="Arial"/>
          <w:sz w:val="22"/>
          <w:szCs w:val="22"/>
        </w:rPr>
        <w:t>pevných a mobilních sítích</w:t>
      </w:r>
      <w:r w:rsidR="0047095F">
        <w:rPr>
          <w:rFonts w:ascii="Arial" w:hAnsi="Arial" w:cs="Arial"/>
          <w:sz w:val="22"/>
          <w:szCs w:val="22"/>
        </w:rPr>
        <w:t xml:space="preserve"> v </w:t>
      </w:r>
      <w:r w:rsidRPr="00AA6417">
        <w:rPr>
          <w:rFonts w:ascii="Arial" w:hAnsi="Arial" w:cs="Arial"/>
          <w:sz w:val="22"/>
          <w:szCs w:val="22"/>
        </w:rPr>
        <w:t xml:space="preserve">EU </w:t>
      </w:r>
      <w:r w:rsidRPr="00AA6417">
        <w:rPr>
          <w:rFonts w:ascii="Arial" w:hAnsi="Arial" w:cs="Arial"/>
          <w:sz w:val="22"/>
          <w:szCs w:val="22"/>
        </w:rPr>
        <w:br/>
        <w:t>č. 2009/396/ES a Doporučení Komise ze dne 20. září 2010 o regulovaném přístupu k přístupovým sítím nové generace (NGA) č. 2010/572/EU.</w:t>
      </w:r>
    </w:p>
    <w:p w:rsidR="00843E31" w:rsidRPr="00AA6417" w:rsidRDefault="00843E31" w:rsidP="00620BB3">
      <w:pPr>
        <w:widowControl w:val="0"/>
        <w:autoSpaceDE w:val="0"/>
        <w:autoSpaceDN w:val="0"/>
        <w:adjustRightInd w:val="0"/>
        <w:spacing w:after="240"/>
        <w:ind w:firstLine="828"/>
        <w:jc w:val="both"/>
        <w:rPr>
          <w:rFonts w:ascii="Arial" w:hAnsi="Arial" w:cs="Arial"/>
          <w:sz w:val="22"/>
          <w:szCs w:val="22"/>
        </w:rPr>
      </w:pPr>
      <w:r w:rsidRPr="00AA6417">
        <w:rPr>
          <w:rFonts w:ascii="Arial" w:hAnsi="Arial" w:cs="Arial"/>
          <w:sz w:val="22"/>
          <w:szCs w:val="22"/>
        </w:rPr>
        <w:t>Ú</w:t>
      </w:r>
      <w:r w:rsidRPr="00AA6417">
        <w:rPr>
          <w:rFonts w:ascii="Arial" w:hAnsi="Arial" w:cs="Arial"/>
          <w:spacing w:val="1"/>
          <w:sz w:val="22"/>
          <w:szCs w:val="22"/>
        </w:rPr>
        <w:t>č</w:t>
      </w:r>
      <w:r w:rsidRPr="00AA6417">
        <w:rPr>
          <w:rFonts w:ascii="Arial" w:hAnsi="Arial" w:cs="Arial"/>
          <w:sz w:val="22"/>
          <w:szCs w:val="22"/>
        </w:rPr>
        <w:t>innost</w:t>
      </w:r>
      <w:r w:rsidR="0047095F">
        <w:rPr>
          <w:rFonts w:ascii="Arial" w:hAnsi="Arial" w:cs="Arial"/>
          <w:spacing w:val="-9"/>
          <w:sz w:val="22"/>
          <w:szCs w:val="22"/>
        </w:rPr>
        <w:t xml:space="preserve"> v </w:t>
      </w:r>
      <w:r w:rsidRPr="00AA6417">
        <w:rPr>
          <w:rFonts w:ascii="Arial" w:hAnsi="Arial" w:cs="Arial"/>
          <w:spacing w:val="-9"/>
          <w:sz w:val="22"/>
          <w:szCs w:val="22"/>
        </w:rPr>
        <w:t xml:space="preserve">článku </w:t>
      </w:r>
      <w:r w:rsidR="00F67658">
        <w:rPr>
          <w:rFonts w:ascii="Arial" w:hAnsi="Arial" w:cs="Arial"/>
          <w:spacing w:val="-9"/>
          <w:sz w:val="22"/>
          <w:szCs w:val="22"/>
        </w:rPr>
        <w:t>9</w:t>
      </w:r>
      <w:r w:rsidRPr="00AA6417">
        <w:rPr>
          <w:rFonts w:ascii="Arial" w:hAnsi="Arial" w:cs="Arial"/>
          <w:spacing w:val="-9"/>
          <w:sz w:val="22"/>
          <w:szCs w:val="22"/>
        </w:rPr>
        <w:t xml:space="preserve"> </w:t>
      </w:r>
      <w:r w:rsidRPr="00AA6417">
        <w:rPr>
          <w:rFonts w:ascii="Arial" w:hAnsi="Arial" w:cs="Arial"/>
          <w:sz w:val="22"/>
          <w:szCs w:val="22"/>
        </w:rPr>
        <w:t>o</w:t>
      </w:r>
      <w:r w:rsidRPr="00AA6417">
        <w:rPr>
          <w:rFonts w:ascii="Arial" w:hAnsi="Arial" w:cs="Arial"/>
          <w:spacing w:val="-1"/>
          <w:sz w:val="22"/>
          <w:szCs w:val="22"/>
        </w:rPr>
        <w:t>p</w:t>
      </w:r>
      <w:r w:rsidRPr="00AA6417">
        <w:rPr>
          <w:rFonts w:ascii="Arial" w:hAnsi="Arial" w:cs="Arial"/>
          <w:sz w:val="22"/>
          <w:szCs w:val="22"/>
        </w:rPr>
        <w:t>a</w:t>
      </w:r>
      <w:r w:rsidRPr="00AA6417">
        <w:rPr>
          <w:rFonts w:ascii="Arial" w:hAnsi="Arial" w:cs="Arial"/>
          <w:spacing w:val="1"/>
          <w:sz w:val="22"/>
          <w:szCs w:val="22"/>
        </w:rPr>
        <w:t>t</w:t>
      </w:r>
      <w:r w:rsidRPr="00AA6417">
        <w:rPr>
          <w:rFonts w:ascii="Arial" w:hAnsi="Arial" w:cs="Arial"/>
          <w:sz w:val="22"/>
          <w:szCs w:val="22"/>
        </w:rPr>
        <w:t>ření</w:t>
      </w:r>
      <w:r w:rsidRPr="00AA6417">
        <w:rPr>
          <w:rFonts w:ascii="Arial" w:hAnsi="Arial" w:cs="Arial"/>
          <w:spacing w:val="-8"/>
          <w:sz w:val="22"/>
          <w:szCs w:val="22"/>
        </w:rPr>
        <w:t xml:space="preserve"> </w:t>
      </w:r>
      <w:r w:rsidRPr="00AA6417">
        <w:rPr>
          <w:rFonts w:ascii="Arial" w:hAnsi="Arial" w:cs="Arial"/>
          <w:sz w:val="22"/>
          <w:szCs w:val="22"/>
        </w:rPr>
        <w:t>je</w:t>
      </w:r>
      <w:r w:rsidRPr="00AA6417">
        <w:rPr>
          <w:rFonts w:ascii="Arial" w:hAnsi="Arial" w:cs="Arial"/>
          <w:spacing w:val="-2"/>
          <w:sz w:val="22"/>
          <w:szCs w:val="22"/>
        </w:rPr>
        <w:t xml:space="preserve"> </w:t>
      </w:r>
      <w:r w:rsidRPr="00AA6417">
        <w:rPr>
          <w:rFonts w:ascii="Arial" w:hAnsi="Arial" w:cs="Arial"/>
          <w:sz w:val="22"/>
          <w:szCs w:val="22"/>
        </w:rPr>
        <w:t>st</w:t>
      </w:r>
      <w:r w:rsidRPr="00AA6417">
        <w:rPr>
          <w:rFonts w:ascii="Arial" w:hAnsi="Arial" w:cs="Arial"/>
          <w:spacing w:val="-1"/>
          <w:sz w:val="22"/>
          <w:szCs w:val="22"/>
        </w:rPr>
        <w:t>a</w:t>
      </w:r>
      <w:r w:rsidRPr="00AA6417">
        <w:rPr>
          <w:rFonts w:ascii="Arial" w:hAnsi="Arial" w:cs="Arial"/>
          <w:sz w:val="22"/>
          <w:szCs w:val="22"/>
        </w:rPr>
        <w:t>novena</w:t>
      </w:r>
      <w:r w:rsidR="0047095F">
        <w:rPr>
          <w:rFonts w:ascii="Arial" w:hAnsi="Arial" w:cs="Arial"/>
          <w:spacing w:val="-10"/>
          <w:sz w:val="22"/>
          <w:szCs w:val="22"/>
        </w:rPr>
        <w:t xml:space="preserve"> v </w:t>
      </w:r>
      <w:r w:rsidRPr="00AA6417">
        <w:rPr>
          <w:rFonts w:ascii="Arial" w:hAnsi="Arial" w:cs="Arial"/>
          <w:sz w:val="22"/>
          <w:szCs w:val="22"/>
        </w:rPr>
        <w:t>s</w:t>
      </w:r>
      <w:r w:rsidRPr="00AA6417">
        <w:rPr>
          <w:rFonts w:ascii="Arial" w:hAnsi="Arial" w:cs="Arial"/>
          <w:spacing w:val="1"/>
          <w:sz w:val="22"/>
          <w:szCs w:val="22"/>
        </w:rPr>
        <w:t>o</w:t>
      </w:r>
      <w:r w:rsidRPr="00AA6417">
        <w:rPr>
          <w:rFonts w:ascii="Arial" w:hAnsi="Arial" w:cs="Arial"/>
          <w:sz w:val="22"/>
          <w:szCs w:val="22"/>
        </w:rPr>
        <w:t>uladu</w:t>
      </w:r>
      <w:r w:rsidRPr="00AA6417">
        <w:rPr>
          <w:rFonts w:ascii="Arial" w:hAnsi="Arial" w:cs="Arial"/>
          <w:spacing w:val="-8"/>
          <w:sz w:val="22"/>
          <w:szCs w:val="22"/>
        </w:rPr>
        <w:t xml:space="preserve"> s </w:t>
      </w:r>
      <w:r w:rsidRPr="00AA6417">
        <w:rPr>
          <w:rFonts w:ascii="Arial" w:hAnsi="Arial" w:cs="Arial"/>
          <w:sz w:val="22"/>
          <w:szCs w:val="22"/>
        </w:rPr>
        <w:t>§</w:t>
      </w:r>
      <w:r w:rsidRPr="00AA6417">
        <w:rPr>
          <w:rFonts w:ascii="Arial" w:hAnsi="Arial" w:cs="Arial"/>
          <w:spacing w:val="-1"/>
          <w:sz w:val="22"/>
          <w:szCs w:val="22"/>
        </w:rPr>
        <w:t xml:space="preserve"> </w:t>
      </w:r>
      <w:r w:rsidRPr="00AA6417">
        <w:rPr>
          <w:rFonts w:ascii="Arial" w:hAnsi="Arial" w:cs="Arial"/>
          <w:sz w:val="22"/>
          <w:szCs w:val="22"/>
        </w:rPr>
        <w:t>1</w:t>
      </w:r>
      <w:r w:rsidRPr="00AA6417">
        <w:rPr>
          <w:rFonts w:ascii="Arial" w:hAnsi="Arial" w:cs="Arial"/>
          <w:spacing w:val="-1"/>
          <w:sz w:val="22"/>
          <w:szCs w:val="22"/>
        </w:rPr>
        <w:t>2</w:t>
      </w:r>
      <w:r w:rsidRPr="00AA6417">
        <w:rPr>
          <w:rFonts w:ascii="Arial" w:hAnsi="Arial" w:cs="Arial"/>
          <w:sz w:val="22"/>
          <w:szCs w:val="22"/>
        </w:rPr>
        <w:t>4</w:t>
      </w:r>
      <w:r w:rsidRPr="00AA6417">
        <w:rPr>
          <w:rFonts w:ascii="Arial" w:hAnsi="Arial" w:cs="Arial"/>
          <w:spacing w:val="-4"/>
          <w:sz w:val="22"/>
          <w:szCs w:val="22"/>
        </w:rPr>
        <w:t xml:space="preserve"> </w:t>
      </w:r>
      <w:r w:rsidRPr="00AA6417">
        <w:rPr>
          <w:rFonts w:ascii="Arial" w:hAnsi="Arial" w:cs="Arial"/>
          <w:sz w:val="22"/>
          <w:szCs w:val="22"/>
        </w:rPr>
        <w:t>odst.</w:t>
      </w:r>
      <w:r w:rsidRPr="00AA6417">
        <w:rPr>
          <w:rFonts w:ascii="Arial" w:hAnsi="Arial" w:cs="Arial"/>
          <w:spacing w:val="-5"/>
          <w:sz w:val="22"/>
          <w:szCs w:val="22"/>
        </w:rPr>
        <w:t xml:space="preserve"> </w:t>
      </w:r>
      <w:r w:rsidRPr="00AA6417">
        <w:rPr>
          <w:rFonts w:ascii="Arial" w:hAnsi="Arial" w:cs="Arial"/>
          <w:sz w:val="22"/>
          <w:szCs w:val="22"/>
        </w:rPr>
        <w:t>2</w:t>
      </w:r>
      <w:r w:rsidRPr="00AA6417">
        <w:rPr>
          <w:rFonts w:ascii="Arial" w:hAnsi="Arial" w:cs="Arial"/>
          <w:spacing w:val="-1"/>
          <w:sz w:val="22"/>
          <w:szCs w:val="22"/>
        </w:rPr>
        <w:t xml:space="preserve"> </w:t>
      </w:r>
      <w:r w:rsidRPr="00AA6417">
        <w:rPr>
          <w:rFonts w:ascii="Arial" w:hAnsi="Arial" w:cs="Arial"/>
          <w:sz w:val="22"/>
          <w:szCs w:val="22"/>
        </w:rPr>
        <w:t>z</w:t>
      </w:r>
      <w:r w:rsidRPr="00AA6417">
        <w:rPr>
          <w:rFonts w:ascii="Arial" w:hAnsi="Arial" w:cs="Arial"/>
          <w:spacing w:val="-1"/>
          <w:sz w:val="22"/>
          <w:szCs w:val="22"/>
        </w:rPr>
        <w:t>á</w:t>
      </w:r>
      <w:r w:rsidRPr="00AA6417">
        <w:rPr>
          <w:rFonts w:ascii="Arial" w:hAnsi="Arial" w:cs="Arial"/>
          <w:sz w:val="22"/>
          <w:szCs w:val="22"/>
        </w:rPr>
        <w:t>kona a s ohledem</w:t>
      </w:r>
      <w:r w:rsidR="0047095F">
        <w:rPr>
          <w:rFonts w:ascii="Arial" w:hAnsi="Arial" w:cs="Arial"/>
          <w:sz w:val="22"/>
          <w:szCs w:val="22"/>
        </w:rPr>
        <w:t xml:space="preserve"> na </w:t>
      </w:r>
      <w:r w:rsidRPr="00AA6417">
        <w:rPr>
          <w:rFonts w:ascii="Arial" w:hAnsi="Arial" w:cs="Arial"/>
          <w:sz w:val="22"/>
          <w:szCs w:val="22"/>
        </w:rPr>
        <w:t>provázanost výsledků oddělené evidence nákladů a výnosů</w:t>
      </w:r>
      <w:r w:rsidR="0047095F">
        <w:rPr>
          <w:rFonts w:ascii="Arial" w:hAnsi="Arial" w:cs="Arial"/>
          <w:sz w:val="22"/>
          <w:szCs w:val="22"/>
        </w:rPr>
        <w:t xml:space="preserve"> na </w:t>
      </w:r>
      <w:r w:rsidRPr="00AA6417">
        <w:rPr>
          <w:rFonts w:ascii="Arial" w:hAnsi="Arial" w:cs="Arial"/>
          <w:sz w:val="22"/>
          <w:szCs w:val="22"/>
        </w:rPr>
        <w:t>účetní výkazy za uzavřené účetní období je stanovena</w:t>
      </w:r>
      <w:r w:rsidR="0047095F">
        <w:rPr>
          <w:rFonts w:ascii="Arial" w:hAnsi="Arial" w:cs="Arial"/>
          <w:sz w:val="22"/>
          <w:szCs w:val="22"/>
        </w:rPr>
        <w:t xml:space="preserve"> od </w:t>
      </w:r>
      <w:r w:rsidRPr="00AA6417">
        <w:rPr>
          <w:rFonts w:ascii="Arial" w:hAnsi="Arial" w:cs="Arial"/>
          <w:sz w:val="22"/>
          <w:szCs w:val="22"/>
        </w:rPr>
        <w:t>1. ledna 2015.</w:t>
      </w:r>
    </w:p>
    <w:p w:rsidR="00242A0C" w:rsidRPr="00657A59" w:rsidRDefault="00242A0C" w:rsidP="00473607">
      <w:pPr>
        <w:widowControl w:val="0"/>
        <w:autoSpaceDE w:val="0"/>
        <w:autoSpaceDN w:val="0"/>
        <w:adjustRightInd w:val="0"/>
        <w:spacing w:before="240" w:after="240" w:line="280" w:lineRule="exact"/>
        <w:jc w:val="center"/>
        <w:rPr>
          <w:rFonts w:ascii="Arial" w:hAnsi="Arial" w:cs="Arial"/>
          <w:sz w:val="28"/>
          <w:szCs w:val="28"/>
        </w:rPr>
      </w:pPr>
      <w:r w:rsidRPr="00657A59">
        <w:rPr>
          <w:rFonts w:ascii="Arial" w:hAnsi="Arial" w:cs="Arial"/>
          <w:sz w:val="28"/>
          <w:szCs w:val="28"/>
        </w:rPr>
        <w:t>***</w:t>
      </w:r>
    </w:p>
    <w:p w:rsidR="00242A0C" w:rsidRPr="008F1FBC" w:rsidRDefault="00242A0C" w:rsidP="002970E0">
      <w:pPr>
        <w:widowControl w:val="0"/>
        <w:autoSpaceDE w:val="0"/>
        <w:autoSpaceDN w:val="0"/>
        <w:adjustRightInd w:val="0"/>
        <w:spacing w:after="120"/>
        <w:ind w:firstLine="828"/>
        <w:jc w:val="both"/>
        <w:rPr>
          <w:rFonts w:ascii="Arial" w:hAnsi="Arial" w:cs="Arial"/>
          <w:sz w:val="22"/>
          <w:szCs w:val="22"/>
        </w:rPr>
      </w:pPr>
      <w:r w:rsidRPr="008F1FBC">
        <w:rPr>
          <w:rFonts w:ascii="Arial" w:hAnsi="Arial" w:cs="Arial"/>
          <w:sz w:val="22"/>
          <w:szCs w:val="22"/>
        </w:rPr>
        <w:t>Úřad</w:t>
      </w:r>
      <w:r w:rsidRPr="008F1FBC">
        <w:rPr>
          <w:rFonts w:ascii="Arial" w:hAnsi="Arial" w:cs="Arial"/>
          <w:spacing w:val="12"/>
          <w:sz w:val="22"/>
          <w:szCs w:val="22"/>
        </w:rPr>
        <w:t xml:space="preserve"> </w:t>
      </w:r>
      <w:r w:rsidRPr="008F1FBC">
        <w:rPr>
          <w:rFonts w:ascii="Arial" w:hAnsi="Arial" w:cs="Arial"/>
          <w:sz w:val="22"/>
          <w:szCs w:val="22"/>
        </w:rPr>
        <w:t>zveřejnil</w:t>
      </w:r>
      <w:r w:rsidRPr="008F1FBC">
        <w:rPr>
          <w:rFonts w:ascii="Arial" w:hAnsi="Arial" w:cs="Arial"/>
          <w:spacing w:val="9"/>
          <w:sz w:val="22"/>
          <w:szCs w:val="22"/>
        </w:rPr>
        <w:t xml:space="preserve"> </w:t>
      </w:r>
      <w:r w:rsidRPr="008F1FBC">
        <w:rPr>
          <w:rFonts w:ascii="Arial" w:hAnsi="Arial" w:cs="Arial"/>
          <w:sz w:val="22"/>
          <w:szCs w:val="22"/>
        </w:rPr>
        <w:t>dne</w:t>
      </w:r>
      <w:r w:rsidRPr="008F1FBC">
        <w:rPr>
          <w:rFonts w:ascii="Arial" w:hAnsi="Arial" w:cs="Arial"/>
          <w:spacing w:val="12"/>
          <w:sz w:val="22"/>
          <w:szCs w:val="22"/>
        </w:rPr>
        <w:t xml:space="preserve"> </w:t>
      </w:r>
      <w:r w:rsidR="00657A59" w:rsidRPr="008F1FBC">
        <w:rPr>
          <w:rFonts w:ascii="Arial" w:hAnsi="Arial" w:cs="Arial"/>
          <w:spacing w:val="12"/>
          <w:sz w:val="22"/>
          <w:szCs w:val="22"/>
        </w:rPr>
        <w:t>2</w:t>
      </w:r>
      <w:r w:rsidRPr="008F1FBC">
        <w:rPr>
          <w:rFonts w:ascii="Arial" w:hAnsi="Arial" w:cs="Arial"/>
          <w:sz w:val="22"/>
          <w:szCs w:val="22"/>
        </w:rPr>
        <w:t>.</w:t>
      </w:r>
      <w:r w:rsidRPr="008F1FBC">
        <w:rPr>
          <w:rFonts w:ascii="Arial" w:hAnsi="Arial" w:cs="Arial"/>
          <w:spacing w:val="14"/>
          <w:sz w:val="22"/>
          <w:szCs w:val="22"/>
        </w:rPr>
        <w:t xml:space="preserve"> </w:t>
      </w:r>
      <w:r w:rsidR="00657A59" w:rsidRPr="008F1FBC">
        <w:rPr>
          <w:rFonts w:ascii="Arial" w:hAnsi="Arial" w:cs="Arial"/>
          <w:sz w:val="22"/>
          <w:szCs w:val="22"/>
        </w:rPr>
        <w:t>července</w:t>
      </w:r>
      <w:r w:rsidRPr="008F1FBC">
        <w:rPr>
          <w:rFonts w:ascii="Arial" w:hAnsi="Arial" w:cs="Arial"/>
          <w:spacing w:val="11"/>
          <w:sz w:val="22"/>
          <w:szCs w:val="22"/>
        </w:rPr>
        <w:t xml:space="preserve"> </w:t>
      </w:r>
      <w:r w:rsidRPr="008F1FBC">
        <w:rPr>
          <w:rFonts w:ascii="Arial" w:hAnsi="Arial" w:cs="Arial"/>
          <w:sz w:val="22"/>
          <w:szCs w:val="22"/>
        </w:rPr>
        <w:t>2014</w:t>
      </w:r>
      <w:r w:rsidRPr="008F1FBC">
        <w:rPr>
          <w:rFonts w:ascii="Arial" w:hAnsi="Arial" w:cs="Arial"/>
          <w:spacing w:val="12"/>
          <w:sz w:val="22"/>
          <w:szCs w:val="22"/>
        </w:rPr>
        <w:t xml:space="preserve"> </w:t>
      </w:r>
      <w:r w:rsidRPr="008F1FBC">
        <w:rPr>
          <w:rFonts w:ascii="Arial" w:hAnsi="Arial" w:cs="Arial"/>
          <w:spacing w:val="-1"/>
          <w:sz w:val="22"/>
          <w:szCs w:val="22"/>
        </w:rPr>
        <w:t>n</w:t>
      </w:r>
      <w:r w:rsidRPr="008F1FBC">
        <w:rPr>
          <w:rFonts w:ascii="Arial" w:hAnsi="Arial" w:cs="Arial"/>
          <w:sz w:val="22"/>
          <w:szCs w:val="22"/>
        </w:rPr>
        <w:t>ávrh</w:t>
      </w:r>
      <w:r w:rsidRPr="008F1FBC">
        <w:rPr>
          <w:rFonts w:ascii="Arial" w:hAnsi="Arial" w:cs="Arial"/>
          <w:spacing w:val="11"/>
          <w:sz w:val="22"/>
          <w:szCs w:val="22"/>
        </w:rPr>
        <w:t xml:space="preserve"> </w:t>
      </w:r>
      <w:r w:rsidRPr="008F1FBC">
        <w:rPr>
          <w:rFonts w:ascii="Arial" w:hAnsi="Arial" w:cs="Arial"/>
          <w:sz w:val="22"/>
          <w:szCs w:val="22"/>
        </w:rPr>
        <w:t>opatření</w:t>
      </w:r>
      <w:r w:rsidRPr="008F1FBC">
        <w:rPr>
          <w:rFonts w:ascii="Arial" w:hAnsi="Arial" w:cs="Arial"/>
          <w:spacing w:val="9"/>
          <w:sz w:val="22"/>
          <w:szCs w:val="22"/>
        </w:rPr>
        <w:t xml:space="preserve"> </w:t>
      </w:r>
      <w:r w:rsidRPr="008F1FBC">
        <w:rPr>
          <w:rFonts w:ascii="Arial" w:hAnsi="Arial" w:cs="Arial"/>
          <w:sz w:val="22"/>
          <w:szCs w:val="22"/>
        </w:rPr>
        <w:t>obecné</w:t>
      </w:r>
      <w:r w:rsidRPr="008F1FBC">
        <w:rPr>
          <w:rFonts w:ascii="Arial" w:hAnsi="Arial" w:cs="Arial"/>
          <w:spacing w:val="9"/>
          <w:sz w:val="22"/>
          <w:szCs w:val="22"/>
        </w:rPr>
        <w:t xml:space="preserve"> </w:t>
      </w:r>
      <w:r w:rsidRPr="008F1FBC">
        <w:rPr>
          <w:rFonts w:ascii="Arial" w:hAnsi="Arial" w:cs="Arial"/>
          <w:spacing w:val="-1"/>
          <w:sz w:val="22"/>
          <w:szCs w:val="22"/>
        </w:rPr>
        <w:t>p</w:t>
      </w:r>
      <w:r w:rsidRPr="008F1FBC">
        <w:rPr>
          <w:rFonts w:ascii="Arial" w:hAnsi="Arial" w:cs="Arial"/>
          <w:sz w:val="22"/>
          <w:szCs w:val="22"/>
        </w:rPr>
        <w:t>ovahy</w:t>
      </w:r>
      <w:r w:rsidRPr="008F1FBC">
        <w:rPr>
          <w:rFonts w:ascii="Arial" w:hAnsi="Arial" w:cs="Arial"/>
          <w:spacing w:val="10"/>
          <w:sz w:val="22"/>
          <w:szCs w:val="22"/>
        </w:rPr>
        <w:t xml:space="preserve"> </w:t>
      </w:r>
      <w:r w:rsidRPr="008F1FBC">
        <w:rPr>
          <w:rFonts w:ascii="Arial" w:hAnsi="Arial" w:cs="Arial"/>
          <w:spacing w:val="1"/>
          <w:sz w:val="22"/>
          <w:szCs w:val="22"/>
        </w:rPr>
        <w:t>č</w:t>
      </w:r>
      <w:r w:rsidRPr="008F1FBC">
        <w:rPr>
          <w:rFonts w:ascii="Arial" w:hAnsi="Arial" w:cs="Arial"/>
          <w:sz w:val="22"/>
          <w:szCs w:val="22"/>
        </w:rPr>
        <w:t>.</w:t>
      </w:r>
      <w:r w:rsidRPr="008F1FBC">
        <w:rPr>
          <w:rFonts w:ascii="Arial" w:hAnsi="Arial" w:cs="Arial"/>
          <w:spacing w:val="16"/>
          <w:sz w:val="22"/>
          <w:szCs w:val="22"/>
        </w:rPr>
        <w:t> </w:t>
      </w:r>
      <w:r w:rsidRPr="008F1FBC">
        <w:rPr>
          <w:rFonts w:ascii="Arial" w:hAnsi="Arial" w:cs="Arial"/>
          <w:sz w:val="22"/>
          <w:szCs w:val="22"/>
        </w:rPr>
        <w:t>OOP/4</w:t>
      </w:r>
      <w:r w:rsidRPr="008F1FBC">
        <w:rPr>
          <w:rFonts w:ascii="Arial" w:hAnsi="Arial" w:cs="Arial"/>
          <w:spacing w:val="2"/>
          <w:sz w:val="22"/>
          <w:szCs w:val="22"/>
        </w:rPr>
        <w:t>/</w:t>
      </w:r>
      <w:r w:rsidRPr="008F1FBC">
        <w:rPr>
          <w:rFonts w:ascii="Arial" w:hAnsi="Arial" w:cs="Arial"/>
          <w:sz w:val="22"/>
          <w:szCs w:val="22"/>
        </w:rPr>
        <w:t>X</w:t>
      </w:r>
      <w:r w:rsidRPr="008F1FBC">
        <w:rPr>
          <w:rFonts w:ascii="Arial" w:hAnsi="Arial" w:cs="Arial"/>
          <w:spacing w:val="-1"/>
          <w:sz w:val="22"/>
          <w:szCs w:val="22"/>
        </w:rPr>
        <w:t>X</w:t>
      </w:r>
      <w:r w:rsidRPr="008F1FBC">
        <w:rPr>
          <w:rFonts w:ascii="Arial" w:hAnsi="Arial" w:cs="Arial"/>
          <w:sz w:val="22"/>
          <w:szCs w:val="22"/>
        </w:rPr>
        <w:t>.2</w:t>
      </w:r>
      <w:r w:rsidRPr="008F1FBC">
        <w:rPr>
          <w:rFonts w:ascii="Arial" w:hAnsi="Arial" w:cs="Arial"/>
          <w:spacing w:val="1"/>
          <w:sz w:val="22"/>
          <w:szCs w:val="22"/>
        </w:rPr>
        <w:t>014-Y</w:t>
      </w:r>
      <w:r w:rsidR="0047095F" w:rsidRPr="008F1FBC">
        <w:rPr>
          <w:rFonts w:ascii="Arial" w:hAnsi="Arial" w:cs="Arial"/>
          <w:sz w:val="22"/>
          <w:szCs w:val="22"/>
        </w:rPr>
        <w:t xml:space="preserve"> v </w:t>
      </w:r>
      <w:r w:rsidRPr="008F1FBC">
        <w:rPr>
          <w:rFonts w:ascii="Arial" w:hAnsi="Arial" w:cs="Arial"/>
          <w:sz w:val="22"/>
          <w:szCs w:val="22"/>
        </w:rPr>
        <w:t>souladu</w:t>
      </w:r>
      <w:r w:rsidRPr="008F1FBC">
        <w:rPr>
          <w:rFonts w:ascii="Arial" w:hAnsi="Arial" w:cs="Arial"/>
          <w:spacing w:val="20"/>
          <w:sz w:val="22"/>
          <w:szCs w:val="22"/>
        </w:rPr>
        <w:t xml:space="preserve"> s</w:t>
      </w:r>
      <w:r w:rsidR="000B12B6" w:rsidRPr="008F1FBC">
        <w:rPr>
          <w:rFonts w:ascii="Arial" w:hAnsi="Arial" w:cs="Arial"/>
          <w:spacing w:val="20"/>
          <w:sz w:val="22"/>
          <w:szCs w:val="22"/>
        </w:rPr>
        <w:t xml:space="preserve"> </w:t>
      </w:r>
      <w:r w:rsidRPr="008F1FBC">
        <w:rPr>
          <w:rFonts w:ascii="Arial" w:hAnsi="Arial" w:cs="Arial"/>
          <w:sz w:val="22"/>
          <w:szCs w:val="22"/>
        </w:rPr>
        <w:t>§</w:t>
      </w:r>
      <w:r w:rsidRPr="008F1FBC">
        <w:rPr>
          <w:rFonts w:ascii="Arial" w:hAnsi="Arial" w:cs="Arial"/>
          <w:spacing w:val="27"/>
          <w:sz w:val="22"/>
          <w:szCs w:val="22"/>
        </w:rPr>
        <w:t xml:space="preserve"> </w:t>
      </w:r>
      <w:r w:rsidRPr="008F1FBC">
        <w:rPr>
          <w:rFonts w:ascii="Arial" w:hAnsi="Arial" w:cs="Arial"/>
          <w:sz w:val="22"/>
          <w:szCs w:val="22"/>
        </w:rPr>
        <w:t>130</w:t>
      </w:r>
      <w:r w:rsidRPr="008F1FBC">
        <w:rPr>
          <w:rFonts w:ascii="Arial" w:hAnsi="Arial" w:cs="Arial"/>
          <w:spacing w:val="24"/>
          <w:sz w:val="22"/>
          <w:szCs w:val="22"/>
        </w:rPr>
        <w:t xml:space="preserve"> </w:t>
      </w:r>
      <w:r w:rsidRPr="008F1FBC">
        <w:rPr>
          <w:rFonts w:ascii="Arial" w:hAnsi="Arial" w:cs="Arial"/>
          <w:sz w:val="22"/>
          <w:szCs w:val="22"/>
        </w:rPr>
        <w:t>ods</w:t>
      </w:r>
      <w:r w:rsidRPr="008F1FBC">
        <w:rPr>
          <w:rFonts w:ascii="Arial" w:hAnsi="Arial" w:cs="Arial"/>
          <w:spacing w:val="-1"/>
          <w:sz w:val="22"/>
          <w:szCs w:val="22"/>
        </w:rPr>
        <w:t>t</w:t>
      </w:r>
      <w:r w:rsidRPr="008F1FBC">
        <w:rPr>
          <w:rFonts w:ascii="Arial" w:hAnsi="Arial" w:cs="Arial"/>
          <w:sz w:val="22"/>
          <w:szCs w:val="22"/>
        </w:rPr>
        <w:t>.</w:t>
      </w:r>
      <w:r w:rsidRPr="008F1FBC">
        <w:rPr>
          <w:rFonts w:ascii="Arial" w:hAnsi="Arial" w:cs="Arial"/>
          <w:spacing w:val="24"/>
          <w:sz w:val="22"/>
          <w:szCs w:val="22"/>
        </w:rPr>
        <w:t xml:space="preserve"> </w:t>
      </w:r>
      <w:r w:rsidRPr="008F1FBC">
        <w:rPr>
          <w:rFonts w:ascii="Arial" w:hAnsi="Arial" w:cs="Arial"/>
          <w:sz w:val="22"/>
          <w:szCs w:val="22"/>
        </w:rPr>
        <w:t>1</w:t>
      </w:r>
      <w:r w:rsidRPr="008F1FBC">
        <w:rPr>
          <w:rFonts w:ascii="Arial" w:hAnsi="Arial" w:cs="Arial"/>
          <w:spacing w:val="27"/>
          <w:sz w:val="22"/>
          <w:szCs w:val="22"/>
        </w:rPr>
        <w:t xml:space="preserve"> </w:t>
      </w:r>
      <w:r w:rsidRPr="008F1FBC">
        <w:rPr>
          <w:rFonts w:ascii="Arial" w:hAnsi="Arial" w:cs="Arial"/>
          <w:sz w:val="22"/>
          <w:szCs w:val="22"/>
        </w:rPr>
        <w:t>zákona</w:t>
      </w:r>
      <w:r w:rsidR="0047095F" w:rsidRPr="008F1FBC">
        <w:rPr>
          <w:rFonts w:ascii="Arial" w:hAnsi="Arial" w:cs="Arial"/>
          <w:spacing w:val="20"/>
          <w:sz w:val="22"/>
          <w:szCs w:val="22"/>
        </w:rPr>
        <w:t xml:space="preserve"> podle </w:t>
      </w:r>
      <w:r w:rsidRPr="008F1FBC">
        <w:rPr>
          <w:rFonts w:ascii="Arial" w:hAnsi="Arial" w:cs="Arial"/>
          <w:spacing w:val="1"/>
          <w:sz w:val="22"/>
          <w:szCs w:val="22"/>
        </w:rPr>
        <w:t>č</w:t>
      </w:r>
      <w:r w:rsidRPr="008F1FBC">
        <w:rPr>
          <w:rFonts w:ascii="Arial" w:hAnsi="Arial" w:cs="Arial"/>
          <w:sz w:val="22"/>
          <w:szCs w:val="22"/>
        </w:rPr>
        <w:t>l.</w:t>
      </w:r>
      <w:r w:rsidRPr="008F1FBC">
        <w:rPr>
          <w:rFonts w:ascii="Arial" w:hAnsi="Arial" w:cs="Arial"/>
          <w:spacing w:val="27"/>
          <w:sz w:val="22"/>
          <w:szCs w:val="22"/>
        </w:rPr>
        <w:t xml:space="preserve"> </w:t>
      </w:r>
      <w:r w:rsidRPr="008F1FBC">
        <w:rPr>
          <w:rFonts w:ascii="Arial" w:hAnsi="Arial" w:cs="Arial"/>
          <w:sz w:val="22"/>
          <w:szCs w:val="22"/>
        </w:rPr>
        <w:t>5</w:t>
      </w:r>
      <w:r w:rsidRPr="008F1FBC">
        <w:rPr>
          <w:rFonts w:ascii="Arial" w:hAnsi="Arial" w:cs="Arial"/>
          <w:spacing w:val="26"/>
          <w:sz w:val="22"/>
          <w:szCs w:val="22"/>
        </w:rPr>
        <w:t xml:space="preserve"> </w:t>
      </w:r>
      <w:r w:rsidRPr="008F1FBC">
        <w:rPr>
          <w:rFonts w:ascii="Arial" w:hAnsi="Arial" w:cs="Arial"/>
          <w:sz w:val="22"/>
          <w:szCs w:val="22"/>
        </w:rPr>
        <w:t>odst.</w:t>
      </w:r>
      <w:r w:rsidRPr="008F1FBC">
        <w:rPr>
          <w:rFonts w:ascii="Arial" w:hAnsi="Arial" w:cs="Arial"/>
          <w:spacing w:val="23"/>
          <w:sz w:val="22"/>
          <w:szCs w:val="22"/>
        </w:rPr>
        <w:t xml:space="preserve"> </w:t>
      </w:r>
      <w:r w:rsidRPr="008F1FBC">
        <w:rPr>
          <w:rFonts w:ascii="Arial" w:hAnsi="Arial" w:cs="Arial"/>
          <w:sz w:val="22"/>
          <w:szCs w:val="22"/>
        </w:rPr>
        <w:t>1</w:t>
      </w:r>
      <w:r w:rsidRPr="008F1FBC">
        <w:rPr>
          <w:rFonts w:ascii="Arial" w:hAnsi="Arial" w:cs="Arial"/>
          <w:spacing w:val="27"/>
          <w:sz w:val="22"/>
          <w:szCs w:val="22"/>
        </w:rPr>
        <w:t xml:space="preserve"> </w:t>
      </w:r>
      <w:r w:rsidRPr="008F1FBC">
        <w:rPr>
          <w:rFonts w:ascii="Arial" w:hAnsi="Arial" w:cs="Arial"/>
          <w:sz w:val="22"/>
          <w:szCs w:val="22"/>
        </w:rPr>
        <w:t>Pravidel</w:t>
      </w:r>
      <w:r w:rsidRPr="008F1FBC">
        <w:rPr>
          <w:rFonts w:ascii="Arial" w:hAnsi="Arial" w:cs="Arial"/>
          <w:spacing w:val="20"/>
          <w:sz w:val="22"/>
          <w:szCs w:val="22"/>
        </w:rPr>
        <w:t xml:space="preserve"> </w:t>
      </w:r>
      <w:r w:rsidRPr="008F1FBC">
        <w:rPr>
          <w:rFonts w:ascii="Arial" w:hAnsi="Arial" w:cs="Arial"/>
          <w:sz w:val="22"/>
          <w:szCs w:val="22"/>
        </w:rPr>
        <w:t>Českého</w:t>
      </w:r>
      <w:r w:rsidRPr="008F1FBC">
        <w:rPr>
          <w:rFonts w:ascii="Arial" w:hAnsi="Arial" w:cs="Arial"/>
          <w:spacing w:val="19"/>
          <w:sz w:val="22"/>
          <w:szCs w:val="22"/>
        </w:rPr>
        <w:t xml:space="preserve"> </w:t>
      </w:r>
      <w:r w:rsidRPr="008F1FBC">
        <w:rPr>
          <w:rFonts w:ascii="Arial" w:hAnsi="Arial" w:cs="Arial"/>
          <w:sz w:val="22"/>
          <w:szCs w:val="22"/>
        </w:rPr>
        <w:t>telekomunika</w:t>
      </w:r>
      <w:r w:rsidRPr="008F1FBC">
        <w:rPr>
          <w:rFonts w:ascii="Arial" w:hAnsi="Arial" w:cs="Arial"/>
          <w:spacing w:val="1"/>
          <w:sz w:val="22"/>
          <w:szCs w:val="22"/>
        </w:rPr>
        <w:t>č</w:t>
      </w:r>
      <w:r w:rsidRPr="008F1FBC">
        <w:rPr>
          <w:rFonts w:ascii="Arial" w:hAnsi="Arial" w:cs="Arial"/>
          <w:sz w:val="22"/>
          <w:szCs w:val="22"/>
        </w:rPr>
        <w:t>ní</w:t>
      </w:r>
      <w:r w:rsidRPr="008F1FBC">
        <w:rPr>
          <w:rFonts w:ascii="Arial" w:hAnsi="Arial" w:cs="Arial"/>
          <w:spacing w:val="-1"/>
          <w:sz w:val="22"/>
          <w:szCs w:val="22"/>
        </w:rPr>
        <w:t xml:space="preserve">ho </w:t>
      </w:r>
      <w:r w:rsidRPr="008F1FBC">
        <w:rPr>
          <w:rFonts w:ascii="Arial" w:hAnsi="Arial" w:cs="Arial"/>
          <w:sz w:val="22"/>
          <w:szCs w:val="22"/>
        </w:rPr>
        <w:t>úřadu</w:t>
      </w:r>
      <w:r w:rsidR="000176E5" w:rsidRPr="008F1FBC">
        <w:rPr>
          <w:rFonts w:ascii="Arial" w:hAnsi="Arial" w:cs="Arial"/>
          <w:spacing w:val="-6"/>
          <w:sz w:val="22"/>
          <w:szCs w:val="22"/>
        </w:rPr>
        <w:t xml:space="preserve"> </w:t>
      </w:r>
      <w:r w:rsidRPr="008F1FBC">
        <w:rPr>
          <w:rFonts w:ascii="Arial" w:hAnsi="Arial" w:cs="Arial"/>
          <w:sz w:val="22"/>
          <w:szCs w:val="22"/>
        </w:rPr>
        <w:t>pro</w:t>
      </w:r>
      <w:r w:rsidR="00657A59" w:rsidRPr="008F1FBC">
        <w:rPr>
          <w:rFonts w:ascii="Arial" w:hAnsi="Arial" w:cs="Arial"/>
          <w:sz w:val="22"/>
          <w:szCs w:val="22"/>
        </w:rPr>
        <w:t xml:space="preserve"> </w:t>
      </w:r>
      <w:r w:rsidRPr="008F1FBC">
        <w:rPr>
          <w:rFonts w:ascii="Arial" w:hAnsi="Arial" w:cs="Arial"/>
          <w:sz w:val="22"/>
          <w:szCs w:val="22"/>
        </w:rPr>
        <w:t>vedení</w:t>
      </w:r>
      <w:r w:rsidRPr="008F1FBC">
        <w:rPr>
          <w:rFonts w:ascii="Arial" w:hAnsi="Arial" w:cs="Arial"/>
          <w:spacing w:val="-10"/>
          <w:sz w:val="22"/>
          <w:szCs w:val="22"/>
        </w:rPr>
        <w:t xml:space="preserve"> </w:t>
      </w:r>
      <w:r w:rsidRPr="008F1FBC">
        <w:rPr>
          <w:rFonts w:ascii="Arial" w:hAnsi="Arial" w:cs="Arial"/>
          <w:sz w:val="22"/>
          <w:szCs w:val="22"/>
        </w:rPr>
        <w:t>konz</w:t>
      </w:r>
      <w:r w:rsidRPr="008F1FBC">
        <w:rPr>
          <w:rFonts w:ascii="Arial" w:hAnsi="Arial" w:cs="Arial"/>
          <w:spacing w:val="-1"/>
          <w:sz w:val="22"/>
          <w:szCs w:val="22"/>
        </w:rPr>
        <w:t>u</w:t>
      </w:r>
      <w:r w:rsidRPr="008F1FBC">
        <w:rPr>
          <w:rFonts w:ascii="Arial" w:hAnsi="Arial" w:cs="Arial"/>
          <w:sz w:val="22"/>
          <w:szCs w:val="22"/>
        </w:rPr>
        <w:t>ltac</w:t>
      </w:r>
      <w:r w:rsidR="00657A59" w:rsidRPr="008F1FBC">
        <w:rPr>
          <w:rFonts w:ascii="Arial" w:hAnsi="Arial" w:cs="Arial"/>
          <w:sz w:val="22"/>
          <w:szCs w:val="22"/>
        </w:rPr>
        <w:t>e</w:t>
      </w:r>
      <w:r w:rsidRPr="008F1FBC">
        <w:rPr>
          <w:rFonts w:ascii="Arial" w:hAnsi="Arial" w:cs="Arial"/>
          <w:spacing w:val="-9"/>
          <w:sz w:val="22"/>
          <w:szCs w:val="22"/>
        </w:rPr>
        <w:t xml:space="preserve"> </w:t>
      </w:r>
      <w:r w:rsidR="0047095F" w:rsidRPr="008F1FBC">
        <w:rPr>
          <w:rFonts w:ascii="Arial" w:hAnsi="Arial" w:cs="Arial"/>
          <w:spacing w:val="-8"/>
          <w:sz w:val="22"/>
          <w:szCs w:val="22"/>
        </w:rPr>
        <w:t>na </w:t>
      </w:r>
      <w:r w:rsidRPr="008F1FBC">
        <w:rPr>
          <w:rFonts w:ascii="Arial" w:hAnsi="Arial" w:cs="Arial"/>
          <w:sz w:val="22"/>
          <w:szCs w:val="22"/>
        </w:rPr>
        <w:t>diskus</w:t>
      </w:r>
      <w:r w:rsidRPr="008F1FBC">
        <w:rPr>
          <w:rFonts w:ascii="Arial" w:hAnsi="Arial" w:cs="Arial"/>
          <w:spacing w:val="-1"/>
          <w:sz w:val="22"/>
          <w:szCs w:val="22"/>
        </w:rPr>
        <w:t>n</w:t>
      </w:r>
      <w:r w:rsidRPr="008F1FBC">
        <w:rPr>
          <w:rFonts w:ascii="Arial" w:hAnsi="Arial" w:cs="Arial"/>
          <w:sz w:val="22"/>
          <w:szCs w:val="22"/>
        </w:rPr>
        <w:t>ím</w:t>
      </w:r>
      <w:r w:rsidRPr="008F1FBC">
        <w:rPr>
          <w:rFonts w:ascii="Arial" w:hAnsi="Arial" w:cs="Arial"/>
          <w:spacing w:val="-9"/>
          <w:sz w:val="22"/>
          <w:szCs w:val="22"/>
        </w:rPr>
        <w:t xml:space="preserve"> </w:t>
      </w:r>
      <w:r w:rsidRPr="008F1FBC">
        <w:rPr>
          <w:rFonts w:ascii="Arial" w:hAnsi="Arial" w:cs="Arial"/>
          <w:sz w:val="22"/>
          <w:szCs w:val="22"/>
        </w:rPr>
        <w:t>místě.</w:t>
      </w:r>
    </w:p>
    <w:p w:rsidR="00242A0C" w:rsidRPr="008F1FBC" w:rsidRDefault="00242A0C" w:rsidP="002970E0">
      <w:pPr>
        <w:widowControl w:val="0"/>
        <w:tabs>
          <w:tab w:val="left" w:pos="2960"/>
        </w:tabs>
        <w:autoSpaceDE w:val="0"/>
        <w:autoSpaceDN w:val="0"/>
        <w:adjustRightInd w:val="0"/>
        <w:spacing w:after="120"/>
        <w:ind w:firstLine="828"/>
        <w:jc w:val="both"/>
        <w:rPr>
          <w:rFonts w:ascii="Arial" w:hAnsi="Arial" w:cs="Arial"/>
          <w:sz w:val="22"/>
          <w:szCs w:val="22"/>
        </w:rPr>
      </w:pPr>
      <w:r w:rsidRPr="008F1FBC">
        <w:rPr>
          <w:rFonts w:ascii="Arial" w:hAnsi="Arial" w:cs="Arial"/>
          <w:sz w:val="22"/>
          <w:szCs w:val="22"/>
        </w:rPr>
        <w:t>Ve lhůtě 1 měsíce</w:t>
      </w:r>
      <w:r w:rsidR="000176E5" w:rsidRPr="008F1FBC">
        <w:rPr>
          <w:rFonts w:ascii="Arial" w:hAnsi="Arial" w:cs="Arial"/>
          <w:sz w:val="22"/>
          <w:szCs w:val="22"/>
        </w:rPr>
        <w:t xml:space="preserve"> </w:t>
      </w:r>
      <w:r w:rsidRPr="008F1FBC">
        <w:rPr>
          <w:rFonts w:ascii="Arial" w:hAnsi="Arial" w:cs="Arial"/>
          <w:sz w:val="22"/>
          <w:szCs w:val="22"/>
        </w:rPr>
        <w:t>stanovené pro</w:t>
      </w:r>
      <w:r w:rsidR="000B12B6" w:rsidRPr="008F1FBC">
        <w:rPr>
          <w:rFonts w:ascii="Arial" w:hAnsi="Arial" w:cs="Arial"/>
          <w:sz w:val="22"/>
          <w:szCs w:val="22"/>
        </w:rPr>
        <w:t xml:space="preserve"> </w:t>
      </w:r>
      <w:r w:rsidR="00657A59" w:rsidRPr="008F1FBC">
        <w:rPr>
          <w:rFonts w:ascii="Arial" w:hAnsi="Arial" w:cs="Arial"/>
          <w:sz w:val="22"/>
          <w:szCs w:val="22"/>
        </w:rPr>
        <w:t xml:space="preserve">veřejnou diskusi obdržel Úřad </w:t>
      </w:r>
      <w:r w:rsidR="00DD12F2" w:rsidRPr="008F1FBC">
        <w:rPr>
          <w:rFonts w:ascii="Arial" w:hAnsi="Arial" w:cs="Arial"/>
          <w:sz w:val="22"/>
          <w:szCs w:val="22"/>
        </w:rPr>
        <w:t>připomín</w:t>
      </w:r>
      <w:r w:rsidR="00657A59" w:rsidRPr="008F1FBC">
        <w:rPr>
          <w:rFonts w:ascii="Arial" w:hAnsi="Arial" w:cs="Arial"/>
          <w:sz w:val="22"/>
          <w:szCs w:val="22"/>
        </w:rPr>
        <w:t>k</w:t>
      </w:r>
      <w:r w:rsidR="00DD12F2" w:rsidRPr="008F1FBC">
        <w:rPr>
          <w:rFonts w:ascii="Arial" w:hAnsi="Arial" w:cs="Arial"/>
          <w:sz w:val="22"/>
          <w:szCs w:val="22"/>
        </w:rPr>
        <w:t>y</w:t>
      </w:r>
      <w:r w:rsidR="00657A59" w:rsidRPr="008F1FBC">
        <w:rPr>
          <w:rFonts w:ascii="Arial" w:hAnsi="Arial" w:cs="Arial"/>
          <w:sz w:val="22"/>
          <w:szCs w:val="22"/>
        </w:rPr>
        <w:t xml:space="preserve"> od společnosti Vodafone Czech Republic a.s</w:t>
      </w:r>
      <w:r w:rsidRPr="008F1FBC">
        <w:rPr>
          <w:rFonts w:ascii="Arial" w:hAnsi="Arial" w:cs="Arial"/>
          <w:sz w:val="22"/>
          <w:szCs w:val="22"/>
        </w:rPr>
        <w:t>.</w:t>
      </w:r>
      <w:r w:rsidR="00657A59" w:rsidRPr="008F1FBC">
        <w:rPr>
          <w:rFonts w:ascii="Arial" w:hAnsi="Arial" w:cs="Arial"/>
          <w:sz w:val="22"/>
          <w:szCs w:val="22"/>
        </w:rPr>
        <w:t xml:space="preserve"> (dále jen „společnost Vodafone“).</w:t>
      </w:r>
    </w:p>
    <w:p w:rsidR="00371C2B" w:rsidRPr="008F1FBC" w:rsidRDefault="00BD24C0" w:rsidP="002970E0">
      <w:pPr>
        <w:widowControl w:val="0"/>
        <w:tabs>
          <w:tab w:val="left" w:pos="2960"/>
        </w:tabs>
        <w:autoSpaceDE w:val="0"/>
        <w:autoSpaceDN w:val="0"/>
        <w:adjustRightInd w:val="0"/>
        <w:spacing w:after="120"/>
        <w:ind w:firstLine="828"/>
        <w:jc w:val="both"/>
        <w:rPr>
          <w:rFonts w:ascii="Arial" w:hAnsi="Arial" w:cs="Arial"/>
          <w:sz w:val="22"/>
          <w:szCs w:val="22"/>
        </w:rPr>
      </w:pPr>
      <w:r w:rsidRPr="008F1FBC">
        <w:rPr>
          <w:rFonts w:ascii="Arial" w:hAnsi="Arial" w:cs="Arial"/>
          <w:sz w:val="22"/>
          <w:szCs w:val="22"/>
        </w:rPr>
        <w:t xml:space="preserve">V první svojí připomínce společnost Vodafone požadovala doplnit účel použití oddělené evidence nákladů a výnosů, resp. jejích výsledků, pokud jde o nediskriminaci </w:t>
      </w:r>
      <w:r w:rsidR="008C5ABB" w:rsidRPr="008F1FBC">
        <w:rPr>
          <w:rFonts w:ascii="Arial" w:hAnsi="Arial" w:cs="Arial"/>
          <w:sz w:val="22"/>
          <w:szCs w:val="22"/>
        </w:rPr>
        <w:br/>
      </w:r>
      <w:r w:rsidRPr="008F1FBC">
        <w:rPr>
          <w:rFonts w:ascii="Arial" w:hAnsi="Arial" w:cs="Arial"/>
          <w:sz w:val="22"/>
          <w:szCs w:val="22"/>
        </w:rPr>
        <w:t>a neodůvodněné křížové financování.</w:t>
      </w:r>
      <w:r w:rsidR="001A7FAD" w:rsidRPr="008F1FBC">
        <w:rPr>
          <w:rFonts w:ascii="Arial" w:hAnsi="Arial" w:cs="Arial"/>
          <w:sz w:val="22"/>
          <w:szCs w:val="22"/>
        </w:rPr>
        <w:t xml:space="preserve"> </w:t>
      </w:r>
    </w:p>
    <w:p w:rsidR="00BD24C0" w:rsidRPr="008F1FBC" w:rsidRDefault="001A7FAD" w:rsidP="002970E0">
      <w:pPr>
        <w:widowControl w:val="0"/>
        <w:tabs>
          <w:tab w:val="left" w:pos="2960"/>
        </w:tabs>
        <w:autoSpaceDE w:val="0"/>
        <w:autoSpaceDN w:val="0"/>
        <w:adjustRightInd w:val="0"/>
        <w:spacing w:after="120"/>
        <w:ind w:firstLine="828"/>
        <w:jc w:val="both"/>
        <w:rPr>
          <w:rFonts w:ascii="Arial" w:hAnsi="Arial" w:cs="Arial"/>
          <w:sz w:val="22"/>
          <w:szCs w:val="22"/>
        </w:rPr>
      </w:pPr>
      <w:r w:rsidRPr="008F1FBC">
        <w:rPr>
          <w:rFonts w:ascii="Arial" w:hAnsi="Arial" w:cs="Arial"/>
          <w:sz w:val="22"/>
          <w:szCs w:val="22"/>
        </w:rPr>
        <w:t>Úřad této připomínce nevyhověl, protože definování nediskriminace či křížového financování by bylo nad rámec zmocnění ustanovení § 86 odst. 3 zákona, účelem opatření obecné povahy není stanovit metodiku posuzování nediskriminace nebo neodůvodněného křížového financování.</w:t>
      </w:r>
      <w:r w:rsidR="00371C2B" w:rsidRPr="008F1FBC">
        <w:rPr>
          <w:rFonts w:ascii="Arial" w:hAnsi="Arial" w:cs="Arial"/>
          <w:sz w:val="22"/>
          <w:szCs w:val="22"/>
        </w:rPr>
        <w:t xml:space="preserve"> Nadto Úřad uvádí, že účel využití oddělené evidence nákladů a výnosů pro prokázání nediskriminace či křížového financování stanoví přímo Zákon v § 86 odst. 5.</w:t>
      </w:r>
    </w:p>
    <w:p w:rsidR="00371C2B" w:rsidRPr="008F1FBC" w:rsidRDefault="00DD12F2" w:rsidP="002970E0">
      <w:pPr>
        <w:pStyle w:val="Default"/>
        <w:spacing w:after="80"/>
        <w:ind w:firstLine="828"/>
        <w:jc w:val="both"/>
        <w:rPr>
          <w:color w:val="auto"/>
          <w:sz w:val="22"/>
          <w:szCs w:val="22"/>
        </w:rPr>
      </w:pPr>
      <w:r w:rsidRPr="008F1FBC">
        <w:rPr>
          <w:sz w:val="22"/>
          <w:szCs w:val="22"/>
        </w:rPr>
        <w:t>V</w:t>
      </w:r>
      <w:r w:rsidR="00371C2B" w:rsidRPr="008F1FBC">
        <w:rPr>
          <w:sz w:val="22"/>
          <w:szCs w:val="22"/>
        </w:rPr>
        <w:t> </w:t>
      </w:r>
      <w:r w:rsidR="00371C2B" w:rsidRPr="008F1FBC">
        <w:rPr>
          <w:color w:val="auto"/>
          <w:sz w:val="22"/>
          <w:szCs w:val="22"/>
        </w:rPr>
        <w:t>další připomínce</w:t>
      </w:r>
      <w:r w:rsidRPr="008F1FBC">
        <w:rPr>
          <w:color w:val="auto"/>
          <w:sz w:val="22"/>
          <w:szCs w:val="22"/>
        </w:rPr>
        <w:t xml:space="preserve"> společnost Vodafone </w:t>
      </w:r>
      <w:r w:rsidR="00371C2B" w:rsidRPr="008F1FBC">
        <w:rPr>
          <w:color w:val="auto"/>
          <w:sz w:val="22"/>
          <w:szCs w:val="22"/>
        </w:rPr>
        <w:t>požadovala</w:t>
      </w:r>
      <w:r w:rsidRPr="008F1FBC">
        <w:rPr>
          <w:color w:val="auto"/>
          <w:sz w:val="22"/>
          <w:szCs w:val="22"/>
        </w:rPr>
        <w:t xml:space="preserve"> d</w:t>
      </w:r>
      <w:r w:rsidRPr="008F1FBC">
        <w:rPr>
          <w:sz w:val="22"/>
          <w:szCs w:val="22"/>
        </w:rPr>
        <w:t>oplnění</w:t>
      </w:r>
      <w:r w:rsidRPr="008F1FBC">
        <w:rPr>
          <w:color w:val="auto"/>
          <w:sz w:val="22"/>
          <w:szCs w:val="22"/>
        </w:rPr>
        <w:t xml:space="preserve"> odůvodnění o vysvětlení, jakým způsobem Úřad může uložit povinnost v nákladech vycházet z běžných cen, </w:t>
      </w:r>
    </w:p>
    <w:p w:rsidR="00DA30AD" w:rsidRPr="008F1FBC" w:rsidRDefault="00DD12F2" w:rsidP="002970E0">
      <w:pPr>
        <w:pStyle w:val="Default"/>
        <w:spacing w:after="80"/>
        <w:ind w:firstLine="828"/>
        <w:jc w:val="both"/>
        <w:rPr>
          <w:sz w:val="18"/>
          <w:szCs w:val="18"/>
        </w:rPr>
      </w:pPr>
      <w:r w:rsidRPr="008F1FBC">
        <w:rPr>
          <w:color w:val="auto"/>
          <w:sz w:val="22"/>
          <w:szCs w:val="22"/>
        </w:rPr>
        <w:t xml:space="preserve">Úřad tuto připomínku neakceptoval. Článek 4 odst. 1 opatření stanoví, že oddělená evidence je vedena v nákladech vycházejících z pořizovacích cen vedených v účetnictví (tedy v historických nákladech).  Odstavec 2 téhož článku jednoznačně stanoví, že vedení účetnictví v běžných cenách provádí podnik, uloží-li mu tuto povinnost Úřad. Ukládání povinností vést oddělenou evidenci nákladů řeší § 51 Zákona (kromě </w:t>
      </w:r>
      <w:r w:rsidR="00371C2B" w:rsidRPr="008F1FBC">
        <w:rPr>
          <w:color w:val="auto"/>
          <w:sz w:val="22"/>
          <w:szCs w:val="22"/>
        </w:rPr>
        <w:t>povinnosti vést</w:t>
      </w:r>
      <w:r w:rsidRPr="008F1FBC">
        <w:rPr>
          <w:color w:val="auto"/>
          <w:sz w:val="22"/>
          <w:szCs w:val="22"/>
        </w:rPr>
        <w:t xml:space="preserve"> oddělen</w:t>
      </w:r>
      <w:r w:rsidR="00371C2B" w:rsidRPr="008F1FBC">
        <w:rPr>
          <w:color w:val="auto"/>
          <w:sz w:val="22"/>
          <w:szCs w:val="22"/>
        </w:rPr>
        <w:t>ou</w:t>
      </w:r>
      <w:r w:rsidRPr="008F1FBC">
        <w:rPr>
          <w:color w:val="auto"/>
          <w:sz w:val="22"/>
          <w:szCs w:val="22"/>
        </w:rPr>
        <w:t xml:space="preserve"> evidenc</w:t>
      </w:r>
      <w:r w:rsidR="00371C2B" w:rsidRPr="008F1FBC">
        <w:rPr>
          <w:color w:val="auto"/>
          <w:sz w:val="22"/>
          <w:szCs w:val="22"/>
        </w:rPr>
        <w:t>i</w:t>
      </w:r>
      <w:r w:rsidRPr="008F1FBC">
        <w:rPr>
          <w:color w:val="auto"/>
          <w:sz w:val="22"/>
          <w:szCs w:val="22"/>
        </w:rPr>
        <w:t xml:space="preserve"> poskytovatelem univerzální služby).</w:t>
      </w:r>
      <w:r w:rsidRPr="008F1FBC">
        <w:rPr>
          <w:sz w:val="18"/>
          <w:szCs w:val="18"/>
        </w:rPr>
        <w:t xml:space="preserve"> </w:t>
      </w:r>
    </w:p>
    <w:p w:rsidR="00C27277" w:rsidRPr="008F1FBC" w:rsidRDefault="00371C2B" w:rsidP="002970E0">
      <w:pPr>
        <w:pStyle w:val="Default"/>
        <w:spacing w:after="80"/>
        <w:ind w:firstLine="828"/>
        <w:jc w:val="both"/>
        <w:rPr>
          <w:color w:val="auto"/>
          <w:sz w:val="22"/>
          <w:szCs w:val="22"/>
        </w:rPr>
      </w:pPr>
      <w:r w:rsidRPr="008F1FBC">
        <w:rPr>
          <w:color w:val="auto"/>
          <w:sz w:val="22"/>
          <w:szCs w:val="22"/>
        </w:rPr>
        <w:t>V další připomínce požadovala společnost Vodafone vysvětlení obsahu a využití MEA metody oceňování majetku</w:t>
      </w:r>
      <w:r w:rsidR="00C27277" w:rsidRPr="008F1FBC">
        <w:rPr>
          <w:color w:val="auto"/>
          <w:sz w:val="22"/>
          <w:szCs w:val="22"/>
        </w:rPr>
        <w:t>.</w:t>
      </w:r>
      <w:r w:rsidRPr="008F1FBC">
        <w:rPr>
          <w:color w:val="auto"/>
          <w:sz w:val="22"/>
          <w:szCs w:val="22"/>
        </w:rPr>
        <w:t xml:space="preserve"> </w:t>
      </w:r>
      <w:r w:rsidR="00E51AA9" w:rsidRPr="008F1FBC">
        <w:rPr>
          <w:color w:val="auto"/>
          <w:sz w:val="22"/>
          <w:szCs w:val="22"/>
        </w:rPr>
        <w:t xml:space="preserve">Úřad vyhověl </w:t>
      </w:r>
      <w:r w:rsidR="00C27277" w:rsidRPr="008F1FBC">
        <w:rPr>
          <w:color w:val="auto"/>
          <w:sz w:val="22"/>
          <w:szCs w:val="22"/>
        </w:rPr>
        <w:t xml:space="preserve">této </w:t>
      </w:r>
      <w:r w:rsidR="00DD12F2" w:rsidRPr="008F1FBC">
        <w:rPr>
          <w:color w:val="auto"/>
          <w:sz w:val="22"/>
          <w:szCs w:val="22"/>
        </w:rPr>
        <w:t>připomín</w:t>
      </w:r>
      <w:r w:rsidR="00C27277" w:rsidRPr="008F1FBC">
        <w:rPr>
          <w:color w:val="auto"/>
          <w:sz w:val="22"/>
          <w:szCs w:val="22"/>
        </w:rPr>
        <w:t xml:space="preserve">ce a doplnil vysvětlení do odůvodnění opatření na str. 54.  </w:t>
      </w:r>
    </w:p>
    <w:p w:rsidR="002970E0" w:rsidRDefault="002970E0" w:rsidP="002970E0">
      <w:pPr>
        <w:pStyle w:val="Default"/>
        <w:spacing w:after="80"/>
        <w:ind w:firstLine="828"/>
        <w:jc w:val="both"/>
        <w:rPr>
          <w:color w:val="auto"/>
          <w:sz w:val="22"/>
          <w:szCs w:val="22"/>
        </w:rPr>
      </w:pPr>
      <w:r w:rsidRPr="008F1FBC">
        <w:rPr>
          <w:color w:val="auto"/>
          <w:sz w:val="22"/>
          <w:szCs w:val="22"/>
        </w:rPr>
        <w:t>Úřad vyhověl také třetí připomínce společnosti Vodafone na úpravu textu článku 7</w:t>
      </w:r>
      <w:r w:rsidR="00B7322D" w:rsidRPr="008F1FBC">
        <w:rPr>
          <w:color w:val="auto"/>
          <w:sz w:val="22"/>
          <w:szCs w:val="22"/>
        </w:rPr>
        <w:t xml:space="preserve"> v tom smyslu, že stanovený podnik zajistí z účetní evidence údaje o hodnotě aktiv v běžných cenách a v příslušné evidenci provozní a technické údaje na výzvu Úřadu.</w:t>
      </w:r>
    </w:p>
    <w:p w:rsidR="002C151C" w:rsidRPr="008F1FBC" w:rsidRDefault="002C151C" w:rsidP="002970E0">
      <w:pPr>
        <w:pStyle w:val="Default"/>
        <w:spacing w:after="80"/>
        <w:ind w:firstLine="828"/>
        <w:jc w:val="both"/>
        <w:rPr>
          <w:color w:val="auto"/>
          <w:sz w:val="22"/>
          <w:szCs w:val="22"/>
        </w:rPr>
      </w:pPr>
    </w:p>
    <w:p w:rsidR="00242A0C" w:rsidRDefault="00242A0C" w:rsidP="002970E0">
      <w:pPr>
        <w:widowControl w:val="0"/>
        <w:autoSpaceDE w:val="0"/>
        <w:autoSpaceDN w:val="0"/>
        <w:adjustRightInd w:val="0"/>
        <w:spacing w:after="120"/>
        <w:ind w:right="79" w:firstLine="828"/>
        <w:jc w:val="both"/>
        <w:rPr>
          <w:rFonts w:ascii="Arial" w:hAnsi="Arial" w:cs="Arial"/>
          <w:sz w:val="22"/>
          <w:szCs w:val="22"/>
        </w:rPr>
      </w:pPr>
      <w:r w:rsidRPr="008F1FBC">
        <w:rPr>
          <w:rFonts w:ascii="Arial" w:hAnsi="Arial" w:cs="Arial"/>
          <w:sz w:val="22"/>
          <w:szCs w:val="22"/>
        </w:rPr>
        <w:lastRenderedPageBreak/>
        <w:t>V</w:t>
      </w:r>
      <w:r w:rsidRPr="008F1FBC">
        <w:rPr>
          <w:rFonts w:ascii="Arial" w:hAnsi="Arial" w:cs="Arial"/>
          <w:spacing w:val="-1"/>
          <w:sz w:val="22"/>
          <w:szCs w:val="22"/>
        </w:rPr>
        <w:t xml:space="preserve"> </w:t>
      </w:r>
      <w:r w:rsidRPr="008F1FBC">
        <w:rPr>
          <w:rFonts w:ascii="Arial" w:hAnsi="Arial" w:cs="Arial"/>
          <w:sz w:val="22"/>
          <w:szCs w:val="22"/>
        </w:rPr>
        <w:t>tabulce</w:t>
      </w:r>
      <w:r w:rsidRPr="008F1FBC">
        <w:rPr>
          <w:rFonts w:ascii="Arial" w:hAnsi="Arial" w:cs="Arial"/>
          <w:spacing w:val="28"/>
          <w:sz w:val="22"/>
          <w:szCs w:val="22"/>
        </w:rPr>
        <w:t xml:space="preserve"> </w:t>
      </w:r>
      <w:r w:rsidRPr="008F1FBC">
        <w:rPr>
          <w:rFonts w:ascii="Arial" w:hAnsi="Arial" w:cs="Arial"/>
          <w:sz w:val="22"/>
          <w:szCs w:val="22"/>
        </w:rPr>
        <w:t>vyp</w:t>
      </w:r>
      <w:r w:rsidRPr="008F1FBC">
        <w:rPr>
          <w:rFonts w:ascii="Arial" w:hAnsi="Arial" w:cs="Arial"/>
          <w:spacing w:val="1"/>
          <w:sz w:val="22"/>
          <w:szCs w:val="22"/>
        </w:rPr>
        <w:t>o</w:t>
      </w:r>
      <w:r w:rsidRPr="008F1FBC">
        <w:rPr>
          <w:rFonts w:ascii="Arial" w:hAnsi="Arial" w:cs="Arial"/>
          <w:sz w:val="22"/>
          <w:szCs w:val="22"/>
        </w:rPr>
        <w:t>řádání</w:t>
      </w:r>
      <w:r w:rsidRPr="008F1FBC">
        <w:rPr>
          <w:rFonts w:ascii="Arial" w:hAnsi="Arial" w:cs="Arial"/>
          <w:spacing w:val="24"/>
          <w:sz w:val="22"/>
          <w:szCs w:val="22"/>
        </w:rPr>
        <w:t xml:space="preserve"> </w:t>
      </w:r>
      <w:r w:rsidRPr="008F1FBC">
        <w:rPr>
          <w:rFonts w:ascii="Arial" w:hAnsi="Arial" w:cs="Arial"/>
          <w:sz w:val="22"/>
          <w:szCs w:val="22"/>
        </w:rPr>
        <w:t>připomínek</w:t>
      </w:r>
      <w:r w:rsidRPr="008F1FBC">
        <w:rPr>
          <w:rFonts w:ascii="Arial" w:hAnsi="Arial" w:cs="Arial"/>
          <w:spacing w:val="24"/>
          <w:sz w:val="22"/>
          <w:szCs w:val="22"/>
        </w:rPr>
        <w:t xml:space="preserve"> </w:t>
      </w:r>
      <w:r w:rsidRPr="008F1FBC">
        <w:rPr>
          <w:rFonts w:ascii="Arial" w:hAnsi="Arial" w:cs="Arial"/>
          <w:sz w:val="22"/>
          <w:szCs w:val="22"/>
        </w:rPr>
        <w:t>zveřejněné</w:t>
      </w:r>
      <w:r w:rsidR="0047095F" w:rsidRPr="008F1FBC">
        <w:rPr>
          <w:rFonts w:ascii="Arial" w:hAnsi="Arial" w:cs="Arial"/>
          <w:spacing w:val="24"/>
          <w:sz w:val="22"/>
          <w:szCs w:val="22"/>
        </w:rPr>
        <w:t xml:space="preserve"> na </w:t>
      </w:r>
      <w:r w:rsidRPr="008F1FBC">
        <w:rPr>
          <w:rFonts w:ascii="Arial" w:hAnsi="Arial" w:cs="Arial"/>
          <w:sz w:val="22"/>
          <w:szCs w:val="22"/>
        </w:rPr>
        <w:t>diskus</w:t>
      </w:r>
      <w:r w:rsidRPr="008F1FBC">
        <w:rPr>
          <w:rFonts w:ascii="Arial" w:hAnsi="Arial" w:cs="Arial"/>
          <w:spacing w:val="-1"/>
          <w:sz w:val="22"/>
          <w:szCs w:val="22"/>
        </w:rPr>
        <w:t>n</w:t>
      </w:r>
      <w:r w:rsidRPr="008F1FBC">
        <w:rPr>
          <w:rFonts w:ascii="Arial" w:hAnsi="Arial" w:cs="Arial"/>
          <w:sz w:val="22"/>
          <w:szCs w:val="22"/>
        </w:rPr>
        <w:t>ím</w:t>
      </w:r>
      <w:r w:rsidRPr="008F1FBC">
        <w:rPr>
          <w:rFonts w:ascii="Arial" w:hAnsi="Arial" w:cs="Arial"/>
          <w:spacing w:val="25"/>
          <w:sz w:val="22"/>
          <w:szCs w:val="22"/>
        </w:rPr>
        <w:t xml:space="preserve"> </w:t>
      </w:r>
      <w:r w:rsidRPr="008F1FBC">
        <w:rPr>
          <w:rFonts w:ascii="Arial" w:hAnsi="Arial" w:cs="Arial"/>
          <w:sz w:val="22"/>
          <w:szCs w:val="22"/>
        </w:rPr>
        <w:t>místě</w:t>
      </w:r>
      <w:r w:rsidRPr="008F1FBC">
        <w:rPr>
          <w:rFonts w:ascii="Arial" w:hAnsi="Arial" w:cs="Arial"/>
          <w:spacing w:val="30"/>
          <w:sz w:val="22"/>
          <w:szCs w:val="22"/>
        </w:rPr>
        <w:t xml:space="preserve"> </w:t>
      </w:r>
      <w:r w:rsidRPr="008F1FBC">
        <w:rPr>
          <w:rFonts w:ascii="Arial" w:hAnsi="Arial" w:cs="Arial"/>
          <w:sz w:val="22"/>
          <w:szCs w:val="22"/>
        </w:rPr>
        <w:t>je</w:t>
      </w:r>
      <w:r w:rsidRPr="008F1FBC">
        <w:rPr>
          <w:rFonts w:ascii="Arial" w:hAnsi="Arial" w:cs="Arial"/>
          <w:spacing w:val="33"/>
          <w:sz w:val="22"/>
          <w:szCs w:val="22"/>
        </w:rPr>
        <w:t xml:space="preserve"> </w:t>
      </w:r>
      <w:r w:rsidRPr="008F1FBC">
        <w:rPr>
          <w:rFonts w:ascii="Arial" w:hAnsi="Arial" w:cs="Arial"/>
          <w:sz w:val="22"/>
          <w:szCs w:val="22"/>
        </w:rPr>
        <w:t>uvedeno</w:t>
      </w:r>
      <w:r w:rsidR="00BD24C0" w:rsidRPr="008F1FBC">
        <w:rPr>
          <w:rFonts w:ascii="Arial" w:hAnsi="Arial" w:cs="Arial"/>
          <w:sz w:val="22"/>
          <w:szCs w:val="22"/>
        </w:rPr>
        <w:t xml:space="preserve"> plné</w:t>
      </w:r>
      <w:r w:rsidRPr="008F1FBC">
        <w:rPr>
          <w:rFonts w:ascii="Arial" w:hAnsi="Arial" w:cs="Arial"/>
          <w:spacing w:val="27"/>
          <w:sz w:val="22"/>
          <w:szCs w:val="22"/>
        </w:rPr>
        <w:t xml:space="preserve"> </w:t>
      </w:r>
      <w:r w:rsidRPr="008F1FBC">
        <w:rPr>
          <w:rFonts w:ascii="Arial" w:hAnsi="Arial" w:cs="Arial"/>
          <w:sz w:val="22"/>
          <w:szCs w:val="22"/>
        </w:rPr>
        <w:t>znění připomínek</w:t>
      </w:r>
      <w:r w:rsidRPr="008F1FBC">
        <w:rPr>
          <w:rFonts w:ascii="Arial" w:hAnsi="Arial" w:cs="Arial"/>
          <w:spacing w:val="-11"/>
          <w:sz w:val="22"/>
          <w:szCs w:val="22"/>
        </w:rPr>
        <w:t xml:space="preserve"> a</w:t>
      </w:r>
      <w:r w:rsidR="000176E5" w:rsidRPr="008F1FBC">
        <w:rPr>
          <w:rFonts w:ascii="Arial" w:hAnsi="Arial" w:cs="Arial"/>
          <w:spacing w:val="-11"/>
          <w:sz w:val="22"/>
          <w:szCs w:val="22"/>
        </w:rPr>
        <w:t xml:space="preserve"> </w:t>
      </w:r>
      <w:r w:rsidRPr="008F1FBC">
        <w:rPr>
          <w:rFonts w:ascii="Arial" w:hAnsi="Arial" w:cs="Arial"/>
          <w:sz w:val="22"/>
          <w:szCs w:val="22"/>
        </w:rPr>
        <w:t>způsob</w:t>
      </w:r>
      <w:r w:rsidRPr="008F1FBC">
        <w:rPr>
          <w:rFonts w:ascii="Arial" w:hAnsi="Arial" w:cs="Arial"/>
          <w:spacing w:val="-7"/>
          <w:sz w:val="22"/>
          <w:szCs w:val="22"/>
        </w:rPr>
        <w:t xml:space="preserve"> </w:t>
      </w:r>
      <w:r w:rsidRPr="008F1FBC">
        <w:rPr>
          <w:rFonts w:ascii="Arial" w:hAnsi="Arial" w:cs="Arial"/>
          <w:sz w:val="22"/>
          <w:szCs w:val="22"/>
        </w:rPr>
        <w:t>j</w:t>
      </w:r>
      <w:r w:rsidRPr="008F1FBC">
        <w:rPr>
          <w:rFonts w:ascii="Arial" w:hAnsi="Arial" w:cs="Arial"/>
          <w:spacing w:val="-1"/>
          <w:sz w:val="22"/>
          <w:szCs w:val="22"/>
        </w:rPr>
        <w:t>e</w:t>
      </w:r>
      <w:r w:rsidRPr="008F1FBC">
        <w:rPr>
          <w:rFonts w:ascii="Arial" w:hAnsi="Arial" w:cs="Arial"/>
          <w:sz w:val="22"/>
          <w:szCs w:val="22"/>
        </w:rPr>
        <w:t>j</w:t>
      </w:r>
      <w:r w:rsidRPr="008F1FBC">
        <w:rPr>
          <w:rFonts w:ascii="Arial" w:hAnsi="Arial" w:cs="Arial"/>
          <w:spacing w:val="-1"/>
          <w:sz w:val="22"/>
          <w:szCs w:val="22"/>
        </w:rPr>
        <w:t>i</w:t>
      </w:r>
      <w:r w:rsidRPr="008F1FBC">
        <w:rPr>
          <w:rFonts w:ascii="Arial" w:hAnsi="Arial" w:cs="Arial"/>
          <w:sz w:val="22"/>
          <w:szCs w:val="22"/>
        </w:rPr>
        <w:t>ch</w:t>
      </w:r>
      <w:r w:rsidRPr="008F1FBC">
        <w:rPr>
          <w:rFonts w:ascii="Arial" w:hAnsi="Arial" w:cs="Arial"/>
          <w:spacing w:val="-5"/>
          <w:sz w:val="22"/>
          <w:szCs w:val="22"/>
        </w:rPr>
        <w:t xml:space="preserve"> </w:t>
      </w:r>
      <w:r w:rsidRPr="008F1FBC">
        <w:rPr>
          <w:rFonts w:ascii="Arial" w:hAnsi="Arial" w:cs="Arial"/>
          <w:sz w:val="22"/>
          <w:szCs w:val="22"/>
        </w:rPr>
        <w:t>vypořád</w:t>
      </w:r>
      <w:r w:rsidRPr="008F1FBC">
        <w:rPr>
          <w:rFonts w:ascii="Arial" w:hAnsi="Arial" w:cs="Arial"/>
          <w:spacing w:val="1"/>
          <w:sz w:val="22"/>
          <w:szCs w:val="22"/>
        </w:rPr>
        <w:t>á</w:t>
      </w:r>
      <w:r w:rsidRPr="008F1FBC">
        <w:rPr>
          <w:rFonts w:ascii="Arial" w:hAnsi="Arial" w:cs="Arial"/>
          <w:sz w:val="22"/>
          <w:szCs w:val="22"/>
        </w:rPr>
        <w:t>ní.</w:t>
      </w:r>
    </w:p>
    <w:p w:rsidR="000E243E" w:rsidRDefault="000E243E" w:rsidP="000E243E">
      <w:pPr>
        <w:widowControl w:val="0"/>
        <w:autoSpaceDE w:val="0"/>
        <w:autoSpaceDN w:val="0"/>
        <w:adjustRightInd w:val="0"/>
        <w:spacing w:before="240" w:after="240" w:line="280" w:lineRule="exact"/>
        <w:jc w:val="center"/>
        <w:rPr>
          <w:rFonts w:ascii="Arial" w:hAnsi="Arial" w:cs="Arial"/>
          <w:sz w:val="28"/>
          <w:szCs w:val="28"/>
        </w:rPr>
      </w:pPr>
      <w:r w:rsidRPr="00657A59">
        <w:rPr>
          <w:rFonts w:ascii="Arial" w:hAnsi="Arial" w:cs="Arial"/>
          <w:sz w:val="28"/>
          <w:szCs w:val="28"/>
        </w:rPr>
        <w:t>***</w:t>
      </w:r>
    </w:p>
    <w:p w:rsidR="000E243E" w:rsidRPr="00AA6417" w:rsidRDefault="000E243E" w:rsidP="000E243E">
      <w:pPr>
        <w:widowControl w:val="0"/>
        <w:autoSpaceDE w:val="0"/>
        <w:autoSpaceDN w:val="0"/>
        <w:adjustRightInd w:val="0"/>
        <w:spacing w:before="77"/>
        <w:ind w:right="-2"/>
        <w:rPr>
          <w:rFonts w:ascii="Arial" w:hAnsi="Arial" w:cs="Arial"/>
          <w:b/>
          <w:bCs/>
          <w:sz w:val="22"/>
          <w:szCs w:val="22"/>
        </w:rPr>
      </w:pPr>
      <w:r w:rsidRPr="00852FF0">
        <w:rPr>
          <w:rFonts w:ascii="Arial" w:hAnsi="Arial" w:cs="Arial"/>
          <w:b/>
          <w:bCs/>
          <w:sz w:val="22"/>
          <w:szCs w:val="22"/>
          <w:highlight w:val="yellow"/>
        </w:rPr>
        <w:t xml:space="preserve">Odůvodnění k opatření obecné povahy č. </w:t>
      </w:r>
      <w:r w:rsidRPr="00852FF0">
        <w:rPr>
          <w:rFonts w:ascii="Arial" w:hAnsi="Arial" w:cs="Arial"/>
          <w:b/>
          <w:bCs/>
          <w:color w:val="000000"/>
          <w:sz w:val="22"/>
          <w:szCs w:val="22"/>
          <w:highlight w:val="yellow"/>
        </w:rPr>
        <w:t>OOP/4/</w:t>
      </w:r>
      <w:r w:rsidR="00085EAF" w:rsidRPr="00852FF0">
        <w:rPr>
          <w:rFonts w:ascii="Arial" w:hAnsi="Arial" w:cs="Arial"/>
          <w:b/>
          <w:bCs/>
          <w:color w:val="000000"/>
          <w:sz w:val="22"/>
          <w:szCs w:val="22"/>
          <w:highlight w:val="yellow"/>
        </w:rPr>
        <w:t>12</w:t>
      </w:r>
      <w:r w:rsidRPr="00852FF0">
        <w:rPr>
          <w:rFonts w:ascii="Arial" w:hAnsi="Arial" w:cs="Arial"/>
          <w:b/>
          <w:bCs/>
          <w:color w:val="000000"/>
          <w:sz w:val="22"/>
          <w:szCs w:val="22"/>
          <w:highlight w:val="yellow"/>
        </w:rPr>
        <w:t>.201</w:t>
      </w:r>
      <w:r w:rsidR="00085EAF" w:rsidRPr="00852FF0">
        <w:rPr>
          <w:rFonts w:ascii="Arial" w:hAnsi="Arial" w:cs="Arial"/>
          <w:b/>
          <w:bCs/>
          <w:color w:val="000000"/>
          <w:sz w:val="22"/>
          <w:szCs w:val="22"/>
          <w:highlight w:val="yellow"/>
        </w:rPr>
        <w:t>5</w:t>
      </w:r>
      <w:r w:rsidRPr="00852FF0">
        <w:rPr>
          <w:rFonts w:ascii="Arial" w:hAnsi="Arial" w:cs="Arial"/>
          <w:b/>
          <w:bCs/>
          <w:color w:val="000000"/>
          <w:sz w:val="22"/>
          <w:szCs w:val="22"/>
          <w:highlight w:val="yellow"/>
        </w:rPr>
        <w:t>-</w:t>
      </w:r>
      <w:r w:rsidR="00085EAF" w:rsidRPr="00852FF0">
        <w:rPr>
          <w:rFonts w:ascii="Arial" w:hAnsi="Arial" w:cs="Arial"/>
          <w:b/>
          <w:bCs/>
          <w:color w:val="000000"/>
          <w:sz w:val="22"/>
          <w:szCs w:val="22"/>
          <w:highlight w:val="yellow"/>
        </w:rPr>
        <w:t>7</w:t>
      </w:r>
      <w:r w:rsidRPr="00852FF0">
        <w:rPr>
          <w:rFonts w:ascii="Arial" w:hAnsi="Arial" w:cs="Arial"/>
          <w:b/>
          <w:bCs/>
          <w:color w:val="000000"/>
          <w:sz w:val="22"/>
          <w:szCs w:val="22"/>
          <w:highlight w:val="yellow"/>
        </w:rPr>
        <w:t xml:space="preserve"> ze dne </w:t>
      </w:r>
      <w:r w:rsidR="00085EAF" w:rsidRPr="00852FF0">
        <w:rPr>
          <w:rFonts w:ascii="Arial" w:hAnsi="Arial" w:cs="Arial"/>
          <w:b/>
          <w:bCs/>
          <w:color w:val="000000"/>
          <w:sz w:val="22"/>
          <w:szCs w:val="22"/>
          <w:highlight w:val="yellow"/>
        </w:rPr>
        <w:t>8. prosince</w:t>
      </w:r>
      <w:r w:rsidRPr="00852FF0">
        <w:rPr>
          <w:rFonts w:ascii="Arial" w:hAnsi="Arial" w:cs="Arial"/>
          <w:b/>
          <w:bCs/>
          <w:color w:val="000000"/>
          <w:sz w:val="22"/>
          <w:szCs w:val="22"/>
          <w:highlight w:val="yellow"/>
        </w:rPr>
        <w:t xml:space="preserve"> 201</w:t>
      </w:r>
      <w:r w:rsidR="00844162" w:rsidRPr="00852FF0">
        <w:rPr>
          <w:rFonts w:ascii="Arial" w:hAnsi="Arial" w:cs="Arial"/>
          <w:b/>
          <w:bCs/>
          <w:color w:val="000000"/>
          <w:sz w:val="22"/>
          <w:szCs w:val="22"/>
          <w:highlight w:val="yellow"/>
        </w:rPr>
        <w:t>5</w:t>
      </w:r>
    </w:p>
    <w:p w:rsidR="00085EAF" w:rsidRPr="00122AE0" w:rsidRDefault="00085EAF" w:rsidP="00085EAF">
      <w:pPr>
        <w:widowControl w:val="0"/>
        <w:autoSpaceDE w:val="0"/>
        <w:autoSpaceDN w:val="0"/>
        <w:adjustRightInd w:val="0"/>
        <w:spacing w:before="120" w:after="120"/>
        <w:ind w:firstLine="828"/>
        <w:jc w:val="both"/>
        <w:rPr>
          <w:rFonts w:ascii="Arial" w:hAnsi="Arial" w:cs="Arial"/>
          <w:color w:val="000000"/>
          <w:sz w:val="22"/>
          <w:szCs w:val="22"/>
        </w:rPr>
      </w:pPr>
      <w:r w:rsidRPr="00122AE0">
        <w:rPr>
          <w:rFonts w:ascii="Arial" w:hAnsi="Arial" w:cs="Arial"/>
          <w:sz w:val="22"/>
          <w:szCs w:val="22"/>
        </w:rPr>
        <w:t>V opatření obecné povahy č. OOP/4/</w:t>
      </w:r>
      <w:r w:rsidRPr="00122AE0">
        <w:rPr>
          <w:rFonts w:ascii="Arial" w:hAnsi="Arial" w:cs="Arial"/>
          <w:color w:val="000000"/>
          <w:sz w:val="22"/>
          <w:szCs w:val="22"/>
        </w:rPr>
        <w:t xml:space="preserve">09.2014-6, kterým se stanoví metodika účelového členění nákladů a výnosů a jejich přiřazování a určuje se struktura vykazovaných informací, vydaném dne 3. září </w:t>
      </w:r>
      <w:r>
        <w:rPr>
          <w:rFonts w:ascii="Arial" w:hAnsi="Arial" w:cs="Arial"/>
          <w:color w:val="000000"/>
          <w:sz w:val="22"/>
          <w:szCs w:val="22"/>
        </w:rPr>
        <w:t>2014 stanovil Úřad hodnoty WACC</w:t>
      </w:r>
      <w:r w:rsidRPr="00122AE0">
        <w:rPr>
          <w:rFonts w:ascii="Arial" w:hAnsi="Arial" w:cs="Arial"/>
          <w:color w:val="000000"/>
          <w:sz w:val="22"/>
          <w:szCs w:val="22"/>
        </w:rPr>
        <w:t xml:space="preserve"> využívané pro stanovení nákladů vloženého kapitálu při vedení oddělené evidence nákladů a výnosů a pro cenovou regulaci.  </w:t>
      </w:r>
    </w:p>
    <w:p w:rsidR="00085EAF" w:rsidRPr="00122AE0" w:rsidRDefault="00085EAF" w:rsidP="00085EAF">
      <w:pPr>
        <w:widowControl w:val="0"/>
        <w:autoSpaceDE w:val="0"/>
        <w:autoSpaceDN w:val="0"/>
        <w:adjustRightInd w:val="0"/>
        <w:spacing w:before="120" w:after="120"/>
        <w:ind w:firstLine="828"/>
        <w:jc w:val="both"/>
        <w:rPr>
          <w:rFonts w:ascii="ArialMT" w:hAnsi="ArialMT" w:cs="ArialMT"/>
          <w:sz w:val="22"/>
          <w:szCs w:val="22"/>
        </w:rPr>
      </w:pPr>
      <w:r w:rsidRPr="006E2A13">
        <w:rPr>
          <w:rFonts w:ascii="Arial" w:hAnsi="Arial" w:cs="Arial"/>
          <w:sz w:val="22"/>
          <w:szCs w:val="22"/>
        </w:rPr>
        <w:t>Hodnota WACC je ovlivňována nejen vývojem na trhu elektronických komunikací ale i situací na kapitálovém trhu. Mezi</w:t>
      </w:r>
      <w:r w:rsidRPr="00122AE0">
        <w:rPr>
          <w:rFonts w:ascii="Arial" w:hAnsi="Arial" w:cs="Arial"/>
          <w:sz w:val="22"/>
          <w:szCs w:val="22"/>
        </w:rPr>
        <w:t xml:space="preserve"> klíčové faktory ovlivňující náklady kapitálu patří např. úrokové sazby nebo ceny akcií, což jsou veličiny měnící se v čase. Výpočet hodnoty WACC byl proveden v roce 2011 a jeho platnost od 1. ledna 2012 byla stanovena </w:t>
      </w:r>
      <w:r w:rsidRPr="00122AE0">
        <w:rPr>
          <w:rFonts w:ascii="ArialMT" w:hAnsi="ArialMT" w:cs="ArialMT"/>
          <w:sz w:val="22"/>
          <w:szCs w:val="22"/>
        </w:rPr>
        <w:t xml:space="preserve">opatřením obecné povahy OOP/4/12.2011-19. </w:t>
      </w:r>
      <w:r w:rsidRPr="00122AE0">
        <w:rPr>
          <w:rFonts w:ascii="Arial" w:hAnsi="Arial" w:cs="Arial"/>
          <w:sz w:val="22"/>
          <w:szCs w:val="22"/>
        </w:rPr>
        <w:t xml:space="preserve">Z </w:t>
      </w:r>
      <w:r>
        <w:rPr>
          <w:rFonts w:ascii="Arial" w:hAnsi="Arial" w:cs="Arial"/>
          <w:sz w:val="22"/>
          <w:szCs w:val="22"/>
        </w:rPr>
        <w:t>uvedených důvodů</w:t>
      </w:r>
      <w:r w:rsidRPr="00122AE0">
        <w:rPr>
          <w:rFonts w:ascii="Arial" w:hAnsi="Arial" w:cs="Arial"/>
          <w:sz w:val="22"/>
          <w:szCs w:val="22"/>
        </w:rPr>
        <w:t xml:space="preserve"> je nutná aktualizace hodnot ukazatelů WACC.</w:t>
      </w:r>
      <w:r>
        <w:rPr>
          <w:rFonts w:ascii="Arial" w:hAnsi="Arial" w:cs="Arial"/>
          <w:sz w:val="22"/>
          <w:szCs w:val="22"/>
        </w:rPr>
        <w:t xml:space="preserve"> </w:t>
      </w:r>
    </w:p>
    <w:p w:rsidR="00085EAF" w:rsidRPr="00D81254" w:rsidRDefault="00085EAF" w:rsidP="00085EAF">
      <w:pPr>
        <w:widowControl w:val="0"/>
        <w:autoSpaceDE w:val="0"/>
        <w:autoSpaceDN w:val="0"/>
        <w:adjustRightInd w:val="0"/>
        <w:spacing w:before="120" w:after="120"/>
        <w:ind w:firstLine="828"/>
        <w:jc w:val="both"/>
        <w:rPr>
          <w:rFonts w:ascii="Arial" w:hAnsi="Arial" w:cs="Arial"/>
          <w:sz w:val="22"/>
          <w:szCs w:val="22"/>
        </w:rPr>
      </w:pPr>
      <w:r w:rsidRPr="00E625D5">
        <w:rPr>
          <w:rFonts w:ascii="Arial" w:hAnsi="Arial" w:cs="Arial"/>
          <w:sz w:val="22"/>
          <w:szCs w:val="22"/>
        </w:rPr>
        <w:t xml:space="preserve">Vzhledem k vývoji kapitálového trhu si Úřad nechal v r. 2015 společností Ernst </w:t>
      </w:r>
      <w:r>
        <w:rPr>
          <w:rFonts w:ascii="Arial" w:hAnsi="Arial" w:cs="Arial"/>
          <w:sz w:val="22"/>
          <w:szCs w:val="22"/>
        </w:rPr>
        <w:t xml:space="preserve">&amp; </w:t>
      </w:r>
      <w:proofErr w:type="spellStart"/>
      <w:r w:rsidRPr="00E625D5">
        <w:rPr>
          <w:rFonts w:ascii="Arial" w:hAnsi="Arial" w:cs="Arial"/>
          <w:sz w:val="22"/>
          <w:szCs w:val="22"/>
        </w:rPr>
        <w:t>Young</w:t>
      </w:r>
      <w:proofErr w:type="spellEnd"/>
      <w:r w:rsidRPr="00E625D5">
        <w:rPr>
          <w:rFonts w:ascii="Arial" w:hAnsi="Arial" w:cs="Arial"/>
          <w:sz w:val="22"/>
          <w:szCs w:val="22"/>
        </w:rPr>
        <w:t>, s.r.o. zpracovat studii Aktualizace hodnoty ukazatele WACC. Zástupci společností zajišťujících sítě elektronických komunikací měli možnost se s aktualizovaným výpočtem seznámit na workshopu pořádaném Úřadem dne 8. července 2015. Jejich připomínky byly Úřadem vypořádány a výsledek vypořádání byl zástupcům operátorů zaslán.</w:t>
      </w:r>
    </w:p>
    <w:p w:rsidR="00085EAF" w:rsidRPr="006C78C7" w:rsidRDefault="00085EAF" w:rsidP="00085EAF">
      <w:pPr>
        <w:pStyle w:val="Default"/>
        <w:spacing w:before="120" w:after="120"/>
        <w:ind w:firstLine="708"/>
        <w:jc w:val="both"/>
        <w:rPr>
          <w:sz w:val="22"/>
          <w:szCs w:val="22"/>
        </w:rPr>
      </w:pPr>
      <w:r w:rsidRPr="006C78C7">
        <w:rPr>
          <w:sz w:val="22"/>
          <w:szCs w:val="22"/>
        </w:rPr>
        <w:t xml:space="preserve">Postup výpočtu nákladů vloženého kapitálu s použitím požadované návratnosti vloženého kapitálu před zdaněním WACC je v souladu s obecnou praxí v odvětví elektronických komunikací. Hodnota WACC je stanovena pro podnikatelský subjekt zajišťující sítě elektronických komunikací nebo poskytující veřejně dostupnou službu elektronických komunikací, a to jednotně pro pevné a mobilní veřejné komunikační sítě. Tento postup odráží konvergenci sítí a služeb elektronických komunikací, která zmenšuje rozdíly v ekonomických vstupech do výpočtu WACC u jednotlivých technologií. Zároveň odráží skutečnost, že většina porovnatelných společností, z jejichž dat výpočet WACC vychází, působí jako operátoři pevných i mobilních sítí. </w:t>
      </w:r>
    </w:p>
    <w:p w:rsidR="00085EAF" w:rsidRPr="00857BBA" w:rsidRDefault="00085EAF" w:rsidP="00085EAF">
      <w:pPr>
        <w:spacing w:before="240" w:after="240"/>
        <w:ind w:firstLine="828"/>
        <w:rPr>
          <w:rFonts w:ascii="Arial" w:hAnsi="Arial" w:cs="Arial"/>
          <w:sz w:val="22"/>
          <w:szCs w:val="22"/>
        </w:rPr>
      </w:pPr>
      <w:r w:rsidRPr="00F3618E">
        <w:rPr>
          <w:rFonts w:ascii="Arial" w:hAnsi="Arial" w:cs="Arial"/>
          <w:sz w:val="22"/>
          <w:szCs w:val="22"/>
        </w:rPr>
        <w:t>Pro výpočet ukazatele WACC se používá následující vzorec:</w:t>
      </w:r>
    </w:p>
    <w:p w:rsidR="00085EAF" w:rsidRPr="005E1668" w:rsidRDefault="00085EAF" w:rsidP="00085EAF">
      <w:pPr>
        <w:pStyle w:val="TASBodytext"/>
        <w:rPr>
          <w:b/>
          <w:lang w:val="cs-CZ"/>
        </w:rPr>
      </w:pPr>
      <w:r w:rsidRPr="005E1668">
        <w:rPr>
          <w:rFonts w:eastAsia="Times New Roman"/>
          <w:b/>
          <w:noProof/>
          <w:position w:val="-24"/>
          <w:vertAlign w:val="subscript"/>
        </w:rPr>
        <w:object w:dxaOrig="4160" w:dyaOrig="620">
          <v:shape id="_x0000_i1029" type="#_x0000_t75" style="width:205.65pt;height:31pt" o:ole="">
            <v:imagedata r:id="rId35" o:title=""/>
          </v:shape>
          <o:OLEObject Type="Embed" ProgID="Equation.3" ShapeID="_x0000_i1029" DrawAspect="Content" ObjectID="_1761381321" r:id="rId36"/>
        </w:object>
      </w:r>
    </w:p>
    <w:p w:rsidR="00085EAF" w:rsidRPr="00AD4A81" w:rsidRDefault="00085EAF" w:rsidP="00085EAF">
      <w:pPr>
        <w:spacing w:before="60"/>
        <w:jc w:val="both"/>
        <w:rPr>
          <w:rFonts w:ascii="Arial" w:hAnsi="Arial" w:cs="Arial"/>
          <w:noProof/>
          <w:sz w:val="20"/>
          <w:szCs w:val="20"/>
          <w:lang w:eastAsia="zh-TW"/>
        </w:rPr>
      </w:pPr>
      <w:r w:rsidRPr="00AD4A81">
        <w:rPr>
          <w:rFonts w:ascii="Arial" w:hAnsi="Arial" w:cs="Arial"/>
          <w:noProof/>
          <w:sz w:val="20"/>
          <w:szCs w:val="20"/>
          <w:lang w:eastAsia="zh-TW"/>
        </w:rPr>
        <w:t>kde:</w:t>
      </w:r>
    </w:p>
    <w:p w:rsidR="00085EAF" w:rsidRPr="00AD4A81" w:rsidRDefault="00085EAF" w:rsidP="00085EAF">
      <w:pPr>
        <w:spacing w:before="60"/>
        <w:jc w:val="both"/>
        <w:rPr>
          <w:rFonts w:ascii="Arial" w:hAnsi="Arial" w:cs="Arial"/>
          <w:noProof/>
          <w:sz w:val="20"/>
          <w:szCs w:val="20"/>
          <w:lang w:eastAsia="zh-TW"/>
        </w:rPr>
      </w:pPr>
      <w:r w:rsidRPr="00AD4A81">
        <w:rPr>
          <w:rFonts w:ascii="Arial" w:hAnsi="Arial" w:cs="Arial"/>
          <w:noProof/>
          <w:sz w:val="20"/>
          <w:szCs w:val="20"/>
          <w:lang w:eastAsia="zh-TW"/>
        </w:rPr>
        <w:t>WACC</w:t>
      </w:r>
      <w:r>
        <w:rPr>
          <w:rFonts w:ascii="Arial" w:hAnsi="Arial" w:cs="Arial"/>
          <w:noProof/>
          <w:sz w:val="20"/>
          <w:szCs w:val="20"/>
          <w:vertAlign w:val="subscript"/>
          <w:lang w:eastAsia="zh-TW"/>
        </w:rPr>
        <w:tab/>
      </w:r>
      <w:r w:rsidRPr="00AD4A81">
        <w:rPr>
          <w:rFonts w:ascii="Arial" w:hAnsi="Arial" w:cs="Arial"/>
          <w:noProof/>
          <w:sz w:val="20"/>
          <w:szCs w:val="20"/>
          <w:lang w:eastAsia="zh-TW"/>
        </w:rPr>
        <w:tab/>
        <w:t>je vážený průměr nákladů kapitálu po zdanění,</w:t>
      </w:r>
    </w:p>
    <w:p w:rsidR="00085EAF" w:rsidRPr="00AD4A81" w:rsidRDefault="00085EAF" w:rsidP="00085EAF">
      <w:pPr>
        <w:spacing w:before="60"/>
        <w:jc w:val="both"/>
        <w:rPr>
          <w:rFonts w:ascii="Arial" w:hAnsi="Arial" w:cs="Arial"/>
          <w:noProof/>
          <w:sz w:val="20"/>
          <w:szCs w:val="20"/>
          <w:lang w:eastAsia="zh-TW"/>
        </w:rPr>
      </w:pPr>
      <w:r>
        <w:rPr>
          <w:rFonts w:ascii="Arial" w:hAnsi="Arial" w:cs="Arial"/>
          <w:noProof/>
          <w:sz w:val="20"/>
          <w:szCs w:val="20"/>
          <w:lang w:eastAsia="zh-TW"/>
        </w:rPr>
        <w:t>r</w:t>
      </w:r>
      <w:r w:rsidRPr="00AD4A81">
        <w:rPr>
          <w:rFonts w:ascii="Arial" w:hAnsi="Arial" w:cs="Arial"/>
          <w:noProof/>
          <w:sz w:val="20"/>
          <w:szCs w:val="20"/>
          <w:vertAlign w:val="subscript"/>
          <w:lang w:eastAsia="zh-TW"/>
        </w:rPr>
        <w:t>e</w:t>
      </w:r>
      <w:r w:rsidRPr="00AD4A81">
        <w:rPr>
          <w:rFonts w:ascii="Arial" w:hAnsi="Arial" w:cs="Arial"/>
          <w:noProof/>
          <w:sz w:val="20"/>
          <w:szCs w:val="20"/>
          <w:lang w:eastAsia="zh-TW"/>
        </w:rPr>
        <w:tab/>
      </w:r>
      <w:r w:rsidRPr="00AD4A81">
        <w:rPr>
          <w:rFonts w:ascii="Arial" w:hAnsi="Arial" w:cs="Arial"/>
          <w:noProof/>
          <w:sz w:val="20"/>
          <w:szCs w:val="20"/>
          <w:lang w:eastAsia="zh-TW"/>
        </w:rPr>
        <w:tab/>
        <w:t>jsou náklady vlastního kapitálu,</w:t>
      </w:r>
    </w:p>
    <w:p w:rsidR="00085EAF" w:rsidRPr="00AD4A81" w:rsidRDefault="00085EAF" w:rsidP="00085EAF">
      <w:pPr>
        <w:spacing w:before="60"/>
        <w:jc w:val="both"/>
        <w:rPr>
          <w:rFonts w:ascii="Arial" w:hAnsi="Arial" w:cs="Arial"/>
          <w:noProof/>
          <w:sz w:val="20"/>
          <w:szCs w:val="20"/>
          <w:lang w:eastAsia="zh-TW"/>
        </w:rPr>
      </w:pPr>
      <w:r>
        <w:rPr>
          <w:rFonts w:ascii="Arial" w:hAnsi="Arial" w:cs="Arial"/>
          <w:noProof/>
          <w:sz w:val="20"/>
          <w:szCs w:val="20"/>
          <w:lang w:eastAsia="zh-TW"/>
        </w:rPr>
        <w:t>r</w:t>
      </w:r>
      <w:r w:rsidRPr="00AD4A81">
        <w:rPr>
          <w:rFonts w:ascii="Arial" w:hAnsi="Arial" w:cs="Arial"/>
          <w:noProof/>
          <w:sz w:val="20"/>
          <w:szCs w:val="20"/>
          <w:vertAlign w:val="subscript"/>
          <w:lang w:eastAsia="zh-TW"/>
        </w:rPr>
        <w:t>d</w:t>
      </w:r>
      <w:r w:rsidRPr="00AD4A81">
        <w:rPr>
          <w:rFonts w:ascii="Arial" w:hAnsi="Arial" w:cs="Arial"/>
          <w:noProof/>
          <w:sz w:val="20"/>
          <w:szCs w:val="20"/>
          <w:lang w:eastAsia="zh-TW"/>
        </w:rPr>
        <w:tab/>
      </w:r>
      <w:r w:rsidRPr="00AD4A81">
        <w:rPr>
          <w:rFonts w:ascii="Arial" w:hAnsi="Arial" w:cs="Arial"/>
          <w:noProof/>
          <w:sz w:val="20"/>
          <w:szCs w:val="20"/>
          <w:lang w:eastAsia="zh-TW"/>
        </w:rPr>
        <w:tab/>
        <w:t>jsou náklady dluhového kapitálu před zdaněním,</w:t>
      </w:r>
    </w:p>
    <w:p w:rsidR="00085EAF" w:rsidRPr="00AD4A81" w:rsidRDefault="00085EAF" w:rsidP="00085EAF">
      <w:pPr>
        <w:spacing w:before="60"/>
        <w:jc w:val="both"/>
        <w:rPr>
          <w:rFonts w:ascii="Arial" w:hAnsi="Arial" w:cs="Arial"/>
          <w:noProof/>
          <w:sz w:val="20"/>
          <w:szCs w:val="20"/>
          <w:lang w:eastAsia="zh-TW"/>
        </w:rPr>
      </w:pPr>
      <w:r w:rsidRPr="00AD4A81">
        <w:rPr>
          <w:rFonts w:ascii="Arial" w:hAnsi="Arial" w:cs="Arial"/>
          <w:noProof/>
          <w:sz w:val="20"/>
          <w:szCs w:val="20"/>
          <w:lang w:eastAsia="zh-TW"/>
        </w:rPr>
        <w:t>t</w:t>
      </w:r>
      <w:r w:rsidRPr="00AD4A81">
        <w:rPr>
          <w:rFonts w:ascii="Arial" w:hAnsi="Arial" w:cs="Arial"/>
          <w:noProof/>
          <w:sz w:val="20"/>
          <w:szCs w:val="20"/>
          <w:lang w:eastAsia="zh-TW"/>
        </w:rPr>
        <w:tab/>
      </w:r>
      <w:r w:rsidRPr="00AD4A81">
        <w:rPr>
          <w:rFonts w:ascii="Arial" w:hAnsi="Arial" w:cs="Arial"/>
          <w:noProof/>
          <w:sz w:val="20"/>
          <w:szCs w:val="20"/>
          <w:lang w:eastAsia="zh-TW"/>
        </w:rPr>
        <w:tab/>
        <w:t>je mezní efektivní daňová sazba,</w:t>
      </w:r>
    </w:p>
    <w:p w:rsidR="00085EAF" w:rsidRPr="00AD4A81" w:rsidRDefault="00085EAF" w:rsidP="00085EAF">
      <w:pPr>
        <w:spacing w:before="60"/>
        <w:jc w:val="both"/>
        <w:rPr>
          <w:rFonts w:ascii="Arial" w:hAnsi="Arial" w:cs="Arial"/>
          <w:noProof/>
          <w:sz w:val="20"/>
          <w:szCs w:val="20"/>
          <w:lang w:eastAsia="zh-TW"/>
        </w:rPr>
      </w:pPr>
      <w:r w:rsidRPr="00AD4A81">
        <w:rPr>
          <w:rFonts w:ascii="Arial" w:hAnsi="Arial" w:cs="Arial"/>
          <w:noProof/>
          <w:sz w:val="20"/>
          <w:szCs w:val="20"/>
          <w:lang w:eastAsia="zh-TW"/>
        </w:rPr>
        <w:t>E</w:t>
      </w:r>
      <w:r w:rsidRPr="00AD4A81">
        <w:rPr>
          <w:rFonts w:ascii="Arial" w:hAnsi="Arial" w:cs="Arial"/>
          <w:noProof/>
          <w:sz w:val="20"/>
          <w:szCs w:val="20"/>
          <w:lang w:eastAsia="zh-TW"/>
        </w:rPr>
        <w:tab/>
      </w:r>
      <w:r w:rsidRPr="00AD4A81">
        <w:rPr>
          <w:rFonts w:ascii="Arial" w:hAnsi="Arial" w:cs="Arial"/>
          <w:noProof/>
          <w:sz w:val="20"/>
          <w:szCs w:val="20"/>
          <w:lang w:eastAsia="zh-TW"/>
        </w:rPr>
        <w:tab/>
        <w:t>je hodnota vlastního kapitálu společnosti,</w:t>
      </w:r>
    </w:p>
    <w:p w:rsidR="00085EAF" w:rsidRPr="00AD4A81" w:rsidRDefault="00085EAF" w:rsidP="00085EAF">
      <w:pPr>
        <w:spacing w:before="60"/>
        <w:jc w:val="both"/>
        <w:rPr>
          <w:rFonts w:ascii="Arial" w:hAnsi="Arial" w:cs="Arial"/>
          <w:noProof/>
          <w:sz w:val="20"/>
          <w:szCs w:val="20"/>
          <w:lang w:eastAsia="zh-TW"/>
        </w:rPr>
      </w:pPr>
      <w:r w:rsidRPr="00AD4A81">
        <w:rPr>
          <w:rFonts w:ascii="Arial" w:hAnsi="Arial" w:cs="Arial"/>
          <w:noProof/>
          <w:sz w:val="20"/>
          <w:szCs w:val="20"/>
          <w:lang w:eastAsia="zh-TW"/>
        </w:rPr>
        <w:t>D</w:t>
      </w:r>
      <w:r w:rsidRPr="00AD4A81">
        <w:rPr>
          <w:rFonts w:ascii="Arial" w:hAnsi="Arial" w:cs="Arial"/>
          <w:noProof/>
          <w:sz w:val="20"/>
          <w:szCs w:val="20"/>
          <w:lang w:eastAsia="zh-TW"/>
        </w:rPr>
        <w:tab/>
      </w:r>
      <w:r w:rsidRPr="00AD4A81">
        <w:rPr>
          <w:rFonts w:ascii="Arial" w:hAnsi="Arial" w:cs="Arial"/>
          <w:noProof/>
          <w:sz w:val="20"/>
          <w:szCs w:val="20"/>
          <w:lang w:eastAsia="zh-TW"/>
        </w:rPr>
        <w:tab/>
        <w:t>je hodnota cizího kapitálu společnosti.</w:t>
      </w:r>
    </w:p>
    <w:p w:rsidR="00085EAF" w:rsidRPr="006C78C7" w:rsidRDefault="00085EAF" w:rsidP="00085EAF">
      <w:pPr>
        <w:pStyle w:val="TASBodytext"/>
        <w:keepNext/>
        <w:keepLines/>
        <w:spacing w:before="240" w:after="240"/>
        <w:ind w:firstLine="709"/>
        <w:rPr>
          <w:sz w:val="22"/>
          <w:szCs w:val="22"/>
          <w:lang w:val="cs-CZ"/>
        </w:rPr>
      </w:pPr>
      <w:r w:rsidRPr="006C78C7">
        <w:rPr>
          <w:sz w:val="22"/>
          <w:szCs w:val="22"/>
          <w:lang w:val="cs-CZ"/>
        </w:rPr>
        <w:t xml:space="preserve">Pro regulatorní účely se používá váženého průměru nákladů kapitálu před zdaněním, pro jehož stanovení </w:t>
      </w:r>
      <w:r>
        <w:rPr>
          <w:sz w:val="22"/>
          <w:szCs w:val="22"/>
          <w:lang w:val="cs-CZ"/>
        </w:rPr>
        <w:t>byl využit</w:t>
      </w:r>
      <w:r w:rsidRPr="006C78C7">
        <w:rPr>
          <w:sz w:val="22"/>
          <w:szCs w:val="22"/>
          <w:lang w:val="cs-CZ"/>
        </w:rPr>
        <w:t xml:space="preserve"> následující vztah:</w:t>
      </w:r>
    </w:p>
    <w:p w:rsidR="00085EAF" w:rsidRPr="005E1668" w:rsidRDefault="00085EAF" w:rsidP="00085EAF">
      <w:pPr>
        <w:pStyle w:val="TASBodytext"/>
        <w:keepNext/>
        <w:keepLines/>
        <w:spacing w:before="240" w:after="240"/>
        <w:rPr>
          <w:sz w:val="22"/>
          <w:szCs w:val="22"/>
          <w:lang w:val="cs-CZ"/>
        </w:rPr>
      </w:pPr>
      <w:r w:rsidRPr="00852FF0">
        <w:rPr>
          <w:i/>
          <w:noProof/>
          <w:sz w:val="22"/>
          <w:szCs w:val="22"/>
          <w:lang w:val="cs-CZ"/>
        </w:rPr>
        <w:t>WACC</w:t>
      </w:r>
      <w:r w:rsidRPr="00852FF0">
        <w:rPr>
          <w:i/>
          <w:noProof/>
          <w:sz w:val="22"/>
          <w:szCs w:val="22"/>
          <w:vertAlign w:val="subscript"/>
          <w:lang w:val="cs-CZ"/>
        </w:rPr>
        <w:t xml:space="preserve">BT </w:t>
      </w:r>
      <w:r w:rsidRPr="00852FF0">
        <w:rPr>
          <w:i/>
          <w:noProof/>
          <w:sz w:val="22"/>
          <w:szCs w:val="22"/>
          <w:lang w:val="cs-CZ"/>
        </w:rPr>
        <w:t>= WACC</w:t>
      </w:r>
      <w:r w:rsidRPr="00852FF0">
        <w:rPr>
          <w:i/>
          <w:noProof/>
          <w:sz w:val="22"/>
          <w:szCs w:val="22"/>
          <w:vertAlign w:val="subscript"/>
          <w:lang w:val="cs-CZ"/>
        </w:rPr>
        <w:t>AT</w:t>
      </w:r>
      <w:r w:rsidRPr="00852FF0">
        <w:rPr>
          <w:i/>
          <w:noProof/>
          <w:sz w:val="22"/>
          <w:szCs w:val="22"/>
          <w:lang w:val="cs-CZ"/>
        </w:rPr>
        <w:t xml:space="preserve"> / (1 – t)</w:t>
      </w:r>
    </w:p>
    <w:p w:rsidR="00085EAF" w:rsidRPr="006C78C7" w:rsidRDefault="00085EAF" w:rsidP="00085EAF">
      <w:pPr>
        <w:keepNext/>
        <w:keepLines/>
        <w:spacing w:before="120" w:after="120"/>
        <w:jc w:val="both"/>
        <w:rPr>
          <w:rFonts w:ascii="Arial" w:hAnsi="Arial" w:cs="Arial"/>
          <w:noProof/>
          <w:sz w:val="22"/>
          <w:szCs w:val="22"/>
          <w:lang w:eastAsia="zh-TW"/>
        </w:rPr>
      </w:pPr>
      <w:r w:rsidRPr="006C78C7">
        <w:rPr>
          <w:rFonts w:ascii="Arial" w:hAnsi="Arial" w:cs="Arial"/>
          <w:noProof/>
          <w:sz w:val="22"/>
          <w:szCs w:val="22"/>
          <w:lang w:eastAsia="zh-TW"/>
        </w:rPr>
        <w:t>kde:</w:t>
      </w:r>
    </w:p>
    <w:p w:rsidR="00085EAF" w:rsidRDefault="00085EAF" w:rsidP="00085EAF">
      <w:pPr>
        <w:pStyle w:val="Default"/>
        <w:spacing w:after="120"/>
        <w:jc w:val="both"/>
        <w:rPr>
          <w:noProof/>
          <w:sz w:val="22"/>
          <w:szCs w:val="22"/>
          <w:lang w:eastAsia="zh-TW"/>
        </w:rPr>
      </w:pPr>
      <w:r w:rsidRPr="006C78C7">
        <w:rPr>
          <w:noProof/>
          <w:sz w:val="22"/>
          <w:szCs w:val="22"/>
          <w:lang w:eastAsia="zh-TW"/>
        </w:rPr>
        <w:t>WACC</w:t>
      </w:r>
      <w:r w:rsidRPr="006C78C7">
        <w:rPr>
          <w:noProof/>
          <w:sz w:val="22"/>
          <w:szCs w:val="22"/>
          <w:vertAlign w:val="subscript"/>
          <w:lang w:eastAsia="zh-TW"/>
        </w:rPr>
        <w:t>BT</w:t>
      </w:r>
      <w:r w:rsidRPr="006C78C7">
        <w:rPr>
          <w:noProof/>
          <w:sz w:val="22"/>
          <w:szCs w:val="22"/>
          <w:lang w:eastAsia="zh-TW"/>
        </w:rPr>
        <w:tab/>
        <w:t>je vážený průměr nákladů kapitálu před zdaněním.</w:t>
      </w:r>
    </w:p>
    <w:p w:rsidR="00085EAF" w:rsidRPr="00AF2335" w:rsidRDefault="00085EAF" w:rsidP="00085EAF">
      <w:pPr>
        <w:spacing w:before="240" w:after="120"/>
        <w:ind w:firstLine="828"/>
        <w:jc w:val="both"/>
        <w:rPr>
          <w:rFonts w:ascii="Arial" w:hAnsi="Arial" w:cs="Arial"/>
          <w:sz w:val="22"/>
          <w:szCs w:val="22"/>
        </w:rPr>
      </w:pPr>
      <w:r w:rsidRPr="00B36853">
        <w:rPr>
          <w:rFonts w:ascii="Arial" w:hAnsi="Arial" w:cs="Arial"/>
          <w:sz w:val="22"/>
          <w:szCs w:val="22"/>
        </w:rPr>
        <w:lastRenderedPageBreak/>
        <w:t>Jako daňová sazba byla použita sazba daně z</w:t>
      </w:r>
      <w:r>
        <w:rPr>
          <w:rFonts w:ascii="Arial" w:hAnsi="Arial" w:cs="Arial"/>
          <w:sz w:val="22"/>
          <w:szCs w:val="22"/>
        </w:rPr>
        <w:t xml:space="preserve"> </w:t>
      </w:r>
      <w:r w:rsidRPr="00B36853">
        <w:rPr>
          <w:rFonts w:ascii="Arial" w:hAnsi="Arial" w:cs="Arial"/>
          <w:sz w:val="22"/>
          <w:szCs w:val="22"/>
        </w:rPr>
        <w:t>příjmů právnických osob</w:t>
      </w:r>
      <w:r>
        <w:rPr>
          <w:rFonts w:ascii="Arial" w:hAnsi="Arial" w:cs="Arial"/>
          <w:sz w:val="22"/>
          <w:szCs w:val="22"/>
        </w:rPr>
        <w:t xml:space="preserve"> ve </w:t>
      </w:r>
      <w:r w:rsidRPr="00B36853">
        <w:rPr>
          <w:rFonts w:ascii="Arial" w:hAnsi="Arial" w:cs="Arial"/>
          <w:sz w:val="22"/>
          <w:szCs w:val="22"/>
        </w:rPr>
        <w:t xml:space="preserve">výši </w:t>
      </w:r>
      <w:r>
        <w:rPr>
          <w:rFonts w:ascii="Arial" w:hAnsi="Arial" w:cs="Arial"/>
          <w:sz w:val="22"/>
          <w:szCs w:val="22"/>
        </w:rPr>
        <w:br/>
      </w:r>
      <w:r w:rsidRPr="00B36853">
        <w:rPr>
          <w:rFonts w:ascii="Arial" w:hAnsi="Arial" w:cs="Arial"/>
          <w:sz w:val="22"/>
          <w:szCs w:val="22"/>
        </w:rPr>
        <w:t>19 %.</w:t>
      </w:r>
    </w:p>
    <w:p w:rsidR="00085EAF" w:rsidRPr="006C78C7" w:rsidRDefault="00085EAF" w:rsidP="00085EAF">
      <w:pPr>
        <w:pStyle w:val="Default"/>
        <w:spacing w:after="120"/>
        <w:ind w:firstLine="709"/>
        <w:jc w:val="both"/>
        <w:rPr>
          <w:sz w:val="22"/>
          <w:szCs w:val="22"/>
        </w:rPr>
      </w:pPr>
      <w:r w:rsidRPr="006C78C7">
        <w:rPr>
          <w:sz w:val="22"/>
          <w:szCs w:val="22"/>
        </w:rPr>
        <w:t>Hodnota procenta návratnosti vloženého kapitálu před zdaněním WACC byla stanovena ve výši 7,89 %. Výpočet byl proveden s využitím dat dostupných k 31. prosinci 2014.</w:t>
      </w:r>
    </w:p>
    <w:p w:rsidR="00085EAF" w:rsidRPr="006C78C7" w:rsidRDefault="00085EAF" w:rsidP="00085EAF">
      <w:pPr>
        <w:pStyle w:val="TASBodytext"/>
        <w:ind w:firstLine="709"/>
        <w:rPr>
          <w:sz w:val="22"/>
          <w:szCs w:val="22"/>
          <w:lang w:val="cs-CZ"/>
        </w:rPr>
      </w:pPr>
      <w:r w:rsidRPr="006C78C7">
        <w:rPr>
          <w:sz w:val="22"/>
          <w:szCs w:val="22"/>
          <w:lang w:val="cs-CZ"/>
        </w:rPr>
        <w:t>Pro výpočet byla použita metoda kapitálového oceňování aktiv (</w:t>
      </w:r>
      <w:proofErr w:type="spellStart"/>
      <w:r w:rsidRPr="006C78C7">
        <w:rPr>
          <w:sz w:val="22"/>
          <w:szCs w:val="22"/>
          <w:lang w:val="cs-CZ"/>
        </w:rPr>
        <w:t>Capital</w:t>
      </w:r>
      <w:proofErr w:type="spellEnd"/>
      <w:r w:rsidRPr="006C78C7">
        <w:rPr>
          <w:sz w:val="22"/>
          <w:szCs w:val="22"/>
          <w:lang w:val="cs-CZ"/>
        </w:rPr>
        <w:t xml:space="preserve"> Asset </w:t>
      </w:r>
      <w:proofErr w:type="spellStart"/>
      <w:r w:rsidRPr="006C78C7">
        <w:rPr>
          <w:sz w:val="22"/>
          <w:szCs w:val="22"/>
          <w:lang w:val="cs-CZ"/>
        </w:rPr>
        <w:t>Pricing</w:t>
      </w:r>
      <w:proofErr w:type="spellEnd"/>
      <w:r w:rsidRPr="006C78C7">
        <w:rPr>
          <w:sz w:val="22"/>
          <w:szCs w:val="22"/>
          <w:lang w:val="cs-CZ"/>
        </w:rPr>
        <w:t xml:space="preserve"> Model, „CAPM“), podle které jsou náklady vlastního kapitálu definovány vztahem:</w:t>
      </w:r>
    </w:p>
    <w:p w:rsidR="00085EAF" w:rsidRPr="005E1668" w:rsidRDefault="00085EAF" w:rsidP="00085EAF">
      <w:pPr>
        <w:spacing w:before="240" w:after="120"/>
        <w:jc w:val="both"/>
        <w:rPr>
          <w:rFonts w:ascii="Arial" w:eastAsia="MS Mincho" w:hAnsi="Arial" w:cs="Arial"/>
          <w:i/>
          <w:noProof/>
          <w:sz w:val="22"/>
          <w:szCs w:val="22"/>
          <w:lang w:eastAsia="zh-TW"/>
        </w:rPr>
      </w:pPr>
      <w:r w:rsidRPr="005E1668">
        <w:rPr>
          <w:rFonts w:ascii="Arial" w:eastAsia="MS Mincho" w:hAnsi="Arial" w:cs="Arial"/>
          <w:i/>
          <w:noProof/>
          <w:sz w:val="22"/>
          <w:szCs w:val="22"/>
          <w:lang w:eastAsia="zh-TW"/>
        </w:rPr>
        <w:t>r</w:t>
      </w:r>
      <w:r w:rsidRPr="005E1668">
        <w:rPr>
          <w:rFonts w:ascii="Arial" w:eastAsia="MS Mincho" w:hAnsi="Arial" w:cs="Arial"/>
          <w:i/>
          <w:noProof/>
          <w:sz w:val="22"/>
          <w:szCs w:val="22"/>
          <w:vertAlign w:val="subscript"/>
          <w:lang w:eastAsia="zh-TW"/>
        </w:rPr>
        <w:t xml:space="preserve">e </w:t>
      </w:r>
      <w:r w:rsidRPr="005E1668">
        <w:rPr>
          <w:rFonts w:ascii="Arial" w:eastAsia="MS Mincho" w:hAnsi="Arial" w:cs="Arial"/>
          <w:i/>
          <w:noProof/>
          <w:sz w:val="22"/>
          <w:szCs w:val="22"/>
          <w:lang w:eastAsia="zh-TW"/>
        </w:rPr>
        <w:t>= r</w:t>
      </w:r>
      <w:r w:rsidRPr="005E1668">
        <w:rPr>
          <w:rFonts w:ascii="Arial" w:eastAsia="MS Mincho" w:hAnsi="Arial" w:cs="Arial"/>
          <w:i/>
          <w:noProof/>
          <w:sz w:val="22"/>
          <w:szCs w:val="22"/>
          <w:vertAlign w:val="subscript"/>
          <w:lang w:eastAsia="zh-TW"/>
        </w:rPr>
        <w:t>f</w:t>
      </w:r>
      <w:r w:rsidRPr="005E1668">
        <w:rPr>
          <w:rFonts w:ascii="Arial" w:eastAsia="MS Mincho" w:hAnsi="Arial" w:cs="Arial"/>
          <w:i/>
          <w:noProof/>
          <w:sz w:val="22"/>
          <w:szCs w:val="22"/>
          <w:lang w:eastAsia="zh-TW"/>
        </w:rPr>
        <w:t xml:space="preserve"> + ß</w:t>
      </w:r>
      <w:r w:rsidRPr="005E1668">
        <w:rPr>
          <w:rFonts w:ascii="Arial" w:eastAsia="MS Mincho" w:hAnsi="Arial" w:cs="Arial"/>
          <w:i/>
          <w:noProof/>
          <w:sz w:val="22"/>
          <w:szCs w:val="22"/>
          <w:vertAlign w:val="subscript"/>
          <w:lang w:eastAsia="zh-TW"/>
        </w:rPr>
        <w:t>L</w:t>
      </w:r>
      <w:r w:rsidRPr="005E1668">
        <w:rPr>
          <w:rFonts w:ascii="Arial" w:eastAsia="MS Mincho" w:hAnsi="Arial" w:cs="Arial"/>
          <w:i/>
          <w:noProof/>
          <w:sz w:val="22"/>
          <w:szCs w:val="22"/>
          <w:lang w:eastAsia="zh-TW"/>
        </w:rPr>
        <w:t xml:space="preserve"> × ERP + další přírážky</w:t>
      </w:r>
    </w:p>
    <w:p w:rsidR="00085EAF" w:rsidRPr="005E1668" w:rsidRDefault="00085EAF" w:rsidP="00085EAF">
      <w:pPr>
        <w:spacing w:before="240" w:after="120"/>
        <w:jc w:val="both"/>
        <w:rPr>
          <w:rFonts w:ascii="Arial" w:hAnsi="Arial" w:cs="Arial"/>
          <w:noProof/>
          <w:sz w:val="20"/>
          <w:szCs w:val="20"/>
          <w:lang w:eastAsia="zh-TW"/>
        </w:rPr>
      </w:pPr>
      <w:r w:rsidRPr="005E1668">
        <w:rPr>
          <w:rFonts w:ascii="Arial" w:hAnsi="Arial" w:cs="Arial"/>
          <w:noProof/>
          <w:sz w:val="20"/>
          <w:szCs w:val="20"/>
          <w:lang w:eastAsia="zh-TW"/>
        </w:rPr>
        <w:t>kde:</w:t>
      </w:r>
    </w:p>
    <w:p w:rsidR="00085EAF" w:rsidRPr="005E1668" w:rsidRDefault="00085EAF" w:rsidP="00085EAF">
      <w:pPr>
        <w:tabs>
          <w:tab w:val="left" w:pos="1701"/>
        </w:tabs>
        <w:spacing w:after="120"/>
        <w:jc w:val="both"/>
        <w:rPr>
          <w:rFonts w:ascii="Arial" w:hAnsi="Arial" w:cs="Arial"/>
          <w:noProof/>
          <w:sz w:val="20"/>
          <w:szCs w:val="20"/>
          <w:lang w:eastAsia="zh-TW"/>
        </w:rPr>
      </w:pPr>
      <w:r w:rsidRPr="005E1668">
        <w:rPr>
          <w:rFonts w:ascii="Arial" w:hAnsi="Arial" w:cs="Arial"/>
          <w:noProof/>
          <w:sz w:val="20"/>
          <w:szCs w:val="20"/>
          <w:lang w:eastAsia="zh-TW"/>
        </w:rPr>
        <w:t>r</w:t>
      </w:r>
      <w:r w:rsidRPr="005E1668">
        <w:rPr>
          <w:rFonts w:ascii="Arial" w:hAnsi="Arial" w:cs="Arial"/>
          <w:noProof/>
          <w:sz w:val="20"/>
          <w:szCs w:val="20"/>
          <w:vertAlign w:val="subscript"/>
          <w:lang w:eastAsia="zh-TW"/>
        </w:rPr>
        <w:t>e</w:t>
      </w:r>
      <w:r w:rsidRPr="005E1668">
        <w:rPr>
          <w:rFonts w:ascii="Arial" w:hAnsi="Arial" w:cs="Arial"/>
          <w:noProof/>
          <w:sz w:val="20"/>
          <w:szCs w:val="20"/>
          <w:lang w:eastAsia="zh-TW"/>
        </w:rPr>
        <w:tab/>
        <w:t>náklady vlastního kapitálu (po zdanění)</w:t>
      </w:r>
    </w:p>
    <w:p w:rsidR="00085EAF" w:rsidRPr="005E1668" w:rsidRDefault="00085EAF" w:rsidP="00085EAF">
      <w:pPr>
        <w:tabs>
          <w:tab w:val="left" w:pos="1701"/>
        </w:tabs>
        <w:spacing w:after="120"/>
        <w:jc w:val="both"/>
        <w:rPr>
          <w:rFonts w:ascii="Arial" w:hAnsi="Arial" w:cs="Arial"/>
          <w:noProof/>
          <w:sz w:val="20"/>
          <w:szCs w:val="20"/>
          <w:lang w:eastAsia="zh-TW"/>
        </w:rPr>
      </w:pPr>
      <w:r w:rsidRPr="0034145F">
        <w:rPr>
          <w:rFonts w:ascii="Arial" w:hAnsi="Arial" w:cs="Arial"/>
          <w:noProof/>
          <w:sz w:val="20"/>
          <w:szCs w:val="20"/>
          <w:lang w:eastAsia="zh-TW"/>
        </w:rPr>
        <w:t>r</w:t>
      </w:r>
      <w:r w:rsidRPr="0034145F">
        <w:rPr>
          <w:rFonts w:ascii="Arial" w:hAnsi="Arial" w:cs="Arial"/>
          <w:noProof/>
          <w:sz w:val="20"/>
          <w:szCs w:val="20"/>
          <w:vertAlign w:val="subscript"/>
          <w:lang w:eastAsia="zh-TW"/>
        </w:rPr>
        <w:t>f</w:t>
      </w:r>
      <w:r w:rsidRPr="005E1668">
        <w:rPr>
          <w:rFonts w:ascii="Arial" w:hAnsi="Arial" w:cs="Arial"/>
          <w:noProof/>
          <w:sz w:val="20"/>
          <w:szCs w:val="20"/>
          <w:lang w:eastAsia="zh-TW"/>
        </w:rPr>
        <w:t xml:space="preserve"> </w:t>
      </w:r>
      <w:r w:rsidRPr="005E1668">
        <w:rPr>
          <w:rFonts w:ascii="Arial" w:hAnsi="Arial" w:cs="Arial"/>
          <w:noProof/>
          <w:sz w:val="20"/>
          <w:szCs w:val="20"/>
          <w:lang w:eastAsia="zh-TW"/>
        </w:rPr>
        <w:tab/>
        <w:t>bezriziková výnosová míra</w:t>
      </w:r>
    </w:p>
    <w:p w:rsidR="00085EAF" w:rsidRPr="005E1668" w:rsidRDefault="00085EAF" w:rsidP="00085EAF">
      <w:pPr>
        <w:tabs>
          <w:tab w:val="left" w:pos="1701"/>
        </w:tabs>
        <w:spacing w:after="120"/>
        <w:jc w:val="both"/>
        <w:rPr>
          <w:rFonts w:ascii="Arial" w:hAnsi="Arial" w:cs="Arial"/>
          <w:noProof/>
          <w:sz w:val="20"/>
          <w:szCs w:val="20"/>
          <w:lang w:eastAsia="zh-TW"/>
        </w:rPr>
      </w:pPr>
      <w:r w:rsidRPr="005E1668">
        <w:rPr>
          <w:rFonts w:ascii="Arial" w:hAnsi="Arial" w:cs="Arial"/>
          <w:noProof/>
          <w:sz w:val="20"/>
          <w:szCs w:val="20"/>
          <w:lang w:eastAsia="zh-TW"/>
        </w:rPr>
        <w:t>ß</w:t>
      </w:r>
      <w:r w:rsidRPr="005E1668">
        <w:rPr>
          <w:rFonts w:ascii="Arial" w:hAnsi="Arial" w:cs="Arial"/>
          <w:noProof/>
          <w:sz w:val="20"/>
          <w:szCs w:val="20"/>
          <w:vertAlign w:val="subscript"/>
          <w:lang w:eastAsia="zh-TW"/>
        </w:rPr>
        <w:t>L</w:t>
      </w:r>
      <w:r w:rsidRPr="005E1668">
        <w:rPr>
          <w:rFonts w:ascii="Arial" w:hAnsi="Arial" w:cs="Arial"/>
          <w:noProof/>
          <w:sz w:val="20"/>
          <w:szCs w:val="20"/>
          <w:lang w:eastAsia="zh-TW"/>
        </w:rPr>
        <w:tab/>
        <w:t>zadlužený koeficient beta</w:t>
      </w:r>
    </w:p>
    <w:p w:rsidR="00085EAF" w:rsidRPr="005E1668" w:rsidRDefault="00085EAF" w:rsidP="00085EAF">
      <w:pPr>
        <w:tabs>
          <w:tab w:val="left" w:pos="1701"/>
        </w:tabs>
        <w:spacing w:after="120"/>
        <w:jc w:val="both"/>
        <w:rPr>
          <w:rFonts w:ascii="Arial" w:hAnsi="Arial" w:cs="Arial"/>
          <w:noProof/>
          <w:sz w:val="20"/>
          <w:szCs w:val="20"/>
          <w:lang w:eastAsia="zh-TW"/>
        </w:rPr>
      </w:pPr>
      <w:r w:rsidRPr="005E1668">
        <w:rPr>
          <w:rFonts w:ascii="Arial" w:hAnsi="Arial" w:cs="Arial"/>
          <w:noProof/>
          <w:sz w:val="20"/>
          <w:szCs w:val="20"/>
          <w:lang w:eastAsia="zh-TW"/>
        </w:rPr>
        <w:t>ERP</w:t>
      </w:r>
      <w:r w:rsidRPr="005E1668">
        <w:rPr>
          <w:rFonts w:ascii="Arial" w:hAnsi="Arial" w:cs="Arial"/>
          <w:noProof/>
          <w:sz w:val="20"/>
          <w:szCs w:val="20"/>
          <w:lang w:eastAsia="zh-TW"/>
        </w:rPr>
        <w:tab/>
        <w:t>tržní riziková přirážka (Equity Risk Premium, „ERP“)</w:t>
      </w:r>
    </w:p>
    <w:p w:rsidR="00085EAF" w:rsidRPr="005E1668" w:rsidRDefault="00085EAF" w:rsidP="00085EAF">
      <w:pPr>
        <w:pStyle w:val="Default"/>
        <w:tabs>
          <w:tab w:val="left" w:pos="1701"/>
        </w:tabs>
        <w:spacing w:after="120"/>
        <w:rPr>
          <w:sz w:val="20"/>
          <w:szCs w:val="20"/>
        </w:rPr>
      </w:pPr>
      <w:r w:rsidRPr="005E1668">
        <w:rPr>
          <w:noProof/>
          <w:sz w:val="20"/>
          <w:szCs w:val="20"/>
          <w:lang w:eastAsia="zh-TW"/>
        </w:rPr>
        <w:t>další přirážky</w:t>
      </w:r>
      <w:r w:rsidRPr="005E1668">
        <w:rPr>
          <w:noProof/>
          <w:sz w:val="20"/>
          <w:szCs w:val="20"/>
          <w:lang w:eastAsia="zh-TW"/>
        </w:rPr>
        <w:tab/>
        <w:t>specifické přirážky, např. za riziko země (Country Risk Premium, „CRP“)</w:t>
      </w:r>
    </w:p>
    <w:p w:rsidR="00085EAF" w:rsidRPr="00254713" w:rsidRDefault="00085EAF" w:rsidP="00085EAF">
      <w:pPr>
        <w:pStyle w:val="Default"/>
        <w:spacing w:before="240" w:after="120"/>
        <w:ind w:firstLine="708"/>
        <w:jc w:val="both"/>
        <w:rPr>
          <w:sz w:val="22"/>
          <w:szCs w:val="22"/>
        </w:rPr>
      </w:pPr>
      <w:r w:rsidRPr="00254713">
        <w:rPr>
          <w:sz w:val="22"/>
          <w:szCs w:val="22"/>
        </w:rPr>
        <w:t>Bezriziková výnosová míra představuje investorem požadovanou výnosnost za předpokladu nulového kreditního rizika spojeného s danou investicí, která se v praxi běžně odhaduje na úrovni výnosu do splatnosti státních dluhopisů. Pro výpočet byly zvoleny české státní dluhopisy se splatností 10 let, které jsou dostatečně likvidní a zároveň představují dostatečně dlouhý investiční horizont. Konkrétní hodnota byla v souladu s doporučeními odborné literatury (</w:t>
      </w:r>
      <w:proofErr w:type="spellStart"/>
      <w:r w:rsidRPr="00254713">
        <w:rPr>
          <w:sz w:val="22"/>
          <w:szCs w:val="22"/>
        </w:rPr>
        <w:t>Duff</w:t>
      </w:r>
      <w:proofErr w:type="spellEnd"/>
      <w:r w:rsidRPr="00254713">
        <w:rPr>
          <w:sz w:val="22"/>
          <w:szCs w:val="22"/>
        </w:rPr>
        <w:t xml:space="preserve"> &amp; </w:t>
      </w:r>
      <w:proofErr w:type="spellStart"/>
      <w:r w:rsidRPr="00254713">
        <w:rPr>
          <w:sz w:val="22"/>
          <w:szCs w:val="22"/>
        </w:rPr>
        <w:t>Phelps</w:t>
      </w:r>
      <w:proofErr w:type="spellEnd"/>
      <w:r w:rsidRPr="00254713">
        <w:rPr>
          <w:sz w:val="22"/>
          <w:szCs w:val="22"/>
        </w:rPr>
        <w:t xml:space="preserve">) a z důvodu konzistence se stanovením ERP vypočítána jako aritmetický průměr denních pozorování výnosu do splatnosti </w:t>
      </w:r>
      <w:r>
        <w:rPr>
          <w:sz w:val="22"/>
          <w:szCs w:val="22"/>
        </w:rPr>
        <w:t>za posledních 10 let, tedy od 1. </w:t>
      </w:r>
      <w:r w:rsidRPr="00254713">
        <w:rPr>
          <w:sz w:val="22"/>
          <w:szCs w:val="22"/>
        </w:rPr>
        <w:t>ledna 2005 do 31. prosince 2014. Tento způsob výpočtu představuje tzv. normalizovanou bezrizikovou výnosovou míru, která abstrahuje od jednorázových výkyvů na trhu (např. nepřiměřeně nízké úrokové sazby v období významných intervencí centrální banky či tzv. „</w:t>
      </w:r>
      <w:proofErr w:type="spellStart"/>
      <w:r w:rsidRPr="00254713">
        <w:rPr>
          <w:sz w:val="22"/>
          <w:szCs w:val="22"/>
        </w:rPr>
        <w:t>flight</w:t>
      </w:r>
      <w:proofErr w:type="spellEnd"/>
      <w:r w:rsidRPr="00254713">
        <w:rPr>
          <w:sz w:val="22"/>
          <w:szCs w:val="22"/>
        </w:rPr>
        <w:t xml:space="preserve"> to </w:t>
      </w:r>
      <w:proofErr w:type="spellStart"/>
      <w:r w:rsidRPr="00254713">
        <w:rPr>
          <w:sz w:val="22"/>
          <w:szCs w:val="22"/>
        </w:rPr>
        <w:t>quality</w:t>
      </w:r>
      <w:proofErr w:type="spellEnd"/>
      <w:r w:rsidRPr="00254713">
        <w:rPr>
          <w:sz w:val="22"/>
          <w:szCs w:val="22"/>
        </w:rPr>
        <w:t>“). Bezriziková výnosová míra činí 3,50 %.</w:t>
      </w:r>
    </w:p>
    <w:p w:rsidR="00085EAF" w:rsidRPr="00254713" w:rsidRDefault="00085EAF" w:rsidP="00085EAF">
      <w:pPr>
        <w:pStyle w:val="Default"/>
        <w:spacing w:after="120"/>
        <w:ind w:firstLine="708"/>
        <w:jc w:val="both"/>
        <w:rPr>
          <w:sz w:val="22"/>
          <w:szCs w:val="22"/>
        </w:rPr>
      </w:pPr>
      <w:r w:rsidRPr="00254713">
        <w:rPr>
          <w:sz w:val="22"/>
          <w:szCs w:val="22"/>
        </w:rPr>
        <w:t xml:space="preserve">Výší tržní rizikové přirážky (ERP) se zabývá nespočet studií. Při odhadu historické ERP je zejména důležité zachovat konzistenci mezi způsobem jejího měření a její následnou aplikací. V současné situaci abnormálně nízkých úrokových sazeb doporučuje renomovaný zdroj </w:t>
      </w:r>
      <w:proofErr w:type="spellStart"/>
      <w:r w:rsidRPr="00254713">
        <w:rPr>
          <w:sz w:val="22"/>
          <w:szCs w:val="22"/>
        </w:rPr>
        <w:t>Duff</w:t>
      </w:r>
      <w:proofErr w:type="spellEnd"/>
      <w:r w:rsidRPr="00254713">
        <w:rPr>
          <w:sz w:val="22"/>
          <w:szCs w:val="22"/>
        </w:rPr>
        <w:t xml:space="preserve"> &amp; </w:t>
      </w:r>
      <w:proofErr w:type="spellStart"/>
      <w:r w:rsidRPr="00254713">
        <w:rPr>
          <w:sz w:val="22"/>
          <w:szCs w:val="22"/>
        </w:rPr>
        <w:t>Phelps</w:t>
      </w:r>
      <w:proofErr w:type="spellEnd"/>
      <w:r w:rsidRPr="00254713">
        <w:rPr>
          <w:sz w:val="22"/>
          <w:szCs w:val="22"/>
        </w:rPr>
        <w:t xml:space="preserve"> použít ERP ve výši 5 % společně s tzv. normalizovanou bezrizikovou výnosovou mírou (viz výše).</w:t>
      </w:r>
    </w:p>
    <w:p w:rsidR="00085EAF" w:rsidRPr="00254713" w:rsidRDefault="00085EAF" w:rsidP="00085EAF">
      <w:pPr>
        <w:pStyle w:val="Default"/>
        <w:spacing w:after="120"/>
        <w:ind w:firstLine="708"/>
        <w:jc w:val="both"/>
        <w:rPr>
          <w:sz w:val="22"/>
          <w:szCs w:val="22"/>
        </w:rPr>
      </w:pPr>
      <w:r w:rsidRPr="00254713">
        <w:rPr>
          <w:sz w:val="22"/>
          <w:szCs w:val="22"/>
        </w:rPr>
        <w:t xml:space="preserve">Koeficient beta byl vypočten metodou analogie na úrovni mediánu nezadlužených koeficientů beta veřejně obchodovaných společností působících v daném odvětví. Celkem bylo vybráno </w:t>
      </w:r>
      <w:r w:rsidR="00F10EA0">
        <w:rPr>
          <w:sz w:val="22"/>
          <w:szCs w:val="22"/>
        </w:rPr>
        <w:t>48</w:t>
      </w:r>
      <w:r w:rsidRPr="00254713">
        <w:rPr>
          <w:sz w:val="22"/>
          <w:szCs w:val="22"/>
        </w:rPr>
        <w:t xml:space="preserve"> společností</w:t>
      </w:r>
      <w:r>
        <w:rPr>
          <w:sz w:val="22"/>
          <w:szCs w:val="22"/>
        </w:rPr>
        <w:t xml:space="preserve"> </w:t>
      </w:r>
      <w:r w:rsidRPr="00254713">
        <w:rPr>
          <w:sz w:val="22"/>
          <w:szCs w:val="22"/>
        </w:rPr>
        <w:t>působí</w:t>
      </w:r>
      <w:r w:rsidR="00F10EA0">
        <w:rPr>
          <w:sz w:val="22"/>
          <w:szCs w:val="22"/>
        </w:rPr>
        <w:t>cích</w:t>
      </w:r>
      <w:r w:rsidRPr="00254713">
        <w:rPr>
          <w:sz w:val="22"/>
          <w:szCs w:val="22"/>
        </w:rPr>
        <w:t xml:space="preserve"> v Evropě,</w:t>
      </w:r>
      <w:r w:rsidR="00F10EA0">
        <w:rPr>
          <w:sz w:val="22"/>
          <w:szCs w:val="22"/>
        </w:rPr>
        <w:t xml:space="preserve"> </w:t>
      </w:r>
      <w:r w:rsidRPr="00254713">
        <w:rPr>
          <w:sz w:val="22"/>
          <w:szCs w:val="22"/>
        </w:rPr>
        <w:t>přičemž pro 3</w:t>
      </w:r>
      <w:r w:rsidR="00F10EA0">
        <w:rPr>
          <w:sz w:val="22"/>
          <w:szCs w:val="22"/>
        </w:rPr>
        <w:t>4</w:t>
      </w:r>
      <w:r w:rsidRPr="00254713">
        <w:rPr>
          <w:sz w:val="22"/>
          <w:szCs w:val="22"/>
        </w:rPr>
        <w:t xml:space="preserve"> z nich byl dostupný signifikantní koeficient beta k datu, ke kterému byl WACC počítán. </w:t>
      </w:r>
      <w:r w:rsidRPr="009C16A5">
        <w:rPr>
          <w:sz w:val="22"/>
          <w:szCs w:val="22"/>
        </w:rPr>
        <w:t xml:space="preserve">Koeficienty beta byly stanoveny jako </w:t>
      </w:r>
      <w:r w:rsidRPr="00805F19">
        <w:rPr>
          <w:bCs/>
          <w:sz w:val="22"/>
          <w:szCs w:val="22"/>
        </w:rPr>
        <w:t>dvouleté</w:t>
      </w:r>
      <w:r w:rsidRPr="009C16A5">
        <w:rPr>
          <w:sz w:val="22"/>
          <w:szCs w:val="22"/>
        </w:rPr>
        <w:t xml:space="preserve"> na základě týdenních pozorování.</w:t>
      </w:r>
    </w:p>
    <w:p w:rsidR="00085EAF" w:rsidRPr="00254713" w:rsidRDefault="00085EAF" w:rsidP="00085EAF">
      <w:pPr>
        <w:keepNext/>
        <w:keepLines/>
        <w:ind w:firstLine="708"/>
        <w:jc w:val="both"/>
        <w:rPr>
          <w:rFonts w:ascii="Arial" w:hAnsi="Arial" w:cs="Arial"/>
          <w:color w:val="000000"/>
          <w:sz w:val="22"/>
          <w:szCs w:val="22"/>
        </w:rPr>
      </w:pPr>
      <w:r w:rsidRPr="00254713">
        <w:rPr>
          <w:rFonts w:ascii="Arial" w:hAnsi="Arial" w:cs="Arial"/>
          <w:color w:val="000000"/>
          <w:sz w:val="22"/>
          <w:szCs w:val="22"/>
        </w:rPr>
        <w:lastRenderedPageBreak/>
        <w:t>Protože nezadlužený beta-faktor nebere v úvahu zvýšené riziko vlastníků kapitálu v souvislosti s užitím dlouhodobého dluhového financování, byl prostřednictvím standardního vzorce upraven na tzv. zadlužený koeficient beta, který toto riziko zohledňuje:</w:t>
      </w:r>
    </w:p>
    <w:p w:rsidR="00085EAF" w:rsidRPr="005E1668" w:rsidRDefault="00085EAF" w:rsidP="00085EAF">
      <w:pPr>
        <w:keepNext/>
        <w:keepLines/>
        <w:spacing w:before="240" w:after="120"/>
        <w:jc w:val="both"/>
        <w:rPr>
          <w:rFonts w:ascii="Arial" w:eastAsia="MS Mincho" w:hAnsi="Arial" w:cs="Arial"/>
          <w:i/>
          <w:noProof/>
          <w:sz w:val="22"/>
          <w:szCs w:val="22"/>
          <w:lang w:eastAsia="zh-TW"/>
        </w:rPr>
      </w:pPr>
      <w:r w:rsidRPr="005E1668">
        <w:rPr>
          <w:rFonts w:ascii="Arial" w:eastAsia="MS Mincho" w:hAnsi="Arial" w:cs="Arial"/>
          <w:i/>
          <w:noProof/>
          <w:sz w:val="22"/>
          <w:szCs w:val="22"/>
          <w:lang w:eastAsia="zh-TW"/>
        </w:rPr>
        <w:t>ß</w:t>
      </w:r>
      <w:r w:rsidRPr="005E1668">
        <w:rPr>
          <w:rFonts w:ascii="Arial" w:eastAsia="MS Mincho" w:hAnsi="Arial" w:cs="Arial"/>
          <w:i/>
          <w:noProof/>
          <w:sz w:val="22"/>
          <w:szCs w:val="22"/>
          <w:vertAlign w:val="subscript"/>
          <w:lang w:eastAsia="zh-TW"/>
        </w:rPr>
        <w:t>L</w:t>
      </w:r>
      <w:r w:rsidRPr="005E1668">
        <w:rPr>
          <w:rFonts w:ascii="Arial" w:eastAsia="MS Mincho" w:hAnsi="Arial" w:cs="Arial"/>
          <w:i/>
          <w:noProof/>
          <w:sz w:val="22"/>
          <w:szCs w:val="22"/>
          <w:lang w:eastAsia="zh-TW"/>
        </w:rPr>
        <w:t xml:space="preserve"> = ß</w:t>
      </w:r>
      <w:r w:rsidRPr="005E1668">
        <w:rPr>
          <w:rFonts w:ascii="Arial" w:eastAsia="MS Mincho" w:hAnsi="Arial" w:cs="Arial"/>
          <w:i/>
          <w:noProof/>
          <w:sz w:val="22"/>
          <w:szCs w:val="22"/>
          <w:vertAlign w:val="subscript"/>
          <w:lang w:eastAsia="zh-TW"/>
        </w:rPr>
        <w:t>U</w:t>
      </w:r>
      <w:r w:rsidRPr="005E1668">
        <w:rPr>
          <w:rFonts w:ascii="Arial" w:eastAsia="MS Mincho" w:hAnsi="Arial" w:cs="Arial"/>
          <w:i/>
          <w:noProof/>
          <w:sz w:val="22"/>
          <w:szCs w:val="22"/>
          <w:lang w:eastAsia="zh-TW"/>
        </w:rPr>
        <w:t xml:space="preserve"> × [1+(1 – t) × (D/E)</w:t>
      </w:r>
      <w:r w:rsidRPr="005E1668">
        <w:rPr>
          <w:rFonts w:ascii="Arial" w:eastAsia="MS Mincho" w:hAnsi="Arial" w:cs="Arial"/>
          <w:i/>
          <w:noProof/>
          <w:sz w:val="22"/>
          <w:szCs w:val="22"/>
          <w:vertAlign w:val="subscript"/>
          <w:lang w:eastAsia="zh-TW"/>
        </w:rPr>
        <w:t>M</w:t>
      </w:r>
      <w:r w:rsidRPr="005E1668">
        <w:rPr>
          <w:rFonts w:ascii="Arial" w:eastAsia="MS Mincho" w:hAnsi="Arial" w:cs="Arial"/>
          <w:i/>
          <w:noProof/>
          <w:sz w:val="22"/>
          <w:szCs w:val="22"/>
          <w:lang w:eastAsia="zh-TW"/>
        </w:rPr>
        <w:t>]</w:t>
      </w:r>
    </w:p>
    <w:p w:rsidR="00085EAF" w:rsidRPr="005E1668" w:rsidRDefault="00085EAF" w:rsidP="00085EAF">
      <w:pPr>
        <w:keepNext/>
        <w:keepLines/>
        <w:spacing w:before="240" w:afterLines="30" w:after="72"/>
        <w:jc w:val="both"/>
        <w:rPr>
          <w:rFonts w:ascii="Arial" w:hAnsi="Arial" w:cs="Arial"/>
          <w:noProof/>
          <w:sz w:val="20"/>
          <w:szCs w:val="20"/>
          <w:lang w:eastAsia="zh-TW"/>
        </w:rPr>
      </w:pPr>
      <w:r w:rsidRPr="005E1668">
        <w:rPr>
          <w:rFonts w:ascii="Arial" w:hAnsi="Arial" w:cs="Arial"/>
          <w:noProof/>
          <w:sz w:val="20"/>
          <w:szCs w:val="20"/>
          <w:lang w:eastAsia="zh-TW"/>
        </w:rPr>
        <w:t>kde:</w:t>
      </w:r>
    </w:p>
    <w:p w:rsidR="00085EAF" w:rsidRPr="005E1668" w:rsidRDefault="00085EAF" w:rsidP="00085EAF">
      <w:pPr>
        <w:keepNext/>
        <w:keepLines/>
        <w:spacing w:afterLines="30" w:after="72"/>
        <w:jc w:val="both"/>
        <w:rPr>
          <w:rFonts w:ascii="Arial" w:hAnsi="Arial" w:cs="Arial"/>
          <w:noProof/>
          <w:sz w:val="20"/>
          <w:szCs w:val="20"/>
          <w:lang w:eastAsia="zh-TW"/>
        </w:rPr>
      </w:pPr>
      <w:r w:rsidRPr="005E1668">
        <w:rPr>
          <w:rFonts w:ascii="Arial" w:hAnsi="Arial" w:cs="Arial"/>
          <w:noProof/>
          <w:sz w:val="20"/>
          <w:szCs w:val="20"/>
          <w:lang w:eastAsia="zh-TW"/>
        </w:rPr>
        <w:t>ß</w:t>
      </w:r>
      <w:r w:rsidRPr="005E1668">
        <w:rPr>
          <w:rFonts w:ascii="Arial" w:hAnsi="Arial" w:cs="Arial"/>
          <w:noProof/>
          <w:sz w:val="20"/>
          <w:szCs w:val="20"/>
          <w:vertAlign w:val="subscript"/>
          <w:lang w:eastAsia="zh-TW"/>
        </w:rPr>
        <w:t>L</w:t>
      </w:r>
      <w:r w:rsidRPr="005E1668">
        <w:rPr>
          <w:rFonts w:ascii="Arial" w:hAnsi="Arial" w:cs="Arial"/>
          <w:noProof/>
          <w:sz w:val="20"/>
          <w:szCs w:val="20"/>
          <w:lang w:eastAsia="zh-TW"/>
        </w:rPr>
        <w:tab/>
      </w:r>
      <w:r w:rsidRPr="005E1668">
        <w:rPr>
          <w:rFonts w:ascii="Arial" w:hAnsi="Arial" w:cs="Arial"/>
          <w:noProof/>
          <w:sz w:val="20"/>
          <w:szCs w:val="20"/>
          <w:lang w:eastAsia="zh-TW"/>
        </w:rPr>
        <w:tab/>
        <w:t>zadlužený ß-faktor</w:t>
      </w:r>
    </w:p>
    <w:p w:rsidR="00085EAF" w:rsidRPr="005E1668" w:rsidRDefault="00085EAF" w:rsidP="00085EAF">
      <w:pPr>
        <w:keepNext/>
        <w:keepLines/>
        <w:spacing w:afterLines="30" w:after="72"/>
        <w:jc w:val="both"/>
        <w:rPr>
          <w:rFonts w:ascii="Arial" w:hAnsi="Arial" w:cs="Arial"/>
          <w:noProof/>
          <w:sz w:val="20"/>
          <w:szCs w:val="20"/>
          <w:lang w:eastAsia="zh-TW"/>
        </w:rPr>
      </w:pPr>
      <w:r w:rsidRPr="005E1668">
        <w:rPr>
          <w:rFonts w:ascii="Arial" w:hAnsi="Arial" w:cs="Arial"/>
          <w:noProof/>
          <w:sz w:val="20"/>
          <w:szCs w:val="20"/>
          <w:lang w:eastAsia="zh-TW"/>
        </w:rPr>
        <w:t>ß</w:t>
      </w:r>
      <w:r w:rsidRPr="005E1668">
        <w:rPr>
          <w:rFonts w:ascii="Arial" w:hAnsi="Arial" w:cs="Arial"/>
          <w:noProof/>
          <w:sz w:val="20"/>
          <w:szCs w:val="20"/>
          <w:vertAlign w:val="subscript"/>
          <w:lang w:eastAsia="zh-TW"/>
        </w:rPr>
        <w:t>U</w:t>
      </w:r>
      <w:r w:rsidRPr="005E1668">
        <w:rPr>
          <w:rFonts w:ascii="Arial" w:hAnsi="Arial" w:cs="Arial"/>
          <w:noProof/>
          <w:sz w:val="20"/>
          <w:szCs w:val="20"/>
          <w:lang w:eastAsia="zh-TW"/>
        </w:rPr>
        <w:tab/>
      </w:r>
      <w:r w:rsidRPr="005E1668">
        <w:rPr>
          <w:rFonts w:ascii="Arial" w:hAnsi="Arial" w:cs="Arial"/>
          <w:noProof/>
          <w:sz w:val="20"/>
          <w:szCs w:val="20"/>
          <w:lang w:eastAsia="zh-TW"/>
        </w:rPr>
        <w:tab/>
        <w:t>nezadlužený ß-faktor</w:t>
      </w:r>
    </w:p>
    <w:p w:rsidR="00085EAF" w:rsidRPr="005E1668" w:rsidRDefault="00085EAF" w:rsidP="00085EAF">
      <w:pPr>
        <w:keepNext/>
        <w:keepLines/>
        <w:spacing w:afterLines="30" w:after="72"/>
        <w:ind w:left="1440" w:hanging="1440"/>
        <w:jc w:val="both"/>
        <w:rPr>
          <w:rFonts w:ascii="Arial" w:hAnsi="Arial" w:cs="Arial"/>
          <w:noProof/>
          <w:sz w:val="20"/>
          <w:szCs w:val="20"/>
          <w:lang w:eastAsia="zh-TW"/>
        </w:rPr>
      </w:pPr>
      <w:r w:rsidRPr="005E1668">
        <w:rPr>
          <w:rFonts w:ascii="Arial" w:hAnsi="Arial" w:cs="Arial"/>
          <w:noProof/>
          <w:sz w:val="20"/>
          <w:szCs w:val="20"/>
          <w:lang w:eastAsia="zh-TW"/>
        </w:rPr>
        <w:t xml:space="preserve">t </w:t>
      </w:r>
      <w:r w:rsidRPr="005E1668">
        <w:rPr>
          <w:rFonts w:ascii="Arial" w:hAnsi="Arial" w:cs="Arial"/>
          <w:noProof/>
          <w:sz w:val="20"/>
          <w:szCs w:val="20"/>
          <w:lang w:eastAsia="zh-TW"/>
        </w:rPr>
        <w:tab/>
        <w:t>dlouhodobá efektivní daňová sazba</w:t>
      </w:r>
    </w:p>
    <w:p w:rsidR="00085EAF" w:rsidRPr="005E1668" w:rsidRDefault="00085EAF" w:rsidP="00085EAF">
      <w:pPr>
        <w:keepNext/>
        <w:keepLines/>
        <w:spacing w:afterLines="30" w:after="72"/>
        <w:jc w:val="both"/>
        <w:rPr>
          <w:rFonts w:ascii="Arial" w:hAnsi="Arial" w:cs="Arial"/>
          <w:noProof/>
          <w:sz w:val="20"/>
          <w:szCs w:val="20"/>
          <w:lang w:eastAsia="zh-TW"/>
        </w:rPr>
      </w:pPr>
      <w:r w:rsidRPr="005E1668">
        <w:rPr>
          <w:rFonts w:ascii="Arial" w:hAnsi="Arial" w:cs="Arial"/>
          <w:noProof/>
          <w:sz w:val="20"/>
          <w:szCs w:val="20"/>
          <w:lang w:eastAsia="zh-TW"/>
        </w:rPr>
        <w:t>(D/E)</w:t>
      </w:r>
      <w:r w:rsidRPr="005E1668">
        <w:rPr>
          <w:rFonts w:ascii="Arial" w:hAnsi="Arial" w:cs="Arial"/>
          <w:noProof/>
          <w:sz w:val="20"/>
          <w:szCs w:val="20"/>
          <w:vertAlign w:val="subscript"/>
          <w:lang w:eastAsia="zh-TW"/>
        </w:rPr>
        <w:t>M</w:t>
      </w:r>
      <w:r w:rsidRPr="005E1668">
        <w:rPr>
          <w:rFonts w:ascii="Arial" w:hAnsi="Arial" w:cs="Arial"/>
          <w:noProof/>
          <w:sz w:val="20"/>
          <w:szCs w:val="20"/>
          <w:lang w:eastAsia="zh-TW"/>
        </w:rPr>
        <w:tab/>
      </w:r>
      <w:r w:rsidRPr="005E1668">
        <w:rPr>
          <w:rFonts w:ascii="Arial" w:hAnsi="Arial" w:cs="Arial"/>
          <w:noProof/>
          <w:sz w:val="20"/>
          <w:szCs w:val="20"/>
          <w:lang w:eastAsia="zh-TW"/>
        </w:rPr>
        <w:tab/>
        <w:t>poměr dlouhodobého dluhu a tržní hodnoty vlastního kapitálu</w:t>
      </w:r>
    </w:p>
    <w:p w:rsidR="00085EAF" w:rsidRPr="006C78C7" w:rsidRDefault="00085EAF" w:rsidP="00085EAF">
      <w:pPr>
        <w:pStyle w:val="Default"/>
        <w:spacing w:before="240" w:after="120"/>
        <w:ind w:firstLine="709"/>
        <w:jc w:val="both"/>
        <w:rPr>
          <w:sz w:val="22"/>
          <w:szCs w:val="22"/>
        </w:rPr>
      </w:pPr>
      <w:r w:rsidRPr="006C78C7">
        <w:rPr>
          <w:sz w:val="22"/>
          <w:szCs w:val="22"/>
        </w:rPr>
        <w:t xml:space="preserve">Poměr dluhu a vlastního kapitálu byl spočítán jako medián hodnot porovnatelných společností, přičemž pro </w:t>
      </w:r>
      <w:r>
        <w:rPr>
          <w:sz w:val="22"/>
          <w:szCs w:val="22"/>
        </w:rPr>
        <w:t>zachování konzistence</w:t>
      </w:r>
      <w:r w:rsidRPr="006C78C7">
        <w:rPr>
          <w:sz w:val="22"/>
          <w:szCs w:val="22"/>
        </w:rPr>
        <w:t xml:space="preserve"> ve výpočtech byly použity jen ty společnosti, u kterých byl dostupný signifikantní koeficient beta. Pro výpočet byly použity průměry za poslední dva roky. Výsledný použitý poměr dluhu a vlastního kapitálu (D/E) činí 46</w:t>
      </w:r>
      <w:r>
        <w:rPr>
          <w:sz w:val="22"/>
          <w:szCs w:val="22"/>
        </w:rPr>
        <w:t xml:space="preserve"> </w:t>
      </w:r>
      <w:r w:rsidRPr="006C78C7">
        <w:rPr>
          <w:sz w:val="22"/>
          <w:szCs w:val="22"/>
        </w:rPr>
        <w:t>% (podíl dluhu na celkovém kapitálu tak činí 32 %).</w:t>
      </w:r>
    </w:p>
    <w:p w:rsidR="00085EAF" w:rsidRPr="006C78C7" w:rsidRDefault="00085EAF" w:rsidP="00085EAF">
      <w:pPr>
        <w:pStyle w:val="Default"/>
        <w:spacing w:before="120" w:after="120"/>
        <w:ind w:firstLine="708"/>
        <w:jc w:val="both"/>
        <w:rPr>
          <w:sz w:val="22"/>
          <w:szCs w:val="22"/>
        </w:rPr>
      </w:pPr>
      <w:r w:rsidRPr="006C78C7">
        <w:rPr>
          <w:sz w:val="22"/>
          <w:szCs w:val="22"/>
        </w:rPr>
        <w:t>Nezadlužený koeficient beta byl vyčíslen na úrovni 0,59, zadlužený koeficient beta na úrovni 0,81.</w:t>
      </w:r>
    </w:p>
    <w:p w:rsidR="00085EAF" w:rsidRPr="006C78C7" w:rsidRDefault="00085EAF" w:rsidP="00085EAF">
      <w:pPr>
        <w:pStyle w:val="Default"/>
        <w:spacing w:before="120" w:after="120"/>
        <w:ind w:firstLine="708"/>
        <w:jc w:val="both"/>
        <w:rPr>
          <w:sz w:val="22"/>
          <w:szCs w:val="22"/>
        </w:rPr>
      </w:pPr>
      <w:r w:rsidRPr="006C78C7">
        <w:rPr>
          <w:sz w:val="22"/>
          <w:szCs w:val="22"/>
        </w:rPr>
        <w:t>Další složkou nákladů vlastního kapitálu je přirážka za riziko země, která zohledňuje rizika související s investováním v dané ekonomice. Ta nejsou přímo zahrnuta v bezrizikové výnosové míře</w:t>
      </w:r>
      <w:r w:rsidR="00A308A8">
        <w:rPr>
          <w:sz w:val="22"/>
          <w:szCs w:val="22"/>
        </w:rPr>
        <w:t>,</w:t>
      </w:r>
      <w:r w:rsidRPr="006C78C7">
        <w:rPr>
          <w:sz w:val="22"/>
          <w:szCs w:val="22"/>
        </w:rPr>
        <w:t xml:space="preserve"> ani tržní rizikové přirážce odvozené na vyspělých akciových trzích. Přirážka za riziko země byla vypočtena metodou upraveného rozpětí rizika selhání země na základě úvěrového ratingu České republiky (AA), odpovídajícího úvěrového rozpětí a poměru volatilit akciového a dluhopisového trhu a činí 0,42 %.</w:t>
      </w:r>
    </w:p>
    <w:p w:rsidR="00085EAF" w:rsidRPr="006C78C7" w:rsidRDefault="00085EAF" w:rsidP="00085EAF">
      <w:pPr>
        <w:pStyle w:val="Default"/>
        <w:spacing w:before="120" w:after="120"/>
        <w:ind w:firstLine="708"/>
        <w:jc w:val="both"/>
        <w:rPr>
          <w:sz w:val="22"/>
          <w:szCs w:val="22"/>
        </w:rPr>
      </w:pPr>
      <w:r w:rsidRPr="006C78C7">
        <w:rPr>
          <w:sz w:val="22"/>
          <w:szCs w:val="22"/>
        </w:rPr>
        <w:t xml:space="preserve">Výsledné náklady vlastního kapitálu po zdanění byly vypočteny s využitím vzorce a hodnot jednotlivých parametrů uvedených výše na úrovni </w:t>
      </w:r>
      <w:r>
        <w:rPr>
          <w:sz w:val="22"/>
          <w:szCs w:val="22"/>
        </w:rPr>
        <w:t>7</w:t>
      </w:r>
      <w:r w:rsidRPr="006C78C7">
        <w:rPr>
          <w:sz w:val="22"/>
          <w:szCs w:val="22"/>
        </w:rPr>
        <w:t>,</w:t>
      </w:r>
      <w:r>
        <w:rPr>
          <w:sz w:val="22"/>
          <w:szCs w:val="22"/>
        </w:rPr>
        <w:t>95</w:t>
      </w:r>
      <w:r w:rsidRPr="006C78C7">
        <w:rPr>
          <w:sz w:val="22"/>
          <w:szCs w:val="22"/>
        </w:rPr>
        <w:t xml:space="preserve"> %.</w:t>
      </w:r>
    </w:p>
    <w:p w:rsidR="00085EAF" w:rsidRDefault="00085EAF" w:rsidP="00085EAF">
      <w:pPr>
        <w:pStyle w:val="Default"/>
        <w:spacing w:before="120" w:after="120"/>
        <w:ind w:firstLine="708"/>
        <w:jc w:val="both"/>
        <w:rPr>
          <w:sz w:val="22"/>
          <w:szCs w:val="22"/>
        </w:rPr>
      </w:pPr>
      <w:r w:rsidRPr="006C78C7">
        <w:rPr>
          <w:sz w:val="22"/>
          <w:szCs w:val="22"/>
        </w:rPr>
        <w:t xml:space="preserve">Náklady cizího kapitálu byly stanoveny na úrovni aktuálně pozorovaných výnosů do splatnosti dluhopisů emitovaných telekomunikačními společnostmi na vyspělých trzích za předpokladu průměrného úvěrového ratingu BBB a doby do splatnosti 10 let. Rating BBB byl zvolen na základě analýzy indikativních ratingů porovnatelných společností a je konzistentní s jejich oficiálními ratingy dle agentury Standard </w:t>
      </w:r>
      <w:r w:rsidRPr="00852FF0">
        <w:rPr>
          <w:sz w:val="22"/>
          <w:szCs w:val="22"/>
        </w:rPr>
        <w:t xml:space="preserve">&amp; </w:t>
      </w:r>
      <w:proofErr w:type="spellStart"/>
      <w:r w:rsidRPr="00852FF0">
        <w:rPr>
          <w:sz w:val="22"/>
          <w:szCs w:val="22"/>
        </w:rPr>
        <w:t>Poors</w:t>
      </w:r>
      <w:proofErr w:type="spellEnd"/>
      <w:r w:rsidRPr="00852FF0">
        <w:rPr>
          <w:sz w:val="22"/>
          <w:szCs w:val="22"/>
        </w:rPr>
        <w:t xml:space="preserve"> (</w:t>
      </w:r>
      <w:r w:rsidRPr="006C78C7">
        <w:rPr>
          <w:sz w:val="22"/>
          <w:szCs w:val="22"/>
        </w:rPr>
        <w:t>v případech, kdy byl tento údaj k dispozici</w:t>
      </w:r>
      <w:r w:rsidRPr="00852FF0">
        <w:rPr>
          <w:sz w:val="22"/>
          <w:szCs w:val="22"/>
        </w:rPr>
        <w:t>).</w:t>
      </w:r>
      <w:r w:rsidRPr="006C78C7">
        <w:rPr>
          <w:sz w:val="22"/>
          <w:szCs w:val="22"/>
        </w:rPr>
        <w:t xml:space="preserve"> Náklady cizího kapitálu byly odhadnuty na úrovni 3,71 % (3,01 % po zdanění).</w:t>
      </w:r>
    </w:p>
    <w:p w:rsidR="00085EAF" w:rsidRPr="00B36853" w:rsidRDefault="00085EAF" w:rsidP="00085EAF">
      <w:pPr>
        <w:spacing w:after="120"/>
        <w:ind w:firstLine="828"/>
        <w:jc w:val="both"/>
        <w:rPr>
          <w:rFonts w:ascii="Arial" w:hAnsi="Arial" w:cs="Arial"/>
          <w:sz w:val="22"/>
          <w:szCs w:val="22"/>
        </w:rPr>
      </w:pPr>
      <w:r>
        <w:rPr>
          <w:rFonts w:ascii="Arial" w:hAnsi="Arial" w:cs="Arial"/>
          <w:sz w:val="22"/>
          <w:szCs w:val="22"/>
        </w:rPr>
        <w:t>Samostatně</w:t>
      </w:r>
      <w:r w:rsidRPr="00B36853">
        <w:rPr>
          <w:rFonts w:ascii="Arial" w:hAnsi="Arial" w:cs="Arial"/>
          <w:sz w:val="22"/>
          <w:szCs w:val="22"/>
        </w:rPr>
        <w:t xml:space="preserve"> je</w:t>
      </w:r>
      <w:r>
        <w:rPr>
          <w:rFonts w:ascii="Arial" w:hAnsi="Arial" w:cs="Arial"/>
          <w:sz w:val="22"/>
          <w:szCs w:val="22"/>
        </w:rPr>
        <w:t xml:space="preserve"> v </w:t>
      </w:r>
      <w:r w:rsidRPr="00B36853">
        <w:rPr>
          <w:rFonts w:ascii="Arial" w:hAnsi="Arial" w:cs="Arial"/>
          <w:sz w:val="22"/>
          <w:szCs w:val="22"/>
        </w:rPr>
        <w:t>odst. 3 stanoveno procento návratnosti vloženého kapitálu</w:t>
      </w:r>
      <w:r>
        <w:rPr>
          <w:rFonts w:ascii="Arial" w:hAnsi="Arial" w:cs="Arial"/>
          <w:sz w:val="22"/>
          <w:szCs w:val="22"/>
        </w:rPr>
        <w:t xml:space="preserve"> před </w:t>
      </w:r>
      <w:r w:rsidRPr="00B36853">
        <w:rPr>
          <w:rFonts w:ascii="Arial" w:hAnsi="Arial" w:cs="Arial"/>
          <w:sz w:val="22"/>
          <w:szCs w:val="22"/>
        </w:rPr>
        <w:t>zdaněním WACC</w:t>
      </w:r>
      <w:r>
        <w:rPr>
          <w:rFonts w:ascii="Arial" w:hAnsi="Arial" w:cs="Arial"/>
          <w:sz w:val="22"/>
          <w:szCs w:val="22"/>
        </w:rPr>
        <w:t xml:space="preserve"> pro </w:t>
      </w:r>
      <w:r w:rsidRPr="00B36853">
        <w:rPr>
          <w:rFonts w:ascii="Arial" w:hAnsi="Arial" w:cs="Arial"/>
          <w:sz w:val="22"/>
          <w:szCs w:val="22"/>
        </w:rPr>
        <w:t>službu přístupu</w:t>
      </w:r>
      <w:r>
        <w:rPr>
          <w:rFonts w:ascii="Arial" w:hAnsi="Arial" w:cs="Arial"/>
          <w:sz w:val="22"/>
          <w:szCs w:val="22"/>
        </w:rPr>
        <w:t xml:space="preserve"> na </w:t>
      </w:r>
      <w:r w:rsidRPr="00B36853">
        <w:rPr>
          <w:rFonts w:ascii="Arial" w:hAnsi="Arial" w:cs="Arial"/>
          <w:sz w:val="22"/>
          <w:szCs w:val="22"/>
        </w:rPr>
        <w:t>přístupových sítích nové generace</w:t>
      </w:r>
      <w:r>
        <w:rPr>
          <w:rFonts w:ascii="Arial" w:hAnsi="Arial" w:cs="Arial"/>
          <w:sz w:val="22"/>
          <w:szCs w:val="22"/>
        </w:rPr>
        <w:t xml:space="preserve"> v </w:t>
      </w:r>
      <w:r w:rsidRPr="00AA6417">
        <w:rPr>
          <w:rFonts w:ascii="Arial" w:hAnsi="Arial" w:cs="Arial"/>
          <w:sz w:val="22"/>
          <w:szCs w:val="22"/>
        </w:rPr>
        <w:t>souladu s Doporučením Komise ze dne 20</w:t>
      </w:r>
      <w:r>
        <w:rPr>
          <w:rFonts w:ascii="Arial" w:hAnsi="Arial" w:cs="Arial"/>
          <w:sz w:val="22"/>
          <w:szCs w:val="22"/>
        </w:rPr>
        <w:t>.</w:t>
      </w:r>
      <w:r w:rsidRPr="00AA6417">
        <w:rPr>
          <w:rFonts w:ascii="Arial" w:hAnsi="Arial" w:cs="Arial"/>
          <w:sz w:val="22"/>
          <w:szCs w:val="22"/>
        </w:rPr>
        <w:t xml:space="preserve"> září 2010 o regulovaném přístupu k přístupovým sítím nové generace (NGA) č. 2010/572/EU. Přístupovými sítěmi nové generace s</w:t>
      </w:r>
      <w:r w:rsidRPr="00B36853">
        <w:rPr>
          <w:rFonts w:ascii="Arial" w:hAnsi="Arial" w:cs="Arial"/>
          <w:sz w:val="22"/>
          <w:szCs w:val="22"/>
        </w:rPr>
        <w:t xml:space="preserve">e rozumí kabelové přístupové sítě, které </w:t>
      </w:r>
      <w:r w:rsidRPr="0034145F">
        <w:rPr>
          <w:rFonts w:ascii="Arial" w:hAnsi="Arial" w:cs="Arial"/>
          <w:sz w:val="22"/>
          <w:szCs w:val="22"/>
        </w:rPr>
        <w:t>sestávají zcela nebo z části z</w:t>
      </w:r>
      <w:r>
        <w:rPr>
          <w:rFonts w:ascii="Arial" w:hAnsi="Arial" w:cs="Arial"/>
          <w:sz w:val="22"/>
          <w:szCs w:val="22"/>
        </w:rPr>
        <w:t xml:space="preserve"> </w:t>
      </w:r>
      <w:r w:rsidRPr="00B36853">
        <w:rPr>
          <w:rFonts w:ascii="Arial" w:hAnsi="Arial" w:cs="Arial"/>
          <w:sz w:val="22"/>
          <w:szCs w:val="22"/>
        </w:rPr>
        <w:t>optických prvků</w:t>
      </w:r>
      <w:r>
        <w:rPr>
          <w:rFonts w:ascii="Arial" w:hAnsi="Arial" w:cs="Arial"/>
          <w:sz w:val="22"/>
          <w:szCs w:val="22"/>
        </w:rPr>
        <w:t xml:space="preserve"> a </w:t>
      </w:r>
      <w:r w:rsidRPr="00B36853">
        <w:rPr>
          <w:rFonts w:ascii="Arial" w:hAnsi="Arial" w:cs="Arial"/>
          <w:sz w:val="22"/>
          <w:szCs w:val="22"/>
        </w:rPr>
        <w:t>které jsou schopné dodávat služby širokopásmového přístupu</w:t>
      </w:r>
      <w:r>
        <w:rPr>
          <w:rFonts w:ascii="Arial" w:hAnsi="Arial" w:cs="Arial"/>
          <w:sz w:val="22"/>
          <w:szCs w:val="22"/>
        </w:rPr>
        <w:t xml:space="preserve"> s </w:t>
      </w:r>
      <w:r w:rsidRPr="00B36853">
        <w:rPr>
          <w:rFonts w:ascii="Arial" w:hAnsi="Arial" w:cs="Arial"/>
          <w:sz w:val="22"/>
          <w:szCs w:val="22"/>
        </w:rPr>
        <w:t>dokonalejšími vlastnostmi (např.</w:t>
      </w:r>
      <w:r>
        <w:rPr>
          <w:rFonts w:ascii="Arial" w:hAnsi="Arial" w:cs="Arial"/>
          <w:sz w:val="22"/>
          <w:szCs w:val="22"/>
        </w:rPr>
        <w:t xml:space="preserve"> s </w:t>
      </w:r>
      <w:r w:rsidRPr="00B36853">
        <w:rPr>
          <w:rFonts w:ascii="Arial" w:hAnsi="Arial" w:cs="Arial"/>
          <w:sz w:val="22"/>
          <w:szCs w:val="22"/>
        </w:rPr>
        <w:t>vyšší propustností)</w:t>
      </w:r>
      <w:r>
        <w:rPr>
          <w:rFonts w:ascii="Arial" w:hAnsi="Arial" w:cs="Arial"/>
          <w:sz w:val="22"/>
          <w:szCs w:val="22"/>
        </w:rPr>
        <w:t xml:space="preserve"> ve </w:t>
      </w:r>
      <w:r w:rsidRPr="00B36853">
        <w:rPr>
          <w:rFonts w:ascii="Arial" w:hAnsi="Arial" w:cs="Arial"/>
          <w:sz w:val="22"/>
          <w:szCs w:val="22"/>
        </w:rPr>
        <w:t>srovnání se službami poskytovanými prostřednictvím stávajících sítí založených</w:t>
      </w:r>
      <w:r>
        <w:rPr>
          <w:rFonts w:ascii="Arial" w:hAnsi="Arial" w:cs="Arial"/>
          <w:sz w:val="22"/>
          <w:szCs w:val="22"/>
        </w:rPr>
        <w:t xml:space="preserve"> na </w:t>
      </w:r>
      <w:r w:rsidRPr="00B36853">
        <w:rPr>
          <w:rFonts w:ascii="Arial" w:hAnsi="Arial" w:cs="Arial"/>
          <w:sz w:val="22"/>
          <w:szCs w:val="22"/>
        </w:rPr>
        <w:t>kovovém vedení.</w:t>
      </w:r>
    </w:p>
    <w:p w:rsidR="00085EAF" w:rsidRPr="00B36853" w:rsidRDefault="00085EAF" w:rsidP="00085EAF">
      <w:pPr>
        <w:spacing w:before="120"/>
        <w:ind w:firstLine="828"/>
        <w:jc w:val="both"/>
        <w:rPr>
          <w:rFonts w:ascii="Arial" w:hAnsi="Arial" w:cs="Arial"/>
          <w:sz w:val="22"/>
          <w:szCs w:val="22"/>
        </w:rPr>
      </w:pPr>
      <w:r w:rsidRPr="00B36853">
        <w:rPr>
          <w:rFonts w:ascii="Arial" w:hAnsi="Arial" w:cs="Arial"/>
          <w:sz w:val="22"/>
          <w:szCs w:val="22"/>
        </w:rPr>
        <w:t xml:space="preserve">Zavádění </w:t>
      </w:r>
      <w:r w:rsidRPr="00AA6417">
        <w:rPr>
          <w:rFonts w:ascii="Arial" w:hAnsi="Arial" w:cs="Arial"/>
          <w:sz w:val="22"/>
          <w:szCs w:val="22"/>
        </w:rPr>
        <w:t>přístupových sítí nové generace typu</w:t>
      </w:r>
      <w:r>
        <w:rPr>
          <w:rFonts w:ascii="Arial" w:hAnsi="Arial" w:cs="Arial"/>
          <w:sz w:val="22"/>
          <w:szCs w:val="22"/>
        </w:rPr>
        <w:t xml:space="preserve"> </w:t>
      </w:r>
      <w:r w:rsidRPr="00B36853">
        <w:rPr>
          <w:rFonts w:ascii="Arial" w:hAnsi="Arial" w:cs="Arial"/>
          <w:sz w:val="22"/>
          <w:szCs w:val="22"/>
        </w:rPr>
        <w:t>FTTH (</w:t>
      </w:r>
      <w:proofErr w:type="spellStart"/>
      <w:r w:rsidRPr="00B36853">
        <w:rPr>
          <w:rFonts w:ascii="Arial" w:hAnsi="Arial" w:cs="Arial"/>
          <w:sz w:val="22"/>
          <w:szCs w:val="22"/>
        </w:rPr>
        <w:t>Fibr</w:t>
      </w:r>
      <w:r>
        <w:rPr>
          <w:rFonts w:ascii="Arial" w:hAnsi="Arial" w:cs="Arial"/>
          <w:sz w:val="22"/>
          <w:szCs w:val="22"/>
        </w:rPr>
        <w:t>e</w:t>
      </w:r>
      <w:proofErr w:type="spellEnd"/>
      <w:r w:rsidRPr="00B36853">
        <w:rPr>
          <w:rFonts w:ascii="Arial" w:hAnsi="Arial" w:cs="Arial"/>
          <w:sz w:val="22"/>
          <w:szCs w:val="22"/>
        </w:rPr>
        <w:t xml:space="preserve"> to </w:t>
      </w:r>
      <w:proofErr w:type="spellStart"/>
      <w:r w:rsidRPr="00B36853">
        <w:rPr>
          <w:rFonts w:ascii="Arial" w:hAnsi="Arial" w:cs="Arial"/>
          <w:sz w:val="22"/>
          <w:szCs w:val="22"/>
        </w:rPr>
        <w:t>the</w:t>
      </w:r>
      <w:proofErr w:type="spellEnd"/>
      <w:r w:rsidRPr="00B36853">
        <w:rPr>
          <w:rFonts w:ascii="Arial" w:hAnsi="Arial" w:cs="Arial"/>
          <w:sz w:val="22"/>
          <w:szCs w:val="22"/>
        </w:rPr>
        <w:t xml:space="preserve"> </w:t>
      </w:r>
      <w:proofErr w:type="spellStart"/>
      <w:r w:rsidRPr="00B36853">
        <w:rPr>
          <w:rFonts w:ascii="Arial" w:hAnsi="Arial" w:cs="Arial"/>
          <w:sz w:val="22"/>
          <w:szCs w:val="22"/>
        </w:rPr>
        <w:t>Home</w:t>
      </w:r>
      <w:proofErr w:type="spellEnd"/>
      <w:r w:rsidRPr="00B36853">
        <w:rPr>
          <w:rFonts w:ascii="Arial" w:hAnsi="Arial" w:cs="Arial"/>
          <w:sz w:val="22"/>
          <w:szCs w:val="22"/>
        </w:rPr>
        <w:t>) je obvykle spojeno se značnými riziky vzhledem</w:t>
      </w:r>
      <w:r>
        <w:rPr>
          <w:rFonts w:ascii="Arial" w:hAnsi="Arial" w:cs="Arial"/>
          <w:sz w:val="22"/>
          <w:szCs w:val="22"/>
        </w:rPr>
        <w:t xml:space="preserve"> k </w:t>
      </w:r>
      <w:r w:rsidRPr="00B36853">
        <w:rPr>
          <w:rFonts w:ascii="Arial" w:hAnsi="Arial" w:cs="Arial"/>
          <w:sz w:val="22"/>
          <w:szCs w:val="22"/>
        </w:rPr>
        <w:t>vysokým nákladům</w:t>
      </w:r>
      <w:r>
        <w:rPr>
          <w:rFonts w:ascii="Arial" w:hAnsi="Arial" w:cs="Arial"/>
          <w:sz w:val="22"/>
          <w:szCs w:val="22"/>
        </w:rPr>
        <w:t xml:space="preserve"> na </w:t>
      </w:r>
      <w:r w:rsidRPr="00B36853">
        <w:rPr>
          <w:rFonts w:ascii="Arial" w:hAnsi="Arial" w:cs="Arial"/>
          <w:sz w:val="22"/>
          <w:szCs w:val="22"/>
        </w:rPr>
        <w:t>jeho zavedení</w:t>
      </w:r>
      <w:r>
        <w:rPr>
          <w:rFonts w:ascii="Arial" w:hAnsi="Arial" w:cs="Arial"/>
          <w:sz w:val="22"/>
          <w:szCs w:val="22"/>
        </w:rPr>
        <w:t xml:space="preserve"> do </w:t>
      </w:r>
      <w:r w:rsidRPr="00B36853">
        <w:rPr>
          <w:rFonts w:ascii="Arial" w:hAnsi="Arial" w:cs="Arial"/>
          <w:sz w:val="22"/>
          <w:szCs w:val="22"/>
        </w:rPr>
        <w:t>domácnost</w:t>
      </w:r>
      <w:r>
        <w:rPr>
          <w:rFonts w:ascii="Arial" w:hAnsi="Arial" w:cs="Arial"/>
          <w:sz w:val="22"/>
          <w:szCs w:val="22"/>
        </w:rPr>
        <w:t xml:space="preserve">i a ke </w:t>
      </w:r>
      <w:r w:rsidRPr="00B36853">
        <w:rPr>
          <w:rFonts w:ascii="Arial" w:hAnsi="Arial" w:cs="Arial"/>
          <w:sz w:val="22"/>
          <w:szCs w:val="22"/>
        </w:rPr>
        <w:t>stále ještě omezenému počtu maloobchodních služeb vyžadujících dokonalejší vlastnosti (např. vyšší propustnost), které je možné poskytnout pouze</w:t>
      </w:r>
      <w:r>
        <w:rPr>
          <w:rFonts w:ascii="Arial" w:hAnsi="Arial" w:cs="Arial"/>
          <w:sz w:val="22"/>
          <w:szCs w:val="22"/>
        </w:rPr>
        <w:t xml:space="preserve"> s </w:t>
      </w:r>
      <w:r w:rsidRPr="00B36853">
        <w:rPr>
          <w:rFonts w:ascii="Arial" w:hAnsi="Arial" w:cs="Arial"/>
          <w:sz w:val="22"/>
          <w:szCs w:val="22"/>
        </w:rPr>
        <w:t>využitím optických vláken. Investice</w:t>
      </w:r>
      <w:r>
        <w:rPr>
          <w:rFonts w:ascii="Arial" w:hAnsi="Arial" w:cs="Arial"/>
          <w:sz w:val="22"/>
          <w:szCs w:val="22"/>
        </w:rPr>
        <w:t xml:space="preserve"> do </w:t>
      </w:r>
      <w:r w:rsidRPr="00B36853">
        <w:rPr>
          <w:rFonts w:ascii="Arial" w:hAnsi="Arial" w:cs="Arial"/>
          <w:sz w:val="22"/>
          <w:szCs w:val="22"/>
        </w:rPr>
        <w:t>optických vláken závisí, pokud jde</w:t>
      </w:r>
      <w:r>
        <w:rPr>
          <w:rFonts w:ascii="Arial" w:hAnsi="Arial" w:cs="Arial"/>
          <w:sz w:val="22"/>
          <w:szCs w:val="22"/>
        </w:rPr>
        <w:t xml:space="preserve"> o </w:t>
      </w:r>
      <w:r w:rsidRPr="00B36853">
        <w:rPr>
          <w:rFonts w:ascii="Arial" w:hAnsi="Arial" w:cs="Arial"/>
          <w:sz w:val="22"/>
          <w:szCs w:val="22"/>
        </w:rPr>
        <w:t>jejich amortizaci,</w:t>
      </w:r>
      <w:r>
        <w:rPr>
          <w:rFonts w:ascii="Arial" w:hAnsi="Arial" w:cs="Arial"/>
          <w:sz w:val="22"/>
          <w:szCs w:val="22"/>
        </w:rPr>
        <w:t xml:space="preserve"> na </w:t>
      </w:r>
      <w:r w:rsidRPr="00B36853">
        <w:rPr>
          <w:rFonts w:ascii="Arial" w:hAnsi="Arial" w:cs="Arial"/>
          <w:sz w:val="22"/>
          <w:szCs w:val="22"/>
        </w:rPr>
        <w:t>zavádění nových služeb poskytovaných prostřednictvím sítí NGA</w:t>
      </w:r>
      <w:r>
        <w:rPr>
          <w:rFonts w:ascii="Arial" w:hAnsi="Arial" w:cs="Arial"/>
          <w:sz w:val="22"/>
          <w:szCs w:val="22"/>
        </w:rPr>
        <w:t xml:space="preserve"> v </w:t>
      </w:r>
      <w:r w:rsidRPr="00B36853">
        <w:rPr>
          <w:rFonts w:ascii="Arial" w:hAnsi="Arial" w:cs="Arial"/>
          <w:sz w:val="22"/>
          <w:szCs w:val="22"/>
        </w:rPr>
        <w:t>krátkodobém</w:t>
      </w:r>
      <w:r>
        <w:rPr>
          <w:rFonts w:ascii="Arial" w:hAnsi="Arial" w:cs="Arial"/>
          <w:sz w:val="22"/>
          <w:szCs w:val="22"/>
        </w:rPr>
        <w:t xml:space="preserve"> a </w:t>
      </w:r>
      <w:r w:rsidRPr="00B36853">
        <w:rPr>
          <w:rFonts w:ascii="Arial" w:hAnsi="Arial" w:cs="Arial"/>
          <w:sz w:val="22"/>
          <w:szCs w:val="22"/>
        </w:rPr>
        <w:t>střednědobém horizontu. Náklady</w:t>
      </w:r>
      <w:r>
        <w:rPr>
          <w:rFonts w:ascii="Arial" w:hAnsi="Arial" w:cs="Arial"/>
          <w:sz w:val="22"/>
          <w:szCs w:val="22"/>
        </w:rPr>
        <w:t xml:space="preserve"> na </w:t>
      </w:r>
      <w:r w:rsidRPr="00B36853">
        <w:rPr>
          <w:rFonts w:ascii="Arial" w:hAnsi="Arial" w:cs="Arial"/>
          <w:sz w:val="22"/>
          <w:szCs w:val="22"/>
        </w:rPr>
        <w:t>kapitál operátora</w:t>
      </w:r>
      <w:r>
        <w:rPr>
          <w:rFonts w:ascii="Arial" w:hAnsi="Arial" w:cs="Arial"/>
          <w:sz w:val="22"/>
          <w:szCs w:val="22"/>
        </w:rPr>
        <w:t xml:space="preserve"> s </w:t>
      </w:r>
      <w:r w:rsidRPr="00B36853">
        <w:rPr>
          <w:rFonts w:ascii="Arial" w:hAnsi="Arial" w:cs="Arial"/>
          <w:sz w:val="22"/>
          <w:szCs w:val="22"/>
        </w:rPr>
        <w:t>významnou tržní silou by měly odrážet vyšší riziko investic</w:t>
      </w:r>
      <w:r>
        <w:rPr>
          <w:rFonts w:ascii="Arial" w:hAnsi="Arial" w:cs="Arial"/>
          <w:sz w:val="22"/>
          <w:szCs w:val="22"/>
        </w:rPr>
        <w:t xml:space="preserve"> v </w:t>
      </w:r>
      <w:r w:rsidRPr="00B36853">
        <w:rPr>
          <w:rFonts w:ascii="Arial" w:hAnsi="Arial" w:cs="Arial"/>
          <w:sz w:val="22"/>
          <w:szCs w:val="22"/>
        </w:rPr>
        <w:t>poměru</w:t>
      </w:r>
      <w:r>
        <w:rPr>
          <w:rFonts w:ascii="Arial" w:hAnsi="Arial" w:cs="Arial"/>
          <w:sz w:val="22"/>
          <w:szCs w:val="22"/>
        </w:rPr>
        <w:t xml:space="preserve"> k </w:t>
      </w:r>
      <w:r w:rsidRPr="00B36853">
        <w:rPr>
          <w:rFonts w:ascii="Arial" w:hAnsi="Arial" w:cs="Arial"/>
          <w:sz w:val="22"/>
          <w:szCs w:val="22"/>
        </w:rPr>
        <w:t>investicím</w:t>
      </w:r>
      <w:r>
        <w:rPr>
          <w:rFonts w:ascii="Arial" w:hAnsi="Arial" w:cs="Arial"/>
          <w:sz w:val="22"/>
          <w:szCs w:val="22"/>
        </w:rPr>
        <w:t xml:space="preserve"> do </w:t>
      </w:r>
      <w:r w:rsidRPr="00B36853">
        <w:rPr>
          <w:rFonts w:ascii="Arial" w:hAnsi="Arial" w:cs="Arial"/>
          <w:sz w:val="22"/>
          <w:szCs w:val="22"/>
        </w:rPr>
        <w:t>stávajících sítí založených</w:t>
      </w:r>
      <w:r>
        <w:rPr>
          <w:rFonts w:ascii="Arial" w:hAnsi="Arial" w:cs="Arial"/>
          <w:sz w:val="22"/>
          <w:szCs w:val="22"/>
        </w:rPr>
        <w:t xml:space="preserve"> na </w:t>
      </w:r>
      <w:r w:rsidRPr="00B36853">
        <w:rPr>
          <w:rFonts w:ascii="Arial" w:hAnsi="Arial" w:cs="Arial"/>
          <w:sz w:val="22"/>
          <w:szCs w:val="22"/>
        </w:rPr>
        <w:t xml:space="preserve">kovovém vedení. </w:t>
      </w:r>
    </w:p>
    <w:p w:rsidR="00085EAF" w:rsidRDefault="00085EAF" w:rsidP="00085EAF">
      <w:pPr>
        <w:spacing w:before="120"/>
        <w:ind w:firstLine="828"/>
        <w:jc w:val="both"/>
        <w:rPr>
          <w:rFonts w:ascii="Arial" w:hAnsi="Arial" w:cs="Arial"/>
          <w:sz w:val="22"/>
          <w:szCs w:val="22"/>
        </w:rPr>
      </w:pPr>
      <w:r w:rsidRPr="00454BD8">
        <w:rPr>
          <w:rFonts w:ascii="Arial" w:hAnsi="Arial" w:cs="Arial"/>
          <w:sz w:val="22"/>
          <w:szCs w:val="22"/>
        </w:rPr>
        <w:t>Doporučení Komise ze dne 20</w:t>
      </w:r>
      <w:r>
        <w:rPr>
          <w:rFonts w:ascii="Arial" w:hAnsi="Arial" w:cs="Arial"/>
          <w:sz w:val="22"/>
          <w:szCs w:val="22"/>
        </w:rPr>
        <w:t>.</w:t>
      </w:r>
      <w:r w:rsidRPr="00454BD8">
        <w:rPr>
          <w:rFonts w:ascii="Arial" w:hAnsi="Arial" w:cs="Arial"/>
          <w:sz w:val="22"/>
          <w:szCs w:val="22"/>
        </w:rPr>
        <w:t xml:space="preserve"> září 2010 o regulovaném přístupu k</w:t>
      </w:r>
      <w:r>
        <w:rPr>
          <w:rFonts w:ascii="Arial" w:hAnsi="Arial" w:cs="Arial"/>
          <w:sz w:val="22"/>
          <w:szCs w:val="22"/>
        </w:rPr>
        <w:t xml:space="preserve"> </w:t>
      </w:r>
      <w:r w:rsidRPr="00454BD8">
        <w:rPr>
          <w:rFonts w:ascii="Arial" w:hAnsi="Arial" w:cs="Arial"/>
          <w:sz w:val="22"/>
          <w:szCs w:val="22"/>
        </w:rPr>
        <w:t>přístupovým sítím nové generace (NGA) č. 2010/572/EU</w:t>
      </w:r>
      <w:r w:rsidRPr="00B36853">
        <w:rPr>
          <w:rFonts w:ascii="Arial" w:hAnsi="Arial" w:cs="Arial"/>
          <w:sz w:val="22"/>
          <w:szCs w:val="22"/>
        </w:rPr>
        <w:t xml:space="preserve"> </w:t>
      </w:r>
      <w:r>
        <w:rPr>
          <w:rFonts w:ascii="Arial" w:hAnsi="Arial" w:cs="Arial"/>
          <w:sz w:val="22"/>
          <w:szCs w:val="22"/>
        </w:rPr>
        <w:t>doporučuje</w:t>
      </w:r>
      <w:r w:rsidRPr="00B36853">
        <w:rPr>
          <w:rFonts w:ascii="Arial" w:hAnsi="Arial" w:cs="Arial"/>
          <w:sz w:val="22"/>
          <w:szCs w:val="22"/>
        </w:rPr>
        <w:t xml:space="preserve"> vnitrostátním regulačním orgánům</w:t>
      </w:r>
      <w:r>
        <w:rPr>
          <w:rFonts w:ascii="Arial" w:hAnsi="Arial" w:cs="Arial"/>
          <w:sz w:val="22"/>
          <w:szCs w:val="22"/>
        </w:rPr>
        <w:t xml:space="preserve"> </w:t>
      </w:r>
      <w:r>
        <w:rPr>
          <w:rFonts w:ascii="Arial" w:hAnsi="Arial" w:cs="Arial"/>
          <w:sz w:val="22"/>
          <w:szCs w:val="22"/>
        </w:rPr>
        <w:lastRenderedPageBreak/>
        <w:t>při </w:t>
      </w:r>
      <w:r w:rsidRPr="00B36853">
        <w:rPr>
          <w:rFonts w:ascii="Arial" w:hAnsi="Arial" w:cs="Arial"/>
          <w:sz w:val="22"/>
          <w:szCs w:val="22"/>
        </w:rPr>
        <w:t>stanovování ceny</w:t>
      </w:r>
      <w:r>
        <w:rPr>
          <w:rFonts w:ascii="Arial" w:hAnsi="Arial" w:cs="Arial"/>
          <w:sz w:val="22"/>
          <w:szCs w:val="22"/>
        </w:rPr>
        <w:t xml:space="preserve"> za </w:t>
      </w:r>
      <w:r w:rsidRPr="00B36853">
        <w:rPr>
          <w:rFonts w:ascii="Arial" w:hAnsi="Arial" w:cs="Arial"/>
          <w:sz w:val="22"/>
          <w:szCs w:val="22"/>
        </w:rPr>
        <w:t>zpřístupnění účastnického vedení z</w:t>
      </w:r>
      <w:r>
        <w:rPr>
          <w:rFonts w:ascii="Arial" w:hAnsi="Arial" w:cs="Arial"/>
          <w:sz w:val="22"/>
          <w:szCs w:val="22"/>
        </w:rPr>
        <w:t xml:space="preserve"> </w:t>
      </w:r>
      <w:r w:rsidRPr="00B36853">
        <w:rPr>
          <w:rFonts w:ascii="Arial" w:hAnsi="Arial" w:cs="Arial"/>
          <w:sz w:val="22"/>
          <w:szCs w:val="22"/>
        </w:rPr>
        <w:t>optického vlákna</w:t>
      </w:r>
      <w:r>
        <w:rPr>
          <w:rFonts w:ascii="Arial" w:hAnsi="Arial" w:cs="Arial"/>
          <w:sz w:val="22"/>
          <w:szCs w:val="22"/>
        </w:rPr>
        <w:t xml:space="preserve"> a za </w:t>
      </w:r>
      <w:r w:rsidRPr="00B36853">
        <w:rPr>
          <w:rFonts w:ascii="Arial" w:hAnsi="Arial" w:cs="Arial"/>
          <w:sz w:val="22"/>
          <w:szCs w:val="22"/>
        </w:rPr>
        <w:t>přístup</w:t>
      </w:r>
      <w:r>
        <w:rPr>
          <w:rFonts w:ascii="Arial" w:hAnsi="Arial" w:cs="Arial"/>
          <w:sz w:val="22"/>
          <w:szCs w:val="22"/>
        </w:rPr>
        <w:t xml:space="preserve"> </w:t>
      </w:r>
      <w:r>
        <w:rPr>
          <w:rFonts w:ascii="Arial" w:hAnsi="Arial" w:cs="Arial"/>
          <w:sz w:val="22"/>
          <w:szCs w:val="22"/>
        </w:rPr>
        <w:br/>
        <w:t xml:space="preserve">k </w:t>
      </w:r>
      <w:r w:rsidRPr="00B36853">
        <w:rPr>
          <w:rFonts w:ascii="Arial" w:hAnsi="Arial" w:cs="Arial"/>
          <w:sz w:val="22"/>
          <w:szCs w:val="22"/>
        </w:rPr>
        <w:t xml:space="preserve">infrastruktuře FTTH </w:t>
      </w:r>
      <w:r w:rsidRPr="00E07D07">
        <w:rPr>
          <w:rFonts w:ascii="Arial" w:hAnsi="Arial" w:cs="Arial"/>
          <w:sz w:val="22"/>
          <w:szCs w:val="22"/>
        </w:rPr>
        <w:t>vyhodnotit</w:t>
      </w:r>
      <w:r w:rsidRPr="00B36853">
        <w:rPr>
          <w:rFonts w:ascii="Arial" w:hAnsi="Arial" w:cs="Arial"/>
          <w:sz w:val="22"/>
          <w:szCs w:val="22"/>
        </w:rPr>
        <w:t xml:space="preserve"> toto zvýšené riziko</w:t>
      </w:r>
      <w:r>
        <w:rPr>
          <w:rFonts w:ascii="Arial" w:hAnsi="Arial" w:cs="Arial"/>
          <w:sz w:val="22"/>
          <w:szCs w:val="22"/>
        </w:rPr>
        <w:t xml:space="preserve"> ve </w:t>
      </w:r>
      <w:r w:rsidRPr="00B36853">
        <w:rPr>
          <w:rFonts w:ascii="Arial" w:hAnsi="Arial" w:cs="Arial"/>
          <w:sz w:val="22"/>
          <w:szCs w:val="22"/>
        </w:rPr>
        <w:t>formě rizikové prémie zahrnuté</w:t>
      </w:r>
      <w:r>
        <w:rPr>
          <w:rFonts w:ascii="Arial" w:hAnsi="Arial" w:cs="Arial"/>
          <w:sz w:val="22"/>
          <w:szCs w:val="22"/>
        </w:rPr>
        <w:t xml:space="preserve"> </w:t>
      </w:r>
      <w:r>
        <w:rPr>
          <w:rFonts w:ascii="Arial" w:hAnsi="Arial" w:cs="Arial"/>
          <w:sz w:val="22"/>
          <w:szCs w:val="22"/>
        </w:rPr>
        <w:br/>
        <w:t xml:space="preserve">v </w:t>
      </w:r>
      <w:r w:rsidRPr="00B36853">
        <w:rPr>
          <w:rFonts w:ascii="Arial" w:hAnsi="Arial" w:cs="Arial"/>
          <w:sz w:val="22"/>
          <w:szCs w:val="22"/>
        </w:rPr>
        <w:t xml:space="preserve">nákladech kapitálu. </w:t>
      </w:r>
    </w:p>
    <w:p w:rsidR="00085EAF" w:rsidRPr="006E2A13" w:rsidRDefault="00085EAF" w:rsidP="00085EAF">
      <w:pPr>
        <w:spacing w:before="120"/>
        <w:ind w:firstLine="828"/>
        <w:jc w:val="both"/>
        <w:rPr>
          <w:rFonts w:ascii="Arial" w:hAnsi="Arial" w:cs="Arial"/>
          <w:strike/>
          <w:sz w:val="22"/>
          <w:szCs w:val="22"/>
        </w:rPr>
      </w:pPr>
      <w:r w:rsidRPr="006E2A13">
        <w:rPr>
          <w:rFonts w:ascii="Arial" w:hAnsi="Arial" w:cs="Arial"/>
          <w:sz w:val="22"/>
          <w:szCs w:val="22"/>
        </w:rPr>
        <w:t>V souladu s uvedeným doporučením vyčíslil Úřad a vydal v druhé polovině roku 2013 v opatření obecné povahy č. OOP/4/08.2013-3 rizikovou prémii pro investice do sítí z optického vlákna pro systematická rizika ve výši 2,38 % (dále též „</w:t>
      </w:r>
      <w:proofErr w:type="spellStart"/>
      <w:r w:rsidRPr="006E2A13">
        <w:rPr>
          <w:rFonts w:ascii="Arial" w:hAnsi="Arial" w:cs="Arial"/>
          <w:sz w:val="22"/>
          <w:szCs w:val="22"/>
        </w:rPr>
        <w:t>RP</w:t>
      </w:r>
      <w:r w:rsidRPr="006E2A13">
        <w:rPr>
          <w:rFonts w:ascii="Arial" w:hAnsi="Arial" w:cs="Arial"/>
          <w:sz w:val="22"/>
          <w:szCs w:val="22"/>
          <w:vertAlign w:val="subscript"/>
        </w:rPr>
        <w:t>syst</w:t>
      </w:r>
      <w:proofErr w:type="spellEnd"/>
      <w:r w:rsidRPr="006E2A13">
        <w:rPr>
          <w:rFonts w:ascii="Arial" w:hAnsi="Arial" w:cs="Arial"/>
          <w:sz w:val="22"/>
          <w:szCs w:val="22"/>
        </w:rPr>
        <w:t>“) a pro nesystematická rizika ve výši 2 % (dále též „</w:t>
      </w:r>
      <w:proofErr w:type="spellStart"/>
      <w:r w:rsidRPr="006E2A13">
        <w:rPr>
          <w:rFonts w:ascii="Arial" w:hAnsi="Arial" w:cs="Arial"/>
          <w:sz w:val="22"/>
          <w:szCs w:val="22"/>
        </w:rPr>
        <w:t>RP</w:t>
      </w:r>
      <w:r w:rsidRPr="006E2A13">
        <w:rPr>
          <w:rFonts w:ascii="Arial" w:hAnsi="Arial" w:cs="Arial"/>
          <w:sz w:val="22"/>
          <w:szCs w:val="22"/>
          <w:vertAlign w:val="subscript"/>
        </w:rPr>
        <w:t>nesyst</w:t>
      </w:r>
      <w:proofErr w:type="spellEnd"/>
      <w:r w:rsidRPr="006E2A13">
        <w:rPr>
          <w:rFonts w:ascii="Arial" w:hAnsi="Arial" w:cs="Arial"/>
          <w:sz w:val="22"/>
          <w:szCs w:val="22"/>
        </w:rPr>
        <w:t xml:space="preserve">“). </w:t>
      </w:r>
    </w:p>
    <w:p w:rsidR="00085EAF" w:rsidRPr="006E2A13" w:rsidRDefault="00085EAF" w:rsidP="00085EAF">
      <w:pPr>
        <w:spacing w:before="120"/>
        <w:ind w:firstLine="828"/>
        <w:jc w:val="both"/>
        <w:rPr>
          <w:rFonts w:ascii="Arial" w:hAnsi="Arial" w:cs="Arial"/>
          <w:sz w:val="22"/>
          <w:szCs w:val="22"/>
        </w:rPr>
      </w:pPr>
      <w:r w:rsidRPr="006E2A13">
        <w:rPr>
          <w:rFonts w:ascii="Arial" w:hAnsi="Arial" w:cs="Arial"/>
          <w:sz w:val="22"/>
          <w:szCs w:val="22"/>
        </w:rPr>
        <w:t xml:space="preserve">Stanovená riziková prémie (za systematická a </w:t>
      </w:r>
      <w:proofErr w:type="gramStart"/>
      <w:r w:rsidRPr="006E2A13">
        <w:rPr>
          <w:rFonts w:ascii="Arial" w:hAnsi="Arial" w:cs="Arial"/>
          <w:sz w:val="22"/>
          <w:szCs w:val="22"/>
        </w:rPr>
        <w:t>nesystematické rizika</w:t>
      </w:r>
      <w:proofErr w:type="gramEnd"/>
      <w:r w:rsidRPr="006E2A13">
        <w:rPr>
          <w:rFonts w:ascii="Arial" w:hAnsi="Arial" w:cs="Arial"/>
          <w:sz w:val="22"/>
          <w:szCs w:val="22"/>
        </w:rPr>
        <w:t xml:space="preserve">) byla zohledněna </w:t>
      </w:r>
      <w:r w:rsidRPr="006E2A13">
        <w:rPr>
          <w:rFonts w:ascii="Arial" w:hAnsi="Arial" w:cs="Arial"/>
          <w:sz w:val="22"/>
          <w:szCs w:val="22"/>
        </w:rPr>
        <w:br/>
        <w:t>v nákladech vlastního kapitálu, určených metodou CAPM, a to takto:</w:t>
      </w:r>
    </w:p>
    <w:p w:rsidR="00085EAF" w:rsidRPr="006E2A13" w:rsidRDefault="00085EAF" w:rsidP="00085EAF">
      <w:pPr>
        <w:spacing w:before="240"/>
        <w:rPr>
          <w:rFonts w:ascii="Arial" w:eastAsia="Arial Unicode MS" w:hAnsi="Arial" w:cs="Arial"/>
          <w:sz w:val="22"/>
          <w:szCs w:val="22"/>
        </w:rPr>
      </w:pPr>
      <w:r w:rsidRPr="006E2A13">
        <w:rPr>
          <w:rFonts w:ascii="Arial" w:eastAsia="Arial Unicode MS" w:hAnsi="Arial" w:cs="Arial"/>
          <w:i/>
          <w:sz w:val="22"/>
          <w:szCs w:val="22"/>
        </w:rPr>
        <w:t>r</w:t>
      </w:r>
      <w:r w:rsidRPr="006E2A13">
        <w:rPr>
          <w:rFonts w:ascii="Arial" w:eastAsia="Arial Unicode MS" w:hAnsi="Arial" w:cs="Arial"/>
          <w:i/>
          <w:sz w:val="22"/>
          <w:szCs w:val="22"/>
          <w:vertAlign w:val="subscript"/>
        </w:rPr>
        <w:t>e</w:t>
      </w:r>
      <w:r w:rsidRPr="006E2A13">
        <w:rPr>
          <w:rFonts w:ascii="Arial" w:eastAsia="Arial Unicode MS" w:hAnsi="Arial" w:cs="Arial"/>
          <w:i/>
          <w:sz w:val="22"/>
          <w:szCs w:val="22"/>
        </w:rPr>
        <w:t xml:space="preserve"> = </w:t>
      </w:r>
      <w:proofErr w:type="spellStart"/>
      <w:proofErr w:type="gramStart"/>
      <w:r w:rsidRPr="006E2A13">
        <w:rPr>
          <w:rFonts w:ascii="Arial" w:eastAsia="Arial Unicode MS" w:hAnsi="Arial" w:cs="Arial"/>
          <w:i/>
          <w:sz w:val="22"/>
          <w:szCs w:val="22"/>
        </w:rPr>
        <w:t>r</w:t>
      </w:r>
      <w:r w:rsidRPr="006E2A13">
        <w:rPr>
          <w:rFonts w:ascii="Arial" w:eastAsia="Arial Unicode MS" w:hAnsi="Arial" w:cs="Arial"/>
          <w:i/>
          <w:sz w:val="22"/>
          <w:szCs w:val="22"/>
          <w:vertAlign w:val="subscript"/>
        </w:rPr>
        <w:t>f</w:t>
      </w:r>
      <w:proofErr w:type="spellEnd"/>
      <w:r w:rsidRPr="006E2A13">
        <w:rPr>
          <w:rFonts w:ascii="Arial" w:eastAsia="Arial Unicode MS" w:hAnsi="Arial" w:cs="Arial"/>
          <w:i/>
          <w:sz w:val="22"/>
          <w:szCs w:val="22"/>
        </w:rPr>
        <w:t xml:space="preserve"> </w:t>
      </w:r>
      <w:r w:rsidRPr="006E2A13">
        <w:rPr>
          <w:rFonts w:ascii="Arial" w:eastAsia="Arial Unicode MS" w:hAnsi="Arial" w:cs="Arial"/>
          <w:sz w:val="22"/>
          <w:szCs w:val="22"/>
        </w:rPr>
        <w:t xml:space="preserve"> +</w:t>
      </w:r>
      <w:proofErr w:type="gramEnd"/>
      <w:r w:rsidRPr="006E2A13">
        <w:rPr>
          <w:rFonts w:ascii="Arial" w:eastAsia="Arial Unicode MS" w:hAnsi="Arial" w:cs="Arial"/>
          <w:sz w:val="22"/>
          <w:szCs w:val="22"/>
        </w:rPr>
        <w:t xml:space="preserve"> </w:t>
      </w:r>
      <w:r w:rsidRPr="006E2A13">
        <w:rPr>
          <w:rFonts w:ascii="Arial" w:eastAsia="MS Mincho" w:hAnsi="Arial" w:cs="Arial"/>
          <w:i/>
          <w:noProof/>
          <w:sz w:val="22"/>
          <w:szCs w:val="22"/>
          <w:lang w:eastAsia="zh-TW"/>
        </w:rPr>
        <w:t>ß</w:t>
      </w:r>
      <w:r w:rsidRPr="006E2A13">
        <w:rPr>
          <w:rFonts w:ascii="Arial" w:eastAsia="Arial Unicode MS" w:hAnsi="Arial" w:cs="Arial"/>
          <w:sz w:val="22"/>
          <w:szCs w:val="22"/>
        </w:rPr>
        <w:t xml:space="preserve"> x </w:t>
      </w:r>
      <w:r w:rsidRPr="006E2A13">
        <w:rPr>
          <w:rFonts w:ascii="Arial" w:eastAsia="Arial Unicode MS" w:hAnsi="Arial" w:cs="Arial"/>
          <w:i/>
          <w:sz w:val="22"/>
          <w:szCs w:val="22"/>
        </w:rPr>
        <w:t>(</w:t>
      </w:r>
      <w:proofErr w:type="spellStart"/>
      <w:r w:rsidRPr="006E2A13">
        <w:rPr>
          <w:rFonts w:ascii="Arial" w:eastAsia="Arial Unicode MS" w:hAnsi="Arial" w:cs="Arial"/>
          <w:i/>
          <w:sz w:val="22"/>
          <w:szCs w:val="22"/>
        </w:rPr>
        <w:t>r</w:t>
      </w:r>
      <w:r w:rsidRPr="006E2A13">
        <w:rPr>
          <w:rFonts w:ascii="Arial" w:eastAsia="Arial Unicode MS" w:hAnsi="Arial" w:cs="Arial"/>
          <w:i/>
          <w:sz w:val="22"/>
          <w:szCs w:val="22"/>
          <w:vertAlign w:val="subscript"/>
        </w:rPr>
        <w:t>m</w:t>
      </w:r>
      <w:proofErr w:type="spellEnd"/>
      <w:r w:rsidRPr="006E2A13">
        <w:rPr>
          <w:rFonts w:ascii="Arial" w:eastAsia="Arial Unicode MS" w:hAnsi="Arial" w:cs="Arial"/>
          <w:i/>
          <w:sz w:val="22"/>
          <w:szCs w:val="22"/>
        </w:rPr>
        <w:t xml:space="preserve">  </w:t>
      </w:r>
      <w:r w:rsidRPr="006E2A13">
        <w:rPr>
          <w:rFonts w:ascii="Arial" w:eastAsia="Arial Unicode MS" w:hAnsi="Arial" w:cs="Arial"/>
          <w:sz w:val="22"/>
          <w:szCs w:val="22"/>
        </w:rPr>
        <w:t xml:space="preserve">- </w:t>
      </w:r>
      <w:proofErr w:type="spellStart"/>
      <w:r w:rsidRPr="006E2A13">
        <w:rPr>
          <w:rFonts w:ascii="Arial" w:eastAsia="Arial Unicode MS" w:hAnsi="Arial" w:cs="Arial"/>
          <w:i/>
          <w:sz w:val="22"/>
          <w:szCs w:val="22"/>
        </w:rPr>
        <w:t>r</w:t>
      </w:r>
      <w:r w:rsidRPr="006E2A13">
        <w:rPr>
          <w:rFonts w:ascii="Arial" w:eastAsia="Arial Unicode MS" w:hAnsi="Arial" w:cs="Arial"/>
          <w:i/>
          <w:sz w:val="22"/>
          <w:szCs w:val="22"/>
          <w:vertAlign w:val="subscript"/>
        </w:rPr>
        <w:t>f</w:t>
      </w:r>
      <w:proofErr w:type="spellEnd"/>
      <w:r w:rsidRPr="006E2A13">
        <w:rPr>
          <w:rFonts w:ascii="Arial" w:eastAsia="Arial Unicode MS" w:hAnsi="Arial" w:cs="Arial"/>
          <w:i/>
          <w:sz w:val="22"/>
          <w:szCs w:val="22"/>
          <w:vertAlign w:val="subscript"/>
        </w:rPr>
        <w:t xml:space="preserve"> </w:t>
      </w:r>
      <w:r w:rsidRPr="006E2A13">
        <w:rPr>
          <w:rFonts w:ascii="Arial" w:eastAsia="Arial Unicode MS" w:hAnsi="Arial" w:cs="Arial"/>
          <w:sz w:val="22"/>
          <w:szCs w:val="22"/>
        </w:rPr>
        <w:t xml:space="preserve"> + </w:t>
      </w:r>
      <w:proofErr w:type="spellStart"/>
      <w:r w:rsidRPr="006E2A13">
        <w:rPr>
          <w:rFonts w:ascii="Arial" w:eastAsia="Arial Unicode MS" w:hAnsi="Arial" w:cs="Arial"/>
          <w:i/>
          <w:sz w:val="22"/>
          <w:szCs w:val="22"/>
        </w:rPr>
        <w:t>RP</w:t>
      </w:r>
      <w:r w:rsidRPr="006E2A13">
        <w:rPr>
          <w:rFonts w:ascii="Arial" w:eastAsia="Arial Unicode MS" w:hAnsi="Arial" w:cs="Arial"/>
          <w:i/>
          <w:sz w:val="22"/>
          <w:szCs w:val="22"/>
          <w:vertAlign w:val="subscript"/>
        </w:rPr>
        <w:t>syst</w:t>
      </w:r>
      <w:proofErr w:type="spellEnd"/>
      <w:r w:rsidRPr="006E2A13">
        <w:rPr>
          <w:rFonts w:ascii="Arial" w:eastAsia="Arial Unicode MS" w:hAnsi="Arial" w:cs="Arial"/>
          <w:i/>
          <w:sz w:val="22"/>
          <w:szCs w:val="22"/>
        </w:rPr>
        <w:t xml:space="preserve">) </w:t>
      </w:r>
      <w:r w:rsidRPr="006E2A13">
        <w:rPr>
          <w:rFonts w:ascii="Arial" w:eastAsia="Arial Unicode MS" w:hAnsi="Arial" w:cs="Arial"/>
          <w:sz w:val="22"/>
          <w:szCs w:val="22"/>
        </w:rPr>
        <w:t>+</w:t>
      </w:r>
      <w:r w:rsidRPr="006E2A13">
        <w:rPr>
          <w:rFonts w:ascii="Arial" w:eastAsia="Arial Unicode MS" w:hAnsi="Arial" w:cs="Arial"/>
          <w:i/>
          <w:sz w:val="22"/>
          <w:szCs w:val="22"/>
        </w:rPr>
        <w:t xml:space="preserve"> </w:t>
      </w:r>
      <w:proofErr w:type="spellStart"/>
      <w:r w:rsidRPr="006E2A13">
        <w:rPr>
          <w:rFonts w:ascii="Arial" w:eastAsia="Arial Unicode MS" w:hAnsi="Arial" w:cs="Arial"/>
          <w:i/>
          <w:sz w:val="22"/>
          <w:szCs w:val="22"/>
        </w:rPr>
        <w:t>RP</w:t>
      </w:r>
      <w:r w:rsidRPr="006E2A13">
        <w:rPr>
          <w:rFonts w:ascii="Arial" w:eastAsia="Arial Unicode MS" w:hAnsi="Arial" w:cs="Arial"/>
          <w:i/>
          <w:sz w:val="22"/>
          <w:szCs w:val="22"/>
          <w:vertAlign w:val="subscript"/>
        </w:rPr>
        <w:t>nesyst</w:t>
      </w:r>
      <w:proofErr w:type="spellEnd"/>
    </w:p>
    <w:p w:rsidR="00085EAF" w:rsidRPr="006E2A13" w:rsidRDefault="00085EAF" w:rsidP="00085EAF">
      <w:pPr>
        <w:spacing w:before="240"/>
        <w:rPr>
          <w:rFonts w:ascii="Arial" w:hAnsi="Arial" w:cs="Arial"/>
          <w:sz w:val="20"/>
          <w:szCs w:val="20"/>
        </w:rPr>
      </w:pPr>
      <w:r w:rsidRPr="006E2A13">
        <w:rPr>
          <w:rFonts w:ascii="Arial" w:hAnsi="Arial" w:cs="Arial"/>
          <w:sz w:val="20"/>
          <w:szCs w:val="20"/>
        </w:rPr>
        <w:t>kde:</w:t>
      </w:r>
    </w:p>
    <w:p w:rsidR="00085EAF" w:rsidRPr="006E2A13" w:rsidRDefault="00085EAF" w:rsidP="00085EAF">
      <w:pPr>
        <w:pStyle w:val="Seznamsodrkami"/>
        <w:numPr>
          <w:ilvl w:val="0"/>
          <w:numId w:val="0"/>
        </w:numPr>
        <w:spacing w:before="60" w:after="0"/>
        <w:ind w:left="340"/>
        <w:rPr>
          <w:rFonts w:ascii="Arial" w:hAnsi="Arial" w:cs="Arial"/>
          <w:sz w:val="20"/>
        </w:rPr>
      </w:pPr>
      <w:r w:rsidRPr="006E2A13">
        <w:rPr>
          <w:rFonts w:ascii="Arial" w:hAnsi="Arial" w:cs="Arial"/>
          <w:sz w:val="20"/>
        </w:rPr>
        <w:t>r</w:t>
      </w:r>
      <w:r w:rsidRPr="006E2A13">
        <w:rPr>
          <w:rFonts w:ascii="Arial" w:hAnsi="Arial" w:cs="Arial"/>
          <w:sz w:val="20"/>
          <w:vertAlign w:val="subscript"/>
        </w:rPr>
        <w:t>e</w:t>
      </w:r>
      <w:r w:rsidRPr="006E2A13">
        <w:rPr>
          <w:rFonts w:ascii="Arial" w:hAnsi="Arial" w:cs="Arial"/>
          <w:sz w:val="20"/>
          <w:lang w:val="cs-CZ"/>
        </w:rPr>
        <w:t xml:space="preserve"> </w:t>
      </w:r>
      <w:r w:rsidRPr="006E2A13">
        <w:rPr>
          <w:rFonts w:ascii="Arial" w:hAnsi="Arial" w:cs="Arial"/>
          <w:sz w:val="20"/>
        </w:rPr>
        <w:t>– náklady vlastního kapitálu,</w:t>
      </w:r>
    </w:p>
    <w:p w:rsidR="00085EAF" w:rsidRPr="006E2A13" w:rsidRDefault="00085EAF" w:rsidP="00085EAF">
      <w:pPr>
        <w:pStyle w:val="Seznamsodrkami"/>
        <w:numPr>
          <w:ilvl w:val="0"/>
          <w:numId w:val="0"/>
        </w:numPr>
        <w:spacing w:before="60" w:after="0"/>
        <w:ind w:left="340"/>
        <w:rPr>
          <w:rFonts w:ascii="Arial" w:hAnsi="Arial" w:cs="Arial"/>
          <w:sz w:val="20"/>
        </w:rPr>
      </w:pPr>
      <w:proofErr w:type="spellStart"/>
      <w:r w:rsidRPr="006E2A13">
        <w:rPr>
          <w:rFonts w:ascii="Arial" w:hAnsi="Arial" w:cs="Arial"/>
          <w:sz w:val="20"/>
        </w:rPr>
        <w:t>r</w:t>
      </w:r>
      <w:r w:rsidRPr="006E2A13">
        <w:rPr>
          <w:rFonts w:ascii="Arial" w:hAnsi="Arial" w:cs="Arial"/>
          <w:sz w:val="20"/>
          <w:vertAlign w:val="subscript"/>
        </w:rPr>
        <w:t>f</w:t>
      </w:r>
      <w:proofErr w:type="spellEnd"/>
      <w:r w:rsidRPr="006E2A13">
        <w:rPr>
          <w:rFonts w:ascii="Arial" w:hAnsi="Arial" w:cs="Arial"/>
          <w:sz w:val="20"/>
        </w:rPr>
        <w:t xml:space="preserve"> – bezriziková výnosová míra,</w:t>
      </w:r>
    </w:p>
    <w:p w:rsidR="00085EAF" w:rsidRPr="006E2A13" w:rsidRDefault="00085EAF" w:rsidP="00085EAF">
      <w:pPr>
        <w:pStyle w:val="Seznamsodrkami"/>
        <w:numPr>
          <w:ilvl w:val="0"/>
          <w:numId w:val="0"/>
        </w:numPr>
        <w:spacing w:before="60" w:after="0"/>
        <w:ind w:left="340"/>
        <w:rPr>
          <w:rFonts w:ascii="Arial" w:hAnsi="Arial" w:cs="Arial"/>
          <w:sz w:val="20"/>
        </w:rPr>
      </w:pPr>
      <w:r w:rsidRPr="006E2A13">
        <w:rPr>
          <w:rFonts w:ascii="Arial" w:eastAsia="MS Mincho" w:hAnsi="Arial" w:cs="Arial"/>
          <w:i/>
          <w:noProof/>
          <w:sz w:val="20"/>
          <w:lang w:eastAsia="zh-TW"/>
        </w:rPr>
        <w:t>ß</w:t>
      </w:r>
      <w:r w:rsidRPr="006E2A13">
        <w:rPr>
          <w:rFonts w:ascii="Arial" w:hAnsi="Arial" w:cs="Arial"/>
          <w:sz w:val="20"/>
        </w:rPr>
        <w:t xml:space="preserve"> – koeficient Beta,</w:t>
      </w:r>
    </w:p>
    <w:p w:rsidR="00085EAF" w:rsidRPr="006E2A13" w:rsidRDefault="00085EAF" w:rsidP="00085EAF">
      <w:pPr>
        <w:pStyle w:val="Seznamsodrkami"/>
        <w:numPr>
          <w:ilvl w:val="0"/>
          <w:numId w:val="0"/>
        </w:numPr>
        <w:tabs>
          <w:tab w:val="num" w:pos="720"/>
        </w:tabs>
        <w:spacing w:before="60" w:after="0"/>
        <w:ind w:left="340"/>
        <w:rPr>
          <w:rFonts w:ascii="Arial" w:hAnsi="Arial" w:cs="Arial"/>
          <w:sz w:val="20"/>
        </w:rPr>
      </w:pPr>
      <w:r w:rsidRPr="006E2A13">
        <w:rPr>
          <w:rFonts w:ascii="Arial" w:hAnsi="Arial" w:cs="Arial"/>
          <w:sz w:val="20"/>
        </w:rPr>
        <w:t>(</w:t>
      </w:r>
      <w:proofErr w:type="spellStart"/>
      <w:r w:rsidRPr="006E2A13">
        <w:rPr>
          <w:rFonts w:ascii="Arial" w:hAnsi="Arial" w:cs="Arial"/>
          <w:sz w:val="20"/>
        </w:rPr>
        <w:t>r</w:t>
      </w:r>
      <w:r w:rsidRPr="006E2A13">
        <w:rPr>
          <w:rFonts w:ascii="Arial" w:hAnsi="Arial" w:cs="Arial"/>
          <w:sz w:val="20"/>
          <w:vertAlign w:val="subscript"/>
        </w:rPr>
        <w:t>m</w:t>
      </w:r>
      <w:proofErr w:type="spellEnd"/>
      <w:r w:rsidRPr="006E2A13">
        <w:rPr>
          <w:rFonts w:ascii="Arial" w:hAnsi="Arial" w:cs="Arial"/>
          <w:sz w:val="20"/>
        </w:rPr>
        <w:t xml:space="preserve"> – </w:t>
      </w:r>
      <w:proofErr w:type="spellStart"/>
      <w:r w:rsidRPr="006E2A13">
        <w:rPr>
          <w:rFonts w:ascii="Arial" w:hAnsi="Arial" w:cs="Arial"/>
          <w:sz w:val="20"/>
        </w:rPr>
        <w:t>r</w:t>
      </w:r>
      <w:r w:rsidRPr="006E2A13">
        <w:rPr>
          <w:rFonts w:ascii="Arial" w:hAnsi="Arial" w:cs="Arial"/>
          <w:sz w:val="20"/>
          <w:vertAlign w:val="subscript"/>
        </w:rPr>
        <w:t>f</w:t>
      </w:r>
      <w:proofErr w:type="spellEnd"/>
      <w:r w:rsidRPr="006E2A13">
        <w:rPr>
          <w:rFonts w:ascii="Arial" w:hAnsi="Arial" w:cs="Arial"/>
          <w:sz w:val="20"/>
        </w:rPr>
        <w:t>) – riziková prémie trhu,</w:t>
      </w:r>
    </w:p>
    <w:p w:rsidR="00085EAF" w:rsidRPr="006E2A13" w:rsidRDefault="00085EAF" w:rsidP="00085EAF">
      <w:pPr>
        <w:pStyle w:val="Seznamsodrkami"/>
        <w:numPr>
          <w:ilvl w:val="0"/>
          <w:numId w:val="0"/>
        </w:numPr>
        <w:spacing w:before="60" w:after="0"/>
        <w:ind w:left="340"/>
        <w:rPr>
          <w:rFonts w:ascii="Arial" w:hAnsi="Arial" w:cs="Arial"/>
          <w:sz w:val="20"/>
        </w:rPr>
      </w:pPr>
      <w:r w:rsidRPr="006E2A13">
        <w:rPr>
          <w:rFonts w:ascii="Arial" w:hAnsi="Arial" w:cs="Arial"/>
          <w:sz w:val="20"/>
        </w:rPr>
        <w:t>RP – riziková přirážka za specifická rizika (systematická a nesystematická)</w:t>
      </w:r>
    </w:p>
    <w:p w:rsidR="00085EAF" w:rsidRPr="006E2A13" w:rsidRDefault="00085EAF" w:rsidP="00085EAF">
      <w:pPr>
        <w:spacing w:before="240"/>
        <w:ind w:firstLine="828"/>
        <w:jc w:val="both"/>
        <w:rPr>
          <w:rFonts w:ascii="Arial" w:hAnsi="Arial" w:cs="Arial"/>
          <w:sz w:val="22"/>
          <w:szCs w:val="22"/>
        </w:rPr>
      </w:pPr>
      <w:r w:rsidRPr="006E2A13">
        <w:rPr>
          <w:rFonts w:ascii="Arial" w:hAnsi="Arial" w:cs="Arial"/>
          <w:sz w:val="22"/>
          <w:szCs w:val="22"/>
        </w:rPr>
        <w:t>Při stanovení rizikové prémie byly zohledněny tyto typy rizik:</w:t>
      </w:r>
    </w:p>
    <w:p w:rsidR="00085EAF" w:rsidRPr="006E2A13" w:rsidRDefault="00085EAF" w:rsidP="00085EAF">
      <w:pPr>
        <w:numPr>
          <w:ilvl w:val="0"/>
          <w:numId w:val="16"/>
        </w:numPr>
        <w:spacing w:before="120"/>
        <w:ind w:left="357" w:hanging="357"/>
        <w:jc w:val="both"/>
        <w:rPr>
          <w:rFonts w:ascii="Arial" w:hAnsi="Arial" w:cs="Arial"/>
          <w:sz w:val="22"/>
          <w:szCs w:val="22"/>
        </w:rPr>
      </w:pPr>
      <w:r>
        <w:rPr>
          <w:rFonts w:ascii="Arial" w:hAnsi="Arial" w:cs="Arial"/>
          <w:sz w:val="22"/>
          <w:szCs w:val="22"/>
        </w:rPr>
        <w:t>s</w:t>
      </w:r>
      <w:r w:rsidRPr="006E2A13">
        <w:rPr>
          <w:rFonts w:ascii="Arial" w:hAnsi="Arial" w:cs="Arial"/>
          <w:sz w:val="22"/>
          <w:szCs w:val="22"/>
        </w:rPr>
        <w:t>ystematická rizika spojená s rizikem celého trhu</w:t>
      </w:r>
      <w:r>
        <w:rPr>
          <w:rFonts w:ascii="Arial" w:hAnsi="Arial" w:cs="Arial"/>
          <w:sz w:val="22"/>
          <w:szCs w:val="22"/>
        </w:rPr>
        <w:t>;</w:t>
      </w:r>
      <w:r w:rsidRPr="006E2A13">
        <w:rPr>
          <w:rFonts w:ascii="Arial" w:hAnsi="Arial" w:cs="Arial"/>
          <w:sz w:val="22"/>
          <w:szCs w:val="22"/>
        </w:rPr>
        <w:t xml:space="preserve"> </w:t>
      </w:r>
      <w:r>
        <w:rPr>
          <w:rFonts w:ascii="Arial" w:hAnsi="Arial" w:cs="Arial"/>
          <w:sz w:val="22"/>
          <w:szCs w:val="22"/>
        </w:rPr>
        <w:t>j</w:t>
      </w:r>
      <w:r w:rsidRPr="006E2A13">
        <w:rPr>
          <w:rFonts w:ascii="Arial" w:hAnsi="Arial" w:cs="Arial"/>
          <w:sz w:val="22"/>
          <w:szCs w:val="22"/>
        </w:rPr>
        <w:t>edná</w:t>
      </w:r>
      <w:r>
        <w:rPr>
          <w:rFonts w:ascii="Arial" w:hAnsi="Arial" w:cs="Arial"/>
          <w:sz w:val="22"/>
          <w:szCs w:val="22"/>
        </w:rPr>
        <w:t xml:space="preserve"> se</w:t>
      </w:r>
      <w:r w:rsidRPr="006E2A13">
        <w:rPr>
          <w:rFonts w:ascii="Arial" w:hAnsi="Arial" w:cs="Arial"/>
          <w:sz w:val="22"/>
          <w:szCs w:val="22"/>
        </w:rPr>
        <w:t xml:space="preserve"> například </w:t>
      </w:r>
      <w:r w:rsidRPr="006E2A13">
        <w:rPr>
          <w:rFonts w:ascii="Arial" w:hAnsi="Arial" w:cs="Arial"/>
          <w:sz w:val="22"/>
          <w:szCs w:val="22"/>
        </w:rPr>
        <w:br/>
        <w:t>o makroekonomické vlivy, politické a mezinárodní vlivy, rizika související s provozováním sítí různých typů</w:t>
      </w:r>
      <w:r>
        <w:rPr>
          <w:rFonts w:ascii="Arial" w:hAnsi="Arial" w:cs="Arial"/>
          <w:sz w:val="22"/>
          <w:szCs w:val="22"/>
        </w:rPr>
        <w:t>;</w:t>
      </w:r>
    </w:p>
    <w:p w:rsidR="00085EAF" w:rsidRPr="006E2A13" w:rsidRDefault="00085EAF" w:rsidP="00085EAF">
      <w:pPr>
        <w:numPr>
          <w:ilvl w:val="0"/>
          <w:numId w:val="16"/>
        </w:numPr>
        <w:spacing w:before="120"/>
        <w:ind w:left="357" w:hanging="357"/>
        <w:jc w:val="both"/>
        <w:rPr>
          <w:rFonts w:ascii="Arial" w:hAnsi="Arial" w:cs="Arial"/>
          <w:sz w:val="22"/>
          <w:szCs w:val="22"/>
        </w:rPr>
      </w:pPr>
      <w:r>
        <w:rPr>
          <w:rFonts w:ascii="Arial" w:hAnsi="Arial" w:cs="Arial"/>
          <w:sz w:val="22"/>
          <w:szCs w:val="22"/>
        </w:rPr>
        <w:t>n</w:t>
      </w:r>
      <w:r w:rsidRPr="006E2A13">
        <w:rPr>
          <w:rFonts w:ascii="Arial" w:hAnsi="Arial" w:cs="Arial"/>
          <w:sz w:val="22"/>
          <w:szCs w:val="22"/>
        </w:rPr>
        <w:t xml:space="preserve">esystematická rizika spojená s regulací, tj. s rozhodnutím regulátora ve vazbě na investování do sítí NGA/NGN na trzích bezprostředně ovlivňujících vymezené relevantní trhy. </w:t>
      </w:r>
    </w:p>
    <w:p w:rsidR="00085EAF" w:rsidRPr="006E2A13" w:rsidRDefault="00085EAF" w:rsidP="00085EAF">
      <w:pPr>
        <w:spacing w:before="120"/>
        <w:ind w:firstLine="828"/>
        <w:jc w:val="both"/>
        <w:rPr>
          <w:rFonts w:ascii="Arial" w:hAnsi="Arial" w:cs="Arial"/>
          <w:sz w:val="22"/>
          <w:szCs w:val="22"/>
        </w:rPr>
      </w:pPr>
      <w:r w:rsidRPr="006E2A13">
        <w:rPr>
          <w:rFonts w:ascii="Arial" w:hAnsi="Arial" w:cs="Arial"/>
          <w:sz w:val="22"/>
          <w:szCs w:val="22"/>
        </w:rPr>
        <w:t>Riziková přirážka pro systematická rizika byla stanovena v intervalu 1,38 % – 2,38 %, pro nesystematická rizika v intervalu 1,50 % – 2 %.</w:t>
      </w:r>
    </w:p>
    <w:p w:rsidR="00085EAF" w:rsidRPr="006E2A13" w:rsidRDefault="00085EAF" w:rsidP="00085EAF">
      <w:pPr>
        <w:spacing w:before="120"/>
        <w:ind w:firstLine="828"/>
        <w:jc w:val="both"/>
        <w:rPr>
          <w:rFonts w:ascii="Arial" w:hAnsi="Arial" w:cs="Arial"/>
          <w:sz w:val="22"/>
          <w:szCs w:val="22"/>
        </w:rPr>
      </w:pPr>
      <w:r w:rsidRPr="006E2A13">
        <w:rPr>
          <w:rFonts w:ascii="Arial" w:hAnsi="Arial" w:cs="Arial"/>
          <w:sz w:val="22"/>
          <w:szCs w:val="22"/>
        </w:rPr>
        <w:t xml:space="preserve">Úřad stanovil rizikovou přirážku na horní hranici navrženého intervalu, protože nejvyšší riziko nese stanovený podnik při investici do optických sítí v současné době, kdy není dostatečná poptávka po produktech, které lze poskytovat pouze s využitím optických sítí NGA (FTTH). </w:t>
      </w:r>
    </w:p>
    <w:p w:rsidR="00085EAF" w:rsidRDefault="00085EAF" w:rsidP="00085EAF">
      <w:pPr>
        <w:spacing w:before="120"/>
        <w:ind w:firstLine="708"/>
        <w:jc w:val="both"/>
        <w:rPr>
          <w:rFonts w:ascii="Arial" w:hAnsi="Arial" w:cs="Arial"/>
          <w:color w:val="000000"/>
          <w:sz w:val="22"/>
          <w:szCs w:val="22"/>
        </w:rPr>
      </w:pPr>
      <w:r w:rsidRPr="006E2A13">
        <w:rPr>
          <w:rFonts w:ascii="Arial" w:hAnsi="Arial" w:cs="Arial"/>
          <w:sz w:val="22"/>
          <w:szCs w:val="22"/>
        </w:rPr>
        <w:t xml:space="preserve">Obdobná situace na trhu ohledně budování NGA sítí (FTTH) a poptávky po produktech i v roce 2015 nezakládá potřebu aktualizovat rizikové přirážky pro FTTH, a proto Úřad ponechal přirážky ve stejné výši při stanovení hodnot WACC i v roce 2015. Zohlednění rizikových prémií při výpočtu procenta WACC pro službu přístupu na přístupových sítích nové generace přináší WACC ve výši </w:t>
      </w:r>
      <w:r w:rsidRPr="006E2A13">
        <w:rPr>
          <w:rFonts w:ascii="Arial" w:hAnsi="Arial" w:cs="Arial"/>
          <w:color w:val="000000"/>
          <w:sz w:val="22"/>
          <w:szCs w:val="22"/>
        </w:rPr>
        <w:t xml:space="preserve">11,20 %. </w:t>
      </w:r>
    </w:p>
    <w:p w:rsidR="003552BC" w:rsidRDefault="003552BC" w:rsidP="003552BC">
      <w:pPr>
        <w:widowControl w:val="0"/>
        <w:autoSpaceDE w:val="0"/>
        <w:autoSpaceDN w:val="0"/>
        <w:adjustRightInd w:val="0"/>
        <w:spacing w:before="240" w:after="240" w:line="280" w:lineRule="exact"/>
        <w:jc w:val="center"/>
        <w:rPr>
          <w:rFonts w:ascii="Arial" w:hAnsi="Arial" w:cs="Arial"/>
          <w:sz w:val="28"/>
          <w:szCs w:val="28"/>
        </w:rPr>
      </w:pPr>
      <w:r w:rsidRPr="00657A59">
        <w:rPr>
          <w:rFonts w:ascii="Arial" w:hAnsi="Arial" w:cs="Arial"/>
          <w:sz w:val="28"/>
          <w:szCs w:val="28"/>
        </w:rPr>
        <w:t>***</w:t>
      </w:r>
    </w:p>
    <w:p w:rsidR="00C20295" w:rsidRPr="00C20295" w:rsidRDefault="00C20295" w:rsidP="00C20295">
      <w:pPr>
        <w:spacing w:before="120"/>
        <w:ind w:firstLine="708"/>
        <w:jc w:val="both"/>
        <w:rPr>
          <w:rFonts w:ascii="Arial" w:hAnsi="Arial" w:cs="Arial"/>
          <w:sz w:val="22"/>
          <w:szCs w:val="22"/>
        </w:rPr>
      </w:pPr>
      <w:r w:rsidRPr="00C20295">
        <w:rPr>
          <w:rFonts w:ascii="Arial" w:hAnsi="Arial" w:cs="Arial"/>
          <w:sz w:val="22"/>
          <w:szCs w:val="22"/>
        </w:rPr>
        <w:t>Úřad zveřejnil dne 17. září 2015 návrh opatření obecné povahy č. OOP/4/XX.2015-Y v souladu s § 130 odst. 1 zákona podle čl. 5 odst. 1 Pravidel Českého</w:t>
      </w:r>
      <w:r>
        <w:rPr>
          <w:rFonts w:ascii="Arial" w:hAnsi="Arial" w:cs="Arial"/>
          <w:sz w:val="22"/>
          <w:szCs w:val="22"/>
        </w:rPr>
        <w:t xml:space="preserve"> </w:t>
      </w:r>
      <w:r w:rsidRPr="00C20295">
        <w:rPr>
          <w:rFonts w:ascii="Arial" w:hAnsi="Arial" w:cs="Arial"/>
          <w:sz w:val="22"/>
          <w:szCs w:val="22"/>
        </w:rPr>
        <w:t>telekomunikačního úřadu pro vedení konzultace na diskusním místě.</w:t>
      </w:r>
    </w:p>
    <w:p w:rsidR="00C20295" w:rsidRPr="00C20295" w:rsidRDefault="00C20295" w:rsidP="00C20295">
      <w:pPr>
        <w:spacing w:before="120"/>
        <w:ind w:firstLine="708"/>
        <w:jc w:val="both"/>
        <w:rPr>
          <w:rFonts w:ascii="Arial" w:hAnsi="Arial" w:cs="Arial"/>
          <w:sz w:val="22"/>
          <w:szCs w:val="22"/>
        </w:rPr>
      </w:pPr>
      <w:r w:rsidRPr="00C20295">
        <w:rPr>
          <w:rFonts w:ascii="Arial" w:hAnsi="Arial" w:cs="Arial"/>
          <w:sz w:val="22"/>
          <w:szCs w:val="22"/>
        </w:rPr>
        <w:t>Ve lhůtě 1 měsíce stanovené pro veřejnou diskusi obdržel Úřad připomínky od společností Česká telekomunikační infrastruktura a. s. (dále jen „CETIN“) a Vodafone Czech Republic a. s. (dále jen „Vodafone“).</w:t>
      </w:r>
    </w:p>
    <w:p w:rsidR="00C20295" w:rsidRPr="00C20295" w:rsidRDefault="00C20295" w:rsidP="00C20295">
      <w:pPr>
        <w:spacing w:before="120"/>
        <w:ind w:firstLine="708"/>
        <w:jc w:val="both"/>
        <w:rPr>
          <w:rFonts w:ascii="Arial" w:hAnsi="Arial" w:cs="Arial"/>
          <w:sz w:val="22"/>
          <w:szCs w:val="22"/>
        </w:rPr>
      </w:pPr>
      <w:r w:rsidRPr="00C20295">
        <w:rPr>
          <w:rFonts w:ascii="Arial" w:hAnsi="Arial" w:cs="Arial"/>
          <w:sz w:val="22"/>
          <w:szCs w:val="22"/>
        </w:rPr>
        <w:t xml:space="preserve">V první připomínce namítala společnost CETIN, že snížení hodnoty WACC neodpovídá reálné situaci na trhu a zejména ve srovnání s jinými síťovými odvětvími mu nová výše WACC připadá stanovena příliš nízko. Pro srovnání poukázala na postup Energetického regulačního úřad (ERÚ), který pro sektor distribuce a přepravy plynu a sektor distribuce a přenosu elektřiny </w:t>
      </w:r>
      <w:r w:rsidRPr="00C20295">
        <w:rPr>
          <w:rFonts w:ascii="Arial" w:hAnsi="Arial" w:cs="Arial"/>
          <w:sz w:val="22"/>
          <w:szCs w:val="22"/>
        </w:rPr>
        <w:lastRenderedPageBreak/>
        <w:t>stanovil pro stejné období WACC v hodnotě 7,94 %, respektive 7,95 %. Úřad připomínku neakceptoval, neboť poskytování telekomunikačních služeb a energetika jsou dvě rozdílná odvětví s řadou rozdílných specifik a procházející různým vývojem, proto je problematické obě uvedené hodnoty WACC v obou sektorech porovnávat.</w:t>
      </w:r>
    </w:p>
    <w:p w:rsidR="00C20295" w:rsidRPr="00FB36E1" w:rsidRDefault="00C20295" w:rsidP="00FB36E1">
      <w:pPr>
        <w:spacing w:before="120"/>
        <w:ind w:firstLine="708"/>
        <w:jc w:val="both"/>
        <w:rPr>
          <w:rFonts w:ascii="Arial" w:hAnsi="Arial" w:cs="Arial"/>
          <w:sz w:val="22"/>
          <w:szCs w:val="22"/>
        </w:rPr>
      </w:pPr>
      <w:r w:rsidRPr="00FB36E1">
        <w:rPr>
          <w:rFonts w:ascii="Arial" w:hAnsi="Arial" w:cs="Arial"/>
          <w:sz w:val="22"/>
          <w:szCs w:val="22"/>
        </w:rPr>
        <w:t>Požadavek postupu v souladu s metodikou ERÚ konkretizovala společnost CETIN</w:t>
      </w:r>
      <w:r w:rsidR="00FB36E1" w:rsidRPr="00FB36E1">
        <w:rPr>
          <w:rFonts w:ascii="Arial" w:hAnsi="Arial" w:cs="Arial"/>
          <w:sz w:val="22"/>
          <w:szCs w:val="22"/>
        </w:rPr>
        <w:t xml:space="preserve"> </w:t>
      </w:r>
      <w:r w:rsidRPr="00FB36E1">
        <w:rPr>
          <w:rFonts w:ascii="Arial" w:hAnsi="Arial" w:cs="Arial"/>
          <w:sz w:val="22"/>
          <w:szCs w:val="22"/>
        </w:rPr>
        <w:t>návrhem výpočtu koeficientu beta na základě pětiletého období namísto koeficientu beta</w:t>
      </w:r>
      <w:r w:rsidR="00FB36E1" w:rsidRPr="00FB36E1">
        <w:rPr>
          <w:rFonts w:ascii="Arial" w:hAnsi="Arial" w:cs="Arial"/>
          <w:sz w:val="22"/>
          <w:szCs w:val="22"/>
        </w:rPr>
        <w:t xml:space="preserve"> </w:t>
      </w:r>
      <w:r w:rsidRPr="00FB36E1">
        <w:rPr>
          <w:rFonts w:ascii="Arial" w:hAnsi="Arial" w:cs="Arial"/>
          <w:sz w:val="22"/>
          <w:szCs w:val="22"/>
        </w:rPr>
        <w:t>stanoveného na základě dvouletého období, jak učinil Úřad. Návrh nebyl Úřadem akceptován,</w:t>
      </w:r>
      <w:r w:rsidR="00FB36E1" w:rsidRPr="00FB36E1">
        <w:rPr>
          <w:rFonts w:ascii="Arial" w:hAnsi="Arial" w:cs="Arial"/>
          <w:sz w:val="22"/>
          <w:szCs w:val="22"/>
        </w:rPr>
        <w:t xml:space="preserve"> </w:t>
      </w:r>
      <w:r w:rsidRPr="00FB36E1">
        <w:rPr>
          <w:rFonts w:ascii="Arial" w:hAnsi="Arial" w:cs="Arial"/>
          <w:sz w:val="22"/>
          <w:szCs w:val="22"/>
        </w:rPr>
        <w:t>neboť koeficient beta představuje prospektivní odhad založený na historických datech a</w:t>
      </w:r>
      <w:r w:rsidR="00FB36E1" w:rsidRPr="00FB36E1">
        <w:rPr>
          <w:rFonts w:ascii="Arial" w:hAnsi="Arial" w:cs="Arial"/>
          <w:sz w:val="22"/>
          <w:szCs w:val="22"/>
        </w:rPr>
        <w:t xml:space="preserve"> </w:t>
      </w:r>
      <w:r w:rsidRPr="00FB36E1">
        <w:rPr>
          <w:rFonts w:ascii="Arial" w:hAnsi="Arial" w:cs="Arial"/>
          <w:sz w:val="22"/>
          <w:szCs w:val="22"/>
        </w:rPr>
        <w:t>dvouletou betu lze považovat za vhodnější pro odhad budoucnosti z důvodu vyšší aktuálnosti</w:t>
      </w:r>
      <w:r w:rsidR="00FB36E1" w:rsidRPr="00FB36E1">
        <w:rPr>
          <w:rFonts w:ascii="Arial" w:hAnsi="Arial" w:cs="Arial"/>
          <w:sz w:val="22"/>
          <w:szCs w:val="22"/>
        </w:rPr>
        <w:t xml:space="preserve"> </w:t>
      </w:r>
      <w:r w:rsidRPr="00FB36E1">
        <w:rPr>
          <w:rFonts w:ascii="Arial" w:hAnsi="Arial" w:cs="Arial"/>
          <w:sz w:val="22"/>
          <w:szCs w:val="22"/>
        </w:rPr>
        <w:t>použitých dat. Při výpočtu dvouleté týdenní bety bylo navíc získáno více statisticky</w:t>
      </w:r>
      <w:r w:rsidR="00FB36E1" w:rsidRPr="00FB36E1">
        <w:rPr>
          <w:rFonts w:ascii="Arial" w:hAnsi="Arial" w:cs="Arial"/>
          <w:sz w:val="22"/>
          <w:szCs w:val="22"/>
        </w:rPr>
        <w:t xml:space="preserve"> </w:t>
      </w:r>
      <w:r w:rsidRPr="00FB36E1">
        <w:rPr>
          <w:rFonts w:ascii="Arial" w:hAnsi="Arial" w:cs="Arial"/>
          <w:sz w:val="22"/>
          <w:szCs w:val="22"/>
        </w:rPr>
        <w:t>signifikantních pozorování než v případě pětileté měsíční bety, její v praxi používané</w:t>
      </w:r>
      <w:r w:rsidR="00FB36E1" w:rsidRPr="00FB36E1">
        <w:rPr>
          <w:rFonts w:ascii="Arial" w:hAnsi="Arial" w:cs="Arial"/>
          <w:sz w:val="22"/>
          <w:szCs w:val="22"/>
        </w:rPr>
        <w:t xml:space="preserve"> </w:t>
      </w:r>
      <w:r w:rsidRPr="00FB36E1">
        <w:rPr>
          <w:rFonts w:ascii="Arial" w:hAnsi="Arial" w:cs="Arial"/>
          <w:sz w:val="22"/>
          <w:szCs w:val="22"/>
        </w:rPr>
        <w:t>alternativy.</w:t>
      </w:r>
    </w:p>
    <w:p w:rsidR="00C20295" w:rsidRPr="004B0394" w:rsidRDefault="00C20295" w:rsidP="004B0394">
      <w:pPr>
        <w:spacing w:before="120"/>
        <w:ind w:firstLine="708"/>
        <w:jc w:val="both"/>
        <w:rPr>
          <w:rFonts w:ascii="Arial" w:hAnsi="Arial" w:cs="Arial"/>
          <w:sz w:val="22"/>
          <w:szCs w:val="22"/>
        </w:rPr>
      </w:pPr>
      <w:r w:rsidRPr="004B0394">
        <w:rPr>
          <w:rFonts w:ascii="Arial" w:hAnsi="Arial" w:cs="Arial"/>
          <w:sz w:val="22"/>
          <w:szCs w:val="22"/>
        </w:rPr>
        <w:t>Dále společnost CETIN při porovnání s postupem ERÚ vyjádřila nesouhlas</w:t>
      </w:r>
      <w:r w:rsidR="004B0394" w:rsidRPr="004B0394">
        <w:rPr>
          <w:rFonts w:ascii="Arial" w:hAnsi="Arial" w:cs="Arial"/>
          <w:sz w:val="22"/>
          <w:szCs w:val="22"/>
        </w:rPr>
        <w:t xml:space="preserve"> </w:t>
      </w:r>
      <w:r w:rsidRPr="004B0394">
        <w:rPr>
          <w:rFonts w:ascii="Arial" w:hAnsi="Arial" w:cs="Arial"/>
          <w:sz w:val="22"/>
          <w:szCs w:val="22"/>
        </w:rPr>
        <w:t>s metodikou použitou pro výpočet cizího kapitálu. Domnívala se, že místo výnosnosti</w:t>
      </w:r>
      <w:r w:rsidR="004B0394" w:rsidRPr="004B0394">
        <w:rPr>
          <w:rFonts w:ascii="Arial" w:hAnsi="Arial" w:cs="Arial"/>
          <w:sz w:val="22"/>
          <w:szCs w:val="22"/>
        </w:rPr>
        <w:t xml:space="preserve"> </w:t>
      </w:r>
      <w:r w:rsidRPr="004B0394">
        <w:rPr>
          <w:rFonts w:ascii="Arial" w:hAnsi="Arial" w:cs="Arial"/>
          <w:sz w:val="22"/>
          <w:szCs w:val="22"/>
        </w:rPr>
        <w:t>podnikových dluhopisů by měl Úřad použít za výchozí hodnotu bezrizikovou míru, k níž je dále</w:t>
      </w:r>
      <w:r w:rsidR="004B0394" w:rsidRPr="004B0394">
        <w:rPr>
          <w:rFonts w:ascii="Arial" w:hAnsi="Arial" w:cs="Arial"/>
          <w:sz w:val="22"/>
          <w:szCs w:val="22"/>
        </w:rPr>
        <w:t xml:space="preserve"> </w:t>
      </w:r>
      <w:r w:rsidRPr="004B0394">
        <w:rPr>
          <w:rFonts w:ascii="Arial" w:hAnsi="Arial" w:cs="Arial"/>
          <w:sz w:val="22"/>
          <w:szCs w:val="22"/>
        </w:rPr>
        <w:t>nutno připočíst rizikovou přirážku, a to na ratingové úrovni BBB-, nikoliv BBB. Úřad návrh</w:t>
      </w:r>
      <w:r w:rsidR="004B0394" w:rsidRPr="004B0394">
        <w:rPr>
          <w:rFonts w:ascii="Arial" w:hAnsi="Arial" w:cs="Arial"/>
          <w:sz w:val="22"/>
          <w:szCs w:val="22"/>
        </w:rPr>
        <w:t xml:space="preserve"> </w:t>
      </w:r>
      <w:r w:rsidRPr="004B0394">
        <w:rPr>
          <w:rFonts w:ascii="Arial" w:hAnsi="Arial" w:cs="Arial"/>
          <w:sz w:val="22"/>
          <w:szCs w:val="22"/>
        </w:rPr>
        <w:t>neakceptoval, neboť jím zvolený postup reflektuje aktuální tržní podmínky, za které jsou</w:t>
      </w:r>
      <w:r w:rsidR="004B0394" w:rsidRPr="004B0394">
        <w:rPr>
          <w:rFonts w:ascii="Arial" w:hAnsi="Arial" w:cs="Arial"/>
          <w:sz w:val="22"/>
          <w:szCs w:val="22"/>
        </w:rPr>
        <w:t xml:space="preserve"> </w:t>
      </w:r>
      <w:r w:rsidRPr="004B0394">
        <w:rPr>
          <w:rFonts w:ascii="Arial" w:hAnsi="Arial" w:cs="Arial"/>
          <w:sz w:val="22"/>
          <w:szCs w:val="22"/>
        </w:rPr>
        <w:t>společnosti působící v sektoru telekomunikací schopny k danému datu získat cizí kapitál, a</w:t>
      </w:r>
      <w:r w:rsidR="004B0394" w:rsidRPr="004B0394">
        <w:rPr>
          <w:rFonts w:ascii="Arial" w:hAnsi="Arial" w:cs="Arial"/>
          <w:sz w:val="22"/>
          <w:szCs w:val="22"/>
        </w:rPr>
        <w:t xml:space="preserve"> </w:t>
      </w:r>
      <w:r w:rsidRPr="004B0394">
        <w:rPr>
          <w:rFonts w:ascii="Arial" w:hAnsi="Arial" w:cs="Arial"/>
          <w:sz w:val="22"/>
          <w:szCs w:val="22"/>
        </w:rPr>
        <w:t>proto je dle názoru Úřadu nejvhodnější. Pro odhad ratingu byly použity údaje o evropských</w:t>
      </w:r>
      <w:r w:rsidR="004B0394" w:rsidRPr="004B0394">
        <w:rPr>
          <w:rFonts w:ascii="Arial" w:hAnsi="Arial" w:cs="Arial"/>
          <w:sz w:val="22"/>
          <w:szCs w:val="22"/>
        </w:rPr>
        <w:t xml:space="preserve"> </w:t>
      </w:r>
      <w:r w:rsidRPr="004B0394">
        <w:rPr>
          <w:rFonts w:ascii="Arial" w:hAnsi="Arial" w:cs="Arial"/>
          <w:sz w:val="22"/>
          <w:szCs w:val="22"/>
        </w:rPr>
        <w:t>telekomunikačních společnostech, oproti kterým jsou čeští operátoři ve většině případů méně</w:t>
      </w:r>
      <w:r w:rsidR="004B0394" w:rsidRPr="004B0394">
        <w:rPr>
          <w:rFonts w:ascii="Arial" w:hAnsi="Arial" w:cs="Arial"/>
          <w:sz w:val="22"/>
          <w:szCs w:val="22"/>
        </w:rPr>
        <w:t xml:space="preserve"> </w:t>
      </w:r>
      <w:r w:rsidRPr="004B0394">
        <w:rPr>
          <w:rFonts w:ascii="Arial" w:hAnsi="Arial" w:cs="Arial"/>
          <w:sz w:val="22"/>
          <w:szCs w:val="22"/>
        </w:rPr>
        <w:t>zadlužení. Zároveň by čeští operátoři při čerpání cizích zdrojů pravděpodobně zvolili formu</w:t>
      </w:r>
      <w:r w:rsidR="004B0394" w:rsidRPr="004B0394">
        <w:rPr>
          <w:rFonts w:ascii="Arial" w:hAnsi="Arial" w:cs="Arial"/>
          <w:sz w:val="22"/>
          <w:szCs w:val="22"/>
        </w:rPr>
        <w:t xml:space="preserve"> </w:t>
      </w:r>
      <w:r w:rsidRPr="004B0394">
        <w:rPr>
          <w:rFonts w:ascii="Arial" w:hAnsi="Arial" w:cs="Arial"/>
          <w:sz w:val="22"/>
          <w:szCs w:val="22"/>
        </w:rPr>
        <w:t>zajištěného bankovního úvěru, který představuje levnější formu financování ve srovnání s</w:t>
      </w:r>
      <w:r w:rsidR="004B0394" w:rsidRPr="004B0394">
        <w:rPr>
          <w:rFonts w:ascii="Arial" w:hAnsi="Arial" w:cs="Arial"/>
          <w:sz w:val="22"/>
          <w:szCs w:val="22"/>
        </w:rPr>
        <w:t xml:space="preserve"> </w:t>
      </w:r>
      <w:r w:rsidRPr="004B0394">
        <w:rPr>
          <w:rFonts w:ascii="Arial" w:hAnsi="Arial" w:cs="Arial"/>
          <w:sz w:val="22"/>
          <w:szCs w:val="22"/>
        </w:rPr>
        <w:t>emisí dluhopisů. Zajištěný dluh obvykle mívá přibližně o jeden stupeň lepší rating než dluh</w:t>
      </w:r>
      <w:r w:rsidR="004B0394" w:rsidRPr="004B0394">
        <w:rPr>
          <w:rFonts w:ascii="Arial" w:hAnsi="Arial" w:cs="Arial"/>
          <w:sz w:val="22"/>
          <w:szCs w:val="22"/>
        </w:rPr>
        <w:t xml:space="preserve"> </w:t>
      </w:r>
      <w:r w:rsidRPr="004B0394">
        <w:rPr>
          <w:rFonts w:ascii="Arial" w:hAnsi="Arial" w:cs="Arial"/>
          <w:sz w:val="22"/>
          <w:szCs w:val="22"/>
        </w:rPr>
        <w:t xml:space="preserve">nezajištěný (dle metodologie </w:t>
      </w:r>
      <w:proofErr w:type="spellStart"/>
      <w:r w:rsidRPr="004B0394">
        <w:rPr>
          <w:rFonts w:ascii="Arial" w:hAnsi="Arial" w:cs="Arial"/>
          <w:sz w:val="22"/>
          <w:szCs w:val="22"/>
        </w:rPr>
        <w:t>Moody's</w:t>
      </w:r>
      <w:proofErr w:type="spellEnd"/>
      <w:r w:rsidRPr="004B0394">
        <w:rPr>
          <w:rFonts w:ascii="Arial" w:hAnsi="Arial" w:cs="Arial"/>
          <w:sz w:val="22"/>
          <w:szCs w:val="22"/>
        </w:rPr>
        <w:t>). Rovněž míra dobytnosti prostředků v případě defaultu</w:t>
      </w:r>
      <w:r w:rsidR="004B0394" w:rsidRPr="004B0394">
        <w:rPr>
          <w:rFonts w:ascii="Arial" w:hAnsi="Arial" w:cs="Arial"/>
          <w:sz w:val="22"/>
          <w:szCs w:val="22"/>
        </w:rPr>
        <w:t xml:space="preserve"> </w:t>
      </w:r>
      <w:r w:rsidRPr="004B0394">
        <w:rPr>
          <w:rFonts w:ascii="Arial" w:hAnsi="Arial" w:cs="Arial"/>
          <w:sz w:val="22"/>
          <w:szCs w:val="22"/>
        </w:rPr>
        <w:t xml:space="preserve">(tzv. </w:t>
      </w:r>
      <w:proofErr w:type="spellStart"/>
      <w:r w:rsidRPr="004B0394">
        <w:rPr>
          <w:rFonts w:ascii="Arial" w:hAnsi="Arial" w:cs="Arial"/>
          <w:sz w:val="22"/>
          <w:szCs w:val="22"/>
        </w:rPr>
        <w:t>recovery</w:t>
      </w:r>
      <w:proofErr w:type="spellEnd"/>
      <w:r w:rsidRPr="004B0394">
        <w:rPr>
          <w:rFonts w:ascii="Arial" w:hAnsi="Arial" w:cs="Arial"/>
          <w:sz w:val="22"/>
          <w:szCs w:val="22"/>
        </w:rPr>
        <w:t xml:space="preserve"> </w:t>
      </w:r>
      <w:proofErr w:type="spellStart"/>
      <w:r w:rsidRPr="004B0394">
        <w:rPr>
          <w:rFonts w:ascii="Arial" w:hAnsi="Arial" w:cs="Arial"/>
          <w:sz w:val="22"/>
          <w:szCs w:val="22"/>
        </w:rPr>
        <w:t>rate</w:t>
      </w:r>
      <w:proofErr w:type="spellEnd"/>
      <w:r w:rsidRPr="004B0394">
        <w:rPr>
          <w:rFonts w:ascii="Arial" w:hAnsi="Arial" w:cs="Arial"/>
          <w:sz w:val="22"/>
          <w:szCs w:val="22"/>
        </w:rPr>
        <w:t>) bývá vyšší v případě bankovních úvěrů než v případě dluhopisů. Výnosy</w:t>
      </w:r>
      <w:r w:rsidR="004B0394" w:rsidRPr="004B0394">
        <w:rPr>
          <w:rFonts w:ascii="Arial" w:hAnsi="Arial" w:cs="Arial"/>
          <w:sz w:val="22"/>
          <w:szCs w:val="22"/>
        </w:rPr>
        <w:t xml:space="preserve"> </w:t>
      </w:r>
      <w:r w:rsidRPr="004B0394">
        <w:rPr>
          <w:rFonts w:ascii="Arial" w:hAnsi="Arial" w:cs="Arial"/>
          <w:sz w:val="22"/>
          <w:szCs w:val="22"/>
        </w:rPr>
        <w:t>do splatnosti dluhopisů s ratingem BBB a emitovaných společnostmi působícími v</w:t>
      </w:r>
      <w:r w:rsidR="004B0394" w:rsidRPr="004B0394">
        <w:rPr>
          <w:rFonts w:ascii="Arial" w:hAnsi="Arial" w:cs="Arial"/>
          <w:sz w:val="22"/>
          <w:szCs w:val="22"/>
        </w:rPr>
        <w:t> </w:t>
      </w:r>
      <w:r w:rsidRPr="004B0394">
        <w:rPr>
          <w:rFonts w:ascii="Arial" w:hAnsi="Arial" w:cs="Arial"/>
          <w:sz w:val="22"/>
          <w:szCs w:val="22"/>
        </w:rPr>
        <w:t>daném</w:t>
      </w:r>
      <w:r w:rsidR="004B0394" w:rsidRPr="004B0394">
        <w:rPr>
          <w:rFonts w:ascii="Arial" w:hAnsi="Arial" w:cs="Arial"/>
          <w:sz w:val="22"/>
          <w:szCs w:val="22"/>
        </w:rPr>
        <w:t xml:space="preserve"> </w:t>
      </w:r>
      <w:r w:rsidRPr="004B0394">
        <w:rPr>
          <w:rFonts w:ascii="Arial" w:hAnsi="Arial" w:cs="Arial"/>
          <w:sz w:val="22"/>
          <w:szCs w:val="22"/>
        </w:rPr>
        <w:t>odvětví tak lze považovat za přiměřený odhad podmínek, za kterých by tuzemské</w:t>
      </w:r>
      <w:r w:rsidR="004B0394" w:rsidRPr="004B0394">
        <w:rPr>
          <w:rFonts w:ascii="Arial" w:hAnsi="Arial" w:cs="Arial"/>
          <w:sz w:val="22"/>
          <w:szCs w:val="22"/>
        </w:rPr>
        <w:t xml:space="preserve"> </w:t>
      </w:r>
      <w:r w:rsidRPr="004B0394">
        <w:rPr>
          <w:rFonts w:ascii="Arial" w:hAnsi="Arial" w:cs="Arial"/>
          <w:sz w:val="22"/>
          <w:szCs w:val="22"/>
        </w:rPr>
        <w:t>telekomunikační společnosti byly schopny získat dluhové financování.</w:t>
      </w:r>
    </w:p>
    <w:p w:rsidR="00DF56F8" w:rsidRPr="00DF56F8" w:rsidRDefault="00C20295" w:rsidP="00DF56F8">
      <w:pPr>
        <w:spacing w:before="120"/>
        <w:ind w:firstLine="708"/>
        <w:jc w:val="both"/>
        <w:rPr>
          <w:rFonts w:ascii="Arial" w:hAnsi="Arial" w:cs="Arial"/>
          <w:sz w:val="22"/>
          <w:szCs w:val="22"/>
        </w:rPr>
      </w:pPr>
      <w:r w:rsidRPr="00DF56F8">
        <w:rPr>
          <w:rFonts w:ascii="Arial" w:hAnsi="Arial" w:cs="Arial"/>
          <w:sz w:val="22"/>
          <w:szCs w:val="22"/>
        </w:rPr>
        <w:t>Společnost CETIN také považovala za důležité zahrnout do výpočtu WACC přirážku</w:t>
      </w:r>
      <w:r w:rsidR="00DF56F8" w:rsidRPr="00DF56F8">
        <w:rPr>
          <w:rFonts w:ascii="Arial" w:hAnsi="Arial" w:cs="Arial"/>
          <w:sz w:val="22"/>
          <w:szCs w:val="22"/>
        </w:rPr>
        <w:t xml:space="preserve"> </w:t>
      </w:r>
      <w:r w:rsidRPr="00DF56F8">
        <w:rPr>
          <w:rFonts w:ascii="Arial" w:hAnsi="Arial" w:cs="Arial"/>
          <w:sz w:val="22"/>
          <w:szCs w:val="22"/>
        </w:rPr>
        <w:t>za nízkou tržní kapitalizaci. Úřad návrh neakceptoval z důvodu konzistence, neboť přirážka</w:t>
      </w:r>
      <w:r w:rsidR="00DF56F8" w:rsidRPr="00DF56F8">
        <w:rPr>
          <w:rFonts w:ascii="Arial" w:hAnsi="Arial" w:cs="Arial"/>
          <w:sz w:val="22"/>
          <w:szCs w:val="22"/>
        </w:rPr>
        <w:t xml:space="preserve"> </w:t>
      </w:r>
      <w:r w:rsidRPr="00DF56F8">
        <w:rPr>
          <w:rFonts w:ascii="Arial" w:hAnsi="Arial" w:cs="Arial"/>
          <w:sz w:val="22"/>
          <w:szCs w:val="22"/>
        </w:rPr>
        <w:t>nebyla uplatněna ani v minulých letech a nepoužívají ji pro výpočet WACC ani ostatní evropští</w:t>
      </w:r>
      <w:r w:rsidR="00DF56F8" w:rsidRPr="00DF56F8">
        <w:rPr>
          <w:rFonts w:ascii="Arial" w:hAnsi="Arial" w:cs="Arial"/>
          <w:sz w:val="22"/>
          <w:szCs w:val="22"/>
        </w:rPr>
        <w:t xml:space="preserve"> </w:t>
      </w:r>
      <w:r w:rsidRPr="00DF56F8">
        <w:rPr>
          <w:rFonts w:ascii="Arial" w:hAnsi="Arial" w:cs="Arial"/>
          <w:sz w:val="22"/>
          <w:szCs w:val="22"/>
        </w:rPr>
        <w:t>regulátoři v sektoru elektronických komunikací. Vzhledem k tomu, že podmínky na českém</w:t>
      </w:r>
      <w:r w:rsidR="00DF56F8" w:rsidRPr="00DF56F8">
        <w:rPr>
          <w:rFonts w:ascii="Arial" w:hAnsi="Arial" w:cs="Arial"/>
          <w:sz w:val="22"/>
          <w:szCs w:val="22"/>
        </w:rPr>
        <w:t xml:space="preserve"> </w:t>
      </w:r>
      <w:r w:rsidRPr="00DF56F8">
        <w:rPr>
          <w:rFonts w:ascii="Arial" w:hAnsi="Arial" w:cs="Arial"/>
          <w:sz w:val="22"/>
          <w:szCs w:val="22"/>
        </w:rPr>
        <w:t>trhu elektronických komunikací nevykazují oproti trhům tohoto odvětví v jiných evropských</w:t>
      </w:r>
      <w:r w:rsidR="00DF56F8" w:rsidRPr="00DF56F8">
        <w:rPr>
          <w:rFonts w:ascii="Arial" w:hAnsi="Arial" w:cs="Arial"/>
          <w:sz w:val="22"/>
          <w:szCs w:val="22"/>
        </w:rPr>
        <w:t xml:space="preserve"> </w:t>
      </w:r>
      <w:r w:rsidRPr="00DF56F8">
        <w:rPr>
          <w:rFonts w:ascii="Arial" w:hAnsi="Arial" w:cs="Arial"/>
          <w:sz w:val="22"/>
          <w:szCs w:val="22"/>
        </w:rPr>
        <w:t>zemích žádná specifika, nevymyká se postup ČTÚ běžné evropské praxi.</w:t>
      </w:r>
    </w:p>
    <w:p w:rsidR="00C20295" w:rsidRPr="00F40CEA" w:rsidRDefault="00C20295" w:rsidP="00F40CEA">
      <w:pPr>
        <w:spacing w:before="120"/>
        <w:ind w:firstLine="708"/>
        <w:jc w:val="both"/>
        <w:rPr>
          <w:rFonts w:ascii="Arial" w:hAnsi="Arial" w:cs="Arial"/>
          <w:sz w:val="22"/>
          <w:szCs w:val="22"/>
        </w:rPr>
      </w:pPr>
      <w:r w:rsidRPr="00F40CEA">
        <w:rPr>
          <w:rFonts w:ascii="Arial" w:hAnsi="Arial" w:cs="Arial"/>
          <w:sz w:val="22"/>
          <w:szCs w:val="22"/>
        </w:rPr>
        <w:t>Připomínce společnosti CETIN, aby do výpočtu koeficientu beta byly zahrnuty pouze</w:t>
      </w:r>
      <w:r w:rsidR="00F40CEA" w:rsidRPr="00F40CEA">
        <w:rPr>
          <w:rFonts w:ascii="Arial" w:hAnsi="Arial" w:cs="Arial"/>
          <w:sz w:val="22"/>
          <w:szCs w:val="22"/>
        </w:rPr>
        <w:t xml:space="preserve"> </w:t>
      </w:r>
      <w:r w:rsidRPr="00F40CEA">
        <w:rPr>
          <w:rFonts w:ascii="Arial" w:hAnsi="Arial" w:cs="Arial"/>
          <w:sz w:val="22"/>
          <w:szCs w:val="22"/>
        </w:rPr>
        <w:t>společnosti působící na evropském trhu, bylo vyhověno. Stejně tak bylo vyhověno požadavku</w:t>
      </w:r>
      <w:r w:rsidR="00F40CEA" w:rsidRPr="00F40CEA">
        <w:rPr>
          <w:rFonts w:ascii="Arial" w:hAnsi="Arial" w:cs="Arial"/>
          <w:sz w:val="22"/>
          <w:szCs w:val="22"/>
        </w:rPr>
        <w:t xml:space="preserve"> </w:t>
      </w:r>
      <w:r w:rsidRPr="00F40CEA">
        <w:rPr>
          <w:rFonts w:ascii="Arial" w:hAnsi="Arial" w:cs="Arial"/>
          <w:sz w:val="22"/>
          <w:szCs w:val="22"/>
        </w:rPr>
        <w:t>CETIN, aby se WACC pro službu přístupu na přístupových sítích nové generace vztahovalo</w:t>
      </w:r>
      <w:r w:rsidR="00F40CEA" w:rsidRPr="00F40CEA">
        <w:rPr>
          <w:rFonts w:ascii="Arial" w:hAnsi="Arial" w:cs="Arial"/>
          <w:sz w:val="22"/>
          <w:szCs w:val="22"/>
        </w:rPr>
        <w:t xml:space="preserve"> </w:t>
      </w:r>
      <w:r w:rsidRPr="00F40CEA">
        <w:rPr>
          <w:rFonts w:ascii="Arial" w:hAnsi="Arial" w:cs="Arial"/>
          <w:sz w:val="22"/>
          <w:szCs w:val="22"/>
        </w:rPr>
        <w:t>nejen na službu FTTH, ale i FTTB.</w:t>
      </w:r>
    </w:p>
    <w:p w:rsidR="00C20295" w:rsidRPr="00D402BA" w:rsidRDefault="00C20295" w:rsidP="00D402BA">
      <w:pPr>
        <w:spacing w:before="120"/>
        <w:ind w:firstLine="708"/>
        <w:jc w:val="both"/>
        <w:rPr>
          <w:rFonts w:ascii="Arial" w:hAnsi="Arial" w:cs="Arial"/>
          <w:sz w:val="22"/>
          <w:szCs w:val="22"/>
        </w:rPr>
      </w:pPr>
      <w:r w:rsidRPr="00D402BA">
        <w:rPr>
          <w:rFonts w:ascii="Arial" w:hAnsi="Arial" w:cs="Arial"/>
          <w:sz w:val="22"/>
          <w:szCs w:val="22"/>
        </w:rPr>
        <w:t>Společnost Vodafone vyjádřila nespokojenost s tím, že Úřad ponechal přirážky pro</w:t>
      </w:r>
      <w:r w:rsidR="00C871E2" w:rsidRPr="00D402BA">
        <w:rPr>
          <w:rFonts w:ascii="Arial" w:hAnsi="Arial" w:cs="Arial"/>
          <w:sz w:val="22"/>
          <w:szCs w:val="22"/>
        </w:rPr>
        <w:t xml:space="preserve"> </w:t>
      </w:r>
      <w:r w:rsidRPr="00D402BA">
        <w:rPr>
          <w:rFonts w:ascii="Arial" w:hAnsi="Arial" w:cs="Arial"/>
          <w:sz w:val="22"/>
          <w:szCs w:val="22"/>
        </w:rPr>
        <w:t>výpočet WACC pro službu přístupu na přístupových sítích nové generace v nezměněné výši.</w:t>
      </w:r>
      <w:r w:rsidR="00C871E2" w:rsidRPr="00D402BA">
        <w:rPr>
          <w:rFonts w:ascii="Arial" w:hAnsi="Arial" w:cs="Arial"/>
          <w:sz w:val="22"/>
          <w:szCs w:val="22"/>
        </w:rPr>
        <w:t xml:space="preserve"> </w:t>
      </w:r>
      <w:r w:rsidRPr="00D402BA">
        <w:rPr>
          <w:rFonts w:ascii="Arial" w:hAnsi="Arial" w:cs="Arial"/>
          <w:sz w:val="22"/>
          <w:szCs w:val="22"/>
        </w:rPr>
        <w:t>Podle společnosti Vodafone se situace na tomto trhu změnila, zejména v souvislosti s</w:t>
      </w:r>
      <w:r w:rsidR="00C871E2" w:rsidRPr="00D402BA">
        <w:rPr>
          <w:rFonts w:ascii="Arial" w:hAnsi="Arial" w:cs="Arial"/>
          <w:sz w:val="22"/>
          <w:szCs w:val="22"/>
        </w:rPr>
        <w:t xml:space="preserve"> </w:t>
      </w:r>
      <w:r w:rsidRPr="00D402BA">
        <w:rPr>
          <w:rFonts w:ascii="Arial" w:hAnsi="Arial" w:cs="Arial"/>
          <w:sz w:val="22"/>
          <w:szCs w:val="22"/>
        </w:rPr>
        <w:t>přípravou Národního plánu rozvoje sítí nové generace, jehož součástí jsou i pravidla pro</w:t>
      </w:r>
      <w:r w:rsidR="00C871E2" w:rsidRPr="00D402BA">
        <w:rPr>
          <w:rFonts w:ascii="Arial" w:hAnsi="Arial" w:cs="Arial"/>
          <w:sz w:val="22"/>
          <w:szCs w:val="22"/>
        </w:rPr>
        <w:t xml:space="preserve"> </w:t>
      </w:r>
      <w:r w:rsidRPr="00D402BA">
        <w:rPr>
          <w:rFonts w:ascii="Arial" w:hAnsi="Arial" w:cs="Arial"/>
          <w:sz w:val="22"/>
          <w:szCs w:val="22"/>
        </w:rPr>
        <w:t>poskytování finančních dotací výstavby NGA sítí. Úřad připomínky neakceptoval. Rizikovou</w:t>
      </w:r>
      <w:r w:rsidR="00C871E2" w:rsidRPr="00D402BA">
        <w:rPr>
          <w:rFonts w:ascii="Arial" w:hAnsi="Arial" w:cs="Arial"/>
          <w:sz w:val="22"/>
          <w:szCs w:val="22"/>
        </w:rPr>
        <w:t xml:space="preserve"> </w:t>
      </w:r>
      <w:r w:rsidRPr="00D402BA">
        <w:rPr>
          <w:rFonts w:ascii="Arial" w:hAnsi="Arial" w:cs="Arial"/>
          <w:sz w:val="22"/>
          <w:szCs w:val="22"/>
        </w:rPr>
        <w:t>přirážku k "standardní" hodnotě WACC stanovil Úřad poprvé v druhé polovině roku 2013, a to</w:t>
      </w:r>
      <w:r w:rsidR="00C871E2" w:rsidRPr="00D402BA">
        <w:rPr>
          <w:rFonts w:ascii="Arial" w:hAnsi="Arial" w:cs="Arial"/>
          <w:sz w:val="22"/>
          <w:szCs w:val="22"/>
        </w:rPr>
        <w:t xml:space="preserve"> </w:t>
      </w:r>
      <w:r w:rsidRPr="00D402BA">
        <w:rPr>
          <w:rFonts w:ascii="Arial" w:hAnsi="Arial" w:cs="Arial"/>
          <w:sz w:val="22"/>
          <w:szCs w:val="22"/>
        </w:rPr>
        <w:t>v souladu s Doporučením 201 0/572/EU. Od té doby neidentifikoval významnou změnu na trhu</w:t>
      </w:r>
      <w:r w:rsidR="00C871E2" w:rsidRPr="00D402BA">
        <w:rPr>
          <w:rFonts w:ascii="Arial" w:hAnsi="Arial" w:cs="Arial"/>
          <w:sz w:val="22"/>
          <w:szCs w:val="22"/>
        </w:rPr>
        <w:t xml:space="preserve"> </w:t>
      </w:r>
      <w:r w:rsidRPr="00D402BA">
        <w:rPr>
          <w:rFonts w:ascii="Arial" w:hAnsi="Arial" w:cs="Arial"/>
          <w:sz w:val="22"/>
          <w:szCs w:val="22"/>
        </w:rPr>
        <w:t xml:space="preserve">při budování sítí </w:t>
      </w:r>
      <w:proofErr w:type="gramStart"/>
      <w:r w:rsidRPr="00D402BA">
        <w:rPr>
          <w:rFonts w:ascii="Arial" w:hAnsi="Arial" w:cs="Arial"/>
          <w:sz w:val="22"/>
          <w:szCs w:val="22"/>
        </w:rPr>
        <w:t>FTTH</w:t>
      </w:r>
      <w:proofErr w:type="gramEnd"/>
      <w:r w:rsidRPr="00D402BA">
        <w:rPr>
          <w:rFonts w:ascii="Arial" w:hAnsi="Arial" w:cs="Arial"/>
          <w:sz w:val="22"/>
          <w:szCs w:val="22"/>
        </w:rPr>
        <w:t xml:space="preserve"> resp. FTTB na straně nabídky ani na straně poptávky, a proto</w:t>
      </w:r>
      <w:r w:rsidR="00C871E2" w:rsidRPr="00D402BA">
        <w:rPr>
          <w:rFonts w:ascii="Arial" w:hAnsi="Arial" w:cs="Arial"/>
          <w:sz w:val="22"/>
          <w:szCs w:val="22"/>
        </w:rPr>
        <w:t xml:space="preserve"> </w:t>
      </w:r>
      <w:r w:rsidRPr="00D402BA">
        <w:rPr>
          <w:rFonts w:ascii="Arial" w:hAnsi="Arial" w:cs="Arial"/>
          <w:sz w:val="22"/>
          <w:szCs w:val="22"/>
        </w:rPr>
        <w:t>nepovažuje v této chvíli za potřebné měnit výši přirážky k standardní hodnotě WACC. V</w:t>
      </w:r>
      <w:r w:rsidR="00D402BA" w:rsidRPr="00D402BA">
        <w:rPr>
          <w:rFonts w:ascii="Arial" w:hAnsi="Arial" w:cs="Arial"/>
          <w:sz w:val="22"/>
          <w:szCs w:val="22"/>
        </w:rPr>
        <w:t xml:space="preserve"> </w:t>
      </w:r>
      <w:r w:rsidRPr="00D402BA">
        <w:rPr>
          <w:rFonts w:ascii="Arial" w:hAnsi="Arial" w:cs="Arial"/>
          <w:sz w:val="22"/>
          <w:szCs w:val="22"/>
        </w:rPr>
        <w:t xml:space="preserve">případě, že nastane změna na trhu při budování sítí </w:t>
      </w:r>
      <w:proofErr w:type="gramStart"/>
      <w:r w:rsidRPr="00D402BA">
        <w:rPr>
          <w:rFonts w:ascii="Arial" w:hAnsi="Arial" w:cs="Arial"/>
          <w:sz w:val="22"/>
          <w:szCs w:val="22"/>
        </w:rPr>
        <w:t>FTTH</w:t>
      </w:r>
      <w:proofErr w:type="gramEnd"/>
      <w:r w:rsidRPr="00D402BA">
        <w:rPr>
          <w:rFonts w:ascii="Arial" w:hAnsi="Arial" w:cs="Arial"/>
          <w:sz w:val="22"/>
          <w:szCs w:val="22"/>
        </w:rPr>
        <w:t xml:space="preserve"> resp. FTTB např. i v souvislosti s</w:t>
      </w:r>
      <w:r w:rsidR="00D402BA" w:rsidRPr="00D402BA">
        <w:rPr>
          <w:rFonts w:ascii="Arial" w:hAnsi="Arial" w:cs="Arial"/>
          <w:sz w:val="22"/>
          <w:szCs w:val="22"/>
        </w:rPr>
        <w:t xml:space="preserve"> </w:t>
      </w:r>
      <w:r w:rsidRPr="00D402BA">
        <w:rPr>
          <w:rFonts w:ascii="Arial" w:hAnsi="Arial" w:cs="Arial"/>
          <w:sz w:val="22"/>
          <w:szCs w:val="22"/>
        </w:rPr>
        <w:t>realizací výstavby v rámci Národního plánu rozvoje sítí nové generace, aktualizuje Úřad výši</w:t>
      </w:r>
      <w:r w:rsidR="00D402BA" w:rsidRPr="00D402BA">
        <w:rPr>
          <w:rFonts w:ascii="Arial" w:hAnsi="Arial" w:cs="Arial"/>
          <w:sz w:val="22"/>
          <w:szCs w:val="22"/>
        </w:rPr>
        <w:t xml:space="preserve"> </w:t>
      </w:r>
      <w:r w:rsidRPr="00D402BA">
        <w:rPr>
          <w:rFonts w:ascii="Arial" w:hAnsi="Arial" w:cs="Arial"/>
          <w:sz w:val="22"/>
          <w:szCs w:val="22"/>
        </w:rPr>
        <w:t>přirážky pro sítě FTTH resp. FTTB nebo ji případně po vyhodnocení rizik zruší.</w:t>
      </w:r>
    </w:p>
    <w:p w:rsidR="003C3CAE" w:rsidRPr="003C3CAE" w:rsidRDefault="00C20295" w:rsidP="003C3CAE">
      <w:pPr>
        <w:spacing w:before="120"/>
        <w:ind w:firstLine="708"/>
        <w:jc w:val="both"/>
        <w:rPr>
          <w:rFonts w:ascii="Arial" w:hAnsi="Arial" w:cs="Arial"/>
          <w:sz w:val="22"/>
          <w:szCs w:val="22"/>
        </w:rPr>
      </w:pPr>
      <w:r w:rsidRPr="003C3CAE">
        <w:rPr>
          <w:rFonts w:ascii="Arial" w:hAnsi="Arial" w:cs="Arial"/>
          <w:sz w:val="22"/>
          <w:szCs w:val="22"/>
        </w:rPr>
        <w:t>V tabulce vypořádání připomínek zveřejněné na diskusním místě je uvedeno plné</w:t>
      </w:r>
      <w:r w:rsidR="003C3CAE" w:rsidRPr="003C3CAE">
        <w:rPr>
          <w:rFonts w:ascii="Arial" w:hAnsi="Arial" w:cs="Arial"/>
          <w:sz w:val="22"/>
          <w:szCs w:val="22"/>
        </w:rPr>
        <w:t xml:space="preserve"> </w:t>
      </w:r>
      <w:r w:rsidRPr="003C3CAE">
        <w:rPr>
          <w:rFonts w:ascii="Arial" w:hAnsi="Arial" w:cs="Arial"/>
          <w:sz w:val="22"/>
          <w:szCs w:val="22"/>
        </w:rPr>
        <w:t>znění připomínek a způsob jejich vypořádání.</w:t>
      </w:r>
      <w:r w:rsidR="003C3CAE" w:rsidRPr="003C3CAE">
        <w:rPr>
          <w:rFonts w:ascii="Arial" w:hAnsi="Arial" w:cs="Arial"/>
          <w:sz w:val="22"/>
          <w:szCs w:val="22"/>
        </w:rPr>
        <w:t xml:space="preserve"> </w:t>
      </w:r>
    </w:p>
    <w:p w:rsidR="00C20295" w:rsidRPr="003C3CAE" w:rsidRDefault="00C20295" w:rsidP="003C3CAE">
      <w:pPr>
        <w:spacing w:before="120"/>
        <w:ind w:firstLine="708"/>
        <w:jc w:val="both"/>
        <w:rPr>
          <w:rFonts w:ascii="Arial" w:hAnsi="Arial" w:cs="Arial"/>
          <w:sz w:val="22"/>
          <w:szCs w:val="22"/>
        </w:rPr>
      </w:pPr>
      <w:r w:rsidRPr="003C3CAE">
        <w:rPr>
          <w:rFonts w:ascii="Arial" w:hAnsi="Arial" w:cs="Arial"/>
          <w:sz w:val="22"/>
          <w:szCs w:val="22"/>
        </w:rPr>
        <w:lastRenderedPageBreak/>
        <w:t>Účinnost opatření je stanovena v souladu s § 124 odst. 2 zákona, a to od 1. ledna</w:t>
      </w:r>
      <w:r w:rsidR="003C3CAE" w:rsidRPr="003C3CAE">
        <w:rPr>
          <w:rFonts w:ascii="Arial" w:hAnsi="Arial" w:cs="Arial"/>
          <w:sz w:val="22"/>
          <w:szCs w:val="22"/>
        </w:rPr>
        <w:t xml:space="preserve"> </w:t>
      </w:r>
      <w:r w:rsidRPr="003C3CAE">
        <w:rPr>
          <w:rFonts w:ascii="Arial" w:hAnsi="Arial" w:cs="Arial"/>
          <w:sz w:val="22"/>
          <w:szCs w:val="22"/>
        </w:rPr>
        <w:t>2016 s ohledem na celistvost účetního období, pro které je vedena oddělená evidence</w:t>
      </w:r>
      <w:r w:rsidR="003C3CAE" w:rsidRPr="003C3CAE">
        <w:rPr>
          <w:rFonts w:ascii="Arial" w:hAnsi="Arial" w:cs="Arial"/>
          <w:sz w:val="22"/>
          <w:szCs w:val="22"/>
        </w:rPr>
        <w:t xml:space="preserve"> </w:t>
      </w:r>
      <w:r w:rsidRPr="003C3CAE">
        <w:rPr>
          <w:rFonts w:ascii="Arial" w:hAnsi="Arial" w:cs="Arial"/>
          <w:sz w:val="22"/>
          <w:szCs w:val="22"/>
        </w:rPr>
        <w:t>nákladů a výnosů.</w:t>
      </w:r>
    </w:p>
    <w:p w:rsidR="00F25D1D" w:rsidRDefault="00F25D1D" w:rsidP="00F25D1D">
      <w:pPr>
        <w:widowControl w:val="0"/>
        <w:autoSpaceDE w:val="0"/>
        <w:autoSpaceDN w:val="0"/>
        <w:adjustRightInd w:val="0"/>
        <w:spacing w:before="240" w:after="240" w:line="280" w:lineRule="exact"/>
        <w:jc w:val="center"/>
        <w:rPr>
          <w:rFonts w:ascii="Arial" w:hAnsi="Arial" w:cs="Arial"/>
          <w:sz w:val="28"/>
          <w:szCs w:val="28"/>
        </w:rPr>
      </w:pPr>
      <w:r w:rsidRPr="00657A59">
        <w:rPr>
          <w:rFonts w:ascii="Arial" w:hAnsi="Arial" w:cs="Arial"/>
          <w:sz w:val="28"/>
          <w:szCs w:val="28"/>
        </w:rPr>
        <w:t>***</w:t>
      </w:r>
    </w:p>
    <w:p w:rsidR="00F25D1D" w:rsidRPr="00AA6417" w:rsidRDefault="00F25D1D" w:rsidP="00F25D1D">
      <w:pPr>
        <w:widowControl w:val="0"/>
        <w:autoSpaceDE w:val="0"/>
        <w:autoSpaceDN w:val="0"/>
        <w:adjustRightInd w:val="0"/>
        <w:spacing w:before="77"/>
        <w:ind w:right="-2"/>
        <w:rPr>
          <w:rFonts w:ascii="Arial" w:hAnsi="Arial" w:cs="Arial"/>
          <w:b/>
          <w:bCs/>
          <w:sz w:val="22"/>
          <w:szCs w:val="22"/>
        </w:rPr>
      </w:pPr>
      <w:r w:rsidRPr="00852FF0">
        <w:rPr>
          <w:rFonts w:ascii="Arial" w:hAnsi="Arial" w:cs="Arial"/>
          <w:b/>
          <w:bCs/>
          <w:sz w:val="22"/>
          <w:szCs w:val="22"/>
          <w:highlight w:val="yellow"/>
        </w:rPr>
        <w:t xml:space="preserve">Odůvodnění k opatření obecné povahy č. </w:t>
      </w:r>
      <w:r w:rsidRPr="00852FF0">
        <w:rPr>
          <w:rFonts w:ascii="Arial" w:hAnsi="Arial" w:cs="Arial"/>
          <w:b/>
          <w:bCs/>
          <w:color w:val="000000"/>
          <w:sz w:val="22"/>
          <w:szCs w:val="22"/>
          <w:highlight w:val="yellow"/>
        </w:rPr>
        <w:t>OOP/4/2.201</w:t>
      </w:r>
      <w:r w:rsidR="00D86353" w:rsidRPr="00852FF0">
        <w:rPr>
          <w:rFonts w:ascii="Arial" w:hAnsi="Arial" w:cs="Arial"/>
          <w:b/>
          <w:bCs/>
          <w:color w:val="000000"/>
          <w:sz w:val="22"/>
          <w:szCs w:val="22"/>
          <w:highlight w:val="yellow"/>
        </w:rPr>
        <w:t>9</w:t>
      </w:r>
      <w:r w:rsidRPr="00852FF0">
        <w:rPr>
          <w:rFonts w:ascii="Arial" w:hAnsi="Arial" w:cs="Arial"/>
          <w:b/>
          <w:bCs/>
          <w:color w:val="000000"/>
          <w:sz w:val="22"/>
          <w:szCs w:val="22"/>
          <w:highlight w:val="yellow"/>
        </w:rPr>
        <w:t>-</w:t>
      </w:r>
      <w:r w:rsidR="00D86353" w:rsidRPr="00852FF0">
        <w:rPr>
          <w:rFonts w:ascii="Arial" w:hAnsi="Arial" w:cs="Arial"/>
          <w:b/>
          <w:bCs/>
          <w:color w:val="000000"/>
          <w:sz w:val="22"/>
          <w:szCs w:val="22"/>
          <w:highlight w:val="yellow"/>
        </w:rPr>
        <w:t>2</w:t>
      </w:r>
      <w:r w:rsidRPr="00852FF0">
        <w:rPr>
          <w:rFonts w:ascii="Arial" w:hAnsi="Arial" w:cs="Arial"/>
          <w:b/>
          <w:bCs/>
          <w:color w:val="000000"/>
          <w:sz w:val="22"/>
          <w:szCs w:val="22"/>
          <w:highlight w:val="yellow"/>
        </w:rPr>
        <w:t xml:space="preserve"> ze dne </w:t>
      </w:r>
      <w:r w:rsidR="00D86353" w:rsidRPr="00852FF0">
        <w:rPr>
          <w:rFonts w:ascii="Arial" w:hAnsi="Arial" w:cs="Arial"/>
          <w:b/>
          <w:bCs/>
          <w:color w:val="000000"/>
          <w:sz w:val="22"/>
          <w:szCs w:val="22"/>
          <w:highlight w:val="yellow"/>
        </w:rPr>
        <w:t>26. února</w:t>
      </w:r>
      <w:r w:rsidRPr="00852FF0">
        <w:rPr>
          <w:rFonts w:ascii="Arial" w:hAnsi="Arial" w:cs="Arial"/>
          <w:b/>
          <w:bCs/>
          <w:color w:val="000000"/>
          <w:sz w:val="22"/>
          <w:szCs w:val="22"/>
          <w:highlight w:val="yellow"/>
        </w:rPr>
        <w:t xml:space="preserve"> 201</w:t>
      </w:r>
      <w:r w:rsidR="00D86353" w:rsidRPr="00852FF0">
        <w:rPr>
          <w:rFonts w:ascii="Arial" w:hAnsi="Arial" w:cs="Arial"/>
          <w:b/>
          <w:bCs/>
          <w:color w:val="000000"/>
          <w:sz w:val="22"/>
          <w:szCs w:val="22"/>
          <w:highlight w:val="yellow"/>
        </w:rPr>
        <w:t>9</w:t>
      </w:r>
    </w:p>
    <w:p w:rsidR="00B0672C" w:rsidRPr="00B0672C" w:rsidRDefault="00B0672C" w:rsidP="00B0672C">
      <w:pPr>
        <w:autoSpaceDE w:val="0"/>
        <w:autoSpaceDN w:val="0"/>
        <w:adjustRightInd w:val="0"/>
        <w:spacing w:after="240"/>
        <w:jc w:val="both"/>
        <w:rPr>
          <w:rFonts w:ascii="ArialMT" w:hAnsi="ArialMT" w:cs="ArialMT"/>
          <w:sz w:val="22"/>
          <w:szCs w:val="22"/>
        </w:rPr>
      </w:pPr>
      <w:r w:rsidRPr="00B0672C">
        <w:rPr>
          <w:rFonts w:ascii="ArialMT" w:hAnsi="ArialMT" w:cs="ArialMT"/>
          <w:sz w:val="22"/>
          <w:szCs w:val="22"/>
        </w:rPr>
        <w:t xml:space="preserve">V opatření obecné povahy č. OOP/4/09.2014-6, kterým se stanoví metodika účelového členění nákladů a výnosů a jejich přiřazování a určuje se struktura vykazovaných informací, vydaném dne 3. září 2014, stanovil Úřad hodnoty WACC, využívané pro stanovení nákladů vloženého kapitálu při vedení oddělené evidence nákladů a výnosů, vyúčtování čistých nákladů na poskytování univerzální služby a pro cenovou regulaci. </w:t>
      </w:r>
    </w:p>
    <w:p w:rsidR="00B0672C" w:rsidRPr="00B0672C" w:rsidRDefault="00B0672C" w:rsidP="00B0672C">
      <w:pPr>
        <w:autoSpaceDE w:val="0"/>
        <w:autoSpaceDN w:val="0"/>
        <w:adjustRightInd w:val="0"/>
        <w:spacing w:after="240"/>
        <w:jc w:val="both"/>
        <w:rPr>
          <w:rFonts w:ascii="ArialMT" w:hAnsi="ArialMT" w:cs="ArialMT"/>
          <w:sz w:val="22"/>
          <w:szCs w:val="22"/>
        </w:rPr>
      </w:pPr>
      <w:r w:rsidRPr="00B0672C">
        <w:rPr>
          <w:rFonts w:ascii="ArialMT" w:hAnsi="ArialMT" w:cs="ArialMT"/>
          <w:sz w:val="22"/>
          <w:szCs w:val="22"/>
        </w:rPr>
        <w:tab/>
        <w:t xml:space="preserve">Hodnota WACC je ovlivňována nejen vývojem na trhu elektronických komunikací, ale i situací na kapitálovém trhu. Mezi klíčové faktory ovlivňující náklady kapitálu patří např. úrokové sazby nebo ceny akcií, což jsou veličiny měnící se v čase. Z uvedených důvodů je nutná průběžná aktualizace hodnoty ukazatele WACC. </w:t>
      </w:r>
    </w:p>
    <w:p w:rsidR="00B0672C" w:rsidRPr="00B0672C" w:rsidRDefault="00B0672C" w:rsidP="00B0672C">
      <w:pPr>
        <w:autoSpaceDE w:val="0"/>
        <w:autoSpaceDN w:val="0"/>
        <w:adjustRightInd w:val="0"/>
        <w:spacing w:after="240"/>
        <w:ind w:firstLine="708"/>
        <w:jc w:val="both"/>
        <w:rPr>
          <w:rFonts w:ascii="Arial" w:hAnsi="Arial" w:cs="Arial"/>
          <w:sz w:val="22"/>
          <w:szCs w:val="22"/>
        </w:rPr>
      </w:pPr>
      <w:r w:rsidRPr="00B0672C">
        <w:rPr>
          <w:rFonts w:ascii="ArialMT" w:hAnsi="ArialMT" w:cs="ArialMT"/>
          <w:sz w:val="22"/>
          <w:szCs w:val="22"/>
        </w:rPr>
        <w:t xml:space="preserve">Poslední aktualizaci Úřad provedl v roce 2015 (opatřením obecné povahy č. OOP/4/12.2015-7 ze dne 8. prosince 2015). </w:t>
      </w:r>
    </w:p>
    <w:p w:rsidR="00B0672C" w:rsidRPr="00B0672C" w:rsidRDefault="00B0672C" w:rsidP="00B0672C">
      <w:pPr>
        <w:spacing w:after="240"/>
        <w:ind w:firstLine="708"/>
        <w:jc w:val="both"/>
        <w:rPr>
          <w:rFonts w:ascii="Arial" w:hAnsi="Arial" w:cs="Arial"/>
          <w:sz w:val="22"/>
          <w:szCs w:val="22"/>
        </w:rPr>
      </w:pPr>
      <w:r w:rsidRPr="00B0672C">
        <w:rPr>
          <w:rFonts w:ascii="Arial" w:hAnsi="Arial" w:cs="Arial"/>
          <w:sz w:val="22"/>
          <w:szCs w:val="22"/>
        </w:rPr>
        <w:t xml:space="preserve">S ohledem na vývoj kapitálového trhu a trhu elektronických komunikací si nechal Úřad od společnosti Grant Thornton Valuations, a.s. v roce 2018 zpracovat odbornou studii. Zástupci společností zajišťujících sítě elektronických komunikací měli možnost se s aktualizovaným výpočtem seznámit na workshopu pořádaném Úřadem dne 5. října 2018. Jejich připomínky byly Úřadem vypořádány a relevantní připomínky byly zapracovány.  </w:t>
      </w:r>
    </w:p>
    <w:p w:rsidR="00B0672C" w:rsidRPr="00B0672C" w:rsidRDefault="00B0672C" w:rsidP="00B0672C">
      <w:pPr>
        <w:spacing w:after="240"/>
        <w:ind w:firstLine="708"/>
        <w:jc w:val="both"/>
        <w:rPr>
          <w:rFonts w:ascii="Arial" w:hAnsi="Arial" w:cs="Arial"/>
          <w:sz w:val="22"/>
          <w:szCs w:val="22"/>
        </w:rPr>
      </w:pPr>
      <w:r w:rsidRPr="00B0672C">
        <w:rPr>
          <w:rFonts w:ascii="Arial" w:hAnsi="Arial" w:cs="Arial"/>
          <w:sz w:val="22"/>
          <w:szCs w:val="22"/>
        </w:rPr>
        <w:t>Pro výpočet ukazatele WACC se používá následující vzorec:</w:t>
      </w:r>
    </w:p>
    <w:p w:rsidR="00B0672C" w:rsidRPr="00B0672C" w:rsidRDefault="00B0672C" w:rsidP="00B0672C">
      <w:pPr>
        <w:ind w:firstLine="708"/>
        <w:jc w:val="center"/>
        <w:rPr>
          <w:rFonts w:ascii="Arial" w:hAnsi="Arial" w:cs="Arial"/>
          <w:sz w:val="22"/>
          <w:szCs w:val="22"/>
        </w:rPr>
      </w:pPr>
      <w:r w:rsidRPr="00B0672C">
        <w:rPr>
          <w:rFonts w:ascii="Arial" w:hAnsi="Arial"/>
          <w:b/>
          <w:noProof/>
          <w:position w:val="-24"/>
          <w:sz w:val="22"/>
          <w:szCs w:val="20"/>
          <w:vertAlign w:val="subscript"/>
        </w:rPr>
        <w:object w:dxaOrig="4160" w:dyaOrig="620">
          <v:shape id="_x0000_i1030" type="#_x0000_t75" style="width:205.65pt;height:31pt" o:ole="">
            <v:imagedata r:id="rId35" o:title=""/>
          </v:shape>
          <o:OLEObject Type="Embed" ProgID="Equation.3" ShapeID="_x0000_i1030" DrawAspect="Content" ObjectID="_1761381322" r:id="rId37"/>
        </w:object>
      </w:r>
    </w:p>
    <w:p w:rsidR="00B0672C" w:rsidRPr="00B0672C" w:rsidRDefault="00B0672C" w:rsidP="00B0672C">
      <w:pPr>
        <w:spacing w:before="60"/>
        <w:jc w:val="both"/>
        <w:rPr>
          <w:rFonts w:ascii="Arial" w:hAnsi="Arial" w:cs="Arial"/>
          <w:noProof/>
          <w:sz w:val="22"/>
          <w:szCs w:val="22"/>
          <w:lang w:eastAsia="zh-TW"/>
        </w:rPr>
      </w:pPr>
      <w:r w:rsidRPr="00B0672C">
        <w:rPr>
          <w:rFonts w:ascii="Arial" w:hAnsi="Arial" w:cs="Arial"/>
          <w:noProof/>
          <w:sz w:val="22"/>
          <w:szCs w:val="22"/>
          <w:lang w:eastAsia="zh-TW"/>
        </w:rPr>
        <w:t>kde:</w:t>
      </w:r>
    </w:p>
    <w:p w:rsidR="00B0672C" w:rsidRPr="00B0672C" w:rsidRDefault="00B0672C" w:rsidP="00B0672C">
      <w:pPr>
        <w:spacing w:before="60"/>
        <w:jc w:val="both"/>
        <w:rPr>
          <w:rFonts w:ascii="Arial" w:hAnsi="Arial" w:cs="Arial"/>
          <w:noProof/>
          <w:sz w:val="22"/>
          <w:szCs w:val="22"/>
          <w:lang w:eastAsia="zh-TW"/>
        </w:rPr>
      </w:pPr>
      <w:r w:rsidRPr="00B0672C">
        <w:rPr>
          <w:rFonts w:ascii="Arial" w:hAnsi="Arial" w:cs="Arial"/>
          <w:noProof/>
          <w:sz w:val="22"/>
          <w:szCs w:val="22"/>
          <w:lang w:eastAsia="zh-TW"/>
        </w:rPr>
        <w:t>WACC</w:t>
      </w:r>
      <w:r w:rsidRPr="00B0672C">
        <w:rPr>
          <w:rFonts w:ascii="Arial" w:hAnsi="Arial" w:cs="Arial"/>
          <w:noProof/>
          <w:sz w:val="22"/>
          <w:szCs w:val="22"/>
          <w:vertAlign w:val="subscript"/>
          <w:lang w:eastAsia="zh-TW"/>
        </w:rPr>
        <w:tab/>
        <w:t>AT</w:t>
      </w:r>
      <w:r w:rsidRPr="00B0672C">
        <w:rPr>
          <w:rFonts w:ascii="Arial" w:hAnsi="Arial" w:cs="Arial"/>
          <w:noProof/>
          <w:sz w:val="22"/>
          <w:szCs w:val="22"/>
          <w:lang w:eastAsia="zh-TW"/>
        </w:rPr>
        <w:tab/>
        <w:t>je vážený průměr nákladů kapitálu po zdanění,</w:t>
      </w:r>
    </w:p>
    <w:p w:rsidR="00B0672C" w:rsidRPr="00B0672C" w:rsidRDefault="00B0672C" w:rsidP="00B0672C">
      <w:pPr>
        <w:spacing w:before="60"/>
        <w:jc w:val="both"/>
        <w:rPr>
          <w:rFonts w:ascii="Arial" w:hAnsi="Arial" w:cs="Arial"/>
          <w:noProof/>
          <w:sz w:val="22"/>
          <w:szCs w:val="22"/>
          <w:lang w:eastAsia="zh-TW"/>
        </w:rPr>
      </w:pPr>
      <w:r w:rsidRPr="00B0672C">
        <w:rPr>
          <w:rFonts w:ascii="Arial" w:hAnsi="Arial" w:cs="Arial"/>
          <w:noProof/>
          <w:sz w:val="22"/>
          <w:szCs w:val="22"/>
          <w:lang w:eastAsia="zh-TW"/>
        </w:rPr>
        <w:t>r</w:t>
      </w:r>
      <w:r w:rsidRPr="00B0672C">
        <w:rPr>
          <w:rFonts w:ascii="Arial" w:hAnsi="Arial" w:cs="Arial"/>
          <w:noProof/>
          <w:sz w:val="22"/>
          <w:szCs w:val="22"/>
          <w:vertAlign w:val="subscript"/>
          <w:lang w:eastAsia="zh-TW"/>
        </w:rPr>
        <w:t>e</w:t>
      </w:r>
      <w:r w:rsidRPr="00B0672C">
        <w:rPr>
          <w:rFonts w:ascii="Arial" w:hAnsi="Arial" w:cs="Arial"/>
          <w:noProof/>
          <w:sz w:val="22"/>
          <w:szCs w:val="22"/>
          <w:lang w:eastAsia="zh-TW"/>
        </w:rPr>
        <w:tab/>
      </w:r>
      <w:r w:rsidRPr="00B0672C">
        <w:rPr>
          <w:rFonts w:ascii="Arial" w:hAnsi="Arial" w:cs="Arial"/>
          <w:noProof/>
          <w:sz w:val="22"/>
          <w:szCs w:val="22"/>
          <w:lang w:eastAsia="zh-TW"/>
        </w:rPr>
        <w:tab/>
        <w:t>jsou náklady vlastního kapitálu,</w:t>
      </w:r>
    </w:p>
    <w:p w:rsidR="00B0672C" w:rsidRPr="00B0672C" w:rsidRDefault="00B0672C" w:rsidP="00B0672C">
      <w:pPr>
        <w:spacing w:before="60"/>
        <w:jc w:val="both"/>
        <w:rPr>
          <w:rFonts w:ascii="Arial" w:hAnsi="Arial" w:cs="Arial"/>
          <w:noProof/>
          <w:sz w:val="22"/>
          <w:szCs w:val="22"/>
          <w:lang w:eastAsia="zh-TW"/>
        </w:rPr>
      </w:pPr>
      <w:r w:rsidRPr="00B0672C">
        <w:rPr>
          <w:rFonts w:ascii="Arial" w:hAnsi="Arial" w:cs="Arial"/>
          <w:noProof/>
          <w:sz w:val="22"/>
          <w:szCs w:val="22"/>
          <w:lang w:eastAsia="zh-TW"/>
        </w:rPr>
        <w:t>r</w:t>
      </w:r>
      <w:r w:rsidRPr="00B0672C">
        <w:rPr>
          <w:rFonts w:ascii="Arial" w:hAnsi="Arial" w:cs="Arial"/>
          <w:noProof/>
          <w:sz w:val="22"/>
          <w:szCs w:val="22"/>
          <w:vertAlign w:val="subscript"/>
          <w:lang w:eastAsia="zh-TW"/>
        </w:rPr>
        <w:t>d</w:t>
      </w:r>
      <w:r w:rsidRPr="00B0672C">
        <w:rPr>
          <w:rFonts w:ascii="Arial" w:hAnsi="Arial" w:cs="Arial"/>
          <w:noProof/>
          <w:sz w:val="22"/>
          <w:szCs w:val="22"/>
          <w:lang w:eastAsia="zh-TW"/>
        </w:rPr>
        <w:tab/>
      </w:r>
      <w:r w:rsidRPr="00B0672C">
        <w:rPr>
          <w:rFonts w:ascii="Arial" w:hAnsi="Arial" w:cs="Arial"/>
          <w:noProof/>
          <w:sz w:val="22"/>
          <w:szCs w:val="22"/>
          <w:lang w:eastAsia="zh-TW"/>
        </w:rPr>
        <w:tab/>
        <w:t>jsou náklady cizího kapitálu,</w:t>
      </w:r>
    </w:p>
    <w:p w:rsidR="00B0672C" w:rsidRPr="00B0672C" w:rsidRDefault="00B0672C" w:rsidP="00B0672C">
      <w:pPr>
        <w:spacing w:before="60"/>
        <w:jc w:val="both"/>
        <w:rPr>
          <w:rFonts w:ascii="Arial" w:hAnsi="Arial" w:cs="Arial"/>
          <w:noProof/>
          <w:sz w:val="22"/>
          <w:szCs w:val="22"/>
          <w:lang w:eastAsia="zh-TW"/>
        </w:rPr>
      </w:pPr>
      <w:r w:rsidRPr="00B0672C">
        <w:rPr>
          <w:rFonts w:ascii="Arial" w:hAnsi="Arial" w:cs="Arial"/>
          <w:noProof/>
          <w:sz w:val="22"/>
          <w:szCs w:val="22"/>
          <w:lang w:eastAsia="zh-TW"/>
        </w:rPr>
        <w:t>t</w:t>
      </w:r>
      <w:r w:rsidRPr="00B0672C">
        <w:rPr>
          <w:rFonts w:ascii="Arial" w:hAnsi="Arial" w:cs="Arial"/>
          <w:noProof/>
          <w:sz w:val="22"/>
          <w:szCs w:val="22"/>
          <w:lang w:eastAsia="zh-TW"/>
        </w:rPr>
        <w:tab/>
      </w:r>
      <w:r w:rsidRPr="00B0672C">
        <w:rPr>
          <w:rFonts w:ascii="Arial" w:hAnsi="Arial" w:cs="Arial"/>
          <w:noProof/>
          <w:sz w:val="22"/>
          <w:szCs w:val="22"/>
          <w:lang w:eastAsia="zh-TW"/>
        </w:rPr>
        <w:tab/>
        <w:t>je mezní efektivní daňová sazba,</w:t>
      </w:r>
    </w:p>
    <w:p w:rsidR="00B0672C" w:rsidRPr="00B0672C" w:rsidRDefault="00B0672C" w:rsidP="00B0672C">
      <w:pPr>
        <w:spacing w:before="60"/>
        <w:jc w:val="both"/>
        <w:rPr>
          <w:rFonts w:ascii="Arial" w:hAnsi="Arial" w:cs="Arial"/>
          <w:noProof/>
          <w:sz w:val="22"/>
          <w:szCs w:val="22"/>
          <w:lang w:eastAsia="zh-TW"/>
        </w:rPr>
      </w:pPr>
      <w:r w:rsidRPr="00B0672C">
        <w:rPr>
          <w:rFonts w:ascii="Arial" w:hAnsi="Arial" w:cs="Arial"/>
          <w:noProof/>
          <w:sz w:val="22"/>
          <w:szCs w:val="22"/>
          <w:lang w:eastAsia="zh-TW"/>
        </w:rPr>
        <w:t>E</w:t>
      </w:r>
      <w:r w:rsidRPr="00B0672C">
        <w:rPr>
          <w:rFonts w:ascii="Arial" w:hAnsi="Arial" w:cs="Arial"/>
          <w:noProof/>
          <w:sz w:val="22"/>
          <w:szCs w:val="22"/>
          <w:lang w:eastAsia="zh-TW"/>
        </w:rPr>
        <w:tab/>
      </w:r>
      <w:r w:rsidRPr="00B0672C">
        <w:rPr>
          <w:rFonts w:ascii="Arial" w:hAnsi="Arial" w:cs="Arial"/>
          <w:noProof/>
          <w:sz w:val="22"/>
          <w:szCs w:val="22"/>
          <w:lang w:eastAsia="zh-TW"/>
        </w:rPr>
        <w:tab/>
        <w:t>je hodnota vlastního kapitálu společnosti,</w:t>
      </w:r>
    </w:p>
    <w:p w:rsidR="00B0672C" w:rsidRPr="00B0672C" w:rsidRDefault="00B0672C" w:rsidP="00B0672C">
      <w:pPr>
        <w:spacing w:before="60"/>
        <w:jc w:val="both"/>
        <w:rPr>
          <w:rFonts w:ascii="Arial" w:hAnsi="Arial" w:cs="Arial"/>
          <w:noProof/>
          <w:sz w:val="22"/>
          <w:szCs w:val="22"/>
          <w:lang w:eastAsia="zh-TW"/>
        </w:rPr>
      </w:pPr>
      <w:r w:rsidRPr="00B0672C">
        <w:rPr>
          <w:rFonts w:ascii="Arial" w:hAnsi="Arial" w:cs="Arial"/>
          <w:noProof/>
          <w:sz w:val="22"/>
          <w:szCs w:val="22"/>
          <w:lang w:eastAsia="zh-TW"/>
        </w:rPr>
        <w:t>D</w:t>
      </w:r>
      <w:r w:rsidRPr="00B0672C">
        <w:rPr>
          <w:rFonts w:ascii="Arial" w:hAnsi="Arial" w:cs="Arial"/>
          <w:noProof/>
          <w:sz w:val="22"/>
          <w:szCs w:val="22"/>
          <w:lang w:eastAsia="zh-TW"/>
        </w:rPr>
        <w:tab/>
      </w:r>
      <w:r w:rsidRPr="00B0672C">
        <w:rPr>
          <w:rFonts w:ascii="Arial" w:hAnsi="Arial" w:cs="Arial"/>
          <w:noProof/>
          <w:sz w:val="22"/>
          <w:szCs w:val="22"/>
          <w:lang w:eastAsia="zh-TW"/>
        </w:rPr>
        <w:tab/>
        <w:t>je hodnota cizího kapitálu společnosti.</w:t>
      </w:r>
    </w:p>
    <w:p w:rsidR="00B0672C" w:rsidRPr="00B0672C" w:rsidRDefault="00B0672C" w:rsidP="00B0672C">
      <w:pPr>
        <w:tabs>
          <w:tab w:val="left" w:pos="1470"/>
          <w:tab w:val="left" w:pos="1950"/>
        </w:tabs>
        <w:jc w:val="both"/>
        <w:rPr>
          <w:rFonts w:ascii="Arial" w:hAnsi="Arial" w:cs="Arial"/>
          <w:sz w:val="22"/>
          <w:szCs w:val="22"/>
          <w:lang w:eastAsia="zh-TW"/>
        </w:rPr>
      </w:pPr>
      <w:r w:rsidRPr="00B0672C">
        <w:rPr>
          <w:rFonts w:ascii="Arial" w:hAnsi="Arial" w:cs="Arial"/>
          <w:sz w:val="22"/>
          <w:szCs w:val="22"/>
          <w:lang w:eastAsia="zh-TW"/>
        </w:rPr>
        <w:tab/>
      </w:r>
      <w:r w:rsidRPr="00B0672C">
        <w:rPr>
          <w:rFonts w:ascii="Arial" w:hAnsi="Arial" w:cs="Arial"/>
          <w:sz w:val="22"/>
          <w:szCs w:val="22"/>
          <w:lang w:eastAsia="zh-TW"/>
        </w:rPr>
        <w:tab/>
      </w:r>
    </w:p>
    <w:p w:rsidR="00B0672C" w:rsidRPr="00B0672C" w:rsidRDefault="00B0672C" w:rsidP="00B0672C">
      <w:pPr>
        <w:keepNext/>
        <w:keepLines/>
        <w:spacing w:before="240" w:after="240"/>
        <w:ind w:firstLine="709"/>
        <w:jc w:val="both"/>
        <w:rPr>
          <w:rFonts w:ascii="Arial" w:eastAsia="MS Mincho" w:hAnsi="Arial" w:cs="Arial"/>
          <w:sz w:val="22"/>
          <w:szCs w:val="22"/>
          <w:lang w:eastAsia="zh-TW"/>
        </w:rPr>
      </w:pPr>
      <w:r w:rsidRPr="00B0672C">
        <w:rPr>
          <w:rFonts w:ascii="Arial" w:eastAsia="MS Mincho" w:hAnsi="Arial" w:cs="Arial"/>
          <w:sz w:val="22"/>
          <w:szCs w:val="22"/>
          <w:lang w:eastAsia="zh-TW"/>
        </w:rPr>
        <w:t>Pro regulatorní účely se používá váženého průměru nákladů kapitálu před zdaněním, pro jehož stanovení byl využit následující vztah:</w:t>
      </w:r>
    </w:p>
    <w:p w:rsidR="00B0672C" w:rsidRPr="00B0672C" w:rsidRDefault="00B0672C" w:rsidP="00B0672C">
      <w:pPr>
        <w:keepNext/>
        <w:keepLines/>
        <w:spacing w:before="240" w:after="240"/>
        <w:jc w:val="center"/>
        <w:rPr>
          <w:rFonts w:ascii="Arial" w:eastAsia="MS Mincho" w:hAnsi="Arial" w:cs="Arial"/>
          <w:sz w:val="22"/>
          <w:szCs w:val="22"/>
          <w:lang w:eastAsia="zh-TW"/>
        </w:rPr>
      </w:pPr>
      <w:r w:rsidRPr="00B0672C">
        <w:rPr>
          <w:rFonts w:ascii="Arial" w:eastAsia="MS Mincho" w:hAnsi="Arial" w:cs="Arial"/>
          <w:i/>
          <w:noProof/>
          <w:sz w:val="22"/>
          <w:szCs w:val="22"/>
          <w:lang w:eastAsia="zh-TW"/>
        </w:rPr>
        <w:t>WACC</w:t>
      </w:r>
      <w:r w:rsidRPr="00B0672C">
        <w:rPr>
          <w:rFonts w:ascii="Arial" w:eastAsia="MS Mincho" w:hAnsi="Arial" w:cs="Arial"/>
          <w:i/>
          <w:noProof/>
          <w:sz w:val="22"/>
          <w:szCs w:val="22"/>
          <w:vertAlign w:val="subscript"/>
          <w:lang w:eastAsia="zh-TW"/>
        </w:rPr>
        <w:t xml:space="preserve">BT </w:t>
      </w:r>
      <w:r w:rsidRPr="00B0672C">
        <w:rPr>
          <w:rFonts w:ascii="Arial" w:eastAsia="MS Mincho" w:hAnsi="Arial" w:cs="Arial"/>
          <w:i/>
          <w:noProof/>
          <w:sz w:val="22"/>
          <w:szCs w:val="22"/>
          <w:lang w:eastAsia="zh-TW"/>
        </w:rPr>
        <w:t>= WACC</w:t>
      </w:r>
      <w:r w:rsidRPr="00B0672C">
        <w:rPr>
          <w:rFonts w:ascii="Arial" w:eastAsia="MS Mincho" w:hAnsi="Arial" w:cs="Arial"/>
          <w:i/>
          <w:noProof/>
          <w:sz w:val="22"/>
          <w:szCs w:val="22"/>
          <w:vertAlign w:val="subscript"/>
          <w:lang w:eastAsia="zh-TW"/>
        </w:rPr>
        <w:t>AT</w:t>
      </w:r>
      <w:r w:rsidRPr="00B0672C">
        <w:rPr>
          <w:rFonts w:ascii="Arial" w:eastAsia="MS Mincho" w:hAnsi="Arial" w:cs="Arial"/>
          <w:i/>
          <w:noProof/>
          <w:sz w:val="22"/>
          <w:szCs w:val="22"/>
          <w:lang w:eastAsia="zh-TW"/>
        </w:rPr>
        <w:t xml:space="preserve"> / (1 – t)</w:t>
      </w:r>
    </w:p>
    <w:p w:rsidR="00B0672C" w:rsidRPr="00B0672C" w:rsidRDefault="00B0672C" w:rsidP="00B0672C">
      <w:pPr>
        <w:spacing w:before="60"/>
        <w:jc w:val="both"/>
        <w:rPr>
          <w:rFonts w:ascii="Arial" w:hAnsi="Arial" w:cs="Arial"/>
          <w:noProof/>
          <w:sz w:val="22"/>
          <w:szCs w:val="22"/>
          <w:lang w:eastAsia="zh-TW"/>
        </w:rPr>
      </w:pPr>
      <w:r w:rsidRPr="00B0672C">
        <w:rPr>
          <w:rFonts w:ascii="Arial" w:hAnsi="Arial" w:cs="Arial"/>
          <w:noProof/>
          <w:sz w:val="22"/>
          <w:szCs w:val="22"/>
          <w:lang w:eastAsia="zh-TW"/>
        </w:rPr>
        <w:t>kde:</w:t>
      </w:r>
    </w:p>
    <w:p w:rsidR="00B0672C" w:rsidRPr="00B0672C" w:rsidRDefault="00B0672C" w:rsidP="00B0672C">
      <w:pPr>
        <w:spacing w:before="60"/>
        <w:jc w:val="both"/>
        <w:rPr>
          <w:rFonts w:ascii="Arial" w:hAnsi="Arial" w:cs="Arial"/>
          <w:noProof/>
          <w:sz w:val="22"/>
          <w:szCs w:val="22"/>
          <w:lang w:eastAsia="zh-TW"/>
        </w:rPr>
      </w:pPr>
      <w:r w:rsidRPr="00B0672C">
        <w:rPr>
          <w:rFonts w:ascii="Arial" w:hAnsi="Arial" w:cs="Arial"/>
          <w:noProof/>
          <w:sz w:val="22"/>
          <w:szCs w:val="22"/>
          <w:lang w:eastAsia="zh-TW"/>
        </w:rPr>
        <w:t>WACC</w:t>
      </w:r>
      <w:r w:rsidRPr="00B0672C">
        <w:rPr>
          <w:rFonts w:ascii="Arial" w:hAnsi="Arial" w:cs="Arial"/>
          <w:noProof/>
          <w:sz w:val="22"/>
          <w:szCs w:val="22"/>
          <w:vertAlign w:val="subscript"/>
          <w:lang w:eastAsia="zh-TW"/>
        </w:rPr>
        <w:t>BT</w:t>
      </w:r>
      <w:r w:rsidRPr="00B0672C">
        <w:rPr>
          <w:rFonts w:ascii="Arial" w:hAnsi="Arial" w:cs="Arial"/>
          <w:noProof/>
          <w:sz w:val="22"/>
          <w:szCs w:val="22"/>
          <w:lang w:eastAsia="zh-TW"/>
        </w:rPr>
        <w:tab/>
        <w:t>je vážený průměr nákladů kapitálu před zdaněním,</w:t>
      </w:r>
    </w:p>
    <w:p w:rsidR="00B0672C" w:rsidRPr="00B0672C" w:rsidRDefault="00B0672C" w:rsidP="00B0672C">
      <w:pPr>
        <w:spacing w:before="60" w:after="240"/>
        <w:jc w:val="both"/>
        <w:rPr>
          <w:rFonts w:ascii="Arial" w:hAnsi="Arial" w:cs="Arial"/>
          <w:sz w:val="22"/>
          <w:szCs w:val="22"/>
        </w:rPr>
      </w:pPr>
      <w:r w:rsidRPr="00B0672C">
        <w:rPr>
          <w:rFonts w:ascii="Arial" w:hAnsi="Arial" w:cs="Arial"/>
          <w:noProof/>
          <w:sz w:val="22"/>
          <w:szCs w:val="22"/>
          <w:lang w:eastAsia="zh-TW"/>
        </w:rPr>
        <w:t xml:space="preserve">t                      je daňová sazba. </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lastRenderedPageBreak/>
        <w:t>Metodika určení jednotlivých vstupních proměnných do vzorce WACC vycházela ze stávající metodiky používané Úřadem pro výpočet ukazatele WACC a z judikatury Evropské komise</w:t>
      </w:r>
      <w:r w:rsidRPr="00B0672C">
        <w:rPr>
          <w:rFonts w:ascii="Arial" w:hAnsi="Arial" w:cs="Arial"/>
          <w:sz w:val="22"/>
          <w:szCs w:val="22"/>
          <w:vertAlign w:val="superscript"/>
        </w:rPr>
        <w:footnoteReference w:id="10"/>
      </w:r>
      <w:r w:rsidRPr="00B0672C">
        <w:rPr>
          <w:rFonts w:ascii="Arial" w:hAnsi="Arial" w:cs="Arial"/>
          <w:sz w:val="22"/>
          <w:szCs w:val="22"/>
        </w:rPr>
        <w:t xml:space="preserve">. </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Náklady vlastního kapitálu ve výši 7,723 % byly stanoveny následujícím způsobem.</w:t>
      </w:r>
    </w:p>
    <w:p w:rsidR="00B0672C" w:rsidRPr="00B0672C" w:rsidRDefault="00B0672C" w:rsidP="00B0672C">
      <w:pPr>
        <w:ind w:firstLine="709"/>
        <w:jc w:val="both"/>
        <w:rPr>
          <w:rFonts w:ascii="Arial" w:hAnsi="Arial" w:cs="Arial"/>
          <w:sz w:val="22"/>
          <w:szCs w:val="22"/>
        </w:rPr>
      </w:pPr>
      <w:r w:rsidRPr="00B0672C">
        <w:rPr>
          <w:rFonts w:ascii="Arial" w:hAnsi="Arial" w:cs="Arial"/>
          <w:sz w:val="22"/>
          <w:szCs w:val="22"/>
        </w:rPr>
        <w:t>Náklady vlastního kapitálu představují pro investory požadovanou míru výnosnosti při investici do vlastního kapitálu a byly určeny metodou CAPM (</w:t>
      </w:r>
      <w:proofErr w:type="spellStart"/>
      <w:r w:rsidRPr="00B0672C">
        <w:rPr>
          <w:rFonts w:ascii="Arial" w:hAnsi="Arial" w:cs="Arial"/>
          <w:sz w:val="22"/>
          <w:szCs w:val="22"/>
        </w:rPr>
        <w:t>Capital</w:t>
      </w:r>
      <w:proofErr w:type="spellEnd"/>
      <w:r w:rsidRPr="00B0672C">
        <w:rPr>
          <w:rFonts w:ascii="Arial" w:hAnsi="Arial" w:cs="Arial"/>
          <w:sz w:val="22"/>
          <w:szCs w:val="22"/>
        </w:rPr>
        <w:t xml:space="preserve"> Asset </w:t>
      </w:r>
      <w:proofErr w:type="spellStart"/>
      <w:r w:rsidRPr="00B0672C">
        <w:rPr>
          <w:rFonts w:ascii="Arial" w:hAnsi="Arial" w:cs="Arial"/>
          <w:sz w:val="22"/>
          <w:szCs w:val="22"/>
        </w:rPr>
        <w:t>Pricing</w:t>
      </w:r>
      <w:proofErr w:type="spellEnd"/>
      <w:r w:rsidRPr="00B0672C">
        <w:rPr>
          <w:rFonts w:ascii="Arial" w:hAnsi="Arial" w:cs="Arial"/>
          <w:sz w:val="22"/>
          <w:szCs w:val="22"/>
        </w:rPr>
        <w:t xml:space="preserve"> Model) podle vzorce:</w:t>
      </w:r>
    </w:p>
    <w:p w:rsidR="00B0672C" w:rsidRPr="00B0672C" w:rsidRDefault="00B0672C" w:rsidP="00B0672C">
      <w:pPr>
        <w:spacing w:before="240" w:after="120"/>
        <w:ind w:firstLine="709"/>
        <w:jc w:val="center"/>
        <w:rPr>
          <w:rFonts w:ascii="Arial" w:eastAsia="MS Mincho" w:hAnsi="Arial" w:cs="Arial"/>
          <w:i/>
          <w:noProof/>
          <w:sz w:val="22"/>
          <w:szCs w:val="22"/>
          <w:lang w:eastAsia="zh-TW"/>
        </w:rPr>
      </w:pPr>
      <w:r w:rsidRPr="00B0672C">
        <w:rPr>
          <w:rFonts w:ascii="Arial" w:eastAsia="MS Mincho" w:hAnsi="Arial" w:cs="Arial"/>
          <w:i/>
          <w:noProof/>
          <w:sz w:val="22"/>
          <w:szCs w:val="22"/>
          <w:lang w:eastAsia="zh-TW"/>
        </w:rPr>
        <w:t>r</w:t>
      </w:r>
      <w:r w:rsidRPr="00B0672C">
        <w:rPr>
          <w:rFonts w:ascii="Arial" w:eastAsia="MS Mincho" w:hAnsi="Arial" w:cs="Arial"/>
          <w:i/>
          <w:noProof/>
          <w:sz w:val="22"/>
          <w:szCs w:val="22"/>
          <w:vertAlign w:val="subscript"/>
          <w:lang w:eastAsia="zh-TW"/>
        </w:rPr>
        <w:t xml:space="preserve">e </w:t>
      </w:r>
      <w:r w:rsidRPr="00B0672C">
        <w:rPr>
          <w:rFonts w:ascii="Arial" w:eastAsia="MS Mincho" w:hAnsi="Arial" w:cs="Arial"/>
          <w:i/>
          <w:noProof/>
          <w:sz w:val="22"/>
          <w:szCs w:val="22"/>
          <w:lang w:eastAsia="zh-TW"/>
        </w:rPr>
        <w:t>= r</w:t>
      </w:r>
      <w:r w:rsidRPr="00B0672C">
        <w:rPr>
          <w:rFonts w:ascii="Arial" w:eastAsia="MS Mincho" w:hAnsi="Arial" w:cs="Arial"/>
          <w:i/>
          <w:noProof/>
          <w:sz w:val="22"/>
          <w:szCs w:val="22"/>
          <w:vertAlign w:val="subscript"/>
          <w:lang w:eastAsia="zh-TW"/>
        </w:rPr>
        <w:t>f</w:t>
      </w:r>
      <w:r w:rsidRPr="00B0672C">
        <w:rPr>
          <w:rFonts w:ascii="Arial" w:eastAsia="MS Mincho" w:hAnsi="Arial" w:cs="Arial"/>
          <w:i/>
          <w:noProof/>
          <w:sz w:val="22"/>
          <w:szCs w:val="22"/>
          <w:lang w:eastAsia="zh-TW"/>
        </w:rPr>
        <w:t xml:space="preserve"> + ß</w:t>
      </w:r>
      <w:r w:rsidRPr="00B0672C">
        <w:rPr>
          <w:rFonts w:ascii="Arial" w:eastAsia="MS Mincho" w:hAnsi="Arial" w:cs="Arial"/>
          <w:i/>
          <w:noProof/>
          <w:sz w:val="22"/>
          <w:szCs w:val="22"/>
          <w:vertAlign w:val="subscript"/>
          <w:lang w:eastAsia="zh-TW"/>
        </w:rPr>
        <w:t>L</w:t>
      </w:r>
      <w:r w:rsidRPr="00B0672C">
        <w:rPr>
          <w:rFonts w:ascii="Arial" w:eastAsia="MS Mincho" w:hAnsi="Arial" w:cs="Arial"/>
          <w:i/>
          <w:noProof/>
          <w:sz w:val="22"/>
          <w:szCs w:val="22"/>
          <w:lang w:eastAsia="zh-TW"/>
        </w:rPr>
        <w:t xml:space="preserve"> × ERP + CRP</w:t>
      </w:r>
    </w:p>
    <w:p w:rsidR="00B0672C" w:rsidRPr="00B0672C" w:rsidRDefault="00B0672C" w:rsidP="00B0672C">
      <w:pPr>
        <w:spacing w:before="240" w:after="120"/>
        <w:jc w:val="both"/>
        <w:rPr>
          <w:rFonts w:ascii="Arial" w:hAnsi="Arial" w:cs="Arial"/>
          <w:noProof/>
          <w:sz w:val="22"/>
          <w:szCs w:val="22"/>
          <w:lang w:eastAsia="zh-TW"/>
        </w:rPr>
      </w:pPr>
      <w:r w:rsidRPr="00B0672C">
        <w:rPr>
          <w:rFonts w:ascii="Arial" w:hAnsi="Arial" w:cs="Arial"/>
          <w:noProof/>
          <w:sz w:val="22"/>
          <w:szCs w:val="22"/>
          <w:lang w:eastAsia="zh-TW"/>
        </w:rPr>
        <w:t>kde:</w:t>
      </w:r>
    </w:p>
    <w:p w:rsidR="00B0672C" w:rsidRPr="00B0672C" w:rsidRDefault="00B0672C" w:rsidP="00B0672C">
      <w:pPr>
        <w:tabs>
          <w:tab w:val="left" w:pos="1701"/>
        </w:tabs>
        <w:spacing w:after="120"/>
        <w:jc w:val="both"/>
        <w:rPr>
          <w:rFonts w:ascii="Arial" w:hAnsi="Arial" w:cs="Arial"/>
          <w:noProof/>
          <w:sz w:val="22"/>
          <w:szCs w:val="22"/>
          <w:lang w:eastAsia="zh-TW"/>
        </w:rPr>
      </w:pPr>
      <w:r w:rsidRPr="00B0672C">
        <w:rPr>
          <w:rFonts w:ascii="Arial" w:hAnsi="Arial" w:cs="Arial"/>
          <w:noProof/>
          <w:sz w:val="22"/>
          <w:szCs w:val="22"/>
          <w:lang w:eastAsia="zh-TW"/>
        </w:rPr>
        <w:t>r</w:t>
      </w:r>
      <w:r w:rsidRPr="00B0672C">
        <w:rPr>
          <w:rFonts w:ascii="Arial" w:hAnsi="Arial" w:cs="Arial"/>
          <w:noProof/>
          <w:sz w:val="22"/>
          <w:szCs w:val="22"/>
          <w:vertAlign w:val="subscript"/>
          <w:lang w:eastAsia="zh-TW"/>
        </w:rPr>
        <w:t>e</w:t>
      </w:r>
      <w:r w:rsidRPr="00B0672C">
        <w:rPr>
          <w:rFonts w:ascii="Arial" w:hAnsi="Arial" w:cs="Arial"/>
          <w:noProof/>
          <w:sz w:val="22"/>
          <w:szCs w:val="22"/>
          <w:lang w:eastAsia="zh-TW"/>
        </w:rPr>
        <w:tab/>
        <w:t>jsou náklady vlastního kapitálu,</w:t>
      </w:r>
    </w:p>
    <w:p w:rsidR="00B0672C" w:rsidRPr="00B0672C" w:rsidRDefault="00B0672C" w:rsidP="00B0672C">
      <w:pPr>
        <w:tabs>
          <w:tab w:val="left" w:pos="1701"/>
        </w:tabs>
        <w:spacing w:after="120"/>
        <w:jc w:val="both"/>
        <w:rPr>
          <w:rFonts w:ascii="Arial" w:hAnsi="Arial" w:cs="Arial"/>
          <w:noProof/>
          <w:sz w:val="22"/>
          <w:szCs w:val="22"/>
          <w:lang w:eastAsia="zh-TW"/>
        </w:rPr>
      </w:pPr>
      <w:r w:rsidRPr="00B0672C">
        <w:rPr>
          <w:rFonts w:ascii="Arial" w:hAnsi="Arial" w:cs="Arial"/>
          <w:noProof/>
          <w:sz w:val="22"/>
          <w:szCs w:val="22"/>
          <w:lang w:eastAsia="zh-TW"/>
        </w:rPr>
        <w:t>r</w:t>
      </w:r>
      <w:r w:rsidRPr="00B0672C">
        <w:rPr>
          <w:rFonts w:ascii="Arial" w:hAnsi="Arial" w:cs="Arial"/>
          <w:noProof/>
          <w:sz w:val="22"/>
          <w:szCs w:val="22"/>
          <w:vertAlign w:val="subscript"/>
          <w:lang w:eastAsia="zh-TW"/>
        </w:rPr>
        <w:t>f</w:t>
      </w:r>
      <w:r w:rsidRPr="00B0672C">
        <w:rPr>
          <w:rFonts w:ascii="Arial" w:hAnsi="Arial" w:cs="Arial"/>
          <w:noProof/>
          <w:sz w:val="22"/>
          <w:szCs w:val="22"/>
          <w:lang w:eastAsia="zh-TW"/>
        </w:rPr>
        <w:t xml:space="preserve"> </w:t>
      </w:r>
      <w:r w:rsidRPr="00B0672C">
        <w:rPr>
          <w:rFonts w:ascii="Arial" w:hAnsi="Arial" w:cs="Arial"/>
          <w:noProof/>
          <w:sz w:val="22"/>
          <w:szCs w:val="22"/>
          <w:lang w:eastAsia="zh-TW"/>
        </w:rPr>
        <w:tab/>
        <w:t>je bezriziková výnosová míra,</w:t>
      </w:r>
    </w:p>
    <w:p w:rsidR="00B0672C" w:rsidRPr="00B0672C" w:rsidRDefault="00B0672C" w:rsidP="00B0672C">
      <w:pPr>
        <w:tabs>
          <w:tab w:val="left" w:pos="1701"/>
        </w:tabs>
        <w:spacing w:after="120"/>
        <w:jc w:val="both"/>
        <w:rPr>
          <w:rFonts w:ascii="Arial" w:hAnsi="Arial" w:cs="Arial"/>
          <w:noProof/>
          <w:sz w:val="22"/>
          <w:szCs w:val="22"/>
          <w:lang w:eastAsia="zh-TW"/>
        </w:rPr>
      </w:pPr>
      <w:r w:rsidRPr="00B0672C">
        <w:rPr>
          <w:rFonts w:ascii="Arial" w:hAnsi="Arial" w:cs="Arial"/>
          <w:noProof/>
          <w:sz w:val="22"/>
          <w:szCs w:val="22"/>
          <w:lang w:eastAsia="zh-TW"/>
        </w:rPr>
        <w:t>ß</w:t>
      </w:r>
      <w:r w:rsidRPr="00B0672C">
        <w:rPr>
          <w:rFonts w:ascii="Arial" w:hAnsi="Arial" w:cs="Arial"/>
          <w:noProof/>
          <w:sz w:val="22"/>
          <w:szCs w:val="22"/>
          <w:vertAlign w:val="subscript"/>
          <w:lang w:eastAsia="zh-TW"/>
        </w:rPr>
        <w:t>L</w:t>
      </w:r>
      <w:r w:rsidRPr="00B0672C">
        <w:rPr>
          <w:rFonts w:ascii="Arial" w:hAnsi="Arial" w:cs="Arial"/>
          <w:noProof/>
          <w:sz w:val="22"/>
          <w:szCs w:val="22"/>
          <w:lang w:eastAsia="zh-TW"/>
        </w:rPr>
        <w:tab/>
        <w:t>je zadlužený koeficient beta,</w:t>
      </w:r>
    </w:p>
    <w:p w:rsidR="00B0672C" w:rsidRPr="00B0672C" w:rsidRDefault="00B0672C" w:rsidP="00B0672C">
      <w:pPr>
        <w:tabs>
          <w:tab w:val="left" w:pos="1701"/>
        </w:tabs>
        <w:spacing w:after="120"/>
        <w:jc w:val="both"/>
        <w:rPr>
          <w:rFonts w:ascii="Arial" w:hAnsi="Arial" w:cs="Arial"/>
          <w:noProof/>
          <w:sz w:val="22"/>
          <w:szCs w:val="22"/>
          <w:lang w:eastAsia="zh-TW"/>
        </w:rPr>
      </w:pPr>
      <w:r w:rsidRPr="00B0672C">
        <w:rPr>
          <w:rFonts w:ascii="Arial" w:hAnsi="Arial" w:cs="Arial"/>
          <w:noProof/>
          <w:sz w:val="22"/>
          <w:szCs w:val="22"/>
          <w:lang w:eastAsia="zh-TW"/>
        </w:rPr>
        <w:t>ERP</w:t>
      </w:r>
      <w:r w:rsidRPr="00B0672C">
        <w:rPr>
          <w:rFonts w:ascii="Arial" w:hAnsi="Arial" w:cs="Arial"/>
          <w:noProof/>
          <w:sz w:val="22"/>
          <w:szCs w:val="22"/>
          <w:lang w:eastAsia="zh-TW"/>
        </w:rPr>
        <w:tab/>
        <w:t>je tržní riziková přirážka (Equity Risk Premium),</w:t>
      </w:r>
    </w:p>
    <w:p w:rsidR="00B0672C" w:rsidRPr="00B0672C" w:rsidRDefault="00B0672C" w:rsidP="00B0672C">
      <w:pPr>
        <w:tabs>
          <w:tab w:val="left" w:pos="1701"/>
        </w:tabs>
        <w:autoSpaceDE w:val="0"/>
        <w:autoSpaceDN w:val="0"/>
        <w:adjustRightInd w:val="0"/>
        <w:spacing w:after="120"/>
        <w:rPr>
          <w:rFonts w:ascii="Arial" w:hAnsi="Arial" w:cs="Arial"/>
          <w:color w:val="000000"/>
          <w:sz w:val="22"/>
          <w:szCs w:val="22"/>
        </w:rPr>
      </w:pPr>
      <w:r w:rsidRPr="00B0672C">
        <w:rPr>
          <w:rFonts w:ascii="Arial" w:hAnsi="Arial" w:cs="Arial"/>
          <w:noProof/>
          <w:color w:val="000000"/>
          <w:sz w:val="22"/>
          <w:szCs w:val="22"/>
          <w:lang w:eastAsia="zh-TW"/>
        </w:rPr>
        <w:t>CRP</w:t>
      </w:r>
      <w:r w:rsidRPr="00B0672C">
        <w:rPr>
          <w:rFonts w:ascii="Arial" w:hAnsi="Arial" w:cs="Arial"/>
          <w:noProof/>
          <w:color w:val="000000"/>
          <w:sz w:val="22"/>
          <w:szCs w:val="22"/>
          <w:lang w:eastAsia="zh-TW"/>
        </w:rPr>
        <w:tab/>
        <w:t>je přirážka za riziko země (Country Risk Premium).</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 xml:space="preserve">Bezriziková výnosová míra představuje výnosnost bezrizikového aktiva. Protože bezrizikové aktivum ve skutečnosti neexistuje, používá se výnosnost aktiva, které se bezrizikovému aktivu nejvíce přibližuje, tedy jehož riziko je minimální. V praxi se jako bezriziková aktiva používají státní dluhopisy. Pro určení bezrizikové výnosové míry byly využity české korunové státní dluhopisy se splatností 10 let. Výnos domácích cenných papírů, který v sobě obsahuje inflační očekávání domácí měny, je všeobecně považován za přijatelný odhad tržní bezrizikové výnosové míry. </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Z existující judikatury Evropské komise vyplývá požadavek na sjednocení délky období, za které byla zohledněna data, pro všechny proměnné, kde to je relevantní. Úřad provedl výpočet k 31. červenci 2018 a stanovil toto období na 5 let (tj.1. srpna 2013–31. července 2018).</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Na základě připomínek dotčených subjektů uplatněných na workshopu se Úřad rozhodl upravit v případě bezrizikové výnosové míry období, za které budou zohledněna data, tak, aby stanovená bezriziková výnosová míra reflektovala dlouhodobou průměrnou úroveň výnosových měr a nebyla v rozporu s aktuálním trendem, kdy dochází k akceleraci úrokové míry v posledních měsících. Úřad dospěl k závěru, že výnosové sazby českých státních dluhopisů nelze ve zkoumaném období považovat za standardní a dávající spolehlivý odhad budoucího očekávaného vývoje výnosových měr, protože Česká národní banka prováděla v období od 7. listopadu 2013 do 6. dubna 2017 intervence v podobě tzv</w:t>
      </w:r>
      <w:r w:rsidRPr="00B0672C">
        <w:rPr>
          <w:rFonts w:ascii="Arial" w:hAnsi="Arial"/>
          <w:sz w:val="22"/>
          <w:szCs w:val="20"/>
        </w:rPr>
        <w:t xml:space="preserve">. režimu kurzového závazku. Vliv tohoto nástroje na úrokové sazby byl velice významný zejména na konci období kurzového závazku, kdy sazby u některých státních dluhopisů (s kratší splatností) klesaly až do záporných hodnot (pro delší splatnosti se pak pohybovaly velice blízko nule). Samozřejmě vliv na úrokové sazby v České republice má i politika Evropské centrální banky, která snížila své měnově-politické sazby na nulu (některé dokonce do záporu), a proto musela sáhnout k jinému (nestandardnímu) nástroji, konkrétně kvantitativnímu uvolňování. Vzhledem k tomu, že období intervencí bylo prováděno ve významné části zohledňovaného období, nelze data za období </w:t>
      </w:r>
      <w:r w:rsidRPr="00B0672C">
        <w:rPr>
          <w:rFonts w:ascii="Arial" w:hAnsi="Arial" w:cs="Arial"/>
          <w:sz w:val="22"/>
          <w:szCs w:val="22"/>
        </w:rPr>
        <w:t xml:space="preserve">1. srpna 2013–31. července 2018 považovat jako dostatečný a vhodný zdroj pro předpověď budoucího vývoje. Z tohoto důvodu Úřad prodloužil zohledňované období na 10 let a současně porovnal výslednou hodnotu, která byla určena jako aritmetický průměr výnosových měr 10letého českého státního dluhopisu s aktuálními průměrnými výnosy. </w:t>
      </w:r>
      <w:r w:rsidRPr="00B0672C">
        <w:rPr>
          <w:rFonts w:ascii="Arial" w:hAnsi="Arial" w:cs="Arial"/>
          <w:sz w:val="22"/>
          <w:szCs w:val="22"/>
        </w:rPr>
        <w:lastRenderedPageBreak/>
        <w:t xml:space="preserve">Z porovnání vyplynulo, že odhad za 10 let vykazuje významně menší odchylku od aktuálních průměrných výnosů, než odhad stanovený za 5 let. Z tohoto důvodu byla bezriziková výnosová míra stanovena jako aritmetický průměr výnosových měr 10letých českých státních dluhopisů za období 1. srpna 2008–31. července 2018, a to ve výši 2,384 %. </w:t>
      </w:r>
    </w:p>
    <w:p w:rsidR="00B0672C" w:rsidRPr="00B0672C" w:rsidRDefault="00B0672C" w:rsidP="00B0672C">
      <w:pPr>
        <w:spacing w:after="240"/>
        <w:ind w:firstLine="709"/>
        <w:jc w:val="both"/>
        <w:rPr>
          <w:rFonts w:ascii="Arial" w:hAnsi="Arial"/>
          <w:sz w:val="22"/>
          <w:szCs w:val="22"/>
        </w:rPr>
      </w:pPr>
      <w:r w:rsidRPr="00B0672C">
        <w:rPr>
          <w:rFonts w:ascii="Arial" w:hAnsi="Arial" w:cs="Arial"/>
          <w:sz w:val="22"/>
          <w:szCs w:val="22"/>
        </w:rPr>
        <w:t xml:space="preserve">Tržní riziková přirážka byla určena metodou historické ERP, kdy se jedná o rozdíl dlouhodobých průměrů výnosnosti akciových trhů a státních dluhopisů. Pro určení tržní rizikové prémie byla použita data ze studie </w:t>
      </w:r>
      <w:proofErr w:type="spellStart"/>
      <w:r w:rsidRPr="00B0672C">
        <w:rPr>
          <w:rFonts w:ascii="Arial" w:hAnsi="Arial" w:cs="Arial"/>
          <w:sz w:val="22"/>
          <w:szCs w:val="22"/>
        </w:rPr>
        <w:t>Duff</w:t>
      </w:r>
      <w:proofErr w:type="spellEnd"/>
      <w:r w:rsidRPr="00B0672C">
        <w:rPr>
          <w:rFonts w:ascii="Arial" w:hAnsi="Arial" w:cs="Arial"/>
          <w:sz w:val="22"/>
          <w:szCs w:val="22"/>
        </w:rPr>
        <w:t xml:space="preserve"> </w:t>
      </w:r>
      <w:r w:rsidRPr="00B0672C">
        <w:rPr>
          <w:rFonts w:ascii="Arial" w:hAnsi="Arial" w:cs="Arial"/>
          <w:sz w:val="22"/>
          <w:szCs w:val="22"/>
          <w:lang w:val="en-US"/>
        </w:rPr>
        <w:t xml:space="preserve">&amp; Phelps </w:t>
      </w:r>
      <w:r w:rsidRPr="00B0672C">
        <w:rPr>
          <w:rFonts w:ascii="Arial" w:hAnsi="Arial" w:cs="Arial"/>
          <w:sz w:val="22"/>
          <w:szCs w:val="22"/>
        </w:rPr>
        <w:t xml:space="preserve">– International </w:t>
      </w:r>
      <w:proofErr w:type="spellStart"/>
      <w:r w:rsidRPr="00B0672C">
        <w:rPr>
          <w:rFonts w:ascii="Arial" w:hAnsi="Arial" w:cs="Arial"/>
          <w:sz w:val="22"/>
          <w:szCs w:val="22"/>
        </w:rPr>
        <w:t>Valuation</w:t>
      </w:r>
      <w:proofErr w:type="spellEnd"/>
      <w:r w:rsidRPr="00B0672C">
        <w:rPr>
          <w:rFonts w:ascii="Arial" w:hAnsi="Arial" w:cs="Arial"/>
          <w:sz w:val="22"/>
          <w:szCs w:val="22"/>
        </w:rPr>
        <w:t xml:space="preserve"> Handbook: </w:t>
      </w:r>
      <w:proofErr w:type="spellStart"/>
      <w:r w:rsidRPr="00B0672C">
        <w:rPr>
          <w:rFonts w:ascii="Arial" w:hAnsi="Arial" w:cs="Arial"/>
          <w:sz w:val="22"/>
          <w:szCs w:val="22"/>
        </w:rPr>
        <w:t>Guide</w:t>
      </w:r>
      <w:proofErr w:type="spellEnd"/>
      <w:r w:rsidRPr="00B0672C">
        <w:rPr>
          <w:rFonts w:ascii="Arial" w:hAnsi="Arial" w:cs="Arial"/>
          <w:sz w:val="22"/>
          <w:szCs w:val="22"/>
        </w:rPr>
        <w:t xml:space="preserve"> to </w:t>
      </w:r>
      <w:proofErr w:type="spellStart"/>
      <w:r w:rsidRPr="00B0672C">
        <w:rPr>
          <w:rFonts w:ascii="Arial" w:hAnsi="Arial" w:cs="Arial"/>
          <w:sz w:val="22"/>
          <w:szCs w:val="22"/>
        </w:rPr>
        <w:t>Cost</w:t>
      </w:r>
      <w:proofErr w:type="spellEnd"/>
      <w:r w:rsidRPr="00B0672C">
        <w:rPr>
          <w:rFonts w:ascii="Arial" w:hAnsi="Arial" w:cs="Arial"/>
          <w:sz w:val="22"/>
          <w:szCs w:val="22"/>
        </w:rPr>
        <w:t xml:space="preserve"> </w:t>
      </w:r>
      <w:proofErr w:type="spellStart"/>
      <w:r w:rsidRPr="00B0672C">
        <w:rPr>
          <w:rFonts w:ascii="Arial" w:hAnsi="Arial" w:cs="Arial"/>
          <w:sz w:val="22"/>
          <w:szCs w:val="22"/>
        </w:rPr>
        <w:t>of</w:t>
      </w:r>
      <w:proofErr w:type="spellEnd"/>
      <w:r w:rsidRPr="00B0672C">
        <w:rPr>
          <w:rFonts w:ascii="Arial" w:hAnsi="Arial" w:cs="Arial"/>
          <w:sz w:val="22"/>
          <w:szCs w:val="22"/>
        </w:rPr>
        <w:t xml:space="preserve"> </w:t>
      </w:r>
      <w:proofErr w:type="spellStart"/>
      <w:r w:rsidRPr="00B0672C">
        <w:rPr>
          <w:rFonts w:ascii="Arial" w:hAnsi="Arial" w:cs="Arial"/>
          <w:sz w:val="22"/>
          <w:szCs w:val="22"/>
        </w:rPr>
        <w:t>Capital</w:t>
      </w:r>
      <w:proofErr w:type="spellEnd"/>
      <w:r w:rsidRPr="00B0672C">
        <w:rPr>
          <w:rFonts w:ascii="Arial" w:hAnsi="Arial" w:cs="Arial"/>
          <w:sz w:val="22"/>
          <w:szCs w:val="22"/>
        </w:rPr>
        <w:t xml:space="preserve"> (2018). Výsledná hodnota byla určena jako aritmetický průměr ve studii uvedených ERP za vybrané evropské země, a to ve výši 6 %.</w:t>
      </w:r>
    </w:p>
    <w:p w:rsidR="00B0672C" w:rsidRPr="00B0672C" w:rsidRDefault="00B0672C" w:rsidP="00B0672C">
      <w:pPr>
        <w:ind w:firstLine="708"/>
        <w:jc w:val="both"/>
        <w:rPr>
          <w:rFonts w:ascii="Arial" w:hAnsi="Arial"/>
          <w:sz w:val="16"/>
          <w:szCs w:val="20"/>
        </w:rPr>
      </w:pPr>
      <w:r w:rsidRPr="00B0672C">
        <w:rPr>
          <w:rFonts w:ascii="Arial" w:hAnsi="Arial" w:cs="Arial"/>
          <w:sz w:val="22"/>
          <w:szCs w:val="22"/>
        </w:rPr>
        <w:t xml:space="preserve">Koeficient beta byl určen na základě historických tržních dat vybraných společností působících na trhu elektronických komunikací (dále též „peer group“). Kritéria výběru společností byla nastavena tak, aby respektovala požadavky Evropské komise vyjádřené v rozhodnutí PT/2018/2076 ze dne 6. června 2018. Byly vybrány takové společnosti, které jsou veřejně obchodovatelné, působí na území Evropské unie anebo Evropského sdružení volného obchodu (EFTA), jejich hlavní činností jsou telekomunikace a jejichž akcie jsou likvidní. Ze vzorku byly vyloučeny společnosti, které nedisponují vlastní infrastrukturou (působí pouze jako virtuální operátor), jsou obchodovány na veřejných trzích krátkou dobu nebo ve sledovaném období realizovaly akvizice či štěpení. Výsledný vzorek obsahoval 20 společností. Žádná ze společností působících na trhu elektronických komunikací v České republice nevyhověla uvedeným kritériím, nebylo tedy možné určit hodnotu beta na základě dat operátora s významnou tržní silou v České republice. Jedinou společností působící na trhu elektronických komunikací kótovanou na burze je O2 Czech Republic a.s. V roce 2015 vznikla odštěpením nová společnost Česká telekomunikační infrastruktura a.s., která převzala významnou část infrastruktury původní společnosti O2 Czech Republic, a.s. a její akcie nejsou v současnosti aktivně obchodovány. Navíc tato transakce měla významný vliv na cenu akcií, a tedy do jisté míry i na koeficient beta. Z tohoto důvodu byla beta odhadnuta metodou analogie na základě peer group. Byla analyzována data s týdenní frekvencí za pětileté období (1. srpna 2013–31. července 2018). Pro odhad koeficientů beta byl použit index STOXX </w:t>
      </w:r>
      <w:proofErr w:type="spellStart"/>
      <w:r w:rsidRPr="00B0672C">
        <w:rPr>
          <w:rFonts w:ascii="Arial" w:hAnsi="Arial" w:cs="Arial"/>
          <w:sz w:val="22"/>
          <w:szCs w:val="22"/>
        </w:rPr>
        <w:t>Europe</w:t>
      </w:r>
      <w:proofErr w:type="spellEnd"/>
      <w:r w:rsidRPr="00B0672C">
        <w:rPr>
          <w:rFonts w:ascii="Arial" w:hAnsi="Arial" w:cs="Arial"/>
          <w:sz w:val="22"/>
          <w:szCs w:val="22"/>
        </w:rPr>
        <w:t xml:space="preserve"> 600, který je konzistentní s regionem, kde vybrané společnosti působí. Zadlužené koeficienty beta byly přepočteny na nezadlužené s využitím průměrného poměru hodnoty vlastního kapitálu a celkového kapitálu za období pěti let podle vzorce:</w:t>
      </w:r>
    </w:p>
    <w:p w:rsidR="00B0672C" w:rsidRPr="00B0672C" w:rsidRDefault="00B0672C" w:rsidP="00B0672C">
      <w:pPr>
        <w:spacing w:before="360" w:after="360"/>
        <w:ind w:firstLine="709"/>
        <w:jc w:val="center"/>
        <w:rPr>
          <w:rFonts w:ascii="Arial" w:hAnsi="Arial" w:cs="Arial"/>
          <w:sz w:val="16"/>
          <w:szCs w:val="16"/>
        </w:rPr>
      </w:pPr>
      <w:r w:rsidRPr="00B0672C">
        <w:rPr>
          <w:rFonts w:ascii="Arial" w:hAnsi="Arial" w:cs="Arial"/>
          <w:noProof/>
          <w:sz w:val="16"/>
          <w:szCs w:val="16"/>
        </w:rPr>
        <w:drawing>
          <wp:inline distT="0" distB="0" distL="0" distR="0" wp14:anchorId="5D4FD0A5" wp14:editId="5A044233">
            <wp:extent cx="2257425" cy="419100"/>
            <wp:effectExtent l="0" t="0" r="0" b="0"/>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57425" cy="419100"/>
                    </a:xfrm>
                    <a:prstGeom prst="rect">
                      <a:avLst/>
                    </a:prstGeom>
                    <a:noFill/>
                    <a:ln>
                      <a:noFill/>
                    </a:ln>
                  </pic:spPr>
                </pic:pic>
              </a:graphicData>
            </a:graphic>
          </wp:inline>
        </w:drawing>
      </w:r>
    </w:p>
    <w:p w:rsidR="00B0672C" w:rsidRPr="00B0672C" w:rsidRDefault="00B0672C" w:rsidP="00B0672C">
      <w:pPr>
        <w:jc w:val="both"/>
        <w:rPr>
          <w:rFonts w:ascii="Arial" w:hAnsi="Arial" w:cs="Arial"/>
          <w:sz w:val="22"/>
          <w:szCs w:val="22"/>
        </w:rPr>
      </w:pPr>
      <w:r w:rsidRPr="00B0672C">
        <w:rPr>
          <w:rFonts w:ascii="Arial" w:hAnsi="Arial" w:cs="Arial"/>
          <w:sz w:val="22"/>
          <w:szCs w:val="22"/>
        </w:rPr>
        <w:t>kde</w:t>
      </w:r>
    </w:p>
    <w:p w:rsidR="00B0672C" w:rsidRPr="00B0672C" w:rsidRDefault="00B0672C" w:rsidP="00B0672C">
      <w:pPr>
        <w:jc w:val="both"/>
        <w:rPr>
          <w:rFonts w:ascii="Arial" w:hAnsi="Arial" w:cs="TimesNewRomanPSMT"/>
          <w:sz w:val="22"/>
          <w:szCs w:val="14"/>
        </w:rPr>
      </w:pPr>
      <w:proofErr w:type="spellStart"/>
      <w:r w:rsidRPr="00B0672C">
        <w:rPr>
          <w:rFonts w:ascii="Arial" w:hAnsi="Arial" w:cs="TimesNewRomanPSMT"/>
          <w:sz w:val="22"/>
          <w:szCs w:val="22"/>
        </w:rPr>
        <w:t>ß</w:t>
      </w:r>
      <w:r w:rsidRPr="00B0672C">
        <w:rPr>
          <w:rFonts w:ascii="Arial" w:hAnsi="Arial" w:cs="TimesNewRomanPSMT"/>
          <w:sz w:val="22"/>
          <w:szCs w:val="14"/>
          <w:vertAlign w:val="subscript"/>
        </w:rPr>
        <w:t>U</w:t>
      </w:r>
      <w:proofErr w:type="spellEnd"/>
      <w:r w:rsidRPr="00B0672C">
        <w:rPr>
          <w:rFonts w:ascii="Arial" w:hAnsi="Arial" w:cs="TimesNewRomanPSMT"/>
          <w:sz w:val="22"/>
          <w:szCs w:val="14"/>
          <w:vertAlign w:val="subscript"/>
        </w:rPr>
        <w:t xml:space="preserve"> </w:t>
      </w:r>
      <w:r w:rsidRPr="00B0672C">
        <w:rPr>
          <w:rFonts w:ascii="Arial" w:hAnsi="Arial" w:cs="TimesNewRomanPSMT"/>
          <w:sz w:val="22"/>
          <w:szCs w:val="14"/>
          <w:vertAlign w:val="subscript"/>
        </w:rPr>
        <w:tab/>
      </w:r>
      <w:r w:rsidRPr="00B0672C">
        <w:rPr>
          <w:rFonts w:ascii="Arial" w:hAnsi="Arial" w:cs="TimesNewRomanPSMT"/>
          <w:sz w:val="22"/>
          <w:szCs w:val="14"/>
          <w:vertAlign w:val="subscript"/>
        </w:rPr>
        <w:tab/>
      </w:r>
      <w:r w:rsidRPr="00B0672C">
        <w:rPr>
          <w:rFonts w:ascii="Arial" w:hAnsi="Arial" w:cs="TimesNewRomanPSMT"/>
          <w:sz w:val="22"/>
          <w:szCs w:val="14"/>
        </w:rPr>
        <w:t>je nezadlužený koeficient beta (asset beta),</w:t>
      </w:r>
    </w:p>
    <w:p w:rsidR="00B0672C" w:rsidRPr="00B0672C" w:rsidRDefault="00B0672C" w:rsidP="00B0672C">
      <w:pPr>
        <w:jc w:val="both"/>
        <w:rPr>
          <w:rFonts w:ascii="Arial" w:hAnsi="Arial" w:cs="TimesNewRomanPSMT"/>
          <w:sz w:val="22"/>
          <w:szCs w:val="22"/>
        </w:rPr>
      </w:pPr>
      <w:proofErr w:type="spellStart"/>
      <w:r w:rsidRPr="00B0672C">
        <w:rPr>
          <w:rFonts w:ascii="Arial" w:hAnsi="Arial" w:cs="TimesNewRomanPSMT"/>
          <w:sz w:val="22"/>
          <w:szCs w:val="22"/>
        </w:rPr>
        <w:t>ß</w:t>
      </w:r>
      <w:r w:rsidRPr="00B0672C">
        <w:rPr>
          <w:rFonts w:ascii="Arial" w:hAnsi="Arial" w:cs="TimesNewRomanPSMT"/>
          <w:sz w:val="22"/>
          <w:szCs w:val="14"/>
          <w:vertAlign w:val="subscript"/>
        </w:rPr>
        <w:t>L</w:t>
      </w:r>
      <w:proofErr w:type="spellEnd"/>
      <w:r w:rsidRPr="00B0672C">
        <w:rPr>
          <w:rFonts w:ascii="Arial" w:hAnsi="Arial" w:cs="TimesNewRomanPSMT"/>
          <w:sz w:val="22"/>
          <w:szCs w:val="14"/>
          <w:vertAlign w:val="subscript"/>
        </w:rPr>
        <w:t xml:space="preserve"> </w:t>
      </w:r>
      <w:r w:rsidRPr="00B0672C">
        <w:rPr>
          <w:rFonts w:ascii="Arial" w:hAnsi="Arial" w:cs="TimesNewRomanPSMT"/>
          <w:sz w:val="22"/>
          <w:szCs w:val="22"/>
        </w:rPr>
        <w:tab/>
      </w:r>
      <w:r w:rsidRPr="00B0672C">
        <w:rPr>
          <w:rFonts w:ascii="Arial" w:hAnsi="Arial" w:cs="TimesNewRomanPSMT"/>
          <w:sz w:val="22"/>
          <w:szCs w:val="22"/>
        </w:rPr>
        <w:tab/>
        <w:t>je zadlužený koeficient beta (equity beta),</w:t>
      </w:r>
    </w:p>
    <w:p w:rsidR="00B0672C" w:rsidRPr="00B0672C" w:rsidRDefault="00B0672C" w:rsidP="00B0672C">
      <w:pPr>
        <w:rPr>
          <w:rFonts w:ascii="Arial" w:hAnsi="Arial" w:cs="TimesNewRomanPSMT"/>
          <w:sz w:val="22"/>
          <w:szCs w:val="14"/>
        </w:rPr>
      </w:pPr>
      <w:proofErr w:type="spellStart"/>
      <w:r w:rsidRPr="00B0672C">
        <w:rPr>
          <w:rFonts w:ascii="Arial" w:hAnsi="Arial" w:cs="TimesNewRomanPSMT"/>
          <w:sz w:val="22"/>
          <w:szCs w:val="22"/>
        </w:rPr>
        <w:t>ß</w:t>
      </w:r>
      <w:r w:rsidRPr="00B0672C">
        <w:rPr>
          <w:rFonts w:ascii="Arial" w:hAnsi="Arial" w:cs="TimesNewRomanPSMT"/>
          <w:sz w:val="22"/>
          <w:szCs w:val="14"/>
          <w:vertAlign w:val="subscript"/>
        </w:rPr>
        <w:t>D</w:t>
      </w:r>
      <w:proofErr w:type="spellEnd"/>
      <w:r w:rsidRPr="00B0672C">
        <w:rPr>
          <w:rFonts w:ascii="Arial" w:hAnsi="Arial" w:cs="TimesNewRomanPSMT"/>
          <w:sz w:val="22"/>
          <w:szCs w:val="14"/>
        </w:rPr>
        <w:t xml:space="preserve"> </w:t>
      </w:r>
      <w:r w:rsidRPr="00B0672C">
        <w:rPr>
          <w:rFonts w:ascii="Arial" w:hAnsi="Arial" w:cs="TimesNewRomanPSMT"/>
          <w:sz w:val="22"/>
          <w:szCs w:val="14"/>
        </w:rPr>
        <w:tab/>
      </w:r>
      <w:r w:rsidRPr="00B0672C">
        <w:rPr>
          <w:rFonts w:ascii="Arial" w:hAnsi="Arial" w:cs="TimesNewRomanPSMT"/>
          <w:sz w:val="22"/>
          <w:szCs w:val="14"/>
        </w:rPr>
        <w:tab/>
        <w:t>je koeficient beta cizího kapitálu</w:t>
      </w:r>
      <w:r w:rsidRPr="00B0672C">
        <w:rPr>
          <w:rFonts w:ascii="Arial" w:hAnsi="Arial" w:cs="TimesNewRomanPSMT"/>
          <w:sz w:val="22"/>
          <w:szCs w:val="14"/>
          <w:vertAlign w:val="superscript"/>
        </w:rPr>
        <w:footnoteReference w:id="11"/>
      </w:r>
      <w:r w:rsidRPr="00B0672C">
        <w:rPr>
          <w:rFonts w:ascii="Arial" w:hAnsi="Arial" w:cs="TimesNewRomanPSMT"/>
          <w:sz w:val="22"/>
          <w:szCs w:val="14"/>
        </w:rPr>
        <w:t>,</w:t>
      </w:r>
    </w:p>
    <w:p w:rsidR="00B0672C" w:rsidRPr="00B0672C" w:rsidRDefault="00B0672C" w:rsidP="00B0672C">
      <w:pPr>
        <w:rPr>
          <w:rFonts w:ascii="Arial" w:hAnsi="Arial" w:cs="TimesNewRomanPSMT"/>
          <w:sz w:val="22"/>
          <w:szCs w:val="22"/>
        </w:rPr>
      </w:pPr>
      <w:r w:rsidRPr="00B0672C">
        <w:rPr>
          <w:rFonts w:ascii="Arial" w:hAnsi="Arial" w:cs="TimesNewRomanPSMT"/>
          <w:sz w:val="22"/>
          <w:szCs w:val="22"/>
        </w:rPr>
        <w:t>D</w:t>
      </w:r>
      <w:r w:rsidRPr="00B0672C">
        <w:rPr>
          <w:rFonts w:ascii="Arial" w:hAnsi="Arial" w:cs="TimesNewRomanPSMT"/>
          <w:sz w:val="22"/>
          <w:szCs w:val="22"/>
        </w:rPr>
        <w:tab/>
      </w:r>
      <w:r w:rsidRPr="00B0672C">
        <w:rPr>
          <w:rFonts w:ascii="Arial" w:hAnsi="Arial" w:cs="TimesNewRomanPSMT"/>
          <w:sz w:val="22"/>
          <w:szCs w:val="22"/>
        </w:rPr>
        <w:tab/>
        <w:t>je cizí kapitál,</w:t>
      </w:r>
    </w:p>
    <w:p w:rsidR="00B0672C" w:rsidRPr="00B0672C" w:rsidRDefault="00B0672C" w:rsidP="00B0672C">
      <w:pPr>
        <w:rPr>
          <w:rFonts w:ascii="Arial" w:hAnsi="Arial" w:cs="TimesNewRomanPSMT"/>
          <w:sz w:val="22"/>
          <w:szCs w:val="22"/>
        </w:rPr>
      </w:pPr>
      <w:r w:rsidRPr="00B0672C">
        <w:rPr>
          <w:rFonts w:ascii="Arial" w:hAnsi="Arial" w:cs="TimesNewRomanPSMT"/>
          <w:sz w:val="22"/>
          <w:szCs w:val="22"/>
        </w:rPr>
        <w:t>E                     je vlastní kapitál,</w:t>
      </w:r>
    </w:p>
    <w:p w:rsidR="00B0672C" w:rsidRPr="00B0672C" w:rsidRDefault="00B0672C" w:rsidP="00B0672C">
      <w:pPr>
        <w:spacing w:after="240"/>
        <w:rPr>
          <w:rFonts w:ascii="Arial" w:hAnsi="Arial" w:cs="Arial"/>
          <w:sz w:val="22"/>
          <w:szCs w:val="22"/>
        </w:rPr>
      </w:pPr>
      <w:r w:rsidRPr="00B0672C">
        <w:rPr>
          <w:rFonts w:ascii="Arial" w:hAnsi="Arial" w:cs="TimesNewRomanPSMT"/>
          <w:sz w:val="22"/>
          <w:szCs w:val="22"/>
        </w:rPr>
        <w:t xml:space="preserve">EV </w:t>
      </w:r>
      <w:r w:rsidRPr="00B0672C">
        <w:rPr>
          <w:rFonts w:ascii="Arial" w:hAnsi="Arial" w:cs="TimesNewRomanPSMT"/>
          <w:sz w:val="22"/>
          <w:szCs w:val="22"/>
        </w:rPr>
        <w:tab/>
      </w:r>
      <w:r w:rsidRPr="00B0672C">
        <w:rPr>
          <w:rFonts w:ascii="Arial" w:hAnsi="Arial" w:cs="TimesNewRomanPSMT"/>
          <w:sz w:val="22"/>
          <w:szCs w:val="22"/>
        </w:rPr>
        <w:tab/>
        <w:t xml:space="preserve">je hodnota celkového kapitálu (součet vlastního a cizího kapitálu). </w:t>
      </w:r>
    </w:p>
    <w:p w:rsidR="00B0672C" w:rsidRPr="00B0672C" w:rsidRDefault="00B0672C" w:rsidP="00B0672C">
      <w:pPr>
        <w:spacing w:after="240"/>
        <w:ind w:firstLine="708"/>
        <w:jc w:val="both"/>
        <w:rPr>
          <w:rFonts w:ascii="Arial" w:hAnsi="Arial" w:cs="Arial"/>
          <w:sz w:val="22"/>
          <w:szCs w:val="22"/>
        </w:rPr>
      </w:pPr>
      <w:r w:rsidRPr="00B0672C">
        <w:rPr>
          <w:rFonts w:ascii="Arial" w:hAnsi="Arial" w:cs="Arial"/>
          <w:sz w:val="22"/>
          <w:szCs w:val="22"/>
        </w:rPr>
        <w:t xml:space="preserve">Kapitálová struktura byla odhadnuta na základě mediánu průměrné kapitálové struktury společností v peer group složené ze stejných společností, jako pro odhad bety, za posledních pět let. Kapitálová struktura (E/EV) byla stanovena ve výši 60,722 %. </w:t>
      </w:r>
    </w:p>
    <w:p w:rsidR="00B0672C" w:rsidRPr="00B0672C" w:rsidRDefault="00B0672C" w:rsidP="00B0672C">
      <w:pPr>
        <w:spacing w:after="240"/>
        <w:ind w:firstLine="708"/>
        <w:jc w:val="both"/>
        <w:rPr>
          <w:rFonts w:ascii="Arial" w:hAnsi="Arial" w:cs="Arial"/>
          <w:sz w:val="22"/>
          <w:szCs w:val="22"/>
        </w:rPr>
      </w:pPr>
      <w:r w:rsidRPr="00B0672C">
        <w:rPr>
          <w:rFonts w:ascii="Arial" w:hAnsi="Arial" w:cs="Arial"/>
          <w:sz w:val="22"/>
          <w:szCs w:val="22"/>
        </w:rPr>
        <w:t xml:space="preserve">Medián nezadlužených koeficientů beta byl stanoven ve výši 0,476, zadlužený koeficient beta byl stanoven ve výši 0,784. </w:t>
      </w:r>
    </w:p>
    <w:p w:rsidR="00B0672C" w:rsidRPr="00B0672C" w:rsidRDefault="00B0672C" w:rsidP="00B0672C">
      <w:pPr>
        <w:spacing w:after="240"/>
        <w:ind w:firstLine="708"/>
        <w:jc w:val="both"/>
        <w:rPr>
          <w:rFonts w:ascii="Arial" w:hAnsi="Arial" w:cs="Arial"/>
          <w:sz w:val="22"/>
          <w:szCs w:val="22"/>
        </w:rPr>
      </w:pPr>
      <w:r w:rsidRPr="00B0672C">
        <w:rPr>
          <w:rFonts w:ascii="Arial" w:hAnsi="Arial" w:cs="Arial"/>
          <w:sz w:val="22"/>
          <w:szCs w:val="22"/>
        </w:rPr>
        <w:lastRenderedPageBreak/>
        <w:t xml:space="preserve">Vzhledem ke skutečnosti, že tržní rizikovou přirážku není možné určit přímo pro Českou republiku, protože kapitálový trh v České republice není příliš rozvinutý a má krátkou historii, byla tržní riziková přirážka určena na základě tržních přirážek vybraných evropských zemí a Úřad považuje za vhodné, aby rizika spojená s podnikáním v České republice, která by měla odrážet tržní riziková prémie, byla zohledněna jiným způsobem. Z tohoto důvodu byla v nákladech vlastního kapitálu zohledněna přirážka za riziko země ve výši 0,635 %. Pro odhad přirážky za riziko země byl využit rozdíl výnosnosti českých státních dluhopisů a evropských dluhopisů (aritmetický průměr výnosových měr státních dluhopisů vybraných zemí eurozóny s ratingem AAA), oboje za pětileté období, a rozdíl volatilit dluhopisů a akcií. </w:t>
      </w:r>
    </w:p>
    <w:p w:rsidR="00B0672C" w:rsidRPr="00B0672C" w:rsidRDefault="00B0672C" w:rsidP="00B0672C">
      <w:pPr>
        <w:spacing w:after="240"/>
        <w:ind w:firstLine="708"/>
        <w:jc w:val="both"/>
        <w:rPr>
          <w:rFonts w:ascii="Arial" w:hAnsi="Arial" w:cs="Arial"/>
          <w:sz w:val="22"/>
          <w:szCs w:val="22"/>
        </w:rPr>
      </w:pPr>
      <w:r w:rsidRPr="00B0672C">
        <w:rPr>
          <w:rFonts w:ascii="Arial" w:hAnsi="Arial" w:cs="Arial"/>
          <w:sz w:val="22"/>
          <w:szCs w:val="22"/>
        </w:rPr>
        <w:t>Náklady cizího kapitálu ve výši 3,725 % byly určeny jako součet bezrizikové výnosové míry a defaultní prémie ve výši 1,341 %. Defaultní prémie byla určena na základě dat průměrného výnosu do splatnosti korporátní dluhopisů (YTM) emitovanými společnostmi v peer group s dobou do splatnosti 8 až 12 let, průměrný rating těchto dluhopisů byl na úrovni BBB, a to k datu 31. července 2018. Od tohoto průměru YTM byla odečtena výnosová míra evropských dluhopisů.</w:t>
      </w:r>
    </w:p>
    <w:p w:rsidR="00B0672C" w:rsidRPr="00B0672C" w:rsidRDefault="00B0672C" w:rsidP="00B0672C">
      <w:pPr>
        <w:spacing w:after="240"/>
        <w:ind w:firstLine="851"/>
        <w:jc w:val="both"/>
        <w:rPr>
          <w:rFonts w:ascii="Arial" w:hAnsi="Arial" w:cs="Arial"/>
          <w:sz w:val="22"/>
          <w:szCs w:val="22"/>
        </w:rPr>
      </w:pPr>
      <w:r w:rsidRPr="00B0672C">
        <w:rPr>
          <w:rFonts w:ascii="Arial" w:hAnsi="Arial" w:cs="Arial"/>
          <w:sz w:val="22"/>
          <w:szCs w:val="22"/>
        </w:rPr>
        <w:t>Jako daňová sazba byla použita sazba daně z příjmů právnických osob ve výši 19 %.</w:t>
      </w:r>
    </w:p>
    <w:p w:rsidR="00B0672C" w:rsidRPr="00B0672C" w:rsidRDefault="00B0672C" w:rsidP="00B0672C">
      <w:pPr>
        <w:spacing w:after="240"/>
        <w:ind w:firstLine="828"/>
        <w:jc w:val="both"/>
        <w:rPr>
          <w:rFonts w:ascii="Arial" w:hAnsi="Arial" w:cs="Arial"/>
          <w:sz w:val="22"/>
          <w:szCs w:val="22"/>
        </w:rPr>
      </w:pPr>
      <w:r w:rsidRPr="00B0672C">
        <w:rPr>
          <w:rFonts w:ascii="Arial" w:hAnsi="Arial" w:cs="Arial"/>
          <w:sz w:val="22"/>
          <w:szCs w:val="22"/>
        </w:rPr>
        <w:t xml:space="preserve">Samostatně je v odstavci 3 stanoveno procento návratnosti vloženého kapitálu před zdaněním WACC pro službu přístupu na přístupových sítích nové generace v souladu s Doporučením Komise ze dne 20. září 2010 o regulovaném přístupu k přístupovým sítím nové generace (NGA) č. 2010/572/EU (dále „doporučení“). Přístupovými sítěmi nové generace se rozumí kabelové přístupové sítě, které sestávají zcela nebo z části z optických prvků a které jsou schopné dodávat služby širokopásmového přístupu s dokonalejšími vlastnostmi (např. s vyšší propustností) ve srovnání se službami poskytovanými prostřednictvím stávajících sítí založených na kovovém vedení. </w:t>
      </w:r>
      <w:r w:rsidRPr="00B0672C">
        <w:rPr>
          <w:rFonts w:ascii="Arial" w:hAnsi="Arial"/>
          <w:sz w:val="22"/>
          <w:szCs w:val="22"/>
        </w:rPr>
        <w:t>Doporučení ukládá vnitrostátním regulačním orgánům při stanovování ceny za zpřístupnění účastnického vedení z optického vlákna a za přístup k infrastruktuře FTTH/FTTB zohlednit toto zvýšené riziko ve formě rizikové prémie zahrnuté v nákladech kapitálu.</w:t>
      </w:r>
    </w:p>
    <w:p w:rsidR="00B0672C" w:rsidRPr="00B0672C" w:rsidRDefault="00B0672C" w:rsidP="00B0672C">
      <w:pPr>
        <w:spacing w:after="240"/>
        <w:ind w:firstLine="828"/>
        <w:jc w:val="both"/>
        <w:rPr>
          <w:rFonts w:ascii="Arial" w:hAnsi="Arial" w:cs="Arial"/>
          <w:sz w:val="22"/>
          <w:szCs w:val="22"/>
        </w:rPr>
      </w:pPr>
      <w:r w:rsidRPr="00B0672C">
        <w:rPr>
          <w:rFonts w:ascii="Arial" w:hAnsi="Arial" w:cs="Arial"/>
          <w:sz w:val="22"/>
          <w:szCs w:val="22"/>
        </w:rPr>
        <w:t>Úřad na základě vyhodnocení situace na trhu přistoupil k přehodnocení rizikové přirážky spojené se službami poskytovanými prostřednictvím sítí nové generace (dále „riziková přirážka pro NGA“), stanovené v opatření obecné povahy č. OOP/4/08.2013-3.</w:t>
      </w:r>
    </w:p>
    <w:p w:rsidR="00B0672C" w:rsidRPr="00B0672C" w:rsidRDefault="00B0672C" w:rsidP="00B0672C">
      <w:pPr>
        <w:spacing w:after="240"/>
        <w:ind w:firstLine="828"/>
        <w:jc w:val="both"/>
        <w:rPr>
          <w:rFonts w:ascii="Arial" w:hAnsi="Arial" w:cs="Arial"/>
          <w:sz w:val="22"/>
          <w:szCs w:val="22"/>
        </w:rPr>
      </w:pPr>
      <w:r w:rsidRPr="00B0672C">
        <w:rPr>
          <w:rFonts w:ascii="Arial" w:hAnsi="Arial" w:cs="Arial"/>
          <w:sz w:val="22"/>
          <w:szCs w:val="22"/>
        </w:rPr>
        <w:t>Riziková přirážka pro NGA byla stanovena na základě hodnocení dílčích rizik v případě sítí NGA relativně ve vztahu k rizikům běžných sítí. Byl využit model komplexní stavebnicové metody pro odhad nákladů vlastního kapitálu publikovaný prof. Maříkem</w:t>
      </w:r>
      <w:r w:rsidRPr="00B0672C">
        <w:rPr>
          <w:rFonts w:ascii="Arial" w:hAnsi="Arial" w:cs="Arial"/>
          <w:sz w:val="22"/>
          <w:szCs w:val="22"/>
          <w:vertAlign w:val="superscript"/>
        </w:rPr>
        <w:footnoteReference w:id="12"/>
      </w:r>
      <w:r w:rsidRPr="00B0672C">
        <w:rPr>
          <w:rFonts w:ascii="Arial" w:hAnsi="Arial" w:cs="Arial"/>
          <w:sz w:val="22"/>
          <w:szCs w:val="22"/>
        </w:rPr>
        <w:t>. Tato metoda spočívá v rozčlenění celkového rizika na jednotlivá dílčí rizika, která jsou pak samostatně hodnocena. Hodnocení rizika sítí NGA není prováděno absolutně, ale relativně ve vztahu k běžným rizikům (např. metalických sítí). Mezi rizika, která byla hodnocena při stanovení rizikové přirážky pro NGA a byla vyhodnocena jako extrémní, patří dynamika oboru, inovace a kontinuita služeb a ceny služeb. Jako významná rizika byla vyhodnocena závislost na hospodářském cyklu, intenzita konkurence, bariéry vstupu do odvětví a konkurenceschopnost služby.  Regulatorní riziko a riziko „Velikost, kapacita trhu a možnosti expanze“ byly vyhodnoceny jako nízká rizika. Riziko spočívající v rozdílném postavení vůči dodavatelům a odběratelům bylo vyhodnoceno jako zanedbatelné. Současně byla rizika vyhodnocena podle významnosti. Koeficient celkového rizika byl vypočten podle následujícího vzorce:</w:t>
      </w:r>
    </w:p>
    <w:p w:rsidR="00B0672C" w:rsidRPr="00B0672C" w:rsidRDefault="00B0672C" w:rsidP="00B0672C">
      <w:pPr>
        <w:spacing w:after="120"/>
        <w:ind w:firstLine="828"/>
        <w:jc w:val="center"/>
        <w:rPr>
          <w:rFonts w:ascii="Arial" w:hAnsi="Arial" w:cs="Arial"/>
          <w:sz w:val="22"/>
          <w:szCs w:val="22"/>
        </w:rPr>
      </w:pPr>
      <w:r w:rsidRPr="00B0672C">
        <w:rPr>
          <w:rFonts w:ascii="Arial" w:hAnsi="Arial" w:cs="Arial"/>
          <w:noProof/>
          <w:sz w:val="22"/>
          <w:szCs w:val="22"/>
        </w:rPr>
        <w:lastRenderedPageBreak/>
        <w:drawing>
          <wp:inline distT="0" distB="0" distL="0" distR="0" wp14:anchorId="706C8CD2" wp14:editId="0F633C85">
            <wp:extent cx="1419225" cy="542925"/>
            <wp:effectExtent l="0" t="0" r="0"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19225" cy="542925"/>
                    </a:xfrm>
                    <a:prstGeom prst="rect">
                      <a:avLst/>
                    </a:prstGeom>
                    <a:noFill/>
                    <a:ln>
                      <a:noFill/>
                    </a:ln>
                  </pic:spPr>
                </pic:pic>
              </a:graphicData>
            </a:graphic>
          </wp:inline>
        </w:drawing>
      </w:r>
    </w:p>
    <w:p w:rsidR="00B0672C" w:rsidRPr="00B0672C" w:rsidRDefault="00B0672C" w:rsidP="00B0672C">
      <w:pPr>
        <w:spacing w:after="120"/>
        <w:jc w:val="both"/>
        <w:rPr>
          <w:rFonts w:ascii="Arial" w:hAnsi="Arial" w:cs="Arial"/>
          <w:sz w:val="22"/>
          <w:szCs w:val="22"/>
        </w:rPr>
      </w:pPr>
      <w:r w:rsidRPr="00B0672C">
        <w:rPr>
          <w:rFonts w:ascii="Arial" w:hAnsi="Arial" w:cs="Arial"/>
          <w:sz w:val="22"/>
          <w:szCs w:val="22"/>
        </w:rPr>
        <w:t>kde</w:t>
      </w:r>
    </w:p>
    <w:p w:rsidR="00B0672C" w:rsidRPr="00B0672C" w:rsidRDefault="00B0672C" w:rsidP="00B0672C">
      <w:pPr>
        <w:autoSpaceDE w:val="0"/>
        <w:autoSpaceDN w:val="0"/>
        <w:adjustRightInd w:val="0"/>
        <w:rPr>
          <w:rFonts w:ascii="Arial" w:hAnsi="Arial" w:cs="Arial"/>
          <w:color w:val="000000"/>
          <w:sz w:val="22"/>
          <w:szCs w:val="22"/>
        </w:rPr>
      </w:pPr>
      <w:r w:rsidRPr="00B0672C">
        <w:rPr>
          <w:rFonts w:ascii="Arial" w:hAnsi="Arial" w:cs="Arial"/>
          <w:color w:val="000000"/>
          <w:sz w:val="22"/>
          <w:szCs w:val="22"/>
        </w:rPr>
        <w:t>TR</w:t>
      </w:r>
      <w:r w:rsidRPr="00B0672C">
        <w:rPr>
          <w:rFonts w:ascii="Arial" w:hAnsi="Arial" w:cs="Arial"/>
          <w:color w:val="000000"/>
          <w:sz w:val="22"/>
          <w:szCs w:val="22"/>
        </w:rPr>
        <w:tab/>
      </w:r>
      <w:r w:rsidRPr="00B0672C">
        <w:rPr>
          <w:rFonts w:ascii="Arial" w:hAnsi="Arial" w:cs="Arial"/>
          <w:color w:val="000000"/>
          <w:sz w:val="22"/>
          <w:szCs w:val="22"/>
        </w:rPr>
        <w:tab/>
        <w:t>je koeficient celkového rizika (poměr rizika sítí NGA ku ostatním sítím),</w:t>
      </w:r>
    </w:p>
    <w:p w:rsidR="00B0672C" w:rsidRPr="00B0672C" w:rsidRDefault="00B0672C" w:rsidP="00B0672C">
      <w:pPr>
        <w:autoSpaceDE w:val="0"/>
        <w:autoSpaceDN w:val="0"/>
        <w:adjustRightInd w:val="0"/>
        <w:rPr>
          <w:rFonts w:ascii="Arial" w:hAnsi="Arial" w:cs="Arial"/>
          <w:color w:val="000000"/>
          <w:sz w:val="22"/>
          <w:szCs w:val="22"/>
        </w:rPr>
      </w:pPr>
      <w:proofErr w:type="spellStart"/>
      <w:r w:rsidRPr="00B0672C">
        <w:rPr>
          <w:rFonts w:ascii="Arial" w:hAnsi="Arial" w:cs="Arial"/>
          <w:color w:val="000000"/>
          <w:sz w:val="22"/>
          <w:szCs w:val="22"/>
        </w:rPr>
        <w:t>R</w:t>
      </w:r>
      <w:r w:rsidRPr="00B0672C">
        <w:rPr>
          <w:rFonts w:ascii="Arial" w:hAnsi="Arial" w:cs="Arial"/>
          <w:color w:val="000000"/>
          <w:sz w:val="22"/>
          <w:szCs w:val="22"/>
          <w:vertAlign w:val="subscript"/>
        </w:rPr>
        <w:t>i</w:t>
      </w:r>
      <w:proofErr w:type="spellEnd"/>
      <w:r w:rsidRPr="00B0672C">
        <w:rPr>
          <w:rFonts w:ascii="Arial" w:hAnsi="Arial" w:cs="Arial"/>
          <w:color w:val="000000"/>
          <w:sz w:val="22"/>
          <w:szCs w:val="22"/>
        </w:rPr>
        <w:tab/>
      </w:r>
      <w:r w:rsidRPr="00B0672C">
        <w:rPr>
          <w:rFonts w:ascii="Arial" w:hAnsi="Arial" w:cs="Arial"/>
          <w:color w:val="000000"/>
          <w:sz w:val="22"/>
          <w:szCs w:val="22"/>
        </w:rPr>
        <w:tab/>
        <w:t>je koeficient i-</w:t>
      </w:r>
      <w:proofErr w:type="spellStart"/>
      <w:r w:rsidRPr="00B0672C">
        <w:rPr>
          <w:rFonts w:ascii="Arial" w:hAnsi="Arial" w:cs="Arial"/>
          <w:color w:val="000000"/>
          <w:sz w:val="22"/>
          <w:szCs w:val="22"/>
        </w:rPr>
        <w:t>tého</w:t>
      </w:r>
      <w:proofErr w:type="spellEnd"/>
      <w:r w:rsidRPr="00B0672C">
        <w:rPr>
          <w:rFonts w:ascii="Arial" w:hAnsi="Arial" w:cs="Arial"/>
          <w:color w:val="000000"/>
          <w:sz w:val="22"/>
          <w:szCs w:val="22"/>
        </w:rPr>
        <w:t xml:space="preserve"> dílčího rizika,</w:t>
      </w:r>
    </w:p>
    <w:p w:rsidR="00B0672C" w:rsidRPr="00B0672C" w:rsidRDefault="00B0672C" w:rsidP="00B0672C">
      <w:pPr>
        <w:autoSpaceDE w:val="0"/>
        <w:autoSpaceDN w:val="0"/>
        <w:adjustRightInd w:val="0"/>
        <w:rPr>
          <w:rFonts w:ascii="Arial" w:hAnsi="Arial" w:cs="Arial"/>
          <w:color w:val="000000"/>
          <w:sz w:val="22"/>
          <w:szCs w:val="22"/>
        </w:rPr>
      </w:pPr>
      <w:proofErr w:type="spellStart"/>
      <w:r w:rsidRPr="00B0672C">
        <w:rPr>
          <w:rFonts w:ascii="Arial" w:hAnsi="Arial" w:cs="Arial"/>
          <w:color w:val="000000"/>
          <w:sz w:val="22"/>
          <w:szCs w:val="22"/>
        </w:rPr>
        <w:t>W</w:t>
      </w:r>
      <w:r w:rsidRPr="00B0672C">
        <w:rPr>
          <w:rFonts w:ascii="Arial" w:hAnsi="Arial" w:cs="Arial"/>
          <w:color w:val="000000"/>
          <w:sz w:val="22"/>
          <w:szCs w:val="22"/>
          <w:vertAlign w:val="subscript"/>
        </w:rPr>
        <w:t>i</w:t>
      </w:r>
      <w:proofErr w:type="spellEnd"/>
      <w:r w:rsidRPr="00B0672C">
        <w:rPr>
          <w:rFonts w:ascii="Arial" w:hAnsi="Arial" w:cs="Arial"/>
          <w:color w:val="000000"/>
          <w:sz w:val="22"/>
          <w:szCs w:val="22"/>
        </w:rPr>
        <w:tab/>
      </w:r>
      <w:r w:rsidRPr="00B0672C">
        <w:rPr>
          <w:rFonts w:ascii="Arial" w:hAnsi="Arial" w:cs="Arial"/>
          <w:color w:val="000000"/>
          <w:sz w:val="22"/>
          <w:szCs w:val="22"/>
        </w:rPr>
        <w:tab/>
        <w:t>je váha i-</w:t>
      </w:r>
      <w:proofErr w:type="spellStart"/>
      <w:r w:rsidRPr="00B0672C">
        <w:rPr>
          <w:rFonts w:ascii="Arial" w:hAnsi="Arial" w:cs="Arial"/>
          <w:color w:val="000000"/>
          <w:sz w:val="22"/>
          <w:szCs w:val="22"/>
        </w:rPr>
        <w:t>tého</w:t>
      </w:r>
      <w:proofErr w:type="spellEnd"/>
      <w:r w:rsidRPr="00B0672C">
        <w:rPr>
          <w:rFonts w:ascii="Arial" w:hAnsi="Arial" w:cs="Arial"/>
          <w:color w:val="000000"/>
          <w:sz w:val="22"/>
          <w:szCs w:val="22"/>
        </w:rPr>
        <w:t xml:space="preserve"> dílčího rizika,</w:t>
      </w:r>
    </w:p>
    <w:p w:rsidR="00B0672C" w:rsidRPr="00B0672C" w:rsidRDefault="00B0672C" w:rsidP="00B0672C">
      <w:pPr>
        <w:spacing w:after="240"/>
        <w:jc w:val="both"/>
        <w:rPr>
          <w:rFonts w:ascii="Arial" w:hAnsi="Arial" w:cs="Arial"/>
          <w:sz w:val="22"/>
          <w:szCs w:val="22"/>
        </w:rPr>
      </w:pPr>
      <w:r w:rsidRPr="00B0672C">
        <w:rPr>
          <w:rFonts w:ascii="Arial" w:hAnsi="Arial"/>
          <w:sz w:val="22"/>
          <w:szCs w:val="22"/>
        </w:rPr>
        <w:t>n</w:t>
      </w:r>
      <w:r w:rsidRPr="00B0672C">
        <w:rPr>
          <w:rFonts w:ascii="Arial" w:hAnsi="Arial"/>
          <w:sz w:val="22"/>
          <w:szCs w:val="22"/>
        </w:rPr>
        <w:tab/>
      </w:r>
      <w:r w:rsidRPr="00B0672C">
        <w:rPr>
          <w:rFonts w:ascii="Arial" w:hAnsi="Arial"/>
          <w:sz w:val="22"/>
          <w:szCs w:val="22"/>
        </w:rPr>
        <w:tab/>
        <w:t>je celkový počet dílčích rizik, tedy koeficientů (v daném případě 10).</w:t>
      </w:r>
    </w:p>
    <w:p w:rsidR="00B0672C" w:rsidRPr="00B0672C" w:rsidRDefault="00B0672C" w:rsidP="00B0672C">
      <w:pPr>
        <w:spacing w:after="240"/>
        <w:ind w:firstLine="828"/>
        <w:jc w:val="both"/>
        <w:rPr>
          <w:rFonts w:ascii="Arial" w:hAnsi="Arial" w:cs="Arial"/>
          <w:sz w:val="22"/>
          <w:szCs w:val="22"/>
        </w:rPr>
      </w:pPr>
      <w:r w:rsidRPr="00B0672C">
        <w:rPr>
          <w:rFonts w:ascii="Arial" w:hAnsi="Arial"/>
          <w:sz w:val="22"/>
          <w:szCs w:val="22"/>
        </w:rPr>
        <w:t>Výsledným koeficientem celkového rizika (poměr rizika v rámci sítí NGA vůči rizikům ostatních sítí) se následně vynásobí p</w:t>
      </w:r>
      <w:r w:rsidRPr="00B0672C">
        <w:rPr>
          <w:rFonts w:ascii="Arial" w:hAnsi="Arial" w:cs="Arial"/>
          <w:sz w:val="22"/>
          <w:szCs w:val="22"/>
        </w:rPr>
        <w:t>rocento návratnosti vloženého kapitálu před zdaněním stanovené v odstavci 2 pro stanovený podnik zajištující sítě elektronických komunikací nebo poskytující veřejně dostupnou službu</w:t>
      </w:r>
      <w:r w:rsidRPr="00B0672C">
        <w:rPr>
          <w:rFonts w:ascii="Arial" w:hAnsi="Arial"/>
          <w:sz w:val="22"/>
          <w:szCs w:val="22"/>
        </w:rPr>
        <w:t>, čímž se získá p</w:t>
      </w:r>
      <w:r w:rsidRPr="00B0672C">
        <w:rPr>
          <w:rFonts w:ascii="Arial" w:hAnsi="Arial" w:cs="Arial"/>
          <w:sz w:val="22"/>
          <w:szCs w:val="22"/>
        </w:rPr>
        <w:t>rocento návratnosti vloženého kapitálu před zdaněním WACC pro službu přístupu na přístupových sítích nové generace</w:t>
      </w:r>
      <w:r w:rsidRPr="00B0672C">
        <w:rPr>
          <w:rFonts w:ascii="Arial" w:hAnsi="Arial"/>
          <w:sz w:val="22"/>
          <w:szCs w:val="22"/>
        </w:rPr>
        <w:t xml:space="preserve"> stanovené v odstavci 3.</w:t>
      </w:r>
    </w:p>
    <w:p w:rsidR="00B0672C" w:rsidRPr="00B0672C" w:rsidRDefault="00B0672C" w:rsidP="00B0672C">
      <w:pPr>
        <w:spacing w:after="240"/>
        <w:jc w:val="center"/>
        <w:rPr>
          <w:rFonts w:ascii="Arial" w:hAnsi="Arial" w:cs="Arial"/>
          <w:sz w:val="22"/>
          <w:szCs w:val="22"/>
        </w:rPr>
      </w:pPr>
      <w:r w:rsidRPr="00B0672C">
        <w:rPr>
          <w:rFonts w:ascii="Arial" w:hAnsi="Arial" w:cs="Arial"/>
          <w:sz w:val="22"/>
          <w:szCs w:val="22"/>
        </w:rPr>
        <w:t>***</w:t>
      </w:r>
    </w:p>
    <w:p w:rsidR="00B0672C" w:rsidRPr="00B0672C" w:rsidRDefault="00B0672C" w:rsidP="00B0672C">
      <w:pPr>
        <w:spacing w:after="240"/>
        <w:ind w:firstLine="708"/>
        <w:jc w:val="both"/>
        <w:rPr>
          <w:rFonts w:ascii="Arial" w:hAnsi="Arial" w:cs="Arial"/>
          <w:sz w:val="22"/>
          <w:szCs w:val="22"/>
        </w:rPr>
      </w:pPr>
      <w:r w:rsidRPr="00B0672C">
        <w:rPr>
          <w:rFonts w:ascii="Arial" w:hAnsi="Arial" w:cs="Arial"/>
          <w:sz w:val="22"/>
          <w:szCs w:val="22"/>
        </w:rPr>
        <w:t>Úřad zveřejnil dne 8. listopadu 2018 návrh opatření obecné povahy č. OOP/4/XX.2019</w:t>
      </w:r>
      <w:r w:rsidRPr="00B0672C">
        <w:rPr>
          <w:rFonts w:ascii="Arial" w:hAnsi="Arial" w:cs="Arial"/>
          <w:sz w:val="22"/>
          <w:szCs w:val="22"/>
        </w:rPr>
        <w:noBreakHyphen/>
        <w:t xml:space="preserve">Y v souladu s § 130 odst. 1 zákona a podle čl. 5 odst. 1 Pravidel Českého telekomunikačního úřadu pro vedení konzultací na diskusním místě. </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Ve lhůtě 1 měsíce stanovené pro veřejnou konzultaci obdržel Úřad od společností O2 Czech Republic a.s. (dále jen „O2“) a Česká telekomunikační infrastruktura a.s. (dále jen „CETIN“).</w:t>
      </w:r>
    </w:p>
    <w:p w:rsidR="00B0672C" w:rsidRPr="00B0672C" w:rsidRDefault="00B0672C" w:rsidP="00B0672C">
      <w:pPr>
        <w:autoSpaceDE w:val="0"/>
        <w:autoSpaceDN w:val="0"/>
        <w:adjustRightInd w:val="0"/>
        <w:ind w:firstLine="709"/>
        <w:jc w:val="both"/>
        <w:rPr>
          <w:rFonts w:ascii="Arial" w:hAnsi="Arial" w:cs="Arial"/>
          <w:szCs w:val="22"/>
        </w:rPr>
      </w:pPr>
      <w:r w:rsidRPr="00B0672C">
        <w:rPr>
          <w:rFonts w:ascii="Arial" w:hAnsi="Arial" w:cs="Arial"/>
          <w:sz w:val="22"/>
          <w:szCs w:val="22"/>
        </w:rPr>
        <w:t>Společnost O2 ve své připomínce navrhovala vypuštění přechodných ustanovení a použití nové výše procenta návratnosti vloženého kapitálu před zdaněním WACC v obou případech až pro rok 2019 s odůvodněním, že opatření nabývá účinnosti až v roce 2019 a dotčené subjekty se o nově navrhované hodnotě dozvěděly až v návrhu zveřejněném dne 8. listopadu 2018.</w:t>
      </w:r>
      <w:r w:rsidRPr="00B0672C">
        <w:rPr>
          <w:rFonts w:ascii="Arial" w:hAnsi="Arial" w:cs="Arial"/>
          <w:szCs w:val="22"/>
        </w:rPr>
        <w:t xml:space="preserve"> </w:t>
      </w:r>
    </w:p>
    <w:p w:rsidR="00B0672C" w:rsidRPr="00B0672C" w:rsidRDefault="00B0672C" w:rsidP="00B0672C">
      <w:pPr>
        <w:autoSpaceDE w:val="0"/>
        <w:autoSpaceDN w:val="0"/>
        <w:adjustRightInd w:val="0"/>
        <w:spacing w:before="120" w:after="120"/>
        <w:ind w:firstLine="709"/>
        <w:jc w:val="both"/>
        <w:rPr>
          <w:rFonts w:ascii="Arial" w:hAnsi="Arial" w:cs="Arial"/>
          <w:sz w:val="22"/>
          <w:szCs w:val="22"/>
        </w:rPr>
      </w:pPr>
      <w:r w:rsidRPr="00B0672C">
        <w:rPr>
          <w:rFonts w:ascii="Arial" w:hAnsi="Arial" w:cs="Arial"/>
          <w:sz w:val="22"/>
          <w:szCs w:val="22"/>
        </w:rPr>
        <w:t xml:space="preserve">Úřad připomínku částečně akceptoval. Přechodná ustanovení nelze zcela vypustit z důvodu, že toto opatření nebude vydáno k 1. lednu 2019, ale nejdříve v únoru 2019 z důvodu notifikace výpočtu WACC u Evropské komise. Přitom je třeba jednoznačně určit, jaká hodnota WACC se bude promítat do úkonů, které bude stanovený podnik činit v průběhu roku 2019. Stanovený podnik bude v průběhu roku 2019 předkládat výsledky oddělené evidence nákladů a výnosů za rok 2018. Vzhledem k tomu, že výsledky oddělené evidence jsou využívány pro cenovou regulaci s účinky do budoucnosti v širokém spektru činností, kterými se Úřad zabývá, navrhuje se pro tyto účely uplatnit hodnotu WACC stanovenou tímto opatřením obecné povahy, tj. 7,25 %. Poskytovatel univerzální služby bude v průběhu roku 2019 předkládat žádost o úhradu čistých nákladů za rok 2018, ve které uplatní hodnotu WACC podle dosavadní právní úpravy (7,89 %). Ve vyúčtování čistých nákladů za rok 2019 použije poskytovatel univerzální služby hodnotu WACC stanovenou tímto opatřením obecné povahy (7,25 %) za celé účetní období. Úřad novou hodnotu ukazatele WACC zveřejnil a konzultoval v dostatečném předstihu tak, aby by se dotčené subjekty mohly připravit na její platnost pro účely vykazování výsledků oddělené evidence nákladů a výnosů od 1. ledna 2019. </w:t>
      </w:r>
    </w:p>
    <w:p w:rsidR="00B0672C" w:rsidRPr="00B0672C" w:rsidRDefault="00B0672C" w:rsidP="00B0672C">
      <w:pPr>
        <w:spacing w:before="120" w:after="120"/>
        <w:ind w:firstLine="709"/>
        <w:jc w:val="both"/>
        <w:rPr>
          <w:rFonts w:ascii="Arial" w:hAnsi="Arial" w:cs="Arial"/>
          <w:sz w:val="22"/>
          <w:szCs w:val="22"/>
        </w:rPr>
      </w:pPr>
      <w:r w:rsidRPr="00B0672C">
        <w:rPr>
          <w:rFonts w:ascii="Arial" w:hAnsi="Arial" w:cs="Arial"/>
          <w:sz w:val="22"/>
          <w:szCs w:val="22"/>
        </w:rPr>
        <w:t xml:space="preserve">Společnost CETIN ve své první připomínce požaduje zahrnutí přirážky za malou tržní kapitalizaci do nákladů vlastního kapitálu. </w:t>
      </w:r>
    </w:p>
    <w:p w:rsidR="00B0672C" w:rsidRPr="00B0672C" w:rsidRDefault="00B0672C" w:rsidP="00B0672C">
      <w:pPr>
        <w:spacing w:before="120" w:after="240"/>
        <w:ind w:firstLine="709"/>
        <w:jc w:val="both"/>
        <w:rPr>
          <w:rFonts w:ascii="Arial" w:hAnsi="Arial" w:cs="Arial"/>
          <w:sz w:val="22"/>
          <w:szCs w:val="22"/>
        </w:rPr>
      </w:pPr>
      <w:r w:rsidRPr="00B0672C">
        <w:rPr>
          <w:rFonts w:ascii="Arial" w:hAnsi="Arial" w:cs="Arial"/>
          <w:sz w:val="22"/>
          <w:szCs w:val="22"/>
        </w:rPr>
        <w:t xml:space="preserve">Úřad tuto připomínku neakceptoval. Uplatnění přirážky za malou tržní kapitalizaci není v souladu s běžnou praxí uplatňovanou regulačními orgány a ani v minulosti tato přirážka nebyla v České republice zahrnuta. Názor Úřadu lze podpořit i názorem Evropské komise vyjádřeným např. v rozhodnutí ve věci SK/2017/2010, SK/2017/2050 a SI/2017/2051. </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lastRenderedPageBreak/>
        <w:t xml:space="preserve">Druhá připomínka společnosti CETIN se týká zvolené doby splatnosti dluhopisů použitých pro odhad nákladů vlastního a cizího kapitálu. CETIN namítá, že zvolená doba splatnosti (okolo 10 let) neodpovídá předpokládanému investičnímu horizontu z pohledu investora v sektoru telekomunikací v České republice (např. investice do spektrální licence) a lépe investiční horizont vystihuje dluhopis se splatností okolo 20 let. </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 xml:space="preserve">Úřad tuto připomínku neakceptoval. Použití dluhopisů se splatností 10 let je konzistentní jak s dřívější praxí při stanovení ukazatele WACC v České republice, tak i s přístupem většiny evropských regulátorů. Navíc dluhopisy s delší zbytkovou splatností (např. 20 let a více let) bývají obecně méně likvidní, tudíž výnosnost může být zkreslena významnou likvidní prémií. Nadto Úřad se neztotožňuje s tvrzením, že investiční horizont se obecně v telekomunikacích blíží 20 letům. Ačkoliv lze souhlasit, že existují investice, které svým charakterem 10letý investiční horizont přesahují, významná část investic souvisí s délkou životního cyklu technologie a dané služby, se kterou investice souvisí, a tyto obvykle 10letý investiční horizont významně nepřevyšují. </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 xml:space="preserve">Další připomínka společnosti CETIN se týkala koeficientu beta. CETIN namítá, že hodnoty beta pro uvedenou peer group jsou založeny na základě porovnání vůči indexu </w:t>
      </w:r>
      <w:proofErr w:type="spellStart"/>
      <w:r w:rsidRPr="00B0672C">
        <w:rPr>
          <w:rFonts w:ascii="Arial" w:hAnsi="Arial" w:cs="Arial"/>
          <w:sz w:val="22"/>
          <w:szCs w:val="22"/>
        </w:rPr>
        <w:t>Stoxx</w:t>
      </w:r>
      <w:proofErr w:type="spellEnd"/>
      <w:r w:rsidRPr="00B0672C">
        <w:rPr>
          <w:rFonts w:ascii="Arial" w:hAnsi="Arial" w:cs="Arial"/>
          <w:sz w:val="22"/>
          <w:szCs w:val="22"/>
        </w:rPr>
        <w:t xml:space="preserve"> E 600, zastoupení společností z České republiky v tomto indexu je minimální a doporučují normalizovat odhad koeficientu beta tak, aby byla zohledněna konvergence individuálních hodnot beta k hodnotě celého trhu např. pomocí tzv. Blumova vzorce. </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 xml:space="preserve">Úřad tuto připomínku neakceptoval. Skutečnost, že zastoupení společností z České republiky je v indexu minimální nepovažuje Úřad z hlediska odhadu koeficientu beta za problematickou. Evropský index je konzistentní s regionem působení společností v peer group. Mezi problematikou volby indexu (resp. minimálního zastoupení společností z ČR) a konvergencí koeficientu beta k průměru odvětví nevidí Úřad souvislost. Obecně použití Blumova vzorce v odvětví telekomunikací, který předpokládá konvergenci koeficientu beta k jedné, nepovažuje Úřad za vhodné. </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 xml:space="preserve">Další připomínky společnosti CETIN směřují k rizikové prémii pro sítě NGA. CETIN namítá, že kritérium intenzity konkurence nebylo vyhodnoceno správně a mělo by být považováno za velmi významné až extrémní. </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Úřad tuto připomínku neakceptoval. Hodnocení rizik v rámci rizikové prémie NGA je prováděno relativně, tedy ve vztahu k ostatním technologiím a bylo vyhodnoceno jako významné.</w:t>
      </w:r>
      <w:r w:rsidRPr="00B0672C">
        <w:rPr>
          <w:rFonts w:ascii="Arial" w:hAnsi="Arial"/>
          <w:sz w:val="22"/>
          <w:szCs w:val="20"/>
        </w:rPr>
        <w:t xml:space="preserve"> </w:t>
      </w:r>
      <w:r w:rsidRPr="00B0672C">
        <w:rPr>
          <w:rFonts w:ascii="Arial" w:hAnsi="Arial" w:cs="Arial"/>
          <w:sz w:val="22"/>
          <w:szCs w:val="22"/>
        </w:rPr>
        <w:t xml:space="preserve">Vyšší intenzita konkurence na trhu v ČR a její případné další zvýšení jsou platné napříč celým trhem, tedy nikoliv pouze pro NGA. Proto vyšší intenzita konkurence nemá vliv pouze na NGA a neodůvodňuje v tomto ohledu zvýšení rizikové prémie NGA. Vyšší riziko NGA tkví v tom, že NGA bude téměř vždy čelit konkurenci ostatních (již zavedených) technologií, zatímco ostatní technologie v některých lokalitách nemusí čelit konkurenci NGA. Proto je obecně NGA vystavena relativně vyšší (nikoliv však extrémní) intenzitě konkurence než jiné technologie. </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 xml:space="preserve">Dále CETIN namítá, že z odůvodnění jasně nevyplývá důvod pro zásadní snížení rizikové prémie pro NGA sítě z hodnoty 3,31 % v dosavadním období na navrhovanou výši 1,116 % nad běžný WACC. </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 xml:space="preserve">Úřad je toho názoru, že se rizika spojená se samotnou výstavbou NGA sítí (např. chybějící know-how z hlediska výstavby a provozu, adopce nových technologických standardů, know-how spojené s provozováním sítě apod.) postupně snižují vzhledem k rostoucímu množství investic do těchto sítí a spolu s mírou „standardizace“ této technologie na trhu. V dlouhodobém horizontu Úřad předpokládá, že spolu s rostoucím podílem této technologie na trhu, se riziková prémie bude dále snižovat. S všeobecným růstem přenosových rychlostí poskytovaných i na ostatních technologiích a s ním souvisejícím </w:t>
      </w:r>
      <w:r w:rsidRPr="00B0672C">
        <w:rPr>
          <w:rFonts w:ascii="Arial" w:hAnsi="Arial" w:cs="Arial"/>
          <w:sz w:val="22"/>
          <w:szCs w:val="22"/>
        </w:rPr>
        <w:lastRenderedPageBreak/>
        <w:t>postupným růstem poptávky spotřebitelů po službách obsahu, které jsou na vyšší přenosové rychlosti relativně závislejší (HD IPTV), klesá i riziková komponenta NGA sítí (FTTH/B), která byla právě s nejistou poptávkou po službách přes NGA sítě spjatá. Jinými slovy se tak operátoři investující do budování NGA sítí (FTTH/B) mohou spolehnout na vyšší poptávku spotřebitelů po kvalitnějším typu připojení, daném existencí a rostoucím povědomím o službách obsahu, které kvalitnější připojení ke svému fungování potřebují.</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V poslední připomínce společnost CETIN namítá, že hodnota 7,723 % uvedená v odůvodnění na řádku 71 je rozdílná oproti hodnotě uvedené ve vlastním návrhu opatření (7,25 %), řádek 22.</w:t>
      </w:r>
    </w:p>
    <w:p w:rsidR="00B0672C" w:rsidRPr="00B0672C" w:rsidRDefault="00B0672C" w:rsidP="00B0672C">
      <w:pPr>
        <w:spacing w:after="240"/>
        <w:ind w:firstLine="709"/>
        <w:jc w:val="both"/>
        <w:rPr>
          <w:rFonts w:ascii="Arial" w:hAnsi="Arial" w:cs="Arial"/>
          <w:color w:val="4472C4"/>
          <w:sz w:val="22"/>
          <w:szCs w:val="22"/>
        </w:rPr>
      </w:pPr>
      <w:r w:rsidRPr="00B0672C">
        <w:rPr>
          <w:rFonts w:ascii="Arial" w:hAnsi="Arial" w:cs="Arial"/>
          <w:sz w:val="22"/>
          <w:szCs w:val="22"/>
        </w:rPr>
        <w:t xml:space="preserve"> K této připomínce Úřad upřesňuje, že hodnota 7,723 % uvedená na řádku 71 vyjadřuje hodnotu vlastního kapitálu a tato hodnota je jednou ze vstupních proměnných vzorce WACC, na základě, kterého byla spočtená hodnota 7,25 %. Námitka společnosti CETIN tak není opodstatněná.</w:t>
      </w:r>
    </w:p>
    <w:p w:rsidR="00B0672C" w:rsidRP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V tabulce vypořádání připomínek zveřejněné na diskusním místě je uvedeno znění připomínek a způsob jejich vypořádání.</w:t>
      </w:r>
    </w:p>
    <w:p w:rsidR="00B0672C" w:rsidRPr="00B0672C" w:rsidRDefault="00B0672C" w:rsidP="00B0672C">
      <w:pPr>
        <w:spacing w:after="240"/>
        <w:jc w:val="center"/>
        <w:rPr>
          <w:rFonts w:ascii="Arial" w:hAnsi="Arial" w:cs="Arial"/>
          <w:sz w:val="22"/>
          <w:szCs w:val="22"/>
        </w:rPr>
      </w:pPr>
      <w:r w:rsidRPr="00B0672C">
        <w:rPr>
          <w:rFonts w:ascii="Arial" w:hAnsi="Arial" w:cs="Arial"/>
          <w:sz w:val="22"/>
          <w:szCs w:val="22"/>
        </w:rPr>
        <w:t>***</w:t>
      </w:r>
    </w:p>
    <w:p w:rsidR="00B0672C" w:rsidRPr="00B0672C" w:rsidRDefault="00B0672C" w:rsidP="00B0672C">
      <w:pPr>
        <w:autoSpaceDE w:val="0"/>
        <w:autoSpaceDN w:val="0"/>
        <w:adjustRightInd w:val="0"/>
        <w:spacing w:after="120"/>
        <w:ind w:firstLine="709"/>
        <w:jc w:val="both"/>
        <w:rPr>
          <w:rFonts w:ascii="Arial" w:hAnsi="Arial" w:cs="Arial"/>
          <w:color w:val="040002"/>
          <w:sz w:val="22"/>
          <w:szCs w:val="22"/>
        </w:rPr>
      </w:pPr>
      <w:r w:rsidRPr="00B0672C">
        <w:rPr>
          <w:rFonts w:ascii="Arial" w:hAnsi="Arial" w:cs="Arial"/>
          <w:color w:val="040002"/>
          <w:sz w:val="22"/>
          <w:szCs w:val="22"/>
        </w:rPr>
        <w:t>Úřad podle § 131 zákona konzultoval návrh opatření obecné povahy, které má dopad do cenové regulace s Evropskou komisí. Evropská komise dopisem ze dne 30. ledna 2019 sdělila, že k předloženému návrhu nemá žádné připomínky.</w:t>
      </w:r>
    </w:p>
    <w:p w:rsidR="00B0672C" w:rsidRPr="00B0672C" w:rsidRDefault="00B0672C" w:rsidP="00B0672C">
      <w:pPr>
        <w:spacing w:after="240"/>
        <w:jc w:val="center"/>
        <w:rPr>
          <w:rFonts w:ascii="Arial" w:hAnsi="Arial" w:cs="Arial"/>
          <w:sz w:val="22"/>
          <w:szCs w:val="22"/>
        </w:rPr>
      </w:pPr>
      <w:r w:rsidRPr="00B0672C">
        <w:rPr>
          <w:rFonts w:ascii="Arial" w:hAnsi="Arial" w:cs="Arial"/>
          <w:sz w:val="22"/>
          <w:szCs w:val="22"/>
        </w:rPr>
        <w:t>***</w:t>
      </w:r>
    </w:p>
    <w:p w:rsidR="00B0672C" w:rsidRDefault="00B0672C" w:rsidP="00B0672C">
      <w:pPr>
        <w:spacing w:after="240"/>
        <w:ind w:firstLine="709"/>
        <w:jc w:val="both"/>
        <w:rPr>
          <w:rFonts w:ascii="Arial" w:hAnsi="Arial" w:cs="Arial"/>
          <w:sz w:val="22"/>
          <w:szCs w:val="22"/>
        </w:rPr>
      </w:pPr>
      <w:r w:rsidRPr="00B0672C">
        <w:rPr>
          <w:rFonts w:ascii="Arial" w:hAnsi="Arial" w:cs="Arial"/>
          <w:sz w:val="22"/>
          <w:szCs w:val="22"/>
        </w:rPr>
        <w:t>Účinnost opatření je stanovena v souladu s § 124 odst. 2 zákona, a to od 15. března 2019.</w:t>
      </w:r>
    </w:p>
    <w:p w:rsidR="00AD1494" w:rsidRPr="00B0672C" w:rsidRDefault="00AD1494" w:rsidP="00AD1494">
      <w:pPr>
        <w:spacing w:after="240"/>
        <w:jc w:val="center"/>
        <w:rPr>
          <w:rFonts w:ascii="Arial" w:hAnsi="Arial" w:cs="Arial"/>
          <w:sz w:val="22"/>
          <w:szCs w:val="22"/>
        </w:rPr>
      </w:pPr>
      <w:r w:rsidRPr="00B0672C">
        <w:rPr>
          <w:rFonts w:ascii="Arial" w:hAnsi="Arial" w:cs="Arial"/>
          <w:sz w:val="22"/>
          <w:szCs w:val="22"/>
        </w:rPr>
        <w:t>***</w:t>
      </w:r>
    </w:p>
    <w:p w:rsidR="00AD1494" w:rsidRPr="00AA6417" w:rsidRDefault="00AD1494" w:rsidP="00AD1494">
      <w:pPr>
        <w:widowControl w:val="0"/>
        <w:autoSpaceDE w:val="0"/>
        <w:autoSpaceDN w:val="0"/>
        <w:adjustRightInd w:val="0"/>
        <w:spacing w:before="77"/>
        <w:ind w:right="-2"/>
        <w:rPr>
          <w:rFonts w:ascii="Arial" w:hAnsi="Arial" w:cs="Arial"/>
          <w:b/>
          <w:bCs/>
          <w:sz w:val="22"/>
          <w:szCs w:val="22"/>
        </w:rPr>
      </w:pPr>
      <w:r w:rsidRPr="00852FF0">
        <w:rPr>
          <w:rFonts w:ascii="Arial" w:hAnsi="Arial" w:cs="Arial"/>
          <w:b/>
          <w:bCs/>
          <w:sz w:val="22"/>
          <w:szCs w:val="22"/>
          <w:highlight w:val="yellow"/>
        </w:rPr>
        <w:t xml:space="preserve">Odůvodnění k opatření obecné povahy č. </w:t>
      </w:r>
      <w:r w:rsidRPr="00852FF0">
        <w:rPr>
          <w:rFonts w:ascii="Arial" w:hAnsi="Arial" w:cs="Arial"/>
          <w:b/>
          <w:bCs/>
          <w:color w:val="000000"/>
          <w:sz w:val="22"/>
          <w:szCs w:val="22"/>
          <w:highlight w:val="yellow"/>
        </w:rPr>
        <w:t>OOP/4/</w:t>
      </w:r>
      <w:r>
        <w:rPr>
          <w:rFonts w:ascii="Arial" w:hAnsi="Arial" w:cs="Arial"/>
          <w:b/>
          <w:bCs/>
          <w:color w:val="000000"/>
          <w:sz w:val="22"/>
          <w:szCs w:val="22"/>
          <w:highlight w:val="yellow"/>
        </w:rPr>
        <w:t>10</w:t>
      </w:r>
      <w:r w:rsidRPr="00852FF0">
        <w:rPr>
          <w:rFonts w:ascii="Arial" w:hAnsi="Arial" w:cs="Arial"/>
          <w:b/>
          <w:bCs/>
          <w:color w:val="000000"/>
          <w:sz w:val="22"/>
          <w:szCs w:val="22"/>
          <w:highlight w:val="yellow"/>
        </w:rPr>
        <w:t>.20</w:t>
      </w:r>
      <w:r>
        <w:rPr>
          <w:rFonts w:ascii="Arial" w:hAnsi="Arial" w:cs="Arial"/>
          <w:b/>
          <w:bCs/>
          <w:color w:val="000000"/>
          <w:sz w:val="22"/>
          <w:szCs w:val="22"/>
          <w:highlight w:val="yellow"/>
        </w:rPr>
        <w:t>21</w:t>
      </w:r>
      <w:r w:rsidRPr="00852FF0">
        <w:rPr>
          <w:rFonts w:ascii="Arial" w:hAnsi="Arial" w:cs="Arial"/>
          <w:b/>
          <w:bCs/>
          <w:color w:val="000000"/>
          <w:sz w:val="22"/>
          <w:szCs w:val="22"/>
          <w:highlight w:val="yellow"/>
        </w:rPr>
        <w:t>-</w:t>
      </w:r>
      <w:r>
        <w:rPr>
          <w:rFonts w:ascii="Arial" w:hAnsi="Arial" w:cs="Arial"/>
          <w:b/>
          <w:bCs/>
          <w:color w:val="000000"/>
          <w:sz w:val="22"/>
          <w:szCs w:val="22"/>
          <w:highlight w:val="yellow"/>
        </w:rPr>
        <w:t>10</w:t>
      </w:r>
      <w:r w:rsidRPr="00852FF0">
        <w:rPr>
          <w:rFonts w:ascii="Arial" w:hAnsi="Arial" w:cs="Arial"/>
          <w:b/>
          <w:bCs/>
          <w:color w:val="000000"/>
          <w:sz w:val="22"/>
          <w:szCs w:val="22"/>
          <w:highlight w:val="yellow"/>
        </w:rPr>
        <w:t xml:space="preserve"> ze dne 26. </w:t>
      </w:r>
      <w:r>
        <w:rPr>
          <w:rFonts w:ascii="Arial" w:hAnsi="Arial" w:cs="Arial"/>
          <w:b/>
          <w:bCs/>
          <w:color w:val="000000"/>
          <w:sz w:val="22"/>
          <w:szCs w:val="22"/>
          <w:highlight w:val="yellow"/>
        </w:rPr>
        <w:t>října</w:t>
      </w:r>
      <w:r w:rsidRPr="00852FF0">
        <w:rPr>
          <w:rFonts w:ascii="Arial" w:hAnsi="Arial" w:cs="Arial"/>
          <w:b/>
          <w:bCs/>
          <w:color w:val="000000"/>
          <w:sz w:val="22"/>
          <w:szCs w:val="22"/>
          <w:highlight w:val="yellow"/>
        </w:rPr>
        <w:t xml:space="preserve"> 2</w:t>
      </w:r>
      <w:r w:rsidRPr="00AD1494">
        <w:rPr>
          <w:rFonts w:ascii="Arial" w:hAnsi="Arial" w:cs="Arial"/>
          <w:b/>
          <w:bCs/>
          <w:color w:val="000000"/>
          <w:sz w:val="22"/>
          <w:szCs w:val="22"/>
          <w:highlight w:val="yellow"/>
        </w:rPr>
        <w:t>021</w:t>
      </w:r>
    </w:p>
    <w:p w:rsidR="001F6E82" w:rsidRDefault="001F6E82" w:rsidP="00574F06">
      <w:pPr>
        <w:autoSpaceDE w:val="0"/>
        <w:autoSpaceDN w:val="0"/>
        <w:adjustRightInd w:val="0"/>
        <w:spacing w:after="240"/>
        <w:ind w:firstLine="708"/>
        <w:rPr>
          <w:rFonts w:ascii="ArialMT" w:hAnsi="ArialMT" w:cs="ArialMT"/>
          <w:szCs w:val="22"/>
        </w:rPr>
      </w:pPr>
    </w:p>
    <w:p w:rsidR="00574F06" w:rsidRPr="001F6E82" w:rsidRDefault="00574F06" w:rsidP="001F6E82">
      <w:pPr>
        <w:autoSpaceDE w:val="0"/>
        <w:autoSpaceDN w:val="0"/>
        <w:adjustRightInd w:val="0"/>
        <w:spacing w:after="120"/>
        <w:ind w:firstLine="709"/>
        <w:jc w:val="both"/>
        <w:rPr>
          <w:rFonts w:ascii="Arial" w:hAnsi="Arial" w:cs="Arial"/>
          <w:color w:val="040002"/>
          <w:sz w:val="22"/>
          <w:szCs w:val="22"/>
        </w:rPr>
      </w:pPr>
      <w:r w:rsidRPr="001F6E82">
        <w:rPr>
          <w:rFonts w:ascii="Arial" w:hAnsi="Arial" w:cs="Arial"/>
          <w:color w:val="040002"/>
          <w:sz w:val="22"/>
          <w:szCs w:val="22"/>
        </w:rPr>
        <w:t xml:space="preserve">V opatření obecné povahy č. OOP/4/09.2014-6, kterým se stanoví metodika účelového členění nákladů a výnosů a jejich přiřazování a určuje se struktura vykazovaných informací, vydaném dne 3. září 2014, stanovil Český telekomunikační úřad hodnoty WACC, využívané pro stanovení nákladů vloženého kapitálu při vedení oddělené evidence nákladů a výnosů, vyúčtování čistých nákladů na poskytování univerzální služby a pro cenovou regulaci.  </w:t>
      </w:r>
    </w:p>
    <w:p w:rsidR="00574F06" w:rsidRPr="001F6E82" w:rsidRDefault="00574F06" w:rsidP="001F6E82">
      <w:pPr>
        <w:autoSpaceDE w:val="0"/>
        <w:autoSpaceDN w:val="0"/>
        <w:adjustRightInd w:val="0"/>
        <w:spacing w:after="120"/>
        <w:ind w:firstLine="709"/>
        <w:jc w:val="both"/>
        <w:rPr>
          <w:rFonts w:ascii="Arial" w:hAnsi="Arial" w:cs="Arial"/>
          <w:color w:val="040002"/>
          <w:sz w:val="22"/>
          <w:szCs w:val="22"/>
        </w:rPr>
      </w:pPr>
      <w:r w:rsidRPr="001F6E82">
        <w:rPr>
          <w:rFonts w:ascii="Arial" w:hAnsi="Arial" w:cs="Arial"/>
          <w:color w:val="040002"/>
          <w:sz w:val="22"/>
          <w:szCs w:val="22"/>
        </w:rPr>
        <w:t xml:space="preserve">Aktualizaci Úřad provedl v roce 2015 (opatřením obecné povahy č. OOP/4/12.2015-7 ze dne 8. prosince 2015) a v roce 2019 (opatřením obecné povahy č. OOP/4/02.2019-2 ze dne 26. února 2019). </w:t>
      </w:r>
    </w:p>
    <w:p w:rsidR="00574F06" w:rsidRPr="001F6E82" w:rsidRDefault="00574F06" w:rsidP="001F6E82">
      <w:pPr>
        <w:autoSpaceDE w:val="0"/>
        <w:autoSpaceDN w:val="0"/>
        <w:adjustRightInd w:val="0"/>
        <w:spacing w:after="120"/>
        <w:ind w:firstLine="709"/>
        <w:jc w:val="both"/>
        <w:rPr>
          <w:rFonts w:ascii="Arial" w:hAnsi="Arial" w:cs="Arial"/>
          <w:color w:val="040002"/>
          <w:sz w:val="22"/>
          <w:szCs w:val="22"/>
        </w:rPr>
      </w:pPr>
      <w:r w:rsidRPr="001F6E82">
        <w:rPr>
          <w:rFonts w:ascii="Arial" w:hAnsi="Arial" w:cs="Arial"/>
          <w:color w:val="040002"/>
          <w:sz w:val="22"/>
          <w:szCs w:val="22"/>
        </w:rPr>
        <w:t>Evropská komise publikovala dne 6. listopadu 2019 v Úředním věstníku Sdělení Komise o výpočtu nákladů kapitálu u starší infrastruktury v souvislosti s přezkumem vnitrostátních oznámení v odvětví elektronických komunikací EU prováděných Komisí</w:t>
      </w:r>
      <w:r w:rsidRPr="001F6E82">
        <w:rPr>
          <w:rFonts w:ascii="Arial" w:hAnsi="Arial" w:cs="Arial"/>
          <w:color w:val="040002"/>
          <w:sz w:val="22"/>
        </w:rPr>
        <w:footnoteReference w:id="13"/>
      </w:r>
      <w:r w:rsidRPr="001F6E82">
        <w:rPr>
          <w:rFonts w:ascii="Arial" w:hAnsi="Arial" w:cs="Arial"/>
          <w:color w:val="040002"/>
          <w:sz w:val="22"/>
          <w:szCs w:val="22"/>
        </w:rPr>
        <w:t xml:space="preserve"> (dále jen „Sdělení“).   </w:t>
      </w:r>
    </w:p>
    <w:p w:rsidR="00574F06" w:rsidRPr="001F6E82" w:rsidRDefault="00574F06" w:rsidP="001F6E82">
      <w:pPr>
        <w:autoSpaceDE w:val="0"/>
        <w:autoSpaceDN w:val="0"/>
        <w:adjustRightInd w:val="0"/>
        <w:spacing w:after="120"/>
        <w:ind w:firstLine="709"/>
        <w:jc w:val="both"/>
        <w:rPr>
          <w:rFonts w:ascii="Arial" w:hAnsi="Arial" w:cs="Arial"/>
          <w:color w:val="040002"/>
          <w:sz w:val="22"/>
          <w:szCs w:val="22"/>
        </w:rPr>
      </w:pPr>
      <w:r w:rsidRPr="001F6E82">
        <w:rPr>
          <w:rFonts w:ascii="Arial" w:hAnsi="Arial" w:cs="Arial"/>
          <w:color w:val="040002"/>
          <w:sz w:val="22"/>
          <w:szCs w:val="22"/>
        </w:rPr>
        <w:t xml:space="preserve">Toto Sdělení stanoví metodiku pro výpočet průměrných vážených nákladů kapitálu (WACC), kterou bude Komise používat od 1. července 2020 při přezkumu oznámení v rámci </w:t>
      </w:r>
      <w:r w:rsidRPr="001F6E82">
        <w:rPr>
          <w:rFonts w:ascii="Arial" w:hAnsi="Arial" w:cs="Arial"/>
          <w:color w:val="040002"/>
          <w:sz w:val="22"/>
          <w:szCs w:val="22"/>
        </w:rPr>
        <w:lastRenderedPageBreak/>
        <w:t>přezkumu dle článku 32 nového evropského kodexu pro elektronické komunikace</w:t>
      </w:r>
      <w:r w:rsidRPr="001F6E82">
        <w:rPr>
          <w:rFonts w:ascii="Arial" w:hAnsi="Arial"/>
          <w:color w:val="040002"/>
          <w:sz w:val="22"/>
        </w:rPr>
        <w:footnoteReference w:id="14"/>
      </w:r>
      <w:r w:rsidRPr="001F6E82">
        <w:rPr>
          <w:rFonts w:ascii="Arial" w:hAnsi="Arial" w:cs="Arial"/>
          <w:color w:val="040002"/>
          <w:sz w:val="22"/>
          <w:szCs w:val="22"/>
        </w:rPr>
        <w:t xml:space="preserve">. Komise zaznamenala značné rozdíly při odhadování WACC u služeb poskytovaných prostřednictvím sítí elektronických komunikací a má za to, že tyto metodologické nesrovnalosti mohou narušovat investiční pobídky na jednotném digitálním trhu a poškozovat rozvoj vnitřního trhu tím, že brání vytváření harmonizovaných podmínek pro investice do sítí elektronických komunikací. Účelem tohoto Sdělení je zvýšit konzistentnost výpočtu WACC v celé EU. Oblast působnosti tohoto sdělení je omezena na výpočet WACC pro starší infrastrukturu. Starší infrastrukturou se pro účely Sdělení rozumí infrastruktura operátora s významnou tržní silou, na kterou se nevztahuje prémie za přístupové sítě nové generace (NGA). </w:t>
      </w:r>
    </w:p>
    <w:p w:rsidR="00574F06" w:rsidRPr="001F6E82" w:rsidRDefault="00574F06" w:rsidP="001F6E82">
      <w:pPr>
        <w:autoSpaceDE w:val="0"/>
        <w:autoSpaceDN w:val="0"/>
        <w:adjustRightInd w:val="0"/>
        <w:spacing w:after="120"/>
        <w:ind w:firstLine="709"/>
        <w:jc w:val="both"/>
        <w:rPr>
          <w:rFonts w:ascii="Arial" w:hAnsi="Arial" w:cs="Arial"/>
          <w:color w:val="040002"/>
          <w:sz w:val="22"/>
          <w:szCs w:val="22"/>
        </w:rPr>
      </w:pPr>
      <w:r w:rsidRPr="001F6E82">
        <w:rPr>
          <w:rFonts w:ascii="Arial" w:hAnsi="Arial" w:cs="Arial"/>
          <w:color w:val="040002"/>
          <w:sz w:val="22"/>
          <w:szCs w:val="22"/>
        </w:rPr>
        <w:t xml:space="preserve">V souladu s bodem 64 Sdělení publikuje od roku 2020 Sdružení BEREC každoročně zprávu pod názvem „BEREC Report on WACC </w:t>
      </w:r>
      <w:proofErr w:type="spellStart"/>
      <w:r w:rsidRPr="001F6E82">
        <w:rPr>
          <w:rFonts w:ascii="Arial" w:hAnsi="Arial" w:cs="Arial"/>
          <w:color w:val="040002"/>
          <w:sz w:val="22"/>
          <w:szCs w:val="22"/>
        </w:rPr>
        <w:t>parameter</w:t>
      </w:r>
      <w:proofErr w:type="spellEnd"/>
      <w:r w:rsidRPr="001F6E82">
        <w:rPr>
          <w:rFonts w:ascii="Arial" w:hAnsi="Arial" w:cs="Arial"/>
          <w:color w:val="040002"/>
          <w:sz w:val="22"/>
          <w:szCs w:val="22"/>
        </w:rPr>
        <w:t xml:space="preserve"> </w:t>
      </w:r>
      <w:proofErr w:type="spellStart"/>
      <w:r w:rsidRPr="001F6E82">
        <w:rPr>
          <w:rFonts w:ascii="Arial" w:hAnsi="Arial" w:cs="Arial"/>
          <w:color w:val="040002"/>
          <w:sz w:val="22"/>
          <w:szCs w:val="22"/>
        </w:rPr>
        <w:t>calculations</w:t>
      </w:r>
      <w:proofErr w:type="spellEnd"/>
      <w:r w:rsidRPr="001F6E82">
        <w:rPr>
          <w:rFonts w:ascii="Arial" w:hAnsi="Arial" w:cs="Arial"/>
          <w:color w:val="040002"/>
          <w:sz w:val="22"/>
          <w:szCs w:val="22"/>
        </w:rPr>
        <w:t xml:space="preserve"> </w:t>
      </w:r>
      <w:proofErr w:type="spellStart"/>
      <w:r w:rsidRPr="001F6E82">
        <w:rPr>
          <w:rFonts w:ascii="Arial" w:hAnsi="Arial" w:cs="Arial"/>
          <w:color w:val="040002"/>
          <w:sz w:val="22"/>
          <w:szCs w:val="22"/>
        </w:rPr>
        <w:t>according</w:t>
      </w:r>
      <w:proofErr w:type="spellEnd"/>
      <w:r w:rsidRPr="001F6E82">
        <w:rPr>
          <w:rFonts w:ascii="Arial" w:hAnsi="Arial" w:cs="Arial"/>
          <w:color w:val="040002"/>
          <w:sz w:val="22"/>
          <w:szCs w:val="22"/>
        </w:rPr>
        <w:t xml:space="preserve"> to </w:t>
      </w:r>
      <w:proofErr w:type="spellStart"/>
      <w:r w:rsidRPr="001F6E82">
        <w:rPr>
          <w:rFonts w:ascii="Arial" w:hAnsi="Arial" w:cs="Arial"/>
          <w:color w:val="040002"/>
          <w:sz w:val="22"/>
          <w:szCs w:val="22"/>
        </w:rPr>
        <w:t>the</w:t>
      </w:r>
      <w:proofErr w:type="spellEnd"/>
      <w:r w:rsidRPr="001F6E82">
        <w:rPr>
          <w:rFonts w:ascii="Arial" w:hAnsi="Arial" w:cs="Arial"/>
          <w:color w:val="040002"/>
          <w:sz w:val="22"/>
          <w:szCs w:val="22"/>
        </w:rPr>
        <w:t xml:space="preserve"> </w:t>
      </w:r>
      <w:proofErr w:type="spellStart"/>
      <w:r w:rsidRPr="001F6E82">
        <w:rPr>
          <w:rFonts w:ascii="Arial" w:hAnsi="Arial" w:cs="Arial"/>
          <w:color w:val="040002"/>
          <w:sz w:val="22"/>
          <w:szCs w:val="22"/>
        </w:rPr>
        <w:t>European</w:t>
      </w:r>
      <w:proofErr w:type="spellEnd"/>
      <w:r w:rsidRPr="001F6E82">
        <w:rPr>
          <w:rFonts w:ascii="Arial" w:hAnsi="Arial" w:cs="Arial"/>
          <w:color w:val="040002"/>
          <w:sz w:val="22"/>
          <w:szCs w:val="22"/>
        </w:rPr>
        <w:t xml:space="preserve"> </w:t>
      </w:r>
      <w:proofErr w:type="spellStart"/>
      <w:r w:rsidRPr="001F6E82">
        <w:rPr>
          <w:rFonts w:ascii="Arial" w:hAnsi="Arial" w:cs="Arial"/>
          <w:color w:val="040002"/>
          <w:sz w:val="22"/>
          <w:szCs w:val="22"/>
        </w:rPr>
        <w:t>Commission´s</w:t>
      </w:r>
      <w:proofErr w:type="spellEnd"/>
      <w:r w:rsidRPr="001F6E82">
        <w:rPr>
          <w:rFonts w:ascii="Arial" w:hAnsi="Arial" w:cs="Arial"/>
          <w:color w:val="040002"/>
          <w:sz w:val="22"/>
          <w:szCs w:val="22"/>
        </w:rPr>
        <w:t xml:space="preserve"> WACC </w:t>
      </w:r>
      <w:proofErr w:type="spellStart"/>
      <w:r w:rsidRPr="001F6E82">
        <w:rPr>
          <w:rFonts w:ascii="Arial" w:hAnsi="Arial" w:cs="Arial"/>
          <w:color w:val="040002"/>
          <w:sz w:val="22"/>
          <w:szCs w:val="22"/>
        </w:rPr>
        <w:t>Notice</w:t>
      </w:r>
      <w:proofErr w:type="spellEnd"/>
      <w:r w:rsidRPr="001F6E82">
        <w:rPr>
          <w:rFonts w:ascii="Arial" w:hAnsi="Arial" w:cs="Arial"/>
          <w:color w:val="040002"/>
          <w:sz w:val="22"/>
          <w:szCs w:val="22"/>
        </w:rPr>
        <w:t xml:space="preserve"> </w:t>
      </w:r>
      <w:proofErr w:type="spellStart"/>
      <w:r w:rsidRPr="001F6E82">
        <w:rPr>
          <w:rFonts w:ascii="Arial" w:hAnsi="Arial" w:cs="Arial"/>
          <w:color w:val="040002"/>
          <w:sz w:val="22"/>
          <w:szCs w:val="22"/>
        </w:rPr>
        <w:t>of</w:t>
      </w:r>
      <w:proofErr w:type="spellEnd"/>
      <w:r w:rsidRPr="001F6E82">
        <w:rPr>
          <w:rFonts w:ascii="Arial" w:hAnsi="Arial" w:cs="Arial"/>
          <w:color w:val="040002"/>
          <w:sz w:val="22"/>
          <w:szCs w:val="22"/>
        </w:rPr>
        <w:t xml:space="preserve"> 6th </w:t>
      </w:r>
      <w:proofErr w:type="spellStart"/>
      <w:r w:rsidRPr="001F6E82">
        <w:rPr>
          <w:rFonts w:ascii="Arial" w:hAnsi="Arial" w:cs="Arial"/>
          <w:color w:val="040002"/>
          <w:sz w:val="22"/>
          <w:szCs w:val="22"/>
        </w:rPr>
        <w:t>November</w:t>
      </w:r>
      <w:proofErr w:type="spellEnd"/>
      <w:r w:rsidRPr="001F6E82">
        <w:rPr>
          <w:rFonts w:ascii="Arial" w:hAnsi="Arial" w:cs="Arial"/>
          <w:color w:val="040002"/>
          <w:sz w:val="22"/>
          <w:szCs w:val="22"/>
        </w:rPr>
        <w:t xml:space="preserve"> 2019“, ve které stanovuje vstupní hodnoty jednotlivých dílčích vstupních proměnných ukazatele WACC pro každou členskou zemi, které jsou odhadnuté v souladu s metodikou danou Sdělením (dále jen „Zpráva“). Úřad při stanovení hodnoty WACC v odstavci 2 vycházel ze Zprávy zveřejněné 15. června 2021</w:t>
      </w:r>
      <w:r w:rsidRPr="001F6E82">
        <w:rPr>
          <w:rFonts w:ascii="Arial" w:hAnsi="Arial"/>
          <w:color w:val="040002"/>
          <w:sz w:val="22"/>
        </w:rPr>
        <w:footnoteReference w:id="15"/>
      </w:r>
      <w:r w:rsidRPr="001F6E82">
        <w:rPr>
          <w:rFonts w:ascii="Arial" w:hAnsi="Arial" w:cs="Arial"/>
          <w:color w:val="040002"/>
          <w:sz w:val="22"/>
          <w:szCs w:val="22"/>
        </w:rPr>
        <w:t xml:space="preserve">. V hodnotě WACC v odstavci 3 je zohledněna prémie za přístupové sítě nově generace (NGA) a její stanovení je popsáno dále. </w:t>
      </w:r>
    </w:p>
    <w:p w:rsidR="00574F06" w:rsidRPr="001F6E82" w:rsidRDefault="00574F06" w:rsidP="001F6E82">
      <w:pPr>
        <w:autoSpaceDE w:val="0"/>
        <w:autoSpaceDN w:val="0"/>
        <w:adjustRightInd w:val="0"/>
        <w:spacing w:after="120"/>
        <w:ind w:firstLine="709"/>
        <w:jc w:val="both"/>
        <w:rPr>
          <w:rFonts w:ascii="Arial" w:hAnsi="Arial" w:cs="Arial"/>
          <w:color w:val="040002"/>
          <w:sz w:val="22"/>
          <w:szCs w:val="22"/>
        </w:rPr>
      </w:pPr>
      <w:r w:rsidRPr="001F6E82">
        <w:rPr>
          <w:rFonts w:ascii="Arial" w:hAnsi="Arial" w:cs="Arial"/>
          <w:color w:val="040002"/>
          <w:sz w:val="22"/>
          <w:szCs w:val="22"/>
        </w:rPr>
        <w:t>Pro výpočet ukazatele WACC se používá následující vzorec:</w:t>
      </w:r>
    </w:p>
    <w:p w:rsidR="00574F06" w:rsidRDefault="00574F06" w:rsidP="00574F06">
      <w:pPr>
        <w:spacing w:after="240"/>
        <w:ind w:firstLine="709"/>
        <w:jc w:val="center"/>
        <w:rPr>
          <w:rFonts w:cs="Arial"/>
          <w:szCs w:val="22"/>
        </w:rPr>
      </w:pPr>
      <m:oMath>
        <m:r>
          <w:rPr>
            <w:rFonts w:ascii="Cambria Math" w:hAnsi="Cambria Math"/>
            <w:noProof/>
            <w:vertAlign w:val="subscript"/>
          </w:rPr>
          <m:t>WAC</m:t>
        </m:r>
        <m:sSub>
          <m:sSubPr>
            <m:ctrlPr>
              <w:rPr>
                <w:rFonts w:ascii="Cambria Math" w:hAnsi="Cambria Math"/>
                <w:noProof/>
                <w:vertAlign w:val="subscript"/>
              </w:rPr>
            </m:ctrlPr>
          </m:sSubPr>
          <m:e>
            <m:r>
              <w:rPr>
                <w:rFonts w:ascii="Cambria Math" w:hAnsi="Cambria Math"/>
                <w:noProof/>
                <w:vertAlign w:val="subscript"/>
              </w:rPr>
              <m:t>C</m:t>
            </m:r>
          </m:e>
          <m:sub>
            <m:r>
              <w:rPr>
                <w:rFonts w:ascii="Cambria Math" w:hAnsi="Cambria Math"/>
                <w:noProof/>
                <w:vertAlign w:val="subscript"/>
              </w:rPr>
              <m:t>AT</m:t>
            </m:r>
          </m:sub>
        </m:sSub>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r</m:t>
            </m:r>
          </m:e>
          <m:sub>
            <m:r>
              <w:rPr>
                <w:rFonts w:ascii="Cambria Math" w:hAnsi="Cambria Math"/>
                <w:noProof/>
                <w:vertAlign w:val="subscript"/>
              </w:rPr>
              <m:t>e</m:t>
            </m:r>
          </m:sub>
        </m:sSub>
        <m:r>
          <m:rPr>
            <m:sty m:val="p"/>
          </m:rPr>
          <w:rPr>
            <w:rFonts w:ascii="Cambria Math" w:hAnsi="Cambria Math"/>
            <w:noProof/>
            <w:vertAlign w:val="subscript"/>
          </w:rPr>
          <m:t>*</m:t>
        </m:r>
        <w:bookmarkStart w:id="6" w:name="_Hlk75531775"/>
        <m:f>
          <m:fPr>
            <m:ctrlPr>
              <w:rPr>
                <w:rFonts w:ascii="Cambria Math" w:hAnsi="Cambria Math"/>
                <w:noProof/>
                <w:vertAlign w:val="subscript"/>
              </w:rPr>
            </m:ctrlPr>
          </m:fPr>
          <m:num>
            <m:r>
              <w:rPr>
                <w:rFonts w:ascii="Cambria Math" w:hAnsi="Cambria Math"/>
                <w:noProof/>
                <w:vertAlign w:val="subscript"/>
              </w:rPr>
              <m:t>E</m:t>
            </m:r>
          </m:num>
          <m:den>
            <m:r>
              <w:rPr>
                <w:rFonts w:ascii="Cambria Math" w:hAnsi="Cambria Math"/>
                <w:noProof/>
                <w:vertAlign w:val="subscript"/>
              </w:rPr>
              <m:t>D</m:t>
            </m:r>
            <m:r>
              <m:rPr>
                <m:sty m:val="p"/>
              </m:rPr>
              <w:rPr>
                <w:rFonts w:ascii="Cambria Math" w:hAnsi="Cambria Math"/>
                <w:noProof/>
                <w:vertAlign w:val="subscript"/>
              </w:rPr>
              <m:t>+</m:t>
            </m:r>
            <m:r>
              <w:rPr>
                <w:rFonts w:ascii="Cambria Math" w:hAnsi="Cambria Math"/>
                <w:noProof/>
                <w:vertAlign w:val="subscript"/>
              </w:rPr>
              <m:t>E</m:t>
            </m:r>
          </m:den>
        </m:f>
        <w:bookmarkEnd w:id="6"/>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r</m:t>
            </m:r>
          </m:e>
          <m:sub>
            <m:r>
              <w:rPr>
                <w:rFonts w:ascii="Cambria Math" w:hAnsi="Cambria Math"/>
                <w:noProof/>
                <w:vertAlign w:val="subscript"/>
              </w:rPr>
              <m:t>d</m:t>
            </m:r>
          </m:sub>
        </m:sSub>
        <m:r>
          <m:rPr>
            <m:sty m:val="p"/>
          </m:rPr>
          <w:rPr>
            <w:rFonts w:ascii="Cambria Math" w:hAnsi="Cambria Math"/>
            <w:noProof/>
            <w:vertAlign w:val="subscript"/>
          </w:rPr>
          <m:t>*(1-</m:t>
        </m:r>
        <m:r>
          <w:rPr>
            <w:rFonts w:ascii="Cambria Math" w:hAnsi="Cambria Math"/>
            <w:noProof/>
            <w:vertAlign w:val="subscript"/>
          </w:rPr>
          <m:t>t</m:t>
        </m:r>
        <m:r>
          <m:rPr>
            <m:sty m:val="p"/>
          </m:rPr>
          <w:rPr>
            <w:rFonts w:ascii="Cambria Math" w:hAnsi="Cambria Math"/>
            <w:noProof/>
            <w:vertAlign w:val="subscript"/>
          </w:rPr>
          <m:t>)*</m:t>
        </m:r>
        <m:f>
          <m:fPr>
            <m:ctrlPr>
              <w:rPr>
                <w:rFonts w:ascii="Cambria Math" w:hAnsi="Cambria Math"/>
                <w:noProof/>
                <w:vertAlign w:val="subscript"/>
              </w:rPr>
            </m:ctrlPr>
          </m:fPr>
          <m:num>
            <m:r>
              <w:rPr>
                <w:rFonts w:ascii="Cambria Math" w:hAnsi="Cambria Math"/>
                <w:noProof/>
                <w:vertAlign w:val="subscript"/>
              </w:rPr>
              <m:t>D</m:t>
            </m:r>
          </m:num>
          <m:den>
            <m:r>
              <w:rPr>
                <w:rFonts w:ascii="Cambria Math" w:hAnsi="Cambria Math"/>
                <w:noProof/>
                <w:vertAlign w:val="subscript"/>
              </w:rPr>
              <m:t>D</m:t>
            </m:r>
            <m:r>
              <m:rPr>
                <m:sty m:val="p"/>
              </m:rPr>
              <w:rPr>
                <w:rFonts w:ascii="Cambria Math" w:hAnsi="Cambria Math"/>
                <w:noProof/>
                <w:vertAlign w:val="subscript"/>
              </w:rPr>
              <m:t>+</m:t>
            </m:r>
            <m:r>
              <w:rPr>
                <w:rFonts w:ascii="Cambria Math" w:hAnsi="Cambria Math"/>
                <w:noProof/>
                <w:vertAlign w:val="subscript"/>
              </w:rPr>
              <m:t>E</m:t>
            </m:r>
          </m:den>
        </m:f>
      </m:oMath>
      <w:r>
        <w:rPr>
          <w:rFonts w:cs="Arial"/>
          <w:szCs w:val="22"/>
        </w:rPr>
        <w:t>,</w:t>
      </w:r>
    </w:p>
    <w:p w:rsidR="00574F06" w:rsidRPr="001F6E82" w:rsidRDefault="00574F06" w:rsidP="00574F06">
      <w:pPr>
        <w:spacing w:before="240"/>
        <w:rPr>
          <w:rFonts w:ascii="Arial" w:hAnsi="Arial" w:cs="Arial"/>
          <w:noProof/>
          <w:sz w:val="22"/>
          <w:szCs w:val="22"/>
          <w:lang w:eastAsia="zh-TW"/>
        </w:rPr>
      </w:pPr>
      <w:r w:rsidRPr="001F6E82">
        <w:rPr>
          <w:rFonts w:ascii="Arial" w:hAnsi="Arial" w:cs="Arial"/>
          <w:noProof/>
          <w:sz w:val="22"/>
          <w:szCs w:val="22"/>
          <w:lang w:eastAsia="zh-TW"/>
        </w:rPr>
        <w:t>kde:</w:t>
      </w:r>
    </w:p>
    <w:p w:rsidR="00574F06" w:rsidRPr="001F6E82" w:rsidRDefault="00574F06" w:rsidP="00574F06">
      <w:pPr>
        <w:spacing w:before="60"/>
        <w:rPr>
          <w:rFonts w:ascii="Arial" w:hAnsi="Arial" w:cs="Arial"/>
          <w:noProof/>
          <w:sz w:val="22"/>
          <w:szCs w:val="22"/>
          <w:lang w:eastAsia="zh-TW"/>
        </w:rPr>
      </w:pPr>
      <w:r w:rsidRPr="001F6E82">
        <w:rPr>
          <w:rFonts w:ascii="Arial" w:hAnsi="Arial" w:cs="Arial"/>
          <w:noProof/>
          <w:sz w:val="22"/>
          <w:szCs w:val="22"/>
          <w:lang w:eastAsia="zh-TW"/>
        </w:rPr>
        <w:t>WACC</w:t>
      </w:r>
      <w:r w:rsidRPr="001F6E82">
        <w:rPr>
          <w:rFonts w:ascii="Arial" w:hAnsi="Arial" w:cs="Arial"/>
          <w:noProof/>
          <w:sz w:val="22"/>
          <w:szCs w:val="22"/>
          <w:vertAlign w:val="subscript"/>
          <w:lang w:eastAsia="zh-TW"/>
        </w:rPr>
        <w:t>AT</w:t>
      </w:r>
      <w:r w:rsidRPr="001F6E82">
        <w:rPr>
          <w:rFonts w:ascii="Arial" w:hAnsi="Arial" w:cs="Arial"/>
          <w:noProof/>
          <w:sz w:val="22"/>
          <w:szCs w:val="22"/>
          <w:lang w:eastAsia="zh-TW"/>
        </w:rPr>
        <w:tab/>
        <w:t>jsou průměrné vážené náklady kapitálu po zdanění,</w:t>
      </w:r>
    </w:p>
    <w:p w:rsidR="00574F06" w:rsidRPr="001F6E82" w:rsidRDefault="00574F06" w:rsidP="00574F06">
      <w:pPr>
        <w:spacing w:before="60"/>
        <w:rPr>
          <w:rFonts w:ascii="Arial" w:hAnsi="Arial" w:cs="Arial"/>
          <w:noProof/>
          <w:sz w:val="22"/>
          <w:szCs w:val="22"/>
          <w:lang w:eastAsia="zh-TW"/>
        </w:rPr>
      </w:pPr>
      <w:r w:rsidRPr="001F6E82">
        <w:rPr>
          <w:rFonts w:ascii="Arial" w:hAnsi="Arial" w:cs="Arial"/>
          <w:noProof/>
          <w:sz w:val="22"/>
          <w:szCs w:val="22"/>
          <w:lang w:eastAsia="zh-TW"/>
        </w:rPr>
        <w:t>r</w:t>
      </w:r>
      <w:r w:rsidRPr="001F6E82">
        <w:rPr>
          <w:rFonts w:ascii="Arial" w:hAnsi="Arial" w:cs="Arial"/>
          <w:noProof/>
          <w:sz w:val="22"/>
          <w:szCs w:val="22"/>
          <w:vertAlign w:val="subscript"/>
          <w:lang w:eastAsia="zh-TW"/>
        </w:rPr>
        <w:t>e</w:t>
      </w:r>
      <w:r w:rsidRPr="001F6E82">
        <w:rPr>
          <w:rFonts w:ascii="Arial" w:hAnsi="Arial" w:cs="Arial"/>
          <w:noProof/>
          <w:sz w:val="22"/>
          <w:szCs w:val="22"/>
          <w:lang w:eastAsia="zh-TW"/>
        </w:rPr>
        <w:tab/>
      </w:r>
      <w:r w:rsidRPr="001F6E82">
        <w:rPr>
          <w:rFonts w:ascii="Arial" w:hAnsi="Arial" w:cs="Arial"/>
          <w:noProof/>
          <w:sz w:val="22"/>
          <w:szCs w:val="22"/>
          <w:lang w:eastAsia="zh-TW"/>
        </w:rPr>
        <w:tab/>
        <w:t>jsou náklady vlastního kapitálu,</w:t>
      </w:r>
    </w:p>
    <w:p w:rsidR="00574F06" w:rsidRPr="001F6E82" w:rsidRDefault="00574F06" w:rsidP="00574F06">
      <w:pPr>
        <w:spacing w:before="60"/>
        <w:rPr>
          <w:rFonts w:ascii="Arial" w:hAnsi="Arial" w:cs="Arial"/>
          <w:noProof/>
          <w:sz w:val="22"/>
          <w:szCs w:val="22"/>
          <w:lang w:eastAsia="zh-TW"/>
        </w:rPr>
      </w:pPr>
      <w:r w:rsidRPr="001F6E82">
        <w:rPr>
          <w:rFonts w:ascii="Arial" w:hAnsi="Arial" w:cs="Arial"/>
          <w:noProof/>
          <w:sz w:val="22"/>
          <w:szCs w:val="22"/>
          <w:lang w:eastAsia="zh-TW"/>
        </w:rPr>
        <w:t>r</w:t>
      </w:r>
      <w:r w:rsidRPr="001F6E82">
        <w:rPr>
          <w:rFonts w:ascii="Arial" w:hAnsi="Arial" w:cs="Arial"/>
          <w:noProof/>
          <w:sz w:val="22"/>
          <w:szCs w:val="22"/>
          <w:vertAlign w:val="subscript"/>
          <w:lang w:eastAsia="zh-TW"/>
        </w:rPr>
        <w:t>d</w:t>
      </w:r>
      <w:r w:rsidRPr="001F6E82">
        <w:rPr>
          <w:rFonts w:ascii="Arial" w:hAnsi="Arial" w:cs="Arial"/>
          <w:noProof/>
          <w:sz w:val="22"/>
          <w:szCs w:val="22"/>
          <w:lang w:eastAsia="zh-TW"/>
        </w:rPr>
        <w:tab/>
      </w:r>
      <w:r w:rsidRPr="001F6E82">
        <w:rPr>
          <w:rFonts w:ascii="Arial" w:hAnsi="Arial" w:cs="Arial"/>
          <w:noProof/>
          <w:sz w:val="22"/>
          <w:szCs w:val="22"/>
          <w:lang w:eastAsia="zh-TW"/>
        </w:rPr>
        <w:tab/>
        <w:t>jsou náklady cizího kapitálu,</w:t>
      </w:r>
    </w:p>
    <w:p w:rsidR="00574F06" w:rsidRPr="001F6E82" w:rsidRDefault="00574F06" w:rsidP="00574F06">
      <w:pPr>
        <w:spacing w:before="60"/>
        <w:rPr>
          <w:rFonts w:ascii="Arial" w:hAnsi="Arial" w:cs="Arial"/>
          <w:noProof/>
          <w:sz w:val="22"/>
          <w:szCs w:val="22"/>
          <w:lang w:eastAsia="zh-TW"/>
        </w:rPr>
      </w:pPr>
      <w:r w:rsidRPr="001F6E82">
        <w:rPr>
          <w:rFonts w:ascii="Arial" w:hAnsi="Arial" w:cs="Arial"/>
          <w:noProof/>
          <w:sz w:val="22"/>
          <w:szCs w:val="22"/>
          <w:lang w:eastAsia="zh-TW"/>
        </w:rPr>
        <w:t>t</w:t>
      </w:r>
      <w:r w:rsidRPr="001F6E82">
        <w:rPr>
          <w:rFonts w:ascii="Arial" w:hAnsi="Arial" w:cs="Arial"/>
          <w:noProof/>
          <w:sz w:val="22"/>
          <w:szCs w:val="22"/>
          <w:lang w:eastAsia="zh-TW"/>
        </w:rPr>
        <w:tab/>
      </w:r>
      <w:r w:rsidRPr="001F6E82">
        <w:rPr>
          <w:rFonts w:ascii="Arial" w:hAnsi="Arial" w:cs="Arial"/>
          <w:noProof/>
          <w:sz w:val="22"/>
          <w:szCs w:val="22"/>
          <w:lang w:eastAsia="zh-TW"/>
        </w:rPr>
        <w:tab/>
        <w:t>je daňová sazba,</w:t>
      </w:r>
    </w:p>
    <w:p w:rsidR="00574F06" w:rsidRPr="001F6E82" w:rsidRDefault="00574F06" w:rsidP="00574F06">
      <w:pPr>
        <w:spacing w:before="60"/>
        <w:rPr>
          <w:rFonts w:ascii="Arial" w:hAnsi="Arial" w:cs="Arial"/>
          <w:noProof/>
          <w:sz w:val="22"/>
          <w:szCs w:val="22"/>
          <w:lang w:eastAsia="zh-TW"/>
        </w:rPr>
      </w:pPr>
      <w:r w:rsidRPr="001F6E82">
        <w:rPr>
          <w:rFonts w:ascii="Arial" w:hAnsi="Arial" w:cs="Arial"/>
          <w:noProof/>
          <w:sz w:val="22"/>
          <w:szCs w:val="22"/>
          <w:lang w:eastAsia="zh-TW"/>
        </w:rPr>
        <w:t>E</w:t>
      </w:r>
      <w:r w:rsidRPr="001F6E82">
        <w:rPr>
          <w:rFonts w:ascii="Arial" w:hAnsi="Arial" w:cs="Arial"/>
          <w:noProof/>
          <w:sz w:val="22"/>
          <w:szCs w:val="22"/>
          <w:lang w:eastAsia="zh-TW"/>
        </w:rPr>
        <w:tab/>
      </w:r>
      <w:r w:rsidRPr="001F6E82">
        <w:rPr>
          <w:rFonts w:ascii="Arial" w:hAnsi="Arial" w:cs="Arial"/>
          <w:noProof/>
          <w:sz w:val="22"/>
          <w:szCs w:val="22"/>
          <w:lang w:eastAsia="zh-TW"/>
        </w:rPr>
        <w:tab/>
        <w:t>je hodnota vlastního kapitálu společnosti,</w:t>
      </w:r>
    </w:p>
    <w:p w:rsidR="00574F06" w:rsidRPr="001F6E82" w:rsidRDefault="00574F06" w:rsidP="00574F06">
      <w:pPr>
        <w:spacing w:before="60"/>
        <w:rPr>
          <w:rFonts w:ascii="Arial" w:hAnsi="Arial" w:cs="Arial"/>
          <w:noProof/>
          <w:sz w:val="22"/>
          <w:szCs w:val="22"/>
          <w:lang w:eastAsia="zh-TW"/>
        </w:rPr>
      </w:pPr>
      <w:r w:rsidRPr="001F6E82">
        <w:rPr>
          <w:rFonts w:ascii="Arial" w:hAnsi="Arial" w:cs="Arial"/>
          <w:noProof/>
          <w:sz w:val="22"/>
          <w:szCs w:val="22"/>
          <w:lang w:eastAsia="zh-TW"/>
        </w:rPr>
        <w:t>D</w:t>
      </w:r>
      <w:r w:rsidRPr="001F6E82">
        <w:rPr>
          <w:rFonts w:ascii="Arial" w:hAnsi="Arial" w:cs="Arial"/>
          <w:noProof/>
          <w:sz w:val="22"/>
          <w:szCs w:val="22"/>
          <w:lang w:eastAsia="zh-TW"/>
        </w:rPr>
        <w:tab/>
      </w:r>
      <w:r w:rsidRPr="001F6E82">
        <w:rPr>
          <w:rFonts w:ascii="Arial" w:hAnsi="Arial" w:cs="Arial"/>
          <w:noProof/>
          <w:sz w:val="22"/>
          <w:szCs w:val="22"/>
          <w:lang w:eastAsia="zh-TW"/>
        </w:rPr>
        <w:tab/>
        <w:t>je hodnota cizího kapitálu společnosti,</w:t>
      </w:r>
    </w:p>
    <w:p w:rsidR="00574F06" w:rsidRPr="002E6895" w:rsidRDefault="009C0293" w:rsidP="00574F06">
      <w:pPr>
        <w:tabs>
          <w:tab w:val="left" w:pos="1418"/>
          <w:tab w:val="left" w:pos="1470"/>
          <w:tab w:val="left" w:pos="1950"/>
        </w:tabs>
        <w:rPr>
          <w:rFonts w:cs="Arial"/>
          <w:szCs w:val="22"/>
          <w:lang w:eastAsia="zh-TW"/>
        </w:rPr>
      </w:pPr>
      <m:oMath>
        <m:f>
          <m:fPr>
            <m:ctrlPr>
              <w:rPr>
                <w:rFonts w:ascii="Cambria Math" w:hAnsi="Cambria Math" w:cs="Arial"/>
                <w:noProof/>
                <w:sz w:val="22"/>
                <w:szCs w:val="22"/>
                <w:vertAlign w:val="subscript"/>
              </w:rPr>
            </m:ctrlPr>
          </m:fPr>
          <m:num>
            <m:r>
              <w:rPr>
                <w:rFonts w:ascii="Cambria Math" w:hAnsi="Cambria Math" w:cs="Arial"/>
                <w:noProof/>
                <w:sz w:val="22"/>
                <w:szCs w:val="22"/>
                <w:vertAlign w:val="subscript"/>
              </w:rPr>
              <m:t>D</m:t>
            </m:r>
          </m:num>
          <m:den>
            <m:r>
              <w:rPr>
                <w:rFonts w:ascii="Cambria Math" w:hAnsi="Cambria Math" w:cs="Arial"/>
                <w:noProof/>
                <w:sz w:val="22"/>
                <w:szCs w:val="22"/>
                <w:vertAlign w:val="subscript"/>
              </w:rPr>
              <m:t>D</m:t>
            </m:r>
            <m:r>
              <m:rPr>
                <m:sty m:val="p"/>
              </m:rPr>
              <w:rPr>
                <w:rFonts w:ascii="Cambria Math" w:hAnsi="Cambria Math" w:cs="Arial"/>
                <w:noProof/>
                <w:sz w:val="22"/>
                <w:szCs w:val="22"/>
                <w:vertAlign w:val="subscript"/>
              </w:rPr>
              <m:t>+</m:t>
            </m:r>
            <m:r>
              <w:rPr>
                <w:rFonts w:ascii="Cambria Math" w:hAnsi="Cambria Math" w:cs="Arial"/>
                <w:noProof/>
                <w:sz w:val="22"/>
                <w:szCs w:val="22"/>
                <w:vertAlign w:val="subscript"/>
              </w:rPr>
              <m:t>E</m:t>
            </m:r>
          </m:den>
        </m:f>
      </m:oMath>
      <w:r w:rsidR="00574F06" w:rsidRPr="001F6E82">
        <w:rPr>
          <w:rFonts w:ascii="Arial" w:hAnsi="Arial" w:cs="Arial"/>
          <w:sz w:val="22"/>
          <w:szCs w:val="22"/>
          <w:lang w:eastAsia="zh-TW"/>
        </w:rPr>
        <w:tab/>
        <w:t>je zadluženost (gearing).</w:t>
      </w:r>
      <w:r w:rsidR="00574F06" w:rsidRPr="001F6E82">
        <w:rPr>
          <w:rFonts w:ascii="Arial" w:hAnsi="Arial" w:cs="Arial"/>
          <w:sz w:val="22"/>
          <w:szCs w:val="22"/>
          <w:lang w:eastAsia="zh-TW"/>
        </w:rPr>
        <w:tab/>
      </w:r>
    </w:p>
    <w:p w:rsidR="00574F06" w:rsidRPr="006C78C7" w:rsidRDefault="00574F06" w:rsidP="00574F06">
      <w:pPr>
        <w:pStyle w:val="TASBodytext"/>
        <w:keepNext/>
        <w:keepLines/>
        <w:spacing w:before="240" w:after="240"/>
        <w:ind w:firstLine="709"/>
        <w:rPr>
          <w:sz w:val="22"/>
          <w:szCs w:val="22"/>
          <w:lang w:val="cs-CZ"/>
        </w:rPr>
      </w:pPr>
      <w:r w:rsidRPr="006C78C7">
        <w:rPr>
          <w:sz w:val="22"/>
          <w:szCs w:val="22"/>
          <w:lang w:val="cs-CZ"/>
        </w:rPr>
        <w:t>Pro regulatorní účely se použív</w:t>
      </w:r>
      <w:r>
        <w:rPr>
          <w:sz w:val="22"/>
          <w:szCs w:val="22"/>
          <w:lang w:val="cs-CZ"/>
        </w:rPr>
        <w:t>á</w:t>
      </w:r>
      <w:r w:rsidRPr="006C78C7">
        <w:rPr>
          <w:sz w:val="22"/>
          <w:szCs w:val="22"/>
          <w:lang w:val="cs-CZ"/>
        </w:rPr>
        <w:t xml:space="preserve"> </w:t>
      </w:r>
      <w:r>
        <w:rPr>
          <w:sz w:val="22"/>
          <w:szCs w:val="22"/>
          <w:lang w:val="cs-CZ"/>
        </w:rPr>
        <w:t>ukazatel WACC</w:t>
      </w:r>
      <w:r w:rsidRPr="006C78C7">
        <w:rPr>
          <w:sz w:val="22"/>
          <w:szCs w:val="22"/>
          <w:lang w:val="cs-CZ"/>
        </w:rPr>
        <w:t xml:space="preserve"> před zdaněním, pro jehož stanovení </w:t>
      </w:r>
      <w:r>
        <w:rPr>
          <w:sz w:val="22"/>
          <w:szCs w:val="22"/>
          <w:lang w:val="cs-CZ"/>
        </w:rPr>
        <w:t>byl využit</w:t>
      </w:r>
      <w:r w:rsidRPr="006C78C7">
        <w:rPr>
          <w:sz w:val="22"/>
          <w:szCs w:val="22"/>
          <w:lang w:val="cs-CZ"/>
        </w:rPr>
        <w:t xml:space="preserve"> následující vztah:</w:t>
      </w:r>
    </w:p>
    <w:p w:rsidR="00574F06" w:rsidRPr="005E1668" w:rsidRDefault="00574F06" w:rsidP="00574F06">
      <w:pPr>
        <w:pStyle w:val="TASBodytext"/>
        <w:keepNext/>
        <w:keepLines/>
        <w:spacing w:before="240"/>
        <w:jc w:val="center"/>
        <w:rPr>
          <w:sz w:val="22"/>
          <w:szCs w:val="22"/>
          <w:lang w:val="cs-CZ"/>
        </w:rPr>
      </w:pPr>
      <w:r w:rsidRPr="00017231">
        <w:rPr>
          <w:i/>
          <w:noProof/>
          <w:sz w:val="22"/>
          <w:szCs w:val="22"/>
          <w:lang w:val="cs-CZ"/>
        </w:rPr>
        <w:t>WACC</w:t>
      </w:r>
      <w:r w:rsidRPr="00017231">
        <w:rPr>
          <w:i/>
          <w:noProof/>
          <w:sz w:val="22"/>
          <w:szCs w:val="22"/>
          <w:vertAlign w:val="subscript"/>
          <w:lang w:val="cs-CZ"/>
        </w:rPr>
        <w:t xml:space="preserve">BT </w:t>
      </w:r>
      <w:r w:rsidRPr="00017231">
        <w:rPr>
          <w:i/>
          <w:noProof/>
          <w:sz w:val="22"/>
          <w:szCs w:val="22"/>
          <w:lang w:val="cs-CZ"/>
        </w:rPr>
        <w:t>= WACC</w:t>
      </w:r>
      <w:r w:rsidRPr="00017231">
        <w:rPr>
          <w:i/>
          <w:noProof/>
          <w:sz w:val="22"/>
          <w:szCs w:val="22"/>
          <w:vertAlign w:val="subscript"/>
          <w:lang w:val="cs-CZ"/>
        </w:rPr>
        <w:t>AT</w:t>
      </w:r>
      <w:r w:rsidRPr="00017231">
        <w:rPr>
          <w:i/>
          <w:noProof/>
          <w:sz w:val="22"/>
          <w:szCs w:val="22"/>
          <w:lang w:val="cs-CZ"/>
        </w:rPr>
        <w:t xml:space="preserve"> / (1 – t)</w:t>
      </w:r>
      <w:r>
        <w:rPr>
          <w:i/>
          <w:noProof/>
          <w:sz w:val="22"/>
          <w:szCs w:val="22"/>
          <w:lang w:val="cs-CZ"/>
        </w:rPr>
        <w:t>,</w:t>
      </w:r>
    </w:p>
    <w:p w:rsidR="00574F06" w:rsidRPr="001F6E82" w:rsidRDefault="00574F06" w:rsidP="001F6E82">
      <w:pPr>
        <w:spacing w:before="240"/>
        <w:jc w:val="both"/>
        <w:rPr>
          <w:rFonts w:ascii="Arial" w:hAnsi="Arial" w:cs="Arial"/>
          <w:noProof/>
          <w:sz w:val="22"/>
          <w:szCs w:val="22"/>
          <w:lang w:eastAsia="zh-TW"/>
        </w:rPr>
      </w:pPr>
      <w:r w:rsidRPr="001F6E82">
        <w:rPr>
          <w:rFonts w:ascii="Arial" w:hAnsi="Arial" w:cs="Arial"/>
          <w:noProof/>
          <w:sz w:val="22"/>
          <w:szCs w:val="22"/>
          <w:lang w:eastAsia="zh-TW"/>
        </w:rPr>
        <w:t>kde:</w:t>
      </w:r>
    </w:p>
    <w:p w:rsidR="00574F06" w:rsidRPr="001F6E82" w:rsidRDefault="00574F06" w:rsidP="001F6E82">
      <w:pPr>
        <w:spacing w:before="60"/>
        <w:jc w:val="both"/>
        <w:rPr>
          <w:rFonts w:ascii="Arial" w:hAnsi="Arial" w:cs="Arial"/>
          <w:noProof/>
          <w:sz w:val="22"/>
          <w:szCs w:val="22"/>
          <w:lang w:eastAsia="zh-TW"/>
        </w:rPr>
      </w:pPr>
      <w:r w:rsidRPr="001F6E82">
        <w:rPr>
          <w:rFonts w:ascii="Arial" w:hAnsi="Arial" w:cs="Arial"/>
          <w:noProof/>
          <w:sz w:val="22"/>
          <w:szCs w:val="22"/>
          <w:lang w:eastAsia="zh-TW"/>
        </w:rPr>
        <w:t>WACC</w:t>
      </w:r>
      <w:r w:rsidRPr="001F6E82">
        <w:rPr>
          <w:rFonts w:ascii="Arial" w:hAnsi="Arial" w:cs="Arial"/>
          <w:noProof/>
          <w:sz w:val="22"/>
          <w:szCs w:val="22"/>
          <w:vertAlign w:val="subscript"/>
          <w:lang w:eastAsia="zh-TW"/>
        </w:rPr>
        <w:t>BT</w:t>
      </w:r>
      <w:r w:rsidRPr="001F6E82">
        <w:rPr>
          <w:rFonts w:ascii="Arial" w:hAnsi="Arial" w:cs="Arial"/>
          <w:noProof/>
          <w:sz w:val="22"/>
          <w:szCs w:val="22"/>
          <w:lang w:eastAsia="zh-TW"/>
        </w:rPr>
        <w:tab/>
        <w:t>jsou průměrné vážené náklady kapitálu před zdaněním,</w:t>
      </w:r>
    </w:p>
    <w:p w:rsidR="00574F06" w:rsidRPr="001F6E82" w:rsidRDefault="00574F06" w:rsidP="001F6E82">
      <w:pPr>
        <w:spacing w:before="60"/>
        <w:jc w:val="both"/>
        <w:rPr>
          <w:rFonts w:ascii="Arial" w:hAnsi="Arial" w:cs="Arial"/>
          <w:noProof/>
          <w:sz w:val="22"/>
          <w:szCs w:val="22"/>
          <w:lang w:eastAsia="zh-TW"/>
        </w:rPr>
      </w:pPr>
      <w:r w:rsidRPr="001F6E82">
        <w:rPr>
          <w:rFonts w:ascii="Arial" w:hAnsi="Arial" w:cs="Arial"/>
          <w:noProof/>
          <w:sz w:val="22"/>
          <w:szCs w:val="22"/>
          <w:lang w:eastAsia="zh-TW"/>
        </w:rPr>
        <w:t>WACC</w:t>
      </w:r>
      <w:r w:rsidRPr="001F6E82">
        <w:rPr>
          <w:rFonts w:ascii="Arial" w:hAnsi="Arial" w:cs="Arial"/>
          <w:noProof/>
          <w:sz w:val="22"/>
          <w:szCs w:val="22"/>
          <w:vertAlign w:val="subscript"/>
          <w:lang w:eastAsia="zh-TW"/>
        </w:rPr>
        <w:t>AT</w:t>
      </w:r>
      <w:r w:rsidRPr="001F6E82">
        <w:rPr>
          <w:rFonts w:ascii="Arial" w:hAnsi="Arial" w:cs="Arial"/>
          <w:noProof/>
          <w:sz w:val="22"/>
          <w:szCs w:val="22"/>
          <w:vertAlign w:val="subscript"/>
          <w:lang w:eastAsia="zh-TW"/>
        </w:rPr>
        <w:tab/>
      </w:r>
      <w:r w:rsidRPr="001F6E82">
        <w:rPr>
          <w:rFonts w:ascii="Arial" w:hAnsi="Arial" w:cs="Arial"/>
          <w:noProof/>
          <w:sz w:val="22"/>
          <w:szCs w:val="22"/>
          <w:lang w:eastAsia="zh-TW"/>
        </w:rPr>
        <w:t>jsou průměrné vážené náklady kapitálu po zdanění,</w:t>
      </w:r>
    </w:p>
    <w:p w:rsidR="00574F06" w:rsidRPr="001F6E82" w:rsidRDefault="00574F06" w:rsidP="001F6E82">
      <w:pPr>
        <w:spacing w:before="60" w:after="240"/>
        <w:jc w:val="both"/>
        <w:rPr>
          <w:rFonts w:ascii="Arial" w:hAnsi="Arial" w:cs="Arial"/>
          <w:sz w:val="22"/>
          <w:szCs w:val="22"/>
        </w:rPr>
      </w:pPr>
      <w:r w:rsidRPr="001F6E82">
        <w:rPr>
          <w:rFonts w:ascii="Arial" w:hAnsi="Arial" w:cs="Arial"/>
          <w:noProof/>
          <w:sz w:val="22"/>
          <w:szCs w:val="22"/>
          <w:lang w:eastAsia="zh-TW"/>
        </w:rPr>
        <w:t xml:space="preserve">t                      je daňová sazba. </w:t>
      </w:r>
    </w:p>
    <w:p w:rsidR="00574F06" w:rsidRPr="001F6E82" w:rsidRDefault="00574F06" w:rsidP="001F6E82">
      <w:pPr>
        <w:ind w:firstLine="709"/>
        <w:jc w:val="both"/>
        <w:rPr>
          <w:rFonts w:ascii="Arial" w:hAnsi="Arial" w:cs="Arial"/>
          <w:sz w:val="22"/>
          <w:szCs w:val="22"/>
        </w:rPr>
      </w:pPr>
      <w:r w:rsidRPr="001F6E82">
        <w:rPr>
          <w:rFonts w:ascii="Arial" w:hAnsi="Arial" w:cs="Arial"/>
          <w:sz w:val="22"/>
          <w:szCs w:val="22"/>
        </w:rPr>
        <w:t>Náklady vlastního kapitálu představují pro investory požadovanou míru výnosnosti při investici do vlastního kapitálu a byly určeny metodou CAPM (</w:t>
      </w:r>
      <w:proofErr w:type="spellStart"/>
      <w:r w:rsidRPr="001F6E82">
        <w:rPr>
          <w:rFonts w:ascii="Arial" w:hAnsi="Arial" w:cs="Arial"/>
          <w:sz w:val="22"/>
          <w:szCs w:val="22"/>
        </w:rPr>
        <w:t>Capital</w:t>
      </w:r>
      <w:proofErr w:type="spellEnd"/>
      <w:r w:rsidRPr="001F6E82">
        <w:rPr>
          <w:rFonts w:ascii="Arial" w:hAnsi="Arial" w:cs="Arial"/>
          <w:sz w:val="22"/>
          <w:szCs w:val="22"/>
        </w:rPr>
        <w:t xml:space="preserve"> Asset </w:t>
      </w:r>
      <w:proofErr w:type="spellStart"/>
      <w:r w:rsidRPr="001F6E82">
        <w:rPr>
          <w:rFonts w:ascii="Arial" w:hAnsi="Arial" w:cs="Arial"/>
          <w:sz w:val="22"/>
          <w:szCs w:val="22"/>
        </w:rPr>
        <w:t>Pricing</w:t>
      </w:r>
      <w:proofErr w:type="spellEnd"/>
      <w:r w:rsidRPr="001F6E82">
        <w:rPr>
          <w:rFonts w:ascii="Arial" w:hAnsi="Arial" w:cs="Arial"/>
          <w:sz w:val="22"/>
          <w:szCs w:val="22"/>
        </w:rPr>
        <w:t xml:space="preserve"> Model) podle vzorce:</w:t>
      </w:r>
    </w:p>
    <w:p w:rsidR="00574F06" w:rsidRPr="005E1668" w:rsidRDefault="00574F06" w:rsidP="00574F06">
      <w:pPr>
        <w:spacing w:before="240" w:after="120"/>
        <w:ind w:firstLine="709"/>
        <w:jc w:val="center"/>
        <w:rPr>
          <w:rFonts w:eastAsia="MS Mincho" w:cs="Arial"/>
          <w:i/>
          <w:noProof/>
          <w:szCs w:val="22"/>
          <w:lang w:eastAsia="zh-TW"/>
        </w:rPr>
      </w:pPr>
      <w:r w:rsidRPr="005E1668">
        <w:rPr>
          <w:rFonts w:eastAsia="MS Mincho" w:cs="Arial"/>
          <w:i/>
          <w:noProof/>
          <w:szCs w:val="22"/>
          <w:lang w:eastAsia="zh-TW"/>
        </w:rPr>
        <w:t>r</w:t>
      </w:r>
      <w:r w:rsidRPr="005E1668">
        <w:rPr>
          <w:rFonts w:eastAsia="MS Mincho" w:cs="Arial"/>
          <w:i/>
          <w:noProof/>
          <w:szCs w:val="22"/>
          <w:vertAlign w:val="subscript"/>
          <w:lang w:eastAsia="zh-TW"/>
        </w:rPr>
        <w:t xml:space="preserve">e </w:t>
      </w:r>
      <w:r w:rsidRPr="005E1668">
        <w:rPr>
          <w:rFonts w:eastAsia="MS Mincho" w:cs="Arial"/>
          <w:i/>
          <w:noProof/>
          <w:szCs w:val="22"/>
          <w:lang w:eastAsia="zh-TW"/>
        </w:rPr>
        <w:t>= r</w:t>
      </w:r>
      <w:r w:rsidRPr="005E1668">
        <w:rPr>
          <w:rFonts w:eastAsia="MS Mincho" w:cs="Arial"/>
          <w:i/>
          <w:noProof/>
          <w:szCs w:val="22"/>
          <w:vertAlign w:val="subscript"/>
          <w:lang w:eastAsia="zh-TW"/>
        </w:rPr>
        <w:t>f</w:t>
      </w:r>
      <w:r w:rsidRPr="005E1668">
        <w:rPr>
          <w:rFonts w:eastAsia="MS Mincho" w:cs="Arial"/>
          <w:i/>
          <w:noProof/>
          <w:szCs w:val="22"/>
          <w:lang w:eastAsia="zh-TW"/>
        </w:rPr>
        <w:t xml:space="preserve"> + ß</w:t>
      </w:r>
      <w:r>
        <w:rPr>
          <w:rFonts w:eastAsia="MS Mincho" w:cs="Arial"/>
          <w:i/>
          <w:noProof/>
          <w:szCs w:val="22"/>
          <w:vertAlign w:val="subscript"/>
          <w:lang w:eastAsia="zh-TW"/>
        </w:rPr>
        <w:t>e</w:t>
      </w:r>
      <w:r w:rsidRPr="005E1668">
        <w:rPr>
          <w:rFonts w:eastAsia="MS Mincho" w:cs="Arial"/>
          <w:i/>
          <w:noProof/>
          <w:szCs w:val="22"/>
          <w:lang w:eastAsia="zh-TW"/>
        </w:rPr>
        <w:t xml:space="preserve"> × ERP</w:t>
      </w:r>
      <w:r>
        <w:rPr>
          <w:rFonts w:eastAsia="MS Mincho" w:cs="Arial"/>
          <w:i/>
          <w:noProof/>
          <w:szCs w:val="22"/>
          <w:lang w:eastAsia="zh-TW"/>
        </w:rPr>
        <w:t>,</w:t>
      </w:r>
      <w:r w:rsidRPr="005E1668">
        <w:rPr>
          <w:rFonts w:eastAsia="MS Mincho" w:cs="Arial"/>
          <w:i/>
          <w:noProof/>
          <w:szCs w:val="22"/>
          <w:lang w:eastAsia="zh-TW"/>
        </w:rPr>
        <w:t xml:space="preserve"> </w:t>
      </w:r>
    </w:p>
    <w:p w:rsidR="00574F06" w:rsidRPr="001F6E82" w:rsidRDefault="00574F06" w:rsidP="00574F06">
      <w:pPr>
        <w:spacing w:before="240"/>
        <w:rPr>
          <w:rFonts w:ascii="Arial" w:hAnsi="Arial" w:cs="Arial"/>
          <w:noProof/>
          <w:sz w:val="22"/>
          <w:szCs w:val="22"/>
          <w:lang w:eastAsia="zh-TW"/>
        </w:rPr>
      </w:pPr>
      <w:r w:rsidRPr="001F6E82">
        <w:rPr>
          <w:rFonts w:ascii="Arial" w:hAnsi="Arial" w:cs="Arial"/>
          <w:noProof/>
          <w:sz w:val="22"/>
          <w:szCs w:val="22"/>
          <w:lang w:eastAsia="zh-TW"/>
        </w:rPr>
        <w:t>kde:</w:t>
      </w:r>
    </w:p>
    <w:p w:rsidR="00574F06" w:rsidRPr="001F6E82" w:rsidRDefault="00574F06" w:rsidP="00574F06">
      <w:pPr>
        <w:tabs>
          <w:tab w:val="left" w:pos="1418"/>
        </w:tabs>
        <w:spacing w:after="60"/>
        <w:rPr>
          <w:rFonts w:ascii="Arial" w:hAnsi="Arial" w:cs="Arial"/>
          <w:noProof/>
          <w:sz w:val="22"/>
          <w:szCs w:val="22"/>
          <w:lang w:eastAsia="zh-TW"/>
        </w:rPr>
      </w:pPr>
      <w:r w:rsidRPr="001F6E82">
        <w:rPr>
          <w:rFonts w:ascii="Arial" w:hAnsi="Arial" w:cs="Arial"/>
          <w:noProof/>
          <w:sz w:val="22"/>
          <w:szCs w:val="22"/>
          <w:lang w:eastAsia="zh-TW"/>
        </w:rPr>
        <w:lastRenderedPageBreak/>
        <w:t>r</w:t>
      </w:r>
      <w:r w:rsidRPr="001F6E82">
        <w:rPr>
          <w:rFonts w:ascii="Arial" w:hAnsi="Arial" w:cs="Arial"/>
          <w:noProof/>
          <w:sz w:val="22"/>
          <w:szCs w:val="22"/>
          <w:vertAlign w:val="subscript"/>
          <w:lang w:eastAsia="zh-TW"/>
        </w:rPr>
        <w:t>e</w:t>
      </w:r>
      <w:r w:rsidRPr="001F6E82">
        <w:rPr>
          <w:rFonts w:ascii="Arial" w:hAnsi="Arial" w:cs="Arial"/>
          <w:noProof/>
          <w:sz w:val="22"/>
          <w:szCs w:val="22"/>
          <w:lang w:eastAsia="zh-TW"/>
        </w:rPr>
        <w:tab/>
        <w:t>jsou náklady vlastního kapitálu,</w:t>
      </w:r>
    </w:p>
    <w:p w:rsidR="00574F06" w:rsidRPr="001F6E82" w:rsidRDefault="00574F06" w:rsidP="00574F06">
      <w:pPr>
        <w:tabs>
          <w:tab w:val="left" w:pos="1418"/>
        </w:tabs>
        <w:spacing w:after="60"/>
        <w:rPr>
          <w:rFonts w:ascii="Arial" w:hAnsi="Arial" w:cs="Arial"/>
          <w:noProof/>
          <w:sz w:val="22"/>
          <w:szCs w:val="22"/>
          <w:lang w:eastAsia="zh-TW"/>
        </w:rPr>
      </w:pPr>
      <w:r w:rsidRPr="001F6E82">
        <w:rPr>
          <w:rFonts w:ascii="Arial" w:hAnsi="Arial" w:cs="Arial"/>
          <w:noProof/>
          <w:sz w:val="22"/>
          <w:szCs w:val="22"/>
          <w:lang w:eastAsia="zh-TW"/>
        </w:rPr>
        <w:t>r</w:t>
      </w:r>
      <w:r w:rsidRPr="001F6E82">
        <w:rPr>
          <w:rFonts w:ascii="Arial" w:hAnsi="Arial" w:cs="Arial"/>
          <w:noProof/>
          <w:sz w:val="22"/>
          <w:szCs w:val="22"/>
          <w:vertAlign w:val="subscript"/>
          <w:lang w:eastAsia="zh-TW"/>
        </w:rPr>
        <w:t>f</w:t>
      </w:r>
      <w:r w:rsidRPr="001F6E82">
        <w:rPr>
          <w:rFonts w:ascii="Arial" w:hAnsi="Arial" w:cs="Arial"/>
          <w:noProof/>
          <w:sz w:val="22"/>
          <w:szCs w:val="22"/>
          <w:lang w:eastAsia="zh-TW"/>
        </w:rPr>
        <w:t xml:space="preserve"> </w:t>
      </w:r>
      <w:r w:rsidRPr="001F6E82">
        <w:rPr>
          <w:rFonts w:ascii="Arial" w:hAnsi="Arial" w:cs="Arial"/>
          <w:noProof/>
          <w:sz w:val="22"/>
          <w:szCs w:val="22"/>
          <w:lang w:eastAsia="zh-TW"/>
        </w:rPr>
        <w:tab/>
        <w:t>je bezriziková výnosová míra,</w:t>
      </w:r>
    </w:p>
    <w:p w:rsidR="00574F06" w:rsidRPr="001F6E82" w:rsidRDefault="00574F06" w:rsidP="00574F06">
      <w:pPr>
        <w:tabs>
          <w:tab w:val="left" w:pos="1418"/>
        </w:tabs>
        <w:spacing w:after="60"/>
        <w:rPr>
          <w:rFonts w:ascii="Arial" w:hAnsi="Arial" w:cs="Arial"/>
          <w:noProof/>
          <w:sz w:val="22"/>
          <w:szCs w:val="22"/>
          <w:lang w:eastAsia="zh-TW"/>
        </w:rPr>
      </w:pPr>
      <w:r w:rsidRPr="001F6E82">
        <w:rPr>
          <w:rFonts w:ascii="Arial" w:hAnsi="Arial" w:cs="Arial"/>
          <w:noProof/>
          <w:sz w:val="22"/>
          <w:szCs w:val="22"/>
          <w:lang w:eastAsia="zh-TW"/>
        </w:rPr>
        <w:t>ß</w:t>
      </w:r>
      <w:r w:rsidRPr="001F6E82">
        <w:rPr>
          <w:rFonts w:ascii="Arial" w:hAnsi="Arial" w:cs="Arial"/>
          <w:noProof/>
          <w:sz w:val="22"/>
          <w:szCs w:val="22"/>
          <w:vertAlign w:val="subscript"/>
          <w:lang w:eastAsia="zh-TW"/>
        </w:rPr>
        <w:t>e</w:t>
      </w:r>
      <w:r w:rsidRPr="001F6E82">
        <w:rPr>
          <w:rFonts w:ascii="Arial" w:hAnsi="Arial" w:cs="Arial"/>
          <w:noProof/>
          <w:sz w:val="22"/>
          <w:szCs w:val="22"/>
          <w:lang w:eastAsia="zh-TW"/>
        </w:rPr>
        <w:tab/>
        <w:t>je equity beta,</w:t>
      </w:r>
    </w:p>
    <w:p w:rsidR="00574F06" w:rsidRPr="001F6E82" w:rsidRDefault="00574F06" w:rsidP="00574F06">
      <w:pPr>
        <w:tabs>
          <w:tab w:val="left" w:pos="1418"/>
        </w:tabs>
        <w:spacing w:after="60"/>
        <w:rPr>
          <w:rFonts w:ascii="Arial" w:hAnsi="Arial" w:cs="Arial"/>
          <w:noProof/>
          <w:sz w:val="22"/>
          <w:szCs w:val="22"/>
          <w:lang w:eastAsia="zh-TW"/>
        </w:rPr>
      </w:pPr>
      <w:r w:rsidRPr="001F6E82">
        <w:rPr>
          <w:rFonts w:ascii="Arial" w:hAnsi="Arial" w:cs="Arial"/>
          <w:noProof/>
          <w:sz w:val="22"/>
          <w:szCs w:val="22"/>
          <w:lang w:eastAsia="zh-TW"/>
        </w:rPr>
        <w:t>ERP</w:t>
      </w:r>
      <w:r w:rsidRPr="001F6E82">
        <w:rPr>
          <w:rFonts w:ascii="Arial" w:hAnsi="Arial" w:cs="Arial"/>
          <w:noProof/>
          <w:sz w:val="22"/>
          <w:szCs w:val="22"/>
          <w:lang w:eastAsia="zh-TW"/>
        </w:rPr>
        <w:tab/>
        <w:t>je tržní riziková přirážka (Equity risk premium).</w:t>
      </w:r>
    </w:p>
    <w:p w:rsidR="00574F06" w:rsidRPr="001F6E82" w:rsidRDefault="00574F06" w:rsidP="001F6E82">
      <w:pPr>
        <w:spacing w:before="160" w:after="240"/>
        <w:ind w:firstLine="709"/>
        <w:jc w:val="both"/>
        <w:rPr>
          <w:rFonts w:ascii="Arial" w:hAnsi="Arial" w:cs="Arial"/>
          <w:sz w:val="22"/>
          <w:szCs w:val="22"/>
        </w:rPr>
      </w:pPr>
      <w:r w:rsidRPr="001F6E82">
        <w:rPr>
          <w:rFonts w:ascii="Arial" w:hAnsi="Arial" w:cs="Arial"/>
          <w:sz w:val="22"/>
          <w:szCs w:val="22"/>
        </w:rPr>
        <w:t xml:space="preserve">Metodika výpočtu ukazatele WACC definovaná ve Sdělení rozlišuje dvě kategorie proměnných, a to parametry odrážející obecné hospodářské podmínky (bezriziková výnosová míra a tržní riziková přirážka) a parametry specifické pro konkrétní společnosti (beta, zadluženost a dluhová prémie). </w:t>
      </w:r>
    </w:p>
    <w:p w:rsidR="00574F06" w:rsidRPr="001F6E82" w:rsidRDefault="00574F06" w:rsidP="001F6E82">
      <w:pPr>
        <w:spacing w:after="240"/>
        <w:ind w:firstLine="709"/>
        <w:jc w:val="both"/>
        <w:rPr>
          <w:rFonts w:ascii="Arial" w:hAnsi="Arial" w:cs="Arial"/>
          <w:sz w:val="22"/>
          <w:szCs w:val="22"/>
        </w:rPr>
      </w:pPr>
      <w:r w:rsidRPr="001F6E82">
        <w:rPr>
          <w:rFonts w:ascii="Arial" w:hAnsi="Arial" w:cs="Arial"/>
          <w:sz w:val="22"/>
          <w:szCs w:val="22"/>
        </w:rPr>
        <w:t xml:space="preserve">Aby byla při odhadování parametrů WACC zajištěna konzistentnost, považuje Komise za vhodné použít pro všechny parametry stejné období pro stanovení průměru, a to v délce pěti let. Ohledně metody průměrování Komise považuje za nejvhodnější aritmetický průměr. </w:t>
      </w:r>
    </w:p>
    <w:p w:rsidR="00574F06" w:rsidRPr="001F6E82" w:rsidRDefault="00574F06" w:rsidP="001F6E82">
      <w:pPr>
        <w:spacing w:after="240"/>
        <w:ind w:firstLine="709"/>
        <w:jc w:val="both"/>
        <w:rPr>
          <w:rFonts w:ascii="Arial" w:hAnsi="Arial" w:cs="Arial"/>
          <w:sz w:val="22"/>
          <w:szCs w:val="22"/>
        </w:rPr>
      </w:pPr>
      <w:r w:rsidRPr="001F6E82">
        <w:rPr>
          <w:rFonts w:ascii="Arial" w:hAnsi="Arial" w:cs="Arial"/>
          <w:sz w:val="22"/>
          <w:szCs w:val="22"/>
        </w:rPr>
        <w:t xml:space="preserve">Bezriziková výnosová míra je očekávaná míra návratnosti bezrizikové investice. Komise považuje za vhodné odhadnout bezrizikovou výnosovou míru pomocí výnosů desetiletých státních dluhopisů. BEREC ve Zprávě stanoví </w:t>
      </w:r>
      <w:r w:rsidRPr="001F6E82">
        <w:rPr>
          <w:rFonts w:ascii="Arial" w:hAnsi="Arial" w:cs="Arial"/>
          <w:b/>
          <w:bCs/>
          <w:sz w:val="22"/>
          <w:szCs w:val="22"/>
        </w:rPr>
        <w:t>hodnotu bezrizikové výnosové míry pro Českou republiku ve výši 1,27 %</w:t>
      </w:r>
      <w:r w:rsidRPr="001F6E82">
        <w:rPr>
          <w:rFonts w:ascii="Arial" w:hAnsi="Arial" w:cs="Arial"/>
          <w:sz w:val="22"/>
          <w:szCs w:val="22"/>
          <w:lang w:val="en-US"/>
        </w:rPr>
        <w:t xml:space="preserve">. </w:t>
      </w:r>
      <w:r w:rsidRPr="001F6E82">
        <w:rPr>
          <w:rFonts w:ascii="Arial" w:hAnsi="Arial" w:cs="Arial"/>
          <w:sz w:val="22"/>
          <w:szCs w:val="22"/>
        </w:rPr>
        <w:t xml:space="preserve">Hodnota byla stanovena na základě dat publikovaných </w:t>
      </w:r>
      <w:proofErr w:type="spellStart"/>
      <w:r w:rsidRPr="001F6E82">
        <w:rPr>
          <w:rFonts w:ascii="Arial" w:hAnsi="Arial" w:cs="Arial"/>
          <w:sz w:val="22"/>
          <w:szCs w:val="22"/>
        </w:rPr>
        <w:t>Eurostatem</w:t>
      </w:r>
      <w:proofErr w:type="spellEnd"/>
      <w:r w:rsidRPr="001F6E82">
        <w:rPr>
          <w:rStyle w:val="Znakapoznpodarou"/>
          <w:rFonts w:ascii="Arial" w:hAnsi="Arial" w:cs="Arial"/>
          <w:sz w:val="22"/>
          <w:szCs w:val="22"/>
        </w:rPr>
        <w:footnoteReference w:id="16"/>
      </w:r>
      <w:r w:rsidRPr="001F6E82">
        <w:rPr>
          <w:rFonts w:ascii="Arial" w:hAnsi="Arial" w:cs="Arial"/>
          <w:sz w:val="22"/>
          <w:szCs w:val="22"/>
        </w:rPr>
        <w:t xml:space="preserve"> a byla vypočtena jako aritmetický průměr výnosových měr českých státních dluhopisů se splatností 10 let za období duben 2016–březen 2021.</w:t>
      </w:r>
    </w:p>
    <w:p w:rsidR="00574F06" w:rsidRPr="001F6E82" w:rsidRDefault="00574F06" w:rsidP="001F6E82">
      <w:pPr>
        <w:spacing w:after="240"/>
        <w:ind w:firstLine="709"/>
        <w:jc w:val="both"/>
        <w:rPr>
          <w:rFonts w:ascii="Arial" w:hAnsi="Arial" w:cs="Arial"/>
          <w:sz w:val="22"/>
          <w:szCs w:val="22"/>
        </w:rPr>
      </w:pPr>
      <w:r w:rsidRPr="001F6E82">
        <w:rPr>
          <w:rFonts w:ascii="Arial" w:hAnsi="Arial" w:cs="Arial"/>
          <w:sz w:val="22"/>
          <w:szCs w:val="22"/>
        </w:rPr>
        <w:t>Tržní riziková přirážka (ERP) je očekávaná návratnost vlastního kapitálu nad rámec bezrizikové výnosové míry. Komise považuje za vhodné používat jednotnou hodnotu ERP pro celou EU a odhadovat tuto hodnotu pomocí historických řad tržních rizikových přirážek v členských státech. Toto rozhodnutí Komise odůvodňuje tím, že finanční trhy v EU jsou čím dál více integrovány (jak ukazuje jejich zvýšená korelace) a ERP se vzájemně přibližují</w:t>
      </w:r>
      <w:r w:rsidRPr="001F6E82">
        <w:rPr>
          <w:rStyle w:val="Znakapoznpodarou"/>
          <w:rFonts w:ascii="Arial" w:hAnsi="Arial" w:cs="Arial"/>
          <w:sz w:val="22"/>
          <w:szCs w:val="22"/>
        </w:rPr>
        <w:footnoteReference w:id="17"/>
      </w:r>
      <w:r w:rsidRPr="001F6E82">
        <w:rPr>
          <w:rFonts w:ascii="Arial" w:hAnsi="Arial" w:cs="Arial"/>
          <w:sz w:val="22"/>
          <w:szCs w:val="22"/>
        </w:rPr>
        <w:t xml:space="preserve">.  BEREC uvádí ve Zprávě </w:t>
      </w:r>
      <w:r w:rsidRPr="001F6E82">
        <w:rPr>
          <w:rFonts w:ascii="Arial" w:hAnsi="Arial" w:cs="Arial"/>
          <w:b/>
          <w:bCs/>
          <w:sz w:val="22"/>
          <w:szCs w:val="22"/>
        </w:rPr>
        <w:t>hodnotu tržní rizikové přirážky</w:t>
      </w:r>
      <w:r w:rsidRPr="001F6E82">
        <w:rPr>
          <w:rFonts w:ascii="Arial" w:hAnsi="Arial" w:cs="Arial"/>
          <w:sz w:val="22"/>
          <w:szCs w:val="22"/>
        </w:rPr>
        <w:t xml:space="preserve"> ve dvou variantách, a to jako geometrický průměr ve výši 4,18 % a </w:t>
      </w:r>
      <w:r w:rsidRPr="001F6E82">
        <w:rPr>
          <w:rFonts w:ascii="Arial" w:hAnsi="Arial" w:cs="Arial"/>
          <w:b/>
          <w:bCs/>
          <w:sz w:val="22"/>
          <w:szCs w:val="22"/>
        </w:rPr>
        <w:t>aritmetický průměr ve výši 5,50 %</w:t>
      </w:r>
      <w:r w:rsidRPr="001F6E82">
        <w:rPr>
          <w:rStyle w:val="Znakapoznpodarou"/>
          <w:rFonts w:ascii="Arial" w:hAnsi="Arial" w:cs="Arial"/>
          <w:b/>
          <w:bCs/>
          <w:sz w:val="22"/>
          <w:szCs w:val="22"/>
        </w:rPr>
        <w:footnoteReference w:id="18"/>
      </w:r>
      <w:r w:rsidRPr="001F6E82">
        <w:rPr>
          <w:rFonts w:ascii="Arial" w:hAnsi="Arial" w:cs="Arial"/>
          <w:sz w:val="22"/>
          <w:szCs w:val="22"/>
        </w:rPr>
        <w:t>. Úřad pro výpočet hodnoty WACC použil hodnotu stanovenou aritmetickým průměrem,</w:t>
      </w:r>
      <w:r w:rsidR="001F6E82">
        <w:rPr>
          <w:rFonts w:ascii="Arial" w:hAnsi="Arial" w:cs="Arial"/>
          <w:sz w:val="22"/>
          <w:szCs w:val="22"/>
        </w:rPr>
        <w:t xml:space="preserve"> </w:t>
      </w:r>
      <w:r w:rsidRPr="001F6E82">
        <w:rPr>
          <w:rFonts w:ascii="Arial" w:hAnsi="Arial" w:cs="Arial"/>
          <w:sz w:val="22"/>
          <w:szCs w:val="22"/>
        </w:rPr>
        <w:t xml:space="preserve">shodně, jako v předchozím období. </w:t>
      </w:r>
    </w:p>
    <w:p w:rsidR="00574F06" w:rsidRPr="004F268D" w:rsidRDefault="00574F06" w:rsidP="004F268D">
      <w:pPr>
        <w:spacing w:after="240"/>
        <w:ind w:firstLine="709"/>
        <w:jc w:val="both"/>
        <w:rPr>
          <w:rFonts w:ascii="Arial" w:hAnsi="Arial" w:cs="Arial"/>
          <w:sz w:val="22"/>
          <w:szCs w:val="22"/>
        </w:rPr>
      </w:pPr>
      <w:r w:rsidRPr="004F268D">
        <w:rPr>
          <w:rFonts w:ascii="Arial" w:hAnsi="Arial" w:cs="Arial"/>
          <w:sz w:val="22"/>
          <w:szCs w:val="22"/>
        </w:rPr>
        <w:t>Pro účely stanovení parametrů specifických pro konkrétní společnost (beta, zadluženost a dluhové prémie) se podle Sdělení určí skupina podobných společností (peer group). Podle Komise by vybrané společnosti do peer group měly být veřejně obchodovatelné a mít likvidní akcie, vlastnit infrastrukturu elektronických komunikací a investovat do ní, hlavní místo jejich působení by mělo být v EU, měly by dosahovat ratingu na úrovni investičního stupně a neměly by být v současnosti ani v nedávné době účastníky významných fúzí či akvizic. Na základě těchto kritérií vybírá společnosti do peer group BEREC. Složení peer group BEREC každoročně přezkoumává. Pro rok 2021 zahrnul BEREC do peer group tyto společnosti:</w:t>
      </w:r>
    </w:p>
    <w:p w:rsidR="00574F06" w:rsidRDefault="00574F06" w:rsidP="004F268D">
      <w:pPr>
        <w:spacing w:after="240"/>
        <w:jc w:val="both"/>
        <w:rPr>
          <w:rFonts w:cs="Arial"/>
          <w:szCs w:val="22"/>
        </w:rPr>
      </w:pPr>
      <w:r w:rsidRPr="004F268D">
        <w:rPr>
          <w:rFonts w:ascii="Arial" w:hAnsi="Arial" w:cs="Arial"/>
          <w:sz w:val="22"/>
          <w:szCs w:val="22"/>
        </w:rPr>
        <w:t>Tabulka č. 1: BEREC peer group 2021</w:t>
      </w:r>
    </w:p>
    <w:tbl>
      <w:tblPr>
        <w:tblStyle w:val="Mkatabulky"/>
        <w:tblW w:w="0" w:type="auto"/>
        <w:tblLook w:val="04A0" w:firstRow="1" w:lastRow="0" w:firstColumn="1" w:lastColumn="0" w:noHBand="0" w:noVBand="1"/>
      </w:tblPr>
      <w:tblGrid>
        <w:gridCol w:w="2757"/>
        <w:gridCol w:w="1207"/>
        <w:gridCol w:w="1701"/>
        <w:gridCol w:w="1490"/>
      </w:tblGrid>
      <w:tr w:rsidR="00574F06" w:rsidRPr="00A241DC" w:rsidTr="008808F3">
        <w:trPr>
          <w:trHeight w:val="777"/>
        </w:trPr>
        <w:tc>
          <w:tcPr>
            <w:tcW w:w="2757" w:type="dxa"/>
            <w:shd w:val="clear" w:color="auto" w:fill="BFBFBF" w:themeFill="background1" w:themeFillShade="BF"/>
          </w:tcPr>
          <w:p w:rsidR="00574F06" w:rsidRPr="004F268D" w:rsidRDefault="00574F06" w:rsidP="008808F3">
            <w:pPr>
              <w:keepNext/>
              <w:keepLines/>
              <w:rPr>
                <w:rFonts w:ascii="Arial" w:hAnsi="Arial" w:cs="Arial"/>
                <w:b/>
                <w:bCs/>
                <w:sz w:val="22"/>
                <w:szCs w:val="22"/>
              </w:rPr>
            </w:pPr>
          </w:p>
          <w:p w:rsidR="00574F06" w:rsidRPr="004F268D" w:rsidRDefault="00574F06" w:rsidP="008808F3">
            <w:pPr>
              <w:keepNext/>
              <w:keepLines/>
              <w:rPr>
                <w:rFonts w:ascii="Arial" w:hAnsi="Arial" w:cs="Arial"/>
                <w:b/>
                <w:bCs/>
                <w:sz w:val="22"/>
                <w:szCs w:val="22"/>
              </w:rPr>
            </w:pPr>
            <w:r w:rsidRPr="004F268D">
              <w:rPr>
                <w:rFonts w:ascii="Arial" w:hAnsi="Arial" w:cs="Arial"/>
                <w:b/>
                <w:bCs/>
                <w:sz w:val="22"/>
                <w:szCs w:val="22"/>
              </w:rPr>
              <w:t>Spole</w:t>
            </w:r>
            <w:r w:rsidR="004F268D" w:rsidRPr="004F268D">
              <w:rPr>
                <w:rFonts w:ascii="Arial" w:hAnsi="Arial" w:cs="Arial"/>
                <w:b/>
                <w:bCs/>
                <w:sz w:val="22"/>
                <w:szCs w:val="22"/>
              </w:rPr>
              <w:t>č</w:t>
            </w:r>
            <w:r w:rsidRPr="004F268D">
              <w:rPr>
                <w:rFonts w:ascii="Arial" w:hAnsi="Arial" w:cs="Arial"/>
                <w:b/>
                <w:bCs/>
                <w:sz w:val="22"/>
                <w:szCs w:val="22"/>
              </w:rPr>
              <w:t>nost</w:t>
            </w:r>
          </w:p>
        </w:tc>
        <w:tc>
          <w:tcPr>
            <w:tcW w:w="1207" w:type="dxa"/>
            <w:shd w:val="clear" w:color="auto" w:fill="BFBFBF" w:themeFill="background1" w:themeFillShade="BF"/>
          </w:tcPr>
          <w:p w:rsidR="00574F06" w:rsidRPr="004F268D" w:rsidRDefault="00574F06" w:rsidP="008808F3">
            <w:pPr>
              <w:keepNext/>
              <w:keepLines/>
              <w:rPr>
                <w:rFonts w:ascii="Arial" w:hAnsi="Arial" w:cs="Arial"/>
                <w:b/>
                <w:bCs/>
                <w:sz w:val="22"/>
                <w:szCs w:val="22"/>
              </w:rPr>
            </w:pPr>
          </w:p>
          <w:p w:rsidR="00574F06" w:rsidRPr="004F268D" w:rsidRDefault="00574F06" w:rsidP="008808F3">
            <w:pPr>
              <w:keepNext/>
              <w:keepLines/>
              <w:rPr>
                <w:rFonts w:ascii="Arial" w:hAnsi="Arial" w:cs="Arial"/>
                <w:b/>
                <w:bCs/>
                <w:sz w:val="22"/>
                <w:szCs w:val="22"/>
              </w:rPr>
            </w:pPr>
            <w:r w:rsidRPr="004F268D">
              <w:rPr>
                <w:rFonts w:ascii="Arial" w:hAnsi="Arial" w:cs="Arial"/>
                <w:b/>
                <w:bCs/>
                <w:sz w:val="22"/>
                <w:szCs w:val="22"/>
              </w:rPr>
              <w:t>Země</w:t>
            </w:r>
          </w:p>
        </w:tc>
        <w:tc>
          <w:tcPr>
            <w:tcW w:w="1701" w:type="dxa"/>
            <w:shd w:val="clear" w:color="auto" w:fill="BFBFBF" w:themeFill="background1" w:themeFillShade="BF"/>
          </w:tcPr>
          <w:p w:rsidR="00574F06" w:rsidRPr="004F268D" w:rsidRDefault="00574F06" w:rsidP="008808F3">
            <w:pPr>
              <w:keepNext/>
              <w:keepLines/>
              <w:rPr>
                <w:rFonts w:ascii="Arial" w:hAnsi="Arial" w:cs="Arial"/>
                <w:b/>
                <w:bCs/>
                <w:sz w:val="22"/>
                <w:szCs w:val="22"/>
              </w:rPr>
            </w:pPr>
            <w:r w:rsidRPr="004F268D">
              <w:rPr>
                <w:rFonts w:ascii="Arial" w:hAnsi="Arial" w:cs="Arial"/>
                <w:b/>
                <w:bCs/>
                <w:sz w:val="22"/>
                <w:szCs w:val="22"/>
              </w:rPr>
              <w:t>S&amp;P rating (duben 2021)</w:t>
            </w:r>
          </w:p>
        </w:tc>
        <w:tc>
          <w:tcPr>
            <w:tcW w:w="1490" w:type="dxa"/>
            <w:shd w:val="clear" w:color="auto" w:fill="BFBFBF" w:themeFill="background1" w:themeFillShade="BF"/>
          </w:tcPr>
          <w:p w:rsidR="00574F06" w:rsidRPr="004F268D" w:rsidRDefault="00574F06" w:rsidP="008808F3">
            <w:pPr>
              <w:keepNext/>
              <w:keepLines/>
              <w:rPr>
                <w:rFonts w:ascii="Arial" w:hAnsi="Arial" w:cs="Arial"/>
                <w:b/>
                <w:bCs/>
                <w:sz w:val="22"/>
                <w:szCs w:val="22"/>
              </w:rPr>
            </w:pPr>
            <w:r w:rsidRPr="004F268D">
              <w:rPr>
                <w:rFonts w:ascii="Arial" w:hAnsi="Arial" w:cs="Arial"/>
                <w:b/>
                <w:bCs/>
                <w:sz w:val="22"/>
                <w:szCs w:val="22"/>
              </w:rPr>
              <w:t>Burzovní symbol</w:t>
            </w:r>
          </w:p>
        </w:tc>
      </w:tr>
      <w:tr w:rsidR="00574F06" w:rsidRPr="00A241DC" w:rsidTr="008808F3">
        <w:tc>
          <w:tcPr>
            <w:tcW w:w="275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Deutsche Telekom AG</w:t>
            </w:r>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DE</w:t>
            </w:r>
          </w:p>
        </w:tc>
        <w:tc>
          <w:tcPr>
            <w:tcW w:w="1701" w:type="dxa"/>
          </w:tcPr>
          <w:p w:rsidR="00574F06" w:rsidRPr="004F268D" w:rsidRDefault="00574F06" w:rsidP="008808F3">
            <w:pPr>
              <w:tabs>
                <w:tab w:val="left" w:pos="750"/>
              </w:tabs>
              <w:rPr>
                <w:rFonts w:ascii="Arial" w:hAnsi="Arial" w:cs="Arial"/>
                <w:sz w:val="22"/>
                <w:szCs w:val="22"/>
                <w:lang w:val="en-US"/>
              </w:rPr>
            </w:pPr>
            <w:r w:rsidRPr="004F268D">
              <w:rPr>
                <w:rFonts w:ascii="Arial" w:hAnsi="Arial" w:cs="Arial"/>
                <w:sz w:val="22"/>
                <w:szCs w:val="22"/>
                <w:lang w:val="en-US"/>
              </w:rPr>
              <w:t>BBB</w:t>
            </w:r>
          </w:p>
        </w:tc>
        <w:tc>
          <w:tcPr>
            <w:tcW w:w="1490" w:type="dxa"/>
          </w:tcPr>
          <w:p w:rsidR="00574F06" w:rsidRPr="004F268D" w:rsidRDefault="00574F06" w:rsidP="008808F3">
            <w:pPr>
              <w:tabs>
                <w:tab w:val="left" w:pos="750"/>
              </w:tabs>
              <w:rPr>
                <w:rFonts w:ascii="Arial" w:hAnsi="Arial" w:cs="Arial"/>
                <w:sz w:val="22"/>
                <w:szCs w:val="22"/>
                <w:lang w:val="en-US"/>
              </w:rPr>
            </w:pPr>
            <w:r w:rsidRPr="004F268D">
              <w:rPr>
                <w:rFonts w:ascii="Arial" w:hAnsi="Arial" w:cs="Arial"/>
                <w:sz w:val="22"/>
                <w:szCs w:val="22"/>
                <w:lang w:val="en-US"/>
              </w:rPr>
              <w:t>DTE GR</w:t>
            </w:r>
          </w:p>
        </w:tc>
      </w:tr>
      <w:tr w:rsidR="00574F06" w:rsidRPr="00A241DC" w:rsidTr="008808F3">
        <w:tc>
          <w:tcPr>
            <w:tcW w:w="275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 xml:space="preserve">Elisa </w:t>
            </w:r>
            <w:proofErr w:type="spellStart"/>
            <w:r w:rsidRPr="004F268D">
              <w:rPr>
                <w:rFonts w:ascii="Arial" w:hAnsi="Arial" w:cs="Arial"/>
                <w:sz w:val="22"/>
                <w:szCs w:val="22"/>
                <w:lang w:val="en-US"/>
              </w:rPr>
              <w:t>Oyj</w:t>
            </w:r>
            <w:proofErr w:type="spellEnd"/>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FI</w:t>
            </w:r>
          </w:p>
        </w:tc>
        <w:tc>
          <w:tcPr>
            <w:tcW w:w="1701"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BBB+</w:t>
            </w:r>
          </w:p>
        </w:tc>
        <w:tc>
          <w:tcPr>
            <w:tcW w:w="1490"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ELISA FH</w:t>
            </w:r>
          </w:p>
        </w:tc>
      </w:tr>
      <w:tr w:rsidR="00574F06" w:rsidRPr="00A241DC" w:rsidTr="008808F3">
        <w:tc>
          <w:tcPr>
            <w:tcW w:w="2757" w:type="dxa"/>
          </w:tcPr>
          <w:p w:rsidR="00574F06" w:rsidRPr="004F268D" w:rsidRDefault="00574F06" w:rsidP="008808F3">
            <w:pPr>
              <w:rPr>
                <w:rFonts w:ascii="Arial" w:hAnsi="Arial" w:cs="Arial"/>
                <w:sz w:val="22"/>
                <w:szCs w:val="22"/>
                <w:lang w:val="en-US"/>
              </w:rPr>
            </w:pPr>
            <w:proofErr w:type="spellStart"/>
            <w:r w:rsidRPr="004F268D">
              <w:rPr>
                <w:rFonts w:ascii="Arial" w:hAnsi="Arial" w:cs="Arial"/>
                <w:sz w:val="22"/>
                <w:szCs w:val="22"/>
                <w:lang w:val="en-US"/>
              </w:rPr>
              <w:t>Koninklijke</w:t>
            </w:r>
            <w:proofErr w:type="spellEnd"/>
            <w:r w:rsidRPr="004F268D">
              <w:rPr>
                <w:rFonts w:ascii="Arial" w:hAnsi="Arial" w:cs="Arial"/>
                <w:sz w:val="22"/>
                <w:szCs w:val="22"/>
                <w:lang w:val="en-US"/>
              </w:rPr>
              <w:t xml:space="preserve"> KPN N.V.</w:t>
            </w:r>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NL</w:t>
            </w:r>
          </w:p>
        </w:tc>
        <w:tc>
          <w:tcPr>
            <w:tcW w:w="1701"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BBB</w:t>
            </w:r>
          </w:p>
        </w:tc>
        <w:tc>
          <w:tcPr>
            <w:tcW w:w="1490"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KPN NA</w:t>
            </w:r>
          </w:p>
        </w:tc>
      </w:tr>
      <w:tr w:rsidR="00574F06" w:rsidRPr="00A241DC" w:rsidTr="008808F3">
        <w:tc>
          <w:tcPr>
            <w:tcW w:w="275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NOS</w:t>
            </w:r>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PT</w:t>
            </w:r>
          </w:p>
        </w:tc>
        <w:tc>
          <w:tcPr>
            <w:tcW w:w="1701" w:type="dxa"/>
          </w:tcPr>
          <w:p w:rsidR="00574F06" w:rsidRPr="004F268D" w:rsidRDefault="00574F06" w:rsidP="008808F3">
            <w:pPr>
              <w:tabs>
                <w:tab w:val="left" w:pos="750"/>
              </w:tabs>
              <w:rPr>
                <w:rFonts w:ascii="Arial" w:hAnsi="Arial" w:cs="Arial"/>
                <w:sz w:val="22"/>
                <w:szCs w:val="22"/>
                <w:lang w:val="en-US"/>
              </w:rPr>
            </w:pPr>
            <w:r w:rsidRPr="004F268D">
              <w:rPr>
                <w:rFonts w:ascii="Arial" w:hAnsi="Arial" w:cs="Arial"/>
                <w:sz w:val="22"/>
                <w:szCs w:val="22"/>
                <w:lang w:val="en-US"/>
              </w:rPr>
              <w:t>BBB-</w:t>
            </w:r>
          </w:p>
        </w:tc>
        <w:tc>
          <w:tcPr>
            <w:tcW w:w="1490" w:type="dxa"/>
          </w:tcPr>
          <w:p w:rsidR="00574F06" w:rsidRPr="004F268D" w:rsidRDefault="00574F06" w:rsidP="008808F3">
            <w:pPr>
              <w:tabs>
                <w:tab w:val="left" w:pos="750"/>
              </w:tabs>
              <w:rPr>
                <w:rFonts w:ascii="Arial" w:hAnsi="Arial" w:cs="Arial"/>
                <w:sz w:val="22"/>
                <w:szCs w:val="22"/>
                <w:lang w:val="en-US"/>
              </w:rPr>
            </w:pPr>
            <w:r w:rsidRPr="004F268D">
              <w:rPr>
                <w:rFonts w:ascii="Arial" w:hAnsi="Arial" w:cs="Arial"/>
                <w:sz w:val="22"/>
                <w:szCs w:val="22"/>
                <w:lang w:val="en-US"/>
              </w:rPr>
              <w:t>NOS PT</w:t>
            </w:r>
          </w:p>
        </w:tc>
      </w:tr>
      <w:tr w:rsidR="00574F06" w:rsidRPr="00A241DC" w:rsidTr="008808F3">
        <w:tc>
          <w:tcPr>
            <w:tcW w:w="275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Orange S.A.</w:t>
            </w:r>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FR</w:t>
            </w:r>
          </w:p>
        </w:tc>
        <w:tc>
          <w:tcPr>
            <w:tcW w:w="1701"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BBB+</w:t>
            </w:r>
          </w:p>
        </w:tc>
        <w:tc>
          <w:tcPr>
            <w:tcW w:w="1490"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ORA FP</w:t>
            </w:r>
          </w:p>
        </w:tc>
      </w:tr>
      <w:tr w:rsidR="00574F06" w:rsidRPr="00A241DC" w:rsidTr="008808F3">
        <w:tc>
          <w:tcPr>
            <w:tcW w:w="275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lastRenderedPageBreak/>
              <w:t>Proximus S.A.</w:t>
            </w:r>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BE</w:t>
            </w:r>
          </w:p>
        </w:tc>
        <w:tc>
          <w:tcPr>
            <w:tcW w:w="1701" w:type="dxa"/>
          </w:tcPr>
          <w:p w:rsidR="00574F06" w:rsidRPr="004F268D" w:rsidRDefault="00574F06" w:rsidP="008808F3">
            <w:pPr>
              <w:tabs>
                <w:tab w:val="left" w:pos="750"/>
              </w:tabs>
              <w:rPr>
                <w:rFonts w:ascii="Arial" w:hAnsi="Arial" w:cs="Arial"/>
                <w:sz w:val="22"/>
                <w:szCs w:val="22"/>
                <w:lang w:val="en-US"/>
              </w:rPr>
            </w:pPr>
            <w:r w:rsidRPr="004F268D">
              <w:rPr>
                <w:rFonts w:ascii="Arial" w:hAnsi="Arial" w:cs="Arial"/>
                <w:sz w:val="22"/>
                <w:szCs w:val="22"/>
                <w:lang w:val="en-US"/>
              </w:rPr>
              <w:t>A</w:t>
            </w:r>
            <w:r w:rsidRPr="004F268D">
              <w:rPr>
                <w:rFonts w:ascii="Arial" w:hAnsi="Arial" w:cs="Arial"/>
                <w:sz w:val="22"/>
                <w:szCs w:val="22"/>
                <w:lang w:val="en-US"/>
              </w:rPr>
              <w:tab/>
            </w:r>
          </w:p>
        </w:tc>
        <w:tc>
          <w:tcPr>
            <w:tcW w:w="1490" w:type="dxa"/>
          </w:tcPr>
          <w:p w:rsidR="00574F06" w:rsidRPr="004F268D" w:rsidRDefault="00574F06" w:rsidP="008808F3">
            <w:pPr>
              <w:tabs>
                <w:tab w:val="left" w:pos="750"/>
              </w:tabs>
              <w:rPr>
                <w:rFonts w:ascii="Arial" w:hAnsi="Arial" w:cs="Arial"/>
                <w:sz w:val="22"/>
                <w:szCs w:val="22"/>
                <w:lang w:val="en-US"/>
              </w:rPr>
            </w:pPr>
            <w:r w:rsidRPr="004F268D">
              <w:rPr>
                <w:rFonts w:ascii="Arial" w:hAnsi="Arial" w:cs="Arial"/>
                <w:sz w:val="22"/>
                <w:szCs w:val="22"/>
                <w:lang w:val="en-US"/>
              </w:rPr>
              <w:t>PROX BB</w:t>
            </w:r>
          </w:p>
        </w:tc>
      </w:tr>
      <w:tr w:rsidR="00574F06" w:rsidRPr="00A241DC" w:rsidTr="008808F3">
        <w:tc>
          <w:tcPr>
            <w:tcW w:w="275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Tele 2 AB</w:t>
            </w:r>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SE</w:t>
            </w:r>
          </w:p>
        </w:tc>
        <w:tc>
          <w:tcPr>
            <w:tcW w:w="1701"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BBB</w:t>
            </w:r>
          </w:p>
        </w:tc>
        <w:tc>
          <w:tcPr>
            <w:tcW w:w="1490"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TEL2B SS</w:t>
            </w:r>
          </w:p>
        </w:tc>
      </w:tr>
      <w:tr w:rsidR="00574F06" w:rsidRPr="00A241DC" w:rsidTr="008808F3">
        <w:tc>
          <w:tcPr>
            <w:tcW w:w="275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Telecom Italia</w:t>
            </w:r>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IT</w:t>
            </w:r>
          </w:p>
        </w:tc>
        <w:tc>
          <w:tcPr>
            <w:tcW w:w="1701"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BB+</w:t>
            </w:r>
          </w:p>
        </w:tc>
        <w:tc>
          <w:tcPr>
            <w:tcW w:w="1490"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TIT_MI</w:t>
            </w:r>
          </w:p>
        </w:tc>
      </w:tr>
      <w:tr w:rsidR="00574F06" w:rsidRPr="00A241DC" w:rsidTr="008808F3">
        <w:tc>
          <w:tcPr>
            <w:tcW w:w="275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Telefónica</w:t>
            </w:r>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ES</w:t>
            </w:r>
          </w:p>
        </w:tc>
        <w:tc>
          <w:tcPr>
            <w:tcW w:w="1701" w:type="dxa"/>
          </w:tcPr>
          <w:p w:rsidR="00574F06" w:rsidRPr="004F268D" w:rsidRDefault="00574F06" w:rsidP="008808F3">
            <w:pPr>
              <w:tabs>
                <w:tab w:val="left" w:pos="750"/>
              </w:tabs>
              <w:rPr>
                <w:rFonts w:ascii="Arial" w:hAnsi="Arial" w:cs="Arial"/>
                <w:sz w:val="22"/>
                <w:szCs w:val="22"/>
                <w:lang w:val="en-US"/>
              </w:rPr>
            </w:pPr>
            <w:r w:rsidRPr="004F268D">
              <w:rPr>
                <w:rFonts w:ascii="Arial" w:hAnsi="Arial" w:cs="Arial"/>
                <w:sz w:val="22"/>
                <w:szCs w:val="22"/>
                <w:lang w:val="en-US"/>
              </w:rPr>
              <w:t>BBB-</w:t>
            </w:r>
          </w:p>
        </w:tc>
        <w:tc>
          <w:tcPr>
            <w:tcW w:w="1490" w:type="dxa"/>
          </w:tcPr>
          <w:p w:rsidR="00574F06" w:rsidRPr="004F268D" w:rsidRDefault="00574F06" w:rsidP="008808F3">
            <w:pPr>
              <w:tabs>
                <w:tab w:val="left" w:pos="750"/>
              </w:tabs>
              <w:rPr>
                <w:rFonts w:ascii="Arial" w:hAnsi="Arial" w:cs="Arial"/>
                <w:sz w:val="22"/>
                <w:szCs w:val="22"/>
                <w:lang w:val="en-US"/>
              </w:rPr>
            </w:pPr>
            <w:r w:rsidRPr="004F268D">
              <w:rPr>
                <w:rFonts w:ascii="Arial" w:hAnsi="Arial" w:cs="Arial"/>
                <w:sz w:val="22"/>
                <w:szCs w:val="22"/>
                <w:lang w:val="en-US"/>
              </w:rPr>
              <w:t>TEF SM</w:t>
            </w:r>
          </w:p>
        </w:tc>
      </w:tr>
      <w:tr w:rsidR="00574F06" w:rsidRPr="00A241DC" w:rsidTr="008808F3">
        <w:tc>
          <w:tcPr>
            <w:tcW w:w="275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Telekom Austria AG</w:t>
            </w:r>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AT</w:t>
            </w:r>
          </w:p>
        </w:tc>
        <w:tc>
          <w:tcPr>
            <w:tcW w:w="1701"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BBB+</w:t>
            </w:r>
          </w:p>
        </w:tc>
        <w:tc>
          <w:tcPr>
            <w:tcW w:w="1490"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TKA AV</w:t>
            </w:r>
          </w:p>
        </w:tc>
      </w:tr>
      <w:tr w:rsidR="00574F06" w:rsidRPr="00A241DC" w:rsidTr="008808F3">
        <w:tc>
          <w:tcPr>
            <w:tcW w:w="2757" w:type="dxa"/>
          </w:tcPr>
          <w:p w:rsidR="00574F06" w:rsidRPr="004F268D" w:rsidRDefault="00574F06" w:rsidP="008808F3">
            <w:pPr>
              <w:rPr>
                <w:rFonts w:ascii="Arial" w:hAnsi="Arial" w:cs="Arial"/>
                <w:sz w:val="22"/>
                <w:szCs w:val="22"/>
                <w:lang w:val="en-US"/>
              </w:rPr>
            </w:pPr>
            <w:proofErr w:type="spellStart"/>
            <w:r w:rsidRPr="004F268D">
              <w:rPr>
                <w:rFonts w:ascii="Arial" w:hAnsi="Arial" w:cs="Arial"/>
                <w:sz w:val="22"/>
                <w:szCs w:val="22"/>
                <w:lang w:val="en-US"/>
              </w:rPr>
              <w:t>Telenet</w:t>
            </w:r>
            <w:proofErr w:type="spellEnd"/>
            <w:r w:rsidRPr="004F268D">
              <w:rPr>
                <w:rFonts w:ascii="Arial" w:hAnsi="Arial" w:cs="Arial"/>
                <w:sz w:val="22"/>
                <w:szCs w:val="22"/>
                <w:lang w:val="en-US"/>
              </w:rPr>
              <w:t xml:space="preserve"> Group Holding N.V.</w:t>
            </w:r>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BE</w:t>
            </w:r>
          </w:p>
        </w:tc>
        <w:tc>
          <w:tcPr>
            <w:tcW w:w="1701"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BB-</w:t>
            </w:r>
          </w:p>
        </w:tc>
        <w:tc>
          <w:tcPr>
            <w:tcW w:w="1490"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TNET BB</w:t>
            </w:r>
          </w:p>
        </w:tc>
      </w:tr>
      <w:tr w:rsidR="00574F06" w:rsidRPr="00A241DC" w:rsidTr="008808F3">
        <w:tc>
          <w:tcPr>
            <w:tcW w:w="275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Telenor</w:t>
            </w:r>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NO</w:t>
            </w:r>
          </w:p>
        </w:tc>
        <w:tc>
          <w:tcPr>
            <w:tcW w:w="1701"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A-</w:t>
            </w:r>
          </w:p>
        </w:tc>
        <w:tc>
          <w:tcPr>
            <w:tcW w:w="1490"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TEQ</w:t>
            </w:r>
          </w:p>
        </w:tc>
      </w:tr>
      <w:tr w:rsidR="00574F06" w:rsidRPr="00A241DC" w:rsidTr="008808F3">
        <w:tc>
          <w:tcPr>
            <w:tcW w:w="2757" w:type="dxa"/>
          </w:tcPr>
          <w:p w:rsidR="00574F06" w:rsidRPr="004F268D" w:rsidRDefault="00574F06" w:rsidP="008808F3">
            <w:pPr>
              <w:rPr>
                <w:rFonts w:ascii="Arial" w:hAnsi="Arial" w:cs="Arial"/>
                <w:sz w:val="22"/>
                <w:szCs w:val="22"/>
                <w:lang w:val="en-US"/>
              </w:rPr>
            </w:pPr>
            <w:proofErr w:type="spellStart"/>
            <w:r w:rsidRPr="004F268D">
              <w:rPr>
                <w:rFonts w:ascii="Arial" w:hAnsi="Arial" w:cs="Arial"/>
                <w:sz w:val="22"/>
                <w:szCs w:val="22"/>
                <w:lang w:val="en-US"/>
              </w:rPr>
              <w:t>Telia</w:t>
            </w:r>
            <w:proofErr w:type="spellEnd"/>
            <w:r w:rsidRPr="004F268D">
              <w:rPr>
                <w:rFonts w:ascii="Arial" w:hAnsi="Arial" w:cs="Arial"/>
                <w:sz w:val="22"/>
                <w:szCs w:val="22"/>
                <w:lang w:val="en-US"/>
              </w:rPr>
              <w:t xml:space="preserve"> Company AB</w:t>
            </w:r>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SE</w:t>
            </w:r>
          </w:p>
        </w:tc>
        <w:tc>
          <w:tcPr>
            <w:tcW w:w="1701"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BBB+</w:t>
            </w:r>
          </w:p>
        </w:tc>
        <w:tc>
          <w:tcPr>
            <w:tcW w:w="1490"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TELIA SS</w:t>
            </w:r>
          </w:p>
        </w:tc>
      </w:tr>
      <w:tr w:rsidR="00574F06" w:rsidRPr="00A241DC" w:rsidTr="008808F3">
        <w:tc>
          <w:tcPr>
            <w:tcW w:w="275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Vodafone Group plc</w:t>
            </w:r>
          </w:p>
        </w:tc>
        <w:tc>
          <w:tcPr>
            <w:tcW w:w="1207"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UK</w:t>
            </w:r>
          </w:p>
        </w:tc>
        <w:tc>
          <w:tcPr>
            <w:tcW w:w="1701"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BBB</w:t>
            </w:r>
          </w:p>
        </w:tc>
        <w:tc>
          <w:tcPr>
            <w:tcW w:w="1490" w:type="dxa"/>
          </w:tcPr>
          <w:p w:rsidR="00574F06" w:rsidRPr="004F268D" w:rsidRDefault="00574F06" w:rsidP="008808F3">
            <w:pPr>
              <w:rPr>
                <w:rFonts w:ascii="Arial" w:hAnsi="Arial" w:cs="Arial"/>
                <w:sz w:val="22"/>
                <w:szCs w:val="22"/>
                <w:lang w:val="en-US"/>
              </w:rPr>
            </w:pPr>
            <w:r w:rsidRPr="004F268D">
              <w:rPr>
                <w:rFonts w:ascii="Arial" w:hAnsi="Arial" w:cs="Arial"/>
                <w:sz w:val="22"/>
                <w:szCs w:val="22"/>
                <w:lang w:val="en-US"/>
              </w:rPr>
              <w:t>VOD LN</w:t>
            </w:r>
          </w:p>
        </w:tc>
      </w:tr>
    </w:tbl>
    <w:p w:rsidR="00574F06" w:rsidRPr="004F268D" w:rsidRDefault="00574F06" w:rsidP="00574F06">
      <w:pPr>
        <w:spacing w:before="120" w:after="240"/>
        <w:rPr>
          <w:rFonts w:ascii="Arial" w:hAnsi="Arial" w:cs="Arial"/>
          <w:sz w:val="20"/>
        </w:rPr>
      </w:pPr>
      <w:r w:rsidRPr="004F268D">
        <w:rPr>
          <w:rFonts w:ascii="Arial" w:hAnsi="Arial" w:cs="Arial"/>
          <w:sz w:val="20"/>
        </w:rPr>
        <w:t xml:space="preserve">Zdroj: WACC </w:t>
      </w:r>
      <w:proofErr w:type="spellStart"/>
      <w:r w:rsidRPr="004F268D">
        <w:rPr>
          <w:rFonts w:ascii="Arial" w:hAnsi="Arial" w:cs="Arial"/>
          <w:sz w:val="20"/>
        </w:rPr>
        <w:t>parameters</w:t>
      </w:r>
      <w:proofErr w:type="spellEnd"/>
      <w:r w:rsidRPr="004F268D">
        <w:rPr>
          <w:rFonts w:ascii="Arial" w:hAnsi="Arial" w:cs="Arial"/>
          <w:sz w:val="20"/>
        </w:rPr>
        <w:t xml:space="preserve"> Report 2021, </w:t>
      </w:r>
      <w:proofErr w:type="spellStart"/>
      <w:r w:rsidRPr="004F268D">
        <w:rPr>
          <w:rFonts w:ascii="Arial" w:hAnsi="Arial" w:cs="Arial"/>
          <w:sz w:val="20"/>
        </w:rPr>
        <w:t>BoR</w:t>
      </w:r>
      <w:proofErr w:type="spellEnd"/>
      <w:r w:rsidRPr="004F268D">
        <w:rPr>
          <w:rFonts w:ascii="Arial" w:hAnsi="Arial" w:cs="Arial"/>
          <w:sz w:val="20"/>
        </w:rPr>
        <w:t xml:space="preserve"> (21)86</w:t>
      </w:r>
    </w:p>
    <w:p w:rsidR="00574F06" w:rsidRPr="004F268D" w:rsidRDefault="00574F06" w:rsidP="004F268D">
      <w:pPr>
        <w:ind w:firstLine="709"/>
        <w:jc w:val="both"/>
        <w:rPr>
          <w:rFonts w:ascii="Arial" w:hAnsi="Arial" w:cs="Arial"/>
          <w:sz w:val="22"/>
          <w:szCs w:val="22"/>
        </w:rPr>
      </w:pPr>
      <w:r w:rsidRPr="004F268D">
        <w:rPr>
          <w:rFonts w:ascii="Arial" w:hAnsi="Arial" w:cs="Arial"/>
          <w:sz w:val="22"/>
          <w:szCs w:val="22"/>
        </w:rPr>
        <w:t xml:space="preserve">Koeficient beta vyjadřuje systematické riziko, kterému společnost čelí ve srovnání s průměrnou společností na trhu. Beta se odhaduje pomocí regresní analýzy, tj. odhadem korelace mezi výnosy z akcií společnosti a výnosy z tržního indexu. BEREC pro odhad koeficientů beta použil index STOXX </w:t>
      </w:r>
      <w:proofErr w:type="spellStart"/>
      <w:r w:rsidRPr="004F268D">
        <w:rPr>
          <w:rFonts w:ascii="Arial" w:hAnsi="Arial" w:cs="Arial"/>
          <w:sz w:val="22"/>
          <w:szCs w:val="22"/>
        </w:rPr>
        <w:t>Europe</w:t>
      </w:r>
      <w:proofErr w:type="spellEnd"/>
      <w:r w:rsidRPr="004F268D">
        <w:rPr>
          <w:rFonts w:ascii="Arial" w:hAnsi="Arial" w:cs="Arial"/>
          <w:sz w:val="22"/>
          <w:szCs w:val="22"/>
        </w:rPr>
        <w:t xml:space="preserve"> TMI, přičemž byla analyzována data s týdenní frekvencí za pětileté období (1. dubna 2016–1. dubna 2021).</w:t>
      </w:r>
    </w:p>
    <w:p w:rsidR="00574F06" w:rsidRPr="004F268D" w:rsidRDefault="00574F06" w:rsidP="004F268D">
      <w:pPr>
        <w:ind w:firstLine="709"/>
        <w:jc w:val="both"/>
        <w:rPr>
          <w:rFonts w:ascii="Arial" w:hAnsi="Arial" w:cs="Arial"/>
          <w:sz w:val="22"/>
          <w:szCs w:val="22"/>
        </w:rPr>
      </w:pPr>
    </w:p>
    <w:p w:rsidR="00574F06" w:rsidRPr="004F268D" w:rsidRDefault="00574F06" w:rsidP="004F268D">
      <w:pPr>
        <w:ind w:firstLine="709"/>
        <w:jc w:val="both"/>
        <w:rPr>
          <w:rFonts w:ascii="Arial" w:hAnsi="Arial" w:cs="Arial"/>
          <w:sz w:val="22"/>
          <w:szCs w:val="22"/>
        </w:rPr>
      </w:pPr>
      <w:r w:rsidRPr="004F268D">
        <w:rPr>
          <w:rFonts w:ascii="Arial" w:hAnsi="Arial" w:cs="Arial"/>
          <w:sz w:val="22"/>
          <w:szCs w:val="22"/>
        </w:rPr>
        <w:t xml:space="preserve">Zadluženost byla stanovena na základě pětiletého průměru dat s týdenní frekvencí. Zadluženost byla ohodnocena na základě účetních hodnot čistého dluhu společností, včetně hodnoty finančních leasingů. </w:t>
      </w:r>
    </w:p>
    <w:p w:rsidR="00574F06" w:rsidRPr="004F268D" w:rsidRDefault="00574F06" w:rsidP="004F268D">
      <w:pPr>
        <w:ind w:firstLine="709"/>
        <w:jc w:val="both"/>
        <w:rPr>
          <w:rFonts w:ascii="Arial" w:hAnsi="Arial" w:cs="Arial"/>
          <w:sz w:val="22"/>
          <w:szCs w:val="22"/>
        </w:rPr>
      </w:pPr>
    </w:p>
    <w:p w:rsidR="00574F06" w:rsidRPr="004F268D" w:rsidRDefault="00574F06" w:rsidP="004F268D">
      <w:pPr>
        <w:spacing w:after="240"/>
        <w:ind w:firstLine="709"/>
        <w:jc w:val="both"/>
        <w:rPr>
          <w:rFonts w:ascii="Arial" w:hAnsi="Arial" w:cs="Arial"/>
          <w:sz w:val="22"/>
          <w:szCs w:val="22"/>
        </w:rPr>
      </w:pPr>
      <w:r w:rsidRPr="004F268D">
        <w:rPr>
          <w:rFonts w:ascii="Arial" w:hAnsi="Arial" w:cs="Arial"/>
          <w:sz w:val="22"/>
          <w:szCs w:val="22"/>
        </w:rPr>
        <w:t>Nezadlužená (asset) beta, která počítá s nulovým zadlužením podniku, a zadlužená (equity) beta, která zohledňuje zadlužení podniku, byly přepočteny podle vzorce:</w:t>
      </w:r>
    </w:p>
    <w:p w:rsidR="00574F06" w:rsidRPr="004F268D" w:rsidRDefault="00574F06" w:rsidP="004F268D">
      <w:pPr>
        <w:ind w:firstLine="709"/>
        <w:jc w:val="both"/>
        <w:rPr>
          <w:rFonts w:ascii="Arial" w:hAnsi="Arial" w:cs="Arial"/>
          <w:sz w:val="22"/>
          <w:szCs w:val="22"/>
        </w:rPr>
      </w:pPr>
    </w:p>
    <w:p w:rsidR="00574F06" w:rsidRDefault="009C0293" w:rsidP="00574F06">
      <w:pPr>
        <w:ind w:firstLine="709"/>
        <w:jc w:val="center"/>
        <w:rPr>
          <w:rFonts w:cs="Arial"/>
          <w:szCs w:val="22"/>
        </w:rPr>
      </w:pPr>
      <m:oMath>
        <m:sSub>
          <m:sSubPr>
            <m:ctrlPr>
              <w:rPr>
                <w:rFonts w:ascii="Cambria Math" w:hAnsi="Cambria Math"/>
                <w:i/>
              </w:rPr>
            </m:ctrlPr>
          </m:sSubPr>
          <m:e>
            <m:r>
              <w:rPr>
                <w:rFonts w:ascii="Cambria Math" w:hAnsi="Cambria Math"/>
              </w:rPr>
              <m:t>β</m:t>
            </m:r>
          </m:e>
          <m:sub>
            <m:r>
              <w:rPr>
                <w:rFonts w:ascii="Cambria Math" w:hAnsi="Cambria Math"/>
              </w:rPr>
              <m:t>a</m:t>
            </m:r>
          </m:sub>
        </m:sSub>
        <m:r>
          <m:rPr>
            <m:sty m:val="p"/>
          </m:rPr>
          <w:rPr>
            <w:rFonts w:ascii="Cambria Math" w:hAnsi="Cambria Math" w:cs="TimesNewRomanPSMT"/>
            <w:szCs w:val="14"/>
            <w:vertAlign w:val="subscript"/>
          </w:rPr>
          <m:t xml:space="preserve"> </m:t>
        </m:r>
        <m:r>
          <m:rPr>
            <m:sty m:val="p"/>
          </m:rPr>
          <w:rPr>
            <w:rFonts w:ascii="Cambria Math" w:cs="TimesNewRomanPSMT"/>
            <w:szCs w:val="14"/>
            <w:vertAlign w:val="subscript"/>
          </w:rPr>
          <m:t>=</m:t>
        </m:r>
        <m:d>
          <m:dPr>
            <m:ctrlPr>
              <w:rPr>
                <w:rFonts w:ascii="Cambria Math" w:hAnsi="Cambria Math" w:cs="TimesNewRomanPSMT"/>
                <w:szCs w:val="14"/>
                <w:vertAlign w:val="subscript"/>
              </w:rPr>
            </m:ctrlPr>
          </m:dPr>
          <m:e>
            <m:f>
              <m:fPr>
                <m:ctrlPr>
                  <w:rPr>
                    <w:rFonts w:ascii="Cambria Math" w:hAnsi="Cambria Math"/>
                    <w:noProof/>
                    <w:vertAlign w:val="subscript"/>
                  </w:rPr>
                </m:ctrlPr>
              </m:fPr>
              <m:num>
                <m:r>
                  <w:rPr>
                    <w:rFonts w:ascii="Cambria Math" w:hAnsi="Cambria Math"/>
                    <w:noProof/>
                    <w:vertAlign w:val="subscript"/>
                  </w:rPr>
                  <m:t>E</m:t>
                </m:r>
              </m:num>
              <m:den>
                <m:r>
                  <w:rPr>
                    <w:rFonts w:ascii="Cambria Math" w:hAnsi="Cambria Math"/>
                    <w:noProof/>
                    <w:vertAlign w:val="subscript"/>
                  </w:rPr>
                  <m:t>D</m:t>
                </m:r>
                <m:r>
                  <m:rPr>
                    <m:sty m:val="p"/>
                  </m:rPr>
                  <w:rPr>
                    <w:rFonts w:ascii="Cambria Math" w:hAnsi="Cambria Math"/>
                    <w:noProof/>
                    <w:vertAlign w:val="subscript"/>
                  </w:rPr>
                  <m:t>+</m:t>
                </m:r>
                <m:r>
                  <w:rPr>
                    <w:rFonts w:ascii="Cambria Math" w:hAnsi="Cambria Math"/>
                    <w:noProof/>
                    <w:vertAlign w:val="subscript"/>
                  </w:rPr>
                  <m:t>E</m:t>
                </m:r>
              </m:den>
            </m:f>
          </m:e>
        </m:d>
        <m:r>
          <m:rPr>
            <m:sty m:val="p"/>
          </m:rPr>
          <w:rPr>
            <w:rFonts w:ascii="Cambria Math" w:cs="TimesNewRomanPSMT"/>
            <w:szCs w:val="14"/>
            <w:vertAlign w:val="subscript"/>
          </w:rPr>
          <m:t>*</m:t>
        </m:r>
        <m:r>
          <m:rPr>
            <m:sty m:val="p"/>
          </m:rPr>
          <w:rPr>
            <w:rFonts w:ascii="Cambria Math" w:cs="TimesNewRomanPSMT"/>
            <w:szCs w:val="14"/>
            <w:vertAlign w:val="subscript"/>
          </w:rPr>
          <m:t xml:space="preserve"> </m:t>
        </m:r>
        <m:sSub>
          <m:sSubPr>
            <m:ctrlPr>
              <w:rPr>
                <w:rFonts w:ascii="Cambria Math" w:hAnsi="Cambria Math"/>
                <w:i/>
              </w:rPr>
            </m:ctrlPr>
          </m:sSubPr>
          <m:e>
            <m:r>
              <w:rPr>
                <w:rFonts w:ascii="Cambria Math" w:hAnsi="Cambria Math"/>
              </w:rPr>
              <m:t>β</m:t>
            </m:r>
          </m:e>
          <m:sub>
            <m:r>
              <w:rPr>
                <w:rFonts w:ascii="Cambria Math" w:hAnsi="Cambria Math"/>
              </w:rPr>
              <m:t>e</m:t>
            </m:r>
          </m:sub>
        </m:sSub>
        <m:r>
          <m:rPr>
            <m:sty m:val="p"/>
          </m:rPr>
          <w:rPr>
            <w:rFonts w:ascii="Cambria Math" w:hAnsi="Cambria Math" w:cs="TimesNewRomanPSMT"/>
            <w:szCs w:val="14"/>
            <w:vertAlign w:val="subscript"/>
          </w:rPr>
          <m:t xml:space="preserve"> </m:t>
        </m:r>
        <m:r>
          <m:rPr>
            <m:sty m:val="p"/>
          </m:rPr>
          <w:rPr>
            <w:rFonts w:ascii="Cambria Math" w:cs="TimesNewRomanPSMT"/>
            <w:szCs w:val="14"/>
            <w:vertAlign w:val="subscript"/>
          </w:rPr>
          <m:t>+</m:t>
        </m:r>
        <m:d>
          <m:dPr>
            <m:ctrlPr>
              <w:rPr>
                <w:rFonts w:ascii="Cambria Math" w:hAnsi="Cambria Math" w:cs="TimesNewRomanPSMT"/>
                <w:szCs w:val="14"/>
                <w:vertAlign w:val="subscript"/>
              </w:rPr>
            </m:ctrlPr>
          </m:dPr>
          <m:e>
            <m:f>
              <m:fPr>
                <m:ctrlPr>
                  <w:rPr>
                    <w:rFonts w:ascii="Cambria Math" w:hAnsi="Cambria Math"/>
                    <w:noProof/>
                    <w:vertAlign w:val="subscript"/>
                  </w:rPr>
                </m:ctrlPr>
              </m:fPr>
              <m:num>
                <m:r>
                  <w:rPr>
                    <w:rFonts w:ascii="Cambria Math" w:hAnsi="Cambria Math"/>
                    <w:noProof/>
                    <w:vertAlign w:val="subscript"/>
                  </w:rPr>
                  <m:t>D</m:t>
                </m:r>
              </m:num>
              <m:den>
                <m:r>
                  <w:rPr>
                    <w:rFonts w:ascii="Cambria Math" w:hAnsi="Cambria Math"/>
                    <w:noProof/>
                    <w:vertAlign w:val="subscript"/>
                  </w:rPr>
                  <m:t>D</m:t>
                </m:r>
                <m:r>
                  <m:rPr>
                    <m:sty m:val="p"/>
                  </m:rPr>
                  <w:rPr>
                    <w:rFonts w:ascii="Cambria Math" w:hAnsi="Cambria Math"/>
                    <w:noProof/>
                    <w:vertAlign w:val="subscript"/>
                  </w:rPr>
                  <m:t>+</m:t>
                </m:r>
                <m:r>
                  <w:rPr>
                    <w:rFonts w:ascii="Cambria Math" w:hAnsi="Cambria Math"/>
                    <w:noProof/>
                    <w:vertAlign w:val="subscript"/>
                  </w:rPr>
                  <m:t>E</m:t>
                </m:r>
              </m:den>
            </m:f>
          </m:e>
        </m:d>
        <m:r>
          <m:rPr>
            <m:sty m:val="p"/>
          </m:rPr>
          <w:rPr>
            <w:rFonts w:ascii="Cambria Math" w:cs="TimesNewRomanPSMT"/>
            <w:szCs w:val="14"/>
            <w:vertAlign w:val="subscript"/>
          </w:rPr>
          <m:t>*</m:t>
        </m:r>
        <m:sSub>
          <m:sSubPr>
            <m:ctrlPr>
              <w:rPr>
                <w:rFonts w:ascii="Cambria Math" w:hAnsi="Cambria Math"/>
                <w:i/>
              </w:rPr>
            </m:ctrlPr>
          </m:sSubPr>
          <m:e>
            <m:r>
              <w:rPr>
                <w:rFonts w:ascii="Cambria Math" w:hAnsi="Cambria Math"/>
              </w:rPr>
              <m:t>β</m:t>
            </m:r>
          </m:e>
          <m:sub>
            <m:r>
              <w:rPr>
                <w:rFonts w:ascii="Cambria Math" w:hAnsi="Cambria Math"/>
              </w:rPr>
              <m:t>d</m:t>
            </m:r>
          </m:sub>
        </m:sSub>
      </m:oMath>
      <w:r w:rsidR="00574F06">
        <w:rPr>
          <w:rFonts w:cs="Arial"/>
          <w:szCs w:val="14"/>
        </w:rPr>
        <w:t>,</w:t>
      </w:r>
    </w:p>
    <w:p w:rsidR="00574F06" w:rsidRPr="004F268D" w:rsidRDefault="00574F06" w:rsidP="00574F06">
      <w:pPr>
        <w:spacing w:before="240"/>
        <w:rPr>
          <w:rFonts w:ascii="Arial" w:hAnsi="Arial" w:cs="Arial"/>
          <w:sz w:val="22"/>
          <w:szCs w:val="22"/>
        </w:rPr>
      </w:pPr>
      <w:r w:rsidRPr="004F268D">
        <w:rPr>
          <w:rFonts w:ascii="Arial" w:hAnsi="Arial" w:cs="Arial"/>
          <w:sz w:val="22"/>
          <w:szCs w:val="22"/>
        </w:rPr>
        <w:t>kde</w:t>
      </w:r>
    </w:p>
    <w:p w:rsidR="00574F06" w:rsidRPr="004F268D" w:rsidRDefault="00574F06" w:rsidP="00574F06">
      <w:pPr>
        <w:spacing w:before="60"/>
        <w:rPr>
          <w:rFonts w:ascii="Arial" w:hAnsi="Arial" w:cs="Arial"/>
          <w:noProof/>
          <w:sz w:val="22"/>
          <w:szCs w:val="22"/>
          <w:lang w:eastAsia="zh-TW"/>
        </w:rPr>
      </w:pPr>
      <w:r w:rsidRPr="004F268D">
        <w:rPr>
          <w:rFonts w:ascii="Arial" w:hAnsi="Arial" w:cs="Arial"/>
          <w:noProof/>
          <w:sz w:val="22"/>
          <w:szCs w:val="22"/>
          <w:lang w:eastAsia="zh-TW"/>
        </w:rPr>
        <w:t>ß</w:t>
      </w:r>
      <w:r w:rsidRPr="004F268D">
        <w:rPr>
          <w:rFonts w:ascii="Arial" w:hAnsi="Arial" w:cs="Arial"/>
          <w:noProof/>
          <w:sz w:val="22"/>
          <w:szCs w:val="22"/>
          <w:vertAlign w:val="subscript"/>
          <w:lang w:eastAsia="zh-TW"/>
        </w:rPr>
        <w:t>a</w:t>
      </w:r>
      <w:r w:rsidRPr="004F268D">
        <w:rPr>
          <w:rFonts w:ascii="Arial" w:hAnsi="Arial" w:cs="Arial"/>
          <w:noProof/>
          <w:sz w:val="22"/>
          <w:szCs w:val="22"/>
          <w:lang w:eastAsia="zh-TW"/>
        </w:rPr>
        <w:t xml:space="preserve"> </w:t>
      </w:r>
      <w:r w:rsidRPr="004F268D">
        <w:rPr>
          <w:rFonts w:ascii="Arial" w:hAnsi="Arial" w:cs="Arial"/>
          <w:noProof/>
          <w:sz w:val="22"/>
          <w:szCs w:val="22"/>
          <w:lang w:eastAsia="zh-TW"/>
        </w:rPr>
        <w:tab/>
      </w:r>
      <w:r w:rsidRPr="004F268D">
        <w:rPr>
          <w:rFonts w:ascii="Arial" w:hAnsi="Arial" w:cs="Arial"/>
          <w:noProof/>
          <w:sz w:val="22"/>
          <w:szCs w:val="22"/>
          <w:lang w:eastAsia="zh-TW"/>
        </w:rPr>
        <w:tab/>
        <w:t>je asset beta,</w:t>
      </w:r>
    </w:p>
    <w:p w:rsidR="00574F06" w:rsidRPr="004F268D" w:rsidRDefault="00574F06" w:rsidP="00574F06">
      <w:pPr>
        <w:spacing w:before="60"/>
        <w:rPr>
          <w:rFonts w:ascii="Arial" w:hAnsi="Arial" w:cs="Arial"/>
          <w:noProof/>
          <w:sz w:val="22"/>
          <w:szCs w:val="22"/>
          <w:lang w:eastAsia="zh-TW"/>
        </w:rPr>
      </w:pPr>
      <w:r w:rsidRPr="004F268D">
        <w:rPr>
          <w:rFonts w:ascii="Arial" w:hAnsi="Arial" w:cs="Arial"/>
          <w:noProof/>
          <w:sz w:val="22"/>
          <w:szCs w:val="22"/>
          <w:lang w:eastAsia="zh-TW"/>
        </w:rPr>
        <w:t>ß</w:t>
      </w:r>
      <w:r w:rsidRPr="004F268D">
        <w:rPr>
          <w:rFonts w:ascii="Arial" w:hAnsi="Arial" w:cs="Arial"/>
          <w:noProof/>
          <w:sz w:val="22"/>
          <w:szCs w:val="22"/>
          <w:vertAlign w:val="subscript"/>
          <w:lang w:eastAsia="zh-TW"/>
        </w:rPr>
        <w:t>e</w:t>
      </w:r>
      <w:r w:rsidRPr="004F268D">
        <w:rPr>
          <w:rFonts w:ascii="Arial" w:hAnsi="Arial" w:cs="Arial"/>
          <w:noProof/>
          <w:sz w:val="22"/>
          <w:szCs w:val="22"/>
          <w:lang w:eastAsia="zh-TW"/>
        </w:rPr>
        <w:t xml:space="preserve"> </w:t>
      </w:r>
      <w:r w:rsidRPr="004F268D">
        <w:rPr>
          <w:rFonts w:ascii="Arial" w:hAnsi="Arial" w:cs="Arial"/>
          <w:noProof/>
          <w:sz w:val="22"/>
          <w:szCs w:val="22"/>
          <w:lang w:eastAsia="zh-TW"/>
        </w:rPr>
        <w:tab/>
      </w:r>
      <w:r w:rsidRPr="004F268D">
        <w:rPr>
          <w:rFonts w:ascii="Arial" w:hAnsi="Arial" w:cs="Arial"/>
          <w:noProof/>
          <w:sz w:val="22"/>
          <w:szCs w:val="22"/>
          <w:lang w:eastAsia="zh-TW"/>
        </w:rPr>
        <w:tab/>
        <w:t>je equity beta,</w:t>
      </w:r>
    </w:p>
    <w:p w:rsidR="00574F06" w:rsidRPr="004F268D" w:rsidRDefault="00574F06" w:rsidP="00574F06">
      <w:pPr>
        <w:spacing w:before="60"/>
        <w:rPr>
          <w:rFonts w:ascii="Arial" w:hAnsi="Arial" w:cs="Arial"/>
          <w:noProof/>
          <w:sz w:val="22"/>
          <w:szCs w:val="22"/>
          <w:lang w:eastAsia="zh-TW"/>
        </w:rPr>
      </w:pPr>
      <w:r w:rsidRPr="004F268D">
        <w:rPr>
          <w:rFonts w:ascii="Arial" w:hAnsi="Arial" w:cs="Arial"/>
          <w:noProof/>
          <w:sz w:val="22"/>
          <w:szCs w:val="22"/>
          <w:lang w:eastAsia="zh-TW"/>
        </w:rPr>
        <w:t>ß</w:t>
      </w:r>
      <w:r w:rsidRPr="004F268D">
        <w:rPr>
          <w:rFonts w:ascii="Arial" w:hAnsi="Arial" w:cs="Arial"/>
          <w:noProof/>
          <w:sz w:val="22"/>
          <w:szCs w:val="22"/>
          <w:vertAlign w:val="subscript"/>
          <w:lang w:eastAsia="zh-TW"/>
        </w:rPr>
        <w:t>d</w:t>
      </w:r>
      <w:r w:rsidRPr="004F268D">
        <w:rPr>
          <w:rFonts w:ascii="Arial" w:hAnsi="Arial" w:cs="Arial"/>
          <w:noProof/>
          <w:sz w:val="22"/>
          <w:szCs w:val="22"/>
          <w:lang w:eastAsia="zh-TW"/>
        </w:rPr>
        <w:t xml:space="preserve"> </w:t>
      </w:r>
      <w:r w:rsidRPr="004F268D">
        <w:rPr>
          <w:rFonts w:ascii="Arial" w:hAnsi="Arial" w:cs="Arial"/>
          <w:noProof/>
          <w:sz w:val="22"/>
          <w:szCs w:val="22"/>
          <w:lang w:eastAsia="zh-TW"/>
        </w:rPr>
        <w:tab/>
      </w:r>
      <w:r w:rsidRPr="004F268D">
        <w:rPr>
          <w:rFonts w:ascii="Arial" w:hAnsi="Arial" w:cs="Arial"/>
          <w:noProof/>
          <w:sz w:val="22"/>
          <w:szCs w:val="22"/>
          <w:lang w:eastAsia="zh-TW"/>
        </w:rPr>
        <w:tab/>
        <w:t>je beta dluhu,</w:t>
      </w:r>
    </w:p>
    <w:p w:rsidR="00574F06" w:rsidRPr="004F268D" w:rsidRDefault="00574F06" w:rsidP="00574F06">
      <w:pPr>
        <w:spacing w:before="60"/>
        <w:rPr>
          <w:rFonts w:ascii="Arial" w:hAnsi="Arial" w:cs="Arial"/>
          <w:noProof/>
          <w:sz w:val="22"/>
          <w:szCs w:val="22"/>
          <w:lang w:eastAsia="zh-TW"/>
        </w:rPr>
      </w:pPr>
      <w:r w:rsidRPr="004F268D">
        <w:rPr>
          <w:rFonts w:ascii="Arial" w:hAnsi="Arial" w:cs="Arial"/>
          <w:noProof/>
          <w:sz w:val="22"/>
          <w:szCs w:val="22"/>
          <w:lang w:eastAsia="zh-TW"/>
        </w:rPr>
        <w:t>D</w:t>
      </w:r>
      <w:r w:rsidRPr="004F268D">
        <w:rPr>
          <w:rFonts w:ascii="Arial" w:hAnsi="Arial" w:cs="Arial"/>
          <w:noProof/>
          <w:sz w:val="22"/>
          <w:szCs w:val="22"/>
          <w:lang w:eastAsia="zh-TW"/>
        </w:rPr>
        <w:tab/>
      </w:r>
      <w:r w:rsidRPr="004F268D">
        <w:rPr>
          <w:rFonts w:ascii="Arial" w:hAnsi="Arial" w:cs="Arial"/>
          <w:noProof/>
          <w:sz w:val="22"/>
          <w:szCs w:val="22"/>
          <w:lang w:eastAsia="zh-TW"/>
        </w:rPr>
        <w:tab/>
        <w:t>je cizí kapitál,</w:t>
      </w:r>
    </w:p>
    <w:p w:rsidR="00574F06" w:rsidRPr="004F268D" w:rsidRDefault="00574F06" w:rsidP="00574F06">
      <w:pPr>
        <w:spacing w:before="60"/>
        <w:rPr>
          <w:rFonts w:ascii="Arial" w:hAnsi="Arial" w:cs="Arial"/>
          <w:noProof/>
          <w:sz w:val="22"/>
          <w:szCs w:val="22"/>
          <w:lang w:eastAsia="zh-TW"/>
        </w:rPr>
      </w:pPr>
      <w:r w:rsidRPr="004F268D">
        <w:rPr>
          <w:rFonts w:ascii="Arial" w:hAnsi="Arial" w:cs="Arial"/>
          <w:noProof/>
          <w:sz w:val="22"/>
          <w:szCs w:val="22"/>
          <w:lang w:eastAsia="zh-TW"/>
        </w:rPr>
        <w:t>E                     je vlastní kapitál.</w:t>
      </w:r>
    </w:p>
    <w:p w:rsidR="00574F06" w:rsidRPr="004F268D" w:rsidRDefault="00574F06" w:rsidP="0065390C">
      <w:pPr>
        <w:spacing w:before="240" w:after="240"/>
        <w:jc w:val="both"/>
        <w:rPr>
          <w:rFonts w:ascii="Arial" w:hAnsi="Arial" w:cs="Arial"/>
          <w:sz w:val="22"/>
          <w:szCs w:val="22"/>
        </w:rPr>
      </w:pPr>
      <w:r>
        <w:rPr>
          <w:rFonts w:cs="TimesNewRomanPSMT"/>
          <w:szCs w:val="22"/>
        </w:rPr>
        <w:tab/>
      </w:r>
      <w:r w:rsidRPr="004F268D">
        <w:rPr>
          <w:rFonts w:ascii="Arial" w:hAnsi="Arial" w:cs="Arial"/>
          <w:sz w:val="22"/>
          <w:szCs w:val="22"/>
        </w:rPr>
        <w:t xml:space="preserve">Pro rok 2021 BEREC vypočetl hodnoty beta a zadluženosti pro každou společnost zahrnutou do peer group v následující výši: </w:t>
      </w:r>
    </w:p>
    <w:p w:rsidR="00574F06" w:rsidRPr="004F268D" w:rsidRDefault="00574F06" w:rsidP="00574F06">
      <w:pPr>
        <w:spacing w:after="240"/>
        <w:rPr>
          <w:rFonts w:ascii="Arial" w:hAnsi="Arial" w:cs="Arial"/>
          <w:sz w:val="22"/>
          <w:szCs w:val="22"/>
        </w:rPr>
      </w:pPr>
      <w:r w:rsidRPr="004F268D">
        <w:rPr>
          <w:rFonts w:ascii="Arial" w:hAnsi="Arial" w:cs="Arial"/>
          <w:sz w:val="22"/>
          <w:szCs w:val="22"/>
        </w:rPr>
        <w:t>Tabulka č. 2: BEREC peer group 2021 – Equity beta, Gearing, Asset beta</w:t>
      </w:r>
    </w:p>
    <w:tbl>
      <w:tblPr>
        <w:tblW w:w="3772" w:type="pct"/>
        <w:tblInd w:w="-5" w:type="dxa"/>
        <w:tblLayout w:type="fixed"/>
        <w:tblLook w:val="04A0" w:firstRow="1" w:lastRow="0" w:firstColumn="1" w:lastColumn="0" w:noHBand="0" w:noVBand="1"/>
      </w:tblPr>
      <w:tblGrid>
        <w:gridCol w:w="708"/>
        <w:gridCol w:w="2992"/>
        <w:gridCol w:w="997"/>
        <w:gridCol w:w="1137"/>
        <w:gridCol w:w="1001"/>
      </w:tblGrid>
      <w:tr w:rsidR="00574F06" w:rsidRPr="004F268D" w:rsidTr="008808F3">
        <w:trPr>
          <w:trHeight w:val="699"/>
        </w:trPr>
        <w:tc>
          <w:tcPr>
            <w:tcW w:w="518"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574F06" w:rsidRPr="004F268D" w:rsidRDefault="00574F06" w:rsidP="008808F3">
            <w:pPr>
              <w:rPr>
                <w:rFonts w:ascii="Arial" w:hAnsi="Arial" w:cs="Arial"/>
                <w:b/>
                <w:bCs/>
                <w:color w:val="000000"/>
                <w:sz w:val="22"/>
                <w:szCs w:val="22"/>
                <w:lang w:eastAsia="en-GB"/>
              </w:rPr>
            </w:pPr>
          </w:p>
        </w:tc>
        <w:tc>
          <w:tcPr>
            <w:tcW w:w="2189" w:type="pct"/>
            <w:tcBorders>
              <w:top w:val="single" w:sz="4" w:space="0" w:color="auto"/>
              <w:left w:val="nil"/>
              <w:bottom w:val="single" w:sz="4" w:space="0" w:color="auto"/>
              <w:right w:val="single" w:sz="4" w:space="0" w:color="auto"/>
            </w:tcBorders>
            <w:shd w:val="pct25" w:color="auto" w:fill="auto"/>
            <w:noWrap/>
            <w:vAlign w:val="bottom"/>
            <w:hideMark/>
          </w:tcPr>
          <w:p w:rsidR="00574F06" w:rsidRPr="004F268D" w:rsidRDefault="00574F06" w:rsidP="008808F3">
            <w:pPr>
              <w:rPr>
                <w:rFonts w:ascii="Arial" w:hAnsi="Arial" w:cs="Arial"/>
                <w:b/>
                <w:bCs/>
                <w:color w:val="000000"/>
                <w:sz w:val="22"/>
                <w:szCs w:val="22"/>
                <w:lang w:eastAsia="en-GB"/>
              </w:rPr>
            </w:pPr>
            <w:r w:rsidRPr="004F268D">
              <w:rPr>
                <w:rFonts w:ascii="Arial" w:hAnsi="Arial" w:cs="Arial"/>
                <w:b/>
                <w:bCs/>
                <w:color w:val="000000"/>
                <w:sz w:val="22"/>
                <w:szCs w:val="22"/>
                <w:lang w:eastAsia="en-GB"/>
              </w:rPr>
              <w:t>Společnost</w:t>
            </w:r>
          </w:p>
        </w:tc>
        <w:tc>
          <w:tcPr>
            <w:tcW w:w="729" w:type="pct"/>
            <w:tcBorders>
              <w:top w:val="single" w:sz="4" w:space="0" w:color="auto"/>
              <w:left w:val="nil"/>
              <w:bottom w:val="single" w:sz="4" w:space="0" w:color="auto"/>
              <w:right w:val="single" w:sz="4" w:space="0" w:color="auto"/>
            </w:tcBorders>
            <w:shd w:val="pct25" w:color="auto" w:fill="auto"/>
            <w:noWrap/>
            <w:vAlign w:val="bottom"/>
            <w:hideMark/>
          </w:tcPr>
          <w:p w:rsidR="00574F06" w:rsidRPr="004F268D" w:rsidRDefault="00574F06" w:rsidP="008808F3">
            <w:pPr>
              <w:jc w:val="center"/>
              <w:rPr>
                <w:rFonts w:ascii="Arial" w:hAnsi="Arial" w:cs="Arial"/>
                <w:b/>
                <w:bCs/>
                <w:color w:val="000000"/>
                <w:sz w:val="22"/>
                <w:szCs w:val="22"/>
                <w:lang w:eastAsia="en-GB"/>
              </w:rPr>
            </w:pPr>
            <w:r w:rsidRPr="004F268D">
              <w:rPr>
                <w:rFonts w:ascii="Arial" w:hAnsi="Arial" w:cs="Arial"/>
                <w:b/>
                <w:bCs/>
                <w:color w:val="000000"/>
                <w:sz w:val="22"/>
                <w:szCs w:val="22"/>
                <w:lang w:eastAsia="en-GB"/>
              </w:rPr>
              <w:t>Equity beta</w:t>
            </w:r>
          </w:p>
        </w:tc>
        <w:tc>
          <w:tcPr>
            <w:tcW w:w="832" w:type="pct"/>
            <w:tcBorders>
              <w:top w:val="single" w:sz="4" w:space="0" w:color="auto"/>
              <w:left w:val="nil"/>
              <w:bottom w:val="single" w:sz="4" w:space="0" w:color="auto"/>
              <w:right w:val="single" w:sz="4" w:space="0" w:color="auto"/>
            </w:tcBorders>
            <w:shd w:val="pct25" w:color="auto" w:fill="auto"/>
            <w:noWrap/>
            <w:vAlign w:val="bottom"/>
            <w:hideMark/>
          </w:tcPr>
          <w:p w:rsidR="00574F06" w:rsidRPr="004F268D" w:rsidRDefault="00574F06" w:rsidP="008808F3">
            <w:pPr>
              <w:jc w:val="center"/>
              <w:rPr>
                <w:rFonts w:ascii="Arial" w:hAnsi="Arial" w:cs="Arial"/>
                <w:b/>
                <w:bCs/>
                <w:color w:val="000000"/>
                <w:sz w:val="22"/>
                <w:szCs w:val="22"/>
                <w:lang w:eastAsia="en-GB"/>
              </w:rPr>
            </w:pPr>
            <w:r w:rsidRPr="004F268D">
              <w:rPr>
                <w:rFonts w:ascii="Arial" w:hAnsi="Arial" w:cs="Arial"/>
                <w:b/>
                <w:bCs/>
                <w:color w:val="000000"/>
                <w:sz w:val="22"/>
                <w:szCs w:val="22"/>
                <w:lang w:eastAsia="en-GB"/>
              </w:rPr>
              <w:t>Gearing</w:t>
            </w:r>
          </w:p>
        </w:tc>
        <w:tc>
          <w:tcPr>
            <w:tcW w:w="732" w:type="pct"/>
            <w:tcBorders>
              <w:top w:val="single" w:sz="4" w:space="0" w:color="auto"/>
              <w:left w:val="nil"/>
              <w:bottom w:val="single" w:sz="4" w:space="0" w:color="auto"/>
              <w:right w:val="single" w:sz="4" w:space="0" w:color="auto"/>
            </w:tcBorders>
            <w:shd w:val="pct25" w:color="auto" w:fill="auto"/>
            <w:noWrap/>
            <w:vAlign w:val="bottom"/>
            <w:hideMark/>
          </w:tcPr>
          <w:p w:rsidR="00574F06" w:rsidRPr="004F268D" w:rsidRDefault="00574F06" w:rsidP="008808F3">
            <w:pPr>
              <w:jc w:val="center"/>
              <w:rPr>
                <w:rFonts w:ascii="Arial" w:hAnsi="Arial" w:cs="Arial"/>
                <w:b/>
                <w:bCs/>
                <w:color w:val="000000"/>
                <w:sz w:val="22"/>
                <w:szCs w:val="22"/>
                <w:lang w:eastAsia="en-GB"/>
              </w:rPr>
            </w:pPr>
            <w:r w:rsidRPr="004F268D">
              <w:rPr>
                <w:rFonts w:ascii="Arial" w:hAnsi="Arial" w:cs="Arial"/>
                <w:b/>
                <w:bCs/>
                <w:color w:val="000000"/>
                <w:sz w:val="22"/>
                <w:szCs w:val="22"/>
                <w:lang w:eastAsia="en-GB"/>
              </w:rPr>
              <w:t>Asset beta</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t>1</w:t>
            </w:r>
          </w:p>
        </w:tc>
        <w:tc>
          <w:tcPr>
            <w:tcW w:w="218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bCs/>
                <w:sz w:val="22"/>
                <w:szCs w:val="22"/>
                <w:lang w:eastAsia="en-GB"/>
              </w:rPr>
            </w:pPr>
            <w:proofErr w:type="spellStart"/>
            <w:r w:rsidRPr="004F268D">
              <w:rPr>
                <w:rFonts w:ascii="Arial" w:hAnsi="Arial" w:cs="Arial"/>
                <w:bCs/>
                <w:sz w:val="22"/>
                <w:szCs w:val="22"/>
                <w:lang w:eastAsia="en-GB"/>
              </w:rPr>
              <w:t>Deutsche</w:t>
            </w:r>
            <w:proofErr w:type="spellEnd"/>
            <w:r w:rsidRPr="004F268D">
              <w:rPr>
                <w:rFonts w:ascii="Arial" w:hAnsi="Arial" w:cs="Arial"/>
                <w:bCs/>
                <w:sz w:val="22"/>
                <w:szCs w:val="22"/>
                <w:lang w:eastAsia="en-GB"/>
              </w:rPr>
              <w:t xml:space="preserve"> Telekom AG</w:t>
            </w:r>
          </w:p>
        </w:tc>
        <w:tc>
          <w:tcPr>
            <w:tcW w:w="72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0.84</w:t>
            </w:r>
          </w:p>
        </w:tc>
        <w:tc>
          <w:tcPr>
            <w:tcW w:w="8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48.85 %</w:t>
            </w:r>
          </w:p>
        </w:tc>
        <w:tc>
          <w:tcPr>
            <w:tcW w:w="7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0.48</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t>2</w:t>
            </w:r>
          </w:p>
        </w:tc>
        <w:tc>
          <w:tcPr>
            <w:tcW w:w="218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bCs/>
                <w:sz w:val="22"/>
                <w:szCs w:val="22"/>
                <w:lang w:eastAsia="en-GB"/>
              </w:rPr>
            </w:pPr>
            <w:r w:rsidRPr="004F268D">
              <w:rPr>
                <w:rFonts w:ascii="Arial" w:hAnsi="Arial" w:cs="Arial"/>
                <w:bCs/>
                <w:sz w:val="22"/>
                <w:szCs w:val="22"/>
                <w:lang w:eastAsia="en-GB"/>
              </w:rPr>
              <w:t xml:space="preserve">Elisa </w:t>
            </w:r>
            <w:proofErr w:type="spellStart"/>
            <w:r w:rsidRPr="004F268D">
              <w:rPr>
                <w:rFonts w:ascii="Arial" w:hAnsi="Arial" w:cs="Arial"/>
                <w:bCs/>
                <w:sz w:val="22"/>
                <w:szCs w:val="22"/>
                <w:lang w:eastAsia="en-GB"/>
              </w:rPr>
              <w:t>Oyj</w:t>
            </w:r>
            <w:proofErr w:type="spellEnd"/>
          </w:p>
        </w:tc>
        <w:tc>
          <w:tcPr>
            <w:tcW w:w="72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0.46</w:t>
            </w:r>
          </w:p>
        </w:tc>
        <w:tc>
          <w:tcPr>
            <w:tcW w:w="8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13.61 %</w:t>
            </w:r>
          </w:p>
        </w:tc>
        <w:tc>
          <w:tcPr>
            <w:tcW w:w="7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0.41</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t>3</w:t>
            </w:r>
          </w:p>
        </w:tc>
        <w:tc>
          <w:tcPr>
            <w:tcW w:w="218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bCs/>
                <w:sz w:val="22"/>
                <w:szCs w:val="22"/>
                <w:lang w:eastAsia="en-GB"/>
              </w:rPr>
            </w:pPr>
            <w:proofErr w:type="spellStart"/>
            <w:r w:rsidRPr="004F268D">
              <w:rPr>
                <w:rFonts w:ascii="Arial" w:hAnsi="Arial" w:cs="Arial"/>
                <w:bCs/>
                <w:sz w:val="22"/>
                <w:szCs w:val="22"/>
                <w:lang w:eastAsia="en-GB"/>
              </w:rPr>
              <w:t>Koninklijke</w:t>
            </w:r>
            <w:proofErr w:type="spellEnd"/>
            <w:r w:rsidRPr="004F268D">
              <w:rPr>
                <w:rFonts w:ascii="Arial" w:hAnsi="Arial" w:cs="Arial"/>
                <w:bCs/>
                <w:sz w:val="22"/>
                <w:szCs w:val="22"/>
                <w:lang w:eastAsia="en-GB"/>
              </w:rPr>
              <w:t xml:space="preserve"> KPN N.V.</w:t>
            </w:r>
          </w:p>
        </w:tc>
        <w:tc>
          <w:tcPr>
            <w:tcW w:w="72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0.75</w:t>
            </w:r>
          </w:p>
        </w:tc>
        <w:tc>
          <w:tcPr>
            <w:tcW w:w="8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39.12 %</w:t>
            </w:r>
          </w:p>
        </w:tc>
        <w:tc>
          <w:tcPr>
            <w:tcW w:w="7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0.49</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t>4</w:t>
            </w:r>
          </w:p>
        </w:tc>
        <w:tc>
          <w:tcPr>
            <w:tcW w:w="218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bCs/>
                <w:sz w:val="22"/>
                <w:szCs w:val="22"/>
                <w:lang w:eastAsia="en-GB"/>
              </w:rPr>
            </w:pPr>
            <w:r w:rsidRPr="004F268D">
              <w:rPr>
                <w:rFonts w:ascii="Arial" w:hAnsi="Arial" w:cs="Arial"/>
                <w:bCs/>
                <w:sz w:val="22"/>
                <w:szCs w:val="22"/>
                <w:lang w:eastAsia="en-GB"/>
              </w:rPr>
              <w:t>NOS</w:t>
            </w:r>
          </w:p>
        </w:tc>
        <w:tc>
          <w:tcPr>
            <w:tcW w:w="72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0.78</w:t>
            </w:r>
          </w:p>
        </w:tc>
        <w:tc>
          <w:tcPr>
            <w:tcW w:w="8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 xml:space="preserve">31.90 % </w:t>
            </w:r>
          </w:p>
        </w:tc>
        <w:tc>
          <w:tcPr>
            <w:tcW w:w="7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0.57</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t>5</w:t>
            </w:r>
          </w:p>
        </w:tc>
        <w:tc>
          <w:tcPr>
            <w:tcW w:w="218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bCs/>
                <w:sz w:val="22"/>
                <w:szCs w:val="22"/>
                <w:lang w:eastAsia="en-GB"/>
              </w:rPr>
            </w:pPr>
            <w:r w:rsidRPr="004F268D">
              <w:rPr>
                <w:rFonts w:ascii="Arial" w:hAnsi="Arial" w:cs="Arial"/>
                <w:bCs/>
                <w:sz w:val="22"/>
                <w:szCs w:val="22"/>
                <w:lang w:eastAsia="en-GB"/>
              </w:rPr>
              <w:t>Orange S.A.</w:t>
            </w:r>
          </w:p>
        </w:tc>
        <w:tc>
          <w:tcPr>
            <w:tcW w:w="72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0.79</w:t>
            </w:r>
          </w:p>
        </w:tc>
        <w:tc>
          <w:tcPr>
            <w:tcW w:w="8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50.19 %</w:t>
            </w:r>
          </w:p>
        </w:tc>
        <w:tc>
          <w:tcPr>
            <w:tcW w:w="7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0.44</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t>6</w:t>
            </w:r>
          </w:p>
        </w:tc>
        <w:tc>
          <w:tcPr>
            <w:tcW w:w="218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bCs/>
                <w:sz w:val="22"/>
                <w:szCs w:val="22"/>
                <w:lang w:eastAsia="en-GB"/>
              </w:rPr>
            </w:pPr>
            <w:proofErr w:type="spellStart"/>
            <w:r w:rsidRPr="004F268D">
              <w:rPr>
                <w:rFonts w:ascii="Arial" w:hAnsi="Arial" w:cs="Arial"/>
                <w:bCs/>
                <w:sz w:val="22"/>
                <w:szCs w:val="22"/>
                <w:lang w:eastAsia="en-GB"/>
              </w:rPr>
              <w:t>Proximus</w:t>
            </w:r>
            <w:proofErr w:type="spellEnd"/>
            <w:r w:rsidRPr="004F268D">
              <w:rPr>
                <w:rFonts w:ascii="Arial" w:hAnsi="Arial" w:cs="Arial"/>
                <w:bCs/>
                <w:sz w:val="22"/>
                <w:szCs w:val="22"/>
                <w:lang w:eastAsia="en-GB"/>
              </w:rPr>
              <w:t xml:space="preserve"> S.A.</w:t>
            </w:r>
          </w:p>
        </w:tc>
        <w:tc>
          <w:tcPr>
            <w:tcW w:w="72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0.62</w:t>
            </w:r>
          </w:p>
        </w:tc>
        <w:tc>
          <w:tcPr>
            <w:tcW w:w="8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23.02 %</w:t>
            </w:r>
          </w:p>
        </w:tc>
        <w:tc>
          <w:tcPr>
            <w:tcW w:w="7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0.50</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t>7</w:t>
            </w:r>
          </w:p>
        </w:tc>
        <w:tc>
          <w:tcPr>
            <w:tcW w:w="218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bCs/>
                <w:sz w:val="22"/>
                <w:szCs w:val="22"/>
                <w:lang w:eastAsia="en-GB"/>
              </w:rPr>
            </w:pPr>
            <w:r w:rsidRPr="004F268D">
              <w:rPr>
                <w:rFonts w:ascii="Arial" w:hAnsi="Arial" w:cs="Arial"/>
                <w:bCs/>
                <w:sz w:val="22"/>
                <w:szCs w:val="22"/>
                <w:lang w:eastAsia="en-GB"/>
              </w:rPr>
              <w:t>Tele2 AB</w:t>
            </w:r>
          </w:p>
        </w:tc>
        <w:tc>
          <w:tcPr>
            <w:tcW w:w="72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0.64</w:t>
            </w:r>
          </w:p>
        </w:tc>
        <w:tc>
          <w:tcPr>
            <w:tcW w:w="8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21.32 %</w:t>
            </w:r>
          </w:p>
        </w:tc>
        <w:tc>
          <w:tcPr>
            <w:tcW w:w="7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0.52</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t>8</w:t>
            </w:r>
          </w:p>
        </w:tc>
        <w:tc>
          <w:tcPr>
            <w:tcW w:w="218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bCs/>
                <w:sz w:val="22"/>
                <w:szCs w:val="22"/>
                <w:lang w:eastAsia="en-GB"/>
              </w:rPr>
            </w:pPr>
            <w:r w:rsidRPr="004F268D">
              <w:rPr>
                <w:rFonts w:ascii="Arial" w:hAnsi="Arial" w:cs="Arial"/>
                <w:bCs/>
                <w:sz w:val="22"/>
                <w:szCs w:val="22"/>
                <w:lang w:eastAsia="en-GB"/>
              </w:rPr>
              <w:t>Telecom Italia</w:t>
            </w:r>
          </w:p>
        </w:tc>
        <w:tc>
          <w:tcPr>
            <w:tcW w:w="72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1.08</w:t>
            </w:r>
          </w:p>
        </w:tc>
        <w:tc>
          <w:tcPr>
            <w:tcW w:w="8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68.24 %</w:t>
            </w:r>
          </w:p>
        </w:tc>
        <w:tc>
          <w:tcPr>
            <w:tcW w:w="7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0.42</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lastRenderedPageBreak/>
              <w:t>9</w:t>
            </w:r>
          </w:p>
        </w:tc>
        <w:tc>
          <w:tcPr>
            <w:tcW w:w="218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bCs/>
                <w:sz w:val="22"/>
                <w:szCs w:val="22"/>
                <w:lang w:eastAsia="en-GB"/>
              </w:rPr>
            </w:pPr>
            <w:r w:rsidRPr="004F268D">
              <w:rPr>
                <w:rFonts w:ascii="Arial" w:hAnsi="Arial" w:cs="Arial"/>
                <w:bCs/>
                <w:sz w:val="22"/>
                <w:szCs w:val="22"/>
                <w:lang w:eastAsia="en-GB"/>
              </w:rPr>
              <w:t>Telefónica S.A.</w:t>
            </w:r>
          </w:p>
        </w:tc>
        <w:tc>
          <w:tcPr>
            <w:tcW w:w="72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1.12</w:t>
            </w:r>
          </w:p>
        </w:tc>
        <w:tc>
          <w:tcPr>
            <w:tcW w:w="8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55.29 %</w:t>
            </w:r>
          </w:p>
        </w:tc>
        <w:tc>
          <w:tcPr>
            <w:tcW w:w="7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0.56</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t>10</w:t>
            </w:r>
          </w:p>
        </w:tc>
        <w:tc>
          <w:tcPr>
            <w:tcW w:w="218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bCs/>
                <w:sz w:val="22"/>
                <w:szCs w:val="22"/>
                <w:lang w:eastAsia="en-GB"/>
              </w:rPr>
            </w:pPr>
            <w:r w:rsidRPr="004F268D">
              <w:rPr>
                <w:rFonts w:ascii="Arial" w:hAnsi="Arial" w:cs="Arial"/>
                <w:bCs/>
                <w:sz w:val="22"/>
                <w:szCs w:val="22"/>
                <w:lang w:eastAsia="en-GB"/>
              </w:rPr>
              <w:t xml:space="preserve">Telecom </w:t>
            </w:r>
            <w:proofErr w:type="spellStart"/>
            <w:r w:rsidRPr="004F268D">
              <w:rPr>
                <w:rFonts w:ascii="Arial" w:hAnsi="Arial" w:cs="Arial"/>
                <w:bCs/>
                <w:sz w:val="22"/>
                <w:szCs w:val="22"/>
                <w:lang w:eastAsia="en-GB"/>
              </w:rPr>
              <w:t>Austria</w:t>
            </w:r>
            <w:proofErr w:type="spellEnd"/>
            <w:r w:rsidRPr="004F268D">
              <w:rPr>
                <w:rFonts w:ascii="Arial" w:hAnsi="Arial" w:cs="Arial"/>
                <w:bCs/>
                <w:sz w:val="22"/>
                <w:szCs w:val="22"/>
                <w:lang w:eastAsia="en-GB"/>
              </w:rPr>
              <w:t xml:space="preserve"> AG</w:t>
            </w:r>
          </w:p>
        </w:tc>
        <w:tc>
          <w:tcPr>
            <w:tcW w:w="72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0.69</w:t>
            </w:r>
          </w:p>
        </w:tc>
        <w:tc>
          <w:tcPr>
            <w:tcW w:w="8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37.66 %</w:t>
            </w:r>
          </w:p>
        </w:tc>
        <w:tc>
          <w:tcPr>
            <w:tcW w:w="7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0.47</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t>11</w:t>
            </w:r>
          </w:p>
        </w:tc>
        <w:tc>
          <w:tcPr>
            <w:tcW w:w="218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bCs/>
                <w:sz w:val="22"/>
                <w:szCs w:val="22"/>
                <w:lang w:eastAsia="en-GB"/>
              </w:rPr>
            </w:pPr>
            <w:proofErr w:type="spellStart"/>
            <w:r w:rsidRPr="004F268D">
              <w:rPr>
                <w:rFonts w:ascii="Arial" w:hAnsi="Arial" w:cs="Arial"/>
                <w:bCs/>
                <w:sz w:val="22"/>
                <w:szCs w:val="22"/>
                <w:lang w:eastAsia="en-GB"/>
              </w:rPr>
              <w:t>Telenet</w:t>
            </w:r>
            <w:proofErr w:type="spellEnd"/>
            <w:r w:rsidRPr="004F268D">
              <w:rPr>
                <w:rFonts w:ascii="Arial" w:hAnsi="Arial" w:cs="Arial"/>
                <w:bCs/>
                <w:sz w:val="22"/>
                <w:szCs w:val="22"/>
                <w:lang w:eastAsia="en-GB"/>
              </w:rPr>
              <w:t xml:space="preserve"> Group Holding N.V.</w:t>
            </w:r>
          </w:p>
        </w:tc>
        <w:tc>
          <w:tcPr>
            <w:tcW w:w="72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0.70</w:t>
            </w:r>
          </w:p>
        </w:tc>
        <w:tc>
          <w:tcPr>
            <w:tcW w:w="8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48.71 %</w:t>
            </w:r>
          </w:p>
        </w:tc>
        <w:tc>
          <w:tcPr>
            <w:tcW w:w="7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0.41</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t>12</w:t>
            </w:r>
          </w:p>
        </w:tc>
        <w:tc>
          <w:tcPr>
            <w:tcW w:w="2189" w:type="pct"/>
            <w:tcBorders>
              <w:top w:val="nil"/>
              <w:left w:val="nil"/>
              <w:bottom w:val="single" w:sz="4" w:space="0" w:color="auto"/>
              <w:right w:val="single" w:sz="4" w:space="0" w:color="auto"/>
            </w:tcBorders>
            <w:shd w:val="clear" w:color="auto" w:fill="auto"/>
            <w:noWrap/>
            <w:vAlign w:val="bottom"/>
          </w:tcPr>
          <w:p w:rsidR="00574F06" w:rsidRPr="004F268D" w:rsidRDefault="00574F06" w:rsidP="008808F3">
            <w:pPr>
              <w:rPr>
                <w:rFonts w:ascii="Arial" w:hAnsi="Arial" w:cs="Arial"/>
                <w:bCs/>
                <w:sz w:val="22"/>
                <w:szCs w:val="22"/>
                <w:lang w:eastAsia="en-GB"/>
              </w:rPr>
            </w:pPr>
            <w:proofErr w:type="spellStart"/>
            <w:r w:rsidRPr="004F268D">
              <w:rPr>
                <w:rFonts w:ascii="Arial" w:hAnsi="Arial" w:cs="Arial"/>
                <w:bCs/>
                <w:sz w:val="22"/>
                <w:szCs w:val="22"/>
                <w:lang w:eastAsia="en-GB"/>
              </w:rPr>
              <w:t>Telenor</w:t>
            </w:r>
            <w:proofErr w:type="spellEnd"/>
          </w:p>
        </w:tc>
        <w:tc>
          <w:tcPr>
            <w:tcW w:w="729" w:type="pct"/>
            <w:tcBorders>
              <w:top w:val="nil"/>
              <w:left w:val="nil"/>
              <w:bottom w:val="single" w:sz="4" w:space="0" w:color="auto"/>
              <w:right w:val="single" w:sz="4" w:space="0" w:color="auto"/>
            </w:tcBorders>
            <w:shd w:val="clear" w:color="auto" w:fill="auto"/>
            <w:noWrap/>
            <w:vAlign w:val="bottom"/>
          </w:tcPr>
          <w:p w:rsidR="00574F06" w:rsidRPr="004F268D" w:rsidRDefault="00574F06" w:rsidP="008808F3">
            <w:pPr>
              <w:jc w:val="center"/>
              <w:rPr>
                <w:rFonts w:ascii="Arial" w:hAnsi="Arial" w:cs="Arial"/>
                <w:sz w:val="22"/>
                <w:szCs w:val="22"/>
              </w:rPr>
            </w:pPr>
            <w:r w:rsidRPr="004F268D">
              <w:rPr>
                <w:rFonts w:ascii="Arial" w:hAnsi="Arial" w:cs="Arial"/>
                <w:sz w:val="22"/>
                <w:szCs w:val="22"/>
              </w:rPr>
              <w:t>0.42</w:t>
            </w:r>
          </w:p>
        </w:tc>
        <w:tc>
          <w:tcPr>
            <w:tcW w:w="832" w:type="pct"/>
            <w:tcBorders>
              <w:top w:val="nil"/>
              <w:left w:val="nil"/>
              <w:bottom w:val="single" w:sz="4" w:space="0" w:color="auto"/>
              <w:right w:val="single" w:sz="4" w:space="0" w:color="auto"/>
            </w:tcBorders>
            <w:shd w:val="clear" w:color="auto" w:fill="auto"/>
            <w:noWrap/>
            <w:vAlign w:val="bottom"/>
          </w:tcPr>
          <w:p w:rsidR="00574F06" w:rsidRPr="004F268D" w:rsidRDefault="00574F06" w:rsidP="008808F3">
            <w:pPr>
              <w:jc w:val="center"/>
              <w:rPr>
                <w:rFonts w:ascii="Arial" w:hAnsi="Arial" w:cs="Arial"/>
                <w:sz w:val="22"/>
                <w:szCs w:val="22"/>
              </w:rPr>
            </w:pPr>
            <w:r w:rsidRPr="004F268D">
              <w:rPr>
                <w:rFonts w:ascii="Arial" w:hAnsi="Arial" w:cs="Arial"/>
                <w:sz w:val="22"/>
                <w:szCs w:val="22"/>
              </w:rPr>
              <w:t>27.04 %</w:t>
            </w:r>
          </w:p>
        </w:tc>
        <w:tc>
          <w:tcPr>
            <w:tcW w:w="732" w:type="pct"/>
            <w:tcBorders>
              <w:top w:val="nil"/>
              <w:left w:val="nil"/>
              <w:bottom w:val="single" w:sz="4" w:space="0" w:color="auto"/>
              <w:right w:val="single" w:sz="4" w:space="0" w:color="auto"/>
            </w:tcBorders>
            <w:shd w:val="clear" w:color="auto" w:fill="auto"/>
            <w:noWrap/>
            <w:vAlign w:val="bottom"/>
          </w:tcPr>
          <w:p w:rsidR="00574F06" w:rsidRPr="004F268D" w:rsidRDefault="00574F06" w:rsidP="008808F3">
            <w:pPr>
              <w:jc w:val="center"/>
              <w:rPr>
                <w:rFonts w:ascii="Arial" w:hAnsi="Arial" w:cs="Arial"/>
                <w:sz w:val="22"/>
                <w:szCs w:val="22"/>
              </w:rPr>
            </w:pPr>
            <w:r w:rsidRPr="004F268D">
              <w:rPr>
                <w:rFonts w:ascii="Arial" w:hAnsi="Arial" w:cs="Arial"/>
                <w:sz w:val="22"/>
                <w:szCs w:val="22"/>
              </w:rPr>
              <w:t>0.33</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t>13</w:t>
            </w:r>
          </w:p>
        </w:tc>
        <w:tc>
          <w:tcPr>
            <w:tcW w:w="218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bCs/>
                <w:sz w:val="22"/>
                <w:szCs w:val="22"/>
                <w:lang w:eastAsia="en-GB"/>
              </w:rPr>
            </w:pPr>
            <w:r w:rsidRPr="004F268D">
              <w:rPr>
                <w:rFonts w:ascii="Arial" w:hAnsi="Arial" w:cs="Arial"/>
                <w:bCs/>
                <w:sz w:val="22"/>
                <w:szCs w:val="22"/>
                <w:lang w:eastAsia="en-GB"/>
              </w:rPr>
              <w:t xml:space="preserve">Telia </w:t>
            </w:r>
            <w:proofErr w:type="spellStart"/>
            <w:r w:rsidRPr="004F268D">
              <w:rPr>
                <w:rFonts w:ascii="Arial" w:hAnsi="Arial" w:cs="Arial"/>
                <w:bCs/>
                <w:sz w:val="22"/>
                <w:szCs w:val="22"/>
                <w:lang w:eastAsia="en-GB"/>
              </w:rPr>
              <w:t>Company</w:t>
            </w:r>
            <w:proofErr w:type="spellEnd"/>
            <w:r w:rsidRPr="004F268D">
              <w:rPr>
                <w:rFonts w:ascii="Arial" w:hAnsi="Arial" w:cs="Arial"/>
                <w:bCs/>
                <w:sz w:val="22"/>
                <w:szCs w:val="22"/>
                <w:lang w:eastAsia="en-GB"/>
              </w:rPr>
              <w:t xml:space="preserve"> AB</w:t>
            </w:r>
          </w:p>
        </w:tc>
        <w:tc>
          <w:tcPr>
            <w:tcW w:w="72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0.68</w:t>
            </w:r>
          </w:p>
        </w:tc>
        <w:tc>
          <w:tcPr>
            <w:tcW w:w="8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35.81 %</w:t>
            </w:r>
          </w:p>
        </w:tc>
        <w:tc>
          <w:tcPr>
            <w:tcW w:w="7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0.48</w:t>
            </w:r>
          </w:p>
        </w:tc>
      </w:tr>
      <w:tr w:rsidR="00574F06" w:rsidRPr="004F268D" w:rsidTr="008808F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sz w:val="22"/>
                <w:szCs w:val="22"/>
                <w:lang w:eastAsia="en-GB"/>
              </w:rPr>
            </w:pPr>
            <w:r w:rsidRPr="004F268D">
              <w:rPr>
                <w:rFonts w:ascii="Arial" w:hAnsi="Arial" w:cs="Arial"/>
                <w:sz w:val="22"/>
                <w:szCs w:val="22"/>
                <w:lang w:eastAsia="en-GB"/>
              </w:rPr>
              <w:t>14</w:t>
            </w:r>
          </w:p>
        </w:tc>
        <w:tc>
          <w:tcPr>
            <w:tcW w:w="218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rPr>
                <w:rFonts w:ascii="Arial" w:hAnsi="Arial" w:cs="Arial"/>
                <w:bCs/>
                <w:sz w:val="22"/>
                <w:szCs w:val="22"/>
                <w:lang w:eastAsia="en-GB"/>
              </w:rPr>
            </w:pPr>
            <w:r w:rsidRPr="004F268D">
              <w:rPr>
                <w:rFonts w:ascii="Arial" w:hAnsi="Arial" w:cs="Arial"/>
                <w:bCs/>
                <w:sz w:val="22"/>
                <w:szCs w:val="22"/>
                <w:lang w:eastAsia="en-GB"/>
              </w:rPr>
              <w:t xml:space="preserve">Vodafone Group </w:t>
            </w:r>
            <w:proofErr w:type="spellStart"/>
            <w:r w:rsidRPr="004F268D">
              <w:rPr>
                <w:rFonts w:ascii="Arial" w:hAnsi="Arial" w:cs="Arial"/>
                <w:bCs/>
                <w:sz w:val="22"/>
                <w:szCs w:val="22"/>
                <w:lang w:eastAsia="en-GB"/>
              </w:rPr>
              <w:t>plc</w:t>
            </w:r>
            <w:proofErr w:type="spellEnd"/>
          </w:p>
        </w:tc>
        <w:tc>
          <w:tcPr>
            <w:tcW w:w="729"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0.90</w:t>
            </w:r>
          </w:p>
        </w:tc>
        <w:tc>
          <w:tcPr>
            <w:tcW w:w="8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48.26 %</w:t>
            </w:r>
          </w:p>
        </w:tc>
        <w:tc>
          <w:tcPr>
            <w:tcW w:w="732" w:type="pct"/>
            <w:tcBorders>
              <w:top w:val="nil"/>
              <w:left w:val="nil"/>
              <w:bottom w:val="single" w:sz="4" w:space="0" w:color="auto"/>
              <w:right w:val="single" w:sz="4" w:space="0" w:color="auto"/>
            </w:tcBorders>
            <w:shd w:val="clear" w:color="auto" w:fill="auto"/>
            <w:noWrap/>
            <w:vAlign w:val="bottom"/>
            <w:hideMark/>
          </w:tcPr>
          <w:p w:rsidR="00574F06" w:rsidRPr="004F268D" w:rsidRDefault="00574F06" w:rsidP="008808F3">
            <w:pPr>
              <w:jc w:val="center"/>
              <w:rPr>
                <w:rFonts w:ascii="Arial" w:hAnsi="Arial" w:cs="Arial"/>
                <w:sz w:val="22"/>
                <w:szCs w:val="22"/>
                <w:lang w:eastAsia="en-GB"/>
              </w:rPr>
            </w:pPr>
            <w:r w:rsidRPr="004F268D">
              <w:rPr>
                <w:rFonts w:ascii="Arial" w:hAnsi="Arial" w:cs="Arial"/>
                <w:sz w:val="22"/>
                <w:szCs w:val="22"/>
              </w:rPr>
              <w:t>0.52</w:t>
            </w:r>
          </w:p>
        </w:tc>
      </w:tr>
    </w:tbl>
    <w:p w:rsidR="00574F06" w:rsidRPr="004F268D" w:rsidRDefault="00574F06" w:rsidP="00574F06">
      <w:pPr>
        <w:spacing w:before="120" w:after="240"/>
        <w:rPr>
          <w:rFonts w:ascii="Arial" w:hAnsi="Arial" w:cs="Arial"/>
          <w:sz w:val="20"/>
        </w:rPr>
      </w:pPr>
      <w:r w:rsidRPr="004F268D">
        <w:rPr>
          <w:rFonts w:ascii="Arial" w:hAnsi="Arial" w:cs="Arial"/>
          <w:sz w:val="20"/>
        </w:rPr>
        <w:t xml:space="preserve">Zdroj: WACC </w:t>
      </w:r>
      <w:proofErr w:type="spellStart"/>
      <w:r w:rsidRPr="004F268D">
        <w:rPr>
          <w:rFonts w:ascii="Arial" w:hAnsi="Arial" w:cs="Arial"/>
          <w:sz w:val="20"/>
        </w:rPr>
        <w:t>parameters</w:t>
      </w:r>
      <w:proofErr w:type="spellEnd"/>
      <w:r w:rsidRPr="004F268D">
        <w:rPr>
          <w:rFonts w:ascii="Arial" w:hAnsi="Arial" w:cs="Arial"/>
          <w:sz w:val="20"/>
        </w:rPr>
        <w:t xml:space="preserve"> Report 2021, </w:t>
      </w:r>
      <w:proofErr w:type="spellStart"/>
      <w:r w:rsidRPr="004F268D">
        <w:rPr>
          <w:rFonts w:ascii="Arial" w:hAnsi="Arial" w:cs="Arial"/>
          <w:sz w:val="20"/>
        </w:rPr>
        <w:t>BoR</w:t>
      </w:r>
      <w:proofErr w:type="spellEnd"/>
      <w:r w:rsidRPr="004F268D">
        <w:rPr>
          <w:rFonts w:ascii="Arial" w:hAnsi="Arial" w:cs="Arial"/>
          <w:sz w:val="20"/>
        </w:rPr>
        <w:t xml:space="preserve"> (21) 86</w:t>
      </w:r>
    </w:p>
    <w:p w:rsidR="00574F06" w:rsidRPr="004F268D" w:rsidRDefault="00574F06" w:rsidP="004F268D">
      <w:pPr>
        <w:spacing w:after="240"/>
        <w:jc w:val="both"/>
        <w:rPr>
          <w:rFonts w:ascii="Arial" w:hAnsi="Arial" w:cs="Arial"/>
          <w:sz w:val="22"/>
          <w:szCs w:val="22"/>
        </w:rPr>
      </w:pPr>
      <w:r>
        <w:rPr>
          <w:rFonts w:cs="TimesNewRomanPSMT"/>
          <w:szCs w:val="22"/>
        </w:rPr>
        <w:tab/>
      </w:r>
      <w:r w:rsidRPr="004F268D">
        <w:rPr>
          <w:rFonts w:ascii="Arial" w:hAnsi="Arial" w:cs="Arial"/>
          <w:sz w:val="22"/>
          <w:szCs w:val="22"/>
        </w:rPr>
        <w:t xml:space="preserve">Betu dluhu stanovil BEREC ve výši 0,1 na základě doporučení Komise ve Sdělení. </w:t>
      </w:r>
    </w:p>
    <w:p w:rsidR="00574F06" w:rsidRPr="004F268D" w:rsidRDefault="00574F06" w:rsidP="004F268D">
      <w:pPr>
        <w:spacing w:after="240"/>
        <w:jc w:val="both"/>
        <w:rPr>
          <w:rFonts w:ascii="Arial" w:hAnsi="Arial" w:cs="Arial"/>
          <w:sz w:val="22"/>
          <w:szCs w:val="22"/>
        </w:rPr>
      </w:pPr>
      <w:r w:rsidRPr="004F268D">
        <w:rPr>
          <w:rFonts w:ascii="Arial" w:hAnsi="Arial" w:cs="Arial"/>
          <w:sz w:val="22"/>
          <w:szCs w:val="22"/>
        </w:rPr>
        <w:tab/>
        <w:t xml:space="preserve">Úřad stanovil hodnotu asset beta jako aritmetický průměr hodnot asset beta z tabulky č. 2 za celou peer group ve výši 0,47 a </w:t>
      </w:r>
      <w:r w:rsidRPr="004F268D">
        <w:rPr>
          <w:rFonts w:ascii="Arial" w:hAnsi="Arial" w:cs="Arial"/>
          <w:b/>
          <w:bCs/>
          <w:sz w:val="22"/>
          <w:szCs w:val="22"/>
        </w:rPr>
        <w:t xml:space="preserve">zadluženost </w:t>
      </w:r>
      <w:r w:rsidRPr="004F268D">
        <w:rPr>
          <w:rFonts w:ascii="Arial" w:hAnsi="Arial" w:cs="Arial"/>
          <w:sz w:val="22"/>
          <w:szCs w:val="22"/>
        </w:rPr>
        <w:t>jako aritmetický průměr hodnot „</w:t>
      </w:r>
      <w:proofErr w:type="spellStart"/>
      <w:r w:rsidRPr="004F268D">
        <w:rPr>
          <w:rFonts w:ascii="Arial" w:hAnsi="Arial" w:cs="Arial"/>
          <w:sz w:val="22"/>
          <w:szCs w:val="22"/>
        </w:rPr>
        <w:t>gearing</w:t>
      </w:r>
      <w:proofErr w:type="spellEnd"/>
      <w:r w:rsidRPr="004F268D">
        <w:rPr>
          <w:rFonts w:ascii="Arial" w:hAnsi="Arial" w:cs="Arial"/>
          <w:sz w:val="22"/>
          <w:szCs w:val="22"/>
        </w:rPr>
        <w:t xml:space="preserve">“ z tabulky č. 2 za celou peer group ve výši </w:t>
      </w:r>
      <w:r w:rsidRPr="004F268D">
        <w:rPr>
          <w:rFonts w:ascii="Arial" w:hAnsi="Arial" w:cs="Arial"/>
          <w:b/>
          <w:bCs/>
          <w:sz w:val="22"/>
          <w:szCs w:val="22"/>
        </w:rPr>
        <w:t>39,22 %.</w:t>
      </w:r>
      <w:r w:rsidRPr="004F268D">
        <w:rPr>
          <w:rFonts w:ascii="Arial" w:hAnsi="Arial" w:cs="Arial"/>
          <w:sz w:val="22"/>
          <w:szCs w:val="22"/>
        </w:rPr>
        <w:t xml:space="preserve"> Na základě těchto průměrných hodnot byla podle vzorce výše stanovena hodnota </w:t>
      </w:r>
      <w:r w:rsidRPr="004F268D">
        <w:rPr>
          <w:rFonts w:ascii="Arial" w:hAnsi="Arial" w:cs="Arial"/>
          <w:b/>
          <w:bCs/>
          <w:sz w:val="22"/>
          <w:szCs w:val="22"/>
        </w:rPr>
        <w:t>equity beta</w:t>
      </w:r>
      <w:r w:rsidRPr="004F268D">
        <w:rPr>
          <w:rFonts w:ascii="Arial" w:hAnsi="Arial" w:cs="Arial"/>
          <w:sz w:val="22"/>
          <w:szCs w:val="22"/>
        </w:rPr>
        <w:t xml:space="preserve"> ve výši </w:t>
      </w:r>
      <w:r w:rsidRPr="004F268D">
        <w:rPr>
          <w:rFonts w:ascii="Arial" w:hAnsi="Arial" w:cs="Arial"/>
          <w:b/>
          <w:bCs/>
          <w:sz w:val="22"/>
          <w:szCs w:val="22"/>
        </w:rPr>
        <w:t>0,71</w:t>
      </w:r>
      <w:r w:rsidRPr="004F268D">
        <w:rPr>
          <w:rFonts w:ascii="Arial" w:hAnsi="Arial" w:cs="Arial"/>
          <w:sz w:val="22"/>
          <w:szCs w:val="22"/>
        </w:rPr>
        <w:t xml:space="preserve">. </w:t>
      </w:r>
    </w:p>
    <w:p w:rsidR="00574F06" w:rsidRPr="004F268D" w:rsidRDefault="00574F06" w:rsidP="004F268D">
      <w:pPr>
        <w:spacing w:after="240"/>
        <w:ind w:firstLine="708"/>
        <w:jc w:val="both"/>
        <w:rPr>
          <w:rFonts w:ascii="Arial" w:hAnsi="Arial" w:cs="Arial"/>
          <w:sz w:val="22"/>
          <w:szCs w:val="22"/>
        </w:rPr>
      </w:pPr>
      <w:r w:rsidRPr="004F268D">
        <w:rPr>
          <w:rFonts w:ascii="Arial" w:hAnsi="Arial" w:cs="Arial"/>
          <w:sz w:val="22"/>
          <w:szCs w:val="22"/>
        </w:rPr>
        <w:t xml:space="preserve">Náklady cizího kapitálu byly stanoveny jako součet bezrizikové výnosové míry a dluhové prémie. </w:t>
      </w:r>
    </w:p>
    <w:p w:rsidR="00574F06" w:rsidRPr="004F268D" w:rsidRDefault="00574F06" w:rsidP="004F268D">
      <w:pPr>
        <w:spacing w:after="240"/>
        <w:ind w:firstLine="708"/>
        <w:jc w:val="both"/>
        <w:rPr>
          <w:rFonts w:ascii="Arial" w:hAnsi="Arial" w:cs="Arial"/>
          <w:sz w:val="22"/>
          <w:szCs w:val="22"/>
        </w:rPr>
      </w:pPr>
      <w:r w:rsidRPr="004F268D">
        <w:rPr>
          <w:rFonts w:ascii="Arial" w:hAnsi="Arial" w:cs="Arial"/>
          <w:sz w:val="22"/>
          <w:szCs w:val="22"/>
        </w:rPr>
        <w:t>Dluhovou prémii BEREC ve Zprávě stanovil na základě průměrného výnosu do splatnosti korporátních dluhopisů (YTM) emitovaných společnostmi v peer group s dobou do splatnosti 7 až 15 let (rok splatnosti duben 2027–březen 2035). Od průměrného výnosu do splatnosti každé společnosti v peer group byla odečtena výnosová míra státních dluhopisů se shodnou dobou do splatnosti.</w:t>
      </w:r>
    </w:p>
    <w:p w:rsidR="00574F06" w:rsidRPr="004F268D" w:rsidRDefault="00574F06" w:rsidP="004F268D">
      <w:pPr>
        <w:pStyle w:val="Titulek"/>
        <w:rPr>
          <w:rFonts w:cs="Arial"/>
          <w:szCs w:val="22"/>
          <w:lang w:val="cs-CZ"/>
        </w:rPr>
      </w:pPr>
      <w:bookmarkStart w:id="7" w:name="_Toc74307167"/>
      <w:r w:rsidRPr="004F268D">
        <w:rPr>
          <w:rFonts w:cs="Arial"/>
          <w:szCs w:val="22"/>
          <w:lang w:val="cs-CZ"/>
        </w:rPr>
        <w:t>Tabulka č. 3: Dluhová prémie</w:t>
      </w:r>
      <w:bookmarkEnd w:id="7"/>
    </w:p>
    <w:tbl>
      <w:tblPr>
        <w:tblW w:w="8931" w:type="dxa"/>
        <w:tblInd w:w="-10" w:type="dxa"/>
        <w:tblCellMar>
          <w:left w:w="70" w:type="dxa"/>
          <w:right w:w="70" w:type="dxa"/>
        </w:tblCellMar>
        <w:tblLook w:val="04A0" w:firstRow="1" w:lastRow="0" w:firstColumn="1" w:lastColumn="0" w:noHBand="0" w:noVBand="1"/>
      </w:tblPr>
      <w:tblGrid>
        <w:gridCol w:w="4111"/>
        <w:gridCol w:w="1843"/>
        <w:gridCol w:w="1417"/>
        <w:gridCol w:w="1560"/>
      </w:tblGrid>
      <w:tr w:rsidR="00574F06" w:rsidRPr="00FB6D60" w:rsidTr="008808F3">
        <w:trPr>
          <w:trHeight w:val="309"/>
        </w:trPr>
        <w:tc>
          <w:tcPr>
            <w:tcW w:w="4111"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574F06" w:rsidRPr="004F268D" w:rsidRDefault="00574F06" w:rsidP="008808F3">
            <w:pPr>
              <w:rPr>
                <w:rFonts w:ascii="Arial" w:hAnsi="Arial" w:cs="Arial"/>
                <w:color w:val="000000"/>
                <w:sz w:val="22"/>
                <w:szCs w:val="22"/>
                <w:lang w:val="es-ES" w:eastAsia="es-ES"/>
              </w:rPr>
            </w:pPr>
            <w:r w:rsidRPr="004F268D">
              <w:rPr>
                <w:rFonts w:ascii="Arial" w:hAnsi="Arial" w:cs="Arial"/>
                <w:color w:val="000000"/>
                <w:sz w:val="22"/>
                <w:szCs w:val="22"/>
                <w:lang w:eastAsia="es-ES"/>
              </w:rPr>
              <w:t> Společnost</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574F06" w:rsidRPr="004F268D" w:rsidRDefault="00574F06" w:rsidP="008808F3">
            <w:pPr>
              <w:jc w:val="center"/>
              <w:rPr>
                <w:rFonts w:ascii="Arial" w:hAnsi="Arial" w:cs="Arial"/>
                <w:b/>
                <w:bCs/>
                <w:color w:val="000000"/>
                <w:sz w:val="22"/>
                <w:szCs w:val="22"/>
                <w:lang w:val="es-ES" w:eastAsia="es-ES"/>
              </w:rPr>
            </w:pPr>
            <w:proofErr w:type="spellStart"/>
            <w:r w:rsidRPr="004F268D">
              <w:rPr>
                <w:rFonts w:ascii="Arial" w:hAnsi="Arial" w:cs="Arial"/>
                <w:b/>
                <w:bCs/>
                <w:color w:val="000000"/>
                <w:sz w:val="22"/>
                <w:szCs w:val="22"/>
                <w:lang w:val="es-ES" w:eastAsia="es-ES"/>
              </w:rPr>
              <w:t>Dluhová</w:t>
            </w:r>
            <w:proofErr w:type="spellEnd"/>
            <w:r w:rsidRPr="004F268D">
              <w:rPr>
                <w:rFonts w:ascii="Arial" w:hAnsi="Arial" w:cs="Arial"/>
                <w:b/>
                <w:bCs/>
                <w:color w:val="000000"/>
                <w:sz w:val="22"/>
                <w:szCs w:val="22"/>
                <w:lang w:val="es-ES" w:eastAsia="es-ES"/>
              </w:rPr>
              <w:t xml:space="preserve"> </w:t>
            </w:r>
            <w:proofErr w:type="spellStart"/>
            <w:r w:rsidRPr="004F268D">
              <w:rPr>
                <w:rFonts w:ascii="Arial" w:hAnsi="Arial" w:cs="Arial"/>
                <w:b/>
                <w:bCs/>
                <w:color w:val="000000"/>
                <w:sz w:val="22"/>
                <w:szCs w:val="22"/>
                <w:lang w:val="es-ES" w:eastAsia="es-ES"/>
              </w:rPr>
              <w:t>prémie</w:t>
            </w:r>
            <w:proofErr w:type="spellEnd"/>
            <w:r w:rsidRPr="004F268D">
              <w:rPr>
                <w:rFonts w:ascii="Arial" w:hAnsi="Arial" w:cs="Arial"/>
                <w:b/>
                <w:bCs/>
                <w:color w:val="000000"/>
                <w:sz w:val="22"/>
                <w:szCs w:val="22"/>
                <w:lang w:val="es-ES" w:eastAsia="es-ES"/>
              </w:rPr>
              <w:t xml:space="preserve"> (v </w:t>
            </w:r>
            <w:proofErr w:type="spellStart"/>
            <w:r w:rsidRPr="004F268D">
              <w:rPr>
                <w:rFonts w:ascii="Arial" w:hAnsi="Arial" w:cs="Arial"/>
                <w:b/>
                <w:bCs/>
                <w:color w:val="000000"/>
                <w:sz w:val="22"/>
                <w:szCs w:val="22"/>
                <w:lang w:val="es-ES" w:eastAsia="es-ES"/>
              </w:rPr>
              <w:t>procentních</w:t>
            </w:r>
            <w:proofErr w:type="spellEnd"/>
            <w:r w:rsidRPr="004F268D">
              <w:rPr>
                <w:rFonts w:ascii="Arial" w:hAnsi="Arial" w:cs="Arial"/>
                <w:b/>
                <w:bCs/>
                <w:color w:val="000000"/>
                <w:sz w:val="22"/>
                <w:szCs w:val="22"/>
                <w:lang w:val="es-ES" w:eastAsia="es-ES"/>
              </w:rPr>
              <w:t xml:space="preserve"> </w:t>
            </w:r>
            <w:proofErr w:type="spellStart"/>
            <w:r w:rsidRPr="004F268D">
              <w:rPr>
                <w:rFonts w:ascii="Arial" w:hAnsi="Arial" w:cs="Arial"/>
                <w:b/>
                <w:bCs/>
                <w:color w:val="000000"/>
                <w:sz w:val="22"/>
                <w:szCs w:val="22"/>
                <w:lang w:val="es-ES" w:eastAsia="es-ES"/>
              </w:rPr>
              <w:t>bodech</w:t>
            </w:r>
            <w:proofErr w:type="spellEnd"/>
            <w:r w:rsidRPr="004F268D">
              <w:rPr>
                <w:rFonts w:ascii="Arial" w:hAnsi="Arial" w:cs="Arial"/>
                <w:b/>
                <w:bCs/>
                <w:color w:val="000000"/>
                <w:sz w:val="22"/>
                <w:szCs w:val="22"/>
                <w:lang w:val="es-ES" w:eastAsia="es-ES"/>
              </w:rPr>
              <w:t>)</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574F06" w:rsidRPr="004F268D" w:rsidRDefault="00574F06" w:rsidP="008808F3">
            <w:pPr>
              <w:jc w:val="center"/>
              <w:rPr>
                <w:rFonts w:ascii="Arial" w:hAnsi="Arial" w:cs="Arial"/>
                <w:b/>
                <w:bCs/>
                <w:color w:val="000000"/>
                <w:sz w:val="22"/>
                <w:szCs w:val="22"/>
                <w:lang w:val="es-ES" w:eastAsia="es-ES"/>
              </w:rPr>
            </w:pPr>
            <w:r w:rsidRPr="004F268D">
              <w:rPr>
                <w:rFonts w:ascii="Arial" w:hAnsi="Arial" w:cs="Arial"/>
                <w:b/>
                <w:bCs/>
                <w:color w:val="000000"/>
                <w:sz w:val="22"/>
                <w:szCs w:val="22"/>
                <w:lang w:val="sv-SE" w:eastAsia="es-ES"/>
              </w:rPr>
              <w:t>Vnitrostátní bezriková výnosová míra (v %)</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574F06" w:rsidRPr="004F268D" w:rsidRDefault="00574F06" w:rsidP="008808F3">
            <w:pPr>
              <w:jc w:val="center"/>
              <w:rPr>
                <w:rFonts w:ascii="Arial" w:hAnsi="Arial" w:cs="Arial"/>
                <w:b/>
                <w:bCs/>
                <w:color w:val="000000"/>
                <w:sz w:val="22"/>
                <w:szCs w:val="22"/>
                <w:lang w:val="es-ES" w:eastAsia="es-ES"/>
              </w:rPr>
            </w:pPr>
            <w:r w:rsidRPr="004F268D">
              <w:rPr>
                <w:rFonts w:ascii="Arial" w:hAnsi="Arial" w:cs="Arial"/>
                <w:b/>
                <w:bCs/>
                <w:color w:val="000000"/>
                <w:sz w:val="22"/>
                <w:szCs w:val="22"/>
                <w:lang w:val="sv-SE" w:eastAsia="es-ES"/>
              </w:rPr>
              <w:t>Náklady na cizí kapitál (v %)</w:t>
            </w:r>
          </w:p>
        </w:tc>
      </w:tr>
      <w:tr w:rsidR="00574F06" w:rsidRPr="00FB6D60" w:rsidTr="008808F3">
        <w:trPr>
          <w:trHeight w:val="309"/>
        </w:trPr>
        <w:tc>
          <w:tcPr>
            <w:tcW w:w="4111" w:type="dxa"/>
            <w:vMerge/>
            <w:tcBorders>
              <w:top w:val="single" w:sz="8" w:space="0" w:color="auto"/>
              <w:left w:val="single" w:sz="8" w:space="0" w:color="auto"/>
              <w:bottom w:val="single" w:sz="8" w:space="0" w:color="000000"/>
              <w:right w:val="single" w:sz="8" w:space="0" w:color="auto"/>
            </w:tcBorders>
            <w:vAlign w:val="center"/>
            <w:hideMark/>
          </w:tcPr>
          <w:p w:rsidR="00574F06" w:rsidRPr="004F268D" w:rsidRDefault="00574F06" w:rsidP="008808F3">
            <w:pPr>
              <w:rPr>
                <w:rFonts w:ascii="Arial" w:hAnsi="Arial" w:cs="Arial"/>
                <w:color w:val="000000"/>
                <w:sz w:val="22"/>
                <w:szCs w:val="22"/>
                <w:lang w:val="es-ES" w:eastAsia="es-ES"/>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574F06" w:rsidRPr="004F268D" w:rsidRDefault="00574F06" w:rsidP="008808F3">
            <w:pPr>
              <w:rPr>
                <w:rFonts w:ascii="Arial" w:hAnsi="Arial" w:cs="Arial"/>
                <w:b/>
                <w:bCs/>
                <w:color w:val="000000"/>
                <w:sz w:val="22"/>
                <w:szCs w:val="22"/>
                <w:lang w:val="es-ES" w:eastAsia="es-E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574F06" w:rsidRPr="004F268D" w:rsidRDefault="00574F06" w:rsidP="008808F3">
            <w:pPr>
              <w:rPr>
                <w:rFonts w:ascii="Arial" w:hAnsi="Arial" w:cs="Arial"/>
                <w:b/>
                <w:bCs/>
                <w:color w:val="000000"/>
                <w:sz w:val="22"/>
                <w:szCs w:val="22"/>
                <w:lang w:val="es-ES" w:eastAsia="es-ES"/>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574F06" w:rsidRPr="004F268D" w:rsidRDefault="00574F06" w:rsidP="008808F3">
            <w:pPr>
              <w:rPr>
                <w:rFonts w:ascii="Arial" w:hAnsi="Arial" w:cs="Arial"/>
                <w:b/>
                <w:bCs/>
                <w:color w:val="000000"/>
                <w:sz w:val="22"/>
                <w:szCs w:val="22"/>
                <w:lang w:val="es-ES" w:eastAsia="es-ES"/>
              </w:rPr>
            </w:pPr>
          </w:p>
        </w:tc>
      </w:tr>
      <w:tr w:rsidR="00574F06" w:rsidRPr="00FB6D60" w:rsidTr="008808F3">
        <w:trPr>
          <w:trHeight w:val="309"/>
        </w:trPr>
        <w:tc>
          <w:tcPr>
            <w:tcW w:w="4111" w:type="dxa"/>
            <w:vMerge/>
            <w:tcBorders>
              <w:top w:val="single" w:sz="8" w:space="0" w:color="auto"/>
              <w:left w:val="single" w:sz="8" w:space="0" w:color="auto"/>
              <w:bottom w:val="single" w:sz="8" w:space="0" w:color="000000"/>
              <w:right w:val="single" w:sz="8" w:space="0" w:color="auto"/>
            </w:tcBorders>
            <w:vAlign w:val="center"/>
            <w:hideMark/>
          </w:tcPr>
          <w:p w:rsidR="00574F06" w:rsidRPr="004F268D" w:rsidRDefault="00574F06" w:rsidP="008808F3">
            <w:pPr>
              <w:rPr>
                <w:rFonts w:ascii="Arial" w:hAnsi="Arial" w:cs="Arial"/>
                <w:color w:val="000000"/>
                <w:sz w:val="22"/>
                <w:szCs w:val="22"/>
                <w:lang w:val="es-ES" w:eastAsia="es-ES"/>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574F06" w:rsidRPr="004F268D" w:rsidRDefault="00574F06" w:rsidP="008808F3">
            <w:pPr>
              <w:rPr>
                <w:rFonts w:ascii="Arial" w:hAnsi="Arial" w:cs="Arial"/>
                <w:b/>
                <w:bCs/>
                <w:color w:val="000000"/>
                <w:sz w:val="22"/>
                <w:szCs w:val="22"/>
                <w:lang w:val="es-ES" w:eastAsia="es-E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574F06" w:rsidRPr="004F268D" w:rsidRDefault="00574F06" w:rsidP="008808F3">
            <w:pPr>
              <w:rPr>
                <w:rFonts w:ascii="Arial" w:hAnsi="Arial" w:cs="Arial"/>
                <w:b/>
                <w:bCs/>
                <w:color w:val="000000"/>
                <w:sz w:val="22"/>
                <w:szCs w:val="22"/>
                <w:lang w:val="es-ES" w:eastAsia="es-ES"/>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574F06" w:rsidRPr="004F268D" w:rsidRDefault="00574F06" w:rsidP="008808F3">
            <w:pPr>
              <w:rPr>
                <w:rFonts w:ascii="Arial" w:hAnsi="Arial" w:cs="Arial"/>
                <w:b/>
                <w:bCs/>
                <w:color w:val="000000"/>
                <w:sz w:val="22"/>
                <w:szCs w:val="22"/>
                <w:lang w:val="es-ES" w:eastAsia="es-ES"/>
              </w:rPr>
            </w:pP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74F06" w:rsidRPr="004F268D" w:rsidRDefault="00574F06" w:rsidP="008808F3">
            <w:pPr>
              <w:rPr>
                <w:rFonts w:ascii="Arial" w:hAnsi="Arial" w:cs="Arial"/>
                <w:sz w:val="22"/>
                <w:szCs w:val="22"/>
                <w:lang w:val="es-ES" w:eastAsia="es-ES"/>
              </w:rPr>
            </w:pPr>
            <w:r w:rsidRPr="004F268D">
              <w:rPr>
                <w:rFonts w:ascii="Arial" w:hAnsi="Arial" w:cs="Arial"/>
                <w:sz w:val="22"/>
                <w:szCs w:val="22"/>
                <w:lang w:val="sv-SE" w:eastAsia="es-ES"/>
              </w:rPr>
              <w:t>Deutsche Telekom AG</w:t>
            </w:r>
          </w:p>
        </w:tc>
        <w:tc>
          <w:tcPr>
            <w:tcW w:w="1843"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sv-SE" w:eastAsia="es-ES"/>
              </w:rPr>
              <w:t>124</w:t>
            </w:r>
          </w:p>
        </w:tc>
        <w:tc>
          <w:tcPr>
            <w:tcW w:w="1417"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-0.03</w:t>
            </w:r>
          </w:p>
        </w:tc>
        <w:tc>
          <w:tcPr>
            <w:tcW w:w="1560"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1.21</w:t>
            </w: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74F06" w:rsidRPr="004F268D" w:rsidRDefault="00574F06" w:rsidP="008808F3">
            <w:pPr>
              <w:rPr>
                <w:rFonts w:ascii="Arial" w:hAnsi="Arial" w:cs="Arial"/>
                <w:sz w:val="22"/>
                <w:szCs w:val="22"/>
                <w:lang w:val="es-ES" w:eastAsia="es-ES"/>
              </w:rPr>
            </w:pPr>
            <w:r w:rsidRPr="004F268D">
              <w:rPr>
                <w:rFonts w:ascii="Arial" w:hAnsi="Arial" w:cs="Arial"/>
                <w:sz w:val="22"/>
                <w:szCs w:val="22"/>
                <w:lang w:val="sv-SE" w:eastAsia="es-ES"/>
              </w:rPr>
              <w:t>Elisa Oyj</w:t>
            </w:r>
          </w:p>
        </w:tc>
        <w:tc>
          <w:tcPr>
            <w:tcW w:w="1843"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sv-SE" w:eastAsia="es-ES"/>
              </w:rPr>
              <w:t>73</w:t>
            </w:r>
          </w:p>
        </w:tc>
        <w:tc>
          <w:tcPr>
            <w:tcW w:w="1417"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0.24</w:t>
            </w:r>
          </w:p>
        </w:tc>
        <w:tc>
          <w:tcPr>
            <w:tcW w:w="1560"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0.97</w:t>
            </w: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74F06" w:rsidRPr="004F268D" w:rsidRDefault="00574F06" w:rsidP="008808F3">
            <w:pPr>
              <w:rPr>
                <w:rFonts w:ascii="Arial" w:hAnsi="Arial" w:cs="Arial"/>
                <w:sz w:val="22"/>
                <w:szCs w:val="22"/>
                <w:lang w:val="es-ES" w:eastAsia="es-ES"/>
              </w:rPr>
            </w:pPr>
            <w:r w:rsidRPr="004F268D">
              <w:rPr>
                <w:rFonts w:ascii="Arial" w:hAnsi="Arial" w:cs="Arial"/>
                <w:sz w:val="22"/>
                <w:szCs w:val="22"/>
                <w:lang w:val="sv-SE" w:eastAsia="es-ES"/>
              </w:rPr>
              <w:t>Koninklijke KPN N.V.</w:t>
            </w:r>
          </w:p>
        </w:tc>
        <w:tc>
          <w:tcPr>
            <w:tcW w:w="1843"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sv-SE" w:eastAsia="es-ES"/>
              </w:rPr>
              <w:t>116</w:t>
            </w:r>
          </w:p>
        </w:tc>
        <w:tc>
          <w:tcPr>
            <w:tcW w:w="1417"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0.15</w:t>
            </w:r>
          </w:p>
        </w:tc>
        <w:tc>
          <w:tcPr>
            <w:tcW w:w="1560"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1.31</w:t>
            </w: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74F06" w:rsidRPr="004F268D" w:rsidRDefault="00574F06" w:rsidP="008808F3">
            <w:pPr>
              <w:rPr>
                <w:rFonts w:ascii="Arial" w:hAnsi="Arial" w:cs="Arial"/>
                <w:sz w:val="22"/>
                <w:szCs w:val="22"/>
                <w:lang w:val="es-ES" w:eastAsia="es-ES"/>
              </w:rPr>
            </w:pPr>
            <w:r w:rsidRPr="004F268D">
              <w:rPr>
                <w:rFonts w:ascii="Arial" w:hAnsi="Arial" w:cs="Arial"/>
                <w:sz w:val="22"/>
                <w:szCs w:val="22"/>
                <w:lang w:val="sv-SE" w:eastAsia="es-ES"/>
              </w:rPr>
              <w:t xml:space="preserve">NOS </w:t>
            </w:r>
          </w:p>
        </w:tc>
        <w:tc>
          <w:tcPr>
            <w:tcW w:w="1843"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sv-SE" w:eastAsia="es-ES"/>
              </w:rPr>
              <w:t>54</w:t>
            </w:r>
          </w:p>
        </w:tc>
        <w:tc>
          <w:tcPr>
            <w:tcW w:w="1417"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1.71</w:t>
            </w:r>
          </w:p>
        </w:tc>
        <w:tc>
          <w:tcPr>
            <w:tcW w:w="1560"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2.25</w:t>
            </w: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74F06" w:rsidRPr="004F268D" w:rsidRDefault="00574F06" w:rsidP="008808F3">
            <w:pPr>
              <w:rPr>
                <w:rFonts w:ascii="Arial" w:hAnsi="Arial" w:cs="Arial"/>
                <w:sz w:val="22"/>
                <w:szCs w:val="22"/>
                <w:lang w:val="es-ES" w:eastAsia="es-ES"/>
              </w:rPr>
            </w:pPr>
            <w:r w:rsidRPr="004F268D">
              <w:rPr>
                <w:rFonts w:ascii="Arial" w:hAnsi="Arial" w:cs="Arial"/>
                <w:sz w:val="22"/>
                <w:szCs w:val="22"/>
                <w:lang w:val="sv-SE" w:eastAsia="es-ES"/>
              </w:rPr>
              <w:t>Orange S.A.</w:t>
            </w:r>
          </w:p>
        </w:tc>
        <w:tc>
          <w:tcPr>
            <w:tcW w:w="1843"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sv-SE" w:eastAsia="es-ES"/>
              </w:rPr>
              <w:t>80</w:t>
            </w:r>
          </w:p>
        </w:tc>
        <w:tc>
          <w:tcPr>
            <w:tcW w:w="1417"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0.37</w:t>
            </w:r>
          </w:p>
        </w:tc>
        <w:tc>
          <w:tcPr>
            <w:tcW w:w="1560"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1.17</w:t>
            </w: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74F06" w:rsidRPr="004F268D" w:rsidRDefault="00574F06" w:rsidP="008808F3">
            <w:pPr>
              <w:rPr>
                <w:rFonts w:ascii="Arial" w:hAnsi="Arial" w:cs="Arial"/>
                <w:sz w:val="22"/>
                <w:szCs w:val="22"/>
                <w:lang w:val="es-ES" w:eastAsia="es-ES"/>
              </w:rPr>
            </w:pPr>
            <w:r w:rsidRPr="004F268D">
              <w:rPr>
                <w:rFonts w:ascii="Arial" w:hAnsi="Arial" w:cs="Arial"/>
                <w:sz w:val="22"/>
                <w:szCs w:val="22"/>
                <w:lang w:val="sv-SE" w:eastAsia="es-ES"/>
              </w:rPr>
              <w:t>Proximus S.A.</w:t>
            </w:r>
          </w:p>
        </w:tc>
        <w:tc>
          <w:tcPr>
            <w:tcW w:w="1843"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sv-SE" w:eastAsia="es-ES"/>
              </w:rPr>
              <w:t>92</w:t>
            </w:r>
          </w:p>
        </w:tc>
        <w:tc>
          <w:tcPr>
            <w:tcW w:w="1417"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0.36</w:t>
            </w:r>
          </w:p>
        </w:tc>
        <w:tc>
          <w:tcPr>
            <w:tcW w:w="1560"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1.28</w:t>
            </w: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74F06" w:rsidRPr="004F268D" w:rsidRDefault="00574F06" w:rsidP="008808F3">
            <w:pPr>
              <w:rPr>
                <w:rFonts w:ascii="Arial" w:hAnsi="Arial" w:cs="Arial"/>
                <w:sz w:val="22"/>
                <w:szCs w:val="22"/>
                <w:lang w:val="es-ES" w:eastAsia="es-ES"/>
              </w:rPr>
            </w:pPr>
            <w:r w:rsidRPr="004F268D">
              <w:rPr>
                <w:rFonts w:ascii="Arial" w:hAnsi="Arial" w:cs="Arial"/>
                <w:sz w:val="22"/>
                <w:szCs w:val="22"/>
                <w:lang w:val="sv-SE" w:eastAsia="es-ES"/>
              </w:rPr>
              <w:t>Tele 2 AB</w:t>
            </w:r>
          </w:p>
        </w:tc>
        <w:tc>
          <w:tcPr>
            <w:tcW w:w="1843"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sv-SE" w:eastAsia="es-ES"/>
              </w:rPr>
              <w:t>152</w:t>
            </w:r>
          </w:p>
        </w:tc>
        <w:tc>
          <w:tcPr>
            <w:tcW w:w="1417"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0.34</w:t>
            </w:r>
          </w:p>
        </w:tc>
        <w:tc>
          <w:tcPr>
            <w:tcW w:w="1560"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1.86</w:t>
            </w: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74F06" w:rsidRPr="004F268D" w:rsidRDefault="00574F06" w:rsidP="008808F3">
            <w:pPr>
              <w:rPr>
                <w:rFonts w:ascii="Arial" w:hAnsi="Arial" w:cs="Arial"/>
                <w:sz w:val="22"/>
                <w:szCs w:val="22"/>
                <w:lang w:val="es-ES" w:eastAsia="es-ES"/>
              </w:rPr>
            </w:pPr>
            <w:r w:rsidRPr="004F268D">
              <w:rPr>
                <w:rFonts w:ascii="Arial" w:hAnsi="Arial" w:cs="Arial"/>
                <w:sz w:val="22"/>
                <w:szCs w:val="22"/>
                <w:lang w:val="sv-SE" w:eastAsia="es-ES"/>
              </w:rPr>
              <w:t>Telecom Italia</w:t>
            </w:r>
          </w:p>
        </w:tc>
        <w:tc>
          <w:tcPr>
            <w:tcW w:w="1843"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sv-SE" w:eastAsia="es-ES"/>
              </w:rPr>
              <w:t>101</w:t>
            </w:r>
          </w:p>
        </w:tc>
        <w:tc>
          <w:tcPr>
            <w:tcW w:w="1417"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1.82</w:t>
            </w:r>
          </w:p>
        </w:tc>
        <w:tc>
          <w:tcPr>
            <w:tcW w:w="1560"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2.83</w:t>
            </w: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74F06" w:rsidRPr="004F268D" w:rsidRDefault="00574F06" w:rsidP="008808F3">
            <w:pPr>
              <w:rPr>
                <w:rFonts w:ascii="Arial" w:hAnsi="Arial" w:cs="Arial"/>
                <w:sz w:val="22"/>
                <w:szCs w:val="22"/>
                <w:lang w:val="es-ES" w:eastAsia="es-ES"/>
              </w:rPr>
            </w:pPr>
            <w:r w:rsidRPr="004F268D">
              <w:rPr>
                <w:rFonts w:ascii="Arial" w:hAnsi="Arial" w:cs="Arial"/>
                <w:sz w:val="22"/>
                <w:szCs w:val="22"/>
                <w:lang w:val="sv-SE" w:eastAsia="es-ES"/>
              </w:rPr>
              <w:t>Telefónica S.A.</w:t>
            </w:r>
          </w:p>
        </w:tc>
        <w:tc>
          <w:tcPr>
            <w:tcW w:w="1843"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sv-SE" w:eastAsia="es-ES"/>
              </w:rPr>
              <w:t>44</w:t>
            </w:r>
          </w:p>
        </w:tc>
        <w:tc>
          <w:tcPr>
            <w:tcW w:w="1417"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1.01</w:t>
            </w:r>
          </w:p>
        </w:tc>
        <w:tc>
          <w:tcPr>
            <w:tcW w:w="1560"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1.45</w:t>
            </w: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74F06" w:rsidRPr="004F268D" w:rsidRDefault="00574F06" w:rsidP="008808F3">
            <w:pPr>
              <w:rPr>
                <w:rFonts w:ascii="Arial" w:hAnsi="Arial" w:cs="Arial"/>
                <w:sz w:val="22"/>
                <w:szCs w:val="22"/>
                <w:lang w:val="es-ES" w:eastAsia="es-ES"/>
              </w:rPr>
            </w:pPr>
            <w:r w:rsidRPr="004F268D">
              <w:rPr>
                <w:rFonts w:ascii="Arial" w:hAnsi="Arial" w:cs="Arial"/>
                <w:sz w:val="22"/>
                <w:szCs w:val="22"/>
                <w:lang w:val="sv-SE" w:eastAsia="es-ES"/>
              </w:rPr>
              <w:t>Telekom Austria AG</w:t>
            </w:r>
          </w:p>
        </w:tc>
        <w:tc>
          <w:tcPr>
            <w:tcW w:w="1843"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sv-SE" w:eastAsia="es-ES"/>
              </w:rPr>
              <w:t>78</w:t>
            </w:r>
          </w:p>
        </w:tc>
        <w:tc>
          <w:tcPr>
            <w:tcW w:w="1417"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0.25</w:t>
            </w:r>
          </w:p>
        </w:tc>
        <w:tc>
          <w:tcPr>
            <w:tcW w:w="1560"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1.03</w:t>
            </w: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74F06" w:rsidRPr="004F268D" w:rsidRDefault="00574F06" w:rsidP="008808F3">
            <w:pPr>
              <w:rPr>
                <w:rFonts w:ascii="Arial" w:hAnsi="Arial" w:cs="Arial"/>
                <w:sz w:val="22"/>
                <w:szCs w:val="22"/>
                <w:lang w:val="es-ES" w:eastAsia="es-ES"/>
              </w:rPr>
            </w:pPr>
            <w:r w:rsidRPr="004F268D">
              <w:rPr>
                <w:rFonts w:ascii="Arial" w:hAnsi="Arial" w:cs="Arial"/>
                <w:sz w:val="22"/>
                <w:szCs w:val="22"/>
                <w:lang w:val="sv-SE" w:eastAsia="es-ES"/>
              </w:rPr>
              <w:t>Telenet Group Holding N.V.</w:t>
            </w:r>
          </w:p>
        </w:tc>
        <w:tc>
          <w:tcPr>
            <w:tcW w:w="1843"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sv-SE" w:eastAsia="es-ES"/>
              </w:rPr>
              <w:t>312</w:t>
            </w:r>
          </w:p>
        </w:tc>
        <w:tc>
          <w:tcPr>
            <w:tcW w:w="1417"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0.36</w:t>
            </w:r>
          </w:p>
        </w:tc>
        <w:tc>
          <w:tcPr>
            <w:tcW w:w="1560"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3.48</w:t>
            </w: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74F06" w:rsidRPr="004F268D" w:rsidRDefault="00574F06" w:rsidP="008808F3">
            <w:pPr>
              <w:rPr>
                <w:rFonts w:ascii="Arial" w:hAnsi="Arial" w:cs="Arial"/>
                <w:sz w:val="22"/>
                <w:szCs w:val="22"/>
                <w:lang w:val="es-ES" w:eastAsia="es-ES"/>
              </w:rPr>
            </w:pPr>
            <w:proofErr w:type="spellStart"/>
            <w:r w:rsidRPr="004F268D">
              <w:rPr>
                <w:rFonts w:ascii="Arial" w:hAnsi="Arial" w:cs="Arial"/>
                <w:sz w:val="22"/>
                <w:szCs w:val="22"/>
                <w:lang w:val="es-ES" w:eastAsia="es-ES"/>
              </w:rPr>
              <w:t>Telenor</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100</w:t>
            </w:r>
          </w:p>
        </w:tc>
        <w:tc>
          <w:tcPr>
            <w:tcW w:w="1417"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1.38</w:t>
            </w:r>
          </w:p>
        </w:tc>
        <w:tc>
          <w:tcPr>
            <w:tcW w:w="1560"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2.38</w:t>
            </w: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74F06" w:rsidRPr="004F268D" w:rsidRDefault="00574F06" w:rsidP="008808F3">
            <w:pPr>
              <w:rPr>
                <w:rFonts w:ascii="Arial" w:hAnsi="Arial" w:cs="Arial"/>
                <w:sz w:val="22"/>
                <w:szCs w:val="22"/>
                <w:lang w:val="es-ES" w:eastAsia="es-ES"/>
              </w:rPr>
            </w:pPr>
            <w:r w:rsidRPr="004F268D">
              <w:rPr>
                <w:rFonts w:ascii="Arial" w:hAnsi="Arial" w:cs="Arial"/>
                <w:sz w:val="22"/>
                <w:szCs w:val="22"/>
                <w:lang w:val="sv-SE" w:eastAsia="es-ES"/>
              </w:rPr>
              <w:t>Telia Company AB</w:t>
            </w:r>
          </w:p>
        </w:tc>
        <w:tc>
          <w:tcPr>
            <w:tcW w:w="1843"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sv-SE" w:eastAsia="es-ES"/>
              </w:rPr>
              <w:t>131</w:t>
            </w:r>
          </w:p>
        </w:tc>
        <w:tc>
          <w:tcPr>
            <w:tcW w:w="1417"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0.34</w:t>
            </w:r>
          </w:p>
        </w:tc>
        <w:tc>
          <w:tcPr>
            <w:tcW w:w="1560" w:type="dxa"/>
            <w:tcBorders>
              <w:top w:val="nil"/>
              <w:left w:val="nil"/>
              <w:bottom w:val="single" w:sz="8" w:space="0" w:color="auto"/>
              <w:right w:val="single" w:sz="8" w:space="0" w:color="auto"/>
            </w:tcBorders>
            <w:shd w:val="clear" w:color="auto" w:fill="auto"/>
            <w:noWrap/>
            <w:vAlign w:val="center"/>
            <w:hideMark/>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1.65</w:t>
            </w:r>
          </w:p>
        </w:tc>
      </w:tr>
      <w:tr w:rsidR="00574F06"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tcPr>
          <w:p w:rsidR="00574F06" w:rsidRPr="004F268D" w:rsidRDefault="00574F06" w:rsidP="008808F3">
            <w:pPr>
              <w:rPr>
                <w:rFonts w:ascii="Arial" w:hAnsi="Arial" w:cs="Arial"/>
                <w:sz w:val="22"/>
                <w:szCs w:val="22"/>
                <w:lang w:val="sv-SE" w:eastAsia="es-ES"/>
              </w:rPr>
            </w:pPr>
            <w:r w:rsidRPr="004F268D">
              <w:rPr>
                <w:rFonts w:ascii="Arial" w:hAnsi="Arial" w:cs="Arial"/>
                <w:sz w:val="22"/>
                <w:szCs w:val="22"/>
                <w:lang w:val="sv-SE" w:eastAsia="es-ES"/>
              </w:rPr>
              <w:t xml:space="preserve">Vodafone Group plc </w:t>
            </w:r>
          </w:p>
        </w:tc>
        <w:tc>
          <w:tcPr>
            <w:tcW w:w="1843" w:type="dxa"/>
            <w:tcBorders>
              <w:top w:val="nil"/>
              <w:left w:val="nil"/>
              <w:bottom w:val="single" w:sz="8" w:space="0" w:color="auto"/>
              <w:right w:val="single" w:sz="8" w:space="0" w:color="auto"/>
            </w:tcBorders>
            <w:shd w:val="clear" w:color="auto" w:fill="auto"/>
            <w:noWrap/>
            <w:vAlign w:val="center"/>
          </w:tcPr>
          <w:p w:rsidR="00574F06" w:rsidRPr="004F268D" w:rsidRDefault="00574F06" w:rsidP="008808F3">
            <w:pPr>
              <w:jc w:val="center"/>
              <w:rPr>
                <w:rFonts w:ascii="Arial" w:hAnsi="Arial" w:cs="Arial"/>
                <w:sz w:val="22"/>
                <w:szCs w:val="22"/>
                <w:lang w:val="sv-SE" w:eastAsia="es-ES"/>
              </w:rPr>
            </w:pPr>
            <w:r w:rsidRPr="004F268D">
              <w:rPr>
                <w:rFonts w:ascii="Arial" w:hAnsi="Arial" w:cs="Arial"/>
                <w:sz w:val="22"/>
                <w:szCs w:val="22"/>
                <w:lang w:val="sv-SE" w:eastAsia="es-ES"/>
              </w:rPr>
              <w:t>156</w:t>
            </w:r>
          </w:p>
        </w:tc>
        <w:tc>
          <w:tcPr>
            <w:tcW w:w="1417" w:type="dxa"/>
            <w:tcBorders>
              <w:top w:val="nil"/>
              <w:left w:val="nil"/>
              <w:bottom w:val="single" w:sz="8" w:space="0" w:color="auto"/>
              <w:right w:val="single" w:sz="8" w:space="0" w:color="auto"/>
            </w:tcBorders>
            <w:shd w:val="clear" w:color="auto" w:fill="auto"/>
            <w:noWrap/>
            <w:vAlign w:val="center"/>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0.95</w:t>
            </w:r>
          </w:p>
        </w:tc>
        <w:tc>
          <w:tcPr>
            <w:tcW w:w="1560" w:type="dxa"/>
            <w:tcBorders>
              <w:top w:val="nil"/>
              <w:left w:val="nil"/>
              <w:bottom w:val="single" w:sz="8" w:space="0" w:color="auto"/>
              <w:right w:val="single" w:sz="8" w:space="0" w:color="auto"/>
            </w:tcBorders>
            <w:shd w:val="clear" w:color="auto" w:fill="auto"/>
            <w:noWrap/>
            <w:vAlign w:val="center"/>
          </w:tcPr>
          <w:p w:rsidR="00574F06" w:rsidRPr="004F268D" w:rsidRDefault="00574F06" w:rsidP="008808F3">
            <w:pPr>
              <w:jc w:val="center"/>
              <w:rPr>
                <w:rFonts w:ascii="Arial" w:hAnsi="Arial" w:cs="Arial"/>
                <w:sz w:val="22"/>
                <w:szCs w:val="22"/>
                <w:lang w:val="es-ES" w:eastAsia="es-ES"/>
              </w:rPr>
            </w:pPr>
            <w:r w:rsidRPr="004F268D">
              <w:rPr>
                <w:rFonts w:ascii="Arial" w:hAnsi="Arial" w:cs="Arial"/>
                <w:sz w:val="22"/>
                <w:szCs w:val="22"/>
                <w:lang w:val="es-ES" w:eastAsia="es-ES"/>
              </w:rPr>
              <w:t>2.51</w:t>
            </w:r>
          </w:p>
        </w:tc>
      </w:tr>
    </w:tbl>
    <w:p w:rsidR="00574F06" w:rsidRPr="004F268D" w:rsidRDefault="00574F06" w:rsidP="00574F06">
      <w:pPr>
        <w:spacing w:before="120" w:after="240"/>
        <w:rPr>
          <w:rFonts w:ascii="Arial" w:hAnsi="Arial" w:cs="Arial"/>
          <w:sz w:val="20"/>
        </w:rPr>
      </w:pPr>
      <w:r w:rsidRPr="004F268D">
        <w:rPr>
          <w:rFonts w:ascii="Arial" w:hAnsi="Arial" w:cs="Arial"/>
          <w:sz w:val="20"/>
        </w:rPr>
        <w:t xml:space="preserve">Zdroj: WACC </w:t>
      </w:r>
      <w:proofErr w:type="spellStart"/>
      <w:r w:rsidRPr="004F268D">
        <w:rPr>
          <w:rFonts w:ascii="Arial" w:hAnsi="Arial" w:cs="Arial"/>
          <w:sz w:val="20"/>
        </w:rPr>
        <w:t>parameters</w:t>
      </w:r>
      <w:proofErr w:type="spellEnd"/>
      <w:r w:rsidRPr="004F268D">
        <w:rPr>
          <w:rFonts w:ascii="Arial" w:hAnsi="Arial" w:cs="Arial"/>
          <w:sz w:val="20"/>
        </w:rPr>
        <w:t xml:space="preserve"> Report 2021, </w:t>
      </w:r>
      <w:proofErr w:type="spellStart"/>
      <w:r w:rsidRPr="004F268D">
        <w:rPr>
          <w:rFonts w:ascii="Arial" w:hAnsi="Arial" w:cs="Arial"/>
          <w:sz w:val="20"/>
        </w:rPr>
        <w:t>BoR</w:t>
      </w:r>
      <w:proofErr w:type="spellEnd"/>
      <w:r w:rsidRPr="004F268D">
        <w:rPr>
          <w:rFonts w:ascii="Arial" w:hAnsi="Arial" w:cs="Arial"/>
          <w:sz w:val="20"/>
        </w:rPr>
        <w:t xml:space="preserve"> (21) 86</w:t>
      </w:r>
    </w:p>
    <w:p w:rsidR="00574F06" w:rsidRPr="00AB4864" w:rsidRDefault="00574F06" w:rsidP="00AB4864">
      <w:pPr>
        <w:spacing w:after="240"/>
        <w:ind w:firstLine="708"/>
        <w:jc w:val="both"/>
        <w:rPr>
          <w:rFonts w:ascii="Arial" w:hAnsi="Arial" w:cs="Arial"/>
          <w:sz w:val="22"/>
          <w:szCs w:val="22"/>
        </w:rPr>
      </w:pPr>
      <w:r w:rsidRPr="00AB4864">
        <w:rPr>
          <w:rFonts w:ascii="Arial" w:hAnsi="Arial" w:cs="Arial"/>
          <w:b/>
          <w:bCs/>
          <w:sz w:val="22"/>
          <w:szCs w:val="22"/>
        </w:rPr>
        <w:t>Dluhovou prémii</w:t>
      </w:r>
      <w:r w:rsidRPr="00AB4864">
        <w:rPr>
          <w:rFonts w:ascii="Arial" w:hAnsi="Arial" w:cs="Arial"/>
          <w:sz w:val="22"/>
          <w:szCs w:val="22"/>
        </w:rPr>
        <w:t xml:space="preserve"> Úřad stanovil jako aritmetický průměr dluhových prémií společností v peer group v tabulce č. 3 ve výši </w:t>
      </w:r>
      <w:r w:rsidRPr="00AB4864">
        <w:rPr>
          <w:rFonts w:ascii="Arial" w:hAnsi="Arial" w:cs="Arial"/>
          <w:b/>
          <w:bCs/>
          <w:sz w:val="22"/>
          <w:szCs w:val="22"/>
        </w:rPr>
        <w:t>1,15 %.</w:t>
      </w:r>
      <w:r w:rsidRPr="00AB4864">
        <w:rPr>
          <w:rFonts w:ascii="Arial" w:hAnsi="Arial" w:cs="Arial"/>
          <w:sz w:val="22"/>
          <w:szCs w:val="22"/>
        </w:rPr>
        <w:t xml:space="preserve"> Náklady cizího kapitálu byly stanoveny jako součet bezrizikové výnosové míry (1,27 %) a dluhové prémie. </w:t>
      </w:r>
    </w:p>
    <w:p w:rsidR="00574F06" w:rsidRPr="00AB4864" w:rsidRDefault="00574F06" w:rsidP="00AB4864">
      <w:pPr>
        <w:spacing w:after="240"/>
        <w:ind w:firstLine="708"/>
        <w:jc w:val="both"/>
        <w:rPr>
          <w:rFonts w:ascii="Arial" w:hAnsi="Arial" w:cs="Arial"/>
          <w:sz w:val="22"/>
          <w:szCs w:val="22"/>
        </w:rPr>
      </w:pPr>
      <w:r w:rsidRPr="00AB4864">
        <w:rPr>
          <w:rFonts w:ascii="Arial" w:hAnsi="Arial" w:cs="Arial"/>
          <w:sz w:val="22"/>
          <w:szCs w:val="22"/>
        </w:rPr>
        <w:lastRenderedPageBreak/>
        <w:t>Jako daňová sazba byla použita sazba daně z příjmů právnických osob ve výši 19 %.</w:t>
      </w:r>
    </w:p>
    <w:p w:rsidR="00574F06" w:rsidRPr="00AB4864" w:rsidRDefault="00574F06" w:rsidP="00AB4864">
      <w:pPr>
        <w:spacing w:after="240"/>
        <w:jc w:val="both"/>
        <w:rPr>
          <w:rFonts w:ascii="Arial" w:hAnsi="Arial" w:cs="Arial"/>
          <w:sz w:val="22"/>
          <w:szCs w:val="22"/>
        </w:rPr>
      </w:pPr>
      <w:r w:rsidRPr="00AB4864">
        <w:rPr>
          <w:rFonts w:ascii="Arial" w:hAnsi="Arial" w:cs="Arial"/>
          <w:sz w:val="22"/>
          <w:szCs w:val="22"/>
        </w:rPr>
        <w:tab/>
        <w:t xml:space="preserve">Na základě výše uvedených jednotlivých vstupních proměnných vypočetl Úřad hodnotu ukazatele WACC pro stanovený podnik zajištující sítě elektronických komunikací nebo poskytující veřejně dostupnou službu elektronických komunikací tak, jak je uvedeno v tabulce č. 4. Jednotlivé dílčí vstupní proměnné vstupovaly do výpočtu v zaokrouhlení na tři desetinná místa, na dvě desetinná místa byla zaokrouhlena až výsledná hodnota WACC. </w:t>
      </w:r>
    </w:p>
    <w:p w:rsidR="00574F06" w:rsidRPr="00AB4864" w:rsidRDefault="00574F06" w:rsidP="00574F06">
      <w:pPr>
        <w:spacing w:after="240"/>
        <w:rPr>
          <w:rFonts w:ascii="Arial" w:hAnsi="Arial" w:cs="Arial"/>
          <w:szCs w:val="22"/>
        </w:rPr>
      </w:pPr>
      <w:r w:rsidRPr="00AB4864">
        <w:rPr>
          <w:rFonts w:ascii="Arial" w:hAnsi="Arial" w:cs="Arial"/>
          <w:szCs w:val="22"/>
        </w:rPr>
        <w:t>Tabulka č. 4: Výpočet WACC</w:t>
      </w:r>
    </w:p>
    <w:tbl>
      <w:tblPr>
        <w:tblW w:w="5421" w:type="dxa"/>
        <w:tblCellMar>
          <w:left w:w="70" w:type="dxa"/>
          <w:right w:w="70" w:type="dxa"/>
        </w:tblCellMar>
        <w:tblLook w:val="04A0" w:firstRow="1" w:lastRow="0" w:firstColumn="1" w:lastColumn="0" w:noHBand="0" w:noVBand="1"/>
      </w:tblPr>
      <w:tblGrid>
        <w:gridCol w:w="2980"/>
        <w:gridCol w:w="941"/>
        <w:gridCol w:w="1500"/>
      </w:tblGrid>
      <w:tr w:rsidR="00574F06" w:rsidRPr="00AB4864" w:rsidTr="008808F3">
        <w:trPr>
          <w:trHeight w:val="315"/>
        </w:trPr>
        <w:tc>
          <w:tcPr>
            <w:tcW w:w="29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74F06" w:rsidRPr="00AB4864" w:rsidRDefault="00574F06" w:rsidP="008808F3">
            <w:pPr>
              <w:rPr>
                <w:rFonts w:ascii="Arial" w:hAnsi="Arial" w:cs="Arial"/>
                <w:b/>
                <w:bCs/>
                <w:sz w:val="22"/>
                <w:szCs w:val="22"/>
              </w:rPr>
            </w:pPr>
            <w:r w:rsidRPr="00AB4864">
              <w:rPr>
                <w:rFonts w:ascii="Arial" w:hAnsi="Arial" w:cs="Arial"/>
                <w:b/>
                <w:bCs/>
                <w:sz w:val="22"/>
                <w:szCs w:val="22"/>
              </w:rPr>
              <w:t>WACC</w:t>
            </w:r>
          </w:p>
        </w:tc>
        <w:tc>
          <w:tcPr>
            <w:tcW w:w="941" w:type="dxa"/>
            <w:tcBorders>
              <w:top w:val="single" w:sz="8" w:space="0" w:color="auto"/>
              <w:left w:val="nil"/>
              <w:bottom w:val="single" w:sz="8" w:space="0" w:color="auto"/>
              <w:right w:val="single" w:sz="8" w:space="0" w:color="auto"/>
            </w:tcBorders>
            <w:shd w:val="clear" w:color="000000" w:fill="BFBFBF"/>
            <w:noWrap/>
            <w:vAlign w:val="center"/>
            <w:hideMark/>
          </w:tcPr>
          <w:p w:rsidR="00574F06" w:rsidRPr="00AB4864" w:rsidRDefault="00574F06" w:rsidP="008808F3">
            <w:pPr>
              <w:rPr>
                <w:rFonts w:ascii="Arial" w:hAnsi="Arial" w:cs="Arial"/>
                <w:b/>
                <w:bCs/>
                <w:sz w:val="22"/>
                <w:szCs w:val="22"/>
              </w:rPr>
            </w:pPr>
            <w:r w:rsidRPr="00AB4864">
              <w:rPr>
                <w:rFonts w:ascii="Arial" w:hAnsi="Arial" w:cs="Arial"/>
                <w:b/>
                <w:bCs/>
                <w:sz w:val="22"/>
                <w:szCs w:val="22"/>
              </w:rPr>
              <w:t> </w:t>
            </w:r>
          </w:p>
        </w:tc>
        <w:tc>
          <w:tcPr>
            <w:tcW w:w="1500" w:type="dxa"/>
            <w:tcBorders>
              <w:top w:val="single" w:sz="8" w:space="0" w:color="auto"/>
              <w:left w:val="nil"/>
              <w:bottom w:val="single" w:sz="8" w:space="0" w:color="auto"/>
              <w:right w:val="single" w:sz="8" w:space="0" w:color="auto"/>
            </w:tcBorders>
            <w:shd w:val="clear" w:color="000000" w:fill="BFBFBF"/>
            <w:noWrap/>
            <w:vAlign w:val="center"/>
            <w:hideMark/>
          </w:tcPr>
          <w:p w:rsidR="00574F06" w:rsidRPr="00AB4864" w:rsidRDefault="00574F06" w:rsidP="008808F3">
            <w:pPr>
              <w:jc w:val="right"/>
              <w:rPr>
                <w:rFonts w:ascii="Arial" w:hAnsi="Arial" w:cs="Arial"/>
                <w:b/>
                <w:bCs/>
                <w:sz w:val="22"/>
                <w:szCs w:val="22"/>
              </w:rPr>
            </w:pPr>
            <w:r w:rsidRPr="00AB4864">
              <w:rPr>
                <w:rFonts w:ascii="Arial" w:hAnsi="Arial" w:cs="Arial"/>
                <w:b/>
                <w:bCs/>
                <w:sz w:val="22"/>
                <w:szCs w:val="22"/>
              </w:rPr>
              <w:t> </w:t>
            </w:r>
          </w:p>
        </w:tc>
      </w:tr>
      <w:tr w:rsidR="00574F06" w:rsidRPr="00AB4864" w:rsidTr="008808F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574F06" w:rsidRPr="00AB4864" w:rsidRDefault="00574F06" w:rsidP="008808F3">
            <w:pPr>
              <w:rPr>
                <w:rFonts w:ascii="Arial" w:hAnsi="Arial" w:cs="Arial"/>
                <w:color w:val="000000"/>
                <w:sz w:val="22"/>
                <w:szCs w:val="22"/>
              </w:rPr>
            </w:pPr>
            <w:r w:rsidRPr="00AB4864">
              <w:rPr>
                <w:rFonts w:ascii="Arial" w:hAnsi="Arial" w:cs="Arial"/>
                <w:color w:val="000000"/>
                <w:sz w:val="22"/>
                <w:szCs w:val="22"/>
              </w:rPr>
              <w:t>Náklady cizího kapitálu</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proofErr w:type="spellStart"/>
            <w:r w:rsidRPr="00AB4864">
              <w:rPr>
                <w:rFonts w:ascii="Arial" w:hAnsi="Arial" w:cs="Arial"/>
                <w:sz w:val="22"/>
                <w:szCs w:val="22"/>
              </w:rPr>
              <w:t>r</w:t>
            </w:r>
            <w:r w:rsidRPr="00AB4864">
              <w:rPr>
                <w:rFonts w:ascii="Arial" w:hAnsi="Arial" w:cs="Arial"/>
                <w:sz w:val="22"/>
                <w:szCs w:val="22"/>
                <w:vertAlign w:val="subscript"/>
              </w:rPr>
              <w:t>d</w:t>
            </w:r>
            <w:proofErr w:type="spellEnd"/>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sz w:val="22"/>
                <w:szCs w:val="22"/>
              </w:rPr>
            </w:pPr>
            <w:r w:rsidRPr="00AB4864">
              <w:rPr>
                <w:rFonts w:ascii="Arial" w:hAnsi="Arial" w:cs="Arial"/>
                <w:sz w:val="22"/>
                <w:szCs w:val="22"/>
              </w:rPr>
              <w:t>2,422 %</w:t>
            </w:r>
          </w:p>
        </w:tc>
      </w:tr>
      <w:tr w:rsidR="00574F06" w:rsidRPr="00AB4864" w:rsidTr="008808F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Daňová sazba</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t</w:t>
            </w:r>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sz w:val="22"/>
                <w:szCs w:val="22"/>
              </w:rPr>
            </w:pPr>
            <w:r w:rsidRPr="00AB4864">
              <w:rPr>
                <w:rFonts w:ascii="Arial" w:hAnsi="Arial" w:cs="Arial"/>
                <w:sz w:val="22"/>
                <w:szCs w:val="22"/>
              </w:rPr>
              <w:t>19,000 %</w:t>
            </w:r>
          </w:p>
        </w:tc>
      </w:tr>
      <w:tr w:rsidR="00574F06" w:rsidRPr="00AB4864" w:rsidTr="008808F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574F06" w:rsidRPr="00AB4864" w:rsidRDefault="00574F06" w:rsidP="008808F3">
            <w:pPr>
              <w:rPr>
                <w:rFonts w:ascii="Arial" w:hAnsi="Arial" w:cs="Arial"/>
                <w:color w:val="000000"/>
                <w:sz w:val="22"/>
                <w:szCs w:val="22"/>
              </w:rPr>
            </w:pPr>
            <w:r w:rsidRPr="00AB4864">
              <w:rPr>
                <w:rFonts w:ascii="Arial" w:hAnsi="Arial" w:cs="Arial"/>
                <w:color w:val="000000"/>
                <w:sz w:val="22"/>
                <w:szCs w:val="22"/>
              </w:rPr>
              <w:t>Náklady vlastního kapitálu</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r</w:t>
            </w:r>
            <w:r w:rsidRPr="00AB4864">
              <w:rPr>
                <w:rFonts w:ascii="Arial" w:hAnsi="Arial" w:cs="Arial"/>
                <w:sz w:val="22"/>
                <w:szCs w:val="22"/>
                <w:vertAlign w:val="subscript"/>
              </w:rPr>
              <w:t>e</w:t>
            </w:r>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sz w:val="22"/>
                <w:szCs w:val="22"/>
              </w:rPr>
            </w:pPr>
            <w:r w:rsidRPr="00AB4864">
              <w:rPr>
                <w:rFonts w:ascii="Arial" w:hAnsi="Arial" w:cs="Arial"/>
                <w:sz w:val="22"/>
                <w:szCs w:val="22"/>
              </w:rPr>
              <w:t>5,181 %</w:t>
            </w:r>
          </w:p>
        </w:tc>
      </w:tr>
      <w:tr w:rsidR="00574F06" w:rsidRPr="00AB4864" w:rsidTr="008808F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 xml:space="preserve">Kapitálová struktura </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D/(D+E)</w:t>
            </w:r>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sz w:val="22"/>
                <w:szCs w:val="22"/>
              </w:rPr>
            </w:pPr>
            <w:r w:rsidRPr="00AB4864">
              <w:rPr>
                <w:rFonts w:ascii="Arial" w:hAnsi="Arial" w:cs="Arial"/>
                <w:sz w:val="22"/>
                <w:szCs w:val="22"/>
              </w:rPr>
              <w:t>39,216 %</w:t>
            </w:r>
          </w:p>
        </w:tc>
      </w:tr>
      <w:tr w:rsidR="00574F06" w:rsidRPr="00AB4864" w:rsidTr="008808F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 xml:space="preserve">Kapitálová struktura </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E/(D+E)</w:t>
            </w:r>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sz w:val="22"/>
                <w:szCs w:val="22"/>
              </w:rPr>
            </w:pPr>
            <w:r w:rsidRPr="00AB4864">
              <w:rPr>
                <w:rFonts w:ascii="Arial" w:hAnsi="Arial" w:cs="Arial"/>
                <w:sz w:val="22"/>
                <w:szCs w:val="22"/>
              </w:rPr>
              <w:t>60,784 %</w:t>
            </w:r>
          </w:p>
        </w:tc>
      </w:tr>
      <w:tr w:rsidR="00574F06" w:rsidRPr="00AB4864" w:rsidTr="008808F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b/>
                <w:bCs/>
                <w:sz w:val="22"/>
                <w:szCs w:val="22"/>
              </w:rPr>
            </w:pPr>
            <w:r w:rsidRPr="00AB4864">
              <w:rPr>
                <w:rFonts w:ascii="Arial" w:hAnsi="Arial" w:cs="Arial"/>
                <w:b/>
                <w:bCs/>
                <w:sz w:val="22"/>
                <w:szCs w:val="22"/>
              </w:rPr>
              <w:t>WACC (po zdanění)</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b/>
                <w:bCs/>
                <w:sz w:val="22"/>
                <w:szCs w:val="22"/>
              </w:rPr>
            </w:pPr>
            <w:r w:rsidRPr="00AB4864">
              <w:rPr>
                <w:rFonts w:ascii="Arial" w:hAnsi="Arial" w:cs="Arial"/>
                <w:b/>
                <w:bCs/>
                <w:sz w:val="22"/>
                <w:szCs w:val="22"/>
              </w:rPr>
              <w:t> </w:t>
            </w:r>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b/>
                <w:bCs/>
                <w:sz w:val="22"/>
                <w:szCs w:val="22"/>
              </w:rPr>
            </w:pPr>
            <w:r w:rsidRPr="00AB4864">
              <w:rPr>
                <w:rFonts w:ascii="Arial" w:hAnsi="Arial" w:cs="Arial"/>
                <w:b/>
                <w:bCs/>
                <w:sz w:val="22"/>
                <w:szCs w:val="22"/>
              </w:rPr>
              <w:t>3,919 %</w:t>
            </w:r>
          </w:p>
        </w:tc>
      </w:tr>
      <w:tr w:rsidR="00574F06" w:rsidRPr="00AB4864" w:rsidTr="008808F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b/>
                <w:bCs/>
                <w:sz w:val="22"/>
                <w:szCs w:val="22"/>
              </w:rPr>
            </w:pPr>
            <w:r w:rsidRPr="00AB4864">
              <w:rPr>
                <w:rFonts w:ascii="Arial" w:hAnsi="Arial" w:cs="Arial"/>
                <w:b/>
                <w:bCs/>
                <w:sz w:val="22"/>
                <w:szCs w:val="22"/>
              </w:rPr>
              <w:t>WACC (před zdaněním)</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b/>
                <w:bCs/>
                <w:sz w:val="22"/>
                <w:szCs w:val="22"/>
              </w:rPr>
            </w:pPr>
            <w:r w:rsidRPr="00AB4864">
              <w:rPr>
                <w:rFonts w:ascii="Arial" w:hAnsi="Arial" w:cs="Arial"/>
                <w:b/>
                <w:bCs/>
                <w:sz w:val="22"/>
                <w:szCs w:val="22"/>
              </w:rPr>
              <w:t> </w:t>
            </w:r>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b/>
                <w:bCs/>
                <w:sz w:val="22"/>
                <w:szCs w:val="22"/>
              </w:rPr>
            </w:pPr>
            <w:r w:rsidRPr="00AB4864">
              <w:rPr>
                <w:rFonts w:ascii="Arial" w:hAnsi="Arial" w:cs="Arial"/>
                <w:b/>
                <w:bCs/>
                <w:sz w:val="22"/>
                <w:szCs w:val="22"/>
              </w:rPr>
              <w:t>4,838 %</w:t>
            </w:r>
          </w:p>
        </w:tc>
      </w:tr>
      <w:tr w:rsidR="00574F06" w:rsidRPr="00AB4864" w:rsidTr="008808F3">
        <w:trPr>
          <w:trHeight w:val="315"/>
        </w:trPr>
        <w:tc>
          <w:tcPr>
            <w:tcW w:w="2980" w:type="dxa"/>
            <w:tcBorders>
              <w:top w:val="nil"/>
              <w:left w:val="single" w:sz="8" w:space="0" w:color="auto"/>
              <w:bottom w:val="single" w:sz="8" w:space="0" w:color="auto"/>
              <w:right w:val="single" w:sz="8" w:space="0" w:color="auto"/>
            </w:tcBorders>
            <w:shd w:val="clear" w:color="000000" w:fill="BFBFBF"/>
            <w:noWrap/>
            <w:vAlign w:val="center"/>
            <w:hideMark/>
          </w:tcPr>
          <w:p w:rsidR="00574F06" w:rsidRPr="00AB4864" w:rsidRDefault="00574F06" w:rsidP="008808F3">
            <w:pPr>
              <w:rPr>
                <w:rFonts w:ascii="Arial" w:hAnsi="Arial" w:cs="Arial"/>
                <w:b/>
                <w:bCs/>
                <w:sz w:val="22"/>
                <w:szCs w:val="22"/>
              </w:rPr>
            </w:pPr>
            <w:r w:rsidRPr="00AB4864">
              <w:rPr>
                <w:rFonts w:ascii="Arial" w:hAnsi="Arial" w:cs="Arial"/>
                <w:b/>
                <w:bCs/>
                <w:sz w:val="22"/>
                <w:szCs w:val="22"/>
              </w:rPr>
              <w:t>Náklady cizího kapitálu</w:t>
            </w:r>
          </w:p>
        </w:tc>
        <w:tc>
          <w:tcPr>
            <w:tcW w:w="941" w:type="dxa"/>
            <w:tcBorders>
              <w:top w:val="nil"/>
              <w:left w:val="nil"/>
              <w:bottom w:val="single" w:sz="8" w:space="0" w:color="auto"/>
              <w:right w:val="single" w:sz="8" w:space="0" w:color="auto"/>
            </w:tcBorders>
            <w:shd w:val="clear" w:color="000000" w:fill="BFBFBF"/>
            <w:noWrap/>
            <w:vAlign w:val="center"/>
            <w:hideMark/>
          </w:tcPr>
          <w:p w:rsidR="00574F06" w:rsidRPr="00AB4864" w:rsidRDefault="00574F06" w:rsidP="008808F3">
            <w:pPr>
              <w:rPr>
                <w:rFonts w:ascii="Arial" w:hAnsi="Arial" w:cs="Arial"/>
                <w:b/>
                <w:bCs/>
                <w:sz w:val="22"/>
                <w:szCs w:val="22"/>
              </w:rPr>
            </w:pPr>
            <w:r w:rsidRPr="00AB4864">
              <w:rPr>
                <w:rFonts w:ascii="Arial" w:hAnsi="Arial" w:cs="Arial"/>
                <w:b/>
                <w:bCs/>
                <w:sz w:val="22"/>
                <w:szCs w:val="22"/>
              </w:rPr>
              <w:t> </w:t>
            </w:r>
          </w:p>
        </w:tc>
        <w:tc>
          <w:tcPr>
            <w:tcW w:w="1500" w:type="dxa"/>
            <w:tcBorders>
              <w:top w:val="nil"/>
              <w:left w:val="nil"/>
              <w:bottom w:val="single" w:sz="8" w:space="0" w:color="auto"/>
              <w:right w:val="single" w:sz="8" w:space="0" w:color="auto"/>
            </w:tcBorders>
            <w:shd w:val="clear" w:color="000000" w:fill="BFBFBF"/>
            <w:noWrap/>
            <w:vAlign w:val="center"/>
            <w:hideMark/>
          </w:tcPr>
          <w:p w:rsidR="00574F06" w:rsidRPr="00AB4864" w:rsidRDefault="00574F06" w:rsidP="008808F3">
            <w:pPr>
              <w:jc w:val="right"/>
              <w:rPr>
                <w:rFonts w:ascii="Arial" w:hAnsi="Arial" w:cs="Arial"/>
                <w:b/>
                <w:bCs/>
                <w:sz w:val="22"/>
                <w:szCs w:val="22"/>
              </w:rPr>
            </w:pPr>
            <w:r w:rsidRPr="00AB4864">
              <w:rPr>
                <w:rFonts w:ascii="Arial" w:hAnsi="Arial" w:cs="Arial"/>
                <w:b/>
                <w:bCs/>
                <w:sz w:val="22"/>
                <w:szCs w:val="22"/>
              </w:rPr>
              <w:t> </w:t>
            </w:r>
          </w:p>
        </w:tc>
      </w:tr>
      <w:tr w:rsidR="00574F06" w:rsidRPr="00AB4864" w:rsidTr="008808F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Bezriziková výnosová míra</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proofErr w:type="spellStart"/>
            <w:r w:rsidRPr="00AB4864">
              <w:rPr>
                <w:rFonts w:ascii="Arial" w:hAnsi="Arial" w:cs="Arial"/>
                <w:sz w:val="22"/>
                <w:szCs w:val="22"/>
              </w:rPr>
              <w:t>r</w:t>
            </w:r>
            <w:r w:rsidRPr="00AB4864">
              <w:rPr>
                <w:rFonts w:ascii="Arial" w:hAnsi="Arial" w:cs="Arial"/>
                <w:sz w:val="22"/>
                <w:szCs w:val="22"/>
                <w:vertAlign w:val="subscript"/>
              </w:rPr>
              <w:t>f</w:t>
            </w:r>
            <w:proofErr w:type="spellEnd"/>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sz w:val="22"/>
                <w:szCs w:val="22"/>
              </w:rPr>
            </w:pPr>
            <w:r w:rsidRPr="00AB4864">
              <w:rPr>
                <w:rFonts w:ascii="Arial" w:hAnsi="Arial" w:cs="Arial"/>
                <w:sz w:val="22"/>
                <w:szCs w:val="22"/>
              </w:rPr>
              <w:t>1,270 %</w:t>
            </w:r>
          </w:p>
        </w:tc>
      </w:tr>
      <w:tr w:rsidR="00574F06" w:rsidRPr="00AB4864" w:rsidTr="008808F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Dluhová prémie</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DP</w:t>
            </w:r>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sz w:val="22"/>
                <w:szCs w:val="22"/>
              </w:rPr>
            </w:pPr>
            <w:r w:rsidRPr="00AB4864">
              <w:rPr>
                <w:rFonts w:ascii="Arial" w:hAnsi="Arial" w:cs="Arial"/>
                <w:sz w:val="22"/>
                <w:szCs w:val="22"/>
              </w:rPr>
              <w:t>1,152 %</w:t>
            </w:r>
          </w:p>
        </w:tc>
      </w:tr>
      <w:tr w:rsidR="00574F06" w:rsidRPr="00AB4864" w:rsidTr="008808F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b/>
                <w:bCs/>
                <w:sz w:val="22"/>
                <w:szCs w:val="22"/>
              </w:rPr>
            </w:pPr>
            <w:r w:rsidRPr="00AB4864">
              <w:rPr>
                <w:rFonts w:ascii="Arial" w:hAnsi="Arial" w:cs="Arial"/>
                <w:b/>
                <w:bCs/>
                <w:sz w:val="22"/>
                <w:szCs w:val="22"/>
              </w:rPr>
              <w:t>Náklady cizího kapitálu</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b/>
                <w:bCs/>
                <w:sz w:val="22"/>
                <w:szCs w:val="22"/>
              </w:rPr>
            </w:pPr>
            <w:proofErr w:type="spellStart"/>
            <w:r w:rsidRPr="00AB4864">
              <w:rPr>
                <w:rFonts w:ascii="Arial" w:hAnsi="Arial" w:cs="Arial"/>
                <w:b/>
                <w:bCs/>
                <w:sz w:val="22"/>
                <w:szCs w:val="22"/>
              </w:rPr>
              <w:t>r</w:t>
            </w:r>
            <w:r w:rsidRPr="00AB4864">
              <w:rPr>
                <w:rFonts w:ascii="Arial" w:hAnsi="Arial" w:cs="Arial"/>
                <w:b/>
                <w:bCs/>
                <w:sz w:val="22"/>
                <w:szCs w:val="22"/>
                <w:vertAlign w:val="subscript"/>
              </w:rPr>
              <w:t>d</w:t>
            </w:r>
            <w:proofErr w:type="spellEnd"/>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b/>
                <w:bCs/>
                <w:sz w:val="22"/>
                <w:szCs w:val="22"/>
              </w:rPr>
            </w:pPr>
            <w:r w:rsidRPr="00AB4864">
              <w:rPr>
                <w:rFonts w:ascii="Arial" w:hAnsi="Arial" w:cs="Arial"/>
                <w:b/>
                <w:bCs/>
                <w:sz w:val="22"/>
                <w:szCs w:val="22"/>
              </w:rPr>
              <w:t>2,422 %</w:t>
            </w:r>
          </w:p>
        </w:tc>
      </w:tr>
      <w:tr w:rsidR="00574F06" w:rsidRPr="00AB4864" w:rsidTr="008808F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 </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 </w:t>
            </w:r>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 </w:t>
            </w:r>
          </w:p>
        </w:tc>
      </w:tr>
      <w:tr w:rsidR="00574F06" w:rsidRPr="00AB4864" w:rsidTr="008808F3">
        <w:trPr>
          <w:trHeight w:val="315"/>
        </w:trPr>
        <w:tc>
          <w:tcPr>
            <w:tcW w:w="2980" w:type="dxa"/>
            <w:tcBorders>
              <w:top w:val="nil"/>
              <w:left w:val="single" w:sz="8" w:space="0" w:color="auto"/>
              <w:bottom w:val="single" w:sz="8" w:space="0" w:color="auto"/>
              <w:right w:val="single" w:sz="8" w:space="0" w:color="auto"/>
            </w:tcBorders>
            <w:shd w:val="clear" w:color="000000" w:fill="BFBFBF"/>
            <w:noWrap/>
            <w:vAlign w:val="center"/>
            <w:hideMark/>
          </w:tcPr>
          <w:p w:rsidR="00574F06" w:rsidRPr="00AB4864" w:rsidRDefault="00574F06" w:rsidP="008808F3">
            <w:pPr>
              <w:rPr>
                <w:rFonts w:ascii="Arial" w:hAnsi="Arial" w:cs="Arial"/>
                <w:b/>
                <w:bCs/>
                <w:sz w:val="22"/>
                <w:szCs w:val="22"/>
              </w:rPr>
            </w:pPr>
            <w:r w:rsidRPr="00AB4864">
              <w:rPr>
                <w:rFonts w:ascii="Arial" w:hAnsi="Arial" w:cs="Arial"/>
                <w:b/>
                <w:bCs/>
                <w:sz w:val="22"/>
                <w:szCs w:val="22"/>
              </w:rPr>
              <w:t>Náklady vlastního kapitálu</w:t>
            </w:r>
          </w:p>
        </w:tc>
        <w:tc>
          <w:tcPr>
            <w:tcW w:w="941" w:type="dxa"/>
            <w:tcBorders>
              <w:top w:val="nil"/>
              <w:left w:val="nil"/>
              <w:bottom w:val="single" w:sz="8" w:space="0" w:color="auto"/>
              <w:right w:val="single" w:sz="8" w:space="0" w:color="auto"/>
            </w:tcBorders>
            <w:shd w:val="clear" w:color="000000" w:fill="BFBFBF"/>
            <w:noWrap/>
            <w:vAlign w:val="center"/>
            <w:hideMark/>
          </w:tcPr>
          <w:p w:rsidR="00574F06" w:rsidRPr="00AB4864" w:rsidRDefault="00574F06" w:rsidP="008808F3">
            <w:pPr>
              <w:rPr>
                <w:rFonts w:ascii="Arial" w:hAnsi="Arial" w:cs="Arial"/>
                <w:b/>
                <w:bCs/>
                <w:sz w:val="22"/>
                <w:szCs w:val="22"/>
              </w:rPr>
            </w:pPr>
            <w:r w:rsidRPr="00AB4864">
              <w:rPr>
                <w:rFonts w:ascii="Arial" w:hAnsi="Arial" w:cs="Arial"/>
                <w:b/>
                <w:bCs/>
                <w:sz w:val="22"/>
                <w:szCs w:val="22"/>
              </w:rPr>
              <w:t> </w:t>
            </w:r>
          </w:p>
        </w:tc>
        <w:tc>
          <w:tcPr>
            <w:tcW w:w="1500" w:type="dxa"/>
            <w:tcBorders>
              <w:top w:val="nil"/>
              <w:left w:val="nil"/>
              <w:bottom w:val="single" w:sz="8" w:space="0" w:color="auto"/>
              <w:right w:val="single" w:sz="8" w:space="0" w:color="auto"/>
            </w:tcBorders>
            <w:shd w:val="clear" w:color="000000" w:fill="BFBFBF"/>
            <w:noWrap/>
            <w:vAlign w:val="center"/>
            <w:hideMark/>
          </w:tcPr>
          <w:p w:rsidR="00574F06" w:rsidRPr="00AB4864" w:rsidRDefault="00574F06" w:rsidP="008808F3">
            <w:pPr>
              <w:jc w:val="right"/>
              <w:rPr>
                <w:rFonts w:ascii="Arial" w:hAnsi="Arial" w:cs="Arial"/>
                <w:b/>
                <w:bCs/>
                <w:sz w:val="22"/>
                <w:szCs w:val="22"/>
              </w:rPr>
            </w:pPr>
            <w:r w:rsidRPr="00AB4864">
              <w:rPr>
                <w:rFonts w:ascii="Arial" w:hAnsi="Arial" w:cs="Arial"/>
                <w:b/>
                <w:bCs/>
                <w:sz w:val="22"/>
                <w:szCs w:val="22"/>
              </w:rPr>
              <w:t> </w:t>
            </w:r>
          </w:p>
        </w:tc>
      </w:tr>
      <w:tr w:rsidR="00574F06" w:rsidRPr="00AB4864" w:rsidTr="008808F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Bezriziková výnosová míra</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proofErr w:type="spellStart"/>
            <w:r w:rsidRPr="00AB4864">
              <w:rPr>
                <w:rFonts w:ascii="Arial" w:hAnsi="Arial" w:cs="Arial"/>
                <w:sz w:val="22"/>
                <w:szCs w:val="22"/>
              </w:rPr>
              <w:t>r</w:t>
            </w:r>
            <w:r w:rsidRPr="00AB4864">
              <w:rPr>
                <w:rFonts w:ascii="Arial" w:hAnsi="Arial" w:cs="Arial"/>
                <w:sz w:val="22"/>
                <w:szCs w:val="22"/>
                <w:vertAlign w:val="subscript"/>
              </w:rPr>
              <w:t>f</w:t>
            </w:r>
            <w:proofErr w:type="spellEnd"/>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sz w:val="22"/>
                <w:szCs w:val="22"/>
              </w:rPr>
            </w:pPr>
            <w:r w:rsidRPr="00AB4864">
              <w:rPr>
                <w:rFonts w:ascii="Arial" w:hAnsi="Arial" w:cs="Arial"/>
                <w:sz w:val="22"/>
                <w:szCs w:val="22"/>
              </w:rPr>
              <w:t>1,270 %</w:t>
            </w:r>
          </w:p>
        </w:tc>
      </w:tr>
      <w:tr w:rsidR="00574F06" w:rsidRPr="00AB4864" w:rsidTr="008808F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Tržní riziková prémie</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ERP</w:t>
            </w:r>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sz w:val="22"/>
                <w:szCs w:val="22"/>
              </w:rPr>
            </w:pPr>
            <w:r w:rsidRPr="00AB4864">
              <w:rPr>
                <w:rFonts w:ascii="Arial" w:hAnsi="Arial" w:cs="Arial"/>
                <w:sz w:val="22"/>
                <w:szCs w:val="22"/>
              </w:rPr>
              <w:t>5,500 %</w:t>
            </w:r>
          </w:p>
        </w:tc>
      </w:tr>
      <w:tr w:rsidR="00574F06" w:rsidRPr="00AB4864" w:rsidTr="008808F3">
        <w:trPr>
          <w:trHeight w:val="61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Asset beta</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color w:val="000000"/>
                <w:sz w:val="22"/>
                <w:szCs w:val="22"/>
              </w:rPr>
            </w:pPr>
            <w:r w:rsidRPr="00AB4864">
              <w:rPr>
                <w:rFonts w:ascii="Arial" w:hAnsi="Arial" w:cs="Arial"/>
                <w:color w:val="000000"/>
                <w:sz w:val="22"/>
                <w:szCs w:val="22"/>
              </w:rPr>
              <w:t>β</w:t>
            </w:r>
            <w:r w:rsidRPr="00AB4864">
              <w:rPr>
                <w:rFonts w:ascii="Arial" w:hAnsi="Arial" w:cs="Arial"/>
                <w:color w:val="000000"/>
                <w:sz w:val="22"/>
                <w:szCs w:val="22"/>
                <w:vertAlign w:val="subscript"/>
              </w:rPr>
              <w:t>a</w:t>
            </w:r>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sz w:val="22"/>
                <w:szCs w:val="22"/>
              </w:rPr>
            </w:pPr>
            <w:r w:rsidRPr="00AB4864">
              <w:rPr>
                <w:rFonts w:ascii="Arial" w:hAnsi="Arial" w:cs="Arial"/>
                <w:sz w:val="22"/>
                <w:szCs w:val="22"/>
              </w:rPr>
              <w:t>0,471</w:t>
            </w:r>
          </w:p>
        </w:tc>
      </w:tr>
      <w:tr w:rsidR="00574F06" w:rsidRPr="00AB4864" w:rsidTr="008808F3">
        <w:trPr>
          <w:trHeight w:val="61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Equity beta</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color w:val="000000"/>
                <w:sz w:val="22"/>
                <w:szCs w:val="22"/>
              </w:rPr>
            </w:pPr>
            <w:r w:rsidRPr="00AB4864">
              <w:rPr>
                <w:rFonts w:ascii="Arial" w:hAnsi="Arial" w:cs="Arial"/>
                <w:color w:val="000000"/>
                <w:sz w:val="22"/>
                <w:szCs w:val="22"/>
              </w:rPr>
              <w:t>β</w:t>
            </w:r>
            <w:r w:rsidRPr="00AB4864">
              <w:rPr>
                <w:rFonts w:ascii="Arial" w:hAnsi="Arial" w:cs="Arial"/>
                <w:color w:val="000000"/>
                <w:sz w:val="22"/>
                <w:szCs w:val="22"/>
                <w:vertAlign w:val="subscript"/>
              </w:rPr>
              <w:t>e</w:t>
            </w:r>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sz w:val="22"/>
                <w:szCs w:val="22"/>
              </w:rPr>
            </w:pPr>
            <w:r w:rsidRPr="00AB4864">
              <w:rPr>
                <w:rFonts w:ascii="Arial" w:hAnsi="Arial" w:cs="Arial"/>
                <w:sz w:val="22"/>
                <w:szCs w:val="22"/>
              </w:rPr>
              <w:t>0,711</w:t>
            </w:r>
          </w:p>
        </w:tc>
      </w:tr>
      <w:tr w:rsidR="00574F06" w:rsidRPr="00AB4864" w:rsidTr="008808F3">
        <w:trPr>
          <w:trHeight w:val="61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574F06" w:rsidRPr="00AB4864" w:rsidRDefault="00574F06" w:rsidP="008808F3">
            <w:pPr>
              <w:rPr>
                <w:rFonts w:ascii="Arial" w:hAnsi="Arial" w:cs="Arial"/>
                <w:sz w:val="22"/>
                <w:szCs w:val="22"/>
              </w:rPr>
            </w:pPr>
            <w:r w:rsidRPr="00AB4864">
              <w:rPr>
                <w:rFonts w:ascii="Arial" w:hAnsi="Arial" w:cs="Arial"/>
                <w:sz w:val="22"/>
                <w:szCs w:val="22"/>
              </w:rPr>
              <w:t>Beta dluhu</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color w:val="000000"/>
                <w:sz w:val="22"/>
                <w:szCs w:val="22"/>
              </w:rPr>
            </w:pPr>
            <w:r w:rsidRPr="00AB4864">
              <w:rPr>
                <w:rFonts w:ascii="Arial" w:hAnsi="Arial" w:cs="Arial"/>
                <w:color w:val="000000"/>
                <w:sz w:val="22"/>
                <w:szCs w:val="22"/>
              </w:rPr>
              <w:t>β</w:t>
            </w:r>
            <w:r w:rsidRPr="00AB4864">
              <w:rPr>
                <w:rFonts w:ascii="Arial" w:hAnsi="Arial" w:cs="Arial"/>
                <w:color w:val="000000"/>
                <w:sz w:val="22"/>
                <w:szCs w:val="22"/>
                <w:vertAlign w:val="subscript"/>
              </w:rPr>
              <w:t>d</w:t>
            </w:r>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sz w:val="22"/>
                <w:szCs w:val="22"/>
              </w:rPr>
            </w:pPr>
            <w:r w:rsidRPr="00AB4864">
              <w:rPr>
                <w:rFonts w:ascii="Arial" w:hAnsi="Arial" w:cs="Arial"/>
                <w:sz w:val="22"/>
                <w:szCs w:val="22"/>
              </w:rPr>
              <w:t>0,100</w:t>
            </w:r>
          </w:p>
        </w:tc>
      </w:tr>
      <w:tr w:rsidR="00574F06" w:rsidRPr="00AB4864" w:rsidTr="008808F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b/>
                <w:bCs/>
                <w:sz w:val="22"/>
                <w:szCs w:val="22"/>
              </w:rPr>
            </w:pPr>
            <w:r w:rsidRPr="00AB4864">
              <w:rPr>
                <w:rFonts w:ascii="Arial" w:hAnsi="Arial" w:cs="Arial"/>
                <w:b/>
                <w:bCs/>
                <w:sz w:val="22"/>
                <w:szCs w:val="22"/>
              </w:rPr>
              <w:t>Náklady vlastního kapitálu</w:t>
            </w:r>
          </w:p>
        </w:tc>
        <w:tc>
          <w:tcPr>
            <w:tcW w:w="941"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rPr>
                <w:rFonts w:ascii="Arial" w:hAnsi="Arial" w:cs="Arial"/>
                <w:b/>
                <w:bCs/>
                <w:sz w:val="22"/>
                <w:szCs w:val="22"/>
              </w:rPr>
            </w:pPr>
            <w:r w:rsidRPr="00AB4864">
              <w:rPr>
                <w:rFonts w:ascii="Arial" w:hAnsi="Arial" w:cs="Arial"/>
                <w:sz w:val="22"/>
                <w:szCs w:val="22"/>
              </w:rPr>
              <w:t>r</w:t>
            </w:r>
            <w:r w:rsidRPr="00AB4864">
              <w:rPr>
                <w:rFonts w:ascii="Arial" w:hAnsi="Arial" w:cs="Arial"/>
                <w:sz w:val="22"/>
                <w:szCs w:val="22"/>
                <w:vertAlign w:val="subscript"/>
              </w:rPr>
              <w:t>e</w:t>
            </w:r>
          </w:p>
        </w:tc>
        <w:tc>
          <w:tcPr>
            <w:tcW w:w="1500" w:type="dxa"/>
            <w:tcBorders>
              <w:top w:val="nil"/>
              <w:left w:val="nil"/>
              <w:bottom w:val="single" w:sz="8" w:space="0" w:color="auto"/>
              <w:right w:val="single" w:sz="8" w:space="0" w:color="auto"/>
            </w:tcBorders>
            <w:shd w:val="clear" w:color="auto" w:fill="auto"/>
            <w:noWrap/>
            <w:vAlign w:val="center"/>
            <w:hideMark/>
          </w:tcPr>
          <w:p w:rsidR="00574F06" w:rsidRPr="00AB4864" w:rsidRDefault="00574F06" w:rsidP="008808F3">
            <w:pPr>
              <w:jc w:val="right"/>
              <w:rPr>
                <w:rFonts w:ascii="Arial" w:hAnsi="Arial" w:cs="Arial"/>
                <w:b/>
                <w:bCs/>
                <w:sz w:val="22"/>
                <w:szCs w:val="22"/>
              </w:rPr>
            </w:pPr>
            <w:r w:rsidRPr="00AB4864">
              <w:rPr>
                <w:rFonts w:ascii="Arial" w:hAnsi="Arial" w:cs="Arial"/>
                <w:b/>
                <w:bCs/>
                <w:sz w:val="22"/>
                <w:szCs w:val="22"/>
              </w:rPr>
              <w:t>5,181 %</w:t>
            </w:r>
          </w:p>
        </w:tc>
      </w:tr>
    </w:tbl>
    <w:p w:rsidR="00574F06" w:rsidRPr="00AB4864" w:rsidRDefault="00574F06" w:rsidP="00AB4864">
      <w:pPr>
        <w:spacing w:before="240" w:after="240"/>
        <w:ind w:firstLine="709"/>
        <w:jc w:val="both"/>
        <w:rPr>
          <w:rFonts w:ascii="Arial" w:hAnsi="Arial" w:cs="Arial"/>
          <w:sz w:val="22"/>
          <w:szCs w:val="22"/>
        </w:rPr>
      </w:pPr>
      <w:r w:rsidRPr="00AB4864">
        <w:rPr>
          <w:rFonts w:ascii="Arial" w:hAnsi="Arial" w:cs="Arial"/>
          <w:sz w:val="22"/>
          <w:szCs w:val="22"/>
        </w:rPr>
        <w:t xml:space="preserve">Samostatně je v čl. 5 odst. 3 opatření obecné povahy č. OOP/4/09.2014-6 stanoveno procento návratnosti vloženého kapitálu před zdaněním WACC pro službu přístupu na přístupových sítích nové generace v souladu s Doporučením Komise ze dne 20. září 2010 o regulovaném přístupu k přístupovým sítím nové generace (NGA) č. 2010/572/EU (dále „doporučení“). Přístupovými sítěmi nové generace se rozumí přístupové sítě, které sestávají zcela nebo z části z optických prvků a které jsou schopné dodávat služby širokopásmového přístupu s dokonalejšími vlastnostmi (např. s vyšší propustností) ve srovnání se službami poskytovanými prostřednictvím stávajících sítí založených na kovovém vedení. Doporučení ukládá vnitrostátním regulačním orgánům při stanovování ceny za zpřístupnění účastnického vedení z optického vlákna a za přístup k infrastruktuře FTTH/FTTB zohlednit toto zvýšené riziko ve formě rizikové prémie zahrnuté v nákladech kapitálu. </w:t>
      </w:r>
    </w:p>
    <w:p w:rsidR="00574F06" w:rsidRPr="00AB4864" w:rsidRDefault="00574F06" w:rsidP="00AB4864">
      <w:pPr>
        <w:spacing w:after="240"/>
        <w:ind w:firstLine="708"/>
        <w:jc w:val="both"/>
        <w:rPr>
          <w:rFonts w:ascii="Arial" w:hAnsi="Arial" w:cs="Arial"/>
          <w:sz w:val="22"/>
          <w:szCs w:val="22"/>
        </w:rPr>
      </w:pPr>
      <w:r w:rsidRPr="00AB4864">
        <w:rPr>
          <w:rFonts w:ascii="Arial" w:hAnsi="Arial" w:cs="Arial"/>
          <w:sz w:val="22"/>
          <w:szCs w:val="22"/>
        </w:rPr>
        <w:lastRenderedPageBreak/>
        <w:t>Riziková přirážka pro NGA byla v OOP/4/02.2019-2 stanovena na základě hodnocení dílčích rizik v případě sítí NGA relativně ve vztahu k rizikům běžných sítí. Byl využit model komplexní stavebnicové metody pro odhad nákladů vlastního kapitálu publikovaný prof. Maříkem</w:t>
      </w:r>
      <w:r w:rsidRPr="00AB4864">
        <w:rPr>
          <w:rStyle w:val="Znakapoznpodarou"/>
          <w:rFonts w:ascii="Arial" w:hAnsi="Arial" w:cs="Arial"/>
          <w:sz w:val="22"/>
          <w:szCs w:val="22"/>
        </w:rPr>
        <w:footnoteReference w:id="19"/>
      </w:r>
      <w:r w:rsidRPr="00AB4864">
        <w:rPr>
          <w:rFonts w:ascii="Arial" w:hAnsi="Arial" w:cs="Arial"/>
          <w:sz w:val="22"/>
          <w:szCs w:val="22"/>
        </w:rPr>
        <w:t>. Tato metoda spočívá v rozčlenění celkového rizika na jednotlivá dílčí rizika, která jsou pak samostatně hodnocena. Hodnocení rizika sítí NGA není prováděno absolutně, ale relativně ve vztahu k běžným rizikům (např. metalických sítí). Výsledkem je koeficient celkového rizika (poměr rizika v rámci sítí NGA vůči rizikům ostatních sítí), kterým se následně vynásobí procento návratnosti vloženého kapitálu před zdaněním stanovené v odstavci 2 pro stanovený podnik zajištující sítě elektronických komunikací nebo poskytující veřejně dostupnou službu, čímž se získá procento návratnosti vloženého kapitálu před zdaněním WACC pro službu přístupu na přístupových sítích nové generace stanovené v odstavci 3.</w:t>
      </w:r>
    </w:p>
    <w:p w:rsidR="00574F06" w:rsidRPr="00AB4864" w:rsidRDefault="00574F06" w:rsidP="00AB4864">
      <w:pPr>
        <w:spacing w:after="240"/>
        <w:ind w:firstLine="708"/>
        <w:jc w:val="both"/>
        <w:rPr>
          <w:rFonts w:ascii="Arial" w:hAnsi="Arial" w:cs="Arial"/>
          <w:sz w:val="22"/>
          <w:szCs w:val="22"/>
        </w:rPr>
      </w:pPr>
      <w:r w:rsidRPr="00AB4864">
        <w:rPr>
          <w:rFonts w:ascii="Arial" w:hAnsi="Arial" w:cs="Arial"/>
          <w:sz w:val="22"/>
          <w:szCs w:val="22"/>
        </w:rPr>
        <w:t xml:space="preserve">Při výpočtu hodnoty WACC v odstavci 3 Úřad převzal vyhodnocení rizik prováděné poradenskou společností Grant Thornton Valuations, a.s. v roce 2018 (viz odůvodnění OOP/4/02.2019-2) a aplikoval koeficient celkového rizika ve výši 119,375 % v předchozím odstavci popsaným způsobem. Hodnota WACC v odstavci 3 byla vypočtena jako součin hodnoty WACC v odstavci 2 a koeficientu celkového rizika a zaokrouhlena na dvě desetinná místa. </w:t>
      </w:r>
    </w:p>
    <w:p w:rsidR="00574F06" w:rsidRPr="00AB4864" w:rsidRDefault="00574F06" w:rsidP="00AB4864">
      <w:pPr>
        <w:spacing w:after="240"/>
        <w:ind w:firstLine="708"/>
        <w:jc w:val="both"/>
        <w:rPr>
          <w:rFonts w:ascii="Arial" w:hAnsi="Arial" w:cs="Arial"/>
          <w:sz w:val="22"/>
          <w:szCs w:val="22"/>
        </w:rPr>
      </w:pPr>
      <w:r w:rsidRPr="00AB4864">
        <w:rPr>
          <w:rFonts w:ascii="Arial" w:hAnsi="Arial" w:cs="Arial"/>
          <w:sz w:val="22"/>
          <w:szCs w:val="22"/>
        </w:rPr>
        <w:t xml:space="preserve">Článek 2 stanoví účinnost opatření obecné povahy tak, aby nová hodnota WACC byla aplikovatelná od počátku běžného účetního období. </w:t>
      </w:r>
    </w:p>
    <w:p w:rsidR="00574F06" w:rsidRPr="00BC6844" w:rsidRDefault="00574F06" w:rsidP="00574F06">
      <w:pPr>
        <w:shd w:val="clear" w:color="auto" w:fill="FFFFFF"/>
        <w:spacing w:before="120" w:after="100" w:afterAutospacing="1"/>
        <w:ind w:left="425"/>
        <w:jc w:val="center"/>
        <w:rPr>
          <w:rFonts w:cs="Arial"/>
          <w:szCs w:val="22"/>
        </w:rPr>
      </w:pPr>
      <w:r w:rsidRPr="00BC6844">
        <w:rPr>
          <w:rFonts w:cs="Arial"/>
          <w:szCs w:val="22"/>
        </w:rPr>
        <w:t>***</w:t>
      </w:r>
    </w:p>
    <w:p w:rsidR="00574F06" w:rsidRPr="00AB4864" w:rsidRDefault="00574F06" w:rsidP="00AB4864">
      <w:pPr>
        <w:spacing w:after="240"/>
        <w:ind w:firstLine="708"/>
        <w:jc w:val="both"/>
        <w:rPr>
          <w:rFonts w:ascii="Arial" w:hAnsi="Arial" w:cs="Arial"/>
          <w:i/>
          <w:iCs/>
          <w:sz w:val="22"/>
          <w:szCs w:val="22"/>
        </w:rPr>
      </w:pPr>
      <w:r w:rsidRPr="00AB4864">
        <w:rPr>
          <w:rFonts w:ascii="Arial" w:hAnsi="Arial" w:cs="Arial"/>
          <w:sz w:val="22"/>
          <w:szCs w:val="22"/>
        </w:rPr>
        <w:t xml:space="preserve">Na základě § 130 zákona a podle Pravidel Českého telekomunikačního úřadu pro vedení konzultací na diskusním místě Úřad zveřejnil dne 20. července 2021 návrh opatření obecné povahy č. OOP/4/XX.2021-YY a výzvu k podávání připomínek na diskusním místě. </w:t>
      </w:r>
    </w:p>
    <w:p w:rsidR="00574F06" w:rsidRPr="00AB4864" w:rsidRDefault="00574F06" w:rsidP="00AB4864">
      <w:pPr>
        <w:spacing w:after="240"/>
        <w:ind w:firstLine="709"/>
        <w:jc w:val="both"/>
        <w:rPr>
          <w:rFonts w:ascii="Arial" w:hAnsi="Arial" w:cs="Arial"/>
          <w:sz w:val="22"/>
          <w:szCs w:val="22"/>
        </w:rPr>
      </w:pPr>
      <w:r w:rsidRPr="00AB4864">
        <w:rPr>
          <w:rFonts w:ascii="Arial" w:hAnsi="Arial" w:cs="Arial"/>
          <w:sz w:val="22"/>
          <w:szCs w:val="22"/>
        </w:rPr>
        <w:t xml:space="preserve">Ve lhůtě 1 měsíce stanovené pro veřejnou konzultaci obdržel Úřad připomínky od České asociace elektronických komunikací </w:t>
      </w:r>
      <w:proofErr w:type="spellStart"/>
      <w:r w:rsidRPr="00AB4864">
        <w:rPr>
          <w:rFonts w:ascii="Arial" w:hAnsi="Arial" w:cs="Arial"/>
          <w:sz w:val="22"/>
          <w:szCs w:val="22"/>
        </w:rPr>
        <w:t>z.s</w:t>
      </w:r>
      <w:proofErr w:type="spellEnd"/>
      <w:r w:rsidRPr="00AB4864">
        <w:rPr>
          <w:rFonts w:ascii="Arial" w:hAnsi="Arial" w:cs="Arial"/>
          <w:sz w:val="22"/>
          <w:szCs w:val="22"/>
        </w:rPr>
        <w:t xml:space="preserve">. (dále jen „ČAEK“). </w:t>
      </w:r>
    </w:p>
    <w:p w:rsidR="00574F06" w:rsidRPr="00AB4864" w:rsidRDefault="00574F06" w:rsidP="00AB4864">
      <w:pPr>
        <w:autoSpaceDE w:val="0"/>
        <w:autoSpaceDN w:val="0"/>
        <w:adjustRightInd w:val="0"/>
        <w:ind w:firstLine="709"/>
        <w:jc w:val="both"/>
        <w:rPr>
          <w:rFonts w:ascii="Arial" w:hAnsi="Arial" w:cs="Arial"/>
          <w:sz w:val="22"/>
          <w:szCs w:val="22"/>
        </w:rPr>
      </w:pPr>
      <w:r w:rsidRPr="00AB4864">
        <w:rPr>
          <w:rFonts w:ascii="Arial" w:hAnsi="Arial" w:cs="Arial"/>
          <w:sz w:val="22"/>
          <w:szCs w:val="22"/>
        </w:rPr>
        <w:t>ČAEK ve svých připomínkách uvádí, že snížení hodnoty WACC může negativně ovlivnit objem investic do telekomunikační infrastruktury, atraktivitu tohoto odvětví a celkovou investiční motivaci. Nízká hodnota WACC přináší také zvýšení nejistoty pro dlouhodobé investiční rozhodování společností působících na trhu.</w:t>
      </w:r>
    </w:p>
    <w:p w:rsidR="00574F06" w:rsidRPr="00AB4864" w:rsidRDefault="00574F06" w:rsidP="00AB4864">
      <w:pPr>
        <w:autoSpaceDE w:val="0"/>
        <w:autoSpaceDN w:val="0"/>
        <w:adjustRightInd w:val="0"/>
        <w:spacing w:before="120" w:after="120"/>
        <w:ind w:firstLine="709"/>
        <w:jc w:val="both"/>
        <w:rPr>
          <w:rFonts w:ascii="Arial" w:hAnsi="Arial" w:cs="Arial"/>
          <w:sz w:val="22"/>
          <w:szCs w:val="22"/>
        </w:rPr>
      </w:pPr>
      <w:r w:rsidRPr="00AB4864">
        <w:rPr>
          <w:rFonts w:ascii="Arial" w:hAnsi="Arial" w:cs="Arial"/>
          <w:sz w:val="22"/>
          <w:szCs w:val="22"/>
        </w:rPr>
        <w:t>Peer group použitá v rámci metody výpočtu WACC zahrnuje výhradně společnosti z ekonomicky vyspělejších zemí EU. V žádném rozsahu zde nejsou zastoupeny členské státy východní a střední Evropy. Vybraná peer group tak nezahrnuje investiční profil odpovídající českému nebo obdobnému tržnímu prostředí. Definice peer group je významným faktorem ovlivňujícím jednotlivé parametry výsledné hodnoty WACC. Hodnota WACC tak nezohledňuje dostatečně tržní podmínky v České republice.</w:t>
      </w:r>
    </w:p>
    <w:p w:rsidR="00574F06" w:rsidRPr="00AB4864" w:rsidRDefault="00574F06" w:rsidP="00AB4864">
      <w:pPr>
        <w:autoSpaceDE w:val="0"/>
        <w:autoSpaceDN w:val="0"/>
        <w:adjustRightInd w:val="0"/>
        <w:spacing w:after="120"/>
        <w:ind w:firstLine="709"/>
        <w:jc w:val="both"/>
        <w:rPr>
          <w:rFonts w:ascii="Arial" w:hAnsi="Arial" w:cs="Arial"/>
          <w:sz w:val="22"/>
          <w:szCs w:val="22"/>
        </w:rPr>
      </w:pPr>
      <w:r w:rsidRPr="00AB4864">
        <w:rPr>
          <w:rFonts w:ascii="Arial" w:hAnsi="Arial" w:cs="Arial"/>
          <w:sz w:val="22"/>
          <w:szCs w:val="22"/>
        </w:rPr>
        <w:t xml:space="preserve">Úřad tuto připomínku neakceptoval, protože složení peer group v souladu s bodem 67 Sdělení určuje BEREC a přidání dalších společností ze strany členských států do svého výpočtu WACC Sdělení výslovně zakazuje. Skutečnost, že v peer group nejsou zastoupeny společnosti z východní a střední Evropy BEREC vysvětluje tím, že v těchto zemích nepůsobí aktuálně takové společnosti, které by vyhověly kritériím daným ve Sdělení. </w:t>
      </w:r>
    </w:p>
    <w:p w:rsidR="00574F06" w:rsidRPr="00AB4864" w:rsidRDefault="00574F06" w:rsidP="00AB4864">
      <w:pPr>
        <w:autoSpaceDE w:val="0"/>
        <w:autoSpaceDN w:val="0"/>
        <w:adjustRightInd w:val="0"/>
        <w:jc w:val="both"/>
        <w:rPr>
          <w:rFonts w:ascii="Arial" w:hAnsi="Arial" w:cs="Arial"/>
          <w:sz w:val="22"/>
          <w:szCs w:val="22"/>
        </w:rPr>
      </w:pPr>
      <w:r w:rsidRPr="00AB4864">
        <w:rPr>
          <w:rFonts w:ascii="Arial" w:hAnsi="Arial" w:cs="Arial"/>
          <w:b/>
          <w:bCs/>
          <w:sz w:val="22"/>
          <w:szCs w:val="22"/>
        </w:rPr>
        <w:tab/>
      </w:r>
      <w:r w:rsidRPr="00AB4864">
        <w:rPr>
          <w:rFonts w:ascii="Arial" w:hAnsi="Arial" w:cs="Arial"/>
          <w:sz w:val="22"/>
          <w:szCs w:val="22"/>
        </w:rPr>
        <w:t>V další připomínce ČAEK požaduje zohlednění zvýšeného rizika ve formě rizikové prémie zahrnuté v nákladech kapitálu pro všechny sítě s velmi vysokou kapacitou, tj. i na sítě 5G. Uvádí, že při aktualizaci OOP je tak nutné zahrnout sítě do WACC s rizikovou prémií dle čl. 5 odst. 3 nikoliv dle definice NGA, ale dle nové definice sítí VHCN vycházející z Kodexu, která přesněji odráží aktuální situaci na trhu elektronických komunikací.</w:t>
      </w:r>
    </w:p>
    <w:p w:rsidR="00574F06" w:rsidRPr="00AB4864" w:rsidRDefault="00574F06" w:rsidP="00AB4864">
      <w:pPr>
        <w:autoSpaceDE w:val="0"/>
        <w:autoSpaceDN w:val="0"/>
        <w:adjustRightInd w:val="0"/>
        <w:spacing w:before="120" w:after="120"/>
        <w:ind w:firstLine="709"/>
        <w:jc w:val="both"/>
        <w:rPr>
          <w:rFonts w:ascii="Arial" w:hAnsi="Arial" w:cs="Arial"/>
          <w:sz w:val="22"/>
          <w:szCs w:val="22"/>
        </w:rPr>
      </w:pPr>
      <w:r w:rsidRPr="00AB4864">
        <w:rPr>
          <w:rFonts w:ascii="Arial" w:hAnsi="Arial" w:cs="Arial"/>
          <w:sz w:val="22"/>
          <w:szCs w:val="22"/>
        </w:rPr>
        <w:lastRenderedPageBreak/>
        <w:t>Úřad této připomínce vyhověl, nikoliv však z důvodů, které uvádí ČAEK, ale z důvodu zajištění konzistentního přístupu pro zohlednění rizika související s investicí do nových 5G sítí, jak jej uplatnil v aukci na kmitočty 700 MHz. Úřad rozšíří uplatnění rizikové přirážky i na sítě 5G.</w:t>
      </w:r>
    </w:p>
    <w:p w:rsidR="00574F06" w:rsidRPr="00AB4864" w:rsidRDefault="00574F06" w:rsidP="00AB4864">
      <w:pPr>
        <w:autoSpaceDE w:val="0"/>
        <w:autoSpaceDN w:val="0"/>
        <w:adjustRightInd w:val="0"/>
        <w:spacing w:after="120"/>
        <w:ind w:firstLine="709"/>
        <w:jc w:val="both"/>
        <w:rPr>
          <w:rFonts w:ascii="Arial" w:hAnsi="Arial" w:cs="Arial"/>
          <w:sz w:val="22"/>
          <w:szCs w:val="22"/>
        </w:rPr>
      </w:pPr>
      <w:r w:rsidRPr="00AB4864">
        <w:rPr>
          <w:rFonts w:ascii="Arial" w:hAnsi="Arial" w:cs="Arial"/>
          <w:sz w:val="22"/>
          <w:szCs w:val="22"/>
        </w:rPr>
        <w:t>V poslední z připomínek ČAEK požaduje zahrnutí specifické rizikové přirážky (nízká likvidita, malá tržní kapitalizace, riziko země atd.), která bude lépe odrážet tržní realitu WACC.</w:t>
      </w:r>
    </w:p>
    <w:p w:rsidR="00574F06" w:rsidRPr="00AB4864" w:rsidRDefault="00574F06" w:rsidP="00AB4864">
      <w:pPr>
        <w:autoSpaceDE w:val="0"/>
        <w:autoSpaceDN w:val="0"/>
        <w:adjustRightInd w:val="0"/>
        <w:spacing w:after="120"/>
        <w:jc w:val="both"/>
        <w:rPr>
          <w:rFonts w:ascii="Arial-BoldMT" w:hAnsi="Arial-BoldMT" w:cs="Arial-BoldMT"/>
          <w:sz w:val="22"/>
          <w:szCs w:val="22"/>
          <w:u w:val="single"/>
        </w:rPr>
      </w:pPr>
      <w:r w:rsidRPr="007D3A8D">
        <w:rPr>
          <w:rFonts w:ascii="Arial-BoldMT" w:hAnsi="Arial-BoldMT" w:cs="Arial-BoldMT"/>
          <w:szCs w:val="22"/>
        </w:rPr>
        <w:tab/>
      </w:r>
      <w:r w:rsidRPr="00AB4864">
        <w:rPr>
          <w:rFonts w:ascii="Arial" w:hAnsi="Arial" w:cs="Arial"/>
          <w:sz w:val="22"/>
          <w:szCs w:val="22"/>
        </w:rPr>
        <w:t>Akceptace této připomínky by znamenala odchýlení se od požadavků Komise na metodiku výpočtu daných Sdělením. Podrobnější odůvodnění viz</w:t>
      </w:r>
      <w:r w:rsidRPr="007D3A8D">
        <w:rPr>
          <w:rFonts w:ascii="Arial-BoldMT" w:hAnsi="Arial-BoldMT" w:cs="Arial-BoldMT"/>
          <w:szCs w:val="22"/>
        </w:rPr>
        <w:t xml:space="preserve"> </w:t>
      </w:r>
      <w:hyperlink r:id="rId40" w:history="1">
        <w:r w:rsidRPr="00AB4864">
          <w:rPr>
            <w:rStyle w:val="Hypertextovodkaz"/>
            <w:rFonts w:ascii="Arial-BoldMT" w:hAnsi="Arial-BoldMT" w:cs="Arial-BoldMT"/>
            <w:sz w:val="22"/>
            <w:szCs w:val="22"/>
          </w:rPr>
          <w:t>tabulka vypořádání připomínek.</w:t>
        </w:r>
      </w:hyperlink>
      <w:r w:rsidRPr="00AB4864">
        <w:rPr>
          <w:rFonts w:ascii="Arial-BoldMT" w:hAnsi="Arial-BoldMT" w:cs="Arial-BoldMT"/>
          <w:sz w:val="22"/>
          <w:szCs w:val="22"/>
          <w:u w:val="single"/>
        </w:rPr>
        <w:t xml:space="preserve"> </w:t>
      </w:r>
    </w:p>
    <w:p w:rsidR="00574F06" w:rsidRDefault="00574F06" w:rsidP="00AB4864">
      <w:pPr>
        <w:spacing w:after="240"/>
        <w:ind w:firstLine="709"/>
        <w:jc w:val="both"/>
        <w:rPr>
          <w:rFonts w:cs="Arial"/>
          <w:szCs w:val="22"/>
        </w:rPr>
      </w:pPr>
      <w:r w:rsidRPr="00AB4864">
        <w:rPr>
          <w:rFonts w:ascii="Arial" w:hAnsi="Arial" w:cs="Arial"/>
          <w:sz w:val="22"/>
          <w:szCs w:val="22"/>
        </w:rPr>
        <w:t>V tabulce vypořádání připomínek zveřejněné na diskusním místě je uvedeno plné znění připomínek a způsob jejich vypořádání</w:t>
      </w:r>
      <w:r w:rsidRPr="00CF00AE">
        <w:rPr>
          <w:rFonts w:cs="Arial"/>
          <w:szCs w:val="22"/>
        </w:rPr>
        <w:t>.</w:t>
      </w:r>
    </w:p>
    <w:p w:rsidR="00574F06" w:rsidRPr="00BC6844" w:rsidRDefault="00574F06" w:rsidP="00574F06">
      <w:pPr>
        <w:shd w:val="clear" w:color="auto" w:fill="FFFFFF"/>
        <w:spacing w:before="120" w:after="100" w:afterAutospacing="1"/>
        <w:ind w:left="425"/>
        <w:jc w:val="center"/>
        <w:rPr>
          <w:rFonts w:cs="Arial"/>
          <w:szCs w:val="22"/>
        </w:rPr>
      </w:pPr>
      <w:r w:rsidRPr="00BC6844">
        <w:rPr>
          <w:rFonts w:cs="Arial"/>
          <w:szCs w:val="22"/>
        </w:rPr>
        <w:t>***</w:t>
      </w:r>
    </w:p>
    <w:p w:rsidR="00574F06" w:rsidRDefault="00574F06" w:rsidP="00AB4864">
      <w:pPr>
        <w:autoSpaceDE w:val="0"/>
        <w:autoSpaceDN w:val="0"/>
        <w:adjustRightInd w:val="0"/>
        <w:spacing w:after="120"/>
        <w:ind w:firstLine="709"/>
        <w:jc w:val="both"/>
        <w:rPr>
          <w:rFonts w:ascii="Arial" w:hAnsi="Arial" w:cs="Arial"/>
          <w:sz w:val="22"/>
          <w:szCs w:val="22"/>
        </w:rPr>
      </w:pPr>
      <w:r w:rsidRPr="00AB4864">
        <w:rPr>
          <w:rFonts w:ascii="Arial" w:hAnsi="Arial" w:cs="Arial"/>
          <w:sz w:val="22"/>
          <w:szCs w:val="22"/>
        </w:rPr>
        <w:t>Úřad podle § 131 zákona konzultoval návrh opatření obecné povahy s Evropskou komisí. Evropská komise dopisem ze dne 14. října 2021 sdělila, že k předloženému návrhu nemá žádné připomínky.</w:t>
      </w:r>
    </w:p>
    <w:p w:rsidR="002E1D53" w:rsidRPr="002E1D53" w:rsidRDefault="002E1D53" w:rsidP="002E1D53">
      <w:pPr>
        <w:autoSpaceDE w:val="0"/>
        <w:autoSpaceDN w:val="0"/>
        <w:adjustRightInd w:val="0"/>
        <w:spacing w:after="120"/>
        <w:ind w:firstLine="709"/>
        <w:jc w:val="center"/>
        <w:rPr>
          <w:rFonts w:ascii="Arial" w:hAnsi="Arial" w:cs="Arial"/>
          <w:sz w:val="22"/>
          <w:szCs w:val="22"/>
          <w:lang w:val="en-US"/>
        </w:rPr>
      </w:pPr>
      <w:r>
        <w:rPr>
          <w:rFonts w:ascii="Arial" w:hAnsi="Arial" w:cs="Arial"/>
          <w:sz w:val="22"/>
          <w:szCs w:val="22"/>
          <w:lang w:val="en-US"/>
        </w:rPr>
        <w:t>* * *</w:t>
      </w:r>
    </w:p>
    <w:p w:rsidR="002E1D53" w:rsidRDefault="002E1D53" w:rsidP="002E1D53">
      <w:pPr>
        <w:widowControl w:val="0"/>
        <w:autoSpaceDE w:val="0"/>
        <w:autoSpaceDN w:val="0"/>
        <w:adjustRightInd w:val="0"/>
        <w:spacing w:before="77"/>
        <w:ind w:right="-2"/>
        <w:rPr>
          <w:rFonts w:ascii="Arial" w:hAnsi="Arial" w:cs="Arial"/>
          <w:b/>
          <w:bCs/>
          <w:color w:val="000000"/>
          <w:sz w:val="22"/>
          <w:szCs w:val="22"/>
        </w:rPr>
      </w:pPr>
      <w:r w:rsidRPr="00852FF0">
        <w:rPr>
          <w:rFonts w:ascii="Arial" w:hAnsi="Arial" w:cs="Arial"/>
          <w:b/>
          <w:bCs/>
          <w:sz w:val="22"/>
          <w:szCs w:val="22"/>
          <w:highlight w:val="yellow"/>
        </w:rPr>
        <w:t xml:space="preserve">Odůvodnění k opatření obecné povahy č. </w:t>
      </w:r>
      <w:r w:rsidRPr="00852FF0">
        <w:rPr>
          <w:rFonts w:ascii="Arial" w:hAnsi="Arial" w:cs="Arial"/>
          <w:b/>
          <w:bCs/>
          <w:color w:val="000000"/>
          <w:sz w:val="22"/>
          <w:szCs w:val="22"/>
          <w:highlight w:val="yellow"/>
        </w:rPr>
        <w:t>OOP/4/</w:t>
      </w:r>
      <w:r>
        <w:rPr>
          <w:rFonts w:ascii="Arial" w:hAnsi="Arial" w:cs="Arial"/>
          <w:b/>
          <w:bCs/>
          <w:color w:val="000000"/>
          <w:sz w:val="22"/>
          <w:szCs w:val="22"/>
          <w:highlight w:val="yellow"/>
        </w:rPr>
        <w:t>10</w:t>
      </w:r>
      <w:r w:rsidRPr="00852FF0">
        <w:rPr>
          <w:rFonts w:ascii="Arial" w:hAnsi="Arial" w:cs="Arial"/>
          <w:b/>
          <w:bCs/>
          <w:color w:val="000000"/>
          <w:sz w:val="22"/>
          <w:szCs w:val="22"/>
          <w:highlight w:val="yellow"/>
        </w:rPr>
        <w:t>.20</w:t>
      </w:r>
      <w:r>
        <w:rPr>
          <w:rFonts w:ascii="Arial" w:hAnsi="Arial" w:cs="Arial"/>
          <w:b/>
          <w:bCs/>
          <w:color w:val="000000"/>
          <w:sz w:val="22"/>
          <w:szCs w:val="22"/>
          <w:highlight w:val="yellow"/>
        </w:rPr>
        <w:t>22</w:t>
      </w:r>
      <w:r w:rsidRPr="00852FF0">
        <w:rPr>
          <w:rFonts w:ascii="Arial" w:hAnsi="Arial" w:cs="Arial"/>
          <w:b/>
          <w:bCs/>
          <w:color w:val="000000"/>
          <w:sz w:val="22"/>
          <w:szCs w:val="22"/>
          <w:highlight w:val="yellow"/>
        </w:rPr>
        <w:t>-</w:t>
      </w:r>
      <w:r>
        <w:rPr>
          <w:rFonts w:ascii="Arial" w:hAnsi="Arial" w:cs="Arial"/>
          <w:b/>
          <w:bCs/>
          <w:color w:val="000000"/>
          <w:sz w:val="22"/>
          <w:szCs w:val="22"/>
          <w:highlight w:val="yellow"/>
        </w:rPr>
        <w:t>20</w:t>
      </w:r>
      <w:r w:rsidRPr="00852FF0">
        <w:rPr>
          <w:rFonts w:ascii="Arial" w:hAnsi="Arial" w:cs="Arial"/>
          <w:b/>
          <w:bCs/>
          <w:color w:val="000000"/>
          <w:sz w:val="22"/>
          <w:szCs w:val="22"/>
          <w:highlight w:val="yellow"/>
        </w:rPr>
        <w:t xml:space="preserve"> ze dne </w:t>
      </w:r>
      <w:r>
        <w:rPr>
          <w:rFonts w:ascii="Arial" w:hAnsi="Arial" w:cs="Arial"/>
          <w:b/>
          <w:bCs/>
          <w:color w:val="000000"/>
          <w:sz w:val="22"/>
          <w:szCs w:val="22"/>
          <w:highlight w:val="yellow"/>
        </w:rPr>
        <w:t>17</w:t>
      </w:r>
      <w:r w:rsidRPr="00852FF0">
        <w:rPr>
          <w:rFonts w:ascii="Arial" w:hAnsi="Arial" w:cs="Arial"/>
          <w:b/>
          <w:bCs/>
          <w:color w:val="000000"/>
          <w:sz w:val="22"/>
          <w:szCs w:val="22"/>
          <w:highlight w:val="yellow"/>
        </w:rPr>
        <w:t xml:space="preserve">. </w:t>
      </w:r>
      <w:r>
        <w:rPr>
          <w:rFonts w:ascii="Arial" w:hAnsi="Arial" w:cs="Arial"/>
          <w:b/>
          <w:bCs/>
          <w:color w:val="000000"/>
          <w:sz w:val="22"/>
          <w:szCs w:val="22"/>
          <w:highlight w:val="yellow"/>
        </w:rPr>
        <w:t>října</w:t>
      </w:r>
      <w:r w:rsidRPr="00852FF0">
        <w:rPr>
          <w:rFonts w:ascii="Arial" w:hAnsi="Arial" w:cs="Arial"/>
          <w:b/>
          <w:bCs/>
          <w:color w:val="000000"/>
          <w:sz w:val="22"/>
          <w:szCs w:val="22"/>
          <w:highlight w:val="yellow"/>
        </w:rPr>
        <w:t xml:space="preserve"> 2</w:t>
      </w:r>
      <w:r w:rsidRPr="00AD1494">
        <w:rPr>
          <w:rFonts w:ascii="Arial" w:hAnsi="Arial" w:cs="Arial"/>
          <w:b/>
          <w:bCs/>
          <w:color w:val="000000"/>
          <w:sz w:val="22"/>
          <w:szCs w:val="22"/>
          <w:highlight w:val="yellow"/>
        </w:rPr>
        <w:t>0</w:t>
      </w:r>
      <w:r w:rsidRPr="002E1D53">
        <w:rPr>
          <w:rFonts w:ascii="Arial" w:hAnsi="Arial" w:cs="Arial"/>
          <w:b/>
          <w:bCs/>
          <w:color w:val="000000"/>
          <w:sz w:val="22"/>
          <w:szCs w:val="22"/>
          <w:highlight w:val="yellow"/>
        </w:rPr>
        <w:t>22</w:t>
      </w:r>
    </w:p>
    <w:p w:rsidR="001A4D11" w:rsidRDefault="001A4D11" w:rsidP="002E1D53">
      <w:pPr>
        <w:widowControl w:val="0"/>
        <w:autoSpaceDE w:val="0"/>
        <w:autoSpaceDN w:val="0"/>
        <w:adjustRightInd w:val="0"/>
        <w:spacing w:before="77"/>
        <w:ind w:right="-2"/>
        <w:rPr>
          <w:rFonts w:ascii="Arial" w:hAnsi="Arial" w:cs="Arial"/>
          <w:b/>
          <w:bCs/>
          <w:color w:val="000000"/>
          <w:sz w:val="22"/>
          <w:szCs w:val="22"/>
        </w:rPr>
      </w:pPr>
    </w:p>
    <w:p w:rsidR="001A4D11" w:rsidRPr="001A4D11" w:rsidRDefault="001A4D11" w:rsidP="001A4D11">
      <w:pPr>
        <w:autoSpaceDE w:val="0"/>
        <w:autoSpaceDN w:val="0"/>
        <w:adjustRightInd w:val="0"/>
        <w:spacing w:after="120"/>
        <w:ind w:firstLine="709"/>
        <w:jc w:val="both"/>
        <w:rPr>
          <w:rFonts w:ascii="Arial" w:hAnsi="Arial" w:cs="Arial"/>
          <w:sz w:val="22"/>
          <w:szCs w:val="22"/>
        </w:rPr>
      </w:pPr>
      <w:r w:rsidRPr="001A4D11">
        <w:rPr>
          <w:rFonts w:ascii="Arial" w:hAnsi="Arial" w:cs="Arial"/>
          <w:sz w:val="22"/>
          <w:szCs w:val="22"/>
        </w:rPr>
        <w:t xml:space="preserve">V opatření obecné povahy č. OOP/4/09.2014-6, kterým se stanoví metodika účelového členění nákladů a výnosů a jejich přiřazování a určuje se struktura vykazovaných informací, vydaném dne 3. září 2014, stanovil Český telekomunikační úřad hodnoty WACC, využívané pro stanovení nákladů vloženého kapitálu při vedení oddělené evidence nákladů a výnosů, vyúčtování čistých nákladů na poskytování univerzální služby a pro cenovou regulaci.  </w:t>
      </w:r>
    </w:p>
    <w:p w:rsidR="001A4D11" w:rsidRPr="001A4D11" w:rsidRDefault="001A4D11" w:rsidP="001A4D11">
      <w:pPr>
        <w:autoSpaceDE w:val="0"/>
        <w:autoSpaceDN w:val="0"/>
        <w:adjustRightInd w:val="0"/>
        <w:spacing w:after="120"/>
        <w:ind w:firstLine="709"/>
        <w:jc w:val="both"/>
        <w:rPr>
          <w:rFonts w:ascii="Arial" w:hAnsi="Arial" w:cs="Arial"/>
          <w:sz w:val="22"/>
          <w:szCs w:val="22"/>
        </w:rPr>
      </w:pPr>
      <w:r w:rsidRPr="001A4D11">
        <w:rPr>
          <w:rFonts w:ascii="Arial" w:hAnsi="Arial" w:cs="Arial"/>
          <w:sz w:val="22"/>
          <w:szCs w:val="22"/>
        </w:rPr>
        <w:t>Aktualizaci Úřad provedl v roce 2015 (opatřením obecné povahy č. OOP/4/12.2015-7 ze dne 8. prosince 2015), v roce 2019 (opatřením obecné povahy č. OOP/4/02.2019-2 ze dne 26. února 2019) a v roce 2021 (opatřením obecné povahy č. OOP/4/10.2021-10 ze dne 26. října 2021).</w:t>
      </w:r>
    </w:p>
    <w:p w:rsidR="001A4D11" w:rsidRPr="001A4D11" w:rsidRDefault="001A4D11" w:rsidP="001A4D11">
      <w:pPr>
        <w:autoSpaceDE w:val="0"/>
        <w:autoSpaceDN w:val="0"/>
        <w:adjustRightInd w:val="0"/>
        <w:spacing w:after="120"/>
        <w:ind w:firstLine="709"/>
        <w:jc w:val="both"/>
        <w:rPr>
          <w:rFonts w:ascii="Arial" w:hAnsi="Arial" w:cs="Arial"/>
          <w:sz w:val="22"/>
          <w:szCs w:val="22"/>
        </w:rPr>
      </w:pPr>
      <w:r w:rsidRPr="001A4D11">
        <w:rPr>
          <w:rFonts w:ascii="Arial" w:hAnsi="Arial" w:cs="Arial"/>
          <w:sz w:val="22"/>
          <w:szCs w:val="22"/>
        </w:rPr>
        <w:t>Evropská komise publikovala dne 6. listopadu 2019 v Úředním věstníku Sdělení Komise o výpočtu nákladů kapitálu u starší infrastruktury v souvislosti s přezkumem vnitrostátních oznámení v odvětví elektronických komunikací EU prováděných Komisí</w:t>
      </w:r>
      <w:r w:rsidRPr="001A4D11">
        <w:rPr>
          <w:rFonts w:ascii="Arial" w:hAnsi="Arial" w:cs="Arial"/>
          <w:sz w:val="22"/>
        </w:rPr>
        <w:footnoteReference w:id="20"/>
      </w:r>
      <w:r w:rsidRPr="001A4D11">
        <w:rPr>
          <w:rFonts w:ascii="Arial" w:hAnsi="Arial" w:cs="Arial"/>
          <w:sz w:val="22"/>
          <w:szCs w:val="22"/>
        </w:rPr>
        <w:t xml:space="preserve"> (dále jen „Sdělení“).   </w:t>
      </w:r>
    </w:p>
    <w:p w:rsidR="001A4D11" w:rsidRPr="001A4D11" w:rsidRDefault="001A4D11" w:rsidP="001A4D11">
      <w:pPr>
        <w:autoSpaceDE w:val="0"/>
        <w:autoSpaceDN w:val="0"/>
        <w:adjustRightInd w:val="0"/>
        <w:spacing w:after="120"/>
        <w:ind w:firstLine="709"/>
        <w:jc w:val="both"/>
        <w:rPr>
          <w:rFonts w:ascii="Arial" w:hAnsi="Arial" w:cs="Arial"/>
          <w:sz w:val="22"/>
          <w:szCs w:val="22"/>
        </w:rPr>
      </w:pPr>
      <w:r w:rsidRPr="001A4D11">
        <w:rPr>
          <w:rFonts w:ascii="Arial" w:hAnsi="Arial" w:cs="Arial"/>
          <w:sz w:val="22"/>
          <w:szCs w:val="22"/>
        </w:rPr>
        <w:t>Toto Sdělení stanoví metodiku pro výpočet průměrných vážených nákladů kapitálu (WACC), kterou Komise používá od 1. července 2020 při přezkumu oznámení v rámci přezkumu dle článku 32 nového evropského kodexu pro elektronické komunikace</w:t>
      </w:r>
      <w:r w:rsidRPr="001A4D11">
        <w:rPr>
          <w:rFonts w:ascii="Arial" w:hAnsi="Arial"/>
          <w:sz w:val="22"/>
        </w:rPr>
        <w:footnoteReference w:id="21"/>
      </w:r>
      <w:r w:rsidRPr="001A4D11">
        <w:rPr>
          <w:rFonts w:ascii="Arial" w:hAnsi="Arial" w:cs="Arial"/>
          <w:sz w:val="22"/>
          <w:szCs w:val="22"/>
        </w:rPr>
        <w:t xml:space="preserve">. Komise zaznamenala značné rozdíly při odhadování WACC u služeb poskytovaných prostřednictvím sítí elektronických komunikací a má za to, že tyto metodické nesrovnalosti mohou narušovat investiční pobídky na jednotném digitálním trhu a poškozovat rozvoj vnitřního trhu tím, že brání vytváření harmonizovaných podmínek pro investice do sítí elektronických komunikací. Účelem tohoto Sdělení je zvýšit konzistentnost výpočtu WACC v celé EU. Oblast působnosti tohoto Sdělení je omezena na výpočet WACC pro starší infrastrukturu. Starší infrastrukturou se pro účely Sdělení rozumí infrastruktura operátora s významnou tržní silou, na kterou se nevztahuje prémie za přístupové sítě nové generace (NGA). </w:t>
      </w:r>
    </w:p>
    <w:p w:rsidR="001A4D11" w:rsidRPr="001A4D11" w:rsidRDefault="001A4D11" w:rsidP="001A4D11">
      <w:pPr>
        <w:autoSpaceDE w:val="0"/>
        <w:autoSpaceDN w:val="0"/>
        <w:adjustRightInd w:val="0"/>
        <w:spacing w:after="120"/>
        <w:ind w:firstLine="709"/>
        <w:jc w:val="both"/>
        <w:rPr>
          <w:rFonts w:ascii="Arial" w:hAnsi="Arial" w:cs="Arial"/>
          <w:sz w:val="22"/>
          <w:szCs w:val="22"/>
        </w:rPr>
      </w:pPr>
      <w:r w:rsidRPr="001A4D11">
        <w:rPr>
          <w:rFonts w:ascii="Arial" w:hAnsi="Arial" w:cs="Arial"/>
          <w:sz w:val="22"/>
          <w:szCs w:val="22"/>
        </w:rPr>
        <w:lastRenderedPageBreak/>
        <w:t xml:space="preserve">V souladu s bodem 64 Sdělení publikuje od roku 2020 Sdružení BEREC každoročně zprávu pod názvem „BEREC Report on WACC </w:t>
      </w:r>
      <w:proofErr w:type="spellStart"/>
      <w:r w:rsidRPr="001A4D11">
        <w:rPr>
          <w:rFonts w:ascii="Arial" w:hAnsi="Arial" w:cs="Arial"/>
          <w:sz w:val="22"/>
          <w:szCs w:val="22"/>
        </w:rPr>
        <w:t>parameter</w:t>
      </w:r>
      <w:proofErr w:type="spellEnd"/>
      <w:r w:rsidRPr="001A4D11">
        <w:rPr>
          <w:rFonts w:ascii="Arial" w:hAnsi="Arial" w:cs="Arial"/>
          <w:sz w:val="22"/>
          <w:szCs w:val="22"/>
        </w:rPr>
        <w:t xml:space="preserve"> </w:t>
      </w:r>
      <w:proofErr w:type="spellStart"/>
      <w:r w:rsidRPr="001A4D11">
        <w:rPr>
          <w:rFonts w:ascii="Arial" w:hAnsi="Arial" w:cs="Arial"/>
          <w:sz w:val="22"/>
          <w:szCs w:val="22"/>
        </w:rPr>
        <w:t>calculations</w:t>
      </w:r>
      <w:proofErr w:type="spellEnd"/>
      <w:r w:rsidRPr="001A4D11">
        <w:rPr>
          <w:rFonts w:ascii="Arial" w:hAnsi="Arial" w:cs="Arial"/>
          <w:sz w:val="22"/>
          <w:szCs w:val="22"/>
        </w:rPr>
        <w:t xml:space="preserve"> </w:t>
      </w:r>
      <w:proofErr w:type="spellStart"/>
      <w:r w:rsidRPr="001A4D11">
        <w:rPr>
          <w:rFonts w:ascii="Arial" w:hAnsi="Arial" w:cs="Arial"/>
          <w:sz w:val="22"/>
          <w:szCs w:val="22"/>
        </w:rPr>
        <w:t>according</w:t>
      </w:r>
      <w:proofErr w:type="spellEnd"/>
      <w:r w:rsidRPr="001A4D11">
        <w:rPr>
          <w:rFonts w:ascii="Arial" w:hAnsi="Arial" w:cs="Arial"/>
          <w:sz w:val="22"/>
          <w:szCs w:val="22"/>
        </w:rPr>
        <w:t xml:space="preserve"> to </w:t>
      </w:r>
      <w:proofErr w:type="spellStart"/>
      <w:r w:rsidRPr="001A4D11">
        <w:rPr>
          <w:rFonts w:ascii="Arial" w:hAnsi="Arial" w:cs="Arial"/>
          <w:sz w:val="22"/>
          <w:szCs w:val="22"/>
        </w:rPr>
        <w:t>the</w:t>
      </w:r>
      <w:proofErr w:type="spellEnd"/>
      <w:r w:rsidRPr="001A4D11">
        <w:rPr>
          <w:rFonts w:ascii="Arial" w:hAnsi="Arial" w:cs="Arial"/>
          <w:sz w:val="22"/>
          <w:szCs w:val="22"/>
        </w:rPr>
        <w:t xml:space="preserve"> </w:t>
      </w:r>
      <w:proofErr w:type="spellStart"/>
      <w:r w:rsidRPr="001A4D11">
        <w:rPr>
          <w:rFonts w:ascii="Arial" w:hAnsi="Arial" w:cs="Arial"/>
          <w:sz w:val="22"/>
          <w:szCs w:val="22"/>
        </w:rPr>
        <w:t>European</w:t>
      </w:r>
      <w:proofErr w:type="spellEnd"/>
      <w:r w:rsidRPr="001A4D11">
        <w:rPr>
          <w:rFonts w:ascii="Arial" w:hAnsi="Arial" w:cs="Arial"/>
          <w:sz w:val="22"/>
          <w:szCs w:val="22"/>
        </w:rPr>
        <w:t xml:space="preserve"> </w:t>
      </w:r>
      <w:proofErr w:type="spellStart"/>
      <w:r w:rsidRPr="001A4D11">
        <w:rPr>
          <w:rFonts w:ascii="Arial" w:hAnsi="Arial" w:cs="Arial"/>
          <w:sz w:val="22"/>
          <w:szCs w:val="22"/>
        </w:rPr>
        <w:t>Commission´s</w:t>
      </w:r>
      <w:proofErr w:type="spellEnd"/>
      <w:r w:rsidRPr="001A4D11">
        <w:rPr>
          <w:rFonts w:ascii="Arial" w:hAnsi="Arial" w:cs="Arial"/>
          <w:sz w:val="22"/>
          <w:szCs w:val="22"/>
        </w:rPr>
        <w:t xml:space="preserve"> WACC </w:t>
      </w:r>
      <w:proofErr w:type="spellStart"/>
      <w:r w:rsidRPr="001A4D11">
        <w:rPr>
          <w:rFonts w:ascii="Arial" w:hAnsi="Arial" w:cs="Arial"/>
          <w:sz w:val="22"/>
          <w:szCs w:val="22"/>
        </w:rPr>
        <w:t>Notice</w:t>
      </w:r>
      <w:proofErr w:type="spellEnd"/>
      <w:r w:rsidRPr="001A4D11">
        <w:rPr>
          <w:rFonts w:ascii="Arial" w:hAnsi="Arial" w:cs="Arial"/>
          <w:sz w:val="22"/>
          <w:szCs w:val="22"/>
        </w:rPr>
        <w:t xml:space="preserve"> </w:t>
      </w:r>
      <w:proofErr w:type="spellStart"/>
      <w:r w:rsidRPr="001A4D11">
        <w:rPr>
          <w:rFonts w:ascii="Arial" w:hAnsi="Arial" w:cs="Arial"/>
          <w:sz w:val="22"/>
          <w:szCs w:val="22"/>
        </w:rPr>
        <w:t>of</w:t>
      </w:r>
      <w:proofErr w:type="spellEnd"/>
      <w:r w:rsidRPr="001A4D11">
        <w:rPr>
          <w:rFonts w:ascii="Arial" w:hAnsi="Arial" w:cs="Arial"/>
          <w:sz w:val="22"/>
          <w:szCs w:val="22"/>
        </w:rPr>
        <w:t xml:space="preserve"> 6th </w:t>
      </w:r>
      <w:proofErr w:type="spellStart"/>
      <w:r w:rsidRPr="001A4D11">
        <w:rPr>
          <w:rFonts w:ascii="Arial" w:hAnsi="Arial" w:cs="Arial"/>
          <w:sz w:val="22"/>
          <w:szCs w:val="22"/>
        </w:rPr>
        <w:t>November</w:t>
      </w:r>
      <w:proofErr w:type="spellEnd"/>
      <w:r w:rsidRPr="001A4D11">
        <w:rPr>
          <w:rFonts w:ascii="Arial" w:hAnsi="Arial" w:cs="Arial"/>
          <w:sz w:val="22"/>
          <w:szCs w:val="22"/>
        </w:rPr>
        <w:t xml:space="preserve"> 2019“, ve které stanovuje vstupní hodnoty jednotlivých vstupních proměnných ukazatele WACC pro každou členskou zemi, které jsou odhadnuté v souladu s metodikou danou Sdělením (dále jen „Zpráva“). Úřad při stanovení hodnoty WACC v odstavci 2 vycházel ze Zprávy zveřejněné 14. června 2022</w:t>
      </w:r>
      <w:r w:rsidRPr="001A4D11">
        <w:rPr>
          <w:rFonts w:ascii="Arial" w:hAnsi="Arial"/>
          <w:sz w:val="22"/>
        </w:rPr>
        <w:footnoteReference w:id="22"/>
      </w:r>
      <w:r w:rsidRPr="001A4D11">
        <w:rPr>
          <w:rFonts w:ascii="Arial" w:hAnsi="Arial" w:cs="Arial"/>
          <w:sz w:val="22"/>
          <w:szCs w:val="22"/>
        </w:rPr>
        <w:t xml:space="preserve">. V hodnotě WACC v odstavci 3 je zohledněna prémie za přístupové sítě nově generace (NGA) a její stanovení je popsáno dále. </w:t>
      </w:r>
    </w:p>
    <w:p w:rsidR="001A4D11" w:rsidRPr="001A4D11" w:rsidRDefault="001A4D11" w:rsidP="001A4D11">
      <w:pPr>
        <w:autoSpaceDE w:val="0"/>
        <w:autoSpaceDN w:val="0"/>
        <w:adjustRightInd w:val="0"/>
        <w:spacing w:after="120"/>
        <w:ind w:firstLine="709"/>
        <w:jc w:val="both"/>
        <w:rPr>
          <w:rFonts w:ascii="Arial" w:hAnsi="Arial" w:cs="Arial"/>
          <w:sz w:val="22"/>
          <w:szCs w:val="22"/>
        </w:rPr>
      </w:pPr>
      <w:r w:rsidRPr="001A4D11">
        <w:rPr>
          <w:rFonts w:ascii="Arial" w:hAnsi="Arial" w:cs="Arial"/>
          <w:sz w:val="22"/>
          <w:szCs w:val="22"/>
        </w:rPr>
        <w:t>Pro výpočet ukazatele WACC se používá následující vzorec:</w:t>
      </w:r>
    </w:p>
    <w:p w:rsidR="001A4D11" w:rsidRDefault="001A4D11" w:rsidP="001A4D11">
      <w:pPr>
        <w:ind w:firstLine="708"/>
        <w:jc w:val="center"/>
        <w:rPr>
          <w:rFonts w:cs="Arial"/>
          <w:szCs w:val="22"/>
        </w:rPr>
      </w:pPr>
      <m:oMath>
        <m:r>
          <w:rPr>
            <w:rFonts w:ascii="Cambria Math" w:hAnsi="Cambria Math"/>
            <w:noProof/>
            <w:vertAlign w:val="subscript"/>
          </w:rPr>
          <m:t>WAC</m:t>
        </m:r>
        <m:sSub>
          <m:sSubPr>
            <m:ctrlPr>
              <w:rPr>
                <w:rFonts w:ascii="Cambria Math" w:hAnsi="Cambria Math"/>
                <w:noProof/>
                <w:vertAlign w:val="subscript"/>
              </w:rPr>
            </m:ctrlPr>
          </m:sSubPr>
          <m:e>
            <m:r>
              <w:rPr>
                <w:rFonts w:ascii="Cambria Math" w:hAnsi="Cambria Math"/>
                <w:noProof/>
                <w:vertAlign w:val="subscript"/>
              </w:rPr>
              <m:t>C</m:t>
            </m:r>
          </m:e>
          <m:sub>
            <m:r>
              <w:rPr>
                <w:rFonts w:ascii="Cambria Math" w:hAnsi="Cambria Math"/>
                <w:noProof/>
                <w:vertAlign w:val="subscript"/>
              </w:rPr>
              <m:t>AT</m:t>
            </m:r>
          </m:sub>
        </m:sSub>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r</m:t>
            </m:r>
          </m:e>
          <m:sub>
            <m:r>
              <w:rPr>
                <w:rFonts w:ascii="Cambria Math" w:hAnsi="Cambria Math"/>
                <w:noProof/>
                <w:vertAlign w:val="subscript"/>
              </w:rPr>
              <m:t>e</m:t>
            </m:r>
          </m:sub>
        </m:sSub>
        <m:r>
          <m:rPr>
            <m:sty m:val="p"/>
          </m:rPr>
          <w:rPr>
            <w:rFonts w:ascii="Cambria Math" w:hAnsi="Cambria Math"/>
            <w:noProof/>
            <w:vertAlign w:val="subscript"/>
          </w:rPr>
          <m:t>*</m:t>
        </m:r>
        <m:f>
          <m:fPr>
            <m:ctrlPr>
              <w:rPr>
                <w:rFonts w:ascii="Cambria Math" w:hAnsi="Cambria Math"/>
                <w:noProof/>
                <w:vertAlign w:val="subscript"/>
              </w:rPr>
            </m:ctrlPr>
          </m:fPr>
          <m:num>
            <m:r>
              <w:rPr>
                <w:rFonts w:ascii="Cambria Math" w:hAnsi="Cambria Math"/>
                <w:noProof/>
                <w:vertAlign w:val="subscript"/>
              </w:rPr>
              <m:t>E</m:t>
            </m:r>
          </m:num>
          <m:den>
            <m:r>
              <w:rPr>
                <w:rFonts w:ascii="Cambria Math" w:hAnsi="Cambria Math"/>
                <w:noProof/>
                <w:vertAlign w:val="subscript"/>
              </w:rPr>
              <m:t>D</m:t>
            </m:r>
            <m:r>
              <m:rPr>
                <m:sty m:val="p"/>
              </m:rPr>
              <w:rPr>
                <w:rFonts w:ascii="Cambria Math" w:hAnsi="Cambria Math"/>
                <w:noProof/>
                <w:vertAlign w:val="subscript"/>
              </w:rPr>
              <m:t>+</m:t>
            </m:r>
            <m:r>
              <w:rPr>
                <w:rFonts w:ascii="Cambria Math" w:hAnsi="Cambria Math"/>
                <w:noProof/>
                <w:vertAlign w:val="subscript"/>
              </w:rPr>
              <m:t>E</m:t>
            </m:r>
          </m:den>
        </m:f>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r</m:t>
            </m:r>
          </m:e>
          <m:sub>
            <m:r>
              <w:rPr>
                <w:rFonts w:ascii="Cambria Math" w:hAnsi="Cambria Math"/>
                <w:noProof/>
                <w:vertAlign w:val="subscript"/>
              </w:rPr>
              <m:t>d</m:t>
            </m:r>
          </m:sub>
        </m:sSub>
        <m:r>
          <m:rPr>
            <m:sty m:val="p"/>
          </m:rPr>
          <w:rPr>
            <w:rFonts w:ascii="Cambria Math" w:hAnsi="Cambria Math"/>
            <w:noProof/>
            <w:vertAlign w:val="subscript"/>
          </w:rPr>
          <m:t>*(1-</m:t>
        </m:r>
        <m:r>
          <w:rPr>
            <w:rFonts w:ascii="Cambria Math" w:hAnsi="Cambria Math"/>
            <w:noProof/>
            <w:vertAlign w:val="subscript"/>
          </w:rPr>
          <m:t>t</m:t>
        </m:r>
        <m:r>
          <m:rPr>
            <m:sty m:val="p"/>
          </m:rPr>
          <w:rPr>
            <w:rFonts w:ascii="Cambria Math" w:hAnsi="Cambria Math"/>
            <w:noProof/>
            <w:vertAlign w:val="subscript"/>
          </w:rPr>
          <m:t>)*</m:t>
        </m:r>
        <m:f>
          <m:fPr>
            <m:ctrlPr>
              <w:rPr>
                <w:rFonts w:ascii="Cambria Math" w:hAnsi="Cambria Math"/>
                <w:noProof/>
                <w:vertAlign w:val="subscript"/>
              </w:rPr>
            </m:ctrlPr>
          </m:fPr>
          <m:num>
            <m:r>
              <w:rPr>
                <w:rFonts w:ascii="Cambria Math" w:hAnsi="Cambria Math"/>
                <w:noProof/>
                <w:vertAlign w:val="subscript"/>
              </w:rPr>
              <m:t>D</m:t>
            </m:r>
          </m:num>
          <m:den>
            <m:r>
              <w:rPr>
                <w:rFonts w:ascii="Cambria Math" w:hAnsi="Cambria Math"/>
                <w:noProof/>
                <w:vertAlign w:val="subscript"/>
              </w:rPr>
              <m:t>D</m:t>
            </m:r>
            <m:r>
              <m:rPr>
                <m:sty m:val="p"/>
              </m:rPr>
              <w:rPr>
                <w:rFonts w:ascii="Cambria Math" w:hAnsi="Cambria Math"/>
                <w:noProof/>
                <w:vertAlign w:val="subscript"/>
              </w:rPr>
              <m:t>+</m:t>
            </m:r>
            <m:r>
              <w:rPr>
                <w:rFonts w:ascii="Cambria Math" w:hAnsi="Cambria Math"/>
                <w:noProof/>
                <w:vertAlign w:val="subscript"/>
              </w:rPr>
              <m:t>E</m:t>
            </m:r>
          </m:den>
        </m:f>
      </m:oMath>
      <w:r>
        <w:rPr>
          <w:rFonts w:cs="Arial"/>
          <w:szCs w:val="22"/>
        </w:rPr>
        <w:t xml:space="preserve"> ,</w:t>
      </w:r>
    </w:p>
    <w:p w:rsidR="001A4D11" w:rsidRPr="001A4D11" w:rsidRDefault="001A4D11" w:rsidP="001A4D11">
      <w:pPr>
        <w:spacing w:before="120"/>
        <w:rPr>
          <w:rFonts w:ascii="Arial" w:hAnsi="Arial" w:cs="Arial"/>
          <w:noProof/>
          <w:sz w:val="22"/>
          <w:szCs w:val="22"/>
          <w:lang w:eastAsia="zh-TW"/>
        </w:rPr>
      </w:pPr>
      <w:r w:rsidRPr="001A4D11">
        <w:rPr>
          <w:rFonts w:ascii="Arial" w:hAnsi="Arial" w:cs="Arial"/>
          <w:noProof/>
          <w:sz w:val="22"/>
          <w:szCs w:val="22"/>
          <w:lang w:eastAsia="zh-TW"/>
        </w:rPr>
        <w:t>kde:</w:t>
      </w:r>
    </w:p>
    <w:p w:rsidR="001A4D11" w:rsidRPr="001A4D11" w:rsidRDefault="001A4D11" w:rsidP="001A4D11">
      <w:pPr>
        <w:spacing w:before="60"/>
        <w:rPr>
          <w:rFonts w:ascii="Arial" w:hAnsi="Arial" w:cs="Arial"/>
          <w:noProof/>
          <w:sz w:val="22"/>
          <w:szCs w:val="22"/>
          <w:lang w:eastAsia="zh-TW"/>
        </w:rPr>
      </w:pPr>
      <w:r w:rsidRPr="001A4D11">
        <w:rPr>
          <w:rFonts w:ascii="Arial" w:hAnsi="Arial" w:cs="Arial"/>
          <w:noProof/>
          <w:sz w:val="22"/>
          <w:szCs w:val="22"/>
          <w:lang w:eastAsia="zh-TW"/>
        </w:rPr>
        <w:t>WACC</w:t>
      </w:r>
      <w:r w:rsidRPr="001A4D11">
        <w:rPr>
          <w:rFonts w:ascii="Arial" w:hAnsi="Arial" w:cs="Arial"/>
          <w:noProof/>
          <w:sz w:val="22"/>
          <w:szCs w:val="22"/>
          <w:vertAlign w:val="subscript"/>
          <w:lang w:eastAsia="zh-TW"/>
        </w:rPr>
        <w:tab/>
        <w:t>AT</w:t>
      </w:r>
      <w:r w:rsidRPr="001A4D11">
        <w:rPr>
          <w:rFonts w:ascii="Arial" w:hAnsi="Arial" w:cs="Arial"/>
          <w:noProof/>
          <w:sz w:val="22"/>
          <w:szCs w:val="22"/>
          <w:lang w:eastAsia="zh-TW"/>
        </w:rPr>
        <w:tab/>
        <w:t>jsou průměrné vážené náklady kapitálu po zdanění,</w:t>
      </w:r>
    </w:p>
    <w:p w:rsidR="001A4D11" w:rsidRPr="001A4D11" w:rsidRDefault="001A4D11" w:rsidP="001A4D11">
      <w:pPr>
        <w:spacing w:before="60"/>
        <w:rPr>
          <w:rFonts w:ascii="Arial" w:hAnsi="Arial" w:cs="Arial"/>
          <w:noProof/>
          <w:sz w:val="22"/>
          <w:szCs w:val="22"/>
          <w:lang w:eastAsia="zh-TW"/>
        </w:rPr>
      </w:pPr>
      <w:r w:rsidRPr="001A4D11">
        <w:rPr>
          <w:rFonts w:ascii="Arial" w:hAnsi="Arial" w:cs="Arial"/>
          <w:noProof/>
          <w:sz w:val="22"/>
          <w:szCs w:val="22"/>
          <w:lang w:eastAsia="zh-TW"/>
        </w:rPr>
        <w:t>r</w:t>
      </w:r>
      <w:r w:rsidRPr="001A4D11">
        <w:rPr>
          <w:rFonts w:ascii="Arial" w:hAnsi="Arial" w:cs="Arial"/>
          <w:noProof/>
          <w:sz w:val="22"/>
          <w:szCs w:val="22"/>
          <w:vertAlign w:val="subscript"/>
          <w:lang w:eastAsia="zh-TW"/>
        </w:rPr>
        <w:t>e</w:t>
      </w:r>
      <w:r w:rsidRPr="001A4D11">
        <w:rPr>
          <w:rFonts w:ascii="Arial" w:hAnsi="Arial" w:cs="Arial"/>
          <w:noProof/>
          <w:sz w:val="22"/>
          <w:szCs w:val="22"/>
          <w:lang w:eastAsia="zh-TW"/>
        </w:rPr>
        <w:tab/>
      </w:r>
      <w:r w:rsidRPr="001A4D11">
        <w:rPr>
          <w:rFonts w:ascii="Arial" w:hAnsi="Arial" w:cs="Arial"/>
          <w:noProof/>
          <w:sz w:val="22"/>
          <w:szCs w:val="22"/>
          <w:lang w:eastAsia="zh-TW"/>
        </w:rPr>
        <w:tab/>
        <w:t>jsou náklady vlastního kapitálu,</w:t>
      </w:r>
    </w:p>
    <w:p w:rsidR="001A4D11" w:rsidRPr="001A4D11" w:rsidRDefault="001A4D11" w:rsidP="001A4D11">
      <w:pPr>
        <w:spacing w:before="60"/>
        <w:rPr>
          <w:rFonts w:ascii="Arial" w:hAnsi="Arial" w:cs="Arial"/>
          <w:noProof/>
          <w:sz w:val="22"/>
          <w:szCs w:val="22"/>
          <w:lang w:eastAsia="zh-TW"/>
        </w:rPr>
      </w:pPr>
      <w:r w:rsidRPr="001A4D11">
        <w:rPr>
          <w:rFonts w:ascii="Arial" w:hAnsi="Arial" w:cs="Arial"/>
          <w:noProof/>
          <w:sz w:val="22"/>
          <w:szCs w:val="22"/>
          <w:lang w:eastAsia="zh-TW"/>
        </w:rPr>
        <w:t>r</w:t>
      </w:r>
      <w:r w:rsidRPr="001A4D11">
        <w:rPr>
          <w:rFonts w:ascii="Arial" w:hAnsi="Arial" w:cs="Arial"/>
          <w:noProof/>
          <w:sz w:val="22"/>
          <w:szCs w:val="22"/>
          <w:vertAlign w:val="subscript"/>
          <w:lang w:eastAsia="zh-TW"/>
        </w:rPr>
        <w:t>d</w:t>
      </w:r>
      <w:r w:rsidRPr="001A4D11">
        <w:rPr>
          <w:rFonts w:ascii="Arial" w:hAnsi="Arial" w:cs="Arial"/>
          <w:noProof/>
          <w:sz w:val="22"/>
          <w:szCs w:val="22"/>
          <w:lang w:eastAsia="zh-TW"/>
        </w:rPr>
        <w:tab/>
      </w:r>
      <w:r w:rsidRPr="001A4D11">
        <w:rPr>
          <w:rFonts w:ascii="Arial" w:hAnsi="Arial" w:cs="Arial"/>
          <w:noProof/>
          <w:sz w:val="22"/>
          <w:szCs w:val="22"/>
          <w:lang w:eastAsia="zh-TW"/>
        </w:rPr>
        <w:tab/>
        <w:t>jsou náklady cizího kapitálu,</w:t>
      </w:r>
    </w:p>
    <w:p w:rsidR="001A4D11" w:rsidRPr="001A4D11" w:rsidRDefault="001A4D11" w:rsidP="001A4D11">
      <w:pPr>
        <w:spacing w:before="60"/>
        <w:rPr>
          <w:rFonts w:ascii="Arial" w:hAnsi="Arial" w:cs="Arial"/>
          <w:noProof/>
          <w:sz w:val="22"/>
          <w:szCs w:val="22"/>
          <w:lang w:eastAsia="zh-TW"/>
        </w:rPr>
      </w:pPr>
      <w:r w:rsidRPr="001A4D11">
        <w:rPr>
          <w:rFonts w:ascii="Arial" w:hAnsi="Arial" w:cs="Arial"/>
          <w:noProof/>
          <w:sz w:val="22"/>
          <w:szCs w:val="22"/>
          <w:lang w:eastAsia="zh-TW"/>
        </w:rPr>
        <w:t>t</w:t>
      </w:r>
      <w:r w:rsidRPr="001A4D11">
        <w:rPr>
          <w:rFonts w:ascii="Arial" w:hAnsi="Arial" w:cs="Arial"/>
          <w:noProof/>
          <w:sz w:val="22"/>
          <w:szCs w:val="22"/>
          <w:lang w:eastAsia="zh-TW"/>
        </w:rPr>
        <w:tab/>
      </w:r>
      <w:r w:rsidRPr="001A4D11">
        <w:rPr>
          <w:rFonts w:ascii="Arial" w:hAnsi="Arial" w:cs="Arial"/>
          <w:noProof/>
          <w:sz w:val="22"/>
          <w:szCs w:val="22"/>
          <w:lang w:eastAsia="zh-TW"/>
        </w:rPr>
        <w:tab/>
        <w:t>je daňová sazba,</w:t>
      </w:r>
    </w:p>
    <w:p w:rsidR="001A4D11" w:rsidRPr="001A4D11" w:rsidRDefault="001A4D11" w:rsidP="001A4D11">
      <w:pPr>
        <w:spacing w:before="60"/>
        <w:rPr>
          <w:rFonts w:ascii="Arial" w:hAnsi="Arial" w:cs="Arial"/>
          <w:noProof/>
          <w:sz w:val="22"/>
          <w:szCs w:val="22"/>
          <w:lang w:eastAsia="zh-TW"/>
        </w:rPr>
      </w:pPr>
      <w:r w:rsidRPr="001A4D11">
        <w:rPr>
          <w:rFonts w:ascii="Arial" w:hAnsi="Arial" w:cs="Arial"/>
          <w:noProof/>
          <w:sz w:val="22"/>
          <w:szCs w:val="22"/>
          <w:lang w:eastAsia="zh-TW"/>
        </w:rPr>
        <w:t>E</w:t>
      </w:r>
      <w:r w:rsidRPr="001A4D11">
        <w:rPr>
          <w:rFonts w:ascii="Arial" w:hAnsi="Arial" w:cs="Arial"/>
          <w:noProof/>
          <w:sz w:val="22"/>
          <w:szCs w:val="22"/>
          <w:lang w:eastAsia="zh-TW"/>
        </w:rPr>
        <w:tab/>
      </w:r>
      <w:r w:rsidRPr="001A4D11">
        <w:rPr>
          <w:rFonts w:ascii="Arial" w:hAnsi="Arial" w:cs="Arial"/>
          <w:noProof/>
          <w:sz w:val="22"/>
          <w:szCs w:val="22"/>
          <w:lang w:eastAsia="zh-TW"/>
        </w:rPr>
        <w:tab/>
        <w:t>je hodnota vlastního kapitálu společnosti,</w:t>
      </w:r>
    </w:p>
    <w:p w:rsidR="001A4D11" w:rsidRPr="001A4D11" w:rsidRDefault="001A4D11" w:rsidP="001A4D11">
      <w:pPr>
        <w:spacing w:before="60"/>
        <w:rPr>
          <w:rFonts w:ascii="Arial" w:hAnsi="Arial" w:cs="Arial"/>
          <w:noProof/>
          <w:sz w:val="22"/>
          <w:szCs w:val="22"/>
          <w:lang w:eastAsia="zh-TW"/>
        </w:rPr>
      </w:pPr>
      <w:r w:rsidRPr="001A4D11">
        <w:rPr>
          <w:rFonts w:ascii="Arial" w:hAnsi="Arial" w:cs="Arial"/>
          <w:noProof/>
          <w:sz w:val="22"/>
          <w:szCs w:val="22"/>
          <w:lang w:eastAsia="zh-TW"/>
        </w:rPr>
        <w:t>D</w:t>
      </w:r>
      <w:r w:rsidRPr="001A4D11">
        <w:rPr>
          <w:rFonts w:ascii="Arial" w:hAnsi="Arial" w:cs="Arial"/>
          <w:noProof/>
          <w:sz w:val="22"/>
          <w:szCs w:val="22"/>
          <w:lang w:eastAsia="zh-TW"/>
        </w:rPr>
        <w:tab/>
      </w:r>
      <w:r w:rsidRPr="001A4D11">
        <w:rPr>
          <w:rFonts w:ascii="Arial" w:hAnsi="Arial" w:cs="Arial"/>
          <w:noProof/>
          <w:sz w:val="22"/>
          <w:szCs w:val="22"/>
          <w:lang w:eastAsia="zh-TW"/>
        </w:rPr>
        <w:tab/>
        <w:t>je hodnota cizího kapitálu společnosti,</w:t>
      </w:r>
    </w:p>
    <w:p w:rsidR="001A4D11" w:rsidRPr="001A4D11" w:rsidRDefault="009C0293" w:rsidP="001A4D11">
      <w:pPr>
        <w:tabs>
          <w:tab w:val="left" w:pos="1418"/>
          <w:tab w:val="left" w:pos="1470"/>
          <w:tab w:val="left" w:pos="1950"/>
        </w:tabs>
        <w:rPr>
          <w:rFonts w:ascii="Arial" w:hAnsi="Arial" w:cs="Arial"/>
          <w:sz w:val="22"/>
          <w:szCs w:val="22"/>
          <w:lang w:eastAsia="zh-TW"/>
        </w:rPr>
      </w:pPr>
      <m:oMath>
        <m:f>
          <m:fPr>
            <m:ctrlPr>
              <w:rPr>
                <w:rFonts w:ascii="Cambria Math" w:hAnsi="Cambria Math" w:cs="Arial"/>
                <w:noProof/>
                <w:sz w:val="22"/>
                <w:szCs w:val="22"/>
                <w:vertAlign w:val="subscript"/>
              </w:rPr>
            </m:ctrlPr>
          </m:fPr>
          <m:num>
            <m:r>
              <w:rPr>
                <w:rFonts w:ascii="Cambria Math" w:hAnsi="Cambria Math" w:cs="Arial"/>
                <w:noProof/>
                <w:sz w:val="22"/>
                <w:szCs w:val="22"/>
                <w:vertAlign w:val="subscript"/>
              </w:rPr>
              <m:t>D</m:t>
            </m:r>
          </m:num>
          <m:den>
            <m:r>
              <w:rPr>
                <w:rFonts w:ascii="Cambria Math" w:hAnsi="Cambria Math" w:cs="Arial"/>
                <w:noProof/>
                <w:sz w:val="22"/>
                <w:szCs w:val="22"/>
                <w:vertAlign w:val="subscript"/>
              </w:rPr>
              <m:t>D</m:t>
            </m:r>
            <m:r>
              <m:rPr>
                <m:sty m:val="p"/>
              </m:rPr>
              <w:rPr>
                <w:rFonts w:ascii="Cambria Math" w:hAnsi="Cambria Math" w:cs="Arial"/>
                <w:noProof/>
                <w:sz w:val="22"/>
                <w:szCs w:val="22"/>
                <w:vertAlign w:val="subscript"/>
              </w:rPr>
              <m:t>+</m:t>
            </m:r>
            <m:r>
              <w:rPr>
                <w:rFonts w:ascii="Cambria Math" w:hAnsi="Cambria Math" w:cs="Arial"/>
                <w:noProof/>
                <w:sz w:val="22"/>
                <w:szCs w:val="22"/>
                <w:vertAlign w:val="subscript"/>
              </w:rPr>
              <m:t>E</m:t>
            </m:r>
          </m:den>
        </m:f>
      </m:oMath>
      <w:r w:rsidR="001A4D11" w:rsidRPr="001A4D11">
        <w:rPr>
          <w:rFonts w:ascii="Arial" w:hAnsi="Arial" w:cs="Arial"/>
          <w:sz w:val="22"/>
          <w:szCs w:val="22"/>
          <w:lang w:eastAsia="zh-TW"/>
        </w:rPr>
        <w:tab/>
        <w:t>je zadluženost (gearing).</w:t>
      </w:r>
      <w:r w:rsidR="001A4D11" w:rsidRPr="001A4D11">
        <w:rPr>
          <w:rFonts w:ascii="Arial" w:hAnsi="Arial" w:cs="Arial"/>
          <w:sz w:val="22"/>
          <w:szCs w:val="22"/>
          <w:lang w:eastAsia="zh-TW"/>
        </w:rPr>
        <w:tab/>
      </w:r>
    </w:p>
    <w:p w:rsidR="001A4D11" w:rsidRPr="006C78C7" w:rsidRDefault="001A4D11" w:rsidP="001A4D11">
      <w:pPr>
        <w:pStyle w:val="TASBodytext"/>
        <w:keepNext/>
        <w:keepLines/>
        <w:spacing w:before="240" w:after="240"/>
        <w:ind w:firstLine="709"/>
        <w:rPr>
          <w:sz w:val="22"/>
          <w:szCs w:val="22"/>
          <w:lang w:val="cs-CZ"/>
        </w:rPr>
      </w:pPr>
      <w:r w:rsidRPr="006C78C7">
        <w:rPr>
          <w:sz w:val="22"/>
          <w:szCs w:val="22"/>
          <w:lang w:val="cs-CZ"/>
        </w:rPr>
        <w:t>Pro regulatorní účely se použív</w:t>
      </w:r>
      <w:r>
        <w:rPr>
          <w:sz w:val="22"/>
          <w:szCs w:val="22"/>
          <w:lang w:val="cs-CZ"/>
        </w:rPr>
        <w:t>á</w:t>
      </w:r>
      <w:r w:rsidRPr="006C78C7">
        <w:rPr>
          <w:sz w:val="22"/>
          <w:szCs w:val="22"/>
          <w:lang w:val="cs-CZ"/>
        </w:rPr>
        <w:t xml:space="preserve"> </w:t>
      </w:r>
      <w:r>
        <w:rPr>
          <w:sz w:val="22"/>
          <w:szCs w:val="22"/>
          <w:lang w:val="cs-CZ"/>
        </w:rPr>
        <w:t>ukazatel WACC</w:t>
      </w:r>
      <w:r w:rsidRPr="006C78C7">
        <w:rPr>
          <w:sz w:val="22"/>
          <w:szCs w:val="22"/>
          <w:lang w:val="cs-CZ"/>
        </w:rPr>
        <w:t xml:space="preserve"> před zdaněním, pro jehož stanovení </w:t>
      </w:r>
      <w:r>
        <w:rPr>
          <w:sz w:val="22"/>
          <w:szCs w:val="22"/>
          <w:lang w:val="cs-CZ"/>
        </w:rPr>
        <w:t>byl využit</w:t>
      </w:r>
      <w:r w:rsidRPr="006C78C7">
        <w:rPr>
          <w:sz w:val="22"/>
          <w:szCs w:val="22"/>
          <w:lang w:val="cs-CZ"/>
        </w:rPr>
        <w:t xml:space="preserve"> následující vztah:</w:t>
      </w:r>
    </w:p>
    <w:p w:rsidR="001A4D11" w:rsidRPr="005E1668" w:rsidRDefault="001A4D11" w:rsidP="001A4D11">
      <w:pPr>
        <w:pStyle w:val="TASBodytext"/>
        <w:keepNext/>
        <w:keepLines/>
        <w:spacing w:before="240"/>
        <w:jc w:val="center"/>
        <w:rPr>
          <w:sz w:val="22"/>
          <w:szCs w:val="22"/>
          <w:lang w:val="cs-CZ"/>
        </w:rPr>
      </w:pPr>
      <w:r w:rsidRPr="00017231">
        <w:rPr>
          <w:i/>
          <w:noProof/>
          <w:sz w:val="22"/>
          <w:szCs w:val="22"/>
          <w:lang w:val="cs-CZ"/>
        </w:rPr>
        <w:t>WACC</w:t>
      </w:r>
      <w:r w:rsidRPr="00017231">
        <w:rPr>
          <w:i/>
          <w:noProof/>
          <w:sz w:val="22"/>
          <w:szCs w:val="22"/>
          <w:vertAlign w:val="subscript"/>
          <w:lang w:val="cs-CZ"/>
        </w:rPr>
        <w:t xml:space="preserve">BT </w:t>
      </w:r>
      <w:r w:rsidRPr="00017231">
        <w:rPr>
          <w:i/>
          <w:noProof/>
          <w:sz w:val="22"/>
          <w:szCs w:val="22"/>
          <w:lang w:val="cs-CZ"/>
        </w:rPr>
        <w:t>= WACC</w:t>
      </w:r>
      <w:r w:rsidRPr="00017231">
        <w:rPr>
          <w:i/>
          <w:noProof/>
          <w:sz w:val="22"/>
          <w:szCs w:val="22"/>
          <w:vertAlign w:val="subscript"/>
          <w:lang w:val="cs-CZ"/>
        </w:rPr>
        <w:t>AT</w:t>
      </w:r>
      <w:r w:rsidRPr="00017231">
        <w:rPr>
          <w:i/>
          <w:noProof/>
          <w:sz w:val="22"/>
          <w:szCs w:val="22"/>
          <w:lang w:val="cs-CZ"/>
        </w:rPr>
        <w:t xml:space="preserve"> / (1 – t)</w:t>
      </w:r>
      <w:r>
        <w:rPr>
          <w:i/>
          <w:noProof/>
          <w:sz w:val="22"/>
          <w:szCs w:val="22"/>
          <w:lang w:val="cs-CZ"/>
        </w:rPr>
        <w:t>,</w:t>
      </w:r>
    </w:p>
    <w:p w:rsidR="001A4D11" w:rsidRPr="00EA0810" w:rsidRDefault="001A4D11" w:rsidP="001A4D11">
      <w:pPr>
        <w:spacing w:before="120"/>
        <w:rPr>
          <w:rFonts w:ascii="Arial" w:hAnsi="Arial" w:cs="Arial"/>
          <w:noProof/>
          <w:sz w:val="22"/>
          <w:szCs w:val="22"/>
          <w:lang w:eastAsia="zh-TW"/>
        </w:rPr>
      </w:pPr>
      <w:r w:rsidRPr="00EA0810">
        <w:rPr>
          <w:rFonts w:ascii="Arial" w:hAnsi="Arial" w:cs="Arial"/>
          <w:noProof/>
          <w:sz w:val="22"/>
          <w:szCs w:val="22"/>
          <w:lang w:eastAsia="zh-TW"/>
        </w:rPr>
        <w:t>kde:</w:t>
      </w:r>
    </w:p>
    <w:p w:rsidR="001A4D11" w:rsidRPr="00EA0810" w:rsidRDefault="001A4D11" w:rsidP="001A4D11">
      <w:pPr>
        <w:spacing w:before="60"/>
        <w:rPr>
          <w:rFonts w:ascii="Arial" w:hAnsi="Arial" w:cs="Arial"/>
          <w:noProof/>
          <w:sz w:val="22"/>
          <w:szCs w:val="22"/>
          <w:lang w:eastAsia="zh-TW"/>
        </w:rPr>
      </w:pPr>
      <w:r w:rsidRPr="00EA0810">
        <w:rPr>
          <w:rFonts w:ascii="Arial" w:hAnsi="Arial" w:cs="Arial"/>
          <w:noProof/>
          <w:sz w:val="22"/>
          <w:szCs w:val="22"/>
          <w:lang w:eastAsia="zh-TW"/>
        </w:rPr>
        <w:t>WACC</w:t>
      </w:r>
      <w:r w:rsidRPr="00EA0810">
        <w:rPr>
          <w:rFonts w:ascii="Arial" w:hAnsi="Arial" w:cs="Arial"/>
          <w:noProof/>
          <w:sz w:val="22"/>
          <w:szCs w:val="22"/>
          <w:vertAlign w:val="subscript"/>
          <w:lang w:eastAsia="zh-TW"/>
        </w:rPr>
        <w:t>BT</w:t>
      </w:r>
      <w:r w:rsidRPr="00EA0810">
        <w:rPr>
          <w:rFonts w:ascii="Arial" w:hAnsi="Arial" w:cs="Arial"/>
          <w:noProof/>
          <w:sz w:val="22"/>
          <w:szCs w:val="22"/>
          <w:lang w:eastAsia="zh-TW"/>
        </w:rPr>
        <w:tab/>
        <w:t>jsou průměrné vážené náklady kapitálu před zdaněním,</w:t>
      </w:r>
    </w:p>
    <w:p w:rsidR="001A4D11" w:rsidRPr="00EA0810" w:rsidRDefault="001A4D11" w:rsidP="001A4D11">
      <w:pPr>
        <w:spacing w:before="60"/>
        <w:rPr>
          <w:rFonts w:ascii="Arial" w:hAnsi="Arial" w:cs="Arial"/>
          <w:noProof/>
          <w:sz w:val="22"/>
          <w:szCs w:val="22"/>
          <w:lang w:eastAsia="zh-TW"/>
        </w:rPr>
      </w:pPr>
      <w:r w:rsidRPr="00EA0810">
        <w:rPr>
          <w:rFonts w:ascii="Arial" w:hAnsi="Arial" w:cs="Arial"/>
          <w:noProof/>
          <w:sz w:val="22"/>
          <w:szCs w:val="22"/>
          <w:lang w:eastAsia="zh-TW"/>
        </w:rPr>
        <w:t>WACC</w:t>
      </w:r>
      <w:r w:rsidRPr="00EA0810">
        <w:rPr>
          <w:rFonts w:ascii="Arial" w:hAnsi="Arial" w:cs="Arial"/>
          <w:noProof/>
          <w:sz w:val="22"/>
          <w:szCs w:val="22"/>
          <w:vertAlign w:val="subscript"/>
          <w:lang w:eastAsia="zh-TW"/>
        </w:rPr>
        <w:t>AT</w:t>
      </w:r>
      <w:r w:rsidRPr="00EA0810">
        <w:rPr>
          <w:rFonts w:ascii="Arial" w:hAnsi="Arial" w:cs="Arial"/>
          <w:noProof/>
          <w:sz w:val="22"/>
          <w:szCs w:val="22"/>
          <w:vertAlign w:val="subscript"/>
          <w:lang w:eastAsia="zh-TW"/>
        </w:rPr>
        <w:tab/>
      </w:r>
      <w:r w:rsidRPr="00EA0810">
        <w:rPr>
          <w:rFonts w:ascii="Arial" w:hAnsi="Arial" w:cs="Arial"/>
          <w:noProof/>
          <w:sz w:val="22"/>
          <w:szCs w:val="22"/>
          <w:lang w:eastAsia="zh-TW"/>
        </w:rPr>
        <w:t>jsou průměrné vážené náklady kapitálu po zdanění,</w:t>
      </w:r>
    </w:p>
    <w:p w:rsidR="001A4D11" w:rsidRPr="00EA0810" w:rsidRDefault="001A4D11" w:rsidP="001A4D11">
      <w:pPr>
        <w:spacing w:before="60" w:after="240"/>
        <w:rPr>
          <w:rFonts w:ascii="Arial" w:hAnsi="Arial" w:cs="Arial"/>
          <w:sz w:val="22"/>
          <w:szCs w:val="22"/>
        </w:rPr>
      </w:pPr>
      <w:r w:rsidRPr="00EA0810">
        <w:rPr>
          <w:rFonts w:ascii="Arial" w:hAnsi="Arial" w:cs="Arial"/>
          <w:noProof/>
          <w:sz w:val="22"/>
          <w:szCs w:val="22"/>
          <w:lang w:eastAsia="zh-TW"/>
        </w:rPr>
        <w:t xml:space="preserve">t                      je daňová sazba. </w:t>
      </w:r>
    </w:p>
    <w:p w:rsidR="001A4D11" w:rsidRPr="00EA0810" w:rsidRDefault="001A4D11" w:rsidP="00EA0810">
      <w:pPr>
        <w:pStyle w:val="TASBodytext"/>
        <w:keepNext/>
        <w:keepLines/>
        <w:spacing w:before="240" w:after="240"/>
        <w:ind w:firstLine="709"/>
        <w:rPr>
          <w:sz w:val="22"/>
          <w:szCs w:val="22"/>
          <w:lang w:val="cs-CZ"/>
        </w:rPr>
      </w:pPr>
      <w:r w:rsidRPr="00EA0810">
        <w:rPr>
          <w:sz w:val="22"/>
          <w:szCs w:val="22"/>
          <w:lang w:val="cs-CZ"/>
        </w:rPr>
        <w:t>Náklady vlastního kapitálu představují pro investory požadovanou míru výnosnosti při investici do vlastního kapitálu a byly určeny metodou CAPM (</w:t>
      </w:r>
      <w:proofErr w:type="spellStart"/>
      <w:r w:rsidRPr="00EA0810">
        <w:rPr>
          <w:sz w:val="22"/>
          <w:szCs w:val="22"/>
          <w:lang w:val="cs-CZ"/>
        </w:rPr>
        <w:t>Capital</w:t>
      </w:r>
      <w:proofErr w:type="spellEnd"/>
      <w:r w:rsidRPr="00EA0810">
        <w:rPr>
          <w:sz w:val="22"/>
          <w:szCs w:val="22"/>
          <w:lang w:val="cs-CZ"/>
        </w:rPr>
        <w:t xml:space="preserve"> Asset </w:t>
      </w:r>
      <w:proofErr w:type="spellStart"/>
      <w:r w:rsidRPr="00EA0810">
        <w:rPr>
          <w:sz w:val="22"/>
          <w:szCs w:val="22"/>
          <w:lang w:val="cs-CZ"/>
        </w:rPr>
        <w:t>Pricing</w:t>
      </w:r>
      <w:proofErr w:type="spellEnd"/>
      <w:r w:rsidRPr="00EA0810">
        <w:rPr>
          <w:sz w:val="22"/>
          <w:szCs w:val="22"/>
          <w:lang w:val="cs-CZ"/>
        </w:rPr>
        <w:t xml:space="preserve"> Model) podle vzorce:</w:t>
      </w:r>
    </w:p>
    <w:p w:rsidR="001A4D11" w:rsidRPr="005E1668" w:rsidRDefault="001A4D11" w:rsidP="001A4D11">
      <w:pPr>
        <w:spacing w:before="240" w:after="120"/>
        <w:ind w:firstLine="709"/>
        <w:jc w:val="center"/>
        <w:rPr>
          <w:rFonts w:eastAsia="MS Mincho" w:cs="Arial"/>
          <w:i/>
          <w:noProof/>
          <w:szCs w:val="22"/>
          <w:lang w:eastAsia="zh-TW"/>
        </w:rPr>
      </w:pPr>
      <w:r w:rsidRPr="005E1668">
        <w:rPr>
          <w:rFonts w:eastAsia="MS Mincho" w:cs="Arial"/>
          <w:i/>
          <w:noProof/>
          <w:szCs w:val="22"/>
          <w:lang w:eastAsia="zh-TW"/>
        </w:rPr>
        <w:t>r</w:t>
      </w:r>
      <w:r w:rsidRPr="005E1668">
        <w:rPr>
          <w:rFonts w:eastAsia="MS Mincho" w:cs="Arial"/>
          <w:i/>
          <w:noProof/>
          <w:szCs w:val="22"/>
          <w:vertAlign w:val="subscript"/>
          <w:lang w:eastAsia="zh-TW"/>
        </w:rPr>
        <w:t xml:space="preserve">e </w:t>
      </w:r>
      <w:r w:rsidRPr="005E1668">
        <w:rPr>
          <w:rFonts w:eastAsia="MS Mincho" w:cs="Arial"/>
          <w:i/>
          <w:noProof/>
          <w:szCs w:val="22"/>
          <w:lang w:eastAsia="zh-TW"/>
        </w:rPr>
        <w:t>= r</w:t>
      </w:r>
      <w:r w:rsidRPr="005E1668">
        <w:rPr>
          <w:rFonts w:eastAsia="MS Mincho" w:cs="Arial"/>
          <w:i/>
          <w:noProof/>
          <w:szCs w:val="22"/>
          <w:vertAlign w:val="subscript"/>
          <w:lang w:eastAsia="zh-TW"/>
        </w:rPr>
        <w:t>f</w:t>
      </w:r>
      <w:r w:rsidRPr="005E1668">
        <w:rPr>
          <w:rFonts w:eastAsia="MS Mincho" w:cs="Arial"/>
          <w:i/>
          <w:noProof/>
          <w:szCs w:val="22"/>
          <w:lang w:eastAsia="zh-TW"/>
        </w:rPr>
        <w:t xml:space="preserve"> + ß</w:t>
      </w:r>
      <w:r>
        <w:rPr>
          <w:rFonts w:eastAsia="MS Mincho" w:cs="Arial"/>
          <w:i/>
          <w:noProof/>
          <w:szCs w:val="22"/>
          <w:vertAlign w:val="subscript"/>
          <w:lang w:eastAsia="zh-TW"/>
        </w:rPr>
        <w:t>e</w:t>
      </w:r>
      <w:r w:rsidRPr="005E1668">
        <w:rPr>
          <w:rFonts w:eastAsia="MS Mincho" w:cs="Arial"/>
          <w:i/>
          <w:noProof/>
          <w:szCs w:val="22"/>
          <w:lang w:eastAsia="zh-TW"/>
        </w:rPr>
        <w:t xml:space="preserve"> × ERP</w:t>
      </w:r>
      <w:r>
        <w:rPr>
          <w:rFonts w:eastAsia="MS Mincho" w:cs="Arial"/>
          <w:i/>
          <w:noProof/>
          <w:szCs w:val="22"/>
          <w:lang w:eastAsia="zh-TW"/>
        </w:rPr>
        <w:t>,</w:t>
      </w:r>
      <w:r w:rsidRPr="005E1668">
        <w:rPr>
          <w:rFonts w:eastAsia="MS Mincho" w:cs="Arial"/>
          <w:i/>
          <w:noProof/>
          <w:szCs w:val="22"/>
          <w:lang w:eastAsia="zh-TW"/>
        </w:rPr>
        <w:t xml:space="preserve"> </w:t>
      </w:r>
    </w:p>
    <w:p w:rsidR="001A4D11" w:rsidRPr="00EA0810" w:rsidRDefault="001A4D11" w:rsidP="001A4D11">
      <w:pPr>
        <w:spacing w:before="120" w:after="60"/>
        <w:rPr>
          <w:rFonts w:ascii="Arial" w:hAnsi="Arial" w:cs="Arial"/>
          <w:noProof/>
          <w:sz w:val="22"/>
          <w:szCs w:val="22"/>
          <w:lang w:eastAsia="zh-TW"/>
        </w:rPr>
      </w:pPr>
      <w:r w:rsidRPr="00EA0810">
        <w:rPr>
          <w:rFonts w:ascii="Arial" w:hAnsi="Arial" w:cs="Arial"/>
          <w:noProof/>
          <w:sz w:val="22"/>
          <w:szCs w:val="22"/>
          <w:lang w:eastAsia="zh-TW"/>
        </w:rPr>
        <w:t>kde:</w:t>
      </w:r>
    </w:p>
    <w:p w:rsidR="001A4D11" w:rsidRPr="00EA0810" w:rsidRDefault="001A4D11" w:rsidP="001A4D11">
      <w:pPr>
        <w:tabs>
          <w:tab w:val="left" w:pos="1418"/>
        </w:tabs>
        <w:spacing w:after="60"/>
        <w:rPr>
          <w:rFonts w:ascii="Arial" w:hAnsi="Arial" w:cs="Arial"/>
          <w:noProof/>
          <w:sz w:val="22"/>
          <w:szCs w:val="22"/>
          <w:lang w:eastAsia="zh-TW"/>
        </w:rPr>
      </w:pPr>
      <w:r w:rsidRPr="00EA0810">
        <w:rPr>
          <w:rFonts w:ascii="Arial" w:hAnsi="Arial" w:cs="Arial"/>
          <w:noProof/>
          <w:sz w:val="22"/>
          <w:szCs w:val="22"/>
          <w:lang w:eastAsia="zh-TW"/>
        </w:rPr>
        <w:t>r</w:t>
      </w:r>
      <w:r w:rsidRPr="00EA0810">
        <w:rPr>
          <w:rFonts w:ascii="Arial" w:hAnsi="Arial" w:cs="Arial"/>
          <w:noProof/>
          <w:sz w:val="22"/>
          <w:szCs w:val="22"/>
          <w:vertAlign w:val="subscript"/>
          <w:lang w:eastAsia="zh-TW"/>
        </w:rPr>
        <w:t>e</w:t>
      </w:r>
      <w:r w:rsidRPr="00EA0810">
        <w:rPr>
          <w:rFonts w:ascii="Arial" w:hAnsi="Arial" w:cs="Arial"/>
          <w:noProof/>
          <w:sz w:val="22"/>
          <w:szCs w:val="22"/>
          <w:lang w:eastAsia="zh-TW"/>
        </w:rPr>
        <w:tab/>
        <w:t>jsou náklady vlastního kapitálu,</w:t>
      </w:r>
    </w:p>
    <w:p w:rsidR="001A4D11" w:rsidRPr="00EA0810" w:rsidRDefault="001A4D11" w:rsidP="001A4D11">
      <w:pPr>
        <w:tabs>
          <w:tab w:val="left" w:pos="1418"/>
        </w:tabs>
        <w:spacing w:after="60"/>
        <w:rPr>
          <w:rFonts w:ascii="Arial" w:hAnsi="Arial" w:cs="Arial"/>
          <w:noProof/>
          <w:sz w:val="22"/>
          <w:szCs w:val="22"/>
          <w:lang w:eastAsia="zh-TW"/>
        </w:rPr>
      </w:pPr>
      <w:r w:rsidRPr="00EA0810">
        <w:rPr>
          <w:rFonts w:ascii="Arial" w:hAnsi="Arial" w:cs="Arial"/>
          <w:noProof/>
          <w:sz w:val="22"/>
          <w:szCs w:val="22"/>
          <w:lang w:eastAsia="zh-TW"/>
        </w:rPr>
        <w:t>r</w:t>
      </w:r>
      <w:r w:rsidRPr="00EA0810">
        <w:rPr>
          <w:rFonts w:ascii="Arial" w:hAnsi="Arial" w:cs="Arial"/>
          <w:noProof/>
          <w:sz w:val="22"/>
          <w:szCs w:val="22"/>
          <w:vertAlign w:val="subscript"/>
          <w:lang w:eastAsia="zh-TW"/>
        </w:rPr>
        <w:t>f</w:t>
      </w:r>
      <w:r w:rsidRPr="00EA0810">
        <w:rPr>
          <w:rFonts w:ascii="Arial" w:hAnsi="Arial" w:cs="Arial"/>
          <w:noProof/>
          <w:sz w:val="22"/>
          <w:szCs w:val="22"/>
          <w:lang w:eastAsia="zh-TW"/>
        </w:rPr>
        <w:t xml:space="preserve"> </w:t>
      </w:r>
      <w:r w:rsidRPr="00EA0810">
        <w:rPr>
          <w:rFonts w:ascii="Arial" w:hAnsi="Arial" w:cs="Arial"/>
          <w:noProof/>
          <w:sz w:val="22"/>
          <w:szCs w:val="22"/>
          <w:lang w:eastAsia="zh-TW"/>
        </w:rPr>
        <w:tab/>
        <w:t>je bezriziková výnosová míra,</w:t>
      </w:r>
    </w:p>
    <w:p w:rsidR="001A4D11" w:rsidRPr="00EA0810" w:rsidRDefault="001A4D11" w:rsidP="001A4D11">
      <w:pPr>
        <w:tabs>
          <w:tab w:val="left" w:pos="1418"/>
        </w:tabs>
        <w:spacing w:after="60"/>
        <w:rPr>
          <w:rFonts w:ascii="Arial" w:hAnsi="Arial" w:cs="Arial"/>
          <w:noProof/>
          <w:sz w:val="22"/>
          <w:szCs w:val="22"/>
          <w:lang w:eastAsia="zh-TW"/>
        </w:rPr>
      </w:pPr>
      <w:r w:rsidRPr="00EA0810">
        <w:rPr>
          <w:rFonts w:ascii="Arial" w:hAnsi="Arial" w:cs="Arial"/>
          <w:noProof/>
          <w:sz w:val="22"/>
          <w:szCs w:val="22"/>
          <w:lang w:eastAsia="zh-TW"/>
        </w:rPr>
        <w:t>ß</w:t>
      </w:r>
      <w:r w:rsidRPr="00EA0810">
        <w:rPr>
          <w:rFonts w:ascii="Arial" w:hAnsi="Arial" w:cs="Arial"/>
          <w:noProof/>
          <w:sz w:val="22"/>
          <w:szCs w:val="22"/>
          <w:vertAlign w:val="subscript"/>
          <w:lang w:eastAsia="zh-TW"/>
        </w:rPr>
        <w:t>e</w:t>
      </w:r>
      <w:r w:rsidRPr="00EA0810">
        <w:rPr>
          <w:rFonts w:ascii="Arial" w:hAnsi="Arial" w:cs="Arial"/>
          <w:noProof/>
          <w:sz w:val="22"/>
          <w:szCs w:val="22"/>
          <w:lang w:eastAsia="zh-TW"/>
        </w:rPr>
        <w:tab/>
        <w:t>je zadlužená (equity) beta,</w:t>
      </w:r>
    </w:p>
    <w:p w:rsidR="001A4D11" w:rsidRPr="00EA0810" w:rsidRDefault="001A4D11" w:rsidP="001A4D11">
      <w:pPr>
        <w:tabs>
          <w:tab w:val="left" w:pos="1418"/>
        </w:tabs>
        <w:spacing w:after="60"/>
        <w:rPr>
          <w:rFonts w:ascii="Arial" w:hAnsi="Arial" w:cs="Arial"/>
          <w:noProof/>
          <w:sz w:val="22"/>
          <w:szCs w:val="22"/>
          <w:lang w:eastAsia="zh-TW"/>
        </w:rPr>
      </w:pPr>
      <w:r w:rsidRPr="00EA0810">
        <w:rPr>
          <w:rFonts w:ascii="Arial" w:hAnsi="Arial" w:cs="Arial"/>
          <w:noProof/>
          <w:sz w:val="22"/>
          <w:szCs w:val="22"/>
          <w:lang w:eastAsia="zh-TW"/>
        </w:rPr>
        <w:t>ERP</w:t>
      </w:r>
      <w:r w:rsidRPr="00EA0810">
        <w:rPr>
          <w:rFonts w:ascii="Arial" w:hAnsi="Arial" w:cs="Arial"/>
          <w:noProof/>
          <w:sz w:val="22"/>
          <w:szCs w:val="22"/>
          <w:lang w:eastAsia="zh-TW"/>
        </w:rPr>
        <w:tab/>
        <w:t>je tržní riziková přirážka (Equity risk premium).</w:t>
      </w:r>
    </w:p>
    <w:p w:rsidR="001A4D11" w:rsidRPr="002426FB" w:rsidRDefault="001A4D11" w:rsidP="002426FB">
      <w:pPr>
        <w:spacing w:before="160" w:after="240"/>
        <w:ind w:firstLine="709"/>
        <w:jc w:val="both"/>
        <w:rPr>
          <w:rFonts w:ascii="Arial" w:hAnsi="Arial" w:cs="Arial"/>
          <w:sz w:val="22"/>
          <w:szCs w:val="22"/>
        </w:rPr>
      </w:pPr>
      <w:r w:rsidRPr="002426FB">
        <w:rPr>
          <w:rFonts w:ascii="Arial" w:eastAsia="MS Mincho" w:hAnsi="Arial" w:cs="Arial"/>
          <w:sz w:val="22"/>
          <w:szCs w:val="22"/>
          <w:lang w:eastAsia="zh-TW"/>
        </w:rPr>
        <w:t xml:space="preserve">Metodika výpočtu ukazatele WACC definovaná ve Sdělení rozlišuje dvě kategorie proměnných, a to parametry odrážející obecné hospodářské podmínky (bezriziková </w:t>
      </w:r>
      <w:r w:rsidR="002426FB">
        <w:rPr>
          <w:rFonts w:ascii="Arial" w:eastAsia="MS Mincho" w:hAnsi="Arial" w:cs="Arial"/>
          <w:sz w:val="22"/>
          <w:szCs w:val="22"/>
          <w:lang w:eastAsia="zh-TW"/>
        </w:rPr>
        <w:t>v</w:t>
      </w:r>
      <w:r w:rsidRPr="002426FB">
        <w:rPr>
          <w:rFonts w:ascii="Arial" w:eastAsia="MS Mincho" w:hAnsi="Arial" w:cs="Arial"/>
          <w:sz w:val="22"/>
          <w:szCs w:val="22"/>
          <w:lang w:eastAsia="zh-TW"/>
        </w:rPr>
        <w:t>ýnosová</w:t>
      </w:r>
      <w:r>
        <w:rPr>
          <w:rFonts w:cs="Arial"/>
          <w:szCs w:val="22"/>
        </w:rPr>
        <w:t xml:space="preserve"> </w:t>
      </w:r>
      <w:r w:rsidRPr="002426FB">
        <w:rPr>
          <w:rFonts w:ascii="Arial" w:hAnsi="Arial" w:cs="Arial"/>
          <w:sz w:val="22"/>
          <w:szCs w:val="22"/>
        </w:rPr>
        <w:t xml:space="preserve">míra a tržní riziková přirážka) a parametry specifické pro konkrétní společnosti (beta, zadluženost a dluhová prémie). </w:t>
      </w:r>
    </w:p>
    <w:p w:rsidR="001A4D11" w:rsidRPr="002426FB" w:rsidRDefault="001A4D11" w:rsidP="002426FB">
      <w:pPr>
        <w:spacing w:after="240"/>
        <w:ind w:firstLine="709"/>
        <w:jc w:val="both"/>
        <w:rPr>
          <w:rFonts w:ascii="Arial" w:hAnsi="Arial" w:cs="Arial"/>
          <w:sz w:val="22"/>
          <w:szCs w:val="22"/>
        </w:rPr>
      </w:pPr>
      <w:r w:rsidRPr="002426FB">
        <w:rPr>
          <w:rFonts w:ascii="Arial" w:hAnsi="Arial" w:cs="Arial"/>
          <w:sz w:val="22"/>
          <w:szCs w:val="22"/>
        </w:rPr>
        <w:lastRenderedPageBreak/>
        <w:t xml:space="preserve">Aby byla při odhadování parametrů WACC zajištěna konzistentnost, považuje Komise za vhodné použít pro všechny parametry stejné období pro stanovení průměru, a to v délce pěti let. Ohledně metody průměrování Komise považuje za nejvhodnější aritmetický průměr. </w:t>
      </w:r>
    </w:p>
    <w:p w:rsidR="001A4D11" w:rsidRPr="002426FB" w:rsidRDefault="001A4D11" w:rsidP="002426FB">
      <w:pPr>
        <w:spacing w:after="240"/>
        <w:ind w:firstLine="709"/>
        <w:jc w:val="both"/>
        <w:rPr>
          <w:rFonts w:ascii="Arial" w:hAnsi="Arial" w:cs="Arial"/>
          <w:sz w:val="22"/>
          <w:szCs w:val="22"/>
        </w:rPr>
      </w:pPr>
      <w:r w:rsidRPr="002426FB">
        <w:rPr>
          <w:rFonts w:ascii="Arial" w:hAnsi="Arial" w:cs="Arial"/>
          <w:sz w:val="22"/>
          <w:szCs w:val="22"/>
        </w:rPr>
        <w:t xml:space="preserve">Bezriziková výnosová míra je očekávaná míra návratnosti bezrizikové investice. Komise považuje za vhodné odhadnout bezrizikovou výnosovou míru pomocí výnosů desetiletých státních dluhopisů. BEREC ve Zprávě stanoví </w:t>
      </w:r>
      <w:r w:rsidRPr="002426FB">
        <w:rPr>
          <w:rFonts w:ascii="Arial" w:hAnsi="Arial" w:cs="Arial"/>
          <w:b/>
          <w:bCs/>
          <w:sz w:val="22"/>
          <w:szCs w:val="22"/>
        </w:rPr>
        <w:t>hodnotu bezrizikové výnosové míry pro Českou republiku ve výši 1,64 %</w:t>
      </w:r>
      <w:r w:rsidRPr="002426FB">
        <w:rPr>
          <w:rFonts w:ascii="Arial" w:hAnsi="Arial" w:cs="Arial"/>
          <w:sz w:val="22"/>
          <w:szCs w:val="22"/>
          <w:lang w:val="en-US"/>
        </w:rPr>
        <w:t xml:space="preserve">. </w:t>
      </w:r>
      <w:r w:rsidRPr="002426FB">
        <w:rPr>
          <w:rFonts w:ascii="Arial" w:hAnsi="Arial" w:cs="Arial"/>
          <w:sz w:val="22"/>
          <w:szCs w:val="22"/>
        </w:rPr>
        <w:t xml:space="preserve">Hodnota byla stanovena na základě dat publikovaných </w:t>
      </w:r>
      <w:proofErr w:type="spellStart"/>
      <w:r w:rsidRPr="002426FB">
        <w:rPr>
          <w:rFonts w:ascii="Arial" w:hAnsi="Arial" w:cs="Arial"/>
          <w:sz w:val="22"/>
          <w:szCs w:val="22"/>
        </w:rPr>
        <w:t>Eurostatem</w:t>
      </w:r>
      <w:proofErr w:type="spellEnd"/>
      <w:r w:rsidRPr="002426FB">
        <w:rPr>
          <w:rFonts w:ascii="Arial" w:hAnsi="Arial" w:cs="Arial"/>
          <w:sz w:val="22"/>
          <w:szCs w:val="22"/>
        </w:rPr>
        <w:t xml:space="preserve"> a byla vypočtena jako aritmetický průměr výnosových měr českých státních dluhopisů se splatností 10 let za období duben 2017–březen 2022.</w:t>
      </w:r>
    </w:p>
    <w:p w:rsidR="001A4D11" w:rsidRPr="00F01E01" w:rsidRDefault="001A4D11" w:rsidP="00F01E01">
      <w:pPr>
        <w:spacing w:after="240"/>
        <w:ind w:firstLine="709"/>
        <w:jc w:val="both"/>
        <w:rPr>
          <w:rFonts w:ascii="Arial" w:hAnsi="Arial" w:cs="Arial"/>
          <w:sz w:val="22"/>
          <w:szCs w:val="22"/>
        </w:rPr>
      </w:pPr>
      <w:r w:rsidRPr="00F01E01">
        <w:rPr>
          <w:rFonts w:ascii="Arial" w:hAnsi="Arial" w:cs="Arial"/>
          <w:sz w:val="22"/>
          <w:szCs w:val="22"/>
        </w:rPr>
        <w:t>Tržní riziková přirážka (ERP) je očekávaná návratnost vlastního kapitálu nad rámec bezrizikové výnosové míry. Komise považuje za vhodné používat jednotnou hodnotu ERP pro celou EU a odhadovat tuto hodnotu pomocí historických řad tržních rizikových přirážek v členských státech. Toto rozhodnutí Komise odůvodňuje tím, že finanční trhy v EU jsou čím dál více integrovány (jak ukazuje jejich zvýšená korelace) a ERP se vzájemně přibližují</w:t>
      </w:r>
      <w:r w:rsidRPr="00F01E01">
        <w:rPr>
          <w:rStyle w:val="Znakapoznpodarou"/>
          <w:rFonts w:ascii="Arial" w:hAnsi="Arial" w:cs="Arial"/>
          <w:sz w:val="22"/>
          <w:szCs w:val="22"/>
        </w:rPr>
        <w:footnoteReference w:id="23"/>
      </w:r>
      <w:r w:rsidRPr="00F01E01">
        <w:rPr>
          <w:rFonts w:ascii="Arial" w:hAnsi="Arial" w:cs="Arial"/>
          <w:sz w:val="22"/>
          <w:szCs w:val="22"/>
        </w:rPr>
        <w:t xml:space="preserve">.  BEREC uvádí ve Zprávě </w:t>
      </w:r>
      <w:r w:rsidRPr="00F01E01">
        <w:rPr>
          <w:rFonts w:ascii="Arial" w:hAnsi="Arial" w:cs="Arial"/>
          <w:b/>
          <w:bCs/>
          <w:sz w:val="22"/>
          <w:szCs w:val="22"/>
        </w:rPr>
        <w:t>hodnotu tržní rizikové přirážky</w:t>
      </w:r>
      <w:r w:rsidRPr="00F01E01">
        <w:rPr>
          <w:rFonts w:ascii="Arial" w:hAnsi="Arial" w:cs="Arial"/>
          <w:sz w:val="22"/>
          <w:szCs w:val="22"/>
        </w:rPr>
        <w:t xml:space="preserve"> ve dvou variantách, a to jako geometrický průměr ve výši 4,37 % a </w:t>
      </w:r>
      <w:r w:rsidRPr="00F01E01">
        <w:rPr>
          <w:rFonts w:ascii="Arial" w:hAnsi="Arial" w:cs="Arial"/>
          <w:b/>
          <w:bCs/>
          <w:sz w:val="22"/>
          <w:szCs w:val="22"/>
        </w:rPr>
        <w:t>aritmetický průměr ve výši 5,70 %</w:t>
      </w:r>
      <w:r w:rsidRPr="00F01E01">
        <w:rPr>
          <w:rStyle w:val="Znakapoznpodarou"/>
          <w:rFonts w:ascii="Arial" w:hAnsi="Arial" w:cs="Arial"/>
          <w:b/>
          <w:bCs/>
          <w:sz w:val="22"/>
          <w:szCs w:val="22"/>
        </w:rPr>
        <w:footnoteReference w:id="24"/>
      </w:r>
      <w:r w:rsidRPr="00F01E01">
        <w:rPr>
          <w:rFonts w:ascii="Arial" w:hAnsi="Arial" w:cs="Arial"/>
          <w:sz w:val="22"/>
          <w:szCs w:val="22"/>
        </w:rPr>
        <w:t xml:space="preserve">. Úřad pro výpočet hodnoty WACC použil hodnotu stanovenou aritmetickým průměrem, shodně, jako v předchozím období. </w:t>
      </w:r>
    </w:p>
    <w:p w:rsidR="001A4D11" w:rsidRPr="00F01E01" w:rsidRDefault="001A4D11" w:rsidP="00F01E01">
      <w:pPr>
        <w:spacing w:after="240"/>
        <w:ind w:firstLine="709"/>
        <w:jc w:val="both"/>
        <w:rPr>
          <w:rFonts w:ascii="Arial" w:hAnsi="Arial" w:cs="Arial"/>
          <w:sz w:val="22"/>
          <w:szCs w:val="22"/>
        </w:rPr>
      </w:pPr>
      <w:r w:rsidRPr="00F01E01">
        <w:rPr>
          <w:rFonts w:ascii="Arial" w:hAnsi="Arial" w:cs="Arial"/>
          <w:sz w:val="22"/>
          <w:szCs w:val="22"/>
        </w:rPr>
        <w:t>Pro účely stanovení parametrů specifických pro konkrétní společnost (beta, zadluženost a dluhové prémie) se podle Sdělení určí skupina podobných společností (peer group). Podle Komise by vybrané společnosti do peer group měly být veřejně obchodovatelné a mít likvidní akcie, vlastnit infrastrukturu elektronických komunikací a investovat do ní, hlavní místo jejich působení by mělo být v EU, měly by dosahovat ratingu na úrovni investičního stupně a neměly by být v současnosti ani v nedávné době účastníky významných fúzí či akvizic. Na základě těchto kritérií vybírá společnosti do peer group BEREC. Složení peer group BEREC každoročně přezkoumává. Pro rok 2022 zahrnul BEREC do peer group tyto společnosti:</w:t>
      </w:r>
    </w:p>
    <w:p w:rsidR="001A4D11" w:rsidRPr="00F01E01" w:rsidRDefault="001A4D11" w:rsidP="001A4D11">
      <w:pPr>
        <w:spacing w:after="240"/>
        <w:rPr>
          <w:rFonts w:ascii="Arial" w:hAnsi="Arial" w:cs="Arial"/>
          <w:sz w:val="22"/>
          <w:szCs w:val="22"/>
        </w:rPr>
      </w:pPr>
      <w:r w:rsidRPr="00F01E01">
        <w:rPr>
          <w:rFonts w:ascii="Arial" w:hAnsi="Arial" w:cs="Arial"/>
          <w:sz w:val="22"/>
          <w:szCs w:val="22"/>
        </w:rPr>
        <w:t>Tabulka č. 1: BEREC peer group 2022</w:t>
      </w:r>
    </w:p>
    <w:tbl>
      <w:tblPr>
        <w:tblStyle w:val="Mkatabulky"/>
        <w:tblW w:w="0" w:type="auto"/>
        <w:tblLook w:val="04A0" w:firstRow="1" w:lastRow="0" w:firstColumn="1" w:lastColumn="0" w:noHBand="0" w:noVBand="1"/>
      </w:tblPr>
      <w:tblGrid>
        <w:gridCol w:w="2757"/>
        <w:gridCol w:w="1207"/>
        <w:gridCol w:w="1701"/>
        <w:gridCol w:w="1861"/>
        <w:gridCol w:w="1490"/>
      </w:tblGrid>
      <w:tr w:rsidR="001A4D11" w:rsidTr="008808F3">
        <w:trPr>
          <w:trHeight w:val="777"/>
        </w:trPr>
        <w:tc>
          <w:tcPr>
            <w:tcW w:w="27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A4D11" w:rsidRPr="00F01E01" w:rsidRDefault="001A4D11" w:rsidP="008808F3">
            <w:pPr>
              <w:keepNext/>
              <w:keepLines/>
              <w:rPr>
                <w:rFonts w:ascii="Arial" w:hAnsi="Arial" w:cs="Arial"/>
                <w:b/>
                <w:bCs/>
                <w:sz w:val="22"/>
                <w:szCs w:val="22"/>
              </w:rPr>
            </w:pPr>
            <w:proofErr w:type="spellStart"/>
            <w:r w:rsidRPr="00F01E01">
              <w:rPr>
                <w:rFonts w:ascii="Arial" w:hAnsi="Arial" w:cs="Arial"/>
                <w:b/>
                <w:bCs/>
                <w:sz w:val="22"/>
                <w:szCs w:val="22"/>
              </w:rPr>
              <w:t>Company</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A4D11" w:rsidRPr="00F01E01" w:rsidRDefault="001A4D11" w:rsidP="008808F3">
            <w:pPr>
              <w:keepNext/>
              <w:keepLines/>
              <w:rPr>
                <w:rFonts w:ascii="Arial" w:hAnsi="Arial" w:cs="Arial"/>
                <w:b/>
                <w:bCs/>
                <w:sz w:val="22"/>
                <w:szCs w:val="22"/>
              </w:rPr>
            </w:pPr>
            <w:r w:rsidRPr="00F01E01">
              <w:rPr>
                <w:rFonts w:ascii="Arial" w:hAnsi="Arial" w:cs="Arial"/>
                <w:b/>
                <w:bCs/>
                <w:sz w:val="22"/>
                <w:szCs w:val="22"/>
              </w:rPr>
              <w:t>Country</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A4D11" w:rsidRPr="00F01E01" w:rsidRDefault="001A4D11" w:rsidP="008808F3">
            <w:pPr>
              <w:keepNext/>
              <w:keepLines/>
              <w:rPr>
                <w:rFonts w:ascii="Arial" w:hAnsi="Arial" w:cs="Arial"/>
                <w:b/>
                <w:bCs/>
                <w:sz w:val="22"/>
                <w:szCs w:val="22"/>
                <w:lang w:val="en-GB"/>
              </w:rPr>
            </w:pPr>
            <w:r w:rsidRPr="00F01E01">
              <w:rPr>
                <w:rFonts w:ascii="Arial" w:hAnsi="Arial" w:cs="Arial"/>
                <w:b/>
                <w:bCs/>
                <w:sz w:val="22"/>
                <w:szCs w:val="22"/>
              </w:rPr>
              <w:t xml:space="preserve">S&amp;P rating </w:t>
            </w:r>
          </w:p>
          <w:p w:rsidR="001A4D11" w:rsidRPr="00F01E01" w:rsidRDefault="001A4D11" w:rsidP="008808F3">
            <w:pPr>
              <w:keepNext/>
              <w:keepLines/>
              <w:rPr>
                <w:rFonts w:ascii="Arial" w:hAnsi="Arial" w:cs="Arial"/>
                <w:b/>
                <w:bCs/>
                <w:sz w:val="22"/>
                <w:szCs w:val="22"/>
              </w:rPr>
            </w:pPr>
            <w:r w:rsidRPr="00F01E01">
              <w:rPr>
                <w:rFonts w:ascii="Arial" w:hAnsi="Arial" w:cs="Arial"/>
                <w:b/>
                <w:bCs/>
                <w:sz w:val="22"/>
                <w:szCs w:val="22"/>
              </w:rPr>
              <w:t xml:space="preserve">as </w:t>
            </w:r>
            <w:proofErr w:type="spellStart"/>
            <w:r w:rsidRPr="00F01E01">
              <w:rPr>
                <w:rFonts w:ascii="Arial" w:hAnsi="Arial" w:cs="Arial"/>
                <w:b/>
                <w:bCs/>
                <w:sz w:val="22"/>
                <w:szCs w:val="22"/>
              </w:rPr>
              <w:t>of</w:t>
            </w:r>
            <w:proofErr w:type="spellEnd"/>
            <w:r w:rsidRPr="00F01E01">
              <w:rPr>
                <w:rFonts w:ascii="Arial" w:hAnsi="Arial" w:cs="Arial"/>
                <w:b/>
                <w:bCs/>
                <w:sz w:val="22"/>
                <w:szCs w:val="22"/>
              </w:rPr>
              <w:t xml:space="preserve"> </w:t>
            </w:r>
            <w:proofErr w:type="spellStart"/>
            <w:r w:rsidRPr="00F01E01">
              <w:rPr>
                <w:rFonts w:ascii="Arial" w:hAnsi="Arial" w:cs="Arial"/>
                <w:b/>
                <w:bCs/>
                <w:sz w:val="22"/>
                <w:szCs w:val="22"/>
              </w:rPr>
              <w:t>April</w:t>
            </w:r>
            <w:proofErr w:type="spellEnd"/>
            <w:r w:rsidRPr="00F01E01">
              <w:rPr>
                <w:rFonts w:ascii="Arial" w:hAnsi="Arial" w:cs="Arial"/>
                <w:b/>
                <w:bCs/>
                <w:sz w:val="22"/>
                <w:szCs w:val="22"/>
              </w:rPr>
              <w:t xml:space="preserve"> 2022</w:t>
            </w:r>
          </w:p>
        </w:tc>
        <w:tc>
          <w:tcPr>
            <w:tcW w:w="186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A4D11" w:rsidRPr="00F01E01" w:rsidRDefault="001A4D11" w:rsidP="008808F3">
            <w:pPr>
              <w:keepNext/>
              <w:keepLines/>
              <w:rPr>
                <w:rFonts w:ascii="Arial" w:hAnsi="Arial" w:cs="Arial"/>
                <w:b/>
                <w:bCs/>
                <w:sz w:val="22"/>
                <w:szCs w:val="22"/>
              </w:rPr>
            </w:pPr>
            <w:r w:rsidRPr="00F01E01">
              <w:rPr>
                <w:rFonts w:ascii="Arial" w:hAnsi="Arial" w:cs="Arial"/>
                <w:b/>
                <w:bCs/>
                <w:sz w:val="22"/>
                <w:szCs w:val="22"/>
              </w:rPr>
              <w:t xml:space="preserve">Rating last </w:t>
            </w:r>
            <w:proofErr w:type="spellStart"/>
            <w:r w:rsidRPr="00F01E01">
              <w:rPr>
                <w:rFonts w:ascii="Arial" w:hAnsi="Arial" w:cs="Arial"/>
                <w:b/>
                <w:bCs/>
                <w:sz w:val="22"/>
                <w:szCs w:val="22"/>
              </w:rPr>
              <w:t>reviewed</w:t>
            </w:r>
            <w:proofErr w:type="spellEnd"/>
            <w:r w:rsidRPr="00F01E01">
              <w:rPr>
                <w:rFonts w:ascii="Arial" w:hAnsi="Arial" w:cs="Arial"/>
                <w:b/>
                <w:bCs/>
                <w:sz w:val="22"/>
                <w:szCs w:val="22"/>
              </w:rPr>
              <w:t xml:space="preserve"> by S&amp;P</w:t>
            </w:r>
          </w:p>
        </w:tc>
        <w:tc>
          <w:tcPr>
            <w:tcW w:w="14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A4D11" w:rsidRPr="00F01E01" w:rsidRDefault="001A4D11" w:rsidP="008808F3">
            <w:pPr>
              <w:keepNext/>
              <w:keepLines/>
              <w:rPr>
                <w:rFonts w:ascii="Arial" w:hAnsi="Arial" w:cs="Arial"/>
                <w:b/>
                <w:bCs/>
                <w:sz w:val="22"/>
                <w:szCs w:val="22"/>
              </w:rPr>
            </w:pPr>
            <w:proofErr w:type="spellStart"/>
            <w:r w:rsidRPr="00F01E01">
              <w:rPr>
                <w:rFonts w:ascii="Arial" w:hAnsi="Arial" w:cs="Arial"/>
                <w:b/>
                <w:bCs/>
                <w:sz w:val="22"/>
                <w:szCs w:val="22"/>
              </w:rPr>
              <w:t>Stock</w:t>
            </w:r>
            <w:proofErr w:type="spellEnd"/>
            <w:r w:rsidRPr="00F01E01">
              <w:rPr>
                <w:rFonts w:ascii="Arial" w:hAnsi="Arial" w:cs="Arial"/>
                <w:b/>
                <w:bCs/>
                <w:sz w:val="22"/>
                <w:szCs w:val="22"/>
              </w:rPr>
              <w:t xml:space="preserve"> Symbol</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eastAsia="en-US"/>
              </w:rPr>
            </w:pPr>
            <w:r w:rsidRPr="00F01E01">
              <w:rPr>
                <w:rFonts w:ascii="Arial" w:hAnsi="Arial" w:cs="Arial"/>
                <w:sz w:val="22"/>
                <w:szCs w:val="22"/>
                <w:lang w:val="en-US"/>
              </w:rPr>
              <w:t>Deutsche Telekom AG</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DE</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BBB</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27 April 2021</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DTE GR</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DIGI Communications N.V.</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RO</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BB-</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23 March 2022</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DIGI BVB</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 xml:space="preserve">Elisa </w:t>
            </w:r>
            <w:proofErr w:type="spellStart"/>
            <w:r w:rsidRPr="00F01E01">
              <w:rPr>
                <w:rFonts w:ascii="Arial" w:hAnsi="Arial" w:cs="Arial"/>
                <w:sz w:val="22"/>
                <w:szCs w:val="22"/>
                <w:lang w:val="en-US"/>
              </w:rPr>
              <w:t>Oyj</w:t>
            </w:r>
            <w:proofErr w:type="spellEnd"/>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FI</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BBB+</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25 March 2022</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ELISA FH</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proofErr w:type="spellStart"/>
            <w:r w:rsidRPr="00F01E01">
              <w:rPr>
                <w:rFonts w:ascii="Arial" w:hAnsi="Arial" w:cs="Arial"/>
                <w:sz w:val="22"/>
                <w:szCs w:val="22"/>
                <w:lang w:val="en-US"/>
              </w:rPr>
              <w:t>Koninklijke</w:t>
            </w:r>
            <w:proofErr w:type="spellEnd"/>
            <w:r w:rsidRPr="00F01E01">
              <w:rPr>
                <w:rFonts w:ascii="Arial" w:hAnsi="Arial" w:cs="Arial"/>
                <w:sz w:val="22"/>
                <w:szCs w:val="22"/>
                <w:lang w:val="en-US"/>
              </w:rPr>
              <w:t xml:space="preserve"> KPN N.V.</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NL</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BBB</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25 March 2022</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KPN NA</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NOS</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PT</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BBB-</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25 March 2022</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NOS PT</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Orange S.A.</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FR</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BBB+</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28 Sept. 2021</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ORA FP</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Proximus S.A.</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BE</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A</w:t>
            </w:r>
            <w:r w:rsidRPr="00F01E01">
              <w:rPr>
                <w:rFonts w:ascii="Arial" w:hAnsi="Arial" w:cs="Arial"/>
                <w:sz w:val="22"/>
                <w:szCs w:val="22"/>
                <w:lang w:val="en-US"/>
              </w:rPr>
              <w:tab/>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12 July 2021</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PROX BB</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Tele 2 AB</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SE</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BBB</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23 Nov. 2021</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TEL2B SS</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Telecom Italia</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IT</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BB-</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23 March 2022</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TIT_MI</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Telefónica</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ES</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BBB-</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15 Dec. 2021</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tabs>
                <w:tab w:val="left" w:pos="750"/>
              </w:tabs>
              <w:rPr>
                <w:rFonts w:ascii="Arial" w:hAnsi="Arial" w:cs="Arial"/>
                <w:sz w:val="22"/>
                <w:szCs w:val="22"/>
                <w:lang w:val="en-US"/>
              </w:rPr>
            </w:pPr>
            <w:r w:rsidRPr="00F01E01">
              <w:rPr>
                <w:rFonts w:ascii="Arial" w:hAnsi="Arial" w:cs="Arial"/>
                <w:sz w:val="22"/>
                <w:szCs w:val="22"/>
                <w:lang w:val="en-US"/>
              </w:rPr>
              <w:t>TEF SM</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Telekom Austria AG</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AT</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BBB+</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23 April 2021</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TKA AV</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proofErr w:type="spellStart"/>
            <w:r w:rsidRPr="00F01E01">
              <w:rPr>
                <w:rFonts w:ascii="Arial" w:hAnsi="Arial" w:cs="Arial"/>
                <w:sz w:val="22"/>
                <w:szCs w:val="22"/>
                <w:lang w:val="en-US"/>
              </w:rPr>
              <w:t>Telenet</w:t>
            </w:r>
            <w:proofErr w:type="spellEnd"/>
            <w:r w:rsidRPr="00F01E01">
              <w:rPr>
                <w:rFonts w:ascii="Arial" w:hAnsi="Arial" w:cs="Arial"/>
                <w:sz w:val="22"/>
                <w:szCs w:val="22"/>
                <w:lang w:val="en-US"/>
              </w:rPr>
              <w:t xml:space="preserve"> Group Holding N.V.</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BE</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BB-</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23 July 2021</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TNET BB</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Telenor</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NO</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A-</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20 May 2021</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TEQ</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proofErr w:type="spellStart"/>
            <w:r w:rsidRPr="00F01E01">
              <w:rPr>
                <w:rFonts w:ascii="Arial" w:hAnsi="Arial" w:cs="Arial"/>
                <w:sz w:val="22"/>
                <w:szCs w:val="22"/>
                <w:lang w:val="en-US"/>
              </w:rPr>
              <w:t>Telia</w:t>
            </w:r>
            <w:proofErr w:type="spellEnd"/>
            <w:r w:rsidRPr="00F01E01">
              <w:rPr>
                <w:rFonts w:ascii="Arial" w:hAnsi="Arial" w:cs="Arial"/>
                <w:sz w:val="22"/>
                <w:szCs w:val="22"/>
                <w:lang w:val="en-US"/>
              </w:rPr>
              <w:t xml:space="preserve"> Company AB</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SE</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BBB+</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13 Jan. 2022</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TELIA SS</w:t>
            </w:r>
          </w:p>
        </w:tc>
      </w:tr>
      <w:tr w:rsidR="001A4D11" w:rsidTr="008808F3">
        <w:tc>
          <w:tcPr>
            <w:tcW w:w="275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lastRenderedPageBreak/>
              <w:t>Vodafone Group plc</w:t>
            </w:r>
          </w:p>
        </w:tc>
        <w:tc>
          <w:tcPr>
            <w:tcW w:w="1207"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UK</w:t>
            </w:r>
          </w:p>
        </w:tc>
        <w:tc>
          <w:tcPr>
            <w:tcW w:w="170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BBB</w:t>
            </w:r>
          </w:p>
        </w:tc>
        <w:tc>
          <w:tcPr>
            <w:tcW w:w="1861"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27 July 2021</w:t>
            </w:r>
          </w:p>
        </w:tc>
        <w:tc>
          <w:tcPr>
            <w:tcW w:w="1490" w:type="dxa"/>
            <w:tcBorders>
              <w:top w:val="single" w:sz="4" w:space="0" w:color="auto"/>
              <w:left w:val="single" w:sz="4" w:space="0" w:color="auto"/>
              <w:bottom w:val="single" w:sz="4" w:space="0" w:color="auto"/>
              <w:right w:val="single" w:sz="4" w:space="0" w:color="auto"/>
            </w:tcBorders>
            <w:hideMark/>
          </w:tcPr>
          <w:p w:rsidR="001A4D11" w:rsidRPr="00F01E01" w:rsidRDefault="001A4D11" w:rsidP="008808F3">
            <w:pPr>
              <w:rPr>
                <w:rFonts w:ascii="Arial" w:hAnsi="Arial" w:cs="Arial"/>
                <w:sz w:val="22"/>
                <w:szCs w:val="22"/>
                <w:lang w:val="en-US"/>
              </w:rPr>
            </w:pPr>
            <w:r w:rsidRPr="00F01E01">
              <w:rPr>
                <w:rFonts w:ascii="Arial" w:hAnsi="Arial" w:cs="Arial"/>
                <w:sz w:val="22"/>
                <w:szCs w:val="22"/>
                <w:lang w:val="en-US"/>
              </w:rPr>
              <w:t>VOD LN</w:t>
            </w:r>
          </w:p>
        </w:tc>
      </w:tr>
    </w:tbl>
    <w:p w:rsidR="001A4D11" w:rsidRPr="00F01E01" w:rsidRDefault="001A4D11" w:rsidP="001A4D11">
      <w:pPr>
        <w:spacing w:before="120" w:after="240"/>
        <w:rPr>
          <w:rFonts w:ascii="Arial" w:hAnsi="Arial" w:cs="Arial"/>
          <w:sz w:val="22"/>
          <w:szCs w:val="22"/>
        </w:rPr>
      </w:pPr>
      <w:r w:rsidRPr="00F01E01">
        <w:rPr>
          <w:rFonts w:ascii="Arial" w:hAnsi="Arial" w:cs="Arial"/>
          <w:sz w:val="22"/>
          <w:szCs w:val="22"/>
        </w:rPr>
        <w:t xml:space="preserve">Zdroj: WACC </w:t>
      </w:r>
      <w:proofErr w:type="spellStart"/>
      <w:r w:rsidRPr="00F01E01">
        <w:rPr>
          <w:rFonts w:ascii="Arial" w:hAnsi="Arial" w:cs="Arial"/>
          <w:sz w:val="22"/>
          <w:szCs w:val="22"/>
        </w:rPr>
        <w:t>parameters</w:t>
      </w:r>
      <w:proofErr w:type="spellEnd"/>
      <w:r w:rsidRPr="00F01E01">
        <w:rPr>
          <w:rFonts w:ascii="Arial" w:hAnsi="Arial" w:cs="Arial"/>
          <w:sz w:val="22"/>
          <w:szCs w:val="22"/>
        </w:rPr>
        <w:t xml:space="preserve"> Report 2022, </w:t>
      </w:r>
      <w:proofErr w:type="spellStart"/>
      <w:r w:rsidRPr="00F01E01">
        <w:rPr>
          <w:rFonts w:ascii="Arial" w:hAnsi="Arial" w:cs="Arial"/>
          <w:sz w:val="22"/>
          <w:szCs w:val="22"/>
        </w:rPr>
        <w:t>BoR</w:t>
      </w:r>
      <w:proofErr w:type="spellEnd"/>
      <w:r w:rsidRPr="00F01E01">
        <w:rPr>
          <w:rFonts w:ascii="Arial" w:hAnsi="Arial" w:cs="Arial"/>
          <w:sz w:val="22"/>
          <w:szCs w:val="22"/>
        </w:rPr>
        <w:t xml:space="preserve"> (22) 70</w:t>
      </w:r>
    </w:p>
    <w:p w:rsidR="001A4D11" w:rsidRPr="007D4368" w:rsidRDefault="001A4D11" w:rsidP="007D4368">
      <w:pPr>
        <w:ind w:firstLine="709"/>
        <w:jc w:val="both"/>
        <w:rPr>
          <w:rFonts w:ascii="Arial" w:hAnsi="Arial" w:cs="Arial"/>
          <w:sz w:val="22"/>
          <w:szCs w:val="22"/>
        </w:rPr>
      </w:pPr>
      <w:r w:rsidRPr="007D4368">
        <w:rPr>
          <w:rFonts w:ascii="Arial" w:hAnsi="Arial" w:cs="Arial"/>
          <w:sz w:val="22"/>
          <w:szCs w:val="22"/>
        </w:rPr>
        <w:t xml:space="preserve">Koeficient beta vyjadřuje systematické riziko, kterému společnost čelí ve srovnání s průměrnou společností na trhu. Beta se odhaduje pomocí regresní analýzy, tj. odhadem korelace mezi výnosy z akcií společnosti a výnosy z tržního indexu. BEREC pro odhad koeficientů beta použil index STOXX </w:t>
      </w:r>
      <w:proofErr w:type="spellStart"/>
      <w:r w:rsidRPr="007D4368">
        <w:rPr>
          <w:rFonts w:ascii="Arial" w:hAnsi="Arial" w:cs="Arial"/>
          <w:sz w:val="22"/>
          <w:szCs w:val="22"/>
        </w:rPr>
        <w:t>Europe</w:t>
      </w:r>
      <w:proofErr w:type="spellEnd"/>
      <w:r w:rsidRPr="007D4368">
        <w:rPr>
          <w:rFonts w:ascii="Arial" w:hAnsi="Arial" w:cs="Arial"/>
          <w:sz w:val="22"/>
          <w:szCs w:val="22"/>
        </w:rPr>
        <w:t xml:space="preserve"> TMI, přičemž byla analyzována data s týdenní frekvencí za pětileté období (duben 2017–březen 2022).</w:t>
      </w:r>
    </w:p>
    <w:p w:rsidR="001A4D11" w:rsidRPr="007D4368" w:rsidRDefault="001A4D11" w:rsidP="007D4368">
      <w:pPr>
        <w:ind w:firstLine="709"/>
        <w:jc w:val="both"/>
        <w:rPr>
          <w:rFonts w:ascii="Arial" w:hAnsi="Arial" w:cs="Arial"/>
          <w:sz w:val="22"/>
          <w:szCs w:val="22"/>
        </w:rPr>
      </w:pPr>
    </w:p>
    <w:p w:rsidR="001A4D11" w:rsidRPr="007D4368" w:rsidRDefault="001A4D11" w:rsidP="007D4368">
      <w:pPr>
        <w:ind w:firstLine="709"/>
        <w:jc w:val="both"/>
        <w:rPr>
          <w:rFonts w:ascii="Arial" w:hAnsi="Arial" w:cs="Arial"/>
          <w:sz w:val="22"/>
          <w:szCs w:val="22"/>
        </w:rPr>
      </w:pPr>
      <w:r w:rsidRPr="007D4368">
        <w:rPr>
          <w:rFonts w:ascii="Arial" w:hAnsi="Arial" w:cs="Arial"/>
          <w:sz w:val="22"/>
          <w:szCs w:val="22"/>
        </w:rPr>
        <w:t xml:space="preserve">Zadluženost byla stanovena na základě pětiletého průměru dat s týdenní frekvencí za období duben 2017–březen 2022. Zadluženost byla ohodnocena na základě účetních hodnot čistého dluhu společností, včetně hodnoty finančních leasingů. </w:t>
      </w:r>
    </w:p>
    <w:p w:rsidR="001A4D11" w:rsidRPr="007D4368" w:rsidRDefault="001A4D11" w:rsidP="007D4368">
      <w:pPr>
        <w:ind w:firstLine="709"/>
        <w:jc w:val="both"/>
        <w:rPr>
          <w:rFonts w:ascii="Arial" w:hAnsi="Arial" w:cs="Arial"/>
          <w:sz w:val="22"/>
          <w:szCs w:val="22"/>
        </w:rPr>
      </w:pPr>
    </w:p>
    <w:p w:rsidR="001A4D11" w:rsidRPr="007D4368" w:rsidRDefault="001A4D11" w:rsidP="007D4368">
      <w:pPr>
        <w:ind w:firstLine="709"/>
        <w:jc w:val="both"/>
        <w:rPr>
          <w:rFonts w:ascii="Arial" w:hAnsi="Arial" w:cs="Arial"/>
          <w:sz w:val="22"/>
          <w:szCs w:val="22"/>
        </w:rPr>
      </w:pPr>
      <w:r w:rsidRPr="007D4368">
        <w:rPr>
          <w:rFonts w:ascii="Arial" w:hAnsi="Arial" w:cs="Arial"/>
          <w:sz w:val="22"/>
          <w:szCs w:val="22"/>
        </w:rPr>
        <w:t>Nezadlužená (asset) beta, která počítá s nulovým zadlužením podniku, a zadlužená (equity) beta, která zohledňuje zadlužení podniku, byly přepočteny podle vzorce:</w:t>
      </w:r>
    </w:p>
    <w:p w:rsidR="001A4D11" w:rsidRDefault="001A4D11" w:rsidP="001A4D11">
      <w:pPr>
        <w:ind w:firstLine="709"/>
        <w:rPr>
          <w:rFonts w:cs="Arial"/>
          <w:szCs w:val="22"/>
        </w:rPr>
      </w:pPr>
    </w:p>
    <w:p w:rsidR="001A4D11" w:rsidRDefault="009C0293" w:rsidP="001A4D11">
      <w:pPr>
        <w:ind w:firstLine="709"/>
        <w:jc w:val="center"/>
        <w:rPr>
          <w:rFonts w:cs="Arial"/>
          <w:szCs w:val="22"/>
        </w:rPr>
      </w:pPr>
      <m:oMath>
        <m:sSub>
          <m:sSubPr>
            <m:ctrlPr>
              <w:rPr>
                <w:rFonts w:ascii="Cambria Math" w:hAnsi="Cambria Math"/>
                <w:i/>
              </w:rPr>
            </m:ctrlPr>
          </m:sSubPr>
          <m:e>
            <m:r>
              <w:rPr>
                <w:rFonts w:ascii="Cambria Math" w:hAnsi="Cambria Math"/>
              </w:rPr>
              <m:t>β</m:t>
            </m:r>
          </m:e>
          <m:sub>
            <m:r>
              <w:rPr>
                <w:rFonts w:ascii="Cambria Math" w:hAnsi="Cambria Math"/>
              </w:rPr>
              <m:t>a</m:t>
            </m:r>
          </m:sub>
        </m:sSub>
        <m:r>
          <m:rPr>
            <m:sty m:val="p"/>
          </m:rPr>
          <w:rPr>
            <w:rFonts w:ascii="Cambria Math" w:hAnsi="Cambria Math" w:cs="TimesNewRomanPSMT"/>
            <w:szCs w:val="14"/>
            <w:vertAlign w:val="subscript"/>
          </w:rPr>
          <m:t xml:space="preserve"> </m:t>
        </m:r>
        <m:r>
          <m:rPr>
            <m:sty m:val="p"/>
          </m:rPr>
          <w:rPr>
            <w:rFonts w:ascii="Cambria Math" w:cs="TimesNewRomanPSMT"/>
            <w:szCs w:val="14"/>
            <w:vertAlign w:val="subscript"/>
          </w:rPr>
          <m:t>=</m:t>
        </m:r>
        <m:d>
          <m:dPr>
            <m:ctrlPr>
              <w:rPr>
                <w:rFonts w:ascii="Cambria Math" w:hAnsi="Cambria Math" w:cs="TimesNewRomanPSMT"/>
                <w:szCs w:val="14"/>
                <w:vertAlign w:val="subscript"/>
              </w:rPr>
            </m:ctrlPr>
          </m:dPr>
          <m:e>
            <m:f>
              <m:fPr>
                <m:ctrlPr>
                  <w:rPr>
                    <w:rFonts w:ascii="Cambria Math" w:hAnsi="Cambria Math"/>
                    <w:noProof/>
                    <w:vertAlign w:val="subscript"/>
                  </w:rPr>
                </m:ctrlPr>
              </m:fPr>
              <m:num>
                <m:r>
                  <w:rPr>
                    <w:rFonts w:ascii="Cambria Math" w:hAnsi="Cambria Math"/>
                    <w:noProof/>
                    <w:vertAlign w:val="subscript"/>
                  </w:rPr>
                  <m:t>E</m:t>
                </m:r>
              </m:num>
              <m:den>
                <m:r>
                  <w:rPr>
                    <w:rFonts w:ascii="Cambria Math" w:hAnsi="Cambria Math"/>
                    <w:noProof/>
                    <w:vertAlign w:val="subscript"/>
                  </w:rPr>
                  <m:t>D</m:t>
                </m:r>
                <m:r>
                  <m:rPr>
                    <m:sty m:val="p"/>
                  </m:rPr>
                  <w:rPr>
                    <w:rFonts w:ascii="Cambria Math" w:hAnsi="Cambria Math"/>
                    <w:noProof/>
                    <w:vertAlign w:val="subscript"/>
                  </w:rPr>
                  <m:t>+</m:t>
                </m:r>
                <m:r>
                  <w:rPr>
                    <w:rFonts w:ascii="Cambria Math" w:hAnsi="Cambria Math"/>
                    <w:noProof/>
                    <w:vertAlign w:val="subscript"/>
                  </w:rPr>
                  <m:t>E</m:t>
                </m:r>
              </m:den>
            </m:f>
          </m:e>
        </m:d>
        <m:r>
          <m:rPr>
            <m:sty m:val="p"/>
          </m:rPr>
          <w:rPr>
            <w:rFonts w:ascii="Cambria Math" w:hAnsi="Cambria Math" w:cs="Cambria Math"/>
            <w:szCs w:val="14"/>
            <w:vertAlign w:val="subscript"/>
          </w:rPr>
          <m:t>*</m:t>
        </m:r>
        <m:r>
          <m:rPr>
            <m:sty m:val="p"/>
          </m:rPr>
          <w:rPr>
            <w:rFonts w:ascii="Cambria Math" w:cs="TimesNewRomanPSMT"/>
            <w:szCs w:val="14"/>
            <w:vertAlign w:val="subscript"/>
          </w:rPr>
          <m:t xml:space="preserve"> </m:t>
        </m:r>
        <m:sSub>
          <m:sSubPr>
            <m:ctrlPr>
              <w:rPr>
                <w:rFonts w:ascii="Cambria Math" w:hAnsi="Cambria Math"/>
                <w:i/>
              </w:rPr>
            </m:ctrlPr>
          </m:sSubPr>
          <m:e>
            <m:r>
              <w:rPr>
                <w:rFonts w:ascii="Cambria Math" w:hAnsi="Cambria Math"/>
              </w:rPr>
              <m:t>β</m:t>
            </m:r>
          </m:e>
          <m:sub>
            <m:r>
              <w:rPr>
                <w:rFonts w:ascii="Cambria Math" w:hAnsi="Cambria Math"/>
              </w:rPr>
              <m:t>e</m:t>
            </m:r>
          </m:sub>
        </m:sSub>
        <m:r>
          <m:rPr>
            <m:sty m:val="p"/>
          </m:rPr>
          <w:rPr>
            <w:rFonts w:ascii="Cambria Math" w:hAnsi="Cambria Math" w:cs="TimesNewRomanPSMT"/>
            <w:szCs w:val="14"/>
            <w:vertAlign w:val="subscript"/>
          </w:rPr>
          <m:t xml:space="preserve"> </m:t>
        </m:r>
        <m:r>
          <m:rPr>
            <m:sty m:val="p"/>
          </m:rPr>
          <w:rPr>
            <w:rFonts w:ascii="Cambria Math" w:cs="TimesNewRomanPSMT"/>
            <w:szCs w:val="14"/>
            <w:vertAlign w:val="subscript"/>
          </w:rPr>
          <m:t>+</m:t>
        </m:r>
        <m:d>
          <m:dPr>
            <m:ctrlPr>
              <w:rPr>
                <w:rFonts w:ascii="Cambria Math" w:hAnsi="Cambria Math" w:cs="TimesNewRomanPSMT"/>
                <w:szCs w:val="14"/>
                <w:vertAlign w:val="subscript"/>
              </w:rPr>
            </m:ctrlPr>
          </m:dPr>
          <m:e>
            <m:f>
              <m:fPr>
                <m:ctrlPr>
                  <w:rPr>
                    <w:rFonts w:ascii="Cambria Math" w:hAnsi="Cambria Math"/>
                    <w:noProof/>
                    <w:vertAlign w:val="subscript"/>
                  </w:rPr>
                </m:ctrlPr>
              </m:fPr>
              <m:num>
                <m:r>
                  <w:rPr>
                    <w:rFonts w:ascii="Cambria Math" w:hAnsi="Cambria Math"/>
                    <w:noProof/>
                    <w:vertAlign w:val="subscript"/>
                  </w:rPr>
                  <m:t>D</m:t>
                </m:r>
              </m:num>
              <m:den>
                <m:r>
                  <w:rPr>
                    <w:rFonts w:ascii="Cambria Math" w:hAnsi="Cambria Math"/>
                    <w:noProof/>
                    <w:vertAlign w:val="subscript"/>
                  </w:rPr>
                  <m:t>D</m:t>
                </m:r>
                <m:r>
                  <m:rPr>
                    <m:sty m:val="p"/>
                  </m:rPr>
                  <w:rPr>
                    <w:rFonts w:ascii="Cambria Math" w:hAnsi="Cambria Math"/>
                    <w:noProof/>
                    <w:vertAlign w:val="subscript"/>
                  </w:rPr>
                  <m:t>+</m:t>
                </m:r>
                <m:r>
                  <w:rPr>
                    <w:rFonts w:ascii="Cambria Math" w:hAnsi="Cambria Math"/>
                    <w:noProof/>
                    <w:vertAlign w:val="subscript"/>
                  </w:rPr>
                  <m:t>E</m:t>
                </m:r>
              </m:den>
            </m:f>
          </m:e>
        </m:d>
        <m:r>
          <m:rPr>
            <m:sty m:val="p"/>
          </m:rPr>
          <w:rPr>
            <w:rFonts w:ascii="Cambria Math" w:hAnsi="Cambria Math" w:cs="Cambria Math"/>
            <w:szCs w:val="14"/>
            <w:vertAlign w:val="subscript"/>
          </w:rPr>
          <m:t>*</m:t>
        </m:r>
        <m:sSub>
          <m:sSubPr>
            <m:ctrlPr>
              <w:rPr>
                <w:rFonts w:ascii="Cambria Math" w:hAnsi="Cambria Math"/>
                <w:i/>
              </w:rPr>
            </m:ctrlPr>
          </m:sSubPr>
          <m:e>
            <m:r>
              <w:rPr>
                <w:rFonts w:ascii="Cambria Math" w:hAnsi="Cambria Math"/>
              </w:rPr>
              <m:t>β</m:t>
            </m:r>
          </m:e>
          <m:sub>
            <m:r>
              <w:rPr>
                <w:rFonts w:ascii="Cambria Math" w:hAnsi="Cambria Math"/>
              </w:rPr>
              <m:t>d</m:t>
            </m:r>
          </m:sub>
        </m:sSub>
      </m:oMath>
      <w:r w:rsidR="001A4D11">
        <w:rPr>
          <w:rFonts w:cs="Arial"/>
          <w:szCs w:val="14"/>
        </w:rPr>
        <w:t>,</w:t>
      </w:r>
    </w:p>
    <w:p w:rsidR="001A4D11" w:rsidRPr="007D4368" w:rsidRDefault="001A4D11" w:rsidP="001A4D11">
      <w:pPr>
        <w:spacing w:before="240"/>
        <w:rPr>
          <w:rFonts w:ascii="Arial" w:hAnsi="Arial" w:cs="Arial"/>
          <w:sz w:val="22"/>
          <w:szCs w:val="22"/>
        </w:rPr>
      </w:pPr>
      <w:r w:rsidRPr="007D4368">
        <w:rPr>
          <w:rFonts w:ascii="Arial" w:hAnsi="Arial" w:cs="Arial"/>
          <w:sz w:val="22"/>
          <w:szCs w:val="22"/>
        </w:rPr>
        <w:t>kde</w:t>
      </w:r>
    </w:p>
    <w:p w:rsidR="001A4D11" w:rsidRPr="007D4368" w:rsidRDefault="001A4D11" w:rsidP="001A4D11">
      <w:pPr>
        <w:spacing w:before="60"/>
        <w:rPr>
          <w:rFonts w:ascii="Arial" w:hAnsi="Arial" w:cs="Arial"/>
          <w:noProof/>
          <w:sz w:val="22"/>
          <w:szCs w:val="22"/>
          <w:lang w:eastAsia="zh-TW"/>
        </w:rPr>
      </w:pPr>
      <w:r w:rsidRPr="007D4368">
        <w:rPr>
          <w:rFonts w:ascii="Arial" w:hAnsi="Arial" w:cs="Arial"/>
          <w:noProof/>
          <w:sz w:val="22"/>
          <w:szCs w:val="22"/>
          <w:lang w:eastAsia="zh-TW"/>
        </w:rPr>
        <w:t>ß</w:t>
      </w:r>
      <w:r w:rsidRPr="007D4368">
        <w:rPr>
          <w:rFonts w:ascii="Arial" w:hAnsi="Arial" w:cs="Arial"/>
          <w:noProof/>
          <w:sz w:val="22"/>
          <w:szCs w:val="22"/>
          <w:vertAlign w:val="subscript"/>
          <w:lang w:eastAsia="zh-TW"/>
        </w:rPr>
        <w:t>a</w:t>
      </w:r>
      <w:r w:rsidRPr="007D4368">
        <w:rPr>
          <w:rFonts w:ascii="Arial" w:hAnsi="Arial" w:cs="Arial"/>
          <w:noProof/>
          <w:sz w:val="22"/>
          <w:szCs w:val="22"/>
          <w:lang w:eastAsia="zh-TW"/>
        </w:rPr>
        <w:t xml:space="preserve"> </w:t>
      </w:r>
      <w:r w:rsidRPr="007D4368">
        <w:rPr>
          <w:rFonts w:ascii="Arial" w:hAnsi="Arial" w:cs="Arial"/>
          <w:noProof/>
          <w:sz w:val="22"/>
          <w:szCs w:val="22"/>
          <w:lang w:eastAsia="zh-TW"/>
        </w:rPr>
        <w:tab/>
      </w:r>
      <w:r w:rsidRPr="007D4368">
        <w:rPr>
          <w:rFonts w:ascii="Arial" w:hAnsi="Arial" w:cs="Arial"/>
          <w:noProof/>
          <w:sz w:val="22"/>
          <w:szCs w:val="22"/>
          <w:lang w:eastAsia="zh-TW"/>
        </w:rPr>
        <w:tab/>
        <w:t>je nezadlužená (asset) beta,</w:t>
      </w:r>
    </w:p>
    <w:p w:rsidR="001A4D11" w:rsidRPr="007D4368" w:rsidRDefault="001A4D11" w:rsidP="001A4D11">
      <w:pPr>
        <w:spacing w:before="60"/>
        <w:rPr>
          <w:rFonts w:ascii="Arial" w:hAnsi="Arial" w:cs="Arial"/>
          <w:noProof/>
          <w:sz w:val="22"/>
          <w:szCs w:val="22"/>
          <w:lang w:eastAsia="zh-TW"/>
        </w:rPr>
      </w:pPr>
      <w:r w:rsidRPr="007D4368">
        <w:rPr>
          <w:rFonts w:ascii="Arial" w:hAnsi="Arial" w:cs="Arial"/>
          <w:noProof/>
          <w:sz w:val="22"/>
          <w:szCs w:val="22"/>
          <w:lang w:eastAsia="zh-TW"/>
        </w:rPr>
        <w:t>ß</w:t>
      </w:r>
      <w:r w:rsidRPr="007D4368">
        <w:rPr>
          <w:rFonts w:ascii="Arial" w:hAnsi="Arial" w:cs="Arial"/>
          <w:noProof/>
          <w:sz w:val="22"/>
          <w:szCs w:val="22"/>
          <w:vertAlign w:val="subscript"/>
          <w:lang w:eastAsia="zh-TW"/>
        </w:rPr>
        <w:t>e</w:t>
      </w:r>
      <w:r w:rsidRPr="007D4368">
        <w:rPr>
          <w:rFonts w:ascii="Arial" w:hAnsi="Arial" w:cs="Arial"/>
          <w:noProof/>
          <w:sz w:val="22"/>
          <w:szCs w:val="22"/>
          <w:lang w:eastAsia="zh-TW"/>
        </w:rPr>
        <w:t xml:space="preserve"> </w:t>
      </w:r>
      <w:r w:rsidRPr="007D4368">
        <w:rPr>
          <w:rFonts w:ascii="Arial" w:hAnsi="Arial" w:cs="Arial"/>
          <w:noProof/>
          <w:sz w:val="22"/>
          <w:szCs w:val="22"/>
          <w:lang w:eastAsia="zh-TW"/>
        </w:rPr>
        <w:tab/>
      </w:r>
      <w:r w:rsidRPr="007D4368">
        <w:rPr>
          <w:rFonts w:ascii="Arial" w:hAnsi="Arial" w:cs="Arial"/>
          <w:noProof/>
          <w:sz w:val="22"/>
          <w:szCs w:val="22"/>
          <w:lang w:eastAsia="zh-TW"/>
        </w:rPr>
        <w:tab/>
        <w:t>je zadlužená (equity) beta,</w:t>
      </w:r>
    </w:p>
    <w:p w:rsidR="001A4D11" w:rsidRPr="007D4368" w:rsidRDefault="001A4D11" w:rsidP="001A4D11">
      <w:pPr>
        <w:spacing w:before="60"/>
        <w:rPr>
          <w:rFonts w:ascii="Arial" w:hAnsi="Arial" w:cs="Arial"/>
          <w:noProof/>
          <w:sz w:val="22"/>
          <w:szCs w:val="22"/>
          <w:lang w:eastAsia="zh-TW"/>
        </w:rPr>
      </w:pPr>
      <w:r w:rsidRPr="007D4368">
        <w:rPr>
          <w:rFonts w:ascii="Arial" w:hAnsi="Arial" w:cs="Arial"/>
          <w:noProof/>
          <w:sz w:val="22"/>
          <w:szCs w:val="22"/>
          <w:lang w:eastAsia="zh-TW"/>
        </w:rPr>
        <w:t>ß</w:t>
      </w:r>
      <w:r w:rsidRPr="007D4368">
        <w:rPr>
          <w:rFonts w:ascii="Arial" w:hAnsi="Arial" w:cs="Arial"/>
          <w:noProof/>
          <w:sz w:val="22"/>
          <w:szCs w:val="22"/>
          <w:vertAlign w:val="subscript"/>
          <w:lang w:eastAsia="zh-TW"/>
        </w:rPr>
        <w:t>d</w:t>
      </w:r>
      <w:r w:rsidRPr="007D4368">
        <w:rPr>
          <w:rFonts w:ascii="Arial" w:hAnsi="Arial" w:cs="Arial"/>
          <w:noProof/>
          <w:sz w:val="22"/>
          <w:szCs w:val="22"/>
          <w:lang w:eastAsia="zh-TW"/>
        </w:rPr>
        <w:t xml:space="preserve"> </w:t>
      </w:r>
      <w:r w:rsidRPr="007D4368">
        <w:rPr>
          <w:rFonts w:ascii="Arial" w:hAnsi="Arial" w:cs="Arial"/>
          <w:noProof/>
          <w:sz w:val="22"/>
          <w:szCs w:val="22"/>
          <w:lang w:eastAsia="zh-TW"/>
        </w:rPr>
        <w:tab/>
      </w:r>
      <w:r w:rsidRPr="007D4368">
        <w:rPr>
          <w:rFonts w:ascii="Arial" w:hAnsi="Arial" w:cs="Arial"/>
          <w:noProof/>
          <w:sz w:val="22"/>
          <w:szCs w:val="22"/>
          <w:lang w:eastAsia="zh-TW"/>
        </w:rPr>
        <w:tab/>
        <w:t>je beta dluhu,</w:t>
      </w:r>
    </w:p>
    <w:p w:rsidR="001A4D11" w:rsidRPr="007D4368" w:rsidRDefault="001A4D11" w:rsidP="001A4D11">
      <w:pPr>
        <w:spacing w:before="60"/>
        <w:rPr>
          <w:rFonts w:ascii="Arial" w:hAnsi="Arial" w:cs="Arial"/>
          <w:noProof/>
          <w:sz w:val="22"/>
          <w:szCs w:val="22"/>
          <w:lang w:eastAsia="zh-TW"/>
        </w:rPr>
      </w:pPr>
      <w:r w:rsidRPr="007D4368">
        <w:rPr>
          <w:rFonts w:ascii="Arial" w:hAnsi="Arial" w:cs="Arial"/>
          <w:noProof/>
          <w:sz w:val="22"/>
          <w:szCs w:val="22"/>
          <w:lang w:eastAsia="zh-TW"/>
        </w:rPr>
        <w:t>D</w:t>
      </w:r>
      <w:r w:rsidRPr="007D4368">
        <w:rPr>
          <w:rFonts w:ascii="Arial" w:hAnsi="Arial" w:cs="Arial"/>
          <w:noProof/>
          <w:sz w:val="22"/>
          <w:szCs w:val="22"/>
          <w:lang w:eastAsia="zh-TW"/>
        </w:rPr>
        <w:tab/>
      </w:r>
      <w:r w:rsidRPr="007D4368">
        <w:rPr>
          <w:rFonts w:ascii="Arial" w:hAnsi="Arial" w:cs="Arial"/>
          <w:noProof/>
          <w:sz w:val="22"/>
          <w:szCs w:val="22"/>
          <w:lang w:eastAsia="zh-TW"/>
        </w:rPr>
        <w:tab/>
        <w:t>je cizí kapitál,</w:t>
      </w:r>
    </w:p>
    <w:p w:rsidR="001A4D11" w:rsidRPr="007D4368" w:rsidRDefault="001A4D11" w:rsidP="001A4D11">
      <w:pPr>
        <w:spacing w:before="60"/>
        <w:rPr>
          <w:rFonts w:ascii="Arial" w:hAnsi="Arial" w:cs="Arial"/>
          <w:noProof/>
          <w:sz w:val="22"/>
          <w:szCs w:val="22"/>
          <w:lang w:eastAsia="zh-TW"/>
        </w:rPr>
      </w:pPr>
      <w:r w:rsidRPr="007D4368">
        <w:rPr>
          <w:rFonts w:ascii="Arial" w:hAnsi="Arial" w:cs="Arial"/>
          <w:noProof/>
          <w:sz w:val="22"/>
          <w:szCs w:val="22"/>
          <w:lang w:eastAsia="zh-TW"/>
        </w:rPr>
        <w:t>E                     je vlastní kapitál.</w:t>
      </w:r>
    </w:p>
    <w:p w:rsidR="001A4D11" w:rsidRPr="00A87FED" w:rsidRDefault="001A4D11" w:rsidP="001A4D11">
      <w:pPr>
        <w:spacing w:before="240" w:after="240"/>
        <w:rPr>
          <w:rFonts w:ascii="Arial" w:hAnsi="Arial" w:cs="Arial"/>
          <w:sz w:val="22"/>
          <w:szCs w:val="22"/>
        </w:rPr>
      </w:pPr>
      <w:r>
        <w:rPr>
          <w:rFonts w:cs="TimesNewRomanPSMT"/>
          <w:szCs w:val="22"/>
        </w:rPr>
        <w:tab/>
      </w:r>
      <w:r w:rsidRPr="00A87FED">
        <w:rPr>
          <w:rFonts w:ascii="Arial" w:hAnsi="Arial" w:cs="Arial"/>
          <w:sz w:val="22"/>
          <w:szCs w:val="22"/>
        </w:rPr>
        <w:t xml:space="preserve">Pro rok 2022 BEREC vypočetl hodnoty beta a zadluženosti pro každou společnost zahrnutou do peer group v následující výši: </w:t>
      </w:r>
    </w:p>
    <w:p w:rsidR="001A4D11" w:rsidRPr="00A87FED" w:rsidRDefault="001A4D11" w:rsidP="001A4D11">
      <w:pPr>
        <w:spacing w:after="240"/>
        <w:rPr>
          <w:rFonts w:ascii="Arial" w:hAnsi="Arial" w:cs="Arial"/>
          <w:sz w:val="22"/>
          <w:szCs w:val="22"/>
        </w:rPr>
      </w:pPr>
      <w:r w:rsidRPr="00A87FED">
        <w:rPr>
          <w:rFonts w:ascii="Arial" w:hAnsi="Arial" w:cs="Arial"/>
          <w:sz w:val="22"/>
          <w:szCs w:val="22"/>
        </w:rPr>
        <w:t>Tabulka č. 2: BEREC peer group 2022 – zadlužená beta, zadluženost, nezadlužená beta</w:t>
      </w:r>
    </w:p>
    <w:tbl>
      <w:tblPr>
        <w:tblW w:w="4744" w:type="pct"/>
        <w:tblInd w:w="-5" w:type="dxa"/>
        <w:tblLayout w:type="fixed"/>
        <w:tblLook w:val="04A0" w:firstRow="1" w:lastRow="0" w:firstColumn="1" w:lastColumn="0" w:noHBand="0" w:noVBand="1"/>
      </w:tblPr>
      <w:tblGrid>
        <w:gridCol w:w="709"/>
        <w:gridCol w:w="2992"/>
        <w:gridCol w:w="1687"/>
        <w:gridCol w:w="1558"/>
        <w:gridCol w:w="1650"/>
      </w:tblGrid>
      <w:tr w:rsidR="001A4D11" w:rsidRPr="00B708FD" w:rsidTr="008808F3">
        <w:trPr>
          <w:trHeight w:val="699"/>
        </w:trPr>
        <w:tc>
          <w:tcPr>
            <w:tcW w:w="412"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1A4D11" w:rsidRPr="00A87FED" w:rsidRDefault="001A4D11" w:rsidP="008808F3">
            <w:pPr>
              <w:rPr>
                <w:rFonts w:ascii="Arial" w:hAnsi="Arial" w:cs="Arial"/>
                <w:b/>
                <w:bCs/>
                <w:color w:val="000000"/>
                <w:sz w:val="22"/>
                <w:szCs w:val="22"/>
                <w:lang w:eastAsia="en-GB"/>
              </w:rPr>
            </w:pPr>
          </w:p>
        </w:tc>
        <w:tc>
          <w:tcPr>
            <w:tcW w:w="1740" w:type="pct"/>
            <w:tcBorders>
              <w:top w:val="single" w:sz="4" w:space="0" w:color="auto"/>
              <w:left w:val="nil"/>
              <w:bottom w:val="single" w:sz="4" w:space="0" w:color="auto"/>
              <w:right w:val="single" w:sz="4" w:space="0" w:color="auto"/>
            </w:tcBorders>
            <w:shd w:val="pct25" w:color="auto" w:fill="auto"/>
            <w:noWrap/>
            <w:vAlign w:val="bottom"/>
            <w:hideMark/>
          </w:tcPr>
          <w:p w:rsidR="001A4D11" w:rsidRPr="00A87FED" w:rsidRDefault="001A4D11" w:rsidP="008808F3">
            <w:pPr>
              <w:rPr>
                <w:rFonts w:ascii="Arial" w:hAnsi="Arial" w:cs="Arial"/>
                <w:b/>
                <w:bCs/>
                <w:color w:val="000000"/>
                <w:sz w:val="22"/>
                <w:szCs w:val="22"/>
                <w:lang w:eastAsia="en-GB"/>
              </w:rPr>
            </w:pPr>
            <w:r w:rsidRPr="00A87FED">
              <w:rPr>
                <w:rFonts w:ascii="Arial" w:hAnsi="Arial" w:cs="Arial"/>
                <w:b/>
                <w:bCs/>
                <w:color w:val="000000"/>
                <w:sz w:val="22"/>
                <w:szCs w:val="22"/>
                <w:lang w:eastAsia="en-GB"/>
              </w:rPr>
              <w:t>Společnost</w:t>
            </w:r>
          </w:p>
        </w:tc>
        <w:tc>
          <w:tcPr>
            <w:tcW w:w="981" w:type="pct"/>
            <w:tcBorders>
              <w:top w:val="single" w:sz="4" w:space="0" w:color="auto"/>
              <w:left w:val="nil"/>
              <w:bottom w:val="single" w:sz="4" w:space="0" w:color="auto"/>
              <w:right w:val="single" w:sz="4" w:space="0" w:color="auto"/>
            </w:tcBorders>
            <w:shd w:val="pct25" w:color="auto" w:fill="auto"/>
            <w:noWrap/>
            <w:vAlign w:val="bottom"/>
            <w:hideMark/>
          </w:tcPr>
          <w:p w:rsidR="001A4D11" w:rsidRPr="00A87FED" w:rsidRDefault="001A4D11" w:rsidP="008808F3">
            <w:pPr>
              <w:jc w:val="center"/>
              <w:rPr>
                <w:rFonts w:ascii="Arial" w:hAnsi="Arial" w:cs="Arial"/>
                <w:b/>
                <w:bCs/>
                <w:color w:val="000000"/>
                <w:sz w:val="22"/>
                <w:szCs w:val="22"/>
                <w:lang w:eastAsia="en-GB"/>
              </w:rPr>
            </w:pPr>
            <w:r w:rsidRPr="00A87FED">
              <w:rPr>
                <w:rFonts w:ascii="Arial" w:hAnsi="Arial" w:cs="Arial"/>
                <w:b/>
                <w:bCs/>
                <w:color w:val="000000"/>
                <w:sz w:val="22"/>
                <w:szCs w:val="22"/>
                <w:lang w:eastAsia="en-GB"/>
              </w:rPr>
              <w:t>Zadlužená (equity) beta</w:t>
            </w:r>
          </w:p>
        </w:tc>
        <w:tc>
          <w:tcPr>
            <w:tcW w:w="906" w:type="pct"/>
            <w:tcBorders>
              <w:top w:val="single" w:sz="4" w:space="0" w:color="auto"/>
              <w:left w:val="nil"/>
              <w:bottom w:val="single" w:sz="4" w:space="0" w:color="auto"/>
              <w:right w:val="single" w:sz="4" w:space="0" w:color="auto"/>
            </w:tcBorders>
            <w:shd w:val="pct25" w:color="auto" w:fill="auto"/>
            <w:noWrap/>
            <w:vAlign w:val="bottom"/>
            <w:hideMark/>
          </w:tcPr>
          <w:p w:rsidR="001A4D11" w:rsidRPr="00A87FED" w:rsidRDefault="001A4D11" w:rsidP="008808F3">
            <w:pPr>
              <w:jc w:val="center"/>
              <w:rPr>
                <w:rFonts w:ascii="Arial" w:hAnsi="Arial" w:cs="Arial"/>
                <w:b/>
                <w:bCs/>
                <w:color w:val="000000"/>
                <w:sz w:val="22"/>
                <w:szCs w:val="22"/>
                <w:lang w:eastAsia="en-GB"/>
              </w:rPr>
            </w:pPr>
            <w:r w:rsidRPr="00A87FED">
              <w:rPr>
                <w:rFonts w:ascii="Arial" w:hAnsi="Arial" w:cs="Arial"/>
                <w:b/>
                <w:bCs/>
                <w:color w:val="000000"/>
                <w:sz w:val="22"/>
                <w:szCs w:val="22"/>
                <w:lang w:eastAsia="en-GB"/>
              </w:rPr>
              <w:t>Zadluženost</w:t>
            </w:r>
          </w:p>
        </w:tc>
        <w:tc>
          <w:tcPr>
            <w:tcW w:w="960" w:type="pct"/>
            <w:tcBorders>
              <w:top w:val="single" w:sz="4" w:space="0" w:color="auto"/>
              <w:left w:val="nil"/>
              <w:bottom w:val="single" w:sz="4" w:space="0" w:color="auto"/>
              <w:right w:val="single" w:sz="4" w:space="0" w:color="auto"/>
            </w:tcBorders>
            <w:shd w:val="pct25" w:color="auto" w:fill="auto"/>
            <w:noWrap/>
            <w:vAlign w:val="bottom"/>
            <w:hideMark/>
          </w:tcPr>
          <w:p w:rsidR="001A4D11" w:rsidRPr="00A87FED" w:rsidRDefault="001A4D11" w:rsidP="008808F3">
            <w:pPr>
              <w:jc w:val="center"/>
              <w:rPr>
                <w:rFonts w:ascii="Arial" w:hAnsi="Arial" w:cs="Arial"/>
                <w:b/>
                <w:bCs/>
                <w:color w:val="000000"/>
                <w:sz w:val="22"/>
                <w:szCs w:val="22"/>
                <w:lang w:eastAsia="en-GB"/>
              </w:rPr>
            </w:pPr>
            <w:r w:rsidRPr="00A87FED">
              <w:rPr>
                <w:rFonts w:ascii="Arial" w:hAnsi="Arial" w:cs="Arial"/>
                <w:b/>
                <w:bCs/>
                <w:color w:val="000000"/>
                <w:sz w:val="22"/>
                <w:szCs w:val="22"/>
                <w:lang w:eastAsia="en-GB"/>
              </w:rPr>
              <w:t>Nezadlužená (asset) beta</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1.</w:t>
            </w:r>
          </w:p>
        </w:tc>
        <w:tc>
          <w:tcPr>
            <w:tcW w:w="174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bCs/>
                <w:sz w:val="22"/>
                <w:szCs w:val="22"/>
                <w:lang w:eastAsia="en-GB"/>
              </w:rPr>
            </w:pPr>
            <w:proofErr w:type="spellStart"/>
            <w:r w:rsidRPr="00A87FED">
              <w:rPr>
                <w:rFonts w:ascii="Arial" w:hAnsi="Arial" w:cs="Arial"/>
                <w:bCs/>
                <w:sz w:val="22"/>
                <w:szCs w:val="22"/>
                <w:lang w:eastAsia="en-GB"/>
              </w:rPr>
              <w:t>Deutsche</w:t>
            </w:r>
            <w:proofErr w:type="spellEnd"/>
            <w:r w:rsidRPr="00A87FED">
              <w:rPr>
                <w:rFonts w:ascii="Arial" w:hAnsi="Arial" w:cs="Arial"/>
                <w:bCs/>
                <w:sz w:val="22"/>
                <w:szCs w:val="22"/>
                <w:lang w:eastAsia="en-GB"/>
              </w:rPr>
              <w:t xml:space="preserve"> Telekom AG</w:t>
            </w:r>
          </w:p>
        </w:tc>
        <w:tc>
          <w:tcPr>
            <w:tcW w:w="981"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0,78</w:t>
            </w:r>
          </w:p>
        </w:tc>
        <w:tc>
          <w:tcPr>
            <w:tcW w:w="906"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52,69 %</w:t>
            </w:r>
          </w:p>
        </w:tc>
        <w:tc>
          <w:tcPr>
            <w:tcW w:w="96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0,43</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2.</w:t>
            </w:r>
          </w:p>
        </w:tc>
        <w:tc>
          <w:tcPr>
            <w:tcW w:w="174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bCs/>
                <w:sz w:val="22"/>
                <w:szCs w:val="22"/>
                <w:lang w:eastAsia="en-GB"/>
              </w:rPr>
            </w:pPr>
            <w:r w:rsidRPr="00A87FED">
              <w:rPr>
                <w:rFonts w:ascii="Arial" w:hAnsi="Arial" w:cs="Arial"/>
                <w:bCs/>
                <w:sz w:val="22"/>
                <w:szCs w:val="22"/>
                <w:lang w:eastAsia="en-GB"/>
              </w:rPr>
              <w:t>DIGI Communications N.V.</w:t>
            </w:r>
          </w:p>
        </w:tc>
        <w:tc>
          <w:tcPr>
            <w:tcW w:w="981"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0,46</w:t>
            </w:r>
          </w:p>
        </w:tc>
        <w:tc>
          <w:tcPr>
            <w:tcW w:w="906"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66,60 %</w:t>
            </w:r>
          </w:p>
        </w:tc>
        <w:tc>
          <w:tcPr>
            <w:tcW w:w="96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0,22</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3.</w:t>
            </w:r>
          </w:p>
        </w:tc>
        <w:tc>
          <w:tcPr>
            <w:tcW w:w="1740" w:type="pct"/>
            <w:tcBorders>
              <w:top w:val="nil"/>
              <w:left w:val="nil"/>
              <w:bottom w:val="single" w:sz="4" w:space="0" w:color="auto"/>
              <w:right w:val="single" w:sz="4" w:space="0" w:color="auto"/>
            </w:tcBorders>
            <w:shd w:val="clear" w:color="auto" w:fill="auto"/>
            <w:noWrap/>
            <w:vAlign w:val="bottom"/>
          </w:tcPr>
          <w:p w:rsidR="001A4D11" w:rsidRPr="00A87FED" w:rsidRDefault="001A4D11" w:rsidP="008808F3">
            <w:pPr>
              <w:rPr>
                <w:rFonts w:ascii="Arial" w:hAnsi="Arial" w:cs="Arial"/>
                <w:bCs/>
                <w:sz w:val="22"/>
                <w:szCs w:val="22"/>
                <w:lang w:eastAsia="en-GB"/>
              </w:rPr>
            </w:pPr>
            <w:r w:rsidRPr="00A87FED">
              <w:rPr>
                <w:rFonts w:ascii="Arial" w:hAnsi="Arial" w:cs="Arial"/>
                <w:bCs/>
                <w:sz w:val="22"/>
                <w:szCs w:val="22"/>
                <w:lang w:eastAsia="en-GB"/>
              </w:rPr>
              <w:t xml:space="preserve">Elisa </w:t>
            </w:r>
            <w:proofErr w:type="spellStart"/>
            <w:r w:rsidRPr="00A87FED">
              <w:rPr>
                <w:rFonts w:ascii="Arial" w:hAnsi="Arial" w:cs="Arial"/>
                <w:bCs/>
                <w:sz w:val="22"/>
                <w:szCs w:val="22"/>
                <w:lang w:eastAsia="en-GB"/>
              </w:rPr>
              <w:t>Oyj</w:t>
            </w:r>
            <w:proofErr w:type="spellEnd"/>
          </w:p>
        </w:tc>
        <w:tc>
          <w:tcPr>
            <w:tcW w:w="981" w:type="pct"/>
            <w:tcBorders>
              <w:top w:val="nil"/>
              <w:left w:val="nil"/>
              <w:bottom w:val="single" w:sz="4" w:space="0" w:color="auto"/>
              <w:right w:val="single" w:sz="4" w:space="0" w:color="auto"/>
            </w:tcBorders>
            <w:shd w:val="clear" w:color="auto" w:fill="auto"/>
            <w:noWrap/>
            <w:vAlign w:val="bottom"/>
          </w:tcPr>
          <w:p w:rsidR="001A4D11" w:rsidRPr="00A87FED" w:rsidRDefault="001A4D11" w:rsidP="008808F3">
            <w:pPr>
              <w:jc w:val="center"/>
              <w:rPr>
                <w:rFonts w:ascii="Arial" w:hAnsi="Arial" w:cs="Arial"/>
                <w:sz w:val="22"/>
                <w:szCs w:val="22"/>
              </w:rPr>
            </w:pPr>
            <w:r w:rsidRPr="00A87FED">
              <w:rPr>
                <w:rFonts w:ascii="Arial" w:hAnsi="Arial" w:cs="Arial"/>
                <w:sz w:val="22"/>
                <w:szCs w:val="22"/>
              </w:rPr>
              <w:t>0,43</w:t>
            </w:r>
          </w:p>
        </w:tc>
        <w:tc>
          <w:tcPr>
            <w:tcW w:w="906" w:type="pct"/>
            <w:tcBorders>
              <w:top w:val="nil"/>
              <w:left w:val="nil"/>
              <w:bottom w:val="single" w:sz="4" w:space="0" w:color="auto"/>
              <w:right w:val="single" w:sz="4" w:space="0" w:color="auto"/>
            </w:tcBorders>
            <w:shd w:val="clear" w:color="auto" w:fill="auto"/>
            <w:noWrap/>
            <w:vAlign w:val="bottom"/>
          </w:tcPr>
          <w:p w:rsidR="001A4D11" w:rsidRPr="00A87FED" w:rsidRDefault="001A4D11" w:rsidP="008808F3">
            <w:pPr>
              <w:jc w:val="center"/>
              <w:rPr>
                <w:rFonts w:ascii="Arial" w:hAnsi="Arial" w:cs="Arial"/>
                <w:sz w:val="22"/>
                <w:szCs w:val="22"/>
              </w:rPr>
            </w:pPr>
            <w:r w:rsidRPr="00A87FED">
              <w:rPr>
                <w:rFonts w:ascii="Arial" w:hAnsi="Arial" w:cs="Arial"/>
                <w:sz w:val="22"/>
                <w:szCs w:val="22"/>
              </w:rPr>
              <w:t>13,28 %</w:t>
            </w:r>
          </w:p>
        </w:tc>
        <w:tc>
          <w:tcPr>
            <w:tcW w:w="960" w:type="pct"/>
            <w:tcBorders>
              <w:top w:val="nil"/>
              <w:left w:val="nil"/>
              <w:bottom w:val="single" w:sz="4" w:space="0" w:color="auto"/>
              <w:right w:val="single" w:sz="4" w:space="0" w:color="auto"/>
            </w:tcBorders>
            <w:shd w:val="clear" w:color="auto" w:fill="auto"/>
            <w:noWrap/>
            <w:vAlign w:val="bottom"/>
          </w:tcPr>
          <w:p w:rsidR="001A4D11" w:rsidRPr="00A87FED" w:rsidRDefault="001A4D11" w:rsidP="008808F3">
            <w:pPr>
              <w:jc w:val="center"/>
              <w:rPr>
                <w:rFonts w:ascii="Arial" w:hAnsi="Arial" w:cs="Arial"/>
                <w:sz w:val="22"/>
                <w:szCs w:val="22"/>
              </w:rPr>
            </w:pPr>
            <w:r w:rsidRPr="00A87FED">
              <w:rPr>
                <w:rFonts w:ascii="Arial" w:hAnsi="Arial" w:cs="Arial"/>
                <w:sz w:val="22"/>
                <w:szCs w:val="22"/>
              </w:rPr>
              <w:t>0,38</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3</w:t>
            </w:r>
          </w:p>
        </w:tc>
        <w:tc>
          <w:tcPr>
            <w:tcW w:w="174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bCs/>
                <w:sz w:val="22"/>
                <w:szCs w:val="22"/>
                <w:lang w:eastAsia="en-GB"/>
              </w:rPr>
            </w:pPr>
            <w:proofErr w:type="spellStart"/>
            <w:r w:rsidRPr="00A87FED">
              <w:rPr>
                <w:rFonts w:ascii="Arial" w:hAnsi="Arial" w:cs="Arial"/>
                <w:bCs/>
                <w:sz w:val="22"/>
                <w:szCs w:val="22"/>
                <w:lang w:eastAsia="en-GB"/>
              </w:rPr>
              <w:t>Koninklijke</w:t>
            </w:r>
            <w:proofErr w:type="spellEnd"/>
            <w:r w:rsidRPr="00A87FED">
              <w:rPr>
                <w:rFonts w:ascii="Arial" w:hAnsi="Arial" w:cs="Arial"/>
                <w:bCs/>
                <w:sz w:val="22"/>
                <w:szCs w:val="22"/>
                <w:lang w:eastAsia="en-GB"/>
              </w:rPr>
              <w:t xml:space="preserve"> KPN N.V.</w:t>
            </w:r>
          </w:p>
        </w:tc>
        <w:tc>
          <w:tcPr>
            <w:tcW w:w="981"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0,65</w:t>
            </w:r>
          </w:p>
        </w:tc>
        <w:tc>
          <w:tcPr>
            <w:tcW w:w="906"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38,55 %</w:t>
            </w:r>
          </w:p>
        </w:tc>
        <w:tc>
          <w:tcPr>
            <w:tcW w:w="96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0,44</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4</w:t>
            </w:r>
          </w:p>
        </w:tc>
        <w:tc>
          <w:tcPr>
            <w:tcW w:w="174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bCs/>
                <w:sz w:val="22"/>
                <w:szCs w:val="22"/>
                <w:lang w:eastAsia="en-GB"/>
              </w:rPr>
            </w:pPr>
            <w:r w:rsidRPr="00A87FED">
              <w:rPr>
                <w:rFonts w:ascii="Arial" w:hAnsi="Arial" w:cs="Arial"/>
                <w:bCs/>
                <w:sz w:val="22"/>
                <w:szCs w:val="22"/>
                <w:lang w:eastAsia="en-GB"/>
              </w:rPr>
              <w:t>NOS</w:t>
            </w:r>
          </w:p>
        </w:tc>
        <w:tc>
          <w:tcPr>
            <w:tcW w:w="981"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0,70</w:t>
            </w:r>
          </w:p>
        </w:tc>
        <w:tc>
          <w:tcPr>
            <w:tcW w:w="906"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 xml:space="preserve">35,39 % </w:t>
            </w:r>
          </w:p>
        </w:tc>
        <w:tc>
          <w:tcPr>
            <w:tcW w:w="96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0,49</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5</w:t>
            </w:r>
          </w:p>
        </w:tc>
        <w:tc>
          <w:tcPr>
            <w:tcW w:w="174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bCs/>
                <w:sz w:val="22"/>
                <w:szCs w:val="22"/>
                <w:lang w:eastAsia="en-GB"/>
              </w:rPr>
            </w:pPr>
            <w:r w:rsidRPr="00A87FED">
              <w:rPr>
                <w:rFonts w:ascii="Arial" w:hAnsi="Arial" w:cs="Arial"/>
                <w:bCs/>
                <w:sz w:val="22"/>
                <w:szCs w:val="22"/>
                <w:lang w:eastAsia="en-GB"/>
              </w:rPr>
              <w:t>Orange S.A.</w:t>
            </w:r>
          </w:p>
        </w:tc>
        <w:tc>
          <w:tcPr>
            <w:tcW w:w="981"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0,70</w:t>
            </w:r>
          </w:p>
        </w:tc>
        <w:tc>
          <w:tcPr>
            <w:tcW w:w="906"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50,58 %</w:t>
            </w:r>
          </w:p>
        </w:tc>
        <w:tc>
          <w:tcPr>
            <w:tcW w:w="96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0.40</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6</w:t>
            </w:r>
          </w:p>
        </w:tc>
        <w:tc>
          <w:tcPr>
            <w:tcW w:w="174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bCs/>
                <w:sz w:val="22"/>
                <w:szCs w:val="22"/>
                <w:lang w:eastAsia="en-GB"/>
              </w:rPr>
            </w:pPr>
            <w:proofErr w:type="spellStart"/>
            <w:r w:rsidRPr="00A87FED">
              <w:rPr>
                <w:rFonts w:ascii="Arial" w:hAnsi="Arial" w:cs="Arial"/>
                <w:bCs/>
                <w:sz w:val="22"/>
                <w:szCs w:val="22"/>
                <w:lang w:eastAsia="en-GB"/>
              </w:rPr>
              <w:t>Proximus</w:t>
            </w:r>
            <w:proofErr w:type="spellEnd"/>
            <w:r w:rsidRPr="00A87FED">
              <w:rPr>
                <w:rFonts w:ascii="Arial" w:hAnsi="Arial" w:cs="Arial"/>
                <w:bCs/>
                <w:sz w:val="22"/>
                <w:szCs w:val="22"/>
                <w:lang w:eastAsia="en-GB"/>
              </w:rPr>
              <w:t xml:space="preserve"> S.A.</w:t>
            </w:r>
          </w:p>
        </w:tc>
        <w:tc>
          <w:tcPr>
            <w:tcW w:w="981"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0,53</w:t>
            </w:r>
          </w:p>
        </w:tc>
        <w:tc>
          <w:tcPr>
            <w:tcW w:w="906"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26,66 %</w:t>
            </w:r>
          </w:p>
        </w:tc>
        <w:tc>
          <w:tcPr>
            <w:tcW w:w="96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0,41</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7</w:t>
            </w:r>
          </w:p>
        </w:tc>
        <w:tc>
          <w:tcPr>
            <w:tcW w:w="174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bCs/>
                <w:sz w:val="22"/>
                <w:szCs w:val="22"/>
                <w:lang w:eastAsia="en-GB"/>
              </w:rPr>
            </w:pPr>
            <w:r w:rsidRPr="00A87FED">
              <w:rPr>
                <w:rFonts w:ascii="Arial" w:hAnsi="Arial" w:cs="Arial"/>
                <w:bCs/>
                <w:sz w:val="22"/>
                <w:szCs w:val="22"/>
                <w:lang w:eastAsia="en-GB"/>
              </w:rPr>
              <w:t>Tele2 AB</w:t>
            </w:r>
          </w:p>
        </w:tc>
        <w:tc>
          <w:tcPr>
            <w:tcW w:w="981"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0,58</w:t>
            </w:r>
          </w:p>
        </w:tc>
        <w:tc>
          <w:tcPr>
            <w:tcW w:w="906"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22,41 %</w:t>
            </w:r>
          </w:p>
        </w:tc>
        <w:tc>
          <w:tcPr>
            <w:tcW w:w="96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0,47</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8</w:t>
            </w:r>
          </w:p>
        </w:tc>
        <w:tc>
          <w:tcPr>
            <w:tcW w:w="174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bCs/>
                <w:sz w:val="22"/>
                <w:szCs w:val="22"/>
                <w:lang w:eastAsia="en-GB"/>
              </w:rPr>
            </w:pPr>
            <w:r w:rsidRPr="00A87FED">
              <w:rPr>
                <w:rFonts w:ascii="Arial" w:hAnsi="Arial" w:cs="Arial"/>
                <w:bCs/>
                <w:sz w:val="22"/>
                <w:szCs w:val="22"/>
                <w:lang w:eastAsia="en-GB"/>
              </w:rPr>
              <w:t>Telecom Italia</w:t>
            </w:r>
          </w:p>
        </w:tc>
        <w:tc>
          <w:tcPr>
            <w:tcW w:w="981"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1,02</w:t>
            </w:r>
          </w:p>
        </w:tc>
        <w:tc>
          <w:tcPr>
            <w:tcW w:w="906"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70,52 %</w:t>
            </w:r>
          </w:p>
        </w:tc>
        <w:tc>
          <w:tcPr>
            <w:tcW w:w="96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0,38</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9</w:t>
            </w:r>
          </w:p>
        </w:tc>
        <w:tc>
          <w:tcPr>
            <w:tcW w:w="174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bCs/>
                <w:sz w:val="22"/>
                <w:szCs w:val="22"/>
                <w:lang w:eastAsia="en-GB"/>
              </w:rPr>
            </w:pPr>
            <w:r w:rsidRPr="00A87FED">
              <w:rPr>
                <w:rFonts w:ascii="Arial" w:hAnsi="Arial" w:cs="Arial"/>
                <w:bCs/>
                <w:sz w:val="22"/>
                <w:szCs w:val="22"/>
                <w:lang w:eastAsia="en-GB"/>
              </w:rPr>
              <w:t>Telefónica S.A.</w:t>
            </w:r>
          </w:p>
        </w:tc>
        <w:tc>
          <w:tcPr>
            <w:tcW w:w="981"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1,01</w:t>
            </w:r>
          </w:p>
        </w:tc>
        <w:tc>
          <w:tcPr>
            <w:tcW w:w="906"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58,01 %</w:t>
            </w:r>
          </w:p>
        </w:tc>
        <w:tc>
          <w:tcPr>
            <w:tcW w:w="96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0,49</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10</w:t>
            </w:r>
          </w:p>
        </w:tc>
        <w:tc>
          <w:tcPr>
            <w:tcW w:w="174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bCs/>
                <w:sz w:val="22"/>
                <w:szCs w:val="22"/>
                <w:lang w:eastAsia="en-GB"/>
              </w:rPr>
            </w:pPr>
            <w:r w:rsidRPr="00A87FED">
              <w:rPr>
                <w:rFonts w:ascii="Arial" w:hAnsi="Arial" w:cs="Arial"/>
                <w:bCs/>
                <w:sz w:val="22"/>
                <w:szCs w:val="22"/>
                <w:lang w:eastAsia="en-GB"/>
              </w:rPr>
              <w:t xml:space="preserve">Telecom </w:t>
            </w:r>
            <w:proofErr w:type="spellStart"/>
            <w:r w:rsidRPr="00A87FED">
              <w:rPr>
                <w:rFonts w:ascii="Arial" w:hAnsi="Arial" w:cs="Arial"/>
                <w:bCs/>
                <w:sz w:val="22"/>
                <w:szCs w:val="22"/>
                <w:lang w:eastAsia="en-GB"/>
              </w:rPr>
              <w:t>Austria</w:t>
            </w:r>
            <w:proofErr w:type="spellEnd"/>
            <w:r w:rsidRPr="00A87FED">
              <w:rPr>
                <w:rFonts w:ascii="Arial" w:hAnsi="Arial" w:cs="Arial"/>
                <w:bCs/>
                <w:sz w:val="22"/>
                <w:szCs w:val="22"/>
                <w:lang w:eastAsia="en-GB"/>
              </w:rPr>
              <w:t xml:space="preserve"> AG</w:t>
            </w:r>
          </w:p>
        </w:tc>
        <w:tc>
          <w:tcPr>
            <w:tcW w:w="981"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0,68</w:t>
            </w:r>
          </w:p>
        </w:tc>
        <w:tc>
          <w:tcPr>
            <w:tcW w:w="906"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34,35 %</w:t>
            </w:r>
          </w:p>
        </w:tc>
        <w:tc>
          <w:tcPr>
            <w:tcW w:w="96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0,48</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11</w:t>
            </w:r>
          </w:p>
        </w:tc>
        <w:tc>
          <w:tcPr>
            <w:tcW w:w="174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bCs/>
                <w:sz w:val="22"/>
                <w:szCs w:val="22"/>
                <w:lang w:eastAsia="en-GB"/>
              </w:rPr>
            </w:pPr>
            <w:proofErr w:type="spellStart"/>
            <w:r w:rsidRPr="00A87FED">
              <w:rPr>
                <w:rFonts w:ascii="Arial" w:hAnsi="Arial" w:cs="Arial"/>
                <w:bCs/>
                <w:sz w:val="22"/>
                <w:szCs w:val="22"/>
                <w:lang w:eastAsia="en-GB"/>
              </w:rPr>
              <w:t>Telenet</w:t>
            </w:r>
            <w:proofErr w:type="spellEnd"/>
            <w:r w:rsidRPr="00A87FED">
              <w:rPr>
                <w:rFonts w:ascii="Arial" w:hAnsi="Arial" w:cs="Arial"/>
                <w:bCs/>
                <w:sz w:val="22"/>
                <w:szCs w:val="22"/>
                <w:lang w:eastAsia="en-GB"/>
              </w:rPr>
              <w:t xml:space="preserve"> Group Holding N.V.</w:t>
            </w:r>
          </w:p>
        </w:tc>
        <w:tc>
          <w:tcPr>
            <w:tcW w:w="981"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0,62</w:t>
            </w:r>
          </w:p>
        </w:tc>
        <w:tc>
          <w:tcPr>
            <w:tcW w:w="906"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51,17 %</w:t>
            </w:r>
          </w:p>
        </w:tc>
        <w:tc>
          <w:tcPr>
            <w:tcW w:w="96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0,35</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12</w:t>
            </w:r>
          </w:p>
        </w:tc>
        <w:tc>
          <w:tcPr>
            <w:tcW w:w="1740" w:type="pct"/>
            <w:tcBorders>
              <w:top w:val="nil"/>
              <w:left w:val="nil"/>
              <w:bottom w:val="single" w:sz="4" w:space="0" w:color="auto"/>
              <w:right w:val="single" w:sz="4" w:space="0" w:color="auto"/>
            </w:tcBorders>
            <w:shd w:val="clear" w:color="auto" w:fill="auto"/>
            <w:noWrap/>
            <w:vAlign w:val="bottom"/>
          </w:tcPr>
          <w:p w:rsidR="001A4D11" w:rsidRPr="00A87FED" w:rsidRDefault="001A4D11" w:rsidP="008808F3">
            <w:pPr>
              <w:rPr>
                <w:rFonts w:ascii="Arial" w:hAnsi="Arial" w:cs="Arial"/>
                <w:bCs/>
                <w:sz w:val="22"/>
                <w:szCs w:val="22"/>
                <w:lang w:eastAsia="en-GB"/>
              </w:rPr>
            </w:pPr>
            <w:proofErr w:type="spellStart"/>
            <w:r w:rsidRPr="00A87FED">
              <w:rPr>
                <w:rFonts w:ascii="Arial" w:hAnsi="Arial" w:cs="Arial"/>
                <w:bCs/>
                <w:sz w:val="22"/>
                <w:szCs w:val="22"/>
                <w:lang w:eastAsia="en-GB"/>
              </w:rPr>
              <w:t>Telenor</w:t>
            </w:r>
            <w:proofErr w:type="spellEnd"/>
          </w:p>
        </w:tc>
        <w:tc>
          <w:tcPr>
            <w:tcW w:w="981" w:type="pct"/>
            <w:tcBorders>
              <w:top w:val="nil"/>
              <w:left w:val="nil"/>
              <w:bottom w:val="single" w:sz="4" w:space="0" w:color="auto"/>
              <w:right w:val="single" w:sz="4" w:space="0" w:color="auto"/>
            </w:tcBorders>
            <w:shd w:val="clear" w:color="auto" w:fill="auto"/>
            <w:noWrap/>
            <w:vAlign w:val="bottom"/>
          </w:tcPr>
          <w:p w:rsidR="001A4D11" w:rsidRPr="00A87FED" w:rsidRDefault="001A4D11" w:rsidP="008808F3">
            <w:pPr>
              <w:jc w:val="center"/>
              <w:rPr>
                <w:rFonts w:ascii="Arial" w:hAnsi="Arial" w:cs="Arial"/>
                <w:sz w:val="22"/>
                <w:szCs w:val="22"/>
              </w:rPr>
            </w:pPr>
            <w:r w:rsidRPr="00A87FED">
              <w:rPr>
                <w:rFonts w:ascii="Arial" w:hAnsi="Arial" w:cs="Arial"/>
                <w:sz w:val="22"/>
                <w:szCs w:val="22"/>
              </w:rPr>
              <w:t>0,33</w:t>
            </w:r>
          </w:p>
        </w:tc>
        <w:tc>
          <w:tcPr>
            <w:tcW w:w="906" w:type="pct"/>
            <w:tcBorders>
              <w:top w:val="nil"/>
              <w:left w:val="nil"/>
              <w:bottom w:val="single" w:sz="4" w:space="0" w:color="auto"/>
              <w:right w:val="single" w:sz="4" w:space="0" w:color="auto"/>
            </w:tcBorders>
            <w:shd w:val="clear" w:color="auto" w:fill="auto"/>
            <w:noWrap/>
            <w:vAlign w:val="bottom"/>
          </w:tcPr>
          <w:p w:rsidR="001A4D11" w:rsidRPr="00A87FED" w:rsidRDefault="001A4D11" w:rsidP="008808F3">
            <w:pPr>
              <w:jc w:val="center"/>
              <w:rPr>
                <w:rFonts w:ascii="Arial" w:hAnsi="Arial" w:cs="Arial"/>
                <w:sz w:val="22"/>
                <w:szCs w:val="22"/>
              </w:rPr>
            </w:pPr>
            <w:r w:rsidRPr="00A87FED">
              <w:rPr>
                <w:rFonts w:ascii="Arial" w:hAnsi="Arial" w:cs="Arial"/>
                <w:sz w:val="22"/>
                <w:szCs w:val="22"/>
              </w:rPr>
              <w:t>29,71 %</w:t>
            </w:r>
          </w:p>
        </w:tc>
        <w:tc>
          <w:tcPr>
            <w:tcW w:w="960" w:type="pct"/>
            <w:tcBorders>
              <w:top w:val="nil"/>
              <w:left w:val="nil"/>
              <w:bottom w:val="single" w:sz="4" w:space="0" w:color="auto"/>
              <w:right w:val="single" w:sz="4" w:space="0" w:color="auto"/>
            </w:tcBorders>
            <w:shd w:val="clear" w:color="auto" w:fill="auto"/>
            <w:noWrap/>
            <w:vAlign w:val="bottom"/>
          </w:tcPr>
          <w:p w:rsidR="001A4D11" w:rsidRPr="00A87FED" w:rsidRDefault="001A4D11" w:rsidP="008808F3">
            <w:pPr>
              <w:jc w:val="center"/>
              <w:rPr>
                <w:rFonts w:ascii="Arial" w:hAnsi="Arial" w:cs="Arial"/>
                <w:sz w:val="22"/>
                <w:szCs w:val="22"/>
              </w:rPr>
            </w:pPr>
            <w:r w:rsidRPr="00A87FED">
              <w:rPr>
                <w:rFonts w:ascii="Arial" w:hAnsi="Arial" w:cs="Arial"/>
                <w:sz w:val="22"/>
                <w:szCs w:val="22"/>
              </w:rPr>
              <w:t>0,26</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13</w:t>
            </w:r>
          </w:p>
        </w:tc>
        <w:tc>
          <w:tcPr>
            <w:tcW w:w="174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bCs/>
                <w:sz w:val="22"/>
                <w:szCs w:val="22"/>
                <w:lang w:eastAsia="en-GB"/>
              </w:rPr>
            </w:pPr>
            <w:r w:rsidRPr="00A87FED">
              <w:rPr>
                <w:rFonts w:ascii="Arial" w:hAnsi="Arial" w:cs="Arial"/>
                <w:bCs/>
                <w:sz w:val="22"/>
                <w:szCs w:val="22"/>
                <w:lang w:eastAsia="en-GB"/>
              </w:rPr>
              <w:t xml:space="preserve">Telia </w:t>
            </w:r>
            <w:proofErr w:type="spellStart"/>
            <w:r w:rsidRPr="00A87FED">
              <w:rPr>
                <w:rFonts w:ascii="Arial" w:hAnsi="Arial" w:cs="Arial"/>
                <w:bCs/>
                <w:sz w:val="22"/>
                <w:szCs w:val="22"/>
                <w:lang w:eastAsia="en-GB"/>
              </w:rPr>
              <w:t>Company</w:t>
            </w:r>
            <w:proofErr w:type="spellEnd"/>
            <w:r w:rsidRPr="00A87FED">
              <w:rPr>
                <w:rFonts w:ascii="Arial" w:hAnsi="Arial" w:cs="Arial"/>
                <w:bCs/>
                <w:sz w:val="22"/>
                <w:szCs w:val="22"/>
                <w:lang w:eastAsia="en-GB"/>
              </w:rPr>
              <w:t xml:space="preserve"> AB</w:t>
            </w:r>
          </w:p>
        </w:tc>
        <w:tc>
          <w:tcPr>
            <w:tcW w:w="981"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0,62</w:t>
            </w:r>
          </w:p>
        </w:tc>
        <w:tc>
          <w:tcPr>
            <w:tcW w:w="906"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36,27 %</w:t>
            </w:r>
          </w:p>
        </w:tc>
        <w:tc>
          <w:tcPr>
            <w:tcW w:w="96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0,43</w:t>
            </w:r>
          </w:p>
        </w:tc>
      </w:tr>
      <w:tr w:rsidR="001A4D11" w:rsidRPr="00B708FD" w:rsidTr="008808F3">
        <w:trPr>
          <w:trHeight w:val="300"/>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sz w:val="22"/>
                <w:szCs w:val="22"/>
                <w:lang w:eastAsia="en-GB"/>
              </w:rPr>
            </w:pPr>
            <w:r w:rsidRPr="00A87FED">
              <w:rPr>
                <w:rFonts w:ascii="Arial" w:hAnsi="Arial" w:cs="Arial"/>
                <w:sz w:val="22"/>
                <w:szCs w:val="22"/>
                <w:lang w:eastAsia="en-GB"/>
              </w:rPr>
              <w:t>14</w:t>
            </w:r>
          </w:p>
        </w:tc>
        <w:tc>
          <w:tcPr>
            <w:tcW w:w="174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rPr>
                <w:rFonts w:ascii="Arial" w:hAnsi="Arial" w:cs="Arial"/>
                <w:bCs/>
                <w:sz w:val="22"/>
                <w:szCs w:val="22"/>
                <w:lang w:eastAsia="en-GB"/>
              </w:rPr>
            </w:pPr>
            <w:r w:rsidRPr="00A87FED">
              <w:rPr>
                <w:rFonts w:ascii="Arial" w:hAnsi="Arial" w:cs="Arial"/>
                <w:bCs/>
                <w:sz w:val="22"/>
                <w:szCs w:val="22"/>
                <w:lang w:eastAsia="en-GB"/>
              </w:rPr>
              <w:t xml:space="preserve">Vodafone Group </w:t>
            </w:r>
            <w:proofErr w:type="spellStart"/>
            <w:r w:rsidRPr="00A87FED">
              <w:rPr>
                <w:rFonts w:ascii="Arial" w:hAnsi="Arial" w:cs="Arial"/>
                <w:bCs/>
                <w:sz w:val="22"/>
                <w:szCs w:val="22"/>
                <w:lang w:eastAsia="en-GB"/>
              </w:rPr>
              <w:t>plc</w:t>
            </w:r>
            <w:proofErr w:type="spellEnd"/>
          </w:p>
        </w:tc>
        <w:tc>
          <w:tcPr>
            <w:tcW w:w="981"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0,90</w:t>
            </w:r>
          </w:p>
        </w:tc>
        <w:tc>
          <w:tcPr>
            <w:tcW w:w="906"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50,06 %</w:t>
            </w:r>
          </w:p>
        </w:tc>
        <w:tc>
          <w:tcPr>
            <w:tcW w:w="960" w:type="pct"/>
            <w:tcBorders>
              <w:top w:val="nil"/>
              <w:left w:val="nil"/>
              <w:bottom w:val="single" w:sz="4" w:space="0" w:color="auto"/>
              <w:right w:val="single" w:sz="4" w:space="0" w:color="auto"/>
            </w:tcBorders>
            <w:shd w:val="clear" w:color="auto" w:fill="auto"/>
            <w:noWrap/>
            <w:vAlign w:val="bottom"/>
            <w:hideMark/>
          </w:tcPr>
          <w:p w:rsidR="001A4D11" w:rsidRPr="00A87FED" w:rsidRDefault="001A4D11" w:rsidP="008808F3">
            <w:pPr>
              <w:jc w:val="center"/>
              <w:rPr>
                <w:rFonts w:ascii="Arial" w:hAnsi="Arial" w:cs="Arial"/>
                <w:sz w:val="22"/>
                <w:szCs w:val="22"/>
                <w:lang w:eastAsia="en-GB"/>
              </w:rPr>
            </w:pPr>
            <w:r w:rsidRPr="00A87FED">
              <w:rPr>
                <w:rFonts w:ascii="Arial" w:hAnsi="Arial" w:cs="Arial"/>
                <w:sz w:val="22"/>
                <w:szCs w:val="22"/>
              </w:rPr>
              <w:t>0,50</w:t>
            </w:r>
          </w:p>
        </w:tc>
      </w:tr>
    </w:tbl>
    <w:p w:rsidR="001A4D11" w:rsidRPr="00A87FED" w:rsidRDefault="001A4D11" w:rsidP="001A4D11">
      <w:pPr>
        <w:spacing w:before="120" w:after="240"/>
        <w:rPr>
          <w:rFonts w:ascii="Arial" w:hAnsi="Arial" w:cs="Arial"/>
          <w:sz w:val="22"/>
          <w:szCs w:val="22"/>
        </w:rPr>
      </w:pPr>
      <w:r w:rsidRPr="00A87FED">
        <w:rPr>
          <w:rFonts w:ascii="Arial" w:hAnsi="Arial" w:cs="Arial"/>
          <w:sz w:val="22"/>
          <w:szCs w:val="22"/>
        </w:rPr>
        <w:t xml:space="preserve">Zdroj: WACC </w:t>
      </w:r>
      <w:proofErr w:type="spellStart"/>
      <w:r w:rsidRPr="00A87FED">
        <w:rPr>
          <w:rFonts w:ascii="Arial" w:hAnsi="Arial" w:cs="Arial"/>
          <w:sz w:val="22"/>
          <w:szCs w:val="22"/>
        </w:rPr>
        <w:t>parameters</w:t>
      </w:r>
      <w:proofErr w:type="spellEnd"/>
      <w:r w:rsidRPr="00A87FED">
        <w:rPr>
          <w:rFonts w:ascii="Arial" w:hAnsi="Arial" w:cs="Arial"/>
          <w:sz w:val="22"/>
          <w:szCs w:val="22"/>
        </w:rPr>
        <w:t xml:space="preserve"> Report 2022, </w:t>
      </w:r>
      <w:proofErr w:type="spellStart"/>
      <w:r w:rsidRPr="00A87FED">
        <w:rPr>
          <w:rFonts w:ascii="Arial" w:hAnsi="Arial" w:cs="Arial"/>
          <w:sz w:val="22"/>
          <w:szCs w:val="22"/>
        </w:rPr>
        <w:t>BoR</w:t>
      </w:r>
      <w:proofErr w:type="spellEnd"/>
      <w:r w:rsidRPr="00A87FED">
        <w:rPr>
          <w:rFonts w:ascii="Arial" w:hAnsi="Arial" w:cs="Arial"/>
          <w:sz w:val="22"/>
          <w:szCs w:val="22"/>
        </w:rPr>
        <w:t xml:space="preserve"> (22) 70</w:t>
      </w:r>
    </w:p>
    <w:p w:rsidR="001A4D11" w:rsidRPr="00A87FED" w:rsidRDefault="001A4D11" w:rsidP="001A4D11">
      <w:pPr>
        <w:spacing w:after="240"/>
        <w:rPr>
          <w:rFonts w:ascii="Arial" w:hAnsi="Arial" w:cs="Arial"/>
          <w:sz w:val="22"/>
          <w:szCs w:val="22"/>
        </w:rPr>
      </w:pPr>
      <w:r>
        <w:rPr>
          <w:rFonts w:cs="TimesNewRomanPSMT"/>
          <w:szCs w:val="22"/>
        </w:rPr>
        <w:lastRenderedPageBreak/>
        <w:tab/>
      </w:r>
      <w:r w:rsidRPr="00A87FED">
        <w:rPr>
          <w:rFonts w:ascii="Arial" w:hAnsi="Arial" w:cs="Arial"/>
          <w:sz w:val="22"/>
          <w:szCs w:val="22"/>
        </w:rPr>
        <w:t xml:space="preserve">Betu dluhu stanovil BEREC ve výši 0,1 na základě doporučení Komise ve Sdělení. </w:t>
      </w:r>
    </w:p>
    <w:p w:rsidR="001A4D11" w:rsidRPr="00A87FED" w:rsidRDefault="001A4D11" w:rsidP="008808F3">
      <w:pPr>
        <w:spacing w:after="240"/>
        <w:jc w:val="both"/>
        <w:rPr>
          <w:rFonts w:ascii="Arial" w:hAnsi="Arial" w:cs="Arial"/>
          <w:sz w:val="22"/>
          <w:szCs w:val="22"/>
        </w:rPr>
      </w:pPr>
      <w:r w:rsidRPr="00A87FED">
        <w:rPr>
          <w:rFonts w:ascii="Arial" w:hAnsi="Arial" w:cs="Arial"/>
          <w:sz w:val="22"/>
          <w:szCs w:val="22"/>
        </w:rPr>
        <w:tab/>
        <w:t xml:space="preserve">Pro další výpočet Úřad stanovil hodnotu </w:t>
      </w:r>
      <w:r w:rsidRPr="00A87FED">
        <w:rPr>
          <w:rFonts w:ascii="Arial" w:hAnsi="Arial" w:cs="Arial"/>
          <w:b/>
          <w:bCs/>
          <w:sz w:val="22"/>
          <w:szCs w:val="22"/>
        </w:rPr>
        <w:t>nezadlužené (asset) beta</w:t>
      </w:r>
      <w:r w:rsidRPr="00A87FED">
        <w:rPr>
          <w:rFonts w:ascii="Arial" w:hAnsi="Arial" w:cs="Arial"/>
          <w:sz w:val="22"/>
          <w:szCs w:val="22"/>
        </w:rPr>
        <w:t xml:space="preserve"> jako aritmetický průměr hodnot „nezadlužené (asset) beta“ z tabulky č. 2 za celou peer group ve výši </w:t>
      </w:r>
      <w:r w:rsidRPr="00A87FED">
        <w:rPr>
          <w:rFonts w:ascii="Arial" w:hAnsi="Arial" w:cs="Arial"/>
          <w:b/>
          <w:bCs/>
          <w:sz w:val="22"/>
          <w:szCs w:val="22"/>
        </w:rPr>
        <w:t>0,41</w:t>
      </w:r>
      <w:r w:rsidRPr="00A87FED">
        <w:rPr>
          <w:rFonts w:ascii="Arial" w:hAnsi="Arial" w:cs="Arial"/>
          <w:sz w:val="22"/>
          <w:szCs w:val="22"/>
        </w:rPr>
        <w:t xml:space="preserve"> a </w:t>
      </w:r>
      <w:r w:rsidRPr="00A87FED">
        <w:rPr>
          <w:rFonts w:ascii="Arial" w:hAnsi="Arial" w:cs="Arial"/>
          <w:b/>
          <w:bCs/>
          <w:sz w:val="22"/>
          <w:szCs w:val="22"/>
        </w:rPr>
        <w:t xml:space="preserve">zadluženost </w:t>
      </w:r>
      <w:r w:rsidRPr="00A87FED">
        <w:rPr>
          <w:rFonts w:ascii="Arial" w:hAnsi="Arial" w:cs="Arial"/>
          <w:sz w:val="22"/>
          <w:szCs w:val="22"/>
        </w:rPr>
        <w:t xml:space="preserve">jako aritmetický průměr hodnot „zadluženost“ z tabulky č. 2 za celou peer group ve výši </w:t>
      </w:r>
      <w:r w:rsidRPr="00A87FED">
        <w:rPr>
          <w:rFonts w:ascii="Arial" w:hAnsi="Arial" w:cs="Arial"/>
          <w:b/>
          <w:bCs/>
          <w:sz w:val="22"/>
          <w:szCs w:val="22"/>
        </w:rPr>
        <w:t>42,42 %.</w:t>
      </w:r>
      <w:r w:rsidRPr="00A87FED">
        <w:rPr>
          <w:rFonts w:ascii="Arial" w:hAnsi="Arial" w:cs="Arial"/>
          <w:sz w:val="22"/>
          <w:szCs w:val="22"/>
        </w:rPr>
        <w:t xml:space="preserve"> Na základě těchto průměrných hodnot byla podle vzorce výše stanovena hodnota průměrné zadlužené (</w:t>
      </w:r>
      <w:r w:rsidRPr="00A87FED">
        <w:rPr>
          <w:rFonts w:ascii="Arial" w:hAnsi="Arial" w:cs="Arial"/>
          <w:b/>
          <w:bCs/>
          <w:sz w:val="22"/>
          <w:szCs w:val="22"/>
        </w:rPr>
        <w:t>equity) beta</w:t>
      </w:r>
      <w:r w:rsidRPr="00A87FED">
        <w:rPr>
          <w:rFonts w:ascii="Arial" w:hAnsi="Arial" w:cs="Arial"/>
          <w:sz w:val="22"/>
          <w:szCs w:val="22"/>
        </w:rPr>
        <w:t xml:space="preserve"> ve výši </w:t>
      </w:r>
      <w:r w:rsidRPr="00A87FED">
        <w:rPr>
          <w:rFonts w:ascii="Arial" w:hAnsi="Arial" w:cs="Arial"/>
          <w:b/>
          <w:bCs/>
          <w:sz w:val="22"/>
          <w:szCs w:val="22"/>
        </w:rPr>
        <w:t>0,64</w:t>
      </w:r>
      <w:r w:rsidRPr="00A87FED">
        <w:rPr>
          <w:rFonts w:ascii="Arial" w:hAnsi="Arial" w:cs="Arial"/>
          <w:sz w:val="22"/>
          <w:szCs w:val="22"/>
        </w:rPr>
        <w:t xml:space="preserve">. </w:t>
      </w:r>
    </w:p>
    <w:p w:rsidR="001A4D11" w:rsidRPr="00A87FED" w:rsidRDefault="001A4D11" w:rsidP="001A4D11">
      <w:pPr>
        <w:spacing w:after="240"/>
        <w:ind w:firstLine="708"/>
        <w:rPr>
          <w:rFonts w:ascii="Arial" w:hAnsi="Arial" w:cs="Arial"/>
          <w:sz w:val="22"/>
          <w:szCs w:val="22"/>
        </w:rPr>
      </w:pPr>
      <w:r w:rsidRPr="00A87FED">
        <w:rPr>
          <w:rFonts w:ascii="Arial" w:hAnsi="Arial" w:cs="Arial"/>
          <w:sz w:val="22"/>
          <w:szCs w:val="22"/>
        </w:rPr>
        <w:t xml:space="preserve">Náklady cizího kapitálu byly stanoveny jako součet bezrizikové výnosové míry a dluhové prémie. </w:t>
      </w:r>
    </w:p>
    <w:p w:rsidR="001A4D11" w:rsidRPr="00A87FED" w:rsidRDefault="001A4D11" w:rsidP="008808F3">
      <w:pPr>
        <w:spacing w:after="240"/>
        <w:ind w:firstLine="708"/>
        <w:jc w:val="both"/>
        <w:rPr>
          <w:rFonts w:ascii="Arial" w:hAnsi="Arial" w:cs="Arial"/>
          <w:sz w:val="22"/>
          <w:szCs w:val="22"/>
        </w:rPr>
      </w:pPr>
      <w:r w:rsidRPr="00A87FED">
        <w:rPr>
          <w:rFonts w:ascii="Arial" w:hAnsi="Arial" w:cs="Arial"/>
          <w:sz w:val="22"/>
          <w:szCs w:val="22"/>
        </w:rPr>
        <w:t xml:space="preserve">Dluhovou prémii BEREC ve Zprávě stanovil na základě průměrného výnosu do splatnosti korporátní dluhopisů (YTM) emitovaných společnostmi v peer group s obdobím splatnosti mezi duben 2028–březen 2036, které jsou obchodovány na sekundárním trhu cenných papírů. Byla použita data za období duben 2017–březen 2022. Od průměrného výnosu do splatnosti každé společnosti v peer group byla odečtena výnosová míra státních dluhopisů za shodné období. </w:t>
      </w:r>
    </w:p>
    <w:p w:rsidR="001A4D11" w:rsidRPr="00EA3806" w:rsidRDefault="001A4D11" w:rsidP="001A4D11">
      <w:pPr>
        <w:pStyle w:val="Titulek"/>
        <w:rPr>
          <w:lang w:val="cs-CZ"/>
        </w:rPr>
      </w:pPr>
      <w:r w:rsidRPr="00EA3806">
        <w:rPr>
          <w:lang w:val="cs-CZ"/>
        </w:rPr>
        <w:t>Tabulka č. 3: Dluhová prémie</w:t>
      </w:r>
    </w:p>
    <w:tbl>
      <w:tblPr>
        <w:tblW w:w="8931" w:type="dxa"/>
        <w:tblInd w:w="-10" w:type="dxa"/>
        <w:tblCellMar>
          <w:left w:w="70" w:type="dxa"/>
          <w:right w:w="70" w:type="dxa"/>
        </w:tblCellMar>
        <w:tblLook w:val="04A0" w:firstRow="1" w:lastRow="0" w:firstColumn="1" w:lastColumn="0" w:noHBand="0" w:noVBand="1"/>
      </w:tblPr>
      <w:tblGrid>
        <w:gridCol w:w="4111"/>
        <w:gridCol w:w="1843"/>
        <w:gridCol w:w="1417"/>
        <w:gridCol w:w="1560"/>
      </w:tblGrid>
      <w:tr w:rsidR="001A4D11" w:rsidRPr="00FB6D60" w:rsidTr="008808F3">
        <w:trPr>
          <w:trHeight w:val="309"/>
        </w:trPr>
        <w:tc>
          <w:tcPr>
            <w:tcW w:w="4111"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1A4D11" w:rsidRPr="003D590C" w:rsidRDefault="001A4D11" w:rsidP="008808F3">
            <w:pPr>
              <w:rPr>
                <w:rFonts w:ascii="Arial" w:hAnsi="Arial" w:cs="Arial"/>
                <w:color w:val="000000"/>
                <w:sz w:val="22"/>
                <w:szCs w:val="22"/>
                <w:lang w:val="es-ES" w:eastAsia="es-ES"/>
              </w:rPr>
            </w:pPr>
            <w:r w:rsidRPr="003D590C">
              <w:rPr>
                <w:rFonts w:ascii="Arial" w:hAnsi="Arial" w:cs="Arial"/>
                <w:color w:val="000000"/>
                <w:sz w:val="22"/>
                <w:szCs w:val="22"/>
                <w:lang w:eastAsia="es-ES"/>
              </w:rPr>
              <w:t> Společnost</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A4D11" w:rsidRPr="003D590C" w:rsidRDefault="001A4D11" w:rsidP="008808F3">
            <w:pPr>
              <w:jc w:val="center"/>
              <w:rPr>
                <w:rFonts w:ascii="Arial" w:hAnsi="Arial" w:cs="Arial"/>
                <w:b/>
                <w:bCs/>
                <w:color w:val="000000"/>
                <w:sz w:val="22"/>
                <w:szCs w:val="22"/>
                <w:lang w:val="es-ES" w:eastAsia="es-ES"/>
              </w:rPr>
            </w:pPr>
            <w:proofErr w:type="spellStart"/>
            <w:r w:rsidRPr="003D590C">
              <w:rPr>
                <w:rFonts w:ascii="Arial" w:hAnsi="Arial" w:cs="Arial"/>
                <w:b/>
                <w:bCs/>
                <w:color w:val="000000"/>
                <w:sz w:val="22"/>
                <w:szCs w:val="22"/>
                <w:lang w:val="es-ES" w:eastAsia="es-ES"/>
              </w:rPr>
              <w:t>Dluhová</w:t>
            </w:r>
            <w:proofErr w:type="spellEnd"/>
            <w:r w:rsidRPr="003D590C">
              <w:rPr>
                <w:rFonts w:ascii="Arial" w:hAnsi="Arial" w:cs="Arial"/>
                <w:b/>
                <w:bCs/>
                <w:color w:val="000000"/>
                <w:sz w:val="22"/>
                <w:szCs w:val="22"/>
                <w:lang w:val="es-ES" w:eastAsia="es-ES"/>
              </w:rPr>
              <w:t xml:space="preserve"> </w:t>
            </w:r>
            <w:proofErr w:type="spellStart"/>
            <w:r w:rsidRPr="003D590C">
              <w:rPr>
                <w:rFonts w:ascii="Arial" w:hAnsi="Arial" w:cs="Arial"/>
                <w:b/>
                <w:bCs/>
                <w:color w:val="000000"/>
                <w:sz w:val="22"/>
                <w:szCs w:val="22"/>
                <w:lang w:val="es-ES" w:eastAsia="es-ES"/>
              </w:rPr>
              <w:t>prémie</w:t>
            </w:r>
            <w:proofErr w:type="spellEnd"/>
            <w:r w:rsidRPr="003D590C">
              <w:rPr>
                <w:rFonts w:ascii="Arial" w:hAnsi="Arial" w:cs="Arial"/>
                <w:b/>
                <w:bCs/>
                <w:color w:val="000000"/>
                <w:sz w:val="22"/>
                <w:szCs w:val="22"/>
                <w:lang w:val="es-ES" w:eastAsia="es-ES"/>
              </w:rPr>
              <w:t xml:space="preserve"> (v </w:t>
            </w:r>
            <w:proofErr w:type="spellStart"/>
            <w:r w:rsidRPr="003D590C">
              <w:rPr>
                <w:rFonts w:ascii="Arial" w:hAnsi="Arial" w:cs="Arial"/>
                <w:b/>
                <w:bCs/>
                <w:color w:val="000000"/>
                <w:sz w:val="22"/>
                <w:szCs w:val="22"/>
                <w:lang w:val="es-ES" w:eastAsia="es-ES"/>
              </w:rPr>
              <w:t>procentních</w:t>
            </w:r>
            <w:proofErr w:type="spellEnd"/>
            <w:r w:rsidRPr="003D590C">
              <w:rPr>
                <w:rFonts w:ascii="Arial" w:hAnsi="Arial" w:cs="Arial"/>
                <w:b/>
                <w:bCs/>
                <w:color w:val="000000"/>
                <w:sz w:val="22"/>
                <w:szCs w:val="22"/>
                <w:lang w:val="es-ES" w:eastAsia="es-ES"/>
              </w:rPr>
              <w:t xml:space="preserve"> </w:t>
            </w:r>
            <w:proofErr w:type="spellStart"/>
            <w:r w:rsidRPr="003D590C">
              <w:rPr>
                <w:rFonts w:ascii="Arial" w:hAnsi="Arial" w:cs="Arial"/>
                <w:b/>
                <w:bCs/>
                <w:color w:val="000000"/>
                <w:sz w:val="22"/>
                <w:szCs w:val="22"/>
                <w:lang w:val="es-ES" w:eastAsia="es-ES"/>
              </w:rPr>
              <w:t>bodech</w:t>
            </w:r>
            <w:proofErr w:type="spellEnd"/>
            <w:r w:rsidRPr="003D590C">
              <w:rPr>
                <w:rFonts w:ascii="Arial" w:hAnsi="Arial" w:cs="Arial"/>
                <w:b/>
                <w:bCs/>
                <w:color w:val="000000"/>
                <w:sz w:val="22"/>
                <w:szCs w:val="22"/>
                <w:lang w:val="es-ES" w:eastAsia="es-ES"/>
              </w:rPr>
              <w:t>)</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A4D11" w:rsidRPr="003D590C" w:rsidRDefault="001A4D11" w:rsidP="008808F3">
            <w:pPr>
              <w:jc w:val="center"/>
              <w:rPr>
                <w:rFonts w:ascii="Arial" w:hAnsi="Arial" w:cs="Arial"/>
                <w:b/>
                <w:bCs/>
                <w:color w:val="000000"/>
                <w:sz w:val="22"/>
                <w:szCs w:val="22"/>
                <w:lang w:val="es-ES" w:eastAsia="es-ES"/>
              </w:rPr>
            </w:pPr>
            <w:r w:rsidRPr="003D590C">
              <w:rPr>
                <w:rFonts w:ascii="Arial" w:hAnsi="Arial" w:cs="Arial"/>
                <w:b/>
                <w:bCs/>
                <w:color w:val="000000"/>
                <w:sz w:val="22"/>
                <w:szCs w:val="22"/>
                <w:lang w:val="sv-SE" w:eastAsia="es-ES"/>
              </w:rPr>
              <w:t>Vnitrostátní bezriková výnosová míra (v %)</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A4D11" w:rsidRPr="003D590C" w:rsidRDefault="001A4D11" w:rsidP="008808F3">
            <w:pPr>
              <w:jc w:val="center"/>
              <w:rPr>
                <w:rFonts w:ascii="Arial" w:hAnsi="Arial" w:cs="Arial"/>
                <w:b/>
                <w:bCs/>
                <w:color w:val="000000"/>
                <w:sz w:val="22"/>
                <w:szCs w:val="22"/>
                <w:lang w:val="es-ES" w:eastAsia="es-ES"/>
              </w:rPr>
            </w:pPr>
            <w:r w:rsidRPr="003D590C">
              <w:rPr>
                <w:rFonts w:ascii="Arial" w:hAnsi="Arial" w:cs="Arial"/>
                <w:b/>
                <w:bCs/>
                <w:color w:val="000000"/>
                <w:sz w:val="22"/>
                <w:szCs w:val="22"/>
                <w:lang w:val="sv-SE" w:eastAsia="es-ES"/>
              </w:rPr>
              <w:t>Náklady na cizí kapitál (v %)</w:t>
            </w:r>
          </w:p>
        </w:tc>
      </w:tr>
      <w:tr w:rsidR="001A4D11" w:rsidRPr="00FB6D60" w:rsidTr="008808F3">
        <w:trPr>
          <w:trHeight w:val="309"/>
        </w:trPr>
        <w:tc>
          <w:tcPr>
            <w:tcW w:w="4111" w:type="dxa"/>
            <w:vMerge/>
            <w:tcBorders>
              <w:top w:val="single" w:sz="8" w:space="0" w:color="auto"/>
              <w:left w:val="single" w:sz="8" w:space="0" w:color="auto"/>
              <w:bottom w:val="single" w:sz="8" w:space="0" w:color="000000"/>
              <w:right w:val="single" w:sz="8" w:space="0" w:color="auto"/>
            </w:tcBorders>
            <w:vAlign w:val="center"/>
            <w:hideMark/>
          </w:tcPr>
          <w:p w:rsidR="001A4D11" w:rsidRPr="003D590C" w:rsidRDefault="001A4D11" w:rsidP="008808F3">
            <w:pPr>
              <w:rPr>
                <w:rFonts w:ascii="Arial" w:hAnsi="Arial" w:cs="Arial"/>
                <w:color w:val="000000"/>
                <w:sz w:val="22"/>
                <w:szCs w:val="22"/>
                <w:lang w:val="es-ES" w:eastAsia="es-ES"/>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1A4D11" w:rsidRPr="003D590C" w:rsidRDefault="001A4D11" w:rsidP="008808F3">
            <w:pPr>
              <w:rPr>
                <w:rFonts w:ascii="Arial" w:hAnsi="Arial" w:cs="Arial"/>
                <w:b/>
                <w:bCs/>
                <w:color w:val="000000"/>
                <w:sz w:val="22"/>
                <w:szCs w:val="22"/>
                <w:lang w:val="es-ES" w:eastAsia="es-E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1A4D11" w:rsidRPr="003D590C" w:rsidRDefault="001A4D11" w:rsidP="008808F3">
            <w:pPr>
              <w:rPr>
                <w:rFonts w:ascii="Arial" w:hAnsi="Arial" w:cs="Arial"/>
                <w:b/>
                <w:bCs/>
                <w:color w:val="000000"/>
                <w:sz w:val="22"/>
                <w:szCs w:val="22"/>
                <w:lang w:val="es-ES" w:eastAsia="es-ES"/>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1A4D11" w:rsidRPr="003D590C" w:rsidRDefault="001A4D11" w:rsidP="008808F3">
            <w:pPr>
              <w:rPr>
                <w:rFonts w:ascii="Arial" w:hAnsi="Arial" w:cs="Arial"/>
                <w:b/>
                <w:bCs/>
                <w:color w:val="000000"/>
                <w:sz w:val="22"/>
                <w:szCs w:val="22"/>
                <w:lang w:val="es-ES" w:eastAsia="es-ES"/>
              </w:rPr>
            </w:pPr>
          </w:p>
        </w:tc>
      </w:tr>
      <w:tr w:rsidR="001A4D11" w:rsidRPr="00FB6D60" w:rsidTr="008808F3">
        <w:trPr>
          <w:trHeight w:val="309"/>
        </w:trPr>
        <w:tc>
          <w:tcPr>
            <w:tcW w:w="4111" w:type="dxa"/>
            <w:vMerge/>
            <w:tcBorders>
              <w:top w:val="single" w:sz="8" w:space="0" w:color="auto"/>
              <w:left w:val="single" w:sz="8" w:space="0" w:color="auto"/>
              <w:bottom w:val="single" w:sz="8" w:space="0" w:color="000000"/>
              <w:right w:val="single" w:sz="8" w:space="0" w:color="auto"/>
            </w:tcBorders>
            <w:vAlign w:val="center"/>
            <w:hideMark/>
          </w:tcPr>
          <w:p w:rsidR="001A4D11" w:rsidRPr="003D590C" w:rsidRDefault="001A4D11" w:rsidP="008808F3">
            <w:pPr>
              <w:rPr>
                <w:rFonts w:ascii="Arial" w:hAnsi="Arial" w:cs="Arial"/>
                <w:color w:val="000000"/>
                <w:sz w:val="22"/>
                <w:szCs w:val="22"/>
                <w:lang w:val="es-ES" w:eastAsia="es-ES"/>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1A4D11" w:rsidRPr="003D590C" w:rsidRDefault="001A4D11" w:rsidP="008808F3">
            <w:pPr>
              <w:rPr>
                <w:rFonts w:ascii="Arial" w:hAnsi="Arial" w:cs="Arial"/>
                <w:b/>
                <w:bCs/>
                <w:color w:val="000000"/>
                <w:sz w:val="22"/>
                <w:szCs w:val="22"/>
                <w:lang w:val="es-ES" w:eastAsia="es-E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1A4D11" w:rsidRPr="003D590C" w:rsidRDefault="001A4D11" w:rsidP="008808F3">
            <w:pPr>
              <w:rPr>
                <w:rFonts w:ascii="Arial" w:hAnsi="Arial" w:cs="Arial"/>
                <w:b/>
                <w:bCs/>
                <w:color w:val="000000"/>
                <w:sz w:val="22"/>
                <w:szCs w:val="22"/>
                <w:lang w:val="es-ES" w:eastAsia="es-ES"/>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1A4D11" w:rsidRPr="003D590C" w:rsidRDefault="001A4D11" w:rsidP="008808F3">
            <w:pPr>
              <w:rPr>
                <w:rFonts w:ascii="Arial" w:hAnsi="Arial" w:cs="Arial"/>
                <w:b/>
                <w:bCs/>
                <w:color w:val="000000"/>
                <w:sz w:val="22"/>
                <w:szCs w:val="22"/>
                <w:lang w:val="es-ES" w:eastAsia="es-ES"/>
              </w:rPr>
            </w:pP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1A4D11" w:rsidRPr="003D590C" w:rsidRDefault="001A4D11" w:rsidP="008808F3">
            <w:pPr>
              <w:rPr>
                <w:rFonts w:ascii="Arial" w:hAnsi="Arial" w:cs="Arial"/>
                <w:sz w:val="22"/>
                <w:szCs w:val="22"/>
                <w:lang w:val="es-ES" w:eastAsia="es-ES"/>
              </w:rPr>
            </w:pPr>
            <w:r w:rsidRPr="003D590C">
              <w:rPr>
                <w:rFonts w:ascii="Arial" w:hAnsi="Arial" w:cs="Arial"/>
                <w:sz w:val="22"/>
                <w:szCs w:val="22"/>
                <w:lang w:val="sv-SE" w:eastAsia="es-ES"/>
              </w:rPr>
              <w:t>Deutsche Telekom AG</w:t>
            </w:r>
          </w:p>
        </w:tc>
        <w:tc>
          <w:tcPr>
            <w:tcW w:w="1843"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sv-SE" w:eastAsia="es-ES"/>
              </w:rPr>
              <w:t>125</w:t>
            </w:r>
          </w:p>
        </w:tc>
        <w:tc>
          <w:tcPr>
            <w:tcW w:w="1417"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-0,09</w:t>
            </w:r>
          </w:p>
        </w:tc>
        <w:tc>
          <w:tcPr>
            <w:tcW w:w="1560"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1,16</w:t>
            </w:r>
          </w:p>
        </w:tc>
      </w:tr>
      <w:tr w:rsidR="001A4D11" w:rsidRPr="00175D3B" w:rsidTr="008808F3">
        <w:trPr>
          <w:trHeight w:val="353"/>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1A4D11" w:rsidRPr="003D590C" w:rsidRDefault="001A4D11" w:rsidP="008808F3">
            <w:pPr>
              <w:rPr>
                <w:rFonts w:ascii="Arial" w:hAnsi="Arial" w:cs="Arial"/>
                <w:sz w:val="22"/>
                <w:szCs w:val="22"/>
                <w:lang w:val="es-ES" w:eastAsia="es-ES"/>
              </w:rPr>
            </w:pPr>
            <w:r w:rsidRPr="003D590C">
              <w:rPr>
                <w:rFonts w:ascii="Arial" w:hAnsi="Arial" w:cs="Arial"/>
                <w:sz w:val="22"/>
                <w:szCs w:val="22"/>
                <w:lang w:val="sv-SE" w:eastAsia="es-ES"/>
              </w:rPr>
              <w:t>DIGI Communications N.V.</w:t>
            </w:r>
          </w:p>
        </w:tc>
        <w:tc>
          <w:tcPr>
            <w:tcW w:w="1843"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260</w:t>
            </w:r>
          </w:p>
        </w:tc>
        <w:tc>
          <w:tcPr>
            <w:tcW w:w="1417"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4,23</w:t>
            </w:r>
          </w:p>
        </w:tc>
        <w:tc>
          <w:tcPr>
            <w:tcW w:w="1560"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6,83</w:t>
            </w:r>
          </w:p>
          <w:p w:rsidR="001A4D11" w:rsidRPr="003D590C" w:rsidRDefault="001A4D11" w:rsidP="008808F3">
            <w:pPr>
              <w:rPr>
                <w:rFonts w:ascii="Arial" w:hAnsi="Arial" w:cs="Arial"/>
                <w:sz w:val="22"/>
                <w:szCs w:val="22"/>
                <w:lang w:val="es-ES" w:eastAsia="es-ES"/>
              </w:rPr>
            </w:pP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tcPr>
          <w:p w:rsidR="001A4D11" w:rsidRPr="003D590C" w:rsidRDefault="001A4D11" w:rsidP="008808F3">
            <w:pPr>
              <w:rPr>
                <w:rFonts w:ascii="Arial" w:hAnsi="Arial" w:cs="Arial"/>
                <w:sz w:val="22"/>
                <w:szCs w:val="22"/>
                <w:lang w:val="sv-SE" w:eastAsia="es-ES"/>
              </w:rPr>
            </w:pPr>
            <w:r w:rsidRPr="003D590C">
              <w:rPr>
                <w:rFonts w:ascii="Arial" w:hAnsi="Arial" w:cs="Arial"/>
                <w:sz w:val="22"/>
                <w:szCs w:val="22"/>
                <w:lang w:val="sv-SE" w:eastAsia="es-ES"/>
              </w:rPr>
              <w:t>Elisa Oyj</w:t>
            </w:r>
          </w:p>
        </w:tc>
        <w:tc>
          <w:tcPr>
            <w:tcW w:w="1843" w:type="dxa"/>
            <w:tcBorders>
              <w:top w:val="nil"/>
              <w:left w:val="nil"/>
              <w:bottom w:val="single" w:sz="8" w:space="0" w:color="auto"/>
              <w:right w:val="single" w:sz="8" w:space="0" w:color="auto"/>
            </w:tcBorders>
            <w:shd w:val="clear" w:color="auto" w:fill="auto"/>
            <w:noWrap/>
            <w:vAlign w:val="center"/>
          </w:tcPr>
          <w:p w:rsidR="001A4D11" w:rsidRPr="003D590C" w:rsidRDefault="001A4D11" w:rsidP="008808F3">
            <w:pPr>
              <w:jc w:val="center"/>
              <w:rPr>
                <w:rFonts w:ascii="Arial" w:hAnsi="Arial" w:cs="Arial"/>
                <w:sz w:val="22"/>
                <w:szCs w:val="22"/>
                <w:lang w:val="sv-SE" w:eastAsia="es-ES"/>
              </w:rPr>
            </w:pPr>
            <w:r w:rsidRPr="003D590C">
              <w:rPr>
                <w:rFonts w:ascii="Arial" w:hAnsi="Arial" w:cs="Arial"/>
                <w:sz w:val="22"/>
                <w:szCs w:val="22"/>
                <w:lang w:val="sv-SE" w:eastAsia="es-ES"/>
              </w:rPr>
              <w:t>69</w:t>
            </w:r>
          </w:p>
        </w:tc>
        <w:tc>
          <w:tcPr>
            <w:tcW w:w="1417" w:type="dxa"/>
            <w:tcBorders>
              <w:top w:val="nil"/>
              <w:left w:val="nil"/>
              <w:bottom w:val="single" w:sz="8" w:space="0" w:color="auto"/>
              <w:right w:val="single" w:sz="8" w:space="0" w:color="auto"/>
            </w:tcBorders>
            <w:shd w:val="clear" w:color="auto" w:fill="auto"/>
            <w:noWrap/>
            <w:vAlign w:val="center"/>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0,19</w:t>
            </w:r>
          </w:p>
        </w:tc>
        <w:tc>
          <w:tcPr>
            <w:tcW w:w="1560" w:type="dxa"/>
            <w:tcBorders>
              <w:top w:val="nil"/>
              <w:left w:val="nil"/>
              <w:bottom w:val="single" w:sz="8" w:space="0" w:color="auto"/>
              <w:right w:val="single" w:sz="8" w:space="0" w:color="auto"/>
            </w:tcBorders>
            <w:shd w:val="clear" w:color="auto" w:fill="auto"/>
            <w:noWrap/>
            <w:vAlign w:val="center"/>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0,88</w:t>
            </w: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1A4D11" w:rsidRPr="003D590C" w:rsidRDefault="001A4D11" w:rsidP="008808F3">
            <w:pPr>
              <w:rPr>
                <w:rFonts w:ascii="Arial" w:hAnsi="Arial" w:cs="Arial"/>
                <w:sz w:val="22"/>
                <w:szCs w:val="22"/>
                <w:lang w:val="es-ES" w:eastAsia="es-ES"/>
              </w:rPr>
            </w:pPr>
            <w:r w:rsidRPr="003D590C">
              <w:rPr>
                <w:rFonts w:ascii="Arial" w:hAnsi="Arial" w:cs="Arial"/>
                <w:sz w:val="22"/>
                <w:szCs w:val="22"/>
                <w:lang w:val="sv-SE" w:eastAsia="es-ES"/>
              </w:rPr>
              <w:t>Koninklijke KPN N.V.</w:t>
            </w:r>
          </w:p>
        </w:tc>
        <w:tc>
          <w:tcPr>
            <w:tcW w:w="1843"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sv-SE" w:eastAsia="es-ES"/>
              </w:rPr>
              <w:t>117</w:t>
            </w:r>
          </w:p>
        </w:tc>
        <w:tc>
          <w:tcPr>
            <w:tcW w:w="1417"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0,05</w:t>
            </w:r>
          </w:p>
        </w:tc>
        <w:tc>
          <w:tcPr>
            <w:tcW w:w="1560"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1,22</w:t>
            </w: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1A4D11" w:rsidRPr="003D590C" w:rsidRDefault="001A4D11" w:rsidP="008808F3">
            <w:pPr>
              <w:rPr>
                <w:rFonts w:ascii="Arial" w:hAnsi="Arial" w:cs="Arial"/>
                <w:sz w:val="22"/>
                <w:szCs w:val="22"/>
                <w:lang w:val="es-ES" w:eastAsia="es-ES"/>
              </w:rPr>
            </w:pPr>
            <w:r w:rsidRPr="003D590C">
              <w:rPr>
                <w:rFonts w:ascii="Arial" w:hAnsi="Arial" w:cs="Arial"/>
                <w:sz w:val="22"/>
                <w:szCs w:val="22"/>
                <w:lang w:val="sv-SE" w:eastAsia="es-ES"/>
              </w:rPr>
              <w:t>NOS</w:t>
            </w:r>
            <w:r w:rsidRPr="003D590C">
              <w:rPr>
                <w:rStyle w:val="Znakapoznpodarou"/>
                <w:rFonts w:ascii="Arial" w:hAnsi="Arial" w:cs="Arial"/>
                <w:sz w:val="22"/>
                <w:szCs w:val="22"/>
                <w:lang w:val="sv-SE" w:eastAsia="es-ES"/>
              </w:rPr>
              <w:footnoteReference w:id="25"/>
            </w:r>
          </w:p>
        </w:tc>
        <w:tc>
          <w:tcPr>
            <w:tcW w:w="1843"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p>
        </w:tc>
        <w:tc>
          <w:tcPr>
            <w:tcW w:w="1417"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1,12</w:t>
            </w:r>
          </w:p>
        </w:tc>
        <w:tc>
          <w:tcPr>
            <w:tcW w:w="1560"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1A4D11" w:rsidRPr="003D590C" w:rsidRDefault="001A4D11" w:rsidP="008808F3">
            <w:pPr>
              <w:rPr>
                <w:rFonts w:ascii="Arial" w:hAnsi="Arial" w:cs="Arial"/>
                <w:sz w:val="22"/>
                <w:szCs w:val="22"/>
                <w:lang w:val="es-ES" w:eastAsia="es-ES"/>
              </w:rPr>
            </w:pPr>
            <w:r w:rsidRPr="003D590C">
              <w:rPr>
                <w:rFonts w:ascii="Arial" w:hAnsi="Arial" w:cs="Arial"/>
                <w:sz w:val="22"/>
                <w:szCs w:val="22"/>
                <w:lang w:val="sv-SE" w:eastAsia="es-ES"/>
              </w:rPr>
              <w:t>Orange S.A.</w:t>
            </w:r>
          </w:p>
        </w:tc>
        <w:tc>
          <w:tcPr>
            <w:tcW w:w="1843"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sv-SE" w:eastAsia="es-ES"/>
              </w:rPr>
              <w:t>84</w:t>
            </w:r>
          </w:p>
        </w:tc>
        <w:tc>
          <w:tcPr>
            <w:tcW w:w="1417"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0,30</w:t>
            </w:r>
          </w:p>
        </w:tc>
        <w:tc>
          <w:tcPr>
            <w:tcW w:w="1560"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1,14</w:t>
            </w: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1A4D11" w:rsidRPr="003D590C" w:rsidRDefault="001A4D11" w:rsidP="008808F3">
            <w:pPr>
              <w:rPr>
                <w:rFonts w:ascii="Arial" w:hAnsi="Arial" w:cs="Arial"/>
                <w:sz w:val="22"/>
                <w:szCs w:val="22"/>
                <w:lang w:val="es-ES" w:eastAsia="es-ES"/>
              </w:rPr>
            </w:pPr>
            <w:r w:rsidRPr="003D590C">
              <w:rPr>
                <w:rFonts w:ascii="Arial" w:hAnsi="Arial" w:cs="Arial"/>
                <w:sz w:val="22"/>
                <w:szCs w:val="22"/>
                <w:lang w:val="sv-SE" w:eastAsia="es-ES"/>
              </w:rPr>
              <w:t>Proximus S.A.</w:t>
            </w:r>
          </w:p>
        </w:tc>
        <w:tc>
          <w:tcPr>
            <w:tcW w:w="1843"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sv-SE" w:eastAsia="es-ES"/>
              </w:rPr>
              <w:t>96</w:t>
            </w:r>
          </w:p>
        </w:tc>
        <w:tc>
          <w:tcPr>
            <w:tcW w:w="1417"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0.30</w:t>
            </w:r>
          </w:p>
        </w:tc>
        <w:tc>
          <w:tcPr>
            <w:tcW w:w="1560"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1,26</w:t>
            </w: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1A4D11" w:rsidRPr="003D590C" w:rsidRDefault="001A4D11" w:rsidP="008808F3">
            <w:pPr>
              <w:rPr>
                <w:rFonts w:ascii="Arial" w:hAnsi="Arial" w:cs="Arial"/>
                <w:sz w:val="22"/>
                <w:szCs w:val="22"/>
                <w:lang w:val="es-ES" w:eastAsia="es-ES"/>
              </w:rPr>
            </w:pPr>
            <w:r w:rsidRPr="003D590C">
              <w:rPr>
                <w:rFonts w:ascii="Arial" w:hAnsi="Arial" w:cs="Arial"/>
                <w:sz w:val="22"/>
                <w:szCs w:val="22"/>
                <w:lang w:val="sv-SE" w:eastAsia="es-ES"/>
              </w:rPr>
              <w:t>Tele 2 AB</w:t>
            </w:r>
          </w:p>
        </w:tc>
        <w:tc>
          <w:tcPr>
            <w:tcW w:w="1843"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sv-SE" w:eastAsia="es-ES"/>
              </w:rPr>
              <w:t>142</w:t>
            </w:r>
          </w:p>
        </w:tc>
        <w:tc>
          <w:tcPr>
            <w:tcW w:w="1417"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0,31</w:t>
            </w:r>
          </w:p>
        </w:tc>
        <w:tc>
          <w:tcPr>
            <w:tcW w:w="1560"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1,73</w:t>
            </w: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1A4D11" w:rsidRPr="003D590C" w:rsidRDefault="001A4D11" w:rsidP="008808F3">
            <w:pPr>
              <w:rPr>
                <w:rFonts w:ascii="Arial" w:hAnsi="Arial" w:cs="Arial"/>
                <w:sz w:val="22"/>
                <w:szCs w:val="22"/>
                <w:lang w:val="es-ES" w:eastAsia="es-ES"/>
              </w:rPr>
            </w:pPr>
            <w:r w:rsidRPr="003D590C">
              <w:rPr>
                <w:rFonts w:ascii="Arial" w:hAnsi="Arial" w:cs="Arial"/>
                <w:sz w:val="22"/>
                <w:szCs w:val="22"/>
                <w:lang w:val="sv-SE" w:eastAsia="es-ES"/>
              </w:rPr>
              <w:t>Telecom Italia</w:t>
            </w:r>
          </w:p>
        </w:tc>
        <w:tc>
          <w:tcPr>
            <w:tcW w:w="1843"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sv-SE" w:eastAsia="es-ES"/>
              </w:rPr>
              <w:t>133</w:t>
            </w:r>
          </w:p>
        </w:tc>
        <w:tc>
          <w:tcPr>
            <w:tcW w:w="1417"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1,70</w:t>
            </w:r>
          </w:p>
        </w:tc>
        <w:tc>
          <w:tcPr>
            <w:tcW w:w="1560"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3,03</w:t>
            </w: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1A4D11" w:rsidRPr="003D590C" w:rsidRDefault="001A4D11" w:rsidP="008808F3">
            <w:pPr>
              <w:rPr>
                <w:rFonts w:ascii="Arial" w:hAnsi="Arial" w:cs="Arial"/>
                <w:sz w:val="22"/>
                <w:szCs w:val="22"/>
                <w:lang w:val="es-ES" w:eastAsia="es-ES"/>
              </w:rPr>
            </w:pPr>
            <w:r w:rsidRPr="003D590C">
              <w:rPr>
                <w:rFonts w:ascii="Arial" w:hAnsi="Arial" w:cs="Arial"/>
                <w:sz w:val="22"/>
                <w:szCs w:val="22"/>
                <w:lang w:val="sv-SE" w:eastAsia="es-ES"/>
              </w:rPr>
              <w:t>Telefónica S.A.</w:t>
            </w:r>
          </w:p>
        </w:tc>
        <w:tc>
          <w:tcPr>
            <w:tcW w:w="1843"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sv-SE" w:eastAsia="es-ES"/>
              </w:rPr>
              <w:t>41</w:t>
            </w:r>
          </w:p>
        </w:tc>
        <w:tc>
          <w:tcPr>
            <w:tcW w:w="1417"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0,84</w:t>
            </w:r>
          </w:p>
        </w:tc>
        <w:tc>
          <w:tcPr>
            <w:tcW w:w="1560"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1,25</w:t>
            </w: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1A4D11" w:rsidRPr="003D590C" w:rsidRDefault="001A4D11" w:rsidP="008808F3">
            <w:pPr>
              <w:rPr>
                <w:rFonts w:ascii="Arial" w:hAnsi="Arial" w:cs="Arial"/>
                <w:sz w:val="22"/>
                <w:szCs w:val="22"/>
                <w:lang w:val="es-ES" w:eastAsia="es-ES"/>
              </w:rPr>
            </w:pPr>
            <w:r w:rsidRPr="003D590C">
              <w:rPr>
                <w:rFonts w:ascii="Arial" w:hAnsi="Arial" w:cs="Arial"/>
                <w:sz w:val="22"/>
                <w:szCs w:val="22"/>
                <w:lang w:val="sv-SE" w:eastAsia="es-ES"/>
              </w:rPr>
              <w:t>Telekom Austria AG</w:t>
            </w:r>
          </w:p>
        </w:tc>
        <w:tc>
          <w:tcPr>
            <w:tcW w:w="1843"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sv-SE" w:eastAsia="es-ES"/>
              </w:rPr>
              <w:t>72</w:t>
            </w:r>
          </w:p>
        </w:tc>
        <w:tc>
          <w:tcPr>
            <w:tcW w:w="1417"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0,20</w:t>
            </w:r>
          </w:p>
        </w:tc>
        <w:tc>
          <w:tcPr>
            <w:tcW w:w="1560"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0,92</w:t>
            </w: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1A4D11" w:rsidRPr="003D590C" w:rsidRDefault="001A4D11" w:rsidP="008808F3">
            <w:pPr>
              <w:rPr>
                <w:rFonts w:ascii="Arial" w:hAnsi="Arial" w:cs="Arial"/>
                <w:sz w:val="22"/>
                <w:szCs w:val="22"/>
                <w:lang w:val="es-ES" w:eastAsia="es-ES"/>
              </w:rPr>
            </w:pPr>
            <w:r w:rsidRPr="003D590C">
              <w:rPr>
                <w:rFonts w:ascii="Arial" w:hAnsi="Arial" w:cs="Arial"/>
                <w:sz w:val="22"/>
                <w:szCs w:val="22"/>
                <w:lang w:val="sv-SE" w:eastAsia="es-ES"/>
              </w:rPr>
              <w:t>Telenet Group Holding N.V.</w:t>
            </w:r>
          </w:p>
        </w:tc>
        <w:tc>
          <w:tcPr>
            <w:tcW w:w="1843"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sv-SE" w:eastAsia="es-ES"/>
              </w:rPr>
              <w:t>317</w:t>
            </w:r>
          </w:p>
        </w:tc>
        <w:tc>
          <w:tcPr>
            <w:tcW w:w="1417"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0,30</w:t>
            </w:r>
          </w:p>
        </w:tc>
        <w:tc>
          <w:tcPr>
            <w:tcW w:w="1560"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3,47</w:t>
            </w: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1A4D11" w:rsidRPr="003D590C" w:rsidRDefault="001A4D11" w:rsidP="008808F3">
            <w:pPr>
              <w:rPr>
                <w:rFonts w:ascii="Arial" w:hAnsi="Arial" w:cs="Arial"/>
                <w:sz w:val="22"/>
                <w:szCs w:val="22"/>
                <w:lang w:val="es-ES" w:eastAsia="es-ES"/>
              </w:rPr>
            </w:pPr>
            <w:proofErr w:type="spellStart"/>
            <w:r w:rsidRPr="003D590C">
              <w:rPr>
                <w:rFonts w:ascii="Arial" w:hAnsi="Arial" w:cs="Arial"/>
                <w:sz w:val="22"/>
                <w:szCs w:val="22"/>
                <w:lang w:val="es-ES" w:eastAsia="es-ES"/>
              </w:rPr>
              <w:t>Telenor</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100</w:t>
            </w:r>
          </w:p>
        </w:tc>
        <w:tc>
          <w:tcPr>
            <w:tcW w:w="1417"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1,45</w:t>
            </w:r>
          </w:p>
        </w:tc>
        <w:tc>
          <w:tcPr>
            <w:tcW w:w="1560"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2,45</w:t>
            </w: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1A4D11" w:rsidRPr="003D590C" w:rsidRDefault="001A4D11" w:rsidP="008808F3">
            <w:pPr>
              <w:rPr>
                <w:rFonts w:ascii="Arial" w:hAnsi="Arial" w:cs="Arial"/>
                <w:sz w:val="22"/>
                <w:szCs w:val="22"/>
                <w:lang w:val="es-ES" w:eastAsia="es-ES"/>
              </w:rPr>
            </w:pPr>
            <w:r w:rsidRPr="003D590C">
              <w:rPr>
                <w:rFonts w:ascii="Arial" w:hAnsi="Arial" w:cs="Arial"/>
                <w:sz w:val="22"/>
                <w:szCs w:val="22"/>
                <w:lang w:val="sv-SE" w:eastAsia="es-ES"/>
              </w:rPr>
              <w:t>Telia Company AB</w:t>
            </w:r>
          </w:p>
        </w:tc>
        <w:tc>
          <w:tcPr>
            <w:tcW w:w="1843"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sv-SE" w:eastAsia="es-ES"/>
              </w:rPr>
              <w:t>139</w:t>
            </w:r>
          </w:p>
        </w:tc>
        <w:tc>
          <w:tcPr>
            <w:tcW w:w="1417"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0,31</w:t>
            </w:r>
          </w:p>
        </w:tc>
        <w:tc>
          <w:tcPr>
            <w:tcW w:w="1560" w:type="dxa"/>
            <w:tcBorders>
              <w:top w:val="nil"/>
              <w:left w:val="nil"/>
              <w:bottom w:val="single" w:sz="8" w:space="0" w:color="auto"/>
              <w:right w:val="single" w:sz="8" w:space="0" w:color="auto"/>
            </w:tcBorders>
            <w:shd w:val="clear" w:color="auto" w:fill="auto"/>
            <w:noWrap/>
            <w:vAlign w:val="center"/>
            <w:hideMark/>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1,70</w:t>
            </w:r>
          </w:p>
        </w:tc>
      </w:tr>
      <w:tr w:rsidR="001A4D11" w:rsidRPr="00175D3B" w:rsidTr="008808F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center"/>
          </w:tcPr>
          <w:p w:rsidR="001A4D11" w:rsidRPr="003D590C" w:rsidRDefault="001A4D11" w:rsidP="008808F3">
            <w:pPr>
              <w:rPr>
                <w:rFonts w:ascii="Arial" w:hAnsi="Arial" w:cs="Arial"/>
                <w:sz w:val="22"/>
                <w:szCs w:val="22"/>
                <w:lang w:val="sv-SE" w:eastAsia="es-ES"/>
              </w:rPr>
            </w:pPr>
            <w:r w:rsidRPr="003D590C">
              <w:rPr>
                <w:rFonts w:ascii="Arial" w:hAnsi="Arial" w:cs="Arial"/>
                <w:sz w:val="22"/>
                <w:szCs w:val="22"/>
                <w:lang w:val="sv-SE" w:eastAsia="es-ES"/>
              </w:rPr>
              <w:t xml:space="preserve">Vodafone Group plc </w:t>
            </w:r>
          </w:p>
        </w:tc>
        <w:tc>
          <w:tcPr>
            <w:tcW w:w="1843" w:type="dxa"/>
            <w:tcBorders>
              <w:top w:val="nil"/>
              <w:left w:val="nil"/>
              <w:bottom w:val="single" w:sz="8" w:space="0" w:color="auto"/>
              <w:right w:val="single" w:sz="8" w:space="0" w:color="auto"/>
            </w:tcBorders>
            <w:shd w:val="clear" w:color="auto" w:fill="auto"/>
            <w:noWrap/>
            <w:vAlign w:val="center"/>
          </w:tcPr>
          <w:p w:rsidR="001A4D11" w:rsidRPr="003D590C" w:rsidRDefault="001A4D11" w:rsidP="008808F3">
            <w:pPr>
              <w:jc w:val="center"/>
              <w:rPr>
                <w:rFonts w:ascii="Arial" w:hAnsi="Arial" w:cs="Arial"/>
                <w:sz w:val="22"/>
                <w:szCs w:val="22"/>
                <w:lang w:val="sv-SE" w:eastAsia="es-ES"/>
              </w:rPr>
            </w:pPr>
            <w:r w:rsidRPr="003D590C">
              <w:rPr>
                <w:rFonts w:ascii="Arial" w:hAnsi="Arial" w:cs="Arial"/>
                <w:sz w:val="22"/>
                <w:szCs w:val="22"/>
                <w:lang w:val="sv-SE" w:eastAsia="es-ES"/>
              </w:rPr>
              <w:t>141</w:t>
            </w:r>
          </w:p>
        </w:tc>
        <w:tc>
          <w:tcPr>
            <w:tcW w:w="1417" w:type="dxa"/>
            <w:tcBorders>
              <w:top w:val="nil"/>
              <w:left w:val="nil"/>
              <w:bottom w:val="single" w:sz="8" w:space="0" w:color="auto"/>
              <w:right w:val="single" w:sz="8" w:space="0" w:color="auto"/>
            </w:tcBorders>
            <w:shd w:val="clear" w:color="auto" w:fill="auto"/>
            <w:noWrap/>
            <w:vAlign w:val="center"/>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0,91</w:t>
            </w:r>
          </w:p>
        </w:tc>
        <w:tc>
          <w:tcPr>
            <w:tcW w:w="1560" w:type="dxa"/>
            <w:tcBorders>
              <w:top w:val="nil"/>
              <w:left w:val="nil"/>
              <w:bottom w:val="single" w:sz="8" w:space="0" w:color="auto"/>
              <w:right w:val="single" w:sz="8" w:space="0" w:color="auto"/>
            </w:tcBorders>
            <w:shd w:val="clear" w:color="auto" w:fill="auto"/>
            <w:noWrap/>
            <w:vAlign w:val="center"/>
          </w:tcPr>
          <w:p w:rsidR="001A4D11" w:rsidRPr="003D590C" w:rsidRDefault="001A4D11" w:rsidP="008808F3">
            <w:pPr>
              <w:jc w:val="center"/>
              <w:rPr>
                <w:rFonts w:ascii="Arial" w:hAnsi="Arial" w:cs="Arial"/>
                <w:sz w:val="22"/>
                <w:szCs w:val="22"/>
                <w:lang w:val="es-ES" w:eastAsia="es-ES"/>
              </w:rPr>
            </w:pPr>
            <w:r w:rsidRPr="003D590C">
              <w:rPr>
                <w:rFonts w:ascii="Arial" w:hAnsi="Arial" w:cs="Arial"/>
                <w:sz w:val="22"/>
                <w:szCs w:val="22"/>
                <w:lang w:val="es-ES" w:eastAsia="es-ES"/>
              </w:rPr>
              <w:t>2,32</w:t>
            </w:r>
          </w:p>
        </w:tc>
      </w:tr>
    </w:tbl>
    <w:p w:rsidR="001A4D11" w:rsidRPr="003D590C" w:rsidRDefault="001A4D11" w:rsidP="001A4D11">
      <w:pPr>
        <w:spacing w:before="120" w:after="240"/>
        <w:rPr>
          <w:rFonts w:ascii="Arial" w:hAnsi="Arial" w:cs="Arial"/>
          <w:sz w:val="22"/>
          <w:szCs w:val="22"/>
        </w:rPr>
      </w:pPr>
      <w:r w:rsidRPr="003D590C">
        <w:rPr>
          <w:rFonts w:ascii="Arial" w:hAnsi="Arial" w:cs="Arial"/>
          <w:sz w:val="22"/>
          <w:szCs w:val="22"/>
        </w:rPr>
        <w:t xml:space="preserve">Zdroj: WACC </w:t>
      </w:r>
      <w:proofErr w:type="spellStart"/>
      <w:r w:rsidRPr="003D590C">
        <w:rPr>
          <w:rFonts w:ascii="Arial" w:hAnsi="Arial" w:cs="Arial"/>
          <w:sz w:val="22"/>
          <w:szCs w:val="22"/>
        </w:rPr>
        <w:t>parameters</w:t>
      </w:r>
      <w:proofErr w:type="spellEnd"/>
      <w:r w:rsidRPr="003D590C">
        <w:rPr>
          <w:rFonts w:ascii="Arial" w:hAnsi="Arial" w:cs="Arial"/>
          <w:sz w:val="22"/>
          <w:szCs w:val="22"/>
        </w:rPr>
        <w:t xml:space="preserve"> Report 2022, </w:t>
      </w:r>
      <w:proofErr w:type="spellStart"/>
      <w:r w:rsidRPr="003D590C">
        <w:rPr>
          <w:rFonts w:ascii="Arial" w:hAnsi="Arial" w:cs="Arial"/>
          <w:sz w:val="22"/>
          <w:szCs w:val="22"/>
        </w:rPr>
        <w:t>BoR</w:t>
      </w:r>
      <w:proofErr w:type="spellEnd"/>
      <w:r w:rsidRPr="003D590C">
        <w:rPr>
          <w:rFonts w:ascii="Arial" w:hAnsi="Arial" w:cs="Arial"/>
          <w:sz w:val="22"/>
          <w:szCs w:val="22"/>
        </w:rPr>
        <w:t xml:space="preserve"> (22) 70</w:t>
      </w:r>
    </w:p>
    <w:p w:rsidR="001A4D11" w:rsidRPr="00CE5265" w:rsidRDefault="001A4D11" w:rsidP="00CE5265">
      <w:pPr>
        <w:spacing w:after="240"/>
        <w:ind w:firstLine="708"/>
        <w:jc w:val="both"/>
        <w:rPr>
          <w:rFonts w:ascii="Arial" w:hAnsi="Arial" w:cs="Arial"/>
          <w:sz w:val="22"/>
          <w:szCs w:val="22"/>
        </w:rPr>
      </w:pPr>
      <w:r w:rsidRPr="00CE5265">
        <w:rPr>
          <w:rFonts w:ascii="Arial" w:hAnsi="Arial" w:cs="Arial"/>
          <w:b/>
          <w:bCs/>
          <w:sz w:val="22"/>
          <w:szCs w:val="22"/>
        </w:rPr>
        <w:t>Dluhovou prémii</w:t>
      </w:r>
      <w:r w:rsidRPr="00CE5265">
        <w:rPr>
          <w:rFonts w:ascii="Arial" w:hAnsi="Arial" w:cs="Arial"/>
          <w:sz w:val="22"/>
          <w:szCs w:val="22"/>
        </w:rPr>
        <w:t xml:space="preserve"> Úřad stanovil jako aritmetický průměr dluhových prémií společností v peer group v tabulce č. 3 ve výši </w:t>
      </w:r>
      <w:r w:rsidRPr="00CE5265">
        <w:rPr>
          <w:rFonts w:ascii="Arial" w:hAnsi="Arial" w:cs="Arial"/>
          <w:b/>
          <w:bCs/>
          <w:sz w:val="22"/>
          <w:szCs w:val="22"/>
        </w:rPr>
        <w:t>1,31 %.</w:t>
      </w:r>
      <w:r w:rsidRPr="00CE5265">
        <w:rPr>
          <w:rFonts w:ascii="Arial" w:hAnsi="Arial" w:cs="Arial"/>
          <w:sz w:val="22"/>
          <w:szCs w:val="22"/>
        </w:rPr>
        <w:t xml:space="preserve"> Náklady cizího kapitálu byly stanoveny jako součet bezrizikové výnosové míry (1,64 %) a dluhové prémie. </w:t>
      </w:r>
    </w:p>
    <w:p w:rsidR="001A4D11" w:rsidRPr="00CE5265" w:rsidRDefault="001A4D11" w:rsidP="001A4D11">
      <w:pPr>
        <w:spacing w:after="240"/>
        <w:ind w:firstLine="708"/>
        <w:rPr>
          <w:rFonts w:ascii="Arial" w:hAnsi="Arial" w:cs="Arial"/>
          <w:sz w:val="22"/>
          <w:szCs w:val="22"/>
        </w:rPr>
      </w:pPr>
      <w:r w:rsidRPr="00CE5265">
        <w:rPr>
          <w:rFonts w:ascii="Arial" w:hAnsi="Arial" w:cs="Arial"/>
          <w:sz w:val="22"/>
          <w:szCs w:val="22"/>
        </w:rPr>
        <w:t>Jako daňová sazba byla použita sazba daně z příjmů právnických osob ve výši 19 %.</w:t>
      </w:r>
    </w:p>
    <w:p w:rsidR="001A4D11" w:rsidRPr="00CE5265" w:rsidRDefault="001A4D11" w:rsidP="00CE5265">
      <w:pPr>
        <w:spacing w:after="240"/>
        <w:jc w:val="both"/>
        <w:rPr>
          <w:rFonts w:ascii="Arial" w:hAnsi="Arial" w:cs="Arial"/>
          <w:sz w:val="22"/>
          <w:szCs w:val="22"/>
        </w:rPr>
      </w:pPr>
      <w:r>
        <w:rPr>
          <w:rFonts w:cs="Arial"/>
          <w:szCs w:val="22"/>
        </w:rPr>
        <w:lastRenderedPageBreak/>
        <w:tab/>
      </w:r>
      <w:r w:rsidRPr="00CE5265">
        <w:rPr>
          <w:rFonts w:ascii="Arial" w:hAnsi="Arial" w:cs="Arial"/>
          <w:sz w:val="22"/>
          <w:szCs w:val="22"/>
        </w:rPr>
        <w:t xml:space="preserve">Na základě výše uvedených jednotlivých vstupních proměnných vypočetl Úřad hodnotu ukazatele WACC pro stanovený podnik zajištující sítě elektronických komunikací nebo poskytující veřejně dostupnou službu elektronických komunikací tak, jak je uvedeno v tabulce č. 4. </w:t>
      </w:r>
    </w:p>
    <w:p w:rsidR="001A4D11" w:rsidRPr="00CE5265" w:rsidRDefault="001A4D11" w:rsidP="001A4D11">
      <w:pPr>
        <w:spacing w:after="240"/>
        <w:rPr>
          <w:rFonts w:ascii="Arial" w:hAnsi="Arial" w:cs="Arial"/>
          <w:sz w:val="22"/>
          <w:szCs w:val="22"/>
        </w:rPr>
      </w:pPr>
      <w:r w:rsidRPr="00CE5265">
        <w:rPr>
          <w:rFonts w:ascii="Arial" w:hAnsi="Arial" w:cs="Arial"/>
          <w:sz w:val="22"/>
          <w:szCs w:val="22"/>
        </w:rPr>
        <w:t>Tabulka č. 4: Výpočet WACC</w:t>
      </w:r>
    </w:p>
    <w:tbl>
      <w:tblPr>
        <w:tblW w:w="5280" w:type="dxa"/>
        <w:tblCellMar>
          <w:left w:w="70" w:type="dxa"/>
          <w:right w:w="70" w:type="dxa"/>
        </w:tblCellMar>
        <w:tblLook w:val="04A0" w:firstRow="1" w:lastRow="0" w:firstColumn="1" w:lastColumn="0" w:noHBand="0" w:noVBand="1"/>
      </w:tblPr>
      <w:tblGrid>
        <w:gridCol w:w="2980"/>
        <w:gridCol w:w="941"/>
        <w:gridCol w:w="1500"/>
      </w:tblGrid>
      <w:tr w:rsidR="001A4D11" w:rsidTr="008808F3">
        <w:trPr>
          <w:trHeight w:val="315"/>
        </w:trPr>
        <w:tc>
          <w:tcPr>
            <w:tcW w:w="29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A4D11" w:rsidRPr="00227EEC" w:rsidRDefault="001A4D11" w:rsidP="008808F3">
            <w:pPr>
              <w:rPr>
                <w:rFonts w:ascii="Arial" w:hAnsi="Arial" w:cs="Arial"/>
                <w:b/>
                <w:bCs/>
                <w:sz w:val="22"/>
                <w:szCs w:val="22"/>
              </w:rPr>
            </w:pPr>
            <w:r w:rsidRPr="00227EEC">
              <w:rPr>
                <w:rFonts w:ascii="Arial" w:hAnsi="Arial" w:cs="Arial"/>
                <w:b/>
                <w:bCs/>
                <w:sz w:val="22"/>
                <w:szCs w:val="22"/>
              </w:rPr>
              <w:t>WACC</w:t>
            </w:r>
          </w:p>
        </w:tc>
        <w:tc>
          <w:tcPr>
            <w:tcW w:w="80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A4D11" w:rsidRPr="00227EEC" w:rsidRDefault="001A4D11" w:rsidP="008808F3">
            <w:pPr>
              <w:rPr>
                <w:rFonts w:ascii="Arial" w:hAnsi="Arial" w:cs="Arial"/>
                <w:b/>
                <w:bCs/>
                <w:sz w:val="22"/>
                <w:szCs w:val="22"/>
              </w:rPr>
            </w:pPr>
            <w:r w:rsidRPr="00227EEC">
              <w:rPr>
                <w:rFonts w:ascii="Arial" w:hAnsi="Arial" w:cs="Arial"/>
                <w:b/>
                <w:bCs/>
                <w:sz w:val="22"/>
                <w:szCs w:val="22"/>
              </w:rPr>
              <w:t> </w:t>
            </w:r>
          </w:p>
        </w:tc>
        <w:tc>
          <w:tcPr>
            <w:tcW w:w="150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A4D11" w:rsidRPr="00227EEC" w:rsidRDefault="001A4D11" w:rsidP="008808F3">
            <w:pPr>
              <w:jc w:val="right"/>
              <w:rPr>
                <w:rFonts w:ascii="Arial" w:hAnsi="Arial" w:cs="Arial"/>
                <w:b/>
                <w:bCs/>
                <w:sz w:val="22"/>
                <w:szCs w:val="22"/>
              </w:rPr>
            </w:pPr>
            <w:r w:rsidRPr="00227EEC">
              <w:rPr>
                <w:rFonts w:ascii="Arial" w:hAnsi="Arial" w:cs="Arial"/>
                <w:b/>
                <w:bCs/>
                <w:sz w:val="22"/>
                <w:szCs w:val="22"/>
              </w:rPr>
              <w:t> </w:t>
            </w:r>
          </w:p>
        </w:tc>
      </w:tr>
      <w:tr w:rsidR="001A4D11" w:rsidTr="008808F3">
        <w:trPr>
          <w:trHeight w:hRule="exact" w:val="318"/>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4D11" w:rsidRPr="00227EEC" w:rsidRDefault="001A4D11" w:rsidP="008808F3">
            <w:pPr>
              <w:rPr>
                <w:rFonts w:ascii="Arial" w:hAnsi="Arial" w:cs="Arial"/>
                <w:color w:val="000000"/>
                <w:sz w:val="22"/>
                <w:szCs w:val="22"/>
              </w:rPr>
            </w:pPr>
            <w:r w:rsidRPr="00227EEC">
              <w:rPr>
                <w:rFonts w:ascii="Arial" w:hAnsi="Arial" w:cs="Arial"/>
                <w:color w:val="000000"/>
                <w:sz w:val="22"/>
                <w:szCs w:val="22"/>
              </w:rPr>
              <w:t>Náklady cizího kapitálu</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proofErr w:type="spellStart"/>
            <w:r w:rsidRPr="00227EEC">
              <w:rPr>
                <w:rFonts w:ascii="Arial" w:hAnsi="Arial" w:cs="Arial"/>
                <w:sz w:val="22"/>
                <w:szCs w:val="22"/>
              </w:rPr>
              <w:t>r</w:t>
            </w:r>
            <w:r w:rsidRPr="00227EEC">
              <w:rPr>
                <w:rFonts w:ascii="Arial" w:hAnsi="Arial" w:cs="Arial"/>
                <w:sz w:val="22"/>
                <w:szCs w:val="22"/>
                <w:vertAlign w:val="subscript"/>
              </w:rPr>
              <w:t>d</w:t>
            </w:r>
            <w:proofErr w:type="spellEnd"/>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sz w:val="22"/>
                <w:szCs w:val="22"/>
              </w:rPr>
            </w:pPr>
            <w:r w:rsidRPr="00227EEC">
              <w:rPr>
                <w:rFonts w:ascii="Arial" w:hAnsi="Arial" w:cs="Arial"/>
                <w:sz w:val="22"/>
                <w:szCs w:val="22"/>
              </w:rPr>
              <w:t>2,95 %</w:t>
            </w:r>
          </w:p>
        </w:tc>
      </w:tr>
      <w:tr w:rsidR="001A4D11" w:rsidTr="008808F3">
        <w:trPr>
          <w:trHeight w:hRule="exact" w:val="318"/>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Daňová sazba</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t</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sz w:val="22"/>
                <w:szCs w:val="22"/>
              </w:rPr>
            </w:pPr>
            <w:r w:rsidRPr="00227EEC">
              <w:rPr>
                <w:rFonts w:ascii="Arial" w:hAnsi="Arial" w:cs="Arial"/>
                <w:sz w:val="22"/>
                <w:szCs w:val="22"/>
              </w:rPr>
              <w:t>19 %</w:t>
            </w:r>
          </w:p>
        </w:tc>
      </w:tr>
      <w:tr w:rsidR="001A4D11" w:rsidRPr="001A2B48" w:rsidTr="008808F3">
        <w:trPr>
          <w:trHeight w:hRule="exact" w:val="318"/>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4D11" w:rsidRPr="00227EEC" w:rsidRDefault="001A4D11" w:rsidP="008808F3">
            <w:pPr>
              <w:rPr>
                <w:rFonts w:ascii="Arial" w:hAnsi="Arial" w:cs="Arial"/>
                <w:color w:val="000000"/>
                <w:sz w:val="22"/>
                <w:szCs w:val="22"/>
              </w:rPr>
            </w:pPr>
            <w:r w:rsidRPr="00227EEC">
              <w:rPr>
                <w:rFonts w:ascii="Arial" w:hAnsi="Arial" w:cs="Arial"/>
                <w:color w:val="000000"/>
                <w:sz w:val="22"/>
                <w:szCs w:val="22"/>
              </w:rPr>
              <w:t>Náklady vlastního kapitálu</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r</w:t>
            </w:r>
            <w:r w:rsidRPr="00227EEC">
              <w:rPr>
                <w:rFonts w:ascii="Arial" w:hAnsi="Arial" w:cs="Arial"/>
                <w:sz w:val="22"/>
                <w:szCs w:val="22"/>
                <w:vertAlign w:val="subscript"/>
              </w:rPr>
              <w:t>e</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sz w:val="22"/>
                <w:szCs w:val="22"/>
              </w:rPr>
            </w:pPr>
            <w:r w:rsidRPr="00227EEC">
              <w:rPr>
                <w:rFonts w:ascii="Arial" w:hAnsi="Arial" w:cs="Arial"/>
                <w:sz w:val="22"/>
                <w:szCs w:val="22"/>
              </w:rPr>
              <w:t>5,29 %</w:t>
            </w:r>
          </w:p>
        </w:tc>
      </w:tr>
      <w:tr w:rsidR="001A4D11" w:rsidTr="008808F3">
        <w:trPr>
          <w:trHeight w:val="315"/>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 xml:space="preserve">Kapitálová struktura </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D/(D+E)</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sz w:val="22"/>
                <w:szCs w:val="22"/>
                <w:highlight w:val="yellow"/>
              </w:rPr>
            </w:pPr>
            <w:r w:rsidRPr="00227EEC">
              <w:rPr>
                <w:rFonts w:ascii="Arial" w:hAnsi="Arial" w:cs="Arial"/>
                <w:sz w:val="22"/>
                <w:szCs w:val="22"/>
              </w:rPr>
              <w:t>42,42 %</w:t>
            </w:r>
          </w:p>
        </w:tc>
      </w:tr>
      <w:tr w:rsidR="001A4D11" w:rsidTr="008808F3">
        <w:trPr>
          <w:trHeight w:val="315"/>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 xml:space="preserve">Kapitálová struktura </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E/(D+E)</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sz w:val="22"/>
                <w:szCs w:val="22"/>
              </w:rPr>
            </w:pPr>
            <w:r w:rsidRPr="00227EEC">
              <w:rPr>
                <w:rFonts w:ascii="Arial" w:hAnsi="Arial" w:cs="Arial"/>
                <w:sz w:val="22"/>
                <w:szCs w:val="22"/>
              </w:rPr>
              <w:t>57,58 %</w:t>
            </w:r>
          </w:p>
        </w:tc>
      </w:tr>
      <w:tr w:rsidR="001A4D11" w:rsidRPr="006214D2" w:rsidTr="008808F3">
        <w:trPr>
          <w:trHeight w:val="315"/>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WACC (po zdanění)</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 </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sz w:val="22"/>
                <w:szCs w:val="22"/>
              </w:rPr>
            </w:pPr>
            <w:r w:rsidRPr="00227EEC">
              <w:rPr>
                <w:rFonts w:ascii="Arial" w:hAnsi="Arial" w:cs="Arial"/>
                <w:sz w:val="22"/>
                <w:szCs w:val="22"/>
              </w:rPr>
              <w:t>4,06 %</w:t>
            </w:r>
          </w:p>
        </w:tc>
      </w:tr>
      <w:tr w:rsidR="001A4D11" w:rsidTr="008808F3">
        <w:trPr>
          <w:trHeight w:val="315"/>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b/>
                <w:bCs/>
                <w:sz w:val="22"/>
                <w:szCs w:val="22"/>
              </w:rPr>
            </w:pPr>
            <w:r w:rsidRPr="00227EEC">
              <w:rPr>
                <w:rFonts w:ascii="Arial" w:hAnsi="Arial" w:cs="Arial"/>
                <w:b/>
                <w:bCs/>
                <w:sz w:val="22"/>
                <w:szCs w:val="22"/>
              </w:rPr>
              <w:t>WACC (před zdaněním)</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b/>
                <w:bCs/>
                <w:sz w:val="22"/>
                <w:szCs w:val="22"/>
              </w:rPr>
            </w:pPr>
            <w:r w:rsidRPr="00227EEC">
              <w:rPr>
                <w:rFonts w:ascii="Arial" w:hAnsi="Arial" w:cs="Arial"/>
                <w:b/>
                <w:bCs/>
                <w:sz w:val="22"/>
                <w:szCs w:val="22"/>
              </w:rPr>
              <w:t> </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b/>
                <w:bCs/>
                <w:sz w:val="22"/>
                <w:szCs w:val="22"/>
                <w:highlight w:val="yellow"/>
              </w:rPr>
            </w:pPr>
            <w:r w:rsidRPr="00227EEC">
              <w:rPr>
                <w:rFonts w:ascii="Arial" w:hAnsi="Arial" w:cs="Arial"/>
                <w:b/>
                <w:bCs/>
                <w:sz w:val="22"/>
                <w:szCs w:val="22"/>
              </w:rPr>
              <w:t>5,01 %</w:t>
            </w:r>
          </w:p>
        </w:tc>
      </w:tr>
      <w:tr w:rsidR="001A4D11" w:rsidTr="008808F3">
        <w:trPr>
          <w:trHeight w:hRule="exact" w:val="318"/>
        </w:trPr>
        <w:tc>
          <w:tcPr>
            <w:tcW w:w="2980" w:type="dxa"/>
            <w:tcBorders>
              <w:top w:val="single" w:sz="8" w:space="0" w:color="auto"/>
              <w:bottom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 </w:t>
            </w:r>
          </w:p>
        </w:tc>
        <w:tc>
          <w:tcPr>
            <w:tcW w:w="800" w:type="dxa"/>
            <w:tcBorders>
              <w:top w:val="single" w:sz="8" w:space="0" w:color="auto"/>
              <w:bottom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 </w:t>
            </w:r>
          </w:p>
        </w:tc>
        <w:tc>
          <w:tcPr>
            <w:tcW w:w="1500" w:type="dxa"/>
            <w:tcBorders>
              <w:top w:val="single" w:sz="8" w:space="0" w:color="auto"/>
              <w:bottom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 </w:t>
            </w:r>
          </w:p>
        </w:tc>
      </w:tr>
      <w:tr w:rsidR="001A4D11" w:rsidTr="008808F3">
        <w:trPr>
          <w:trHeight w:val="315"/>
        </w:trPr>
        <w:tc>
          <w:tcPr>
            <w:tcW w:w="29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A4D11" w:rsidRPr="00227EEC" w:rsidRDefault="001A4D11" w:rsidP="008808F3">
            <w:pPr>
              <w:rPr>
                <w:rFonts w:ascii="Arial" w:hAnsi="Arial" w:cs="Arial"/>
                <w:b/>
                <w:bCs/>
                <w:sz w:val="22"/>
                <w:szCs w:val="22"/>
              </w:rPr>
            </w:pPr>
            <w:r w:rsidRPr="00227EEC">
              <w:rPr>
                <w:rFonts w:ascii="Arial" w:hAnsi="Arial" w:cs="Arial"/>
                <w:b/>
                <w:bCs/>
                <w:sz w:val="22"/>
                <w:szCs w:val="22"/>
              </w:rPr>
              <w:t>Náklady cizího kapitálu</w:t>
            </w:r>
          </w:p>
        </w:tc>
        <w:tc>
          <w:tcPr>
            <w:tcW w:w="800" w:type="dxa"/>
            <w:tcBorders>
              <w:top w:val="single" w:sz="8" w:space="0" w:color="auto"/>
              <w:left w:val="nil"/>
              <w:bottom w:val="single" w:sz="8" w:space="0" w:color="auto"/>
              <w:right w:val="single" w:sz="8" w:space="0" w:color="auto"/>
            </w:tcBorders>
            <w:shd w:val="clear" w:color="000000" w:fill="BFBFBF"/>
            <w:noWrap/>
            <w:vAlign w:val="center"/>
            <w:hideMark/>
          </w:tcPr>
          <w:p w:rsidR="001A4D11" w:rsidRPr="00227EEC" w:rsidRDefault="001A4D11" w:rsidP="008808F3">
            <w:pPr>
              <w:rPr>
                <w:rFonts w:ascii="Arial" w:hAnsi="Arial" w:cs="Arial"/>
                <w:b/>
                <w:bCs/>
                <w:sz w:val="22"/>
                <w:szCs w:val="22"/>
              </w:rPr>
            </w:pPr>
            <w:r w:rsidRPr="00227EEC">
              <w:rPr>
                <w:rFonts w:ascii="Arial" w:hAnsi="Arial" w:cs="Arial"/>
                <w:b/>
                <w:bCs/>
                <w:sz w:val="22"/>
                <w:szCs w:val="22"/>
              </w:rPr>
              <w:t> </w:t>
            </w:r>
          </w:p>
        </w:tc>
        <w:tc>
          <w:tcPr>
            <w:tcW w:w="1500" w:type="dxa"/>
            <w:tcBorders>
              <w:top w:val="single" w:sz="8" w:space="0" w:color="auto"/>
              <w:left w:val="nil"/>
              <w:bottom w:val="single" w:sz="8" w:space="0" w:color="auto"/>
              <w:right w:val="single" w:sz="8" w:space="0" w:color="auto"/>
            </w:tcBorders>
            <w:shd w:val="clear" w:color="000000" w:fill="BFBFBF"/>
            <w:noWrap/>
            <w:vAlign w:val="center"/>
            <w:hideMark/>
          </w:tcPr>
          <w:p w:rsidR="001A4D11" w:rsidRPr="00227EEC" w:rsidRDefault="001A4D11" w:rsidP="008808F3">
            <w:pPr>
              <w:jc w:val="right"/>
              <w:rPr>
                <w:rFonts w:ascii="Arial" w:hAnsi="Arial" w:cs="Arial"/>
                <w:b/>
                <w:bCs/>
                <w:sz w:val="22"/>
                <w:szCs w:val="22"/>
              </w:rPr>
            </w:pPr>
            <w:r w:rsidRPr="00227EEC">
              <w:rPr>
                <w:rFonts w:ascii="Arial" w:hAnsi="Arial" w:cs="Arial"/>
                <w:b/>
                <w:bCs/>
                <w:sz w:val="22"/>
                <w:szCs w:val="22"/>
              </w:rPr>
              <w:t> </w:t>
            </w:r>
          </w:p>
        </w:tc>
      </w:tr>
      <w:tr w:rsidR="001A4D11" w:rsidTr="008808F3">
        <w:trPr>
          <w:trHeight w:hRule="exact" w:val="318"/>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Bezriziková výnosová míra</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proofErr w:type="spellStart"/>
            <w:r w:rsidRPr="00227EEC">
              <w:rPr>
                <w:rFonts w:ascii="Arial" w:hAnsi="Arial" w:cs="Arial"/>
                <w:sz w:val="22"/>
                <w:szCs w:val="22"/>
              </w:rPr>
              <w:t>r</w:t>
            </w:r>
            <w:r w:rsidRPr="00227EEC">
              <w:rPr>
                <w:rFonts w:ascii="Arial" w:hAnsi="Arial" w:cs="Arial"/>
                <w:sz w:val="22"/>
                <w:szCs w:val="22"/>
                <w:vertAlign w:val="subscript"/>
              </w:rPr>
              <w:t>f</w:t>
            </w:r>
            <w:proofErr w:type="spellEnd"/>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sz w:val="22"/>
                <w:szCs w:val="22"/>
                <w:highlight w:val="yellow"/>
              </w:rPr>
            </w:pPr>
            <w:r w:rsidRPr="00227EEC">
              <w:rPr>
                <w:rFonts w:ascii="Arial" w:hAnsi="Arial" w:cs="Arial"/>
                <w:sz w:val="22"/>
                <w:szCs w:val="22"/>
              </w:rPr>
              <w:t>1,64 %</w:t>
            </w:r>
          </w:p>
        </w:tc>
      </w:tr>
      <w:tr w:rsidR="001A4D11" w:rsidTr="008808F3">
        <w:trPr>
          <w:trHeight w:hRule="exact" w:val="318"/>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Dluhová prémie</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DP</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sz w:val="22"/>
                <w:szCs w:val="22"/>
                <w:highlight w:val="yellow"/>
              </w:rPr>
            </w:pPr>
            <w:r w:rsidRPr="00227EEC">
              <w:rPr>
                <w:rFonts w:ascii="Arial" w:hAnsi="Arial" w:cs="Arial"/>
                <w:sz w:val="22"/>
                <w:szCs w:val="22"/>
              </w:rPr>
              <w:t>1,31 %</w:t>
            </w:r>
          </w:p>
        </w:tc>
      </w:tr>
      <w:tr w:rsidR="001A4D11" w:rsidTr="008808F3">
        <w:trPr>
          <w:trHeight w:hRule="exact" w:val="318"/>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b/>
                <w:bCs/>
                <w:sz w:val="22"/>
                <w:szCs w:val="22"/>
              </w:rPr>
            </w:pPr>
            <w:r w:rsidRPr="00227EEC">
              <w:rPr>
                <w:rFonts w:ascii="Arial" w:hAnsi="Arial" w:cs="Arial"/>
                <w:b/>
                <w:bCs/>
                <w:sz w:val="22"/>
                <w:szCs w:val="22"/>
              </w:rPr>
              <w:t>Náklady cizího kapitálu</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b/>
                <w:bCs/>
                <w:sz w:val="22"/>
                <w:szCs w:val="22"/>
              </w:rPr>
            </w:pPr>
            <w:proofErr w:type="spellStart"/>
            <w:r w:rsidRPr="00227EEC">
              <w:rPr>
                <w:rFonts w:ascii="Arial" w:hAnsi="Arial" w:cs="Arial"/>
                <w:b/>
                <w:bCs/>
                <w:sz w:val="22"/>
                <w:szCs w:val="22"/>
              </w:rPr>
              <w:t>r</w:t>
            </w:r>
            <w:r w:rsidRPr="00227EEC">
              <w:rPr>
                <w:rFonts w:ascii="Arial" w:hAnsi="Arial" w:cs="Arial"/>
                <w:b/>
                <w:bCs/>
                <w:sz w:val="22"/>
                <w:szCs w:val="22"/>
                <w:vertAlign w:val="subscript"/>
              </w:rPr>
              <w:t>d</w:t>
            </w:r>
            <w:proofErr w:type="spellEnd"/>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b/>
                <w:bCs/>
                <w:sz w:val="22"/>
                <w:szCs w:val="22"/>
                <w:highlight w:val="yellow"/>
              </w:rPr>
            </w:pPr>
            <w:r w:rsidRPr="00227EEC">
              <w:rPr>
                <w:rFonts w:ascii="Arial" w:hAnsi="Arial" w:cs="Arial"/>
                <w:b/>
                <w:bCs/>
                <w:sz w:val="22"/>
                <w:szCs w:val="22"/>
              </w:rPr>
              <w:t>2,95 %</w:t>
            </w:r>
          </w:p>
        </w:tc>
      </w:tr>
      <w:tr w:rsidR="001A4D11" w:rsidTr="008808F3">
        <w:trPr>
          <w:trHeight w:val="315"/>
        </w:trPr>
        <w:tc>
          <w:tcPr>
            <w:tcW w:w="2980" w:type="dxa"/>
            <w:tcBorders>
              <w:top w:val="single" w:sz="8" w:space="0" w:color="auto"/>
              <w:bottom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 </w:t>
            </w:r>
          </w:p>
        </w:tc>
        <w:tc>
          <w:tcPr>
            <w:tcW w:w="800" w:type="dxa"/>
            <w:tcBorders>
              <w:top w:val="single" w:sz="8" w:space="0" w:color="auto"/>
              <w:bottom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 </w:t>
            </w:r>
          </w:p>
        </w:tc>
        <w:tc>
          <w:tcPr>
            <w:tcW w:w="1500" w:type="dxa"/>
            <w:tcBorders>
              <w:top w:val="single" w:sz="8" w:space="0" w:color="auto"/>
              <w:bottom w:val="single" w:sz="8" w:space="0" w:color="auto"/>
            </w:tcBorders>
            <w:shd w:val="clear" w:color="auto" w:fill="auto"/>
            <w:noWrap/>
            <w:vAlign w:val="center"/>
            <w:hideMark/>
          </w:tcPr>
          <w:p w:rsidR="001A4D11" w:rsidRPr="00227EEC" w:rsidRDefault="001A4D11" w:rsidP="008808F3">
            <w:pPr>
              <w:rPr>
                <w:rFonts w:ascii="Arial" w:hAnsi="Arial" w:cs="Arial"/>
                <w:sz w:val="22"/>
                <w:szCs w:val="22"/>
                <w:highlight w:val="yellow"/>
              </w:rPr>
            </w:pPr>
            <w:r w:rsidRPr="00227EEC">
              <w:rPr>
                <w:rFonts w:ascii="Arial" w:hAnsi="Arial" w:cs="Arial"/>
                <w:sz w:val="22"/>
                <w:szCs w:val="22"/>
              </w:rPr>
              <w:t> </w:t>
            </w:r>
          </w:p>
        </w:tc>
      </w:tr>
      <w:tr w:rsidR="001A4D11" w:rsidTr="008808F3">
        <w:trPr>
          <w:trHeight w:hRule="exact" w:val="318"/>
        </w:trPr>
        <w:tc>
          <w:tcPr>
            <w:tcW w:w="29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A4D11" w:rsidRPr="00227EEC" w:rsidRDefault="001A4D11" w:rsidP="008808F3">
            <w:pPr>
              <w:rPr>
                <w:rFonts w:ascii="Arial" w:hAnsi="Arial" w:cs="Arial"/>
                <w:b/>
                <w:bCs/>
                <w:sz w:val="22"/>
                <w:szCs w:val="22"/>
              </w:rPr>
            </w:pPr>
            <w:r w:rsidRPr="00227EEC">
              <w:rPr>
                <w:rFonts w:ascii="Arial" w:hAnsi="Arial" w:cs="Arial"/>
                <w:b/>
                <w:bCs/>
                <w:sz w:val="22"/>
                <w:szCs w:val="22"/>
              </w:rPr>
              <w:t>Náklady vlastního kapitálu</w:t>
            </w:r>
          </w:p>
        </w:tc>
        <w:tc>
          <w:tcPr>
            <w:tcW w:w="800" w:type="dxa"/>
            <w:tcBorders>
              <w:top w:val="single" w:sz="8" w:space="0" w:color="auto"/>
              <w:left w:val="nil"/>
              <w:bottom w:val="single" w:sz="8" w:space="0" w:color="auto"/>
              <w:right w:val="single" w:sz="8" w:space="0" w:color="auto"/>
            </w:tcBorders>
            <w:shd w:val="clear" w:color="000000" w:fill="BFBFBF"/>
            <w:noWrap/>
            <w:vAlign w:val="center"/>
            <w:hideMark/>
          </w:tcPr>
          <w:p w:rsidR="001A4D11" w:rsidRPr="00227EEC" w:rsidRDefault="001A4D11" w:rsidP="008808F3">
            <w:pPr>
              <w:rPr>
                <w:rFonts w:ascii="Arial" w:hAnsi="Arial" w:cs="Arial"/>
                <w:b/>
                <w:bCs/>
                <w:sz w:val="22"/>
                <w:szCs w:val="22"/>
              </w:rPr>
            </w:pPr>
            <w:r w:rsidRPr="00227EEC">
              <w:rPr>
                <w:rFonts w:ascii="Arial" w:hAnsi="Arial" w:cs="Arial"/>
                <w:b/>
                <w:bCs/>
                <w:sz w:val="22"/>
                <w:szCs w:val="22"/>
              </w:rPr>
              <w:t> </w:t>
            </w:r>
          </w:p>
        </w:tc>
        <w:tc>
          <w:tcPr>
            <w:tcW w:w="1500" w:type="dxa"/>
            <w:tcBorders>
              <w:top w:val="single" w:sz="8" w:space="0" w:color="auto"/>
              <w:left w:val="nil"/>
              <w:bottom w:val="single" w:sz="8" w:space="0" w:color="auto"/>
              <w:right w:val="single" w:sz="8" w:space="0" w:color="auto"/>
            </w:tcBorders>
            <w:shd w:val="clear" w:color="000000" w:fill="BFBFBF"/>
            <w:noWrap/>
            <w:vAlign w:val="center"/>
            <w:hideMark/>
          </w:tcPr>
          <w:p w:rsidR="001A4D11" w:rsidRPr="00227EEC" w:rsidRDefault="001A4D11" w:rsidP="008808F3">
            <w:pPr>
              <w:jc w:val="right"/>
              <w:rPr>
                <w:rFonts w:ascii="Arial" w:hAnsi="Arial" w:cs="Arial"/>
                <w:b/>
                <w:bCs/>
                <w:sz w:val="22"/>
                <w:szCs w:val="22"/>
                <w:highlight w:val="yellow"/>
              </w:rPr>
            </w:pPr>
            <w:r w:rsidRPr="00227EEC">
              <w:rPr>
                <w:rFonts w:ascii="Arial" w:hAnsi="Arial" w:cs="Arial"/>
                <w:b/>
                <w:bCs/>
                <w:sz w:val="22"/>
                <w:szCs w:val="22"/>
              </w:rPr>
              <w:t> </w:t>
            </w:r>
          </w:p>
        </w:tc>
      </w:tr>
      <w:tr w:rsidR="001A4D11" w:rsidTr="008808F3">
        <w:trPr>
          <w:trHeight w:hRule="exact" w:val="318"/>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Bezriziková výnosová míra</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proofErr w:type="spellStart"/>
            <w:r w:rsidRPr="00227EEC">
              <w:rPr>
                <w:rFonts w:ascii="Arial" w:hAnsi="Arial" w:cs="Arial"/>
                <w:sz w:val="22"/>
                <w:szCs w:val="22"/>
              </w:rPr>
              <w:t>r</w:t>
            </w:r>
            <w:r w:rsidRPr="00227EEC">
              <w:rPr>
                <w:rFonts w:ascii="Arial" w:hAnsi="Arial" w:cs="Arial"/>
                <w:sz w:val="22"/>
                <w:szCs w:val="22"/>
                <w:vertAlign w:val="subscript"/>
              </w:rPr>
              <w:t>f</w:t>
            </w:r>
            <w:proofErr w:type="spellEnd"/>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sz w:val="22"/>
                <w:szCs w:val="22"/>
                <w:highlight w:val="yellow"/>
              </w:rPr>
            </w:pPr>
            <w:r w:rsidRPr="00227EEC">
              <w:rPr>
                <w:rFonts w:ascii="Arial" w:hAnsi="Arial" w:cs="Arial"/>
                <w:sz w:val="22"/>
                <w:szCs w:val="22"/>
              </w:rPr>
              <w:t>1,64 %</w:t>
            </w:r>
          </w:p>
        </w:tc>
      </w:tr>
      <w:tr w:rsidR="001A4D11" w:rsidTr="008808F3">
        <w:trPr>
          <w:trHeight w:hRule="exact" w:val="318"/>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Tržní riziková prémie</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ERP</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sz w:val="22"/>
                <w:szCs w:val="22"/>
                <w:highlight w:val="yellow"/>
              </w:rPr>
            </w:pPr>
            <w:r w:rsidRPr="00227EEC">
              <w:rPr>
                <w:rFonts w:ascii="Arial" w:hAnsi="Arial" w:cs="Arial"/>
                <w:sz w:val="22"/>
                <w:szCs w:val="22"/>
              </w:rPr>
              <w:t>5,70 %</w:t>
            </w:r>
          </w:p>
        </w:tc>
      </w:tr>
      <w:tr w:rsidR="001A4D11" w:rsidTr="008808F3">
        <w:trPr>
          <w:trHeight w:hRule="exact" w:val="318"/>
        </w:trPr>
        <w:tc>
          <w:tcPr>
            <w:tcW w:w="2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Asset beta</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color w:val="000000"/>
                <w:sz w:val="22"/>
                <w:szCs w:val="22"/>
              </w:rPr>
            </w:pPr>
            <w:r w:rsidRPr="00227EEC">
              <w:rPr>
                <w:rFonts w:ascii="Arial" w:hAnsi="Arial" w:cs="Arial"/>
                <w:color w:val="000000"/>
                <w:sz w:val="22"/>
                <w:szCs w:val="22"/>
              </w:rPr>
              <w:t>β</w:t>
            </w:r>
            <w:r w:rsidRPr="00227EEC">
              <w:rPr>
                <w:rFonts w:ascii="Arial" w:hAnsi="Arial" w:cs="Arial"/>
                <w:color w:val="000000"/>
                <w:sz w:val="22"/>
                <w:szCs w:val="22"/>
                <w:vertAlign w:val="subscript"/>
              </w:rPr>
              <w:t>a</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sz w:val="22"/>
                <w:szCs w:val="22"/>
                <w:highlight w:val="yellow"/>
              </w:rPr>
            </w:pPr>
            <w:r w:rsidRPr="00227EEC">
              <w:rPr>
                <w:rFonts w:ascii="Arial" w:hAnsi="Arial" w:cs="Arial"/>
                <w:sz w:val="22"/>
                <w:szCs w:val="22"/>
              </w:rPr>
              <w:t>0,41</w:t>
            </w:r>
          </w:p>
        </w:tc>
      </w:tr>
      <w:tr w:rsidR="001A4D11" w:rsidTr="008808F3">
        <w:trPr>
          <w:trHeight w:hRule="exact" w:val="318"/>
        </w:trPr>
        <w:tc>
          <w:tcPr>
            <w:tcW w:w="2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Equity beta</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color w:val="000000"/>
                <w:sz w:val="22"/>
                <w:szCs w:val="22"/>
              </w:rPr>
            </w:pPr>
            <w:r w:rsidRPr="00227EEC">
              <w:rPr>
                <w:rFonts w:ascii="Arial" w:hAnsi="Arial" w:cs="Arial"/>
                <w:color w:val="000000"/>
                <w:sz w:val="22"/>
                <w:szCs w:val="22"/>
              </w:rPr>
              <w:t>β</w:t>
            </w:r>
            <w:r w:rsidRPr="00227EEC">
              <w:rPr>
                <w:rFonts w:ascii="Arial" w:hAnsi="Arial" w:cs="Arial"/>
                <w:color w:val="000000"/>
                <w:sz w:val="22"/>
                <w:szCs w:val="22"/>
                <w:vertAlign w:val="subscript"/>
              </w:rPr>
              <w:t>e</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sz w:val="22"/>
                <w:szCs w:val="22"/>
                <w:highlight w:val="yellow"/>
              </w:rPr>
            </w:pPr>
            <w:r w:rsidRPr="00227EEC">
              <w:rPr>
                <w:rFonts w:ascii="Arial" w:hAnsi="Arial" w:cs="Arial"/>
                <w:sz w:val="22"/>
                <w:szCs w:val="22"/>
              </w:rPr>
              <w:t>0,64</w:t>
            </w:r>
          </w:p>
        </w:tc>
      </w:tr>
      <w:tr w:rsidR="001A4D11" w:rsidTr="008808F3">
        <w:trPr>
          <w:trHeight w:hRule="exact" w:val="318"/>
        </w:trPr>
        <w:tc>
          <w:tcPr>
            <w:tcW w:w="2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11" w:rsidRPr="00227EEC" w:rsidRDefault="001A4D11" w:rsidP="008808F3">
            <w:pPr>
              <w:rPr>
                <w:rFonts w:ascii="Arial" w:hAnsi="Arial" w:cs="Arial"/>
                <w:sz w:val="22"/>
                <w:szCs w:val="22"/>
              </w:rPr>
            </w:pPr>
            <w:r w:rsidRPr="00227EEC">
              <w:rPr>
                <w:rFonts w:ascii="Arial" w:hAnsi="Arial" w:cs="Arial"/>
                <w:sz w:val="22"/>
                <w:szCs w:val="22"/>
              </w:rPr>
              <w:t>Beta dluhu</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color w:val="000000"/>
                <w:sz w:val="22"/>
                <w:szCs w:val="22"/>
              </w:rPr>
            </w:pPr>
            <w:r w:rsidRPr="00227EEC">
              <w:rPr>
                <w:rFonts w:ascii="Arial" w:hAnsi="Arial" w:cs="Arial"/>
                <w:color w:val="000000"/>
                <w:sz w:val="22"/>
                <w:szCs w:val="22"/>
              </w:rPr>
              <w:t>β</w:t>
            </w:r>
            <w:r w:rsidRPr="00227EEC">
              <w:rPr>
                <w:rFonts w:ascii="Arial" w:hAnsi="Arial" w:cs="Arial"/>
                <w:color w:val="000000"/>
                <w:sz w:val="22"/>
                <w:szCs w:val="22"/>
                <w:vertAlign w:val="subscript"/>
              </w:rPr>
              <w:t>d</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sz w:val="22"/>
                <w:szCs w:val="22"/>
                <w:highlight w:val="yellow"/>
              </w:rPr>
            </w:pPr>
            <w:r w:rsidRPr="00227EEC">
              <w:rPr>
                <w:rFonts w:ascii="Arial" w:hAnsi="Arial" w:cs="Arial"/>
                <w:sz w:val="22"/>
                <w:szCs w:val="22"/>
              </w:rPr>
              <w:t>0,10</w:t>
            </w:r>
          </w:p>
        </w:tc>
      </w:tr>
      <w:tr w:rsidR="001A4D11" w:rsidRPr="000D2C36" w:rsidTr="008808F3">
        <w:trPr>
          <w:trHeight w:hRule="exact" w:val="318"/>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b/>
                <w:bCs/>
                <w:sz w:val="22"/>
                <w:szCs w:val="22"/>
              </w:rPr>
            </w:pPr>
            <w:r w:rsidRPr="00227EEC">
              <w:rPr>
                <w:rFonts w:ascii="Arial" w:hAnsi="Arial" w:cs="Arial"/>
                <w:b/>
                <w:bCs/>
                <w:sz w:val="22"/>
                <w:szCs w:val="22"/>
              </w:rPr>
              <w:t>Náklady vlastního kapitálu</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rPr>
                <w:rFonts w:ascii="Arial" w:hAnsi="Arial" w:cs="Arial"/>
                <w:b/>
                <w:bCs/>
                <w:sz w:val="22"/>
                <w:szCs w:val="22"/>
              </w:rPr>
            </w:pPr>
            <w:r w:rsidRPr="00227EEC">
              <w:rPr>
                <w:rFonts w:ascii="Arial" w:hAnsi="Arial" w:cs="Arial"/>
                <w:sz w:val="22"/>
                <w:szCs w:val="22"/>
              </w:rPr>
              <w:t>r</w:t>
            </w:r>
            <w:r w:rsidRPr="00227EEC">
              <w:rPr>
                <w:rFonts w:ascii="Arial" w:hAnsi="Arial" w:cs="Arial"/>
                <w:sz w:val="22"/>
                <w:szCs w:val="22"/>
                <w:vertAlign w:val="subscript"/>
              </w:rPr>
              <w:t>e</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1A4D11" w:rsidRPr="00227EEC" w:rsidRDefault="001A4D11" w:rsidP="008808F3">
            <w:pPr>
              <w:jc w:val="right"/>
              <w:rPr>
                <w:rFonts w:ascii="Arial" w:hAnsi="Arial" w:cs="Arial"/>
                <w:b/>
                <w:bCs/>
                <w:sz w:val="22"/>
                <w:szCs w:val="22"/>
              </w:rPr>
            </w:pPr>
            <w:r w:rsidRPr="00227EEC">
              <w:rPr>
                <w:rFonts w:ascii="Arial" w:hAnsi="Arial" w:cs="Arial"/>
                <w:b/>
                <w:bCs/>
                <w:sz w:val="22"/>
                <w:szCs w:val="22"/>
              </w:rPr>
              <w:t>5,29 %</w:t>
            </w:r>
          </w:p>
        </w:tc>
      </w:tr>
    </w:tbl>
    <w:p w:rsidR="001A4D11" w:rsidRPr="00227EEC" w:rsidRDefault="001A4D11" w:rsidP="00227EEC">
      <w:pPr>
        <w:spacing w:before="240" w:after="240"/>
        <w:ind w:firstLine="709"/>
        <w:jc w:val="both"/>
        <w:rPr>
          <w:rFonts w:ascii="Arial" w:hAnsi="Arial" w:cs="Arial"/>
          <w:sz w:val="22"/>
          <w:szCs w:val="22"/>
        </w:rPr>
      </w:pPr>
      <w:r w:rsidRPr="00227EEC">
        <w:rPr>
          <w:rFonts w:ascii="Arial" w:hAnsi="Arial" w:cs="Arial"/>
          <w:sz w:val="22"/>
          <w:szCs w:val="22"/>
        </w:rPr>
        <w:t>Samostatně je v čl. 5 odst. 3 opatření obecné povahy č. OOP/4/09.2014-6 stanoveno procento návratnosti vloženého kapitálu před zdaněním WACC pro službu přístupu na přístupových sítích nové generace v souladu s Doporučením Komise ze dne 20. září 2010 o regulovaném přístupu k přístupovým sítím nové generace (NGA) č. 2010/572/EU (dále „doporučení“) a služby poskytované prostřednictvím sítě 5G. Přístupovými sítěmi nové generace se rozumí přístupové sítě, které sestávají zcela nebo z části z optických prvků a které jsou schopné dodávat služby širokopásmového přístupu s dokonalejšími vlastnostmi (např. s vyšší propustností) ve srovnání se službami poskytovanými prostřednictvím stávajících sítí založených na kovovém vedení. Doporučení ukládá vnitrostátním regulačním orgánům při stanovování ceny za zpřístupnění účastnického vedení z optického vlákna a za přístup k infrastruktuře FTTH/FTTB zohlednit toto zvýšené riziko ve formě rizikové prémie zahrnuté v nákladech kapitálu. Z důvodu zajištění konzistentního přístupu pro zohlednění rizika souvisejícího s investicí do budování nových 5G sítí, jak jej uplatnil v aukci na kmitočty 700 MHz, Úřad připouští uplatnění rizikové přirážky i na služby přístupu v sítích 5G.</w:t>
      </w:r>
    </w:p>
    <w:p w:rsidR="001A4D11" w:rsidRPr="00227EEC" w:rsidRDefault="001A4D11" w:rsidP="00227EEC">
      <w:pPr>
        <w:spacing w:after="240"/>
        <w:ind w:firstLine="708"/>
        <w:jc w:val="both"/>
        <w:rPr>
          <w:rFonts w:ascii="Arial" w:hAnsi="Arial" w:cs="Arial"/>
          <w:sz w:val="22"/>
          <w:szCs w:val="22"/>
        </w:rPr>
      </w:pPr>
      <w:r w:rsidRPr="00227EEC">
        <w:rPr>
          <w:rFonts w:ascii="Arial" w:hAnsi="Arial" w:cs="Arial"/>
          <w:sz w:val="22"/>
          <w:szCs w:val="22"/>
        </w:rPr>
        <w:t xml:space="preserve">Riziková přirážka pro NGA byla v OOP/4/02.2019-2 stanovena na základě hodnocení dílčích rizik v případě sítí NGA relativně ve vztahu k rizikům běžných sítí. Byl využit model komplexní stavebnicové metody pro odhad nákladů vlastního kapitálu publikovaný prof. </w:t>
      </w:r>
      <w:r w:rsidRPr="00227EEC">
        <w:rPr>
          <w:rFonts w:ascii="Arial" w:hAnsi="Arial" w:cs="Arial"/>
          <w:sz w:val="22"/>
          <w:szCs w:val="22"/>
        </w:rPr>
        <w:lastRenderedPageBreak/>
        <w:t>Maříkem</w:t>
      </w:r>
      <w:r w:rsidRPr="00227EEC">
        <w:rPr>
          <w:rStyle w:val="Znakapoznpodarou"/>
          <w:rFonts w:ascii="Arial" w:hAnsi="Arial" w:cs="Arial"/>
          <w:sz w:val="22"/>
          <w:szCs w:val="22"/>
        </w:rPr>
        <w:footnoteReference w:id="26"/>
      </w:r>
      <w:r w:rsidRPr="00227EEC">
        <w:rPr>
          <w:rFonts w:ascii="Arial" w:hAnsi="Arial" w:cs="Arial"/>
          <w:sz w:val="22"/>
          <w:szCs w:val="22"/>
        </w:rPr>
        <w:t>. Tato metoda spočívá v rozčlenění celkového rizika na jednotlivá dílčí rizika, která jsou pak samostatně hodnocena. Hodnocení rizika sítí NGA není prováděno absolutně, ale relativně ve vztahu k běžným rizikům (např. metalických sítí). Výsledkem je koeficient celkového rizika (poměr rizika v rámci sítí NGA vůči rizikům ostatních sítí), kterým se následně vynásobí procento návratnosti vloženého kapitálu před zdaněním stanovené v odstavci 2 pro stanovený podnik zajištující sítě elektronických komunikací nebo poskytující veřejně dostupnou službu, čímž se získá procento návratnosti vloženého kapitálu před zdaněním WACC pro službu přístupu na přístupových sítích nové generace stanovené v odstavci 3.</w:t>
      </w:r>
    </w:p>
    <w:p w:rsidR="001A4D11" w:rsidRPr="00227EEC" w:rsidRDefault="001A4D11" w:rsidP="00227EEC">
      <w:pPr>
        <w:spacing w:after="240"/>
        <w:ind w:firstLine="708"/>
        <w:jc w:val="both"/>
        <w:rPr>
          <w:rFonts w:ascii="Arial" w:hAnsi="Arial" w:cs="Arial"/>
          <w:sz w:val="22"/>
          <w:szCs w:val="22"/>
        </w:rPr>
      </w:pPr>
      <w:r w:rsidRPr="00227EEC">
        <w:rPr>
          <w:rFonts w:ascii="Arial" w:hAnsi="Arial" w:cs="Arial"/>
          <w:sz w:val="22"/>
          <w:szCs w:val="22"/>
        </w:rPr>
        <w:t xml:space="preserve">Při výpočtu hodnoty WACC v odstavci 3 Úřad převzal vyhodnocení rizik prováděné poradenskou společností Grant Thornton Valuations, a.s. v roce 2018 (viz odůvodnění OOP/4/02.2019-2) a aplikoval koeficient celkového rizika ve výši 119,375 % v předchozím odstavci popsaným způsobem. </w:t>
      </w:r>
    </w:p>
    <w:p w:rsidR="001A4D11" w:rsidRPr="00227EEC" w:rsidRDefault="001A4D11" w:rsidP="00227EEC">
      <w:pPr>
        <w:spacing w:after="240"/>
        <w:ind w:firstLine="708"/>
        <w:jc w:val="both"/>
        <w:rPr>
          <w:rFonts w:ascii="Arial" w:hAnsi="Arial" w:cs="Arial"/>
          <w:sz w:val="22"/>
          <w:szCs w:val="22"/>
        </w:rPr>
      </w:pPr>
      <w:r w:rsidRPr="00227EEC">
        <w:rPr>
          <w:rFonts w:ascii="Arial" w:hAnsi="Arial" w:cs="Arial"/>
          <w:sz w:val="22"/>
          <w:szCs w:val="22"/>
        </w:rPr>
        <w:t xml:space="preserve">Článek 2 stanoví účinnost opatření obecné povahy, tak aby zohledňovala běžné účetní období. </w:t>
      </w:r>
    </w:p>
    <w:p w:rsidR="001A4D11" w:rsidRPr="00227EEC" w:rsidRDefault="001A4D11" w:rsidP="008808F3">
      <w:pPr>
        <w:shd w:val="clear" w:color="auto" w:fill="FFFFFF"/>
        <w:spacing w:before="120" w:after="100" w:afterAutospacing="1"/>
        <w:ind w:left="425"/>
        <w:jc w:val="center"/>
        <w:rPr>
          <w:rFonts w:ascii="Arial" w:hAnsi="Arial" w:cs="Arial"/>
          <w:sz w:val="22"/>
          <w:szCs w:val="22"/>
        </w:rPr>
      </w:pPr>
      <w:r w:rsidRPr="00227EEC">
        <w:rPr>
          <w:rFonts w:ascii="Arial" w:hAnsi="Arial" w:cs="Arial"/>
          <w:sz w:val="22"/>
          <w:szCs w:val="22"/>
        </w:rPr>
        <w:t>***</w:t>
      </w:r>
    </w:p>
    <w:p w:rsidR="001A4D11" w:rsidRPr="00227EEC" w:rsidRDefault="001A4D11" w:rsidP="00227EEC">
      <w:pPr>
        <w:spacing w:after="240"/>
        <w:ind w:firstLine="708"/>
        <w:jc w:val="both"/>
        <w:rPr>
          <w:rFonts w:ascii="Arial" w:hAnsi="Arial" w:cs="Arial"/>
          <w:sz w:val="22"/>
          <w:szCs w:val="22"/>
        </w:rPr>
      </w:pPr>
      <w:r w:rsidRPr="00227EEC">
        <w:rPr>
          <w:rFonts w:ascii="Arial" w:hAnsi="Arial" w:cs="Arial"/>
          <w:sz w:val="22"/>
          <w:szCs w:val="22"/>
        </w:rPr>
        <w:t xml:space="preserve">Na základě § 130 zákona a podle Pravidel Českého telekomunikačního úřadu pro vedení konzultací na diskusním místě (dále jen „Pravidla“) Úřad zveřejnil dne 13. července 2022 návrh opatření obecné povahy č. OOP/4/XX.2022-Y a výzvu k podávání připomínek na diskusním místě. </w:t>
      </w:r>
    </w:p>
    <w:p w:rsidR="001A4D11" w:rsidRPr="00227EEC" w:rsidRDefault="001A4D11" w:rsidP="00227EEC">
      <w:pPr>
        <w:spacing w:after="240"/>
        <w:ind w:firstLine="708"/>
        <w:jc w:val="both"/>
        <w:rPr>
          <w:rFonts w:ascii="Arial" w:hAnsi="Arial" w:cs="Arial"/>
          <w:sz w:val="22"/>
          <w:szCs w:val="22"/>
        </w:rPr>
      </w:pPr>
      <w:r w:rsidRPr="00227EEC">
        <w:rPr>
          <w:rFonts w:ascii="Arial" w:hAnsi="Arial" w:cs="Arial"/>
          <w:sz w:val="22"/>
          <w:szCs w:val="22"/>
        </w:rPr>
        <w:t xml:space="preserve">V rámci </w:t>
      </w:r>
      <w:hyperlink r:id="rId41" w:history="1">
        <w:r w:rsidRPr="00227EEC">
          <w:rPr>
            <w:rStyle w:val="Hypertextovodkaz"/>
            <w:rFonts w:ascii="Arial" w:hAnsi="Arial" w:cs="Arial"/>
            <w:sz w:val="22"/>
            <w:szCs w:val="22"/>
          </w:rPr>
          <w:t>veřejné konzultace</w:t>
        </w:r>
      </w:hyperlink>
      <w:r w:rsidRPr="00227EEC">
        <w:rPr>
          <w:rFonts w:ascii="Arial" w:hAnsi="Arial" w:cs="Arial"/>
          <w:sz w:val="22"/>
          <w:szCs w:val="22"/>
        </w:rPr>
        <w:t xml:space="preserve"> Úřad obdržel ve lhůtě stanovisko ke konzultovanému návrhu od společnosti CETIN a.s. (dále jen „CETIN“) a po uplynutí lhůty pro podání připomínek byly Úřadu doručeny připomínky společnosti O2 Czech Republic, a.s. (dále jen „O2“) </w:t>
      </w:r>
    </w:p>
    <w:p w:rsidR="001A4D11" w:rsidRPr="00227EEC" w:rsidRDefault="001A4D11" w:rsidP="00227EEC">
      <w:pPr>
        <w:spacing w:after="240"/>
        <w:ind w:firstLine="708"/>
        <w:jc w:val="both"/>
        <w:rPr>
          <w:rFonts w:ascii="Arial" w:hAnsi="Arial" w:cs="Arial"/>
          <w:sz w:val="22"/>
          <w:szCs w:val="22"/>
        </w:rPr>
      </w:pPr>
      <w:r w:rsidRPr="00227EEC">
        <w:rPr>
          <w:rFonts w:ascii="Arial" w:hAnsi="Arial" w:cs="Arial"/>
          <w:sz w:val="22"/>
          <w:szCs w:val="22"/>
        </w:rPr>
        <w:t xml:space="preserve">Podle článku 9 Pravidel Úřad vypořádá připomínky uplatněné dotčeným subjektem ve stanovené lhůtě, přičemž stanoviska a názory uplatněné dotčenými subjekty k návrhu opatření se podle článku 9 odst. 4 nevypořádávají, Úřad k nim však přihlédne v konečném znění opatření. </w:t>
      </w:r>
    </w:p>
    <w:p w:rsidR="001A4D11" w:rsidRPr="00227EEC" w:rsidRDefault="001A4D11" w:rsidP="00227EEC">
      <w:pPr>
        <w:spacing w:after="240"/>
        <w:ind w:firstLine="708"/>
        <w:jc w:val="both"/>
        <w:rPr>
          <w:rFonts w:ascii="Arial" w:hAnsi="Arial" w:cs="Arial"/>
          <w:sz w:val="22"/>
          <w:szCs w:val="22"/>
        </w:rPr>
      </w:pPr>
      <w:r w:rsidRPr="00227EEC">
        <w:rPr>
          <w:rFonts w:ascii="Arial" w:hAnsi="Arial" w:cs="Arial"/>
          <w:sz w:val="22"/>
          <w:szCs w:val="22"/>
        </w:rPr>
        <w:t xml:space="preserve">Úřad neobdržel ve lhůtě žádné připomínky, které by byl povinen vypořádat a výsledky veřejné konzultace, včetně vypořádání připomínek, podle článku 9 odst. 5 Pravidel zveřejnit na elektronické úřední desce. Nicméně obdrženým stanoviskem a připomínkami se Úřad zabýval s následujícími závěry. </w:t>
      </w:r>
    </w:p>
    <w:p w:rsidR="001A4D11" w:rsidRPr="00601B16" w:rsidRDefault="001A4D11" w:rsidP="001A4D11">
      <w:pPr>
        <w:pStyle w:val="Default"/>
        <w:ind w:firstLine="708"/>
        <w:jc w:val="both"/>
        <w:rPr>
          <w:rFonts w:cs="Times New Roman"/>
          <w:color w:val="auto"/>
          <w:sz w:val="22"/>
          <w:szCs w:val="20"/>
        </w:rPr>
      </w:pPr>
      <w:r w:rsidRPr="00601B16">
        <w:rPr>
          <w:rFonts w:cs="Times New Roman"/>
          <w:color w:val="auto"/>
          <w:sz w:val="22"/>
          <w:szCs w:val="20"/>
        </w:rPr>
        <w:t xml:space="preserve">Společnost O2 v rámci obecných připomínek uvádí, že regulovaná hodnota WACC patří mezi sledované ukazatele ze strany investorů do telekomunikačního sektoru. Z tohoto pohledu může snížení hodnoty regulovaného WACC oproti reálné situaci na trhu negativně ovlivnit objem investic do telekomunikační infrastruktury, atraktivitu tohoto odvětví a celkovou investiční motivaci, jelikož determinuje návratnost aplikovanou zejména v regulovaných rozhodnutí Úřadu. Nízká hodnota WACC přináší také zvýšení nejistoty pro dlouhodobé investiční rozhodování společností působících na trhu. </w:t>
      </w:r>
    </w:p>
    <w:p w:rsidR="001A4D11" w:rsidRPr="00601B16" w:rsidRDefault="001A4D11" w:rsidP="001A4D11">
      <w:pPr>
        <w:pStyle w:val="Default"/>
        <w:rPr>
          <w:color w:val="auto"/>
          <w:sz w:val="22"/>
          <w:szCs w:val="22"/>
        </w:rPr>
      </w:pPr>
    </w:p>
    <w:p w:rsidR="001A4D11" w:rsidRPr="00601B16" w:rsidRDefault="001A4D11" w:rsidP="00227EEC">
      <w:pPr>
        <w:pStyle w:val="Default"/>
        <w:spacing w:after="160"/>
        <w:ind w:firstLine="709"/>
        <w:jc w:val="both"/>
        <w:rPr>
          <w:color w:val="auto"/>
          <w:sz w:val="22"/>
          <w:szCs w:val="22"/>
        </w:rPr>
      </w:pPr>
      <w:r w:rsidRPr="00601B16">
        <w:rPr>
          <w:color w:val="auto"/>
          <w:sz w:val="22"/>
          <w:szCs w:val="22"/>
        </w:rPr>
        <w:t xml:space="preserve">Dále společnosti O2 souhlasí s tím, že BEREC zahrnul do peer group oproti minulému reportu společnost z východní Evropy, která jak je zřejmé z tabulky č. 3 vykazuje výrazně jiné ekonomické ukazatele a tím výrazným způsobem ovlivňuje výši WACC. Bohužel je tato geografická část členských zemí EU výrazně </w:t>
      </w:r>
      <w:proofErr w:type="spellStart"/>
      <w:r w:rsidRPr="00601B16">
        <w:rPr>
          <w:color w:val="auto"/>
          <w:sz w:val="22"/>
          <w:szCs w:val="22"/>
        </w:rPr>
        <w:t>podvážena</w:t>
      </w:r>
      <w:proofErr w:type="spellEnd"/>
      <w:r w:rsidRPr="00601B16">
        <w:rPr>
          <w:color w:val="auto"/>
          <w:sz w:val="22"/>
          <w:szCs w:val="22"/>
        </w:rPr>
        <w:t xml:space="preserve"> z důvodu nižšího veřejného úpisu společností z těchto členských zemí na burze a regulovaný WACC pak neodpovídá realitě tržního prostředí. Úřad a BEREC by se měli snažit přesvědčit Evropskou komisi o potřebě </w:t>
      </w:r>
      <w:r w:rsidRPr="00601B16">
        <w:rPr>
          <w:color w:val="auto"/>
          <w:sz w:val="22"/>
          <w:szCs w:val="22"/>
        </w:rPr>
        <w:lastRenderedPageBreak/>
        <w:t>revize Sdělení Komise, které by více reflektovalo průměrnou tržní realitu, když nynější metodika reflektuje spíše realitu západní části zemí EU.</w:t>
      </w:r>
    </w:p>
    <w:p w:rsidR="001A4D11" w:rsidRPr="00227EEC" w:rsidRDefault="001A4D11" w:rsidP="00227EEC">
      <w:pPr>
        <w:pStyle w:val="Default"/>
        <w:spacing w:after="160"/>
        <w:ind w:firstLine="709"/>
        <w:jc w:val="both"/>
        <w:rPr>
          <w:color w:val="auto"/>
          <w:sz w:val="22"/>
          <w:szCs w:val="22"/>
        </w:rPr>
      </w:pPr>
      <w:r w:rsidRPr="00227EEC">
        <w:rPr>
          <w:color w:val="auto"/>
          <w:sz w:val="22"/>
          <w:szCs w:val="22"/>
        </w:rPr>
        <w:t>Úřad souhlasí se společností O2, že kritéria pro výběr společnosti do peer group daná Sdělením Komise způsobují výrazně nižší zastoupení společností působících mimo západní země EU. Jak se ukázalo v praxi, je pro společnosti mimo západní část EU obtížně tato kritéria splnit i v případě, že akcie těchto společnosti jsou veřejně obchodovány. V souvislosti se smyslem připomínky je nicméně potřeba upozornit, že zahrnutí většího počtu společností působících ve východní a střední Evropě nemusí nutně vést ke zvýšení WACC očekávanému ze strany O2.</w:t>
      </w:r>
    </w:p>
    <w:p w:rsidR="001A4D11" w:rsidRPr="00601B16" w:rsidRDefault="001A4D11" w:rsidP="001A4D11">
      <w:pPr>
        <w:pStyle w:val="Default"/>
        <w:spacing w:after="160"/>
        <w:ind w:firstLine="709"/>
        <w:jc w:val="both"/>
        <w:rPr>
          <w:color w:val="auto"/>
          <w:sz w:val="22"/>
          <w:szCs w:val="22"/>
        </w:rPr>
      </w:pPr>
      <w:r w:rsidRPr="00601B16">
        <w:rPr>
          <w:color w:val="auto"/>
          <w:sz w:val="22"/>
          <w:szCs w:val="22"/>
        </w:rPr>
        <w:t xml:space="preserve">Dále společnost O2 navrhuje v předmětném mezidobí aktualizaci rizikové přirážky pro NGA sítě. Požadavek odůvodňuje tím, že Úřad přistoupil při určení rizikové přirážky pro NGA k aplikaci koeficientu celkového rizika vypočteného v roce 2018 (119,375 %) a výsledná hodnota WACC pro sítě NGA se tak jeví jako nízká. Dále O2 uvádí, že od roku 2022 zahrnuje WACC s rizikovou přirážkou také 5G sítě, které jistě čelí v posledních letech vyšší intenzitě konkurence než starší technologie (např. z původně 3 držitelů přídělů rádiových kmitočtů pro mobilní sítě jich je nyní 6). Také fixní NGA sítě (typicky optické sítě) ale čelí vyššímu riziku než v roce 2018, ať už se jedná o navýšení konkurence v oblasti výstavby optických sítí nebo extrémně rostoucí ceně materiálu i práce, která se projevuje ve zhoršující se návratnosti výstavby NGA sítí. </w:t>
      </w:r>
    </w:p>
    <w:p w:rsidR="001A4D11" w:rsidRPr="00601B16" w:rsidRDefault="001A4D11" w:rsidP="001A4D11">
      <w:pPr>
        <w:pStyle w:val="Default"/>
        <w:spacing w:after="160"/>
        <w:ind w:firstLine="709"/>
        <w:jc w:val="both"/>
        <w:rPr>
          <w:color w:val="auto"/>
          <w:sz w:val="22"/>
          <w:szCs w:val="22"/>
        </w:rPr>
      </w:pPr>
      <w:r w:rsidRPr="00601B16">
        <w:rPr>
          <w:color w:val="auto"/>
          <w:sz w:val="22"/>
          <w:szCs w:val="22"/>
        </w:rPr>
        <w:t xml:space="preserve">Stanovisko společnosti CETIN směřuje rovněž k navrženému procentu návratnosti vloženého kapitálu před zdaněním WACC s NGA, stanovené v článku 5 odst. 3, které považuje za velmi nízké, zejména proto, že nezohledňuje aktuálně se rychle měnící podmínky na kapitálovém trhu a výrazný nárůst úrokových sazeb pro nově uzavírané úvěry. Upozorňuje, že z tohoto pohledu může být očekáváná návratnost investice při využití navržené míry WACC nedostatečně motivační pro realizaci nových projektů. </w:t>
      </w:r>
    </w:p>
    <w:p w:rsidR="001A4D11" w:rsidRPr="00601B16" w:rsidRDefault="001A4D11" w:rsidP="001A4D11">
      <w:pPr>
        <w:pStyle w:val="Default"/>
        <w:spacing w:after="160"/>
        <w:ind w:firstLine="709"/>
        <w:jc w:val="both"/>
        <w:rPr>
          <w:color w:val="auto"/>
          <w:sz w:val="22"/>
          <w:szCs w:val="22"/>
        </w:rPr>
      </w:pPr>
      <w:r w:rsidRPr="00601B16">
        <w:rPr>
          <w:color w:val="auto"/>
          <w:sz w:val="22"/>
          <w:szCs w:val="22"/>
        </w:rPr>
        <w:t xml:space="preserve">CETIN uvádí, že dlouhodobý výnos z investování do burzovních indexů odhaduje kolem 7 %, ale vývoj základních sazeb v eurozóně a v České republice je rozdílný. Nicméně, výpočet dluhopisové prémie se provádí na vzorku společností, které mají v drtivé většině financování v eurech a jejich sídla jsou v rámci eurozóny. Tudíž dluhová prémie se pro ČR a financování v CZK může lišit a nemusí odpovídat realitě kapitálového trhu v ČR.  CETIN považuje za potřebné, s ohledem na míru harmonizace způsobu výpočtu míry WACC v rámci Evropské unie, aby se na evropské úrovni otevřela revize příslušných usměrnění. </w:t>
      </w:r>
    </w:p>
    <w:p w:rsidR="001A4D11" w:rsidRPr="00D35D59" w:rsidRDefault="001A4D11" w:rsidP="001A4D11">
      <w:pPr>
        <w:pStyle w:val="Default"/>
        <w:spacing w:after="160"/>
        <w:ind w:firstLine="709"/>
        <w:jc w:val="both"/>
        <w:rPr>
          <w:color w:val="auto"/>
          <w:sz w:val="22"/>
          <w:szCs w:val="22"/>
        </w:rPr>
      </w:pPr>
      <w:r w:rsidRPr="00D35D59">
        <w:rPr>
          <w:color w:val="auto"/>
          <w:sz w:val="22"/>
          <w:szCs w:val="22"/>
        </w:rPr>
        <w:t xml:space="preserve">Úřad si je plně vědom, že s rozvojem digitalizace vyvstává potřeba podpory investic do nových sítí zajišťujících kvalitní služby pro naplnění cílů digitalizace společnosti. Pravidla pro zavedení rizikové přirážky jsou stanoveny </w:t>
      </w:r>
      <w:hyperlink r:id="rId42" w:history="1">
        <w:r w:rsidRPr="00346348">
          <w:rPr>
            <w:rStyle w:val="Hypertextovodkaz"/>
            <w:sz w:val="22"/>
            <w:szCs w:val="22"/>
          </w:rPr>
          <w:t>Doporučením Komise ze dne 20. září 2010 o regulovaném přístupu k přístupovým sítím nové generace (NGA) (2010/572/EU)</w:t>
        </w:r>
      </w:hyperlink>
      <w:r w:rsidRPr="00D35D59">
        <w:rPr>
          <w:color w:val="auto"/>
          <w:sz w:val="22"/>
          <w:szCs w:val="22"/>
        </w:rPr>
        <w:t xml:space="preserve">, které nyní prochází ze strany Evropské komise revizí. Podle bodu 6 a 8 Přílohy I tohoto doporučení je hlavním důvodem pro uplatnění rizikové přirážky zejména nejistota týkající se maloobchodní a velkoobchodní poptávky a jakmile bude maloobchodní i velkoobchodní poptávka z velké míry splněna, nemusí již být riziková prémie odůvodněná. Úřad, stejně tak jako doporučení, si je vědom i dalších vlivů pro uplatnění rizikové přirážky, a to nejistota týkající se nákladů na zavedení, inženýrských staveb a manažerského provedení, nejistota týkající se technologického pokroku, nejistota týkající se dynamiky trhu a rozvíjející se situace v oblasti hospodářské soutěže, například míra hospodářské soutěže v oblasti infrastruktury a makroekonomická nejistota. Všechny tyto faktory se mohou v průběhu času měnit a Úřad se bude jejich přehodnocením a následným promítnutím do výše rizikové prémie zabývat v rámci příští aktualizace WACC v příštím roce. </w:t>
      </w:r>
    </w:p>
    <w:p w:rsidR="001A4D11" w:rsidRPr="00D35D59" w:rsidRDefault="001A4D11" w:rsidP="001A4D11">
      <w:pPr>
        <w:pStyle w:val="Default"/>
        <w:spacing w:after="160"/>
        <w:ind w:firstLine="709"/>
        <w:jc w:val="both"/>
        <w:rPr>
          <w:color w:val="auto"/>
          <w:sz w:val="22"/>
          <w:szCs w:val="22"/>
        </w:rPr>
      </w:pPr>
      <w:r w:rsidRPr="00D35D59">
        <w:rPr>
          <w:color w:val="auto"/>
          <w:sz w:val="22"/>
          <w:szCs w:val="22"/>
        </w:rPr>
        <w:t xml:space="preserve">Úřad považuje za důležité upozornit v souvislosti s připomínkou na to, že dle článku 5 odst. 3 tohoto opatření a v souladu s uvedeným doporučením Komise se stanovuje výše rizikové přirážky </w:t>
      </w:r>
      <w:r w:rsidRPr="00D35D59">
        <w:rPr>
          <w:color w:val="auto"/>
          <w:sz w:val="22"/>
          <w:szCs w:val="22"/>
          <w:u w:val="single"/>
        </w:rPr>
        <w:t xml:space="preserve">pro regulatorní účely pro stanovený podnik, tedy operátora s významnou tržní silou </w:t>
      </w:r>
      <w:r w:rsidRPr="00D35D59">
        <w:rPr>
          <w:color w:val="auto"/>
          <w:sz w:val="22"/>
          <w:szCs w:val="22"/>
        </w:rPr>
        <w:t xml:space="preserve">a pouze pro službu přístupu k sítím FTTH/FTTB. K rozšíření využití rizikové přirážky i na </w:t>
      </w:r>
      <w:r w:rsidRPr="00D35D59">
        <w:rPr>
          <w:color w:val="auto"/>
          <w:sz w:val="22"/>
          <w:szCs w:val="22"/>
        </w:rPr>
        <w:lastRenderedPageBreak/>
        <w:t xml:space="preserve">sítě 5G Úřad přistoupil z důvodu zajištění konzistentního přístupu pro zohlednění rizika souvisejícího s investicí do nových 5G sítí, jak jej uplatnil v aukci na kmitočty 700 MHz a s přihlédnutím k Doporučení komise (EU) 2020/1307 ze dne 18. září 2020 o společném souboru nástrojů Unie ke snížení nákladů na zavedení sítí s velmi vysokou kapacitou a zajištění včasného přístupu k rádiovému spektru 5G příznivému pro investice v zájmu posílení konektivity na podporu hospodářského oživení po krizi COVID-19 v Unii. Toto doporučení má za cíl navrhnout opatření motivující k včasnému zavádění udržitelných sítí elektronických komunikací s velmi vysokou kapacitou, včetně sítí 5G. </w:t>
      </w:r>
    </w:p>
    <w:p w:rsidR="001A4D11" w:rsidRPr="00D35D59" w:rsidRDefault="001A4D11" w:rsidP="001A4D11">
      <w:pPr>
        <w:pStyle w:val="Default"/>
        <w:spacing w:after="160"/>
        <w:ind w:firstLine="709"/>
        <w:jc w:val="both"/>
        <w:rPr>
          <w:color w:val="auto"/>
          <w:sz w:val="22"/>
          <w:szCs w:val="22"/>
        </w:rPr>
      </w:pPr>
      <w:r w:rsidRPr="00D35D59">
        <w:rPr>
          <w:color w:val="auto"/>
          <w:sz w:val="22"/>
          <w:szCs w:val="22"/>
        </w:rPr>
        <w:t xml:space="preserve">Nicméně podle Úřadu by měla mít stanovená výše rizikové přirážky pouze omezený dopad a vliv na motivaci investorů pro budování optických sítí a sítí 5G. Operátoři, kteří nejsou stanovenými podniky dle definice tohoto opatření, mohou v cenách svých maloobchodních a velkoobchodních služeb využívat výši zisku nezávislou na tomto opatření obecné povahy.   </w:t>
      </w:r>
    </w:p>
    <w:p w:rsidR="001A4D11" w:rsidRPr="00BC6844" w:rsidRDefault="001A4D11" w:rsidP="001A4D11">
      <w:pPr>
        <w:shd w:val="clear" w:color="auto" w:fill="FFFFFF"/>
        <w:spacing w:before="120" w:after="100" w:afterAutospacing="1"/>
        <w:ind w:left="425"/>
        <w:jc w:val="center"/>
        <w:rPr>
          <w:rFonts w:cs="Arial"/>
          <w:szCs w:val="22"/>
        </w:rPr>
      </w:pPr>
      <w:r w:rsidRPr="00BC6844">
        <w:rPr>
          <w:rFonts w:cs="Arial"/>
          <w:szCs w:val="22"/>
        </w:rPr>
        <w:t>***</w:t>
      </w:r>
    </w:p>
    <w:p w:rsidR="001A4D11" w:rsidRDefault="001A4D11" w:rsidP="00227EEC">
      <w:pPr>
        <w:autoSpaceDE w:val="0"/>
        <w:autoSpaceDN w:val="0"/>
        <w:adjustRightInd w:val="0"/>
        <w:spacing w:after="120"/>
        <w:ind w:firstLine="709"/>
        <w:jc w:val="both"/>
        <w:rPr>
          <w:rFonts w:ascii="Arial" w:hAnsi="Arial" w:cs="Arial"/>
          <w:sz w:val="22"/>
          <w:szCs w:val="22"/>
        </w:rPr>
      </w:pPr>
      <w:r w:rsidRPr="00227EEC">
        <w:rPr>
          <w:rFonts w:ascii="Arial" w:hAnsi="Arial" w:cs="Arial"/>
          <w:sz w:val="22"/>
          <w:szCs w:val="22"/>
        </w:rPr>
        <w:t>Úřad podle § 131 zákona konzultoval návrh opatření obecné povahy s Evropskou komisí. Evropská komise dopisem ze dne 30. září 2022</w:t>
      </w:r>
      <w:r w:rsidRPr="00227EEC">
        <w:rPr>
          <w:rStyle w:val="Znakapoznpodarou"/>
          <w:rFonts w:ascii="Arial" w:hAnsi="Arial" w:cs="Arial"/>
          <w:sz w:val="22"/>
          <w:szCs w:val="22"/>
        </w:rPr>
        <w:footnoteReference w:id="27"/>
      </w:r>
      <w:r w:rsidRPr="00227EEC">
        <w:rPr>
          <w:rFonts w:ascii="Arial" w:hAnsi="Arial" w:cs="Arial"/>
          <w:sz w:val="22"/>
          <w:szCs w:val="22"/>
        </w:rPr>
        <w:t xml:space="preserve"> sdělila, že k předloženému návrhu nemá žádné připomínky.</w:t>
      </w:r>
    </w:p>
    <w:p w:rsidR="00051F9E" w:rsidRDefault="00445C91" w:rsidP="00051F9E">
      <w:pPr>
        <w:widowControl w:val="0"/>
        <w:autoSpaceDE w:val="0"/>
        <w:autoSpaceDN w:val="0"/>
        <w:adjustRightInd w:val="0"/>
        <w:spacing w:before="77"/>
        <w:ind w:right="-2"/>
        <w:rPr>
          <w:rFonts w:ascii="Arial" w:hAnsi="Arial" w:cs="Arial"/>
          <w:b/>
          <w:bCs/>
          <w:color w:val="000000"/>
          <w:sz w:val="22"/>
          <w:szCs w:val="22"/>
        </w:rPr>
      </w:pPr>
      <w:r w:rsidRPr="00852FF0">
        <w:rPr>
          <w:rFonts w:ascii="Arial" w:hAnsi="Arial" w:cs="Arial"/>
          <w:b/>
          <w:bCs/>
          <w:sz w:val="22"/>
          <w:szCs w:val="22"/>
          <w:highlight w:val="yellow"/>
        </w:rPr>
        <w:t xml:space="preserve">Odůvodnění k opatření obecné povahy č. </w:t>
      </w:r>
      <w:r w:rsidRPr="00852FF0">
        <w:rPr>
          <w:rFonts w:ascii="Arial" w:hAnsi="Arial" w:cs="Arial"/>
          <w:b/>
          <w:bCs/>
          <w:color w:val="000000"/>
          <w:sz w:val="22"/>
          <w:szCs w:val="22"/>
          <w:highlight w:val="yellow"/>
        </w:rPr>
        <w:t>OOP/4/</w:t>
      </w:r>
      <w:r>
        <w:rPr>
          <w:rFonts w:ascii="Arial" w:hAnsi="Arial" w:cs="Arial"/>
          <w:b/>
          <w:bCs/>
          <w:color w:val="000000"/>
          <w:sz w:val="22"/>
          <w:szCs w:val="22"/>
          <w:highlight w:val="yellow"/>
        </w:rPr>
        <w:t>11</w:t>
      </w:r>
      <w:r w:rsidRPr="00852FF0">
        <w:rPr>
          <w:rFonts w:ascii="Arial" w:hAnsi="Arial" w:cs="Arial"/>
          <w:b/>
          <w:bCs/>
          <w:color w:val="000000"/>
          <w:sz w:val="22"/>
          <w:szCs w:val="22"/>
          <w:highlight w:val="yellow"/>
        </w:rPr>
        <w:t>.20</w:t>
      </w:r>
      <w:r>
        <w:rPr>
          <w:rFonts w:ascii="Arial" w:hAnsi="Arial" w:cs="Arial"/>
          <w:b/>
          <w:bCs/>
          <w:color w:val="000000"/>
          <w:sz w:val="22"/>
          <w:szCs w:val="22"/>
          <w:highlight w:val="yellow"/>
        </w:rPr>
        <w:t>23</w:t>
      </w:r>
      <w:r w:rsidRPr="00852FF0">
        <w:rPr>
          <w:rFonts w:ascii="Arial" w:hAnsi="Arial" w:cs="Arial"/>
          <w:b/>
          <w:bCs/>
          <w:color w:val="000000"/>
          <w:sz w:val="22"/>
          <w:szCs w:val="22"/>
          <w:highlight w:val="yellow"/>
        </w:rPr>
        <w:t>-</w:t>
      </w:r>
      <w:r>
        <w:rPr>
          <w:rFonts w:ascii="Arial" w:hAnsi="Arial" w:cs="Arial"/>
          <w:b/>
          <w:bCs/>
          <w:color w:val="000000"/>
          <w:sz w:val="22"/>
          <w:szCs w:val="22"/>
          <w:highlight w:val="yellow"/>
        </w:rPr>
        <w:t>7</w:t>
      </w:r>
      <w:r w:rsidRPr="00852FF0">
        <w:rPr>
          <w:rFonts w:ascii="Arial" w:hAnsi="Arial" w:cs="Arial"/>
          <w:b/>
          <w:bCs/>
          <w:color w:val="000000"/>
          <w:sz w:val="22"/>
          <w:szCs w:val="22"/>
          <w:highlight w:val="yellow"/>
        </w:rPr>
        <w:t xml:space="preserve"> ze dne </w:t>
      </w:r>
      <w:r>
        <w:rPr>
          <w:rFonts w:ascii="Arial" w:hAnsi="Arial" w:cs="Arial"/>
          <w:b/>
          <w:bCs/>
          <w:color w:val="000000"/>
          <w:sz w:val="22"/>
          <w:szCs w:val="22"/>
          <w:highlight w:val="yellow"/>
        </w:rPr>
        <w:t>7</w:t>
      </w:r>
      <w:r w:rsidRPr="00852FF0">
        <w:rPr>
          <w:rFonts w:ascii="Arial" w:hAnsi="Arial" w:cs="Arial"/>
          <w:b/>
          <w:bCs/>
          <w:color w:val="000000"/>
          <w:sz w:val="22"/>
          <w:szCs w:val="22"/>
          <w:highlight w:val="yellow"/>
        </w:rPr>
        <w:t xml:space="preserve">. </w:t>
      </w:r>
      <w:r>
        <w:rPr>
          <w:rFonts w:ascii="Arial" w:hAnsi="Arial" w:cs="Arial"/>
          <w:b/>
          <w:bCs/>
          <w:color w:val="000000"/>
          <w:sz w:val="22"/>
          <w:szCs w:val="22"/>
          <w:highlight w:val="yellow"/>
        </w:rPr>
        <w:t>listopadu</w:t>
      </w:r>
      <w:r w:rsidRPr="00852FF0">
        <w:rPr>
          <w:rFonts w:ascii="Arial" w:hAnsi="Arial" w:cs="Arial"/>
          <w:b/>
          <w:bCs/>
          <w:color w:val="000000"/>
          <w:sz w:val="22"/>
          <w:szCs w:val="22"/>
          <w:highlight w:val="yellow"/>
        </w:rPr>
        <w:t xml:space="preserve"> 2</w:t>
      </w:r>
      <w:r w:rsidRPr="00AD1494">
        <w:rPr>
          <w:rFonts w:ascii="Arial" w:hAnsi="Arial" w:cs="Arial"/>
          <w:b/>
          <w:bCs/>
          <w:color w:val="000000"/>
          <w:sz w:val="22"/>
          <w:szCs w:val="22"/>
          <w:highlight w:val="yellow"/>
        </w:rPr>
        <w:t>0</w:t>
      </w:r>
      <w:r w:rsidRPr="002E1D53">
        <w:rPr>
          <w:rFonts w:ascii="Arial" w:hAnsi="Arial" w:cs="Arial"/>
          <w:b/>
          <w:bCs/>
          <w:color w:val="000000"/>
          <w:sz w:val="22"/>
          <w:szCs w:val="22"/>
          <w:highlight w:val="yellow"/>
        </w:rPr>
        <w:t>2</w:t>
      </w:r>
      <w:r w:rsidRPr="00445C91">
        <w:rPr>
          <w:rFonts w:ascii="Arial" w:hAnsi="Arial" w:cs="Arial"/>
          <w:b/>
          <w:bCs/>
          <w:color w:val="000000"/>
          <w:sz w:val="22"/>
          <w:szCs w:val="22"/>
          <w:highlight w:val="yellow"/>
        </w:rPr>
        <w:t>3</w:t>
      </w:r>
    </w:p>
    <w:p w:rsidR="00051F9E" w:rsidRPr="00051F9E" w:rsidRDefault="00051F9E" w:rsidP="00051F9E">
      <w:pPr>
        <w:widowControl w:val="0"/>
        <w:autoSpaceDE w:val="0"/>
        <w:autoSpaceDN w:val="0"/>
        <w:adjustRightInd w:val="0"/>
        <w:spacing w:before="77"/>
        <w:ind w:right="-2"/>
        <w:rPr>
          <w:rFonts w:ascii="Arial" w:hAnsi="Arial" w:cs="Arial"/>
          <w:b/>
          <w:bCs/>
          <w:color w:val="000000"/>
          <w:sz w:val="22"/>
          <w:szCs w:val="22"/>
        </w:rPr>
      </w:pPr>
    </w:p>
    <w:p w:rsidR="006260E6" w:rsidRPr="00051F9E" w:rsidRDefault="006260E6" w:rsidP="00051F9E">
      <w:pPr>
        <w:keepNext/>
        <w:keepLines/>
        <w:autoSpaceDE w:val="0"/>
        <w:autoSpaceDN w:val="0"/>
        <w:adjustRightInd w:val="0"/>
        <w:spacing w:after="240"/>
        <w:ind w:firstLine="708"/>
        <w:jc w:val="both"/>
        <w:rPr>
          <w:rFonts w:ascii="Arial" w:hAnsi="Arial" w:cs="Arial"/>
          <w:sz w:val="22"/>
          <w:szCs w:val="22"/>
        </w:rPr>
      </w:pPr>
      <w:r w:rsidRPr="00051F9E">
        <w:rPr>
          <w:rFonts w:ascii="Arial" w:hAnsi="Arial" w:cs="Arial"/>
          <w:sz w:val="22"/>
          <w:szCs w:val="22"/>
        </w:rPr>
        <w:t xml:space="preserve">V opatření obecné povahy č. OOP/4/09.2014-6, kterým se stanoví metodika účelového členění nákladů a výnosů a jejich přiřazování a určuje se struktura vykazovaných informací, vydaném dne 3. září 2014, stanovil Český telekomunikační úřad hodnoty WACC, využívané pro stanovení nákladů vloženého kapitálu při vedení oddělené evidence nákladů a výnosů, vyúčtování čistých nákladů na poskytování univerzální služby a pro cenovou regulaci.  </w:t>
      </w:r>
    </w:p>
    <w:p w:rsidR="006260E6" w:rsidRPr="00051F9E" w:rsidRDefault="006260E6" w:rsidP="00051F9E">
      <w:pPr>
        <w:keepNext/>
        <w:keepLines/>
        <w:autoSpaceDE w:val="0"/>
        <w:autoSpaceDN w:val="0"/>
        <w:adjustRightInd w:val="0"/>
        <w:spacing w:after="240"/>
        <w:ind w:firstLine="708"/>
        <w:jc w:val="both"/>
        <w:rPr>
          <w:rFonts w:ascii="Arial" w:hAnsi="Arial" w:cs="Arial"/>
          <w:sz w:val="22"/>
          <w:szCs w:val="22"/>
        </w:rPr>
      </w:pPr>
      <w:r w:rsidRPr="00051F9E">
        <w:rPr>
          <w:rFonts w:ascii="Arial" w:hAnsi="Arial" w:cs="Arial"/>
          <w:sz w:val="22"/>
          <w:szCs w:val="22"/>
        </w:rPr>
        <w:t xml:space="preserve">Aktualizaci Úřad provedl v roce 2015 (opatřením obecné povahy č. OOP/4/12.2015-7 ze dne 8. prosince 2015), v roce 2019 (opatřením obecné povahy č. OOP/4/02.2019-2 ze dne 26. února 2019), v roce 2021 (opatřením obecné povahy č. OOP/4/10.2021-10 ze dne 26. října 2021) a v roce 2022 (opatřením obecné povahy č. OOP/4/10.2022-20 ze dne 17. října 2022). </w:t>
      </w:r>
    </w:p>
    <w:p w:rsidR="006260E6" w:rsidRDefault="006260E6" w:rsidP="00051F9E">
      <w:pPr>
        <w:autoSpaceDE w:val="0"/>
        <w:autoSpaceDN w:val="0"/>
        <w:adjustRightInd w:val="0"/>
        <w:spacing w:after="240"/>
        <w:ind w:firstLine="708"/>
        <w:jc w:val="both"/>
        <w:rPr>
          <w:rFonts w:cs="Arial"/>
          <w:szCs w:val="22"/>
        </w:rPr>
      </w:pPr>
      <w:r w:rsidRPr="00051F9E">
        <w:rPr>
          <w:rFonts w:ascii="Arial" w:hAnsi="Arial" w:cs="Arial"/>
          <w:sz w:val="22"/>
          <w:szCs w:val="22"/>
        </w:rPr>
        <w:t>Evropská komise (dále jen „EK“ nebo „Komise“) publikovala dne 6. listopadu</w:t>
      </w:r>
      <w:r>
        <w:rPr>
          <w:rFonts w:ascii="ArialMT" w:hAnsi="ArialMT" w:cs="ArialMT"/>
          <w:szCs w:val="22"/>
        </w:rPr>
        <w:t xml:space="preserve"> 2019 v Úředním věstníku Sdělení Komise o výpočtu nákladů kapitálu u starší infrastruktury v souvislosti s přezkumem vnitrostátních oznámení v odvětví elektronických komunikací EU prováděných Komisí</w:t>
      </w:r>
      <w:r>
        <w:rPr>
          <w:rStyle w:val="Znakapoznpodarou"/>
          <w:rFonts w:ascii="ArialMT" w:hAnsi="ArialMT" w:cs="ArialMT"/>
          <w:szCs w:val="22"/>
        </w:rPr>
        <w:footnoteReference w:id="28"/>
      </w:r>
      <w:r>
        <w:rPr>
          <w:rFonts w:ascii="ArialMT" w:hAnsi="ArialMT" w:cs="ArialMT"/>
          <w:szCs w:val="22"/>
        </w:rPr>
        <w:t xml:space="preserve"> (dále jen „Sdělení WACC“).   </w:t>
      </w:r>
    </w:p>
    <w:p w:rsidR="006260E6" w:rsidRPr="00051F9E" w:rsidRDefault="006260E6" w:rsidP="00051F9E">
      <w:pPr>
        <w:spacing w:after="240"/>
        <w:ind w:firstLine="708"/>
        <w:jc w:val="both"/>
        <w:rPr>
          <w:rFonts w:ascii="Arial" w:hAnsi="Arial" w:cs="Arial"/>
          <w:sz w:val="22"/>
          <w:szCs w:val="22"/>
        </w:rPr>
      </w:pPr>
      <w:r w:rsidRPr="00051F9E">
        <w:rPr>
          <w:rFonts w:ascii="Arial" w:hAnsi="Arial" w:cs="Arial"/>
          <w:sz w:val="22"/>
          <w:szCs w:val="22"/>
        </w:rPr>
        <w:t>Toto Sdělení WACC stanoví metodiku pro výpočet průměrných vážených nákladů kapitálu (WACC), kterou Komise používá od 1. července 2020 při přezkumu oznámení dle článku 32 nového evropského kodexu pro elektronické komunikace</w:t>
      </w:r>
      <w:r w:rsidRPr="00051F9E">
        <w:rPr>
          <w:rStyle w:val="Znakapoznpodarou"/>
          <w:rFonts w:ascii="Arial" w:hAnsi="Arial" w:cs="Arial"/>
          <w:sz w:val="22"/>
          <w:szCs w:val="22"/>
        </w:rPr>
        <w:footnoteReference w:id="29"/>
      </w:r>
      <w:r w:rsidRPr="00051F9E">
        <w:rPr>
          <w:rFonts w:ascii="Arial" w:hAnsi="Arial" w:cs="Arial"/>
          <w:sz w:val="22"/>
          <w:szCs w:val="22"/>
        </w:rPr>
        <w:t>. Komise zaznamenala značné rozdíly při stanovování WACC u služeb poskytovaných prostřednictvím sítí elektronických komunikací a má za to, že tyto metodologické nesrovnalosti mohou narušovat investiční pobídky na jednotném digitálním trhu a poškozovat rozvoj vnitřního trhu tím, že brání vytváření harmonizovaných podmínek pro investice do sítí elektronických komunikací. Účelem tohoto Sdělení WACC je zvýšit konzistentnost stanovení WACC v celé EU. Oblast působnosti tohoto sdělení je omezena na výpočet WACC pro starší infrastrukturu. Starší</w:t>
      </w:r>
      <w:r>
        <w:rPr>
          <w:rFonts w:cs="Arial"/>
          <w:szCs w:val="22"/>
        </w:rPr>
        <w:t xml:space="preserve"> </w:t>
      </w:r>
      <w:r w:rsidRPr="00051F9E">
        <w:rPr>
          <w:rFonts w:ascii="Arial" w:hAnsi="Arial" w:cs="Arial"/>
          <w:sz w:val="22"/>
          <w:szCs w:val="22"/>
        </w:rPr>
        <w:t>infrastrukturou</w:t>
      </w:r>
      <w:r>
        <w:rPr>
          <w:rFonts w:cs="Arial"/>
          <w:szCs w:val="22"/>
        </w:rPr>
        <w:t xml:space="preserve"> </w:t>
      </w:r>
      <w:r w:rsidRPr="00051F9E">
        <w:rPr>
          <w:rFonts w:ascii="Arial" w:hAnsi="Arial" w:cs="Arial"/>
          <w:sz w:val="22"/>
          <w:szCs w:val="22"/>
        </w:rPr>
        <w:lastRenderedPageBreak/>
        <w:t xml:space="preserve">se pro účely Sdělení rozumí infrastruktura operátora s významnou tržní silou, na kterou se nevztahuje prémie za přístupové sítě nové generace (NGA). </w:t>
      </w:r>
    </w:p>
    <w:p w:rsidR="006260E6" w:rsidRPr="00051F9E" w:rsidRDefault="006260E6" w:rsidP="00051F9E">
      <w:pPr>
        <w:spacing w:after="240"/>
        <w:ind w:firstLine="708"/>
        <w:jc w:val="both"/>
        <w:rPr>
          <w:rFonts w:ascii="Arial" w:hAnsi="Arial" w:cs="Arial"/>
          <w:sz w:val="22"/>
          <w:szCs w:val="22"/>
        </w:rPr>
      </w:pPr>
      <w:r w:rsidRPr="00051F9E">
        <w:rPr>
          <w:rFonts w:ascii="Arial" w:hAnsi="Arial" w:cs="Arial"/>
          <w:sz w:val="22"/>
          <w:szCs w:val="22"/>
        </w:rPr>
        <w:t xml:space="preserve">V souladu s bodem 64 Sdělení WACC publikuje od roku 2020 Sdružení BEREC každoročně zprávu pod názvem „BEREC Report on </w:t>
      </w:r>
      <w:r w:rsidRPr="00051F9E">
        <w:rPr>
          <w:rFonts w:ascii="Arial" w:hAnsi="Arial" w:cs="Arial"/>
          <w:sz w:val="22"/>
          <w:szCs w:val="22"/>
          <w:lang w:val="en-GB"/>
        </w:rPr>
        <w:t>WACC parameter calculations according to the European Commission´s WACC Notice of 6th November 2019</w:t>
      </w:r>
      <w:r w:rsidRPr="00051F9E">
        <w:rPr>
          <w:rFonts w:ascii="Arial" w:hAnsi="Arial" w:cs="Arial"/>
          <w:sz w:val="22"/>
          <w:szCs w:val="22"/>
        </w:rPr>
        <w:t>“, ve které stanovuje vstupní hodnoty jednotlivých dílčích vstupních proměnných ukazatele WACC pro každou členskou zemi, které jsou stanovení v souladu s metodikou danou Sdělením WACC (dále jen „Zpráva BEREC“). Úřad při stanovení hodnoty WACC v odstavci 2 vycházel ze Zprávy BEREC zveřejněné 8. června 2023</w:t>
      </w:r>
      <w:r w:rsidRPr="00051F9E">
        <w:rPr>
          <w:rStyle w:val="Znakapoznpodarou"/>
          <w:rFonts w:ascii="Arial" w:hAnsi="Arial" w:cs="Arial"/>
          <w:sz w:val="22"/>
          <w:szCs w:val="22"/>
        </w:rPr>
        <w:footnoteReference w:id="30"/>
      </w:r>
      <w:r w:rsidRPr="00051F9E">
        <w:rPr>
          <w:rFonts w:ascii="Arial" w:hAnsi="Arial" w:cs="Arial"/>
          <w:sz w:val="22"/>
          <w:szCs w:val="22"/>
        </w:rPr>
        <w:t xml:space="preserve">. V hodnotě WACC v odstavci 3 je zohledněna prémie za přístupové sítě s velmi vysokou kapacitou (VHCN) a její stanovení je popsáno dále. </w:t>
      </w:r>
    </w:p>
    <w:p w:rsidR="006260E6" w:rsidRPr="00051F9E" w:rsidRDefault="006260E6" w:rsidP="006260E6">
      <w:pPr>
        <w:spacing w:after="240"/>
        <w:ind w:firstLine="709"/>
        <w:rPr>
          <w:rFonts w:ascii="Arial" w:hAnsi="Arial" w:cs="Arial"/>
          <w:sz w:val="22"/>
          <w:szCs w:val="22"/>
        </w:rPr>
      </w:pPr>
      <w:r w:rsidRPr="00051F9E">
        <w:rPr>
          <w:rFonts w:ascii="Arial" w:hAnsi="Arial" w:cs="Arial"/>
          <w:sz w:val="22"/>
          <w:szCs w:val="22"/>
        </w:rPr>
        <w:t>Pro výpočet ukazatele WACC se používá následující vzorec:</w:t>
      </w:r>
    </w:p>
    <w:p w:rsidR="006260E6" w:rsidRDefault="006260E6" w:rsidP="006260E6">
      <w:pPr>
        <w:ind w:firstLine="708"/>
        <w:jc w:val="center"/>
        <w:rPr>
          <w:rFonts w:cs="Arial"/>
          <w:szCs w:val="22"/>
        </w:rPr>
      </w:pPr>
      <m:oMath>
        <m:r>
          <w:rPr>
            <w:rFonts w:ascii="Cambria Math" w:hAnsi="Cambria Math"/>
            <w:noProof/>
            <w:vertAlign w:val="subscript"/>
          </w:rPr>
          <m:t>WAC</m:t>
        </m:r>
        <m:sSub>
          <m:sSubPr>
            <m:ctrlPr>
              <w:rPr>
                <w:rFonts w:ascii="Cambria Math" w:hAnsi="Cambria Math"/>
                <w:noProof/>
                <w:vertAlign w:val="subscript"/>
              </w:rPr>
            </m:ctrlPr>
          </m:sSubPr>
          <m:e>
            <m:r>
              <w:rPr>
                <w:rFonts w:ascii="Cambria Math" w:hAnsi="Cambria Math"/>
                <w:noProof/>
                <w:vertAlign w:val="subscript"/>
              </w:rPr>
              <m:t>C</m:t>
            </m:r>
          </m:e>
          <m:sub>
            <m:r>
              <w:rPr>
                <w:rFonts w:ascii="Cambria Math" w:hAnsi="Cambria Math"/>
                <w:noProof/>
                <w:vertAlign w:val="subscript"/>
              </w:rPr>
              <m:t>AT</m:t>
            </m:r>
          </m:sub>
        </m:sSub>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r</m:t>
            </m:r>
          </m:e>
          <m:sub>
            <m:r>
              <w:rPr>
                <w:rFonts w:ascii="Cambria Math" w:hAnsi="Cambria Math"/>
                <w:noProof/>
                <w:vertAlign w:val="subscript"/>
              </w:rPr>
              <m:t>e</m:t>
            </m:r>
          </m:sub>
        </m:sSub>
        <m:r>
          <m:rPr>
            <m:sty m:val="p"/>
          </m:rPr>
          <w:rPr>
            <w:rFonts w:ascii="Cambria Math" w:hAnsi="Cambria Math"/>
            <w:noProof/>
            <w:vertAlign w:val="subscript"/>
          </w:rPr>
          <m:t>*</m:t>
        </m:r>
        <m:f>
          <m:fPr>
            <m:ctrlPr>
              <w:rPr>
                <w:rFonts w:ascii="Cambria Math" w:hAnsi="Cambria Math"/>
                <w:noProof/>
                <w:vertAlign w:val="subscript"/>
              </w:rPr>
            </m:ctrlPr>
          </m:fPr>
          <m:num>
            <m:r>
              <w:rPr>
                <w:rFonts w:ascii="Cambria Math" w:hAnsi="Cambria Math"/>
                <w:noProof/>
                <w:vertAlign w:val="subscript"/>
              </w:rPr>
              <m:t>E</m:t>
            </m:r>
          </m:num>
          <m:den>
            <m:r>
              <w:rPr>
                <w:rFonts w:ascii="Cambria Math" w:hAnsi="Cambria Math"/>
                <w:noProof/>
                <w:vertAlign w:val="subscript"/>
              </w:rPr>
              <m:t>D</m:t>
            </m:r>
            <m:r>
              <m:rPr>
                <m:sty m:val="p"/>
              </m:rPr>
              <w:rPr>
                <w:rFonts w:ascii="Cambria Math" w:hAnsi="Cambria Math"/>
                <w:noProof/>
                <w:vertAlign w:val="subscript"/>
              </w:rPr>
              <m:t>+</m:t>
            </m:r>
            <m:r>
              <w:rPr>
                <w:rFonts w:ascii="Cambria Math" w:hAnsi="Cambria Math"/>
                <w:noProof/>
                <w:vertAlign w:val="subscript"/>
              </w:rPr>
              <m:t>E</m:t>
            </m:r>
          </m:den>
        </m:f>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r</m:t>
            </m:r>
          </m:e>
          <m:sub>
            <m:r>
              <w:rPr>
                <w:rFonts w:ascii="Cambria Math" w:hAnsi="Cambria Math"/>
                <w:noProof/>
                <w:vertAlign w:val="subscript"/>
              </w:rPr>
              <m:t>d</m:t>
            </m:r>
          </m:sub>
        </m:sSub>
        <m:r>
          <m:rPr>
            <m:sty m:val="p"/>
          </m:rPr>
          <w:rPr>
            <w:rFonts w:ascii="Cambria Math" w:hAnsi="Cambria Math"/>
            <w:noProof/>
            <w:vertAlign w:val="subscript"/>
          </w:rPr>
          <m:t>*(1-</m:t>
        </m:r>
        <m:r>
          <w:rPr>
            <w:rFonts w:ascii="Cambria Math" w:hAnsi="Cambria Math"/>
            <w:noProof/>
            <w:vertAlign w:val="subscript"/>
          </w:rPr>
          <m:t>t</m:t>
        </m:r>
        <m:r>
          <m:rPr>
            <m:sty m:val="p"/>
          </m:rPr>
          <w:rPr>
            <w:rFonts w:ascii="Cambria Math" w:hAnsi="Cambria Math"/>
            <w:noProof/>
            <w:vertAlign w:val="subscript"/>
          </w:rPr>
          <m:t>)*</m:t>
        </m:r>
        <m:f>
          <m:fPr>
            <m:ctrlPr>
              <w:rPr>
                <w:rFonts w:ascii="Cambria Math" w:hAnsi="Cambria Math"/>
                <w:noProof/>
                <w:vertAlign w:val="subscript"/>
              </w:rPr>
            </m:ctrlPr>
          </m:fPr>
          <m:num>
            <m:r>
              <w:rPr>
                <w:rFonts w:ascii="Cambria Math" w:hAnsi="Cambria Math"/>
                <w:noProof/>
                <w:vertAlign w:val="subscript"/>
              </w:rPr>
              <m:t>D</m:t>
            </m:r>
          </m:num>
          <m:den>
            <m:r>
              <w:rPr>
                <w:rFonts w:ascii="Cambria Math" w:hAnsi="Cambria Math"/>
                <w:noProof/>
                <w:vertAlign w:val="subscript"/>
              </w:rPr>
              <m:t>D</m:t>
            </m:r>
            <m:r>
              <m:rPr>
                <m:sty m:val="p"/>
              </m:rPr>
              <w:rPr>
                <w:rFonts w:ascii="Cambria Math" w:hAnsi="Cambria Math"/>
                <w:noProof/>
                <w:vertAlign w:val="subscript"/>
              </w:rPr>
              <m:t>+</m:t>
            </m:r>
            <m:r>
              <w:rPr>
                <w:rFonts w:ascii="Cambria Math" w:hAnsi="Cambria Math"/>
                <w:noProof/>
                <w:vertAlign w:val="subscript"/>
              </w:rPr>
              <m:t>E</m:t>
            </m:r>
          </m:den>
        </m:f>
      </m:oMath>
      <w:r>
        <w:rPr>
          <w:rFonts w:cs="Arial"/>
          <w:szCs w:val="22"/>
        </w:rPr>
        <w:t>,</w:t>
      </w:r>
    </w:p>
    <w:p w:rsidR="006260E6" w:rsidRPr="0003647E" w:rsidRDefault="006260E6" w:rsidP="006260E6">
      <w:pPr>
        <w:spacing w:before="120"/>
        <w:rPr>
          <w:rFonts w:ascii="Arial" w:hAnsi="Arial" w:cs="Arial"/>
          <w:noProof/>
          <w:sz w:val="22"/>
          <w:szCs w:val="22"/>
          <w:lang w:eastAsia="zh-TW"/>
        </w:rPr>
      </w:pPr>
      <w:r w:rsidRPr="0003647E">
        <w:rPr>
          <w:rFonts w:ascii="Arial" w:hAnsi="Arial" w:cs="Arial"/>
          <w:noProof/>
          <w:sz w:val="22"/>
          <w:szCs w:val="22"/>
          <w:lang w:eastAsia="zh-TW"/>
        </w:rPr>
        <w:t>kde:</w:t>
      </w:r>
    </w:p>
    <w:p w:rsidR="006260E6" w:rsidRPr="0003647E" w:rsidRDefault="006260E6" w:rsidP="006260E6">
      <w:pPr>
        <w:spacing w:before="60"/>
        <w:rPr>
          <w:rFonts w:ascii="Arial" w:hAnsi="Arial" w:cs="Arial"/>
          <w:noProof/>
          <w:sz w:val="22"/>
          <w:szCs w:val="22"/>
          <w:lang w:eastAsia="zh-TW"/>
        </w:rPr>
      </w:pPr>
      <w:r w:rsidRPr="0003647E">
        <w:rPr>
          <w:rFonts w:ascii="Arial" w:hAnsi="Arial" w:cs="Arial"/>
          <w:noProof/>
          <w:sz w:val="22"/>
          <w:szCs w:val="22"/>
          <w:lang w:eastAsia="zh-TW"/>
        </w:rPr>
        <w:t>WACC</w:t>
      </w:r>
      <w:r w:rsidRPr="0003647E">
        <w:rPr>
          <w:rFonts w:ascii="Arial" w:hAnsi="Arial" w:cs="Arial"/>
          <w:noProof/>
          <w:sz w:val="22"/>
          <w:szCs w:val="22"/>
          <w:vertAlign w:val="subscript"/>
          <w:lang w:eastAsia="zh-TW"/>
        </w:rPr>
        <w:tab/>
        <w:t>AT</w:t>
      </w:r>
      <w:r w:rsidRPr="0003647E">
        <w:rPr>
          <w:rFonts w:ascii="Arial" w:hAnsi="Arial" w:cs="Arial"/>
          <w:noProof/>
          <w:sz w:val="22"/>
          <w:szCs w:val="22"/>
          <w:lang w:eastAsia="zh-TW"/>
        </w:rPr>
        <w:tab/>
        <w:t>jsou průměrné vážené náklady kapitálu po zdanění,</w:t>
      </w:r>
    </w:p>
    <w:p w:rsidR="006260E6" w:rsidRPr="0003647E" w:rsidRDefault="006260E6" w:rsidP="006260E6">
      <w:pPr>
        <w:spacing w:before="60"/>
        <w:rPr>
          <w:rFonts w:ascii="Arial" w:hAnsi="Arial" w:cs="Arial"/>
          <w:noProof/>
          <w:sz w:val="22"/>
          <w:szCs w:val="22"/>
          <w:lang w:eastAsia="zh-TW"/>
        </w:rPr>
      </w:pPr>
      <w:r w:rsidRPr="0003647E">
        <w:rPr>
          <w:rFonts w:ascii="Arial" w:hAnsi="Arial" w:cs="Arial"/>
          <w:noProof/>
          <w:sz w:val="22"/>
          <w:szCs w:val="22"/>
          <w:lang w:eastAsia="zh-TW"/>
        </w:rPr>
        <w:t>r</w:t>
      </w:r>
      <w:r w:rsidRPr="0003647E">
        <w:rPr>
          <w:rFonts w:ascii="Arial" w:hAnsi="Arial" w:cs="Arial"/>
          <w:noProof/>
          <w:sz w:val="22"/>
          <w:szCs w:val="22"/>
          <w:vertAlign w:val="subscript"/>
          <w:lang w:eastAsia="zh-TW"/>
        </w:rPr>
        <w:t>e</w:t>
      </w:r>
      <w:r w:rsidRPr="0003647E">
        <w:rPr>
          <w:rFonts w:ascii="Arial" w:hAnsi="Arial" w:cs="Arial"/>
          <w:noProof/>
          <w:sz w:val="22"/>
          <w:szCs w:val="22"/>
          <w:lang w:eastAsia="zh-TW"/>
        </w:rPr>
        <w:tab/>
      </w:r>
      <w:r w:rsidRPr="0003647E">
        <w:rPr>
          <w:rFonts w:ascii="Arial" w:hAnsi="Arial" w:cs="Arial"/>
          <w:noProof/>
          <w:sz w:val="22"/>
          <w:szCs w:val="22"/>
          <w:lang w:eastAsia="zh-TW"/>
        </w:rPr>
        <w:tab/>
        <w:t>jsou náklady vlastního kapitálu,</w:t>
      </w:r>
    </w:p>
    <w:p w:rsidR="006260E6" w:rsidRPr="0003647E" w:rsidRDefault="006260E6" w:rsidP="006260E6">
      <w:pPr>
        <w:spacing w:before="60"/>
        <w:rPr>
          <w:rFonts w:ascii="Arial" w:hAnsi="Arial" w:cs="Arial"/>
          <w:noProof/>
          <w:sz w:val="22"/>
          <w:szCs w:val="22"/>
          <w:lang w:eastAsia="zh-TW"/>
        </w:rPr>
      </w:pPr>
      <w:r w:rsidRPr="0003647E">
        <w:rPr>
          <w:rFonts w:ascii="Arial" w:hAnsi="Arial" w:cs="Arial"/>
          <w:noProof/>
          <w:sz w:val="22"/>
          <w:szCs w:val="22"/>
          <w:lang w:eastAsia="zh-TW"/>
        </w:rPr>
        <w:t>r</w:t>
      </w:r>
      <w:r w:rsidRPr="0003647E">
        <w:rPr>
          <w:rFonts w:ascii="Arial" w:hAnsi="Arial" w:cs="Arial"/>
          <w:noProof/>
          <w:sz w:val="22"/>
          <w:szCs w:val="22"/>
          <w:vertAlign w:val="subscript"/>
          <w:lang w:eastAsia="zh-TW"/>
        </w:rPr>
        <w:t>d</w:t>
      </w:r>
      <w:r w:rsidRPr="0003647E">
        <w:rPr>
          <w:rFonts w:ascii="Arial" w:hAnsi="Arial" w:cs="Arial"/>
          <w:noProof/>
          <w:sz w:val="22"/>
          <w:szCs w:val="22"/>
          <w:lang w:eastAsia="zh-TW"/>
        </w:rPr>
        <w:tab/>
      </w:r>
      <w:r w:rsidRPr="0003647E">
        <w:rPr>
          <w:rFonts w:ascii="Arial" w:hAnsi="Arial" w:cs="Arial"/>
          <w:noProof/>
          <w:sz w:val="22"/>
          <w:szCs w:val="22"/>
          <w:lang w:eastAsia="zh-TW"/>
        </w:rPr>
        <w:tab/>
        <w:t>jsou náklady cizího kapitálu,</w:t>
      </w:r>
    </w:p>
    <w:p w:rsidR="006260E6" w:rsidRPr="0003647E" w:rsidRDefault="006260E6" w:rsidP="006260E6">
      <w:pPr>
        <w:spacing w:before="60"/>
        <w:rPr>
          <w:rFonts w:ascii="Arial" w:hAnsi="Arial" w:cs="Arial"/>
          <w:noProof/>
          <w:sz w:val="22"/>
          <w:szCs w:val="22"/>
          <w:lang w:eastAsia="zh-TW"/>
        </w:rPr>
      </w:pPr>
      <w:r w:rsidRPr="0003647E">
        <w:rPr>
          <w:rFonts w:ascii="Arial" w:hAnsi="Arial" w:cs="Arial"/>
          <w:noProof/>
          <w:sz w:val="22"/>
          <w:szCs w:val="22"/>
          <w:lang w:eastAsia="zh-TW"/>
        </w:rPr>
        <w:t>t</w:t>
      </w:r>
      <w:r w:rsidRPr="0003647E">
        <w:rPr>
          <w:rFonts w:ascii="Arial" w:hAnsi="Arial" w:cs="Arial"/>
          <w:noProof/>
          <w:sz w:val="22"/>
          <w:szCs w:val="22"/>
          <w:lang w:eastAsia="zh-TW"/>
        </w:rPr>
        <w:tab/>
      </w:r>
      <w:r w:rsidRPr="0003647E">
        <w:rPr>
          <w:rFonts w:ascii="Arial" w:hAnsi="Arial" w:cs="Arial"/>
          <w:noProof/>
          <w:sz w:val="22"/>
          <w:szCs w:val="22"/>
          <w:lang w:eastAsia="zh-TW"/>
        </w:rPr>
        <w:tab/>
        <w:t>je daňová sazba,</w:t>
      </w:r>
    </w:p>
    <w:p w:rsidR="006260E6" w:rsidRPr="0003647E" w:rsidRDefault="006260E6" w:rsidP="006260E6">
      <w:pPr>
        <w:spacing w:before="60"/>
        <w:rPr>
          <w:rFonts w:ascii="Arial" w:hAnsi="Arial" w:cs="Arial"/>
          <w:noProof/>
          <w:sz w:val="22"/>
          <w:szCs w:val="22"/>
          <w:lang w:eastAsia="zh-TW"/>
        </w:rPr>
      </w:pPr>
      <w:r w:rsidRPr="0003647E">
        <w:rPr>
          <w:rFonts w:ascii="Arial" w:hAnsi="Arial" w:cs="Arial"/>
          <w:noProof/>
          <w:sz w:val="22"/>
          <w:szCs w:val="22"/>
          <w:lang w:eastAsia="zh-TW"/>
        </w:rPr>
        <w:t>E</w:t>
      </w:r>
      <w:r w:rsidRPr="0003647E">
        <w:rPr>
          <w:rFonts w:ascii="Arial" w:hAnsi="Arial" w:cs="Arial"/>
          <w:noProof/>
          <w:sz w:val="22"/>
          <w:szCs w:val="22"/>
          <w:lang w:eastAsia="zh-TW"/>
        </w:rPr>
        <w:tab/>
      </w:r>
      <w:r w:rsidRPr="0003647E">
        <w:rPr>
          <w:rFonts w:ascii="Arial" w:hAnsi="Arial" w:cs="Arial"/>
          <w:noProof/>
          <w:sz w:val="22"/>
          <w:szCs w:val="22"/>
          <w:lang w:eastAsia="zh-TW"/>
        </w:rPr>
        <w:tab/>
        <w:t>je hodnota vlastního kapitálu společnosti,</w:t>
      </w:r>
    </w:p>
    <w:p w:rsidR="006260E6" w:rsidRPr="0003647E" w:rsidRDefault="006260E6" w:rsidP="006260E6">
      <w:pPr>
        <w:spacing w:before="60"/>
        <w:rPr>
          <w:rFonts w:ascii="Arial" w:hAnsi="Arial" w:cs="Arial"/>
          <w:noProof/>
          <w:sz w:val="22"/>
          <w:szCs w:val="22"/>
          <w:lang w:eastAsia="zh-TW"/>
        </w:rPr>
      </w:pPr>
      <w:r w:rsidRPr="0003647E">
        <w:rPr>
          <w:rFonts w:ascii="Arial" w:hAnsi="Arial" w:cs="Arial"/>
          <w:noProof/>
          <w:sz w:val="22"/>
          <w:szCs w:val="22"/>
          <w:lang w:eastAsia="zh-TW"/>
        </w:rPr>
        <w:t>D</w:t>
      </w:r>
      <w:r w:rsidRPr="0003647E">
        <w:rPr>
          <w:rFonts w:ascii="Arial" w:hAnsi="Arial" w:cs="Arial"/>
          <w:noProof/>
          <w:sz w:val="22"/>
          <w:szCs w:val="22"/>
          <w:lang w:eastAsia="zh-TW"/>
        </w:rPr>
        <w:tab/>
      </w:r>
      <w:r w:rsidRPr="0003647E">
        <w:rPr>
          <w:rFonts w:ascii="Arial" w:hAnsi="Arial" w:cs="Arial"/>
          <w:noProof/>
          <w:sz w:val="22"/>
          <w:szCs w:val="22"/>
          <w:lang w:eastAsia="zh-TW"/>
        </w:rPr>
        <w:tab/>
        <w:t>je hodnota cizího kapitálu společnosti,</w:t>
      </w:r>
    </w:p>
    <w:p w:rsidR="006260E6" w:rsidRPr="0003647E" w:rsidRDefault="006260E6" w:rsidP="006260E6">
      <w:pPr>
        <w:tabs>
          <w:tab w:val="left" w:pos="1418"/>
          <w:tab w:val="left" w:pos="1470"/>
          <w:tab w:val="left" w:pos="1950"/>
        </w:tabs>
        <w:rPr>
          <w:rFonts w:ascii="Arial" w:hAnsi="Arial" w:cs="Arial"/>
          <w:sz w:val="22"/>
          <w:szCs w:val="22"/>
          <w:lang w:eastAsia="zh-TW"/>
        </w:rPr>
      </w:pPr>
      <m:oMath>
        <m:f>
          <m:fPr>
            <m:ctrlPr>
              <w:rPr>
                <w:rFonts w:ascii="Cambria Math" w:hAnsi="Cambria Math" w:cs="Arial"/>
                <w:noProof/>
                <w:sz w:val="22"/>
                <w:szCs w:val="22"/>
                <w:vertAlign w:val="subscript"/>
              </w:rPr>
            </m:ctrlPr>
          </m:fPr>
          <m:num>
            <m:r>
              <w:rPr>
                <w:rFonts w:ascii="Cambria Math" w:hAnsi="Cambria Math" w:cs="Arial"/>
                <w:noProof/>
                <w:sz w:val="22"/>
                <w:szCs w:val="22"/>
                <w:vertAlign w:val="subscript"/>
              </w:rPr>
              <m:t>D</m:t>
            </m:r>
          </m:num>
          <m:den>
            <m:r>
              <w:rPr>
                <w:rFonts w:ascii="Cambria Math" w:hAnsi="Cambria Math" w:cs="Arial"/>
                <w:noProof/>
                <w:sz w:val="22"/>
                <w:szCs w:val="22"/>
                <w:vertAlign w:val="subscript"/>
              </w:rPr>
              <m:t>D</m:t>
            </m:r>
            <m:r>
              <m:rPr>
                <m:sty m:val="p"/>
              </m:rPr>
              <w:rPr>
                <w:rFonts w:ascii="Cambria Math" w:hAnsi="Cambria Math" w:cs="Arial"/>
                <w:noProof/>
                <w:sz w:val="22"/>
                <w:szCs w:val="22"/>
                <w:vertAlign w:val="subscript"/>
              </w:rPr>
              <m:t>+</m:t>
            </m:r>
            <m:r>
              <w:rPr>
                <w:rFonts w:ascii="Cambria Math" w:hAnsi="Cambria Math" w:cs="Arial"/>
                <w:noProof/>
                <w:sz w:val="22"/>
                <w:szCs w:val="22"/>
                <w:vertAlign w:val="subscript"/>
              </w:rPr>
              <m:t>E</m:t>
            </m:r>
          </m:den>
        </m:f>
      </m:oMath>
      <w:r w:rsidRPr="0003647E">
        <w:rPr>
          <w:rFonts w:ascii="Arial" w:hAnsi="Arial" w:cs="Arial"/>
          <w:sz w:val="22"/>
          <w:szCs w:val="22"/>
          <w:lang w:eastAsia="zh-TW"/>
        </w:rPr>
        <w:tab/>
        <w:t>je zadluženost (</w:t>
      </w:r>
      <w:proofErr w:type="spellStart"/>
      <w:r w:rsidRPr="0003647E">
        <w:rPr>
          <w:rFonts w:ascii="Arial" w:hAnsi="Arial" w:cs="Arial"/>
          <w:sz w:val="22"/>
          <w:szCs w:val="22"/>
          <w:lang w:eastAsia="zh-TW"/>
        </w:rPr>
        <w:t>gearing</w:t>
      </w:r>
      <w:proofErr w:type="spellEnd"/>
      <w:r w:rsidRPr="0003647E">
        <w:rPr>
          <w:rFonts w:ascii="Arial" w:hAnsi="Arial" w:cs="Arial"/>
          <w:sz w:val="22"/>
          <w:szCs w:val="22"/>
          <w:lang w:eastAsia="zh-TW"/>
        </w:rPr>
        <w:t>).</w:t>
      </w:r>
      <w:r w:rsidRPr="0003647E">
        <w:rPr>
          <w:rFonts w:ascii="Arial" w:hAnsi="Arial" w:cs="Arial"/>
          <w:sz w:val="22"/>
          <w:szCs w:val="22"/>
          <w:lang w:eastAsia="zh-TW"/>
        </w:rPr>
        <w:tab/>
      </w:r>
    </w:p>
    <w:p w:rsidR="006260E6" w:rsidRPr="006C78C7" w:rsidRDefault="006260E6" w:rsidP="006260E6">
      <w:pPr>
        <w:pStyle w:val="TASBodytext"/>
        <w:keepNext/>
        <w:keepLines/>
        <w:spacing w:before="240" w:after="240"/>
        <w:ind w:firstLine="709"/>
        <w:rPr>
          <w:sz w:val="22"/>
          <w:szCs w:val="22"/>
          <w:lang w:val="cs-CZ"/>
        </w:rPr>
      </w:pPr>
      <w:r w:rsidRPr="006C78C7">
        <w:rPr>
          <w:sz w:val="22"/>
          <w:szCs w:val="22"/>
          <w:lang w:val="cs-CZ"/>
        </w:rPr>
        <w:t>Pro regulatorní účely se použív</w:t>
      </w:r>
      <w:r>
        <w:rPr>
          <w:sz w:val="22"/>
          <w:szCs w:val="22"/>
          <w:lang w:val="cs-CZ"/>
        </w:rPr>
        <w:t>á</w:t>
      </w:r>
      <w:r w:rsidRPr="006C78C7">
        <w:rPr>
          <w:sz w:val="22"/>
          <w:szCs w:val="22"/>
          <w:lang w:val="cs-CZ"/>
        </w:rPr>
        <w:t xml:space="preserve"> </w:t>
      </w:r>
      <w:r>
        <w:rPr>
          <w:sz w:val="22"/>
          <w:szCs w:val="22"/>
          <w:lang w:val="cs-CZ"/>
        </w:rPr>
        <w:t>ukazatel WACC</w:t>
      </w:r>
      <w:r w:rsidRPr="006C78C7">
        <w:rPr>
          <w:sz w:val="22"/>
          <w:szCs w:val="22"/>
          <w:lang w:val="cs-CZ"/>
        </w:rPr>
        <w:t xml:space="preserve"> před zdaněním, pro jehož stanovení </w:t>
      </w:r>
      <w:r>
        <w:rPr>
          <w:sz w:val="22"/>
          <w:szCs w:val="22"/>
          <w:lang w:val="cs-CZ"/>
        </w:rPr>
        <w:t>byl využit</w:t>
      </w:r>
      <w:r w:rsidRPr="006C78C7">
        <w:rPr>
          <w:sz w:val="22"/>
          <w:szCs w:val="22"/>
          <w:lang w:val="cs-CZ"/>
        </w:rPr>
        <w:t xml:space="preserve"> následující vztah:</w:t>
      </w:r>
    </w:p>
    <w:p w:rsidR="006260E6" w:rsidRPr="005E1668" w:rsidRDefault="006260E6" w:rsidP="006260E6">
      <w:pPr>
        <w:pStyle w:val="TASBodytext"/>
        <w:keepNext/>
        <w:keepLines/>
        <w:spacing w:before="240"/>
        <w:jc w:val="center"/>
        <w:rPr>
          <w:sz w:val="22"/>
          <w:szCs w:val="22"/>
          <w:lang w:val="cs-CZ"/>
        </w:rPr>
      </w:pPr>
      <w:r w:rsidRPr="00017231">
        <w:rPr>
          <w:i/>
          <w:noProof/>
          <w:sz w:val="22"/>
          <w:szCs w:val="22"/>
          <w:lang w:val="cs-CZ"/>
        </w:rPr>
        <w:t>WACC</w:t>
      </w:r>
      <w:r w:rsidRPr="00017231">
        <w:rPr>
          <w:i/>
          <w:noProof/>
          <w:sz w:val="22"/>
          <w:szCs w:val="22"/>
          <w:vertAlign w:val="subscript"/>
          <w:lang w:val="cs-CZ"/>
        </w:rPr>
        <w:t xml:space="preserve">BT </w:t>
      </w:r>
      <w:r w:rsidRPr="00017231">
        <w:rPr>
          <w:i/>
          <w:noProof/>
          <w:sz w:val="22"/>
          <w:szCs w:val="22"/>
          <w:lang w:val="cs-CZ"/>
        </w:rPr>
        <w:t>= WACC</w:t>
      </w:r>
      <w:r w:rsidRPr="00017231">
        <w:rPr>
          <w:i/>
          <w:noProof/>
          <w:sz w:val="22"/>
          <w:szCs w:val="22"/>
          <w:vertAlign w:val="subscript"/>
          <w:lang w:val="cs-CZ"/>
        </w:rPr>
        <w:t>AT</w:t>
      </w:r>
      <w:r w:rsidRPr="00017231">
        <w:rPr>
          <w:i/>
          <w:noProof/>
          <w:sz w:val="22"/>
          <w:szCs w:val="22"/>
          <w:lang w:val="cs-CZ"/>
        </w:rPr>
        <w:t xml:space="preserve"> / (1 – t)</w:t>
      </w:r>
      <w:r>
        <w:rPr>
          <w:i/>
          <w:noProof/>
          <w:sz w:val="22"/>
          <w:szCs w:val="22"/>
          <w:lang w:val="cs-CZ"/>
        </w:rPr>
        <w:t>,</w:t>
      </w:r>
    </w:p>
    <w:p w:rsidR="006260E6" w:rsidRPr="0003647E" w:rsidRDefault="006260E6" w:rsidP="006260E6">
      <w:pPr>
        <w:spacing w:before="120"/>
        <w:rPr>
          <w:rFonts w:ascii="Arial" w:hAnsi="Arial" w:cs="Arial"/>
          <w:noProof/>
          <w:sz w:val="22"/>
          <w:szCs w:val="22"/>
          <w:lang w:eastAsia="zh-TW"/>
        </w:rPr>
      </w:pPr>
      <w:r w:rsidRPr="0003647E">
        <w:rPr>
          <w:rFonts w:ascii="Arial" w:hAnsi="Arial" w:cs="Arial"/>
          <w:noProof/>
          <w:sz w:val="22"/>
          <w:szCs w:val="22"/>
          <w:lang w:eastAsia="zh-TW"/>
        </w:rPr>
        <w:t>kde:</w:t>
      </w:r>
    </w:p>
    <w:p w:rsidR="006260E6" w:rsidRPr="0003647E" w:rsidRDefault="006260E6" w:rsidP="006260E6">
      <w:pPr>
        <w:spacing w:before="60"/>
        <w:rPr>
          <w:rFonts w:ascii="Arial" w:hAnsi="Arial" w:cs="Arial"/>
          <w:noProof/>
          <w:sz w:val="22"/>
          <w:szCs w:val="22"/>
          <w:lang w:eastAsia="zh-TW"/>
        </w:rPr>
      </w:pPr>
      <w:r w:rsidRPr="0003647E">
        <w:rPr>
          <w:rFonts w:ascii="Arial" w:hAnsi="Arial" w:cs="Arial"/>
          <w:noProof/>
          <w:sz w:val="22"/>
          <w:szCs w:val="22"/>
          <w:lang w:eastAsia="zh-TW"/>
        </w:rPr>
        <w:t>WACC</w:t>
      </w:r>
      <w:r w:rsidRPr="0003647E">
        <w:rPr>
          <w:rFonts w:ascii="Arial" w:hAnsi="Arial" w:cs="Arial"/>
          <w:noProof/>
          <w:sz w:val="22"/>
          <w:szCs w:val="22"/>
          <w:vertAlign w:val="subscript"/>
          <w:lang w:eastAsia="zh-TW"/>
        </w:rPr>
        <w:t>BT</w:t>
      </w:r>
      <w:r w:rsidRPr="0003647E">
        <w:rPr>
          <w:rFonts w:ascii="Arial" w:hAnsi="Arial" w:cs="Arial"/>
          <w:noProof/>
          <w:sz w:val="22"/>
          <w:szCs w:val="22"/>
          <w:lang w:eastAsia="zh-TW"/>
        </w:rPr>
        <w:tab/>
        <w:t>jsou průměrné vážené náklady kapitálu před zdaněním,</w:t>
      </w:r>
    </w:p>
    <w:p w:rsidR="006260E6" w:rsidRPr="0003647E" w:rsidRDefault="006260E6" w:rsidP="006260E6">
      <w:pPr>
        <w:spacing w:before="60"/>
        <w:rPr>
          <w:rFonts w:ascii="Arial" w:hAnsi="Arial" w:cs="Arial"/>
          <w:noProof/>
          <w:sz w:val="22"/>
          <w:szCs w:val="22"/>
          <w:lang w:eastAsia="zh-TW"/>
        </w:rPr>
      </w:pPr>
      <w:r w:rsidRPr="0003647E">
        <w:rPr>
          <w:rFonts w:ascii="Arial" w:hAnsi="Arial" w:cs="Arial"/>
          <w:noProof/>
          <w:sz w:val="22"/>
          <w:szCs w:val="22"/>
          <w:lang w:eastAsia="zh-TW"/>
        </w:rPr>
        <w:t>WACC</w:t>
      </w:r>
      <w:r w:rsidRPr="0003647E">
        <w:rPr>
          <w:rFonts w:ascii="Arial" w:hAnsi="Arial" w:cs="Arial"/>
          <w:noProof/>
          <w:sz w:val="22"/>
          <w:szCs w:val="22"/>
          <w:vertAlign w:val="subscript"/>
          <w:lang w:eastAsia="zh-TW"/>
        </w:rPr>
        <w:t>AT</w:t>
      </w:r>
      <w:r w:rsidRPr="0003647E">
        <w:rPr>
          <w:rFonts w:ascii="Arial" w:hAnsi="Arial" w:cs="Arial"/>
          <w:noProof/>
          <w:sz w:val="22"/>
          <w:szCs w:val="22"/>
          <w:vertAlign w:val="subscript"/>
          <w:lang w:eastAsia="zh-TW"/>
        </w:rPr>
        <w:tab/>
      </w:r>
      <w:r w:rsidRPr="0003647E">
        <w:rPr>
          <w:rFonts w:ascii="Arial" w:hAnsi="Arial" w:cs="Arial"/>
          <w:noProof/>
          <w:sz w:val="22"/>
          <w:szCs w:val="22"/>
          <w:lang w:eastAsia="zh-TW"/>
        </w:rPr>
        <w:t>jsou průměrné vážené náklady kapitálu po zdanění,</w:t>
      </w:r>
    </w:p>
    <w:p w:rsidR="006260E6" w:rsidRPr="0003647E" w:rsidRDefault="006260E6" w:rsidP="006260E6">
      <w:pPr>
        <w:spacing w:before="60" w:after="240"/>
        <w:rPr>
          <w:rFonts w:ascii="Arial" w:hAnsi="Arial" w:cs="Arial"/>
          <w:sz w:val="22"/>
          <w:szCs w:val="22"/>
        </w:rPr>
      </w:pPr>
      <w:r w:rsidRPr="0003647E">
        <w:rPr>
          <w:rFonts w:ascii="Arial" w:hAnsi="Arial" w:cs="Arial"/>
          <w:noProof/>
          <w:sz w:val="22"/>
          <w:szCs w:val="22"/>
          <w:lang w:eastAsia="zh-TW"/>
        </w:rPr>
        <w:t xml:space="preserve">t                      je daňová sazba. </w:t>
      </w:r>
    </w:p>
    <w:p w:rsidR="006260E6" w:rsidRPr="0003647E" w:rsidRDefault="006260E6" w:rsidP="006260E6">
      <w:pPr>
        <w:ind w:firstLine="709"/>
        <w:rPr>
          <w:rFonts w:ascii="Arial" w:hAnsi="Arial" w:cs="Arial"/>
          <w:sz w:val="22"/>
          <w:szCs w:val="22"/>
        </w:rPr>
      </w:pPr>
      <w:r w:rsidRPr="0003647E">
        <w:rPr>
          <w:rFonts w:ascii="Arial" w:hAnsi="Arial" w:cs="Arial"/>
          <w:sz w:val="22"/>
          <w:szCs w:val="22"/>
        </w:rPr>
        <w:t xml:space="preserve">Náklady vlastního kapitálu představují pro investory požadovanou míru výnosnosti při investici do vlastního kapitálu a byly určeny metodou CAPM </w:t>
      </w:r>
      <w:r w:rsidRPr="0003647E">
        <w:rPr>
          <w:rFonts w:ascii="Arial" w:hAnsi="Arial" w:cs="Arial"/>
          <w:sz w:val="22"/>
          <w:szCs w:val="22"/>
          <w:lang w:val="en-GB"/>
        </w:rPr>
        <w:t>(Capital Asset Pricing</w:t>
      </w:r>
      <w:r w:rsidRPr="0003647E">
        <w:rPr>
          <w:rFonts w:ascii="Arial" w:hAnsi="Arial" w:cs="Arial"/>
          <w:sz w:val="22"/>
          <w:szCs w:val="22"/>
        </w:rPr>
        <w:t xml:space="preserve"> Model) podle vzorce:</w:t>
      </w:r>
    </w:p>
    <w:p w:rsidR="006260E6" w:rsidRPr="005E1668" w:rsidRDefault="006260E6" w:rsidP="006260E6">
      <w:pPr>
        <w:spacing w:before="240" w:after="120"/>
        <w:ind w:firstLine="709"/>
        <w:jc w:val="center"/>
        <w:rPr>
          <w:rFonts w:eastAsia="MS Mincho" w:cs="Arial"/>
          <w:i/>
          <w:noProof/>
          <w:szCs w:val="22"/>
          <w:lang w:eastAsia="zh-TW"/>
        </w:rPr>
      </w:pPr>
      <w:r w:rsidRPr="005E1668">
        <w:rPr>
          <w:rFonts w:eastAsia="MS Mincho" w:cs="Arial"/>
          <w:i/>
          <w:noProof/>
          <w:szCs w:val="22"/>
          <w:lang w:eastAsia="zh-TW"/>
        </w:rPr>
        <w:t>r</w:t>
      </w:r>
      <w:r w:rsidRPr="005E1668">
        <w:rPr>
          <w:rFonts w:eastAsia="MS Mincho" w:cs="Arial"/>
          <w:i/>
          <w:noProof/>
          <w:szCs w:val="22"/>
          <w:vertAlign w:val="subscript"/>
          <w:lang w:eastAsia="zh-TW"/>
        </w:rPr>
        <w:t xml:space="preserve">e </w:t>
      </w:r>
      <w:r w:rsidRPr="005E1668">
        <w:rPr>
          <w:rFonts w:eastAsia="MS Mincho" w:cs="Arial"/>
          <w:i/>
          <w:noProof/>
          <w:szCs w:val="22"/>
          <w:lang w:eastAsia="zh-TW"/>
        </w:rPr>
        <w:t>= r</w:t>
      </w:r>
      <w:r w:rsidRPr="005E1668">
        <w:rPr>
          <w:rFonts w:eastAsia="MS Mincho" w:cs="Arial"/>
          <w:i/>
          <w:noProof/>
          <w:szCs w:val="22"/>
          <w:vertAlign w:val="subscript"/>
          <w:lang w:eastAsia="zh-TW"/>
        </w:rPr>
        <w:t>f</w:t>
      </w:r>
      <w:r w:rsidRPr="005E1668">
        <w:rPr>
          <w:rFonts w:eastAsia="MS Mincho" w:cs="Arial"/>
          <w:i/>
          <w:noProof/>
          <w:szCs w:val="22"/>
          <w:lang w:eastAsia="zh-TW"/>
        </w:rPr>
        <w:t xml:space="preserve"> + ß</w:t>
      </w:r>
      <w:r>
        <w:rPr>
          <w:rFonts w:eastAsia="MS Mincho" w:cs="Arial"/>
          <w:i/>
          <w:noProof/>
          <w:szCs w:val="22"/>
          <w:vertAlign w:val="subscript"/>
          <w:lang w:eastAsia="zh-TW"/>
        </w:rPr>
        <w:t>e</w:t>
      </w:r>
      <w:r w:rsidRPr="005E1668">
        <w:rPr>
          <w:rFonts w:eastAsia="MS Mincho" w:cs="Arial"/>
          <w:i/>
          <w:noProof/>
          <w:szCs w:val="22"/>
          <w:lang w:eastAsia="zh-TW"/>
        </w:rPr>
        <w:t xml:space="preserve"> × ERP</w:t>
      </w:r>
      <w:r>
        <w:rPr>
          <w:rFonts w:eastAsia="MS Mincho" w:cs="Arial"/>
          <w:i/>
          <w:noProof/>
          <w:szCs w:val="22"/>
          <w:lang w:eastAsia="zh-TW"/>
        </w:rPr>
        <w:t>,</w:t>
      </w:r>
      <w:r w:rsidRPr="005E1668">
        <w:rPr>
          <w:rFonts w:eastAsia="MS Mincho" w:cs="Arial"/>
          <w:i/>
          <w:noProof/>
          <w:szCs w:val="22"/>
          <w:lang w:eastAsia="zh-TW"/>
        </w:rPr>
        <w:t xml:space="preserve"> </w:t>
      </w:r>
    </w:p>
    <w:p w:rsidR="006260E6" w:rsidRPr="0003647E" w:rsidRDefault="006260E6" w:rsidP="006260E6">
      <w:pPr>
        <w:spacing w:before="120" w:after="60"/>
        <w:rPr>
          <w:rFonts w:ascii="Arial" w:hAnsi="Arial" w:cs="Arial"/>
          <w:noProof/>
          <w:sz w:val="22"/>
          <w:szCs w:val="22"/>
          <w:lang w:eastAsia="zh-TW"/>
        </w:rPr>
      </w:pPr>
      <w:r w:rsidRPr="0003647E">
        <w:rPr>
          <w:rFonts w:ascii="Arial" w:hAnsi="Arial" w:cs="Arial"/>
          <w:noProof/>
          <w:sz w:val="22"/>
          <w:szCs w:val="22"/>
          <w:lang w:eastAsia="zh-TW"/>
        </w:rPr>
        <w:t>kde:</w:t>
      </w:r>
    </w:p>
    <w:p w:rsidR="006260E6" w:rsidRPr="0003647E" w:rsidRDefault="006260E6" w:rsidP="006260E6">
      <w:pPr>
        <w:tabs>
          <w:tab w:val="left" w:pos="1418"/>
        </w:tabs>
        <w:spacing w:after="60"/>
        <w:rPr>
          <w:rFonts w:ascii="Arial" w:hAnsi="Arial" w:cs="Arial"/>
          <w:noProof/>
          <w:sz w:val="22"/>
          <w:szCs w:val="22"/>
          <w:lang w:eastAsia="zh-TW"/>
        </w:rPr>
      </w:pPr>
      <w:r w:rsidRPr="0003647E">
        <w:rPr>
          <w:rFonts w:ascii="Arial" w:hAnsi="Arial" w:cs="Arial"/>
          <w:noProof/>
          <w:sz w:val="22"/>
          <w:szCs w:val="22"/>
          <w:lang w:eastAsia="zh-TW"/>
        </w:rPr>
        <w:t>r</w:t>
      </w:r>
      <w:r w:rsidRPr="0003647E">
        <w:rPr>
          <w:rFonts w:ascii="Arial" w:hAnsi="Arial" w:cs="Arial"/>
          <w:noProof/>
          <w:sz w:val="22"/>
          <w:szCs w:val="22"/>
          <w:vertAlign w:val="subscript"/>
          <w:lang w:eastAsia="zh-TW"/>
        </w:rPr>
        <w:t>e</w:t>
      </w:r>
      <w:r w:rsidRPr="0003647E">
        <w:rPr>
          <w:rFonts w:ascii="Arial" w:hAnsi="Arial" w:cs="Arial"/>
          <w:noProof/>
          <w:sz w:val="22"/>
          <w:szCs w:val="22"/>
          <w:lang w:eastAsia="zh-TW"/>
        </w:rPr>
        <w:tab/>
        <w:t>jsou náklady vlastního kapitálu,</w:t>
      </w:r>
    </w:p>
    <w:p w:rsidR="006260E6" w:rsidRPr="0003647E" w:rsidRDefault="006260E6" w:rsidP="006260E6">
      <w:pPr>
        <w:tabs>
          <w:tab w:val="left" w:pos="1418"/>
        </w:tabs>
        <w:spacing w:after="60"/>
        <w:rPr>
          <w:rFonts w:ascii="Arial" w:hAnsi="Arial" w:cs="Arial"/>
          <w:noProof/>
          <w:sz w:val="22"/>
          <w:szCs w:val="22"/>
          <w:lang w:eastAsia="zh-TW"/>
        </w:rPr>
      </w:pPr>
      <w:r w:rsidRPr="0003647E">
        <w:rPr>
          <w:rFonts w:ascii="Arial" w:hAnsi="Arial" w:cs="Arial"/>
          <w:noProof/>
          <w:sz w:val="22"/>
          <w:szCs w:val="22"/>
          <w:lang w:eastAsia="zh-TW"/>
        </w:rPr>
        <w:t>r</w:t>
      </w:r>
      <w:r w:rsidRPr="0003647E">
        <w:rPr>
          <w:rFonts w:ascii="Arial" w:hAnsi="Arial" w:cs="Arial"/>
          <w:noProof/>
          <w:sz w:val="22"/>
          <w:szCs w:val="22"/>
          <w:vertAlign w:val="subscript"/>
          <w:lang w:eastAsia="zh-TW"/>
        </w:rPr>
        <w:t>f</w:t>
      </w:r>
      <w:r w:rsidRPr="0003647E">
        <w:rPr>
          <w:rFonts w:ascii="Arial" w:hAnsi="Arial" w:cs="Arial"/>
          <w:noProof/>
          <w:sz w:val="22"/>
          <w:szCs w:val="22"/>
          <w:lang w:eastAsia="zh-TW"/>
        </w:rPr>
        <w:t xml:space="preserve"> </w:t>
      </w:r>
      <w:r w:rsidRPr="0003647E">
        <w:rPr>
          <w:rFonts w:ascii="Arial" w:hAnsi="Arial" w:cs="Arial"/>
          <w:noProof/>
          <w:sz w:val="22"/>
          <w:szCs w:val="22"/>
          <w:lang w:eastAsia="zh-TW"/>
        </w:rPr>
        <w:tab/>
        <w:t>je bezriziková výnosová míra,</w:t>
      </w:r>
    </w:p>
    <w:p w:rsidR="006260E6" w:rsidRPr="0003647E" w:rsidRDefault="006260E6" w:rsidP="006260E6">
      <w:pPr>
        <w:tabs>
          <w:tab w:val="left" w:pos="1418"/>
        </w:tabs>
        <w:spacing w:after="60"/>
        <w:rPr>
          <w:rFonts w:ascii="Arial" w:hAnsi="Arial" w:cs="Arial"/>
          <w:noProof/>
          <w:sz w:val="22"/>
          <w:szCs w:val="22"/>
          <w:lang w:eastAsia="zh-TW"/>
        </w:rPr>
      </w:pPr>
      <w:r w:rsidRPr="0003647E">
        <w:rPr>
          <w:rFonts w:ascii="Arial" w:hAnsi="Arial" w:cs="Arial"/>
          <w:noProof/>
          <w:sz w:val="22"/>
          <w:szCs w:val="22"/>
          <w:lang w:eastAsia="zh-TW"/>
        </w:rPr>
        <w:t>ß</w:t>
      </w:r>
      <w:r w:rsidRPr="0003647E">
        <w:rPr>
          <w:rFonts w:ascii="Arial" w:hAnsi="Arial" w:cs="Arial"/>
          <w:noProof/>
          <w:sz w:val="22"/>
          <w:szCs w:val="22"/>
          <w:vertAlign w:val="subscript"/>
          <w:lang w:eastAsia="zh-TW"/>
        </w:rPr>
        <w:t>e</w:t>
      </w:r>
      <w:r w:rsidRPr="0003647E">
        <w:rPr>
          <w:rFonts w:ascii="Arial" w:hAnsi="Arial" w:cs="Arial"/>
          <w:noProof/>
          <w:sz w:val="22"/>
          <w:szCs w:val="22"/>
          <w:lang w:eastAsia="zh-TW"/>
        </w:rPr>
        <w:tab/>
        <w:t>je equity beta,</w:t>
      </w:r>
    </w:p>
    <w:p w:rsidR="006260E6" w:rsidRPr="0003647E" w:rsidRDefault="006260E6" w:rsidP="006260E6">
      <w:pPr>
        <w:tabs>
          <w:tab w:val="left" w:pos="1418"/>
        </w:tabs>
        <w:spacing w:after="60"/>
        <w:rPr>
          <w:rFonts w:ascii="Arial" w:hAnsi="Arial" w:cs="Arial"/>
          <w:noProof/>
          <w:sz w:val="22"/>
          <w:szCs w:val="22"/>
          <w:lang w:eastAsia="zh-TW"/>
        </w:rPr>
      </w:pPr>
      <w:r w:rsidRPr="0003647E">
        <w:rPr>
          <w:rFonts w:ascii="Arial" w:hAnsi="Arial" w:cs="Arial"/>
          <w:noProof/>
          <w:sz w:val="22"/>
          <w:szCs w:val="22"/>
          <w:lang w:eastAsia="zh-TW"/>
        </w:rPr>
        <w:t>ERP</w:t>
      </w:r>
      <w:r w:rsidRPr="0003647E">
        <w:rPr>
          <w:rFonts w:ascii="Arial" w:hAnsi="Arial" w:cs="Arial"/>
          <w:noProof/>
          <w:sz w:val="22"/>
          <w:szCs w:val="22"/>
          <w:lang w:eastAsia="zh-TW"/>
        </w:rPr>
        <w:tab/>
        <w:t>je tržní riziková přirážka (Equity risk premium).</w:t>
      </w:r>
    </w:p>
    <w:p w:rsidR="006260E6" w:rsidRPr="0003647E" w:rsidRDefault="006260E6" w:rsidP="0003647E">
      <w:pPr>
        <w:spacing w:before="160" w:after="240"/>
        <w:ind w:firstLine="709"/>
        <w:jc w:val="both"/>
        <w:rPr>
          <w:rFonts w:ascii="Arial" w:hAnsi="Arial" w:cs="Arial"/>
          <w:sz w:val="22"/>
          <w:szCs w:val="22"/>
        </w:rPr>
      </w:pPr>
      <w:r w:rsidRPr="0003647E">
        <w:rPr>
          <w:rFonts w:ascii="Arial" w:hAnsi="Arial" w:cs="Arial"/>
          <w:sz w:val="22"/>
          <w:szCs w:val="22"/>
        </w:rPr>
        <w:t>Metodika výpočtu ukazatele WACC definovaná ve Sdělení WACC rozlišuje dvě kategorie proměnných, a to parametry odrážející obecné hospodářské podmínky (bezriziková</w:t>
      </w:r>
      <w:r>
        <w:rPr>
          <w:rFonts w:cs="Arial"/>
          <w:szCs w:val="22"/>
        </w:rPr>
        <w:t xml:space="preserve"> </w:t>
      </w:r>
      <w:r w:rsidRPr="0003647E">
        <w:rPr>
          <w:rFonts w:ascii="Arial" w:hAnsi="Arial" w:cs="Arial"/>
          <w:sz w:val="22"/>
          <w:szCs w:val="22"/>
        </w:rPr>
        <w:lastRenderedPageBreak/>
        <w:t xml:space="preserve">výnosová míra a tržní riziková přirážka) a parametry specifické pro konkrétní společnosti (beta, zadluženost a dluhová prémie). </w:t>
      </w:r>
    </w:p>
    <w:p w:rsidR="006260E6" w:rsidRPr="0003647E" w:rsidRDefault="006260E6" w:rsidP="0003647E">
      <w:pPr>
        <w:spacing w:after="240"/>
        <w:ind w:firstLine="709"/>
        <w:jc w:val="both"/>
        <w:rPr>
          <w:rFonts w:ascii="Arial" w:hAnsi="Arial" w:cs="Arial"/>
          <w:sz w:val="22"/>
          <w:szCs w:val="22"/>
        </w:rPr>
      </w:pPr>
      <w:r w:rsidRPr="0003647E">
        <w:rPr>
          <w:rFonts w:ascii="Arial" w:hAnsi="Arial" w:cs="Arial"/>
          <w:sz w:val="22"/>
          <w:szCs w:val="22"/>
        </w:rPr>
        <w:t xml:space="preserve">Aby byla při odhadování parametrů WACC zajištěna konzistentnost, považuje Komise za vhodné použít pro všechny parametry stejné období pro stanovení průměru, a to v délce pěti let. Ohledně metody průměrování Komise považuje za nejvhodnější aritmetický průměr. </w:t>
      </w:r>
    </w:p>
    <w:p w:rsidR="006260E6" w:rsidRPr="0003647E" w:rsidRDefault="006260E6" w:rsidP="0003647E">
      <w:pPr>
        <w:spacing w:after="240"/>
        <w:ind w:firstLine="709"/>
        <w:jc w:val="both"/>
        <w:rPr>
          <w:rFonts w:ascii="Arial" w:hAnsi="Arial" w:cs="Arial"/>
          <w:sz w:val="22"/>
          <w:szCs w:val="22"/>
        </w:rPr>
      </w:pPr>
      <w:r w:rsidRPr="0003647E">
        <w:rPr>
          <w:rFonts w:ascii="Arial" w:hAnsi="Arial" w:cs="Arial"/>
          <w:sz w:val="22"/>
          <w:szCs w:val="22"/>
        </w:rPr>
        <w:t xml:space="preserve">Bezriziková výnosová míra je očekávaná míra návratnosti bezrizikové investice. Komise považuje za vhodné odhadnout bezrizikovou výnosovou míru pomocí výnosů desetiletých státních dluhopisů. BEREC ve Zprávě stanoví </w:t>
      </w:r>
      <w:r w:rsidRPr="0003647E">
        <w:rPr>
          <w:rFonts w:ascii="Arial" w:hAnsi="Arial" w:cs="Arial"/>
          <w:b/>
          <w:bCs/>
          <w:sz w:val="22"/>
          <w:szCs w:val="22"/>
        </w:rPr>
        <w:t>hodnotu bezrizikové výnosové míry pro Českou republiku ve výši 2,32 %</w:t>
      </w:r>
      <w:r w:rsidRPr="0003647E">
        <w:rPr>
          <w:rFonts w:ascii="Arial" w:hAnsi="Arial" w:cs="Arial"/>
          <w:sz w:val="22"/>
          <w:szCs w:val="22"/>
          <w:lang w:val="en-US"/>
        </w:rPr>
        <w:t xml:space="preserve">. </w:t>
      </w:r>
      <w:r w:rsidRPr="0003647E">
        <w:rPr>
          <w:rFonts w:ascii="Arial" w:hAnsi="Arial" w:cs="Arial"/>
          <w:sz w:val="22"/>
          <w:szCs w:val="22"/>
        </w:rPr>
        <w:t xml:space="preserve">Hodnota byla stanovena na základě dat publikovaných </w:t>
      </w:r>
      <w:proofErr w:type="spellStart"/>
      <w:r w:rsidRPr="0003647E">
        <w:rPr>
          <w:rFonts w:ascii="Arial" w:hAnsi="Arial" w:cs="Arial"/>
          <w:sz w:val="22"/>
          <w:szCs w:val="22"/>
        </w:rPr>
        <w:t>Eurostatem</w:t>
      </w:r>
      <w:proofErr w:type="spellEnd"/>
      <w:r w:rsidRPr="0003647E">
        <w:rPr>
          <w:rStyle w:val="Znakapoznpodarou"/>
          <w:rFonts w:ascii="Arial" w:hAnsi="Arial" w:cs="Arial"/>
          <w:sz w:val="22"/>
          <w:szCs w:val="22"/>
        </w:rPr>
        <w:footnoteReference w:id="31"/>
      </w:r>
      <w:r w:rsidRPr="0003647E">
        <w:rPr>
          <w:rFonts w:ascii="Arial" w:hAnsi="Arial" w:cs="Arial"/>
          <w:sz w:val="22"/>
          <w:szCs w:val="22"/>
        </w:rPr>
        <w:t xml:space="preserve"> a byla vypočtena jako aritmetický průměr výnosových měr českých státních dluhopisů se splatností 10 let za období duben 2018–březen 2023.</w:t>
      </w:r>
    </w:p>
    <w:p w:rsidR="006260E6" w:rsidRPr="0003647E" w:rsidRDefault="006260E6" w:rsidP="0003647E">
      <w:pPr>
        <w:spacing w:after="240"/>
        <w:ind w:firstLine="709"/>
        <w:jc w:val="both"/>
        <w:rPr>
          <w:rFonts w:ascii="Arial" w:hAnsi="Arial" w:cs="Arial"/>
          <w:sz w:val="22"/>
          <w:szCs w:val="22"/>
        </w:rPr>
      </w:pPr>
      <w:r w:rsidRPr="0003647E">
        <w:rPr>
          <w:rFonts w:ascii="Arial" w:hAnsi="Arial" w:cs="Arial"/>
          <w:sz w:val="22"/>
          <w:szCs w:val="22"/>
        </w:rPr>
        <w:t>Tržní riziková přirážka (ERP) je očekávaná návratnost vlastního kapitálu nad rámec bezrizikové výnosové míry. Komise považuje za vhodné používat jednotnou hodnotu ERP pro celou EU a odhadovat tuto hodnotu pomocí historických řad tržních rizikových přirážek v členských státech. Toto rozhodnutí Komise odůvodňuje tím, že finanční trhy v EU jsou čím dál více integrovány (jak ukazuje jejich zvýšená korelace) a ERP se vzájemně přibližují</w:t>
      </w:r>
      <w:r w:rsidRPr="0003647E">
        <w:rPr>
          <w:rStyle w:val="Znakapoznpodarou"/>
          <w:rFonts w:ascii="Arial" w:hAnsi="Arial" w:cs="Arial"/>
          <w:sz w:val="22"/>
          <w:szCs w:val="22"/>
        </w:rPr>
        <w:footnoteReference w:id="32"/>
      </w:r>
      <w:r w:rsidRPr="0003647E">
        <w:rPr>
          <w:rFonts w:ascii="Arial" w:hAnsi="Arial" w:cs="Arial"/>
          <w:sz w:val="22"/>
          <w:szCs w:val="22"/>
        </w:rPr>
        <w:t xml:space="preserve">.  BEREC uvádí ve Zprávě </w:t>
      </w:r>
      <w:r w:rsidRPr="0003647E">
        <w:rPr>
          <w:rFonts w:ascii="Arial" w:hAnsi="Arial" w:cs="Arial"/>
          <w:b/>
          <w:bCs/>
          <w:sz w:val="22"/>
          <w:szCs w:val="22"/>
        </w:rPr>
        <w:t>hodnotu tržní rizikové přirážky</w:t>
      </w:r>
      <w:r w:rsidRPr="0003647E">
        <w:rPr>
          <w:rFonts w:ascii="Arial" w:hAnsi="Arial" w:cs="Arial"/>
          <w:sz w:val="22"/>
          <w:szCs w:val="22"/>
        </w:rPr>
        <w:t xml:space="preserve"> ve dvou variantách, a to jako geometrický průměr ve výši 4,56 % a </w:t>
      </w:r>
      <w:r w:rsidRPr="0003647E">
        <w:rPr>
          <w:rFonts w:ascii="Arial" w:hAnsi="Arial" w:cs="Arial"/>
          <w:b/>
          <w:bCs/>
          <w:sz w:val="22"/>
          <w:szCs w:val="22"/>
        </w:rPr>
        <w:t>aritmetický průměr ve výši 5,92 %</w:t>
      </w:r>
      <w:r w:rsidRPr="0003647E">
        <w:rPr>
          <w:rStyle w:val="Znakapoznpodarou"/>
          <w:rFonts w:ascii="Arial" w:hAnsi="Arial" w:cs="Arial"/>
          <w:b/>
          <w:bCs/>
          <w:sz w:val="22"/>
          <w:szCs w:val="22"/>
        </w:rPr>
        <w:footnoteReference w:id="33"/>
      </w:r>
      <w:r w:rsidRPr="0003647E">
        <w:rPr>
          <w:rFonts w:ascii="Arial" w:hAnsi="Arial" w:cs="Arial"/>
          <w:sz w:val="22"/>
          <w:szCs w:val="22"/>
        </w:rPr>
        <w:t xml:space="preserve">. Úřad pro výpočet hodnoty WACC použil hodnotu stanovenou aritmetickým průměrem, shodně, jako v předchozím období. </w:t>
      </w:r>
    </w:p>
    <w:p w:rsidR="006260E6" w:rsidRPr="0003647E" w:rsidRDefault="006260E6" w:rsidP="0003647E">
      <w:pPr>
        <w:spacing w:after="240"/>
        <w:ind w:firstLine="709"/>
        <w:jc w:val="both"/>
        <w:rPr>
          <w:rFonts w:ascii="Arial" w:hAnsi="Arial" w:cs="Arial"/>
          <w:sz w:val="22"/>
          <w:szCs w:val="22"/>
        </w:rPr>
      </w:pPr>
      <w:r w:rsidRPr="0003647E">
        <w:rPr>
          <w:rFonts w:ascii="Arial" w:hAnsi="Arial" w:cs="Arial"/>
          <w:sz w:val="22"/>
          <w:szCs w:val="22"/>
        </w:rPr>
        <w:t>Pro účely stanovení parametrů specifických pro konkrétní společnost (beta, zadluženost a dluhové prémie) se podle Sdělení WACC určí skupina podobných společností (peer group). Podle Komise by vybrané společnosti do peer group měly být veřejně obchodovatelné a mít likvidní akcie, vlastnit infrastrukturu elektronických komunikací a investovat do ní, hlavní místo jejich působení by mělo být v EU, měly by dosahovat ratingu na úrovni investičního stupně a neměly by být v současnosti ani v nedávné době účastníky významných fúzí či akvizic. Na základě těchto kritérií vybírá společnosti do peer group BEREC. Složení peer group BEREC každoročně přezkoumává. Pro rok 2023 zahrnul BEREC do peer group tyto společnosti:</w:t>
      </w:r>
    </w:p>
    <w:p w:rsidR="006260E6" w:rsidRDefault="006260E6" w:rsidP="006260E6">
      <w:pPr>
        <w:spacing w:after="240"/>
        <w:rPr>
          <w:rFonts w:cs="Arial"/>
          <w:szCs w:val="22"/>
        </w:rPr>
      </w:pPr>
      <w:r>
        <w:rPr>
          <w:rFonts w:cs="Arial"/>
          <w:szCs w:val="22"/>
        </w:rPr>
        <w:t>Tabulka č. 1: BEREC peer group 2023</w:t>
      </w:r>
    </w:p>
    <w:tbl>
      <w:tblPr>
        <w:tblStyle w:val="Mkatabulky"/>
        <w:tblW w:w="0" w:type="auto"/>
        <w:tblLook w:val="04A0" w:firstRow="1" w:lastRow="0" w:firstColumn="1" w:lastColumn="0" w:noHBand="0" w:noVBand="1"/>
      </w:tblPr>
      <w:tblGrid>
        <w:gridCol w:w="2972"/>
        <w:gridCol w:w="992"/>
        <w:gridCol w:w="1701"/>
        <w:gridCol w:w="1490"/>
      </w:tblGrid>
      <w:tr w:rsidR="006260E6" w:rsidRPr="00A241DC" w:rsidTr="009C0293">
        <w:trPr>
          <w:trHeight w:val="777"/>
        </w:trPr>
        <w:tc>
          <w:tcPr>
            <w:tcW w:w="2972" w:type="dxa"/>
            <w:shd w:val="clear" w:color="auto" w:fill="BFBFBF" w:themeFill="background1" w:themeFillShade="BF"/>
          </w:tcPr>
          <w:p w:rsidR="006260E6" w:rsidRPr="00EA3806" w:rsidRDefault="006260E6" w:rsidP="009C0293">
            <w:pPr>
              <w:keepNext/>
              <w:keepLines/>
              <w:rPr>
                <w:rFonts w:cs="Arial"/>
                <w:b/>
                <w:bCs/>
                <w:szCs w:val="22"/>
              </w:rPr>
            </w:pPr>
          </w:p>
          <w:p w:rsidR="006260E6" w:rsidRPr="00EA3806" w:rsidRDefault="006260E6" w:rsidP="009C0293">
            <w:pPr>
              <w:keepNext/>
              <w:keepLines/>
              <w:rPr>
                <w:rFonts w:cs="Arial"/>
                <w:b/>
                <w:bCs/>
                <w:szCs w:val="22"/>
              </w:rPr>
            </w:pPr>
            <w:r w:rsidRPr="00EA3806">
              <w:rPr>
                <w:rFonts w:cs="Arial"/>
                <w:b/>
                <w:bCs/>
                <w:szCs w:val="22"/>
              </w:rPr>
              <w:t>Společnost</w:t>
            </w:r>
          </w:p>
        </w:tc>
        <w:tc>
          <w:tcPr>
            <w:tcW w:w="992" w:type="dxa"/>
            <w:shd w:val="clear" w:color="auto" w:fill="BFBFBF" w:themeFill="background1" w:themeFillShade="BF"/>
          </w:tcPr>
          <w:p w:rsidR="006260E6" w:rsidRDefault="006260E6" w:rsidP="009C0293">
            <w:pPr>
              <w:keepNext/>
              <w:keepLines/>
              <w:rPr>
                <w:rFonts w:cs="Arial"/>
                <w:b/>
                <w:bCs/>
                <w:szCs w:val="22"/>
              </w:rPr>
            </w:pPr>
          </w:p>
          <w:p w:rsidR="006260E6" w:rsidRPr="00EA3806" w:rsidRDefault="006260E6" w:rsidP="009C0293">
            <w:pPr>
              <w:keepNext/>
              <w:keepLines/>
              <w:rPr>
                <w:rFonts w:cs="Arial"/>
                <w:b/>
                <w:bCs/>
                <w:szCs w:val="22"/>
              </w:rPr>
            </w:pPr>
            <w:r w:rsidRPr="00EA3806">
              <w:rPr>
                <w:rFonts w:cs="Arial"/>
                <w:b/>
                <w:bCs/>
                <w:szCs w:val="22"/>
              </w:rPr>
              <w:t>Země</w:t>
            </w:r>
          </w:p>
        </w:tc>
        <w:tc>
          <w:tcPr>
            <w:tcW w:w="1701" w:type="dxa"/>
            <w:shd w:val="clear" w:color="auto" w:fill="BFBFBF" w:themeFill="background1" w:themeFillShade="BF"/>
          </w:tcPr>
          <w:p w:rsidR="006260E6" w:rsidRPr="00A241DC" w:rsidRDefault="006260E6" w:rsidP="009C0293">
            <w:pPr>
              <w:keepNext/>
              <w:keepLines/>
              <w:rPr>
                <w:rFonts w:cs="Arial"/>
                <w:b/>
                <w:bCs/>
                <w:szCs w:val="22"/>
              </w:rPr>
            </w:pPr>
            <w:r w:rsidRPr="00EA3806">
              <w:rPr>
                <w:rFonts w:cs="Arial"/>
                <w:b/>
                <w:bCs/>
                <w:szCs w:val="22"/>
              </w:rPr>
              <w:t>S&amp;P rating (duben 202</w:t>
            </w:r>
            <w:r>
              <w:rPr>
                <w:rFonts w:cs="Arial"/>
                <w:b/>
                <w:bCs/>
                <w:szCs w:val="22"/>
              </w:rPr>
              <w:t>3)</w:t>
            </w:r>
          </w:p>
        </w:tc>
        <w:tc>
          <w:tcPr>
            <w:tcW w:w="1490" w:type="dxa"/>
            <w:shd w:val="clear" w:color="auto" w:fill="BFBFBF" w:themeFill="background1" w:themeFillShade="BF"/>
          </w:tcPr>
          <w:p w:rsidR="006260E6" w:rsidRPr="00EA3806" w:rsidRDefault="006260E6" w:rsidP="009C0293">
            <w:pPr>
              <w:keepNext/>
              <w:keepLines/>
              <w:rPr>
                <w:rFonts w:cs="Arial"/>
                <w:b/>
                <w:bCs/>
                <w:szCs w:val="22"/>
              </w:rPr>
            </w:pPr>
            <w:r w:rsidRPr="00EA3806">
              <w:rPr>
                <w:rFonts w:cs="Arial"/>
                <w:b/>
                <w:bCs/>
                <w:szCs w:val="22"/>
              </w:rPr>
              <w:t>Burzovní symbol</w:t>
            </w:r>
          </w:p>
        </w:tc>
      </w:tr>
      <w:tr w:rsidR="006260E6" w:rsidRPr="00A241DC" w:rsidTr="009C0293">
        <w:tc>
          <w:tcPr>
            <w:tcW w:w="2972" w:type="dxa"/>
          </w:tcPr>
          <w:p w:rsidR="006260E6" w:rsidRPr="00A241DC" w:rsidRDefault="006260E6" w:rsidP="009C0293">
            <w:pPr>
              <w:rPr>
                <w:rFonts w:cs="Arial"/>
                <w:szCs w:val="22"/>
                <w:lang w:val="en-US"/>
              </w:rPr>
            </w:pPr>
            <w:r w:rsidRPr="00A241DC">
              <w:rPr>
                <w:rFonts w:cs="Arial"/>
                <w:szCs w:val="22"/>
                <w:lang w:val="en-US"/>
              </w:rPr>
              <w:t>Deutsche Telekom AG</w:t>
            </w:r>
          </w:p>
        </w:tc>
        <w:tc>
          <w:tcPr>
            <w:tcW w:w="992" w:type="dxa"/>
          </w:tcPr>
          <w:p w:rsidR="006260E6" w:rsidRPr="00A241DC" w:rsidRDefault="006260E6" w:rsidP="009C0293">
            <w:pPr>
              <w:rPr>
                <w:rFonts w:cs="Arial"/>
                <w:szCs w:val="22"/>
                <w:lang w:val="en-US"/>
              </w:rPr>
            </w:pPr>
            <w:r w:rsidRPr="00A241DC">
              <w:rPr>
                <w:rFonts w:cs="Arial"/>
                <w:szCs w:val="22"/>
                <w:lang w:val="en-US"/>
              </w:rPr>
              <w:t>DE</w:t>
            </w:r>
          </w:p>
        </w:tc>
        <w:tc>
          <w:tcPr>
            <w:tcW w:w="1701" w:type="dxa"/>
          </w:tcPr>
          <w:p w:rsidR="006260E6" w:rsidRPr="00A241DC" w:rsidRDefault="006260E6" w:rsidP="009C0293">
            <w:pPr>
              <w:tabs>
                <w:tab w:val="left" w:pos="750"/>
              </w:tabs>
              <w:rPr>
                <w:rFonts w:cs="Arial"/>
                <w:szCs w:val="22"/>
                <w:lang w:val="en-US"/>
              </w:rPr>
            </w:pPr>
            <w:r w:rsidRPr="00A241DC">
              <w:rPr>
                <w:rFonts w:cs="Arial"/>
                <w:szCs w:val="22"/>
                <w:lang w:val="en-US"/>
              </w:rPr>
              <w:t>BBB</w:t>
            </w:r>
          </w:p>
        </w:tc>
        <w:tc>
          <w:tcPr>
            <w:tcW w:w="1490" w:type="dxa"/>
          </w:tcPr>
          <w:p w:rsidR="006260E6" w:rsidRPr="00A241DC" w:rsidRDefault="006260E6" w:rsidP="009C0293">
            <w:pPr>
              <w:tabs>
                <w:tab w:val="left" w:pos="750"/>
              </w:tabs>
              <w:rPr>
                <w:rFonts w:cs="Arial"/>
                <w:szCs w:val="22"/>
                <w:lang w:val="en-US"/>
              </w:rPr>
            </w:pPr>
            <w:r w:rsidRPr="00A241DC">
              <w:rPr>
                <w:rFonts w:cs="Arial"/>
                <w:szCs w:val="22"/>
                <w:lang w:val="en-US"/>
              </w:rPr>
              <w:t>DTE GR</w:t>
            </w:r>
          </w:p>
        </w:tc>
      </w:tr>
      <w:tr w:rsidR="006260E6" w:rsidRPr="00A241DC" w:rsidTr="009C0293">
        <w:tc>
          <w:tcPr>
            <w:tcW w:w="2972" w:type="dxa"/>
            <w:vAlign w:val="bottom"/>
          </w:tcPr>
          <w:p w:rsidR="006260E6" w:rsidRPr="00A241DC" w:rsidRDefault="006260E6" w:rsidP="009C0293">
            <w:pPr>
              <w:rPr>
                <w:rFonts w:cs="Arial"/>
                <w:szCs w:val="22"/>
                <w:lang w:val="en-US"/>
              </w:rPr>
            </w:pPr>
            <w:r>
              <w:rPr>
                <w:rFonts w:cs="Arial"/>
                <w:szCs w:val="22"/>
                <w:lang w:val="en-US"/>
              </w:rPr>
              <w:t>DIGI Communications N.V.</w:t>
            </w:r>
          </w:p>
        </w:tc>
        <w:tc>
          <w:tcPr>
            <w:tcW w:w="992" w:type="dxa"/>
            <w:vAlign w:val="bottom"/>
          </w:tcPr>
          <w:p w:rsidR="006260E6" w:rsidRPr="00A241DC" w:rsidRDefault="006260E6" w:rsidP="009C0293">
            <w:pPr>
              <w:rPr>
                <w:rFonts w:cs="Arial"/>
                <w:szCs w:val="22"/>
                <w:lang w:val="en-US"/>
              </w:rPr>
            </w:pPr>
            <w:r>
              <w:rPr>
                <w:rFonts w:cs="Arial"/>
                <w:szCs w:val="22"/>
                <w:lang w:val="en-US"/>
              </w:rPr>
              <w:t>RO</w:t>
            </w:r>
          </w:p>
        </w:tc>
        <w:tc>
          <w:tcPr>
            <w:tcW w:w="1701" w:type="dxa"/>
            <w:vAlign w:val="bottom"/>
          </w:tcPr>
          <w:p w:rsidR="006260E6" w:rsidRPr="00A241DC" w:rsidRDefault="006260E6" w:rsidP="009C0293">
            <w:pPr>
              <w:tabs>
                <w:tab w:val="left" w:pos="750"/>
              </w:tabs>
              <w:rPr>
                <w:rFonts w:cs="Arial"/>
                <w:szCs w:val="22"/>
                <w:lang w:val="en-US"/>
              </w:rPr>
            </w:pPr>
            <w:r w:rsidRPr="00122BBD">
              <w:rPr>
                <w:rFonts w:cs="Arial"/>
                <w:szCs w:val="22"/>
                <w:lang w:val="en-US"/>
              </w:rPr>
              <w:t>BB-</w:t>
            </w:r>
          </w:p>
        </w:tc>
        <w:tc>
          <w:tcPr>
            <w:tcW w:w="1490" w:type="dxa"/>
            <w:vAlign w:val="bottom"/>
          </w:tcPr>
          <w:p w:rsidR="006260E6" w:rsidRPr="00B92C0E" w:rsidRDefault="006260E6" w:rsidP="009C0293">
            <w:pPr>
              <w:pStyle w:val="Default"/>
              <w:jc w:val="both"/>
              <w:rPr>
                <w:color w:val="auto"/>
                <w:sz w:val="22"/>
                <w:szCs w:val="22"/>
                <w:lang w:val="en-US"/>
              </w:rPr>
            </w:pPr>
            <w:r w:rsidRPr="00B92C0E">
              <w:rPr>
                <w:color w:val="auto"/>
                <w:sz w:val="22"/>
                <w:szCs w:val="22"/>
                <w:lang w:val="en-US"/>
              </w:rPr>
              <w:t xml:space="preserve">DIGI BVB </w:t>
            </w:r>
          </w:p>
        </w:tc>
      </w:tr>
      <w:tr w:rsidR="006260E6" w:rsidRPr="00A241DC" w:rsidTr="009C0293">
        <w:tc>
          <w:tcPr>
            <w:tcW w:w="2972" w:type="dxa"/>
          </w:tcPr>
          <w:p w:rsidR="006260E6" w:rsidRPr="00A241DC" w:rsidRDefault="006260E6" w:rsidP="009C0293">
            <w:pPr>
              <w:rPr>
                <w:rFonts w:cs="Arial"/>
                <w:szCs w:val="22"/>
                <w:lang w:val="en-US"/>
              </w:rPr>
            </w:pPr>
            <w:r w:rsidRPr="00A241DC">
              <w:rPr>
                <w:rFonts w:cs="Arial"/>
                <w:szCs w:val="22"/>
                <w:lang w:val="en-US"/>
              </w:rPr>
              <w:t xml:space="preserve">Elisa </w:t>
            </w:r>
            <w:proofErr w:type="spellStart"/>
            <w:r w:rsidRPr="00A241DC">
              <w:rPr>
                <w:rFonts w:cs="Arial"/>
                <w:szCs w:val="22"/>
                <w:lang w:val="en-US"/>
              </w:rPr>
              <w:t>Oyj</w:t>
            </w:r>
            <w:proofErr w:type="spellEnd"/>
          </w:p>
        </w:tc>
        <w:tc>
          <w:tcPr>
            <w:tcW w:w="992" w:type="dxa"/>
          </w:tcPr>
          <w:p w:rsidR="006260E6" w:rsidRPr="00A241DC" w:rsidRDefault="006260E6" w:rsidP="009C0293">
            <w:pPr>
              <w:rPr>
                <w:rFonts w:cs="Arial"/>
                <w:szCs w:val="22"/>
                <w:lang w:val="en-US"/>
              </w:rPr>
            </w:pPr>
            <w:r w:rsidRPr="00A241DC">
              <w:rPr>
                <w:rFonts w:cs="Arial"/>
                <w:szCs w:val="22"/>
                <w:lang w:val="en-US"/>
              </w:rPr>
              <w:t>FI</w:t>
            </w:r>
          </w:p>
        </w:tc>
        <w:tc>
          <w:tcPr>
            <w:tcW w:w="1701" w:type="dxa"/>
          </w:tcPr>
          <w:p w:rsidR="006260E6" w:rsidRPr="00A241DC" w:rsidRDefault="006260E6" w:rsidP="009C0293">
            <w:pPr>
              <w:rPr>
                <w:rFonts w:cs="Arial"/>
                <w:szCs w:val="22"/>
                <w:lang w:val="en-US"/>
              </w:rPr>
            </w:pPr>
            <w:r w:rsidRPr="00A241DC">
              <w:rPr>
                <w:rFonts w:cs="Arial"/>
                <w:szCs w:val="22"/>
                <w:lang w:val="en-US"/>
              </w:rPr>
              <w:t>BBB+</w:t>
            </w:r>
          </w:p>
        </w:tc>
        <w:tc>
          <w:tcPr>
            <w:tcW w:w="1490" w:type="dxa"/>
          </w:tcPr>
          <w:p w:rsidR="006260E6" w:rsidRPr="00A241DC" w:rsidRDefault="006260E6" w:rsidP="009C0293">
            <w:pPr>
              <w:rPr>
                <w:rFonts w:cs="Arial"/>
                <w:szCs w:val="22"/>
                <w:lang w:val="en-US"/>
              </w:rPr>
            </w:pPr>
            <w:r w:rsidRPr="00A241DC">
              <w:rPr>
                <w:rFonts w:cs="Arial"/>
                <w:szCs w:val="22"/>
                <w:lang w:val="en-US"/>
              </w:rPr>
              <w:t>ELISA FH</w:t>
            </w:r>
          </w:p>
        </w:tc>
      </w:tr>
      <w:tr w:rsidR="006260E6" w:rsidRPr="00A241DC" w:rsidTr="009C0293">
        <w:tc>
          <w:tcPr>
            <w:tcW w:w="2972" w:type="dxa"/>
          </w:tcPr>
          <w:p w:rsidR="006260E6" w:rsidRPr="00A241DC" w:rsidRDefault="006260E6" w:rsidP="009C0293">
            <w:pPr>
              <w:rPr>
                <w:rFonts w:cs="Arial"/>
                <w:szCs w:val="22"/>
                <w:lang w:val="en-US"/>
              </w:rPr>
            </w:pPr>
            <w:proofErr w:type="spellStart"/>
            <w:r w:rsidRPr="00A241DC">
              <w:rPr>
                <w:rFonts w:cs="Arial"/>
                <w:szCs w:val="22"/>
                <w:lang w:val="en-US"/>
              </w:rPr>
              <w:t>Koninklijke</w:t>
            </w:r>
            <w:proofErr w:type="spellEnd"/>
            <w:r w:rsidRPr="00A241DC">
              <w:rPr>
                <w:rFonts w:cs="Arial"/>
                <w:szCs w:val="22"/>
                <w:lang w:val="en-US"/>
              </w:rPr>
              <w:t xml:space="preserve"> KPN N.V.</w:t>
            </w:r>
          </w:p>
        </w:tc>
        <w:tc>
          <w:tcPr>
            <w:tcW w:w="992" w:type="dxa"/>
          </w:tcPr>
          <w:p w:rsidR="006260E6" w:rsidRPr="00A241DC" w:rsidRDefault="006260E6" w:rsidP="009C0293">
            <w:pPr>
              <w:rPr>
                <w:rFonts w:cs="Arial"/>
                <w:szCs w:val="22"/>
                <w:lang w:val="en-US"/>
              </w:rPr>
            </w:pPr>
            <w:r w:rsidRPr="00A241DC">
              <w:rPr>
                <w:rFonts w:cs="Arial"/>
                <w:szCs w:val="22"/>
                <w:lang w:val="en-US"/>
              </w:rPr>
              <w:t>NL</w:t>
            </w:r>
          </w:p>
        </w:tc>
        <w:tc>
          <w:tcPr>
            <w:tcW w:w="1701" w:type="dxa"/>
          </w:tcPr>
          <w:p w:rsidR="006260E6" w:rsidRPr="00A241DC" w:rsidRDefault="006260E6" w:rsidP="009C0293">
            <w:pPr>
              <w:rPr>
                <w:rFonts w:cs="Arial"/>
                <w:szCs w:val="22"/>
                <w:lang w:val="en-US"/>
              </w:rPr>
            </w:pPr>
            <w:r w:rsidRPr="00A241DC">
              <w:rPr>
                <w:rFonts w:cs="Arial"/>
                <w:szCs w:val="22"/>
                <w:lang w:val="en-US"/>
              </w:rPr>
              <w:t>BBB</w:t>
            </w:r>
          </w:p>
        </w:tc>
        <w:tc>
          <w:tcPr>
            <w:tcW w:w="1490" w:type="dxa"/>
          </w:tcPr>
          <w:p w:rsidR="006260E6" w:rsidRPr="00A241DC" w:rsidRDefault="006260E6" w:rsidP="009C0293">
            <w:pPr>
              <w:rPr>
                <w:rFonts w:cs="Arial"/>
                <w:szCs w:val="22"/>
                <w:lang w:val="en-US"/>
              </w:rPr>
            </w:pPr>
            <w:r w:rsidRPr="00A241DC">
              <w:rPr>
                <w:rFonts w:cs="Arial"/>
                <w:szCs w:val="22"/>
                <w:lang w:val="en-US"/>
              </w:rPr>
              <w:t>KPN NA</w:t>
            </w:r>
          </w:p>
        </w:tc>
      </w:tr>
      <w:tr w:rsidR="006260E6" w:rsidRPr="00A241DC" w:rsidTr="009C0293">
        <w:tc>
          <w:tcPr>
            <w:tcW w:w="2972" w:type="dxa"/>
          </w:tcPr>
          <w:p w:rsidR="006260E6" w:rsidRPr="00A241DC" w:rsidRDefault="006260E6" w:rsidP="009C0293">
            <w:pPr>
              <w:rPr>
                <w:rFonts w:cs="Arial"/>
                <w:szCs w:val="22"/>
                <w:lang w:val="en-US"/>
              </w:rPr>
            </w:pPr>
            <w:r w:rsidRPr="00A241DC">
              <w:rPr>
                <w:rFonts w:cs="Arial"/>
                <w:szCs w:val="22"/>
                <w:lang w:val="en-US"/>
              </w:rPr>
              <w:t>NOS</w:t>
            </w:r>
          </w:p>
        </w:tc>
        <w:tc>
          <w:tcPr>
            <w:tcW w:w="992" w:type="dxa"/>
          </w:tcPr>
          <w:p w:rsidR="006260E6" w:rsidRPr="00A241DC" w:rsidRDefault="006260E6" w:rsidP="009C0293">
            <w:pPr>
              <w:rPr>
                <w:rFonts w:cs="Arial"/>
                <w:szCs w:val="22"/>
                <w:lang w:val="en-US"/>
              </w:rPr>
            </w:pPr>
            <w:r w:rsidRPr="00A241DC">
              <w:rPr>
                <w:rFonts w:cs="Arial"/>
                <w:szCs w:val="22"/>
                <w:lang w:val="en-US"/>
              </w:rPr>
              <w:t>PT</w:t>
            </w:r>
          </w:p>
        </w:tc>
        <w:tc>
          <w:tcPr>
            <w:tcW w:w="1701" w:type="dxa"/>
          </w:tcPr>
          <w:p w:rsidR="006260E6" w:rsidRPr="00A241DC" w:rsidRDefault="006260E6" w:rsidP="009C0293">
            <w:pPr>
              <w:tabs>
                <w:tab w:val="left" w:pos="750"/>
              </w:tabs>
              <w:rPr>
                <w:rFonts w:cs="Arial"/>
                <w:szCs w:val="22"/>
                <w:lang w:val="en-US"/>
              </w:rPr>
            </w:pPr>
            <w:r w:rsidRPr="00A241DC">
              <w:rPr>
                <w:rFonts w:cs="Arial"/>
                <w:szCs w:val="22"/>
                <w:lang w:val="en-US"/>
              </w:rPr>
              <w:t>BBB-</w:t>
            </w:r>
          </w:p>
        </w:tc>
        <w:tc>
          <w:tcPr>
            <w:tcW w:w="1490" w:type="dxa"/>
          </w:tcPr>
          <w:p w:rsidR="006260E6" w:rsidRPr="00A241DC" w:rsidRDefault="006260E6" w:rsidP="009C0293">
            <w:pPr>
              <w:tabs>
                <w:tab w:val="left" w:pos="750"/>
              </w:tabs>
              <w:rPr>
                <w:rFonts w:cs="Arial"/>
                <w:szCs w:val="22"/>
                <w:lang w:val="en-US"/>
              </w:rPr>
            </w:pPr>
            <w:r w:rsidRPr="00A241DC">
              <w:rPr>
                <w:rFonts w:cs="Arial"/>
                <w:szCs w:val="22"/>
                <w:lang w:val="en-US"/>
              </w:rPr>
              <w:t>NOS PT</w:t>
            </w:r>
          </w:p>
        </w:tc>
      </w:tr>
      <w:tr w:rsidR="006260E6" w:rsidRPr="00A241DC" w:rsidTr="009C0293">
        <w:tc>
          <w:tcPr>
            <w:tcW w:w="2972" w:type="dxa"/>
          </w:tcPr>
          <w:p w:rsidR="006260E6" w:rsidRPr="00A241DC" w:rsidRDefault="006260E6" w:rsidP="009C0293">
            <w:pPr>
              <w:rPr>
                <w:rFonts w:cs="Arial"/>
                <w:szCs w:val="22"/>
                <w:lang w:val="en-US"/>
              </w:rPr>
            </w:pPr>
            <w:r w:rsidRPr="00A241DC">
              <w:rPr>
                <w:rFonts w:cs="Arial"/>
                <w:szCs w:val="22"/>
                <w:lang w:val="en-US"/>
              </w:rPr>
              <w:t>Orange S.A.</w:t>
            </w:r>
          </w:p>
        </w:tc>
        <w:tc>
          <w:tcPr>
            <w:tcW w:w="992" w:type="dxa"/>
          </w:tcPr>
          <w:p w:rsidR="006260E6" w:rsidRPr="00A241DC" w:rsidRDefault="006260E6" w:rsidP="009C0293">
            <w:pPr>
              <w:rPr>
                <w:rFonts w:cs="Arial"/>
                <w:szCs w:val="22"/>
                <w:lang w:val="en-US"/>
              </w:rPr>
            </w:pPr>
            <w:r w:rsidRPr="00A241DC">
              <w:rPr>
                <w:rFonts w:cs="Arial"/>
                <w:szCs w:val="22"/>
                <w:lang w:val="en-US"/>
              </w:rPr>
              <w:t>FR</w:t>
            </w:r>
          </w:p>
        </w:tc>
        <w:tc>
          <w:tcPr>
            <w:tcW w:w="1701" w:type="dxa"/>
          </w:tcPr>
          <w:p w:rsidR="006260E6" w:rsidRPr="00A241DC" w:rsidRDefault="006260E6" w:rsidP="009C0293">
            <w:pPr>
              <w:rPr>
                <w:rFonts w:cs="Arial"/>
                <w:szCs w:val="22"/>
                <w:lang w:val="en-US"/>
              </w:rPr>
            </w:pPr>
            <w:r w:rsidRPr="00A241DC">
              <w:rPr>
                <w:rFonts w:cs="Arial"/>
                <w:szCs w:val="22"/>
                <w:lang w:val="en-US"/>
              </w:rPr>
              <w:t>BBB+</w:t>
            </w:r>
          </w:p>
        </w:tc>
        <w:tc>
          <w:tcPr>
            <w:tcW w:w="1490" w:type="dxa"/>
          </w:tcPr>
          <w:p w:rsidR="006260E6" w:rsidRPr="00A241DC" w:rsidRDefault="006260E6" w:rsidP="009C0293">
            <w:pPr>
              <w:rPr>
                <w:rFonts w:cs="Arial"/>
                <w:szCs w:val="22"/>
                <w:lang w:val="en-US"/>
              </w:rPr>
            </w:pPr>
            <w:r w:rsidRPr="00A241DC">
              <w:rPr>
                <w:rFonts w:cs="Arial"/>
                <w:szCs w:val="22"/>
                <w:lang w:val="en-US"/>
              </w:rPr>
              <w:t>ORA FP</w:t>
            </w:r>
          </w:p>
        </w:tc>
      </w:tr>
      <w:tr w:rsidR="006260E6" w:rsidRPr="00A241DC" w:rsidTr="009C0293">
        <w:tc>
          <w:tcPr>
            <w:tcW w:w="2972" w:type="dxa"/>
          </w:tcPr>
          <w:p w:rsidR="006260E6" w:rsidRPr="00A241DC" w:rsidRDefault="006260E6" w:rsidP="009C0293">
            <w:pPr>
              <w:rPr>
                <w:rFonts w:cs="Arial"/>
                <w:szCs w:val="22"/>
                <w:lang w:val="en-US"/>
              </w:rPr>
            </w:pPr>
            <w:r w:rsidRPr="00A241DC">
              <w:rPr>
                <w:rFonts w:cs="Arial"/>
                <w:szCs w:val="22"/>
                <w:lang w:val="en-US"/>
              </w:rPr>
              <w:t>Proximus S.A.</w:t>
            </w:r>
          </w:p>
        </w:tc>
        <w:tc>
          <w:tcPr>
            <w:tcW w:w="992" w:type="dxa"/>
          </w:tcPr>
          <w:p w:rsidR="006260E6" w:rsidRPr="00A241DC" w:rsidRDefault="006260E6" w:rsidP="009C0293">
            <w:pPr>
              <w:rPr>
                <w:rFonts w:cs="Arial"/>
                <w:szCs w:val="22"/>
                <w:lang w:val="en-US"/>
              </w:rPr>
            </w:pPr>
            <w:r w:rsidRPr="00A241DC">
              <w:rPr>
                <w:rFonts w:cs="Arial"/>
                <w:szCs w:val="22"/>
                <w:lang w:val="en-US"/>
              </w:rPr>
              <w:t>BE</w:t>
            </w:r>
          </w:p>
        </w:tc>
        <w:tc>
          <w:tcPr>
            <w:tcW w:w="1701" w:type="dxa"/>
          </w:tcPr>
          <w:p w:rsidR="006260E6" w:rsidRPr="00A241DC" w:rsidRDefault="006260E6" w:rsidP="009C0293">
            <w:pPr>
              <w:tabs>
                <w:tab w:val="left" w:pos="750"/>
              </w:tabs>
              <w:rPr>
                <w:rFonts w:cs="Arial"/>
                <w:szCs w:val="22"/>
                <w:lang w:val="en-US"/>
              </w:rPr>
            </w:pPr>
            <w:r w:rsidRPr="00A241DC">
              <w:rPr>
                <w:rFonts w:cs="Arial"/>
                <w:szCs w:val="22"/>
                <w:lang w:val="en-US"/>
              </w:rPr>
              <w:t>BBB+</w:t>
            </w:r>
            <w:r w:rsidRPr="00A241DC">
              <w:rPr>
                <w:rFonts w:cs="Arial"/>
                <w:szCs w:val="22"/>
                <w:lang w:val="en-US"/>
              </w:rPr>
              <w:tab/>
            </w:r>
          </w:p>
        </w:tc>
        <w:tc>
          <w:tcPr>
            <w:tcW w:w="1490" w:type="dxa"/>
          </w:tcPr>
          <w:p w:rsidR="006260E6" w:rsidRPr="00A241DC" w:rsidRDefault="006260E6" w:rsidP="009C0293">
            <w:pPr>
              <w:tabs>
                <w:tab w:val="left" w:pos="750"/>
              </w:tabs>
              <w:rPr>
                <w:rFonts w:cs="Arial"/>
                <w:szCs w:val="22"/>
                <w:lang w:val="en-US"/>
              </w:rPr>
            </w:pPr>
            <w:r w:rsidRPr="00A241DC">
              <w:rPr>
                <w:rFonts w:cs="Arial"/>
                <w:szCs w:val="22"/>
                <w:lang w:val="en-US"/>
              </w:rPr>
              <w:t>PROX BB</w:t>
            </w:r>
          </w:p>
        </w:tc>
      </w:tr>
      <w:tr w:rsidR="006260E6" w:rsidRPr="00A241DC" w:rsidTr="009C0293">
        <w:tc>
          <w:tcPr>
            <w:tcW w:w="2972" w:type="dxa"/>
          </w:tcPr>
          <w:p w:rsidR="006260E6" w:rsidRPr="00A241DC" w:rsidRDefault="006260E6" w:rsidP="009C0293">
            <w:pPr>
              <w:rPr>
                <w:rFonts w:cs="Arial"/>
                <w:szCs w:val="22"/>
                <w:lang w:val="en-US"/>
              </w:rPr>
            </w:pPr>
            <w:r w:rsidRPr="00A241DC">
              <w:rPr>
                <w:rFonts w:cs="Arial"/>
                <w:szCs w:val="22"/>
                <w:lang w:val="en-US"/>
              </w:rPr>
              <w:t>Tele 2 AB</w:t>
            </w:r>
          </w:p>
        </w:tc>
        <w:tc>
          <w:tcPr>
            <w:tcW w:w="992" w:type="dxa"/>
          </w:tcPr>
          <w:p w:rsidR="006260E6" w:rsidRPr="00A241DC" w:rsidRDefault="006260E6" w:rsidP="009C0293">
            <w:pPr>
              <w:rPr>
                <w:rFonts w:cs="Arial"/>
                <w:szCs w:val="22"/>
                <w:lang w:val="en-US"/>
              </w:rPr>
            </w:pPr>
            <w:r w:rsidRPr="00A241DC">
              <w:rPr>
                <w:rFonts w:cs="Arial"/>
                <w:szCs w:val="22"/>
                <w:lang w:val="en-US"/>
              </w:rPr>
              <w:t>SE</w:t>
            </w:r>
          </w:p>
        </w:tc>
        <w:tc>
          <w:tcPr>
            <w:tcW w:w="1701" w:type="dxa"/>
          </w:tcPr>
          <w:p w:rsidR="006260E6" w:rsidRPr="00A241DC" w:rsidRDefault="006260E6" w:rsidP="009C0293">
            <w:pPr>
              <w:rPr>
                <w:rFonts w:cs="Arial"/>
                <w:szCs w:val="22"/>
                <w:lang w:val="en-US"/>
              </w:rPr>
            </w:pPr>
            <w:r w:rsidRPr="00A241DC">
              <w:rPr>
                <w:rFonts w:cs="Arial"/>
                <w:szCs w:val="22"/>
                <w:lang w:val="en-US"/>
              </w:rPr>
              <w:t>BBB</w:t>
            </w:r>
          </w:p>
        </w:tc>
        <w:tc>
          <w:tcPr>
            <w:tcW w:w="1490" w:type="dxa"/>
          </w:tcPr>
          <w:p w:rsidR="006260E6" w:rsidRPr="00A241DC" w:rsidRDefault="006260E6" w:rsidP="009C0293">
            <w:pPr>
              <w:rPr>
                <w:rFonts w:cs="Arial"/>
                <w:szCs w:val="22"/>
                <w:lang w:val="en-US"/>
              </w:rPr>
            </w:pPr>
            <w:r w:rsidRPr="00A241DC">
              <w:rPr>
                <w:rFonts w:cs="Arial"/>
                <w:szCs w:val="22"/>
                <w:lang w:val="en-US"/>
              </w:rPr>
              <w:t>TEL2B SS</w:t>
            </w:r>
          </w:p>
        </w:tc>
      </w:tr>
      <w:tr w:rsidR="006260E6" w:rsidRPr="00A241DC" w:rsidTr="009C0293">
        <w:tc>
          <w:tcPr>
            <w:tcW w:w="2972" w:type="dxa"/>
          </w:tcPr>
          <w:p w:rsidR="006260E6" w:rsidRPr="00A241DC" w:rsidRDefault="006260E6" w:rsidP="009C0293">
            <w:pPr>
              <w:rPr>
                <w:rFonts w:cs="Arial"/>
                <w:szCs w:val="22"/>
                <w:lang w:val="en-US"/>
              </w:rPr>
            </w:pPr>
            <w:r w:rsidRPr="00A241DC">
              <w:rPr>
                <w:rFonts w:cs="Arial"/>
                <w:szCs w:val="22"/>
                <w:lang w:val="en-US"/>
              </w:rPr>
              <w:t>Telecom Italia</w:t>
            </w:r>
          </w:p>
        </w:tc>
        <w:tc>
          <w:tcPr>
            <w:tcW w:w="992" w:type="dxa"/>
          </w:tcPr>
          <w:p w:rsidR="006260E6" w:rsidRPr="00A241DC" w:rsidRDefault="006260E6" w:rsidP="009C0293">
            <w:pPr>
              <w:rPr>
                <w:rFonts w:cs="Arial"/>
                <w:szCs w:val="22"/>
                <w:lang w:val="en-US"/>
              </w:rPr>
            </w:pPr>
            <w:r w:rsidRPr="00A241DC">
              <w:rPr>
                <w:rFonts w:cs="Arial"/>
                <w:szCs w:val="22"/>
                <w:lang w:val="en-US"/>
              </w:rPr>
              <w:t>IT</w:t>
            </w:r>
          </w:p>
        </w:tc>
        <w:tc>
          <w:tcPr>
            <w:tcW w:w="1701" w:type="dxa"/>
          </w:tcPr>
          <w:p w:rsidR="006260E6" w:rsidRPr="00A241DC" w:rsidRDefault="006260E6" w:rsidP="009C0293">
            <w:pPr>
              <w:rPr>
                <w:rFonts w:cs="Arial"/>
                <w:szCs w:val="22"/>
                <w:lang w:val="en-US"/>
              </w:rPr>
            </w:pPr>
            <w:r w:rsidRPr="00A241DC">
              <w:rPr>
                <w:rFonts w:cs="Arial"/>
                <w:szCs w:val="22"/>
                <w:lang w:val="en-US"/>
              </w:rPr>
              <w:t>B+</w:t>
            </w:r>
          </w:p>
        </w:tc>
        <w:tc>
          <w:tcPr>
            <w:tcW w:w="1490" w:type="dxa"/>
          </w:tcPr>
          <w:p w:rsidR="006260E6" w:rsidRPr="00A241DC" w:rsidRDefault="006260E6" w:rsidP="009C0293">
            <w:pPr>
              <w:rPr>
                <w:rFonts w:cs="Arial"/>
                <w:szCs w:val="22"/>
                <w:lang w:val="en-US"/>
              </w:rPr>
            </w:pPr>
            <w:r w:rsidRPr="00A241DC">
              <w:rPr>
                <w:rFonts w:cs="Arial"/>
                <w:szCs w:val="22"/>
                <w:lang w:val="en-US"/>
              </w:rPr>
              <w:t>TIT_MI</w:t>
            </w:r>
          </w:p>
        </w:tc>
      </w:tr>
      <w:tr w:rsidR="006260E6" w:rsidRPr="00A241DC" w:rsidTr="009C0293">
        <w:tc>
          <w:tcPr>
            <w:tcW w:w="2972" w:type="dxa"/>
          </w:tcPr>
          <w:p w:rsidR="006260E6" w:rsidRPr="00A241DC" w:rsidRDefault="006260E6" w:rsidP="009C0293">
            <w:pPr>
              <w:rPr>
                <w:rFonts w:cs="Arial"/>
                <w:szCs w:val="22"/>
                <w:lang w:val="en-US"/>
              </w:rPr>
            </w:pPr>
            <w:r w:rsidRPr="00A241DC">
              <w:rPr>
                <w:rFonts w:cs="Arial"/>
                <w:szCs w:val="22"/>
                <w:lang w:val="en-US"/>
              </w:rPr>
              <w:t>Telefónica</w:t>
            </w:r>
          </w:p>
        </w:tc>
        <w:tc>
          <w:tcPr>
            <w:tcW w:w="992" w:type="dxa"/>
          </w:tcPr>
          <w:p w:rsidR="006260E6" w:rsidRPr="00A241DC" w:rsidRDefault="006260E6" w:rsidP="009C0293">
            <w:pPr>
              <w:rPr>
                <w:rFonts w:cs="Arial"/>
                <w:szCs w:val="22"/>
                <w:lang w:val="en-US"/>
              </w:rPr>
            </w:pPr>
            <w:r w:rsidRPr="00A241DC">
              <w:rPr>
                <w:rFonts w:cs="Arial"/>
                <w:szCs w:val="22"/>
                <w:lang w:val="en-US"/>
              </w:rPr>
              <w:t>ES</w:t>
            </w:r>
          </w:p>
        </w:tc>
        <w:tc>
          <w:tcPr>
            <w:tcW w:w="1701" w:type="dxa"/>
          </w:tcPr>
          <w:p w:rsidR="006260E6" w:rsidRPr="00A241DC" w:rsidRDefault="006260E6" w:rsidP="009C0293">
            <w:pPr>
              <w:tabs>
                <w:tab w:val="left" w:pos="750"/>
              </w:tabs>
              <w:rPr>
                <w:rFonts w:cs="Arial"/>
                <w:szCs w:val="22"/>
                <w:lang w:val="en-US"/>
              </w:rPr>
            </w:pPr>
            <w:r w:rsidRPr="00A241DC">
              <w:rPr>
                <w:rFonts w:cs="Arial"/>
                <w:szCs w:val="22"/>
                <w:lang w:val="en-US"/>
              </w:rPr>
              <w:t>BBB-</w:t>
            </w:r>
          </w:p>
        </w:tc>
        <w:tc>
          <w:tcPr>
            <w:tcW w:w="1490" w:type="dxa"/>
          </w:tcPr>
          <w:p w:rsidR="006260E6" w:rsidRPr="00A241DC" w:rsidRDefault="006260E6" w:rsidP="009C0293">
            <w:pPr>
              <w:tabs>
                <w:tab w:val="left" w:pos="750"/>
              </w:tabs>
              <w:rPr>
                <w:rFonts w:cs="Arial"/>
                <w:szCs w:val="22"/>
                <w:lang w:val="en-US"/>
              </w:rPr>
            </w:pPr>
            <w:r w:rsidRPr="00A241DC">
              <w:rPr>
                <w:rFonts w:cs="Arial"/>
                <w:szCs w:val="22"/>
                <w:lang w:val="en-US"/>
              </w:rPr>
              <w:t>TEF SM</w:t>
            </w:r>
          </w:p>
        </w:tc>
      </w:tr>
      <w:tr w:rsidR="006260E6" w:rsidRPr="00A241DC" w:rsidTr="009C0293">
        <w:tc>
          <w:tcPr>
            <w:tcW w:w="2972" w:type="dxa"/>
          </w:tcPr>
          <w:p w:rsidR="006260E6" w:rsidRPr="00A241DC" w:rsidRDefault="006260E6" w:rsidP="009C0293">
            <w:pPr>
              <w:rPr>
                <w:rFonts w:cs="Arial"/>
                <w:szCs w:val="22"/>
                <w:lang w:val="en-US"/>
              </w:rPr>
            </w:pPr>
            <w:r w:rsidRPr="00A241DC">
              <w:rPr>
                <w:rFonts w:cs="Arial"/>
                <w:szCs w:val="22"/>
                <w:lang w:val="en-US"/>
              </w:rPr>
              <w:t>Telekom Austria AG</w:t>
            </w:r>
          </w:p>
        </w:tc>
        <w:tc>
          <w:tcPr>
            <w:tcW w:w="992" w:type="dxa"/>
          </w:tcPr>
          <w:p w:rsidR="006260E6" w:rsidRPr="00A241DC" w:rsidRDefault="006260E6" w:rsidP="009C0293">
            <w:pPr>
              <w:rPr>
                <w:rFonts w:cs="Arial"/>
                <w:szCs w:val="22"/>
                <w:lang w:val="en-US"/>
              </w:rPr>
            </w:pPr>
            <w:r w:rsidRPr="00A241DC">
              <w:rPr>
                <w:rFonts w:cs="Arial"/>
                <w:szCs w:val="22"/>
                <w:lang w:val="en-US"/>
              </w:rPr>
              <w:t>AT</w:t>
            </w:r>
          </w:p>
        </w:tc>
        <w:tc>
          <w:tcPr>
            <w:tcW w:w="1701" w:type="dxa"/>
          </w:tcPr>
          <w:p w:rsidR="006260E6" w:rsidRPr="00A241DC" w:rsidRDefault="006260E6" w:rsidP="009C0293">
            <w:pPr>
              <w:rPr>
                <w:rFonts w:cs="Arial"/>
                <w:szCs w:val="22"/>
                <w:lang w:val="en-US"/>
              </w:rPr>
            </w:pPr>
            <w:r>
              <w:rPr>
                <w:rFonts w:cs="Arial"/>
                <w:szCs w:val="22"/>
                <w:lang w:val="en-US"/>
              </w:rPr>
              <w:t>A-</w:t>
            </w:r>
          </w:p>
        </w:tc>
        <w:tc>
          <w:tcPr>
            <w:tcW w:w="1490" w:type="dxa"/>
          </w:tcPr>
          <w:p w:rsidR="006260E6" w:rsidRPr="00A241DC" w:rsidRDefault="006260E6" w:rsidP="009C0293">
            <w:pPr>
              <w:rPr>
                <w:rFonts w:cs="Arial"/>
                <w:szCs w:val="22"/>
                <w:lang w:val="en-US"/>
              </w:rPr>
            </w:pPr>
            <w:r w:rsidRPr="00A241DC">
              <w:rPr>
                <w:rFonts w:cs="Arial"/>
                <w:szCs w:val="22"/>
                <w:lang w:val="en-US"/>
              </w:rPr>
              <w:t>TKA AV</w:t>
            </w:r>
          </w:p>
        </w:tc>
      </w:tr>
      <w:tr w:rsidR="006260E6" w:rsidRPr="00A241DC" w:rsidTr="009C0293">
        <w:tc>
          <w:tcPr>
            <w:tcW w:w="2972" w:type="dxa"/>
          </w:tcPr>
          <w:p w:rsidR="006260E6" w:rsidRPr="00A241DC" w:rsidRDefault="006260E6" w:rsidP="009C0293">
            <w:pPr>
              <w:rPr>
                <w:rFonts w:cs="Arial"/>
                <w:szCs w:val="22"/>
                <w:lang w:val="en-US"/>
              </w:rPr>
            </w:pPr>
            <w:proofErr w:type="spellStart"/>
            <w:r w:rsidRPr="00A241DC">
              <w:rPr>
                <w:rFonts w:cs="Arial"/>
                <w:szCs w:val="22"/>
                <w:lang w:val="en-US"/>
              </w:rPr>
              <w:lastRenderedPageBreak/>
              <w:t>Telenet</w:t>
            </w:r>
            <w:proofErr w:type="spellEnd"/>
            <w:r w:rsidRPr="00A241DC">
              <w:rPr>
                <w:rFonts w:cs="Arial"/>
                <w:szCs w:val="22"/>
                <w:lang w:val="en-US"/>
              </w:rPr>
              <w:t xml:space="preserve"> Group Holding N.V.</w:t>
            </w:r>
          </w:p>
        </w:tc>
        <w:tc>
          <w:tcPr>
            <w:tcW w:w="992" w:type="dxa"/>
          </w:tcPr>
          <w:p w:rsidR="006260E6" w:rsidRPr="00A241DC" w:rsidRDefault="006260E6" w:rsidP="009C0293">
            <w:pPr>
              <w:rPr>
                <w:rFonts w:cs="Arial"/>
                <w:szCs w:val="22"/>
                <w:lang w:val="en-US"/>
              </w:rPr>
            </w:pPr>
            <w:r w:rsidRPr="00A241DC">
              <w:rPr>
                <w:rFonts w:cs="Arial"/>
                <w:szCs w:val="22"/>
                <w:lang w:val="en-US"/>
              </w:rPr>
              <w:t>BE</w:t>
            </w:r>
          </w:p>
        </w:tc>
        <w:tc>
          <w:tcPr>
            <w:tcW w:w="1701" w:type="dxa"/>
          </w:tcPr>
          <w:p w:rsidR="006260E6" w:rsidRPr="00A241DC" w:rsidRDefault="006260E6" w:rsidP="009C0293">
            <w:pPr>
              <w:rPr>
                <w:rFonts w:cs="Arial"/>
                <w:szCs w:val="22"/>
                <w:lang w:val="en-US"/>
              </w:rPr>
            </w:pPr>
            <w:r w:rsidRPr="00A241DC">
              <w:rPr>
                <w:rFonts w:cs="Arial"/>
                <w:szCs w:val="22"/>
                <w:lang w:val="en-US"/>
              </w:rPr>
              <w:t>BB-</w:t>
            </w:r>
          </w:p>
        </w:tc>
        <w:tc>
          <w:tcPr>
            <w:tcW w:w="1490" w:type="dxa"/>
          </w:tcPr>
          <w:p w:rsidR="006260E6" w:rsidRPr="00A241DC" w:rsidRDefault="006260E6" w:rsidP="009C0293">
            <w:pPr>
              <w:rPr>
                <w:rFonts w:cs="Arial"/>
                <w:szCs w:val="22"/>
                <w:lang w:val="en-US"/>
              </w:rPr>
            </w:pPr>
            <w:r w:rsidRPr="00A241DC">
              <w:rPr>
                <w:rFonts w:cs="Arial"/>
                <w:szCs w:val="22"/>
                <w:lang w:val="en-US"/>
              </w:rPr>
              <w:t>TNET BB</w:t>
            </w:r>
          </w:p>
        </w:tc>
      </w:tr>
      <w:tr w:rsidR="006260E6" w:rsidRPr="00A241DC" w:rsidTr="009C0293">
        <w:tc>
          <w:tcPr>
            <w:tcW w:w="2972" w:type="dxa"/>
          </w:tcPr>
          <w:p w:rsidR="006260E6" w:rsidRPr="00A241DC" w:rsidRDefault="006260E6" w:rsidP="009C0293">
            <w:pPr>
              <w:rPr>
                <w:rFonts w:cs="Arial"/>
                <w:szCs w:val="22"/>
                <w:lang w:val="en-US"/>
              </w:rPr>
            </w:pPr>
            <w:r w:rsidRPr="00A241DC">
              <w:rPr>
                <w:rFonts w:cs="Arial"/>
                <w:szCs w:val="22"/>
                <w:lang w:val="en-US"/>
              </w:rPr>
              <w:t>Telenor</w:t>
            </w:r>
          </w:p>
        </w:tc>
        <w:tc>
          <w:tcPr>
            <w:tcW w:w="992" w:type="dxa"/>
          </w:tcPr>
          <w:p w:rsidR="006260E6" w:rsidRPr="00A241DC" w:rsidRDefault="006260E6" w:rsidP="009C0293">
            <w:pPr>
              <w:rPr>
                <w:rFonts w:cs="Arial"/>
                <w:szCs w:val="22"/>
                <w:lang w:val="en-US"/>
              </w:rPr>
            </w:pPr>
            <w:r w:rsidRPr="00A241DC">
              <w:rPr>
                <w:rFonts w:cs="Arial"/>
                <w:szCs w:val="22"/>
                <w:lang w:val="en-US"/>
              </w:rPr>
              <w:t>NO</w:t>
            </w:r>
          </w:p>
        </w:tc>
        <w:tc>
          <w:tcPr>
            <w:tcW w:w="1701" w:type="dxa"/>
          </w:tcPr>
          <w:p w:rsidR="006260E6" w:rsidRPr="00A241DC" w:rsidRDefault="006260E6" w:rsidP="009C0293">
            <w:pPr>
              <w:rPr>
                <w:rFonts w:cs="Arial"/>
                <w:szCs w:val="22"/>
                <w:lang w:val="en-US"/>
              </w:rPr>
            </w:pPr>
            <w:r w:rsidRPr="00A241DC">
              <w:rPr>
                <w:rFonts w:cs="Arial"/>
                <w:szCs w:val="22"/>
                <w:lang w:val="en-US"/>
              </w:rPr>
              <w:t>A-</w:t>
            </w:r>
          </w:p>
        </w:tc>
        <w:tc>
          <w:tcPr>
            <w:tcW w:w="1490" w:type="dxa"/>
          </w:tcPr>
          <w:p w:rsidR="006260E6" w:rsidRPr="00A241DC" w:rsidRDefault="006260E6" w:rsidP="009C0293">
            <w:pPr>
              <w:rPr>
                <w:rFonts w:cs="Arial"/>
                <w:szCs w:val="22"/>
                <w:lang w:val="en-US"/>
              </w:rPr>
            </w:pPr>
            <w:r w:rsidRPr="00A241DC">
              <w:rPr>
                <w:rFonts w:cs="Arial"/>
                <w:szCs w:val="22"/>
                <w:lang w:val="en-US"/>
              </w:rPr>
              <w:t>TEQ</w:t>
            </w:r>
          </w:p>
        </w:tc>
      </w:tr>
      <w:tr w:rsidR="006260E6" w:rsidRPr="00A241DC" w:rsidTr="009C0293">
        <w:tc>
          <w:tcPr>
            <w:tcW w:w="2972" w:type="dxa"/>
          </w:tcPr>
          <w:p w:rsidR="006260E6" w:rsidRPr="00A241DC" w:rsidRDefault="006260E6" w:rsidP="009C0293">
            <w:pPr>
              <w:rPr>
                <w:rFonts w:cs="Arial"/>
                <w:szCs w:val="22"/>
                <w:lang w:val="en-US"/>
              </w:rPr>
            </w:pPr>
            <w:proofErr w:type="spellStart"/>
            <w:r w:rsidRPr="00A241DC">
              <w:rPr>
                <w:rFonts w:cs="Arial"/>
                <w:szCs w:val="22"/>
                <w:lang w:val="en-US"/>
              </w:rPr>
              <w:t>Telia</w:t>
            </w:r>
            <w:proofErr w:type="spellEnd"/>
            <w:r w:rsidRPr="00A241DC">
              <w:rPr>
                <w:rFonts w:cs="Arial"/>
                <w:szCs w:val="22"/>
                <w:lang w:val="en-US"/>
              </w:rPr>
              <w:t xml:space="preserve"> Company AB</w:t>
            </w:r>
          </w:p>
        </w:tc>
        <w:tc>
          <w:tcPr>
            <w:tcW w:w="992" w:type="dxa"/>
          </w:tcPr>
          <w:p w:rsidR="006260E6" w:rsidRPr="00A241DC" w:rsidRDefault="006260E6" w:rsidP="009C0293">
            <w:pPr>
              <w:rPr>
                <w:rFonts w:cs="Arial"/>
                <w:szCs w:val="22"/>
                <w:lang w:val="en-US"/>
              </w:rPr>
            </w:pPr>
            <w:r w:rsidRPr="00A241DC">
              <w:rPr>
                <w:rFonts w:cs="Arial"/>
                <w:szCs w:val="22"/>
                <w:lang w:val="en-US"/>
              </w:rPr>
              <w:t>SE</w:t>
            </w:r>
          </w:p>
        </w:tc>
        <w:tc>
          <w:tcPr>
            <w:tcW w:w="1701" w:type="dxa"/>
          </w:tcPr>
          <w:p w:rsidR="006260E6" w:rsidRPr="00A241DC" w:rsidRDefault="006260E6" w:rsidP="009C0293">
            <w:pPr>
              <w:rPr>
                <w:rFonts w:cs="Arial"/>
                <w:szCs w:val="22"/>
                <w:lang w:val="en-US"/>
              </w:rPr>
            </w:pPr>
            <w:r w:rsidRPr="00A241DC">
              <w:rPr>
                <w:rFonts w:cs="Arial"/>
                <w:szCs w:val="22"/>
                <w:lang w:val="en-US"/>
              </w:rPr>
              <w:t>BBB+</w:t>
            </w:r>
          </w:p>
        </w:tc>
        <w:tc>
          <w:tcPr>
            <w:tcW w:w="1490" w:type="dxa"/>
          </w:tcPr>
          <w:p w:rsidR="006260E6" w:rsidRPr="00A241DC" w:rsidRDefault="006260E6" w:rsidP="009C0293">
            <w:pPr>
              <w:rPr>
                <w:rFonts w:cs="Arial"/>
                <w:szCs w:val="22"/>
                <w:lang w:val="en-US"/>
              </w:rPr>
            </w:pPr>
            <w:r w:rsidRPr="00A241DC">
              <w:rPr>
                <w:rFonts w:cs="Arial"/>
                <w:szCs w:val="22"/>
                <w:lang w:val="en-US"/>
              </w:rPr>
              <w:t>TELIA SS</w:t>
            </w:r>
          </w:p>
        </w:tc>
      </w:tr>
      <w:tr w:rsidR="006260E6" w:rsidRPr="00A241DC" w:rsidTr="009C0293">
        <w:tc>
          <w:tcPr>
            <w:tcW w:w="2972" w:type="dxa"/>
          </w:tcPr>
          <w:p w:rsidR="006260E6" w:rsidRPr="00A241DC" w:rsidRDefault="006260E6" w:rsidP="009C0293">
            <w:pPr>
              <w:rPr>
                <w:rFonts w:cs="Arial"/>
                <w:szCs w:val="22"/>
                <w:lang w:val="en-US"/>
              </w:rPr>
            </w:pPr>
            <w:r w:rsidRPr="00A241DC">
              <w:rPr>
                <w:rFonts w:cs="Arial"/>
                <w:szCs w:val="22"/>
                <w:lang w:val="en-US"/>
              </w:rPr>
              <w:t>Vodafone Group plc</w:t>
            </w:r>
          </w:p>
        </w:tc>
        <w:tc>
          <w:tcPr>
            <w:tcW w:w="992" w:type="dxa"/>
          </w:tcPr>
          <w:p w:rsidR="006260E6" w:rsidRPr="00A241DC" w:rsidRDefault="006260E6" w:rsidP="009C0293">
            <w:pPr>
              <w:rPr>
                <w:rFonts w:cs="Arial"/>
                <w:szCs w:val="22"/>
                <w:lang w:val="en-US"/>
              </w:rPr>
            </w:pPr>
            <w:r w:rsidRPr="00A241DC">
              <w:rPr>
                <w:rFonts w:cs="Arial"/>
                <w:szCs w:val="22"/>
                <w:lang w:val="en-US"/>
              </w:rPr>
              <w:t>UK</w:t>
            </w:r>
          </w:p>
        </w:tc>
        <w:tc>
          <w:tcPr>
            <w:tcW w:w="1701" w:type="dxa"/>
          </w:tcPr>
          <w:p w:rsidR="006260E6" w:rsidRPr="00A241DC" w:rsidRDefault="006260E6" w:rsidP="009C0293">
            <w:pPr>
              <w:rPr>
                <w:rFonts w:cs="Arial"/>
                <w:szCs w:val="22"/>
                <w:lang w:val="en-US"/>
              </w:rPr>
            </w:pPr>
            <w:r w:rsidRPr="00A241DC">
              <w:rPr>
                <w:rFonts w:cs="Arial"/>
                <w:szCs w:val="22"/>
                <w:lang w:val="en-US"/>
              </w:rPr>
              <w:t>BBB</w:t>
            </w:r>
          </w:p>
        </w:tc>
        <w:tc>
          <w:tcPr>
            <w:tcW w:w="1490" w:type="dxa"/>
          </w:tcPr>
          <w:p w:rsidR="006260E6" w:rsidRPr="00A241DC" w:rsidRDefault="006260E6" w:rsidP="009C0293">
            <w:pPr>
              <w:rPr>
                <w:rFonts w:cs="Arial"/>
                <w:szCs w:val="22"/>
                <w:lang w:val="en-US"/>
              </w:rPr>
            </w:pPr>
            <w:r w:rsidRPr="00A241DC">
              <w:rPr>
                <w:rFonts w:cs="Arial"/>
                <w:szCs w:val="22"/>
                <w:lang w:val="en-US"/>
              </w:rPr>
              <w:t>VOD LN</w:t>
            </w:r>
          </w:p>
        </w:tc>
      </w:tr>
    </w:tbl>
    <w:p w:rsidR="006260E6" w:rsidRPr="00FB3CCA" w:rsidRDefault="006260E6" w:rsidP="006260E6">
      <w:pPr>
        <w:spacing w:before="120" w:after="240"/>
        <w:rPr>
          <w:rFonts w:cs="Arial"/>
          <w:sz w:val="20"/>
        </w:rPr>
      </w:pPr>
      <w:r w:rsidRPr="00FB3CCA">
        <w:rPr>
          <w:rFonts w:cs="Arial"/>
          <w:sz w:val="20"/>
        </w:rPr>
        <w:t xml:space="preserve">Zdroj: WACC </w:t>
      </w:r>
      <w:r w:rsidRPr="00ED29FE">
        <w:rPr>
          <w:rFonts w:cs="Arial"/>
          <w:sz w:val="20"/>
          <w:lang w:val="en-GB"/>
        </w:rPr>
        <w:t>parameters</w:t>
      </w:r>
      <w:r w:rsidRPr="00FB3CCA">
        <w:rPr>
          <w:rFonts w:cs="Arial"/>
          <w:sz w:val="20"/>
        </w:rPr>
        <w:t xml:space="preserve"> Report 202</w:t>
      </w:r>
      <w:r>
        <w:rPr>
          <w:rFonts w:cs="Arial"/>
          <w:sz w:val="20"/>
        </w:rPr>
        <w:t>3</w:t>
      </w:r>
      <w:r w:rsidRPr="00FB3CCA">
        <w:rPr>
          <w:rFonts w:cs="Arial"/>
          <w:sz w:val="20"/>
        </w:rPr>
        <w:t xml:space="preserve">, </w:t>
      </w:r>
      <w:proofErr w:type="spellStart"/>
      <w:r w:rsidRPr="00FB3CCA">
        <w:rPr>
          <w:rFonts w:cs="Arial"/>
          <w:sz w:val="20"/>
        </w:rPr>
        <w:t>BoR</w:t>
      </w:r>
      <w:proofErr w:type="spellEnd"/>
      <w:r w:rsidRPr="00FB3CCA">
        <w:rPr>
          <w:rFonts w:cs="Arial"/>
          <w:sz w:val="20"/>
        </w:rPr>
        <w:t xml:space="preserve"> (2</w:t>
      </w:r>
      <w:r>
        <w:rPr>
          <w:rFonts w:cs="Arial"/>
          <w:sz w:val="20"/>
        </w:rPr>
        <w:t>3</w:t>
      </w:r>
      <w:r w:rsidRPr="00FB3CCA">
        <w:rPr>
          <w:rFonts w:cs="Arial"/>
          <w:sz w:val="20"/>
        </w:rPr>
        <w:t>)</w:t>
      </w:r>
      <w:r>
        <w:rPr>
          <w:rFonts w:cs="Arial"/>
          <w:sz w:val="20"/>
        </w:rPr>
        <w:t xml:space="preserve"> 90</w:t>
      </w:r>
    </w:p>
    <w:p w:rsidR="006260E6" w:rsidRPr="0003647E" w:rsidRDefault="006260E6" w:rsidP="0003647E">
      <w:pPr>
        <w:ind w:firstLine="709"/>
        <w:jc w:val="both"/>
        <w:rPr>
          <w:rFonts w:ascii="Arial" w:hAnsi="Arial" w:cs="Arial"/>
          <w:sz w:val="22"/>
          <w:szCs w:val="22"/>
        </w:rPr>
      </w:pPr>
      <w:r w:rsidRPr="0003647E">
        <w:rPr>
          <w:rFonts w:ascii="Arial" w:hAnsi="Arial" w:cs="Arial"/>
          <w:sz w:val="22"/>
          <w:szCs w:val="22"/>
        </w:rPr>
        <w:t xml:space="preserve">Koeficient beta vyjadřuje systematické riziko, kterému společnost čelí ve srovnání s průměrnou společností na trhu. Beta se odhaduje pomocí regresní analýzy, tj. odhadem korelace mezi výnosy z akcií společnosti a výnosy z tržního indexu. BEREC pro odhad koeficientů beta použil index STOXX </w:t>
      </w:r>
      <w:proofErr w:type="spellStart"/>
      <w:r w:rsidRPr="0003647E">
        <w:rPr>
          <w:rFonts w:ascii="Arial" w:hAnsi="Arial" w:cs="Arial"/>
          <w:sz w:val="22"/>
          <w:szCs w:val="22"/>
        </w:rPr>
        <w:t>Europe</w:t>
      </w:r>
      <w:proofErr w:type="spellEnd"/>
      <w:r w:rsidRPr="0003647E">
        <w:rPr>
          <w:rFonts w:ascii="Arial" w:hAnsi="Arial" w:cs="Arial"/>
          <w:sz w:val="22"/>
          <w:szCs w:val="22"/>
        </w:rPr>
        <w:t xml:space="preserve"> TMI, přičemž byla analyzována data s týdenní frekvencí za pětileté období (1. dubna 2018–31. března 2023).</w:t>
      </w:r>
    </w:p>
    <w:p w:rsidR="006260E6" w:rsidRPr="0003647E" w:rsidRDefault="006260E6" w:rsidP="0003647E">
      <w:pPr>
        <w:ind w:firstLine="709"/>
        <w:jc w:val="both"/>
        <w:rPr>
          <w:rFonts w:ascii="Arial" w:hAnsi="Arial" w:cs="Arial"/>
          <w:sz w:val="22"/>
          <w:szCs w:val="22"/>
        </w:rPr>
      </w:pPr>
    </w:p>
    <w:p w:rsidR="006260E6" w:rsidRPr="0003647E" w:rsidRDefault="006260E6" w:rsidP="0003647E">
      <w:pPr>
        <w:ind w:firstLine="709"/>
        <w:jc w:val="both"/>
        <w:rPr>
          <w:rFonts w:ascii="Arial" w:hAnsi="Arial" w:cs="Arial"/>
          <w:sz w:val="22"/>
          <w:szCs w:val="22"/>
        </w:rPr>
      </w:pPr>
      <w:r w:rsidRPr="0003647E">
        <w:rPr>
          <w:rFonts w:ascii="Arial" w:hAnsi="Arial" w:cs="Arial"/>
          <w:sz w:val="22"/>
          <w:szCs w:val="22"/>
        </w:rPr>
        <w:t xml:space="preserve">Zadluženost byla stanovena na základě pětiletého průměru dat s týdenní frekvencí. Zadluženost byla ohodnocena na základě účetních hodnot čistého dluhu společností, včetně hodnoty finančních leasingů. </w:t>
      </w:r>
    </w:p>
    <w:p w:rsidR="006260E6" w:rsidRPr="0003647E" w:rsidRDefault="006260E6" w:rsidP="0003647E">
      <w:pPr>
        <w:ind w:firstLine="709"/>
        <w:jc w:val="both"/>
        <w:rPr>
          <w:rFonts w:ascii="Arial" w:hAnsi="Arial" w:cs="Arial"/>
          <w:sz w:val="22"/>
          <w:szCs w:val="22"/>
        </w:rPr>
      </w:pPr>
    </w:p>
    <w:p w:rsidR="006260E6" w:rsidRPr="0003647E" w:rsidRDefault="006260E6" w:rsidP="0003647E">
      <w:pPr>
        <w:ind w:firstLine="709"/>
        <w:jc w:val="both"/>
        <w:rPr>
          <w:rFonts w:ascii="Arial" w:hAnsi="Arial" w:cs="Arial"/>
          <w:sz w:val="22"/>
          <w:szCs w:val="22"/>
        </w:rPr>
      </w:pPr>
      <w:r w:rsidRPr="0003647E">
        <w:rPr>
          <w:rFonts w:ascii="Arial" w:hAnsi="Arial" w:cs="Arial"/>
          <w:sz w:val="22"/>
          <w:szCs w:val="22"/>
        </w:rPr>
        <w:t>Nezadlužená (asset) beta, která počítá s nulovým zadlužením podniku, a zadlužená (equity) beta, která zohledňuje zadlužení podniku, byly přepočteny podle vzorce:</w:t>
      </w:r>
    </w:p>
    <w:p w:rsidR="006260E6" w:rsidRPr="0003647E" w:rsidRDefault="006260E6" w:rsidP="0003647E">
      <w:pPr>
        <w:ind w:firstLine="709"/>
        <w:jc w:val="both"/>
        <w:rPr>
          <w:rFonts w:ascii="Arial" w:hAnsi="Arial" w:cs="Arial"/>
          <w:sz w:val="22"/>
          <w:szCs w:val="22"/>
        </w:rPr>
      </w:pPr>
    </w:p>
    <w:p w:rsidR="006260E6" w:rsidRDefault="006260E6" w:rsidP="006260E6">
      <w:pPr>
        <w:ind w:firstLine="709"/>
        <w:jc w:val="center"/>
        <w:rPr>
          <w:rFonts w:cs="Arial"/>
          <w:szCs w:val="22"/>
        </w:rPr>
      </w:pPr>
      <m:oMath>
        <m:sSub>
          <m:sSubPr>
            <m:ctrlPr>
              <w:rPr>
                <w:rFonts w:ascii="Cambria Math" w:hAnsi="Cambria Math"/>
                <w:i/>
              </w:rPr>
            </m:ctrlPr>
          </m:sSubPr>
          <m:e>
            <m:r>
              <w:rPr>
                <w:rFonts w:ascii="Cambria Math" w:hAnsi="Cambria Math"/>
              </w:rPr>
              <m:t>β</m:t>
            </m:r>
          </m:e>
          <m:sub>
            <m:r>
              <w:rPr>
                <w:rFonts w:ascii="Cambria Math" w:hAnsi="Cambria Math"/>
              </w:rPr>
              <m:t>a</m:t>
            </m:r>
          </m:sub>
        </m:sSub>
        <m:r>
          <m:rPr>
            <m:sty m:val="p"/>
          </m:rPr>
          <w:rPr>
            <w:rFonts w:ascii="Cambria Math" w:hAnsi="Cambria Math" w:cs="TimesNewRomanPSMT"/>
            <w:szCs w:val="14"/>
            <w:vertAlign w:val="subscript"/>
          </w:rPr>
          <m:t xml:space="preserve"> </m:t>
        </m:r>
        <m:r>
          <m:rPr>
            <m:sty m:val="p"/>
          </m:rPr>
          <w:rPr>
            <w:rFonts w:ascii="Cambria Math" w:cs="TimesNewRomanPSMT"/>
            <w:szCs w:val="14"/>
            <w:vertAlign w:val="subscript"/>
          </w:rPr>
          <m:t>=</m:t>
        </m:r>
        <m:d>
          <m:dPr>
            <m:ctrlPr>
              <w:rPr>
                <w:rFonts w:ascii="Cambria Math" w:hAnsi="Cambria Math" w:cs="TimesNewRomanPSMT"/>
                <w:szCs w:val="14"/>
                <w:vertAlign w:val="subscript"/>
              </w:rPr>
            </m:ctrlPr>
          </m:dPr>
          <m:e>
            <m:f>
              <m:fPr>
                <m:ctrlPr>
                  <w:rPr>
                    <w:rFonts w:ascii="Cambria Math" w:hAnsi="Cambria Math"/>
                    <w:noProof/>
                    <w:vertAlign w:val="subscript"/>
                  </w:rPr>
                </m:ctrlPr>
              </m:fPr>
              <m:num>
                <m:r>
                  <w:rPr>
                    <w:rFonts w:ascii="Cambria Math" w:hAnsi="Cambria Math"/>
                    <w:noProof/>
                    <w:vertAlign w:val="subscript"/>
                  </w:rPr>
                  <m:t>E</m:t>
                </m:r>
              </m:num>
              <m:den>
                <m:r>
                  <w:rPr>
                    <w:rFonts w:ascii="Cambria Math" w:hAnsi="Cambria Math"/>
                    <w:noProof/>
                    <w:vertAlign w:val="subscript"/>
                  </w:rPr>
                  <m:t>D</m:t>
                </m:r>
                <m:r>
                  <m:rPr>
                    <m:sty m:val="p"/>
                  </m:rPr>
                  <w:rPr>
                    <w:rFonts w:ascii="Cambria Math" w:hAnsi="Cambria Math"/>
                    <w:noProof/>
                    <w:vertAlign w:val="subscript"/>
                  </w:rPr>
                  <m:t>+</m:t>
                </m:r>
                <m:r>
                  <w:rPr>
                    <w:rFonts w:ascii="Cambria Math" w:hAnsi="Cambria Math"/>
                    <w:noProof/>
                    <w:vertAlign w:val="subscript"/>
                  </w:rPr>
                  <m:t>E</m:t>
                </m:r>
              </m:den>
            </m:f>
          </m:e>
        </m:d>
        <m:r>
          <m:rPr>
            <m:sty m:val="p"/>
          </m:rPr>
          <w:rPr>
            <w:rFonts w:ascii="Cambria Math" w:hAnsi="Cambria Math" w:cs="Cambria Math"/>
            <w:szCs w:val="14"/>
            <w:vertAlign w:val="subscript"/>
          </w:rPr>
          <m:t>*</m:t>
        </m:r>
        <m:r>
          <m:rPr>
            <m:sty m:val="p"/>
          </m:rPr>
          <w:rPr>
            <w:rFonts w:ascii="Cambria Math" w:cs="TimesNewRomanPSMT"/>
            <w:szCs w:val="14"/>
            <w:vertAlign w:val="subscript"/>
          </w:rPr>
          <m:t xml:space="preserve"> </m:t>
        </m:r>
        <m:sSub>
          <m:sSubPr>
            <m:ctrlPr>
              <w:rPr>
                <w:rFonts w:ascii="Cambria Math" w:hAnsi="Cambria Math"/>
                <w:i/>
              </w:rPr>
            </m:ctrlPr>
          </m:sSubPr>
          <m:e>
            <m:r>
              <w:rPr>
                <w:rFonts w:ascii="Cambria Math" w:hAnsi="Cambria Math"/>
              </w:rPr>
              <m:t>β</m:t>
            </m:r>
          </m:e>
          <m:sub>
            <m:r>
              <w:rPr>
                <w:rFonts w:ascii="Cambria Math" w:hAnsi="Cambria Math"/>
              </w:rPr>
              <m:t>e</m:t>
            </m:r>
          </m:sub>
        </m:sSub>
        <m:r>
          <m:rPr>
            <m:sty m:val="p"/>
          </m:rPr>
          <w:rPr>
            <w:rFonts w:ascii="Cambria Math" w:hAnsi="Cambria Math" w:cs="TimesNewRomanPSMT"/>
            <w:szCs w:val="14"/>
            <w:vertAlign w:val="subscript"/>
          </w:rPr>
          <m:t xml:space="preserve"> </m:t>
        </m:r>
        <m:r>
          <m:rPr>
            <m:sty m:val="p"/>
          </m:rPr>
          <w:rPr>
            <w:rFonts w:ascii="Cambria Math" w:cs="TimesNewRomanPSMT"/>
            <w:szCs w:val="14"/>
            <w:vertAlign w:val="subscript"/>
          </w:rPr>
          <m:t>+</m:t>
        </m:r>
        <m:d>
          <m:dPr>
            <m:ctrlPr>
              <w:rPr>
                <w:rFonts w:ascii="Cambria Math" w:hAnsi="Cambria Math" w:cs="TimesNewRomanPSMT"/>
                <w:szCs w:val="14"/>
                <w:vertAlign w:val="subscript"/>
              </w:rPr>
            </m:ctrlPr>
          </m:dPr>
          <m:e>
            <m:f>
              <m:fPr>
                <m:ctrlPr>
                  <w:rPr>
                    <w:rFonts w:ascii="Cambria Math" w:hAnsi="Cambria Math"/>
                    <w:noProof/>
                    <w:vertAlign w:val="subscript"/>
                  </w:rPr>
                </m:ctrlPr>
              </m:fPr>
              <m:num>
                <m:r>
                  <w:rPr>
                    <w:rFonts w:ascii="Cambria Math" w:hAnsi="Cambria Math"/>
                    <w:noProof/>
                    <w:vertAlign w:val="subscript"/>
                  </w:rPr>
                  <m:t>D</m:t>
                </m:r>
              </m:num>
              <m:den>
                <m:r>
                  <w:rPr>
                    <w:rFonts w:ascii="Cambria Math" w:hAnsi="Cambria Math"/>
                    <w:noProof/>
                    <w:vertAlign w:val="subscript"/>
                  </w:rPr>
                  <m:t>D</m:t>
                </m:r>
                <m:r>
                  <m:rPr>
                    <m:sty m:val="p"/>
                  </m:rPr>
                  <w:rPr>
                    <w:rFonts w:ascii="Cambria Math" w:hAnsi="Cambria Math"/>
                    <w:noProof/>
                    <w:vertAlign w:val="subscript"/>
                  </w:rPr>
                  <m:t>+</m:t>
                </m:r>
                <m:r>
                  <w:rPr>
                    <w:rFonts w:ascii="Cambria Math" w:hAnsi="Cambria Math"/>
                    <w:noProof/>
                    <w:vertAlign w:val="subscript"/>
                  </w:rPr>
                  <m:t>E</m:t>
                </m:r>
              </m:den>
            </m:f>
          </m:e>
        </m:d>
        <m:r>
          <m:rPr>
            <m:sty m:val="p"/>
          </m:rPr>
          <w:rPr>
            <w:rFonts w:ascii="Cambria Math" w:hAnsi="Cambria Math" w:cs="Cambria Math"/>
            <w:szCs w:val="14"/>
            <w:vertAlign w:val="subscript"/>
          </w:rPr>
          <m:t>*</m:t>
        </m:r>
        <m:sSub>
          <m:sSubPr>
            <m:ctrlPr>
              <w:rPr>
                <w:rFonts w:ascii="Cambria Math" w:hAnsi="Cambria Math"/>
                <w:i/>
              </w:rPr>
            </m:ctrlPr>
          </m:sSubPr>
          <m:e>
            <m:r>
              <w:rPr>
                <w:rFonts w:ascii="Cambria Math" w:hAnsi="Cambria Math"/>
              </w:rPr>
              <m:t>β</m:t>
            </m:r>
          </m:e>
          <m:sub>
            <m:r>
              <w:rPr>
                <w:rFonts w:ascii="Cambria Math" w:hAnsi="Cambria Math"/>
              </w:rPr>
              <m:t>d</m:t>
            </m:r>
          </m:sub>
        </m:sSub>
      </m:oMath>
      <w:r>
        <w:rPr>
          <w:rFonts w:cs="Arial"/>
          <w:szCs w:val="14"/>
        </w:rPr>
        <w:t>,</w:t>
      </w:r>
    </w:p>
    <w:p w:rsidR="006260E6" w:rsidRPr="00212C23" w:rsidRDefault="006260E6" w:rsidP="006260E6">
      <w:pPr>
        <w:spacing w:before="240"/>
        <w:rPr>
          <w:rFonts w:ascii="Arial" w:hAnsi="Arial" w:cs="Arial"/>
          <w:sz w:val="22"/>
          <w:szCs w:val="22"/>
        </w:rPr>
      </w:pPr>
      <w:r w:rsidRPr="00212C23">
        <w:rPr>
          <w:rFonts w:ascii="Arial" w:hAnsi="Arial" w:cs="Arial"/>
          <w:sz w:val="22"/>
          <w:szCs w:val="22"/>
        </w:rPr>
        <w:t>kde</w:t>
      </w:r>
    </w:p>
    <w:p w:rsidR="006260E6" w:rsidRPr="00212C23" w:rsidRDefault="006260E6" w:rsidP="006260E6">
      <w:pPr>
        <w:spacing w:before="60"/>
        <w:rPr>
          <w:rFonts w:ascii="Arial" w:hAnsi="Arial" w:cs="Arial"/>
          <w:noProof/>
          <w:sz w:val="22"/>
          <w:szCs w:val="22"/>
          <w:lang w:eastAsia="zh-TW"/>
        </w:rPr>
      </w:pPr>
      <w:r w:rsidRPr="00212C23">
        <w:rPr>
          <w:rFonts w:ascii="Arial" w:hAnsi="Arial" w:cs="Arial"/>
          <w:noProof/>
          <w:sz w:val="22"/>
          <w:szCs w:val="22"/>
          <w:lang w:eastAsia="zh-TW"/>
        </w:rPr>
        <w:t>ß</w:t>
      </w:r>
      <w:r w:rsidRPr="00212C23">
        <w:rPr>
          <w:rFonts w:ascii="Arial" w:hAnsi="Arial" w:cs="Arial"/>
          <w:noProof/>
          <w:sz w:val="22"/>
          <w:szCs w:val="22"/>
          <w:vertAlign w:val="subscript"/>
          <w:lang w:eastAsia="zh-TW"/>
        </w:rPr>
        <w:t>a</w:t>
      </w:r>
      <w:r w:rsidRPr="00212C23">
        <w:rPr>
          <w:rFonts w:ascii="Arial" w:hAnsi="Arial" w:cs="Arial"/>
          <w:noProof/>
          <w:sz w:val="22"/>
          <w:szCs w:val="22"/>
          <w:lang w:eastAsia="zh-TW"/>
        </w:rPr>
        <w:t xml:space="preserve"> </w:t>
      </w:r>
      <w:r w:rsidRPr="00212C23">
        <w:rPr>
          <w:rFonts w:ascii="Arial" w:hAnsi="Arial" w:cs="Arial"/>
          <w:noProof/>
          <w:sz w:val="22"/>
          <w:szCs w:val="22"/>
          <w:lang w:eastAsia="zh-TW"/>
        </w:rPr>
        <w:tab/>
      </w:r>
      <w:r w:rsidRPr="00212C23">
        <w:rPr>
          <w:rFonts w:ascii="Arial" w:hAnsi="Arial" w:cs="Arial"/>
          <w:noProof/>
          <w:sz w:val="22"/>
          <w:szCs w:val="22"/>
          <w:lang w:eastAsia="zh-TW"/>
        </w:rPr>
        <w:tab/>
        <w:t>je asset beta,</w:t>
      </w:r>
    </w:p>
    <w:p w:rsidR="006260E6" w:rsidRPr="00212C23" w:rsidRDefault="006260E6" w:rsidP="006260E6">
      <w:pPr>
        <w:spacing w:before="60"/>
        <w:rPr>
          <w:rFonts w:ascii="Arial" w:hAnsi="Arial" w:cs="Arial"/>
          <w:noProof/>
          <w:sz w:val="22"/>
          <w:szCs w:val="22"/>
          <w:lang w:eastAsia="zh-TW"/>
        </w:rPr>
      </w:pPr>
      <w:r w:rsidRPr="00212C23">
        <w:rPr>
          <w:rFonts w:ascii="Arial" w:hAnsi="Arial" w:cs="Arial"/>
          <w:noProof/>
          <w:sz w:val="22"/>
          <w:szCs w:val="22"/>
          <w:lang w:eastAsia="zh-TW"/>
        </w:rPr>
        <w:t>ß</w:t>
      </w:r>
      <w:r w:rsidRPr="00212C23">
        <w:rPr>
          <w:rFonts w:ascii="Arial" w:hAnsi="Arial" w:cs="Arial"/>
          <w:noProof/>
          <w:sz w:val="22"/>
          <w:szCs w:val="22"/>
          <w:vertAlign w:val="subscript"/>
          <w:lang w:eastAsia="zh-TW"/>
        </w:rPr>
        <w:t>e</w:t>
      </w:r>
      <w:r w:rsidRPr="00212C23">
        <w:rPr>
          <w:rFonts w:ascii="Arial" w:hAnsi="Arial" w:cs="Arial"/>
          <w:noProof/>
          <w:sz w:val="22"/>
          <w:szCs w:val="22"/>
          <w:lang w:eastAsia="zh-TW"/>
        </w:rPr>
        <w:t xml:space="preserve"> </w:t>
      </w:r>
      <w:r w:rsidRPr="00212C23">
        <w:rPr>
          <w:rFonts w:ascii="Arial" w:hAnsi="Arial" w:cs="Arial"/>
          <w:noProof/>
          <w:sz w:val="22"/>
          <w:szCs w:val="22"/>
          <w:lang w:eastAsia="zh-TW"/>
        </w:rPr>
        <w:tab/>
      </w:r>
      <w:r w:rsidRPr="00212C23">
        <w:rPr>
          <w:rFonts w:ascii="Arial" w:hAnsi="Arial" w:cs="Arial"/>
          <w:noProof/>
          <w:sz w:val="22"/>
          <w:szCs w:val="22"/>
          <w:lang w:eastAsia="zh-TW"/>
        </w:rPr>
        <w:tab/>
        <w:t>je equity beta,</w:t>
      </w:r>
    </w:p>
    <w:p w:rsidR="006260E6" w:rsidRPr="00212C23" w:rsidRDefault="006260E6" w:rsidP="006260E6">
      <w:pPr>
        <w:spacing w:before="60"/>
        <w:rPr>
          <w:rFonts w:ascii="Arial" w:hAnsi="Arial" w:cs="Arial"/>
          <w:noProof/>
          <w:sz w:val="22"/>
          <w:szCs w:val="22"/>
          <w:lang w:eastAsia="zh-TW"/>
        </w:rPr>
      </w:pPr>
      <w:r w:rsidRPr="00212C23">
        <w:rPr>
          <w:rFonts w:ascii="Arial" w:hAnsi="Arial" w:cs="Arial"/>
          <w:noProof/>
          <w:sz w:val="22"/>
          <w:szCs w:val="22"/>
          <w:lang w:eastAsia="zh-TW"/>
        </w:rPr>
        <w:t>ß</w:t>
      </w:r>
      <w:r w:rsidRPr="00212C23">
        <w:rPr>
          <w:rFonts w:ascii="Arial" w:hAnsi="Arial" w:cs="Arial"/>
          <w:noProof/>
          <w:sz w:val="22"/>
          <w:szCs w:val="22"/>
          <w:vertAlign w:val="subscript"/>
          <w:lang w:eastAsia="zh-TW"/>
        </w:rPr>
        <w:t>d</w:t>
      </w:r>
      <w:r w:rsidRPr="00212C23">
        <w:rPr>
          <w:rFonts w:ascii="Arial" w:hAnsi="Arial" w:cs="Arial"/>
          <w:noProof/>
          <w:sz w:val="22"/>
          <w:szCs w:val="22"/>
          <w:lang w:eastAsia="zh-TW"/>
        </w:rPr>
        <w:t xml:space="preserve"> </w:t>
      </w:r>
      <w:r w:rsidRPr="00212C23">
        <w:rPr>
          <w:rFonts w:ascii="Arial" w:hAnsi="Arial" w:cs="Arial"/>
          <w:noProof/>
          <w:sz w:val="22"/>
          <w:szCs w:val="22"/>
          <w:lang w:eastAsia="zh-TW"/>
        </w:rPr>
        <w:tab/>
      </w:r>
      <w:r w:rsidRPr="00212C23">
        <w:rPr>
          <w:rFonts w:ascii="Arial" w:hAnsi="Arial" w:cs="Arial"/>
          <w:noProof/>
          <w:sz w:val="22"/>
          <w:szCs w:val="22"/>
          <w:lang w:eastAsia="zh-TW"/>
        </w:rPr>
        <w:tab/>
        <w:t>je beta dluhu,</w:t>
      </w:r>
    </w:p>
    <w:p w:rsidR="006260E6" w:rsidRPr="00212C23" w:rsidRDefault="006260E6" w:rsidP="006260E6">
      <w:pPr>
        <w:spacing w:before="60"/>
        <w:rPr>
          <w:rFonts w:ascii="Arial" w:hAnsi="Arial" w:cs="Arial"/>
          <w:noProof/>
          <w:sz w:val="22"/>
          <w:szCs w:val="22"/>
          <w:lang w:eastAsia="zh-TW"/>
        </w:rPr>
      </w:pPr>
      <w:r w:rsidRPr="00212C23">
        <w:rPr>
          <w:rFonts w:ascii="Arial" w:hAnsi="Arial" w:cs="Arial"/>
          <w:noProof/>
          <w:sz w:val="22"/>
          <w:szCs w:val="22"/>
          <w:lang w:eastAsia="zh-TW"/>
        </w:rPr>
        <w:t>D</w:t>
      </w:r>
      <w:r w:rsidRPr="00212C23">
        <w:rPr>
          <w:rFonts w:ascii="Arial" w:hAnsi="Arial" w:cs="Arial"/>
          <w:noProof/>
          <w:sz w:val="22"/>
          <w:szCs w:val="22"/>
          <w:lang w:eastAsia="zh-TW"/>
        </w:rPr>
        <w:tab/>
      </w:r>
      <w:r w:rsidRPr="00212C23">
        <w:rPr>
          <w:rFonts w:ascii="Arial" w:hAnsi="Arial" w:cs="Arial"/>
          <w:noProof/>
          <w:sz w:val="22"/>
          <w:szCs w:val="22"/>
          <w:lang w:eastAsia="zh-TW"/>
        </w:rPr>
        <w:tab/>
        <w:t>je cizí kapitál,</w:t>
      </w:r>
    </w:p>
    <w:p w:rsidR="006260E6" w:rsidRPr="00212C23" w:rsidRDefault="006260E6" w:rsidP="006260E6">
      <w:pPr>
        <w:spacing w:before="60"/>
        <w:rPr>
          <w:rFonts w:ascii="Arial" w:hAnsi="Arial" w:cs="Arial"/>
          <w:noProof/>
          <w:sz w:val="22"/>
          <w:szCs w:val="22"/>
          <w:lang w:eastAsia="zh-TW"/>
        </w:rPr>
      </w:pPr>
      <w:r w:rsidRPr="00212C23">
        <w:rPr>
          <w:rFonts w:ascii="Arial" w:hAnsi="Arial" w:cs="Arial"/>
          <w:noProof/>
          <w:sz w:val="22"/>
          <w:szCs w:val="22"/>
          <w:lang w:eastAsia="zh-TW"/>
        </w:rPr>
        <w:t>E                     je vlastní kapitál.</w:t>
      </w:r>
    </w:p>
    <w:p w:rsidR="006260E6" w:rsidRPr="00212C23" w:rsidRDefault="006260E6" w:rsidP="00212C23">
      <w:pPr>
        <w:spacing w:before="240" w:after="240"/>
        <w:jc w:val="both"/>
        <w:rPr>
          <w:rFonts w:ascii="Arial" w:hAnsi="Arial" w:cs="Arial"/>
          <w:sz w:val="22"/>
          <w:szCs w:val="22"/>
        </w:rPr>
      </w:pPr>
      <w:r>
        <w:rPr>
          <w:rFonts w:cs="TimesNewRomanPSMT"/>
          <w:szCs w:val="22"/>
        </w:rPr>
        <w:tab/>
      </w:r>
      <w:r w:rsidRPr="00212C23">
        <w:rPr>
          <w:rFonts w:ascii="Arial" w:hAnsi="Arial" w:cs="Arial"/>
          <w:sz w:val="22"/>
          <w:szCs w:val="22"/>
        </w:rPr>
        <w:t xml:space="preserve">Pro rok 2021 BEREC vypočetl hodnoty beta a zadluženosti pro každou společnost zahrnutou do peer group v následující výši: </w:t>
      </w:r>
    </w:p>
    <w:p w:rsidR="006260E6" w:rsidRPr="00212C23" w:rsidRDefault="006260E6" w:rsidP="006260E6">
      <w:pPr>
        <w:spacing w:after="240"/>
        <w:rPr>
          <w:rFonts w:ascii="Arial" w:hAnsi="Arial" w:cs="Arial"/>
          <w:sz w:val="22"/>
          <w:szCs w:val="22"/>
        </w:rPr>
      </w:pPr>
      <w:r w:rsidRPr="00212C23">
        <w:rPr>
          <w:rFonts w:ascii="Arial" w:hAnsi="Arial" w:cs="Arial"/>
          <w:sz w:val="22"/>
          <w:szCs w:val="22"/>
        </w:rPr>
        <w:t>Tabulka č. 2: BEREC peer group 2023 – Equity beta, Gearing, Asset beta</w:t>
      </w:r>
    </w:p>
    <w:tbl>
      <w:tblPr>
        <w:tblW w:w="3772" w:type="pct"/>
        <w:tblInd w:w="-5" w:type="dxa"/>
        <w:tblLayout w:type="fixed"/>
        <w:tblLook w:val="04A0" w:firstRow="1" w:lastRow="0" w:firstColumn="1" w:lastColumn="0" w:noHBand="0" w:noVBand="1"/>
      </w:tblPr>
      <w:tblGrid>
        <w:gridCol w:w="708"/>
        <w:gridCol w:w="2992"/>
        <w:gridCol w:w="997"/>
        <w:gridCol w:w="1137"/>
        <w:gridCol w:w="1001"/>
      </w:tblGrid>
      <w:tr w:rsidR="006260E6" w:rsidRPr="00B708FD" w:rsidTr="009C0293">
        <w:trPr>
          <w:trHeight w:val="699"/>
        </w:trPr>
        <w:tc>
          <w:tcPr>
            <w:tcW w:w="518"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6260E6" w:rsidRPr="00B708FD" w:rsidRDefault="006260E6" w:rsidP="009C0293">
            <w:pPr>
              <w:rPr>
                <w:rFonts w:cs="Arial"/>
                <w:b/>
                <w:bCs/>
                <w:color w:val="000000"/>
                <w:szCs w:val="22"/>
                <w:lang w:eastAsia="en-GB"/>
              </w:rPr>
            </w:pPr>
          </w:p>
        </w:tc>
        <w:tc>
          <w:tcPr>
            <w:tcW w:w="2189" w:type="pct"/>
            <w:tcBorders>
              <w:top w:val="single" w:sz="4" w:space="0" w:color="auto"/>
              <w:left w:val="nil"/>
              <w:bottom w:val="single" w:sz="4" w:space="0" w:color="auto"/>
              <w:right w:val="single" w:sz="4" w:space="0" w:color="auto"/>
            </w:tcBorders>
            <w:shd w:val="pct25" w:color="auto" w:fill="auto"/>
            <w:noWrap/>
            <w:vAlign w:val="bottom"/>
            <w:hideMark/>
          </w:tcPr>
          <w:p w:rsidR="006260E6" w:rsidRPr="00B708FD" w:rsidRDefault="006260E6" w:rsidP="009C0293">
            <w:pPr>
              <w:rPr>
                <w:rFonts w:cs="Arial"/>
                <w:b/>
                <w:bCs/>
                <w:color w:val="000000"/>
                <w:szCs w:val="22"/>
                <w:lang w:eastAsia="en-GB"/>
              </w:rPr>
            </w:pPr>
            <w:r>
              <w:rPr>
                <w:rFonts w:cs="Arial"/>
                <w:b/>
                <w:bCs/>
                <w:color w:val="000000"/>
                <w:szCs w:val="22"/>
                <w:lang w:eastAsia="en-GB"/>
              </w:rPr>
              <w:t>Společnost</w:t>
            </w:r>
          </w:p>
        </w:tc>
        <w:tc>
          <w:tcPr>
            <w:tcW w:w="729" w:type="pct"/>
            <w:tcBorders>
              <w:top w:val="single" w:sz="4" w:space="0" w:color="auto"/>
              <w:left w:val="nil"/>
              <w:bottom w:val="single" w:sz="4" w:space="0" w:color="auto"/>
              <w:right w:val="single" w:sz="4" w:space="0" w:color="auto"/>
            </w:tcBorders>
            <w:shd w:val="pct25" w:color="auto" w:fill="auto"/>
            <w:noWrap/>
            <w:vAlign w:val="bottom"/>
            <w:hideMark/>
          </w:tcPr>
          <w:p w:rsidR="006260E6" w:rsidRPr="00B708FD" w:rsidRDefault="006260E6" w:rsidP="009C0293">
            <w:pPr>
              <w:jc w:val="center"/>
              <w:rPr>
                <w:rFonts w:cs="Arial"/>
                <w:b/>
                <w:bCs/>
                <w:color w:val="000000"/>
                <w:szCs w:val="22"/>
                <w:lang w:eastAsia="en-GB"/>
              </w:rPr>
            </w:pPr>
            <w:r w:rsidRPr="00B708FD">
              <w:rPr>
                <w:rFonts w:cs="Arial"/>
                <w:b/>
                <w:bCs/>
                <w:color w:val="000000"/>
                <w:szCs w:val="22"/>
                <w:lang w:eastAsia="en-GB"/>
              </w:rPr>
              <w:t>Equity beta</w:t>
            </w:r>
          </w:p>
        </w:tc>
        <w:tc>
          <w:tcPr>
            <w:tcW w:w="832" w:type="pct"/>
            <w:tcBorders>
              <w:top w:val="single" w:sz="4" w:space="0" w:color="auto"/>
              <w:left w:val="nil"/>
              <w:bottom w:val="single" w:sz="4" w:space="0" w:color="auto"/>
              <w:right w:val="single" w:sz="4" w:space="0" w:color="auto"/>
            </w:tcBorders>
            <w:shd w:val="pct25" w:color="auto" w:fill="auto"/>
            <w:noWrap/>
            <w:vAlign w:val="bottom"/>
            <w:hideMark/>
          </w:tcPr>
          <w:p w:rsidR="006260E6" w:rsidRPr="00B708FD" w:rsidRDefault="006260E6" w:rsidP="009C0293">
            <w:pPr>
              <w:jc w:val="center"/>
              <w:rPr>
                <w:rFonts w:cs="Arial"/>
                <w:b/>
                <w:bCs/>
                <w:color w:val="000000"/>
                <w:szCs w:val="22"/>
                <w:lang w:eastAsia="en-GB"/>
              </w:rPr>
            </w:pPr>
            <w:r w:rsidRPr="00B708FD">
              <w:rPr>
                <w:rFonts w:cs="Arial"/>
                <w:b/>
                <w:bCs/>
                <w:color w:val="000000"/>
                <w:szCs w:val="22"/>
                <w:lang w:eastAsia="en-GB"/>
              </w:rPr>
              <w:t>Gearing</w:t>
            </w:r>
          </w:p>
        </w:tc>
        <w:tc>
          <w:tcPr>
            <w:tcW w:w="732" w:type="pct"/>
            <w:tcBorders>
              <w:top w:val="single" w:sz="4" w:space="0" w:color="auto"/>
              <w:left w:val="nil"/>
              <w:bottom w:val="single" w:sz="4" w:space="0" w:color="auto"/>
              <w:right w:val="single" w:sz="4" w:space="0" w:color="auto"/>
            </w:tcBorders>
            <w:shd w:val="pct25" w:color="auto" w:fill="auto"/>
            <w:noWrap/>
            <w:vAlign w:val="bottom"/>
            <w:hideMark/>
          </w:tcPr>
          <w:p w:rsidR="006260E6" w:rsidRPr="00B708FD" w:rsidRDefault="006260E6" w:rsidP="009C0293">
            <w:pPr>
              <w:jc w:val="center"/>
              <w:rPr>
                <w:rFonts w:cs="Arial"/>
                <w:b/>
                <w:bCs/>
                <w:color w:val="000000"/>
                <w:szCs w:val="22"/>
                <w:lang w:eastAsia="en-GB"/>
              </w:rPr>
            </w:pPr>
            <w:r w:rsidRPr="00B708FD">
              <w:rPr>
                <w:rFonts w:cs="Arial"/>
                <w:b/>
                <w:bCs/>
                <w:color w:val="000000"/>
                <w:szCs w:val="22"/>
                <w:lang w:eastAsia="en-GB"/>
              </w:rPr>
              <w:t>Asset beta</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260E6" w:rsidRPr="00B708FD" w:rsidRDefault="006260E6" w:rsidP="009C0293">
            <w:pPr>
              <w:rPr>
                <w:rFonts w:cs="Arial"/>
                <w:szCs w:val="22"/>
                <w:lang w:eastAsia="en-GB"/>
              </w:rPr>
            </w:pPr>
            <w:r>
              <w:rPr>
                <w:rFonts w:cs="Arial"/>
                <w:szCs w:val="22"/>
                <w:lang w:eastAsia="en-GB"/>
              </w:rPr>
              <w:t xml:space="preserve">  </w:t>
            </w:r>
            <w:r w:rsidRPr="00B708FD">
              <w:rPr>
                <w:rFonts w:cs="Arial"/>
                <w:szCs w:val="22"/>
                <w:lang w:eastAsia="en-GB"/>
              </w:rPr>
              <w:t>1</w:t>
            </w:r>
            <w:r>
              <w:rPr>
                <w:rFonts w:cs="Arial"/>
                <w:szCs w:val="22"/>
                <w:lang w:eastAsia="en-GB"/>
              </w:rPr>
              <w:t>.</w:t>
            </w:r>
          </w:p>
        </w:tc>
        <w:tc>
          <w:tcPr>
            <w:tcW w:w="218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rPr>
                <w:rFonts w:cs="Arial"/>
                <w:bCs/>
                <w:szCs w:val="22"/>
                <w:lang w:eastAsia="en-GB"/>
              </w:rPr>
            </w:pPr>
            <w:proofErr w:type="spellStart"/>
            <w:r w:rsidRPr="00B708FD">
              <w:rPr>
                <w:rFonts w:cs="Arial"/>
                <w:bCs/>
                <w:szCs w:val="22"/>
                <w:lang w:eastAsia="en-GB"/>
              </w:rPr>
              <w:t>Deutsche</w:t>
            </w:r>
            <w:proofErr w:type="spellEnd"/>
            <w:r w:rsidRPr="00B708FD">
              <w:rPr>
                <w:rFonts w:cs="Arial"/>
                <w:bCs/>
                <w:szCs w:val="22"/>
                <w:lang w:eastAsia="en-GB"/>
              </w:rPr>
              <w:t xml:space="preserve"> Telekom AG</w:t>
            </w:r>
          </w:p>
        </w:tc>
        <w:tc>
          <w:tcPr>
            <w:tcW w:w="72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E20DD">
              <w:t>0,72</w:t>
            </w:r>
          </w:p>
        </w:tc>
        <w:tc>
          <w:tcPr>
            <w:tcW w:w="8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740A9">
              <w:t>56,15</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5A4954">
              <w:t>0,38</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tcPr>
          <w:p w:rsidR="006260E6" w:rsidRPr="00B708FD" w:rsidRDefault="006260E6" w:rsidP="009C0293">
            <w:pPr>
              <w:rPr>
                <w:rFonts w:cs="Arial"/>
                <w:szCs w:val="22"/>
                <w:lang w:eastAsia="en-GB"/>
              </w:rPr>
            </w:pPr>
            <w:r>
              <w:rPr>
                <w:rFonts w:cs="Arial"/>
                <w:szCs w:val="22"/>
                <w:lang w:eastAsia="en-GB"/>
              </w:rPr>
              <w:t xml:space="preserve">  2.</w:t>
            </w:r>
          </w:p>
        </w:tc>
        <w:tc>
          <w:tcPr>
            <w:tcW w:w="2189" w:type="pct"/>
            <w:tcBorders>
              <w:top w:val="nil"/>
              <w:left w:val="nil"/>
              <w:bottom w:val="single" w:sz="4" w:space="0" w:color="auto"/>
              <w:right w:val="single" w:sz="4" w:space="0" w:color="auto"/>
            </w:tcBorders>
            <w:shd w:val="clear" w:color="auto" w:fill="auto"/>
            <w:noWrap/>
            <w:vAlign w:val="bottom"/>
          </w:tcPr>
          <w:p w:rsidR="006260E6" w:rsidRPr="00B708FD" w:rsidRDefault="006260E6" w:rsidP="009C0293">
            <w:pPr>
              <w:rPr>
                <w:rFonts w:cs="Arial"/>
                <w:bCs/>
                <w:szCs w:val="22"/>
                <w:lang w:eastAsia="en-GB"/>
              </w:rPr>
            </w:pPr>
            <w:r>
              <w:rPr>
                <w:rFonts w:cs="Arial"/>
                <w:szCs w:val="22"/>
                <w:lang w:val="en-US"/>
              </w:rPr>
              <w:t>DIGI Communications N.V.</w:t>
            </w:r>
          </w:p>
        </w:tc>
        <w:tc>
          <w:tcPr>
            <w:tcW w:w="729" w:type="pct"/>
            <w:tcBorders>
              <w:top w:val="nil"/>
              <w:left w:val="nil"/>
              <w:bottom w:val="single" w:sz="4" w:space="0" w:color="auto"/>
              <w:right w:val="single" w:sz="4" w:space="0" w:color="auto"/>
            </w:tcBorders>
            <w:shd w:val="clear" w:color="auto" w:fill="auto"/>
            <w:noWrap/>
            <w:vAlign w:val="bottom"/>
          </w:tcPr>
          <w:p w:rsidR="006260E6" w:rsidRPr="00B708FD" w:rsidRDefault="006260E6" w:rsidP="009C0293">
            <w:pPr>
              <w:jc w:val="center"/>
              <w:rPr>
                <w:rFonts w:cs="Arial"/>
                <w:szCs w:val="22"/>
              </w:rPr>
            </w:pPr>
            <w:r w:rsidRPr="008E20DD">
              <w:t>0,50</w:t>
            </w:r>
          </w:p>
        </w:tc>
        <w:tc>
          <w:tcPr>
            <w:tcW w:w="832" w:type="pct"/>
            <w:tcBorders>
              <w:top w:val="nil"/>
              <w:left w:val="nil"/>
              <w:bottom w:val="single" w:sz="4" w:space="0" w:color="auto"/>
              <w:right w:val="single" w:sz="4" w:space="0" w:color="auto"/>
            </w:tcBorders>
            <w:shd w:val="clear" w:color="auto" w:fill="auto"/>
            <w:noWrap/>
            <w:vAlign w:val="bottom"/>
          </w:tcPr>
          <w:p w:rsidR="006260E6" w:rsidRPr="00B708FD" w:rsidRDefault="006260E6" w:rsidP="009C0293">
            <w:pPr>
              <w:jc w:val="center"/>
              <w:rPr>
                <w:rFonts w:cs="Arial"/>
                <w:szCs w:val="22"/>
              </w:rPr>
            </w:pPr>
            <w:r w:rsidRPr="008740A9">
              <w:t>70,90</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tcPr>
          <w:p w:rsidR="006260E6" w:rsidRPr="00B708FD" w:rsidRDefault="006260E6" w:rsidP="009C0293">
            <w:pPr>
              <w:jc w:val="center"/>
              <w:rPr>
                <w:rFonts w:cs="Arial"/>
                <w:szCs w:val="22"/>
              </w:rPr>
            </w:pPr>
            <w:r w:rsidRPr="005A4954">
              <w:t>0,22</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260E6" w:rsidRPr="00B708FD" w:rsidRDefault="006260E6" w:rsidP="009C0293">
            <w:pPr>
              <w:rPr>
                <w:rFonts w:cs="Arial"/>
                <w:szCs w:val="22"/>
                <w:lang w:eastAsia="en-GB"/>
              </w:rPr>
            </w:pPr>
            <w:r>
              <w:rPr>
                <w:rFonts w:cs="Arial"/>
                <w:szCs w:val="22"/>
                <w:lang w:eastAsia="en-GB"/>
              </w:rPr>
              <w:t xml:space="preserve">  3.</w:t>
            </w:r>
          </w:p>
        </w:tc>
        <w:tc>
          <w:tcPr>
            <w:tcW w:w="218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rPr>
                <w:rFonts w:cs="Arial"/>
                <w:bCs/>
                <w:szCs w:val="22"/>
                <w:lang w:eastAsia="en-GB"/>
              </w:rPr>
            </w:pPr>
            <w:r w:rsidRPr="00B708FD">
              <w:rPr>
                <w:rFonts w:cs="Arial"/>
                <w:bCs/>
                <w:szCs w:val="22"/>
                <w:lang w:eastAsia="en-GB"/>
              </w:rPr>
              <w:t xml:space="preserve">Elisa </w:t>
            </w:r>
            <w:proofErr w:type="spellStart"/>
            <w:r w:rsidRPr="00B708FD">
              <w:rPr>
                <w:rFonts w:cs="Arial"/>
                <w:bCs/>
                <w:szCs w:val="22"/>
                <w:lang w:eastAsia="en-GB"/>
              </w:rPr>
              <w:t>Oyj</w:t>
            </w:r>
            <w:proofErr w:type="spellEnd"/>
          </w:p>
        </w:tc>
        <w:tc>
          <w:tcPr>
            <w:tcW w:w="72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E20DD">
              <w:t>0,42</w:t>
            </w:r>
          </w:p>
        </w:tc>
        <w:tc>
          <w:tcPr>
            <w:tcW w:w="8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740A9">
              <w:t>13,04</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5A4954">
              <w:t>0,38</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260E6" w:rsidRPr="00B708FD" w:rsidRDefault="006260E6" w:rsidP="009C0293">
            <w:pPr>
              <w:rPr>
                <w:rFonts w:cs="Arial"/>
                <w:szCs w:val="22"/>
                <w:lang w:eastAsia="en-GB"/>
              </w:rPr>
            </w:pPr>
            <w:r>
              <w:rPr>
                <w:rFonts w:cs="Arial"/>
                <w:szCs w:val="22"/>
                <w:lang w:eastAsia="en-GB"/>
              </w:rPr>
              <w:t xml:space="preserve">  4.</w:t>
            </w:r>
          </w:p>
        </w:tc>
        <w:tc>
          <w:tcPr>
            <w:tcW w:w="218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rPr>
                <w:rFonts w:cs="Arial"/>
                <w:bCs/>
                <w:szCs w:val="22"/>
                <w:lang w:eastAsia="en-GB"/>
              </w:rPr>
            </w:pPr>
            <w:proofErr w:type="spellStart"/>
            <w:r w:rsidRPr="00B708FD">
              <w:rPr>
                <w:rFonts w:cs="Arial"/>
                <w:bCs/>
                <w:szCs w:val="22"/>
                <w:lang w:eastAsia="en-GB"/>
              </w:rPr>
              <w:t>Koninklijke</w:t>
            </w:r>
            <w:proofErr w:type="spellEnd"/>
            <w:r w:rsidRPr="00B708FD">
              <w:rPr>
                <w:rFonts w:cs="Arial"/>
                <w:bCs/>
                <w:szCs w:val="22"/>
                <w:lang w:eastAsia="en-GB"/>
              </w:rPr>
              <w:t xml:space="preserve"> KPN N.V.</w:t>
            </w:r>
          </w:p>
        </w:tc>
        <w:tc>
          <w:tcPr>
            <w:tcW w:w="72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E20DD">
              <w:t>0,57</w:t>
            </w:r>
          </w:p>
        </w:tc>
        <w:tc>
          <w:tcPr>
            <w:tcW w:w="8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740A9">
              <w:t>38,18</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5A4954">
              <w:t>0,39</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260E6" w:rsidRPr="00B708FD" w:rsidRDefault="006260E6" w:rsidP="009C0293">
            <w:pPr>
              <w:rPr>
                <w:rFonts w:cs="Arial"/>
                <w:szCs w:val="22"/>
                <w:lang w:eastAsia="en-GB"/>
              </w:rPr>
            </w:pPr>
            <w:r>
              <w:rPr>
                <w:rFonts w:cs="Arial"/>
                <w:szCs w:val="22"/>
                <w:lang w:eastAsia="en-GB"/>
              </w:rPr>
              <w:t xml:space="preserve">  5.</w:t>
            </w:r>
          </w:p>
        </w:tc>
        <w:tc>
          <w:tcPr>
            <w:tcW w:w="218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rPr>
                <w:rFonts w:cs="Arial"/>
                <w:bCs/>
                <w:szCs w:val="22"/>
                <w:lang w:eastAsia="en-GB"/>
              </w:rPr>
            </w:pPr>
            <w:r w:rsidRPr="00B708FD">
              <w:rPr>
                <w:rFonts w:cs="Arial"/>
                <w:bCs/>
                <w:szCs w:val="22"/>
                <w:lang w:eastAsia="en-GB"/>
              </w:rPr>
              <w:t>NOS</w:t>
            </w:r>
          </w:p>
        </w:tc>
        <w:tc>
          <w:tcPr>
            <w:tcW w:w="72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E20DD">
              <w:t>0,67</w:t>
            </w:r>
          </w:p>
        </w:tc>
        <w:tc>
          <w:tcPr>
            <w:tcW w:w="8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740A9">
              <w:t>38,02</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5A4954">
              <w:t>0,45</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260E6" w:rsidRPr="00B708FD" w:rsidRDefault="006260E6" w:rsidP="009C0293">
            <w:pPr>
              <w:rPr>
                <w:rFonts w:cs="Arial"/>
                <w:szCs w:val="22"/>
                <w:lang w:eastAsia="en-GB"/>
              </w:rPr>
            </w:pPr>
            <w:r>
              <w:rPr>
                <w:rFonts w:cs="Arial"/>
                <w:szCs w:val="22"/>
                <w:lang w:eastAsia="en-GB"/>
              </w:rPr>
              <w:t xml:space="preserve">  6.</w:t>
            </w:r>
          </w:p>
        </w:tc>
        <w:tc>
          <w:tcPr>
            <w:tcW w:w="218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rPr>
                <w:rFonts w:cs="Arial"/>
                <w:bCs/>
                <w:szCs w:val="22"/>
                <w:lang w:eastAsia="en-GB"/>
              </w:rPr>
            </w:pPr>
            <w:r w:rsidRPr="00B708FD">
              <w:rPr>
                <w:rFonts w:cs="Arial"/>
                <w:bCs/>
                <w:szCs w:val="22"/>
                <w:lang w:eastAsia="en-GB"/>
              </w:rPr>
              <w:t>Orange S.A.</w:t>
            </w:r>
          </w:p>
        </w:tc>
        <w:tc>
          <w:tcPr>
            <w:tcW w:w="72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E20DD">
              <w:t>0,62</w:t>
            </w:r>
          </w:p>
        </w:tc>
        <w:tc>
          <w:tcPr>
            <w:tcW w:w="8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740A9">
              <w:t>54,09</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5A4954">
              <w:t>0,34</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260E6" w:rsidRPr="00B708FD" w:rsidRDefault="006260E6" w:rsidP="009C0293">
            <w:pPr>
              <w:rPr>
                <w:rFonts w:cs="Arial"/>
                <w:szCs w:val="22"/>
                <w:lang w:eastAsia="en-GB"/>
              </w:rPr>
            </w:pPr>
            <w:r>
              <w:rPr>
                <w:rFonts w:cs="Arial"/>
                <w:szCs w:val="22"/>
                <w:lang w:eastAsia="en-GB"/>
              </w:rPr>
              <w:t xml:space="preserve">  7.</w:t>
            </w:r>
          </w:p>
        </w:tc>
        <w:tc>
          <w:tcPr>
            <w:tcW w:w="218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rPr>
                <w:rFonts w:cs="Arial"/>
                <w:bCs/>
                <w:szCs w:val="22"/>
                <w:lang w:eastAsia="en-GB"/>
              </w:rPr>
            </w:pPr>
            <w:proofErr w:type="spellStart"/>
            <w:r w:rsidRPr="00B708FD">
              <w:rPr>
                <w:rFonts w:cs="Arial"/>
                <w:bCs/>
                <w:szCs w:val="22"/>
                <w:lang w:eastAsia="en-GB"/>
              </w:rPr>
              <w:t>Proximus</w:t>
            </w:r>
            <w:proofErr w:type="spellEnd"/>
            <w:r w:rsidRPr="00B708FD">
              <w:rPr>
                <w:rFonts w:cs="Arial"/>
                <w:bCs/>
                <w:szCs w:val="22"/>
                <w:lang w:eastAsia="en-GB"/>
              </w:rPr>
              <w:t xml:space="preserve"> S.A.</w:t>
            </w:r>
          </w:p>
        </w:tc>
        <w:tc>
          <w:tcPr>
            <w:tcW w:w="72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E20DD">
              <w:t>0,55</w:t>
            </w:r>
          </w:p>
        </w:tc>
        <w:tc>
          <w:tcPr>
            <w:tcW w:w="8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740A9">
              <w:t>31,96</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5A4954">
              <w:t>0,41</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260E6" w:rsidRPr="00B708FD" w:rsidRDefault="006260E6" w:rsidP="009C0293">
            <w:pPr>
              <w:rPr>
                <w:rFonts w:cs="Arial"/>
                <w:szCs w:val="22"/>
                <w:lang w:eastAsia="en-GB"/>
              </w:rPr>
            </w:pPr>
            <w:r>
              <w:rPr>
                <w:rFonts w:cs="Arial"/>
                <w:szCs w:val="22"/>
                <w:lang w:eastAsia="en-GB"/>
              </w:rPr>
              <w:t xml:space="preserve">  8.</w:t>
            </w:r>
          </w:p>
        </w:tc>
        <w:tc>
          <w:tcPr>
            <w:tcW w:w="218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rPr>
                <w:rFonts w:cs="Arial"/>
                <w:bCs/>
                <w:szCs w:val="22"/>
                <w:lang w:eastAsia="en-GB"/>
              </w:rPr>
            </w:pPr>
            <w:r w:rsidRPr="00B708FD">
              <w:rPr>
                <w:rFonts w:cs="Arial"/>
                <w:bCs/>
                <w:szCs w:val="22"/>
                <w:lang w:eastAsia="en-GB"/>
              </w:rPr>
              <w:t>Tele2 AB</w:t>
            </w:r>
          </w:p>
        </w:tc>
        <w:tc>
          <w:tcPr>
            <w:tcW w:w="72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E20DD">
              <w:t>0,54</w:t>
            </w:r>
          </w:p>
        </w:tc>
        <w:tc>
          <w:tcPr>
            <w:tcW w:w="8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740A9">
              <w:t>23,85</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5A4954">
              <w:t>0,43</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260E6" w:rsidRPr="00B708FD" w:rsidRDefault="006260E6" w:rsidP="009C0293">
            <w:pPr>
              <w:rPr>
                <w:rFonts w:cs="Arial"/>
                <w:szCs w:val="22"/>
                <w:lang w:eastAsia="en-GB"/>
              </w:rPr>
            </w:pPr>
            <w:r>
              <w:rPr>
                <w:rFonts w:cs="Arial"/>
                <w:szCs w:val="22"/>
                <w:lang w:eastAsia="en-GB"/>
              </w:rPr>
              <w:t xml:space="preserve">  9.</w:t>
            </w:r>
          </w:p>
        </w:tc>
        <w:tc>
          <w:tcPr>
            <w:tcW w:w="218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rPr>
                <w:rFonts w:cs="Arial"/>
                <w:bCs/>
                <w:szCs w:val="22"/>
                <w:lang w:eastAsia="en-GB"/>
              </w:rPr>
            </w:pPr>
            <w:r w:rsidRPr="00B708FD">
              <w:rPr>
                <w:rFonts w:cs="Arial"/>
                <w:bCs/>
                <w:szCs w:val="22"/>
                <w:lang w:eastAsia="en-GB"/>
              </w:rPr>
              <w:t>Telecom Italia</w:t>
            </w:r>
          </w:p>
        </w:tc>
        <w:tc>
          <w:tcPr>
            <w:tcW w:w="72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E20DD">
              <w:t>1,07</w:t>
            </w:r>
          </w:p>
        </w:tc>
        <w:tc>
          <w:tcPr>
            <w:tcW w:w="8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740A9">
              <w:t>75,02</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5A4954">
              <w:t>0,35</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260E6" w:rsidRPr="00B708FD" w:rsidRDefault="006260E6" w:rsidP="009C0293">
            <w:pPr>
              <w:rPr>
                <w:rFonts w:cs="Arial"/>
                <w:szCs w:val="22"/>
                <w:lang w:eastAsia="en-GB"/>
              </w:rPr>
            </w:pPr>
            <w:r>
              <w:rPr>
                <w:rFonts w:cs="Arial"/>
                <w:szCs w:val="22"/>
                <w:lang w:eastAsia="en-GB"/>
              </w:rPr>
              <w:t>10.</w:t>
            </w:r>
          </w:p>
        </w:tc>
        <w:tc>
          <w:tcPr>
            <w:tcW w:w="218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rPr>
                <w:rFonts w:cs="Arial"/>
                <w:bCs/>
                <w:szCs w:val="22"/>
                <w:lang w:eastAsia="en-GB"/>
              </w:rPr>
            </w:pPr>
            <w:r w:rsidRPr="00B708FD">
              <w:rPr>
                <w:rFonts w:cs="Arial"/>
                <w:bCs/>
                <w:szCs w:val="22"/>
                <w:lang w:eastAsia="en-GB"/>
              </w:rPr>
              <w:t>Telefónica S.A.</w:t>
            </w:r>
          </w:p>
        </w:tc>
        <w:tc>
          <w:tcPr>
            <w:tcW w:w="72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E20DD">
              <w:t>0,95</w:t>
            </w:r>
          </w:p>
        </w:tc>
        <w:tc>
          <w:tcPr>
            <w:tcW w:w="8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740A9">
              <w:t>60,70</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5A4954">
              <w:t>0,44</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260E6" w:rsidRPr="00B708FD" w:rsidRDefault="006260E6" w:rsidP="009C0293">
            <w:pPr>
              <w:rPr>
                <w:rFonts w:cs="Arial"/>
                <w:szCs w:val="22"/>
                <w:lang w:eastAsia="en-GB"/>
              </w:rPr>
            </w:pPr>
            <w:r w:rsidRPr="00B708FD">
              <w:rPr>
                <w:rFonts w:cs="Arial"/>
                <w:szCs w:val="22"/>
                <w:lang w:eastAsia="en-GB"/>
              </w:rPr>
              <w:t>1</w:t>
            </w:r>
            <w:r>
              <w:rPr>
                <w:rFonts w:cs="Arial"/>
                <w:szCs w:val="22"/>
                <w:lang w:eastAsia="en-GB"/>
              </w:rPr>
              <w:t>1.</w:t>
            </w:r>
          </w:p>
        </w:tc>
        <w:tc>
          <w:tcPr>
            <w:tcW w:w="218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rPr>
                <w:rFonts w:cs="Arial"/>
                <w:bCs/>
                <w:szCs w:val="22"/>
                <w:lang w:eastAsia="en-GB"/>
              </w:rPr>
            </w:pPr>
            <w:r w:rsidRPr="00B708FD">
              <w:rPr>
                <w:rFonts w:cs="Arial"/>
                <w:bCs/>
                <w:szCs w:val="22"/>
                <w:lang w:eastAsia="en-GB"/>
              </w:rPr>
              <w:t xml:space="preserve">Telecom </w:t>
            </w:r>
            <w:proofErr w:type="spellStart"/>
            <w:r w:rsidRPr="00B708FD">
              <w:rPr>
                <w:rFonts w:cs="Arial"/>
                <w:bCs/>
                <w:szCs w:val="22"/>
                <w:lang w:eastAsia="en-GB"/>
              </w:rPr>
              <w:t>Austria</w:t>
            </w:r>
            <w:proofErr w:type="spellEnd"/>
            <w:r w:rsidRPr="00B708FD">
              <w:rPr>
                <w:rFonts w:cs="Arial"/>
                <w:bCs/>
                <w:szCs w:val="22"/>
                <w:lang w:eastAsia="en-GB"/>
              </w:rPr>
              <w:t xml:space="preserve"> AG</w:t>
            </w:r>
          </w:p>
        </w:tc>
        <w:tc>
          <w:tcPr>
            <w:tcW w:w="72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E20DD">
              <w:t>0,65</w:t>
            </w:r>
          </w:p>
        </w:tc>
        <w:tc>
          <w:tcPr>
            <w:tcW w:w="8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740A9">
              <w:t>33,27</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5A4954">
              <w:t>0,47</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260E6" w:rsidRPr="00B708FD" w:rsidRDefault="006260E6" w:rsidP="009C0293">
            <w:pPr>
              <w:rPr>
                <w:rFonts w:cs="Arial"/>
                <w:szCs w:val="22"/>
                <w:lang w:eastAsia="en-GB"/>
              </w:rPr>
            </w:pPr>
            <w:r w:rsidRPr="00B708FD">
              <w:rPr>
                <w:rFonts w:cs="Arial"/>
                <w:szCs w:val="22"/>
                <w:lang w:eastAsia="en-GB"/>
              </w:rPr>
              <w:t>1</w:t>
            </w:r>
            <w:r>
              <w:rPr>
                <w:rFonts w:cs="Arial"/>
                <w:szCs w:val="22"/>
                <w:lang w:eastAsia="en-GB"/>
              </w:rPr>
              <w:t>2.</w:t>
            </w:r>
          </w:p>
        </w:tc>
        <w:tc>
          <w:tcPr>
            <w:tcW w:w="218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rPr>
                <w:rFonts w:cs="Arial"/>
                <w:bCs/>
                <w:szCs w:val="22"/>
                <w:lang w:eastAsia="en-GB"/>
              </w:rPr>
            </w:pPr>
            <w:proofErr w:type="spellStart"/>
            <w:r w:rsidRPr="00B708FD">
              <w:rPr>
                <w:rFonts w:cs="Arial"/>
                <w:bCs/>
                <w:szCs w:val="22"/>
                <w:lang w:eastAsia="en-GB"/>
              </w:rPr>
              <w:t>Telenet</w:t>
            </w:r>
            <w:proofErr w:type="spellEnd"/>
            <w:r w:rsidRPr="00B708FD">
              <w:rPr>
                <w:rFonts w:cs="Arial"/>
                <w:bCs/>
                <w:szCs w:val="22"/>
                <w:lang w:eastAsia="en-GB"/>
              </w:rPr>
              <w:t xml:space="preserve"> Group Holding N.V.</w:t>
            </w:r>
          </w:p>
        </w:tc>
        <w:tc>
          <w:tcPr>
            <w:tcW w:w="72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E20DD">
              <w:t>0,65</w:t>
            </w:r>
          </w:p>
        </w:tc>
        <w:tc>
          <w:tcPr>
            <w:tcW w:w="8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740A9">
              <w:t>57,41</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5A4954">
              <w:t>0,34</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tcPr>
          <w:p w:rsidR="006260E6" w:rsidRPr="00B708FD" w:rsidRDefault="006260E6" w:rsidP="009C0293">
            <w:pPr>
              <w:rPr>
                <w:rFonts w:cs="Arial"/>
                <w:szCs w:val="22"/>
                <w:lang w:eastAsia="en-GB"/>
              </w:rPr>
            </w:pPr>
            <w:r w:rsidRPr="00B708FD">
              <w:rPr>
                <w:rFonts w:cs="Arial"/>
                <w:szCs w:val="22"/>
                <w:lang w:eastAsia="en-GB"/>
              </w:rPr>
              <w:lastRenderedPageBreak/>
              <w:t>1</w:t>
            </w:r>
            <w:r>
              <w:rPr>
                <w:rFonts w:cs="Arial"/>
                <w:szCs w:val="22"/>
                <w:lang w:eastAsia="en-GB"/>
              </w:rPr>
              <w:t>3.</w:t>
            </w:r>
          </w:p>
        </w:tc>
        <w:tc>
          <w:tcPr>
            <w:tcW w:w="2189" w:type="pct"/>
            <w:tcBorders>
              <w:top w:val="nil"/>
              <w:left w:val="nil"/>
              <w:bottom w:val="single" w:sz="4" w:space="0" w:color="auto"/>
              <w:right w:val="single" w:sz="4" w:space="0" w:color="auto"/>
            </w:tcBorders>
            <w:shd w:val="clear" w:color="auto" w:fill="auto"/>
            <w:noWrap/>
            <w:vAlign w:val="bottom"/>
          </w:tcPr>
          <w:p w:rsidR="006260E6" w:rsidRPr="00B708FD" w:rsidRDefault="006260E6" w:rsidP="009C0293">
            <w:pPr>
              <w:rPr>
                <w:rFonts w:cs="Arial"/>
                <w:bCs/>
                <w:szCs w:val="22"/>
                <w:lang w:eastAsia="en-GB"/>
              </w:rPr>
            </w:pPr>
            <w:proofErr w:type="spellStart"/>
            <w:r w:rsidRPr="00B708FD">
              <w:rPr>
                <w:rFonts w:cs="Arial"/>
                <w:bCs/>
                <w:szCs w:val="22"/>
                <w:lang w:eastAsia="en-GB"/>
              </w:rPr>
              <w:t>Telenor</w:t>
            </w:r>
            <w:proofErr w:type="spellEnd"/>
          </w:p>
        </w:tc>
        <w:tc>
          <w:tcPr>
            <w:tcW w:w="729" w:type="pct"/>
            <w:tcBorders>
              <w:top w:val="nil"/>
              <w:left w:val="nil"/>
              <w:bottom w:val="single" w:sz="4" w:space="0" w:color="auto"/>
              <w:right w:val="single" w:sz="4" w:space="0" w:color="auto"/>
            </w:tcBorders>
            <w:shd w:val="clear" w:color="auto" w:fill="auto"/>
            <w:noWrap/>
            <w:vAlign w:val="bottom"/>
          </w:tcPr>
          <w:p w:rsidR="006260E6" w:rsidRPr="00B708FD" w:rsidRDefault="006260E6" w:rsidP="009C0293">
            <w:pPr>
              <w:jc w:val="center"/>
              <w:rPr>
                <w:rFonts w:cs="Arial"/>
                <w:szCs w:val="22"/>
              </w:rPr>
            </w:pPr>
            <w:r w:rsidRPr="008E20DD">
              <w:t>0,31</w:t>
            </w:r>
          </w:p>
        </w:tc>
        <w:tc>
          <w:tcPr>
            <w:tcW w:w="832" w:type="pct"/>
            <w:tcBorders>
              <w:top w:val="nil"/>
              <w:left w:val="nil"/>
              <w:bottom w:val="single" w:sz="4" w:space="0" w:color="auto"/>
              <w:right w:val="single" w:sz="4" w:space="0" w:color="auto"/>
            </w:tcBorders>
            <w:shd w:val="clear" w:color="auto" w:fill="auto"/>
            <w:noWrap/>
            <w:vAlign w:val="bottom"/>
          </w:tcPr>
          <w:p w:rsidR="006260E6" w:rsidRPr="00B708FD" w:rsidRDefault="006260E6" w:rsidP="009C0293">
            <w:pPr>
              <w:jc w:val="center"/>
              <w:rPr>
                <w:rFonts w:cs="Arial"/>
                <w:szCs w:val="22"/>
              </w:rPr>
            </w:pPr>
            <w:r w:rsidRPr="008740A9">
              <w:t>34,58</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tcPr>
          <w:p w:rsidR="006260E6" w:rsidRPr="00B708FD" w:rsidRDefault="006260E6" w:rsidP="009C0293">
            <w:pPr>
              <w:jc w:val="center"/>
              <w:rPr>
                <w:rFonts w:cs="Arial"/>
                <w:szCs w:val="22"/>
              </w:rPr>
            </w:pPr>
            <w:r w:rsidRPr="005A4954">
              <w:t>0,24</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260E6" w:rsidRPr="00B708FD" w:rsidRDefault="006260E6" w:rsidP="009C0293">
            <w:pPr>
              <w:rPr>
                <w:rFonts w:cs="Arial"/>
                <w:szCs w:val="22"/>
                <w:lang w:eastAsia="en-GB"/>
              </w:rPr>
            </w:pPr>
            <w:r w:rsidRPr="00B708FD">
              <w:rPr>
                <w:rFonts w:cs="Arial"/>
                <w:szCs w:val="22"/>
                <w:lang w:eastAsia="en-GB"/>
              </w:rPr>
              <w:t>1</w:t>
            </w:r>
            <w:r>
              <w:rPr>
                <w:rFonts w:cs="Arial"/>
                <w:szCs w:val="22"/>
                <w:lang w:eastAsia="en-GB"/>
              </w:rPr>
              <w:t>4.</w:t>
            </w:r>
          </w:p>
        </w:tc>
        <w:tc>
          <w:tcPr>
            <w:tcW w:w="218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rPr>
                <w:rFonts w:cs="Arial"/>
                <w:bCs/>
                <w:szCs w:val="22"/>
                <w:lang w:eastAsia="en-GB"/>
              </w:rPr>
            </w:pPr>
            <w:r w:rsidRPr="00B708FD">
              <w:rPr>
                <w:rFonts w:cs="Arial"/>
                <w:bCs/>
                <w:szCs w:val="22"/>
                <w:lang w:eastAsia="en-GB"/>
              </w:rPr>
              <w:t xml:space="preserve">Telia </w:t>
            </w:r>
            <w:proofErr w:type="spellStart"/>
            <w:r w:rsidRPr="00B708FD">
              <w:rPr>
                <w:rFonts w:cs="Arial"/>
                <w:bCs/>
                <w:szCs w:val="22"/>
                <w:lang w:eastAsia="en-GB"/>
              </w:rPr>
              <w:t>Company</w:t>
            </w:r>
            <w:proofErr w:type="spellEnd"/>
            <w:r w:rsidRPr="00B708FD">
              <w:rPr>
                <w:rFonts w:cs="Arial"/>
                <w:bCs/>
                <w:szCs w:val="22"/>
                <w:lang w:eastAsia="en-GB"/>
              </w:rPr>
              <w:t xml:space="preserve"> AB</w:t>
            </w:r>
          </w:p>
        </w:tc>
        <w:tc>
          <w:tcPr>
            <w:tcW w:w="72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E20DD">
              <w:t>0,57</w:t>
            </w:r>
          </w:p>
        </w:tc>
        <w:tc>
          <w:tcPr>
            <w:tcW w:w="8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740A9">
              <w:t>37,70</w:t>
            </w:r>
            <w:r>
              <w:t xml:space="preserve"> </w:t>
            </w:r>
            <w:r w:rsidRPr="008740A9">
              <w:t>%</w:t>
            </w:r>
          </w:p>
        </w:tc>
        <w:tc>
          <w:tcPr>
            <w:tcW w:w="7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5A4954">
              <w:t>0,39</w:t>
            </w:r>
          </w:p>
        </w:tc>
      </w:tr>
      <w:tr w:rsidR="006260E6" w:rsidRPr="00B708FD" w:rsidTr="009C0293">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260E6" w:rsidRPr="00B708FD" w:rsidRDefault="006260E6" w:rsidP="009C0293">
            <w:pPr>
              <w:rPr>
                <w:rFonts w:cs="Arial"/>
                <w:szCs w:val="22"/>
                <w:lang w:eastAsia="en-GB"/>
              </w:rPr>
            </w:pPr>
            <w:r w:rsidRPr="00B708FD">
              <w:rPr>
                <w:rFonts w:cs="Arial"/>
                <w:szCs w:val="22"/>
                <w:lang w:eastAsia="en-GB"/>
              </w:rPr>
              <w:t>1</w:t>
            </w:r>
            <w:r>
              <w:rPr>
                <w:rFonts w:cs="Arial"/>
                <w:szCs w:val="22"/>
                <w:lang w:eastAsia="en-GB"/>
              </w:rPr>
              <w:t>5.</w:t>
            </w:r>
          </w:p>
        </w:tc>
        <w:tc>
          <w:tcPr>
            <w:tcW w:w="218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rPr>
                <w:rFonts w:cs="Arial"/>
                <w:bCs/>
                <w:szCs w:val="22"/>
                <w:lang w:eastAsia="en-GB"/>
              </w:rPr>
            </w:pPr>
            <w:r w:rsidRPr="00B708FD">
              <w:rPr>
                <w:rFonts w:cs="Arial"/>
                <w:bCs/>
                <w:szCs w:val="22"/>
                <w:lang w:eastAsia="en-GB"/>
              </w:rPr>
              <w:t xml:space="preserve">Vodafone Group </w:t>
            </w:r>
            <w:proofErr w:type="spellStart"/>
            <w:r w:rsidRPr="00B708FD">
              <w:rPr>
                <w:rFonts w:cs="Arial"/>
                <w:bCs/>
                <w:szCs w:val="22"/>
                <w:lang w:eastAsia="en-GB"/>
              </w:rPr>
              <w:t>plc</w:t>
            </w:r>
            <w:proofErr w:type="spellEnd"/>
          </w:p>
        </w:tc>
        <w:tc>
          <w:tcPr>
            <w:tcW w:w="729"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8E20DD">
              <w:t>0,85</w:t>
            </w:r>
          </w:p>
        </w:tc>
        <w:tc>
          <w:tcPr>
            <w:tcW w:w="8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Pr>
                <w:rFonts w:cs="Arial"/>
                <w:szCs w:val="22"/>
              </w:rPr>
              <w:t>55,62</w:t>
            </w:r>
            <w:r w:rsidRPr="00B708FD">
              <w:rPr>
                <w:rFonts w:cs="Arial"/>
                <w:szCs w:val="22"/>
              </w:rPr>
              <w:t xml:space="preserve"> %</w:t>
            </w:r>
          </w:p>
        </w:tc>
        <w:tc>
          <w:tcPr>
            <w:tcW w:w="732" w:type="pct"/>
            <w:tcBorders>
              <w:top w:val="nil"/>
              <w:left w:val="nil"/>
              <w:bottom w:val="single" w:sz="4" w:space="0" w:color="auto"/>
              <w:right w:val="single" w:sz="4" w:space="0" w:color="auto"/>
            </w:tcBorders>
            <w:shd w:val="clear" w:color="auto" w:fill="auto"/>
            <w:noWrap/>
            <w:vAlign w:val="bottom"/>
            <w:hideMark/>
          </w:tcPr>
          <w:p w:rsidR="006260E6" w:rsidRPr="00B708FD" w:rsidRDefault="006260E6" w:rsidP="009C0293">
            <w:pPr>
              <w:jc w:val="center"/>
              <w:rPr>
                <w:rFonts w:cs="Arial"/>
                <w:szCs w:val="22"/>
                <w:lang w:eastAsia="en-GB"/>
              </w:rPr>
            </w:pPr>
            <w:r w:rsidRPr="005A4954">
              <w:t>0,44</w:t>
            </w:r>
          </w:p>
        </w:tc>
      </w:tr>
    </w:tbl>
    <w:p w:rsidR="006260E6" w:rsidRPr="00FB3CCA" w:rsidRDefault="006260E6" w:rsidP="006260E6">
      <w:pPr>
        <w:spacing w:before="120" w:after="240"/>
        <w:rPr>
          <w:rFonts w:cs="Arial"/>
          <w:sz w:val="20"/>
        </w:rPr>
      </w:pPr>
      <w:r w:rsidRPr="00FB3CCA">
        <w:rPr>
          <w:rFonts w:cs="Arial"/>
          <w:sz w:val="20"/>
        </w:rPr>
        <w:t xml:space="preserve">Zdroj: WACC </w:t>
      </w:r>
      <w:r w:rsidRPr="0034093E">
        <w:rPr>
          <w:rFonts w:cs="Arial"/>
          <w:sz w:val="20"/>
          <w:lang w:val="en-GB"/>
        </w:rPr>
        <w:t xml:space="preserve">parameters </w:t>
      </w:r>
      <w:r w:rsidRPr="00FB3CCA">
        <w:rPr>
          <w:rFonts w:cs="Arial"/>
          <w:sz w:val="20"/>
        </w:rPr>
        <w:t>Report 202</w:t>
      </w:r>
      <w:r>
        <w:rPr>
          <w:rFonts w:cs="Arial"/>
          <w:sz w:val="20"/>
        </w:rPr>
        <w:t>3</w:t>
      </w:r>
      <w:r w:rsidRPr="00FB3CCA">
        <w:rPr>
          <w:rFonts w:cs="Arial"/>
          <w:sz w:val="20"/>
        </w:rPr>
        <w:t xml:space="preserve">, </w:t>
      </w:r>
      <w:proofErr w:type="spellStart"/>
      <w:r w:rsidRPr="00FB3CCA">
        <w:rPr>
          <w:rFonts w:cs="Arial"/>
          <w:sz w:val="20"/>
        </w:rPr>
        <w:t>BoR</w:t>
      </w:r>
      <w:proofErr w:type="spellEnd"/>
      <w:r w:rsidRPr="00FB3CCA">
        <w:rPr>
          <w:rFonts w:cs="Arial"/>
          <w:sz w:val="20"/>
        </w:rPr>
        <w:t xml:space="preserve"> (2</w:t>
      </w:r>
      <w:r>
        <w:rPr>
          <w:rFonts w:cs="Arial"/>
          <w:sz w:val="20"/>
        </w:rPr>
        <w:t>3</w:t>
      </w:r>
      <w:r w:rsidRPr="00FB3CCA">
        <w:rPr>
          <w:rFonts w:cs="Arial"/>
          <w:sz w:val="20"/>
        </w:rPr>
        <w:t xml:space="preserve">) </w:t>
      </w:r>
      <w:r>
        <w:rPr>
          <w:rFonts w:cs="Arial"/>
          <w:sz w:val="20"/>
        </w:rPr>
        <w:t>90</w:t>
      </w:r>
    </w:p>
    <w:p w:rsidR="006260E6" w:rsidRPr="00212C23" w:rsidRDefault="006260E6" w:rsidP="006260E6">
      <w:pPr>
        <w:spacing w:after="240"/>
        <w:rPr>
          <w:rFonts w:ascii="Arial" w:hAnsi="Arial" w:cs="Arial"/>
          <w:sz w:val="22"/>
          <w:szCs w:val="22"/>
        </w:rPr>
      </w:pPr>
      <w:r>
        <w:rPr>
          <w:rFonts w:cs="TimesNewRomanPSMT"/>
          <w:szCs w:val="22"/>
        </w:rPr>
        <w:tab/>
      </w:r>
      <w:r w:rsidRPr="00212C23">
        <w:rPr>
          <w:rFonts w:ascii="Arial" w:hAnsi="Arial" w:cs="Arial"/>
          <w:sz w:val="22"/>
          <w:szCs w:val="22"/>
        </w:rPr>
        <w:t xml:space="preserve">Betu dluhu stanovil BEREC ve výši 0,1 na základě doporučení Komise ve Sdělení WACC. </w:t>
      </w:r>
    </w:p>
    <w:p w:rsidR="006260E6" w:rsidRPr="00212C23" w:rsidRDefault="006260E6" w:rsidP="006260E6">
      <w:pPr>
        <w:spacing w:after="240"/>
        <w:rPr>
          <w:rFonts w:ascii="Arial" w:hAnsi="Arial" w:cs="Arial"/>
          <w:sz w:val="22"/>
          <w:szCs w:val="22"/>
        </w:rPr>
      </w:pPr>
      <w:r w:rsidRPr="00212C23">
        <w:rPr>
          <w:rFonts w:ascii="Arial" w:hAnsi="Arial" w:cs="Arial"/>
          <w:sz w:val="22"/>
          <w:szCs w:val="22"/>
        </w:rPr>
        <w:tab/>
        <w:t xml:space="preserve">Úřad stanovil hodnotu asset beta jako aritmetický průměr hodnot asset beta z tabulky č. 2 za celou peer group ve výši 0,38 a </w:t>
      </w:r>
      <w:r w:rsidRPr="00212C23">
        <w:rPr>
          <w:rFonts w:ascii="Arial" w:hAnsi="Arial" w:cs="Arial"/>
          <w:b/>
          <w:bCs/>
          <w:sz w:val="22"/>
          <w:szCs w:val="22"/>
        </w:rPr>
        <w:t xml:space="preserve">zadluženost </w:t>
      </w:r>
      <w:r w:rsidRPr="00212C23">
        <w:rPr>
          <w:rFonts w:ascii="Arial" w:hAnsi="Arial" w:cs="Arial"/>
          <w:sz w:val="22"/>
          <w:szCs w:val="22"/>
        </w:rPr>
        <w:t>jako aritmetický průměr hodnot „</w:t>
      </w:r>
      <w:proofErr w:type="spellStart"/>
      <w:r w:rsidRPr="00212C23">
        <w:rPr>
          <w:rFonts w:ascii="Arial" w:hAnsi="Arial" w:cs="Arial"/>
          <w:sz w:val="22"/>
          <w:szCs w:val="22"/>
        </w:rPr>
        <w:t>gearing</w:t>
      </w:r>
      <w:proofErr w:type="spellEnd"/>
      <w:r w:rsidRPr="00212C23">
        <w:rPr>
          <w:rFonts w:ascii="Arial" w:hAnsi="Arial" w:cs="Arial"/>
          <w:sz w:val="22"/>
          <w:szCs w:val="22"/>
        </w:rPr>
        <w:t xml:space="preserve">“ z tabulky č. 2 za celou peer group ve výši </w:t>
      </w:r>
      <w:r w:rsidRPr="00212C23">
        <w:rPr>
          <w:rFonts w:ascii="Arial" w:hAnsi="Arial" w:cs="Arial"/>
          <w:b/>
          <w:bCs/>
          <w:sz w:val="22"/>
          <w:szCs w:val="22"/>
        </w:rPr>
        <w:t>45,37 %.</w:t>
      </w:r>
      <w:r w:rsidRPr="00212C23">
        <w:rPr>
          <w:rFonts w:ascii="Arial" w:hAnsi="Arial" w:cs="Arial"/>
          <w:sz w:val="22"/>
          <w:szCs w:val="22"/>
        </w:rPr>
        <w:t xml:space="preserve"> Na základě těchto průměrných hodnot byla podle vzorce výše stanovena hodnota </w:t>
      </w:r>
      <w:r w:rsidRPr="00212C23">
        <w:rPr>
          <w:rFonts w:ascii="Arial" w:hAnsi="Arial" w:cs="Arial"/>
          <w:b/>
          <w:bCs/>
          <w:sz w:val="22"/>
          <w:szCs w:val="22"/>
        </w:rPr>
        <w:t>equity beta</w:t>
      </w:r>
      <w:r w:rsidRPr="00212C23">
        <w:rPr>
          <w:rFonts w:ascii="Arial" w:hAnsi="Arial" w:cs="Arial"/>
          <w:sz w:val="22"/>
          <w:szCs w:val="22"/>
        </w:rPr>
        <w:t xml:space="preserve"> ve výši </w:t>
      </w:r>
      <w:r w:rsidRPr="00212C23">
        <w:rPr>
          <w:rFonts w:ascii="Arial" w:hAnsi="Arial" w:cs="Arial"/>
          <w:b/>
          <w:bCs/>
          <w:sz w:val="22"/>
          <w:szCs w:val="22"/>
        </w:rPr>
        <w:t>0,61</w:t>
      </w:r>
      <w:r w:rsidRPr="00212C23">
        <w:rPr>
          <w:rFonts w:ascii="Arial" w:hAnsi="Arial" w:cs="Arial"/>
          <w:sz w:val="22"/>
          <w:szCs w:val="22"/>
        </w:rPr>
        <w:t xml:space="preserve">. </w:t>
      </w:r>
    </w:p>
    <w:p w:rsidR="006260E6" w:rsidRPr="00212C23" w:rsidRDefault="006260E6" w:rsidP="006260E6">
      <w:pPr>
        <w:spacing w:after="240"/>
        <w:ind w:firstLine="708"/>
        <w:rPr>
          <w:rFonts w:ascii="Arial" w:hAnsi="Arial" w:cs="Arial"/>
          <w:sz w:val="22"/>
          <w:szCs w:val="22"/>
        </w:rPr>
      </w:pPr>
      <w:r w:rsidRPr="00212C23">
        <w:rPr>
          <w:rFonts w:ascii="Arial" w:hAnsi="Arial" w:cs="Arial"/>
          <w:sz w:val="22"/>
          <w:szCs w:val="22"/>
        </w:rPr>
        <w:t xml:space="preserve">Náklady cizího kapitálu byly stanoveny jako součet bezrizikové výnosové míry a dluhové prémie. </w:t>
      </w:r>
    </w:p>
    <w:p w:rsidR="006260E6" w:rsidRPr="00212C23" w:rsidRDefault="006260E6" w:rsidP="006260E6">
      <w:pPr>
        <w:spacing w:after="240"/>
        <w:ind w:firstLine="708"/>
        <w:rPr>
          <w:rFonts w:ascii="Arial" w:hAnsi="Arial" w:cs="Arial"/>
          <w:sz w:val="22"/>
          <w:szCs w:val="22"/>
        </w:rPr>
      </w:pPr>
      <w:r w:rsidRPr="00212C23">
        <w:rPr>
          <w:rFonts w:ascii="Arial" w:hAnsi="Arial" w:cs="Arial"/>
          <w:sz w:val="22"/>
          <w:szCs w:val="22"/>
        </w:rPr>
        <w:t>Dluhovou prémii BEREC ve Zprávě stanovil na základě průměrného výnosu do splatnosti korporátní dluhopisů (YTM) emitovaných společnostmi v peer group s dobou do splatnosti 7 až 15 let (rok splatnosti duben 2029–březen 2037). Od průměrného výnosu do splatnosti každé společnosti v peer group byla odečtena výnosová míra státních dluhopisů se shodnou dobou do splatnosti.</w:t>
      </w:r>
    </w:p>
    <w:p w:rsidR="006260E6" w:rsidRPr="00EA3806" w:rsidRDefault="006260E6" w:rsidP="006260E6">
      <w:pPr>
        <w:pStyle w:val="Titulek"/>
        <w:rPr>
          <w:lang w:val="cs-CZ"/>
        </w:rPr>
      </w:pPr>
      <w:r w:rsidRPr="00EA3806">
        <w:rPr>
          <w:lang w:val="cs-CZ"/>
        </w:rPr>
        <w:t>Tabulka č. 3: Dluhová prémie</w:t>
      </w:r>
    </w:p>
    <w:tbl>
      <w:tblPr>
        <w:tblW w:w="8931" w:type="dxa"/>
        <w:tblInd w:w="-10" w:type="dxa"/>
        <w:tblCellMar>
          <w:left w:w="70" w:type="dxa"/>
          <w:right w:w="70" w:type="dxa"/>
        </w:tblCellMar>
        <w:tblLook w:val="04A0" w:firstRow="1" w:lastRow="0" w:firstColumn="1" w:lastColumn="0" w:noHBand="0" w:noVBand="1"/>
      </w:tblPr>
      <w:tblGrid>
        <w:gridCol w:w="4111"/>
        <w:gridCol w:w="1843"/>
        <w:gridCol w:w="1417"/>
        <w:gridCol w:w="1560"/>
      </w:tblGrid>
      <w:tr w:rsidR="006260E6" w:rsidRPr="00FB6D60" w:rsidTr="009C0293">
        <w:trPr>
          <w:trHeight w:val="309"/>
        </w:trPr>
        <w:tc>
          <w:tcPr>
            <w:tcW w:w="4111"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260E6" w:rsidRPr="00B708FD" w:rsidRDefault="006260E6" w:rsidP="009C0293">
            <w:pPr>
              <w:rPr>
                <w:rFonts w:cs="Arial"/>
                <w:color w:val="000000"/>
                <w:szCs w:val="22"/>
                <w:lang w:val="es-ES" w:eastAsia="es-ES"/>
              </w:rPr>
            </w:pPr>
            <w:r w:rsidRPr="00B708FD">
              <w:rPr>
                <w:rFonts w:cs="Arial"/>
                <w:color w:val="000000"/>
                <w:szCs w:val="22"/>
                <w:lang w:eastAsia="es-ES"/>
              </w:rPr>
              <w:t> </w:t>
            </w:r>
            <w:r>
              <w:rPr>
                <w:rFonts w:cs="Arial"/>
                <w:color w:val="000000"/>
                <w:szCs w:val="22"/>
                <w:lang w:eastAsia="es-ES"/>
              </w:rPr>
              <w:t>Společnost</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260E6" w:rsidRPr="00B708FD" w:rsidRDefault="006260E6" w:rsidP="009C0293">
            <w:pPr>
              <w:jc w:val="center"/>
              <w:rPr>
                <w:rFonts w:cs="Arial"/>
                <w:b/>
                <w:bCs/>
                <w:color w:val="000000"/>
                <w:szCs w:val="22"/>
                <w:lang w:val="es-ES" w:eastAsia="es-ES"/>
              </w:rPr>
            </w:pPr>
            <w:r w:rsidRPr="00513798">
              <w:rPr>
                <w:rFonts w:cs="Arial"/>
                <w:b/>
                <w:bCs/>
                <w:color w:val="000000"/>
                <w:szCs w:val="22"/>
                <w:lang w:eastAsia="es-ES"/>
              </w:rPr>
              <w:t>Dluhová prémie (v bazických bodech</w:t>
            </w:r>
            <w:r>
              <w:rPr>
                <w:rFonts w:cs="Arial"/>
                <w:b/>
                <w:bCs/>
                <w:color w:val="000000"/>
                <w:szCs w:val="22"/>
                <w:lang w:val="es-ES" w:eastAsia="es-ES"/>
              </w:rPr>
              <w:t>)</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260E6" w:rsidRPr="00B708FD" w:rsidRDefault="006260E6" w:rsidP="009C0293">
            <w:pPr>
              <w:jc w:val="center"/>
              <w:rPr>
                <w:rFonts w:cs="Arial"/>
                <w:b/>
                <w:bCs/>
                <w:color w:val="000000"/>
                <w:szCs w:val="22"/>
                <w:lang w:val="es-ES" w:eastAsia="es-ES"/>
              </w:rPr>
            </w:pPr>
            <w:r>
              <w:rPr>
                <w:rFonts w:cs="Arial"/>
                <w:b/>
                <w:bCs/>
                <w:color w:val="000000"/>
                <w:szCs w:val="22"/>
                <w:lang w:val="sv-SE" w:eastAsia="es-ES"/>
              </w:rPr>
              <w:t>Vnitrostátní bezriková výnosová míra (v %)</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260E6" w:rsidRPr="00B708FD" w:rsidRDefault="006260E6" w:rsidP="009C0293">
            <w:pPr>
              <w:jc w:val="center"/>
              <w:rPr>
                <w:rFonts w:cs="Arial"/>
                <w:b/>
                <w:bCs/>
                <w:color w:val="000000"/>
                <w:szCs w:val="22"/>
                <w:lang w:val="es-ES" w:eastAsia="es-ES"/>
              </w:rPr>
            </w:pPr>
            <w:r>
              <w:rPr>
                <w:rFonts w:cs="Arial"/>
                <w:b/>
                <w:bCs/>
                <w:color w:val="000000"/>
                <w:szCs w:val="22"/>
                <w:lang w:val="sv-SE" w:eastAsia="es-ES"/>
              </w:rPr>
              <w:t>Náklady na cizí kapitál (v basických bodech)</w:t>
            </w:r>
          </w:p>
        </w:tc>
      </w:tr>
      <w:tr w:rsidR="006260E6" w:rsidRPr="00FB6D60" w:rsidTr="009C0293">
        <w:trPr>
          <w:trHeight w:val="309"/>
        </w:trPr>
        <w:tc>
          <w:tcPr>
            <w:tcW w:w="4111" w:type="dxa"/>
            <w:vMerge/>
            <w:tcBorders>
              <w:top w:val="single" w:sz="8" w:space="0" w:color="auto"/>
              <w:left w:val="single" w:sz="8" w:space="0" w:color="auto"/>
              <w:bottom w:val="single" w:sz="8" w:space="0" w:color="000000"/>
              <w:right w:val="single" w:sz="8" w:space="0" w:color="auto"/>
            </w:tcBorders>
            <w:vAlign w:val="center"/>
            <w:hideMark/>
          </w:tcPr>
          <w:p w:rsidR="006260E6" w:rsidRPr="00B708FD" w:rsidRDefault="006260E6" w:rsidP="009C0293">
            <w:pPr>
              <w:rPr>
                <w:rFonts w:cs="Arial"/>
                <w:color w:val="000000"/>
                <w:szCs w:val="22"/>
                <w:lang w:val="es-ES" w:eastAsia="es-ES"/>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260E6" w:rsidRPr="00B708FD" w:rsidRDefault="006260E6" w:rsidP="009C0293">
            <w:pPr>
              <w:rPr>
                <w:rFonts w:cs="Arial"/>
                <w:b/>
                <w:bCs/>
                <w:color w:val="000000"/>
                <w:szCs w:val="22"/>
                <w:lang w:val="es-ES" w:eastAsia="es-E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260E6" w:rsidRPr="00B708FD" w:rsidRDefault="006260E6" w:rsidP="009C0293">
            <w:pPr>
              <w:rPr>
                <w:rFonts w:cs="Arial"/>
                <w:b/>
                <w:bCs/>
                <w:color w:val="000000"/>
                <w:szCs w:val="22"/>
                <w:lang w:val="es-ES" w:eastAsia="es-ES"/>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260E6" w:rsidRPr="00B708FD" w:rsidRDefault="006260E6" w:rsidP="009C0293">
            <w:pPr>
              <w:rPr>
                <w:rFonts w:cs="Arial"/>
                <w:b/>
                <w:bCs/>
                <w:color w:val="000000"/>
                <w:szCs w:val="22"/>
                <w:lang w:val="es-ES" w:eastAsia="es-ES"/>
              </w:rPr>
            </w:pPr>
          </w:p>
        </w:tc>
      </w:tr>
      <w:tr w:rsidR="006260E6" w:rsidRPr="00FB6D60" w:rsidTr="009C0293">
        <w:trPr>
          <w:trHeight w:val="309"/>
        </w:trPr>
        <w:tc>
          <w:tcPr>
            <w:tcW w:w="4111" w:type="dxa"/>
            <w:vMerge/>
            <w:tcBorders>
              <w:top w:val="single" w:sz="8" w:space="0" w:color="auto"/>
              <w:left w:val="single" w:sz="8" w:space="0" w:color="auto"/>
              <w:bottom w:val="single" w:sz="8" w:space="0" w:color="000000"/>
              <w:right w:val="single" w:sz="8" w:space="0" w:color="auto"/>
            </w:tcBorders>
            <w:vAlign w:val="center"/>
            <w:hideMark/>
          </w:tcPr>
          <w:p w:rsidR="006260E6" w:rsidRPr="00B708FD" w:rsidRDefault="006260E6" w:rsidP="009C0293">
            <w:pPr>
              <w:rPr>
                <w:rFonts w:cs="Arial"/>
                <w:color w:val="000000"/>
                <w:szCs w:val="22"/>
                <w:lang w:val="es-ES" w:eastAsia="es-ES"/>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260E6" w:rsidRPr="00B708FD" w:rsidRDefault="006260E6" w:rsidP="009C0293">
            <w:pPr>
              <w:rPr>
                <w:rFonts w:cs="Arial"/>
                <w:b/>
                <w:bCs/>
                <w:color w:val="000000"/>
                <w:szCs w:val="22"/>
                <w:lang w:val="es-ES" w:eastAsia="es-E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260E6" w:rsidRPr="00B708FD" w:rsidRDefault="006260E6" w:rsidP="009C0293">
            <w:pPr>
              <w:rPr>
                <w:rFonts w:cs="Arial"/>
                <w:b/>
                <w:bCs/>
                <w:color w:val="000000"/>
                <w:szCs w:val="22"/>
                <w:lang w:val="es-ES" w:eastAsia="es-ES"/>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260E6" w:rsidRPr="00B708FD" w:rsidRDefault="006260E6" w:rsidP="009C0293">
            <w:pPr>
              <w:rPr>
                <w:rFonts w:cs="Arial"/>
                <w:b/>
                <w:bCs/>
                <w:color w:val="000000"/>
                <w:szCs w:val="22"/>
                <w:lang w:val="es-ES" w:eastAsia="es-ES"/>
              </w:rPr>
            </w:pP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6260E6" w:rsidRPr="00B708FD" w:rsidRDefault="006260E6" w:rsidP="009C0293">
            <w:pPr>
              <w:rPr>
                <w:rFonts w:cs="Arial"/>
                <w:szCs w:val="22"/>
                <w:lang w:val="es-ES" w:eastAsia="es-ES"/>
              </w:rPr>
            </w:pPr>
            <w:r w:rsidRPr="00B708FD">
              <w:rPr>
                <w:rFonts w:cs="Arial"/>
                <w:szCs w:val="22"/>
                <w:lang w:val="sv-SE" w:eastAsia="es-ES"/>
              </w:rPr>
              <w:t>Deutsche Telekom AG</w:t>
            </w:r>
          </w:p>
        </w:tc>
        <w:tc>
          <w:tcPr>
            <w:tcW w:w="1843"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1C23B3">
              <w:t>128</w:t>
            </w:r>
          </w:p>
        </w:tc>
        <w:tc>
          <w:tcPr>
            <w:tcW w:w="1417"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D40C0D">
              <w:t>0</w:t>
            </w:r>
            <w:r>
              <w:t>,</w:t>
            </w:r>
            <w:r w:rsidRPr="00D40C0D">
              <w:t>17</w:t>
            </w:r>
          </w:p>
        </w:tc>
        <w:tc>
          <w:tcPr>
            <w:tcW w:w="1560"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FE3051">
              <w:t>14</w:t>
            </w:r>
            <w:r>
              <w:t>5</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tcPr>
          <w:p w:rsidR="006260E6" w:rsidRPr="00B708FD" w:rsidRDefault="006260E6" w:rsidP="009C0293">
            <w:pPr>
              <w:rPr>
                <w:rFonts w:cs="Arial"/>
                <w:szCs w:val="22"/>
                <w:lang w:val="sv-SE" w:eastAsia="es-ES"/>
              </w:rPr>
            </w:pPr>
            <w:r>
              <w:rPr>
                <w:rFonts w:cs="Arial"/>
                <w:szCs w:val="22"/>
                <w:lang w:val="en-US"/>
              </w:rPr>
              <w:t>DIGI Communications N.V.</w:t>
            </w:r>
          </w:p>
        </w:tc>
        <w:tc>
          <w:tcPr>
            <w:tcW w:w="1843" w:type="dxa"/>
            <w:tcBorders>
              <w:top w:val="nil"/>
              <w:left w:val="nil"/>
              <w:bottom w:val="single" w:sz="8" w:space="0" w:color="auto"/>
              <w:right w:val="single" w:sz="8" w:space="0" w:color="auto"/>
            </w:tcBorders>
            <w:shd w:val="clear" w:color="auto" w:fill="auto"/>
            <w:noWrap/>
            <w:vAlign w:val="bottom"/>
          </w:tcPr>
          <w:p w:rsidR="006260E6" w:rsidRPr="00B708FD" w:rsidRDefault="006260E6" w:rsidP="009C0293">
            <w:pPr>
              <w:jc w:val="center"/>
              <w:rPr>
                <w:rFonts w:cs="Arial"/>
                <w:szCs w:val="22"/>
                <w:lang w:val="sv-SE" w:eastAsia="es-ES"/>
              </w:rPr>
            </w:pPr>
            <w:r w:rsidRPr="001C23B3">
              <w:t>305</w:t>
            </w:r>
          </w:p>
        </w:tc>
        <w:tc>
          <w:tcPr>
            <w:tcW w:w="1417" w:type="dxa"/>
            <w:tcBorders>
              <w:top w:val="nil"/>
              <w:left w:val="nil"/>
              <w:bottom w:val="single" w:sz="8" w:space="0" w:color="auto"/>
              <w:right w:val="single" w:sz="8" w:space="0" w:color="auto"/>
            </w:tcBorders>
            <w:shd w:val="clear" w:color="auto" w:fill="auto"/>
            <w:noWrap/>
            <w:vAlign w:val="bottom"/>
          </w:tcPr>
          <w:p w:rsidR="006260E6" w:rsidRPr="00B708FD" w:rsidRDefault="006260E6" w:rsidP="009C0293">
            <w:pPr>
              <w:jc w:val="center"/>
              <w:rPr>
                <w:rFonts w:cs="Arial"/>
                <w:szCs w:val="22"/>
                <w:lang w:val="es-ES" w:eastAsia="es-ES"/>
              </w:rPr>
            </w:pPr>
            <w:r w:rsidRPr="00D40C0D">
              <w:t>4,98</w:t>
            </w:r>
          </w:p>
        </w:tc>
        <w:tc>
          <w:tcPr>
            <w:tcW w:w="1560" w:type="dxa"/>
            <w:tcBorders>
              <w:top w:val="nil"/>
              <w:left w:val="nil"/>
              <w:bottom w:val="single" w:sz="8" w:space="0" w:color="auto"/>
              <w:right w:val="single" w:sz="8" w:space="0" w:color="auto"/>
            </w:tcBorders>
            <w:shd w:val="clear" w:color="auto" w:fill="auto"/>
            <w:noWrap/>
            <w:vAlign w:val="bottom"/>
          </w:tcPr>
          <w:p w:rsidR="006260E6" w:rsidRPr="00B708FD" w:rsidRDefault="006260E6" w:rsidP="009C0293">
            <w:pPr>
              <w:jc w:val="center"/>
              <w:rPr>
                <w:rFonts w:cs="Arial"/>
                <w:szCs w:val="22"/>
                <w:lang w:val="es-ES" w:eastAsia="es-ES"/>
              </w:rPr>
            </w:pPr>
            <w:r w:rsidRPr="00FE3051">
              <w:t>803</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6260E6" w:rsidRPr="00B708FD" w:rsidRDefault="006260E6" w:rsidP="009C0293">
            <w:pPr>
              <w:rPr>
                <w:rFonts w:cs="Arial"/>
                <w:szCs w:val="22"/>
                <w:lang w:val="es-ES" w:eastAsia="es-ES"/>
              </w:rPr>
            </w:pPr>
            <w:r w:rsidRPr="00B708FD">
              <w:rPr>
                <w:rFonts w:cs="Arial"/>
                <w:szCs w:val="22"/>
                <w:lang w:val="sv-SE" w:eastAsia="es-ES"/>
              </w:rPr>
              <w:t>Elisa Oyj</w:t>
            </w:r>
          </w:p>
        </w:tc>
        <w:tc>
          <w:tcPr>
            <w:tcW w:w="1843"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1C23B3">
              <w:t>84</w:t>
            </w:r>
          </w:p>
        </w:tc>
        <w:tc>
          <w:tcPr>
            <w:tcW w:w="1417"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D40C0D">
              <w:t>0</w:t>
            </w:r>
            <w:r>
              <w:t>,</w:t>
            </w:r>
            <w:r w:rsidRPr="00D40C0D">
              <w:t>53</w:t>
            </w:r>
          </w:p>
        </w:tc>
        <w:tc>
          <w:tcPr>
            <w:tcW w:w="1560"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FE3051">
              <w:t>137</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6260E6" w:rsidRPr="00B708FD" w:rsidRDefault="006260E6" w:rsidP="009C0293">
            <w:pPr>
              <w:rPr>
                <w:rFonts w:cs="Arial"/>
                <w:szCs w:val="22"/>
                <w:lang w:val="es-ES" w:eastAsia="es-ES"/>
              </w:rPr>
            </w:pPr>
            <w:r w:rsidRPr="00B708FD">
              <w:rPr>
                <w:rFonts w:cs="Arial"/>
                <w:szCs w:val="22"/>
                <w:lang w:val="sv-SE" w:eastAsia="es-ES"/>
              </w:rPr>
              <w:t>Koninklijke KPN N.V.</w:t>
            </w:r>
          </w:p>
        </w:tc>
        <w:tc>
          <w:tcPr>
            <w:tcW w:w="1843"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1C23B3">
              <w:t>119</w:t>
            </w:r>
          </w:p>
        </w:tc>
        <w:tc>
          <w:tcPr>
            <w:tcW w:w="1417"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D40C0D">
              <w:t>0</w:t>
            </w:r>
            <w:r>
              <w:t>,</w:t>
            </w:r>
            <w:r w:rsidRPr="00D40C0D">
              <w:t>33</w:t>
            </w:r>
          </w:p>
        </w:tc>
        <w:tc>
          <w:tcPr>
            <w:tcW w:w="1560"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FE3051">
              <w:t>153</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6260E6" w:rsidRPr="00B708FD" w:rsidRDefault="006260E6" w:rsidP="009C0293">
            <w:pPr>
              <w:rPr>
                <w:rFonts w:cs="Arial"/>
                <w:szCs w:val="22"/>
                <w:lang w:val="es-ES" w:eastAsia="es-ES"/>
              </w:rPr>
            </w:pPr>
            <w:r w:rsidRPr="00B708FD">
              <w:rPr>
                <w:rFonts w:cs="Arial"/>
                <w:szCs w:val="22"/>
                <w:lang w:val="sv-SE" w:eastAsia="es-ES"/>
              </w:rPr>
              <w:t xml:space="preserve">NOS </w:t>
            </w:r>
          </w:p>
        </w:tc>
        <w:tc>
          <w:tcPr>
            <w:tcW w:w="1843"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1C23B3">
              <w:t>-</w:t>
            </w:r>
          </w:p>
        </w:tc>
        <w:tc>
          <w:tcPr>
            <w:tcW w:w="1417"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D40C0D">
              <w:t>1,16</w:t>
            </w:r>
          </w:p>
        </w:tc>
        <w:tc>
          <w:tcPr>
            <w:tcW w:w="1560"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FE3051">
              <w:t>-</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6260E6" w:rsidRPr="00B708FD" w:rsidRDefault="006260E6" w:rsidP="009C0293">
            <w:pPr>
              <w:rPr>
                <w:rFonts w:cs="Arial"/>
                <w:szCs w:val="22"/>
                <w:lang w:val="es-ES" w:eastAsia="es-ES"/>
              </w:rPr>
            </w:pPr>
            <w:r w:rsidRPr="00B708FD">
              <w:rPr>
                <w:rFonts w:cs="Arial"/>
                <w:szCs w:val="22"/>
                <w:lang w:val="sv-SE" w:eastAsia="es-ES"/>
              </w:rPr>
              <w:t>Orange S.A.</w:t>
            </w:r>
          </w:p>
        </w:tc>
        <w:tc>
          <w:tcPr>
            <w:tcW w:w="1843"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1C23B3">
              <w:t>86</w:t>
            </w:r>
          </w:p>
        </w:tc>
        <w:tc>
          <w:tcPr>
            <w:tcW w:w="1417"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D40C0D">
              <w:t>0</w:t>
            </w:r>
            <w:r>
              <w:t>,</w:t>
            </w:r>
            <w:r w:rsidRPr="00D40C0D">
              <w:t>59</w:t>
            </w:r>
          </w:p>
        </w:tc>
        <w:tc>
          <w:tcPr>
            <w:tcW w:w="1560"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FE3051">
              <w:t>14</w:t>
            </w:r>
            <w:r>
              <w:t>6</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6260E6" w:rsidRPr="00B708FD" w:rsidRDefault="006260E6" w:rsidP="009C0293">
            <w:pPr>
              <w:rPr>
                <w:rFonts w:cs="Arial"/>
                <w:szCs w:val="22"/>
                <w:lang w:val="es-ES" w:eastAsia="es-ES"/>
              </w:rPr>
            </w:pPr>
            <w:r w:rsidRPr="00B708FD">
              <w:rPr>
                <w:rFonts w:cs="Arial"/>
                <w:szCs w:val="22"/>
                <w:lang w:val="sv-SE" w:eastAsia="es-ES"/>
              </w:rPr>
              <w:t>Proximus S.A.</w:t>
            </w:r>
          </w:p>
        </w:tc>
        <w:tc>
          <w:tcPr>
            <w:tcW w:w="1843"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1C23B3">
              <w:t>91</w:t>
            </w:r>
          </w:p>
        </w:tc>
        <w:tc>
          <w:tcPr>
            <w:tcW w:w="1417"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D40C0D">
              <w:t>0</w:t>
            </w:r>
            <w:r>
              <w:t>,</w:t>
            </w:r>
            <w:r w:rsidRPr="00D40C0D">
              <w:t>62</w:t>
            </w:r>
          </w:p>
        </w:tc>
        <w:tc>
          <w:tcPr>
            <w:tcW w:w="1560"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FE3051">
              <w:t>153</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6260E6" w:rsidRPr="00B708FD" w:rsidRDefault="006260E6" w:rsidP="009C0293">
            <w:pPr>
              <w:rPr>
                <w:rFonts w:cs="Arial"/>
                <w:szCs w:val="22"/>
                <w:lang w:val="es-ES" w:eastAsia="es-ES"/>
              </w:rPr>
            </w:pPr>
            <w:r w:rsidRPr="00B708FD">
              <w:rPr>
                <w:rFonts w:cs="Arial"/>
                <w:szCs w:val="22"/>
                <w:lang w:val="sv-SE" w:eastAsia="es-ES"/>
              </w:rPr>
              <w:t>Tele 2 AB</w:t>
            </w:r>
          </w:p>
        </w:tc>
        <w:tc>
          <w:tcPr>
            <w:tcW w:w="1843"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1C23B3">
              <w:t>148</w:t>
            </w:r>
          </w:p>
        </w:tc>
        <w:tc>
          <w:tcPr>
            <w:tcW w:w="1417"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D40C0D">
              <w:t>0</w:t>
            </w:r>
            <w:r>
              <w:t>,</w:t>
            </w:r>
            <w:r w:rsidRPr="00D40C0D">
              <w:t>56</w:t>
            </w:r>
          </w:p>
        </w:tc>
        <w:tc>
          <w:tcPr>
            <w:tcW w:w="1560"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FE3051">
              <w:t>204</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6260E6" w:rsidRPr="00B708FD" w:rsidRDefault="006260E6" w:rsidP="009C0293">
            <w:pPr>
              <w:rPr>
                <w:rFonts w:cs="Arial"/>
                <w:szCs w:val="22"/>
                <w:lang w:val="es-ES" w:eastAsia="es-ES"/>
              </w:rPr>
            </w:pPr>
            <w:r w:rsidRPr="00B708FD">
              <w:rPr>
                <w:rFonts w:cs="Arial"/>
                <w:szCs w:val="22"/>
                <w:lang w:val="sv-SE" w:eastAsia="es-ES"/>
              </w:rPr>
              <w:t>Telecom Italia</w:t>
            </w:r>
          </w:p>
        </w:tc>
        <w:tc>
          <w:tcPr>
            <w:tcW w:w="1843"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1C23B3">
              <w:t>185</w:t>
            </w:r>
          </w:p>
        </w:tc>
        <w:tc>
          <w:tcPr>
            <w:tcW w:w="1417"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D40C0D">
              <w:t>2,05</w:t>
            </w:r>
          </w:p>
        </w:tc>
        <w:tc>
          <w:tcPr>
            <w:tcW w:w="1560"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FE3051">
              <w:t>39</w:t>
            </w:r>
            <w:r>
              <w:t>1</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6260E6" w:rsidRPr="00B708FD" w:rsidRDefault="006260E6" w:rsidP="009C0293">
            <w:pPr>
              <w:rPr>
                <w:rFonts w:cs="Arial"/>
                <w:szCs w:val="22"/>
                <w:lang w:val="es-ES" w:eastAsia="es-ES"/>
              </w:rPr>
            </w:pPr>
            <w:r w:rsidRPr="00B708FD">
              <w:rPr>
                <w:rFonts w:cs="Arial"/>
                <w:szCs w:val="22"/>
                <w:lang w:val="sv-SE" w:eastAsia="es-ES"/>
              </w:rPr>
              <w:t>Telefónica S.A.</w:t>
            </w:r>
          </w:p>
        </w:tc>
        <w:tc>
          <w:tcPr>
            <w:tcW w:w="1843"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1C23B3">
              <w:t>52</w:t>
            </w:r>
          </w:p>
        </w:tc>
        <w:tc>
          <w:tcPr>
            <w:tcW w:w="1417"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D40C0D">
              <w:t>1,09</w:t>
            </w:r>
          </w:p>
        </w:tc>
        <w:tc>
          <w:tcPr>
            <w:tcW w:w="1560"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FE3051">
              <w:t>162</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6260E6" w:rsidRPr="00B708FD" w:rsidRDefault="006260E6" w:rsidP="009C0293">
            <w:pPr>
              <w:rPr>
                <w:rFonts w:cs="Arial"/>
                <w:szCs w:val="22"/>
                <w:lang w:val="es-ES" w:eastAsia="es-ES"/>
              </w:rPr>
            </w:pPr>
            <w:r w:rsidRPr="00B708FD">
              <w:rPr>
                <w:rFonts w:cs="Arial"/>
                <w:szCs w:val="22"/>
                <w:lang w:val="sv-SE" w:eastAsia="es-ES"/>
              </w:rPr>
              <w:t>Telekom Austria AG</w:t>
            </w:r>
          </w:p>
        </w:tc>
        <w:tc>
          <w:tcPr>
            <w:tcW w:w="1843"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1C23B3">
              <w:t>-</w:t>
            </w:r>
          </w:p>
        </w:tc>
        <w:tc>
          <w:tcPr>
            <w:tcW w:w="1417"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D40C0D">
              <w:t>0</w:t>
            </w:r>
            <w:r>
              <w:t>,</w:t>
            </w:r>
            <w:r w:rsidRPr="00D40C0D">
              <w:t>54</w:t>
            </w:r>
          </w:p>
        </w:tc>
        <w:tc>
          <w:tcPr>
            <w:tcW w:w="1560"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FE3051">
              <w:t>-</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6260E6" w:rsidRPr="00B708FD" w:rsidRDefault="006260E6" w:rsidP="009C0293">
            <w:pPr>
              <w:rPr>
                <w:rFonts w:cs="Arial"/>
                <w:szCs w:val="22"/>
                <w:lang w:val="es-ES" w:eastAsia="es-ES"/>
              </w:rPr>
            </w:pPr>
            <w:r w:rsidRPr="00B708FD">
              <w:rPr>
                <w:rFonts w:cs="Arial"/>
                <w:szCs w:val="22"/>
                <w:lang w:val="sv-SE" w:eastAsia="es-ES"/>
              </w:rPr>
              <w:t>Telenet Group Holding N.V.</w:t>
            </w:r>
          </w:p>
        </w:tc>
        <w:tc>
          <w:tcPr>
            <w:tcW w:w="1843"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1C23B3">
              <w:t>329</w:t>
            </w:r>
          </w:p>
        </w:tc>
        <w:tc>
          <w:tcPr>
            <w:tcW w:w="1417"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D40C0D">
              <w:t>0</w:t>
            </w:r>
            <w:r>
              <w:t>,</w:t>
            </w:r>
            <w:r w:rsidRPr="00D40C0D">
              <w:t>62</w:t>
            </w:r>
          </w:p>
        </w:tc>
        <w:tc>
          <w:tcPr>
            <w:tcW w:w="1560"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FE3051">
              <w:t>391</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6260E6" w:rsidRPr="00B708FD" w:rsidRDefault="006260E6" w:rsidP="009C0293">
            <w:pPr>
              <w:rPr>
                <w:rFonts w:cs="Arial"/>
                <w:szCs w:val="22"/>
                <w:lang w:val="es-ES" w:eastAsia="es-ES"/>
              </w:rPr>
            </w:pPr>
            <w:proofErr w:type="spellStart"/>
            <w:r w:rsidRPr="00B708FD">
              <w:rPr>
                <w:rFonts w:cs="Arial"/>
                <w:szCs w:val="22"/>
                <w:lang w:val="es-ES" w:eastAsia="es-ES"/>
              </w:rPr>
              <w:t>Telenor</w:t>
            </w:r>
            <w:proofErr w:type="spellEnd"/>
          </w:p>
        </w:tc>
        <w:tc>
          <w:tcPr>
            <w:tcW w:w="1843"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1C23B3">
              <w:t>111</w:t>
            </w:r>
          </w:p>
        </w:tc>
        <w:tc>
          <w:tcPr>
            <w:tcW w:w="1417"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D40C0D">
              <w:t>1,73</w:t>
            </w:r>
          </w:p>
        </w:tc>
        <w:tc>
          <w:tcPr>
            <w:tcW w:w="1560"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FE3051">
              <w:t>284</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6260E6" w:rsidRPr="00B708FD" w:rsidRDefault="006260E6" w:rsidP="009C0293">
            <w:pPr>
              <w:rPr>
                <w:rFonts w:cs="Arial"/>
                <w:szCs w:val="22"/>
                <w:lang w:val="es-ES" w:eastAsia="es-ES"/>
              </w:rPr>
            </w:pPr>
            <w:r w:rsidRPr="00B708FD">
              <w:rPr>
                <w:rFonts w:cs="Arial"/>
                <w:szCs w:val="22"/>
                <w:lang w:val="sv-SE" w:eastAsia="es-ES"/>
              </w:rPr>
              <w:t>Telia Company AB</w:t>
            </w:r>
          </w:p>
        </w:tc>
        <w:tc>
          <w:tcPr>
            <w:tcW w:w="1843"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1C23B3">
              <w:t>142</w:t>
            </w:r>
          </w:p>
        </w:tc>
        <w:tc>
          <w:tcPr>
            <w:tcW w:w="1417"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D40C0D">
              <w:t>0</w:t>
            </w:r>
            <w:r>
              <w:t>,</w:t>
            </w:r>
            <w:r w:rsidRPr="00D40C0D">
              <w:t>56</w:t>
            </w:r>
          </w:p>
        </w:tc>
        <w:tc>
          <w:tcPr>
            <w:tcW w:w="1560" w:type="dxa"/>
            <w:tcBorders>
              <w:top w:val="nil"/>
              <w:left w:val="nil"/>
              <w:bottom w:val="single" w:sz="8" w:space="0" w:color="auto"/>
              <w:right w:val="single" w:sz="8" w:space="0" w:color="auto"/>
            </w:tcBorders>
            <w:shd w:val="clear" w:color="auto" w:fill="auto"/>
            <w:noWrap/>
            <w:vAlign w:val="bottom"/>
            <w:hideMark/>
          </w:tcPr>
          <w:p w:rsidR="006260E6" w:rsidRPr="00B708FD" w:rsidRDefault="006260E6" w:rsidP="009C0293">
            <w:pPr>
              <w:jc w:val="center"/>
              <w:rPr>
                <w:rFonts w:cs="Arial"/>
                <w:szCs w:val="22"/>
                <w:lang w:val="es-ES" w:eastAsia="es-ES"/>
              </w:rPr>
            </w:pPr>
            <w:r w:rsidRPr="00FE3051">
              <w:t>19</w:t>
            </w:r>
            <w:r>
              <w:t>9</w:t>
            </w:r>
          </w:p>
        </w:tc>
      </w:tr>
      <w:tr w:rsidR="006260E6" w:rsidRPr="00175D3B" w:rsidTr="009C0293">
        <w:trPr>
          <w:trHeight w:val="300"/>
        </w:trPr>
        <w:tc>
          <w:tcPr>
            <w:tcW w:w="4111" w:type="dxa"/>
            <w:tcBorders>
              <w:top w:val="nil"/>
              <w:left w:val="single" w:sz="8" w:space="0" w:color="auto"/>
              <w:bottom w:val="single" w:sz="8" w:space="0" w:color="auto"/>
              <w:right w:val="single" w:sz="8" w:space="0" w:color="auto"/>
            </w:tcBorders>
            <w:shd w:val="clear" w:color="auto" w:fill="auto"/>
            <w:noWrap/>
            <w:vAlign w:val="bottom"/>
          </w:tcPr>
          <w:p w:rsidR="006260E6" w:rsidRPr="00B708FD" w:rsidRDefault="006260E6" w:rsidP="009C0293">
            <w:pPr>
              <w:rPr>
                <w:rFonts w:cs="Arial"/>
                <w:szCs w:val="22"/>
                <w:lang w:val="sv-SE" w:eastAsia="es-ES"/>
              </w:rPr>
            </w:pPr>
            <w:r w:rsidRPr="00B708FD">
              <w:rPr>
                <w:rFonts w:cs="Arial"/>
                <w:szCs w:val="22"/>
                <w:lang w:val="sv-SE" w:eastAsia="es-ES"/>
              </w:rPr>
              <w:t xml:space="preserve">Vodafone Group plc </w:t>
            </w:r>
          </w:p>
        </w:tc>
        <w:tc>
          <w:tcPr>
            <w:tcW w:w="1843" w:type="dxa"/>
            <w:tcBorders>
              <w:top w:val="nil"/>
              <w:left w:val="nil"/>
              <w:bottom w:val="single" w:sz="8" w:space="0" w:color="auto"/>
              <w:right w:val="single" w:sz="8" w:space="0" w:color="auto"/>
            </w:tcBorders>
            <w:shd w:val="clear" w:color="auto" w:fill="auto"/>
            <w:noWrap/>
            <w:vAlign w:val="bottom"/>
          </w:tcPr>
          <w:p w:rsidR="006260E6" w:rsidRPr="00B708FD" w:rsidRDefault="006260E6" w:rsidP="009C0293">
            <w:pPr>
              <w:jc w:val="center"/>
              <w:rPr>
                <w:rFonts w:cs="Arial"/>
                <w:szCs w:val="22"/>
                <w:lang w:val="sv-SE" w:eastAsia="es-ES"/>
              </w:rPr>
            </w:pPr>
            <w:r w:rsidRPr="001C23B3">
              <w:t>140</w:t>
            </w:r>
          </w:p>
        </w:tc>
        <w:tc>
          <w:tcPr>
            <w:tcW w:w="1417" w:type="dxa"/>
            <w:tcBorders>
              <w:top w:val="nil"/>
              <w:left w:val="nil"/>
              <w:bottom w:val="single" w:sz="8" w:space="0" w:color="auto"/>
              <w:right w:val="single" w:sz="8" w:space="0" w:color="auto"/>
            </w:tcBorders>
            <w:shd w:val="clear" w:color="auto" w:fill="auto"/>
            <w:noWrap/>
            <w:vAlign w:val="bottom"/>
          </w:tcPr>
          <w:p w:rsidR="006260E6" w:rsidRPr="00B708FD" w:rsidRDefault="006260E6" w:rsidP="009C0293">
            <w:pPr>
              <w:jc w:val="center"/>
              <w:rPr>
                <w:rFonts w:cs="Arial"/>
                <w:szCs w:val="22"/>
                <w:lang w:val="es-ES" w:eastAsia="es-ES"/>
              </w:rPr>
            </w:pPr>
            <w:r w:rsidRPr="00D40C0D">
              <w:t>1,25</w:t>
            </w:r>
          </w:p>
        </w:tc>
        <w:tc>
          <w:tcPr>
            <w:tcW w:w="1560" w:type="dxa"/>
            <w:tcBorders>
              <w:top w:val="nil"/>
              <w:left w:val="nil"/>
              <w:bottom w:val="single" w:sz="8" w:space="0" w:color="auto"/>
              <w:right w:val="single" w:sz="8" w:space="0" w:color="auto"/>
            </w:tcBorders>
            <w:shd w:val="clear" w:color="auto" w:fill="auto"/>
            <w:noWrap/>
            <w:vAlign w:val="bottom"/>
          </w:tcPr>
          <w:p w:rsidR="006260E6" w:rsidRPr="00B708FD" w:rsidRDefault="006260E6" w:rsidP="009C0293">
            <w:pPr>
              <w:jc w:val="center"/>
              <w:rPr>
                <w:rFonts w:cs="Arial"/>
                <w:szCs w:val="22"/>
                <w:lang w:val="es-ES" w:eastAsia="es-ES"/>
              </w:rPr>
            </w:pPr>
            <w:r w:rsidRPr="00FE3051">
              <w:t>26</w:t>
            </w:r>
            <w:r>
              <w:t>4</w:t>
            </w:r>
          </w:p>
        </w:tc>
      </w:tr>
    </w:tbl>
    <w:p w:rsidR="006260E6" w:rsidRPr="00FB3CCA" w:rsidRDefault="006260E6" w:rsidP="006260E6">
      <w:pPr>
        <w:spacing w:before="120" w:after="240"/>
        <w:rPr>
          <w:rFonts w:cs="Arial"/>
          <w:sz w:val="20"/>
        </w:rPr>
      </w:pPr>
      <w:r w:rsidRPr="00FB3CCA">
        <w:rPr>
          <w:rFonts w:cs="Arial"/>
          <w:sz w:val="20"/>
        </w:rPr>
        <w:t xml:space="preserve">Zdroj: WACC </w:t>
      </w:r>
      <w:proofErr w:type="spellStart"/>
      <w:r w:rsidRPr="00FB3CCA">
        <w:rPr>
          <w:rFonts w:cs="Arial"/>
          <w:sz w:val="20"/>
        </w:rPr>
        <w:t>parameters</w:t>
      </w:r>
      <w:proofErr w:type="spellEnd"/>
      <w:r w:rsidRPr="00FB3CCA">
        <w:rPr>
          <w:rFonts w:cs="Arial"/>
          <w:sz w:val="20"/>
        </w:rPr>
        <w:t xml:space="preserve"> Report 202</w:t>
      </w:r>
      <w:r>
        <w:rPr>
          <w:rFonts w:cs="Arial"/>
          <w:sz w:val="20"/>
        </w:rPr>
        <w:t>3</w:t>
      </w:r>
      <w:r w:rsidRPr="00FB3CCA">
        <w:rPr>
          <w:rFonts w:cs="Arial"/>
          <w:sz w:val="20"/>
        </w:rPr>
        <w:t xml:space="preserve">, </w:t>
      </w:r>
      <w:proofErr w:type="spellStart"/>
      <w:r w:rsidRPr="00FB3CCA">
        <w:rPr>
          <w:rFonts w:cs="Arial"/>
          <w:sz w:val="20"/>
        </w:rPr>
        <w:t>BoR</w:t>
      </w:r>
      <w:proofErr w:type="spellEnd"/>
      <w:r w:rsidRPr="00FB3CCA">
        <w:rPr>
          <w:rFonts w:cs="Arial"/>
          <w:sz w:val="20"/>
        </w:rPr>
        <w:t xml:space="preserve"> (2</w:t>
      </w:r>
      <w:r>
        <w:rPr>
          <w:rFonts w:cs="Arial"/>
          <w:sz w:val="20"/>
        </w:rPr>
        <w:t>3</w:t>
      </w:r>
      <w:r w:rsidRPr="00FB3CCA">
        <w:rPr>
          <w:rFonts w:cs="Arial"/>
          <w:sz w:val="20"/>
        </w:rPr>
        <w:t xml:space="preserve">) </w:t>
      </w:r>
      <w:r>
        <w:rPr>
          <w:rFonts w:cs="Arial"/>
          <w:sz w:val="20"/>
        </w:rPr>
        <w:t>90</w:t>
      </w:r>
    </w:p>
    <w:p w:rsidR="006260E6" w:rsidRPr="00AC79FB" w:rsidRDefault="006260E6" w:rsidP="00AC79FB">
      <w:pPr>
        <w:spacing w:after="240"/>
        <w:ind w:firstLine="708"/>
        <w:jc w:val="both"/>
        <w:rPr>
          <w:rFonts w:ascii="Arial" w:hAnsi="Arial" w:cs="Arial"/>
          <w:sz w:val="22"/>
          <w:szCs w:val="22"/>
        </w:rPr>
      </w:pPr>
      <w:r w:rsidRPr="00AC79FB">
        <w:rPr>
          <w:rFonts w:ascii="Arial" w:hAnsi="Arial" w:cs="Arial"/>
          <w:b/>
          <w:bCs/>
          <w:sz w:val="22"/>
          <w:szCs w:val="22"/>
        </w:rPr>
        <w:t>Dluhovou prémii</w:t>
      </w:r>
      <w:r w:rsidRPr="00AC79FB">
        <w:rPr>
          <w:rFonts w:ascii="Arial" w:hAnsi="Arial" w:cs="Arial"/>
          <w:sz w:val="22"/>
          <w:szCs w:val="22"/>
        </w:rPr>
        <w:t xml:space="preserve"> Úřad stanovil jako aritmetický průměr dluhových prémií společností v peer group v tabulce č. 3 ve výši </w:t>
      </w:r>
      <w:r w:rsidRPr="00AC79FB">
        <w:rPr>
          <w:rFonts w:ascii="Arial" w:hAnsi="Arial" w:cs="Arial"/>
          <w:b/>
          <w:bCs/>
          <w:sz w:val="22"/>
          <w:szCs w:val="22"/>
        </w:rPr>
        <w:t>1,48 %.</w:t>
      </w:r>
      <w:r w:rsidRPr="00AC79FB">
        <w:rPr>
          <w:rFonts w:ascii="Arial" w:hAnsi="Arial" w:cs="Arial"/>
          <w:sz w:val="22"/>
          <w:szCs w:val="22"/>
        </w:rPr>
        <w:t xml:space="preserve"> Náklady cizího kapitálu byly stanoveny jako součet bezrizikové výnosové míry (2,32 %) a dluhové prémie. </w:t>
      </w:r>
    </w:p>
    <w:p w:rsidR="006260E6" w:rsidRPr="00AC79FB" w:rsidRDefault="006260E6" w:rsidP="00AC79FB">
      <w:pPr>
        <w:spacing w:after="240"/>
        <w:ind w:firstLine="708"/>
        <w:jc w:val="both"/>
        <w:rPr>
          <w:rFonts w:ascii="Arial" w:hAnsi="Arial" w:cs="Arial"/>
          <w:sz w:val="22"/>
          <w:szCs w:val="22"/>
        </w:rPr>
      </w:pPr>
      <w:r w:rsidRPr="00AC79FB">
        <w:rPr>
          <w:rFonts w:ascii="Arial" w:hAnsi="Arial" w:cs="Arial"/>
          <w:sz w:val="22"/>
          <w:szCs w:val="22"/>
        </w:rPr>
        <w:lastRenderedPageBreak/>
        <w:t>Jako daňová sazba byla použita sazba daně z příjmů právnických osob ve výši 19 %.</w:t>
      </w:r>
    </w:p>
    <w:p w:rsidR="006260E6" w:rsidRPr="00AC79FB" w:rsidRDefault="006260E6" w:rsidP="00AC79FB">
      <w:pPr>
        <w:spacing w:after="240"/>
        <w:jc w:val="both"/>
        <w:rPr>
          <w:rFonts w:ascii="Arial" w:hAnsi="Arial" w:cs="Arial"/>
          <w:sz w:val="22"/>
          <w:szCs w:val="22"/>
        </w:rPr>
      </w:pPr>
      <w:r w:rsidRPr="00AC79FB">
        <w:rPr>
          <w:rFonts w:ascii="Arial" w:hAnsi="Arial" w:cs="Arial"/>
          <w:sz w:val="22"/>
          <w:szCs w:val="22"/>
        </w:rPr>
        <w:tab/>
        <w:t xml:space="preserve">Na základě výše uvedených jednotlivých vstupních proměnných vypočetl Úřad hodnotu ukazatele WACC pro stanovený podnik zajištující sítě elektronických komunikací nebo poskytující veřejně dostupnou službu elektronických komunikací tak, jak je uvedeno v tabulce č. 4. Jednotlivé dílčí vstupní proměnné vstupovaly do výpočtu v zaokrouhlení na tři desetinná místa, na dvě desetinná místa byla zaokrouhlena až výsledná hodnota WACC. </w:t>
      </w:r>
    </w:p>
    <w:p w:rsidR="006260E6" w:rsidRPr="00F01F41" w:rsidRDefault="006260E6" w:rsidP="006260E6">
      <w:pPr>
        <w:keepNext/>
        <w:keepLines/>
        <w:spacing w:after="240"/>
        <w:rPr>
          <w:rFonts w:cs="Arial"/>
          <w:szCs w:val="22"/>
        </w:rPr>
      </w:pPr>
      <w:r w:rsidRPr="00F01F41">
        <w:rPr>
          <w:rFonts w:cs="Arial"/>
          <w:szCs w:val="22"/>
        </w:rPr>
        <w:t>Tabulka č. 4: Výpočet WACC</w:t>
      </w:r>
    </w:p>
    <w:tbl>
      <w:tblPr>
        <w:tblW w:w="5421" w:type="dxa"/>
        <w:tblCellMar>
          <w:left w:w="70" w:type="dxa"/>
          <w:right w:w="70" w:type="dxa"/>
        </w:tblCellMar>
        <w:tblLook w:val="04A0" w:firstRow="1" w:lastRow="0" w:firstColumn="1" w:lastColumn="0" w:noHBand="0" w:noVBand="1"/>
      </w:tblPr>
      <w:tblGrid>
        <w:gridCol w:w="2980"/>
        <w:gridCol w:w="996"/>
        <w:gridCol w:w="1500"/>
      </w:tblGrid>
      <w:tr w:rsidR="006260E6" w:rsidTr="009C0293">
        <w:trPr>
          <w:trHeight w:val="315"/>
        </w:trPr>
        <w:tc>
          <w:tcPr>
            <w:tcW w:w="29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6260E6" w:rsidRPr="009B3A35" w:rsidRDefault="006260E6" w:rsidP="009C0293">
            <w:pPr>
              <w:keepNext/>
              <w:keepLines/>
              <w:rPr>
                <w:rFonts w:cs="Arial"/>
                <w:b/>
                <w:bCs/>
                <w:szCs w:val="22"/>
              </w:rPr>
            </w:pPr>
            <w:bookmarkStart w:id="8" w:name="_Hlk140047555"/>
            <w:r w:rsidRPr="009B3A35">
              <w:rPr>
                <w:rFonts w:cs="Arial"/>
                <w:b/>
                <w:bCs/>
                <w:szCs w:val="22"/>
              </w:rPr>
              <w:t>WACC</w:t>
            </w:r>
          </w:p>
        </w:tc>
        <w:tc>
          <w:tcPr>
            <w:tcW w:w="941" w:type="dxa"/>
            <w:tcBorders>
              <w:top w:val="single" w:sz="8" w:space="0" w:color="auto"/>
              <w:left w:val="nil"/>
              <w:bottom w:val="single" w:sz="8" w:space="0" w:color="auto"/>
              <w:right w:val="single" w:sz="8" w:space="0" w:color="auto"/>
            </w:tcBorders>
            <w:shd w:val="clear" w:color="000000" w:fill="BFBFBF"/>
            <w:noWrap/>
            <w:vAlign w:val="center"/>
            <w:hideMark/>
          </w:tcPr>
          <w:p w:rsidR="006260E6" w:rsidRPr="009B3A35" w:rsidRDefault="006260E6" w:rsidP="009C0293">
            <w:pPr>
              <w:keepNext/>
              <w:keepLines/>
              <w:rPr>
                <w:rFonts w:cs="Arial"/>
                <w:b/>
                <w:bCs/>
                <w:szCs w:val="22"/>
              </w:rPr>
            </w:pPr>
            <w:r w:rsidRPr="009B3A35">
              <w:rPr>
                <w:rFonts w:cs="Arial"/>
                <w:b/>
                <w:bCs/>
                <w:szCs w:val="22"/>
              </w:rPr>
              <w:t> </w:t>
            </w:r>
          </w:p>
        </w:tc>
        <w:tc>
          <w:tcPr>
            <w:tcW w:w="1500" w:type="dxa"/>
            <w:tcBorders>
              <w:top w:val="single" w:sz="8" w:space="0" w:color="auto"/>
              <w:left w:val="nil"/>
              <w:bottom w:val="single" w:sz="8" w:space="0" w:color="auto"/>
              <w:right w:val="single" w:sz="8" w:space="0" w:color="auto"/>
            </w:tcBorders>
            <w:shd w:val="clear" w:color="000000" w:fill="BFBFBF"/>
            <w:noWrap/>
            <w:vAlign w:val="center"/>
            <w:hideMark/>
          </w:tcPr>
          <w:p w:rsidR="006260E6" w:rsidRPr="009B3A35" w:rsidRDefault="006260E6" w:rsidP="009C0293">
            <w:pPr>
              <w:keepNext/>
              <w:keepLines/>
              <w:jc w:val="right"/>
              <w:rPr>
                <w:rFonts w:cs="Arial"/>
                <w:b/>
                <w:bCs/>
                <w:szCs w:val="22"/>
              </w:rPr>
            </w:pPr>
            <w:r w:rsidRPr="009B3A35">
              <w:rPr>
                <w:rFonts w:cs="Arial"/>
                <w:b/>
                <w:bCs/>
                <w:szCs w:val="22"/>
              </w:rPr>
              <w:t> </w:t>
            </w:r>
          </w:p>
        </w:tc>
      </w:tr>
      <w:tr w:rsidR="006260E6" w:rsidTr="009C029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6260E6" w:rsidRPr="009B3A35" w:rsidRDefault="006260E6" w:rsidP="009C0293">
            <w:pPr>
              <w:keepNext/>
              <w:keepLines/>
              <w:rPr>
                <w:rFonts w:cs="Arial"/>
                <w:color w:val="000000"/>
                <w:szCs w:val="22"/>
              </w:rPr>
            </w:pPr>
            <w:r w:rsidRPr="009B3A35">
              <w:rPr>
                <w:rFonts w:cs="Arial"/>
                <w:color w:val="000000"/>
                <w:szCs w:val="22"/>
              </w:rPr>
              <w:t>Náklady cizího kapitálu</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proofErr w:type="spellStart"/>
            <w:r w:rsidRPr="00B708FD">
              <w:rPr>
                <w:rFonts w:cs="Arial"/>
                <w:szCs w:val="22"/>
              </w:rPr>
              <w:t>r</w:t>
            </w:r>
            <w:r w:rsidRPr="00B708FD">
              <w:rPr>
                <w:rFonts w:cs="Arial"/>
                <w:szCs w:val="22"/>
                <w:vertAlign w:val="subscript"/>
              </w:rPr>
              <w:t>d</w:t>
            </w:r>
            <w:proofErr w:type="spellEnd"/>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szCs w:val="22"/>
              </w:rPr>
            </w:pPr>
            <w:r>
              <w:rPr>
                <w:rFonts w:cs="Arial"/>
                <w:szCs w:val="22"/>
              </w:rPr>
              <w:t>3,80</w:t>
            </w:r>
            <w:r w:rsidRPr="009B3A35">
              <w:rPr>
                <w:rFonts w:cs="Arial"/>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9B3A35">
              <w:rPr>
                <w:rFonts w:cs="Arial"/>
                <w:szCs w:val="22"/>
              </w:rPr>
              <w:t>Daňová sazba</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70071D">
              <w:rPr>
                <w:rFonts w:cs="Arial"/>
                <w:szCs w:val="22"/>
              </w:rPr>
              <w:t>t</w:t>
            </w:r>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szCs w:val="22"/>
              </w:rPr>
            </w:pPr>
            <w:r w:rsidRPr="009B3A35">
              <w:rPr>
                <w:rFonts w:cs="Arial"/>
                <w:szCs w:val="22"/>
              </w:rPr>
              <w:t>19,00 %</w:t>
            </w:r>
          </w:p>
        </w:tc>
      </w:tr>
      <w:tr w:rsidR="006260E6" w:rsidTr="009C029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6260E6" w:rsidRPr="009B3A35" w:rsidRDefault="006260E6" w:rsidP="009C0293">
            <w:pPr>
              <w:keepNext/>
              <w:keepLines/>
              <w:rPr>
                <w:rFonts w:cs="Arial"/>
                <w:color w:val="000000"/>
                <w:szCs w:val="22"/>
              </w:rPr>
            </w:pPr>
            <w:r w:rsidRPr="009B3A35">
              <w:rPr>
                <w:rFonts w:cs="Arial"/>
                <w:color w:val="000000"/>
                <w:szCs w:val="22"/>
              </w:rPr>
              <w:t>Náklady vlastního kapitálu</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B708FD">
              <w:rPr>
                <w:rFonts w:cs="Arial"/>
                <w:szCs w:val="22"/>
              </w:rPr>
              <w:t>r</w:t>
            </w:r>
            <w:r w:rsidRPr="00B708FD">
              <w:rPr>
                <w:rFonts w:cs="Arial"/>
                <w:szCs w:val="22"/>
                <w:vertAlign w:val="subscript"/>
              </w:rPr>
              <w:t>e</w:t>
            </w:r>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szCs w:val="22"/>
              </w:rPr>
            </w:pPr>
            <w:r w:rsidRPr="009B3A35">
              <w:rPr>
                <w:rFonts w:cs="Arial"/>
                <w:szCs w:val="22"/>
              </w:rPr>
              <w:t>5,</w:t>
            </w:r>
            <w:r>
              <w:rPr>
                <w:rFonts w:cs="Arial"/>
                <w:szCs w:val="22"/>
              </w:rPr>
              <w:t>93</w:t>
            </w:r>
            <w:r w:rsidRPr="009B3A35">
              <w:rPr>
                <w:rFonts w:cs="Arial"/>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Pr>
                <w:rFonts w:cs="Arial"/>
                <w:szCs w:val="22"/>
              </w:rPr>
              <w:t>Podíl dluhu na celkovém kapitálu</w:t>
            </w:r>
            <w:r w:rsidRPr="009B3A35">
              <w:rPr>
                <w:rFonts w:cs="Arial"/>
                <w:szCs w:val="22"/>
              </w:rPr>
              <w:t xml:space="preserve"> </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B708FD">
              <w:rPr>
                <w:rFonts w:cs="Arial"/>
                <w:szCs w:val="22"/>
              </w:rPr>
              <w:t>D/(D+E)</w:t>
            </w:r>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szCs w:val="22"/>
              </w:rPr>
            </w:pPr>
            <w:r>
              <w:rPr>
                <w:rFonts w:cs="Arial"/>
                <w:szCs w:val="22"/>
              </w:rPr>
              <w:t>45,37</w:t>
            </w:r>
            <w:r w:rsidRPr="009B3A35">
              <w:rPr>
                <w:rFonts w:cs="Arial"/>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Pr>
                <w:rFonts w:cs="Arial"/>
                <w:szCs w:val="22"/>
              </w:rPr>
              <w:t>Podíl vlastního kapitálu na celkovém kapitálu</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70071D">
              <w:rPr>
                <w:rFonts w:cs="Arial"/>
                <w:szCs w:val="22"/>
              </w:rPr>
              <w:t>E/</w:t>
            </w:r>
            <w:r w:rsidRPr="00B708FD">
              <w:rPr>
                <w:rFonts w:cs="Arial"/>
                <w:szCs w:val="22"/>
              </w:rPr>
              <w:t>(D+E)</w:t>
            </w:r>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szCs w:val="22"/>
              </w:rPr>
            </w:pPr>
            <w:r>
              <w:rPr>
                <w:rFonts w:cs="Arial"/>
                <w:szCs w:val="22"/>
              </w:rPr>
              <w:t>54,63</w:t>
            </w:r>
            <w:r w:rsidRPr="009B3A35">
              <w:rPr>
                <w:rFonts w:cs="Arial"/>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b/>
                <w:bCs/>
                <w:szCs w:val="22"/>
              </w:rPr>
            </w:pPr>
            <w:r w:rsidRPr="009B3A35">
              <w:rPr>
                <w:rFonts w:cs="Arial"/>
                <w:b/>
                <w:bCs/>
                <w:szCs w:val="22"/>
              </w:rPr>
              <w:t>WACC (po zdanění)</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b/>
                <w:bCs/>
                <w:szCs w:val="22"/>
              </w:rPr>
            </w:pPr>
            <w:r w:rsidRPr="0070071D">
              <w:rPr>
                <w:rFonts w:cs="Arial"/>
                <w:b/>
                <w:bCs/>
                <w:szCs w:val="22"/>
              </w:rPr>
              <w:t> </w:t>
            </w:r>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b/>
                <w:bCs/>
                <w:szCs w:val="22"/>
              </w:rPr>
            </w:pPr>
            <w:r>
              <w:rPr>
                <w:rFonts w:cs="Arial"/>
                <w:b/>
                <w:bCs/>
                <w:szCs w:val="22"/>
              </w:rPr>
              <w:t>4,64</w:t>
            </w:r>
            <w:r w:rsidRPr="009B3A35">
              <w:rPr>
                <w:rFonts w:cs="Arial"/>
                <w:b/>
                <w:bCs/>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b/>
                <w:bCs/>
                <w:szCs w:val="22"/>
              </w:rPr>
            </w:pPr>
            <w:r w:rsidRPr="009B3A35">
              <w:rPr>
                <w:rFonts w:cs="Arial"/>
                <w:b/>
                <w:bCs/>
                <w:szCs w:val="22"/>
              </w:rPr>
              <w:t>WACC (před zdaněním)</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b/>
                <w:bCs/>
                <w:szCs w:val="22"/>
              </w:rPr>
            </w:pPr>
            <w:r w:rsidRPr="0070071D">
              <w:rPr>
                <w:rFonts w:cs="Arial"/>
                <w:b/>
                <w:bCs/>
                <w:szCs w:val="22"/>
              </w:rPr>
              <w:t> </w:t>
            </w:r>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b/>
                <w:bCs/>
                <w:szCs w:val="22"/>
              </w:rPr>
            </w:pPr>
            <w:r>
              <w:rPr>
                <w:rFonts w:cs="Arial"/>
                <w:b/>
                <w:bCs/>
                <w:szCs w:val="22"/>
              </w:rPr>
              <w:t>5,72</w:t>
            </w:r>
            <w:r w:rsidRPr="009B3A35">
              <w:rPr>
                <w:rFonts w:cs="Arial"/>
                <w:b/>
                <w:bCs/>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tcPr>
          <w:p w:rsidR="006260E6" w:rsidRPr="009B3A35" w:rsidRDefault="006260E6" w:rsidP="009C0293">
            <w:pPr>
              <w:keepNext/>
              <w:keepLines/>
              <w:rPr>
                <w:rFonts w:cs="Arial"/>
                <w:b/>
                <w:bCs/>
                <w:szCs w:val="22"/>
              </w:rPr>
            </w:pPr>
          </w:p>
        </w:tc>
        <w:tc>
          <w:tcPr>
            <w:tcW w:w="941" w:type="dxa"/>
            <w:tcBorders>
              <w:top w:val="nil"/>
              <w:left w:val="nil"/>
              <w:bottom w:val="single" w:sz="8" w:space="0" w:color="auto"/>
              <w:right w:val="single" w:sz="8" w:space="0" w:color="auto"/>
            </w:tcBorders>
            <w:shd w:val="clear" w:color="auto" w:fill="auto"/>
            <w:noWrap/>
            <w:vAlign w:val="center"/>
          </w:tcPr>
          <w:p w:rsidR="006260E6" w:rsidRPr="0070071D" w:rsidRDefault="006260E6" w:rsidP="009C0293">
            <w:pPr>
              <w:keepNext/>
              <w:keepLines/>
              <w:rPr>
                <w:rFonts w:cs="Arial"/>
                <w:b/>
                <w:bCs/>
                <w:szCs w:val="22"/>
              </w:rPr>
            </w:pPr>
          </w:p>
        </w:tc>
        <w:tc>
          <w:tcPr>
            <w:tcW w:w="1500" w:type="dxa"/>
            <w:tcBorders>
              <w:top w:val="nil"/>
              <w:left w:val="nil"/>
              <w:bottom w:val="single" w:sz="8" w:space="0" w:color="auto"/>
              <w:right w:val="single" w:sz="8" w:space="0" w:color="auto"/>
            </w:tcBorders>
            <w:shd w:val="clear" w:color="auto" w:fill="auto"/>
            <w:noWrap/>
            <w:vAlign w:val="center"/>
          </w:tcPr>
          <w:p w:rsidR="006260E6" w:rsidRDefault="006260E6" w:rsidP="009C0293">
            <w:pPr>
              <w:keepNext/>
              <w:keepLines/>
              <w:jc w:val="right"/>
              <w:rPr>
                <w:rFonts w:cs="Arial"/>
                <w:b/>
                <w:bCs/>
                <w:szCs w:val="22"/>
              </w:rPr>
            </w:pP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000000" w:fill="BFBFBF"/>
            <w:noWrap/>
            <w:vAlign w:val="center"/>
            <w:hideMark/>
          </w:tcPr>
          <w:p w:rsidR="006260E6" w:rsidRPr="009B3A35" w:rsidRDefault="006260E6" w:rsidP="009C0293">
            <w:pPr>
              <w:keepNext/>
              <w:keepLines/>
              <w:rPr>
                <w:rFonts w:cs="Arial"/>
                <w:b/>
                <w:bCs/>
                <w:szCs w:val="22"/>
              </w:rPr>
            </w:pPr>
            <w:r w:rsidRPr="009B3A35">
              <w:rPr>
                <w:rFonts w:cs="Arial"/>
                <w:b/>
                <w:bCs/>
                <w:szCs w:val="22"/>
              </w:rPr>
              <w:t>Náklady cizího kapitálu</w:t>
            </w:r>
          </w:p>
        </w:tc>
        <w:tc>
          <w:tcPr>
            <w:tcW w:w="941" w:type="dxa"/>
            <w:tcBorders>
              <w:top w:val="nil"/>
              <w:left w:val="nil"/>
              <w:bottom w:val="single" w:sz="8" w:space="0" w:color="auto"/>
              <w:right w:val="single" w:sz="8" w:space="0" w:color="auto"/>
            </w:tcBorders>
            <w:shd w:val="clear" w:color="000000" w:fill="BFBFBF"/>
            <w:noWrap/>
            <w:vAlign w:val="center"/>
            <w:hideMark/>
          </w:tcPr>
          <w:p w:rsidR="006260E6" w:rsidRPr="009B3A35" w:rsidRDefault="006260E6" w:rsidP="009C0293">
            <w:pPr>
              <w:keepNext/>
              <w:keepLines/>
              <w:rPr>
                <w:rFonts w:cs="Arial"/>
                <w:b/>
                <w:bCs/>
                <w:szCs w:val="22"/>
              </w:rPr>
            </w:pPr>
            <w:r w:rsidRPr="0070071D">
              <w:rPr>
                <w:rFonts w:cs="Arial"/>
                <w:b/>
                <w:bCs/>
                <w:szCs w:val="22"/>
              </w:rPr>
              <w:t> </w:t>
            </w:r>
          </w:p>
        </w:tc>
        <w:tc>
          <w:tcPr>
            <w:tcW w:w="1500" w:type="dxa"/>
            <w:tcBorders>
              <w:top w:val="nil"/>
              <w:left w:val="nil"/>
              <w:bottom w:val="single" w:sz="8" w:space="0" w:color="auto"/>
              <w:right w:val="single" w:sz="8" w:space="0" w:color="auto"/>
            </w:tcBorders>
            <w:shd w:val="clear" w:color="000000" w:fill="BFBFBF"/>
            <w:noWrap/>
            <w:vAlign w:val="center"/>
            <w:hideMark/>
          </w:tcPr>
          <w:p w:rsidR="006260E6" w:rsidRPr="009B3A35" w:rsidRDefault="006260E6" w:rsidP="009C0293">
            <w:pPr>
              <w:keepNext/>
              <w:keepLines/>
              <w:jc w:val="right"/>
              <w:rPr>
                <w:rFonts w:cs="Arial"/>
                <w:b/>
                <w:bCs/>
                <w:szCs w:val="22"/>
              </w:rPr>
            </w:pPr>
            <w:r w:rsidRPr="009B3A35">
              <w:rPr>
                <w:rFonts w:cs="Arial"/>
                <w:b/>
                <w:bCs/>
                <w:szCs w:val="22"/>
              </w:rPr>
              <w:t> </w:t>
            </w:r>
          </w:p>
        </w:tc>
      </w:tr>
      <w:tr w:rsidR="006260E6" w:rsidTr="009C029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9B3A35">
              <w:rPr>
                <w:rFonts w:cs="Arial"/>
                <w:szCs w:val="22"/>
              </w:rPr>
              <w:t>Be</w:t>
            </w:r>
            <w:r>
              <w:rPr>
                <w:rFonts w:cs="Arial"/>
                <w:szCs w:val="22"/>
              </w:rPr>
              <w:t>zr</w:t>
            </w:r>
            <w:r w:rsidRPr="009B3A35">
              <w:rPr>
                <w:rFonts w:cs="Arial"/>
                <w:szCs w:val="22"/>
              </w:rPr>
              <w:t>iziková výnosová míra</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proofErr w:type="spellStart"/>
            <w:r w:rsidRPr="00B708FD">
              <w:rPr>
                <w:rFonts w:cs="Arial"/>
                <w:szCs w:val="22"/>
              </w:rPr>
              <w:t>r</w:t>
            </w:r>
            <w:r w:rsidRPr="00B708FD">
              <w:rPr>
                <w:rFonts w:cs="Arial"/>
                <w:szCs w:val="22"/>
                <w:vertAlign w:val="subscript"/>
              </w:rPr>
              <w:t>f</w:t>
            </w:r>
            <w:proofErr w:type="spellEnd"/>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szCs w:val="22"/>
              </w:rPr>
            </w:pPr>
            <w:r>
              <w:rPr>
                <w:rFonts w:cs="Arial"/>
                <w:szCs w:val="22"/>
              </w:rPr>
              <w:t>2,32</w:t>
            </w:r>
            <w:r w:rsidRPr="009B3A35">
              <w:rPr>
                <w:rFonts w:cs="Arial"/>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9B3A35">
              <w:rPr>
                <w:rFonts w:cs="Arial"/>
                <w:szCs w:val="22"/>
              </w:rPr>
              <w:t>Dluhová prémie</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70071D">
              <w:rPr>
                <w:rFonts w:cs="Arial"/>
                <w:szCs w:val="22"/>
              </w:rPr>
              <w:t>DP</w:t>
            </w:r>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szCs w:val="22"/>
              </w:rPr>
            </w:pPr>
            <w:r>
              <w:rPr>
                <w:rFonts w:cs="Arial"/>
                <w:szCs w:val="22"/>
              </w:rPr>
              <w:t>1,48</w:t>
            </w:r>
            <w:r w:rsidRPr="009B3A35">
              <w:rPr>
                <w:rFonts w:cs="Arial"/>
                <w:szCs w:val="22"/>
              </w:rPr>
              <w:t xml:space="preserve"> %</w:t>
            </w:r>
          </w:p>
        </w:tc>
      </w:tr>
      <w:tr w:rsidR="006260E6" w:rsidTr="009C029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b/>
                <w:bCs/>
                <w:szCs w:val="22"/>
              </w:rPr>
            </w:pPr>
            <w:r w:rsidRPr="009B3A35">
              <w:rPr>
                <w:rFonts w:cs="Arial"/>
                <w:b/>
                <w:bCs/>
                <w:szCs w:val="22"/>
              </w:rPr>
              <w:t>Náklady cizího kapitálu</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b/>
                <w:bCs/>
                <w:szCs w:val="22"/>
              </w:rPr>
            </w:pPr>
            <w:proofErr w:type="spellStart"/>
            <w:r w:rsidRPr="00B708FD">
              <w:rPr>
                <w:rFonts w:cs="Arial"/>
                <w:b/>
                <w:bCs/>
                <w:szCs w:val="22"/>
              </w:rPr>
              <w:t>r</w:t>
            </w:r>
            <w:r w:rsidRPr="00B708FD">
              <w:rPr>
                <w:rFonts w:cs="Arial"/>
                <w:b/>
                <w:bCs/>
                <w:szCs w:val="22"/>
                <w:vertAlign w:val="subscript"/>
              </w:rPr>
              <w:t>d</w:t>
            </w:r>
            <w:proofErr w:type="spellEnd"/>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b/>
                <w:bCs/>
                <w:szCs w:val="22"/>
              </w:rPr>
            </w:pPr>
            <w:r>
              <w:rPr>
                <w:rFonts w:cs="Arial"/>
                <w:b/>
                <w:bCs/>
                <w:szCs w:val="22"/>
              </w:rPr>
              <w:t>3,80</w:t>
            </w:r>
            <w:r w:rsidRPr="009B3A35">
              <w:rPr>
                <w:rFonts w:cs="Arial"/>
                <w:b/>
                <w:bCs/>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9B3A35">
              <w:rPr>
                <w:rFonts w:cs="Arial"/>
                <w:szCs w:val="22"/>
              </w:rPr>
              <w:t> </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70071D">
              <w:rPr>
                <w:rFonts w:cs="Arial"/>
                <w:szCs w:val="22"/>
              </w:rPr>
              <w:t> </w:t>
            </w:r>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9B3A35">
              <w:rPr>
                <w:rFonts w:cs="Arial"/>
                <w:szCs w:val="22"/>
              </w:rPr>
              <w:t>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000000" w:fill="BFBFBF"/>
            <w:noWrap/>
            <w:vAlign w:val="center"/>
            <w:hideMark/>
          </w:tcPr>
          <w:p w:rsidR="006260E6" w:rsidRPr="009B3A35" w:rsidRDefault="006260E6" w:rsidP="009C0293">
            <w:pPr>
              <w:keepNext/>
              <w:keepLines/>
              <w:rPr>
                <w:rFonts w:cs="Arial"/>
                <w:b/>
                <w:bCs/>
                <w:szCs w:val="22"/>
              </w:rPr>
            </w:pPr>
            <w:r w:rsidRPr="009B3A35">
              <w:rPr>
                <w:rFonts w:cs="Arial"/>
                <w:b/>
                <w:bCs/>
                <w:szCs w:val="22"/>
              </w:rPr>
              <w:t>Náklady vlastního kapitálu</w:t>
            </w:r>
          </w:p>
        </w:tc>
        <w:tc>
          <w:tcPr>
            <w:tcW w:w="941" w:type="dxa"/>
            <w:tcBorders>
              <w:top w:val="nil"/>
              <w:left w:val="nil"/>
              <w:bottom w:val="single" w:sz="8" w:space="0" w:color="auto"/>
              <w:right w:val="single" w:sz="8" w:space="0" w:color="auto"/>
            </w:tcBorders>
            <w:shd w:val="clear" w:color="000000" w:fill="BFBFBF"/>
            <w:noWrap/>
            <w:vAlign w:val="center"/>
            <w:hideMark/>
          </w:tcPr>
          <w:p w:rsidR="006260E6" w:rsidRPr="009B3A35" w:rsidRDefault="006260E6" w:rsidP="009C0293">
            <w:pPr>
              <w:keepNext/>
              <w:keepLines/>
              <w:rPr>
                <w:rFonts w:cs="Arial"/>
                <w:b/>
                <w:bCs/>
                <w:szCs w:val="22"/>
              </w:rPr>
            </w:pPr>
            <w:r w:rsidRPr="0070071D">
              <w:rPr>
                <w:rFonts w:cs="Arial"/>
                <w:b/>
                <w:bCs/>
                <w:szCs w:val="22"/>
              </w:rPr>
              <w:t> </w:t>
            </w:r>
          </w:p>
        </w:tc>
        <w:tc>
          <w:tcPr>
            <w:tcW w:w="1500" w:type="dxa"/>
            <w:tcBorders>
              <w:top w:val="nil"/>
              <w:left w:val="nil"/>
              <w:bottom w:val="single" w:sz="8" w:space="0" w:color="auto"/>
              <w:right w:val="single" w:sz="8" w:space="0" w:color="auto"/>
            </w:tcBorders>
            <w:shd w:val="clear" w:color="000000" w:fill="BFBFBF"/>
            <w:noWrap/>
            <w:vAlign w:val="center"/>
            <w:hideMark/>
          </w:tcPr>
          <w:p w:rsidR="006260E6" w:rsidRPr="009B3A35" w:rsidRDefault="006260E6" w:rsidP="009C0293">
            <w:pPr>
              <w:keepNext/>
              <w:keepLines/>
              <w:jc w:val="right"/>
              <w:rPr>
                <w:rFonts w:cs="Arial"/>
                <w:b/>
                <w:bCs/>
                <w:szCs w:val="22"/>
              </w:rPr>
            </w:pPr>
            <w:r w:rsidRPr="009B3A35">
              <w:rPr>
                <w:rFonts w:cs="Arial"/>
                <w:b/>
                <w:bCs/>
                <w:szCs w:val="22"/>
              </w:rPr>
              <w:t> </w:t>
            </w:r>
          </w:p>
        </w:tc>
      </w:tr>
      <w:tr w:rsidR="006260E6" w:rsidTr="009C029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9B3A35">
              <w:rPr>
                <w:rFonts w:cs="Arial"/>
                <w:szCs w:val="22"/>
              </w:rPr>
              <w:t>Bez</w:t>
            </w:r>
            <w:r>
              <w:rPr>
                <w:rFonts w:cs="Arial"/>
                <w:szCs w:val="22"/>
              </w:rPr>
              <w:t>r</w:t>
            </w:r>
            <w:r w:rsidRPr="009B3A35">
              <w:rPr>
                <w:rFonts w:cs="Arial"/>
                <w:szCs w:val="22"/>
              </w:rPr>
              <w:t>iziková výnosová míra</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proofErr w:type="spellStart"/>
            <w:r w:rsidRPr="00B708FD">
              <w:rPr>
                <w:rFonts w:cs="Arial"/>
                <w:szCs w:val="22"/>
              </w:rPr>
              <w:t>r</w:t>
            </w:r>
            <w:r w:rsidRPr="00B708FD">
              <w:rPr>
                <w:rFonts w:cs="Arial"/>
                <w:szCs w:val="22"/>
                <w:vertAlign w:val="subscript"/>
              </w:rPr>
              <w:t>f</w:t>
            </w:r>
            <w:proofErr w:type="spellEnd"/>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szCs w:val="22"/>
              </w:rPr>
            </w:pPr>
            <w:r>
              <w:rPr>
                <w:rFonts w:cs="Arial"/>
                <w:szCs w:val="22"/>
              </w:rPr>
              <w:t>2,32</w:t>
            </w:r>
            <w:r w:rsidRPr="009B3A35">
              <w:rPr>
                <w:rFonts w:cs="Arial"/>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9B3A35">
              <w:rPr>
                <w:rFonts w:cs="Arial"/>
                <w:szCs w:val="22"/>
              </w:rPr>
              <w:t>Tržní riziková prémie</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szCs w:val="22"/>
              </w:rPr>
            </w:pPr>
            <w:r w:rsidRPr="0070071D">
              <w:rPr>
                <w:rFonts w:cs="Arial"/>
                <w:szCs w:val="22"/>
              </w:rPr>
              <w:t>ERP</w:t>
            </w:r>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szCs w:val="22"/>
              </w:rPr>
            </w:pPr>
            <w:r w:rsidRPr="009B3A35">
              <w:rPr>
                <w:rFonts w:cs="Arial"/>
                <w:szCs w:val="22"/>
              </w:rPr>
              <w:t>5,</w:t>
            </w:r>
            <w:r>
              <w:rPr>
                <w:rFonts w:cs="Arial"/>
                <w:szCs w:val="22"/>
              </w:rPr>
              <w:t>92</w:t>
            </w:r>
            <w:r w:rsidRPr="009B3A35">
              <w:rPr>
                <w:rFonts w:cs="Arial"/>
                <w:szCs w:val="22"/>
              </w:rPr>
              <w:t xml:space="preserve"> %</w:t>
            </w:r>
          </w:p>
        </w:tc>
      </w:tr>
      <w:tr w:rsidR="006260E6" w:rsidTr="009C0293">
        <w:trPr>
          <w:trHeight w:val="61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6260E6" w:rsidRPr="009B3A35" w:rsidRDefault="006260E6" w:rsidP="009C0293">
            <w:pPr>
              <w:keepNext/>
              <w:keepLines/>
              <w:rPr>
                <w:rFonts w:cs="Arial"/>
                <w:szCs w:val="22"/>
              </w:rPr>
            </w:pPr>
            <w:r w:rsidRPr="009B3A35">
              <w:rPr>
                <w:rFonts w:cs="Arial"/>
                <w:szCs w:val="22"/>
              </w:rPr>
              <w:t>Asset beta</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color w:val="000000"/>
                <w:szCs w:val="22"/>
              </w:rPr>
            </w:pPr>
            <w:r w:rsidRPr="0070071D">
              <w:rPr>
                <w:rFonts w:cs="Arial"/>
                <w:color w:val="000000"/>
                <w:szCs w:val="22"/>
              </w:rPr>
              <w:t>β</w:t>
            </w:r>
            <w:r w:rsidRPr="004204B8">
              <w:rPr>
                <w:rFonts w:ascii="Cavolini" w:hAnsi="Cavolini" w:cs="Cavolini"/>
                <w:noProof/>
                <w:szCs w:val="22"/>
                <w:vertAlign w:val="subscript"/>
                <w:lang w:eastAsia="zh-TW"/>
              </w:rPr>
              <w:t>a</w:t>
            </w:r>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szCs w:val="22"/>
              </w:rPr>
            </w:pPr>
            <w:r w:rsidRPr="009B3A35">
              <w:rPr>
                <w:rFonts w:cs="Arial"/>
                <w:szCs w:val="22"/>
              </w:rPr>
              <w:t>0,</w:t>
            </w:r>
            <w:r>
              <w:rPr>
                <w:rFonts w:cs="Arial"/>
                <w:szCs w:val="22"/>
              </w:rPr>
              <w:t>38</w:t>
            </w:r>
          </w:p>
        </w:tc>
      </w:tr>
      <w:tr w:rsidR="006260E6" w:rsidTr="009C0293">
        <w:trPr>
          <w:trHeight w:val="61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6260E6" w:rsidRPr="009B3A35" w:rsidRDefault="006260E6" w:rsidP="009C0293">
            <w:pPr>
              <w:keepNext/>
              <w:keepLines/>
              <w:rPr>
                <w:rFonts w:cs="Arial"/>
                <w:szCs w:val="22"/>
              </w:rPr>
            </w:pPr>
            <w:r w:rsidRPr="009B3A35">
              <w:rPr>
                <w:rFonts w:cs="Arial"/>
                <w:szCs w:val="22"/>
              </w:rPr>
              <w:t>Equity beta</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color w:val="000000"/>
                <w:szCs w:val="22"/>
              </w:rPr>
            </w:pPr>
            <w:r w:rsidRPr="0070071D">
              <w:rPr>
                <w:rFonts w:cs="Arial"/>
                <w:color w:val="000000"/>
                <w:szCs w:val="22"/>
              </w:rPr>
              <w:t>β</w:t>
            </w:r>
            <w:r>
              <w:rPr>
                <w:rFonts w:cs="Arial"/>
                <w:color w:val="000000"/>
                <w:szCs w:val="22"/>
                <w:vertAlign w:val="subscript"/>
              </w:rPr>
              <w:t>e</w:t>
            </w:r>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szCs w:val="22"/>
              </w:rPr>
            </w:pPr>
            <w:r w:rsidRPr="009B3A35">
              <w:rPr>
                <w:rFonts w:cs="Arial"/>
                <w:szCs w:val="22"/>
              </w:rPr>
              <w:t>0,</w:t>
            </w:r>
            <w:r>
              <w:rPr>
                <w:rFonts w:cs="Arial"/>
                <w:szCs w:val="22"/>
              </w:rPr>
              <w:t>61</w:t>
            </w:r>
          </w:p>
        </w:tc>
      </w:tr>
      <w:tr w:rsidR="006260E6" w:rsidTr="009C0293">
        <w:trPr>
          <w:trHeight w:val="61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6260E6" w:rsidRPr="009B3A35" w:rsidRDefault="006260E6" w:rsidP="009C0293">
            <w:pPr>
              <w:keepNext/>
              <w:keepLines/>
              <w:rPr>
                <w:rFonts w:cs="Arial"/>
                <w:szCs w:val="22"/>
              </w:rPr>
            </w:pPr>
            <w:r w:rsidRPr="009B3A35">
              <w:rPr>
                <w:rFonts w:cs="Arial"/>
                <w:szCs w:val="22"/>
              </w:rPr>
              <w:t>Beta dluhu</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color w:val="000000"/>
                <w:szCs w:val="22"/>
              </w:rPr>
            </w:pPr>
            <w:r w:rsidRPr="0070071D">
              <w:rPr>
                <w:rFonts w:cs="Arial"/>
                <w:color w:val="000000"/>
                <w:szCs w:val="22"/>
              </w:rPr>
              <w:t>β</w:t>
            </w:r>
            <w:r>
              <w:rPr>
                <w:rFonts w:cs="Arial"/>
                <w:color w:val="000000"/>
                <w:szCs w:val="22"/>
                <w:vertAlign w:val="subscript"/>
              </w:rPr>
              <w:t>d</w:t>
            </w:r>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szCs w:val="22"/>
              </w:rPr>
            </w:pPr>
            <w:r w:rsidRPr="009B3A35">
              <w:rPr>
                <w:rFonts w:cs="Arial"/>
                <w:szCs w:val="22"/>
              </w:rPr>
              <w:t>0,10</w:t>
            </w:r>
          </w:p>
        </w:tc>
      </w:tr>
      <w:tr w:rsidR="006260E6" w:rsidTr="009C029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b/>
                <w:bCs/>
                <w:szCs w:val="22"/>
              </w:rPr>
            </w:pPr>
            <w:r w:rsidRPr="009B3A35">
              <w:rPr>
                <w:rFonts w:cs="Arial"/>
                <w:b/>
                <w:bCs/>
                <w:szCs w:val="22"/>
              </w:rPr>
              <w:t>Náklady vlastního kapitálu</w:t>
            </w:r>
          </w:p>
        </w:tc>
        <w:tc>
          <w:tcPr>
            <w:tcW w:w="941"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rPr>
                <w:rFonts w:cs="Arial"/>
                <w:b/>
                <w:bCs/>
                <w:szCs w:val="22"/>
              </w:rPr>
            </w:pPr>
            <w:r w:rsidRPr="00B708FD">
              <w:rPr>
                <w:rFonts w:cs="Arial"/>
                <w:szCs w:val="22"/>
              </w:rPr>
              <w:t>r</w:t>
            </w:r>
            <w:r w:rsidRPr="00B708FD">
              <w:rPr>
                <w:rFonts w:cs="Arial"/>
                <w:szCs w:val="22"/>
                <w:vertAlign w:val="subscript"/>
              </w:rPr>
              <w:t>e</w:t>
            </w:r>
          </w:p>
        </w:tc>
        <w:tc>
          <w:tcPr>
            <w:tcW w:w="1500" w:type="dxa"/>
            <w:tcBorders>
              <w:top w:val="nil"/>
              <w:left w:val="nil"/>
              <w:bottom w:val="single" w:sz="8" w:space="0" w:color="auto"/>
              <w:right w:val="single" w:sz="8" w:space="0" w:color="auto"/>
            </w:tcBorders>
            <w:shd w:val="clear" w:color="auto" w:fill="auto"/>
            <w:noWrap/>
            <w:vAlign w:val="center"/>
            <w:hideMark/>
          </w:tcPr>
          <w:p w:rsidR="006260E6" w:rsidRPr="009B3A35" w:rsidRDefault="006260E6" w:rsidP="009C0293">
            <w:pPr>
              <w:keepNext/>
              <w:keepLines/>
              <w:jc w:val="right"/>
              <w:rPr>
                <w:rFonts w:cs="Arial"/>
                <w:b/>
                <w:bCs/>
                <w:szCs w:val="22"/>
              </w:rPr>
            </w:pPr>
            <w:r w:rsidRPr="009B3A35">
              <w:rPr>
                <w:rFonts w:cs="Arial"/>
                <w:b/>
                <w:bCs/>
                <w:szCs w:val="22"/>
              </w:rPr>
              <w:t>5,</w:t>
            </w:r>
            <w:r>
              <w:rPr>
                <w:rFonts w:cs="Arial"/>
                <w:b/>
                <w:bCs/>
                <w:szCs w:val="22"/>
              </w:rPr>
              <w:t>93</w:t>
            </w:r>
            <w:r w:rsidRPr="009B3A35">
              <w:rPr>
                <w:rFonts w:cs="Arial"/>
                <w:b/>
                <w:bCs/>
                <w:szCs w:val="22"/>
              </w:rPr>
              <w:t xml:space="preserve"> %</w:t>
            </w:r>
          </w:p>
        </w:tc>
      </w:tr>
    </w:tbl>
    <w:bookmarkEnd w:id="8"/>
    <w:p w:rsidR="006260E6" w:rsidRPr="00AC79FB" w:rsidRDefault="006260E6" w:rsidP="009C0293">
      <w:pPr>
        <w:spacing w:before="240" w:after="240"/>
        <w:ind w:firstLine="828"/>
        <w:jc w:val="both"/>
        <w:rPr>
          <w:rFonts w:ascii="Arial" w:hAnsi="Arial" w:cs="Arial"/>
          <w:sz w:val="22"/>
          <w:szCs w:val="22"/>
        </w:rPr>
      </w:pPr>
      <w:r w:rsidRPr="00AC79FB">
        <w:rPr>
          <w:rFonts w:ascii="Arial" w:hAnsi="Arial" w:cs="Arial"/>
          <w:sz w:val="22"/>
          <w:szCs w:val="22"/>
        </w:rPr>
        <w:t>Samostatně je v čl. 5 odst. 3 opatření obecné povahy č. OOP/4/09.2014-6 stanoveno procento návratnosti vloženého kapitálu před zdaněním WACC pro službu přístupu na přístupových sítích nové generace zohledňující rizikovou prémii (přirážku) v souladu s Doporučením Komise ze dne 20. září 2010 o regulovaném přístupu k přístupovým sítím nové generace (NGA) č. 2010/572/EU (dále „doporučení“).  Přístupovými sítěmi nové generace se rozumí přístupové sítě, které sestávají zcela nebo z části z optických prvků a které jsou schopné dodávat služby širokopásmového přístupu s dokonalejšími vlastnostmi (např. s vyšší propustností) ve srovnání se službami poskytovanými prostřednictvím stávajících sítí</w:t>
      </w:r>
      <w:r w:rsidRPr="002F7D02">
        <w:rPr>
          <w:rFonts w:cs="Arial"/>
          <w:szCs w:val="22"/>
        </w:rPr>
        <w:t xml:space="preserve"> </w:t>
      </w:r>
      <w:r w:rsidRPr="00AC79FB">
        <w:rPr>
          <w:rFonts w:ascii="Arial" w:hAnsi="Arial" w:cs="Arial"/>
          <w:sz w:val="22"/>
          <w:szCs w:val="22"/>
        </w:rPr>
        <w:t>založených na kovovém vedení. Doporučení ukládá vnitrostátním regulačním orgánům při</w:t>
      </w:r>
      <w:r w:rsidRPr="002F7D02">
        <w:rPr>
          <w:szCs w:val="22"/>
        </w:rPr>
        <w:t xml:space="preserve"> </w:t>
      </w:r>
      <w:r w:rsidRPr="00AC79FB">
        <w:rPr>
          <w:rFonts w:ascii="Arial" w:hAnsi="Arial" w:cs="Arial"/>
          <w:sz w:val="22"/>
          <w:szCs w:val="22"/>
        </w:rPr>
        <w:lastRenderedPageBreak/>
        <w:t xml:space="preserve">stanovování ceny za zpřístupnění účastnického vedení z optického vlákna a za přístup k infrastruktuře FTTH/FTTB zohlednit toto zvýšené riziko ve formě rizikové prémie zahrnuté v nákladech kapitálu. Riziková přirážka podle Doporučení odráží jakékoliv dodatečná investiční rizika do nových přístupových sítí a lze ji tedy vztáhnout nejen na přístupové sítě nové generace (NGA), ale nově i na přístupové sítě, </w:t>
      </w:r>
      <w:proofErr w:type="gramStart"/>
      <w:r w:rsidRPr="00AC79FB">
        <w:rPr>
          <w:rFonts w:ascii="Arial" w:hAnsi="Arial" w:cs="Arial"/>
          <w:sz w:val="22"/>
          <w:szCs w:val="22"/>
        </w:rPr>
        <w:t>budování</w:t>
      </w:r>
      <w:proofErr w:type="gramEnd"/>
      <w:r w:rsidRPr="00AC79FB">
        <w:rPr>
          <w:rFonts w:ascii="Arial" w:hAnsi="Arial" w:cs="Arial"/>
          <w:sz w:val="22"/>
          <w:szCs w:val="22"/>
        </w:rPr>
        <w:t xml:space="preserve"> kterých s sebou tato dodatečná investiční rizika nese, jako jsou vysokokapacitní sítě (VHCN)</w:t>
      </w:r>
      <w:r w:rsidRPr="00AC79FB">
        <w:rPr>
          <w:rStyle w:val="Znakapoznpodarou"/>
          <w:rFonts w:ascii="Arial" w:hAnsi="Arial" w:cs="Arial"/>
          <w:sz w:val="22"/>
          <w:szCs w:val="22"/>
        </w:rPr>
        <w:footnoteReference w:id="34"/>
      </w:r>
      <w:r w:rsidRPr="00AC79FB">
        <w:rPr>
          <w:rFonts w:ascii="Arial" w:hAnsi="Arial" w:cs="Arial"/>
          <w:sz w:val="22"/>
          <w:szCs w:val="22"/>
        </w:rPr>
        <w:t xml:space="preserve">. Investiční riziko by mělo být odměněno rizikovou prémií zahrnutou v nákladech kapitálu. Hodnota návratnosti kapitálu umožněná ex ante pro investice do nových přístupových sítí NGA/VHCN by měla být v rovnováze mezi poskytováním přiměřených pobídek pro podniky, aby investovaly (tzn. dostatečně vysoká návratnost) na jedné straně a podporou efektivity alokace, udržitelné hospodářské soutěže a maximálních výhod pro spotřebitele (tzn. návratnost, která není příliš nepřiměřená) na straně druhé. </w:t>
      </w:r>
    </w:p>
    <w:p w:rsidR="006260E6" w:rsidRPr="00AC79FB" w:rsidRDefault="006260E6" w:rsidP="009C0293">
      <w:pPr>
        <w:spacing w:after="240"/>
        <w:ind w:firstLine="828"/>
        <w:jc w:val="both"/>
        <w:rPr>
          <w:rFonts w:ascii="Arial" w:hAnsi="Arial" w:cs="Arial"/>
          <w:sz w:val="22"/>
          <w:szCs w:val="22"/>
        </w:rPr>
      </w:pPr>
      <w:r w:rsidRPr="00AC79FB">
        <w:rPr>
          <w:rFonts w:ascii="Arial" w:hAnsi="Arial" w:cs="Arial"/>
          <w:sz w:val="22"/>
          <w:szCs w:val="22"/>
        </w:rPr>
        <w:t>Pro stanovení rizikové přirážky byl v předchozím období využit model komplexní stavebnicové metody pro odhad nákladů vlastního kapitálu publikovaný prof. Maříkem</w:t>
      </w:r>
      <w:r w:rsidRPr="00AC79FB">
        <w:rPr>
          <w:rStyle w:val="Znakapoznpodarou"/>
          <w:rFonts w:ascii="Arial" w:hAnsi="Arial" w:cs="Arial"/>
          <w:sz w:val="22"/>
          <w:szCs w:val="22"/>
        </w:rPr>
        <w:footnoteReference w:id="35"/>
      </w:r>
      <w:r w:rsidRPr="00AC79FB">
        <w:rPr>
          <w:rFonts w:ascii="Arial" w:hAnsi="Arial" w:cs="Arial"/>
          <w:sz w:val="22"/>
          <w:szCs w:val="22"/>
        </w:rPr>
        <w:t xml:space="preserve">. Tato metoda spočívá v rozčlenění celkového rizika na jednotlivá dílčí rizika, která jsou pak samostatně hodnocena. Hodnocení dodatečného investičního rizika není prováděno absolutně, ale relativně ve vztahu k běžným rizikům (např. stávajících metalických sítí). </w:t>
      </w:r>
    </w:p>
    <w:p w:rsidR="006260E6" w:rsidRPr="00AC79FB" w:rsidRDefault="006260E6" w:rsidP="009C0293">
      <w:pPr>
        <w:pStyle w:val="Default"/>
        <w:ind w:firstLine="709"/>
        <w:jc w:val="both"/>
        <w:rPr>
          <w:sz w:val="22"/>
          <w:szCs w:val="22"/>
        </w:rPr>
      </w:pPr>
      <w:r w:rsidRPr="00AC79FB">
        <w:rPr>
          <w:sz w:val="22"/>
          <w:szCs w:val="22"/>
        </w:rPr>
        <w:t xml:space="preserve">Při hodnocení rizika byla použita následující stupnice hodnocení dílčích rizikových faktorů, resp. výhod:  </w:t>
      </w:r>
    </w:p>
    <w:p w:rsidR="006260E6" w:rsidRPr="00C77072" w:rsidRDefault="006260E6" w:rsidP="006260E6">
      <w:pPr>
        <w:pStyle w:val="Default"/>
        <w:numPr>
          <w:ilvl w:val="0"/>
          <w:numId w:val="114"/>
        </w:numPr>
        <w:rPr>
          <w:sz w:val="22"/>
          <w:szCs w:val="22"/>
        </w:rPr>
      </w:pPr>
      <w:r w:rsidRPr="00C77072">
        <w:rPr>
          <w:sz w:val="22"/>
          <w:szCs w:val="22"/>
        </w:rPr>
        <w:t>zanedbatelné riziko: 100 %</w:t>
      </w:r>
      <w:r>
        <w:rPr>
          <w:sz w:val="22"/>
          <w:szCs w:val="22"/>
        </w:rPr>
        <w:t>,</w:t>
      </w:r>
    </w:p>
    <w:p w:rsidR="006260E6" w:rsidRPr="00C77072" w:rsidRDefault="006260E6" w:rsidP="006260E6">
      <w:pPr>
        <w:pStyle w:val="Default"/>
        <w:numPr>
          <w:ilvl w:val="0"/>
          <w:numId w:val="114"/>
        </w:numPr>
        <w:rPr>
          <w:sz w:val="22"/>
          <w:szCs w:val="22"/>
        </w:rPr>
      </w:pPr>
      <w:r w:rsidRPr="00C77072">
        <w:rPr>
          <w:sz w:val="22"/>
          <w:szCs w:val="22"/>
        </w:rPr>
        <w:t>nízké riziko: 110 % (resp. 90 %)</w:t>
      </w:r>
      <w:r>
        <w:rPr>
          <w:sz w:val="22"/>
          <w:szCs w:val="22"/>
        </w:rPr>
        <w:t>,</w:t>
      </w:r>
    </w:p>
    <w:p w:rsidR="006260E6" w:rsidRPr="00C77072" w:rsidRDefault="006260E6" w:rsidP="006260E6">
      <w:pPr>
        <w:pStyle w:val="Default"/>
        <w:numPr>
          <w:ilvl w:val="0"/>
          <w:numId w:val="114"/>
        </w:numPr>
        <w:rPr>
          <w:sz w:val="22"/>
          <w:szCs w:val="22"/>
        </w:rPr>
      </w:pPr>
      <w:r w:rsidRPr="00C77072">
        <w:rPr>
          <w:sz w:val="22"/>
          <w:szCs w:val="22"/>
        </w:rPr>
        <w:t>významné riziko: 125 % (resp. 75 %)</w:t>
      </w:r>
      <w:r>
        <w:rPr>
          <w:sz w:val="22"/>
          <w:szCs w:val="22"/>
        </w:rPr>
        <w:t>,</w:t>
      </w:r>
    </w:p>
    <w:p w:rsidR="006260E6" w:rsidRPr="00C84AD7" w:rsidRDefault="006260E6" w:rsidP="006260E6">
      <w:pPr>
        <w:pStyle w:val="Default"/>
        <w:numPr>
          <w:ilvl w:val="0"/>
          <w:numId w:val="114"/>
        </w:numPr>
        <w:rPr>
          <w:sz w:val="22"/>
          <w:szCs w:val="22"/>
        </w:rPr>
      </w:pPr>
      <w:r w:rsidRPr="00C77072">
        <w:rPr>
          <w:sz w:val="22"/>
          <w:szCs w:val="22"/>
        </w:rPr>
        <w:t>extrémní riziko: 150 % (resp. 50 %</w:t>
      </w:r>
      <w:r>
        <w:rPr>
          <w:sz w:val="22"/>
          <w:szCs w:val="22"/>
        </w:rPr>
        <w:t>).</w:t>
      </w:r>
    </w:p>
    <w:p w:rsidR="006260E6" w:rsidRPr="009C0293" w:rsidRDefault="006260E6" w:rsidP="009C0293">
      <w:pPr>
        <w:spacing w:before="240" w:after="240"/>
        <w:ind w:firstLine="828"/>
        <w:jc w:val="both"/>
        <w:rPr>
          <w:rFonts w:ascii="Arial" w:hAnsi="Arial" w:cs="Arial"/>
          <w:sz w:val="22"/>
          <w:szCs w:val="22"/>
        </w:rPr>
      </w:pPr>
      <w:r w:rsidRPr="009C0293">
        <w:rPr>
          <w:rFonts w:ascii="Arial" w:hAnsi="Arial" w:cs="Arial"/>
          <w:sz w:val="22"/>
          <w:szCs w:val="22"/>
        </w:rPr>
        <w:t>Současně byla rizika vyhodnocena podle významnosti. Koeficient celkového rizika byl vypočten podle následujícího vzorce:</w:t>
      </w:r>
    </w:p>
    <w:p w:rsidR="006260E6" w:rsidRDefault="006260E6" w:rsidP="006260E6">
      <w:pPr>
        <w:spacing w:after="120"/>
        <w:ind w:firstLine="828"/>
        <w:jc w:val="center"/>
        <w:rPr>
          <w:rFonts w:cs="Arial"/>
          <w:szCs w:val="22"/>
        </w:rPr>
      </w:pPr>
      <w:r w:rsidRPr="00DD110E">
        <w:rPr>
          <w:rFonts w:cs="Arial"/>
          <w:noProof/>
          <w:szCs w:val="22"/>
        </w:rPr>
        <w:drawing>
          <wp:inline distT="0" distB="0" distL="0" distR="0" wp14:anchorId="4A9C2177" wp14:editId="62BCB80E">
            <wp:extent cx="1419225" cy="543533"/>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6095" cy="546164"/>
                    </a:xfrm>
                    <a:prstGeom prst="rect">
                      <a:avLst/>
                    </a:prstGeom>
                    <a:noFill/>
                    <a:ln>
                      <a:noFill/>
                    </a:ln>
                  </pic:spPr>
                </pic:pic>
              </a:graphicData>
            </a:graphic>
          </wp:inline>
        </w:drawing>
      </w:r>
    </w:p>
    <w:p w:rsidR="006260E6" w:rsidRPr="009C0293" w:rsidRDefault="006260E6" w:rsidP="006260E6">
      <w:pPr>
        <w:spacing w:after="120"/>
        <w:rPr>
          <w:rFonts w:ascii="Arial" w:hAnsi="Arial" w:cs="Arial"/>
          <w:sz w:val="22"/>
          <w:szCs w:val="22"/>
        </w:rPr>
      </w:pPr>
      <w:r w:rsidRPr="009C0293">
        <w:rPr>
          <w:rFonts w:ascii="Arial" w:hAnsi="Arial" w:cs="Arial"/>
          <w:sz w:val="22"/>
          <w:szCs w:val="22"/>
        </w:rPr>
        <w:t>kde</w:t>
      </w:r>
    </w:p>
    <w:p w:rsidR="006260E6" w:rsidRPr="009C0293" w:rsidRDefault="006260E6" w:rsidP="006260E6">
      <w:pPr>
        <w:pStyle w:val="Default"/>
        <w:rPr>
          <w:sz w:val="22"/>
          <w:szCs w:val="22"/>
        </w:rPr>
      </w:pPr>
      <w:r w:rsidRPr="009C0293">
        <w:rPr>
          <w:sz w:val="22"/>
          <w:szCs w:val="22"/>
        </w:rPr>
        <w:t>TR</w:t>
      </w:r>
      <w:r w:rsidRPr="009C0293">
        <w:rPr>
          <w:sz w:val="22"/>
          <w:szCs w:val="22"/>
        </w:rPr>
        <w:tab/>
      </w:r>
      <w:r w:rsidRPr="009C0293">
        <w:rPr>
          <w:sz w:val="22"/>
          <w:szCs w:val="22"/>
        </w:rPr>
        <w:tab/>
        <w:t>je koeficient celkového rizika (poměr rizika sítí NGAIVHCN ku ostatním sítím),</w:t>
      </w:r>
    </w:p>
    <w:p w:rsidR="006260E6" w:rsidRPr="009C0293" w:rsidRDefault="006260E6" w:rsidP="006260E6">
      <w:pPr>
        <w:pStyle w:val="Default"/>
        <w:rPr>
          <w:sz w:val="22"/>
          <w:szCs w:val="22"/>
        </w:rPr>
      </w:pPr>
      <w:proofErr w:type="spellStart"/>
      <w:r w:rsidRPr="009C0293">
        <w:rPr>
          <w:sz w:val="22"/>
          <w:szCs w:val="22"/>
        </w:rPr>
        <w:t>R</w:t>
      </w:r>
      <w:r w:rsidRPr="009C0293">
        <w:rPr>
          <w:sz w:val="22"/>
          <w:szCs w:val="22"/>
          <w:vertAlign w:val="subscript"/>
        </w:rPr>
        <w:t>i</w:t>
      </w:r>
      <w:proofErr w:type="spellEnd"/>
      <w:r w:rsidRPr="009C0293">
        <w:rPr>
          <w:sz w:val="22"/>
          <w:szCs w:val="22"/>
        </w:rPr>
        <w:tab/>
      </w:r>
      <w:r w:rsidRPr="009C0293">
        <w:rPr>
          <w:sz w:val="22"/>
          <w:szCs w:val="22"/>
        </w:rPr>
        <w:tab/>
        <w:t>je koeficient i-</w:t>
      </w:r>
      <w:proofErr w:type="spellStart"/>
      <w:r w:rsidRPr="009C0293">
        <w:rPr>
          <w:sz w:val="22"/>
          <w:szCs w:val="22"/>
        </w:rPr>
        <w:t>tého</w:t>
      </w:r>
      <w:proofErr w:type="spellEnd"/>
      <w:r w:rsidRPr="009C0293">
        <w:rPr>
          <w:sz w:val="22"/>
          <w:szCs w:val="22"/>
        </w:rPr>
        <w:t xml:space="preserve"> dílčího rizika,</w:t>
      </w:r>
    </w:p>
    <w:p w:rsidR="006260E6" w:rsidRPr="009C0293" w:rsidRDefault="006260E6" w:rsidP="006260E6">
      <w:pPr>
        <w:pStyle w:val="Default"/>
        <w:rPr>
          <w:sz w:val="22"/>
          <w:szCs w:val="22"/>
        </w:rPr>
      </w:pPr>
      <w:proofErr w:type="spellStart"/>
      <w:r w:rsidRPr="009C0293">
        <w:rPr>
          <w:sz w:val="22"/>
          <w:szCs w:val="22"/>
        </w:rPr>
        <w:t>W</w:t>
      </w:r>
      <w:r w:rsidRPr="009C0293">
        <w:rPr>
          <w:sz w:val="22"/>
          <w:szCs w:val="22"/>
          <w:vertAlign w:val="subscript"/>
        </w:rPr>
        <w:t>i</w:t>
      </w:r>
      <w:proofErr w:type="spellEnd"/>
      <w:r w:rsidRPr="009C0293">
        <w:rPr>
          <w:sz w:val="22"/>
          <w:szCs w:val="22"/>
        </w:rPr>
        <w:tab/>
      </w:r>
      <w:r w:rsidRPr="009C0293">
        <w:rPr>
          <w:sz w:val="22"/>
          <w:szCs w:val="22"/>
        </w:rPr>
        <w:tab/>
        <w:t>je váha i-</w:t>
      </w:r>
      <w:proofErr w:type="spellStart"/>
      <w:r w:rsidRPr="009C0293">
        <w:rPr>
          <w:sz w:val="22"/>
          <w:szCs w:val="22"/>
        </w:rPr>
        <w:t>tého</w:t>
      </w:r>
      <w:proofErr w:type="spellEnd"/>
      <w:r w:rsidRPr="009C0293">
        <w:rPr>
          <w:sz w:val="22"/>
          <w:szCs w:val="22"/>
        </w:rPr>
        <w:t xml:space="preserve"> dílčího rizika,</w:t>
      </w:r>
    </w:p>
    <w:p w:rsidR="006260E6" w:rsidRPr="009C0293" w:rsidRDefault="006260E6" w:rsidP="006260E6">
      <w:pPr>
        <w:spacing w:after="240"/>
        <w:rPr>
          <w:rFonts w:ascii="Arial" w:hAnsi="Arial" w:cs="Arial"/>
          <w:sz w:val="22"/>
          <w:szCs w:val="22"/>
        </w:rPr>
      </w:pPr>
      <w:r w:rsidRPr="009C0293">
        <w:rPr>
          <w:rFonts w:ascii="Arial" w:hAnsi="Arial" w:cs="Arial"/>
          <w:sz w:val="22"/>
          <w:szCs w:val="22"/>
        </w:rPr>
        <w:t>n</w:t>
      </w:r>
      <w:r w:rsidRPr="009C0293">
        <w:rPr>
          <w:rFonts w:ascii="Arial" w:hAnsi="Arial" w:cs="Arial"/>
          <w:sz w:val="22"/>
          <w:szCs w:val="22"/>
        </w:rPr>
        <w:tab/>
      </w:r>
      <w:r w:rsidRPr="009C0293">
        <w:rPr>
          <w:rFonts w:ascii="Arial" w:hAnsi="Arial" w:cs="Arial"/>
          <w:sz w:val="22"/>
          <w:szCs w:val="22"/>
        </w:rPr>
        <w:tab/>
        <w:t>je celkový počet dílčích rizik, tedy koeficientů (v daném případě 10).</w:t>
      </w:r>
    </w:p>
    <w:p w:rsidR="006260E6" w:rsidRPr="009C0293" w:rsidRDefault="006260E6" w:rsidP="009C0293">
      <w:pPr>
        <w:spacing w:after="240"/>
        <w:ind w:firstLine="709"/>
        <w:jc w:val="both"/>
        <w:rPr>
          <w:rFonts w:ascii="Arial" w:hAnsi="Arial" w:cs="Arial"/>
          <w:sz w:val="22"/>
          <w:szCs w:val="22"/>
        </w:rPr>
      </w:pPr>
      <w:r w:rsidRPr="009C0293">
        <w:rPr>
          <w:rFonts w:ascii="Arial" w:hAnsi="Arial" w:cs="Arial"/>
          <w:sz w:val="22"/>
          <w:szCs w:val="22"/>
        </w:rPr>
        <w:t>Výsledkem je koeficient celkového rizika (poměr rizika v rámci sítí NGA/VHCN vůči rizikům ostatních sítí), kterým se následně vynásobí procento návratnosti vloženého kapitálu před zdaněním stanovené v odstavci 2 pro stanovený podnik zajištující sítě elektronických komunikací nebo poskytující veřejně dostupnou službu, čímž se získá procento návratnosti vloženého kapitálu před zdaněním WACC pro službu přístupu nově budovaných přístupových sítích (NGA/VHCN).</w:t>
      </w:r>
    </w:p>
    <w:p w:rsidR="006260E6" w:rsidRPr="009C0293" w:rsidRDefault="006260E6" w:rsidP="009C0293">
      <w:pPr>
        <w:spacing w:after="240"/>
        <w:ind w:firstLine="708"/>
        <w:jc w:val="both"/>
        <w:rPr>
          <w:rFonts w:ascii="Arial" w:hAnsi="Arial" w:cs="Arial"/>
          <w:sz w:val="22"/>
          <w:szCs w:val="22"/>
        </w:rPr>
      </w:pPr>
      <w:r w:rsidRPr="009C0293">
        <w:rPr>
          <w:rFonts w:ascii="Arial" w:hAnsi="Arial" w:cs="Arial"/>
          <w:sz w:val="22"/>
          <w:szCs w:val="22"/>
        </w:rPr>
        <w:t xml:space="preserve">V červnu 2023 poradenská společnost Grant Thornton </w:t>
      </w:r>
      <w:proofErr w:type="spellStart"/>
      <w:r w:rsidRPr="009C0293">
        <w:rPr>
          <w:rFonts w:ascii="Arial" w:hAnsi="Arial" w:cs="Arial"/>
          <w:sz w:val="22"/>
          <w:szCs w:val="22"/>
        </w:rPr>
        <w:t>Advisory</w:t>
      </w:r>
      <w:proofErr w:type="spellEnd"/>
      <w:r w:rsidRPr="009C0293">
        <w:rPr>
          <w:rFonts w:ascii="Arial" w:hAnsi="Arial" w:cs="Arial"/>
          <w:sz w:val="22"/>
          <w:szCs w:val="22"/>
        </w:rPr>
        <w:t>, k.s. (dále jen „společnost GTA“) provedla nově vyhodnocení jednotlivých rizik. Při přehodnocení</w:t>
      </w:r>
      <w:r>
        <w:rPr>
          <w:rFonts w:cs="Arial"/>
          <w:szCs w:val="22"/>
        </w:rPr>
        <w:t xml:space="preserve"> </w:t>
      </w:r>
      <w:r w:rsidRPr="009C0293">
        <w:rPr>
          <w:rFonts w:ascii="Arial" w:hAnsi="Arial" w:cs="Arial"/>
          <w:sz w:val="22"/>
          <w:szCs w:val="22"/>
        </w:rPr>
        <w:t xml:space="preserve">vycházela </w:t>
      </w:r>
      <w:r w:rsidRPr="009C0293">
        <w:rPr>
          <w:rFonts w:ascii="Arial" w:hAnsi="Arial" w:cs="Arial"/>
          <w:sz w:val="22"/>
          <w:szCs w:val="22"/>
        </w:rPr>
        <w:lastRenderedPageBreak/>
        <w:t xml:space="preserve">z rizik, které byly definovány a vyhodnoceny při prvním stanovení rizikové prémie v roce 2018. Závěry přehodnocení jsou uvedeny v tabulce č. 5 níže. </w:t>
      </w:r>
    </w:p>
    <w:p w:rsidR="006260E6" w:rsidRPr="009C0293" w:rsidRDefault="006260E6" w:rsidP="006260E6">
      <w:pPr>
        <w:keepNext/>
        <w:keepLines/>
        <w:spacing w:after="240"/>
        <w:rPr>
          <w:rFonts w:ascii="Arial" w:hAnsi="Arial" w:cs="Arial"/>
          <w:sz w:val="22"/>
          <w:szCs w:val="22"/>
        </w:rPr>
      </w:pPr>
      <w:r w:rsidRPr="009C0293">
        <w:rPr>
          <w:rFonts w:ascii="Arial" w:hAnsi="Arial" w:cs="Arial"/>
          <w:sz w:val="22"/>
          <w:szCs w:val="22"/>
        </w:rPr>
        <w:t>Tabulka č. 5: Vyhodnocení rizik</w:t>
      </w:r>
    </w:p>
    <w:tbl>
      <w:tblPr>
        <w:tblW w:w="8784" w:type="dxa"/>
        <w:tblCellMar>
          <w:left w:w="70" w:type="dxa"/>
          <w:right w:w="70" w:type="dxa"/>
        </w:tblCellMar>
        <w:tblLook w:val="04A0" w:firstRow="1" w:lastRow="0" w:firstColumn="1" w:lastColumn="0" w:noHBand="0" w:noVBand="1"/>
      </w:tblPr>
      <w:tblGrid>
        <w:gridCol w:w="364"/>
        <w:gridCol w:w="2608"/>
        <w:gridCol w:w="1021"/>
        <w:gridCol w:w="869"/>
        <w:gridCol w:w="945"/>
        <w:gridCol w:w="785"/>
        <w:gridCol w:w="1027"/>
        <w:gridCol w:w="1180"/>
      </w:tblGrid>
      <w:tr w:rsidR="006260E6" w:rsidTr="009C0293">
        <w:trPr>
          <w:trHeight w:val="340"/>
        </w:trPr>
        <w:tc>
          <w:tcPr>
            <w:tcW w:w="364" w:type="dxa"/>
            <w:vMerge w:val="restart"/>
            <w:tcBorders>
              <w:top w:val="single" w:sz="4" w:space="0" w:color="auto"/>
              <w:left w:val="single" w:sz="4" w:space="0" w:color="auto"/>
              <w:bottom w:val="single" w:sz="12" w:space="0" w:color="auto"/>
              <w:right w:val="nil"/>
            </w:tcBorders>
            <w:shd w:val="clear" w:color="auto" w:fill="4F2D7F"/>
            <w:vAlign w:val="center"/>
            <w:hideMark/>
          </w:tcPr>
          <w:p w:rsidR="006260E6" w:rsidRPr="004F6D7E" w:rsidRDefault="006260E6" w:rsidP="009C0293">
            <w:pPr>
              <w:keepNext/>
              <w:keepLines/>
              <w:jc w:val="center"/>
              <w:rPr>
                <w:rFonts w:cs="Arial"/>
                <w:b/>
                <w:bCs/>
                <w:color w:val="FFFFFF"/>
                <w:sz w:val="16"/>
                <w:szCs w:val="16"/>
                <w:lang w:val="en-GB"/>
              </w:rPr>
            </w:pPr>
            <w:r w:rsidRPr="004F6D7E">
              <w:rPr>
                <w:rFonts w:cs="Arial"/>
                <w:b/>
                <w:bCs/>
                <w:color w:val="FFFFFF"/>
                <w:sz w:val="16"/>
                <w:szCs w:val="16"/>
                <w:lang w:val="en-GB"/>
              </w:rPr>
              <w:t>#</w:t>
            </w:r>
          </w:p>
        </w:tc>
        <w:tc>
          <w:tcPr>
            <w:tcW w:w="2608" w:type="dxa"/>
            <w:vMerge w:val="restart"/>
            <w:tcBorders>
              <w:top w:val="single" w:sz="4" w:space="0" w:color="auto"/>
              <w:left w:val="nil"/>
              <w:bottom w:val="single" w:sz="12" w:space="0" w:color="auto"/>
              <w:right w:val="single" w:sz="4" w:space="0" w:color="auto"/>
            </w:tcBorders>
            <w:shd w:val="clear" w:color="auto" w:fill="4F2D7F"/>
            <w:vAlign w:val="center"/>
            <w:hideMark/>
          </w:tcPr>
          <w:p w:rsidR="006260E6" w:rsidRPr="004F6D7E" w:rsidRDefault="006260E6" w:rsidP="009C0293">
            <w:pPr>
              <w:keepNext/>
              <w:keepLines/>
              <w:rPr>
                <w:rFonts w:cs="Arial"/>
                <w:b/>
                <w:bCs/>
                <w:color w:val="FFFFFF"/>
                <w:sz w:val="16"/>
                <w:szCs w:val="16"/>
              </w:rPr>
            </w:pPr>
            <w:r w:rsidRPr="004F6D7E">
              <w:rPr>
                <w:rFonts w:cs="Arial"/>
                <w:b/>
                <w:bCs/>
                <w:color w:val="FFFFFF"/>
                <w:sz w:val="16"/>
                <w:szCs w:val="16"/>
              </w:rPr>
              <w:t>Dílčí riziko</w:t>
            </w:r>
          </w:p>
        </w:tc>
        <w:tc>
          <w:tcPr>
            <w:tcW w:w="1021" w:type="dxa"/>
            <w:vMerge w:val="restart"/>
            <w:tcBorders>
              <w:top w:val="single" w:sz="4" w:space="0" w:color="auto"/>
              <w:left w:val="single" w:sz="4" w:space="0" w:color="auto"/>
              <w:bottom w:val="single" w:sz="12" w:space="0" w:color="auto"/>
              <w:right w:val="single" w:sz="4" w:space="0" w:color="auto"/>
            </w:tcBorders>
            <w:shd w:val="clear" w:color="auto" w:fill="4F2D7F"/>
            <w:vAlign w:val="center"/>
            <w:hideMark/>
          </w:tcPr>
          <w:p w:rsidR="006260E6" w:rsidRPr="004F6D7E" w:rsidRDefault="006260E6" w:rsidP="009C0293">
            <w:pPr>
              <w:keepNext/>
              <w:keepLines/>
              <w:jc w:val="center"/>
              <w:rPr>
                <w:rFonts w:cs="Arial"/>
                <w:b/>
                <w:bCs/>
                <w:color w:val="FFFFFF"/>
                <w:sz w:val="16"/>
                <w:szCs w:val="16"/>
              </w:rPr>
            </w:pPr>
            <w:r w:rsidRPr="004F6D7E">
              <w:rPr>
                <w:rFonts w:cs="Arial"/>
                <w:b/>
                <w:bCs/>
                <w:color w:val="FFFFFF"/>
                <w:sz w:val="16"/>
                <w:szCs w:val="16"/>
              </w:rPr>
              <w:t>Aktualizace (Ano/Ne)</w:t>
            </w:r>
          </w:p>
        </w:tc>
        <w:tc>
          <w:tcPr>
            <w:tcW w:w="1814" w:type="dxa"/>
            <w:gridSpan w:val="2"/>
            <w:tcBorders>
              <w:top w:val="single" w:sz="4" w:space="0" w:color="auto"/>
              <w:left w:val="nil"/>
              <w:bottom w:val="nil"/>
              <w:right w:val="single" w:sz="4" w:space="0" w:color="000000"/>
            </w:tcBorders>
            <w:shd w:val="clear" w:color="auto" w:fill="4F2D7F"/>
            <w:vAlign w:val="center"/>
            <w:hideMark/>
          </w:tcPr>
          <w:p w:rsidR="006260E6" w:rsidRPr="004F6D7E" w:rsidRDefault="006260E6" w:rsidP="009C0293">
            <w:pPr>
              <w:keepNext/>
              <w:keepLines/>
              <w:jc w:val="center"/>
              <w:rPr>
                <w:rFonts w:cs="Arial"/>
                <w:b/>
                <w:bCs/>
                <w:color w:val="FFFFFF"/>
                <w:sz w:val="16"/>
                <w:szCs w:val="16"/>
              </w:rPr>
            </w:pPr>
            <w:r w:rsidRPr="004F6D7E">
              <w:rPr>
                <w:rFonts w:cs="Arial"/>
                <w:b/>
                <w:bCs/>
                <w:color w:val="FFFFFF"/>
                <w:sz w:val="16"/>
                <w:szCs w:val="16"/>
              </w:rPr>
              <w:t>Koeficient</w:t>
            </w:r>
          </w:p>
        </w:tc>
        <w:tc>
          <w:tcPr>
            <w:tcW w:w="770" w:type="dxa"/>
            <w:tcBorders>
              <w:top w:val="single" w:sz="4" w:space="0" w:color="auto"/>
              <w:left w:val="nil"/>
              <w:bottom w:val="nil"/>
              <w:right w:val="single" w:sz="4" w:space="0" w:color="000000"/>
            </w:tcBorders>
            <w:shd w:val="clear" w:color="auto" w:fill="4F2D7F"/>
            <w:vAlign w:val="center"/>
            <w:hideMark/>
          </w:tcPr>
          <w:p w:rsidR="006260E6" w:rsidRPr="004F6D7E" w:rsidRDefault="006260E6" w:rsidP="009C0293">
            <w:pPr>
              <w:keepNext/>
              <w:keepLines/>
              <w:jc w:val="center"/>
              <w:rPr>
                <w:rFonts w:cs="Arial"/>
                <w:b/>
                <w:bCs/>
                <w:color w:val="FFFFFF"/>
                <w:sz w:val="16"/>
                <w:szCs w:val="16"/>
              </w:rPr>
            </w:pPr>
            <w:r w:rsidRPr="004F6D7E">
              <w:rPr>
                <w:rFonts w:cs="Arial"/>
                <w:b/>
                <w:bCs/>
                <w:color w:val="FFFFFF"/>
                <w:sz w:val="16"/>
                <w:szCs w:val="16"/>
              </w:rPr>
              <w:t>Váha</w:t>
            </w:r>
          </w:p>
        </w:tc>
        <w:tc>
          <w:tcPr>
            <w:tcW w:w="2207" w:type="dxa"/>
            <w:gridSpan w:val="2"/>
            <w:tcBorders>
              <w:top w:val="single" w:sz="4" w:space="0" w:color="auto"/>
              <w:left w:val="nil"/>
              <w:bottom w:val="nil"/>
              <w:right w:val="single" w:sz="4" w:space="0" w:color="000000"/>
            </w:tcBorders>
            <w:shd w:val="clear" w:color="auto" w:fill="4F2D7F"/>
            <w:vAlign w:val="center"/>
            <w:hideMark/>
          </w:tcPr>
          <w:p w:rsidR="006260E6" w:rsidRPr="004F6D7E" w:rsidRDefault="006260E6" w:rsidP="009C0293">
            <w:pPr>
              <w:keepNext/>
              <w:keepLines/>
              <w:jc w:val="center"/>
              <w:rPr>
                <w:rFonts w:cs="Arial"/>
                <w:b/>
                <w:bCs/>
                <w:color w:val="FFFFFF"/>
                <w:sz w:val="16"/>
                <w:szCs w:val="16"/>
              </w:rPr>
            </w:pPr>
            <w:r w:rsidRPr="004F6D7E">
              <w:rPr>
                <w:rFonts w:cs="Arial"/>
                <w:b/>
                <w:bCs/>
                <w:color w:val="FFFFFF"/>
                <w:sz w:val="16"/>
                <w:szCs w:val="16"/>
              </w:rPr>
              <w:t>Vážený koeficient</w:t>
            </w:r>
          </w:p>
        </w:tc>
      </w:tr>
      <w:tr w:rsidR="006260E6" w:rsidTr="009C0293">
        <w:trPr>
          <w:trHeight w:val="340"/>
        </w:trPr>
        <w:tc>
          <w:tcPr>
            <w:tcW w:w="0" w:type="auto"/>
            <w:vMerge/>
            <w:tcBorders>
              <w:top w:val="single" w:sz="4" w:space="0" w:color="auto"/>
              <w:left w:val="single" w:sz="4" w:space="0" w:color="auto"/>
              <w:bottom w:val="single" w:sz="12" w:space="0" w:color="auto"/>
              <w:right w:val="nil"/>
            </w:tcBorders>
            <w:vAlign w:val="center"/>
            <w:hideMark/>
          </w:tcPr>
          <w:p w:rsidR="006260E6" w:rsidRPr="004F6D7E" w:rsidRDefault="006260E6" w:rsidP="009C0293">
            <w:pPr>
              <w:keepNext/>
              <w:keepLines/>
              <w:rPr>
                <w:rFonts w:cs="Arial"/>
                <w:b/>
                <w:bCs/>
                <w:color w:val="FFFFFF"/>
                <w:sz w:val="16"/>
                <w:szCs w:val="16"/>
                <w:lang w:val="en-GB"/>
              </w:rPr>
            </w:pPr>
          </w:p>
        </w:tc>
        <w:tc>
          <w:tcPr>
            <w:tcW w:w="2608" w:type="dxa"/>
            <w:vMerge/>
            <w:tcBorders>
              <w:top w:val="single" w:sz="4" w:space="0" w:color="auto"/>
              <w:left w:val="nil"/>
              <w:bottom w:val="single" w:sz="12" w:space="0" w:color="auto"/>
              <w:right w:val="single" w:sz="4" w:space="0" w:color="auto"/>
            </w:tcBorders>
            <w:vAlign w:val="center"/>
            <w:hideMark/>
          </w:tcPr>
          <w:p w:rsidR="006260E6" w:rsidRPr="004F6D7E" w:rsidRDefault="006260E6" w:rsidP="009C0293">
            <w:pPr>
              <w:keepNext/>
              <w:keepLines/>
              <w:rPr>
                <w:rFonts w:cs="Arial"/>
                <w:b/>
                <w:bCs/>
                <w:color w:val="FFFFFF"/>
                <w:sz w:val="16"/>
                <w:szCs w:val="16"/>
              </w:rPr>
            </w:pPr>
          </w:p>
        </w:tc>
        <w:tc>
          <w:tcPr>
            <w:tcW w:w="1021" w:type="dxa"/>
            <w:vMerge/>
            <w:tcBorders>
              <w:top w:val="single" w:sz="4" w:space="0" w:color="auto"/>
              <w:left w:val="single" w:sz="4" w:space="0" w:color="auto"/>
              <w:bottom w:val="single" w:sz="12" w:space="0" w:color="auto"/>
              <w:right w:val="single" w:sz="4" w:space="0" w:color="auto"/>
            </w:tcBorders>
            <w:vAlign w:val="center"/>
            <w:hideMark/>
          </w:tcPr>
          <w:p w:rsidR="006260E6" w:rsidRPr="004F6D7E" w:rsidRDefault="006260E6" w:rsidP="009C0293">
            <w:pPr>
              <w:keepNext/>
              <w:keepLines/>
              <w:rPr>
                <w:rFonts w:cs="Arial"/>
                <w:b/>
                <w:bCs/>
                <w:color w:val="FFFFFF"/>
                <w:sz w:val="16"/>
                <w:szCs w:val="16"/>
              </w:rPr>
            </w:pPr>
          </w:p>
        </w:tc>
        <w:tc>
          <w:tcPr>
            <w:tcW w:w="869" w:type="dxa"/>
            <w:tcBorders>
              <w:top w:val="nil"/>
              <w:left w:val="nil"/>
              <w:bottom w:val="single" w:sz="12" w:space="0" w:color="auto"/>
              <w:right w:val="nil"/>
            </w:tcBorders>
            <w:shd w:val="clear" w:color="auto" w:fill="4F2D7F"/>
            <w:vAlign w:val="center"/>
            <w:hideMark/>
          </w:tcPr>
          <w:p w:rsidR="006260E6" w:rsidRPr="004F6D7E" w:rsidRDefault="006260E6" w:rsidP="009C0293">
            <w:pPr>
              <w:keepNext/>
              <w:keepLines/>
              <w:jc w:val="center"/>
              <w:rPr>
                <w:rFonts w:cs="Arial"/>
                <w:b/>
                <w:bCs/>
                <w:color w:val="FFFFFF"/>
                <w:sz w:val="16"/>
                <w:szCs w:val="16"/>
              </w:rPr>
            </w:pPr>
            <w:r>
              <w:rPr>
                <w:rFonts w:cs="Arial"/>
                <w:b/>
                <w:bCs/>
                <w:color w:val="FFFFFF"/>
                <w:sz w:val="16"/>
                <w:szCs w:val="16"/>
              </w:rPr>
              <w:t>2018</w:t>
            </w:r>
          </w:p>
        </w:tc>
        <w:tc>
          <w:tcPr>
            <w:tcW w:w="945" w:type="dxa"/>
            <w:tcBorders>
              <w:top w:val="nil"/>
              <w:left w:val="single" w:sz="4" w:space="0" w:color="4F2D7F"/>
              <w:bottom w:val="single" w:sz="12" w:space="0" w:color="auto"/>
              <w:right w:val="single" w:sz="4" w:space="0" w:color="auto"/>
            </w:tcBorders>
            <w:shd w:val="clear" w:color="auto" w:fill="4F2D7F"/>
            <w:vAlign w:val="center"/>
            <w:hideMark/>
          </w:tcPr>
          <w:p w:rsidR="006260E6" w:rsidRPr="004F6D7E" w:rsidRDefault="006260E6" w:rsidP="009C0293">
            <w:pPr>
              <w:keepNext/>
              <w:keepLines/>
              <w:jc w:val="center"/>
              <w:rPr>
                <w:rFonts w:cs="Arial"/>
                <w:b/>
                <w:bCs/>
                <w:color w:val="FFFFFF"/>
                <w:sz w:val="16"/>
                <w:szCs w:val="16"/>
              </w:rPr>
            </w:pPr>
            <w:r>
              <w:rPr>
                <w:rFonts w:cs="Arial"/>
                <w:b/>
                <w:bCs/>
                <w:color w:val="FFFFFF"/>
                <w:sz w:val="16"/>
                <w:szCs w:val="16"/>
              </w:rPr>
              <w:t>2023</w:t>
            </w:r>
          </w:p>
        </w:tc>
        <w:tc>
          <w:tcPr>
            <w:tcW w:w="770" w:type="dxa"/>
            <w:tcBorders>
              <w:top w:val="nil"/>
              <w:left w:val="nil"/>
              <w:bottom w:val="single" w:sz="12" w:space="0" w:color="auto"/>
              <w:right w:val="nil"/>
            </w:tcBorders>
            <w:shd w:val="clear" w:color="auto" w:fill="4F2D7F"/>
            <w:vAlign w:val="center"/>
            <w:hideMark/>
          </w:tcPr>
          <w:p w:rsidR="006260E6" w:rsidRPr="004F6D7E" w:rsidRDefault="006260E6" w:rsidP="009C0293">
            <w:pPr>
              <w:keepNext/>
              <w:keepLines/>
              <w:rPr>
                <w:rFonts w:cs="Arial"/>
                <w:b/>
                <w:bCs/>
                <w:color w:val="FFFFFF"/>
                <w:sz w:val="16"/>
                <w:szCs w:val="16"/>
              </w:rPr>
            </w:pPr>
          </w:p>
        </w:tc>
        <w:tc>
          <w:tcPr>
            <w:tcW w:w="1027" w:type="dxa"/>
            <w:tcBorders>
              <w:top w:val="nil"/>
              <w:left w:val="nil"/>
              <w:bottom w:val="single" w:sz="12" w:space="0" w:color="auto"/>
              <w:right w:val="nil"/>
            </w:tcBorders>
            <w:shd w:val="clear" w:color="auto" w:fill="4F2D7F"/>
            <w:vAlign w:val="center"/>
            <w:hideMark/>
          </w:tcPr>
          <w:p w:rsidR="006260E6" w:rsidRPr="004F6D7E" w:rsidRDefault="006260E6" w:rsidP="009C0293">
            <w:pPr>
              <w:keepNext/>
              <w:keepLines/>
              <w:jc w:val="center"/>
              <w:rPr>
                <w:rFonts w:cs="Arial"/>
                <w:b/>
                <w:bCs/>
                <w:color w:val="FFFFFF"/>
                <w:sz w:val="16"/>
                <w:szCs w:val="16"/>
              </w:rPr>
            </w:pPr>
            <w:r>
              <w:rPr>
                <w:rFonts w:cs="Arial"/>
                <w:b/>
                <w:bCs/>
                <w:color w:val="FFFFFF"/>
                <w:sz w:val="16"/>
                <w:szCs w:val="16"/>
              </w:rPr>
              <w:t>2018</w:t>
            </w:r>
          </w:p>
        </w:tc>
        <w:tc>
          <w:tcPr>
            <w:tcW w:w="1180" w:type="dxa"/>
            <w:tcBorders>
              <w:top w:val="nil"/>
              <w:left w:val="single" w:sz="4" w:space="0" w:color="4F2D7F"/>
              <w:bottom w:val="single" w:sz="12" w:space="0" w:color="auto"/>
              <w:right w:val="single" w:sz="4" w:space="0" w:color="auto"/>
            </w:tcBorders>
            <w:shd w:val="clear" w:color="auto" w:fill="4F2D7F"/>
            <w:vAlign w:val="center"/>
            <w:hideMark/>
          </w:tcPr>
          <w:p w:rsidR="006260E6" w:rsidRPr="004F6D7E" w:rsidRDefault="006260E6" w:rsidP="009C0293">
            <w:pPr>
              <w:keepNext/>
              <w:keepLines/>
              <w:jc w:val="center"/>
              <w:rPr>
                <w:rFonts w:cs="Arial"/>
                <w:b/>
                <w:bCs/>
                <w:color w:val="FFFFFF"/>
                <w:sz w:val="16"/>
                <w:szCs w:val="16"/>
              </w:rPr>
            </w:pPr>
            <w:r>
              <w:rPr>
                <w:rFonts w:cs="Arial"/>
                <w:b/>
                <w:bCs/>
                <w:color w:val="FFFFFF"/>
                <w:sz w:val="16"/>
                <w:szCs w:val="16"/>
              </w:rPr>
              <w:t>2023</w:t>
            </w:r>
          </w:p>
        </w:tc>
      </w:tr>
      <w:tr w:rsidR="006260E6" w:rsidTr="009C0293">
        <w:trPr>
          <w:trHeight w:val="170"/>
        </w:trPr>
        <w:tc>
          <w:tcPr>
            <w:tcW w:w="364" w:type="dxa"/>
            <w:tcBorders>
              <w:top w:val="single" w:sz="12" w:space="0" w:color="auto"/>
              <w:left w:val="single" w:sz="4" w:space="0" w:color="auto"/>
              <w:bottom w:val="single" w:sz="4" w:space="0" w:color="auto"/>
              <w:right w:val="single" w:sz="4" w:space="0" w:color="auto"/>
            </w:tcBorders>
            <w:noWrap/>
            <w:vAlign w:val="center"/>
            <w:hideMark/>
          </w:tcPr>
          <w:p w:rsidR="006260E6" w:rsidRPr="004F6D7E" w:rsidRDefault="006260E6" w:rsidP="009C0293">
            <w:pPr>
              <w:keepNext/>
              <w:keepLines/>
              <w:jc w:val="center"/>
              <w:rPr>
                <w:rFonts w:cs="Arial"/>
                <w:b/>
                <w:bCs/>
                <w:color w:val="000000"/>
                <w:sz w:val="18"/>
                <w:szCs w:val="18"/>
                <w:lang w:val="en-GB"/>
              </w:rPr>
            </w:pPr>
            <w:r w:rsidRPr="004F6D7E">
              <w:rPr>
                <w:rFonts w:cs="Arial"/>
                <w:b/>
                <w:bCs/>
                <w:color w:val="000000"/>
                <w:sz w:val="18"/>
                <w:lang w:val="en-GB"/>
              </w:rPr>
              <w:t>1</w:t>
            </w:r>
          </w:p>
        </w:tc>
        <w:tc>
          <w:tcPr>
            <w:tcW w:w="2608" w:type="dxa"/>
            <w:tcBorders>
              <w:top w:val="single" w:sz="12" w:space="0" w:color="auto"/>
              <w:left w:val="nil"/>
              <w:bottom w:val="single" w:sz="4" w:space="0" w:color="auto"/>
              <w:right w:val="nil"/>
            </w:tcBorders>
            <w:noWrap/>
            <w:vAlign w:val="center"/>
            <w:hideMark/>
          </w:tcPr>
          <w:p w:rsidR="006260E6" w:rsidRPr="004F6D7E" w:rsidRDefault="006260E6" w:rsidP="009C0293">
            <w:pPr>
              <w:keepNext/>
              <w:keepLines/>
              <w:rPr>
                <w:rFonts w:cs="Arial"/>
                <w:color w:val="000000"/>
                <w:sz w:val="18"/>
              </w:rPr>
            </w:pPr>
            <w:r w:rsidRPr="004F6D7E">
              <w:rPr>
                <w:rFonts w:cs="Arial"/>
                <w:color w:val="000000"/>
                <w:sz w:val="18"/>
              </w:rPr>
              <w:t>Dynamika oboru, inovace a kontinuita služeb</w:t>
            </w:r>
          </w:p>
        </w:tc>
        <w:tc>
          <w:tcPr>
            <w:tcW w:w="1021" w:type="dxa"/>
            <w:tcBorders>
              <w:top w:val="single" w:sz="12" w:space="0" w:color="auto"/>
              <w:left w:val="single" w:sz="4" w:space="0" w:color="auto"/>
              <w:bottom w:val="single" w:sz="4" w:space="0" w:color="auto"/>
              <w:right w:val="nil"/>
            </w:tcBorders>
            <w:noWrap/>
            <w:vAlign w:val="center"/>
            <w:hideMark/>
          </w:tcPr>
          <w:p w:rsidR="006260E6" w:rsidRPr="004F6D7E" w:rsidRDefault="006260E6" w:rsidP="009C0293">
            <w:pPr>
              <w:keepNext/>
              <w:keepLines/>
              <w:jc w:val="center"/>
              <w:rPr>
                <w:rFonts w:cs="Arial"/>
                <w:color w:val="000000"/>
                <w:sz w:val="18"/>
              </w:rPr>
            </w:pPr>
            <w:r w:rsidRPr="004F6D7E">
              <w:rPr>
                <w:rFonts w:cs="Arial"/>
                <w:color w:val="000000"/>
                <w:sz w:val="18"/>
              </w:rPr>
              <w:t>Ne</w:t>
            </w:r>
          </w:p>
        </w:tc>
        <w:tc>
          <w:tcPr>
            <w:tcW w:w="869" w:type="dxa"/>
            <w:tcBorders>
              <w:top w:val="single" w:sz="12" w:space="0" w:color="auto"/>
              <w:left w:val="single" w:sz="4" w:space="0" w:color="auto"/>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150%</w:t>
            </w:r>
          </w:p>
        </w:tc>
        <w:tc>
          <w:tcPr>
            <w:tcW w:w="945" w:type="dxa"/>
            <w:tcBorders>
              <w:top w:val="single" w:sz="12" w:space="0" w:color="auto"/>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 </w:t>
            </w:r>
          </w:p>
        </w:tc>
        <w:tc>
          <w:tcPr>
            <w:tcW w:w="770" w:type="dxa"/>
            <w:tcBorders>
              <w:top w:val="single" w:sz="12" w:space="0" w:color="auto"/>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12,500%</w:t>
            </w:r>
          </w:p>
        </w:tc>
        <w:tc>
          <w:tcPr>
            <w:tcW w:w="1027" w:type="dxa"/>
            <w:tcBorders>
              <w:top w:val="single" w:sz="12" w:space="0" w:color="auto"/>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18,750%</w:t>
            </w:r>
          </w:p>
        </w:tc>
        <w:tc>
          <w:tcPr>
            <w:tcW w:w="1180" w:type="dxa"/>
            <w:tcBorders>
              <w:top w:val="single" w:sz="12" w:space="0" w:color="auto"/>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18,750%</w:t>
            </w:r>
          </w:p>
        </w:tc>
      </w:tr>
      <w:tr w:rsidR="006260E6" w:rsidTr="009C0293">
        <w:trPr>
          <w:trHeight w:val="170"/>
        </w:trPr>
        <w:tc>
          <w:tcPr>
            <w:tcW w:w="36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center"/>
              <w:rPr>
                <w:rFonts w:cs="Arial"/>
                <w:b/>
                <w:bCs/>
                <w:color w:val="000000"/>
                <w:sz w:val="18"/>
                <w:lang w:val="en-GB"/>
              </w:rPr>
            </w:pPr>
            <w:r w:rsidRPr="004F6D7E">
              <w:rPr>
                <w:rFonts w:cs="Arial"/>
                <w:b/>
                <w:bCs/>
                <w:color w:val="000000"/>
                <w:sz w:val="18"/>
                <w:lang w:val="en-GB"/>
              </w:rPr>
              <w:t>2</w:t>
            </w:r>
          </w:p>
        </w:tc>
        <w:tc>
          <w:tcPr>
            <w:tcW w:w="2608" w:type="dxa"/>
            <w:tcBorders>
              <w:top w:val="nil"/>
              <w:left w:val="nil"/>
              <w:bottom w:val="single" w:sz="4" w:space="0" w:color="auto"/>
              <w:right w:val="nil"/>
            </w:tcBorders>
            <w:shd w:val="clear" w:color="auto" w:fill="DBE5F1" w:themeFill="accent1" w:themeFillTint="33"/>
            <w:noWrap/>
            <w:vAlign w:val="center"/>
            <w:hideMark/>
          </w:tcPr>
          <w:p w:rsidR="006260E6" w:rsidRPr="004F6D7E" w:rsidRDefault="006260E6" w:rsidP="009C0293">
            <w:pPr>
              <w:keepNext/>
              <w:keepLines/>
              <w:rPr>
                <w:rFonts w:cs="Arial"/>
                <w:color w:val="000000"/>
                <w:sz w:val="18"/>
              </w:rPr>
            </w:pPr>
            <w:r w:rsidRPr="004F6D7E">
              <w:rPr>
                <w:rFonts w:cs="Arial"/>
                <w:color w:val="000000"/>
                <w:sz w:val="18"/>
              </w:rPr>
              <w:t>Závislost na hospodářském cyklu</w:t>
            </w:r>
          </w:p>
        </w:tc>
        <w:tc>
          <w:tcPr>
            <w:tcW w:w="1021" w:type="dxa"/>
            <w:tcBorders>
              <w:top w:val="nil"/>
              <w:left w:val="single" w:sz="4" w:space="0" w:color="auto"/>
              <w:bottom w:val="single" w:sz="4" w:space="0" w:color="auto"/>
              <w:right w:val="nil"/>
            </w:tcBorders>
            <w:shd w:val="clear" w:color="auto" w:fill="DBE5F1" w:themeFill="accent1" w:themeFillTint="33"/>
            <w:noWrap/>
            <w:vAlign w:val="center"/>
            <w:hideMark/>
          </w:tcPr>
          <w:p w:rsidR="006260E6" w:rsidRPr="004F6D7E" w:rsidRDefault="006260E6" w:rsidP="009C0293">
            <w:pPr>
              <w:keepNext/>
              <w:keepLines/>
              <w:jc w:val="center"/>
              <w:rPr>
                <w:rFonts w:cs="Arial"/>
                <w:color w:val="000000"/>
                <w:sz w:val="18"/>
              </w:rPr>
            </w:pPr>
            <w:r w:rsidRPr="004F6D7E">
              <w:rPr>
                <w:rFonts w:cs="Arial"/>
                <w:color w:val="000000"/>
                <w:sz w:val="18"/>
              </w:rPr>
              <w:t>Ne</w:t>
            </w:r>
          </w:p>
        </w:tc>
        <w:tc>
          <w:tcPr>
            <w:tcW w:w="86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125%</w:t>
            </w:r>
          </w:p>
        </w:tc>
        <w:tc>
          <w:tcPr>
            <w:tcW w:w="945"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 </w:t>
            </w:r>
          </w:p>
        </w:tc>
        <w:tc>
          <w:tcPr>
            <w:tcW w:w="770"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6,250%</w:t>
            </w:r>
          </w:p>
        </w:tc>
        <w:tc>
          <w:tcPr>
            <w:tcW w:w="1027"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7,813%</w:t>
            </w:r>
          </w:p>
        </w:tc>
        <w:tc>
          <w:tcPr>
            <w:tcW w:w="1180"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7,813%</w:t>
            </w:r>
          </w:p>
        </w:tc>
      </w:tr>
      <w:tr w:rsidR="006260E6" w:rsidTr="009C0293">
        <w:trPr>
          <w:trHeight w:val="170"/>
        </w:trPr>
        <w:tc>
          <w:tcPr>
            <w:tcW w:w="364" w:type="dxa"/>
            <w:tcBorders>
              <w:top w:val="nil"/>
              <w:left w:val="single" w:sz="4" w:space="0" w:color="auto"/>
              <w:bottom w:val="single" w:sz="4" w:space="0" w:color="auto"/>
              <w:right w:val="single" w:sz="4" w:space="0" w:color="auto"/>
            </w:tcBorders>
            <w:noWrap/>
            <w:vAlign w:val="center"/>
            <w:hideMark/>
          </w:tcPr>
          <w:p w:rsidR="006260E6" w:rsidRPr="004F6D7E" w:rsidRDefault="006260E6" w:rsidP="009C0293">
            <w:pPr>
              <w:keepNext/>
              <w:keepLines/>
              <w:jc w:val="center"/>
              <w:rPr>
                <w:rFonts w:cs="Arial"/>
                <w:b/>
                <w:bCs/>
                <w:color w:val="000000"/>
                <w:sz w:val="18"/>
                <w:lang w:val="en-GB"/>
              </w:rPr>
            </w:pPr>
            <w:r w:rsidRPr="004F6D7E">
              <w:rPr>
                <w:rFonts w:cs="Arial"/>
                <w:b/>
                <w:bCs/>
                <w:color w:val="000000"/>
                <w:sz w:val="18"/>
                <w:lang w:val="en-GB"/>
              </w:rPr>
              <w:t>3</w:t>
            </w:r>
          </w:p>
        </w:tc>
        <w:tc>
          <w:tcPr>
            <w:tcW w:w="2608" w:type="dxa"/>
            <w:tcBorders>
              <w:top w:val="nil"/>
              <w:left w:val="nil"/>
              <w:bottom w:val="single" w:sz="4" w:space="0" w:color="auto"/>
              <w:right w:val="nil"/>
            </w:tcBorders>
            <w:noWrap/>
            <w:vAlign w:val="center"/>
            <w:hideMark/>
          </w:tcPr>
          <w:p w:rsidR="006260E6" w:rsidRPr="004F6D7E" w:rsidRDefault="006260E6" w:rsidP="009C0293">
            <w:pPr>
              <w:keepNext/>
              <w:keepLines/>
              <w:rPr>
                <w:rFonts w:cs="Arial"/>
                <w:color w:val="000000"/>
                <w:sz w:val="18"/>
              </w:rPr>
            </w:pPr>
            <w:r w:rsidRPr="004F6D7E">
              <w:rPr>
                <w:rFonts w:cs="Arial"/>
                <w:color w:val="000000"/>
                <w:sz w:val="18"/>
              </w:rPr>
              <w:t>Velikost, kapacita trhu a možnost expanze</w:t>
            </w:r>
          </w:p>
        </w:tc>
        <w:tc>
          <w:tcPr>
            <w:tcW w:w="1021" w:type="dxa"/>
            <w:tcBorders>
              <w:top w:val="nil"/>
              <w:left w:val="single" w:sz="4" w:space="0" w:color="auto"/>
              <w:bottom w:val="single" w:sz="4" w:space="0" w:color="auto"/>
              <w:right w:val="nil"/>
            </w:tcBorders>
            <w:noWrap/>
            <w:vAlign w:val="center"/>
            <w:hideMark/>
          </w:tcPr>
          <w:p w:rsidR="006260E6" w:rsidRPr="004F6D7E" w:rsidRDefault="006260E6" w:rsidP="009C0293">
            <w:pPr>
              <w:keepNext/>
              <w:keepLines/>
              <w:jc w:val="center"/>
              <w:rPr>
                <w:rFonts w:cs="Arial"/>
                <w:color w:val="000000"/>
                <w:sz w:val="18"/>
              </w:rPr>
            </w:pPr>
            <w:r w:rsidRPr="004F6D7E">
              <w:rPr>
                <w:rFonts w:cs="Arial"/>
                <w:color w:val="000000"/>
                <w:sz w:val="18"/>
              </w:rPr>
              <w:t>Ano</w:t>
            </w:r>
          </w:p>
        </w:tc>
        <w:tc>
          <w:tcPr>
            <w:tcW w:w="869" w:type="dxa"/>
            <w:tcBorders>
              <w:top w:val="nil"/>
              <w:left w:val="single" w:sz="4" w:space="0" w:color="auto"/>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110%</w:t>
            </w:r>
          </w:p>
        </w:tc>
        <w:tc>
          <w:tcPr>
            <w:tcW w:w="945"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125%</w:t>
            </w:r>
          </w:p>
        </w:tc>
        <w:tc>
          <w:tcPr>
            <w:tcW w:w="770"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6,250%</w:t>
            </w:r>
          </w:p>
        </w:tc>
        <w:tc>
          <w:tcPr>
            <w:tcW w:w="1027"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6,875%</w:t>
            </w:r>
          </w:p>
        </w:tc>
        <w:tc>
          <w:tcPr>
            <w:tcW w:w="1180"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7,813%</w:t>
            </w:r>
          </w:p>
        </w:tc>
      </w:tr>
      <w:tr w:rsidR="006260E6" w:rsidTr="009C0293">
        <w:trPr>
          <w:trHeight w:val="170"/>
        </w:trPr>
        <w:tc>
          <w:tcPr>
            <w:tcW w:w="36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center"/>
              <w:rPr>
                <w:rFonts w:cs="Arial"/>
                <w:b/>
                <w:bCs/>
                <w:color w:val="000000"/>
                <w:sz w:val="18"/>
                <w:lang w:val="en-GB"/>
              </w:rPr>
            </w:pPr>
            <w:r w:rsidRPr="004F6D7E">
              <w:rPr>
                <w:rFonts w:cs="Arial"/>
                <w:b/>
                <w:bCs/>
                <w:color w:val="000000"/>
                <w:sz w:val="18"/>
                <w:lang w:val="en-GB"/>
              </w:rPr>
              <w:t>4</w:t>
            </w:r>
          </w:p>
        </w:tc>
        <w:tc>
          <w:tcPr>
            <w:tcW w:w="2608" w:type="dxa"/>
            <w:tcBorders>
              <w:top w:val="nil"/>
              <w:left w:val="nil"/>
              <w:bottom w:val="single" w:sz="4" w:space="0" w:color="auto"/>
              <w:right w:val="nil"/>
            </w:tcBorders>
            <w:shd w:val="clear" w:color="auto" w:fill="DBE5F1" w:themeFill="accent1" w:themeFillTint="33"/>
            <w:noWrap/>
            <w:vAlign w:val="center"/>
            <w:hideMark/>
          </w:tcPr>
          <w:p w:rsidR="006260E6" w:rsidRPr="004F6D7E" w:rsidRDefault="006260E6" w:rsidP="009C0293">
            <w:pPr>
              <w:keepNext/>
              <w:keepLines/>
              <w:rPr>
                <w:rFonts w:cs="Arial"/>
                <w:color w:val="000000"/>
                <w:sz w:val="18"/>
              </w:rPr>
            </w:pPr>
            <w:r w:rsidRPr="004F6D7E">
              <w:rPr>
                <w:rFonts w:cs="Arial"/>
                <w:color w:val="000000"/>
                <w:sz w:val="18"/>
              </w:rPr>
              <w:t>Intenzita konkurence</w:t>
            </w:r>
          </w:p>
        </w:tc>
        <w:tc>
          <w:tcPr>
            <w:tcW w:w="1021" w:type="dxa"/>
            <w:tcBorders>
              <w:top w:val="nil"/>
              <w:left w:val="single" w:sz="4" w:space="0" w:color="auto"/>
              <w:bottom w:val="single" w:sz="4" w:space="0" w:color="auto"/>
              <w:right w:val="nil"/>
            </w:tcBorders>
            <w:shd w:val="clear" w:color="auto" w:fill="DBE5F1" w:themeFill="accent1" w:themeFillTint="33"/>
            <w:noWrap/>
            <w:vAlign w:val="center"/>
            <w:hideMark/>
          </w:tcPr>
          <w:p w:rsidR="006260E6" w:rsidRPr="004F6D7E" w:rsidRDefault="006260E6" w:rsidP="009C0293">
            <w:pPr>
              <w:keepNext/>
              <w:keepLines/>
              <w:jc w:val="center"/>
              <w:rPr>
                <w:rFonts w:cs="Arial"/>
                <w:color w:val="000000"/>
                <w:sz w:val="18"/>
              </w:rPr>
            </w:pPr>
            <w:r w:rsidRPr="004F6D7E">
              <w:rPr>
                <w:rFonts w:cs="Arial"/>
                <w:color w:val="000000"/>
                <w:sz w:val="18"/>
              </w:rPr>
              <w:t>Ano</w:t>
            </w:r>
          </w:p>
        </w:tc>
        <w:tc>
          <w:tcPr>
            <w:tcW w:w="86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125%</w:t>
            </w:r>
          </w:p>
        </w:tc>
        <w:tc>
          <w:tcPr>
            <w:tcW w:w="945"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150%</w:t>
            </w:r>
          </w:p>
        </w:tc>
        <w:tc>
          <w:tcPr>
            <w:tcW w:w="770"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12,500%</w:t>
            </w:r>
          </w:p>
        </w:tc>
        <w:tc>
          <w:tcPr>
            <w:tcW w:w="1027"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15,625%</w:t>
            </w:r>
          </w:p>
        </w:tc>
        <w:tc>
          <w:tcPr>
            <w:tcW w:w="1180"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18,750%</w:t>
            </w:r>
          </w:p>
        </w:tc>
      </w:tr>
      <w:tr w:rsidR="006260E6" w:rsidTr="009C0293">
        <w:trPr>
          <w:trHeight w:val="170"/>
        </w:trPr>
        <w:tc>
          <w:tcPr>
            <w:tcW w:w="364" w:type="dxa"/>
            <w:tcBorders>
              <w:top w:val="nil"/>
              <w:left w:val="single" w:sz="4" w:space="0" w:color="auto"/>
              <w:bottom w:val="single" w:sz="4" w:space="0" w:color="auto"/>
              <w:right w:val="single" w:sz="4" w:space="0" w:color="auto"/>
            </w:tcBorders>
            <w:noWrap/>
            <w:vAlign w:val="center"/>
            <w:hideMark/>
          </w:tcPr>
          <w:p w:rsidR="006260E6" w:rsidRPr="004F6D7E" w:rsidRDefault="006260E6" w:rsidP="009C0293">
            <w:pPr>
              <w:keepNext/>
              <w:keepLines/>
              <w:jc w:val="center"/>
              <w:rPr>
                <w:rFonts w:cs="Arial"/>
                <w:b/>
                <w:bCs/>
                <w:color w:val="000000"/>
                <w:sz w:val="18"/>
                <w:lang w:val="en-GB"/>
              </w:rPr>
            </w:pPr>
            <w:r w:rsidRPr="004F6D7E">
              <w:rPr>
                <w:rFonts w:cs="Arial"/>
                <w:b/>
                <w:bCs/>
                <w:color w:val="000000"/>
                <w:sz w:val="18"/>
                <w:lang w:val="en-GB"/>
              </w:rPr>
              <w:t>5</w:t>
            </w:r>
          </w:p>
        </w:tc>
        <w:tc>
          <w:tcPr>
            <w:tcW w:w="2608" w:type="dxa"/>
            <w:tcBorders>
              <w:top w:val="nil"/>
              <w:left w:val="nil"/>
              <w:bottom w:val="single" w:sz="4" w:space="0" w:color="auto"/>
              <w:right w:val="nil"/>
            </w:tcBorders>
            <w:noWrap/>
            <w:vAlign w:val="center"/>
            <w:hideMark/>
          </w:tcPr>
          <w:p w:rsidR="006260E6" w:rsidRPr="004F6D7E" w:rsidRDefault="006260E6" w:rsidP="009C0293">
            <w:pPr>
              <w:keepNext/>
              <w:keepLines/>
              <w:rPr>
                <w:rFonts w:cs="Arial"/>
                <w:color w:val="000000"/>
                <w:sz w:val="18"/>
              </w:rPr>
            </w:pPr>
            <w:r w:rsidRPr="004F6D7E">
              <w:rPr>
                <w:rFonts w:cs="Arial"/>
                <w:color w:val="000000"/>
                <w:sz w:val="18"/>
              </w:rPr>
              <w:t>Bariéry vstupu do odvětví</w:t>
            </w:r>
          </w:p>
        </w:tc>
        <w:tc>
          <w:tcPr>
            <w:tcW w:w="1021" w:type="dxa"/>
            <w:tcBorders>
              <w:top w:val="nil"/>
              <w:left w:val="single" w:sz="4" w:space="0" w:color="auto"/>
              <w:bottom w:val="single" w:sz="4" w:space="0" w:color="auto"/>
              <w:right w:val="nil"/>
            </w:tcBorders>
            <w:noWrap/>
            <w:vAlign w:val="center"/>
            <w:hideMark/>
          </w:tcPr>
          <w:p w:rsidR="006260E6" w:rsidRPr="004F6D7E" w:rsidRDefault="006260E6" w:rsidP="009C0293">
            <w:pPr>
              <w:keepNext/>
              <w:keepLines/>
              <w:jc w:val="center"/>
              <w:rPr>
                <w:rFonts w:cs="Arial"/>
                <w:color w:val="000000"/>
                <w:sz w:val="18"/>
              </w:rPr>
            </w:pPr>
            <w:r w:rsidRPr="004F6D7E">
              <w:rPr>
                <w:rFonts w:cs="Arial"/>
                <w:color w:val="000000"/>
                <w:sz w:val="18"/>
              </w:rPr>
              <w:t>Ne</w:t>
            </w:r>
          </w:p>
        </w:tc>
        <w:tc>
          <w:tcPr>
            <w:tcW w:w="869" w:type="dxa"/>
            <w:tcBorders>
              <w:top w:val="nil"/>
              <w:left w:val="single" w:sz="4" w:space="0" w:color="auto"/>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125%</w:t>
            </w:r>
          </w:p>
        </w:tc>
        <w:tc>
          <w:tcPr>
            <w:tcW w:w="945"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 </w:t>
            </w:r>
          </w:p>
        </w:tc>
        <w:tc>
          <w:tcPr>
            <w:tcW w:w="770"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12,500%</w:t>
            </w:r>
          </w:p>
        </w:tc>
        <w:tc>
          <w:tcPr>
            <w:tcW w:w="1027"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15,625%</w:t>
            </w:r>
          </w:p>
        </w:tc>
        <w:tc>
          <w:tcPr>
            <w:tcW w:w="1180"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15,625%</w:t>
            </w:r>
          </w:p>
        </w:tc>
      </w:tr>
      <w:tr w:rsidR="006260E6" w:rsidTr="009C0293">
        <w:trPr>
          <w:trHeight w:val="170"/>
        </w:trPr>
        <w:tc>
          <w:tcPr>
            <w:tcW w:w="36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center"/>
              <w:rPr>
                <w:rFonts w:cs="Arial"/>
                <w:b/>
                <w:bCs/>
                <w:color w:val="000000"/>
                <w:sz w:val="18"/>
                <w:lang w:val="en-GB"/>
              </w:rPr>
            </w:pPr>
            <w:r w:rsidRPr="004F6D7E">
              <w:rPr>
                <w:rFonts w:cs="Arial"/>
                <w:b/>
                <w:bCs/>
                <w:color w:val="000000"/>
                <w:sz w:val="18"/>
                <w:lang w:val="en-GB"/>
              </w:rPr>
              <w:t>6</w:t>
            </w:r>
          </w:p>
        </w:tc>
        <w:tc>
          <w:tcPr>
            <w:tcW w:w="2608" w:type="dxa"/>
            <w:tcBorders>
              <w:top w:val="nil"/>
              <w:left w:val="nil"/>
              <w:bottom w:val="single" w:sz="4" w:space="0" w:color="auto"/>
              <w:right w:val="nil"/>
            </w:tcBorders>
            <w:shd w:val="clear" w:color="auto" w:fill="DBE5F1" w:themeFill="accent1" w:themeFillTint="33"/>
            <w:noWrap/>
            <w:vAlign w:val="center"/>
            <w:hideMark/>
          </w:tcPr>
          <w:p w:rsidR="006260E6" w:rsidRPr="004F6D7E" w:rsidRDefault="006260E6" w:rsidP="009C0293">
            <w:pPr>
              <w:keepNext/>
              <w:keepLines/>
              <w:rPr>
                <w:rFonts w:cs="Arial"/>
                <w:color w:val="000000"/>
                <w:sz w:val="18"/>
              </w:rPr>
            </w:pPr>
            <w:r w:rsidRPr="004F6D7E">
              <w:rPr>
                <w:rFonts w:cs="Arial"/>
                <w:color w:val="000000"/>
                <w:sz w:val="18"/>
              </w:rPr>
              <w:t>Postavení vůči odběratelům a dodavatelům</w:t>
            </w:r>
          </w:p>
        </w:tc>
        <w:tc>
          <w:tcPr>
            <w:tcW w:w="1021" w:type="dxa"/>
            <w:tcBorders>
              <w:top w:val="nil"/>
              <w:left w:val="single" w:sz="4" w:space="0" w:color="auto"/>
              <w:bottom w:val="single" w:sz="4" w:space="0" w:color="auto"/>
              <w:right w:val="nil"/>
            </w:tcBorders>
            <w:shd w:val="clear" w:color="auto" w:fill="DBE5F1" w:themeFill="accent1" w:themeFillTint="33"/>
            <w:noWrap/>
            <w:vAlign w:val="center"/>
            <w:hideMark/>
          </w:tcPr>
          <w:p w:rsidR="006260E6" w:rsidRPr="004F6D7E" w:rsidRDefault="006260E6" w:rsidP="009C0293">
            <w:pPr>
              <w:keepNext/>
              <w:keepLines/>
              <w:jc w:val="center"/>
              <w:rPr>
                <w:rFonts w:cs="Arial"/>
                <w:color w:val="000000"/>
                <w:sz w:val="18"/>
              </w:rPr>
            </w:pPr>
            <w:r w:rsidRPr="004F6D7E">
              <w:rPr>
                <w:rFonts w:cs="Arial"/>
                <w:color w:val="000000"/>
                <w:sz w:val="18"/>
              </w:rPr>
              <w:t>Ne</w:t>
            </w:r>
          </w:p>
        </w:tc>
        <w:tc>
          <w:tcPr>
            <w:tcW w:w="86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100%</w:t>
            </w:r>
          </w:p>
        </w:tc>
        <w:tc>
          <w:tcPr>
            <w:tcW w:w="945"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 </w:t>
            </w:r>
          </w:p>
        </w:tc>
        <w:tc>
          <w:tcPr>
            <w:tcW w:w="770"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6,250%</w:t>
            </w:r>
          </w:p>
        </w:tc>
        <w:tc>
          <w:tcPr>
            <w:tcW w:w="1027"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6,250%</w:t>
            </w:r>
          </w:p>
        </w:tc>
        <w:tc>
          <w:tcPr>
            <w:tcW w:w="1180"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6,250%</w:t>
            </w:r>
          </w:p>
        </w:tc>
      </w:tr>
      <w:tr w:rsidR="006260E6" w:rsidTr="009C0293">
        <w:trPr>
          <w:trHeight w:val="170"/>
        </w:trPr>
        <w:tc>
          <w:tcPr>
            <w:tcW w:w="364" w:type="dxa"/>
            <w:tcBorders>
              <w:top w:val="nil"/>
              <w:left w:val="single" w:sz="4" w:space="0" w:color="auto"/>
              <w:bottom w:val="single" w:sz="4" w:space="0" w:color="auto"/>
              <w:right w:val="single" w:sz="4" w:space="0" w:color="auto"/>
            </w:tcBorders>
            <w:noWrap/>
            <w:vAlign w:val="center"/>
            <w:hideMark/>
          </w:tcPr>
          <w:p w:rsidR="006260E6" w:rsidRPr="004F6D7E" w:rsidRDefault="006260E6" w:rsidP="009C0293">
            <w:pPr>
              <w:keepNext/>
              <w:keepLines/>
              <w:jc w:val="center"/>
              <w:rPr>
                <w:rFonts w:cs="Arial"/>
                <w:b/>
                <w:bCs/>
                <w:color w:val="000000"/>
                <w:sz w:val="18"/>
                <w:lang w:val="en-GB"/>
              </w:rPr>
            </w:pPr>
            <w:r w:rsidRPr="004F6D7E">
              <w:rPr>
                <w:rFonts w:cs="Arial"/>
                <w:b/>
                <w:bCs/>
                <w:color w:val="000000"/>
                <w:sz w:val="18"/>
                <w:lang w:val="en-GB"/>
              </w:rPr>
              <w:t>7</w:t>
            </w:r>
          </w:p>
        </w:tc>
        <w:tc>
          <w:tcPr>
            <w:tcW w:w="2608" w:type="dxa"/>
            <w:tcBorders>
              <w:top w:val="nil"/>
              <w:left w:val="nil"/>
              <w:bottom w:val="single" w:sz="4" w:space="0" w:color="auto"/>
              <w:right w:val="nil"/>
            </w:tcBorders>
            <w:noWrap/>
            <w:vAlign w:val="center"/>
            <w:hideMark/>
          </w:tcPr>
          <w:p w:rsidR="006260E6" w:rsidRPr="004F6D7E" w:rsidRDefault="006260E6" w:rsidP="009C0293">
            <w:pPr>
              <w:keepNext/>
              <w:keepLines/>
              <w:rPr>
                <w:rFonts w:cs="Arial"/>
                <w:color w:val="000000"/>
                <w:sz w:val="18"/>
              </w:rPr>
            </w:pPr>
            <w:r w:rsidRPr="004F6D7E">
              <w:rPr>
                <w:rFonts w:cs="Arial"/>
                <w:color w:val="000000"/>
                <w:sz w:val="18"/>
              </w:rPr>
              <w:t>Konkurenceschopnost služby</w:t>
            </w:r>
          </w:p>
        </w:tc>
        <w:tc>
          <w:tcPr>
            <w:tcW w:w="1021" w:type="dxa"/>
            <w:tcBorders>
              <w:top w:val="nil"/>
              <w:left w:val="single" w:sz="4" w:space="0" w:color="auto"/>
              <w:bottom w:val="single" w:sz="4" w:space="0" w:color="auto"/>
              <w:right w:val="nil"/>
            </w:tcBorders>
            <w:noWrap/>
            <w:vAlign w:val="center"/>
            <w:hideMark/>
          </w:tcPr>
          <w:p w:rsidR="006260E6" w:rsidRPr="004F6D7E" w:rsidRDefault="006260E6" w:rsidP="009C0293">
            <w:pPr>
              <w:keepNext/>
              <w:keepLines/>
              <w:jc w:val="center"/>
              <w:rPr>
                <w:rFonts w:cs="Arial"/>
                <w:color w:val="000000"/>
                <w:sz w:val="18"/>
              </w:rPr>
            </w:pPr>
            <w:r w:rsidRPr="004F6D7E">
              <w:rPr>
                <w:rFonts w:cs="Arial"/>
                <w:color w:val="000000"/>
                <w:sz w:val="18"/>
              </w:rPr>
              <w:t>Ne</w:t>
            </w:r>
          </w:p>
        </w:tc>
        <w:tc>
          <w:tcPr>
            <w:tcW w:w="869" w:type="dxa"/>
            <w:tcBorders>
              <w:top w:val="nil"/>
              <w:left w:val="single" w:sz="4" w:space="0" w:color="auto"/>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75%</w:t>
            </w:r>
          </w:p>
        </w:tc>
        <w:tc>
          <w:tcPr>
            <w:tcW w:w="945"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 </w:t>
            </w:r>
          </w:p>
        </w:tc>
        <w:tc>
          <w:tcPr>
            <w:tcW w:w="770"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6,250%</w:t>
            </w:r>
          </w:p>
        </w:tc>
        <w:tc>
          <w:tcPr>
            <w:tcW w:w="1027"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4,688%</w:t>
            </w:r>
          </w:p>
        </w:tc>
        <w:tc>
          <w:tcPr>
            <w:tcW w:w="1180"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4,688%</w:t>
            </w:r>
          </w:p>
        </w:tc>
      </w:tr>
      <w:tr w:rsidR="006260E6" w:rsidTr="009C0293">
        <w:trPr>
          <w:trHeight w:val="170"/>
        </w:trPr>
        <w:tc>
          <w:tcPr>
            <w:tcW w:w="36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center"/>
              <w:rPr>
                <w:rFonts w:cs="Arial"/>
                <w:b/>
                <w:bCs/>
                <w:color w:val="000000"/>
                <w:sz w:val="18"/>
                <w:lang w:val="en-GB"/>
              </w:rPr>
            </w:pPr>
            <w:r w:rsidRPr="004F6D7E">
              <w:rPr>
                <w:rFonts w:cs="Arial"/>
                <w:b/>
                <w:bCs/>
                <w:color w:val="000000"/>
                <w:sz w:val="18"/>
                <w:lang w:val="en-GB"/>
              </w:rPr>
              <w:t>8</w:t>
            </w:r>
          </w:p>
        </w:tc>
        <w:tc>
          <w:tcPr>
            <w:tcW w:w="2608" w:type="dxa"/>
            <w:tcBorders>
              <w:top w:val="nil"/>
              <w:left w:val="nil"/>
              <w:bottom w:val="single" w:sz="4" w:space="0" w:color="auto"/>
              <w:right w:val="nil"/>
            </w:tcBorders>
            <w:shd w:val="clear" w:color="auto" w:fill="DBE5F1" w:themeFill="accent1" w:themeFillTint="33"/>
            <w:noWrap/>
            <w:vAlign w:val="center"/>
            <w:hideMark/>
          </w:tcPr>
          <w:p w:rsidR="006260E6" w:rsidRPr="004F6D7E" w:rsidRDefault="006260E6" w:rsidP="009C0293">
            <w:pPr>
              <w:keepNext/>
              <w:keepLines/>
              <w:rPr>
                <w:rFonts w:cs="Arial"/>
                <w:color w:val="000000"/>
                <w:sz w:val="18"/>
              </w:rPr>
            </w:pPr>
            <w:r w:rsidRPr="004F6D7E">
              <w:rPr>
                <w:rFonts w:cs="Arial"/>
                <w:color w:val="000000"/>
                <w:sz w:val="18"/>
              </w:rPr>
              <w:t>Ceny</w:t>
            </w:r>
          </w:p>
        </w:tc>
        <w:tc>
          <w:tcPr>
            <w:tcW w:w="1021" w:type="dxa"/>
            <w:tcBorders>
              <w:top w:val="nil"/>
              <w:left w:val="single" w:sz="4" w:space="0" w:color="auto"/>
              <w:bottom w:val="single" w:sz="4" w:space="0" w:color="auto"/>
              <w:right w:val="nil"/>
            </w:tcBorders>
            <w:shd w:val="clear" w:color="auto" w:fill="DBE5F1" w:themeFill="accent1" w:themeFillTint="33"/>
            <w:noWrap/>
            <w:vAlign w:val="center"/>
            <w:hideMark/>
          </w:tcPr>
          <w:p w:rsidR="006260E6" w:rsidRPr="004F6D7E" w:rsidRDefault="006260E6" w:rsidP="009C0293">
            <w:pPr>
              <w:keepNext/>
              <w:keepLines/>
              <w:jc w:val="center"/>
              <w:rPr>
                <w:rFonts w:cs="Arial"/>
                <w:color w:val="000000"/>
                <w:sz w:val="18"/>
              </w:rPr>
            </w:pPr>
            <w:r w:rsidRPr="004F6D7E">
              <w:rPr>
                <w:rFonts w:cs="Arial"/>
                <w:color w:val="000000"/>
                <w:sz w:val="18"/>
              </w:rPr>
              <w:t>Ne</w:t>
            </w:r>
          </w:p>
        </w:tc>
        <w:tc>
          <w:tcPr>
            <w:tcW w:w="86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150%</w:t>
            </w:r>
          </w:p>
        </w:tc>
        <w:tc>
          <w:tcPr>
            <w:tcW w:w="945"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 </w:t>
            </w:r>
          </w:p>
        </w:tc>
        <w:tc>
          <w:tcPr>
            <w:tcW w:w="770"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12,500%</w:t>
            </w:r>
          </w:p>
        </w:tc>
        <w:tc>
          <w:tcPr>
            <w:tcW w:w="1027"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18,750%</w:t>
            </w:r>
          </w:p>
        </w:tc>
        <w:tc>
          <w:tcPr>
            <w:tcW w:w="1180" w:type="dxa"/>
            <w:tcBorders>
              <w:top w:val="nil"/>
              <w:left w:val="nil"/>
              <w:bottom w:val="single" w:sz="4"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18,750%</w:t>
            </w:r>
          </w:p>
        </w:tc>
      </w:tr>
      <w:tr w:rsidR="006260E6" w:rsidTr="009C0293">
        <w:trPr>
          <w:trHeight w:val="170"/>
        </w:trPr>
        <w:tc>
          <w:tcPr>
            <w:tcW w:w="364" w:type="dxa"/>
            <w:tcBorders>
              <w:top w:val="nil"/>
              <w:left w:val="single" w:sz="4" w:space="0" w:color="auto"/>
              <w:bottom w:val="single" w:sz="4" w:space="0" w:color="auto"/>
              <w:right w:val="single" w:sz="4" w:space="0" w:color="auto"/>
            </w:tcBorders>
            <w:noWrap/>
            <w:vAlign w:val="center"/>
            <w:hideMark/>
          </w:tcPr>
          <w:p w:rsidR="006260E6" w:rsidRPr="004F6D7E" w:rsidRDefault="006260E6" w:rsidP="009C0293">
            <w:pPr>
              <w:keepNext/>
              <w:keepLines/>
              <w:jc w:val="center"/>
              <w:rPr>
                <w:rFonts w:cs="Arial"/>
                <w:b/>
                <w:bCs/>
                <w:color w:val="000000"/>
                <w:sz w:val="18"/>
                <w:lang w:val="en-GB"/>
              </w:rPr>
            </w:pPr>
            <w:r w:rsidRPr="004F6D7E">
              <w:rPr>
                <w:rFonts w:cs="Arial"/>
                <w:b/>
                <w:bCs/>
                <w:color w:val="000000"/>
                <w:sz w:val="18"/>
                <w:lang w:val="en-GB"/>
              </w:rPr>
              <w:t>9</w:t>
            </w:r>
          </w:p>
        </w:tc>
        <w:tc>
          <w:tcPr>
            <w:tcW w:w="2608" w:type="dxa"/>
            <w:tcBorders>
              <w:top w:val="nil"/>
              <w:left w:val="nil"/>
              <w:bottom w:val="single" w:sz="4" w:space="0" w:color="auto"/>
              <w:right w:val="nil"/>
            </w:tcBorders>
            <w:noWrap/>
            <w:vAlign w:val="center"/>
            <w:hideMark/>
          </w:tcPr>
          <w:p w:rsidR="006260E6" w:rsidRPr="004F6D7E" w:rsidRDefault="006260E6" w:rsidP="009C0293">
            <w:pPr>
              <w:keepNext/>
              <w:keepLines/>
              <w:rPr>
                <w:rFonts w:cs="Arial"/>
                <w:color w:val="000000"/>
                <w:sz w:val="18"/>
              </w:rPr>
            </w:pPr>
            <w:r w:rsidRPr="004F6D7E">
              <w:rPr>
                <w:rFonts w:cs="Arial"/>
                <w:color w:val="000000"/>
                <w:sz w:val="18"/>
              </w:rPr>
              <w:t>Regulatorní riziko</w:t>
            </w:r>
          </w:p>
        </w:tc>
        <w:tc>
          <w:tcPr>
            <w:tcW w:w="1021" w:type="dxa"/>
            <w:tcBorders>
              <w:top w:val="nil"/>
              <w:left w:val="single" w:sz="4" w:space="0" w:color="auto"/>
              <w:bottom w:val="single" w:sz="4" w:space="0" w:color="auto"/>
              <w:right w:val="nil"/>
            </w:tcBorders>
            <w:noWrap/>
            <w:vAlign w:val="center"/>
            <w:hideMark/>
          </w:tcPr>
          <w:p w:rsidR="006260E6" w:rsidRPr="004F6D7E" w:rsidRDefault="006260E6" w:rsidP="009C0293">
            <w:pPr>
              <w:keepNext/>
              <w:keepLines/>
              <w:jc w:val="center"/>
              <w:rPr>
                <w:rFonts w:cs="Arial"/>
                <w:color w:val="000000"/>
                <w:sz w:val="18"/>
              </w:rPr>
            </w:pPr>
            <w:r w:rsidRPr="004F6D7E">
              <w:rPr>
                <w:rFonts w:cs="Arial"/>
                <w:color w:val="000000"/>
                <w:sz w:val="18"/>
              </w:rPr>
              <w:t>Ne</w:t>
            </w:r>
          </w:p>
        </w:tc>
        <w:tc>
          <w:tcPr>
            <w:tcW w:w="869" w:type="dxa"/>
            <w:tcBorders>
              <w:top w:val="nil"/>
              <w:left w:val="single" w:sz="4" w:space="0" w:color="auto"/>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110%</w:t>
            </w:r>
          </w:p>
        </w:tc>
        <w:tc>
          <w:tcPr>
            <w:tcW w:w="945"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 </w:t>
            </w:r>
          </w:p>
        </w:tc>
        <w:tc>
          <w:tcPr>
            <w:tcW w:w="770"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12,500%</w:t>
            </w:r>
          </w:p>
        </w:tc>
        <w:tc>
          <w:tcPr>
            <w:tcW w:w="1027"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13,750%</w:t>
            </w:r>
          </w:p>
        </w:tc>
        <w:tc>
          <w:tcPr>
            <w:tcW w:w="1180" w:type="dxa"/>
            <w:tcBorders>
              <w:top w:val="nil"/>
              <w:left w:val="nil"/>
              <w:bottom w:val="single" w:sz="4" w:space="0" w:color="auto"/>
              <w:right w:val="single" w:sz="4" w:space="0" w:color="auto"/>
            </w:tcBorders>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13,750%</w:t>
            </w:r>
          </w:p>
        </w:tc>
      </w:tr>
      <w:tr w:rsidR="006260E6" w:rsidTr="009C0293">
        <w:trPr>
          <w:trHeight w:val="170"/>
        </w:trPr>
        <w:tc>
          <w:tcPr>
            <w:tcW w:w="364" w:type="dxa"/>
            <w:tcBorders>
              <w:top w:val="nil"/>
              <w:left w:val="single" w:sz="4" w:space="0" w:color="auto"/>
              <w:bottom w:val="single" w:sz="12"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center"/>
              <w:rPr>
                <w:rFonts w:cs="Arial"/>
                <w:b/>
                <w:bCs/>
                <w:color w:val="000000"/>
                <w:sz w:val="18"/>
                <w:lang w:val="en-GB"/>
              </w:rPr>
            </w:pPr>
            <w:r w:rsidRPr="004F6D7E">
              <w:rPr>
                <w:rFonts w:cs="Arial"/>
                <w:b/>
                <w:bCs/>
                <w:color w:val="000000"/>
                <w:sz w:val="18"/>
                <w:lang w:val="en-GB"/>
              </w:rPr>
              <w:t>10</w:t>
            </w:r>
          </w:p>
        </w:tc>
        <w:tc>
          <w:tcPr>
            <w:tcW w:w="2608" w:type="dxa"/>
            <w:tcBorders>
              <w:top w:val="nil"/>
              <w:left w:val="nil"/>
              <w:bottom w:val="single" w:sz="12" w:space="0" w:color="auto"/>
              <w:right w:val="nil"/>
            </w:tcBorders>
            <w:shd w:val="clear" w:color="auto" w:fill="DBE5F1" w:themeFill="accent1" w:themeFillTint="33"/>
            <w:noWrap/>
            <w:vAlign w:val="center"/>
            <w:hideMark/>
          </w:tcPr>
          <w:p w:rsidR="006260E6" w:rsidRPr="004F6D7E" w:rsidRDefault="006260E6" w:rsidP="009C0293">
            <w:pPr>
              <w:keepNext/>
              <w:keepLines/>
              <w:rPr>
                <w:rFonts w:cs="Arial"/>
                <w:color w:val="000000"/>
                <w:sz w:val="18"/>
              </w:rPr>
            </w:pPr>
            <w:r w:rsidRPr="004F6D7E">
              <w:rPr>
                <w:rFonts w:cs="Arial"/>
                <w:color w:val="000000"/>
                <w:sz w:val="18"/>
              </w:rPr>
              <w:t>Finanční riziko</w:t>
            </w:r>
          </w:p>
        </w:tc>
        <w:tc>
          <w:tcPr>
            <w:tcW w:w="1021" w:type="dxa"/>
            <w:tcBorders>
              <w:top w:val="nil"/>
              <w:left w:val="single" w:sz="4" w:space="0" w:color="auto"/>
              <w:bottom w:val="single" w:sz="12" w:space="0" w:color="auto"/>
              <w:right w:val="nil"/>
            </w:tcBorders>
            <w:shd w:val="clear" w:color="auto" w:fill="DBE5F1" w:themeFill="accent1" w:themeFillTint="33"/>
            <w:noWrap/>
            <w:vAlign w:val="center"/>
            <w:hideMark/>
          </w:tcPr>
          <w:p w:rsidR="006260E6" w:rsidRPr="004F6D7E" w:rsidRDefault="006260E6" w:rsidP="009C0293">
            <w:pPr>
              <w:keepNext/>
              <w:keepLines/>
              <w:jc w:val="center"/>
              <w:rPr>
                <w:rFonts w:cs="Arial"/>
                <w:color w:val="000000"/>
                <w:sz w:val="18"/>
              </w:rPr>
            </w:pPr>
            <w:r w:rsidRPr="004F6D7E">
              <w:rPr>
                <w:rFonts w:cs="Arial"/>
                <w:color w:val="000000"/>
                <w:sz w:val="18"/>
              </w:rPr>
              <w:t>Ne</w:t>
            </w:r>
          </w:p>
        </w:tc>
        <w:tc>
          <w:tcPr>
            <w:tcW w:w="869" w:type="dxa"/>
            <w:tcBorders>
              <w:top w:val="nil"/>
              <w:left w:val="single" w:sz="4" w:space="0" w:color="auto"/>
              <w:bottom w:val="single" w:sz="12"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90%</w:t>
            </w:r>
          </w:p>
        </w:tc>
        <w:tc>
          <w:tcPr>
            <w:tcW w:w="945" w:type="dxa"/>
            <w:tcBorders>
              <w:top w:val="nil"/>
              <w:left w:val="nil"/>
              <w:bottom w:val="single" w:sz="12"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 </w:t>
            </w:r>
          </w:p>
        </w:tc>
        <w:tc>
          <w:tcPr>
            <w:tcW w:w="770" w:type="dxa"/>
            <w:tcBorders>
              <w:top w:val="nil"/>
              <w:left w:val="nil"/>
              <w:bottom w:val="single" w:sz="12"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12,500%</w:t>
            </w:r>
          </w:p>
        </w:tc>
        <w:tc>
          <w:tcPr>
            <w:tcW w:w="1027" w:type="dxa"/>
            <w:tcBorders>
              <w:top w:val="nil"/>
              <w:left w:val="nil"/>
              <w:bottom w:val="single" w:sz="12"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11,250%</w:t>
            </w:r>
          </w:p>
        </w:tc>
        <w:tc>
          <w:tcPr>
            <w:tcW w:w="1180" w:type="dxa"/>
            <w:tcBorders>
              <w:top w:val="nil"/>
              <w:left w:val="nil"/>
              <w:bottom w:val="single" w:sz="12" w:space="0" w:color="auto"/>
              <w:right w:val="single" w:sz="4" w:space="0" w:color="auto"/>
            </w:tcBorders>
            <w:shd w:val="clear" w:color="auto" w:fill="DBE5F1" w:themeFill="accent1" w:themeFillTint="33"/>
            <w:noWrap/>
            <w:vAlign w:val="center"/>
            <w:hideMark/>
          </w:tcPr>
          <w:p w:rsidR="006260E6" w:rsidRPr="004F6D7E" w:rsidRDefault="006260E6" w:rsidP="009C0293">
            <w:pPr>
              <w:keepNext/>
              <w:keepLines/>
              <w:jc w:val="right"/>
              <w:rPr>
                <w:rFonts w:cs="Arial"/>
                <w:color w:val="000000"/>
                <w:sz w:val="18"/>
              </w:rPr>
            </w:pPr>
            <w:r w:rsidRPr="004F6D7E">
              <w:rPr>
                <w:rFonts w:cs="Arial"/>
                <w:color w:val="000000"/>
                <w:sz w:val="18"/>
              </w:rPr>
              <w:t>11,250%</w:t>
            </w:r>
          </w:p>
        </w:tc>
      </w:tr>
      <w:tr w:rsidR="006260E6" w:rsidTr="009C0293">
        <w:trPr>
          <w:trHeight w:val="283"/>
        </w:trPr>
        <w:tc>
          <w:tcPr>
            <w:tcW w:w="364" w:type="dxa"/>
            <w:tcBorders>
              <w:top w:val="single" w:sz="12" w:space="0" w:color="auto"/>
              <w:left w:val="single" w:sz="8" w:space="0" w:color="auto"/>
              <w:bottom w:val="single" w:sz="8" w:space="0" w:color="auto"/>
              <w:right w:val="single" w:sz="8" w:space="0" w:color="auto"/>
            </w:tcBorders>
            <w:noWrap/>
            <w:vAlign w:val="center"/>
            <w:hideMark/>
          </w:tcPr>
          <w:p w:rsidR="006260E6" w:rsidRPr="004F6D7E" w:rsidRDefault="006260E6" w:rsidP="009C0293">
            <w:pPr>
              <w:keepNext/>
              <w:keepLines/>
              <w:rPr>
                <w:rFonts w:cs="Arial"/>
                <w:color w:val="000000"/>
                <w:sz w:val="18"/>
                <w:lang w:val="en-GB"/>
              </w:rPr>
            </w:pPr>
          </w:p>
        </w:tc>
        <w:tc>
          <w:tcPr>
            <w:tcW w:w="2608" w:type="dxa"/>
            <w:tcBorders>
              <w:top w:val="single" w:sz="12" w:space="0" w:color="auto"/>
              <w:left w:val="single" w:sz="8" w:space="0" w:color="auto"/>
              <w:bottom w:val="single" w:sz="8" w:space="0" w:color="auto"/>
              <w:right w:val="single" w:sz="8" w:space="0" w:color="auto"/>
            </w:tcBorders>
            <w:noWrap/>
            <w:vAlign w:val="center"/>
            <w:hideMark/>
          </w:tcPr>
          <w:p w:rsidR="006260E6" w:rsidRPr="004F6D7E" w:rsidRDefault="006260E6" w:rsidP="009C0293">
            <w:pPr>
              <w:keepNext/>
              <w:keepLines/>
              <w:rPr>
                <w:rFonts w:cs="Arial"/>
                <w:b/>
                <w:bCs/>
                <w:color w:val="000000"/>
                <w:sz w:val="18"/>
                <w:szCs w:val="18"/>
              </w:rPr>
            </w:pPr>
            <w:r w:rsidRPr="004F6D7E">
              <w:rPr>
                <w:rFonts w:cs="Arial"/>
                <w:b/>
                <w:bCs/>
                <w:color w:val="000000"/>
                <w:sz w:val="18"/>
                <w:szCs w:val="18"/>
              </w:rPr>
              <w:t>CELKEM</w:t>
            </w:r>
          </w:p>
        </w:tc>
        <w:tc>
          <w:tcPr>
            <w:tcW w:w="1021" w:type="dxa"/>
            <w:tcBorders>
              <w:top w:val="single" w:sz="12" w:space="0" w:color="auto"/>
              <w:left w:val="single" w:sz="8" w:space="0" w:color="auto"/>
              <w:bottom w:val="single" w:sz="8" w:space="0" w:color="auto"/>
              <w:right w:val="single" w:sz="8" w:space="0" w:color="auto"/>
            </w:tcBorders>
            <w:noWrap/>
            <w:vAlign w:val="center"/>
            <w:hideMark/>
          </w:tcPr>
          <w:p w:rsidR="006260E6" w:rsidRPr="004F6D7E" w:rsidRDefault="006260E6" w:rsidP="009C0293">
            <w:pPr>
              <w:keepNext/>
              <w:keepLines/>
              <w:rPr>
                <w:rFonts w:cs="Arial"/>
                <w:b/>
                <w:bCs/>
                <w:color w:val="000000"/>
                <w:sz w:val="18"/>
                <w:szCs w:val="18"/>
              </w:rPr>
            </w:pPr>
          </w:p>
        </w:tc>
        <w:tc>
          <w:tcPr>
            <w:tcW w:w="869" w:type="dxa"/>
            <w:tcBorders>
              <w:top w:val="single" w:sz="12" w:space="0" w:color="auto"/>
              <w:left w:val="single" w:sz="8" w:space="0" w:color="auto"/>
              <w:bottom w:val="single" w:sz="8" w:space="0" w:color="auto"/>
              <w:right w:val="single" w:sz="8" w:space="0" w:color="auto"/>
            </w:tcBorders>
            <w:noWrap/>
            <w:vAlign w:val="center"/>
            <w:hideMark/>
          </w:tcPr>
          <w:p w:rsidR="006260E6" w:rsidRPr="004F6D7E" w:rsidRDefault="006260E6" w:rsidP="009C0293">
            <w:pPr>
              <w:keepNext/>
              <w:keepLines/>
              <w:rPr>
                <w:rFonts w:cs="Arial"/>
                <w:sz w:val="18"/>
                <w:szCs w:val="18"/>
              </w:rPr>
            </w:pPr>
          </w:p>
        </w:tc>
        <w:tc>
          <w:tcPr>
            <w:tcW w:w="945" w:type="dxa"/>
            <w:tcBorders>
              <w:top w:val="single" w:sz="12" w:space="0" w:color="auto"/>
              <w:left w:val="single" w:sz="8" w:space="0" w:color="auto"/>
              <w:bottom w:val="single" w:sz="8" w:space="0" w:color="auto"/>
              <w:right w:val="single" w:sz="8" w:space="0" w:color="auto"/>
            </w:tcBorders>
            <w:noWrap/>
            <w:vAlign w:val="center"/>
            <w:hideMark/>
          </w:tcPr>
          <w:p w:rsidR="006260E6" w:rsidRPr="004F6D7E" w:rsidRDefault="006260E6" w:rsidP="009C0293">
            <w:pPr>
              <w:keepNext/>
              <w:keepLines/>
              <w:rPr>
                <w:rFonts w:cs="Arial"/>
                <w:sz w:val="18"/>
                <w:szCs w:val="18"/>
              </w:rPr>
            </w:pPr>
          </w:p>
        </w:tc>
        <w:tc>
          <w:tcPr>
            <w:tcW w:w="770" w:type="dxa"/>
            <w:tcBorders>
              <w:top w:val="single" w:sz="12" w:space="0" w:color="auto"/>
              <w:left w:val="single" w:sz="8" w:space="0" w:color="auto"/>
              <w:bottom w:val="single" w:sz="8" w:space="0" w:color="auto"/>
              <w:right w:val="single" w:sz="8" w:space="0" w:color="auto"/>
            </w:tcBorders>
            <w:noWrap/>
            <w:vAlign w:val="center"/>
            <w:hideMark/>
          </w:tcPr>
          <w:p w:rsidR="006260E6" w:rsidRPr="004F6D7E" w:rsidRDefault="006260E6" w:rsidP="009C0293">
            <w:pPr>
              <w:keepNext/>
              <w:keepLines/>
              <w:jc w:val="right"/>
              <w:rPr>
                <w:rFonts w:cs="Arial"/>
                <w:b/>
                <w:bCs/>
                <w:color w:val="000000"/>
                <w:sz w:val="18"/>
                <w:szCs w:val="18"/>
              </w:rPr>
            </w:pPr>
            <w:r w:rsidRPr="004F6D7E">
              <w:rPr>
                <w:rFonts w:cs="Arial"/>
                <w:b/>
                <w:bCs/>
                <w:color w:val="000000"/>
                <w:sz w:val="18"/>
                <w:szCs w:val="18"/>
              </w:rPr>
              <w:t>100%</w:t>
            </w:r>
          </w:p>
        </w:tc>
        <w:tc>
          <w:tcPr>
            <w:tcW w:w="1027" w:type="dxa"/>
            <w:tcBorders>
              <w:top w:val="single" w:sz="12" w:space="0" w:color="auto"/>
              <w:left w:val="single" w:sz="8" w:space="0" w:color="auto"/>
              <w:bottom w:val="single" w:sz="8" w:space="0" w:color="auto"/>
              <w:right w:val="single" w:sz="8" w:space="0" w:color="auto"/>
            </w:tcBorders>
            <w:noWrap/>
            <w:vAlign w:val="center"/>
            <w:hideMark/>
          </w:tcPr>
          <w:p w:rsidR="006260E6" w:rsidRPr="004F6D7E" w:rsidRDefault="006260E6" w:rsidP="009C0293">
            <w:pPr>
              <w:keepNext/>
              <w:keepLines/>
              <w:jc w:val="right"/>
              <w:rPr>
                <w:rFonts w:cs="Arial"/>
                <w:b/>
                <w:bCs/>
                <w:color w:val="000000"/>
                <w:sz w:val="18"/>
                <w:szCs w:val="18"/>
              </w:rPr>
            </w:pPr>
            <w:r w:rsidRPr="004F6D7E">
              <w:rPr>
                <w:rFonts w:cs="Arial"/>
                <w:b/>
                <w:bCs/>
                <w:color w:val="000000"/>
                <w:sz w:val="18"/>
                <w:szCs w:val="18"/>
              </w:rPr>
              <w:t>119,375%</w:t>
            </w:r>
          </w:p>
        </w:tc>
        <w:tc>
          <w:tcPr>
            <w:tcW w:w="1180" w:type="dxa"/>
            <w:tcBorders>
              <w:top w:val="single" w:sz="12" w:space="0" w:color="auto"/>
              <w:left w:val="single" w:sz="8" w:space="0" w:color="auto"/>
              <w:bottom w:val="single" w:sz="8" w:space="0" w:color="auto"/>
              <w:right w:val="single" w:sz="8" w:space="0" w:color="auto"/>
            </w:tcBorders>
            <w:noWrap/>
            <w:vAlign w:val="center"/>
            <w:hideMark/>
          </w:tcPr>
          <w:p w:rsidR="006260E6" w:rsidRPr="004F6D7E" w:rsidRDefault="006260E6" w:rsidP="009C0293">
            <w:pPr>
              <w:keepNext/>
              <w:keepLines/>
              <w:jc w:val="right"/>
              <w:rPr>
                <w:rFonts w:cs="Arial"/>
                <w:b/>
                <w:bCs/>
                <w:color w:val="000000"/>
                <w:sz w:val="18"/>
                <w:szCs w:val="18"/>
              </w:rPr>
            </w:pPr>
            <w:r w:rsidRPr="004F6D7E">
              <w:rPr>
                <w:rFonts w:cs="Arial"/>
                <w:b/>
                <w:bCs/>
                <w:color w:val="000000"/>
                <w:sz w:val="18"/>
                <w:szCs w:val="18"/>
              </w:rPr>
              <w:t>123,438%</w:t>
            </w:r>
          </w:p>
        </w:tc>
      </w:tr>
    </w:tbl>
    <w:p w:rsidR="006260E6" w:rsidRPr="009C0293" w:rsidRDefault="006260E6" w:rsidP="009C0293">
      <w:pPr>
        <w:spacing w:before="240" w:after="240"/>
        <w:ind w:firstLine="709"/>
        <w:jc w:val="both"/>
        <w:rPr>
          <w:rFonts w:ascii="Arial" w:hAnsi="Arial" w:cs="Arial"/>
          <w:sz w:val="22"/>
          <w:szCs w:val="22"/>
        </w:rPr>
      </w:pPr>
      <w:r w:rsidRPr="009C0293">
        <w:rPr>
          <w:rFonts w:ascii="Arial" w:hAnsi="Arial" w:cs="Arial"/>
          <w:sz w:val="22"/>
          <w:szCs w:val="22"/>
        </w:rPr>
        <w:t xml:space="preserve">Společnost GTA dospěla k závěru, že v porovnání s rokem 2018 </w:t>
      </w:r>
      <w:r w:rsidRPr="009C0293">
        <w:rPr>
          <w:rFonts w:ascii="Arial" w:hAnsi="Arial" w:cs="Arial"/>
          <w:b/>
          <w:bCs/>
          <w:sz w:val="22"/>
          <w:szCs w:val="22"/>
        </w:rPr>
        <w:t>je v roce 2023 vyšší riziko plynoucí z velikosti, kapacity trhu a možnosti expanze a riziko plynoucí z intenzity konkurence</w:t>
      </w:r>
      <w:r w:rsidRPr="009C0293">
        <w:rPr>
          <w:rFonts w:ascii="Arial" w:hAnsi="Arial" w:cs="Arial"/>
          <w:sz w:val="22"/>
          <w:szCs w:val="22"/>
        </w:rPr>
        <w:t xml:space="preserve">. </w:t>
      </w:r>
    </w:p>
    <w:p w:rsidR="006260E6" w:rsidRPr="009C0293" w:rsidRDefault="006260E6" w:rsidP="009C0293">
      <w:pPr>
        <w:spacing w:after="240"/>
        <w:ind w:firstLine="709"/>
        <w:jc w:val="both"/>
        <w:rPr>
          <w:rFonts w:ascii="Arial" w:hAnsi="Arial" w:cs="Arial"/>
          <w:sz w:val="22"/>
          <w:szCs w:val="22"/>
        </w:rPr>
      </w:pPr>
      <w:r w:rsidRPr="009C0293">
        <w:rPr>
          <w:rFonts w:ascii="Arial" w:hAnsi="Arial" w:cs="Arial"/>
          <w:sz w:val="22"/>
          <w:szCs w:val="22"/>
        </w:rPr>
        <w:t xml:space="preserve">Při stanovení váhy v případě </w:t>
      </w:r>
      <w:r w:rsidRPr="009C0293">
        <w:rPr>
          <w:rFonts w:ascii="Arial" w:hAnsi="Arial" w:cs="Arial"/>
          <w:b/>
          <w:bCs/>
          <w:sz w:val="22"/>
          <w:szCs w:val="22"/>
        </w:rPr>
        <w:t xml:space="preserve">rizika plynoucího z velikosti, kapacity trhu a možnosti expanze </w:t>
      </w:r>
      <w:r w:rsidRPr="009C0293">
        <w:rPr>
          <w:rFonts w:ascii="Arial" w:hAnsi="Arial" w:cs="Arial"/>
          <w:sz w:val="22"/>
          <w:szCs w:val="22"/>
        </w:rPr>
        <w:t xml:space="preserve">byla hodnocena obecně velikost trhu, kdy větší trh je považován za méně rizikový z důvodů možnosti realizovat úspory z rozsahu, vlivem zkušenostní křivky (postupné snižování nákladů) apod. Dále byla hodnocena nasycenost trhu s ohledem na možnosti další expanze, přičemž vyšší nasycenost trhu zvyšuje rizika. Významnost (váha) tohoto rizikového fakturu byla společností GTA vyhodnocena jako nižší, shodně jako při hodnocení provedeném v roce 2018. </w:t>
      </w:r>
    </w:p>
    <w:p w:rsidR="006260E6" w:rsidRPr="009C0293" w:rsidRDefault="006260E6" w:rsidP="009C0293">
      <w:pPr>
        <w:spacing w:after="240"/>
        <w:ind w:firstLine="709"/>
        <w:jc w:val="both"/>
        <w:rPr>
          <w:rFonts w:ascii="Arial" w:hAnsi="Arial" w:cs="Arial"/>
          <w:sz w:val="22"/>
          <w:szCs w:val="22"/>
        </w:rPr>
      </w:pPr>
      <w:r w:rsidRPr="009C0293">
        <w:rPr>
          <w:rFonts w:ascii="Arial" w:hAnsi="Arial" w:cs="Arial"/>
          <w:sz w:val="22"/>
          <w:szCs w:val="22"/>
        </w:rPr>
        <w:t xml:space="preserve">Při stanovení koeficientu lze na riziko pohlížet z krátkodobého a dlouhodobého pohledu. Pokud posuzujeme velikost trhu z krátkodobého pohledu (tj. z pohledu aktuálního pokrytí), je trh sítí NGA/VHCN relativně menší než v případě ostatních technologií, které mají vyšší geografické pokrytí. Riziko NGA/VHCN je tedy relativně vyšší. Obdobně je to v případě možné expanze z krátkodobého hlediska, kdy NGA/VHCN má nižší pokrytí a možnost expanze je nižší. Navíc NGA/VHCN má pokrytí v lokalitách, kde je vyšší nasycenost poptávky, a tedy nižší potenciál. Tyto nasycené lokality jsou typicky ty bonitní, takže pro další expanzi zbývají méně bonitní, zejména venkovské oblasti. Z dlouhodobého pohledu lze sice vnímat potenciál růstu do dalších lokalit, nicméně samotný potenciál daných lokalit je omezený z důvodu nízké ekonomické rentability, dochází k technologické evoluci stávajících i jiných technologií (např. bezdrátové, 5G) a s ohledem na tyto vlastnosti je potenciál velmi nejistý. Z těchto důvodů společnost vyhodnotila riziko plynoucího z velikosti, kapacity trhu a možnosti expanze nově jako významné a dopad je vyjádřen koeficientem 125 %. </w:t>
      </w:r>
    </w:p>
    <w:p w:rsidR="006260E6" w:rsidRPr="009C0293" w:rsidRDefault="006260E6" w:rsidP="009C0293">
      <w:pPr>
        <w:spacing w:after="240"/>
        <w:ind w:firstLine="708"/>
        <w:jc w:val="both"/>
        <w:rPr>
          <w:rFonts w:ascii="Arial" w:hAnsi="Arial" w:cs="Arial"/>
          <w:sz w:val="22"/>
          <w:szCs w:val="22"/>
        </w:rPr>
      </w:pPr>
      <w:r w:rsidRPr="009C0293">
        <w:rPr>
          <w:rFonts w:ascii="Arial" w:hAnsi="Arial" w:cs="Arial"/>
          <w:sz w:val="22"/>
          <w:szCs w:val="22"/>
        </w:rPr>
        <w:t xml:space="preserve">Při stanovení váhy v případě </w:t>
      </w:r>
      <w:r w:rsidRPr="009C0293">
        <w:rPr>
          <w:rFonts w:ascii="Arial" w:hAnsi="Arial" w:cs="Arial"/>
          <w:b/>
          <w:bCs/>
          <w:sz w:val="22"/>
          <w:szCs w:val="22"/>
        </w:rPr>
        <w:t xml:space="preserve">rizika plynoucího z intenzity konkurence </w:t>
      </w:r>
      <w:r w:rsidRPr="009C0293">
        <w:rPr>
          <w:rFonts w:ascii="Arial" w:hAnsi="Arial" w:cs="Arial"/>
          <w:sz w:val="22"/>
          <w:szCs w:val="22"/>
        </w:rPr>
        <w:t xml:space="preserve">bylo vzato v úvahu, že vyšší intenzita konkurence a související konkurenční boj s sebou nese rizika snížení objemu tržeb a tržního podílu či snížení marží. Jedná se o tedy o faktor obecně zvyšující riziko. Konkurenční boj v elektronických komunikacích významně ovlivňuje koncové ceny. Význam tohoto rizika byl společností GTA vyhodnocen jako vyšší, shodně jako při hodnocení provedeném v roce 2018. </w:t>
      </w:r>
    </w:p>
    <w:p w:rsidR="006260E6" w:rsidRPr="009C0293" w:rsidRDefault="006260E6" w:rsidP="009C0293">
      <w:pPr>
        <w:spacing w:after="240"/>
        <w:ind w:firstLine="708"/>
        <w:jc w:val="both"/>
        <w:rPr>
          <w:rFonts w:ascii="Arial" w:hAnsi="Arial" w:cs="Arial"/>
          <w:sz w:val="22"/>
          <w:szCs w:val="22"/>
        </w:rPr>
      </w:pPr>
      <w:r w:rsidRPr="009C0293">
        <w:rPr>
          <w:rFonts w:ascii="Arial" w:hAnsi="Arial" w:cs="Arial"/>
          <w:sz w:val="22"/>
          <w:szCs w:val="22"/>
        </w:rPr>
        <w:lastRenderedPageBreak/>
        <w:t>Při stanovení koeficientu bylo zohledněno, že trh vysokorychlostního přístupu k síti internet je z hlediska koncových zákazníků nahlížen jako relativně konzistentní trh, kde jsou sítě NGA/VHCN a sítě využívající ostatní technologie (včetně nových technologií) do velmi vysoké míry vnímány jako substituty, které si vzájemně konkurují. Zároveň sítě NGA/VHCN se vyskytují v lokalitách, kde jsou již ve větší míře zastoupeny i ostatní technologie (zejména s dalším rozvojem bezdrátových technologií jako 5G). Stejně tak do budoucna se budou sítě NGA/VHCN rozšiřovat zejména do oblastí, kde jsou již přítomny ostatní technologie a budou čelit již existující konkurenci, která se dále zvyšuje s modernizací stávajících sítí. NGA/VHCN sítě jsou téměř vždy vystaveny konkurenci ostatních technologií, naopak sítě ostatních technologií pokrývají i lokality bez NGA/VHCN, tedy s nižší intenzitou konkurence. Ze závěrů mapování dostupnosti telekomunikační infrastruktury vyplynulo, že již existující prakticky celoplošné dostupné metalické sítě a WIFI byly v poslední době doplněny o další, jako jsou Fixní LTE a 5G s celoplošným dosahem. Za této situace je zřejmé, že nový provozovatel NGA/VHCN sítě čelí při vstupu na trh konkurenci minimálně 4 konkurenčním technologiím poskytujícím služby přístupu k internetu. V tomto ohledu vyhodnotila společnost GTA relativní riziko plynoucí z intenzity konkurence jako extrémní a dopad ohodnotila koeficientem 150 %.</w:t>
      </w:r>
    </w:p>
    <w:p w:rsidR="006260E6" w:rsidRPr="009C0293" w:rsidRDefault="006260E6" w:rsidP="009C0293">
      <w:pPr>
        <w:spacing w:after="240"/>
        <w:ind w:firstLine="708"/>
        <w:jc w:val="both"/>
        <w:rPr>
          <w:rFonts w:ascii="Arial" w:hAnsi="Arial" w:cs="Arial"/>
          <w:color w:val="FF0000"/>
          <w:sz w:val="22"/>
          <w:szCs w:val="22"/>
        </w:rPr>
      </w:pPr>
      <w:r w:rsidRPr="009C0293">
        <w:rPr>
          <w:rFonts w:ascii="Arial" w:hAnsi="Arial" w:cs="Arial"/>
          <w:sz w:val="22"/>
          <w:szCs w:val="22"/>
        </w:rPr>
        <w:t xml:space="preserve">Při hodnocení </w:t>
      </w:r>
      <w:r w:rsidRPr="009C0293">
        <w:rPr>
          <w:rFonts w:ascii="Arial" w:hAnsi="Arial" w:cs="Arial"/>
          <w:b/>
          <w:bCs/>
          <w:sz w:val="22"/>
          <w:szCs w:val="22"/>
        </w:rPr>
        <w:t>rizika plynoucího z dynamiky oboru, inovací a kontinuity služeb</w:t>
      </w:r>
      <w:r w:rsidRPr="009C0293">
        <w:rPr>
          <w:rFonts w:ascii="Arial" w:hAnsi="Arial" w:cs="Arial"/>
          <w:sz w:val="22"/>
          <w:szCs w:val="22"/>
        </w:rPr>
        <w:t xml:space="preserve"> bylo vzato v úvahu, že v případě sítí NGA/VHCN i v případě ostatních přístupových technologií dochází k inovacím a všechny technologie se neustále vyvíjí směrem k poskytování kapacit v řádek stovek megabitů. Celková dynamika v rámci celého trhu širokopásmového přístupu je v tomto ohledu obdobná.  Stále se jedná v rámci přístupových sítí (širokopásmových přístupů) u NGA/VHCN o relativně nové technologie s nižším zastoupením budované zejména v již obsluhovaných oblastech. Stále trvá dlouhodobá dominance zavedených technologií na bázi </w:t>
      </w:r>
      <w:proofErr w:type="spellStart"/>
      <w:r w:rsidRPr="009C0293">
        <w:rPr>
          <w:rFonts w:ascii="Arial" w:hAnsi="Arial" w:cs="Arial"/>
          <w:sz w:val="22"/>
          <w:szCs w:val="22"/>
        </w:rPr>
        <w:t>xDSL</w:t>
      </w:r>
      <w:proofErr w:type="spellEnd"/>
      <w:r w:rsidRPr="009C0293">
        <w:rPr>
          <w:rFonts w:ascii="Arial" w:hAnsi="Arial" w:cs="Arial"/>
          <w:sz w:val="22"/>
          <w:szCs w:val="22"/>
        </w:rPr>
        <w:t xml:space="preserve"> a WIFI ve srovnání se sítěmi NGA/VHCN. Současně dochází k inovacím v rámci ostatních technologií (například bezdrátové spoje v pásmu 60 GHz a 26 GHz) a tím se zásadně snižuje možná predikovatelnosti výnosnosti (jistota návratnosti) dlouhodobých investic NGA/VHCN. Toto riziko bylo společností GTA vyhodnoceno jako extrémní a dopad ohodnotila koeficientem 150 %, shodně jako v roce 2018. </w:t>
      </w:r>
    </w:p>
    <w:p w:rsidR="006260E6" w:rsidRPr="009C0293" w:rsidRDefault="006260E6" w:rsidP="009C0293">
      <w:pPr>
        <w:spacing w:after="240"/>
        <w:ind w:firstLine="708"/>
        <w:jc w:val="both"/>
        <w:rPr>
          <w:rFonts w:ascii="Arial" w:hAnsi="Arial" w:cs="Arial"/>
          <w:sz w:val="22"/>
          <w:szCs w:val="22"/>
        </w:rPr>
      </w:pPr>
      <w:r w:rsidRPr="009C0293">
        <w:rPr>
          <w:rFonts w:ascii="Arial" w:hAnsi="Arial" w:cs="Arial"/>
          <w:sz w:val="22"/>
          <w:szCs w:val="22"/>
        </w:rPr>
        <w:t xml:space="preserve">Při hodnocení </w:t>
      </w:r>
      <w:r w:rsidRPr="009C0293">
        <w:rPr>
          <w:rFonts w:ascii="Arial" w:hAnsi="Arial" w:cs="Arial"/>
          <w:b/>
          <w:bCs/>
          <w:sz w:val="22"/>
          <w:szCs w:val="22"/>
        </w:rPr>
        <w:t>rizika závislosti na hospodářském cyklu</w:t>
      </w:r>
      <w:r w:rsidRPr="009C0293">
        <w:rPr>
          <w:rFonts w:ascii="Arial" w:hAnsi="Arial" w:cs="Arial"/>
          <w:sz w:val="22"/>
          <w:szCs w:val="22"/>
        </w:rPr>
        <w:t xml:space="preserve"> dospěla společnost GTA k závěru, že u služeb NGA/VHCN i nadále přetrvává vysoká citlivost na hospodářský cyklus, kdy po pandemii COVID došlo k razantnímu negativnímu vývoji makroekonomických ukazatelů. Hospodářský pokles, který má mj. za následek snížení příjmů, tak může zapříčinit pokles poptávky po službách vázaných na sítě NGA/VHCN. Toto lze pozorovat na nízkém nárůstu nových aktivních přípojek (nově prodaných služeb) FTTH/B v roce 2021 ve srovnání s rokem předchozím, a posílení poptávky po službách </w:t>
      </w:r>
      <w:proofErr w:type="spellStart"/>
      <w:r w:rsidRPr="009C0293">
        <w:rPr>
          <w:rFonts w:ascii="Arial" w:hAnsi="Arial" w:cs="Arial"/>
          <w:sz w:val="22"/>
          <w:szCs w:val="22"/>
        </w:rPr>
        <w:t>xDSL</w:t>
      </w:r>
      <w:proofErr w:type="spellEnd"/>
      <w:r w:rsidRPr="009C0293">
        <w:rPr>
          <w:rFonts w:ascii="Arial" w:hAnsi="Arial" w:cs="Arial"/>
          <w:sz w:val="22"/>
          <w:szCs w:val="22"/>
        </w:rPr>
        <w:t xml:space="preserve"> a </w:t>
      </w:r>
      <w:proofErr w:type="spellStart"/>
      <w:r w:rsidRPr="009C0293">
        <w:rPr>
          <w:rFonts w:ascii="Arial" w:hAnsi="Arial" w:cs="Arial"/>
          <w:sz w:val="22"/>
          <w:szCs w:val="22"/>
        </w:rPr>
        <w:t>WiFi</w:t>
      </w:r>
      <w:proofErr w:type="spellEnd"/>
      <w:r w:rsidRPr="009C0293">
        <w:rPr>
          <w:rFonts w:ascii="Arial" w:hAnsi="Arial" w:cs="Arial"/>
          <w:sz w:val="22"/>
          <w:szCs w:val="22"/>
        </w:rPr>
        <w:t xml:space="preserve">, u kterých bylo zřízeno téměř třikrát více nových služeb ve srovnání se zřízením nových služeb FTTH/B. Za poslední tři roky pouze na necelých 25 % přípojek FTTH/B vybudovaných za toto období byla zaktivněna služba. U 75 % nově vybudovaných přípojek zákazníci setrvávají u služeb poskytovaných na jiných technologiích. Toto riziko bylo společností GTA vyhodnoceno jako významné a dopad ohodnotila koeficientem 125 %, shodně jako v roce 2018. </w:t>
      </w:r>
    </w:p>
    <w:p w:rsidR="006260E6" w:rsidRPr="009C0293" w:rsidRDefault="006260E6" w:rsidP="009C0293">
      <w:pPr>
        <w:spacing w:after="240"/>
        <w:ind w:firstLine="708"/>
        <w:jc w:val="both"/>
        <w:rPr>
          <w:rFonts w:ascii="Arial" w:hAnsi="Arial" w:cs="Arial"/>
          <w:sz w:val="22"/>
          <w:szCs w:val="22"/>
        </w:rPr>
      </w:pPr>
      <w:r w:rsidRPr="009C0293">
        <w:rPr>
          <w:rFonts w:ascii="Arial" w:hAnsi="Arial" w:cs="Arial"/>
          <w:sz w:val="22"/>
          <w:szCs w:val="22"/>
        </w:rPr>
        <w:t xml:space="preserve">Při hodnocení </w:t>
      </w:r>
      <w:r w:rsidRPr="009C0293">
        <w:rPr>
          <w:rFonts w:ascii="Arial" w:hAnsi="Arial" w:cs="Arial"/>
          <w:b/>
          <w:bCs/>
          <w:sz w:val="22"/>
          <w:szCs w:val="22"/>
        </w:rPr>
        <w:t xml:space="preserve">rizika bariéry vstupu do odvětví </w:t>
      </w:r>
      <w:r w:rsidRPr="009C0293">
        <w:rPr>
          <w:rFonts w:ascii="Arial" w:hAnsi="Arial" w:cs="Arial"/>
          <w:sz w:val="22"/>
          <w:szCs w:val="22"/>
        </w:rPr>
        <w:t xml:space="preserve">bylo vzato v úvahu, že zatímco obecně bariéry celoplošného vstupu do odvětví telekomunikací relativně vysoké a neexistují zásadní rozdíly mezi jednotlivými technologiemi, v ČR se plošně rozšířilo a získalo na popularitě budování lokálních nízkorozpočtových WIFI sítí, které jsou charakteristické nízkými investicemi a nízkým podílem fixních nákladů, využíváním nelicencovaných pásem a sdílením know-how i nákladů mezi poskytovateli. V současné době nedošlo k zásadní změně cenových poměrů u bezdrátových sítí, které i nadále slouží jako lokální nízkorozpočtové WIFI sítě, konkurující investičně náročným sítím FTTH/B. Z dat sbíraných Úřadem vyplývá, že technologie WIFI je trvale nejvíce zastoupená v počtu disponibilních přípojek. Současně s rozvojem dalších technologií jako je 5G a FWA sítí v pásmech 26 GHz dochází k dalšímu nárůstu těchto řešení s nízkým podílem fixních nákladů. Toto riziko bylo společností GTA </w:t>
      </w:r>
      <w:r w:rsidRPr="009C0293">
        <w:rPr>
          <w:rFonts w:ascii="Arial" w:hAnsi="Arial" w:cs="Arial"/>
          <w:sz w:val="22"/>
          <w:szCs w:val="22"/>
        </w:rPr>
        <w:lastRenderedPageBreak/>
        <w:t xml:space="preserve">vyhodnoceno jako významné a dopad ohodnotila koeficientem 125 %, shodně jako v roce 2018. </w:t>
      </w:r>
    </w:p>
    <w:p w:rsidR="006260E6" w:rsidRPr="009C0293" w:rsidRDefault="006260E6" w:rsidP="009C0293">
      <w:pPr>
        <w:spacing w:after="240"/>
        <w:ind w:firstLine="708"/>
        <w:jc w:val="both"/>
        <w:rPr>
          <w:rFonts w:ascii="Arial" w:hAnsi="Arial" w:cs="Arial"/>
          <w:sz w:val="22"/>
          <w:szCs w:val="22"/>
        </w:rPr>
      </w:pPr>
      <w:r w:rsidRPr="009C0293">
        <w:rPr>
          <w:rFonts w:ascii="Arial" w:hAnsi="Arial" w:cs="Arial"/>
          <w:sz w:val="22"/>
          <w:szCs w:val="22"/>
        </w:rPr>
        <w:t xml:space="preserve">Při hodnocení </w:t>
      </w:r>
      <w:r w:rsidRPr="009C0293">
        <w:rPr>
          <w:rFonts w:ascii="Arial" w:hAnsi="Arial" w:cs="Arial"/>
          <w:b/>
          <w:bCs/>
          <w:sz w:val="22"/>
          <w:szCs w:val="22"/>
        </w:rPr>
        <w:t xml:space="preserve">rizika </w:t>
      </w:r>
      <w:r w:rsidRPr="009C0293">
        <w:rPr>
          <w:rFonts w:ascii="Arial" w:hAnsi="Arial" w:cs="Arial"/>
          <w:sz w:val="22"/>
          <w:szCs w:val="22"/>
        </w:rPr>
        <w:t>vyplývajícího z</w:t>
      </w:r>
      <w:r w:rsidRPr="009C0293">
        <w:rPr>
          <w:rFonts w:ascii="Arial" w:hAnsi="Arial" w:cs="Arial"/>
          <w:b/>
          <w:bCs/>
          <w:sz w:val="22"/>
          <w:szCs w:val="22"/>
        </w:rPr>
        <w:t> postavení vůči odběratelům</w:t>
      </w:r>
      <w:r w:rsidRPr="009C0293">
        <w:rPr>
          <w:rFonts w:ascii="Arial" w:hAnsi="Arial" w:cs="Arial"/>
          <w:sz w:val="22"/>
          <w:szCs w:val="22"/>
        </w:rPr>
        <w:t xml:space="preserve"> a dodavatelům lze předpokládat stejné postavení jak pro sítě NGA/VNHC, tak pro sítě ostatní. Toto riziko bylo vyhodnoceno jako zanedbatelné a bylo ohodnoceno koeficientem 100 %, shodně jako v roce 2018.  </w:t>
      </w:r>
    </w:p>
    <w:p w:rsidR="006260E6" w:rsidRPr="009C0293" w:rsidRDefault="006260E6" w:rsidP="009C0293">
      <w:pPr>
        <w:spacing w:after="240"/>
        <w:ind w:firstLine="708"/>
        <w:jc w:val="both"/>
        <w:rPr>
          <w:rFonts w:ascii="Arial" w:hAnsi="Arial" w:cs="Arial"/>
          <w:sz w:val="22"/>
          <w:szCs w:val="22"/>
        </w:rPr>
      </w:pPr>
      <w:r w:rsidRPr="009C0293">
        <w:rPr>
          <w:rFonts w:ascii="Arial" w:hAnsi="Arial" w:cs="Arial"/>
          <w:sz w:val="22"/>
          <w:szCs w:val="22"/>
        </w:rPr>
        <w:t xml:space="preserve">Při hodnocení </w:t>
      </w:r>
      <w:r w:rsidRPr="009C0293">
        <w:rPr>
          <w:rFonts w:ascii="Arial" w:hAnsi="Arial" w:cs="Arial"/>
          <w:b/>
          <w:bCs/>
          <w:sz w:val="22"/>
          <w:szCs w:val="22"/>
        </w:rPr>
        <w:t>rizika</w:t>
      </w:r>
      <w:r w:rsidRPr="009C0293">
        <w:rPr>
          <w:rFonts w:ascii="Arial" w:hAnsi="Arial" w:cs="Arial"/>
          <w:sz w:val="22"/>
          <w:szCs w:val="22"/>
        </w:rPr>
        <w:t xml:space="preserve"> vyplývajícího z </w:t>
      </w:r>
      <w:r w:rsidRPr="009C0293">
        <w:rPr>
          <w:rFonts w:ascii="Arial" w:hAnsi="Arial" w:cs="Arial"/>
          <w:b/>
          <w:bCs/>
          <w:sz w:val="22"/>
          <w:szCs w:val="22"/>
        </w:rPr>
        <w:t>konkurenceschopnosti služby</w:t>
      </w:r>
      <w:r w:rsidRPr="009C0293">
        <w:rPr>
          <w:rFonts w:ascii="Arial" w:hAnsi="Arial" w:cs="Arial"/>
          <w:color w:val="000000"/>
          <w:sz w:val="22"/>
          <w:szCs w:val="22"/>
        </w:rPr>
        <w:t xml:space="preserve"> </w:t>
      </w:r>
      <w:r w:rsidRPr="009C0293">
        <w:rPr>
          <w:rFonts w:ascii="Arial" w:hAnsi="Arial" w:cs="Arial"/>
          <w:sz w:val="22"/>
          <w:szCs w:val="22"/>
        </w:rPr>
        <w:t xml:space="preserve">bylo vzato v úvahu, že díky kapacitním možnostem síť NGA/VHCN dosahuje konkurenční výhody u části zákazníků citlivých na kapacitu. Další výhodou je možnost poskytování souvisejících služeb díky vyšší kapacitě technologie, jako je např. IPTV. Tuto konkurenční výhodu považuje společnost GTA za významnou a dopad ohodnotila koeficientem 75 % (tj. výhoda riziko snižuje). </w:t>
      </w:r>
    </w:p>
    <w:p w:rsidR="006260E6" w:rsidRPr="009C0293" w:rsidRDefault="006260E6" w:rsidP="009C0293">
      <w:pPr>
        <w:spacing w:after="240"/>
        <w:ind w:firstLine="709"/>
        <w:jc w:val="both"/>
        <w:rPr>
          <w:rFonts w:ascii="Arial" w:hAnsi="Arial" w:cs="Arial"/>
          <w:sz w:val="22"/>
          <w:szCs w:val="22"/>
        </w:rPr>
      </w:pPr>
      <w:r w:rsidRPr="009C0293">
        <w:rPr>
          <w:rFonts w:ascii="Arial" w:hAnsi="Arial" w:cs="Arial"/>
          <w:sz w:val="22"/>
          <w:szCs w:val="22"/>
        </w:rPr>
        <w:t xml:space="preserve">Při hodnocení </w:t>
      </w:r>
      <w:r w:rsidRPr="009C0293">
        <w:rPr>
          <w:rFonts w:ascii="Arial" w:hAnsi="Arial" w:cs="Arial"/>
          <w:b/>
          <w:bCs/>
          <w:sz w:val="22"/>
          <w:szCs w:val="22"/>
        </w:rPr>
        <w:t>rizika</w:t>
      </w:r>
      <w:r w:rsidRPr="009C0293">
        <w:rPr>
          <w:rFonts w:ascii="Arial" w:hAnsi="Arial" w:cs="Arial"/>
          <w:sz w:val="22"/>
          <w:szCs w:val="22"/>
        </w:rPr>
        <w:t xml:space="preserve"> vyplývajícího z </w:t>
      </w:r>
      <w:r w:rsidRPr="009C0293">
        <w:rPr>
          <w:rFonts w:ascii="Arial" w:hAnsi="Arial" w:cs="Arial"/>
          <w:b/>
          <w:bCs/>
          <w:sz w:val="22"/>
          <w:szCs w:val="22"/>
        </w:rPr>
        <w:t xml:space="preserve">cen </w:t>
      </w:r>
      <w:r w:rsidRPr="009C0293">
        <w:rPr>
          <w:rFonts w:ascii="Arial" w:hAnsi="Arial" w:cs="Arial"/>
          <w:sz w:val="22"/>
          <w:szCs w:val="22"/>
        </w:rPr>
        <w:t>bylo vzato v úvahu, že ceny služeb, resp. očekávaná návratnost investice u sítí NGA/VHCN jsou oproti ostatním technologiím významně vyšší zejména z důvodu vyšších investičních nákladů. V porovnání s metalickými sítěmi existuje významný rozdíl v investici zejména z důvodu realizace investice a cenového rozdílu zejména v oblasti zemních prací a u dalších souvisejících nákladů. Zmiňované faktory návratnosti, delší doby realizace výstavby, cenové rozdíly zejména v oblasti zemních prací a dalších nákladech v souvislosti například s uzavíráním věcných břemen a dalšími povinnosti přetrvávají i v roce 2023. Současně s ohledem na typickou ekonomickou orientaci investování lze očekávat že každá další investice je provedena s nižší mírou návratnosti, a tedy větší citlivostí na ceny. Ve srovnaní s bezdrátovými technologiemi (5G FWA a WIFI) lze očekávat zásadní konkurenční nevýhodu. Lze tak usuzovat i dle konkrétních dat, kdy byla zřízená služba odpovídající pouze necelým 25 % přípojek FTTH/B vybudovaných za poslední 3 roky. U 75 % nově vybudovaných přípojek zákazníci setrvávají u služeb poskytovaných na jiných technologiích. Toto riziko bylo společností GTA vyhodnoceno jako extrémní a dopad ohodnotila koeficientem 150 %, shodně jako v roce 2018.</w:t>
      </w:r>
    </w:p>
    <w:p w:rsidR="006260E6" w:rsidRPr="009C0293" w:rsidRDefault="006260E6" w:rsidP="009C0293">
      <w:pPr>
        <w:spacing w:after="240"/>
        <w:ind w:firstLine="709"/>
        <w:jc w:val="both"/>
        <w:rPr>
          <w:rFonts w:ascii="Arial" w:hAnsi="Arial" w:cs="Arial"/>
          <w:sz w:val="22"/>
          <w:szCs w:val="22"/>
        </w:rPr>
      </w:pPr>
      <w:r w:rsidRPr="009C0293">
        <w:rPr>
          <w:rFonts w:ascii="Arial" w:hAnsi="Arial" w:cs="Arial"/>
          <w:sz w:val="22"/>
          <w:szCs w:val="22"/>
        </w:rPr>
        <w:t xml:space="preserve">Při hodnocení </w:t>
      </w:r>
      <w:r w:rsidRPr="009C0293">
        <w:rPr>
          <w:rFonts w:ascii="Arial" w:hAnsi="Arial" w:cs="Arial"/>
          <w:b/>
          <w:bCs/>
          <w:sz w:val="22"/>
          <w:szCs w:val="22"/>
        </w:rPr>
        <w:t xml:space="preserve">regulatorního rizika </w:t>
      </w:r>
      <w:r w:rsidRPr="009C0293">
        <w:rPr>
          <w:rFonts w:ascii="Arial" w:hAnsi="Arial" w:cs="Arial"/>
          <w:sz w:val="22"/>
          <w:szCs w:val="22"/>
        </w:rPr>
        <w:t xml:space="preserve">bylo vzato v úvahu, že aktuálně na velkoobchodním trhu č. 2 – vyhrazená velkoobchodní kapacita (bývalý relevantní trh č. 4 </w:t>
      </w:r>
      <w:proofErr w:type="gramStart"/>
      <w:r w:rsidRPr="009C0293">
        <w:rPr>
          <w:rFonts w:ascii="Arial" w:hAnsi="Arial" w:cs="Arial"/>
          <w:sz w:val="22"/>
          <w:szCs w:val="22"/>
        </w:rPr>
        <w:t>–  velkoobchodní</w:t>
      </w:r>
      <w:proofErr w:type="gramEnd"/>
      <w:r w:rsidRPr="009C0293">
        <w:rPr>
          <w:rFonts w:ascii="Arial" w:hAnsi="Arial" w:cs="Arial"/>
          <w:sz w:val="22"/>
          <w:szCs w:val="22"/>
        </w:rPr>
        <w:t xml:space="preserve"> služby s vysoce kvalitním přístupem poskytovaným v pevném místě) není uplatňována regulace. Došlo tak k zásadnímu snížení rizika u metalických sítí. S ohledem na budoucí vývoj nelze však vyloučit regulací sítí NGA/VHCN a riziko zahrnutí této technologie do regulace na tomto trhu trvá. Relativní riziko je tedy vyšší než u ostatních technologií. Toto riziko však společnost GTA vyhodnotila jako nízké, a to i s přihlédnutím k současné míře podpory výstavby právě NGA/VHCN sítí, která je i nadále přítomna na českém trhu (I. výzva NPO – Vybudování vysokokapacitního připojení). V současnosti je podporována výstavba přípojných/přístupových sítí a v budoucnu se očekává podpora výstavby i </w:t>
      </w:r>
      <w:proofErr w:type="spellStart"/>
      <w:r w:rsidRPr="009C0293">
        <w:rPr>
          <w:rFonts w:ascii="Arial" w:hAnsi="Arial" w:cs="Arial"/>
          <w:sz w:val="22"/>
          <w:szCs w:val="22"/>
        </w:rPr>
        <w:t>backhaul</w:t>
      </w:r>
      <w:proofErr w:type="spellEnd"/>
      <w:r w:rsidRPr="009C0293">
        <w:rPr>
          <w:rFonts w:ascii="Arial" w:hAnsi="Arial" w:cs="Arial"/>
          <w:sz w:val="22"/>
          <w:szCs w:val="22"/>
        </w:rPr>
        <w:t xml:space="preserve"> sítí. Současně samotné programy podpory jsou vždy spojeny se závazky, které musí příjemce podpory plnit (například povinná velkoobchodní nabídka služeb). Toto riziko bylo společností GTA vyhodnoceno jako mírně negativní a dopad ohodnotila koeficientem 110 %, shodně jako v roce 2018.</w:t>
      </w:r>
    </w:p>
    <w:p w:rsidR="006260E6" w:rsidRPr="009C0293" w:rsidRDefault="006260E6" w:rsidP="009C0293">
      <w:pPr>
        <w:spacing w:after="240"/>
        <w:ind w:firstLine="709"/>
        <w:jc w:val="both"/>
        <w:rPr>
          <w:rFonts w:ascii="Arial" w:hAnsi="Arial" w:cs="Arial"/>
          <w:sz w:val="22"/>
          <w:szCs w:val="22"/>
        </w:rPr>
      </w:pPr>
      <w:r w:rsidRPr="009C0293">
        <w:rPr>
          <w:rFonts w:ascii="Arial" w:hAnsi="Arial" w:cs="Arial"/>
          <w:color w:val="000000"/>
          <w:sz w:val="22"/>
          <w:szCs w:val="22"/>
        </w:rPr>
        <w:t xml:space="preserve">Při hodnocení </w:t>
      </w:r>
      <w:r w:rsidRPr="009C0293">
        <w:rPr>
          <w:rFonts w:ascii="Arial" w:hAnsi="Arial" w:cs="Arial"/>
          <w:b/>
          <w:bCs/>
          <w:color w:val="000000"/>
          <w:sz w:val="22"/>
          <w:szCs w:val="22"/>
        </w:rPr>
        <w:t>finančního rizika</w:t>
      </w:r>
      <w:r w:rsidRPr="009C0293">
        <w:rPr>
          <w:rFonts w:ascii="Arial" w:hAnsi="Arial" w:cs="Arial"/>
          <w:color w:val="000000"/>
          <w:sz w:val="22"/>
          <w:szCs w:val="22"/>
        </w:rPr>
        <w:t xml:space="preserve"> společnost GTA obecně předpokládá stejný podíl využití vlastního a cizího kapitálu v případě sítí NGA/VHCN i ostatních sítí, tedy stejné finanční riziko. Nicméně v případě NGA/VHCN toto riziko mohou snižovat dotační tituly, které umožňují snížit potřebu dluhového financování a tím i celkové finanční riziko. Toto potenciální snížení ale považují za minimální. Aktuální dotační tituly (například: I. výzva NPO – Vybudování vysokokapacitního připojení) jsou pouze pro lokality bez současného pokrytí sítěmi NGA/VHCN, tedy méně komerčně zajímavé lokality. Současně jde o další kolo výzev, tedy lokality méně atraktivní/menší. Negativním aspektem dotačních titulů pak jsou administrativní náročnost a podmínky, které mohou dokonce převážit nad pozitivním přínosem (například </w:t>
      </w:r>
      <w:r w:rsidRPr="009C0293">
        <w:rPr>
          <w:rFonts w:ascii="Arial" w:hAnsi="Arial" w:cs="Arial"/>
          <w:color w:val="000000"/>
          <w:sz w:val="22"/>
          <w:szCs w:val="22"/>
        </w:rPr>
        <w:lastRenderedPageBreak/>
        <w:t xml:space="preserve">povinná velkoobchodní nabídka, která snižuje konkurenční výhodu investora). </w:t>
      </w:r>
      <w:r w:rsidRPr="009C0293">
        <w:rPr>
          <w:rFonts w:ascii="Arial" w:hAnsi="Arial" w:cs="Arial"/>
          <w:sz w:val="22"/>
          <w:szCs w:val="22"/>
        </w:rPr>
        <w:t>Toto riziko bylo společností GTA vyhodnoceno jako nízké a dopad ohodnotila koeficientem 90 %, shodně jako v roce 2018.</w:t>
      </w:r>
    </w:p>
    <w:p w:rsidR="006260E6" w:rsidRPr="009C0293" w:rsidRDefault="006260E6" w:rsidP="009C0293">
      <w:pPr>
        <w:spacing w:after="240"/>
        <w:jc w:val="both"/>
        <w:rPr>
          <w:rFonts w:ascii="Arial" w:hAnsi="Arial" w:cs="Arial"/>
          <w:b/>
          <w:bCs/>
          <w:sz w:val="22"/>
          <w:szCs w:val="22"/>
        </w:rPr>
      </w:pPr>
      <w:r w:rsidRPr="009C0293">
        <w:rPr>
          <w:rFonts w:ascii="Arial" w:hAnsi="Arial" w:cs="Arial"/>
          <w:color w:val="000000"/>
          <w:sz w:val="22"/>
          <w:szCs w:val="22"/>
        </w:rPr>
        <w:tab/>
        <w:t xml:space="preserve">Na základě výsledků výše uvedeného přehodnocení jednotlivých rizik byl stanoven </w:t>
      </w:r>
      <w:r w:rsidRPr="009C0293">
        <w:rPr>
          <w:rFonts w:ascii="Arial" w:hAnsi="Arial" w:cs="Arial"/>
          <w:b/>
          <w:bCs/>
          <w:sz w:val="22"/>
          <w:szCs w:val="22"/>
        </w:rPr>
        <w:t>koeficient celkového rizika</w:t>
      </w:r>
      <w:r w:rsidRPr="009C0293">
        <w:rPr>
          <w:rFonts w:ascii="Arial" w:hAnsi="Arial" w:cs="Arial"/>
          <w:sz w:val="22"/>
          <w:szCs w:val="22"/>
        </w:rPr>
        <w:t xml:space="preserve"> (poměr rizika sítí NGA/VHCN ku ostatním sítím) </w:t>
      </w:r>
      <w:r w:rsidRPr="009C0293">
        <w:rPr>
          <w:rFonts w:ascii="Arial" w:hAnsi="Arial" w:cs="Arial"/>
          <w:b/>
          <w:bCs/>
          <w:sz w:val="22"/>
          <w:szCs w:val="22"/>
        </w:rPr>
        <w:t xml:space="preserve">ve výši 1,23438. </w:t>
      </w:r>
    </w:p>
    <w:p w:rsidR="006260E6" w:rsidRPr="009C0293" w:rsidRDefault="006260E6" w:rsidP="009C0293">
      <w:pPr>
        <w:spacing w:after="240"/>
        <w:jc w:val="both"/>
        <w:rPr>
          <w:rFonts w:ascii="Arial" w:hAnsi="Arial" w:cs="Arial"/>
          <w:sz w:val="22"/>
          <w:szCs w:val="22"/>
        </w:rPr>
      </w:pPr>
      <w:r w:rsidRPr="009C0293">
        <w:rPr>
          <w:rFonts w:ascii="Arial" w:hAnsi="Arial" w:cs="Arial"/>
          <w:b/>
          <w:bCs/>
          <w:sz w:val="22"/>
          <w:szCs w:val="22"/>
        </w:rPr>
        <w:tab/>
      </w:r>
      <w:r w:rsidRPr="009C0293">
        <w:rPr>
          <w:rFonts w:ascii="Arial" w:hAnsi="Arial" w:cs="Arial"/>
          <w:sz w:val="22"/>
          <w:szCs w:val="22"/>
        </w:rPr>
        <w:t xml:space="preserve">Koeficientem celkového rizika se pro účely stanovení rizikové přirážky pro NGA/VHCN sítě vynásobí WACC vypočtený postupem dle Sdělení WACC pro stávající sítě, u kterých již nedochází k potřebě tak významných investic jako pro budování nových sítí (např. VHCN, 5G). S ohledem na současnou ekonomickou situaci s významným dopadem do hodnoty peněz (vysoká inflace) je nutné ve výpočtu WACC vysokokapacitních sítí tuto skutečnost zohlednit. Metodologie výpočtu WACC postavená na Sdělení WACC zajišťuje stabilitu a konzistenci výpočtu v normálním období, umožňuje vyhlazovat krátkodobé výkyvy ekonomického cyklu. V souvislosti s událostmi posledních let (pandemie COVID-19, válka na Ukrajině) však nelze hovořit o standardním ekonomickém cyklu, nýbrž o zásadních makroekonomických šocích, kterým byla světová i lokální ekonomika vystavena. Výsledkem těchto šoků byla zásadní proměna monetární politiky spojená s koncem období velmi nízkých úrokových sazeb. Tato změna se samozřejmě projevuje i na finančních trzích. Bohužel současný postup dle Sdělení WACC nereflektuje tyto krátkodobé šoky. Dochází k divergenci mezi hodnotou WACC vypočtenou na základě existujícího modelu a hodnotou WACC, která by dostatečně reflektovala aktuální situaci na finančních trzích a očekávání investorů. Model a regulatorní pravidla z něj vycházející tak nemusí plnit svojí zamýšlenou funkci v obdobích s makroekonomickými změnami a mohou se stát překážkou k dosažení cílů vytyčených v příslušných legislativních dokumentech. Z této situace vyplývá </w:t>
      </w:r>
      <w:r w:rsidRPr="009C0293">
        <w:rPr>
          <w:rFonts w:ascii="Arial" w:hAnsi="Arial" w:cs="Arial"/>
          <w:b/>
          <w:bCs/>
          <w:sz w:val="22"/>
          <w:szCs w:val="22"/>
        </w:rPr>
        <w:t>potřeba současnou metodologii doplnit tak, aby postup výpočtu flexibilně umožňoval zohlednit aktuální makroekonomickou situaci v období tranzitorních šoků</w:t>
      </w:r>
      <w:r w:rsidRPr="009C0293">
        <w:rPr>
          <w:rFonts w:ascii="Arial" w:hAnsi="Arial" w:cs="Arial"/>
          <w:sz w:val="22"/>
          <w:szCs w:val="22"/>
        </w:rPr>
        <w:t>.</w:t>
      </w:r>
    </w:p>
    <w:p w:rsidR="006260E6" w:rsidRPr="009C0293" w:rsidRDefault="006260E6" w:rsidP="009C0293">
      <w:pPr>
        <w:spacing w:after="120"/>
        <w:ind w:firstLine="709"/>
        <w:jc w:val="both"/>
        <w:rPr>
          <w:rFonts w:ascii="Arial" w:hAnsi="Arial" w:cs="Arial"/>
          <w:sz w:val="22"/>
          <w:szCs w:val="22"/>
        </w:rPr>
      </w:pPr>
      <w:r w:rsidRPr="009C0293">
        <w:rPr>
          <w:rFonts w:ascii="Arial" w:hAnsi="Arial" w:cs="Arial"/>
          <w:sz w:val="22"/>
          <w:szCs w:val="22"/>
        </w:rPr>
        <w:t>Vzhledem k sérii výjimečných událostí ve světové ekonomice (covid-19, válka na Ukrajině, energetický šok, vysoká inflace) lze pozorovat rostoucí mezeru mezi bezrizikovou úrokovou sazbou zohledněnou ve výpočtu WACC podle Sdělení WACC a aktuálními tržními podmínkami. Na obrázku č. 1 níže je mezera ilustrována prostřednictvím porovnání výnosu 10letých státních dluhopisů a hodnotou bezrizikové úrokové míry dle Zprávy BEREC. Aktuální tržní podmínky jsou reprezentovány prostřednictvím dat ČNB z </w:t>
      </w:r>
      <w:proofErr w:type="spellStart"/>
      <w:r w:rsidRPr="009C0293">
        <w:rPr>
          <w:rFonts w:ascii="Arial" w:hAnsi="Arial" w:cs="Arial"/>
          <w:sz w:val="22"/>
          <w:szCs w:val="22"/>
        </w:rPr>
        <w:t>datasetu</w:t>
      </w:r>
      <w:proofErr w:type="spellEnd"/>
      <w:r w:rsidRPr="009C0293">
        <w:rPr>
          <w:rFonts w:ascii="Arial" w:hAnsi="Arial" w:cs="Arial"/>
          <w:sz w:val="22"/>
          <w:szCs w:val="22"/>
        </w:rPr>
        <w:t xml:space="preserve"> „Výnos koše státních dluhopisů s průměrnou zbytkovou splatností 10 let, měsíční průměr“ za období 31. května 2018-31 března 2023. Parametrická bezriziková úroková míra dle BEREC vychází ze zprávy WACC </w:t>
      </w:r>
      <w:proofErr w:type="spellStart"/>
      <w:r w:rsidRPr="009C0293">
        <w:rPr>
          <w:rFonts w:ascii="Arial" w:hAnsi="Arial" w:cs="Arial"/>
          <w:sz w:val="22"/>
          <w:szCs w:val="22"/>
        </w:rPr>
        <w:t>parameters</w:t>
      </w:r>
      <w:proofErr w:type="spellEnd"/>
      <w:r w:rsidRPr="009C0293">
        <w:rPr>
          <w:rFonts w:ascii="Arial" w:hAnsi="Arial" w:cs="Arial"/>
          <w:sz w:val="22"/>
          <w:szCs w:val="22"/>
        </w:rPr>
        <w:t xml:space="preserve"> Report 2021</w:t>
      </w:r>
      <w:r w:rsidRPr="009C0293">
        <w:rPr>
          <w:rStyle w:val="Znakapoznpodarou"/>
          <w:rFonts w:ascii="Arial" w:hAnsi="Arial" w:cs="Arial"/>
          <w:sz w:val="22"/>
          <w:szCs w:val="22"/>
        </w:rPr>
        <w:footnoteReference w:id="36"/>
      </w:r>
      <w:r w:rsidRPr="009C0293">
        <w:rPr>
          <w:rFonts w:ascii="Arial" w:hAnsi="Arial" w:cs="Arial"/>
          <w:sz w:val="22"/>
          <w:szCs w:val="22"/>
        </w:rPr>
        <w:t xml:space="preserve"> resp. 2022</w:t>
      </w:r>
      <w:r w:rsidRPr="009C0293">
        <w:rPr>
          <w:rStyle w:val="Znakapoznpodarou"/>
          <w:rFonts w:ascii="Arial" w:hAnsi="Arial" w:cs="Arial"/>
          <w:sz w:val="22"/>
          <w:szCs w:val="22"/>
        </w:rPr>
        <w:footnoteReference w:id="37"/>
      </w:r>
      <w:r w:rsidRPr="009C0293">
        <w:rPr>
          <w:rFonts w:ascii="Arial" w:hAnsi="Arial" w:cs="Arial"/>
          <w:sz w:val="22"/>
          <w:szCs w:val="22"/>
        </w:rPr>
        <w:t>.</w:t>
      </w:r>
    </w:p>
    <w:p w:rsidR="006260E6" w:rsidRDefault="006260E6" w:rsidP="006260E6">
      <w:pPr>
        <w:spacing w:before="240" w:after="120"/>
      </w:pPr>
      <w:r>
        <w:rPr>
          <w:noProof/>
        </w:rPr>
        <w:lastRenderedPageBreak/>
        <w:drawing>
          <wp:inline distT="0" distB="0" distL="0" distR="0" wp14:anchorId="7CEDEB84" wp14:editId="4E711F83">
            <wp:extent cx="5144135" cy="333756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44135" cy="3337560"/>
                    </a:xfrm>
                    <a:prstGeom prst="rect">
                      <a:avLst/>
                    </a:prstGeom>
                    <a:noFill/>
                  </pic:spPr>
                </pic:pic>
              </a:graphicData>
            </a:graphic>
          </wp:inline>
        </w:drawing>
      </w:r>
    </w:p>
    <w:p w:rsidR="006260E6" w:rsidRPr="009C0293" w:rsidRDefault="006260E6" w:rsidP="006260E6">
      <w:pPr>
        <w:spacing w:before="120" w:after="120"/>
        <w:ind w:firstLine="709"/>
        <w:rPr>
          <w:rFonts w:ascii="Arial" w:hAnsi="Arial" w:cs="Arial"/>
          <w:sz w:val="22"/>
          <w:szCs w:val="22"/>
        </w:rPr>
      </w:pPr>
      <w:r w:rsidRPr="009C0293">
        <w:rPr>
          <w:rFonts w:ascii="Arial" w:hAnsi="Arial" w:cs="Arial"/>
          <w:sz w:val="22"/>
          <w:szCs w:val="22"/>
        </w:rPr>
        <w:t>Pro zohlednění aktuální tržní situace ve výpočtu WACC společnost GTA doporučila při stanovení hodnoty podle odstavce 3 připočíst rizikovou přirážku podle vzorce:</w:t>
      </w:r>
    </w:p>
    <w:p w:rsidR="006260E6" w:rsidRDefault="006260E6" w:rsidP="006260E6">
      <w:pPr>
        <w:jc w:val="center"/>
      </w:pPr>
      <m:oMathPara>
        <m:oMath>
          <m:sSub>
            <m:sSubPr>
              <m:ctrlPr>
                <w:rPr>
                  <w:rFonts w:ascii="Cambria Math" w:hAnsi="Cambria Math"/>
                  <w:i/>
                  <w:color w:val="000000" w:themeColor="text1"/>
                  <w:szCs w:val="18"/>
                  <w:lang w:eastAsia="en-GB"/>
                </w:rPr>
              </m:ctrlPr>
            </m:sSubPr>
            <m:e>
              <m:r>
                <w:rPr>
                  <w:rFonts w:ascii="Cambria Math" w:hAnsi="Cambria Math"/>
                </w:rPr>
                <m:t>RP</m:t>
              </m:r>
            </m:e>
            <m:sub>
              <m:r>
                <w:rPr>
                  <w:rFonts w:ascii="Cambria Math" w:hAnsi="Cambria Math"/>
                </w:rPr>
                <m:t>MRC</m:t>
              </m:r>
            </m:sub>
          </m:sSub>
          <m:r>
            <w:rPr>
              <w:rFonts w:ascii="Cambria Math" w:hAnsi="Cambria Math"/>
            </w:rPr>
            <m:t>=</m:t>
          </m:r>
          <m:sSub>
            <m:sSubPr>
              <m:ctrlPr>
                <w:rPr>
                  <w:rFonts w:ascii="Cambria Math" w:hAnsi="Cambria Math"/>
                  <w:i/>
                  <w:color w:val="000000" w:themeColor="text1"/>
                  <w:szCs w:val="18"/>
                  <w:lang w:eastAsia="en-GB"/>
                </w:rPr>
              </m:ctrlPr>
            </m:sSubPr>
            <m:e>
              <m:r>
                <w:rPr>
                  <w:rFonts w:ascii="Cambria Math" w:hAnsi="Cambria Math"/>
                </w:rPr>
                <m:t>WACC</m:t>
              </m:r>
            </m:e>
            <m:sub>
              <m:r>
                <w:rPr>
                  <w:rFonts w:ascii="Cambria Math" w:hAnsi="Cambria Math"/>
                </w:rPr>
                <m:t>st</m:t>
              </m:r>
            </m:sub>
          </m:sSub>
          <m:r>
            <w:rPr>
              <w:rFonts w:ascii="Cambria Math" w:hAnsi="Cambria Math"/>
            </w:rPr>
            <m:t>-</m:t>
          </m:r>
          <m:sSub>
            <m:sSubPr>
              <m:ctrlPr>
                <w:rPr>
                  <w:rFonts w:ascii="Cambria Math" w:hAnsi="Cambria Math"/>
                  <w:i/>
                  <w:color w:val="000000" w:themeColor="text1"/>
                  <w:szCs w:val="18"/>
                  <w:lang w:eastAsia="en-GB"/>
                </w:rPr>
              </m:ctrlPr>
            </m:sSubPr>
            <m:e>
              <m:r>
                <w:rPr>
                  <w:rFonts w:ascii="Cambria Math" w:hAnsi="Cambria Math"/>
                </w:rPr>
                <m:t>WACC</m:t>
              </m:r>
            </m:e>
            <m:sub>
              <m:r>
                <w:rPr>
                  <w:rFonts w:ascii="Cambria Math" w:hAnsi="Cambria Math"/>
                </w:rPr>
                <m:t>reg</m:t>
              </m:r>
            </m:sub>
          </m:sSub>
        </m:oMath>
      </m:oMathPara>
    </w:p>
    <w:p w:rsidR="006260E6" w:rsidRPr="009C0293" w:rsidRDefault="006260E6" w:rsidP="006260E6">
      <w:pPr>
        <w:spacing w:before="240" w:after="120"/>
        <w:rPr>
          <w:rFonts w:ascii="Arial" w:hAnsi="Arial" w:cs="Arial"/>
          <w:sz w:val="22"/>
          <w:szCs w:val="22"/>
        </w:rPr>
      </w:pPr>
      <w:r w:rsidRPr="009C0293">
        <w:rPr>
          <w:rFonts w:ascii="Arial" w:hAnsi="Arial" w:cs="Arial"/>
          <w:sz w:val="22"/>
          <w:szCs w:val="22"/>
        </w:rPr>
        <w:t>kde:</w:t>
      </w:r>
    </w:p>
    <w:p w:rsidR="006260E6" w:rsidRPr="009C0293" w:rsidRDefault="006260E6" w:rsidP="006260E6">
      <w:pPr>
        <w:rPr>
          <w:rFonts w:ascii="Arial" w:hAnsi="Arial" w:cs="Arial"/>
          <w:sz w:val="22"/>
          <w:szCs w:val="22"/>
        </w:rPr>
      </w:pPr>
      <w:r w:rsidRPr="009C0293">
        <w:rPr>
          <w:rFonts w:ascii="Arial" w:hAnsi="Arial" w:cs="Arial"/>
          <w:sz w:val="22"/>
          <w:szCs w:val="22"/>
        </w:rPr>
        <w:t>RP</w:t>
      </w:r>
      <w:r w:rsidRPr="009C0293">
        <w:rPr>
          <w:rFonts w:ascii="Arial" w:hAnsi="Arial" w:cs="Arial"/>
          <w:sz w:val="22"/>
          <w:szCs w:val="22"/>
          <w:vertAlign w:val="subscript"/>
        </w:rPr>
        <w:t>MRC</w:t>
      </w:r>
      <w:r w:rsidRPr="009C0293">
        <w:rPr>
          <w:rFonts w:ascii="Arial" w:hAnsi="Arial" w:cs="Arial"/>
          <w:sz w:val="22"/>
          <w:szCs w:val="22"/>
        </w:rPr>
        <w:t xml:space="preserve"> </w:t>
      </w:r>
      <w:r w:rsidRPr="009C0293">
        <w:rPr>
          <w:rFonts w:ascii="Arial" w:hAnsi="Arial" w:cs="Arial"/>
          <w:sz w:val="22"/>
          <w:szCs w:val="22"/>
        </w:rPr>
        <w:tab/>
      </w:r>
      <w:r w:rsidRPr="009C0293">
        <w:rPr>
          <w:rFonts w:ascii="Arial" w:hAnsi="Arial" w:cs="Arial"/>
          <w:sz w:val="22"/>
          <w:szCs w:val="22"/>
        </w:rPr>
        <w:tab/>
        <w:t>je riziková přirážka (koeficient tržního rizika),</w:t>
      </w:r>
    </w:p>
    <w:p w:rsidR="006260E6" w:rsidRPr="009C0293" w:rsidRDefault="006260E6" w:rsidP="006260E6">
      <w:pPr>
        <w:tabs>
          <w:tab w:val="left" w:pos="1418"/>
        </w:tabs>
        <w:spacing w:after="60"/>
        <w:rPr>
          <w:rFonts w:ascii="Arial" w:hAnsi="Arial" w:cs="Arial"/>
          <w:noProof/>
          <w:sz w:val="22"/>
          <w:szCs w:val="22"/>
          <w:lang w:eastAsia="zh-TW"/>
        </w:rPr>
      </w:pPr>
      <w:proofErr w:type="spellStart"/>
      <w:r w:rsidRPr="009C0293">
        <w:rPr>
          <w:rFonts w:ascii="Arial" w:hAnsi="Arial" w:cs="Arial"/>
          <w:sz w:val="22"/>
          <w:szCs w:val="22"/>
        </w:rPr>
        <w:t>WACC</w:t>
      </w:r>
      <w:r w:rsidRPr="009C0293">
        <w:rPr>
          <w:rFonts w:ascii="Arial" w:hAnsi="Arial" w:cs="Arial"/>
          <w:sz w:val="22"/>
          <w:szCs w:val="22"/>
          <w:vertAlign w:val="subscript"/>
        </w:rPr>
        <w:t>st</w:t>
      </w:r>
      <w:proofErr w:type="spellEnd"/>
      <w:r w:rsidRPr="009C0293">
        <w:rPr>
          <w:rFonts w:ascii="Arial" w:hAnsi="Arial" w:cs="Arial"/>
          <w:sz w:val="22"/>
          <w:szCs w:val="22"/>
        </w:rPr>
        <w:tab/>
        <w:t xml:space="preserve">je WACC před zdaněním s modifikovanou </w:t>
      </w:r>
      <w:r w:rsidRPr="009C0293">
        <w:rPr>
          <w:rFonts w:ascii="Arial" w:hAnsi="Arial" w:cs="Arial"/>
          <w:noProof/>
          <w:sz w:val="22"/>
          <w:szCs w:val="22"/>
          <w:lang w:eastAsia="zh-TW"/>
        </w:rPr>
        <w:t>bezrizikovou výnosovou mírou,</w:t>
      </w:r>
    </w:p>
    <w:p w:rsidR="006260E6" w:rsidRPr="009C0293" w:rsidRDefault="006260E6" w:rsidP="006260E6">
      <w:pPr>
        <w:ind w:left="1416" w:hanging="1416"/>
        <w:rPr>
          <w:rFonts w:ascii="Arial" w:hAnsi="Arial" w:cs="Arial"/>
          <w:sz w:val="22"/>
          <w:szCs w:val="22"/>
        </w:rPr>
      </w:pPr>
      <w:proofErr w:type="spellStart"/>
      <w:r w:rsidRPr="009C0293">
        <w:rPr>
          <w:rFonts w:ascii="Arial" w:hAnsi="Arial" w:cs="Arial"/>
          <w:sz w:val="22"/>
          <w:szCs w:val="22"/>
        </w:rPr>
        <w:t>WACC</w:t>
      </w:r>
      <w:r w:rsidRPr="009C0293">
        <w:rPr>
          <w:rFonts w:ascii="Arial" w:hAnsi="Arial" w:cs="Arial"/>
          <w:sz w:val="22"/>
          <w:szCs w:val="22"/>
          <w:vertAlign w:val="subscript"/>
        </w:rPr>
        <w:t>reg</w:t>
      </w:r>
      <w:proofErr w:type="spellEnd"/>
      <w:r w:rsidRPr="009C0293">
        <w:rPr>
          <w:rFonts w:ascii="Arial" w:hAnsi="Arial" w:cs="Arial"/>
          <w:sz w:val="22"/>
          <w:szCs w:val="22"/>
        </w:rPr>
        <w:tab/>
        <w:t>je WACC před zdaněním, kde RFR je založená na hodnotě stanovené ve Zprávě BEREC pro rok 2023.</w:t>
      </w:r>
    </w:p>
    <w:p w:rsidR="006260E6" w:rsidRPr="009C0293" w:rsidRDefault="006260E6" w:rsidP="009C0293">
      <w:pPr>
        <w:spacing w:before="240" w:after="240"/>
        <w:rPr>
          <w:rFonts w:ascii="Arial" w:hAnsi="Arial" w:cs="Arial"/>
          <w:sz w:val="22"/>
          <w:szCs w:val="22"/>
        </w:rPr>
      </w:pPr>
      <w:r w:rsidRPr="009C0293">
        <w:rPr>
          <w:rFonts w:ascii="Arial" w:hAnsi="Arial" w:cs="Arial"/>
          <w:sz w:val="22"/>
          <w:szCs w:val="22"/>
        </w:rPr>
        <w:t>Modifikovaná bezriziková výnosová míra (</w:t>
      </w:r>
      <w:proofErr w:type="spellStart"/>
      <w:r w:rsidRPr="009C0293">
        <w:rPr>
          <w:rFonts w:ascii="Arial" w:hAnsi="Arial" w:cs="Arial"/>
          <w:sz w:val="22"/>
          <w:szCs w:val="22"/>
        </w:rPr>
        <w:t>IR</w:t>
      </w:r>
      <w:r w:rsidRPr="009C0293">
        <w:rPr>
          <w:rFonts w:ascii="Arial" w:hAnsi="Arial" w:cs="Arial"/>
          <w:sz w:val="22"/>
          <w:szCs w:val="22"/>
          <w:vertAlign w:val="subscript"/>
        </w:rPr>
        <w:t>rfm</w:t>
      </w:r>
      <w:proofErr w:type="spellEnd"/>
      <w:r w:rsidRPr="009C0293">
        <w:rPr>
          <w:rFonts w:ascii="Arial" w:hAnsi="Arial" w:cs="Arial"/>
          <w:sz w:val="22"/>
          <w:szCs w:val="22"/>
        </w:rPr>
        <w:t xml:space="preserve">) se vypočte podle vzorce: </w:t>
      </w:r>
    </w:p>
    <w:p w:rsidR="006260E6" w:rsidRPr="00BD4340" w:rsidRDefault="006260E6" w:rsidP="006260E6">
      <w:pPr>
        <w:rPr>
          <w:color w:val="000000" w:themeColor="text1"/>
          <w:szCs w:val="18"/>
          <w:lang w:eastAsia="en-GB"/>
        </w:rPr>
      </w:pPr>
      <m:oMathPara>
        <m:oMath>
          <m:sSub>
            <m:sSubPr>
              <m:ctrlPr>
                <w:rPr>
                  <w:rFonts w:ascii="Cambria Math" w:hAnsi="Cambria Math" w:cs="Cambria Math"/>
                  <w:i/>
                  <w:color w:val="000000" w:themeColor="text1"/>
                  <w:szCs w:val="18"/>
                  <w:lang w:eastAsia="en-GB"/>
                </w:rPr>
              </m:ctrlPr>
            </m:sSubPr>
            <m:e>
              <m:r>
                <w:rPr>
                  <w:rFonts w:ascii="Cambria Math" w:hAnsi="Cambria Math" w:cs="Cambria Math"/>
                </w:rPr>
                <m:t>IR</m:t>
              </m:r>
            </m:e>
            <m:sub>
              <m:r>
                <w:rPr>
                  <w:rFonts w:ascii="Cambria Math" w:hAnsi="Cambria Math" w:cs="Cambria Math"/>
                </w:rPr>
                <m:t>rfm</m:t>
              </m:r>
            </m:sub>
          </m:sSub>
          <m:r>
            <m:rPr>
              <m:sty m:val="p"/>
            </m:rPr>
            <w:rPr>
              <w:rFonts w:ascii="Cambria Math" w:hAnsi="Cambria Math" w:cs="Cambria Math"/>
            </w:rPr>
            <m:t>=</m:t>
          </m:r>
          <m:f>
            <m:fPr>
              <m:ctrlPr>
                <w:rPr>
                  <w:rFonts w:ascii="Cambria Math" w:hAnsi="Cambria Math"/>
                  <w:color w:val="000000" w:themeColor="text1"/>
                  <w:szCs w:val="18"/>
                  <w:lang w:eastAsia="en-GB"/>
                </w:rPr>
              </m:ctrlPr>
            </m:fPr>
            <m:num>
              <m:sSub>
                <m:sSubPr>
                  <m:ctrlPr>
                    <w:rPr>
                      <w:rFonts w:ascii="Cambria Math" w:hAnsi="Cambria Math"/>
                      <w:i/>
                      <w:color w:val="000000" w:themeColor="text1"/>
                      <w:szCs w:val="18"/>
                      <w:lang w:eastAsia="en-GB"/>
                    </w:rPr>
                  </m:ctrlPr>
                </m:sSubPr>
                <m:e>
                  <m:sSub>
                    <m:sSubPr>
                      <m:ctrlPr>
                        <w:rPr>
                          <w:rFonts w:ascii="Cambria Math" w:hAnsi="Cambria Math"/>
                          <w:i/>
                          <w:color w:val="000000" w:themeColor="text1"/>
                          <w:szCs w:val="18"/>
                          <w:lang w:eastAsia="en-GB"/>
                        </w:rPr>
                      </m:ctrlPr>
                    </m:sSubPr>
                    <m:e>
                      <m:r>
                        <w:rPr>
                          <w:rFonts w:ascii="Cambria Math" w:hAnsi="Cambria Math"/>
                        </w:rPr>
                        <m:t>IR</m:t>
                      </m:r>
                    </m:e>
                    <m:sub>
                      <m:r>
                        <w:rPr>
                          <w:rFonts w:ascii="Cambria Math" w:hAnsi="Cambria Math"/>
                        </w:rPr>
                        <m:t>rf</m:t>
                      </m:r>
                    </m:sub>
                  </m:sSub>
                  <m:r>
                    <w:rPr>
                      <w:rFonts w:ascii="Cambria Math" w:hAnsi="Cambria Math"/>
                    </w:rPr>
                    <m:t>+IR</m:t>
                  </m:r>
                </m:e>
                <m:sub>
                  <m:r>
                    <w:rPr>
                      <w:rFonts w:ascii="Cambria Math" w:hAnsi="Cambria Math"/>
                    </w:rPr>
                    <m:t>1r</m:t>
                  </m:r>
                </m:sub>
              </m:sSub>
            </m:num>
            <m:den>
              <m:r>
                <m:rPr>
                  <m:sty m:val="p"/>
                </m:rPr>
                <w:rPr>
                  <w:rFonts w:ascii="Cambria Math" w:hAnsi="Cambria Math" w:cs="Cambria Math"/>
                </w:rPr>
                <m:t>2</m:t>
              </m:r>
            </m:den>
          </m:f>
        </m:oMath>
      </m:oMathPara>
    </w:p>
    <w:p w:rsidR="006260E6" w:rsidRPr="009C0293" w:rsidRDefault="006260E6" w:rsidP="009C0293">
      <w:pPr>
        <w:spacing w:after="120"/>
        <w:jc w:val="both"/>
        <w:rPr>
          <w:rFonts w:ascii="Arial" w:hAnsi="Arial" w:cs="Arial"/>
          <w:color w:val="000000" w:themeColor="text1"/>
          <w:sz w:val="22"/>
          <w:szCs w:val="22"/>
          <w:lang w:eastAsia="en-GB"/>
        </w:rPr>
      </w:pPr>
      <w:r w:rsidRPr="009C0293">
        <w:rPr>
          <w:rFonts w:ascii="Arial" w:hAnsi="Arial" w:cs="Arial"/>
          <w:color w:val="000000" w:themeColor="text1"/>
          <w:sz w:val="22"/>
          <w:szCs w:val="22"/>
          <w:lang w:eastAsia="en-GB"/>
        </w:rPr>
        <w:t>kde:</w:t>
      </w:r>
    </w:p>
    <w:p w:rsidR="006260E6" w:rsidRPr="009C0293" w:rsidRDefault="006260E6" w:rsidP="009C0293">
      <w:pPr>
        <w:jc w:val="both"/>
        <w:rPr>
          <w:rFonts w:ascii="Arial" w:hAnsi="Arial" w:cs="Arial"/>
          <w:sz w:val="22"/>
          <w:szCs w:val="22"/>
        </w:rPr>
      </w:pPr>
      <w:proofErr w:type="spellStart"/>
      <w:r w:rsidRPr="009C0293">
        <w:rPr>
          <w:rFonts w:ascii="Arial" w:hAnsi="Arial" w:cs="Arial"/>
          <w:sz w:val="22"/>
          <w:szCs w:val="22"/>
        </w:rPr>
        <w:t>IR</w:t>
      </w:r>
      <w:r w:rsidRPr="009C0293">
        <w:rPr>
          <w:rFonts w:ascii="Arial" w:hAnsi="Arial" w:cs="Arial"/>
          <w:sz w:val="22"/>
          <w:szCs w:val="22"/>
          <w:vertAlign w:val="subscript"/>
        </w:rPr>
        <w:t>rfm</w:t>
      </w:r>
      <w:proofErr w:type="spellEnd"/>
      <w:r w:rsidRPr="009C0293">
        <w:rPr>
          <w:rFonts w:ascii="Arial" w:hAnsi="Arial" w:cs="Arial"/>
          <w:sz w:val="22"/>
          <w:szCs w:val="22"/>
          <w:vertAlign w:val="subscript"/>
        </w:rPr>
        <w:tab/>
      </w:r>
      <w:r w:rsidRPr="009C0293">
        <w:rPr>
          <w:rFonts w:ascii="Arial" w:hAnsi="Arial" w:cs="Arial"/>
          <w:sz w:val="22"/>
          <w:szCs w:val="22"/>
        </w:rPr>
        <w:t>je modifikovaná bezriziková úroková míra,</w:t>
      </w:r>
    </w:p>
    <w:p w:rsidR="006260E6" w:rsidRPr="009C0293" w:rsidRDefault="006260E6" w:rsidP="009C0293">
      <w:pPr>
        <w:jc w:val="both"/>
        <w:rPr>
          <w:rFonts w:ascii="Arial" w:hAnsi="Arial" w:cs="Arial"/>
          <w:sz w:val="22"/>
          <w:szCs w:val="22"/>
        </w:rPr>
      </w:pPr>
      <w:proofErr w:type="spellStart"/>
      <w:r w:rsidRPr="009C0293">
        <w:rPr>
          <w:rFonts w:ascii="Arial" w:hAnsi="Arial" w:cs="Arial"/>
          <w:sz w:val="22"/>
          <w:szCs w:val="22"/>
        </w:rPr>
        <w:t>IR</w:t>
      </w:r>
      <w:r w:rsidRPr="009C0293">
        <w:rPr>
          <w:rFonts w:ascii="Arial" w:hAnsi="Arial" w:cs="Arial"/>
          <w:sz w:val="22"/>
          <w:szCs w:val="22"/>
          <w:vertAlign w:val="subscript"/>
        </w:rPr>
        <w:t>rf</w:t>
      </w:r>
      <w:proofErr w:type="spellEnd"/>
      <w:r w:rsidRPr="009C0293">
        <w:rPr>
          <w:rFonts w:ascii="Arial" w:hAnsi="Arial" w:cs="Arial"/>
          <w:sz w:val="22"/>
          <w:szCs w:val="22"/>
        </w:rPr>
        <w:tab/>
        <w:t xml:space="preserve">je bezriziková úroková míra stanovená dle Zprávy BEREC, </w:t>
      </w:r>
    </w:p>
    <w:p w:rsidR="006260E6" w:rsidRPr="009C0293" w:rsidRDefault="006260E6" w:rsidP="009C0293">
      <w:pPr>
        <w:jc w:val="both"/>
        <w:rPr>
          <w:rFonts w:ascii="Arial" w:hAnsi="Arial" w:cs="Arial"/>
          <w:sz w:val="22"/>
          <w:szCs w:val="22"/>
        </w:rPr>
      </w:pPr>
      <w:r w:rsidRPr="009C0293">
        <w:rPr>
          <w:rFonts w:ascii="Arial" w:hAnsi="Arial" w:cs="Arial"/>
          <w:sz w:val="22"/>
          <w:szCs w:val="22"/>
        </w:rPr>
        <w:t>IR</w:t>
      </w:r>
      <w:r w:rsidRPr="009C0293">
        <w:rPr>
          <w:rFonts w:ascii="Arial" w:hAnsi="Arial" w:cs="Arial"/>
          <w:sz w:val="22"/>
          <w:szCs w:val="22"/>
          <w:vertAlign w:val="subscript"/>
        </w:rPr>
        <w:t>1r</w:t>
      </w:r>
      <w:r w:rsidRPr="009C0293">
        <w:rPr>
          <w:rFonts w:ascii="Arial" w:hAnsi="Arial" w:cs="Arial"/>
          <w:sz w:val="22"/>
          <w:szCs w:val="22"/>
        </w:rPr>
        <w:tab/>
        <w:t>je jednoletý průměr 10letých státních dluhopisů České republiky.</w:t>
      </w:r>
    </w:p>
    <w:p w:rsidR="006260E6" w:rsidRPr="009C0293" w:rsidRDefault="006260E6" w:rsidP="009C0293">
      <w:pPr>
        <w:spacing w:before="240"/>
        <w:ind w:firstLine="709"/>
        <w:jc w:val="both"/>
        <w:rPr>
          <w:rFonts w:ascii="Arial" w:hAnsi="Arial" w:cs="Arial"/>
          <w:sz w:val="22"/>
          <w:szCs w:val="22"/>
        </w:rPr>
      </w:pPr>
      <w:r w:rsidRPr="009C0293">
        <w:rPr>
          <w:rFonts w:ascii="Arial" w:hAnsi="Arial" w:cs="Arial"/>
          <w:b/>
          <w:bCs/>
          <w:sz w:val="22"/>
          <w:szCs w:val="22"/>
        </w:rPr>
        <w:t xml:space="preserve">Tato korekční složka se uplatní v případě, že se 5letý a 10letý průměr výnosové míry pro 10leté dluhopisy liší o více než 10 %. Neuplatňuje se v případě, že se jedná o vychýlení krátkodobého průměru sazeb směrem dolů. </w:t>
      </w:r>
    </w:p>
    <w:p w:rsidR="006260E6" w:rsidRPr="009C0293" w:rsidRDefault="006260E6" w:rsidP="009C0293">
      <w:pPr>
        <w:spacing w:before="240" w:after="120"/>
        <w:jc w:val="both"/>
        <w:rPr>
          <w:rFonts w:ascii="Arial" w:hAnsi="Arial" w:cs="Arial"/>
          <w:b/>
          <w:bCs/>
          <w:sz w:val="22"/>
          <w:szCs w:val="22"/>
        </w:rPr>
      </w:pPr>
      <w:r w:rsidRPr="009C0293">
        <w:rPr>
          <w:rFonts w:ascii="Arial" w:hAnsi="Arial" w:cs="Arial"/>
          <w:sz w:val="22"/>
          <w:szCs w:val="22"/>
        </w:rPr>
        <w:t xml:space="preserve"> </w:t>
      </w:r>
      <w:r w:rsidRPr="009C0293">
        <w:rPr>
          <w:rFonts w:ascii="Arial" w:hAnsi="Arial" w:cs="Arial"/>
          <w:sz w:val="22"/>
          <w:szCs w:val="22"/>
        </w:rPr>
        <w:tab/>
        <w:t xml:space="preserve">Aritmetický průměr výnosových měr českých státních dluhopisů se splatností 10 let za období za období duben 2018–březen 2023 činí 2,32 %, za období duben 2013-březen 2023 činí 1,72 %. Aritmetický průměr výnosových měr za 10 let je o cca 35 % nižší, než průměr za 5 let. </w:t>
      </w:r>
      <w:r w:rsidRPr="009C0293">
        <w:rPr>
          <w:rFonts w:ascii="Arial" w:hAnsi="Arial" w:cs="Arial"/>
          <w:b/>
          <w:bCs/>
          <w:sz w:val="22"/>
          <w:szCs w:val="22"/>
        </w:rPr>
        <w:t xml:space="preserve">Hodnota aritmetického průměru za 10 let a 5 let se liší o více než 10 % a je tedy splněna podmínka pro uplatnění korekční složky.  </w:t>
      </w:r>
    </w:p>
    <w:p w:rsidR="009C0293" w:rsidRDefault="009C0293" w:rsidP="006260E6">
      <w:pPr>
        <w:pStyle w:val="Titulek"/>
        <w:rPr>
          <w:lang w:val="cs-CZ"/>
        </w:rPr>
      </w:pPr>
    </w:p>
    <w:p w:rsidR="006260E6" w:rsidRDefault="006260E6" w:rsidP="006260E6">
      <w:pPr>
        <w:pStyle w:val="Titulek"/>
        <w:rPr>
          <w:lang w:val="cs-CZ"/>
        </w:rPr>
      </w:pPr>
      <w:r w:rsidRPr="000C2A3F">
        <w:rPr>
          <w:lang w:val="cs-CZ"/>
        </w:rPr>
        <w:t>Tabulka 6: Výpočet WACC za použití korekční složky</w:t>
      </w:r>
    </w:p>
    <w:tbl>
      <w:tblPr>
        <w:tblW w:w="5421" w:type="dxa"/>
        <w:tblInd w:w="-5" w:type="dxa"/>
        <w:tblCellMar>
          <w:left w:w="70" w:type="dxa"/>
          <w:right w:w="70" w:type="dxa"/>
        </w:tblCellMar>
        <w:tblLook w:val="04A0" w:firstRow="1" w:lastRow="0" w:firstColumn="1" w:lastColumn="0" w:noHBand="0" w:noVBand="1"/>
      </w:tblPr>
      <w:tblGrid>
        <w:gridCol w:w="2980"/>
        <w:gridCol w:w="996"/>
        <w:gridCol w:w="1500"/>
      </w:tblGrid>
      <w:tr w:rsidR="006260E6" w:rsidTr="009C0293">
        <w:trPr>
          <w:trHeight w:val="315"/>
        </w:trPr>
        <w:tc>
          <w:tcPr>
            <w:tcW w:w="29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6260E6" w:rsidRPr="009B3A35" w:rsidRDefault="006260E6" w:rsidP="009C0293">
            <w:pPr>
              <w:rPr>
                <w:rFonts w:cs="Arial"/>
                <w:b/>
                <w:bCs/>
                <w:szCs w:val="22"/>
              </w:rPr>
            </w:pPr>
            <w:r w:rsidRPr="009B3A35">
              <w:rPr>
                <w:rFonts w:cs="Arial"/>
                <w:b/>
                <w:bCs/>
                <w:szCs w:val="22"/>
              </w:rPr>
              <w:t>WACC</w:t>
            </w:r>
          </w:p>
        </w:tc>
        <w:tc>
          <w:tcPr>
            <w:tcW w:w="941" w:type="dxa"/>
            <w:tcBorders>
              <w:top w:val="single" w:sz="8" w:space="0" w:color="auto"/>
              <w:left w:val="nil"/>
              <w:bottom w:val="single" w:sz="8" w:space="0" w:color="auto"/>
              <w:right w:val="single" w:sz="8" w:space="0" w:color="auto"/>
            </w:tcBorders>
            <w:shd w:val="clear" w:color="000000" w:fill="BFBFBF"/>
            <w:noWrap/>
            <w:vAlign w:val="center"/>
            <w:hideMark/>
          </w:tcPr>
          <w:p w:rsidR="006260E6" w:rsidRPr="009B3A35" w:rsidRDefault="006260E6" w:rsidP="009C0293">
            <w:pPr>
              <w:rPr>
                <w:rFonts w:cs="Arial"/>
                <w:b/>
                <w:bCs/>
                <w:szCs w:val="22"/>
              </w:rPr>
            </w:pPr>
            <w:r w:rsidRPr="009B3A35">
              <w:rPr>
                <w:rFonts w:cs="Arial"/>
                <w:b/>
                <w:bCs/>
                <w:szCs w:val="22"/>
              </w:rPr>
              <w:t> </w:t>
            </w:r>
          </w:p>
        </w:tc>
        <w:tc>
          <w:tcPr>
            <w:tcW w:w="1500" w:type="dxa"/>
            <w:tcBorders>
              <w:top w:val="single" w:sz="8" w:space="0" w:color="auto"/>
              <w:left w:val="nil"/>
              <w:bottom w:val="single" w:sz="8" w:space="0" w:color="auto"/>
              <w:right w:val="single" w:sz="8" w:space="0" w:color="auto"/>
            </w:tcBorders>
            <w:shd w:val="clear" w:color="000000" w:fill="BFBFBF"/>
            <w:noWrap/>
            <w:vAlign w:val="center"/>
            <w:hideMark/>
          </w:tcPr>
          <w:p w:rsidR="006260E6" w:rsidRPr="009B3A35" w:rsidRDefault="006260E6" w:rsidP="009C0293">
            <w:pPr>
              <w:jc w:val="right"/>
              <w:rPr>
                <w:rFonts w:cs="Arial"/>
                <w:b/>
                <w:bCs/>
                <w:szCs w:val="22"/>
              </w:rPr>
            </w:pPr>
            <w:r w:rsidRPr="009B3A35">
              <w:rPr>
                <w:rFonts w:cs="Arial"/>
                <w:b/>
                <w:bCs/>
                <w:szCs w:val="22"/>
              </w:rPr>
              <w:t> </w:t>
            </w:r>
          </w:p>
        </w:tc>
      </w:tr>
      <w:tr w:rsidR="006260E6" w:rsidTr="009C029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6260E6" w:rsidRPr="009B3A35" w:rsidRDefault="006260E6" w:rsidP="009C0293">
            <w:pPr>
              <w:rPr>
                <w:rFonts w:cs="Arial"/>
                <w:color w:val="000000"/>
                <w:szCs w:val="22"/>
              </w:rPr>
            </w:pPr>
            <w:r w:rsidRPr="009B3A35">
              <w:rPr>
                <w:rFonts w:cs="Arial"/>
                <w:color w:val="000000"/>
                <w:szCs w:val="22"/>
              </w:rPr>
              <w:t>Náklady cizího kapitálu</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proofErr w:type="spellStart"/>
            <w:r w:rsidRPr="00B708FD">
              <w:rPr>
                <w:rFonts w:cs="Arial"/>
                <w:szCs w:val="22"/>
              </w:rPr>
              <w:t>r</w:t>
            </w:r>
            <w:r w:rsidRPr="00B708FD">
              <w:rPr>
                <w:rFonts w:cs="Arial"/>
                <w:szCs w:val="22"/>
                <w:vertAlign w:val="subscript"/>
              </w:rPr>
              <w:t>d</w:t>
            </w:r>
            <w:proofErr w:type="spellEnd"/>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szCs w:val="22"/>
              </w:rPr>
            </w:pPr>
            <w:r>
              <w:rPr>
                <w:rFonts w:cs="Arial"/>
                <w:szCs w:val="22"/>
              </w:rPr>
              <w:t xml:space="preserve">4,98 </w:t>
            </w:r>
            <w:r w:rsidRPr="009B3A35">
              <w:rPr>
                <w:rFonts w:cs="Arial"/>
                <w:szCs w:val="22"/>
              </w:rPr>
              <w:t>%</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sidRPr="009B3A35">
              <w:rPr>
                <w:rFonts w:cs="Arial"/>
                <w:szCs w:val="22"/>
              </w:rPr>
              <w:t>Daňová sazba</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sidRPr="0070071D">
              <w:rPr>
                <w:rFonts w:cs="Arial"/>
                <w:szCs w:val="22"/>
              </w:rPr>
              <w:t>t</w:t>
            </w:r>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szCs w:val="22"/>
              </w:rPr>
            </w:pPr>
            <w:r w:rsidRPr="009B3A35">
              <w:rPr>
                <w:rFonts w:cs="Arial"/>
                <w:szCs w:val="22"/>
              </w:rPr>
              <w:t>19,00 %</w:t>
            </w:r>
          </w:p>
        </w:tc>
      </w:tr>
      <w:tr w:rsidR="006260E6" w:rsidTr="009C0293">
        <w:trPr>
          <w:trHeight w:val="27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6260E6" w:rsidRPr="009B3A35" w:rsidRDefault="006260E6" w:rsidP="009C0293">
            <w:pPr>
              <w:rPr>
                <w:rFonts w:cs="Arial"/>
                <w:color w:val="000000"/>
                <w:szCs w:val="22"/>
              </w:rPr>
            </w:pPr>
            <w:r w:rsidRPr="009B3A35">
              <w:rPr>
                <w:rFonts w:cs="Arial"/>
                <w:color w:val="000000"/>
                <w:szCs w:val="22"/>
              </w:rPr>
              <w:t>Náklady vlastního kapitálu</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sidRPr="00B708FD">
              <w:rPr>
                <w:rFonts w:cs="Arial"/>
                <w:szCs w:val="22"/>
              </w:rPr>
              <w:t>r</w:t>
            </w:r>
            <w:r w:rsidRPr="00B708FD">
              <w:rPr>
                <w:rFonts w:cs="Arial"/>
                <w:szCs w:val="22"/>
                <w:vertAlign w:val="subscript"/>
              </w:rPr>
              <w:t>e</w:t>
            </w:r>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szCs w:val="22"/>
              </w:rPr>
            </w:pPr>
            <w:r>
              <w:rPr>
                <w:rFonts w:cs="Arial"/>
                <w:szCs w:val="22"/>
              </w:rPr>
              <w:t>7,11</w:t>
            </w:r>
            <w:r w:rsidRPr="009B3A35">
              <w:rPr>
                <w:rFonts w:cs="Arial"/>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rPr>
                <w:rFonts w:cs="Arial"/>
                <w:szCs w:val="22"/>
              </w:rPr>
            </w:pPr>
            <w:r>
              <w:rPr>
                <w:rFonts w:cs="Arial"/>
                <w:szCs w:val="22"/>
              </w:rPr>
              <w:t>Podíl dluhu na celkovém kapitálu</w:t>
            </w:r>
            <w:r w:rsidRPr="009B3A35">
              <w:rPr>
                <w:rFonts w:cs="Arial"/>
                <w:szCs w:val="22"/>
              </w:rPr>
              <w:t xml:space="preserve"> </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sidRPr="00B708FD">
              <w:rPr>
                <w:rFonts w:cs="Arial"/>
                <w:szCs w:val="22"/>
              </w:rPr>
              <w:t>D/(D+E)</w:t>
            </w:r>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szCs w:val="22"/>
              </w:rPr>
            </w:pPr>
            <w:r>
              <w:rPr>
                <w:rFonts w:cs="Arial"/>
                <w:szCs w:val="22"/>
              </w:rPr>
              <w:t>45,37</w:t>
            </w:r>
            <w:r w:rsidRPr="009B3A35">
              <w:rPr>
                <w:rFonts w:cs="Arial"/>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6260E6" w:rsidRPr="009B3A35" w:rsidRDefault="006260E6" w:rsidP="009C0293">
            <w:pPr>
              <w:rPr>
                <w:rFonts w:cs="Arial"/>
                <w:szCs w:val="22"/>
              </w:rPr>
            </w:pPr>
            <w:r>
              <w:rPr>
                <w:rFonts w:cs="Arial"/>
                <w:szCs w:val="22"/>
              </w:rPr>
              <w:t>Podíl vlastního kapitálu na celkovém kapitálu</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sidRPr="0070071D">
              <w:rPr>
                <w:rFonts w:cs="Arial"/>
                <w:szCs w:val="22"/>
              </w:rPr>
              <w:t>E/</w:t>
            </w:r>
            <w:r w:rsidRPr="00B708FD">
              <w:rPr>
                <w:rFonts w:cs="Arial"/>
                <w:szCs w:val="22"/>
              </w:rPr>
              <w:t>(D+E)</w:t>
            </w:r>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szCs w:val="22"/>
              </w:rPr>
            </w:pPr>
            <w:r>
              <w:rPr>
                <w:rFonts w:cs="Arial"/>
                <w:szCs w:val="22"/>
              </w:rPr>
              <w:t>54,63</w:t>
            </w:r>
            <w:r w:rsidRPr="009B3A35">
              <w:rPr>
                <w:rFonts w:cs="Arial"/>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6260E6" w:rsidRPr="009B3A35" w:rsidRDefault="006260E6" w:rsidP="009C0293">
            <w:pPr>
              <w:rPr>
                <w:rFonts w:cs="Arial"/>
                <w:b/>
                <w:bCs/>
                <w:szCs w:val="22"/>
              </w:rPr>
            </w:pPr>
            <w:r w:rsidRPr="009B3A35">
              <w:rPr>
                <w:rFonts w:cs="Arial"/>
                <w:b/>
                <w:bCs/>
                <w:szCs w:val="22"/>
              </w:rPr>
              <w:t>WACC (po zdanění)</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b/>
                <w:bCs/>
                <w:szCs w:val="22"/>
              </w:rPr>
            </w:pPr>
            <w:r w:rsidRPr="0070071D">
              <w:rPr>
                <w:rFonts w:cs="Arial"/>
                <w:b/>
                <w:bCs/>
                <w:szCs w:val="22"/>
              </w:rPr>
              <w:t> </w:t>
            </w:r>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b/>
                <w:bCs/>
                <w:szCs w:val="22"/>
              </w:rPr>
            </w:pPr>
            <w:r>
              <w:rPr>
                <w:rFonts w:cs="Arial"/>
                <w:b/>
                <w:bCs/>
                <w:szCs w:val="22"/>
              </w:rPr>
              <w:t xml:space="preserve">5,72 </w:t>
            </w:r>
            <w:r w:rsidRPr="009B3A35">
              <w:rPr>
                <w:rFonts w:cs="Arial"/>
                <w:b/>
                <w:bCs/>
                <w:szCs w:val="22"/>
              </w:rPr>
              <w:t>%</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6260E6" w:rsidRPr="009B3A35" w:rsidRDefault="006260E6" w:rsidP="009C0293">
            <w:pPr>
              <w:rPr>
                <w:rFonts w:cs="Arial"/>
                <w:b/>
                <w:bCs/>
                <w:szCs w:val="22"/>
              </w:rPr>
            </w:pPr>
            <w:r w:rsidRPr="009B3A35">
              <w:rPr>
                <w:rFonts w:cs="Arial"/>
                <w:b/>
                <w:bCs/>
                <w:szCs w:val="22"/>
              </w:rPr>
              <w:t>WACC (před zdaněním)</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b/>
                <w:bCs/>
                <w:szCs w:val="22"/>
              </w:rPr>
            </w:pPr>
            <w:r w:rsidRPr="0070071D">
              <w:rPr>
                <w:rFonts w:cs="Arial"/>
                <w:b/>
                <w:bCs/>
                <w:szCs w:val="22"/>
              </w:rPr>
              <w:t> </w:t>
            </w:r>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b/>
                <w:bCs/>
                <w:szCs w:val="22"/>
              </w:rPr>
            </w:pPr>
            <w:r>
              <w:rPr>
                <w:rFonts w:cs="Arial"/>
                <w:b/>
                <w:bCs/>
                <w:szCs w:val="22"/>
              </w:rPr>
              <w:t>7,05</w:t>
            </w:r>
            <w:r w:rsidRPr="009B3A35">
              <w:rPr>
                <w:rFonts w:cs="Arial"/>
                <w:b/>
                <w:bCs/>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tcPr>
          <w:p w:rsidR="006260E6" w:rsidRPr="009B3A35" w:rsidRDefault="006260E6" w:rsidP="009C0293">
            <w:pPr>
              <w:rPr>
                <w:rFonts w:cs="Arial"/>
                <w:b/>
                <w:bCs/>
                <w:szCs w:val="22"/>
              </w:rPr>
            </w:pPr>
          </w:p>
        </w:tc>
        <w:tc>
          <w:tcPr>
            <w:tcW w:w="941" w:type="dxa"/>
            <w:tcBorders>
              <w:top w:val="nil"/>
              <w:left w:val="nil"/>
              <w:bottom w:val="single" w:sz="8" w:space="0" w:color="auto"/>
              <w:right w:val="single" w:sz="8" w:space="0" w:color="auto"/>
            </w:tcBorders>
            <w:shd w:val="clear" w:color="auto" w:fill="auto"/>
            <w:noWrap/>
            <w:vAlign w:val="bottom"/>
          </w:tcPr>
          <w:p w:rsidR="006260E6" w:rsidRPr="0070071D" w:rsidRDefault="006260E6" w:rsidP="009C0293">
            <w:pPr>
              <w:rPr>
                <w:rFonts w:cs="Arial"/>
                <w:b/>
                <w:bCs/>
                <w:szCs w:val="22"/>
              </w:rPr>
            </w:pPr>
          </w:p>
        </w:tc>
        <w:tc>
          <w:tcPr>
            <w:tcW w:w="1500" w:type="dxa"/>
            <w:tcBorders>
              <w:top w:val="nil"/>
              <w:left w:val="nil"/>
              <w:bottom w:val="single" w:sz="8" w:space="0" w:color="auto"/>
              <w:right w:val="single" w:sz="8" w:space="0" w:color="auto"/>
            </w:tcBorders>
            <w:shd w:val="clear" w:color="auto" w:fill="auto"/>
            <w:noWrap/>
            <w:vAlign w:val="bottom"/>
          </w:tcPr>
          <w:p w:rsidR="006260E6" w:rsidRDefault="006260E6" w:rsidP="009C0293">
            <w:pPr>
              <w:jc w:val="right"/>
              <w:rPr>
                <w:rFonts w:cs="Arial"/>
                <w:b/>
                <w:bCs/>
                <w:szCs w:val="22"/>
              </w:rPr>
            </w:pP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000000" w:fill="BFBFBF"/>
            <w:noWrap/>
            <w:vAlign w:val="bottom"/>
            <w:hideMark/>
          </w:tcPr>
          <w:p w:rsidR="006260E6" w:rsidRPr="009B3A35" w:rsidRDefault="006260E6" w:rsidP="009C0293">
            <w:pPr>
              <w:rPr>
                <w:rFonts w:cs="Arial"/>
                <w:b/>
                <w:bCs/>
                <w:szCs w:val="22"/>
              </w:rPr>
            </w:pPr>
            <w:r w:rsidRPr="009B3A35">
              <w:rPr>
                <w:rFonts w:cs="Arial"/>
                <w:b/>
                <w:bCs/>
                <w:szCs w:val="22"/>
              </w:rPr>
              <w:t>Náklady cizího kapitálu</w:t>
            </w:r>
          </w:p>
        </w:tc>
        <w:tc>
          <w:tcPr>
            <w:tcW w:w="941" w:type="dxa"/>
            <w:tcBorders>
              <w:top w:val="nil"/>
              <w:left w:val="nil"/>
              <w:bottom w:val="single" w:sz="8" w:space="0" w:color="auto"/>
              <w:right w:val="single" w:sz="8" w:space="0" w:color="auto"/>
            </w:tcBorders>
            <w:shd w:val="clear" w:color="000000" w:fill="BFBFBF"/>
            <w:noWrap/>
            <w:vAlign w:val="bottom"/>
            <w:hideMark/>
          </w:tcPr>
          <w:p w:rsidR="006260E6" w:rsidRPr="009B3A35" w:rsidRDefault="006260E6" w:rsidP="009C0293">
            <w:pPr>
              <w:rPr>
                <w:rFonts w:cs="Arial"/>
                <w:b/>
                <w:bCs/>
                <w:szCs w:val="22"/>
              </w:rPr>
            </w:pPr>
            <w:r w:rsidRPr="0070071D">
              <w:rPr>
                <w:rFonts w:cs="Arial"/>
                <w:b/>
                <w:bCs/>
                <w:szCs w:val="22"/>
              </w:rPr>
              <w:t> </w:t>
            </w:r>
          </w:p>
        </w:tc>
        <w:tc>
          <w:tcPr>
            <w:tcW w:w="1500" w:type="dxa"/>
            <w:tcBorders>
              <w:top w:val="nil"/>
              <w:left w:val="nil"/>
              <w:bottom w:val="single" w:sz="8" w:space="0" w:color="auto"/>
              <w:right w:val="single" w:sz="8" w:space="0" w:color="auto"/>
            </w:tcBorders>
            <w:shd w:val="clear" w:color="000000" w:fill="BFBFBF"/>
            <w:noWrap/>
            <w:vAlign w:val="bottom"/>
            <w:hideMark/>
          </w:tcPr>
          <w:p w:rsidR="006260E6" w:rsidRPr="009B3A35" w:rsidRDefault="006260E6" w:rsidP="009C0293">
            <w:pPr>
              <w:jc w:val="right"/>
              <w:rPr>
                <w:rFonts w:cs="Arial"/>
                <w:b/>
                <w:bCs/>
                <w:szCs w:val="22"/>
              </w:rPr>
            </w:pPr>
            <w:r w:rsidRPr="009B3A35">
              <w:rPr>
                <w:rFonts w:cs="Arial"/>
                <w:b/>
                <w:bCs/>
                <w:szCs w:val="22"/>
              </w:rPr>
              <w:t> </w:t>
            </w:r>
          </w:p>
        </w:tc>
      </w:tr>
      <w:tr w:rsidR="006260E6" w:rsidTr="009C029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Pr>
                <w:rFonts w:cs="Arial"/>
                <w:szCs w:val="22"/>
              </w:rPr>
              <w:t>Modifikovaná b</w:t>
            </w:r>
            <w:r w:rsidRPr="009B3A35">
              <w:rPr>
                <w:rFonts w:cs="Arial"/>
                <w:szCs w:val="22"/>
              </w:rPr>
              <w:t>e</w:t>
            </w:r>
            <w:r>
              <w:rPr>
                <w:rFonts w:cs="Arial"/>
                <w:szCs w:val="22"/>
              </w:rPr>
              <w:t>zr</w:t>
            </w:r>
            <w:r w:rsidRPr="009B3A35">
              <w:rPr>
                <w:rFonts w:cs="Arial"/>
                <w:szCs w:val="22"/>
              </w:rPr>
              <w:t>iziková výnosová míra</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proofErr w:type="spellStart"/>
            <w:r w:rsidRPr="002343F2">
              <w:rPr>
                <w:szCs w:val="22"/>
              </w:rPr>
              <w:t>IR</w:t>
            </w:r>
            <w:r w:rsidRPr="002343F2">
              <w:rPr>
                <w:szCs w:val="22"/>
                <w:vertAlign w:val="subscript"/>
              </w:rPr>
              <w:t>rfm</w:t>
            </w:r>
            <w:proofErr w:type="spellEnd"/>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szCs w:val="22"/>
              </w:rPr>
            </w:pPr>
            <w:r>
              <w:rPr>
                <w:rFonts w:cs="Arial"/>
                <w:szCs w:val="22"/>
              </w:rPr>
              <w:t>3,50</w:t>
            </w:r>
            <w:r w:rsidRPr="009B3A35">
              <w:rPr>
                <w:rFonts w:cs="Arial"/>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sidRPr="009B3A35">
              <w:rPr>
                <w:rFonts w:cs="Arial"/>
                <w:szCs w:val="22"/>
              </w:rPr>
              <w:t>Dluhová prémie</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sidRPr="0070071D">
              <w:rPr>
                <w:rFonts w:cs="Arial"/>
                <w:szCs w:val="22"/>
              </w:rPr>
              <w:t>DP</w:t>
            </w:r>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szCs w:val="22"/>
              </w:rPr>
            </w:pPr>
            <w:r>
              <w:rPr>
                <w:rFonts w:cs="Arial"/>
                <w:szCs w:val="22"/>
              </w:rPr>
              <w:t>1,48</w:t>
            </w:r>
            <w:r w:rsidRPr="009B3A35">
              <w:rPr>
                <w:rFonts w:cs="Arial"/>
                <w:szCs w:val="22"/>
              </w:rPr>
              <w:t xml:space="preserve"> %</w:t>
            </w:r>
          </w:p>
        </w:tc>
      </w:tr>
      <w:tr w:rsidR="006260E6" w:rsidTr="009C029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6260E6" w:rsidRPr="009B3A35" w:rsidRDefault="006260E6" w:rsidP="009C0293">
            <w:pPr>
              <w:rPr>
                <w:rFonts w:cs="Arial"/>
                <w:b/>
                <w:bCs/>
                <w:szCs w:val="22"/>
              </w:rPr>
            </w:pPr>
            <w:r w:rsidRPr="009B3A35">
              <w:rPr>
                <w:rFonts w:cs="Arial"/>
                <w:b/>
                <w:bCs/>
                <w:szCs w:val="22"/>
              </w:rPr>
              <w:t>Náklady cizího kapitálu</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b/>
                <w:bCs/>
                <w:szCs w:val="22"/>
              </w:rPr>
            </w:pPr>
            <w:proofErr w:type="spellStart"/>
            <w:r w:rsidRPr="00B708FD">
              <w:rPr>
                <w:rFonts w:cs="Arial"/>
                <w:b/>
                <w:bCs/>
                <w:szCs w:val="22"/>
              </w:rPr>
              <w:t>r</w:t>
            </w:r>
            <w:r w:rsidRPr="00B708FD">
              <w:rPr>
                <w:rFonts w:cs="Arial"/>
                <w:b/>
                <w:bCs/>
                <w:szCs w:val="22"/>
                <w:vertAlign w:val="subscript"/>
              </w:rPr>
              <w:t>d</w:t>
            </w:r>
            <w:proofErr w:type="spellEnd"/>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b/>
                <w:bCs/>
                <w:szCs w:val="22"/>
              </w:rPr>
            </w:pPr>
            <w:r>
              <w:rPr>
                <w:rFonts w:cs="Arial"/>
                <w:b/>
                <w:bCs/>
                <w:szCs w:val="22"/>
              </w:rPr>
              <w:t>4,98</w:t>
            </w:r>
            <w:r w:rsidRPr="009B3A35">
              <w:rPr>
                <w:rFonts w:cs="Arial"/>
                <w:b/>
                <w:bCs/>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sidRPr="009B3A35">
              <w:rPr>
                <w:rFonts w:cs="Arial"/>
                <w:szCs w:val="22"/>
              </w:rPr>
              <w:t> </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sidRPr="0070071D">
              <w:rPr>
                <w:rFonts w:cs="Arial"/>
                <w:szCs w:val="22"/>
              </w:rPr>
              <w:t> </w:t>
            </w:r>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sidRPr="009B3A35">
              <w:rPr>
                <w:rFonts w:cs="Arial"/>
                <w:szCs w:val="22"/>
              </w:rPr>
              <w:t>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000000" w:fill="BFBFBF"/>
            <w:noWrap/>
            <w:vAlign w:val="bottom"/>
            <w:hideMark/>
          </w:tcPr>
          <w:p w:rsidR="006260E6" w:rsidRPr="009B3A35" w:rsidRDefault="006260E6" w:rsidP="009C0293">
            <w:pPr>
              <w:rPr>
                <w:rFonts w:cs="Arial"/>
                <w:b/>
                <w:bCs/>
                <w:szCs w:val="22"/>
              </w:rPr>
            </w:pPr>
            <w:r w:rsidRPr="009B3A35">
              <w:rPr>
                <w:rFonts w:cs="Arial"/>
                <w:b/>
                <w:bCs/>
                <w:szCs w:val="22"/>
              </w:rPr>
              <w:t>Náklady vlastního kapitálu</w:t>
            </w:r>
          </w:p>
        </w:tc>
        <w:tc>
          <w:tcPr>
            <w:tcW w:w="941" w:type="dxa"/>
            <w:tcBorders>
              <w:top w:val="nil"/>
              <w:left w:val="nil"/>
              <w:bottom w:val="single" w:sz="8" w:space="0" w:color="auto"/>
              <w:right w:val="single" w:sz="8" w:space="0" w:color="auto"/>
            </w:tcBorders>
            <w:shd w:val="clear" w:color="000000" w:fill="BFBFBF"/>
            <w:noWrap/>
            <w:vAlign w:val="bottom"/>
            <w:hideMark/>
          </w:tcPr>
          <w:p w:rsidR="006260E6" w:rsidRPr="009B3A35" w:rsidRDefault="006260E6" w:rsidP="009C0293">
            <w:pPr>
              <w:rPr>
                <w:rFonts w:cs="Arial"/>
                <w:b/>
                <w:bCs/>
                <w:szCs w:val="22"/>
              </w:rPr>
            </w:pPr>
            <w:r w:rsidRPr="0070071D">
              <w:rPr>
                <w:rFonts w:cs="Arial"/>
                <w:b/>
                <w:bCs/>
                <w:szCs w:val="22"/>
              </w:rPr>
              <w:t> </w:t>
            </w:r>
          </w:p>
        </w:tc>
        <w:tc>
          <w:tcPr>
            <w:tcW w:w="1500" w:type="dxa"/>
            <w:tcBorders>
              <w:top w:val="nil"/>
              <w:left w:val="nil"/>
              <w:bottom w:val="single" w:sz="8" w:space="0" w:color="auto"/>
              <w:right w:val="single" w:sz="8" w:space="0" w:color="auto"/>
            </w:tcBorders>
            <w:shd w:val="clear" w:color="000000" w:fill="BFBFBF"/>
            <w:noWrap/>
            <w:vAlign w:val="bottom"/>
            <w:hideMark/>
          </w:tcPr>
          <w:p w:rsidR="006260E6" w:rsidRPr="009B3A35" w:rsidRDefault="006260E6" w:rsidP="009C0293">
            <w:pPr>
              <w:jc w:val="right"/>
              <w:rPr>
                <w:rFonts w:cs="Arial"/>
                <w:b/>
                <w:bCs/>
                <w:szCs w:val="22"/>
              </w:rPr>
            </w:pPr>
            <w:r w:rsidRPr="009B3A35">
              <w:rPr>
                <w:rFonts w:cs="Arial"/>
                <w:b/>
                <w:bCs/>
                <w:szCs w:val="22"/>
              </w:rPr>
              <w:t> </w:t>
            </w:r>
          </w:p>
        </w:tc>
      </w:tr>
      <w:tr w:rsidR="006260E6" w:rsidTr="009C029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Pr>
                <w:rFonts w:cs="Arial"/>
                <w:szCs w:val="22"/>
              </w:rPr>
              <w:t>Modifikovaná b</w:t>
            </w:r>
            <w:r w:rsidRPr="009B3A35">
              <w:rPr>
                <w:rFonts w:cs="Arial"/>
                <w:szCs w:val="22"/>
              </w:rPr>
              <w:t>e</w:t>
            </w:r>
            <w:r>
              <w:rPr>
                <w:rFonts w:cs="Arial"/>
                <w:szCs w:val="22"/>
              </w:rPr>
              <w:t>zr</w:t>
            </w:r>
            <w:r w:rsidRPr="009B3A35">
              <w:rPr>
                <w:rFonts w:cs="Arial"/>
                <w:szCs w:val="22"/>
              </w:rPr>
              <w:t>iziková výnosová míra</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proofErr w:type="spellStart"/>
            <w:r w:rsidRPr="002343F2">
              <w:rPr>
                <w:szCs w:val="22"/>
              </w:rPr>
              <w:t>IR</w:t>
            </w:r>
            <w:r w:rsidRPr="002343F2">
              <w:rPr>
                <w:szCs w:val="22"/>
                <w:vertAlign w:val="subscript"/>
              </w:rPr>
              <w:t>rfm</w:t>
            </w:r>
            <w:proofErr w:type="spellEnd"/>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szCs w:val="22"/>
              </w:rPr>
            </w:pPr>
            <w:r>
              <w:rPr>
                <w:rFonts w:cs="Arial"/>
                <w:szCs w:val="22"/>
              </w:rPr>
              <w:t>3,50</w:t>
            </w:r>
            <w:r w:rsidRPr="009B3A35">
              <w:rPr>
                <w:rFonts w:cs="Arial"/>
                <w:szCs w:val="22"/>
              </w:rPr>
              <w:t xml:space="preserve"> %</w:t>
            </w:r>
          </w:p>
        </w:tc>
      </w:tr>
      <w:tr w:rsidR="006260E6" w:rsidTr="009C029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sidRPr="009B3A35">
              <w:rPr>
                <w:rFonts w:cs="Arial"/>
                <w:szCs w:val="22"/>
              </w:rPr>
              <w:t>Tržní riziková prémie</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szCs w:val="22"/>
              </w:rPr>
            </w:pPr>
            <w:r w:rsidRPr="0070071D">
              <w:rPr>
                <w:rFonts w:cs="Arial"/>
                <w:szCs w:val="22"/>
              </w:rPr>
              <w:t>ERP</w:t>
            </w:r>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szCs w:val="22"/>
              </w:rPr>
            </w:pPr>
            <w:r w:rsidRPr="009B3A35">
              <w:rPr>
                <w:rFonts w:cs="Arial"/>
                <w:szCs w:val="22"/>
              </w:rPr>
              <w:t>5,</w:t>
            </w:r>
            <w:r>
              <w:rPr>
                <w:rFonts w:cs="Arial"/>
                <w:szCs w:val="22"/>
              </w:rPr>
              <w:t>92</w:t>
            </w:r>
            <w:r w:rsidRPr="009B3A35">
              <w:rPr>
                <w:rFonts w:cs="Arial"/>
                <w:szCs w:val="22"/>
              </w:rPr>
              <w:t xml:space="preserve"> %</w:t>
            </w:r>
          </w:p>
        </w:tc>
      </w:tr>
      <w:tr w:rsidR="006260E6" w:rsidTr="009C0293">
        <w:trPr>
          <w:trHeight w:val="331"/>
        </w:trPr>
        <w:tc>
          <w:tcPr>
            <w:tcW w:w="2980" w:type="dxa"/>
            <w:tcBorders>
              <w:top w:val="nil"/>
              <w:left w:val="single" w:sz="8" w:space="0" w:color="auto"/>
              <w:bottom w:val="single" w:sz="8" w:space="0" w:color="auto"/>
              <w:right w:val="single" w:sz="8" w:space="0" w:color="auto"/>
            </w:tcBorders>
            <w:shd w:val="clear" w:color="auto" w:fill="auto"/>
            <w:vAlign w:val="bottom"/>
            <w:hideMark/>
          </w:tcPr>
          <w:p w:rsidR="006260E6" w:rsidRPr="009B3A35" w:rsidRDefault="006260E6" w:rsidP="009C0293">
            <w:pPr>
              <w:rPr>
                <w:rFonts w:cs="Arial"/>
                <w:szCs w:val="22"/>
              </w:rPr>
            </w:pPr>
            <w:r w:rsidRPr="009B3A35">
              <w:rPr>
                <w:rFonts w:cs="Arial"/>
                <w:szCs w:val="22"/>
              </w:rPr>
              <w:t>Asset beta</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color w:val="000000"/>
                <w:szCs w:val="22"/>
              </w:rPr>
            </w:pPr>
            <w:r w:rsidRPr="0070071D">
              <w:rPr>
                <w:rFonts w:cs="Arial"/>
                <w:color w:val="000000"/>
                <w:szCs w:val="22"/>
              </w:rPr>
              <w:t>β</w:t>
            </w:r>
            <w:r w:rsidRPr="004204B8">
              <w:rPr>
                <w:rFonts w:ascii="Cavolini" w:hAnsi="Cavolini" w:cs="Cavolini"/>
                <w:noProof/>
                <w:szCs w:val="22"/>
                <w:vertAlign w:val="subscript"/>
                <w:lang w:eastAsia="zh-TW"/>
              </w:rPr>
              <w:t>a</w:t>
            </w:r>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szCs w:val="22"/>
              </w:rPr>
            </w:pPr>
            <w:r w:rsidRPr="009B3A35">
              <w:rPr>
                <w:rFonts w:cs="Arial"/>
                <w:szCs w:val="22"/>
              </w:rPr>
              <w:t>0,</w:t>
            </w:r>
            <w:r>
              <w:rPr>
                <w:rFonts w:cs="Arial"/>
                <w:szCs w:val="22"/>
              </w:rPr>
              <w:t>38</w:t>
            </w:r>
          </w:p>
        </w:tc>
      </w:tr>
      <w:tr w:rsidR="006260E6" w:rsidTr="009C0293">
        <w:trPr>
          <w:trHeight w:val="393"/>
        </w:trPr>
        <w:tc>
          <w:tcPr>
            <w:tcW w:w="2980" w:type="dxa"/>
            <w:tcBorders>
              <w:top w:val="nil"/>
              <w:left w:val="single" w:sz="8" w:space="0" w:color="auto"/>
              <w:bottom w:val="single" w:sz="8" w:space="0" w:color="auto"/>
              <w:right w:val="single" w:sz="8" w:space="0" w:color="auto"/>
            </w:tcBorders>
            <w:shd w:val="clear" w:color="auto" w:fill="auto"/>
            <w:vAlign w:val="bottom"/>
            <w:hideMark/>
          </w:tcPr>
          <w:p w:rsidR="006260E6" w:rsidRPr="009B3A35" w:rsidRDefault="006260E6" w:rsidP="009C0293">
            <w:pPr>
              <w:rPr>
                <w:rFonts w:cs="Arial"/>
                <w:szCs w:val="22"/>
              </w:rPr>
            </w:pPr>
            <w:r w:rsidRPr="009B3A35">
              <w:rPr>
                <w:rFonts w:cs="Arial"/>
                <w:szCs w:val="22"/>
              </w:rPr>
              <w:t>Equity beta</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color w:val="000000"/>
                <w:szCs w:val="22"/>
              </w:rPr>
            </w:pPr>
            <w:r w:rsidRPr="0070071D">
              <w:rPr>
                <w:rFonts w:cs="Arial"/>
                <w:color w:val="000000"/>
                <w:szCs w:val="22"/>
              </w:rPr>
              <w:t>β</w:t>
            </w:r>
            <w:r>
              <w:rPr>
                <w:rFonts w:cs="Arial"/>
                <w:color w:val="000000"/>
                <w:szCs w:val="22"/>
                <w:vertAlign w:val="subscript"/>
              </w:rPr>
              <w:t>e</w:t>
            </w:r>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szCs w:val="22"/>
              </w:rPr>
            </w:pPr>
            <w:r w:rsidRPr="009B3A35">
              <w:rPr>
                <w:rFonts w:cs="Arial"/>
                <w:szCs w:val="22"/>
              </w:rPr>
              <w:t>0,</w:t>
            </w:r>
            <w:r>
              <w:rPr>
                <w:rFonts w:cs="Arial"/>
                <w:szCs w:val="22"/>
              </w:rPr>
              <w:t>61</w:t>
            </w:r>
          </w:p>
        </w:tc>
      </w:tr>
      <w:tr w:rsidR="006260E6" w:rsidTr="009C0293">
        <w:trPr>
          <w:trHeight w:val="413"/>
        </w:trPr>
        <w:tc>
          <w:tcPr>
            <w:tcW w:w="2980" w:type="dxa"/>
            <w:tcBorders>
              <w:top w:val="nil"/>
              <w:left w:val="single" w:sz="8" w:space="0" w:color="auto"/>
              <w:bottom w:val="single" w:sz="8" w:space="0" w:color="auto"/>
              <w:right w:val="single" w:sz="8" w:space="0" w:color="auto"/>
            </w:tcBorders>
            <w:shd w:val="clear" w:color="auto" w:fill="auto"/>
            <w:vAlign w:val="bottom"/>
            <w:hideMark/>
          </w:tcPr>
          <w:p w:rsidR="006260E6" w:rsidRPr="009B3A35" w:rsidRDefault="006260E6" w:rsidP="009C0293">
            <w:pPr>
              <w:rPr>
                <w:rFonts w:cs="Arial"/>
                <w:szCs w:val="22"/>
              </w:rPr>
            </w:pPr>
            <w:r w:rsidRPr="009B3A35">
              <w:rPr>
                <w:rFonts w:cs="Arial"/>
                <w:szCs w:val="22"/>
              </w:rPr>
              <w:t>Beta dluhu</w:t>
            </w:r>
          </w:p>
        </w:tc>
        <w:tc>
          <w:tcPr>
            <w:tcW w:w="941"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rPr>
                <w:rFonts w:cs="Arial"/>
                <w:color w:val="000000"/>
                <w:szCs w:val="22"/>
              </w:rPr>
            </w:pPr>
            <w:r w:rsidRPr="0070071D">
              <w:rPr>
                <w:rFonts w:cs="Arial"/>
                <w:color w:val="000000"/>
                <w:szCs w:val="22"/>
              </w:rPr>
              <w:t>β</w:t>
            </w:r>
            <w:r>
              <w:rPr>
                <w:rFonts w:cs="Arial"/>
                <w:color w:val="000000"/>
                <w:szCs w:val="22"/>
                <w:vertAlign w:val="subscript"/>
              </w:rPr>
              <w:t>d</w:t>
            </w:r>
          </w:p>
        </w:tc>
        <w:tc>
          <w:tcPr>
            <w:tcW w:w="1500" w:type="dxa"/>
            <w:tcBorders>
              <w:top w:val="nil"/>
              <w:left w:val="nil"/>
              <w:bottom w:val="single" w:sz="8" w:space="0" w:color="auto"/>
              <w:right w:val="single" w:sz="8" w:space="0" w:color="auto"/>
            </w:tcBorders>
            <w:shd w:val="clear" w:color="auto" w:fill="auto"/>
            <w:noWrap/>
            <w:vAlign w:val="bottom"/>
            <w:hideMark/>
          </w:tcPr>
          <w:p w:rsidR="006260E6" w:rsidRPr="009B3A35" w:rsidRDefault="006260E6" w:rsidP="009C0293">
            <w:pPr>
              <w:jc w:val="right"/>
              <w:rPr>
                <w:rFonts w:cs="Arial"/>
                <w:szCs w:val="22"/>
              </w:rPr>
            </w:pPr>
            <w:r w:rsidRPr="009B3A35">
              <w:rPr>
                <w:rFonts w:cs="Arial"/>
                <w:szCs w:val="22"/>
              </w:rPr>
              <w:t>0,10</w:t>
            </w:r>
          </w:p>
        </w:tc>
      </w:tr>
      <w:tr w:rsidR="006260E6" w:rsidTr="009C0293">
        <w:trPr>
          <w:trHeight w:val="405"/>
        </w:trPr>
        <w:tc>
          <w:tcPr>
            <w:tcW w:w="2980" w:type="dxa"/>
            <w:tcBorders>
              <w:top w:val="nil"/>
              <w:left w:val="single" w:sz="8" w:space="0" w:color="auto"/>
              <w:bottom w:val="single" w:sz="8" w:space="0" w:color="auto"/>
              <w:right w:val="single" w:sz="8" w:space="0" w:color="auto"/>
            </w:tcBorders>
            <w:shd w:val="clear" w:color="auto" w:fill="auto"/>
            <w:vAlign w:val="bottom"/>
          </w:tcPr>
          <w:p w:rsidR="006260E6" w:rsidRPr="009B3A35" w:rsidRDefault="006260E6" w:rsidP="009C0293">
            <w:pPr>
              <w:rPr>
                <w:rFonts w:cs="Arial"/>
                <w:szCs w:val="22"/>
              </w:rPr>
            </w:pPr>
            <w:r w:rsidRPr="009B3A35">
              <w:rPr>
                <w:rFonts w:cs="Arial"/>
                <w:b/>
                <w:bCs/>
                <w:szCs w:val="22"/>
              </w:rPr>
              <w:t>Náklady vlastního kapitálu</w:t>
            </w:r>
          </w:p>
        </w:tc>
        <w:tc>
          <w:tcPr>
            <w:tcW w:w="941" w:type="dxa"/>
            <w:tcBorders>
              <w:top w:val="nil"/>
              <w:left w:val="nil"/>
              <w:bottom w:val="single" w:sz="8" w:space="0" w:color="auto"/>
              <w:right w:val="single" w:sz="8" w:space="0" w:color="auto"/>
            </w:tcBorders>
            <w:shd w:val="clear" w:color="auto" w:fill="auto"/>
            <w:noWrap/>
            <w:vAlign w:val="bottom"/>
          </w:tcPr>
          <w:p w:rsidR="006260E6" w:rsidRPr="0070071D" w:rsidRDefault="006260E6" w:rsidP="009C0293">
            <w:pPr>
              <w:rPr>
                <w:rFonts w:cs="Arial"/>
                <w:color w:val="000000"/>
                <w:szCs w:val="22"/>
              </w:rPr>
            </w:pPr>
            <w:r w:rsidRPr="00B708FD">
              <w:rPr>
                <w:rFonts w:cs="Arial"/>
                <w:szCs w:val="22"/>
              </w:rPr>
              <w:t>r</w:t>
            </w:r>
            <w:r w:rsidRPr="00B708FD">
              <w:rPr>
                <w:rFonts w:cs="Arial"/>
                <w:szCs w:val="22"/>
                <w:vertAlign w:val="subscript"/>
              </w:rPr>
              <w:t>e</w:t>
            </w:r>
          </w:p>
        </w:tc>
        <w:tc>
          <w:tcPr>
            <w:tcW w:w="1500" w:type="dxa"/>
            <w:tcBorders>
              <w:top w:val="nil"/>
              <w:left w:val="nil"/>
              <w:bottom w:val="single" w:sz="8" w:space="0" w:color="auto"/>
              <w:right w:val="single" w:sz="8" w:space="0" w:color="auto"/>
            </w:tcBorders>
            <w:shd w:val="clear" w:color="auto" w:fill="auto"/>
            <w:noWrap/>
            <w:vAlign w:val="bottom"/>
          </w:tcPr>
          <w:p w:rsidR="006260E6" w:rsidRPr="009B3A35" w:rsidRDefault="006260E6" w:rsidP="009C0293">
            <w:pPr>
              <w:jc w:val="right"/>
              <w:rPr>
                <w:rFonts w:cs="Arial"/>
                <w:szCs w:val="22"/>
              </w:rPr>
            </w:pPr>
            <w:r>
              <w:rPr>
                <w:rFonts w:cs="Arial"/>
                <w:b/>
                <w:bCs/>
                <w:szCs w:val="22"/>
              </w:rPr>
              <w:t>7,11</w:t>
            </w:r>
            <w:r w:rsidRPr="009B3A35">
              <w:rPr>
                <w:rFonts w:cs="Arial"/>
                <w:b/>
                <w:bCs/>
                <w:szCs w:val="22"/>
              </w:rPr>
              <w:t xml:space="preserve"> %</w:t>
            </w:r>
          </w:p>
        </w:tc>
      </w:tr>
      <w:tr w:rsidR="006260E6" w:rsidTr="009C0293">
        <w:trPr>
          <w:trHeight w:val="367"/>
        </w:trPr>
        <w:tc>
          <w:tcPr>
            <w:tcW w:w="2980" w:type="dxa"/>
            <w:tcBorders>
              <w:top w:val="nil"/>
              <w:left w:val="single" w:sz="8" w:space="0" w:color="auto"/>
              <w:bottom w:val="single" w:sz="8" w:space="0" w:color="auto"/>
              <w:right w:val="single" w:sz="8" w:space="0" w:color="auto"/>
            </w:tcBorders>
            <w:shd w:val="clear" w:color="auto" w:fill="auto"/>
            <w:vAlign w:val="bottom"/>
          </w:tcPr>
          <w:p w:rsidR="006260E6" w:rsidRPr="009B3A35" w:rsidRDefault="006260E6" w:rsidP="009C0293">
            <w:pPr>
              <w:rPr>
                <w:rFonts w:cs="Arial"/>
                <w:szCs w:val="22"/>
              </w:rPr>
            </w:pPr>
          </w:p>
        </w:tc>
        <w:tc>
          <w:tcPr>
            <w:tcW w:w="941" w:type="dxa"/>
            <w:tcBorders>
              <w:top w:val="nil"/>
              <w:left w:val="nil"/>
              <w:bottom w:val="single" w:sz="8" w:space="0" w:color="auto"/>
              <w:right w:val="single" w:sz="8" w:space="0" w:color="auto"/>
            </w:tcBorders>
            <w:shd w:val="clear" w:color="auto" w:fill="auto"/>
            <w:noWrap/>
            <w:vAlign w:val="bottom"/>
          </w:tcPr>
          <w:p w:rsidR="006260E6" w:rsidRPr="0070071D" w:rsidRDefault="006260E6" w:rsidP="009C0293">
            <w:pPr>
              <w:rPr>
                <w:rFonts w:cs="Arial"/>
                <w:color w:val="000000"/>
                <w:szCs w:val="22"/>
              </w:rPr>
            </w:pPr>
          </w:p>
        </w:tc>
        <w:tc>
          <w:tcPr>
            <w:tcW w:w="1500" w:type="dxa"/>
            <w:tcBorders>
              <w:top w:val="nil"/>
              <w:left w:val="nil"/>
              <w:bottom w:val="single" w:sz="8" w:space="0" w:color="auto"/>
              <w:right w:val="single" w:sz="8" w:space="0" w:color="auto"/>
            </w:tcBorders>
            <w:shd w:val="clear" w:color="auto" w:fill="auto"/>
            <w:noWrap/>
            <w:vAlign w:val="bottom"/>
          </w:tcPr>
          <w:p w:rsidR="006260E6" w:rsidRPr="009B3A35" w:rsidRDefault="006260E6" w:rsidP="009C0293">
            <w:pPr>
              <w:jc w:val="right"/>
              <w:rPr>
                <w:rFonts w:cs="Arial"/>
                <w:szCs w:val="22"/>
              </w:rPr>
            </w:pPr>
          </w:p>
        </w:tc>
      </w:tr>
      <w:tr w:rsidR="006260E6" w:rsidTr="009C0293">
        <w:trPr>
          <w:trHeight w:val="367"/>
        </w:trPr>
        <w:tc>
          <w:tcPr>
            <w:tcW w:w="298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rsidR="006260E6" w:rsidRPr="00FB5984" w:rsidRDefault="006260E6" w:rsidP="009C0293">
            <w:pPr>
              <w:rPr>
                <w:rFonts w:cs="Arial"/>
                <w:b/>
                <w:bCs/>
                <w:szCs w:val="22"/>
              </w:rPr>
            </w:pPr>
            <w:r w:rsidRPr="00FB5984">
              <w:rPr>
                <w:rFonts w:cs="Arial"/>
                <w:b/>
                <w:bCs/>
                <w:szCs w:val="22"/>
              </w:rPr>
              <w:t>Modifikovaná bezriziková výnosová míra</w:t>
            </w:r>
          </w:p>
        </w:tc>
        <w:tc>
          <w:tcPr>
            <w:tcW w:w="941" w:type="dxa"/>
            <w:tcBorders>
              <w:top w:val="single" w:sz="8" w:space="0" w:color="auto"/>
              <w:left w:val="nil"/>
              <w:bottom w:val="single" w:sz="8" w:space="0" w:color="auto"/>
              <w:right w:val="single" w:sz="8" w:space="0" w:color="auto"/>
            </w:tcBorders>
            <w:shd w:val="clear" w:color="auto" w:fill="BFBFBF" w:themeFill="background1" w:themeFillShade="BF"/>
            <w:noWrap/>
            <w:vAlign w:val="bottom"/>
          </w:tcPr>
          <w:p w:rsidR="006260E6" w:rsidRPr="00FB5984" w:rsidRDefault="006260E6" w:rsidP="009C0293">
            <w:pPr>
              <w:rPr>
                <w:rFonts w:cs="Arial"/>
                <w:b/>
                <w:bCs/>
                <w:szCs w:val="22"/>
              </w:rPr>
            </w:pPr>
          </w:p>
        </w:tc>
        <w:tc>
          <w:tcPr>
            <w:tcW w:w="1500" w:type="dxa"/>
            <w:tcBorders>
              <w:top w:val="single" w:sz="8" w:space="0" w:color="auto"/>
              <w:left w:val="nil"/>
              <w:bottom w:val="single" w:sz="8" w:space="0" w:color="auto"/>
              <w:right w:val="single" w:sz="8" w:space="0" w:color="auto"/>
            </w:tcBorders>
            <w:shd w:val="clear" w:color="auto" w:fill="BFBFBF" w:themeFill="background1" w:themeFillShade="BF"/>
            <w:noWrap/>
            <w:vAlign w:val="bottom"/>
          </w:tcPr>
          <w:p w:rsidR="006260E6" w:rsidRPr="00FB5984" w:rsidRDefault="006260E6" w:rsidP="009C0293">
            <w:pPr>
              <w:rPr>
                <w:rFonts w:cs="Arial"/>
                <w:b/>
                <w:bCs/>
                <w:szCs w:val="22"/>
              </w:rPr>
            </w:pPr>
          </w:p>
        </w:tc>
      </w:tr>
      <w:tr w:rsidR="006260E6" w:rsidTr="009C0293">
        <w:trPr>
          <w:trHeight w:val="367"/>
        </w:trPr>
        <w:tc>
          <w:tcPr>
            <w:tcW w:w="2980" w:type="dxa"/>
            <w:tcBorders>
              <w:top w:val="nil"/>
              <w:left w:val="single" w:sz="8" w:space="0" w:color="auto"/>
              <w:bottom w:val="single" w:sz="8" w:space="0" w:color="auto"/>
              <w:right w:val="single" w:sz="8" w:space="0" w:color="auto"/>
            </w:tcBorders>
            <w:shd w:val="clear" w:color="auto" w:fill="auto"/>
            <w:vAlign w:val="bottom"/>
          </w:tcPr>
          <w:p w:rsidR="006260E6" w:rsidRPr="009B3A35" w:rsidRDefault="006260E6" w:rsidP="009C0293">
            <w:pPr>
              <w:rPr>
                <w:rFonts w:cs="Arial"/>
                <w:szCs w:val="22"/>
              </w:rPr>
            </w:pPr>
            <w:r>
              <w:rPr>
                <w:szCs w:val="22"/>
              </w:rPr>
              <w:t>B</w:t>
            </w:r>
            <w:r w:rsidRPr="002343F2">
              <w:rPr>
                <w:szCs w:val="22"/>
              </w:rPr>
              <w:t xml:space="preserve">ezriziková úroková míra stanovená </w:t>
            </w:r>
            <w:r>
              <w:rPr>
                <w:szCs w:val="22"/>
              </w:rPr>
              <w:t xml:space="preserve">dle Zprávy </w:t>
            </w:r>
            <w:r w:rsidRPr="002343F2">
              <w:rPr>
                <w:szCs w:val="22"/>
              </w:rPr>
              <w:t>BEREC</w:t>
            </w:r>
          </w:p>
        </w:tc>
        <w:tc>
          <w:tcPr>
            <w:tcW w:w="941" w:type="dxa"/>
            <w:tcBorders>
              <w:top w:val="nil"/>
              <w:left w:val="nil"/>
              <w:bottom w:val="single" w:sz="8" w:space="0" w:color="auto"/>
              <w:right w:val="single" w:sz="8" w:space="0" w:color="auto"/>
            </w:tcBorders>
            <w:shd w:val="clear" w:color="auto" w:fill="auto"/>
            <w:noWrap/>
            <w:vAlign w:val="bottom"/>
          </w:tcPr>
          <w:p w:rsidR="006260E6" w:rsidRPr="0070071D" w:rsidRDefault="006260E6" w:rsidP="009C0293">
            <w:pPr>
              <w:rPr>
                <w:rFonts w:cs="Arial"/>
                <w:color w:val="000000"/>
                <w:szCs w:val="22"/>
              </w:rPr>
            </w:pPr>
            <w:proofErr w:type="spellStart"/>
            <w:r w:rsidRPr="002343F2">
              <w:rPr>
                <w:szCs w:val="22"/>
              </w:rPr>
              <w:t>IR</w:t>
            </w:r>
            <w:r w:rsidRPr="002343F2">
              <w:rPr>
                <w:szCs w:val="22"/>
                <w:vertAlign w:val="subscript"/>
              </w:rPr>
              <w:t>rf</w:t>
            </w:r>
            <w:proofErr w:type="spellEnd"/>
          </w:p>
        </w:tc>
        <w:tc>
          <w:tcPr>
            <w:tcW w:w="1500" w:type="dxa"/>
            <w:tcBorders>
              <w:top w:val="nil"/>
              <w:left w:val="nil"/>
              <w:bottom w:val="single" w:sz="8" w:space="0" w:color="auto"/>
              <w:right w:val="single" w:sz="8" w:space="0" w:color="auto"/>
            </w:tcBorders>
            <w:shd w:val="clear" w:color="auto" w:fill="auto"/>
            <w:noWrap/>
            <w:vAlign w:val="bottom"/>
          </w:tcPr>
          <w:p w:rsidR="006260E6" w:rsidRPr="009B3A35" w:rsidRDefault="006260E6" w:rsidP="009C0293">
            <w:pPr>
              <w:jc w:val="right"/>
              <w:rPr>
                <w:rFonts w:cs="Arial"/>
                <w:szCs w:val="22"/>
              </w:rPr>
            </w:pPr>
            <w:r>
              <w:rPr>
                <w:rFonts w:cs="Arial"/>
                <w:szCs w:val="22"/>
              </w:rPr>
              <w:t>2,32 %</w:t>
            </w:r>
          </w:p>
        </w:tc>
      </w:tr>
      <w:tr w:rsidR="006260E6" w:rsidTr="009C0293">
        <w:trPr>
          <w:trHeight w:val="323"/>
        </w:trPr>
        <w:tc>
          <w:tcPr>
            <w:tcW w:w="2980" w:type="dxa"/>
            <w:tcBorders>
              <w:top w:val="single" w:sz="8" w:space="0" w:color="auto"/>
              <w:left w:val="single" w:sz="8" w:space="0" w:color="auto"/>
              <w:bottom w:val="single" w:sz="8" w:space="0" w:color="auto"/>
              <w:right w:val="single" w:sz="8" w:space="0" w:color="auto"/>
            </w:tcBorders>
            <w:shd w:val="clear" w:color="auto" w:fill="auto"/>
            <w:vAlign w:val="bottom"/>
          </w:tcPr>
          <w:p w:rsidR="006260E6" w:rsidRPr="00FB5984" w:rsidRDefault="006260E6" w:rsidP="009C0293">
            <w:pPr>
              <w:rPr>
                <w:rFonts w:cs="Arial"/>
                <w:b/>
                <w:bCs/>
                <w:szCs w:val="22"/>
              </w:rPr>
            </w:pPr>
            <w:r>
              <w:rPr>
                <w:szCs w:val="22"/>
              </w:rPr>
              <w:t>J</w:t>
            </w:r>
            <w:r w:rsidRPr="002343F2">
              <w:rPr>
                <w:szCs w:val="22"/>
              </w:rPr>
              <w:t xml:space="preserve">ednoletý průměr 10letých státních dluhopisů České </w:t>
            </w:r>
            <w:r>
              <w:rPr>
                <w:szCs w:val="22"/>
              </w:rPr>
              <w:t>republiky (</w:t>
            </w:r>
            <w:r w:rsidRPr="00A8784A">
              <w:rPr>
                <w:szCs w:val="22"/>
              </w:rPr>
              <w:t>04/2022-03/2023)</w:t>
            </w:r>
          </w:p>
        </w:tc>
        <w:tc>
          <w:tcPr>
            <w:tcW w:w="941" w:type="dxa"/>
            <w:tcBorders>
              <w:top w:val="single" w:sz="8" w:space="0" w:color="auto"/>
              <w:left w:val="nil"/>
              <w:bottom w:val="single" w:sz="8" w:space="0" w:color="auto"/>
              <w:right w:val="single" w:sz="8" w:space="0" w:color="auto"/>
            </w:tcBorders>
            <w:shd w:val="clear" w:color="auto" w:fill="auto"/>
            <w:noWrap/>
            <w:vAlign w:val="bottom"/>
          </w:tcPr>
          <w:p w:rsidR="006260E6" w:rsidRPr="00FB5984" w:rsidRDefault="006260E6" w:rsidP="009C0293">
            <w:pPr>
              <w:rPr>
                <w:rFonts w:cs="Arial"/>
                <w:b/>
                <w:bCs/>
                <w:szCs w:val="22"/>
              </w:rPr>
            </w:pPr>
            <w:r w:rsidRPr="002343F2">
              <w:rPr>
                <w:szCs w:val="22"/>
              </w:rPr>
              <w:t>IR</w:t>
            </w:r>
            <w:r w:rsidRPr="002343F2">
              <w:rPr>
                <w:szCs w:val="22"/>
                <w:vertAlign w:val="subscript"/>
              </w:rPr>
              <w:t>1r</w:t>
            </w:r>
          </w:p>
        </w:tc>
        <w:tc>
          <w:tcPr>
            <w:tcW w:w="1500" w:type="dxa"/>
            <w:tcBorders>
              <w:top w:val="single" w:sz="8" w:space="0" w:color="auto"/>
              <w:left w:val="nil"/>
              <w:bottom w:val="single" w:sz="8" w:space="0" w:color="auto"/>
              <w:right w:val="single" w:sz="8" w:space="0" w:color="auto"/>
            </w:tcBorders>
            <w:shd w:val="clear" w:color="auto" w:fill="auto"/>
            <w:noWrap/>
            <w:vAlign w:val="bottom"/>
          </w:tcPr>
          <w:p w:rsidR="006260E6" w:rsidRPr="00A8784A" w:rsidRDefault="006260E6" w:rsidP="009C0293">
            <w:pPr>
              <w:jc w:val="right"/>
              <w:rPr>
                <w:rFonts w:cs="Arial"/>
                <w:szCs w:val="22"/>
              </w:rPr>
            </w:pPr>
            <w:r w:rsidRPr="00A8784A">
              <w:rPr>
                <w:rFonts w:cs="Arial"/>
                <w:szCs w:val="22"/>
              </w:rPr>
              <w:t>4,67 %</w:t>
            </w:r>
          </w:p>
        </w:tc>
      </w:tr>
      <w:tr w:rsidR="006260E6" w:rsidTr="009C0293">
        <w:trPr>
          <w:trHeight w:val="375"/>
        </w:trPr>
        <w:tc>
          <w:tcPr>
            <w:tcW w:w="2980" w:type="dxa"/>
            <w:tcBorders>
              <w:top w:val="nil"/>
              <w:left w:val="single" w:sz="8" w:space="0" w:color="auto"/>
              <w:bottom w:val="single" w:sz="8" w:space="0" w:color="auto"/>
              <w:right w:val="single" w:sz="8" w:space="0" w:color="auto"/>
            </w:tcBorders>
            <w:shd w:val="clear" w:color="auto" w:fill="auto"/>
            <w:noWrap/>
            <w:vAlign w:val="center"/>
          </w:tcPr>
          <w:p w:rsidR="006260E6" w:rsidRPr="009B3A35" w:rsidRDefault="006260E6" w:rsidP="009C0293">
            <w:pPr>
              <w:rPr>
                <w:rFonts w:cs="Arial"/>
                <w:b/>
                <w:bCs/>
                <w:szCs w:val="22"/>
              </w:rPr>
            </w:pPr>
            <w:r w:rsidRPr="00FB5984">
              <w:rPr>
                <w:rFonts w:cs="Arial"/>
                <w:b/>
                <w:bCs/>
                <w:szCs w:val="22"/>
              </w:rPr>
              <w:t>Modifikovaná bezriziková výnosová míra</w:t>
            </w:r>
          </w:p>
        </w:tc>
        <w:tc>
          <w:tcPr>
            <w:tcW w:w="941" w:type="dxa"/>
            <w:tcBorders>
              <w:top w:val="nil"/>
              <w:left w:val="nil"/>
              <w:bottom w:val="single" w:sz="8" w:space="0" w:color="auto"/>
              <w:right w:val="single" w:sz="8" w:space="0" w:color="auto"/>
            </w:tcBorders>
            <w:shd w:val="clear" w:color="auto" w:fill="auto"/>
            <w:noWrap/>
            <w:vAlign w:val="bottom"/>
          </w:tcPr>
          <w:p w:rsidR="006260E6" w:rsidRPr="009B3A35" w:rsidRDefault="006260E6" w:rsidP="009C0293">
            <w:pPr>
              <w:rPr>
                <w:rFonts w:cs="Arial"/>
                <w:b/>
                <w:bCs/>
                <w:szCs w:val="22"/>
              </w:rPr>
            </w:pPr>
            <w:proofErr w:type="spellStart"/>
            <w:r w:rsidRPr="002343F2">
              <w:rPr>
                <w:szCs w:val="22"/>
              </w:rPr>
              <w:t>IR</w:t>
            </w:r>
            <w:r w:rsidRPr="002343F2">
              <w:rPr>
                <w:szCs w:val="22"/>
                <w:vertAlign w:val="subscript"/>
              </w:rPr>
              <w:t>rfm</w:t>
            </w:r>
            <w:proofErr w:type="spellEnd"/>
          </w:p>
        </w:tc>
        <w:tc>
          <w:tcPr>
            <w:tcW w:w="1500" w:type="dxa"/>
            <w:tcBorders>
              <w:top w:val="nil"/>
              <w:left w:val="nil"/>
              <w:bottom w:val="single" w:sz="8" w:space="0" w:color="auto"/>
              <w:right w:val="single" w:sz="8" w:space="0" w:color="auto"/>
            </w:tcBorders>
            <w:shd w:val="clear" w:color="auto" w:fill="auto"/>
            <w:noWrap/>
            <w:vAlign w:val="center"/>
          </w:tcPr>
          <w:p w:rsidR="006260E6" w:rsidRPr="009B3A35" w:rsidRDefault="006260E6" w:rsidP="009C0293">
            <w:pPr>
              <w:jc w:val="right"/>
              <w:rPr>
                <w:rFonts w:cs="Arial"/>
                <w:b/>
                <w:bCs/>
                <w:szCs w:val="22"/>
              </w:rPr>
            </w:pPr>
            <w:r>
              <w:rPr>
                <w:rFonts w:cs="Arial"/>
                <w:b/>
                <w:bCs/>
                <w:szCs w:val="22"/>
              </w:rPr>
              <w:t>3,50 %</w:t>
            </w:r>
          </w:p>
        </w:tc>
      </w:tr>
    </w:tbl>
    <w:p w:rsidR="006260E6" w:rsidRPr="009C0293" w:rsidRDefault="006260E6" w:rsidP="006260E6">
      <w:pPr>
        <w:spacing w:before="240" w:after="120"/>
        <w:rPr>
          <w:rFonts w:ascii="Arial" w:hAnsi="Arial" w:cs="Arial"/>
          <w:sz w:val="22"/>
          <w:szCs w:val="22"/>
        </w:rPr>
      </w:pPr>
      <w:r w:rsidRPr="009C0293">
        <w:rPr>
          <w:rFonts w:ascii="Arial" w:hAnsi="Arial" w:cs="Arial"/>
          <w:sz w:val="22"/>
          <w:szCs w:val="22"/>
        </w:rPr>
        <w:t>Riziková přirážka (koeficient tržního rizika) je rozdílem mezi oběma přístupy.</w:t>
      </w:r>
    </w:p>
    <w:p w:rsidR="006260E6" w:rsidRDefault="006260E6" w:rsidP="006260E6">
      <w:pPr>
        <w:spacing w:before="120"/>
        <w:jc w:val="center"/>
      </w:pPr>
      <m:oMath>
        <m:sSub>
          <m:sSubPr>
            <m:ctrlPr>
              <w:rPr>
                <w:rFonts w:ascii="Cambria Math" w:hAnsi="Cambria Math"/>
                <w:i/>
                <w:color w:val="000000" w:themeColor="text1"/>
                <w:szCs w:val="18"/>
                <w:lang w:eastAsia="en-GB"/>
              </w:rPr>
            </m:ctrlPr>
          </m:sSubPr>
          <m:e>
            <m:r>
              <w:rPr>
                <w:rFonts w:ascii="Cambria Math" w:hAnsi="Cambria Math"/>
              </w:rPr>
              <m:t>RP</m:t>
            </m:r>
          </m:e>
          <m:sub>
            <m:r>
              <w:rPr>
                <w:rFonts w:ascii="Cambria Math" w:hAnsi="Cambria Math"/>
              </w:rPr>
              <m:t>MRC</m:t>
            </m:r>
          </m:sub>
        </m:sSub>
        <m:r>
          <w:rPr>
            <w:rFonts w:ascii="Cambria Math" w:hAnsi="Cambria Math"/>
          </w:rPr>
          <m:t xml:space="preserve">=0,0705-0,0572=0,0133=1,33 </m:t>
        </m:r>
      </m:oMath>
      <w:r>
        <w:t>%</w:t>
      </w:r>
    </w:p>
    <w:p w:rsidR="006260E6" w:rsidRPr="009C0293" w:rsidRDefault="006260E6" w:rsidP="006260E6">
      <w:pPr>
        <w:spacing w:before="240"/>
        <w:rPr>
          <w:rFonts w:ascii="Arial" w:hAnsi="Arial" w:cs="Arial"/>
          <w:sz w:val="22"/>
          <w:szCs w:val="22"/>
        </w:rPr>
      </w:pPr>
      <w:r w:rsidRPr="009C0293">
        <w:rPr>
          <w:rFonts w:ascii="Arial" w:hAnsi="Arial" w:cs="Arial"/>
          <w:b/>
          <w:bCs/>
          <w:sz w:val="22"/>
          <w:szCs w:val="22"/>
        </w:rPr>
        <w:lastRenderedPageBreak/>
        <w:t>Výsledkem je tržní riziko ve výši 1,33 %</w:t>
      </w:r>
      <w:r w:rsidRPr="009C0293">
        <w:rPr>
          <w:rFonts w:ascii="Arial" w:hAnsi="Arial" w:cs="Arial"/>
          <w:sz w:val="22"/>
          <w:szCs w:val="22"/>
        </w:rPr>
        <w:t>. Toto riziko bylo do výpočtu WACC dle odstavce 3 zohledněno následujícím způsobem:</w:t>
      </w:r>
    </w:p>
    <w:p w:rsidR="006260E6" w:rsidRPr="009C0293" w:rsidRDefault="006260E6" w:rsidP="006260E6">
      <w:pPr>
        <w:keepNext/>
        <w:keepLines/>
        <w:spacing w:before="240" w:after="240"/>
        <w:rPr>
          <w:rFonts w:ascii="Arial" w:hAnsi="Arial" w:cs="Arial"/>
          <w:sz w:val="22"/>
          <w:szCs w:val="22"/>
        </w:rPr>
      </w:pPr>
      <w:r w:rsidRPr="009C0293">
        <w:rPr>
          <w:rFonts w:ascii="Arial" w:hAnsi="Arial" w:cs="Arial"/>
          <w:sz w:val="22"/>
          <w:szCs w:val="22"/>
        </w:rPr>
        <w:t>Tabulka č. 7: WACC pro přístupové sítě NGA/VHCN</w:t>
      </w:r>
    </w:p>
    <w:tbl>
      <w:tblPr>
        <w:tblW w:w="7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4"/>
        <w:gridCol w:w="1563"/>
        <w:gridCol w:w="2044"/>
      </w:tblGrid>
      <w:tr w:rsidR="006260E6" w:rsidRPr="00C402DB" w:rsidTr="009C0293">
        <w:trPr>
          <w:trHeight w:val="374"/>
        </w:trPr>
        <w:tc>
          <w:tcPr>
            <w:tcW w:w="4144" w:type="dxa"/>
            <w:shd w:val="clear" w:color="auto" w:fill="D9D9D9" w:themeFill="background1" w:themeFillShade="D9"/>
            <w:vAlign w:val="center"/>
            <w:hideMark/>
          </w:tcPr>
          <w:p w:rsidR="006260E6" w:rsidRPr="00C402DB" w:rsidRDefault="006260E6" w:rsidP="009C0293">
            <w:pPr>
              <w:keepNext/>
              <w:keepLines/>
              <w:rPr>
                <w:rFonts w:cs="Arial"/>
                <w:b/>
                <w:bCs/>
                <w:sz w:val="20"/>
              </w:rPr>
            </w:pPr>
            <w:r w:rsidRPr="00C402DB">
              <w:rPr>
                <w:rFonts w:cs="Arial"/>
                <w:b/>
                <w:bCs/>
              </w:rPr>
              <w:t>WACC pro přístupové sítě NGA/VHCN</w:t>
            </w:r>
          </w:p>
        </w:tc>
        <w:tc>
          <w:tcPr>
            <w:tcW w:w="1563" w:type="dxa"/>
            <w:shd w:val="clear" w:color="auto" w:fill="D9D9D9" w:themeFill="background1" w:themeFillShade="D9"/>
            <w:vAlign w:val="center"/>
            <w:hideMark/>
          </w:tcPr>
          <w:p w:rsidR="006260E6" w:rsidRPr="00C402DB" w:rsidRDefault="006260E6" w:rsidP="009C0293">
            <w:pPr>
              <w:keepNext/>
              <w:keepLines/>
              <w:jc w:val="center"/>
              <w:rPr>
                <w:rFonts w:cs="Arial"/>
                <w:b/>
                <w:bCs/>
              </w:rPr>
            </w:pPr>
            <w:r w:rsidRPr="00C402DB">
              <w:rPr>
                <w:rFonts w:cs="Arial"/>
                <w:b/>
                <w:bCs/>
              </w:rPr>
              <w:t>Hodnota</w:t>
            </w:r>
          </w:p>
        </w:tc>
        <w:tc>
          <w:tcPr>
            <w:tcW w:w="2044" w:type="dxa"/>
            <w:shd w:val="clear" w:color="auto" w:fill="D9D9D9" w:themeFill="background1" w:themeFillShade="D9"/>
            <w:vAlign w:val="center"/>
            <w:hideMark/>
          </w:tcPr>
          <w:p w:rsidR="006260E6" w:rsidRPr="00C402DB" w:rsidRDefault="006260E6" w:rsidP="009C0293">
            <w:pPr>
              <w:keepNext/>
              <w:keepLines/>
              <w:jc w:val="center"/>
              <w:rPr>
                <w:rFonts w:cs="Arial"/>
                <w:b/>
                <w:bCs/>
              </w:rPr>
            </w:pPr>
            <w:r w:rsidRPr="00C402DB">
              <w:rPr>
                <w:rFonts w:cs="Arial"/>
                <w:b/>
                <w:bCs/>
              </w:rPr>
              <w:t>Výpočet</w:t>
            </w:r>
          </w:p>
        </w:tc>
      </w:tr>
      <w:tr w:rsidR="006260E6" w:rsidTr="009C0293">
        <w:trPr>
          <w:trHeight w:val="266"/>
        </w:trPr>
        <w:tc>
          <w:tcPr>
            <w:tcW w:w="4144" w:type="dxa"/>
            <w:shd w:val="clear" w:color="auto" w:fill="auto"/>
            <w:noWrap/>
            <w:vAlign w:val="center"/>
            <w:hideMark/>
          </w:tcPr>
          <w:p w:rsidR="006260E6" w:rsidRPr="003F1A5F" w:rsidRDefault="006260E6" w:rsidP="009C0293">
            <w:pPr>
              <w:keepNext/>
              <w:keepLines/>
              <w:rPr>
                <w:rFonts w:ascii="Calibri" w:hAnsi="Calibri" w:cs="Calibri"/>
                <w:color w:val="000000"/>
                <w:szCs w:val="22"/>
              </w:rPr>
            </w:pPr>
            <w:r w:rsidRPr="003F1A5F">
              <w:rPr>
                <w:rFonts w:ascii="Calibri" w:hAnsi="Calibri" w:cs="Calibri"/>
                <w:color w:val="000000"/>
                <w:szCs w:val="22"/>
              </w:rPr>
              <w:t>A. WACC (</w:t>
            </w:r>
            <w:r>
              <w:rPr>
                <w:rFonts w:ascii="Calibri" w:hAnsi="Calibri" w:cs="Calibri"/>
                <w:color w:val="000000"/>
                <w:szCs w:val="22"/>
              </w:rPr>
              <w:t>po zdanění</w:t>
            </w:r>
            <w:r w:rsidRPr="003F1A5F">
              <w:rPr>
                <w:rFonts w:ascii="Calibri" w:hAnsi="Calibri" w:cs="Calibri"/>
                <w:color w:val="000000"/>
                <w:szCs w:val="22"/>
              </w:rPr>
              <w:t>)</w:t>
            </w:r>
          </w:p>
        </w:tc>
        <w:tc>
          <w:tcPr>
            <w:tcW w:w="1563" w:type="dxa"/>
            <w:shd w:val="clear" w:color="auto" w:fill="auto"/>
            <w:noWrap/>
            <w:vAlign w:val="center"/>
            <w:hideMark/>
          </w:tcPr>
          <w:p w:rsidR="006260E6" w:rsidRPr="003F1A5F" w:rsidRDefault="006260E6" w:rsidP="009C0293">
            <w:pPr>
              <w:keepNext/>
              <w:keepLines/>
              <w:jc w:val="right"/>
              <w:rPr>
                <w:rFonts w:ascii="Calibri" w:hAnsi="Calibri" w:cs="Calibri"/>
                <w:color w:val="000000"/>
                <w:szCs w:val="22"/>
              </w:rPr>
            </w:pPr>
            <w:r w:rsidRPr="003F1A5F">
              <w:rPr>
                <w:rFonts w:ascii="Calibri" w:hAnsi="Calibri" w:cs="Calibri"/>
                <w:color w:val="000000"/>
                <w:szCs w:val="22"/>
              </w:rPr>
              <w:t xml:space="preserve">4,64 </w:t>
            </w:r>
          </w:p>
        </w:tc>
        <w:tc>
          <w:tcPr>
            <w:tcW w:w="2044" w:type="dxa"/>
            <w:shd w:val="clear" w:color="auto" w:fill="auto"/>
            <w:noWrap/>
            <w:vAlign w:val="center"/>
            <w:hideMark/>
          </w:tcPr>
          <w:p w:rsidR="006260E6" w:rsidRPr="003F1A5F" w:rsidRDefault="006260E6" w:rsidP="009C0293">
            <w:pPr>
              <w:keepNext/>
              <w:keepLines/>
              <w:jc w:val="right"/>
              <w:rPr>
                <w:rFonts w:ascii="Calibri" w:hAnsi="Calibri" w:cs="Calibri"/>
                <w:color w:val="000000"/>
                <w:szCs w:val="22"/>
              </w:rPr>
            </w:pPr>
            <w:r>
              <w:rPr>
                <w:rFonts w:ascii="Calibri" w:hAnsi="Calibri" w:cs="Calibri"/>
                <w:color w:val="000000"/>
                <w:szCs w:val="22"/>
              </w:rPr>
              <w:t>z tabulky č. 4</w:t>
            </w:r>
          </w:p>
        </w:tc>
      </w:tr>
      <w:tr w:rsidR="006260E6" w:rsidTr="009C0293">
        <w:trPr>
          <w:trHeight w:val="266"/>
        </w:trPr>
        <w:tc>
          <w:tcPr>
            <w:tcW w:w="4144" w:type="dxa"/>
            <w:shd w:val="clear" w:color="auto" w:fill="auto"/>
            <w:noWrap/>
            <w:vAlign w:val="center"/>
            <w:hideMark/>
          </w:tcPr>
          <w:p w:rsidR="006260E6" w:rsidRPr="003F1A5F" w:rsidRDefault="006260E6" w:rsidP="009C0293">
            <w:pPr>
              <w:keepNext/>
              <w:keepLines/>
              <w:rPr>
                <w:rFonts w:ascii="Calibri" w:hAnsi="Calibri" w:cs="Calibri"/>
                <w:color w:val="000000"/>
                <w:szCs w:val="22"/>
              </w:rPr>
            </w:pPr>
            <w:r w:rsidRPr="003F1A5F">
              <w:rPr>
                <w:rFonts w:ascii="Calibri" w:hAnsi="Calibri" w:cs="Calibri"/>
                <w:color w:val="000000"/>
                <w:szCs w:val="22"/>
              </w:rPr>
              <w:t>B. WACC (p</w:t>
            </w:r>
            <w:r>
              <w:rPr>
                <w:rFonts w:ascii="Calibri" w:hAnsi="Calibri" w:cs="Calibri"/>
                <w:color w:val="000000"/>
                <w:szCs w:val="22"/>
              </w:rPr>
              <w:t>řed zdaněním</w:t>
            </w:r>
            <w:r w:rsidRPr="003F1A5F">
              <w:rPr>
                <w:rFonts w:ascii="Calibri" w:hAnsi="Calibri" w:cs="Calibri"/>
                <w:color w:val="000000"/>
                <w:szCs w:val="22"/>
              </w:rPr>
              <w:t>)</w:t>
            </w:r>
          </w:p>
        </w:tc>
        <w:tc>
          <w:tcPr>
            <w:tcW w:w="1563" w:type="dxa"/>
            <w:shd w:val="clear" w:color="auto" w:fill="auto"/>
            <w:noWrap/>
            <w:vAlign w:val="center"/>
            <w:hideMark/>
          </w:tcPr>
          <w:p w:rsidR="006260E6" w:rsidRPr="003F1A5F" w:rsidRDefault="006260E6" w:rsidP="009C0293">
            <w:pPr>
              <w:keepNext/>
              <w:keepLines/>
              <w:jc w:val="right"/>
              <w:rPr>
                <w:rFonts w:ascii="Calibri" w:hAnsi="Calibri" w:cs="Calibri"/>
                <w:color w:val="000000"/>
                <w:szCs w:val="22"/>
              </w:rPr>
            </w:pPr>
            <w:r w:rsidRPr="003F1A5F">
              <w:rPr>
                <w:rFonts w:ascii="Calibri" w:hAnsi="Calibri" w:cs="Calibri"/>
                <w:color w:val="000000"/>
                <w:szCs w:val="22"/>
              </w:rPr>
              <w:t xml:space="preserve">5,72 </w:t>
            </w:r>
          </w:p>
        </w:tc>
        <w:tc>
          <w:tcPr>
            <w:tcW w:w="2044" w:type="dxa"/>
            <w:shd w:val="clear" w:color="auto" w:fill="auto"/>
            <w:noWrap/>
            <w:vAlign w:val="center"/>
            <w:hideMark/>
          </w:tcPr>
          <w:p w:rsidR="006260E6" w:rsidRPr="003F1A5F" w:rsidRDefault="006260E6" w:rsidP="009C0293">
            <w:pPr>
              <w:keepNext/>
              <w:keepLines/>
              <w:jc w:val="right"/>
              <w:rPr>
                <w:rFonts w:ascii="Calibri" w:hAnsi="Calibri" w:cs="Calibri"/>
                <w:color w:val="000000"/>
                <w:szCs w:val="22"/>
              </w:rPr>
            </w:pPr>
            <w:r>
              <w:rPr>
                <w:rFonts w:ascii="Calibri" w:hAnsi="Calibri" w:cs="Calibri"/>
                <w:color w:val="000000"/>
                <w:szCs w:val="22"/>
              </w:rPr>
              <w:t>z tabulky č. 4</w:t>
            </w:r>
          </w:p>
        </w:tc>
      </w:tr>
      <w:tr w:rsidR="006260E6" w:rsidTr="009C0293">
        <w:trPr>
          <w:trHeight w:val="266"/>
        </w:trPr>
        <w:tc>
          <w:tcPr>
            <w:tcW w:w="4144" w:type="dxa"/>
            <w:shd w:val="clear" w:color="auto" w:fill="auto"/>
            <w:noWrap/>
            <w:vAlign w:val="center"/>
            <w:hideMark/>
          </w:tcPr>
          <w:p w:rsidR="006260E6" w:rsidRPr="003F1A5F" w:rsidRDefault="006260E6" w:rsidP="009C0293">
            <w:pPr>
              <w:keepNext/>
              <w:keepLines/>
              <w:rPr>
                <w:rFonts w:ascii="Calibri" w:hAnsi="Calibri" w:cs="Calibri"/>
                <w:color w:val="000000"/>
                <w:szCs w:val="22"/>
              </w:rPr>
            </w:pPr>
            <w:r w:rsidRPr="003F1A5F">
              <w:rPr>
                <w:rFonts w:ascii="Calibri" w:hAnsi="Calibri" w:cs="Calibri"/>
                <w:color w:val="000000"/>
                <w:szCs w:val="22"/>
              </w:rPr>
              <w:t xml:space="preserve">C. </w:t>
            </w:r>
            <w:r>
              <w:rPr>
                <w:rFonts w:ascii="Calibri" w:hAnsi="Calibri" w:cs="Calibri"/>
                <w:color w:val="000000"/>
                <w:szCs w:val="22"/>
              </w:rPr>
              <w:t xml:space="preserve">Tržní riziko </w:t>
            </w:r>
          </w:p>
        </w:tc>
        <w:tc>
          <w:tcPr>
            <w:tcW w:w="1563" w:type="dxa"/>
            <w:shd w:val="clear" w:color="auto" w:fill="auto"/>
            <w:noWrap/>
            <w:vAlign w:val="center"/>
            <w:hideMark/>
          </w:tcPr>
          <w:p w:rsidR="006260E6" w:rsidRPr="003F1A5F" w:rsidRDefault="006260E6" w:rsidP="009C0293">
            <w:pPr>
              <w:keepNext/>
              <w:keepLines/>
              <w:jc w:val="right"/>
              <w:rPr>
                <w:rFonts w:ascii="Calibri" w:hAnsi="Calibri" w:cs="Calibri"/>
                <w:color w:val="000000"/>
                <w:szCs w:val="22"/>
              </w:rPr>
            </w:pPr>
            <w:r w:rsidRPr="003F1A5F">
              <w:rPr>
                <w:rFonts w:ascii="Calibri" w:hAnsi="Calibri" w:cs="Calibri"/>
                <w:color w:val="000000"/>
                <w:szCs w:val="22"/>
              </w:rPr>
              <w:t xml:space="preserve">1,33 </w:t>
            </w:r>
          </w:p>
        </w:tc>
        <w:tc>
          <w:tcPr>
            <w:tcW w:w="2044" w:type="dxa"/>
            <w:shd w:val="clear" w:color="auto" w:fill="auto"/>
            <w:noWrap/>
            <w:vAlign w:val="center"/>
          </w:tcPr>
          <w:p w:rsidR="006260E6" w:rsidRPr="003F1A5F" w:rsidRDefault="006260E6" w:rsidP="009C0293">
            <w:pPr>
              <w:keepNext/>
              <w:keepLines/>
              <w:jc w:val="right"/>
              <w:rPr>
                <w:rFonts w:ascii="Calibri" w:hAnsi="Calibri" w:cs="Calibri"/>
                <w:color w:val="000000"/>
                <w:szCs w:val="22"/>
              </w:rPr>
            </w:pPr>
          </w:p>
        </w:tc>
      </w:tr>
      <w:tr w:rsidR="006260E6" w:rsidTr="009C0293">
        <w:trPr>
          <w:trHeight w:val="266"/>
        </w:trPr>
        <w:tc>
          <w:tcPr>
            <w:tcW w:w="4144" w:type="dxa"/>
            <w:shd w:val="clear" w:color="auto" w:fill="auto"/>
            <w:noWrap/>
            <w:vAlign w:val="center"/>
            <w:hideMark/>
          </w:tcPr>
          <w:p w:rsidR="006260E6" w:rsidRPr="003F1A5F" w:rsidRDefault="006260E6" w:rsidP="009C0293">
            <w:pPr>
              <w:keepNext/>
              <w:keepLines/>
              <w:rPr>
                <w:rFonts w:ascii="Calibri" w:hAnsi="Calibri" w:cs="Calibri"/>
                <w:color w:val="000000"/>
                <w:szCs w:val="22"/>
              </w:rPr>
            </w:pPr>
            <w:r w:rsidRPr="003F1A5F">
              <w:rPr>
                <w:rFonts w:ascii="Calibri" w:hAnsi="Calibri" w:cs="Calibri"/>
                <w:color w:val="000000"/>
                <w:szCs w:val="22"/>
              </w:rPr>
              <w:t xml:space="preserve">D. Koeficient rizika </w:t>
            </w:r>
            <w:r>
              <w:rPr>
                <w:rFonts w:ascii="Calibri" w:hAnsi="Calibri" w:cs="Calibri"/>
                <w:color w:val="000000"/>
                <w:szCs w:val="22"/>
              </w:rPr>
              <w:t>dle stavebnicové metody</w:t>
            </w:r>
          </w:p>
        </w:tc>
        <w:tc>
          <w:tcPr>
            <w:tcW w:w="1563" w:type="dxa"/>
            <w:shd w:val="clear" w:color="auto" w:fill="auto"/>
            <w:noWrap/>
            <w:vAlign w:val="center"/>
            <w:hideMark/>
          </w:tcPr>
          <w:p w:rsidR="006260E6" w:rsidRPr="003F1A5F" w:rsidRDefault="006260E6" w:rsidP="009C0293">
            <w:pPr>
              <w:keepNext/>
              <w:keepLines/>
              <w:jc w:val="right"/>
              <w:rPr>
                <w:rFonts w:ascii="Calibri" w:hAnsi="Calibri" w:cs="Calibri"/>
                <w:color w:val="000000"/>
                <w:szCs w:val="22"/>
              </w:rPr>
            </w:pPr>
            <w:r w:rsidRPr="003F1A5F">
              <w:rPr>
                <w:rFonts w:ascii="Calibri" w:hAnsi="Calibri" w:cs="Calibri"/>
                <w:color w:val="000000"/>
                <w:szCs w:val="22"/>
              </w:rPr>
              <w:t>1</w:t>
            </w:r>
            <w:r>
              <w:rPr>
                <w:rFonts w:ascii="Calibri" w:hAnsi="Calibri" w:cs="Calibri"/>
                <w:color w:val="000000"/>
                <w:szCs w:val="22"/>
              </w:rPr>
              <w:t>,</w:t>
            </w:r>
            <w:r w:rsidRPr="003F1A5F">
              <w:rPr>
                <w:rFonts w:ascii="Calibri" w:hAnsi="Calibri" w:cs="Calibri"/>
                <w:color w:val="000000"/>
                <w:szCs w:val="22"/>
              </w:rPr>
              <w:t xml:space="preserve">23438 </w:t>
            </w:r>
          </w:p>
        </w:tc>
        <w:tc>
          <w:tcPr>
            <w:tcW w:w="2044" w:type="dxa"/>
            <w:shd w:val="clear" w:color="auto" w:fill="auto"/>
            <w:noWrap/>
            <w:vAlign w:val="center"/>
          </w:tcPr>
          <w:p w:rsidR="006260E6" w:rsidRPr="003F1A5F" w:rsidRDefault="006260E6" w:rsidP="009C0293">
            <w:pPr>
              <w:keepNext/>
              <w:keepLines/>
              <w:jc w:val="right"/>
              <w:rPr>
                <w:rFonts w:ascii="Calibri" w:hAnsi="Calibri" w:cs="Calibri"/>
                <w:color w:val="000000"/>
                <w:szCs w:val="22"/>
              </w:rPr>
            </w:pPr>
            <w:r>
              <w:rPr>
                <w:rFonts w:ascii="Calibri" w:hAnsi="Calibri" w:cs="Calibri"/>
                <w:color w:val="000000"/>
                <w:szCs w:val="22"/>
              </w:rPr>
              <w:t>z tabulky č. 5</w:t>
            </w:r>
          </w:p>
        </w:tc>
      </w:tr>
      <w:tr w:rsidR="006260E6" w:rsidTr="009C0293">
        <w:trPr>
          <w:trHeight w:val="266"/>
        </w:trPr>
        <w:tc>
          <w:tcPr>
            <w:tcW w:w="4144" w:type="dxa"/>
            <w:shd w:val="clear" w:color="auto" w:fill="auto"/>
            <w:noWrap/>
            <w:vAlign w:val="center"/>
            <w:hideMark/>
          </w:tcPr>
          <w:p w:rsidR="006260E6" w:rsidRPr="003F1A5F" w:rsidRDefault="006260E6" w:rsidP="009C0293">
            <w:pPr>
              <w:keepNext/>
              <w:keepLines/>
              <w:rPr>
                <w:rFonts w:ascii="Calibri" w:hAnsi="Calibri" w:cs="Calibri"/>
                <w:color w:val="000000"/>
                <w:szCs w:val="22"/>
              </w:rPr>
            </w:pPr>
            <w:r w:rsidRPr="003F1A5F">
              <w:rPr>
                <w:rFonts w:ascii="Calibri" w:hAnsi="Calibri" w:cs="Calibri"/>
                <w:color w:val="000000"/>
                <w:szCs w:val="22"/>
              </w:rPr>
              <w:t>E. NGA/VHCN riziková přirážka</w:t>
            </w:r>
          </w:p>
        </w:tc>
        <w:tc>
          <w:tcPr>
            <w:tcW w:w="1563" w:type="dxa"/>
            <w:shd w:val="clear" w:color="auto" w:fill="auto"/>
            <w:noWrap/>
            <w:vAlign w:val="center"/>
            <w:hideMark/>
          </w:tcPr>
          <w:p w:rsidR="006260E6" w:rsidRPr="003F1A5F" w:rsidRDefault="006260E6" w:rsidP="009C0293">
            <w:pPr>
              <w:keepNext/>
              <w:keepLines/>
              <w:jc w:val="right"/>
              <w:rPr>
                <w:rFonts w:ascii="Calibri" w:hAnsi="Calibri" w:cs="Calibri"/>
                <w:color w:val="000000"/>
                <w:szCs w:val="22"/>
              </w:rPr>
            </w:pPr>
            <w:r w:rsidRPr="003F1A5F">
              <w:rPr>
                <w:rFonts w:ascii="Calibri" w:hAnsi="Calibri" w:cs="Calibri"/>
                <w:color w:val="000000"/>
                <w:szCs w:val="22"/>
              </w:rPr>
              <w:t xml:space="preserve">1,65 </w:t>
            </w:r>
          </w:p>
        </w:tc>
        <w:tc>
          <w:tcPr>
            <w:tcW w:w="2044" w:type="dxa"/>
            <w:shd w:val="clear" w:color="auto" w:fill="auto"/>
            <w:noWrap/>
            <w:vAlign w:val="center"/>
            <w:hideMark/>
          </w:tcPr>
          <w:p w:rsidR="006260E6" w:rsidRPr="003F1A5F" w:rsidRDefault="006260E6" w:rsidP="009C0293">
            <w:pPr>
              <w:keepNext/>
              <w:keepLines/>
              <w:jc w:val="right"/>
              <w:rPr>
                <w:rFonts w:ascii="Calibri" w:hAnsi="Calibri" w:cs="Calibri"/>
                <w:color w:val="000000"/>
                <w:szCs w:val="22"/>
              </w:rPr>
            </w:pPr>
            <w:r w:rsidRPr="003F1A5F">
              <w:rPr>
                <w:rFonts w:ascii="Calibri" w:hAnsi="Calibri" w:cs="Calibri"/>
                <w:color w:val="000000"/>
                <w:szCs w:val="22"/>
              </w:rPr>
              <w:t>=(D-1)*(B+C)</w:t>
            </w:r>
          </w:p>
        </w:tc>
      </w:tr>
      <w:tr w:rsidR="006260E6" w:rsidTr="009C0293">
        <w:trPr>
          <w:trHeight w:val="266"/>
        </w:trPr>
        <w:tc>
          <w:tcPr>
            <w:tcW w:w="4144" w:type="dxa"/>
            <w:shd w:val="clear" w:color="auto" w:fill="auto"/>
            <w:noWrap/>
            <w:vAlign w:val="center"/>
            <w:hideMark/>
          </w:tcPr>
          <w:p w:rsidR="006260E6" w:rsidRPr="003F1A5F" w:rsidRDefault="006260E6" w:rsidP="009C0293">
            <w:pPr>
              <w:keepNext/>
              <w:keepLines/>
              <w:rPr>
                <w:rFonts w:ascii="Calibri" w:hAnsi="Calibri" w:cs="Calibri"/>
                <w:color w:val="000000"/>
                <w:szCs w:val="22"/>
              </w:rPr>
            </w:pPr>
            <w:r w:rsidRPr="003F1A5F">
              <w:rPr>
                <w:rFonts w:ascii="Calibri" w:hAnsi="Calibri" w:cs="Calibri"/>
                <w:color w:val="000000"/>
                <w:szCs w:val="22"/>
              </w:rPr>
              <w:t>F. Riziková přirážka NGA/VHCN</w:t>
            </w:r>
            <w:r>
              <w:rPr>
                <w:rFonts w:ascii="Calibri" w:hAnsi="Calibri" w:cs="Calibri"/>
                <w:color w:val="000000"/>
                <w:szCs w:val="22"/>
              </w:rPr>
              <w:t xml:space="preserve"> včetně tržního rizika</w:t>
            </w:r>
          </w:p>
        </w:tc>
        <w:tc>
          <w:tcPr>
            <w:tcW w:w="1563" w:type="dxa"/>
            <w:shd w:val="clear" w:color="auto" w:fill="auto"/>
            <w:noWrap/>
            <w:vAlign w:val="center"/>
            <w:hideMark/>
          </w:tcPr>
          <w:p w:rsidR="006260E6" w:rsidRPr="003F1A5F" w:rsidRDefault="006260E6" w:rsidP="009C0293">
            <w:pPr>
              <w:keepNext/>
              <w:keepLines/>
              <w:jc w:val="right"/>
              <w:rPr>
                <w:rFonts w:ascii="Calibri" w:hAnsi="Calibri" w:cs="Calibri"/>
                <w:color w:val="000000"/>
                <w:szCs w:val="22"/>
              </w:rPr>
            </w:pPr>
            <w:r w:rsidRPr="003F1A5F">
              <w:rPr>
                <w:rFonts w:ascii="Calibri" w:hAnsi="Calibri" w:cs="Calibri"/>
                <w:color w:val="000000"/>
                <w:szCs w:val="22"/>
              </w:rPr>
              <w:t xml:space="preserve">2,98 </w:t>
            </w:r>
          </w:p>
        </w:tc>
        <w:tc>
          <w:tcPr>
            <w:tcW w:w="2044" w:type="dxa"/>
            <w:shd w:val="clear" w:color="auto" w:fill="auto"/>
            <w:noWrap/>
            <w:vAlign w:val="center"/>
            <w:hideMark/>
          </w:tcPr>
          <w:p w:rsidR="006260E6" w:rsidRPr="003F1A5F" w:rsidRDefault="006260E6" w:rsidP="009C0293">
            <w:pPr>
              <w:keepNext/>
              <w:keepLines/>
              <w:jc w:val="right"/>
              <w:rPr>
                <w:rFonts w:ascii="Calibri" w:hAnsi="Calibri" w:cs="Calibri"/>
                <w:color w:val="000000"/>
                <w:szCs w:val="22"/>
              </w:rPr>
            </w:pPr>
            <w:r w:rsidRPr="003F1A5F">
              <w:rPr>
                <w:rFonts w:ascii="Calibri" w:hAnsi="Calibri" w:cs="Calibri"/>
                <w:color w:val="000000"/>
                <w:szCs w:val="22"/>
              </w:rPr>
              <w:t xml:space="preserve">=C+E </w:t>
            </w:r>
          </w:p>
        </w:tc>
      </w:tr>
      <w:tr w:rsidR="006260E6" w:rsidTr="009C0293">
        <w:trPr>
          <w:trHeight w:val="266"/>
        </w:trPr>
        <w:tc>
          <w:tcPr>
            <w:tcW w:w="4144" w:type="dxa"/>
            <w:shd w:val="clear" w:color="auto" w:fill="auto"/>
            <w:noWrap/>
            <w:vAlign w:val="center"/>
            <w:hideMark/>
          </w:tcPr>
          <w:p w:rsidR="006260E6" w:rsidRPr="00C402DB" w:rsidRDefault="006260E6" w:rsidP="009C0293">
            <w:pPr>
              <w:keepNext/>
              <w:keepLines/>
              <w:rPr>
                <w:rFonts w:ascii="Calibri" w:hAnsi="Calibri" w:cs="Calibri"/>
                <w:b/>
                <w:bCs/>
                <w:color w:val="000000"/>
                <w:szCs w:val="22"/>
              </w:rPr>
            </w:pPr>
            <w:r w:rsidRPr="00C402DB">
              <w:rPr>
                <w:rFonts w:ascii="Calibri" w:hAnsi="Calibri" w:cs="Calibri"/>
                <w:b/>
                <w:bCs/>
                <w:color w:val="000000"/>
                <w:szCs w:val="22"/>
              </w:rPr>
              <w:t>G. WACC (</w:t>
            </w:r>
            <w:r>
              <w:rPr>
                <w:rFonts w:ascii="Calibri" w:hAnsi="Calibri" w:cs="Calibri"/>
                <w:b/>
                <w:bCs/>
                <w:color w:val="000000"/>
                <w:szCs w:val="22"/>
              </w:rPr>
              <w:t>před zdaněním</w:t>
            </w:r>
            <w:r w:rsidRPr="00C402DB">
              <w:rPr>
                <w:rFonts w:ascii="Calibri" w:hAnsi="Calibri" w:cs="Calibri"/>
                <w:b/>
                <w:bCs/>
                <w:color w:val="000000"/>
                <w:szCs w:val="22"/>
              </w:rPr>
              <w:t>) pro NGA/VHCN sítě</w:t>
            </w:r>
          </w:p>
        </w:tc>
        <w:tc>
          <w:tcPr>
            <w:tcW w:w="1563" w:type="dxa"/>
            <w:shd w:val="clear" w:color="auto" w:fill="auto"/>
            <w:noWrap/>
            <w:vAlign w:val="center"/>
            <w:hideMark/>
          </w:tcPr>
          <w:p w:rsidR="006260E6" w:rsidRPr="00C402DB" w:rsidRDefault="006260E6" w:rsidP="009C0293">
            <w:pPr>
              <w:keepNext/>
              <w:keepLines/>
              <w:jc w:val="right"/>
              <w:rPr>
                <w:rFonts w:ascii="Calibri" w:hAnsi="Calibri" w:cs="Calibri"/>
                <w:b/>
                <w:bCs/>
                <w:color w:val="000000"/>
                <w:szCs w:val="22"/>
              </w:rPr>
            </w:pPr>
            <w:r w:rsidRPr="00C402DB">
              <w:rPr>
                <w:rFonts w:ascii="Calibri" w:hAnsi="Calibri" w:cs="Calibri"/>
                <w:b/>
                <w:bCs/>
                <w:color w:val="000000"/>
                <w:szCs w:val="22"/>
              </w:rPr>
              <w:t>8,70 %</w:t>
            </w:r>
          </w:p>
        </w:tc>
        <w:tc>
          <w:tcPr>
            <w:tcW w:w="2044" w:type="dxa"/>
            <w:shd w:val="clear" w:color="auto" w:fill="auto"/>
            <w:noWrap/>
            <w:vAlign w:val="center"/>
            <w:hideMark/>
          </w:tcPr>
          <w:p w:rsidR="006260E6" w:rsidRPr="00C402DB" w:rsidRDefault="006260E6" w:rsidP="009C0293">
            <w:pPr>
              <w:keepNext/>
              <w:keepLines/>
              <w:jc w:val="right"/>
              <w:rPr>
                <w:rFonts w:ascii="Calibri" w:hAnsi="Calibri" w:cs="Calibri"/>
                <w:b/>
                <w:bCs/>
                <w:color w:val="000000"/>
                <w:szCs w:val="22"/>
              </w:rPr>
            </w:pPr>
            <w:r w:rsidRPr="00C402DB">
              <w:rPr>
                <w:rFonts w:ascii="Calibri" w:hAnsi="Calibri" w:cs="Calibri"/>
                <w:b/>
                <w:bCs/>
                <w:color w:val="000000"/>
                <w:szCs w:val="22"/>
              </w:rPr>
              <w:t>= B+F</w:t>
            </w:r>
          </w:p>
        </w:tc>
      </w:tr>
    </w:tbl>
    <w:p w:rsidR="006260E6" w:rsidRPr="009C0293" w:rsidRDefault="006260E6" w:rsidP="009C0293">
      <w:pPr>
        <w:spacing w:before="120"/>
        <w:ind w:firstLine="709"/>
        <w:jc w:val="both"/>
        <w:rPr>
          <w:rFonts w:ascii="Arial" w:hAnsi="Arial" w:cs="Arial"/>
          <w:b/>
          <w:bCs/>
          <w:color w:val="000000" w:themeColor="text1"/>
          <w:sz w:val="22"/>
          <w:szCs w:val="22"/>
          <w:lang w:eastAsia="en-GB"/>
        </w:rPr>
      </w:pPr>
      <w:r w:rsidRPr="009C0293">
        <w:rPr>
          <w:rFonts w:ascii="Arial" w:hAnsi="Arial" w:cs="Arial"/>
          <w:sz w:val="22"/>
          <w:szCs w:val="22"/>
        </w:rPr>
        <w:t>Hodnota WACC dle odstavce 3 ve výši 8,70 % je součtem hodnoty WACC dle odstavce 2 a rizikové přirážky pro sítě NGA/VHCN včetně tržního rizika ve výši 2,98 %.</w:t>
      </w:r>
    </w:p>
    <w:p w:rsidR="006260E6" w:rsidRPr="009C0293" w:rsidRDefault="006260E6" w:rsidP="009C0293">
      <w:pPr>
        <w:spacing w:before="240" w:after="240"/>
        <w:ind w:firstLine="709"/>
        <w:jc w:val="both"/>
        <w:rPr>
          <w:rFonts w:ascii="Arial" w:hAnsi="Arial" w:cs="Arial"/>
          <w:sz w:val="22"/>
          <w:szCs w:val="22"/>
        </w:rPr>
      </w:pPr>
      <w:r w:rsidRPr="009C0293">
        <w:rPr>
          <w:rFonts w:ascii="Arial" w:hAnsi="Arial" w:cs="Arial"/>
          <w:sz w:val="22"/>
          <w:szCs w:val="22"/>
        </w:rPr>
        <w:t xml:space="preserve">Článek 2 stanoví účinnost opatření obecné povahy tak, aby nová hodnota WACC byla aplikovatelná od počátku běžného účetního období. </w:t>
      </w:r>
    </w:p>
    <w:p w:rsidR="006260E6" w:rsidRPr="009C0293" w:rsidRDefault="006260E6" w:rsidP="009C0293">
      <w:pPr>
        <w:shd w:val="clear" w:color="auto" w:fill="FFFFFF"/>
        <w:spacing w:before="120" w:after="100" w:afterAutospacing="1"/>
        <w:jc w:val="both"/>
        <w:rPr>
          <w:rFonts w:ascii="Arial" w:hAnsi="Arial" w:cs="Arial"/>
          <w:sz w:val="22"/>
          <w:szCs w:val="22"/>
        </w:rPr>
      </w:pPr>
      <w:r w:rsidRPr="009C0293">
        <w:rPr>
          <w:rFonts w:ascii="Arial" w:hAnsi="Arial" w:cs="Arial"/>
          <w:sz w:val="22"/>
          <w:szCs w:val="22"/>
        </w:rPr>
        <w:t>***</w:t>
      </w:r>
    </w:p>
    <w:p w:rsidR="006260E6" w:rsidRPr="009C0293" w:rsidRDefault="006260E6" w:rsidP="009C0293">
      <w:pPr>
        <w:spacing w:after="240"/>
        <w:ind w:firstLine="708"/>
        <w:jc w:val="both"/>
        <w:rPr>
          <w:rFonts w:ascii="Arial" w:hAnsi="Arial" w:cs="Arial"/>
          <w:sz w:val="22"/>
          <w:szCs w:val="22"/>
        </w:rPr>
      </w:pPr>
      <w:r w:rsidRPr="009C0293">
        <w:rPr>
          <w:rFonts w:ascii="Arial" w:hAnsi="Arial" w:cs="Arial"/>
          <w:sz w:val="22"/>
          <w:szCs w:val="22"/>
        </w:rPr>
        <w:t>Na základě § 130 Zákona a podle Pravidel Českého telekomunikačního úřadu pro vedení konzultací na diskusním místě Úřad zveřejnil návrh opatření a výzvu k uplatnění připomínek k návrhu opatření obecné povahy na diskusním místě dne 25. července 2023. Připomínky k návrhu opatření bylo možné uplatnit do 25. srpna 2023. V rámci veřejné konzultace Úřad neobdržel žádné připomínky.</w:t>
      </w:r>
    </w:p>
    <w:p w:rsidR="006260E6" w:rsidRPr="007A701E" w:rsidRDefault="006260E6" w:rsidP="006260E6">
      <w:pPr>
        <w:spacing w:after="240"/>
        <w:jc w:val="center"/>
        <w:rPr>
          <w:rFonts w:cs="Arial"/>
          <w:color w:val="FF0000"/>
          <w:szCs w:val="22"/>
        </w:rPr>
      </w:pPr>
      <w:r>
        <w:t>***</w:t>
      </w:r>
    </w:p>
    <w:p w:rsidR="006260E6" w:rsidRPr="009C0293" w:rsidRDefault="006260E6" w:rsidP="006260E6">
      <w:pPr>
        <w:autoSpaceDE w:val="0"/>
        <w:autoSpaceDN w:val="0"/>
        <w:adjustRightInd w:val="0"/>
        <w:spacing w:after="120"/>
        <w:ind w:firstLine="709"/>
        <w:rPr>
          <w:rFonts w:ascii="Arial" w:hAnsi="Arial" w:cs="Arial"/>
          <w:sz w:val="22"/>
          <w:szCs w:val="22"/>
        </w:rPr>
      </w:pPr>
      <w:r w:rsidRPr="009C0293">
        <w:rPr>
          <w:rFonts w:ascii="Arial" w:hAnsi="Arial" w:cs="Arial"/>
          <w:sz w:val="22"/>
          <w:szCs w:val="22"/>
        </w:rPr>
        <w:t>Úřad podle § 131 zákona konzultoval návrh opatření obecné povahy s Evropskou komisí. Evropská komise dopisem ze dne 30. října 2023</w:t>
      </w:r>
      <w:r w:rsidRPr="009C0293">
        <w:rPr>
          <w:rStyle w:val="Znakapoznpodarou"/>
          <w:rFonts w:ascii="Arial" w:hAnsi="Arial" w:cs="Arial"/>
          <w:sz w:val="22"/>
          <w:szCs w:val="22"/>
        </w:rPr>
        <w:footnoteReference w:id="38"/>
      </w:r>
      <w:r w:rsidRPr="009C0293">
        <w:rPr>
          <w:rFonts w:ascii="Arial" w:hAnsi="Arial" w:cs="Arial"/>
          <w:sz w:val="22"/>
          <w:szCs w:val="22"/>
        </w:rPr>
        <w:t xml:space="preserve"> sdělila, že k předloženému návrhu nemá žádné připomínky.</w:t>
      </w:r>
    </w:p>
    <w:p w:rsidR="00574F06" w:rsidRDefault="00574F06" w:rsidP="003A3687">
      <w:pPr>
        <w:spacing w:after="240"/>
        <w:rPr>
          <w:rFonts w:cs="Arial"/>
          <w:szCs w:val="22"/>
        </w:rPr>
      </w:pPr>
    </w:p>
    <w:p w:rsidR="00ED763C" w:rsidRDefault="00ED763C" w:rsidP="00AD1494">
      <w:pPr>
        <w:spacing w:before="120"/>
        <w:jc w:val="both"/>
        <w:rPr>
          <w:rFonts w:ascii="Arial" w:hAnsi="Arial" w:cs="Arial"/>
          <w:sz w:val="22"/>
          <w:szCs w:val="22"/>
        </w:rPr>
      </w:pPr>
    </w:p>
    <w:p w:rsidR="00B0672C" w:rsidRDefault="00B0672C" w:rsidP="003C3CAE">
      <w:pPr>
        <w:spacing w:before="120"/>
        <w:ind w:firstLine="708"/>
        <w:jc w:val="both"/>
        <w:rPr>
          <w:rFonts w:ascii="Arial" w:hAnsi="Arial" w:cs="Arial"/>
          <w:sz w:val="22"/>
          <w:szCs w:val="22"/>
        </w:rPr>
      </w:pPr>
    </w:p>
    <w:p w:rsidR="00B0672C" w:rsidRDefault="00B0672C" w:rsidP="003C3CAE">
      <w:pPr>
        <w:spacing w:before="120"/>
        <w:ind w:firstLine="708"/>
        <w:jc w:val="both"/>
        <w:rPr>
          <w:rFonts w:ascii="Arial" w:hAnsi="Arial" w:cs="Arial"/>
          <w:sz w:val="22"/>
          <w:szCs w:val="22"/>
        </w:rPr>
      </w:pPr>
    </w:p>
    <w:p w:rsidR="00ED763C" w:rsidRDefault="00ED763C" w:rsidP="00242A0C">
      <w:pPr>
        <w:widowControl w:val="0"/>
        <w:autoSpaceDE w:val="0"/>
        <w:autoSpaceDN w:val="0"/>
        <w:adjustRightInd w:val="0"/>
        <w:spacing w:line="252" w:lineRule="exact"/>
        <w:ind w:left="5321" w:right="2147"/>
        <w:jc w:val="center"/>
        <w:rPr>
          <w:rFonts w:ascii="Arial" w:hAnsi="Arial" w:cs="Arial"/>
          <w:sz w:val="22"/>
          <w:szCs w:val="22"/>
        </w:rPr>
      </w:pPr>
    </w:p>
    <w:p w:rsidR="00496271" w:rsidRDefault="00496271" w:rsidP="00496271">
      <w:pPr>
        <w:pStyle w:val="Zkladntextodsazen"/>
        <w:spacing w:after="0"/>
        <w:ind w:left="3544" w:firstLine="709"/>
        <w:jc w:val="center"/>
      </w:pPr>
      <w:r>
        <w:t xml:space="preserve">       </w:t>
      </w:r>
      <w:r w:rsidRPr="008E126C">
        <w:t>Za Radu Českého telekomunikačního úř</w:t>
      </w:r>
      <w:r w:rsidRPr="00BC1077">
        <w:t>adu:</w:t>
      </w:r>
    </w:p>
    <w:p w:rsidR="002C151C" w:rsidRDefault="002C151C" w:rsidP="00496271">
      <w:pPr>
        <w:pStyle w:val="Zkladntextodsazen"/>
        <w:spacing w:after="0"/>
        <w:ind w:left="3544" w:firstLine="709"/>
        <w:jc w:val="center"/>
      </w:pPr>
    </w:p>
    <w:p w:rsidR="00496271" w:rsidRPr="00496271" w:rsidRDefault="00496271" w:rsidP="00496271">
      <w:pPr>
        <w:widowControl w:val="0"/>
        <w:autoSpaceDE w:val="0"/>
        <w:autoSpaceDN w:val="0"/>
        <w:adjustRightInd w:val="0"/>
        <w:spacing w:line="252" w:lineRule="exact"/>
        <w:ind w:left="5321" w:right="-2"/>
        <w:rPr>
          <w:rFonts w:ascii="Arial" w:hAnsi="Arial" w:cs="Arial"/>
          <w:sz w:val="22"/>
          <w:szCs w:val="22"/>
        </w:rPr>
      </w:pPr>
      <w:r>
        <w:rPr>
          <w:rFonts w:ascii="Arial" w:hAnsi="Arial" w:cs="Arial"/>
          <w:sz w:val="22"/>
          <w:szCs w:val="22"/>
        </w:rPr>
        <w:t xml:space="preserve">        </w:t>
      </w:r>
      <w:r w:rsidRPr="00496271">
        <w:rPr>
          <w:rFonts w:ascii="Arial" w:hAnsi="Arial" w:cs="Arial"/>
          <w:sz w:val="22"/>
          <w:szCs w:val="22"/>
        </w:rPr>
        <w:t xml:space="preserve">Ing. Mgr. </w:t>
      </w:r>
      <w:r>
        <w:rPr>
          <w:rFonts w:ascii="Arial" w:hAnsi="Arial" w:cs="Arial"/>
          <w:sz w:val="22"/>
          <w:szCs w:val="22"/>
        </w:rPr>
        <w:t>J</w:t>
      </w:r>
      <w:r w:rsidRPr="00496271">
        <w:rPr>
          <w:rFonts w:ascii="Arial" w:hAnsi="Arial" w:cs="Arial"/>
          <w:sz w:val="22"/>
          <w:szCs w:val="22"/>
        </w:rPr>
        <w:t>aromír Novák</w:t>
      </w:r>
    </w:p>
    <w:p w:rsidR="00496271" w:rsidRDefault="00496271" w:rsidP="00496271">
      <w:pPr>
        <w:widowControl w:val="0"/>
        <w:autoSpaceDE w:val="0"/>
        <w:autoSpaceDN w:val="0"/>
        <w:adjustRightInd w:val="0"/>
        <w:spacing w:line="252" w:lineRule="exact"/>
        <w:ind w:left="5321" w:right="-2"/>
        <w:rPr>
          <w:rFonts w:ascii="Arial" w:hAnsi="Arial" w:cs="Arial"/>
          <w:sz w:val="22"/>
          <w:szCs w:val="22"/>
        </w:rPr>
      </w:pPr>
      <w:r>
        <w:rPr>
          <w:rFonts w:ascii="Arial" w:hAnsi="Arial" w:cs="Arial"/>
          <w:sz w:val="22"/>
          <w:szCs w:val="22"/>
        </w:rPr>
        <w:t xml:space="preserve">               </w:t>
      </w:r>
      <w:r w:rsidRPr="00496271">
        <w:rPr>
          <w:rFonts w:ascii="Arial" w:hAnsi="Arial" w:cs="Arial"/>
          <w:sz w:val="22"/>
          <w:szCs w:val="22"/>
        </w:rPr>
        <w:t>předseda Rady</w:t>
      </w:r>
      <w:r>
        <w:rPr>
          <w:rFonts w:ascii="Arial" w:hAnsi="Arial" w:cs="Arial"/>
          <w:sz w:val="22"/>
          <w:szCs w:val="22"/>
        </w:rPr>
        <w:t xml:space="preserve"> </w:t>
      </w:r>
    </w:p>
    <w:p w:rsidR="00E034D2" w:rsidRPr="000176E5" w:rsidRDefault="00496271" w:rsidP="00496271">
      <w:pPr>
        <w:widowControl w:val="0"/>
        <w:autoSpaceDE w:val="0"/>
        <w:autoSpaceDN w:val="0"/>
        <w:adjustRightInd w:val="0"/>
        <w:spacing w:line="252" w:lineRule="exact"/>
        <w:ind w:left="5321" w:right="-2"/>
        <w:rPr>
          <w:rFonts w:ascii="Arial" w:hAnsi="Arial" w:cs="Arial"/>
          <w:sz w:val="22"/>
          <w:szCs w:val="22"/>
        </w:rPr>
      </w:pPr>
      <w:r w:rsidRPr="00496271">
        <w:rPr>
          <w:rFonts w:ascii="Arial" w:hAnsi="Arial" w:cs="Arial"/>
          <w:sz w:val="22"/>
          <w:szCs w:val="22"/>
        </w:rPr>
        <w:t>Českého telekomunikačního úřadu</w:t>
      </w:r>
    </w:p>
    <w:sectPr w:rsidR="00E034D2" w:rsidRPr="000176E5" w:rsidSect="002C151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293" w:rsidRDefault="009C0293" w:rsidP="004A6A67">
      <w:r>
        <w:separator/>
      </w:r>
    </w:p>
  </w:endnote>
  <w:endnote w:type="continuationSeparator" w:id="0">
    <w:p w:rsidR="009C0293" w:rsidRDefault="009C0293" w:rsidP="004A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skerville Old Fac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EE"/>
    <w:family w:val="auto"/>
    <w:notTrueType/>
    <w:pitch w:val="default"/>
    <w:sig w:usb0="00000005" w:usb1="00000000" w:usb2="00000000" w:usb3="00000000" w:csb0="00000002" w:csb1="00000000"/>
  </w:font>
  <w:font w:name="Cavolini">
    <w:charset w:val="00"/>
    <w:family w:val="script"/>
    <w:pitch w:val="variable"/>
    <w:sig w:usb0="A11526FF" w:usb1="8000000A" w:usb2="0001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293" w:rsidRPr="008472DB" w:rsidRDefault="009C0293" w:rsidP="003114DA">
    <w:pPr>
      <w:pStyle w:val="Zpat"/>
      <w:jc w:val="center"/>
      <w:rPr>
        <w:rStyle w:val="slostrnky"/>
        <w:rFonts w:ascii="Arial" w:hAnsi="Arial" w:cs="Arial"/>
        <w:sz w:val="22"/>
        <w:szCs w:val="22"/>
      </w:rPr>
    </w:pPr>
    <w:r w:rsidRPr="008472DB">
      <w:rPr>
        <w:rStyle w:val="slostrnky"/>
        <w:rFonts w:ascii="Arial" w:hAnsi="Arial" w:cs="Arial"/>
        <w:sz w:val="22"/>
        <w:szCs w:val="22"/>
      </w:rPr>
      <w:fldChar w:fldCharType="begin"/>
    </w:r>
    <w:r w:rsidRPr="008472DB">
      <w:rPr>
        <w:rStyle w:val="slostrnky"/>
        <w:rFonts w:ascii="Arial" w:hAnsi="Arial" w:cs="Arial"/>
        <w:sz w:val="22"/>
        <w:szCs w:val="22"/>
      </w:rPr>
      <w:instrText xml:space="preserve">PAGE  </w:instrText>
    </w:r>
    <w:r w:rsidRPr="008472DB">
      <w:rPr>
        <w:rStyle w:val="slostrnky"/>
        <w:rFonts w:ascii="Arial" w:hAnsi="Arial" w:cs="Arial"/>
        <w:sz w:val="22"/>
        <w:szCs w:val="22"/>
      </w:rPr>
      <w:fldChar w:fldCharType="separate"/>
    </w:r>
    <w:r>
      <w:rPr>
        <w:rStyle w:val="slostrnky"/>
        <w:rFonts w:ascii="Arial" w:hAnsi="Arial" w:cs="Arial"/>
        <w:noProof/>
        <w:sz w:val="22"/>
        <w:szCs w:val="22"/>
      </w:rPr>
      <w:t>2</w:t>
    </w:r>
    <w:r w:rsidRPr="008472DB">
      <w:rPr>
        <w:rStyle w:val="slostrnky"/>
        <w:rFonts w:ascii="Arial" w:hAnsi="Arial" w:cs="Arial"/>
        <w:sz w:val="22"/>
        <w:szCs w:val="22"/>
      </w:rPr>
      <w:fldChar w:fldCharType="end"/>
    </w:r>
    <w:r w:rsidRPr="008472DB">
      <w:rPr>
        <w:rStyle w:val="slostrnky"/>
        <w:rFonts w:ascii="Arial" w:hAnsi="Arial" w:cs="Arial"/>
        <w:sz w:val="22"/>
        <w:szCs w:val="22"/>
      </w:rPr>
      <w:t>/</w:t>
    </w:r>
    <w:r w:rsidRPr="008472DB">
      <w:rPr>
        <w:rStyle w:val="slostrnky"/>
        <w:rFonts w:ascii="Arial" w:hAnsi="Arial" w:cs="Arial"/>
        <w:sz w:val="22"/>
        <w:szCs w:val="22"/>
      </w:rPr>
      <w:fldChar w:fldCharType="begin"/>
    </w:r>
    <w:r w:rsidRPr="008472DB">
      <w:rPr>
        <w:rStyle w:val="slostrnky"/>
        <w:rFonts w:ascii="Arial" w:hAnsi="Arial" w:cs="Arial"/>
        <w:sz w:val="22"/>
        <w:szCs w:val="22"/>
      </w:rPr>
      <w:instrText xml:space="preserve"> NUMPAGES </w:instrText>
    </w:r>
    <w:r w:rsidRPr="008472DB">
      <w:rPr>
        <w:rStyle w:val="slostrnky"/>
        <w:rFonts w:ascii="Arial" w:hAnsi="Arial" w:cs="Arial"/>
        <w:sz w:val="22"/>
        <w:szCs w:val="22"/>
      </w:rPr>
      <w:fldChar w:fldCharType="separate"/>
    </w:r>
    <w:r>
      <w:rPr>
        <w:rStyle w:val="slostrnky"/>
        <w:rFonts w:ascii="Arial" w:hAnsi="Arial" w:cs="Arial"/>
        <w:noProof/>
        <w:sz w:val="22"/>
        <w:szCs w:val="22"/>
      </w:rPr>
      <w:t>57</w:t>
    </w:r>
    <w:r w:rsidRPr="008472DB">
      <w:rPr>
        <w:rStyle w:val="slostrnky"/>
        <w:rFonts w:ascii="Arial" w:hAnsi="Arial" w:cs="Arial"/>
        <w:sz w:val="22"/>
        <w:szCs w:val="22"/>
      </w:rPr>
      <w:fldChar w:fldCharType="end"/>
    </w:r>
  </w:p>
  <w:p w:rsidR="009C0293" w:rsidRDefault="009C0293">
    <w:pPr>
      <w:pStyle w:val="Zpat"/>
      <w:jc w:val="center"/>
    </w:pPr>
  </w:p>
  <w:p w:rsidR="009C0293" w:rsidRDefault="009C02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293" w:rsidRPr="00137223" w:rsidRDefault="009C0293" w:rsidP="00242A0C">
    <w:pPr>
      <w:pStyle w:val="Zpat"/>
      <w:framePr w:wrap="around" w:vAnchor="text" w:hAnchor="margin" w:xAlign="center" w:y="1"/>
      <w:rPr>
        <w:rStyle w:val="slostrnky"/>
        <w:rFonts w:ascii="Arial" w:hAnsi="Arial" w:cs="Arial"/>
        <w:sz w:val="22"/>
        <w:szCs w:val="22"/>
      </w:rPr>
    </w:pPr>
    <w:r w:rsidRPr="00137223">
      <w:rPr>
        <w:rStyle w:val="slostrnky"/>
        <w:rFonts w:ascii="Arial" w:hAnsi="Arial" w:cs="Arial"/>
        <w:sz w:val="22"/>
        <w:szCs w:val="22"/>
      </w:rPr>
      <w:fldChar w:fldCharType="begin"/>
    </w:r>
    <w:r w:rsidRPr="00137223">
      <w:rPr>
        <w:rStyle w:val="slostrnky"/>
        <w:rFonts w:ascii="Arial" w:hAnsi="Arial" w:cs="Arial"/>
        <w:sz w:val="22"/>
        <w:szCs w:val="22"/>
      </w:rPr>
      <w:instrText xml:space="preserve">PAGE  </w:instrText>
    </w:r>
    <w:r w:rsidRPr="00137223">
      <w:rPr>
        <w:rStyle w:val="slostrnky"/>
        <w:rFonts w:ascii="Arial" w:hAnsi="Arial" w:cs="Arial"/>
        <w:sz w:val="22"/>
        <w:szCs w:val="22"/>
      </w:rPr>
      <w:fldChar w:fldCharType="separate"/>
    </w:r>
    <w:r>
      <w:rPr>
        <w:rStyle w:val="slostrnky"/>
        <w:rFonts w:ascii="Arial" w:hAnsi="Arial" w:cs="Arial"/>
        <w:noProof/>
        <w:sz w:val="22"/>
        <w:szCs w:val="22"/>
      </w:rPr>
      <w:t>21</w:t>
    </w:r>
    <w:r w:rsidRPr="00137223">
      <w:rPr>
        <w:rStyle w:val="slostrnky"/>
        <w:rFonts w:ascii="Arial" w:hAnsi="Arial" w:cs="Arial"/>
        <w:sz w:val="22"/>
        <w:szCs w:val="22"/>
      </w:rPr>
      <w:fldChar w:fldCharType="end"/>
    </w:r>
    <w:r w:rsidRPr="00137223">
      <w:rPr>
        <w:rStyle w:val="slostrnky"/>
        <w:rFonts w:ascii="Arial" w:hAnsi="Arial" w:cs="Arial"/>
        <w:sz w:val="22"/>
        <w:szCs w:val="22"/>
      </w:rPr>
      <w:t>/</w:t>
    </w:r>
    <w:r w:rsidRPr="00137223">
      <w:rPr>
        <w:rStyle w:val="slostrnky"/>
        <w:rFonts w:ascii="Arial" w:hAnsi="Arial" w:cs="Arial"/>
        <w:sz w:val="22"/>
        <w:szCs w:val="22"/>
      </w:rPr>
      <w:fldChar w:fldCharType="begin"/>
    </w:r>
    <w:r w:rsidRPr="00137223">
      <w:rPr>
        <w:rStyle w:val="slostrnky"/>
        <w:rFonts w:ascii="Arial" w:hAnsi="Arial" w:cs="Arial"/>
        <w:sz w:val="22"/>
        <w:szCs w:val="22"/>
      </w:rPr>
      <w:instrText xml:space="preserve"> NUMPAGES </w:instrText>
    </w:r>
    <w:r w:rsidRPr="00137223">
      <w:rPr>
        <w:rStyle w:val="slostrnky"/>
        <w:rFonts w:ascii="Arial" w:hAnsi="Arial" w:cs="Arial"/>
        <w:sz w:val="22"/>
        <w:szCs w:val="22"/>
      </w:rPr>
      <w:fldChar w:fldCharType="separate"/>
    </w:r>
    <w:r>
      <w:rPr>
        <w:rStyle w:val="slostrnky"/>
        <w:rFonts w:ascii="Arial" w:hAnsi="Arial" w:cs="Arial"/>
        <w:noProof/>
        <w:sz w:val="22"/>
        <w:szCs w:val="22"/>
      </w:rPr>
      <w:t>57</w:t>
    </w:r>
    <w:r w:rsidRPr="00137223">
      <w:rPr>
        <w:rStyle w:val="slostrnky"/>
        <w:rFonts w:ascii="Arial" w:hAnsi="Arial" w:cs="Arial"/>
        <w:sz w:val="22"/>
        <w:szCs w:val="22"/>
      </w:rPr>
      <w:fldChar w:fldCharType="end"/>
    </w:r>
  </w:p>
  <w:p w:rsidR="009C0293" w:rsidRDefault="009C0293">
    <w:pPr>
      <w:widowControl w:val="0"/>
      <w:autoSpaceDE w:val="0"/>
      <w:autoSpaceDN w:val="0"/>
      <w:adjustRightInd w:val="0"/>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293" w:rsidRPr="00137223" w:rsidRDefault="009C0293" w:rsidP="00242A0C">
    <w:pPr>
      <w:pStyle w:val="Zpat"/>
      <w:framePr w:wrap="around" w:vAnchor="text" w:hAnchor="page" w:x="5662" w:y="-22"/>
      <w:rPr>
        <w:rStyle w:val="slostrnky"/>
        <w:rFonts w:ascii="Arial" w:hAnsi="Arial" w:cs="Arial"/>
        <w:sz w:val="22"/>
        <w:szCs w:val="22"/>
      </w:rPr>
    </w:pPr>
    <w:r w:rsidRPr="00137223">
      <w:rPr>
        <w:rStyle w:val="slostrnky"/>
        <w:rFonts w:ascii="Arial" w:hAnsi="Arial" w:cs="Arial"/>
        <w:sz w:val="22"/>
        <w:szCs w:val="22"/>
      </w:rPr>
      <w:fldChar w:fldCharType="begin"/>
    </w:r>
    <w:r w:rsidRPr="00137223">
      <w:rPr>
        <w:rStyle w:val="slostrnky"/>
        <w:rFonts w:ascii="Arial" w:hAnsi="Arial" w:cs="Arial"/>
        <w:sz w:val="22"/>
        <w:szCs w:val="22"/>
      </w:rPr>
      <w:instrText xml:space="preserve">PAGE  </w:instrText>
    </w:r>
    <w:r w:rsidRPr="00137223">
      <w:rPr>
        <w:rStyle w:val="slostrnky"/>
        <w:rFonts w:ascii="Arial" w:hAnsi="Arial" w:cs="Arial"/>
        <w:sz w:val="22"/>
        <w:szCs w:val="22"/>
      </w:rPr>
      <w:fldChar w:fldCharType="separate"/>
    </w:r>
    <w:r>
      <w:rPr>
        <w:rStyle w:val="slostrnky"/>
        <w:rFonts w:ascii="Arial" w:hAnsi="Arial" w:cs="Arial"/>
        <w:noProof/>
        <w:sz w:val="22"/>
        <w:szCs w:val="22"/>
      </w:rPr>
      <w:t>52</w:t>
    </w:r>
    <w:r w:rsidRPr="00137223">
      <w:rPr>
        <w:rStyle w:val="slostrnky"/>
        <w:rFonts w:ascii="Arial" w:hAnsi="Arial" w:cs="Arial"/>
        <w:sz w:val="22"/>
        <w:szCs w:val="22"/>
      </w:rPr>
      <w:fldChar w:fldCharType="end"/>
    </w:r>
    <w:r w:rsidRPr="00137223">
      <w:rPr>
        <w:rStyle w:val="slostrnky"/>
        <w:rFonts w:ascii="Arial" w:hAnsi="Arial" w:cs="Arial"/>
        <w:sz w:val="22"/>
        <w:szCs w:val="22"/>
      </w:rPr>
      <w:t>/</w:t>
    </w:r>
    <w:r w:rsidRPr="00137223">
      <w:rPr>
        <w:rStyle w:val="slostrnky"/>
        <w:rFonts w:ascii="Arial" w:hAnsi="Arial" w:cs="Arial"/>
        <w:sz w:val="22"/>
        <w:szCs w:val="22"/>
      </w:rPr>
      <w:fldChar w:fldCharType="begin"/>
    </w:r>
    <w:r w:rsidRPr="00137223">
      <w:rPr>
        <w:rStyle w:val="slostrnky"/>
        <w:rFonts w:ascii="Arial" w:hAnsi="Arial" w:cs="Arial"/>
        <w:sz w:val="22"/>
        <w:szCs w:val="22"/>
      </w:rPr>
      <w:instrText xml:space="preserve"> NUMPAGES </w:instrText>
    </w:r>
    <w:r w:rsidRPr="00137223">
      <w:rPr>
        <w:rStyle w:val="slostrnky"/>
        <w:rFonts w:ascii="Arial" w:hAnsi="Arial" w:cs="Arial"/>
        <w:sz w:val="22"/>
        <w:szCs w:val="22"/>
      </w:rPr>
      <w:fldChar w:fldCharType="separate"/>
    </w:r>
    <w:r>
      <w:rPr>
        <w:rStyle w:val="slostrnky"/>
        <w:rFonts w:ascii="Arial" w:hAnsi="Arial" w:cs="Arial"/>
        <w:noProof/>
        <w:sz w:val="22"/>
        <w:szCs w:val="22"/>
      </w:rPr>
      <w:t>57</w:t>
    </w:r>
    <w:r w:rsidRPr="00137223">
      <w:rPr>
        <w:rStyle w:val="slostrnky"/>
        <w:rFonts w:ascii="Arial" w:hAnsi="Arial" w:cs="Arial"/>
        <w:sz w:val="22"/>
        <w:szCs w:val="22"/>
      </w:rPr>
      <w:fldChar w:fldCharType="end"/>
    </w:r>
  </w:p>
  <w:p w:rsidR="009C0293" w:rsidRDefault="009C0293">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293" w:rsidRDefault="009C0293" w:rsidP="004A6A67">
      <w:r>
        <w:separator/>
      </w:r>
    </w:p>
  </w:footnote>
  <w:footnote w:type="continuationSeparator" w:id="0">
    <w:p w:rsidR="009C0293" w:rsidRDefault="009C0293" w:rsidP="004A6A67">
      <w:r>
        <w:continuationSeparator/>
      </w:r>
    </w:p>
  </w:footnote>
  <w:footnote w:id="1">
    <w:p w:rsidR="009C0293" w:rsidRPr="00A13DF5" w:rsidRDefault="009C0293" w:rsidP="004A6A67">
      <w:pPr>
        <w:pStyle w:val="Textpoznpodarou"/>
        <w:spacing w:before="60"/>
        <w:rPr>
          <w:rFonts w:ascii="Arial" w:hAnsi="Arial" w:cs="Arial"/>
          <w:sz w:val="16"/>
          <w:szCs w:val="16"/>
        </w:rPr>
      </w:pPr>
      <w:r w:rsidRPr="00A13DF5">
        <w:rPr>
          <w:rStyle w:val="Znakapoznpodarou"/>
          <w:rFonts w:cs="Arial"/>
          <w:sz w:val="16"/>
          <w:szCs w:val="16"/>
        </w:rPr>
        <w:footnoteRef/>
      </w:r>
      <w:r>
        <w:t xml:space="preserve">) </w:t>
      </w:r>
      <w:r w:rsidRPr="00C544AF">
        <w:rPr>
          <w:rFonts w:ascii="Arial" w:hAnsi="Arial" w:cs="Arial"/>
          <w:color w:val="000000"/>
          <w:position w:val="-1"/>
          <w:sz w:val="16"/>
          <w:szCs w:val="16"/>
        </w:rPr>
        <w:t>§ 21 zák</w:t>
      </w:r>
      <w:r w:rsidRPr="00C544AF">
        <w:rPr>
          <w:rFonts w:ascii="Arial" w:hAnsi="Arial" w:cs="Arial"/>
          <w:color w:val="000000"/>
          <w:spacing w:val="1"/>
          <w:position w:val="-1"/>
          <w:sz w:val="16"/>
          <w:szCs w:val="16"/>
        </w:rPr>
        <w:t>o</w:t>
      </w:r>
      <w:r w:rsidRPr="00C544AF">
        <w:rPr>
          <w:rFonts w:ascii="Arial" w:hAnsi="Arial" w:cs="Arial"/>
          <w:color w:val="000000"/>
          <w:position w:val="-1"/>
          <w:sz w:val="16"/>
          <w:szCs w:val="16"/>
        </w:rPr>
        <w:t>na č.</w:t>
      </w:r>
      <w:r w:rsidRPr="00C544AF">
        <w:rPr>
          <w:rFonts w:ascii="Arial" w:hAnsi="Arial" w:cs="Arial"/>
          <w:color w:val="000000"/>
          <w:spacing w:val="1"/>
          <w:position w:val="-1"/>
          <w:sz w:val="16"/>
          <w:szCs w:val="16"/>
        </w:rPr>
        <w:t xml:space="preserve"> </w:t>
      </w:r>
      <w:r w:rsidRPr="00C544AF">
        <w:rPr>
          <w:rFonts w:ascii="Arial" w:hAnsi="Arial" w:cs="Arial"/>
          <w:color w:val="000000"/>
          <w:position w:val="-1"/>
          <w:sz w:val="16"/>
          <w:szCs w:val="16"/>
        </w:rPr>
        <w:t>563/</w:t>
      </w:r>
      <w:r w:rsidRPr="00C544AF">
        <w:rPr>
          <w:rFonts w:ascii="Arial" w:hAnsi="Arial" w:cs="Arial"/>
          <w:color w:val="000000"/>
          <w:spacing w:val="1"/>
          <w:position w:val="-1"/>
          <w:sz w:val="16"/>
          <w:szCs w:val="16"/>
        </w:rPr>
        <w:t>1</w:t>
      </w:r>
      <w:r w:rsidRPr="00C544AF">
        <w:rPr>
          <w:rFonts w:ascii="Arial" w:hAnsi="Arial" w:cs="Arial"/>
          <w:color w:val="000000"/>
          <w:spacing w:val="-1"/>
          <w:position w:val="-1"/>
          <w:sz w:val="16"/>
          <w:szCs w:val="16"/>
        </w:rPr>
        <w:t>9</w:t>
      </w:r>
      <w:r w:rsidRPr="00C544AF">
        <w:rPr>
          <w:rFonts w:ascii="Arial" w:hAnsi="Arial" w:cs="Arial"/>
          <w:color w:val="000000"/>
          <w:spacing w:val="1"/>
          <w:position w:val="-1"/>
          <w:sz w:val="16"/>
          <w:szCs w:val="16"/>
        </w:rPr>
        <w:t>9</w:t>
      </w:r>
      <w:r w:rsidRPr="00C544AF">
        <w:rPr>
          <w:rFonts w:ascii="Arial" w:hAnsi="Arial" w:cs="Arial"/>
          <w:color w:val="000000"/>
          <w:position w:val="-1"/>
          <w:sz w:val="16"/>
          <w:szCs w:val="16"/>
        </w:rPr>
        <w:t>1 Sb</w:t>
      </w:r>
      <w:r>
        <w:rPr>
          <w:rFonts w:ascii="Arial" w:hAnsi="Arial" w:cs="Arial"/>
          <w:color w:val="000000"/>
          <w:position w:val="-1"/>
          <w:sz w:val="16"/>
          <w:szCs w:val="16"/>
        </w:rPr>
        <w:t>.</w:t>
      </w:r>
      <w:r w:rsidRPr="00C544AF">
        <w:rPr>
          <w:rFonts w:ascii="Arial" w:hAnsi="Arial" w:cs="Arial"/>
          <w:color w:val="000000"/>
          <w:position w:val="-1"/>
          <w:sz w:val="16"/>
          <w:szCs w:val="16"/>
        </w:rPr>
        <w:t>,</w:t>
      </w:r>
      <w:r w:rsidRPr="00C544AF">
        <w:rPr>
          <w:rFonts w:ascii="Arial" w:hAnsi="Arial" w:cs="Arial"/>
          <w:color w:val="000000"/>
          <w:spacing w:val="1"/>
          <w:position w:val="-1"/>
          <w:sz w:val="16"/>
          <w:szCs w:val="16"/>
        </w:rPr>
        <w:t xml:space="preserve"> </w:t>
      </w:r>
      <w:r w:rsidRPr="00C544AF">
        <w:rPr>
          <w:rFonts w:ascii="Arial" w:hAnsi="Arial" w:cs="Arial"/>
          <w:color w:val="000000"/>
          <w:position w:val="-1"/>
          <w:sz w:val="16"/>
          <w:szCs w:val="16"/>
        </w:rPr>
        <w:t>o</w:t>
      </w:r>
      <w:r w:rsidRPr="00C544AF">
        <w:rPr>
          <w:rFonts w:ascii="Arial" w:hAnsi="Arial" w:cs="Arial"/>
          <w:color w:val="000000"/>
          <w:spacing w:val="1"/>
          <w:position w:val="-1"/>
          <w:sz w:val="16"/>
          <w:szCs w:val="16"/>
        </w:rPr>
        <w:t xml:space="preserve"> </w:t>
      </w:r>
      <w:r w:rsidRPr="00C544AF">
        <w:rPr>
          <w:rFonts w:ascii="Arial" w:hAnsi="Arial" w:cs="Arial"/>
          <w:color w:val="000000"/>
          <w:spacing w:val="-2"/>
          <w:position w:val="-1"/>
          <w:sz w:val="16"/>
          <w:szCs w:val="16"/>
        </w:rPr>
        <w:t>ú</w:t>
      </w:r>
      <w:r w:rsidRPr="00C544AF">
        <w:rPr>
          <w:rFonts w:ascii="Arial" w:hAnsi="Arial" w:cs="Arial"/>
          <w:color w:val="000000"/>
          <w:position w:val="-1"/>
          <w:sz w:val="16"/>
          <w:szCs w:val="16"/>
        </w:rPr>
        <w:t>četnictví,</w:t>
      </w:r>
      <w:r>
        <w:rPr>
          <w:rFonts w:ascii="Arial" w:hAnsi="Arial" w:cs="Arial"/>
          <w:color w:val="000000"/>
          <w:spacing w:val="1"/>
          <w:position w:val="-1"/>
          <w:sz w:val="16"/>
          <w:szCs w:val="16"/>
        </w:rPr>
        <w:t xml:space="preserve"> ve </w:t>
      </w:r>
      <w:r w:rsidRPr="00C544AF">
        <w:rPr>
          <w:rFonts w:ascii="Arial" w:hAnsi="Arial" w:cs="Arial"/>
          <w:color w:val="000000"/>
          <w:position w:val="-1"/>
          <w:sz w:val="16"/>
          <w:szCs w:val="16"/>
        </w:rPr>
        <w:t>z</w:t>
      </w:r>
      <w:r w:rsidRPr="00C544AF">
        <w:rPr>
          <w:rFonts w:ascii="Arial" w:hAnsi="Arial" w:cs="Arial"/>
          <w:color w:val="000000"/>
          <w:spacing w:val="-1"/>
          <w:position w:val="-1"/>
          <w:sz w:val="16"/>
          <w:szCs w:val="16"/>
        </w:rPr>
        <w:t>ně</w:t>
      </w:r>
      <w:r w:rsidRPr="00C544AF">
        <w:rPr>
          <w:rFonts w:ascii="Arial" w:hAnsi="Arial" w:cs="Arial"/>
          <w:color w:val="000000"/>
          <w:position w:val="-1"/>
          <w:sz w:val="16"/>
          <w:szCs w:val="16"/>
        </w:rPr>
        <w:t>ní po</w:t>
      </w:r>
      <w:r w:rsidRPr="00C544AF">
        <w:rPr>
          <w:rFonts w:ascii="Arial" w:hAnsi="Arial" w:cs="Arial"/>
          <w:color w:val="000000"/>
          <w:spacing w:val="1"/>
          <w:position w:val="-1"/>
          <w:sz w:val="16"/>
          <w:szCs w:val="16"/>
        </w:rPr>
        <w:t>z</w:t>
      </w:r>
      <w:r w:rsidRPr="00C544AF">
        <w:rPr>
          <w:rFonts w:ascii="Arial" w:hAnsi="Arial" w:cs="Arial"/>
          <w:color w:val="000000"/>
          <w:spacing w:val="-1"/>
          <w:position w:val="-1"/>
          <w:sz w:val="16"/>
          <w:szCs w:val="16"/>
        </w:rPr>
        <w:t>d</w:t>
      </w:r>
      <w:r w:rsidRPr="00C544AF">
        <w:rPr>
          <w:rFonts w:ascii="Arial" w:hAnsi="Arial" w:cs="Arial"/>
          <w:color w:val="000000"/>
          <w:spacing w:val="1"/>
          <w:position w:val="-1"/>
          <w:sz w:val="16"/>
          <w:szCs w:val="16"/>
        </w:rPr>
        <w:t>ě</w:t>
      </w:r>
      <w:r w:rsidRPr="00C544AF">
        <w:rPr>
          <w:rFonts w:ascii="Arial" w:hAnsi="Arial" w:cs="Arial"/>
          <w:color w:val="000000"/>
          <w:position w:val="-1"/>
          <w:sz w:val="16"/>
          <w:szCs w:val="16"/>
        </w:rPr>
        <w:t>jších pře</w:t>
      </w:r>
      <w:r w:rsidRPr="00C544AF">
        <w:rPr>
          <w:rFonts w:ascii="Arial" w:hAnsi="Arial" w:cs="Arial"/>
          <w:color w:val="000000"/>
          <w:spacing w:val="1"/>
          <w:position w:val="-1"/>
          <w:sz w:val="16"/>
          <w:szCs w:val="16"/>
        </w:rPr>
        <w:t>d</w:t>
      </w:r>
      <w:r w:rsidRPr="00C544AF">
        <w:rPr>
          <w:rFonts w:ascii="Arial" w:hAnsi="Arial" w:cs="Arial"/>
          <w:color w:val="000000"/>
          <w:position w:val="-1"/>
          <w:sz w:val="16"/>
          <w:szCs w:val="16"/>
        </w:rPr>
        <w:t>pis</w:t>
      </w:r>
      <w:r w:rsidRPr="00C544AF">
        <w:rPr>
          <w:rFonts w:ascii="Arial" w:hAnsi="Arial" w:cs="Arial"/>
          <w:color w:val="000000"/>
          <w:spacing w:val="-1"/>
          <w:position w:val="-1"/>
          <w:sz w:val="16"/>
          <w:szCs w:val="16"/>
        </w:rPr>
        <w:t>ů</w:t>
      </w:r>
    </w:p>
  </w:footnote>
  <w:footnote w:id="2">
    <w:p w:rsidR="009C0293" w:rsidRPr="005323E7" w:rsidRDefault="009C0293" w:rsidP="00736F5C">
      <w:pPr>
        <w:pStyle w:val="Textpoznpodarou"/>
        <w:spacing w:before="60"/>
        <w:jc w:val="both"/>
        <w:rPr>
          <w:rFonts w:ascii="Arial" w:hAnsi="Arial" w:cs="Arial"/>
          <w:sz w:val="16"/>
          <w:szCs w:val="16"/>
        </w:rPr>
      </w:pPr>
      <w:r w:rsidRPr="005323E7">
        <w:rPr>
          <w:rStyle w:val="Znakapoznpodarou"/>
          <w:rFonts w:cs="Arial"/>
          <w:color w:val="000000"/>
          <w:spacing w:val="10"/>
          <w:sz w:val="16"/>
          <w:szCs w:val="16"/>
        </w:rPr>
        <w:footnoteRef/>
      </w:r>
      <w:r w:rsidRPr="005323E7">
        <w:rPr>
          <w:rFonts w:ascii="Arial" w:hAnsi="Arial" w:cs="Arial"/>
          <w:spacing w:val="10"/>
          <w:sz w:val="16"/>
          <w:szCs w:val="16"/>
        </w:rPr>
        <w:t xml:space="preserve">) </w:t>
      </w:r>
      <w:hyperlink r:id="rId1" w:history="1">
        <w:r w:rsidRPr="005323E7">
          <w:rPr>
            <w:rStyle w:val="Hypertextovodkaz"/>
            <w:rFonts w:ascii="Arial" w:hAnsi="Arial" w:cs="Arial"/>
            <w:position w:val="-1"/>
            <w:sz w:val="16"/>
            <w:szCs w:val="16"/>
          </w:rPr>
          <w:t>Model LRIC</w:t>
        </w:r>
        <w:r>
          <w:rPr>
            <w:rStyle w:val="Hypertextovodkaz"/>
            <w:rFonts w:ascii="Arial" w:hAnsi="Arial" w:cs="Arial"/>
            <w:spacing w:val="-1"/>
            <w:sz w:val="16"/>
            <w:szCs w:val="16"/>
          </w:rPr>
          <w:t xml:space="preserve"> pro </w:t>
        </w:r>
        <w:r w:rsidRPr="005323E7">
          <w:rPr>
            <w:rStyle w:val="Hypertextovodkaz"/>
            <w:rFonts w:ascii="Arial" w:hAnsi="Arial" w:cs="Arial"/>
            <w:position w:val="-1"/>
            <w:sz w:val="16"/>
            <w:szCs w:val="16"/>
          </w:rPr>
          <w:t>službu ukončení volání (terminace)</w:t>
        </w:r>
        <w:r>
          <w:rPr>
            <w:rStyle w:val="Hypertextovodkaz"/>
            <w:rFonts w:ascii="Arial" w:hAnsi="Arial" w:cs="Arial"/>
            <w:position w:val="-1"/>
            <w:sz w:val="16"/>
            <w:szCs w:val="16"/>
          </w:rPr>
          <w:t xml:space="preserve"> ve </w:t>
        </w:r>
        <w:r w:rsidRPr="005323E7">
          <w:rPr>
            <w:rStyle w:val="Hypertextovodkaz"/>
            <w:rFonts w:ascii="Arial" w:hAnsi="Arial" w:cs="Arial"/>
            <w:position w:val="-1"/>
            <w:sz w:val="16"/>
            <w:szCs w:val="16"/>
          </w:rPr>
          <w:t>veřejné telefonní síti</w:t>
        </w:r>
        <w:r>
          <w:rPr>
            <w:rStyle w:val="Hypertextovodkaz"/>
            <w:rFonts w:ascii="Arial" w:hAnsi="Arial" w:cs="Arial"/>
            <w:position w:val="-1"/>
            <w:sz w:val="16"/>
            <w:szCs w:val="16"/>
          </w:rPr>
          <w:t xml:space="preserve"> v </w:t>
        </w:r>
        <w:r w:rsidRPr="005323E7">
          <w:rPr>
            <w:rStyle w:val="Hypertextovodkaz"/>
            <w:rFonts w:ascii="Arial" w:hAnsi="Arial" w:cs="Arial"/>
            <w:position w:val="-1"/>
            <w:sz w:val="16"/>
            <w:szCs w:val="16"/>
          </w:rPr>
          <w:t>pevném místě</w:t>
        </w:r>
      </w:hyperlink>
      <w:r w:rsidRPr="005323E7">
        <w:rPr>
          <w:rFonts w:ascii="Arial" w:hAnsi="Arial" w:cs="Arial"/>
          <w:color w:val="000000"/>
          <w:position w:val="-1"/>
          <w:sz w:val="16"/>
          <w:szCs w:val="16"/>
        </w:rPr>
        <w:t xml:space="preserve">, zveřejněn </w:t>
      </w:r>
      <w:r w:rsidRPr="005323E7">
        <w:rPr>
          <w:rFonts w:ascii="Arial" w:hAnsi="Arial" w:cs="Arial"/>
          <w:color w:val="000000"/>
          <w:position w:val="-1"/>
          <w:sz w:val="16"/>
          <w:szCs w:val="16"/>
        </w:rPr>
        <w:br/>
        <w:t>v elektronické podobě</w:t>
      </w:r>
      <w:r>
        <w:rPr>
          <w:rFonts w:ascii="Arial" w:hAnsi="Arial" w:cs="Arial"/>
          <w:color w:val="000000"/>
          <w:position w:val="-1"/>
          <w:sz w:val="16"/>
          <w:szCs w:val="16"/>
        </w:rPr>
        <w:t xml:space="preserve"> na </w:t>
      </w:r>
      <w:r w:rsidRPr="005323E7">
        <w:rPr>
          <w:rFonts w:ascii="Arial" w:hAnsi="Arial" w:cs="Arial"/>
          <w:color w:val="000000"/>
          <w:position w:val="-1"/>
          <w:sz w:val="16"/>
          <w:szCs w:val="16"/>
        </w:rPr>
        <w:t xml:space="preserve">elektronické úřední desce Úřadu včetně </w:t>
      </w:r>
      <w:hyperlink r:id="rId2" w:history="1">
        <w:r w:rsidRPr="005323E7">
          <w:rPr>
            <w:rStyle w:val="Hypertextovodkaz"/>
            <w:rFonts w:ascii="Arial" w:hAnsi="Arial" w:cs="Arial"/>
            <w:position w:val="-1"/>
            <w:sz w:val="16"/>
            <w:szCs w:val="16"/>
          </w:rPr>
          <w:t>příručky</w:t>
        </w:r>
        <w:r>
          <w:rPr>
            <w:rStyle w:val="Hypertextovodkaz"/>
            <w:rFonts w:ascii="Arial" w:hAnsi="Arial" w:cs="Arial"/>
            <w:position w:val="-1"/>
            <w:sz w:val="16"/>
            <w:szCs w:val="16"/>
          </w:rPr>
          <w:t xml:space="preserve"> pro </w:t>
        </w:r>
        <w:r w:rsidRPr="005323E7">
          <w:rPr>
            <w:rStyle w:val="Hypertextovodkaz"/>
            <w:rFonts w:ascii="Arial" w:hAnsi="Arial" w:cs="Arial"/>
            <w:position w:val="-1"/>
            <w:sz w:val="16"/>
            <w:szCs w:val="16"/>
          </w:rPr>
          <w:t>uživatele</w:t>
        </w:r>
      </w:hyperlink>
      <w:r w:rsidRPr="004A5926">
        <w:rPr>
          <w:rFonts w:ascii="Arial" w:hAnsi="Arial" w:cs="Arial"/>
          <w:position w:val="-1"/>
          <w:sz w:val="16"/>
          <w:szCs w:val="16"/>
        </w:rPr>
        <w:t>.</w:t>
      </w:r>
    </w:p>
  </w:footnote>
  <w:footnote w:id="3">
    <w:p w:rsidR="009C0293" w:rsidRPr="005323E7" w:rsidRDefault="009C0293" w:rsidP="00736F5C">
      <w:pPr>
        <w:pStyle w:val="Textpoznpodarou"/>
        <w:spacing w:before="60"/>
        <w:jc w:val="both"/>
        <w:rPr>
          <w:rFonts w:ascii="Arial" w:hAnsi="Arial" w:cs="Arial"/>
          <w:sz w:val="16"/>
          <w:szCs w:val="16"/>
        </w:rPr>
      </w:pPr>
      <w:r w:rsidRPr="005323E7">
        <w:rPr>
          <w:rStyle w:val="Znakapoznpodarou"/>
          <w:rFonts w:cs="Arial"/>
          <w:color w:val="000000"/>
          <w:spacing w:val="10"/>
          <w:sz w:val="16"/>
          <w:szCs w:val="16"/>
        </w:rPr>
        <w:footnoteRef/>
      </w:r>
      <w:r w:rsidRPr="005323E7">
        <w:rPr>
          <w:rFonts w:ascii="Arial" w:hAnsi="Arial" w:cs="Arial"/>
          <w:color w:val="000000"/>
          <w:position w:val="-1"/>
          <w:sz w:val="16"/>
          <w:szCs w:val="16"/>
        </w:rPr>
        <w:t xml:space="preserve">) </w:t>
      </w:r>
      <w:hyperlink r:id="rId3" w:history="1">
        <w:r w:rsidRPr="005323E7">
          <w:rPr>
            <w:rStyle w:val="Hypertextovodkaz"/>
            <w:rFonts w:ascii="Arial" w:hAnsi="Arial" w:cs="Arial"/>
            <w:position w:val="-1"/>
            <w:sz w:val="16"/>
            <w:szCs w:val="16"/>
          </w:rPr>
          <w:t>Model LRIC</w:t>
        </w:r>
        <w:r>
          <w:rPr>
            <w:rStyle w:val="Hypertextovodkaz"/>
            <w:rFonts w:ascii="Arial" w:hAnsi="Arial" w:cs="Arial"/>
            <w:position w:val="-1"/>
            <w:sz w:val="16"/>
            <w:szCs w:val="16"/>
          </w:rPr>
          <w:t xml:space="preserve"> pro </w:t>
        </w:r>
        <w:r w:rsidRPr="005323E7">
          <w:rPr>
            <w:rStyle w:val="Hypertextovodkaz"/>
            <w:rFonts w:ascii="Arial" w:hAnsi="Arial" w:cs="Arial"/>
            <w:position w:val="-1"/>
            <w:sz w:val="16"/>
            <w:szCs w:val="16"/>
          </w:rPr>
          <w:t>službu ukončení volání (terminace)</w:t>
        </w:r>
        <w:r>
          <w:rPr>
            <w:rStyle w:val="Hypertextovodkaz"/>
            <w:rFonts w:ascii="Arial" w:hAnsi="Arial" w:cs="Arial"/>
            <w:position w:val="-1"/>
            <w:sz w:val="16"/>
            <w:szCs w:val="16"/>
          </w:rPr>
          <w:t xml:space="preserve"> ve </w:t>
        </w:r>
        <w:r w:rsidRPr="005323E7">
          <w:rPr>
            <w:rStyle w:val="Hypertextovodkaz"/>
            <w:rFonts w:ascii="Arial" w:hAnsi="Arial" w:cs="Arial"/>
            <w:position w:val="-1"/>
            <w:sz w:val="16"/>
            <w:szCs w:val="16"/>
          </w:rPr>
          <w:t>veřejné mobilní síti</w:t>
        </w:r>
      </w:hyperlink>
      <w:r w:rsidRPr="005323E7">
        <w:rPr>
          <w:rFonts w:ascii="Arial" w:hAnsi="Arial" w:cs="Arial"/>
          <w:color w:val="000000"/>
          <w:sz w:val="16"/>
          <w:szCs w:val="16"/>
        </w:rPr>
        <w:t xml:space="preserve"> </w:t>
      </w:r>
      <w:r w:rsidRPr="005323E7">
        <w:rPr>
          <w:rFonts w:ascii="Arial" w:hAnsi="Arial" w:cs="Arial"/>
          <w:color w:val="000000"/>
          <w:position w:val="-1"/>
          <w:sz w:val="16"/>
          <w:szCs w:val="16"/>
        </w:rPr>
        <w:t>zveřejněn</w:t>
      </w:r>
      <w:r>
        <w:rPr>
          <w:rFonts w:ascii="Arial" w:hAnsi="Arial" w:cs="Arial"/>
          <w:color w:val="000000"/>
          <w:position w:val="-1"/>
          <w:sz w:val="16"/>
          <w:szCs w:val="16"/>
        </w:rPr>
        <w:t xml:space="preserve"> v </w:t>
      </w:r>
      <w:r w:rsidRPr="005323E7">
        <w:rPr>
          <w:rFonts w:ascii="Arial" w:hAnsi="Arial" w:cs="Arial"/>
          <w:color w:val="000000"/>
          <w:position w:val="-1"/>
          <w:sz w:val="16"/>
          <w:szCs w:val="16"/>
        </w:rPr>
        <w:t>elektronické podobě</w:t>
      </w:r>
      <w:r>
        <w:rPr>
          <w:rFonts w:ascii="Arial" w:hAnsi="Arial" w:cs="Arial"/>
          <w:color w:val="000000"/>
          <w:position w:val="-1"/>
          <w:sz w:val="16"/>
          <w:szCs w:val="16"/>
        </w:rPr>
        <w:t xml:space="preserve"> na </w:t>
      </w:r>
      <w:r w:rsidRPr="005323E7">
        <w:rPr>
          <w:rFonts w:ascii="Arial" w:hAnsi="Arial" w:cs="Arial"/>
          <w:color w:val="000000"/>
          <w:position w:val="-1"/>
          <w:sz w:val="16"/>
          <w:szCs w:val="16"/>
        </w:rPr>
        <w:t xml:space="preserve">elektronické úřední desce Úřadu včetně </w:t>
      </w:r>
      <w:hyperlink r:id="rId4" w:history="1">
        <w:r w:rsidRPr="005323E7">
          <w:rPr>
            <w:rStyle w:val="Hypertextovodkaz"/>
            <w:rFonts w:ascii="Arial" w:hAnsi="Arial" w:cs="Arial"/>
            <w:position w:val="-1"/>
            <w:sz w:val="16"/>
            <w:szCs w:val="16"/>
          </w:rPr>
          <w:t>uživatelského manuálu</w:t>
        </w:r>
      </w:hyperlink>
      <w:r w:rsidRPr="004A5926">
        <w:rPr>
          <w:rFonts w:ascii="Arial" w:hAnsi="Arial" w:cs="Arial"/>
          <w:position w:val="-1"/>
          <w:sz w:val="16"/>
          <w:szCs w:val="16"/>
        </w:rPr>
        <w:t>.</w:t>
      </w:r>
    </w:p>
  </w:footnote>
  <w:footnote w:id="4">
    <w:p w:rsidR="009C0293" w:rsidRPr="0059251B" w:rsidRDefault="009C0293" w:rsidP="00736F5C">
      <w:pPr>
        <w:pStyle w:val="Textpoznpodarou"/>
        <w:spacing w:before="60"/>
        <w:jc w:val="both"/>
      </w:pPr>
      <w:r w:rsidRPr="00683588">
        <w:rPr>
          <w:rStyle w:val="Znakapoznpodarou"/>
          <w:rFonts w:cs="Arial"/>
          <w:sz w:val="16"/>
          <w:szCs w:val="16"/>
        </w:rPr>
        <w:footnoteRef/>
      </w:r>
      <w:r w:rsidRPr="005323E7">
        <w:rPr>
          <w:rFonts w:ascii="Arial" w:hAnsi="Arial" w:cs="Arial"/>
          <w:color w:val="000000"/>
          <w:position w:val="-1"/>
          <w:sz w:val="16"/>
          <w:szCs w:val="16"/>
        </w:rPr>
        <w:t>)</w:t>
      </w:r>
      <w:r>
        <w:rPr>
          <w:rFonts w:ascii="Arial" w:hAnsi="Arial" w:cs="Arial"/>
          <w:color w:val="000000"/>
          <w:position w:val="-1"/>
          <w:sz w:val="16"/>
          <w:szCs w:val="16"/>
        </w:rPr>
        <w:t xml:space="preserve"> </w:t>
      </w:r>
      <w:hyperlink r:id="rId5" w:tooltip="vosp_02-2013.zip (4 MB)" w:history="1">
        <w:r w:rsidRPr="0059251B">
          <w:rPr>
            <w:rStyle w:val="Hypertextovodkaz"/>
            <w:rFonts w:ascii="Arial" w:hAnsi="Arial" w:cs="Arial"/>
            <w:sz w:val="16"/>
            <w:szCs w:val="16"/>
          </w:rPr>
          <w:t>Nákladový model velkoobchodního (fyzického) přístupu k infrastruktuře sítě (včetně sdíleného nebo plného zpřístupnění účastnického vedení)</w:t>
        </w:r>
        <w:r>
          <w:rPr>
            <w:rStyle w:val="Hypertextovodkaz"/>
            <w:rFonts w:ascii="Arial" w:hAnsi="Arial" w:cs="Arial"/>
            <w:sz w:val="16"/>
            <w:szCs w:val="16"/>
          </w:rPr>
          <w:t xml:space="preserve"> v </w:t>
        </w:r>
        <w:r w:rsidRPr="0059251B">
          <w:rPr>
            <w:rStyle w:val="Hypertextovodkaz"/>
            <w:rFonts w:ascii="Arial" w:hAnsi="Arial" w:cs="Arial"/>
            <w:sz w:val="16"/>
            <w:szCs w:val="16"/>
          </w:rPr>
          <w:t>pevném místě, velkoobchodního širokopásmového přístupu</w:t>
        </w:r>
        <w:r>
          <w:rPr>
            <w:rStyle w:val="Hypertextovodkaz"/>
            <w:rFonts w:ascii="Arial" w:hAnsi="Arial" w:cs="Arial"/>
            <w:sz w:val="16"/>
            <w:szCs w:val="16"/>
          </w:rPr>
          <w:t xml:space="preserve"> v </w:t>
        </w:r>
        <w:r w:rsidRPr="0059251B">
          <w:rPr>
            <w:rStyle w:val="Hypertextovodkaz"/>
            <w:rFonts w:ascii="Arial" w:hAnsi="Arial" w:cs="Arial"/>
            <w:sz w:val="16"/>
            <w:szCs w:val="16"/>
          </w:rPr>
          <w:t>sítích elektronických komunikací a souvisejícího maloobchodního trhu</w:t>
        </w:r>
      </w:hyperlink>
      <w:r w:rsidRPr="0059251B">
        <w:rPr>
          <w:rFonts w:ascii="Arial" w:hAnsi="Arial" w:cs="Arial"/>
          <w:sz w:val="16"/>
          <w:szCs w:val="16"/>
        </w:rPr>
        <w:t xml:space="preserve"> zveřejněn</w:t>
      </w:r>
      <w:r>
        <w:rPr>
          <w:rFonts w:ascii="Arial" w:hAnsi="Arial" w:cs="Arial"/>
          <w:sz w:val="16"/>
          <w:szCs w:val="16"/>
        </w:rPr>
        <w:t xml:space="preserve"> v </w:t>
      </w:r>
      <w:r w:rsidRPr="0059251B">
        <w:rPr>
          <w:rFonts w:ascii="Arial" w:hAnsi="Arial" w:cs="Arial"/>
          <w:sz w:val="16"/>
          <w:szCs w:val="16"/>
        </w:rPr>
        <w:t>elektronické podobě</w:t>
      </w:r>
      <w:r>
        <w:rPr>
          <w:rFonts w:ascii="Arial" w:hAnsi="Arial" w:cs="Arial"/>
          <w:sz w:val="16"/>
          <w:szCs w:val="16"/>
        </w:rPr>
        <w:t xml:space="preserve"> na </w:t>
      </w:r>
      <w:r w:rsidRPr="0059251B">
        <w:rPr>
          <w:rFonts w:ascii="Arial" w:hAnsi="Arial" w:cs="Arial"/>
          <w:sz w:val="16"/>
          <w:szCs w:val="16"/>
        </w:rPr>
        <w:t>úřední desce Úřadu.</w:t>
      </w:r>
    </w:p>
  </w:footnote>
  <w:footnote w:id="5">
    <w:p w:rsidR="009C0293" w:rsidRDefault="009C0293" w:rsidP="00736F5C">
      <w:pPr>
        <w:autoSpaceDE w:val="0"/>
        <w:autoSpaceDN w:val="0"/>
        <w:adjustRightInd w:val="0"/>
        <w:spacing w:before="60"/>
        <w:jc w:val="both"/>
      </w:pPr>
      <w:r w:rsidRPr="0059251B">
        <w:rPr>
          <w:rStyle w:val="Znakapoznpodarou"/>
          <w:rFonts w:cs="Arial"/>
          <w:sz w:val="16"/>
          <w:szCs w:val="16"/>
        </w:rPr>
        <w:footnoteRef/>
      </w:r>
      <w:r w:rsidRPr="0059251B">
        <w:rPr>
          <w:rFonts w:ascii="Arial" w:hAnsi="Arial" w:cs="Arial"/>
          <w:color w:val="000000"/>
          <w:position w:val="-1"/>
          <w:sz w:val="16"/>
          <w:szCs w:val="16"/>
        </w:rPr>
        <w:t>)</w:t>
      </w:r>
      <w:r w:rsidRPr="0059251B">
        <w:t xml:space="preserve"> </w:t>
      </w:r>
      <w:hyperlink r:id="rId6" w:history="1">
        <w:r w:rsidRPr="0059251B">
          <w:rPr>
            <w:rStyle w:val="Hypertextovodkaz"/>
            <w:rFonts w:ascii="Arial" w:hAnsi="Arial" w:cs="Arial"/>
            <w:sz w:val="16"/>
            <w:szCs w:val="16"/>
          </w:rPr>
          <w:t>Model LRIC</w:t>
        </w:r>
        <w:r>
          <w:rPr>
            <w:rStyle w:val="Hypertextovodkaz"/>
            <w:rFonts w:ascii="Arial" w:hAnsi="Arial" w:cs="Arial"/>
            <w:sz w:val="16"/>
            <w:szCs w:val="16"/>
          </w:rPr>
          <w:t xml:space="preserve"> pro </w:t>
        </w:r>
        <w:r w:rsidRPr="0059251B">
          <w:rPr>
            <w:rStyle w:val="Hypertextovodkaz"/>
            <w:rFonts w:ascii="Arial" w:hAnsi="Arial" w:cs="Arial"/>
            <w:sz w:val="16"/>
            <w:szCs w:val="16"/>
          </w:rPr>
          <w:t>služby zpřístupnění prostředků a služeb nezbytných k poskytování služeb prostřednictvím</w:t>
        </w:r>
      </w:hyperlink>
      <w:r>
        <w:rPr>
          <w:rFonts w:ascii="Arial" w:hAnsi="Arial" w:cs="Arial"/>
          <w:color w:val="0000FF"/>
          <w:sz w:val="16"/>
          <w:szCs w:val="16"/>
        </w:rPr>
        <w:t xml:space="preserve"> </w:t>
      </w:r>
      <w:hyperlink r:id="rId7" w:history="1">
        <w:r w:rsidRPr="0059251B">
          <w:rPr>
            <w:rStyle w:val="Hypertextovodkaz"/>
            <w:rFonts w:ascii="Arial" w:hAnsi="Arial" w:cs="Arial"/>
            <w:sz w:val="16"/>
            <w:szCs w:val="16"/>
          </w:rPr>
          <w:t>účastnického vedení (kolokace)</w:t>
        </w:r>
      </w:hyperlink>
      <w:r w:rsidRPr="0059251B">
        <w:rPr>
          <w:rFonts w:ascii="Arial" w:hAnsi="Arial" w:cs="Arial"/>
          <w:sz w:val="16"/>
          <w:szCs w:val="16"/>
        </w:rPr>
        <w:t xml:space="preserve"> </w:t>
      </w:r>
      <w:r w:rsidRPr="0059251B">
        <w:rPr>
          <w:rFonts w:ascii="Arial" w:hAnsi="Arial" w:cs="Arial"/>
          <w:color w:val="000000"/>
          <w:sz w:val="16"/>
          <w:szCs w:val="16"/>
        </w:rPr>
        <w:t>zveřejněn</w:t>
      </w:r>
      <w:r>
        <w:rPr>
          <w:rFonts w:ascii="Arial" w:hAnsi="Arial" w:cs="Arial"/>
          <w:color w:val="000000"/>
          <w:sz w:val="16"/>
          <w:szCs w:val="16"/>
        </w:rPr>
        <w:t xml:space="preserve"> v </w:t>
      </w:r>
      <w:r w:rsidRPr="0059251B">
        <w:rPr>
          <w:rFonts w:ascii="Arial" w:hAnsi="Arial" w:cs="Arial"/>
          <w:color w:val="000000"/>
          <w:sz w:val="16"/>
          <w:szCs w:val="16"/>
        </w:rPr>
        <w:t>elektronické podobě</w:t>
      </w:r>
      <w:r>
        <w:rPr>
          <w:rFonts w:ascii="Arial" w:hAnsi="Arial" w:cs="Arial"/>
          <w:color w:val="000000"/>
          <w:sz w:val="16"/>
          <w:szCs w:val="16"/>
        </w:rPr>
        <w:t xml:space="preserve"> na </w:t>
      </w:r>
      <w:r w:rsidRPr="0059251B">
        <w:rPr>
          <w:rFonts w:ascii="Arial" w:hAnsi="Arial" w:cs="Arial"/>
          <w:color w:val="000000"/>
          <w:sz w:val="16"/>
          <w:szCs w:val="16"/>
        </w:rPr>
        <w:t>elektronické úřední desce Úřadu.</w:t>
      </w:r>
    </w:p>
  </w:footnote>
  <w:footnote w:id="6">
    <w:p w:rsidR="009C0293" w:rsidRDefault="009C0293" w:rsidP="00736F5C">
      <w:pPr>
        <w:pStyle w:val="Textpoznpodarou"/>
        <w:spacing w:before="60"/>
      </w:pPr>
      <w:r w:rsidRPr="00193CEA">
        <w:rPr>
          <w:rStyle w:val="Znakapoznpodarou"/>
          <w:rFonts w:eastAsia="Arial Unicode MS" w:cs="Arial"/>
          <w:sz w:val="16"/>
          <w:szCs w:val="16"/>
        </w:rPr>
        <w:footnoteRef/>
      </w:r>
      <w:r>
        <w:t xml:space="preserve">) </w:t>
      </w:r>
      <w:hyperlink r:id="rId8" w:tooltip="model_lric_originace_pevna_sit_12_07_2013.zip (3 MB)" w:history="1">
        <w:r w:rsidRPr="007F0B27">
          <w:rPr>
            <w:rStyle w:val="Hypertextovodkaz"/>
            <w:rFonts w:ascii="Arial" w:hAnsi="Arial" w:cs="Arial"/>
            <w:sz w:val="16"/>
            <w:szCs w:val="16"/>
          </w:rPr>
          <w:t>Nákladový model LRIC</w:t>
        </w:r>
        <w:r>
          <w:rPr>
            <w:rStyle w:val="Hypertextovodkaz"/>
            <w:rFonts w:ascii="Arial" w:hAnsi="Arial" w:cs="Arial"/>
            <w:sz w:val="16"/>
            <w:szCs w:val="16"/>
          </w:rPr>
          <w:t xml:space="preserve"> pro </w:t>
        </w:r>
        <w:r w:rsidRPr="007F0B27">
          <w:rPr>
            <w:rStyle w:val="Hypertextovodkaz"/>
            <w:rFonts w:ascii="Arial" w:hAnsi="Arial" w:cs="Arial"/>
            <w:sz w:val="16"/>
            <w:szCs w:val="16"/>
          </w:rPr>
          <w:t>službu původ volání (</w:t>
        </w:r>
        <w:proofErr w:type="spellStart"/>
        <w:r w:rsidRPr="007F0B27">
          <w:rPr>
            <w:rStyle w:val="Hypertextovodkaz"/>
            <w:rFonts w:ascii="Arial" w:hAnsi="Arial" w:cs="Arial"/>
            <w:sz w:val="16"/>
            <w:szCs w:val="16"/>
          </w:rPr>
          <w:t>originace</w:t>
        </w:r>
        <w:proofErr w:type="spellEnd"/>
        <w:r w:rsidRPr="007F0B27">
          <w:rPr>
            <w:rStyle w:val="Hypertextovodkaz"/>
            <w:rFonts w:ascii="Arial" w:hAnsi="Arial" w:cs="Arial"/>
            <w:sz w:val="16"/>
            <w:szCs w:val="16"/>
          </w:rPr>
          <w:t>)</w:t>
        </w:r>
        <w:r>
          <w:rPr>
            <w:rStyle w:val="Hypertextovodkaz"/>
            <w:rFonts w:ascii="Arial" w:hAnsi="Arial" w:cs="Arial"/>
            <w:sz w:val="16"/>
            <w:szCs w:val="16"/>
          </w:rPr>
          <w:t xml:space="preserve"> ve </w:t>
        </w:r>
        <w:r w:rsidRPr="007F0B27">
          <w:rPr>
            <w:rStyle w:val="Hypertextovodkaz"/>
            <w:rFonts w:ascii="Arial" w:hAnsi="Arial" w:cs="Arial"/>
            <w:sz w:val="16"/>
            <w:szCs w:val="16"/>
          </w:rPr>
          <w:t>veřejné telefonní síti</w:t>
        </w:r>
        <w:r>
          <w:rPr>
            <w:rStyle w:val="Hypertextovodkaz"/>
            <w:rFonts w:ascii="Arial" w:hAnsi="Arial" w:cs="Arial"/>
            <w:sz w:val="16"/>
            <w:szCs w:val="16"/>
          </w:rPr>
          <w:t xml:space="preserve"> v </w:t>
        </w:r>
        <w:r w:rsidRPr="007F0B27">
          <w:rPr>
            <w:rStyle w:val="Hypertextovodkaz"/>
            <w:rFonts w:ascii="Arial" w:hAnsi="Arial" w:cs="Arial"/>
            <w:sz w:val="16"/>
            <w:szCs w:val="16"/>
          </w:rPr>
          <w:t xml:space="preserve">pevném místě </w:t>
        </w:r>
        <w:r w:rsidRPr="007F0B27">
          <w:rPr>
            <w:rFonts w:ascii="Arial" w:hAnsi="Arial" w:cs="Arial"/>
            <w:sz w:val="16"/>
            <w:szCs w:val="16"/>
          </w:rPr>
          <w:t>zveřejněn</w:t>
        </w:r>
        <w:r>
          <w:rPr>
            <w:rFonts w:ascii="Arial" w:hAnsi="Arial" w:cs="Arial"/>
            <w:sz w:val="16"/>
            <w:szCs w:val="16"/>
          </w:rPr>
          <w:t xml:space="preserve"> v </w:t>
        </w:r>
        <w:r w:rsidRPr="007F0B27">
          <w:rPr>
            <w:rFonts w:ascii="Arial" w:hAnsi="Arial" w:cs="Arial"/>
            <w:sz w:val="16"/>
            <w:szCs w:val="16"/>
          </w:rPr>
          <w:t>elektronické podobě</w:t>
        </w:r>
        <w:r>
          <w:rPr>
            <w:rFonts w:ascii="Arial" w:hAnsi="Arial" w:cs="Arial"/>
            <w:sz w:val="16"/>
            <w:szCs w:val="16"/>
          </w:rPr>
          <w:t xml:space="preserve"> na </w:t>
        </w:r>
        <w:r w:rsidRPr="007F0B27">
          <w:rPr>
            <w:rFonts w:ascii="Arial" w:hAnsi="Arial" w:cs="Arial"/>
            <w:sz w:val="16"/>
            <w:szCs w:val="16"/>
          </w:rPr>
          <w:t>úřední desce Úřadu</w:t>
        </w:r>
      </w:hyperlink>
      <w:r>
        <w:rPr>
          <w:rFonts w:ascii="Arial" w:hAnsi="Arial" w:cs="Arial"/>
          <w:sz w:val="16"/>
          <w:szCs w:val="16"/>
        </w:rPr>
        <w:t>.</w:t>
      </w:r>
    </w:p>
  </w:footnote>
  <w:footnote w:id="7">
    <w:p w:rsidR="009C0293" w:rsidRPr="00B34F62" w:rsidRDefault="009C0293" w:rsidP="00242A0C">
      <w:pPr>
        <w:pStyle w:val="Textpoznpodarou"/>
        <w:rPr>
          <w:rFonts w:ascii="Arial" w:hAnsi="Arial" w:cs="Arial"/>
          <w:sz w:val="16"/>
          <w:szCs w:val="16"/>
        </w:rPr>
      </w:pPr>
      <w:r w:rsidRPr="00B34F62">
        <w:rPr>
          <w:rStyle w:val="Znakapoznpodarou"/>
          <w:rFonts w:ascii="Arial" w:hAnsi="Arial" w:cs="Arial"/>
          <w:sz w:val="16"/>
          <w:szCs w:val="16"/>
        </w:rPr>
        <w:footnoteRef/>
      </w:r>
      <w:r w:rsidRPr="00B34F62">
        <w:rPr>
          <w:rFonts w:ascii="Arial" w:hAnsi="Arial" w:cs="Arial"/>
          <w:sz w:val="16"/>
          <w:szCs w:val="16"/>
        </w:rPr>
        <w:t xml:space="preserve"> ) § 18 zákona č. 563/1991 Sb., o účetnictví, ve znění pozdějších předpisů</w:t>
      </w:r>
    </w:p>
  </w:footnote>
  <w:footnote w:id="8">
    <w:p w:rsidR="009C0293" w:rsidRPr="000B0F78" w:rsidRDefault="009C0293">
      <w:pPr>
        <w:pStyle w:val="Textpoznpodarou"/>
        <w:rPr>
          <w:rFonts w:ascii="Arial" w:hAnsi="Arial" w:cs="Arial"/>
          <w:sz w:val="16"/>
          <w:szCs w:val="16"/>
        </w:rPr>
      </w:pPr>
      <w:r w:rsidRPr="000B0F78">
        <w:rPr>
          <w:rStyle w:val="Znakapoznpodarou"/>
          <w:rFonts w:ascii="Arial" w:hAnsi="Arial" w:cs="Arial"/>
          <w:sz w:val="16"/>
          <w:szCs w:val="16"/>
        </w:rPr>
        <w:footnoteRef/>
      </w:r>
      <w:r w:rsidRPr="000B0F78">
        <w:rPr>
          <w:rFonts w:ascii="Arial" w:hAnsi="Arial" w:cs="Arial"/>
          <w:sz w:val="16"/>
          <w:szCs w:val="16"/>
        </w:rPr>
        <w:t xml:space="preserve"> </w:t>
      </w:r>
      <w:hyperlink r:id="rId9" w:history="1">
        <w:proofErr w:type="spellStart"/>
        <w:r w:rsidRPr="000B0F78">
          <w:rPr>
            <w:rStyle w:val="Hypertextovodkaz"/>
            <w:rFonts w:ascii="Arial" w:hAnsi="Arial" w:cs="Arial"/>
            <w:sz w:val="16"/>
            <w:szCs w:val="16"/>
          </w:rPr>
          <w:t>Willimson</w:t>
        </w:r>
        <w:proofErr w:type="spellEnd"/>
        <w:r w:rsidRPr="000B0F78">
          <w:rPr>
            <w:rStyle w:val="Hypertextovodkaz"/>
            <w:rFonts w:ascii="Arial" w:hAnsi="Arial" w:cs="Arial"/>
            <w:sz w:val="16"/>
            <w:szCs w:val="16"/>
          </w:rPr>
          <w:t xml:space="preserve">, </w:t>
        </w:r>
        <w:proofErr w:type="spellStart"/>
        <w:r w:rsidRPr="000B0F78">
          <w:rPr>
            <w:rStyle w:val="Hypertextovodkaz"/>
            <w:rFonts w:ascii="Arial" w:hAnsi="Arial" w:cs="Arial"/>
            <w:sz w:val="16"/>
            <w:szCs w:val="16"/>
          </w:rPr>
          <w:t>B.Black</w:t>
        </w:r>
        <w:proofErr w:type="spellEnd"/>
        <w:r w:rsidRPr="000B0F78">
          <w:rPr>
            <w:rStyle w:val="Hypertextovodkaz"/>
            <w:rFonts w:ascii="Arial" w:hAnsi="Arial" w:cs="Arial"/>
            <w:sz w:val="16"/>
            <w:szCs w:val="16"/>
          </w:rPr>
          <w:t xml:space="preserve">, D, </w:t>
        </w:r>
        <w:proofErr w:type="spellStart"/>
        <w:r w:rsidRPr="000B0F78">
          <w:rPr>
            <w:rStyle w:val="Hypertextovodkaz"/>
            <w:rFonts w:ascii="Arial" w:hAnsi="Arial" w:cs="Arial"/>
            <w:sz w:val="16"/>
            <w:szCs w:val="16"/>
          </w:rPr>
          <w:t>Wilby,J</w:t>
        </w:r>
        <w:proofErr w:type="spellEnd"/>
        <w:r w:rsidRPr="000B0F78">
          <w:rPr>
            <w:rStyle w:val="Hypertextovodkaz"/>
            <w:rFonts w:ascii="Arial" w:hAnsi="Arial" w:cs="Arial"/>
            <w:sz w:val="16"/>
            <w:szCs w:val="16"/>
          </w:rPr>
          <w:t xml:space="preserve">.: Costing </w:t>
        </w:r>
        <w:proofErr w:type="spellStart"/>
        <w:r w:rsidRPr="000B0F78">
          <w:rPr>
            <w:rStyle w:val="Hypertextovodkaz"/>
            <w:rFonts w:ascii="Arial" w:hAnsi="Arial" w:cs="Arial"/>
            <w:sz w:val="16"/>
            <w:szCs w:val="16"/>
          </w:rPr>
          <w:t>methodology</w:t>
        </w:r>
        <w:proofErr w:type="spellEnd"/>
        <w:r w:rsidRPr="000B0F78">
          <w:rPr>
            <w:rStyle w:val="Hypertextovodkaz"/>
            <w:rFonts w:ascii="Arial" w:hAnsi="Arial" w:cs="Arial"/>
            <w:sz w:val="16"/>
            <w:szCs w:val="16"/>
          </w:rPr>
          <w:t xml:space="preserve"> and </w:t>
        </w:r>
        <w:proofErr w:type="spellStart"/>
        <w:r w:rsidRPr="000B0F78">
          <w:rPr>
            <w:rStyle w:val="Hypertextovodkaz"/>
            <w:rFonts w:ascii="Arial" w:hAnsi="Arial" w:cs="Arial"/>
            <w:sz w:val="16"/>
            <w:szCs w:val="16"/>
          </w:rPr>
          <w:t>transition</w:t>
        </w:r>
        <w:proofErr w:type="spellEnd"/>
        <w:r w:rsidRPr="000B0F78">
          <w:rPr>
            <w:rStyle w:val="Hypertextovodkaz"/>
            <w:rFonts w:ascii="Arial" w:hAnsi="Arial" w:cs="Arial"/>
            <w:sz w:val="16"/>
            <w:szCs w:val="16"/>
          </w:rPr>
          <w:t xml:space="preserve"> to </w:t>
        </w:r>
        <w:proofErr w:type="spellStart"/>
        <w:r w:rsidRPr="000B0F78">
          <w:rPr>
            <w:rStyle w:val="Hypertextovodkaz"/>
            <w:rFonts w:ascii="Arial" w:hAnsi="Arial" w:cs="Arial"/>
            <w:sz w:val="16"/>
            <w:szCs w:val="16"/>
          </w:rPr>
          <w:t>next</w:t>
        </w:r>
        <w:proofErr w:type="spellEnd"/>
        <w:r w:rsidRPr="000B0F78">
          <w:rPr>
            <w:rStyle w:val="Hypertextovodkaz"/>
            <w:rFonts w:ascii="Arial" w:hAnsi="Arial" w:cs="Arial"/>
            <w:sz w:val="16"/>
            <w:szCs w:val="16"/>
          </w:rPr>
          <w:t xml:space="preserve"> </w:t>
        </w:r>
        <w:proofErr w:type="spellStart"/>
        <w:r w:rsidRPr="000B0F78">
          <w:rPr>
            <w:rStyle w:val="Hypertextovodkaz"/>
            <w:rFonts w:ascii="Arial" w:hAnsi="Arial" w:cs="Arial"/>
            <w:sz w:val="16"/>
            <w:szCs w:val="16"/>
          </w:rPr>
          <w:t>generation</w:t>
        </w:r>
        <w:proofErr w:type="spellEnd"/>
        <w:r w:rsidRPr="000B0F78">
          <w:rPr>
            <w:rStyle w:val="Hypertextovodkaz"/>
            <w:rFonts w:ascii="Arial" w:hAnsi="Arial" w:cs="Arial"/>
            <w:sz w:val="16"/>
            <w:szCs w:val="16"/>
          </w:rPr>
          <w:t xml:space="preserve"> </w:t>
        </w:r>
        <w:proofErr w:type="spellStart"/>
        <w:r w:rsidRPr="000B0F78">
          <w:rPr>
            <w:rStyle w:val="Hypertextovodkaz"/>
            <w:rFonts w:ascii="Arial" w:hAnsi="Arial" w:cs="Arial"/>
            <w:sz w:val="16"/>
            <w:szCs w:val="16"/>
          </w:rPr>
          <w:t>access</w:t>
        </w:r>
        <w:proofErr w:type="spellEnd"/>
        <w:r w:rsidRPr="000B0F78">
          <w:rPr>
            <w:rStyle w:val="Hypertextovodkaz"/>
            <w:rFonts w:ascii="Arial" w:hAnsi="Arial" w:cs="Arial"/>
            <w:sz w:val="16"/>
            <w:szCs w:val="16"/>
          </w:rPr>
          <w:t xml:space="preserve">. A report ETNO. </w:t>
        </w:r>
        <w:proofErr w:type="spellStart"/>
        <w:proofErr w:type="gramStart"/>
        <w:r w:rsidRPr="000B0F78">
          <w:rPr>
            <w:rStyle w:val="Hypertextovodkaz"/>
            <w:rFonts w:ascii="Arial" w:hAnsi="Arial" w:cs="Arial"/>
            <w:sz w:val="16"/>
            <w:szCs w:val="16"/>
          </w:rPr>
          <w:t>Plum</w:t>
        </w:r>
        <w:proofErr w:type="spellEnd"/>
        <w:r w:rsidRPr="000B0F78">
          <w:rPr>
            <w:rStyle w:val="Hypertextovodkaz"/>
            <w:rFonts w:ascii="Arial" w:hAnsi="Arial" w:cs="Arial"/>
            <w:sz w:val="16"/>
            <w:szCs w:val="16"/>
          </w:rPr>
          <w:t xml:space="preserve">  </w:t>
        </w:r>
        <w:proofErr w:type="spellStart"/>
        <w:r w:rsidRPr="000B0F78">
          <w:rPr>
            <w:rStyle w:val="Hypertextovodkaz"/>
            <w:rFonts w:ascii="Arial" w:hAnsi="Arial" w:cs="Arial"/>
            <w:sz w:val="16"/>
            <w:szCs w:val="16"/>
          </w:rPr>
          <w:t>Consulting</w:t>
        </w:r>
        <w:proofErr w:type="spellEnd"/>
        <w:proofErr w:type="gramEnd"/>
        <w:r w:rsidRPr="000B0F78">
          <w:rPr>
            <w:rStyle w:val="Hypertextovodkaz"/>
            <w:rFonts w:ascii="Arial" w:hAnsi="Arial" w:cs="Arial"/>
            <w:sz w:val="16"/>
            <w:szCs w:val="16"/>
          </w:rPr>
          <w:t>, UK:2011.</w:t>
        </w:r>
      </w:hyperlink>
    </w:p>
  </w:footnote>
  <w:footnote w:id="9">
    <w:p w:rsidR="009C0293" w:rsidRPr="000B0F78" w:rsidRDefault="009C0293">
      <w:pPr>
        <w:pStyle w:val="Textpoznpodarou"/>
        <w:rPr>
          <w:rFonts w:ascii="Arial" w:hAnsi="Arial" w:cs="Arial"/>
          <w:sz w:val="16"/>
          <w:szCs w:val="16"/>
        </w:rPr>
      </w:pPr>
      <w:r w:rsidRPr="000B0F78">
        <w:rPr>
          <w:rStyle w:val="Znakapoznpodarou"/>
          <w:rFonts w:ascii="Arial" w:hAnsi="Arial" w:cs="Arial"/>
          <w:sz w:val="16"/>
          <w:szCs w:val="16"/>
        </w:rPr>
        <w:footnoteRef/>
      </w:r>
      <w:r w:rsidRPr="000B0F78">
        <w:rPr>
          <w:rFonts w:ascii="Arial" w:hAnsi="Arial" w:cs="Arial"/>
          <w:sz w:val="16"/>
          <w:szCs w:val="16"/>
        </w:rPr>
        <w:t xml:space="preserve"> Byli osloveni provozovatelé, kteří v daném období vykazovali největší investice do sítí </w:t>
      </w:r>
      <w:proofErr w:type="spellStart"/>
      <w:r w:rsidRPr="000B0F78">
        <w:rPr>
          <w:rFonts w:ascii="Arial" w:hAnsi="Arial" w:cs="Arial"/>
          <w:sz w:val="16"/>
          <w:szCs w:val="16"/>
        </w:rPr>
        <w:t>FTTx</w:t>
      </w:r>
      <w:proofErr w:type="spellEnd"/>
      <w:r w:rsidRPr="000B0F78">
        <w:rPr>
          <w:rFonts w:ascii="Arial" w:hAnsi="Arial" w:cs="Arial"/>
          <w:sz w:val="16"/>
          <w:szCs w:val="16"/>
        </w:rPr>
        <w:t>.</w:t>
      </w:r>
    </w:p>
  </w:footnote>
  <w:footnote w:id="10">
    <w:p w:rsidR="009C0293" w:rsidRPr="000B0F78" w:rsidRDefault="009C0293" w:rsidP="00B0672C">
      <w:pPr>
        <w:pStyle w:val="Textpoznpodarou"/>
        <w:spacing w:before="60"/>
        <w:rPr>
          <w:rFonts w:ascii="Arial" w:hAnsi="Arial" w:cs="Arial"/>
          <w:sz w:val="16"/>
          <w:szCs w:val="16"/>
        </w:rPr>
      </w:pPr>
      <w:r w:rsidRPr="000B0F78">
        <w:rPr>
          <w:rStyle w:val="Znakapoznpodarou"/>
          <w:rFonts w:ascii="Arial" w:hAnsi="Arial" w:cs="Arial"/>
          <w:sz w:val="16"/>
          <w:szCs w:val="16"/>
        </w:rPr>
        <w:footnoteRef/>
      </w:r>
      <w:r w:rsidRPr="000B0F78">
        <w:rPr>
          <w:rFonts w:ascii="Arial" w:hAnsi="Arial" w:cs="Arial"/>
          <w:sz w:val="16"/>
          <w:szCs w:val="16"/>
        </w:rPr>
        <w:t xml:space="preserve"> Jedná se např. o rozhodnutí ve věcech SK/2017/2020, DK/2017/2016, SI/2018/2050, SK/2018/2051, DE/2018/2055 a PT/2018/2076.</w:t>
      </w:r>
    </w:p>
  </w:footnote>
  <w:footnote w:id="11">
    <w:p w:rsidR="009C0293" w:rsidRPr="00AA283C" w:rsidRDefault="009C0293" w:rsidP="00B0672C">
      <w:pPr>
        <w:pStyle w:val="Textpoznpodarou"/>
        <w:rPr>
          <w:rFonts w:ascii="Arial" w:hAnsi="Arial" w:cs="Arial"/>
          <w:sz w:val="16"/>
          <w:szCs w:val="16"/>
        </w:rPr>
      </w:pPr>
      <w:r w:rsidRPr="00AA283C">
        <w:rPr>
          <w:rStyle w:val="Znakapoznpodarou"/>
          <w:rFonts w:ascii="Arial" w:hAnsi="Arial" w:cs="Arial"/>
          <w:sz w:val="16"/>
          <w:szCs w:val="16"/>
        </w:rPr>
        <w:footnoteRef/>
      </w:r>
      <w:r w:rsidRPr="00AA283C">
        <w:rPr>
          <w:rFonts w:ascii="Arial" w:hAnsi="Arial" w:cs="Arial"/>
          <w:sz w:val="16"/>
          <w:szCs w:val="16"/>
        </w:rPr>
        <w:t xml:space="preserve"> Hodnota koeficientu beta cizího kapitálu je ve výpočtu uvažována jako rovna nule. </w:t>
      </w:r>
    </w:p>
  </w:footnote>
  <w:footnote w:id="12">
    <w:p w:rsidR="009C0293" w:rsidRPr="00542554" w:rsidRDefault="009C0293" w:rsidP="00B0672C">
      <w:pPr>
        <w:pStyle w:val="Textpoznpodarou"/>
        <w:rPr>
          <w:rFonts w:ascii="Arial" w:hAnsi="Arial" w:cs="Arial"/>
          <w:sz w:val="16"/>
          <w:szCs w:val="16"/>
        </w:rPr>
      </w:pPr>
      <w:r w:rsidRPr="00542554">
        <w:rPr>
          <w:rStyle w:val="Znakapoznpodarou"/>
          <w:rFonts w:ascii="Arial" w:hAnsi="Arial" w:cs="Arial"/>
          <w:sz w:val="16"/>
          <w:szCs w:val="16"/>
        </w:rPr>
        <w:footnoteRef/>
      </w:r>
      <w:r w:rsidRPr="00542554">
        <w:rPr>
          <w:rFonts w:ascii="Arial" w:hAnsi="Arial" w:cs="Arial"/>
          <w:sz w:val="16"/>
          <w:szCs w:val="16"/>
        </w:rPr>
        <w:t xml:space="preserve"> Mařík a kol.: Metody oceňování podniku: proces ocenění, základní metody a postupy (2011)</w:t>
      </w:r>
    </w:p>
  </w:footnote>
  <w:footnote w:id="13">
    <w:p w:rsidR="009C0293" w:rsidRPr="000B0F78" w:rsidRDefault="009C0293" w:rsidP="00574F06">
      <w:pPr>
        <w:pStyle w:val="Textpoznpodarou"/>
        <w:rPr>
          <w:rStyle w:val="Hypertextovodkaz"/>
          <w:rFonts w:ascii="Arial" w:hAnsi="Arial" w:cs="Arial"/>
          <w:sz w:val="16"/>
          <w:szCs w:val="16"/>
        </w:rPr>
      </w:pPr>
      <w:r w:rsidRPr="000B0F78">
        <w:rPr>
          <w:rStyle w:val="Znakapoznpodarou"/>
          <w:rFonts w:ascii="Arial" w:hAnsi="Arial" w:cs="Arial"/>
          <w:sz w:val="16"/>
          <w:szCs w:val="16"/>
        </w:rPr>
        <w:footnoteRef/>
      </w:r>
      <w:r w:rsidRPr="000B0F78">
        <w:rPr>
          <w:rFonts w:ascii="Arial" w:hAnsi="Arial" w:cs="Arial"/>
          <w:sz w:val="16"/>
          <w:szCs w:val="16"/>
        </w:rPr>
        <w:t xml:space="preserve"> </w:t>
      </w:r>
      <w:hyperlink r:id="rId10" w:history="1">
        <w:r w:rsidRPr="000B0F78">
          <w:rPr>
            <w:rStyle w:val="Hypertextovodkaz"/>
            <w:rFonts w:ascii="Arial" w:hAnsi="Arial" w:cs="Arial"/>
            <w:sz w:val="16"/>
            <w:szCs w:val="16"/>
          </w:rPr>
          <w:t xml:space="preserve">Sdělení Komise Sdělení Komise o výpočtu nákladů kapitálu u starší infrastruktury v souvislosti s přezkumem vnitrostátních oznámení v odvětví elektronických komunikací EU prováděným Komisí (Text s významem pro EHP) 2019/C 375/01 - </w:t>
        </w:r>
        <w:proofErr w:type="spellStart"/>
        <w:r w:rsidRPr="000B0F78">
          <w:rPr>
            <w:rStyle w:val="Hypertextovodkaz"/>
            <w:rFonts w:ascii="Arial" w:hAnsi="Arial" w:cs="Arial"/>
            <w:sz w:val="16"/>
            <w:szCs w:val="16"/>
          </w:rPr>
          <w:t>Publications</w:t>
        </w:r>
        <w:proofErr w:type="spellEnd"/>
        <w:r w:rsidRPr="000B0F78">
          <w:rPr>
            <w:rStyle w:val="Hypertextovodkaz"/>
            <w:rFonts w:ascii="Arial" w:hAnsi="Arial" w:cs="Arial"/>
            <w:sz w:val="16"/>
            <w:szCs w:val="16"/>
          </w:rPr>
          <w:t xml:space="preserve"> Office </w:t>
        </w:r>
        <w:proofErr w:type="spellStart"/>
        <w:r w:rsidRPr="000B0F78">
          <w:rPr>
            <w:rStyle w:val="Hypertextovodkaz"/>
            <w:rFonts w:ascii="Arial" w:hAnsi="Arial" w:cs="Arial"/>
            <w:sz w:val="16"/>
            <w:szCs w:val="16"/>
          </w:rPr>
          <w:t>of</w:t>
        </w:r>
        <w:proofErr w:type="spellEnd"/>
        <w:r w:rsidRPr="000B0F78">
          <w:rPr>
            <w:rStyle w:val="Hypertextovodkaz"/>
            <w:rFonts w:ascii="Arial" w:hAnsi="Arial" w:cs="Arial"/>
            <w:sz w:val="16"/>
            <w:szCs w:val="16"/>
          </w:rPr>
          <w:t xml:space="preserve"> </w:t>
        </w:r>
        <w:proofErr w:type="spellStart"/>
        <w:r w:rsidRPr="000B0F78">
          <w:rPr>
            <w:rStyle w:val="Hypertextovodkaz"/>
            <w:rFonts w:ascii="Arial" w:hAnsi="Arial" w:cs="Arial"/>
            <w:sz w:val="16"/>
            <w:szCs w:val="16"/>
          </w:rPr>
          <w:t>the</w:t>
        </w:r>
        <w:proofErr w:type="spellEnd"/>
        <w:r w:rsidRPr="000B0F78">
          <w:rPr>
            <w:rStyle w:val="Hypertextovodkaz"/>
            <w:rFonts w:ascii="Arial" w:hAnsi="Arial" w:cs="Arial"/>
            <w:sz w:val="16"/>
            <w:szCs w:val="16"/>
          </w:rPr>
          <w:t xml:space="preserve"> EU (europa.eu)</w:t>
        </w:r>
      </w:hyperlink>
    </w:p>
    <w:p w:rsidR="009C0293" w:rsidRDefault="009C0293" w:rsidP="00574F06">
      <w:pPr>
        <w:pStyle w:val="Textpoznpodarou"/>
      </w:pPr>
    </w:p>
  </w:footnote>
  <w:footnote w:id="14">
    <w:p w:rsidR="009C0293" w:rsidRPr="000B0F78" w:rsidRDefault="009C0293" w:rsidP="00574F06">
      <w:pPr>
        <w:pStyle w:val="Textpoznpodarou"/>
        <w:rPr>
          <w:rFonts w:ascii="Arial" w:hAnsi="Arial" w:cs="Arial"/>
          <w:sz w:val="16"/>
          <w:szCs w:val="16"/>
        </w:rPr>
      </w:pPr>
      <w:r w:rsidRPr="000B0F78">
        <w:rPr>
          <w:rStyle w:val="Znakapoznpodarou"/>
          <w:rFonts w:ascii="Arial" w:hAnsi="Arial" w:cs="Arial"/>
          <w:sz w:val="16"/>
          <w:szCs w:val="16"/>
        </w:rPr>
        <w:footnoteRef/>
      </w:r>
      <w:r w:rsidRPr="000B0F78">
        <w:rPr>
          <w:rFonts w:ascii="Arial" w:hAnsi="Arial" w:cs="Arial"/>
          <w:sz w:val="16"/>
          <w:szCs w:val="16"/>
        </w:rPr>
        <w:t xml:space="preserve"> Směrnice Evropského parlamentu a Radu (EU) 2018/1972 ze dne 11. prosince 2018, kterou se stanoví evropský kodex pro elektronické komunikace. </w:t>
      </w:r>
    </w:p>
    <w:p w:rsidR="009C0293" w:rsidRPr="000B0F78" w:rsidRDefault="009C0293" w:rsidP="00574F06">
      <w:pPr>
        <w:pStyle w:val="Textpoznpodarou"/>
        <w:rPr>
          <w:rFonts w:ascii="Arial" w:hAnsi="Arial" w:cs="Arial"/>
          <w:sz w:val="16"/>
          <w:szCs w:val="16"/>
        </w:rPr>
      </w:pPr>
    </w:p>
  </w:footnote>
  <w:footnote w:id="15">
    <w:p w:rsidR="009C0293" w:rsidRPr="00971F7E" w:rsidRDefault="009C0293" w:rsidP="00574F06">
      <w:pPr>
        <w:pStyle w:val="Textpoznpodarou"/>
        <w:rPr>
          <w:sz w:val="18"/>
          <w:szCs w:val="18"/>
        </w:rPr>
      </w:pPr>
      <w:r w:rsidRPr="000B0F78">
        <w:rPr>
          <w:rStyle w:val="Znakapoznpodarou"/>
          <w:rFonts w:ascii="Arial" w:hAnsi="Arial" w:cs="Arial"/>
          <w:sz w:val="16"/>
          <w:szCs w:val="16"/>
        </w:rPr>
        <w:footnoteRef/>
      </w:r>
      <w:r w:rsidRPr="000B0F78">
        <w:rPr>
          <w:rFonts w:ascii="Arial" w:hAnsi="Arial" w:cs="Arial"/>
          <w:sz w:val="16"/>
          <w:szCs w:val="16"/>
        </w:rPr>
        <w:t xml:space="preserve"> </w:t>
      </w:r>
      <w:hyperlink r:id="rId11" w:history="1">
        <w:r w:rsidRPr="000B0F78">
          <w:rPr>
            <w:rStyle w:val="Hypertextovodkaz"/>
            <w:rFonts w:ascii="Arial" w:hAnsi="Arial" w:cs="Arial"/>
            <w:sz w:val="16"/>
            <w:szCs w:val="16"/>
          </w:rPr>
          <w:t xml:space="preserve">BEREC Report on WACC </w:t>
        </w:r>
        <w:proofErr w:type="spellStart"/>
        <w:r w:rsidRPr="000B0F78">
          <w:rPr>
            <w:rStyle w:val="Hypertextovodkaz"/>
            <w:rFonts w:ascii="Arial" w:hAnsi="Arial" w:cs="Arial"/>
            <w:sz w:val="16"/>
            <w:szCs w:val="16"/>
          </w:rPr>
          <w:t>parameter</w:t>
        </w:r>
        <w:proofErr w:type="spellEnd"/>
        <w:r w:rsidRPr="000B0F78">
          <w:rPr>
            <w:rStyle w:val="Hypertextovodkaz"/>
            <w:rFonts w:ascii="Arial" w:hAnsi="Arial" w:cs="Arial"/>
            <w:sz w:val="16"/>
            <w:szCs w:val="16"/>
          </w:rPr>
          <w:t xml:space="preserve"> </w:t>
        </w:r>
        <w:proofErr w:type="spellStart"/>
        <w:r w:rsidRPr="000B0F78">
          <w:rPr>
            <w:rStyle w:val="Hypertextovodkaz"/>
            <w:rFonts w:ascii="Arial" w:hAnsi="Arial" w:cs="Arial"/>
            <w:sz w:val="16"/>
            <w:szCs w:val="16"/>
          </w:rPr>
          <w:t>calculations</w:t>
        </w:r>
        <w:proofErr w:type="spellEnd"/>
        <w:r w:rsidRPr="000B0F78">
          <w:rPr>
            <w:rStyle w:val="Hypertextovodkaz"/>
            <w:rFonts w:ascii="Arial" w:hAnsi="Arial" w:cs="Arial"/>
            <w:sz w:val="16"/>
            <w:szCs w:val="16"/>
          </w:rPr>
          <w:t xml:space="preserve"> </w:t>
        </w:r>
        <w:proofErr w:type="spellStart"/>
        <w:r w:rsidRPr="000B0F78">
          <w:rPr>
            <w:rStyle w:val="Hypertextovodkaz"/>
            <w:rFonts w:ascii="Arial" w:hAnsi="Arial" w:cs="Arial"/>
            <w:sz w:val="16"/>
            <w:szCs w:val="16"/>
          </w:rPr>
          <w:t>according</w:t>
        </w:r>
        <w:proofErr w:type="spellEnd"/>
        <w:r w:rsidRPr="000B0F78">
          <w:rPr>
            <w:rStyle w:val="Hypertextovodkaz"/>
            <w:rFonts w:ascii="Arial" w:hAnsi="Arial" w:cs="Arial"/>
            <w:sz w:val="16"/>
            <w:szCs w:val="16"/>
          </w:rPr>
          <w:t xml:space="preserve"> to </w:t>
        </w:r>
        <w:proofErr w:type="spellStart"/>
        <w:r w:rsidRPr="000B0F78">
          <w:rPr>
            <w:rStyle w:val="Hypertextovodkaz"/>
            <w:rFonts w:ascii="Arial" w:hAnsi="Arial" w:cs="Arial"/>
            <w:sz w:val="16"/>
            <w:szCs w:val="16"/>
          </w:rPr>
          <w:t>the</w:t>
        </w:r>
        <w:proofErr w:type="spellEnd"/>
        <w:r w:rsidRPr="000B0F78">
          <w:rPr>
            <w:rStyle w:val="Hypertextovodkaz"/>
            <w:rFonts w:ascii="Arial" w:hAnsi="Arial" w:cs="Arial"/>
            <w:sz w:val="16"/>
            <w:szCs w:val="16"/>
          </w:rPr>
          <w:t xml:space="preserve"> </w:t>
        </w:r>
        <w:proofErr w:type="spellStart"/>
        <w:r w:rsidRPr="000B0F78">
          <w:rPr>
            <w:rStyle w:val="Hypertextovodkaz"/>
            <w:rFonts w:ascii="Arial" w:hAnsi="Arial" w:cs="Arial"/>
            <w:sz w:val="16"/>
            <w:szCs w:val="16"/>
          </w:rPr>
          <w:t>European</w:t>
        </w:r>
        <w:proofErr w:type="spellEnd"/>
        <w:r w:rsidRPr="000B0F78">
          <w:rPr>
            <w:rStyle w:val="Hypertextovodkaz"/>
            <w:rFonts w:ascii="Arial" w:hAnsi="Arial" w:cs="Arial"/>
            <w:sz w:val="16"/>
            <w:szCs w:val="16"/>
          </w:rPr>
          <w:t xml:space="preserve"> </w:t>
        </w:r>
        <w:proofErr w:type="spellStart"/>
        <w:r w:rsidRPr="000B0F78">
          <w:rPr>
            <w:rStyle w:val="Hypertextovodkaz"/>
            <w:rFonts w:ascii="Arial" w:hAnsi="Arial" w:cs="Arial"/>
            <w:sz w:val="16"/>
            <w:szCs w:val="16"/>
          </w:rPr>
          <w:t>Commission's</w:t>
        </w:r>
        <w:proofErr w:type="spellEnd"/>
        <w:r w:rsidRPr="000B0F78">
          <w:rPr>
            <w:rStyle w:val="Hypertextovodkaz"/>
            <w:rFonts w:ascii="Arial" w:hAnsi="Arial" w:cs="Arial"/>
            <w:sz w:val="16"/>
            <w:szCs w:val="16"/>
          </w:rPr>
          <w:t xml:space="preserve"> WACC </w:t>
        </w:r>
        <w:proofErr w:type="spellStart"/>
        <w:r w:rsidRPr="000B0F78">
          <w:rPr>
            <w:rStyle w:val="Hypertextovodkaz"/>
            <w:rFonts w:ascii="Arial" w:hAnsi="Arial" w:cs="Arial"/>
            <w:sz w:val="16"/>
            <w:szCs w:val="16"/>
          </w:rPr>
          <w:t>Notice</w:t>
        </w:r>
        <w:proofErr w:type="spellEnd"/>
        <w:r w:rsidRPr="000B0F78">
          <w:rPr>
            <w:rStyle w:val="Hypertextovodkaz"/>
            <w:rFonts w:ascii="Arial" w:hAnsi="Arial" w:cs="Arial"/>
            <w:sz w:val="16"/>
            <w:szCs w:val="16"/>
          </w:rPr>
          <w:t xml:space="preserve"> </w:t>
        </w:r>
        <w:proofErr w:type="spellStart"/>
        <w:r w:rsidRPr="000B0F78">
          <w:rPr>
            <w:rStyle w:val="Hypertextovodkaz"/>
            <w:rFonts w:ascii="Arial" w:hAnsi="Arial" w:cs="Arial"/>
            <w:sz w:val="16"/>
            <w:szCs w:val="16"/>
          </w:rPr>
          <w:t>of</w:t>
        </w:r>
        <w:proofErr w:type="spellEnd"/>
        <w:r w:rsidRPr="000B0F78">
          <w:rPr>
            <w:rStyle w:val="Hypertextovodkaz"/>
            <w:rFonts w:ascii="Arial" w:hAnsi="Arial" w:cs="Arial"/>
            <w:sz w:val="16"/>
            <w:szCs w:val="16"/>
          </w:rPr>
          <w:t xml:space="preserve"> 6 </w:t>
        </w:r>
        <w:proofErr w:type="spellStart"/>
        <w:r w:rsidRPr="000B0F78">
          <w:rPr>
            <w:rStyle w:val="Hypertextovodkaz"/>
            <w:rFonts w:ascii="Arial" w:hAnsi="Arial" w:cs="Arial"/>
            <w:sz w:val="16"/>
            <w:szCs w:val="16"/>
          </w:rPr>
          <w:t>November</w:t>
        </w:r>
        <w:proofErr w:type="spellEnd"/>
        <w:r w:rsidRPr="000B0F78">
          <w:rPr>
            <w:rStyle w:val="Hypertextovodkaz"/>
            <w:rFonts w:ascii="Arial" w:hAnsi="Arial" w:cs="Arial"/>
            <w:sz w:val="16"/>
            <w:szCs w:val="16"/>
          </w:rPr>
          <w:t xml:space="preserve"> 2019 (europa.eu)</w:t>
        </w:r>
      </w:hyperlink>
    </w:p>
  </w:footnote>
  <w:footnote w:id="16">
    <w:p w:rsidR="009C0293" w:rsidRPr="00AB75E1" w:rsidRDefault="009C0293" w:rsidP="00574F06">
      <w:pPr>
        <w:pStyle w:val="Textpoznpodarou"/>
        <w:rPr>
          <w:rFonts w:ascii="Arial" w:hAnsi="Arial" w:cs="Arial"/>
          <w:sz w:val="16"/>
          <w:szCs w:val="16"/>
        </w:rPr>
      </w:pPr>
      <w:r w:rsidRPr="00AB75E1">
        <w:rPr>
          <w:rStyle w:val="Znakapoznpodarou"/>
          <w:rFonts w:ascii="Arial" w:hAnsi="Arial" w:cs="Arial"/>
          <w:sz w:val="16"/>
          <w:szCs w:val="16"/>
        </w:rPr>
        <w:footnoteRef/>
      </w:r>
      <w:proofErr w:type="spellStart"/>
      <w:r w:rsidRPr="00AB75E1">
        <w:rPr>
          <w:rFonts w:ascii="Arial" w:hAnsi="Arial" w:cs="Arial"/>
          <w:sz w:val="16"/>
          <w:szCs w:val="16"/>
          <w:lang w:val="en-US"/>
        </w:rPr>
        <w:t>Zdroj</w:t>
      </w:r>
      <w:proofErr w:type="spellEnd"/>
      <w:r w:rsidRPr="00AB75E1">
        <w:rPr>
          <w:rFonts w:ascii="Arial" w:hAnsi="Arial" w:cs="Arial"/>
          <w:sz w:val="16"/>
          <w:szCs w:val="16"/>
          <w:lang w:val="en-US"/>
        </w:rPr>
        <w:t>:</w:t>
      </w:r>
      <w:r w:rsidRPr="00AB75E1">
        <w:rPr>
          <w:rFonts w:ascii="Arial" w:hAnsi="Arial" w:cs="Arial"/>
          <w:sz w:val="16"/>
          <w:szCs w:val="16"/>
        </w:rPr>
        <w:t xml:space="preserve"> </w:t>
      </w:r>
      <w:hyperlink r:id="rId12" w:history="1">
        <w:proofErr w:type="spellStart"/>
        <w:r w:rsidRPr="00AB75E1">
          <w:rPr>
            <w:rStyle w:val="Hypertextovodkaz"/>
            <w:rFonts w:ascii="Arial" w:hAnsi="Arial" w:cs="Arial"/>
            <w:sz w:val="16"/>
            <w:szCs w:val="16"/>
          </w:rPr>
          <w:t>Statistics</w:t>
        </w:r>
        <w:proofErr w:type="spellEnd"/>
        <w:r w:rsidRPr="00AB75E1">
          <w:rPr>
            <w:rStyle w:val="Hypertextovodkaz"/>
            <w:rFonts w:ascii="Arial" w:hAnsi="Arial" w:cs="Arial"/>
            <w:sz w:val="16"/>
            <w:szCs w:val="16"/>
          </w:rPr>
          <w:t xml:space="preserve"> | </w:t>
        </w:r>
        <w:proofErr w:type="spellStart"/>
        <w:r w:rsidRPr="00AB75E1">
          <w:rPr>
            <w:rStyle w:val="Hypertextovodkaz"/>
            <w:rFonts w:ascii="Arial" w:hAnsi="Arial" w:cs="Arial"/>
            <w:sz w:val="16"/>
            <w:szCs w:val="16"/>
          </w:rPr>
          <w:t>Eurostat</w:t>
        </w:r>
        <w:proofErr w:type="spellEnd"/>
        <w:r w:rsidRPr="00AB75E1">
          <w:rPr>
            <w:rStyle w:val="Hypertextovodkaz"/>
            <w:rFonts w:ascii="Arial" w:hAnsi="Arial" w:cs="Arial"/>
            <w:sz w:val="16"/>
            <w:szCs w:val="16"/>
          </w:rPr>
          <w:t xml:space="preserve"> (europa.eu)</w:t>
        </w:r>
      </w:hyperlink>
    </w:p>
  </w:footnote>
  <w:footnote w:id="17">
    <w:p w:rsidR="009C0293" w:rsidRPr="00AB75E1" w:rsidRDefault="009C0293" w:rsidP="00574F06">
      <w:pPr>
        <w:pStyle w:val="Textpoznpodarou"/>
        <w:rPr>
          <w:rFonts w:ascii="Arial" w:hAnsi="Arial" w:cs="Arial"/>
          <w:sz w:val="16"/>
          <w:szCs w:val="16"/>
        </w:rPr>
      </w:pPr>
      <w:r w:rsidRPr="00AB75E1">
        <w:rPr>
          <w:rStyle w:val="Znakapoznpodarou"/>
          <w:rFonts w:ascii="Arial" w:hAnsi="Arial" w:cs="Arial"/>
          <w:sz w:val="16"/>
          <w:szCs w:val="16"/>
        </w:rPr>
        <w:footnoteRef/>
      </w:r>
      <w:r w:rsidRPr="00AB75E1">
        <w:rPr>
          <w:rFonts w:ascii="Arial" w:hAnsi="Arial" w:cs="Arial"/>
          <w:sz w:val="16"/>
          <w:szCs w:val="16"/>
        </w:rPr>
        <w:t xml:space="preserve"> Viz body 5.2.1.3 a 5.2.1.4 </w:t>
      </w:r>
      <w:hyperlink r:id="rId13" w:history="1">
        <w:proofErr w:type="spellStart"/>
        <w:r w:rsidRPr="00AB75E1">
          <w:rPr>
            <w:rStyle w:val="Hypertextovodkaz"/>
            <w:rFonts w:ascii="Arial" w:hAnsi="Arial" w:cs="Arial"/>
            <w:sz w:val="16"/>
            <w:szCs w:val="16"/>
          </w:rPr>
          <w:t>Commission</w:t>
        </w:r>
        <w:proofErr w:type="spellEnd"/>
        <w:r w:rsidRPr="00AB75E1">
          <w:rPr>
            <w:rStyle w:val="Hypertextovodkaz"/>
            <w:rFonts w:ascii="Arial" w:hAnsi="Arial" w:cs="Arial"/>
            <w:sz w:val="16"/>
            <w:szCs w:val="16"/>
          </w:rPr>
          <w:t xml:space="preserve"> </w:t>
        </w:r>
        <w:proofErr w:type="spellStart"/>
        <w:r w:rsidRPr="00AB75E1">
          <w:rPr>
            <w:rStyle w:val="Hypertextovodkaz"/>
            <w:rFonts w:ascii="Arial" w:hAnsi="Arial" w:cs="Arial"/>
            <w:sz w:val="16"/>
            <w:szCs w:val="16"/>
          </w:rPr>
          <w:t>staff</w:t>
        </w:r>
        <w:proofErr w:type="spellEnd"/>
        <w:r w:rsidRPr="00AB75E1">
          <w:rPr>
            <w:rStyle w:val="Hypertextovodkaz"/>
            <w:rFonts w:ascii="Arial" w:hAnsi="Arial" w:cs="Arial"/>
            <w:sz w:val="16"/>
            <w:szCs w:val="16"/>
          </w:rPr>
          <w:t xml:space="preserve"> </w:t>
        </w:r>
        <w:proofErr w:type="spellStart"/>
        <w:r w:rsidRPr="00AB75E1">
          <w:rPr>
            <w:rStyle w:val="Hypertextovodkaz"/>
            <w:rFonts w:ascii="Arial" w:hAnsi="Arial" w:cs="Arial"/>
            <w:sz w:val="16"/>
            <w:szCs w:val="16"/>
          </w:rPr>
          <w:t>working</w:t>
        </w:r>
        <w:proofErr w:type="spellEnd"/>
        <w:r w:rsidRPr="00AB75E1">
          <w:rPr>
            <w:rStyle w:val="Hypertextovodkaz"/>
            <w:rFonts w:ascii="Arial" w:hAnsi="Arial" w:cs="Arial"/>
            <w:sz w:val="16"/>
            <w:szCs w:val="16"/>
          </w:rPr>
          <w:t xml:space="preserve"> </w:t>
        </w:r>
        <w:proofErr w:type="spellStart"/>
        <w:r w:rsidRPr="00AB75E1">
          <w:rPr>
            <w:rStyle w:val="Hypertextovodkaz"/>
            <w:rFonts w:ascii="Arial" w:hAnsi="Arial" w:cs="Arial"/>
            <w:sz w:val="16"/>
            <w:szCs w:val="16"/>
          </w:rPr>
          <w:t>document</w:t>
        </w:r>
        <w:proofErr w:type="spellEnd"/>
      </w:hyperlink>
    </w:p>
  </w:footnote>
  <w:footnote w:id="18">
    <w:p w:rsidR="009C0293" w:rsidRPr="00AB75E1" w:rsidRDefault="009C0293" w:rsidP="00574F06">
      <w:pPr>
        <w:pStyle w:val="Textpoznpodarou"/>
        <w:rPr>
          <w:rFonts w:ascii="Arial" w:hAnsi="Arial" w:cs="Arial"/>
          <w:sz w:val="16"/>
          <w:szCs w:val="16"/>
        </w:rPr>
      </w:pPr>
      <w:r w:rsidRPr="00AB75E1">
        <w:rPr>
          <w:rStyle w:val="Znakapoznpodarou"/>
          <w:rFonts w:ascii="Arial" w:hAnsi="Arial" w:cs="Arial"/>
          <w:sz w:val="16"/>
          <w:szCs w:val="16"/>
        </w:rPr>
        <w:footnoteRef/>
      </w:r>
      <w:r w:rsidRPr="00AB75E1">
        <w:rPr>
          <w:rFonts w:ascii="Arial" w:hAnsi="Arial" w:cs="Arial"/>
          <w:sz w:val="16"/>
          <w:szCs w:val="16"/>
        </w:rPr>
        <w:t xml:space="preserve"> Podrobnosti výpočtu hodnoty ERP viz kapitola 6 Zprávy.</w:t>
      </w:r>
    </w:p>
  </w:footnote>
  <w:footnote w:id="19">
    <w:p w:rsidR="009C0293" w:rsidRPr="00AB75E1" w:rsidRDefault="009C0293" w:rsidP="00574F06">
      <w:pPr>
        <w:pStyle w:val="Textpoznpodarou"/>
        <w:rPr>
          <w:rFonts w:ascii="Arial" w:hAnsi="Arial" w:cs="Arial"/>
          <w:sz w:val="16"/>
          <w:szCs w:val="16"/>
        </w:rPr>
      </w:pPr>
      <w:r w:rsidRPr="00AB75E1">
        <w:rPr>
          <w:rStyle w:val="Znakapoznpodarou"/>
          <w:rFonts w:ascii="Arial" w:hAnsi="Arial" w:cs="Arial"/>
          <w:sz w:val="16"/>
          <w:szCs w:val="16"/>
        </w:rPr>
        <w:footnoteRef/>
      </w:r>
      <w:r w:rsidRPr="00AB75E1">
        <w:rPr>
          <w:rFonts w:ascii="Arial" w:hAnsi="Arial" w:cs="Arial"/>
          <w:sz w:val="16"/>
          <w:szCs w:val="16"/>
        </w:rPr>
        <w:t xml:space="preserve"> Mařík a kol.: Metody oceňování podniku: proces ocenění, základní metody a postupy (2011)</w:t>
      </w:r>
    </w:p>
  </w:footnote>
  <w:footnote w:id="20">
    <w:p w:rsidR="009C0293" w:rsidRPr="000B0F78" w:rsidRDefault="009C0293" w:rsidP="001A4D11">
      <w:pPr>
        <w:pStyle w:val="Textpoznpodarou"/>
        <w:rPr>
          <w:rStyle w:val="Hypertextovodkaz"/>
          <w:rFonts w:ascii="Arial" w:hAnsi="Arial" w:cs="Arial"/>
          <w:sz w:val="16"/>
          <w:szCs w:val="16"/>
        </w:rPr>
      </w:pPr>
      <w:r w:rsidRPr="000B0F78">
        <w:rPr>
          <w:rStyle w:val="Znakapoznpodarou"/>
          <w:rFonts w:ascii="Arial" w:hAnsi="Arial" w:cs="Arial"/>
          <w:sz w:val="16"/>
          <w:szCs w:val="16"/>
        </w:rPr>
        <w:footnoteRef/>
      </w:r>
      <w:r w:rsidRPr="000B0F78">
        <w:rPr>
          <w:rFonts w:ascii="Arial" w:hAnsi="Arial" w:cs="Arial"/>
          <w:sz w:val="16"/>
          <w:szCs w:val="16"/>
        </w:rPr>
        <w:t xml:space="preserve"> </w:t>
      </w:r>
      <w:hyperlink r:id="rId14" w:history="1">
        <w:r w:rsidRPr="000B0F78">
          <w:rPr>
            <w:rStyle w:val="Hypertextovodkaz"/>
            <w:rFonts w:ascii="Arial" w:hAnsi="Arial" w:cs="Arial"/>
            <w:sz w:val="16"/>
            <w:szCs w:val="16"/>
          </w:rPr>
          <w:t xml:space="preserve">Sdělení Komise Sdělení Komise o výpočtu nákladů kapitálu u starší infrastruktury v souvislosti s přezkumem vnitrostátních oznámení v odvětví elektronických komunikací EU prováděným Komisí (Text s významem pro EHP) 2019/C 375/01 - </w:t>
        </w:r>
        <w:proofErr w:type="spellStart"/>
        <w:r w:rsidRPr="000B0F78">
          <w:rPr>
            <w:rStyle w:val="Hypertextovodkaz"/>
            <w:rFonts w:ascii="Arial" w:hAnsi="Arial" w:cs="Arial"/>
            <w:sz w:val="16"/>
            <w:szCs w:val="16"/>
          </w:rPr>
          <w:t>Publications</w:t>
        </w:r>
        <w:proofErr w:type="spellEnd"/>
        <w:r w:rsidRPr="000B0F78">
          <w:rPr>
            <w:rStyle w:val="Hypertextovodkaz"/>
            <w:rFonts w:ascii="Arial" w:hAnsi="Arial" w:cs="Arial"/>
            <w:sz w:val="16"/>
            <w:szCs w:val="16"/>
          </w:rPr>
          <w:t xml:space="preserve"> Office </w:t>
        </w:r>
        <w:proofErr w:type="spellStart"/>
        <w:r w:rsidRPr="000B0F78">
          <w:rPr>
            <w:rStyle w:val="Hypertextovodkaz"/>
            <w:rFonts w:ascii="Arial" w:hAnsi="Arial" w:cs="Arial"/>
            <w:sz w:val="16"/>
            <w:szCs w:val="16"/>
          </w:rPr>
          <w:t>of</w:t>
        </w:r>
        <w:proofErr w:type="spellEnd"/>
        <w:r w:rsidRPr="000B0F78">
          <w:rPr>
            <w:rStyle w:val="Hypertextovodkaz"/>
            <w:rFonts w:ascii="Arial" w:hAnsi="Arial" w:cs="Arial"/>
            <w:sz w:val="16"/>
            <w:szCs w:val="16"/>
          </w:rPr>
          <w:t xml:space="preserve"> </w:t>
        </w:r>
        <w:proofErr w:type="spellStart"/>
        <w:r w:rsidRPr="000B0F78">
          <w:rPr>
            <w:rStyle w:val="Hypertextovodkaz"/>
            <w:rFonts w:ascii="Arial" w:hAnsi="Arial" w:cs="Arial"/>
            <w:sz w:val="16"/>
            <w:szCs w:val="16"/>
          </w:rPr>
          <w:t>the</w:t>
        </w:r>
        <w:proofErr w:type="spellEnd"/>
        <w:r w:rsidRPr="000B0F78">
          <w:rPr>
            <w:rStyle w:val="Hypertextovodkaz"/>
            <w:rFonts w:ascii="Arial" w:hAnsi="Arial" w:cs="Arial"/>
            <w:sz w:val="16"/>
            <w:szCs w:val="16"/>
          </w:rPr>
          <w:t xml:space="preserve"> EU (europa.eu)</w:t>
        </w:r>
      </w:hyperlink>
    </w:p>
    <w:p w:rsidR="009C0293" w:rsidRPr="000B0F78" w:rsidRDefault="009C0293" w:rsidP="001A4D11">
      <w:pPr>
        <w:pStyle w:val="Textpoznpodarou"/>
        <w:rPr>
          <w:rFonts w:ascii="Arial" w:hAnsi="Arial" w:cs="Arial"/>
          <w:sz w:val="16"/>
          <w:szCs w:val="16"/>
        </w:rPr>
      </w:pPr>
    </w:p>
  </w:footnote>
  <w:footnote w:id="21">
    <w:p w:rsidR="009C0293" w:rsidRPr="000B0F78" w:rsidRDefault="009C0293" w:rsidP="001A4D11">
      <w:pPr>
        <w:pStyle w:val="Textpoznpodarou"/>
        <w:rPr>
          <w:rFonts w:ascii="Arial" w:hAnsi="Arial" w:cs="Arial"/>
          <w:sz w:val="16"/>
          <w:szCs w:val="16"/>
        </w:rPr>
      </w:pPr>
      <w:r w:rsidRPr="000B0F78">
        <w:rPr>
          <w:rStyle w:val="Znakapoznpodarou"/>
          <w:rFonts w:ascii="Arial" w:hAnsi="Arial" w:cs="Arial"/>
          <w:sz w:val="16"/>
          <w:szCs w:val="16"/>
        </w:rPr>
        <w:footnoteRef/>
      </w:r>
      <w:r w:rsidRPr="000B0F78">
        <w:rPr>
          <w:rFonts w:ascii="Arial" w:hAnsi="Arial" w:cs="Arial"/>
          <w:sz w:val="16"/>
          <w:szCs w:val="16"/>
        </w:rPr>
        <w:t xml:space="preserve"> Směrnice Evropského parlamentu a Radu (EU) 2018/1972 ze dne 11. prosince 2018, kterou se stanoví evropský kodex pro elektronické komunikace. </w:t>
      </w:r>
    </w:p>
    <w:p w:rsidR="009C0293" w:rsidRPr="000B0F78" w:rsidRDefault="009C0293" w:rsidP="001A4D11">
      <w:pPr>
        <w:pStyle w:val="Textpoznpodarou"/>
        <w:rPr>
          <w:rFonts w:ascii="Arial" w:hAnsi="Arial" w:cs="Arial"/>
          <w:sz w:val="16"/>
          <w:szCs w:val="16"/>
        </w:rPr>
      </w:pPr>
    </w:p>
  </w:footnote>
  <w:footnote w:id="22">
    <w:p w:rsidR="009C0293" w:rsidRPr="00FA4618" w:rsidRDefault="009C0293" w:rsidP="001A4D11">
      <w:pPr>
        <w:pStyle w:val="Textpoznpodarou"/>
        <w:rPr>
          <w:rFonts w:ascii="Arial" w:hAnsi="Arial" w:cs="Arial"/>
          <w:color w:val="FF0000"/>
          <w:sz w:val="16"/>
          <w:szCs w:val="16"/>
        </w:rPr>
      </w:pPr>
      <w:r w:rsidRPr="00FA4618">
        <w:rPr>
          <w:rStyle w:val="Znakapoznpodarou"/>
          <w:rFonts w:ascii="Arial" w:hAnsi="Arial" w:cs="Arial"/>
          <w:sz w:val="16"/>
          <w:szCs w:val="16"/>
        </w:rPr>
        <w:footnoteRef/>
      </w:r>
      <w:hyperlink r:id="rId15" w:history="1">
        <w:r w:rsidRPr="00FA4618">
          <w:rPr>
            <w:rStyle w:val="Hypertextovodkaz"/>
            <w:rFonts w:ascii="Arial" w:hAnsi="Arial" w:cs="Arial"/>
            <w:sz w:val="16"/>
            <w:szCs w:val="16"/>
          </w:rPr>
          <w:t xml:space="preserve">BEREC Report on WACC </w:t>
        </w:r>
        <w:proofErr w:type="spellStart"/>
        <w:r w:rsidRPr="00FA4618">
          <w:rPr>
            <w:rStyle w:val="Hypertextovodkaz"/>
            <w:rFonts w:ascii="Arial" w:hAnsi="Arial" w:cs="Arial"/>
            <w:sz w:val="16"/>
            <w:szCs w:val="16"/>
          </w:rPr>
          <w:t>parameter</w:t>
        </w:r>
        <w:proofErr w:type="spellEnd"/>
        <w:r w:rsidRPr="00FA4618">
          <w:rPr>
            <w:rStyle w:val="Hypertextovodkaz"/>
            <w:rFonts w:ascii="Arial" w:hAnsi="Arial" w:cs="Arial"/>
            <w:sz w:val="16"/>
            <w:szCs w:val="16"/>
          </w:rPr>
          <w:t xml:space="preserve"> </w:t>
        </w:r>
        <w:proofErr w:type="spellStart"/>
        <w:r w:rsidRPr="00FA4618">
          <w:rPr>
            <w:rStyle w:val="Hypertextovodkaz"/>
            <w:rFonts w:ascii="Arial" w:hAnsi="Arial" w:cs="Arial"/>
            <w:sz w:val="16"/>
            <w:szCs w:val="16"/>
          </w:rPr>
          <w:t>calculations</w:t>
        </w:r>
        <w:proofErr w:type="spellEnd"/>
        <w:r w:rsidRPr="00FA4618">
          <w:rPr>
            <w:rStyle w:val="Hypertextovodkaz"/>
            <w:rFonts w:ascii="Arial" w:hAnsi="Arial" w:cs="Arial"/>
            <w:sz w:val="16"/>
            <w:szCs w:val="16"/>
          </w:rPr>
          <w:t xml:space="preserve"> </w:t>
        </w:r>
        <w:proofErr w:type="spellStart"/>
        <w:r w:rsidRPr="00FA4618">
          <w:rPr>
            <w:rStyle w:val="Hypertextovodkaz"/>
            <w:rFonts w:ascii="Arial" w:hAnsi="Arial" w:cs="Arial"/>
            <w:sz w:val="16"/>
            <w:szCs w:val="16"/>
          </w:rPr>
          <w:t>according</w:t>
        </w:r>
        <w:proofErr w:type="spellEnd"/>
        <w:r w:rsidRPr="00FA4618">
          <w:rPr>
            <w:rStyle w:val="Hypertextovodkaz"/>
            <w:rFonts w:ascii="Arial" w:hAnsi="Arial" w:cs="Arial"/>
            <w:sz w:val="16"/>
            <w:szCs w:val="16"/>
          </w:rPr>
          <w:t xml:space="preserve"> to </w:t>
        </w:r>
        <w:proofErr w:type="spellStart"/>
        <w:r w:rsidRPr="00FA4618">
          <w:rPr>
            <w:rStyle w:val="Hypertextovodkaz"/>
            <w:rFonts w:ascii="Arial" w:hAnsi="Arial" w:cs="Arial"/>
            <w:sz w:val="16"/>
            <w:szCs w:val="16"/>
          </w:rPr>
          <w:t>the</w:t>
        </w:r>
        <w:proofErr w:type="spellEnd"/>
        <w:r w:rsidRPr="00FA4618">
          <w:rPr>
            <w:rStyle w:val="Hypertextovodkaz"/>
            <w:rFonts w:ascii="Arial" w:hAnsi="Arial" w:cs="Arial"/>
            <w:sz w:val="16"/>
            <w:szCs w:val="16"/>
          </w:rPr>
          <w:t xml:space="preserve"> </w:t>
        </w:r>
        <w:proofErr w:type="spellStart"/>
        <w:r w:rsidRPr="00FA4618">
          <w:rPr>
            <w:rStyle w:val="Hypertextovodkaz"/>
            <w:rFonts w:ascii="Arial" w:hAnsi="Arial" w:cs="Arial"/>
            <w:sz w:val="16"/>
            <w:szCs w:val="16"/>
          </w:rPr>
          <w:t>European</w:t>
        </w:r>
        <w:proofErr w:type="spellEnd"/>
        <w:r w:rsidRPr="00FA4618">
          <w:rPr>
            <w:rStyle w:val="Hypertextovodkaz"/>
            <w:rFonts w:ascii="Arial" w:hAnsi="Arial" w:cs="Arial"/>
            <w:sz w:val="16"/>
            <w:szCs w:val="16"/>
          </w:rPr>
          <w:t xml:space="preserve"> </w:t>
        </w:r>
        <w:proofErr w:type="spellStart"/>
        <w:r w:rsidRPr="00FA4618">
          <w:rPr>
            <w:rStyle w:val="Hypertextovodkaz"/>
            <w:rFonts w:ascii="Arial" w:hAnsi="Arial" w:cs="Arial"/>
            <w:sz w:val="16"/>
            <w:szCs w:val="16"/>
          </w:rPr>
          <w:t>Commission’s</w:t>
        </w:r>
        <w:proofErr w:type="spellEnd"/>
        <w:r w:rsidRPr="00FA4618">
          <w:rPr>
            <w:rStyle w:val="Hypertextovodkaz"/>
            <w:rFonts w:ascii="Arial" w:hAnsi="Arial" w:cs="Arial"/>
            <w:sz w:val="16"/>
            <w:szCs w:val="16"/>
          </w:rPr>
          <w:t xml:space="preserve"> WACC </w:t>
        </w:r>
        <w:proofErr w:type="spellStart"/>
        <w:r w:rsidRPr="00FA4618">
          <w:rPr>
            <w:rStyle w:val="Hypertextovodkaz"/>
            <w:rFonts w:ascii="Arial" w:hAnsi="Arial" w:cs="Arial"/>
            <w:sz w:val="16"/>
            <w:szCs w:val="16"/>
          </w:rPr>
          <w:t>Notice</w:t>
        </w:r>
        <w:proofErr w:type="spellEnd"/>
        <w:r w:rsidRPr="00FA4618">
          <w:rPr>
            <w:rStyle w:val="Hypertextovodkaz"/>
            <w:rFonts w:ascii="Arial" w:hAnsi="Arial" w:cs="Arial"/>
            <w:sz w:val="16"/>
            <w:szCs w:val="16"/>
          </w:rPr>
          <w:t xml:space="preserve"> </w:t>
        </w:r>
        <w:proofErr w:type="spellStart"/>
        <w:r w:rsidRPr="00FA4618">
          <w:rPr>
            <w:rStyle w:val="Hypertextovodkaz"/>
            <w:rFonts w:ascii="Arial" w:hAnsi="Arial" w:cs="Arial"/>
            <w:sz w:val="16"/>
            <w:szCs w:val="16"/>
          </w:rPr>
          <w:t>of</w:t>
        </w:r>
        <w:proofErr w:type="spellEnd"/>
        <w:r w:rsidRPr="00FA4618">
          <w:rPr>
            <w:rStyle w:val="Hypertextovodkaz"/>
            <w:rFonts w:ascii="Arial" w:hAnsi="Arial" w:cs="Arial"/>
            <w:sz w:val="16"/>
            <w:szCs w:val="16"/>
          </w:rPr>
          <w:t xml:space="preserve"> 6th </w:t>
        </w:r>
        <w:proofErr w:type="spellStart"/>
        <w:r w:rsidRPr="00FA4618">
          <w:rPr>
            <w:rStyle w:val="Hypertextovodkaz"/>
            <w:rFonts w:ascii="Arial" w:hAnsi="Arial" w:cs="Arial"/>
            <w:sz w:val="16"/>
            <w:szCs w:val="16"/>
          </w:rPr>
          <w:t>November</w:t>
        </w:r>
        <w:proofErr w:type="spellEnd"/>
        <w:r w:rsidRPr="00FA4618">
          <w:rPr>
            <w:rStyle w:val="Hypertextovodkaz"/>
            <w:rFonts w:ascii="Arial" w:hAnsi="Arial" w:cs="Arial"/>
            <w:sz w:val="16"/>
            <w:szCs w:val="16"/>
          </w:rPr>
          <w:t xml:space="preserve"> 2019 (WACC </w:t>
        </w:r>
        <w:proofErr w:type="spellStart"/>
        <w:r w:rsidRPr="00FA4618">
          <w:rPr>
            <w:rStyle w:val="Hypertextovodkaz"/>
            <w:rFonts w:ascii="Arial" w:hAnsi="Arial" w:cs="Arial"/>
            <w:sz w:val="16"/>
            <w:szCs w:val="16"/>
          </w:rPr>
          <w:t>parameters</w:t>
        </w:r>
        <w:proofErr w:type="spellEnd"/>
        <w:r w:rsidRPr="00FA4618">
          <w:rPr>
            <w:rStyle w:val="Hypertextovodkaz"/>
            <w:rFonts w:ascii="Arial" w:hAnsi="Arial" w:cs="Arial"/>
            <w:sz w:val="16"/>
            <w:szCs w:val="16"/>
          </w:rPr>
          <w:t xml:space="preserve"> Report 2022) (europa.eu)</w:t>
        </w:r>
      </w:hyperlink>
    </w:p>
  </w:footnote>
  <w:footnote w:id="23">
    <w:p w:rsidR="009C0293" w:rsidRPr="00FA4618" w:rsidRDefault="009C0293" w:rsidP="001A4D11">
      <w:pPr>
        <w:pStyle w:val="Textpoznpodarou"/>
        <w:rPr>
          <w:rFonts w:ascii="Arial" w:hAnsi="Arial" w:cs="Arial"/>
          <w:sz w:val="16"/>
          <w:szCs w:val="16"/>
        </w:rPr>
      </w:pPr>
      <w:r w:rsidRPr="00FA4618">
        <w:rPr>
          <w:rStyle w:val="Znakapoznpodarou"/>
          <w:rFonts w:ascii="Arial" w:hAnsi="Arial" w:cs="Arial"/>
          <w:sz w:val="16"/>
          <w:szCs w:val="16"/>
        </w:rPr>
        <w:footnoteRef/>
      </w:r>
      <w:r w:rsidRPr="00FA4618">
        <w:rPr>
          <w:rFonts w:ascii="Arial" w:hAnsi="Arial" w:cs="Arial"/>
          <w:sz w:val="16"/>
          <w:szCs w:val="16"/>
        </w:rPr>
        <w:t xml:space="preserve"> Viz body 5.2.1.3 a 5.2.1.4 </w:t>
      </w:r>
      <w:hyperlink r:id="rId16" w:history="1">
        <w:proofErr w:type="spellStart"/>
        <w:r w:rsidRPr="00FA4618">
          <w:rPr>
            <w:rStyle w:val="Hypertextovodkaz"/>
            <w:rFonts w:ascii="Arial" w:hAnsi="Arial" w:cs="Arial"/>
            <w:sz w:val="16"/>
            <w:szCs w:val="16"/>
          </w:rPr>
          <w:t>Commission</w:t>
        </w:r>
        <w:proofErr w:type="spellEnd"/>
        <w:r w:rsidRPr="00FA4618">
          <w:rPr>
            <w:rStyle w:val="Hypertextovodkaz"/>
            <w:rFonts w:ascii="Arial" w:hAnsi="Arial" w:cs="Arial"/>
            <w:sz w:val="16"/>
            <w:szCs w:val="16"/>
          </w:rPr>
          <w:t xml:space="preserve"> </w:t>
        </w:r>
        <w:proofErr w:type="spellStart"/>
        <w:r w:rsidRPr="00FA4618">
          <w:rPr>
            <w:rStyle w:val="Hypertextovodkaz"/>
            <w:rFonts w:ascii="Arial" w:hAnsi="Arial" w:cs="Arial"/>
            <w:sz w:val="16"/>
            <w:szCs w:val="16"/>
          </w:rPr>
          <w:t>staff</w:t>
        </w:r>
        <w:proofErr w:type="spellEnd"/>
        <w:r w:rsidRPr="00FA4618">
          <w:rPr>
            <w:rStyle w:val="Hypertextovodkaz"/>
            <w:rFonts w:ascii="Arial" w:hAnsi="Arial" w:cs="Arial"/>
            <w:sz w:val="16"/>
            <w:szCs w:val="16"/>
          </w:rPr>
          <w:t xml:space="preserve"> </w:t>
        </w:r>
        <w:proofErr w:type="spellStart"/>
        <w:r w:rsidRPr="00FA4618">
          <w:rPr>
            <w:rStyle w:val="Hypertextovodkaz"/>
            <w:rFonts w:ascii="Arial" w:hAnsi="Arial" w:cs="Arial"/>
            <w:sz w:val="16"/>
            <w:szCs w:val="16"/>
          </w:rPr>
          <w:t>working</w:t>
        </w:r>
        <w:proofErr w:type="spellEnd"/>
        <w:r w:rsidRPr="00FA4618">
          <w:rPr>
            <w:rStyle w:val="Hypertextovodkaz"/>
            <w:rFonts w:ascii="Arial" w:hAnsi="Arial" w:cs="Arial"/>
            <w:sz w:val="16"/>
            <w:szCs w:val="16"/>
          </w:rPr>
          <w:t xml:space="preserve"> </w:t>
        </w:r>
        <w:proofErr w:type="spellStart"/>
        <w:r w:rsidRPr="00FA4618">
          <w:rPr>
            <w:rStyle w:val="Hypertextovodkaz"/>
            <w:rFonts w:ascii="Arial" w:hAnsi="Arial" w:cs="Arial"/>
            <w:sz w:val="16"/>
            <w:szCs w:val="16"/>
          </w:rPr>
          <w:t>document</w:t>
        </w:r>
        <w:proofErr w:type="spellEnd"/>
      </w:hyperlink>
    </w:p>
  </w:footnote>
  <w:footnote w:id="24">
    <w:p w:rsidR="009C0293" w:rsidRPr="001A2B48" w:rsidRDefault="009C0293" w:rsidP="001A4D11">
      <w:pPr>
        <w:pStyle w:val="Textpoznpodarou"/>
        <w:rPr>
          <w:sz w:val="18"/>
          <w:szCs w:val="18"/>
        </w:rPr>
      </w:pPr>
      <w:r w:rsidRPr="00FA4618">
        <w:rPr>
          <w:rStyle w:val="Znakapoznpodarou"/>
          <w:rFonts w:ascii="Arial" w:hAnsi="Arial" w:cs="Arial"/>
          <w:sz w:val="16"/>
          <w:szCs w:val="16"/>
        </w:rPr>
        <w:footnoteRef/>
      </w:r>
      <w:r w:rsidRPr="00FA4618">
        <w:rPr>
          <w:rFonts w:ascii="Arial" w:hAnsi="Arial" w:cs="Arial"/>
          <w:sz w:val="16"/>
          <w:szCs w:val="16"/>
        </w:rPr>
        <w:t xml:space="preserve"> Podrobnosti výpočtu hodnoty ERP viz kapitola 6 Zprávy.</w:t>
      </w:r>
    </w:p>
  </w:footnote>
  <w:footnote w:id="25">
    <w:p w:rsidR="009C0293" w:rsidRPr="00FA4618" w:rsidRDefault="009C0293" w:rsidP="001A4D11">
      <w:pPr>
        <w:pStyle w:val="Textpoznpodarou"/>
        <w:rPr>
          <w:rFonts w:ascii="Arial" w:hAnsi="Arial" w:cs="Arial"/>
          <w:sz w:val="16"/>
          <w:szCs w:val="16"/>
        </w:rPr>
      </w:pPr>
      <w:r w:rsidRPr="00FA4618">
        <w:rPr>
          <w:rStyle w:val="Znakapoznpodarou"/>
          <w:rFonts w:ascii="Arial" w:hAnsi="Arial" w:cs="Arial"/>
          <w:sz w:val="16"/>
          <w:szCs w:val="16"/>
        </w:rPr>
        <w:footnoteRef/>
      </w:r>
      <w:r w:rsidRPr="00FA4618">
        <w:rPr>
          <w:rFonts w:ascii="Arial" w:hAnsi="Arial" w:cs="Arial"/>
          <w:sz w:val="16"/>
          <w:szCs w:val="16"/>
        </w:rPr>
        <w:t xml:space="preserve"> </w:t>
      </w:r>
      <w:r w:rsidRPr="00FA4618">
        <w:rPr>
          <w:rStyle w:val="Znakapoznpodarou"/>
          <w:rFonts w:ascii="Arial" w:hAnsi="Arial" w:cs="Arial"/>
          <w:sz w:val="16"/>
          <w:szCs w:val="16"/>
          <w:vertAlign w:val="baseline"/>
        </w:rPr>
        <w:t>V případě společnosti NOS není uvedena žádná hodnota, protože nevydala žádný dluhopis splňující definovaná výběrová kritéria.</w:t>
      </w:r>
      <w:r w:rsidRPr="00FA4618">
        <w:rPr>
          <w:rFonts w:ascii="Arial" w:hAnsi="Arial" w:cs="Arial"/>
          <w:sz w:val="16"/>
          <w:szCs w:val="16"/>
        </w:rPr>
        <w:t xml:space="preserve"> </w:t>
      </w:r>
    </w:p>
  </w:footnote>
  <w:footnote w:id="26">
    <w:p w:rsidR="009C0293" w:rsidRPr="00FA4618" w:rsidRDefault="009C0293" w:rsidP="001A4D11">
      <w:pPr>
        <w:pStyle w:val="Textpoznpodarou"/>
        <w:rPr>
          <w:rFonts w:ascii="Arial" w:hAnsi="Arial" w:cs="Arial"/>
          <w:sz w:val="16"/>
          <w:szCs w:val="16"/>
        </w:rPr>
      </w:pPr>
      <w:r w:rsidRPr="00FA4618">
        <w:rPr>
          <w:rStyle w:val="Znakapoznpodarou"/>
          <w:rFonts w:ascii="Arial" w:hAnsi="Arial" w:cs="Arial"/>
          <w:sz w:val="16"/>
          <w:szCs w:val="16"/>
        </w:rPr>
        <w:footnoteRef/>
      </w:r>
      <w:r w:rsidRPr="00FA4618">
        <w:rPr>
          <w:rFonts w:ascii="Arial" w:hAnsi="Arial" w:cs="Arial"/>
          <w:sz w:val="16"/>
          <w:szCs w:val="16"/>
        </w:rPr>
        <w:t xml:space="preserve"> Mařík a kol.: Metody oceňování podniku: proces ocenění, základní metody a postupy (2011)</w:t>
      </w:r>
    </w:p>
  </w:footnote>
  <w:footnote w:id="27">
    <w:p w:rsidR="009C0293" w:rsidRPr="00FA4618" w:rsidRDefault="009C0293" w:rsidP="001A4D11">
      <w:pPr>
        <w:pStyle w:val="Textpoznpodarou"/>
        <w:rPr>
          <w:rFonts w:ascii="Arial" w:hAnsi="Arial" w:cs="Arial"/>
          <w:sz w:val="16"/>
          <w:szCs w:val="16"/>
        </w:rPr>
      </w:pPr>
      <w:r w:rsidRPr="00FA4618">
        <w:rPr>
          <w:rStyle w:val="Znakapoznpodarou"/>
          <w:rFonts w:ascii="Arial" w:hAnsi="Arial" w:cs="Arial"/>
          <w:sz w:val="16"/>
          <w:szCs w:val="16"/>
        </w:rPr>
        <w:footnoteRef/>
      </w:r>
      <w:r w:rsidRPr="00FA4618">
        <w:rPr>
          <w:rFonts w:ascii="Arial" w:hAnsi="Arial" w:cs="Arial"/>
          <w:sz w:val="16"/>
          <w:szCs w:val="16"/>
        </w:rPr>
        <w:t xml:space="preserve"> </w:t>
      </w:r>
      <w:hyperlink r:id="rId17" w:history="1">
        <w:r w:rsidRPr="00FA4618">
          <w:rPr>
            <w:rStyle w:val="Hypertextovodkaz"/>
            <w:rFonts w:ascii="Arial" w:hAnsi="Arial" w:cs="Arial"/>
            <w:sz w:val="16"/>
            <w:szCs w:val="16"/>
          </w:rPr>
          <w:t>CZ/2022/2392</w:t>
        </w:r>
      </w:hyperlink>
    </w:p>
  </w:footnote>
  <w:footnote w:id="28">
    <w:p w:rsidR="009C0293" w:rsidRPr="004E59F5" w:rsidRDefault="009C0293" w:rsidP="006260E6">
      <w:pPr>
        <w:pStyle w:val="Textpoznpodarou"/>
        <w:rPr>
          <w:sz w:val="18"/>
          <w:szCs w:val="18"/>
        </w:rPr>
      </w:pPr>
      <w:r>
        <w:rPr>
          <w:rStyle w:val="Znakapoznpodarou"/>
        </w:rPr>
        <w:footnoteRef/>
      </w:r>
      <w:hyperlink r:id="rId18" w:history="1">
        <w:r w:rsidRPr="004E59F5">
          <w:rPr>
            <w:rStyle w:val="Hypertextovodkaz"/>
            <w:sz w:val="18"/>
            <w:szCs w:val="18"/>
          </w:rPr>
          <w:t xml:space="preserve"> Sdělení Komise Sdělení Komise o výpočtu nákladů kapitálu u starší infrastruktury v souvislosti s přezkumem vnitrostátních oznámení v odvětví elektronických komunikací EU prováděným Komisí (Text s významem pro EHP) 2019/C 375/01</w:t>
        </w:r>
      </w:hyperlink>
    </w:p>
    <w:p w:rsidR="009C0293" w:rsidRDefault="009C0293" w:rsidP="006260E6">
      <w:pPr>
        <w:pStyle w:val="Textpoznpodarou"/>
      </w:pPr>
    </w:p>
  </w:footnote>
  <w:footnote w:id="29">
    <w:p w:rsidR="009C0293" w:rsidRDefault="009C0293" w:rsidP="006260E6">
      <w:pPr>
        <w:pStyle w:val="Textpoznpodarou"/>
        <w:rPr>
          <w:sz w:val="18"/>
        </w:rPr>
      </w:pPr>
      <w:r>
        <w:rPr>
          <w:rStyle w:val="Znakapoznpodarou"/>
        </w:rPr>
        <w:footnoteRef/>
      </w:r>
      <w:r>
        <w:t xml:space="preserve"> </w:t>
      </w:r>
      <w:hyperlink r:id="rId19" w:history="1">
        <w:r w:rsidRPr="00D5674B">
          <w:rPr>
            <w:rStyle w:val="Hypertextovodkaz"/>
            <w:sz w:val="18"/>
          </w:rPr>
          <w:t>Směrnice Evropského parlamentu a Radu (EU) 2018/1972 ze dne 11. prosince 2018, kterou se stanoví evropský kodex pro elektronické komunikace.</w:t>
        </w:r>
      </w:hyperlink>
      <w:r w:rsidRPr="002477FB">
        <w:rPr>
          <w:sz w:val="18"/>
        </w:rPr>
        <w:t xml:space="preserve"> </w:t>
      </w:r>
    </w:p>
    <w:p w:rsidR="009C0293" w:rsidRPr="002477FB" w:rsidRDefault="009C0293" w:rsidP="006260E6">
      <w:pPr>
        <w:pStyle w:val="Textpoznpodarou"/>
        <w:rPr>
          <w:sz w:val="18"/>
        </w:rPr>
      </w:pPr>
    </w:p>
  </w:footnote>
  <w:footnote w:id="30">
    <w:p w:rsidR="009C0293" w:rsidRDefault="009C0293" w:rsidP="006260E6">
      <w:pPr>
        <w:pStyle w:val="Textpoznpodarou"/>
        <w:rPr>
          <w:rStyle w:val="Hypertextovodkaz"/>
          <w:sz w:val="18"/>
          <w:szCs w:val="18"/>
        </w:rPr>
      </w:pPr>
      <w:r>
        <w:rPr>
          <w:rStyle w:val="Znakapoznpodarou"/>
        </w:rPr>
        <w:footnoteRef/>
      </w:r>
      <w:r>
        <w:t xml:space="preserve"> </w:t>
      </w:r>
      <w:hyperlink r:id="rId20" w:history="1">
        <w:r w:rsidRPr="00592ECB">
          <w:rPr>
            <w:rStyle w:val="Hypertextovodkaz"/>
            <w:sz w:val="18"/>
            <w:szCs w:val="18"/>
          </w:rPr>
          <w:t xml:space="preserve">BEREC Report on WACC </w:t>
        </w:r>
        <w:proofErr w:type="spellStart"/>
        <w:r w:rsidRPr="00592ECB">
          <w:rPr>
            <w:rStyle w:val="Hypertextovodkaz"/>
            <w:sz w:val="18"/>
            <w:szCs w:val="18"/>
          </w:rPr>
          <w:t>parameter</w:t>
        </w:r>
        <w:proofErr w:type="spellEnd"/>
        <w:r w:rsidRPr="00592ECB">
          <w:rPr>
            <w:rStyle w:val="Hypertextovodkaz"/>
            <w:sz w:val="18"/>
            <w:szCs w:val="18"/>
          </w:rPr>
          <w:t xml:space="preserve"> </w:t>
        </w:r>
        <w:proofErr w:type="spellStart"/>
        <w:r w:rsidRPr="00592ECB">
          <w:rPr>
            <w:rStyle w:val="Hypertextovodkaz"/>
            <w:sz w:val="18"/>
            <w:szCs w:val="18"/>
          </w:rPr>
          <w:t>calculations</w:t>
        </w:r>
        <w:proofErr w:type="spellEnd"/>
        <w:r w:rsidRPr="00592ECB">
          <w:rPr>
            <w:rStyle w:val="Hypertextovodkaz"/>
            <w:sz w:val="18"/>
            <w:szCs w:val="18"/>
          </w:rPr>
          <w:t xml:space="preserve"> </w:t>
        </w:r>
        <w:proofErr w:type="spellStart"/>
        <w:r w:rsidRPr="00592ECB">
          <w:rPr>
            <w:rStyle w:val="Hypertextovodkaz"/>
            <w:sz w:val="18"/>
            <w:szCs w:val="18"/>
          </w:rPr>
          <w:t>according</w:t>
        </w:r>
        <w:proofErr w:type="spellEnd"/>
        <w:r w:rsidRPr="00592ECB">
          <w:rPr>
            <w:rStyle w:val="Hypertextovodkaz"/>
            <w:sz w:val="18"/>
            <w:szCs w:val="18"/>
          </w:rPr>
          <w:t xml:space="preserve"> to </w:t>
        </w:r>
        <w:proofErr w:type="spellStart"/>
        <w:r w:rsidRPr="00592ECB">
          <w:rPr>
            <w:rStyle w:val="Hypertextovodkaz"/>
            <w:sz w:val="18"/>
            <w:szCs w:val="18"/>
          </w:rPr>
          <w:t>the</w:t>
        </w:r>
        <w:proofErr w:type="spellEnd"/>
        <w:r w:rsidRPr="00592ECB">
          <w:rPr>
            <w:rStyle w:val="Hypertextovodkaz"/>
            <w:sz w:val="18"/>
            <w:szCs w:val="18"/>
          </w:rPr>
          <w:t xml:space="preserve"> </w:t>
        </w:r>
        <w:proofErr w:type="spellStart"/>
        <w:r w:rsidRPr="00592ECB">
          <w:rPr>
            <w:rStyle w:val="Hypertextovodkaz"/>
            <w:sz w:val="18"/>
            <w:szCs w:val="18"/>
          </w:rPr>
          <w:t>European</w:t>
        </w:r>
        <w:proofErr w:type="spellEnd"/>
        <w:r w:rsidRPr="00592ECB">
          <w:rPr>
            <w:rStyle w:val="Hypertextovodkaz"/>
            <w:sz w:val="18"/>
            <w:szCs w:val="18"/>
          </w:rPr>
          <w:t xml:space="preserve"> </w:t>
        </w:r>
        <w:proofErr w:type="spellStart"/>
        <w:r w:rsidRPr="00592ECB">
          <w:rPr>
            <w:rStyle w:val="Hypertextovodkaz"/>
            <w:sz w:val="18"/>
            <w:szCs w:val="18"/>
          </w:rPr>
          <w:t>Commission's</w:t>
        </w:r>
        <w:proofErr w:type="spellEnd"/>
        <w:r w:rsidRPr="00592ECB">
          <w:rPr>
            <w:rStyle w:val="Hypertextovodkaz"/>
            <w:sz w:val="18"/>
            <w:szCs w:val="18"/>
          </w:rPr>
          <w:t xml:space="preserve"> WACC </w:t>
        </w:r>
        <w:proofErr w:type="spellStart"/>
        <w:r w:rsidRPr="00592ECB">
          <w:rPr>
            <w:rStyle w:val="Hypertextovodkaz"/>
            <w:sz w:val="18"/>
            <w:szCs w:val="18"/>
          </w:rPr>
          <w:t>Notice</w:t>
        </w:r>
        <w:proofErr w:type="spellEnd"/>
        <w:r w:rsidRPr="00592ECB">
          <w:rPr>
            <w:rStyle w:val="Hypertextovodkaz"/>
            <w:sz w:val="18"/>
            <w:szCs w:val="18"/>
          </w:rPr>
          <w:t xml:space="preserve"> </w:t>
        </w:r>
        <w:proofErr w:type="spellStart"/>
        <w:r w:rsidRPr="00592ECB">
          <w:rPr>
            <w:rStyle w:val="Hypertextovodkaz"/>
            <w:sz w:val="18"/>
            <w:szCs w:val="18"/>
          </w:rPr>
          <w:t>of</w:t>
        </w:r>
        <w:proofErr w:type="spellEnd"/>
        <w:r w:rsidRPr="00592ECB">
          <w:rPr>
            <w:rStyle w:val="Hypertextovodkaz"/>
            <w:sz w:val="18"/>
            <w:szCs w:val="18"/>
          </w:rPr>
          <w:t xml:space="preserve"> 6 </w:t>
        </w:r>
        <w:proofErr w:type="spellStart"/>
        <w:r w:rsidRPr="00592ECB">
          <w:rPr>
            <w:rStyle w:val="Hypertextovodkaz"/>
            <w:sz w:val="18"/>
            <w:szCs w:val="18"/>
          </w:rPr>
          <w:t>November</w:t>
        </w:r>
        <w:proofErr w:type="spellEnd"/>
        <w:r w:rsidRPr="00592ECB">
          <w:rPr>
            <w:rStyle w:val="Hypertextovodkaz"/>
            <w:sz w:val="18"/>
            <w:szCs w:val="18"/>
          </w:rPr>
          <w:t xml:space="preserve"> 2019 (europa.eu)</w:t>
        </w:r>
        <w:r w:rsidRPr="00592ECB">
          <w:rPr>
            <w:rStyle w:val="Hypertextovodkaz"/>
          </w:rPr>
          <w:t xml:space="preserve"> </w:t>
        </w:r>
        <w:r w:rsidRPr="00592ECB">
          <w:rPr>
            <w:rStyle w:val="Hypertextovodkaz"/>
            <w:sz w:val="18"/>
            <w:szCs w:val="18"/>
          </w:rPr>
          <w:t xml:space="preserve">(WACC </w:t>
        </w:r>
        <w:proofErr w:type="spellStart"/>
        <w:r w:rsidRPr="00592ECB">
          <w:rPr>
            <w:rStyle w:val="Hypertextovodkaz"/>
            <w:sz w:val="18"/>
            <w:szCs w:val="18"/>
          </w:rPr>
          <w:t>parameters</w:t>
        </w:r>
        <w:proofErr w:type="spellEnd"/>
        <w:r w:rsidRPr="00592ECB">
          <w:rPr>
            <w:rStyle w:val="Hypertextovodkaz"/>
            <w:sz w:val="18"/>
            <w:szCs w:val="18"/>
          </w:rPr>
          <w:t xml:space="preserve"> Report 2023)</w:t>
        </w:r>
      </w:hyperlink>
    </w:p>
    <w:p w:rsidR="009C0293" w:rsidRPr="00971F7E" w:rsidRDefault="009C0293" w:rsidP="006260E6">
      <w:pPr>
        <w:pStyle w:val="Textpoznpodarou"/>
        <w:rPr>
          <w:sz w:val="18"/>
          <w:szCs w:val="18"/>
        </w:rPr>
      </w:pPr>
    </w:p>
  </w:footnote>
  <w:footnote w:id="31">
    <w:p w:rsidR="009C0293" w:rsidRDefault="009C0293" w:rsidP="006260E6">
      <w:pPr>
        <w:pStyle w:val="Textpoznpodarou"/>
      </w:pPr>
      <w:r>
        <w:rPr>
          <w:rStyle w:val="Znakapoznpodarou"/>
        </w:rPr>
        <w:footnoteRef/>
      </w:r>
      <w:proofErr w:type="spellStart"/>
      <w:r>
        <w:rPr>
          <w:rFonts w:cs="Arial"/>
          <w:szCs w:val="18"/>
          <w:lang w:val="en-US"/>
        </w:rPr>
        <w:t>Zdroj</w:t>
      </w:r>
      <w:proofErr w:type="spellEnd"/>
      <w:r>
        <w:rPr>
          <w:rFonts w:cs="Arial"/>
          <w:szCs w:val="18"/>
          <w:lang w:val="en-US"/>
        </w:rPr>
        <w:t>:</w:t>
      </w:r>
      <w:r w:rsidRPr="0042289A">
        <w:t xml:space="preserve"> </w:t>
      </w:r>
      <w:hyperlink r:id="rId21" w:history="1">
        <w:proofErr w:type="spellStart"/>
        <w:r>
          <w:rPr>
            <w:rStyle w:val="Hypertextovodkaz"/>
          </w:rPr>
          <w:t>Statistics</w:t>
        </w:r>
        <w:proofErr w:type="spellEnd"/>
        <w:r>
          <w:rPr>
            <w:rStyle w:val="Hypertextovodkaz"/>
          </w:rPr>
          <w:t xml:space="preserve"> | </w:t>
        </w:r>
        <w:proofErr w:type="spellStart"/>
        <w:r>
          <w:rPr>
            <w:rStyle w:val="Hypertextovodkaz"/>
          </w:rPr>
          <w:t>Eurostat</w:t>
        </w:r>
        <w:proofErr w:type="spellEnd"/>
        <w:r>
          <w:rPr>
            <w:rStyle w:val="Hypertextovodkaz"/>
          </w:rPr>
          <w:t xml:space="preserve"> (europa.eu)</w:t>
        </w:r>
      </w:hyperlink>
    </w:p>
  </w:footnote>
  <w:footnote w:id="32">
    <w:p w:rsidR="009C0293" w:rsidRDefault="009C0293" w:rsidP="006260E6">
      <w:pPr>
        <w:pStyle w:val="Textpoznpodarou"/>
      </w:pPr>
      <w:r>
        <w:rPr>
          <w:rStyle w:val="Znakapoznpodarou"/>
        </w:rPr>
        <w:footnoteRef/>
      </w:r>
      <w:r>
        <w:t xml:space="preserve"> Viz body 5.2.1.3 a 5.2.1.4 </w:t>
      </w:r>
      <w:hyperlink r:id="rId22" w:history="1">
        <w:proofErr w:type="spellStart"/>
        <w:r w:rsidRPr="00091A42">
          <w:rPr>
            <w:rStyle w:val="Hypertextovodkaz"/>
          </w:rPr>
          <w:t>Commission</w:t>
        </w:r>
        <w:proofErr w:type="spellEnd"/>
        <w:r w:rsidRPr="00091A42">
          <w:rPr>
            <w:rStyle w:val="Hypertextovodkaz"/>
          </w:rPr>
          <w:t xml:space="preserve"> </w:t>
        </w:r>
        <w:proofErr w:type="spellStart"/>
        <w:r w:rsidRPr="00091A42">
          <w:rPr>
            <w:rStyle w:val="Hypertextovodkaz"/>
          </w:rPr>
          <w:t>staff</w:t>
        </w:r>
        <w:proofErr w:type="spellEnd"/>
        <w:r w:rsidRPr="00091A42">
          <w:rPr>
            <w:rStyle w:val="Hypertextovodkaz"/>
          </w:rPr>
          <w:t xml:space="preserve"> </w:t>
        </w:r>
        <w:proofErr w:type="spellStart"/>
        <w:r w:rsidRPr="00091A42">
          <w:rPr>
            <w:rStyle w:val="Hypertextovodkaz"/>
          </w:rPr>
          <w:t>working</w:t>
        </w:r>
        <w:proofErr w:type="spellEnd"/>
        <w:r w:rsidRPr="00091A42">
          <w:rPr>
            <w:rStyle w:val="Hypertextovodkaz"/>
          </w:rPr>
          <w:t xml:space="preserve"> </w:t>
        </w:r>
        <w:proofErr w:type="spellStart"/>
        <w:r w:rsidRPr="00091A42">
          <w:rPr>
            <w:rStyle w:val="Hypertextovodkaz"/>
          </w:rPr>
          <w:t>document</w:t>
        </w:r>
        <w:proofErr w:type="spellEnd"/>
      </w:hyperlink>
    </w:p>
  </w:footnote>
  <w:footnote w:id="33">
    <w:p w:rsidR="009C0293" w:rsidRDefault="009C0293" w:rsidP="006260E6">
      <w:pPr>
        <w:pStyle w:val="Textpoznpodarou"/>
      </w:pPr>
      <w:r>
        <w:rPr>
          <w:rStyle w:val="Znakapoznpodarou"/>
        </w:rPr>
        <w:footnoteRef/>
      </w:r>
      <w:r>
        <w:t xml:space="preserve"> Podrobnosti výpočtu hodnoty ERP viz kapitola 6 Zprávy BEREC.</w:t>
      </w:r>
    </w:p>
  </w:footnote>
  <w:footnote w:id="34">
    <w:p w:rsidR="009C0293" w:rsidRDefault="009C0293" w:rsidP="006260E6">
      <w:pPr>
        <w:pStyle w:val="Textpoznpodarou"/>
      </w:pPr>
      <w:r>
        <w:rPr>
          <w:rStyle w:val="Znakapoznpodarou"/>
        </w:rPr>
        <w:footnoteRef/>
      </w:r>
      <w:r>
        <w:t xml:space="preserve"> Definice v čl. 2 </w:t>
      </w:r>
      <w:hyperlink r:id="rId23" w:history="1">
        <w:r w:rsidRPr="00176AF9">
          <w:rPr>
            <w:rStyle w:val="Hypertextovodkaz"/>
          </w:rPr>
          <w:t>SMĚRNICE EVROPSKÉHO PARLAMENTU A RADY (EU) 2018/1972 ze dne 11. prosince 2018, kterou se stanoví evropský kodex pro elektronické komunikace</w:t>
        </w:r>
      </w:hyperlink>
      <w:r>
        <w:t xml:space="preserve"> a následně v </w:t>
      </w:r>
      <w:hyperlink r:id="rId24" w:history="1">
        <w:r w:rsidRPr="00176AF9">
          <w:rPr>
            <w:rStyle w:val="Hypertextovodkaz"/>
          </w:rPr>
          <w:t xml:space="preserve">BEREC </w:t>
        </w:r>
        <w:proofErr w:type="spellStart"/>
        <w:r w:rsidRPr="00176AF9">
          <w:rPr>
            <w:rStyle w:val="Hypertextovodkaz"/>
          </w:rPr>
          <w:t>Guidelines</w:t>
        </w:r>
        <w:proofErr w:type="spellEnd"/>
        <w:r w:rsidRPr="00176AF9">
          <w:rPr>
            <w:rStyle w:val="Hypertextovodkaz"/>
          </w:rPr>
          <w:t xml:space="preserve"> on Very </w:t>
        </w:r>
        <w:proofErr w:type="spellStart"/>
        <w:r w:rsidRPr="00176AF9">
          <w:rPr>
            <w:rStyle w:val="Hypertextovodkaz"/>
          </w:rPr>
          <w:t>High</w:t>
        </w:r>
        <w:proofErr w:type="spellEnd"/>
        <w:r w:rsidRPr="00176AF9">
          <w:rPr>
            <w:rStyle w:val="Hypertextovodkaz"/>
          </w:rPr>
          <w:t xml:space="preserve"> </w:t>
        </w:r>
        <w:proofErr w:type="spellStart"/>
        <w:r w:rsidRPr="00176AF9">
          <w:rPr>
            <w:rStyle w:val="Hypertextovodkaz"/>
          </w:rPr>
          <w:t>Capacity</w:t>
        </w:r>
        <w:proofErr w:type="spellEnd"/>
        <w:r w:rsidRPr="00176AF9">
          <w:rPr>
            <w:rStyle w:val="Hypertextovodkaz"/>
          </w:rPr>
          <w:t xml:space="preserve"> </w:t>
        </w:r>
        <w:proofErr w:type="spellStart"/>
        <w:r w:rsidRPr="00176AF9">
          <w:rPr>
            <w:rStyle w:val="Hypertextovodkaz"/>
          </w:rPr>
          <w:t>Networks</w:t>
        </w:r>
        <w:proofErr w:type="spellEnd"/>
      </w:hyperlink>
      <w:r>
        <w:t>, zejména kap. 3.</w:t>
      </w:r>
    </w:p>
  </w:footnote>
  <w:footnote w:id="35">
    <w:p w:rsidR="009C0293" w:rsidRDefault="009C0293" w:rsidP="006260E6">
      <w:pPr>
        <w:pStyle w:val="Textpoznpodarou"/>
      </w:pPr>
      <w:r>
        <w:rPr>
          <w:rStyle w:val="Znakapoznpodarou"/>
        </w:rPr>
        <w:footnoteRef/>
      </w:r>
      <w:r>
        <w:t xml:space="preserve"> </w:t>
      </w:r>
      <w:r w:rsidRPr="009C34EF">
        <w:rPr>
          <w:sz w:val="18"/>
        </w:rPr>
        <w:t>Mařík a kol.: Metody oceňování podniku: proces ocenění, základní metody a postupy (2011)</w:t>
      </w:r>
    </w:p>
  </w:footnote>
  <w:footnote w:id="36">
    <w:p w:rsidR="009C0293" w:rsidRDefault="009C0293" w:rsidP="006260E6">
      <w:pPr>
        <w:pStyle w:val="Textpoznpodarou"/>
      </w:pPr>
      <w:r>
        <w:rPr>
          <w:rStyle w:val="Znakapoznpodarou"/>
        </w:rPr>
        <w:footnoteRef/>
      </w:r>
      <w:r>
        <w:t xml:space="preserve">Tabulka 2 na straně 15, dostupné na: </w:t>
      </w:r>
      <w:hyperlink r:id="rId25" w:history="1">
        <w:r w:rsidRPr="00E075CA">
          <w:rPr>
            <w:rStyle w:val="Hypertextovodkaz"/>
          </w:rPr>
          <w:t>https://www.berec.europa.eu/sites/default/files/files/document_register_store/2021/6/BoR_%2821%29_86_BEREC_WACC_parameters_Report_2021_final_11062021_sent_approved.pdf</w:t>
        </w:r>
      </w:hyperlink>
    </w:p>
    <w:p w:rsidR="009C0293" w:rsidRDefault="009C0293" w:rsidP="006260E6">
      <w:pPr>
        <w:pStyle w:val="Textpoznpodarou"/>
      </w:pPr>
    </w:p>
  </w:footnote>
  <w:footnote w:id="37">
    <w:p w:rsidR="009C0293" w:rsidRDefault="009C0293" w:rsidP="006260E6">
      <w:pPr>
        <w:pStyle w:val="Textpoznpodarou"/>
      </w:pPr>
      <w:r>
        <w:rPr>
          <w:rStyle w:val="Znakapoznpodarou"/>
        </w:rPr>
        <w:footnoteRef/>
      </w:r>
      <w:r>
        <w:t xml:space="preserve">Tabulka 2 na straně 15, dostupné na: </w:t>
      </w:r>
      <w:hyperlink r:id="rId26" w:history="1">
        <w:r w:rsidRPr="00E075CA">
          <w:rPr>
            <w:rStyle w:val="Hypertextovodkaz"/>
          </w:rPr>
          <w:t>https://www.berec.europa.eu/sites/default/files/files/document_register_store/2022/6/BoR%20%2822%29%2070%20BEREC%20Report%20on%20WACC%20parameters%202022.pdf</w:t>
        </w:r>
      </w:hyperlink>
    </w:p>
    <w:p w:rsidR="009C0293" w:rsidRDefault="009C0293" w:rsidP="006260E6">
      <w:pPr>
        <w:pStyle w:val="Textpoznpodarou"/>
      </w:pPr>
    </w:p>
  </w:footnote>
  <w:footnote w:id="38">
    <w:p w:rsidR="009C0293" w:rsidRDefault="009C0293" w:rsidP="006260E6">
      <w:pPr>
        <w:pStyle w:val="Textpoznpodarou"/>
      </w:pPr>
      <w:r>
        <w:rPr>
          <w:rStyle w:val="Znakapoznpodarou"/>
        </w:rPr>
        <w:footnoteRef/>
      </w:r>
      <w:r>
        <w:t>Věc č. CZ/2023/2458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666"/>
    <w:multiLevelType w:val="hybridMultilevel"/>
    <w:tmpl w:val="77067E38"/>
    <w:lvl w:ilvl="0" w:tplc="62B893BE">
      <w:start w:val="1"/>
      <w:numFmt w:val="bullet"/>
      <w:pStyle w:val="Seznamsodrkami"/>
      <w:lvlText w:val=""/>
      <w:lvlJc w:val="left"/>
      <w:pPr>
        <w:tabs>
          <w:tab w:val="num" w:pos="340"/>
        </w:tabs>
        <w:ind w:left="340" w:hanging="34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BD981BA6">
      <w:start w:val="1"/>
      <w:numFmt w:val="decimal"/>
      <w:lvlText w:val="%3."/>
      <w:lvlJc w:val="left"/>
      <w:pPr>
        <w:tabs>
          <w:tab w:val="num" w:pos="2160"/>
        </w:tabs>
        <w:ind w:left="2160" w:hanging="360"/>
      </w:pPr>
      <w:rPr>
        <w:rFonts w:hint="default"/>
        <w:sz w:val="22"/>
        <w:szCs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sz w:val="22"/>
        <w:szCs w:val="22"/>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82BD3"/>
    <w:multiLevelType w:val="hybridMultilevel"/>
    <w:tmpl w:val="0C8A5B82"/>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23889"/>
    <w:multiLevelType w:val="hybridMultilevel"/>
    <w:tmpl w:val="1A7C5A1E"/>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7567B"/>
    <w:multiLevelType w:val="hybridMultilevel"/>
    <w:tmpl w:val="E65CED0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902F13"/>
    <w:multiLevelType w:val="hybridMultilevel"/>
    <w:tmpl w:val="3CDE9E30"/>
    <w:lvl w:ilvl="0" w:tplc="97FE665A">
      <w:start w:val="1"/>
      <w:numFmt w:val="decimal"/>
      <w:lvlText w:val="4.16.2.%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74836"/>
    <w:multiLevelType w:val="hybridMultilevel"/>
    <w:tmpl w:val="E2043D9C"/>
    <w:lvl w:ilvl="0" w:tplc="3C0C277C">
      <w:start w:val="1"/>
      <w:numFmt w:val="decimal"/>
      <w:lvlText w:val="4.16.1.%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F0C84"/>
    <w:multiLevelType w:val="hybridMultilevel"/>
    <w:tmpl w:val="A74CA1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54314F"/>
    <w:multiLevelType w:val="hybridMultilevel"/>
    <w:tmpl w:val="051435CA"/>
    <w:lvl w:ilvl="0" w:tplc="92A2F886">
      <w:start w:val="1"/>
      <w:numFmt w:val="decimal"/>
      <w:lvlText w:val="0.1.%1."/>
      <w:lvlJc w:val="left"/>
      <w:pPr>
        <w:tabs>
          <w:tab w:val="num" w:pos="3060"/>
        </w:tabs>
        <w:ind w:left="3060" w:hanging="360"/>
      </w:pPr>
      <w:rPr>
        <w:rFont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FE05D7"/>
    <w:multiLevelType w:val="hybridMultilevel"/>
    <w:tmpl w:val="89C8482A"/>
    <w:lvl w:ilvl="0" w:tplc="7D84D5F2">
      <w:start w:val="1"/>
      <w:numFmt w:val="decimal"/>
      <w:lvlText w:val="5.2.%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20218E"/>
    <w:multiLevelType w:val="hybridMultilevel"/>
    <w:tmpl w:val="1CB6B2E4"/>
    <w:lvl w:ilvl="0" w:tplc="82B4BE10">
      <w:start w:val="1"/>
      <w:numFmt w:val="decimal"/>
      <w:lvlText w:val="0.17.%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5048D5"/>
    <w:multiLevelType w:val="hybridMultilevel"/>
    <w:tmpl w:val="D174DFEA"/>
    <w:lvl w:ilvl="0" w:tplc="1A0C81AC">
      <w:start w:val="1"/>
      <w:numFmt w:val="decimal"/>
      <w:lvlText w:val="0.4.%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52039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473A3F"/>
    <w:multiLevelType w:val="multilevel"/>
    <w:tmpl w:val="7268A12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4B3902"/>
    <w:multiLevelType w:val="multilevel"/>
    <w:tmpl w:val="4736332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DA1A13"/>
    <w:multiLevelType w:val="hybridMultilevel"/>
    <w:tmpl w:val="FB14F6C0"/>
    <w:lvl w:ilvl="0" w:tplc="D3AE7844">
      <w:start w:val="1"/>
      <w:numFmt w:val="decimal"/>
      <w:lvlText w:val="9.2.%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AC0530"/>
    <w:multiLevelType w:val="hybridMultilevel"/>
    <w:tmpl w:val="2A882808"/>
    <w:lvl w:ilvl="0" w:tplc="4C9C8E0E">
      <w:start w:val="1"/>
      <w:numFmt w:val="decimal"/>
      <w:lvlText w:val="4.13.%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F61697"/>
    <w:multiLevelType w:val="hybridMultilevel"/>
    <w:tmpl w:val="BBBE0426"/>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6375C4"/>
    <w:multiLevelType w:val="multilevel"/>
    <w:tmpl w:val="595219BE"/>
    <w:lvl w:ilvl="0">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705522B"/>
    <w:multiLevelType w:val="multilevel"/>
    <w:tmpl w:val="18B07366"/>
    <w:lvl w:ilvl="0">
      <w:start w:val="1"/>
      <w:numFmt w:val="bullet"/>
      <w:lvlText w:val="–"/>
      <w:lvlJc w:val="left"/>
      <w:pPr>
        <w:tabs>
          <w:tab w:val="num" w:pos="2700"/>
        </w:tabs>
        <w:ind w:left="2700" w:hanging="360"/>
      </w:pPr>
      <w:rPr>
        <w:rFonts w:ascii="Arial" w:hAnsi="Arial"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71B1CA5"/>
    <w:multiLevelType w:val="hybridMultilevel"/>
    <w:tmpl w:val="2964606C"/>
    <w:lvl w:ilvl="0" w:tplc="A656C37E">
      <w:start w:val="1"/>
      <w:numFmt w:val="decimal"/>
      <w:lvlText w:val="5.3.%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14384"/>
    <w:multiLevelType w:val="hybridMultilevel"/>
    <w:tmpl w:val="D1FC25A4"/>
    <w:lvl w:ilvl="0" w:tplc="D250C488">
      <w:start w:val="1"/>
      <w:numFmt w:val="decimal"/>
      <w:lvlText w:val="4.14.%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8E6C9A"/>
    <w:multiLevelType w:val="hybridMultilevel"/>
    <w:tmpl w:val="5462C2F2"/>
    <w:lvl w:ilvl="0" w:tplc="5BFA090A">
      <w:start w:val="1"/>
      <w:numFmt w:val="decimal"/>
      <w:lvlText w:val="3.%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3F28DB"/>
    <w:multiLevelType w:val="hybridMultilevel"/>
    <w:tmpl w:val="474C9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3F0E8C"/>
    <w:multiLevelType w:val="multilevel"/>
    <w:tmpl w:val="619AA9CE"/>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FD555E3"/>
    <w:multiLevelType w:val="hybridMultilevel"/>
    <w:tmpl w:val="7E6EA58A"/>
    <w:lvl w:ilvl="0" w:tplc="BDE0CA44">
      <w:start w:val="1"/>
      <w:numFmt w:val="decimal"/>
      <w:lvlText w:val="0.6.%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F22707"/>
    <w:multiLevelType w:val="multilevel"/>
    <w:tmpl w:val="639CC270"/>
    <w:lvl w:ilvl="0">
      <w:start w:val="1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154866"/>
    <w:multiLevelType w:val="multilevel"/>
    <w:tmpl w:val="49E06760"/>
    <w:lvl w:ilvl="0">
      <w:start w:val="1"/>
      <w:numFmt w:val="ordinal"/>
      <w:lvlText w:val="4%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955D7F"/>
    <w:multiLevelType w:val="hybridMultilevel"/>
    <w:tmpl w:val="16F07C20"/>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E02A62"/>
    <w:multiLevelType w:val="multilevel"/>
    <w:tmpl w:val="08C6F834"/>
    <w:lvl w:ilvl="0">
      <w:start w:val="1"/>
      <w:numFmt w:val="decimal"/>
      <w:lvlText w:val="%1."/>
      <w:lvlJc w:val="left"/>
      <w:pPr>
        <w:ind w:left="720" w:hanging="360"/>
      </w:pPr>
      <w:rPr>
        <w:rFonts w:hint="default"/>
      </w:rPr>
    </w:lvl>
    <w:lvl w:ilvl="1">
      <w:start w:val="1"/>
      <w:numFmt w:val="ordin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4F4497"/>
    <w:multiLevelType w:val="hybridMultilevel"/>
    <w:tmpl w:val="2C38EA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A25049D"/>
    <w:multiLevelType w:val="multilevel"/>
    <w:tmpl w:val="7456784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A455DE5"/>
    <w:multiLevelType w:val="multilevel"/>
    <w:tmpl w:val="4FFA97C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A8C6563"/>
    <w:multiLevelType w:val="hybridMultilevel"/>
    <w:tmpl w:val="A922159E"/>
    <w:lvl w:ilvl="0" w:tplc="EC4C9FE4">
      <w:start w:val="1"/>
      <w:numFmt w:val="decimal"/>
      <w:lvlText w:val="2.5.%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C3A5C9C"/>
    <w:multiLevelType w:val="hybridMultilevel"/>
    <w:tmpl w:val="604832FA"/>
    <w:lvl w:ilvl="0" w:tplc="B7748D4E">
      <w:start w:val="1"/>
      <w:numFmt w:val="decimal"/>
      <w:lvlText w:val="0.16.%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5C7AE8"/>
    <w:multiLevelType w:val="hybridMultilevel"/>
    <w:tmpl w:val="C520EF28"/>
    <w:lvl w:ilvl="0" w:tplc="F36C19C0">
      <w:start w:val="1"/>
      <w:numFmt w:val="decimal"/>
      <w:lvlText w:val="0.7.%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6B3A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11D63C2"/>
    <w:multiLevelType w:val="hybridMultilevel"/>
    <w:tmpl w:val="C212B18E"/>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BD4A45"/>
    <w:multiLevelType w:val="hybridMultilevel"/>
    <w:tmpl w:val="7E3E99A6"/>
    <w:lvl w:ilvl="0" w:tplc="2F6459F4">
      <w:start w:val="1"/>
      <w:numFmt w:val="decimal"/>
      <w:lvlText w:val="(%1)"/>
      <w:lvlJc w:val="left"/>
      <w:pPr>
        <w:ind w:left="340" w:firstLine="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4AD13CA"/>
    <w:multiLevelType w:val="multilevel"/>
    <w:tmpl w:val="E6587CAE"/>
    <w:lvl w:ilvl="0">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353B4AD7"/>
    <w:multiLevelType w:val="multilevel"/>
    <w:tmpl w:val="69B851B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35A24FDC"/>
    <w:multiLevelType w:val="hybridMultilevel"/>
    <w:tmpl w:val="1750E112"/>
    <w:lvl w:ilvl="0" w:tplc="013843B0">
      <w:start w:val="1"/>
      <w:numFmt w:val="decimal"/>
      <w:lvlText w:val="0.11.%1."/>
      <w:lvlJc w:val="left"/>
      <w:pPr>
        <w:tabs>
          <w:tab w:val="num" w:pos="786"/>
        </w:tabs>
        <w:ind w:left="786"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2F7F1B"/>
    <w:multiLevelType w:val="hybridMultilevel"/>
    <w:tmpl w:val="E31C6A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B0575B6"/>
    <w:multiLevelType w:val="hybridMultilevel"/>
    <w:tmpl w:val="420AD640"/>
    <w:lvl w:ilvl="0" w:tplc="07B401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BAD203D"/>
    <w:multiLevelType w:val="hybridMultilevel"/>
    <w:tmpl w:val="0AEECA28"/>
    <w:lvl w:ilvl="0" w:tplc="79BE06C0">
      <w:start w:val="1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3BCC44D2"/>
    <w:multiLevelType w:val="hybridMultilevel"/>
    <w:tmpl w:val="F476DA82"/>
    <w:lvl w:ilvl="0" w:tplc="7436CE28">
      <w:start w:val="1"/>
      <w:numFmt w:val="decimal"/>
      <w:lvlText w:val="2.2.%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BEE64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C857505"/>
    <w:multiLevelType w:val="hybridMultilevel"/>
    <w:tmpl w:val="07AEED30"/>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CEE3BA0"/>
    <w:multiLevelType w:val="hybridMultilevel"/>
    <w:tmpl w:val="30601CB0"/>
    <w:lvl w:ilvl="0" w:tplc="EF0AEE1E">
      <w:start w:val="1"/>
      <w:numFmt w:val="decimal"/>
      <w:lvlText w:val="4.6.%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D3F5AF7"/>
    <w:multiLevelType w:val="hybridMultilevel"/>
    <w:tmpl w:val="A07077F2"/>
    <w:lvl w:ilvl="0" w:tplc="BABAF4CA">
      <w:start w:val="1"/>
      <w:numFmt w:val="decimal"/>
      <w:lvlText w:val="(%1)"/>
      <w:lvlJc w:val="left"/>
      <w:pPr>
        <w:ind w:left="1278" w:hanging="450"/>
      </w:pPr>
      <w:rPr>
        <w:rFonts w:hint="default"/>
      </w:rPr>
    </w:lvl>
    <w:lvl w:ilvl="1" w:tplc="04050019" w:tentative="1">
      <w:start w:val="1"/>
      <w:numFmt w:val="lowerLetter"/>
      <w:lvlText w:val="%2."/>
      <w:lvlJc w:val="left"/>
      <w:pPr>
        <w:ind w:left="1908" w:hanging="360"/>
      </w:pPr>
    </w:lvl>
    <w:lvl w:ilvl="2" w:tplc="0405001B" w:tentative="1">
      <w:start w:val="1"/>
      <w:numFmt w:val="lowerRoman"/>
      <w:lvlText w:val="%3."/>
      <w:lvlJc w:val="right"/>
      <w:pPr>
        <w:ind w:left="2628" w:hanging="180"/>
      </w:pPr>
    </w:lvl>
    <w:lvl w:ilvl="3" w:tplc="0405000F" w:tentative="1">
      <w:start w:val="1"/>
      <w:numFmt w:val="decimal"/>
      <w:lvlText w:val="%4."/>
      <w:lvlJc w:val="left"/>
      <w:pPr>
        <w:ind w:left="3348" w:hanging="360"/>
      </w:pPr>
    </w:lvl>
    <w:lvl w:ilvl="4" w:tplc="04050019" w:tentative="1">
      <w:start w:val="1"/>
      <w:numFmt w:val="lowerLetter"/>
      <w:lvlText w:val="%5."/>
      <w:lvlJc w:val="left"/>
      <w:pPr>
        <w:ind w:left="4068" w:hanging="360"/>
      </w:pPr>
    </w:lvl>
    <w:lvl w:ilvl="5" w:tplc="0405001B" w:tentative="1">
      <w:start w:val="1"/>
      <w:numFmt w:val="lowerRoman"/>
      <w:lvlText w:val="%6."/>
      <w:lvlJc w:val="right"/>
      <w:pPr>
        <w:ind w:left="4788" w:hanging="180"/>
      </w:pPr>
    </w:lvl>
    <w:lvl w:ilvl="6" w:tplc="0405000F" w:tentative="1">
      <w:start w:val="1"/>
      <w:numFmt w:val="decimal"/>
      <w:lvlText w:val="%7."/>
      <w:lvlJc w:val="left"/>
      <w:pPr>
        <w:ind w:left="5508" w:hanging="360"/>
      </w:pPr>
    </w:lvl>
    <w:lvl w:ilvl="7" w:tplc="04050019" w:tentative="1">
      <w:start w:val="1"/>
      <w:numFmt w:val="lowerLetter"/>
      <w:lvlText w:val="%8."/>
      <w:lvlJc w:val="left"/>
      <w:pPr>
        <w:ind w:left="6228" w:hanging="360"/>
      </w:pPr>
    </w:lvl>
    <w:lvl w:ilvl="8" w:tplc="0405001B" w:tentative="1">
      <w:start w:val="1"/>
      <w:numFmt w:val="lowerRoman"/>
      <w:lvlText w:val="%9."/>
      <w:lvlJc w:val="right"/>
      <w:pPr>
        <w:ind w:left="6948" w:hanging="180"/>
      </w:pPr>
    </w:lvl>
  </w:abstractNum>
  <w:abstractNum w:abstractNumId="49" w15:restartNumberingAfterBreak="0">
    <w:nsid w:val="3DA11D19"/>
    <w:multiLevelType w:val="hybridMultilevel"/>
    <w:tmpl w:val="1EB43708"/>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1FA4BFE"/>
    <w:multiLevelType w:val="hybridMultilevel"/>
    <w:tmpl w:val="480C8830"/>
    <w:lvl w:ilvl="0" w:tplc="D95A0BB2">
      <w:start w:val="1"/>
      <w:numFmt w:val="bullet"/>
      <w:lvlText w:val="–"/>
      <w:lvlJc w:val="left"/>
      <w:pPr>
        <w:tabs>
          <w:tab w:val="num" w:pos="2700"/>
        </w:tabs>
        <w:ind w:left="270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2172B85"/>
    <w:multiLevelType w:val="hybridMultilevel"/>
    <w:tmpl w:val="7B00385C"/>
    <w:lvl w:ilvl="0" w:tplc="ECE6F3C6">
      <w:start w:val="1"/>
      <w:numFmt w:val="lowerLetter"/>
      <w:lvlText w:val="%1)"/>
      <w:lvlJc w:val="left"/>
      <w:pPr>
        <w:ind w:left="1017" w:hanging="360"/>
      </w:pPr>
      <w:rPr>
        <w:rFonts w:hint="default"/>
      </w:rPr>
    </w:lvl>
    <w:lvl w:ilvl="1" w:tplc="04050019" w:tentative="1">
      <w:start w:val="1"/>
      <w:numFmt w:val="lowerLetter"/>
      <w:lvlText w:val="%2."/>
      <w:lvlJc w:val="left"/>
      <w:pPr>
        <w:ind w:left="1737" w:hanging="360"/>
      </w:pPr>
    </w:lvl>
    <w:lvl w:ilvl="2" w:tplc="0405001B" w:tentative="1">
      <w:start w:val="1"/>
      <w:numFmt w:val="lowerRoman"/>
      <w:lvlText w:val="%3."/>
      <w:lvlJc w:val="right"/>
      <w:pPr>
        <w:ind w:left="2457" w:hanging="180"/>
      </w:pPr>
    </w:lvl>
    <w:lvl w:ilvl="3" w:tplc="0405000F" w:tentative="1">
      <w:start w:val="1"/>
      <w:numFmt w:val="decimal"/>
      <w:lvlText w:val="%4."/>
      <w:lvlJc w:val="left"/>
      <w:pPr>
        <w:ind w:left="3177" w:hanging="360"/>
      </w:pPr>
    </w:lvl>
    <w:lvl w:ilvl="4" w:tplc="04050019" w:tentative="1">
      <w:start w:val="1"/>
      <w:numFmt w:val="lowerLetter"/>
      <w:lvlText w:val="%5."/>
      <w:lvlJc w:val="left"/>
      <w:pPr>
        <w:ind w:left="3897" w:hanging="360"/>
      </w:pPr>
    </w:lvl>
    <w:lvl w:ilvl="5" w:tplc="0405001B" w:tentative="1">
      <w:start w:val="1"/>
      <w:numFmt w:val="lowerRoman"/>
      <w:lvlText w:val="%6."/>
      <w:lvlJc w:val="right"/>
      <w:pPr>
        <w:ind w:left="4617" w:hanging="180"/>
      </w:pPr>
    </w:lvl>
    <w:lvl w:ilvl="6" w:tplc="0405000F" w:tentative="1">
      <w:start w:val="1"/>
      <w:numFmt w:val="decimal"/>
      <w:lvlText w:val="%7."/>
      <w:lvlJc w:val="left"/>
      <w:pPr>
        <w:ind w:left="5337" w:hanging="360"/>
      </w:pPr>
    </w:lvl>
    <w:lvl w:ilvl="7" w:tplc="04050019" w:tentative="1">
      <w:start w:val="1"/>
      <w:numFmt w:val="lowerLetter"/>
      <w:lvlText w:val="%8."/>
      <w:lvlJc w:val="left"/>
      <w:pPr>
        <w:ind w:left="6057" w:hanging="360"/>
      </w:pPr>
    </w:lvl>
    <w:lvl w:ilvl="8" w:tplc="0405001B" w:tentative="1">
      <w:start w:val="1"/>
      <w:numFmt w:val="lowerRoman"/>
      <w:lvlText w:val="%9."/>
      <w:lvlJc w:val="right"/>
      <w:pPr>
        <w:ind w:left="6777" w:hanging="180"/>
      </w:pPr>
    </w:lvl>
  </w:abstractNum>
  <w:abstractNum w:abstractNumId="52" w15:restartNumberingAfterBreak="0">
    <w:nsid w:val="42742ED6"/>
    <w:multiLevelType w:val="multilevel"/>
    <w:tmpl w:val="F664FE52"/>
    <w:lvl w:ilvl="0">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42872A2"/>
    <w:multiLevelType w:val="hybridMultilevel"/>
    <w:tmpl w:val="15803A1E"/>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565713E"/>
    <w:multiLevelType w:val="hybridMultilevel"/>
    <w:tmpl w:val="BD2A9026"/>
    <w:lvl w:ilvl="0" w:tplc="946EC0B6">
      <w:start w:val="1"/>
      <w:numFmt w:val="lowerLetter"/>
      <w:lvlText w:val="%1)"/>
      <w:lvlJc w:val="left"/>
      <w:pPr>
        <w:ind w:left="1017" w:hanging="360"/>
      </w:pPr>
      <w:rPr>
        <w:rFonts w:hint="default"/>
      </w:rPr>
    </w:lvl>
    <w:lvl w:ilvl="1" w:tplc="04050019" w:tentative="1">
      <w:start w:val="1"/>
      <w:numFmt w:val="lowerLetter"/>
      <w:lvlText w:val="%2."/>
      <w:lvlJc w:val="left"/>
      <w:pPr>
        <w:ind w:left="1737" w:hanging="360"/>
      </w:pPr>
    </w:lvl>
    <w:lvl w:ilvl="2" w:tplc="0405001B" w:tentative="1">
      <w:start w:val="1"/>
      <w:numFmt w:val="lowerRoman"/>
      <w:lvlText w:val="%3."/>
      <w:lvlJc w:val="right"/>
      <w:pPr>
        <w:ind w:left="2457" w:hanging="180"/>
      </w:pPr>
    </w:lvl>
    <w:lvl w:ilvl="3" w:tplc="0405000F" w:tentative="1">
      <w:start w:val="1"/>
      <w:numFmt w:val="decimal"/>
      <w:lvlText w:val="%4."/>
      <w:lvlJc w:val="left"/>
      <w:pPr>
        <w:ind w:left="3177" w:hanging="360"/>
      </w:pPr>
    </w:lvl>
    <w:lvl w:ilvl="4" w:tplc="04050019" w:tentative="1">
      <w:start w:val="1"/>
      <w:numFmt w:val="lowerLetter"/>
      <w:lvlText w:val="%5."/>
      <w:lvlJc w:val="left"/>
      <w:pPr>
        <w:ind w:left="3897" w:hanging="360"/>
      </w:pPr>
    </w:lvl>
    <w:lvl w:ilvl="5" w:tplc="0405001B" w:tentative="1">
      <w:start w:val="1"/>
      <w:numFmt w:val="lowerRoman"/>
      <w:lvlText w:val="%6."/>
      <w:lvlJc w:val="right"/>
      <w:pPr>
        <w:ind w:left="4617" w:hanging="180"/>
      </w:pPr>
    </w:lvl>
    <w:lvl w:ilvl="6" w:tplc="0405000F" w:tentative="1">
      <w:start w:val="1"/>
      <w:numFmt w:val="decimal"/>
      <w:lvlText w:val="%7."/>
      <w:lvlJc w:val="left"/>
      <w:pPr>
        <w:ind w:left="5337" w:hanging="360"/>
      </w:pPr>
    </w:lvl>
    <w:lvl w:ilvl="7" w:tplc="04050019" w:tentative="1">
      <w:start w:val="1"/>
      <w:numFmt w:val="lowerLetter"/>
      <w:lvlText w:val="%8."/>
      <w:lvlJc w:val="left"/>
      <w:pPr>
        <w:ind w:left="6057" w:hanging="360"/>
      </w:pPr>
    </w:lvl>
    <w:lvl w:ilvl="8" w:tplc="0405001B" w:tentative="1">
      <w:start w:val="1"/>
      <w:numFmt w:val="lowerRoman"/>
      <w:lvlText w:val="%9."/>
      <w:lvlJc w:val="right"/>
      <w:pPr>
        <w:ind w:left="6777" w:hanging="180"/>
      </w:pPr>
    </w:lvl>
  </w:abstractNum>
  <w:abstractNum w:abstractNumId="55" w15:restartNumberingAfterBreak="0">
    <w:nsid w:val="45CD1A5D"/>
    <w:multiLevelType w:val="multilevel"/>
    <w:tmpl w:val="DC9E5AA2"/>
    <w:lvl w:ilvl="0">
      <w:start w:val="1"/>
      <w:numFmt w:val="ordinal"/>
      <w:lvlText w:val="4%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7E4319C"/>
    <w:multiLevelType w:val="hybridMultilevel"/>
    <w:tmpl w:val="E49A7E20"/>
    <w:lvl w:ilvl="0" w:tplc="3E862938">
      <w:start w:val="1"/>
      <w:numFmt w:val="decimal"/>
      <w:lvlText w:val="0.3.%1."/>
      <w:lvlJc w:val="left"/>
      <w:pPr>
        <w:tabs>
          <w:tab w:val="num" w:pos="502"/>
        </w:tabs>
        <w:ind w:left="502" w:hanging="360"/>
      </w:pPr>
      <w:rPr>
        <w:rFonts w:hint="default"/>
      </w:rPr>
    </w:lvl>
    <w:lvl w:ilvl="1" w:tplc="04050003" w:tentative="1">
      <w:start w:val="1"/>
      <w:numFmt w:val="bullet"/>
      <w:lvlText w:val="o"/>
      <w:lvlJc w:val="left"/>
      <w:pPr>
        <w:tabs>
          <w:tab w:val="num" w:pos="-758"/>
        </w:tabs>
        <w:ind w:left="-758" w:hanging="360"/>
      </w:pPr>
      <w:rPr>
        <w:rFonts w:ascii="Courier New" w:hAnsi="Courier New" w:hint="default"/>
      </w:rPr>
    </w:lvl>
    <w:lvl w:ilvl="2" w:tplc="04050005" w:tentative="1">
      <w:start w:val="1"/>
      <w:numFmt w:val="bullet"/>
      <w:lvlText w:val=""/>
      <w:lvlJc w:val="left"/>
      <w:pPr>
        <w:tabs>
          <w:tab w:val="num" w:pos="-38"/>
        </w:tabs>
        <w:ind w:left="-38" w:hanging="360"/>
      </w:pPr>
      <w:rPr>
        <w:rFonts w:ascii="Wingdings" w:hAnsi="Wingdings" w:hint="default"/>
      </w:rPr>
    </w:lvl>
    <w:lvl w:ilvl="3" w:tplc="04050001" w:tentative="1">
      <w:start w:val="1"/>
      <w:numFmt w:val="bullet"/>
      <w:lvlText w:val=""/>
      <w:lvlJc w:val="left"/>
      <w:pPr>
        <w:tabs>
          <w:tab w:val="num" w:pos="682"/>
        </w:tabs>
        <w:ind w:left="682" w:hanging="360"/>
      </w:pPr>
      <w:rPr>
        <w:rFonts w:ascii="Symbol" w:hAnsi="Symbol" w:hint="default"/>
      </w:rPr>
    </w:lvl>
    <w:lvl w:ilvl="4" w:tplc="04050003" w:tentative="1">
      <w:start w:val="1"/>
      <w:numFmt w:val="bullet"/>
      <w:lvlText w:val="o"/>
      <w:lvlJc w:val="left"/>
      <w:pPr>
        <w:tabs>
          <w:tab w:val="num" w:pos="1402"/>
        </w:tabs>
        <w:ind w:left="1402" w:hanging="360"/>
      </w:pPr>
      <w:rPr>
        <w:rFonts w:ascii="Courier New" w:hAnsi="Courier New" w:hint="default"/>
      </w:rPr>
    </w:lvl>
    <w:lvl w:ilvl="5" w:tplc="04050005" w:tentative="1">
      <w:start w:val="1"/>
      <w:numFmt w:val="bullet"/>
      <w:lvlText w:val=""/>
      <w:lvlJc w:val="left"/>
      <w:pPr>
        <w:tabs>
          <w:tab w:val="num" w:pos="2122"/>
        </w:tabs>
        <w:ind w:left="2122" w:hanging="360"/>
      </w:pPr>
      <w:rPr>
        <w:rFonts w:ascii="Wingdings" w:hAnsi="Wingdings" w:hint="default"/>
      </w:rPr>
    </w:lvl>
    <w:lvl w:ilvl="6" w:tplc="04050001" w:tentative="1">
      <w:start w:val="1"/>
      <w:numFmt w:val="bullet"/>
      <w:lvlText w:val=""/>
      <w:lvlJc w:val="left"/>
      <w:pPr>
        <w:tabs>
          <w:tab w:val="num" w:pos="2842"/>
        </w:tabs>
        <w:ind w:left="2842" w:hanging="360"/>
      </w:pPr>
      <w:rPr>
        <w:rFonts w:ascii="Symbol" w:hAnsi="Symbol" w:hint="default"/>
      </w:rPr>
    </w:lvl>
    <w:lvl w:ilvl="7" w:tplc="04050003" w:tentative="1">
      <w:start w:val="1"/>
      <w:numFmt w:val="bullet"/>
      <w:lvlText w:val="o"/>
      <w:lvlJc w:val="left"/>
      <w:pPr>
        <w:tabs>
          <w:tab w:val="num" w:pos="3562"/>
        </w:tabs>
        <w:ind w:left="3562" w:hanging="360"/>
      </w:pPr>
      <w:rPr>
        <w:rFonts w:ascii="Courier New" w:hAnsi="Courier New" w:hint="default"/>
      </w:rPr>
    </w:lvl>
    <w:lvl w:ilvl="8" w:tplc="04050005" w:tentative="1">
      <w:start w:val="1"/>
      <w:numFmt w:val="bullet"/>
      <w:lvlText w:val=""/>
      <w:lvlJc w:val="left"/>
      <w:pPr>
        <w:tabs>
          <w:tab w:val="num" w:pos="4282"/>
        </w:tabs>
        <w:ind w:left="4282" w:hanging="360"/>
      </w:pPr>
      <w:rPr>
        <w:rFonts w:ascii="Wingdings" w:hAnsi="Wingdings" w:hint="default"/>
      </w:rPr>
    </w:lvl>
  </w:abstractNum>
  <w:abstractNum w:abstractNumId="57" w15:restartNumberingAfterBreak="0">
    <w:nsid w:val="491D27D6"/>
    <w:multiLevelType w:val="hybridMultilevel"/>
    <w:tmpl w:val="D9BA3958"/>
    <w:lvl w:ilvl="0" w:tplc="99FCFCF2">
      <w:start w:val="1"/>
      <w:numFmt w:val="decimal"/>
      <w:lvlText w:val="4.8.%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9FD40B3"/>
    <w:multiLevelType w:val="hybridMultilevel"/>
    <w:tmpl w:val="C0424C46"/>
    <w:lvl w:ilvl="0" w:tplc="C396DCA8">
      <w:start w:val="1"/>
      <w:numFmt w:val="decimal"/>
      <w:lvlText w:val="0.10.%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333CD5"/>
    <w:multiLevelType w:val="hybridMultilevel"/>
    <w:tmpl w:val="EFAC6226"/>
    <w:lvl w:ilvl="0" w:tplc="92A2F886">
      <w:start w:val="1"/>
      <w:numFmt w:val="decimal"/>
      <w:lvlText w:val="0.1.%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0" w15:restartNumberingAfterBreak="0">
    <w:nsid w:val="4BAD6766"/>
    <w:multiLevelType w:val="multilevel"/>
    <w:tmpl w:val="88D8580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92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C8545DF"/>
    <w:multiLevelType w:val="hybridMultilevel"/>
    <w:tmpl w:val="789C8950"/>
    <w:lvl w:ilvl="0" w:tplc="50541FC8">
      <w:start w:val="1"/>
      <w:numFmt w:val="decimal"/>
      <w:lvlText w:val="0.14.%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CA23579"/>
    <w:multiLevelType w:val="hybridMultilevel"/>
    <w:tmpl w:val="2FAAF7E8"/>
    <w:lvl w:ilvl="0" w:tplc="1EBA49CC">
      <w:start w:val="1"/>
      <w:numFmt w:val="decimal"/>
      <w:lvlText w:val="0.5.%1."/>
      <w:lvlJc w:val="left"/>
      <w:pPr>
        <w:tabs>
          <w:tab w:val="num" w:pos="2700"/>
        </w:tabs>
        <w:ind w:left="2700" w:hanging="360"/>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D7B265B"/>
    <w:multiLevelType w:val="hybridMultilevel"/>
    <w:tmpl w:val="76E495C2"/>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9D3133"/>
    <w:multiLevelType w:val="hybridMultilevel"/>
    <w:tmpl w:val="5B60E8D8"/>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F313DDD"/>
    <w:multiLevelType w:val="multilevel"/>
    <w:tmpl w:val="F846306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0510C2F"/>
    <w:multiLevelType w:val="hybridMultilevel"/>
    <w:tmpl w:val="18CC8814"/>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0855667"/>
    <w:multiLevelType w:val="hybridMultilevel"/>
    <w:tmpl w:val="E17CFB24"/>
    <w:lvl w:ilvl="0" w:tplc="92A2F886">
      <w:start w:val="1"/>
      <w:numFmt w:val="decimal"/>
      <w:lvlText w:val="0.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8" w15:restartNumberingAfterBreak="0">
    <w:nsid w:val="5171339A"/>
    <w:multiLevelType w:val="hybridMultilevel"/>
    <w:tmpl w:val="28885C8E"/>
    <w:lvl w:ilvl="0" w:tplc="D63C777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9" w15:restartNumberingAfterBreak="0">
    <w:nsid w:val="535D68A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39F3B95"/>
    <w:multiLevelType w:val="hybridMultilevel"/>
    <w:tmpl w:val="1452CC5A"/>
    <w:lvl w:ilvl="0" w:tplc="3222C57C">
      <w:start w:val="1"/>
      <w:numFmt w:val="decimal"/>
      <w:lvlText w:val="4.10.%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4755AA9"/>
    <w:multiLevelType w:val="multilevel"/>
    <w:tmpl w:val="925E82FE"/>
    <w:lvl w:ilvl="0">
      <w:start w:val="1"/>
      <w:numFmt w:val="lowerLetter"/>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54811365"/>
    <w:multiLevelType w:val="hybridMultilevel"/>
    <w:tmpl w:val="95C64DDC"/>
    <w:lvl w:ilvl="0" w:tplc="BC8A6F28">
      <w:start w:val="1"/>
      <w:numFmt w:val="decimal"/>
      <w:lvlText w:val="4.16.3.%1."/>
      <w:lvlJc w:val="left"/>
      <w:pPr>
        <w:tabs>
          <w:tab w:val="num" w:pos="1920"/>
        </w:tabs>
        <w:ind w:left="19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4934ECF"/>
    <w:multiLevelType w:val="hybridMultilevel"/>
    <w:tmpl w:val="622EEB1E"/>
    <w:lvl w:ilvl="0" w:tplc="3B467DE8">
      <w:start w:val="1"/>
      <w:numFmt w:val="decimal"/>
      <w:lvlText w:val="5.1.%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7AA5E39"/>
    <w:multiLevelType w:val="hybridMultilevel"/>
    <w:tmpl w:val="599E6E20"/>
    <w:lvl w:ilvl="0" w:tplc="DD8A8316">
      <w:start w:val="1"/>
      <w:numFmt w:val="decimal"/>
      <w:lvlText w:val="0.15.%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8B55C6C"/>
    <w:multiLevelType w:val="multilevel"/>
    <w:tmpl w:val="650297EA"/>
    <w:lvl w:ilvl="0">
      <w:start w:val="1"/>
      <w:numFmt w:val="ordinal"/>
      <w:lvlText w:val="4%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A372D0C"/>
    <w:multiLevelType w:val="hybridMultilevel"/>
    <w:tmpl w:val="A974654E"/>
    <w:lvl w:ilvl="0" w:tplc="5C48A97E">
      <w:start w:val="1"/>
      <w:numFmt w:val="decimal"/>
      <w:lvlText w:val="4.16.4.%1."/>
      <w:lvlJc w:val="left"/>
      <w:pPr>
        <w:tabs>
          <w:tab w:val="num" w:pos="2700"/>
        </w:tabs>
        <w:ind w:left="27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ACD2197"/>
    <w:multiLevelType w:val="hybridMultilevel"/>
    <w:tmpl w:val="9ECA33EE"/>
    <w:lvl w:ilvl="0" w:tplc="A84285D4">
      <w:start w:val="1"/>
      <w:numFmt w:val="decimal"/>
      <w:lvlText w:val="4.9.%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B187434"/>
    <w:multiLevelType w:val="multilevel"/>
    <w:tmpl w:val="64244C22"/>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5C1F4A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C3D6B40"/>
    <w:multiLevelType w:val="multilevel"/>
    <w:tmpl w:val="1A22D07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F4C3436"/>
    <w:multiLevelType w:val="hybridMultilevel"/>
    <w:tmpl w:val="61380E52"/>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CA197A"/>
    <w:multiLevelType w:val="hybridMultilevel"/>
    <w:tmpl w:val="18AA89F6"/>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367363D"/>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3E34740"/>
    <w:multiLevelType w:val="multilevel"/>
    <w:tmpl w:val="5D0ACE3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51070DB"/>
    <w:multiLevelType w:val="hybridMultilevel"/>
    <w:tmpl w:val="9734303C"/>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532020B"/>
    <w:multiLevelType w:val="hybridMultilevel"/>
    <w:tmpl w:val="292AB6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6191373"/>
    <w:multiLevelType w:val="hybridMultilevel"/>
    <w:tmpl w:val="A24E1B10"/>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695388A"/>
    <w:multiLevelType w:val="hybridMultilevel"/>
    <w:tmpl w:val="06F40EBA"/>
    <w:lvl w:ilvl="0" w:tplc="D91C8754">
      <w:start w:val="1"/>
      <w:numFmt w:val="decimal"/>
      <w:lvlText w:val="0.8.%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69D5CE1"/>
    <w:multiLevelType w:val="multilevel"/>
    <w:tmpl w:val="AE7C3A6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82803B9"/>
    <w:multiLevelType w:val="multilevel"/>
    <w:tmpl w:val="D83AC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8A26CE6"/>
    <w:multiLevelType w:val="hybridMultilevel"/>
    <w:tmpl w:val="E938B128"/>
    <w:lvl w:ilvl="0" w:tplc="3306D3B8">
      <w:start w:val="1"/>
      <w:numFmt w:val="lowerLetter"/>
      <w:lvlText w:val="%1)"/>
      <w:lvlJc w:val="left"/>
      <w:pPr>
        <w:tabs>
          <w:tab w:val="num" w:pos="596"/>
        </w:tabs>
        <w:ind w:left="596" w:hanging="360"/>
      </w:pPr>
      <w:rPr>
        <w:rFonts w:cs="Times New Roman" w:hint="default"/>
      </w:rPr>
    </w:lvl>
    <w:lvl w:ilvl="1" w:tplc="04050019" w:tentative="1">
      <w:start w:val="1"/>
      <w:numFmt w:val="lowerLetter"/>
      <w:lvlText w:val="%2."/>
      <w:lvlJc w:val="left"/>
      <w:pPr>
        <w:tabs>
          <w:tab w:val="num" w:pos="1558"/>
        </w:tabs>
        <w:ind w:left="1558" w:hanging="360"/>
      </w:pPr>
      <w:rPr>
        <w:rFonts w:cs="Times New Roman"/>
      </w:rPr>
    </w:lvl>
    <w:lvl w:ilvl="2" w:tplc="0405001B" w:tentative="1">
      <w:start w:val="1"/>
      <w:numFmt w:val="lowerRoman"/>
      <w:lvlText w:val="%3."/>
      <w:lvlJc w:val="right"/>
      <w:pPr>
        <w:tabs>
          <w:tab w:val="num" w:pos="2278"/>
        </w:tabs>
        <w:ind w:left="2278" w:hanging="180"/>
      </w:pPr>
      <w:rPr>
        <w:rFonts w:cs="Times New Roman"/>
      </w:rPr>
    </w:lvl>
    <w:lvl w:ilvl="3" w:tplc="0405000F" w:tentative="1">
      <w:start w:val="1"/>
      <w:numFmt w:val="decimal"/>
      <w:lvlText w:val="%4."/>
      <w:lvlJc w:val="left"/>
      <w:pPr>
        <w:tabs>
          <w:tab w:val="num" w:pos="2998"/>
        </w:tabs>
        <w:ind w:left="2998" w:hanging="360"/>
      </w:pPr>
      <w:rPr>
        <w:rFonts w:cs="Times New Roman"/>
      </w:rPr>
    </w:lvl>
    <w:lvl w:ilvl="4" w:tplc="04050019" w:tentative="1">
      <w:start w:val="1"/>
      <w:numFmt w:val="lowerLetter"/>
      <w:lvlText w:val="%5."/>
      <w:lvlJc w:val="left"/>
      <w:pPr>
        <w:tabs>
          <w:tab w:val="num" w:pos="3718"/>
        </w:tabs>
        <w:ind w:left="3718" w:hanging="360"/>
      </w:pPr>
      <w:rPr>
        <w:rFonts w:cs="Times New Roman"/>
      </w:rPr>
    </w:lvl>
    <w:lvl w:ilvl="5" w:tplc="0405001B" w:tentative="1">
      <w:start w:val="1"/>
      <w:numFmt w:val="lowerRoman"/>
      <w:lvlText w:val="%6."/>
      <w:lvlJc w:val="right"/>
      <w:pPr>
        <w:tabs>
          <w:tab w:val="num" w:pos="4438"/>
        </w:tabs>
        <w:ind w:left="4438" w:hanging="180"/>
      </w:pPr>
      <w:rPr>
        <w:rFonts w:cs="Times New Roman"/>
      </w:rPr>
    </w:lvl>
    <w:lvl w:ilvl="6" w:tplc="0405000F" w:tentative="1">
      <w:start w:val="1"/>
      <w:numFmt w:val="decimal"/>
      <w:lvlText w:val="%7."/>
      <w:lvlJc w:val="left"/>
      <w:pPr>
        <w:tabs>
          <w:tab w:val="num" w:pos="5158"/>
        </w:tabs>
        <w:ind w:left="5158" w:hanging="360"/>
      </w:pPr>
      <w:rPr>
        <w:rFonts w:cs="Times New Roman"/>
      </w:rPr>
    </w:lvl>
    <w:lvl w:ilvl="7" w:tplc="04050019" w:tentative="1">
      <w:start w:val="1"/>
      <w:numFmt w:val="lowerLetter"/>
      <w:lvlText w:val="%8."/>
      <w:lvlJc w:val="left"/>
      <w:pPr>
        <w:tabs>
          <w:tab w:val="num" w:pos="5878"/>
        </w:tabs>
        <w:ind w:left="5878" w:hanging="360"/>
      </w:pPr>
      <w:rPr>
        <w:rFonts w:cs="Times New Roman"/>
      </w:rPr>
    </w:lvl>
    <w:lvl w:ilvl="8" w:tplc="0405001B" w:tentative="1">
      <w:start w:val="1"/>
      <w:numFmt w:val="lowerRoman"/>
      <w:lvlText w:val="%9."/>
      <w:lvlJc w:val="right"/>
      <w:pPr>
        <w:tabs>
          <w:tab w:val="num" w:pos="6598"/>
        </w:tabs>
        <w:ind w:left="6598" w:hanging="180"/>
      </w:pPr>
      <w:rPr>
        <w:rFonts w:cs="Times New Roman"/>
      </w:rPr>
    </w:lvl>
  </w:abstractNum>
  <w:abstractNum w:abstractNumId="92" w15:restartNumberingAfterBreak="0">
    <w:nsid w:val="69A9369C"/>
    <w:multiLevelType w:val="hybridMultilevel"/>
    <w:tmpl w:val="94143EBA"/>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9B76B49"/>
    <w:multiLevelType w:val="hybridMultilevel"/>
    <w:tmpl w:val="1EB4695C"/>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9C6170B"/>
    <w:multiLevelType w:val="multilevel"/>
    <w:tmpl w:val="6D5255BC"/>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15:restartNumberingAfterBreak="0">
    <w:nsid w:val="6C1A760F"/>
    <w:multiLevelType w:val="hybridMultilevel"/>
    <w:tmpl w:val="F0CA25FA"/>
    <w:lvl w:ilvl="0" w:tplc="666E1416">
      <w:start w:val="1"/>
      <w:numFmt w:val="decimal"/>
      <w:lvlText w:val="0.18.%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C845E60"/>
    <w:multiLevelType w:val="multilevel"/>
    <w:tmpl w:val="F846306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F143024"/>
    <w:multiLevelType w:val="hybridMultilevel"/>
    <w:tmpl w:val="10AE600A"/>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32F1791"/>
    <w:multiLevelType w:val="hybridMultilevel"/>
    <w:tmpl w:val="A58EBCAE"/>
    <w:lvl w:ilvl="0" w:tplc="2F7634B8">
      <w:start w:val="1"/>
      <w:numFmt w:val="decimal"/>
      <w:lvlText w:val="0.12.%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3444C49"/>
    <w:multiLevelType w:val="multilevel"/>
    <w:tmpl w:val="761CA7EE"/>
    <w:lvl w:ilvl="0">
      <w:start w:val="1"/>
      <w:numFmt w:val="ordinal"/>
      <w:lvlText w:val="4%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4623441"/>
    <w:multiLevelType w:val="multilevel"/>
    <w:tmpl w:val="61A2FDFC"/>
    <w:lvl w:ilvl="0">
      <w:start w:val="1"/>
      <w:numFmt w:val="decimal"/>
      <w:lvlText w:val="%1."/>
      <w:lvlJc w:val="left"/>
      <w:pPr>
        <w:ind w:left="360" w:hanging="360"/>
      </w:pPr>
      <w:rPr>
        <w:rFonts w:hint="default"/>
      </w:rPr>
    </w:lvl>
    <w:lvl w:ilvl="1">
      <w:start w:val="1"/>
      <w:numFmt w:val="decimal"/>
      <w:lvlRestart w:val="0"/>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544739A"/>
    <w:multiLevelType w:val="multilevel"/>
    <w:tmpl w:val="0E506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77810BE"/>
    <w:multiLevelType w:val="multilevel"/>
    <w:tmpl w:val="D6EEFC10"/>
    <w:lvl w:ilvl="0">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15:restartNumberingAfterBreak="0">
    <w:nsid w:val="77C220F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974274B"/>
    <w:multiLevelType w:val="multilevel"/>
    <w:tmpl w:val="282C9D3A"/>
    <w:lvl w:ilvl="0">
      <w:start w:val="4"/>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15:restartNumberingAfterBreak="0">
    <w:nsid w:val="7A764B55"/>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C7E4C09"/>
    <w:multiLevelType w:val="hybridMultilevel"/>
    <w:tmpl w:val="71425CB0"/>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D5F02E3"/>
    <w:multiLevelType w:val="hybridMultilevel"/>
    <w:tmpl w:val="542222EE"/>
    <w:lvl w:ilvl="0" w:tplc="29143644">
      <w:start w:val="1"/>
      <w:numFmt w:val="decimal"/>
      <w:lvlText w:val="2.3.%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E4A27E9"/>
    <w:multiLevelType w:val="hybridMultilevel"/>
    <w:tmpl w:val="B2120F34"/>
    <w:lvl w:ilvl="0" w:tplc="ABA0CAFE">
      <w:start w:val="1"/>
      <w:numFmt w:val="decimal"/>
      <w:lvlText w:val="2.4.%1."/>
      <w:lvlJc w:val="left"/>
      <w:pPr>
        <w:tabs>
          <w:tab w:val="num" w:pos="2700"/>
        </w:tabs>
        <w:ind w:left="270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1"/>
  </w:num>
  <w:num w:numId="2">
    <w:abstractNumId w:val="54"/>
  </w:num>
  <w:num w:numId="3">
    <w:abstractNumId w:val="0"/>
  </w:num>
  <w:num w:numId="4">
    <w:abstractNumId w:val="48"/>
  </w:num>
  <w:num w:numId="5">
    <w:abstractNumId w:val="83"/>
  </w:num>
  <w:num w:numId="6">
    <w:abstractNumId w:val="41"/>
  </w:num>
  <w:num w:numId="7">
    <w:abstractNumId w:val="51"/>
  </w:num>
  <w:num w:numId="8">
    <w:abstractNumId w:val="23"/>
  </w:num>
  <w:num w:numId="9">
    <w:abstractNumId w:val="18"/>
  </w:num>
  <w:num w:numId="10">
    <w:abstractNumId w:val="50"/>
  </w:num>
  <w:num w:numId="11">
    <w:abstractNumId w:val="104"/>
  </w:num>
  <w:num w:numId="12">
    <w:abstractNumId w:val="35"/>
  </w:num>
  <w:num w:numId="13">
    <w:abstractNumId w:val="60"/>
  </w:num>
  <w:num w:numId="14">
    <w:abstractNumId w:val="103"/>
  </w:num>
  <w:num w:numId="15">
    <w:abstractNumId w:val="45"/>
  </w:num>
  <w:num w:numId="16">
    <w:abstractNumId w:val="3"/>
  </w:num>
  <w:num w:numId="17">
    <w:abstractNumId w:val="43"/>
  </w:num>
  <w:num w:numId="18">
    <w:abstractNumId w:val="80"/>
  </w:num>
  <w:num w:numId="19">
    <w:abstractNumId w:val="60"/>
    <w:lvlOverride w:ilvl="0">
      <w:lvl w:ilvl="0">
        <w:start w:val="1"/>
        <w:numFmt w:val="decimal"/>
        <w:lvlText w:val="%1."/>
        <w:lvlJc w:val="left"/>
        <w:pPr>
          <w:ind w:left="360" w:hanging="360"/>
        </w:pPr>
        <w:rPr>
          <w:rFonts w:hint="default"/>
        </w:rPr>
      </w:lvl>
    </w:lvlOverride>
    <w:lvlOverride w:ilvl="1">
      <w:lvl w:ilvl="1">
        <w:start w:val="1"/>
        <w:numFmt w:val="decimal"/>
        <w:lvlRestart w:val="0"/>
        <w:lvlText w:val="%1.%2."/>
        <w:lvlJc w:val="left"/>
        <w:pPr>
          <w:ind w:left="792" w:hanging="432"/>
        </w:pPr>
        <w:rPr>
          <w:rFonts w:hint="default"/>
        </w:rPr>
      </w:lvl>
    </w:lvlOverride>
    <w:lvlOverride w:ilvl="2">
      <w:lvl w:ilvl="2">
        <w:start w:val="1"/>
        <w:numFmt w:val="decimal"/>
        <w:lvlText w:val="8.4.%3."/>
        <w:lvlJc w:val="left"/>
        <w:pPr>
          <w:ind w:left="4899"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8"/>
  </w:num>
  <w:num w:numId="21">
    <w:abstractNumId w:val="94"/>
  </w:num>
  <w:num w:numId="22">
    <w:abstractNumId w:val="8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65"/>
  </w:num>
  <w:num w:numId="24">
    <w:abstractNumId w:val="17"/>
  </w:num>
  <w:num w:numId="25">
    <w:abstractNumId w:val="17"/>
    <w:lvlOverride w:ilvl="0">
      <w:lvl w:ilvl="0">
        <w:numFmt w:val="decimal"/>
        <w:lvlText w:val="%1"/>
        <w:lvlJc w:val="left"/>
        <w:pPr>
          <w:tabs>
            <w:tab w:val="num" w:pos="360"/>
          </w:tabs>
          <w:ind w:left="360" w:hanging="360"/>
        </w:pPr>
        <w:rPr>
          <w:rFonts w:cs="Times New Roman" w:hint="default"/>
        </w:rPr>
      </w:lvl>
    </w:lvlOverride>
    <w:lvlOverride w:ilvl="1">
      <w:lvl w:ilvl="1">
        <w:start w:val="1"/>
        <w:numFmt w:val="decimal"/>
        <w:lvlText w:val="6.%2"/>
        <w:lvlJc w:val="left"/>
        <w:pPr>
          <w:tabs>
            <w:tab w:val="num" w:pos="360"/>
          </w:tabs>
          <w:ind w:left="360" w:hanging="360"/>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26">
    <w:abstractNumId w:val="52"/>
  </w:num>
  <w:num w:numId="27">
    <w:abstractNumId w:val="102"/>
  </w:num>
  <w:num w:numId="28">
    <w:abstractNumId w:val="28"/>
  </w:num>
  <w:num w:numId="29">
    <w:abstractNumId w:val="13"/>
  </w:num>
  <w:num w:numId="30">
    <w:abstractNumId w:val="28"/>
    <w:lvlOverride w:ilvl="0">
      <w:lvl w:ilvl="0">
        <w:start w:val="1"/>
        <w:numFmt w:val="decimal"/>
        <w:lvlText w:val="%1."/>
        <w:lvlJc w:val="left"/>
        <w:pPr>
          <w:ind w:left="720" w:hanging="360"/>
        </w:pPr>
        <w:rPr>
          <w:rFonts w:hint="default"/>
        </w:rPr>
      </w:lvl>
    </w:lvlOverride>
    <w:lvlOverride w:ilvl="1">
      <w:lvl w:ilvl="1">
        <w:start w:val="1"/>
        <w:numFmt w:val="ordinal"/>
        <w:lvlText w:val="%1.%2"/>
        <w:lvlJc w:val="left"/>
        <w:pPr>
          <w:ind w:left="3196"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52"/>
    <w:lvlOverride w:ilvl="0">
      <w:lvl w:ilvl="0">
        <w:numFmt w:val="decimal"/>
        <w:lvlText w:val="%1"/>
        <w:lvlJc w:val="left"/>
        <w:pPr>
          <w:tabs>
            <w:tab w:val="num" w:pos="360"/>
          </w:tabs>
          <w:ind w:left="360" w:hanging="360"/>
        </w:pPr>
        <w:rPr>
          <w:rFonts w:cs="Times New Roman" w:hint="default"/>
        </w:rPr>
      </w:lvl>
    </w:lvlOverride>
    <w:lvlOverride w:ilvl="1">
      <w:lvl w:ilvl="1">
        <w:start w:val="1"/>
        <w:numFmt w:val="decimal"/>
        <w:lvlText w:val="8.%2"/>
        <w:lvlJc w:val="left"/>
        <w:pPr>
          <w:tabs>
            <w:tab w:val="num" w:pos="360"/>
          </w:tabs>
          <w:ind w:left="360" w:hanging="360"/>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32">
    <w:abstractNumId w:val="78"/>
  </w:num>
  <w:num w:numId="33">
    <w:abstractNumId w:val="71"/>
  </w:num>
  <w:num w:numId="34">
    <w:abstractNumId w:val="105"/>
  </w:num>
  <w:num w:numId="35">
    <w:abstractNumId w:val="11"/>
  </w:num>
  <w:num w:numId="36">
    <w:abstractNumId w:val="101"/>
  </w:num>
  <w:num w:numId="37">
    <w:abstractNumId w:val="100"/>
  </w:num>
  <w:num w:numId="38">
    <w:abstractNumId w:val="96"/>
  </w:num>
  <w:num w:numId="39">
    <w:abstractNumId w:val="75"/>
  </w:num>
  <w:num w:numId="40">
    <w:abstractNumId w:val="55"/>
  </w:num>
  <w:num w:numId="41">
    <w:abstractNumId w:val="99"/>
  </w:num>
  <w:num w:numId="42">
    <w:abstractNumId w:val="26"/>
  </w:num>
  <w:num w:numId="43">
    <w:abstractNumId w:val="12"/>
  </w:num>
  <w:num w:numId="44">
    <w:abstractNumId w:val="89"/>
  </w:num>
  <w:num w:numId="45">
    <w:abstractNumId w:val="84"/>
  </w:num>
  <w:num w:numId="46">
    <w:abstractNumId w:val="31"/>
  </w:num>
  <w:num w:numId="47">
    <w:abstractNumId w:val="25"/>
  </w:num>
  <w:num w:numId="48">
    <w:abstractNumId w:val="30"/>
  </w:num>
  <w:num w:numId="49">
    <w:abstractNumId w:val="90"/>
  </w:num>
  <w:num w:numId="50">
    <w:abstractNumId w:val="69"/>
  </w:num>
  <w:num w:numId="51">
    <w:abstractNumId w:val="87"/>
  </w:num>
  <w:num w:numId="52">
    <w:abstractNumId w:val="66"/>
  </w:num>
  <w:num w:numId="53">
    <w:abstractNumId w:val="27"/>
  </w:num>
  <w:num w:numId="54">
    <w:abstractNumId w:val="46"/>
  </w:num>
  <w:num w:numId="55">
    <w:abstractNumId w:val="2"/>
  </w:num>
  <w:num w:numId="56">
    <w:abstractNumId w:val="85"/>
  </w:num>
  <w:num w:numId="57">
    <w:abstractNumId w:val="93"/>
  </w:num>
  <w:num w:numId="58">
    <w:abstractNumId w:val="49"/>
  </w:num>
  <w:num w:numId="59">
    <w:abstractNumId w:val="63"/>
  </w:num>
  <w:num w:numId="60">
    <w:abstractNumId w:val="64"/>
  </w:num>
  <w:num w:numId="61">
    <w:abstractNumId w:val="36"/>
  </w:num>
  <w:num w:numId="62">
    <w:abstractNumId w:val="1"/>
  </w:num>
  <w:num w:numId="63">
    <w:abstractNumId w:val="97"/>
  </w:num>
  <w:num w:numId="64">
    <w:abstractNumId w:val="92"/>
  </w:num>
  <w:num w:numId="65">
    <w:abstractNumId w:val="106"/>
  </w:num>
  <w:num w:numId="66">
    <w:abstractNumId w:val="39"/>
  </w:num>
  <w:num w:numId="67">
    <w:abstractNumId w:val="81"/>
  </w:num>
  <w:num w:numId="68">
    <w:abstractNumId w:val="82"/>
  </w:num>
  <w:num w:numId="69">
    <w:abstractNumId w:val="16"/>
  </w:num>
  <w:num w:numId="70">
    <w:abstractNumId w:val="53"/>
  </w:num>
  <w:num w:numId="71">
    <w:abstractNumId w:val="86"/>
  </w:num>
  <w:num w:numId="72">
    <w:abstractNumId w:val="7"/>
  </w:num>
  <w:num w:numId="73">
    <w:abstractNumId w:val="56"/>
  </w:num>
  <w:num w:numId="74">
    <w:abstractNumId w:val="10"/>
  </w:num>
  <w:num w:numId="75">
    <w:abstractNumId w:val="62"/>
  </w:num>
  <w:num w:numId="76">
    <w:abstractNumId w:val="24"/>
  </w:num>
  <w:num w:numId="77">
    <w:abstractNumId w:val="34"/>
  </w:num>
  <w:num w:numId="78">
    <w:abstractNumId w:val="88"/>
  </w:num>
  <w:num w:numId="79">
    <w:abstractNumId w:val="58"/>
  </w:num>
  <w:num w:numId="80">
    <w:abstractNumId w:val="40"/>
  </w:num>
  <w:num w:numId="81">
    <w:abstractNumId w:val="98"/>
  </w:num>
  <w:num w:numId="82">
    <w:abstractNumId w:val="61"/>
  </w:num>
  <w:num w:numId="83">
    <w:abstractNumId w:val="74"/>
  </w:num>
  <w:num w:numId="84">
    <w:abstractNumId w:val="33"/>
  </w:num>
  <w:num w:numId="85">
    <w:abstractNumId w:val="44"/>
  </w:num>
  <w:num w:numId="86">
    <w:abstractNumId w:val="107"/>
  </w:num>
  <w:num w:numId="87">
    <w:abstractNumId w:val="9"/>
  </w:num>
  <w:num w:numId="88">
    <w:abstractNumId w:val="95"/>
  </w:num>
  <w:num w:numId="89">
    <w:abstractNumId w:val="108"/>
  </w:num>
  <w:num w:numId="90">
    <w:abstractNumId w:val="32"/>
  </w:num>
  <w:num w:numId="91">
    <w:abstractNumId w:val="21"/>
  </w:num>
  <w:num w:numId="92">
    <w:abstractNumId w:val="47"/>
  </w:num>
  <w:num w:numId="93">
    <w:abstractNumId w:val="57"/>
  </w:num>
  <w:num w:numId="94">
    <w:abstractNumId w:val="77"/>
  </w:num>
  <w:num w:numId="95">
    <w:abstractNumId w:val="70"/>
  </w:num>
  <w:num w:numId="96">
    <w:abstractNumId w:val="15"/>
  </w:num>
  <w:num w:numId="97">
    <w:abstractNumId w:val="20"/>
  </w:num>
  <w:num w:numId="98">
    <w:abstractNumId w:val="5"/>
  </w:num>
  <w:num w:numId="99">
    <w:abstractNumId w:val="4"/>
  </w:num>
  <w:num w:numId="100">
    <w:abstractNumId w:val="72"/>
  </w:num>
  <w:num w:numId="101">
    <w:abstractNumId w:val="76"/>
  </w:num>
  <w:num w:numId="102">
    <w:abstractNumId w:val="73"/>
  </w:num>
  <w:num w:numId="103">
    <w:abstractNumId w:val="8"/>
  </w:num>
  <w:num w:numId="104">
    <w:abstractNumId w:val="19"/>
  </w:num>
  <w:num w:numId="105">
    <w:abstractNumId w:val="14"/>
  </w:num>
  <w:num w:numId="106">
    <w:abstractNumId w:val="67"/>
  </w:num>
  <w:num w:numId="107">
    <w:abstractNumId w:val="79"/>
  </w:num>
  <w:num w:numId="108">
    <w:abstractNumId w:val="59"/>
  </w:num>
  <w:num w:numId="109">
    <w:abstractNumId w:val="6"/>
  </w:num>
  <w:num w:numId="110">
    <w:abstractNumId w:val="29"/>
  </w:num>
  <w:num w:numId="111">
    <w:abstractNumId w:val="64"/>
    <w:lvlOverride w:ilvl="0">
      <w:lvl w:ilvl="0" w:tplc="0405000F">
        <w:start w:val="1"/>
        <w:numFmt w:val="decimal"/>
        <w:lvlText w:val="%1."/>
        <w:lvlJc w:val="left"/>
        <w:pPr>
          <w:tabs>
            <w:tab w:val="num" w:pos="360"/>
          </w:tabs>
          <w:ind w:left="709" w:hanging="709"/>
        </w:pPr>
        <w:rPr>
          <w:rFonts w:hint="default"/>
        </w:rPr>
      </w:lvl>
    </w:lvlOverride>
    <w:lvlOverride w:ilvl="1">
      <w:lvl w:ilvl="1" w:tplc="04050003" w:tentative="1">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112">
    <w:abstractNumId w:val="37"/>
  </w:num>
  <w:num w:numId="113">
    <w:abstractNumId w:val="68"/>
  </w:num>
  <w:num w:numId="114">
    <w:abstractNumId w:val="22"/>
  </w:num>
  <w:num w:numId="115">
    <w:abstractNumId w:val="4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8E"/>
    <w:rsid w:val="0000660F"/>
    <w:rsid w:val="00014C1A"/>
    <w:rsid w:val="0001767B"/>
    <w:rsid w:val="000176E5"/>
    <w:rsid w:val="00022CD5"/>
    <w:rsid w:val="000253DB"/>
    <w:rsid w:val="00027AA7"/>
    <w:rsid w:val="00027B02"/>
    <w:rsid w:val="00033D78"/>
    <w:rsid w:val="0003647E"/>
    <w:rsid w:val="0004086A"/>
    <w:rsid w:val="00050E58"/>
    <w:rsid w:val="00051F9E"/>
    <w:rsid w:val="00083538"/>
    <w:rsid w:val="0008474D"/>
    <w:rsid w:val="00085EAF"/>
    <w:rsid w:val="00092796"/>
    <w:rsid w:val="000A4B56"/>
    <w:rsid w:val="000B0F78"/>
    <w:rsid w:val="000B12B6"/>
    <w:rsid w:val="000B2AC0"/>
    <w:rsid w:val="000D0C24"/>
    <w:rsid w:val="000D4ABE"/>
    <w:rsid w:val="000E243E"/>
    <w:rsid w:val="000E33D2"/>
    <w:rsid w:val="001045B3"/>
    <w:rsid w:val="00115C50"/>
    <w:rsid w:val="001353ED"/>
    <w:rsid w:val="0014130B"/>
    <w:rsid w:val="00142F05"/>
    <w:rsid w:val="00145041"/>
    <w:rsid w:val="0015378C"/>
    <w:rsid w:val="00161208"/>
    <w:rsid w:val="00171E2F"/>
    <w:rsid w:val="00171F88"/>
    <w:rsid w:val="00175866"/>
    <w:rsid w:val="00183AA2"/>
    <w:rsid w:val="0019637F"/>
    <w:rsid w:val="00197783"/>
    <w:rsid w:val="001A4D11"/>
    <w:rsid w:val="001A7FAD"/>
    <w:rsid w:val="001C19DC"/>
    <w:rsid w:val="001C7EFD"/>
    <w:rsid w:val="001D3EF1"/>
    <w:rsid w:val="001F4246"/>
    <w:rsid w:val="001F6E82"/>
    <w:rsid w:val="00206E22"/>
    <w:rsid w:val="002075E6"/>
    <w:rsid w:val="002122FE"/>
    <w:rsid w:val="00212C23"/>
    <w:rsid w:val="0022301D"/>
    <w:rsid w:val="00227AD2"/>
    <w:rsid w:val="00227EEC"/>
    <w:rsid w:val="0024003A"/>
    <w:rsid w:val="002426FB"/>
    <w:rsid w:val="00242A0C"/>
    <w:rsid w:val="00250B32"/>
    <w:rsid w:val="00254639"/>
    <w:rsid w:val="00254DDB"/>
    <w:rsid w:val="002607B0"/>
    <w:rsid w:val="0026111F"/>
    <w:rsid w:val="00262839"/>
    <w:rsid w:val="0028485B"/>
    <w:rsid w:val="00290B4C"/>
    <w:rsid w:val="002970E0"/>
    <w:rsid w:val="002A4ABB"/>
    <w:rsid w:val="002B44AD"/>
    <w:rsid w:val="002B5B82"/>
    <w:rsid w:val="002B700F"/>
    <w:rsid w:val="002C1028"/>
    <w:rsid w:val="002C151C"/>
    <w:rsid w:val="002C20A1"/>
    <w:rsid w:val="002D3C9B"/>
    <w:rsid w:val="002E1D53"/>
    <w:rsid w:val="002E3753"/>
    <w:rsid w:val="002E4F0E"/>
    <w:rsid w:val="00305602"/>
    <w:rsid w:val="003114DA"/>
    <w:rsid w:val="00312210"/>
    <w:rsid w:val="00315197"/>
    <w:rsid w:val="00341B86"/>
    <w:rsid w:val="003552BC"/>
    <w:rsid w:val="00360CC7"/>
    <w:rsid w:val="00371C2B"/>
    <w:rsid w:val="003775F1"/>
    <w:rsid w:val="00390272"/>
    <w:rsid w:val="00395671"/>
    <w:rsid w:val="0039664F"/>
    <w:rsid w:val="003A3687"/>
    <w:rsid w:val="003A65C5"/>
    <w:rsid w:val="003C3CAE"/>
    <w:rsid w:val="003D10D3"/>
    <w:rsid w:val="003D378E"/>
    <w:rsid w:val="003D590C"/>
    <w:rsid w:val="003F4B7A"/>
    <w:rsid w:val="003F74D5"/>
    <w:rsid w:val="003F75A1"/>
    <w:rsid w:val="004044CE"/>
    <w:rsid w:val="00405731"/>
    <w:rsid w:val="00410A36"/>
    <w:rsid w:val="0041340A"/>
    <w:rsid w:val="00416BD3"/>
    <w:rsid w:val="004204CF"/>
    <w:rsid w:val="00420B18"/>
    <w:rsid w:val="0042530B"/>
    <w:rsid w:val="00434F16"/>
    <w:rsid w:val="00436DB4"/>
    <w:rsid w:val="00445C91"/>
    <w:rsid w:val="00447C85"/>
    <w:rsid w:val="00453CD8"/>
    <w:rsid w:val="00454BD8"/>
    <w:rsid w:val="00457AAB"/>
    <w:rsid w:val="0047095F"/>
    <w:rsid w:val="00470A3E"/>
    <w:rsid w:val="00471452"/>
    <w:rsid w:val="00473607"/>
    <w:rsid w:val="004815EF"/>
    <w:rsid w:val="004901BA"/>
    <w:rsid w:val="00496271"/>
    <w:rsid w:val="004A2209"/>
    <w:rsid w:val="004A24CE"/>
    <w:rsid w:val="004A5926"/>
    <w:rsid w:val="004A6A67"/>
    <w:rsid w:val="004A7CA3"/>
    <w:rsid w:val="004B0394"/>
    <w:rsid w:val="004B76BF"/>
    <w:rsid w:val="004C093A"/>
    <w:rsid w:val="004C2040"/>
    <w:rsid w:val="004D5694"/>
    <w:rsid w:val="004F10D3"/>
    <w:rsid w:val="004F268D"/>
    <w:rsid w:val="00510F4D"/>
    <w:rsid w:val="00524C63"/>
    <w:rsid w:val="0052506C"/>
    <w:rsid w:val="0052532D"/>
    <w:rsid w:val="005362D7"/>
    <w:rsid w:val="00542554"/>
    <w:rsid w:val="00546AFF"/>
    <w:rsid w:val="00546E0E"/>
    <w:rsid w:val="00555BB8"/>
    <w:rsid w:val="00560BE3"/>
    <w:rsid w:val="00563E47"/>
    <w:rsid w:val="005647D9"/>
    <w:rsid w:val="00570A32"/>
    <w:rsid w:val="00574F06"/>
    <w:rsid w:val="00597A9B"/>
    <w:rsid w:val="005A3A85"/>
    <w:rsid w:val="005A3EE8"/>
    <w:rsid w:val="005A7C1B"/>
    <w:rsid w:val="005B1073"/>
    <w:rsid w:val="005B4190"/>
    <w:rsid w:val="005B4607"/>
    <w:rsid w:val="005B4C67"/>
    <w:rsid w:val="005C02BB"/>
    <w:rsid w:val="005C197E"/>
    <w:rsid w:val="005D46AF"/>
    <w:rsid w:val="005E2072"/>
    <w:rsid w:val="005E518E"/>
    <w:rsid w:val="005E7E6E"/>
    <w:rsid w:val="005F15D8"/>
    <w:rsid w:val="00601240"/>
    <w:rsid w:val="00604792"/>
    <w:rsid w:val="00607CAF"/>
    <w:rsid w:val="00620681"/>
    <w:rsid w:val="00620BB3"/>
    <w:rsid w:val="00623F1D"/>
    <w:rsid w:val="00624489"/>
    <w:rsid w:val="006260E6"/>
    <w:rsid w:val="00632B15"/>
    <w:rsid w:val="006330C2"/>
    <w:rsid w:val="00637280"/>
    <w:rsid w:val="006450CC"/>
    <w:rsid w:val="00645521"/>
    <w:rsid w:val="006532BE"/>
    <w:rsid w:val="0065390C"/>
    <w:rsid w:val="00657A59"/>
    <w:rsid w:val="006700AC"/>
    <w:rsid w:val="0067727F"/>
    <w:rsid w:val="006840DB"/>
    <w:rsid w:val="006864A3"/>
    <w:rsid w:val="00694676"/>
    <w:rsid w:val="006A4229"/>
    <w:rsid w:val="006A6FAE"/>
    <w:rsid w:val="006A741C"/>
    <w:rsid w:val="006A7798"/>
    <w:rsid w:val="006B6251"/>
    <w:rsid w:val="006C0561"/>
    <w:rsid w:val="006C13C0"/>
    <w:rsid w:val="006C4131"/>
    <w:rsid w:val="006C43CE"/>
    <w:rsid w:val="006C725D"/>
    <w:rsid w:val="006D0506"/>
    <w:rsid w:val="006D177F"/>
    <w:rsid w:val="006F598C"/>
    <w:rsid w:val="007073F1"/>
    <w:rsid w:val="00715CA5"/>
    <w:rsid w:val="00721A23"/>
    <w:rsid w:val="00723193"/>
    <w:rsid w:val="007344F5"/>
    <w:rsid w:val="00736F5C"/>
    <w:rsid w:val="0076508B"/>
    <w:rsid w:val="00781425"/>
    <w:rsid w:val="00781772"/>
    <w:rsid w:val="007A4942"/>
    <w:rsid w:val="007C0B5A"/>
    <w:rsid w:val="007D2120"/>
    <w:rsid w:val="007D4368"/>
    <w:rsid w:val="007D7F0C"/>
    <w:rsid w:val="007E4737"/>
    <w:rsid w:val="007E75DD"/>
    <w:rsid w:val="007F151A"/>
    <w:rsid w:val="008030DF"/>
    <w:rsid w:val="00807545"/>
    <w:rsid w:val="0081299D"/>
    <w:rsid w:val="00815066"/>
    <w:rsid w:val="00823426"/>
    <w:rsid w:val="0082643E"/>
    <w:rsid w:val="00843E31"/>
    <w:rsid w:val="00844162"/>
    <w:rsid w:val="0084699C"/>
    <w:rsid w:val="008472DB"/>
    <w:rsid w:val="008521E3"/>
    <w:rsid w:val="00852FF0"/>
    <w:rsid w:val="00853A8A"/>
    <w:rsid w:val="008808F3"/>
    <w:rsid w:val="00887CE1"/>
    <w:rsid w:val="00887F3F"/>
    <w:rsid w:val="0089366F"/>
    <w:rsid w:val="00897394"/>
    <w:rsid w:val="008A5A31"/>
    <w:rsid w:val="008A67ED"/>
    <w:rsid w:val="008B48E2"/>
    <w:rsid w:val="008C5ABB"/>
    <w:rsid w:val="008C6DF5"/>
    <w:rsid w:val="008D6DDA"/>
    <w:rsid w:val="008E09CC"/>
    <w:rsid w:val="008E24A2"/>
    <w:rsid w:val="008E4FC0"/>
    <w:rsid w:val="008F1FBC"/>
    <w:rsid w:val="008F576B"/>
    <w:rsid w:val="00903D65"/>
    <w:rsid w:val="009115E4"/>
    <w:rsid w:val="0091447B"/>
    <w:rsid w:val="009205C9"/>
    <w:rsid w:val="0093144C"/>
    <w:rsid w:val="00933776"/>
    <w:rsid w:val="00945C10"/>
    <w:rsid w:val="00952C79"/>
    <w:rsid w:val="00964A21"/>
    <w:rsid w:val="00972BD1"/>
    <w:rsid w:val="009821FE"/>
    <w:rsid w:val="009B155E"/>
    <w:rsid w:val="009B43B6"/>
    <w:rsid w:val="009C0293"/>
    <w:rsid w:val="009C1EC7"/>
    <w:rsid w:val="009C37D5"/>
    <w:rsid w:val="009D366C"/>
    <w:rsid w:val="009E422E"/>
    <w:rsid w:val="009F3EAE"/>
    <w:rsid w:val="009F76E8"/>
    <w:rsid w:val="00A16B0C"/>
    <w:rsid w:val="00A308A8"/>
    <w:rsid w:val="00A30A60"/>
    <w:rsid w:val="00A35E28"/>
    <w:rsid w:val="00A402B2"/>
    <w:rsid w:val="00A542F8"/>
    <w:rsid w:val="00A66264"/>
    <w:rsid w:val="00A75B71"/>
    <w:rsid w:val="00A83D2E"/>
    <w:rsid w:val="00A86394"/>
    <w:rsid w:val="00A87FDC"/>
    <w:rsid w:val="00A87FED"/>
    <w:rsid w:val="00AA283C"/>
    <w:rsid w:val="00AA6417"/>
    <w:rsid w:val="00AB4226"/>
    <w:rsid w:val="00AB4864"/>
    <w:rsid w:val="00AB75E1"/>
    <w:rsid w:val="00AC0D73"/>
    <w:rsid w:val="00AC5934"/>
    <w:rsid w:val="00AC5CE5"/>
    <w:rsid w:val="00AC79FB"/>
    <w:rsid w:val="00AD1494"/>
    <w:rsid w:val="00AD3206"/>
    <w:rsid w:val="00AF3605"/>
    <w:rsid w:val="00B00CB7"/>
    <w:rsid w:val="00B016BF"/>
    <w:rsid w:val="00B02145"/>
    <w:rsid w:val="00B02AB9"/>
    <w:rsid w:val="00B02F98"/>
    <w:rsid w:val="00B0672C"/>
    <w:rsid w:val="00B16BB9"/>
    <w:rsid w:val="00B278FE"/>
    <w:rsid w:val="00B30669"/>
    <w:rsid w:val="00B315CC"/>
    <w:rsid w:val="00B32B68"/>
    <w:rsid w:val="00B34C58"/>
    <w:rsid w:val="00B34F62"/>
    <w:rsid w:val="00B7322D"/>
    <w:rsid w:val="00B83944"/>
    <w:rsid w:val="00B83C0E"/>
    <w:rsid w:val="00B83E5C"/>
    <w:rsid w:val="00B8787D"/>
    <w:rsid w:val="00BA5A31"/>
    <w:rsid w:val="00BB319F"/>
    <w:rsid w:val="00BB7023"/>
    <w:rsid w:val="00BD24C0"/>
    <w:rsid w:val="00BE3916"/>
    <w:rsid w:val="00BE6710"/>
    <w:rsid w:val="00C05EB3"/>
    <w:rsid w:val="00C10E87"/>
    <w:rsid w:val="00C136D9"/>
    <w:rsid w:val="00C20295"/>
    <w:rsid w:val="00C27277"/>
    <w:rsid w:val="00C276DA"/>
    <w:rsid w:val="00C41A21"/>
    <w:rsid w:val="00C445AF"/>
    <w:rsid w:val="00C52C75"/>
    <w:rsid w:val="00C63C79"/>
    <w:rsid w:val="00C654C9"/>
    <w:rsid w:val="00C6619D"/>
    <w:rsid w:val="00C871E2"/>
    <w:rsid w:val="00C902E2"/>
    <w:rsid w:val="00C90379"/>
    <w:rsid w:val="00C905FA"/>
    <w:rsid w:val="00C94F18"/>
    <w:rsid w:val="00CC2EC8"/>
    <w:rsid w:val="00CC4023"/>
    <w:rsid w:val="00CD43C1"/>
    <w:rsid w:val="00CD539B"/>
    <w:rsid w:val="00CE23BE"/>
    <w:rsid w:val="00CE5265"/>
    <w:rsid w:val="00CF06A2"/>
    <w:rsid w:val="00CF1B4A"/>
    <w:rsid w:val="00D37068"/>
    <w:rsid w:val="00D402BA"/>
    <w:rsid w:val="00D51D39"/>
    <w:rsid w:val="00D52E5F"/>
    <w:rsid w:val="00D80B05"/>
    <w:rsid w:val="00D8342D"/>
    <w:rsid w:val="00D860F7"/>
    <w:rsid w:val="00D86353"/>
    <w:rsid w:val="00D96680"/>
    <w:rsid w:val="00DA30AD"/>
    <w:rsid w:val="00DA3B8B"/>
    <w:rsid w:val="00DB2F41"/>
    <w:rsid w:val="00DD12F2"/>
    <w:rsid w:val="00DD2945"/>
    <w:rsid w:val="00DD47DD"/>
    <w:rsid w:val="00DD48E0"/>
    <w:rsid w:val="00DD4F53"/>
    <w:rsid w:val="00DD6CDD"/>
    <w:rsid w:val="00DF231A"/>
    <w:rsid w:val="00DF2D43"/>
    <w:rsid w:val="00DF56F8"/>
    <w:rsid w:val="00DF731D"/>
    <w:rsid w:val="00E034D2"/>
    <w:rsid w:val="00E03AEF"/>
    <w:rsid w:val="00E13CDB"/>
    <w:rsid w:val="00E153A5"/>
    <w:rsid w:val="00E166CE"/>
    <w:rsid w:val="00E236B2"/>
    <w:rsid w:val="00E34590"/>
    <w:rsid w:val="00E3569C"/>
    <w:rsid w:val="00E36F0C"/>
    <w:rsid w:val="00E4076E"/>
    <w:rsid w:val="00E50EEF"/>
    <w:rsid w:val="00E51AA9"/>
    <w:rsid w:val="00E53018"/>
    <w:rsid w:val="00E54350"/>
    <w:rsid w:val="00E643DE"/>
    <w:rsid w:val="00E719A7"/>
    <w:rsid w:val="00E72500"/>
    <w:rsid w:val="00E7415E"/>
    <w:rsid w:val="00E77BD7"/>
    <w:rsid w:val="00E93680"/>
    <w:rsid w:val="00EA0810"/>
    <w:rsid w:val="00EB506E"/>
    <w:rsid w:val="00EC14E9"/>
    <w:rsid w:val="00EC1D32"/>
    <w:rsid w:val="00ED3D0B"/>
    <w:rsid w:val="00ED5035"/>
    <w:rsid w:val="00ED763C"/>
    <w:rsid w:val="00EE78CA"/>
    <w:rsid w:val="00EF5199"/>
    <w:rsid w:val="00EF5797"/>
    <w:rsid w:val="00EF7AE5"/>
    <w:rsid w:val="00F01E01"/>
    <w:rsid w:val="00F10EA0"/>
    <w:rsid w:val="00F116A0"/>
    <w:rsid w:val="00F13ABF"/>
    <w:rsid w:val="00F17CD6"/>
    <w:rsid w:val="00F214FF"/>
    <w:rsid w:val="00F2381A"/>
    <w:rsid w:val="00F25D1D"/>
    <w:rsid w:val="00F270D8"/>
    <w:rsid w:val="00F27160"/>
    <w:rsid w:val="00F31ECB"/>
    <w:rsid w:val="00F35751"/>
    <w:rsid w:val="00F40CEA"/>
    <w:rsid w:val="00F42DC5"/>
    <w:rsid w:val="00F4648B"/>
    <w:rsid w:val="00F46A38"/>
    <w:rsid w:val="00F54A19"/>
    <w:rsid w:val="00F62C63"/>
    <w:rsid w:val="00F63093"/>
    <w:rsid w:val="00F66591"/>
    <w:rsid w:val="00F67658"/>
    <w:rsid w:val="00F70E18"/>
    <w:rsid w:val="00F7734F"/>
    <w:rsid w:val="00F82D41"/>
    <w:rsid w:val="00F85498"/>
    <w:rsid w:val="00F950D6"/>
    <w:rsid w:val="00F9687B"/>
    <w:rsid w:val="00FA4618"/>
    <w:rsid w:val="00FB36E1"/>
    <w:rsid w:val="00FB3A73"/>
    <w:rsid w:val="00FC728C"/>
    <w:rsid w:val="00FD61AC"/>
    <w:rsid w:val="00FE1C5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3B005638"/>
  <w15:chartTrackingRefBased/>
  <w15:docId w15:val="{9C0E1B58-7FAF-4C53-97C4-F0219F71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4A6A67"/>
    <w:pPr>
      <w:keepNext/>
      <w:spacing w:before="220"/>
      <w:jc w:val="both"/>
      <w:outlineLvl w:val="0"/>
    </w:pPr>
    <w:rPr>
      <w:rFonts w:ascii="Arial" w:hAnsi="Arial"/>
      <w:b/>
      <w:szCs w:val="20"/>
    </w:rPr>
  </w:style>
  <w:style w:type="paragraph" w:styleId="Nadpis2">
    <w:name w:val="heading 2"/>
    <w:basedOn w:val="Normln"/>
    <w:next w:val="Zkladntext"/>
    <w:link w:val="Nadpis2Char"/>
    <w:qFormat/>
    <w:rsid w:val="004A6A67"/>
    <w:pPr>
      <w:keepNext/>
      <w:keepLines/>
      <w:spacing w:after="40"/>
      <w:outlineLvl w:val="1"/>
    </w:pPr>
    <w:rPr>
      <w:rFonts w:ascii="Georgia" w:hAnsi="Georgia"/>
      <w:b/>
      <w:bCs/>
      <w:i/>
      <w:szCs w:val="26"/>
      <w:lang w:eastAsia="en-US"/>
    </w:rPr>
  </w:style>
  <w:style w:type="paragraph" w:styleId="Nadpis3">
    <w:name w:val="heading 3"/>
    <w:basedOn w:val="Normln"/>
    <w:next w:val="Normln"/>
    <w:link w:val="Nadpis3Char"/>
    <w:qFormat/>
    <w:rsid w:val="004A6A67"/>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A6A67"/>
    <w:pPr>
      <w:tabs>
        <w:tab w:val="center" w:pos="4536"/>
        <w:tab w:val="right" w:pos="9072"/>
      </w:tabs>
    </w:pPr>
  </w:style>
  <w:style w:type="character" w:customStyle="1" w:styleId="ZhlavChar">
    <w:name w:val="Záhlaví Char"/>
    <w:link w:val="Zhlav"/>
    <w:uiPriority w:val="99"/>
    <w:rsid w:val="004A6A67"/>
    <w:rPr>
      <w:sz w:val="24"/>
      <w:szCs w:val="24"/>
    </w:rPr>
  </w:style>
  <w:style w:type="paragraph" w:styleId="Zpat">
    <w:name w:val="footer"/>
    <w:basedOn w:val="Normln"/>
    <w:link w:val="ZpatChar"/>
    <w:uiPriority w:val="99"/>
    <w:unhideWhenUsed/>
    <w:rsid w:val="004A6A67"/>
    <w:pPr>
      <w:tabs>
        <w:tab w:val="center" w:pos="4536"/>
        <w:tab w:val="right" w:pos="9072"/>
      </w:tabs>
    </w:pPr>
  </w:style>
  <w:style w:type="character" w:customStyle="1" w:styleId="ZpatChar">
    <w:name w:val="Zápatí Char"/>
    <w:link w:val="Zpat"/>
    <w:uiPriority w:val="99"/>
    <w:rsid w:val="004A6A67"/>
    <w:rPr>
      <w:sz w:val="24"/>
      <w:szCs w:val="24"/>
    </w:rPr>
  </w:style>
  <w:style w:type="character" w:customStyle="1" w:styleId="Nadpis1Char">
    <w:name w:val="Nadpis 1 Char"/>
    <w:link w:val="Nadpis1"/>
    <w:rsid w:val="004A6A67"/>
    <w:rPr>
      <w:rFonts w:ascii="Arial" w:hAnsi="Arial"/>
      <w:b/>
      <w:sz w:val="24"/>
    </w:rPr>
  </w:style>
  <w:style w:type="character" w:customStyle="1" w:styleId="Nadpis2Char">
    <w:name w:val="Nadpis 2 Char"/>
    <w:link w:val="Nadpis2"/>
    <w:rsid w:val="004A6A67"/>
    <w:rPr>
      <w:rFonts w:ascii="Georgia" w:hAnsi="Georgia"/>
      <w:b/>
      <w:bCs/>
      <w:i/>
      <w:sz w:val="24"/>
      <w:szCs w:val="26"/>
      <w:lang w:eastAsia="en-US"/>
    </w:rPr>
  </w:style>
  <w:style w:type="character" w:customStyle="1" w:styleId="Nadpis3Char">
    <w:name w:val="Nadpis 3 Char"/>
    <w:link w:val="Nadpis3"/>
    <w:rsid w:val="004A6A67"/>
    <w:rPr>
      <w:rFonts w:ascii="Arial" w:hAnsi="Arial" w:cs="Arial"/>
      <w:b/>
      <w:bCs/>
      <w:sz w:val="26"/>
      <w:szCs w:val="26"/>
    </w:rPr>
  </w:style>
  <w:style w:type="paragraph" w:styleId="Zkladntext">
    <w:name w:val="Body Text"/>
    <w:basedOn w:val="Normln"/>
    <w:link w:val="ZkladntextChar"/>
    <w:qFormat/>
    <w:rsid w:val="004A6A67"/>
    <w:pPr>
      <w:spacing w:after="120"/>
    </w:pPr>
  </w:style>
  <w:style w:type="character" w:customStyle="1" w:styleId="ZkladntextChar">
    <w:name w:val="Základní text Char"/>
    <w:link w:val="Zkladntext"/>
    <w:rsid w:val="004A6A67"/>
    <w:rPr>
      <w:sz w:val="24"/>
      <w:szCs w:val="24"/>
    </w:rPr>
  </w:style>
  <w:style w:type="paragraph" w:styleId="Textpoznpodarou">
    <w:name w:val="footnote text"/>
    <w:basedOn w:val="Normln"/>
    <w:link w:val="TextpoznpodarouChar"/>
    <w:qFormat/>
    <w:rsid w:val="004A6A67"/>
    <w:rPr>
      <w:sz w:val="20"/>
      <w:szCs w:val="20"/>
    </w:rPr>
  </w:style>
  <w:style w:type="character" w:customStyle="1" w:styleId="TextpoznpodarouChar">
    <w:name w:val="Text pozn. pod čarou Char"/>
    <w:basedOn w:val="Standardnpsmoodstavce"/>
    <w:link w:val="Textpoznpodarou"/>
    <w:rsid w:val="004A6A67"/>
  </w:style>
  <w:style w:type="character" w:styleId="Hypertextovodkaz">
    <w:name w:val="Hyperlink"/>
    <w:rsid w:val="004A6A67"/>
    <w:rPr>
      <w:rFonts w:cs="Times New Roman"/>
      <w:color w:val="0000FF"/>
      <w:u w:val="single"/>
    </w:rPr>
  </w:style>
  <w:style w:type="character" w:styleId="Znakapoznpodarou">
    <w:name w:val="footnote reference"/>
    <w:aliases w:val="Footnote"/>
    <w:rsid w:val="004A6A67"/>
    <w:rPr>
      <w:rFonts w:cs="Times New Roman"/>
      <w:vertAlign w:val="superscript"/>
    </w:rPr>
  </w:style>
  <w:style w:type="character" w:styleId="Sledovanodkaz">
    <w:name w:val="FollowedHyperlink"/>
    <w:rsid w:val="004A6A67"/>
    <w:rPr>
      <w:rFonts w:cs="Times New Roman"/>
      <w:color w:val="800080"/>
      <w:u w:val="single"/>
    </w:rPr>
  </w:style>
  <w:style w:type="character" w:styleId="Odkaznakoment">
    <w:name w:val="annotation reference"/>
    <w:rsid w:val="004A6A67"/>
    <w:rPr>
      <w:rFonts w:cs="Times New Roman"/>
      <w:sz w:val="16"/>
      <w:szCs w:val="16"/>
    </w:rPr>
  </w:style>
  <w:style w:type="paragraph" w:styleId="Textkomente">
    <w:name w:val="annotation text"/>
    <w:basedOn w:val="Normln"/>
    <w:link w:val="TextkomenteChar"/>
    <w:rsid w:val="004A6A67"/>
    <w:rPr>
      <w:sz w:val="20"/>
      <w:szCs w:val="20"/>
    </w:rPr>
  </w:style>
  <w:style w:type="character" w:customStyle="1" w:styleId="TextkomenteChar">
    <w:name w:val="Text komentáře Char"/>
    <w:basedOn w:val="Standardnpsmoodstavce"/>
    <w:link w:val="Textkomente"/>
    <w:rsid w:val="004A6A67"/>
  </w:style>
  <w:style w:type="paragraph" w:styleId="Pedmtkomente">
    <w:name w:val="annotation subject"/>
    <w:basedOn w:val="Textkomente"/>
    <w:next w:val="Textkomente"/>
    <w:link w:val="PedmtkomenteChar"/>
    <w:rsid w:val="004A6A67"/>
    <w:rPr>
      <w:b/>
      <w:bCs/>
    </w:rPr>
  </w:style>
  <w:style w:type="character" w:customStyle="1" w:styleId="PedmtkomenteChar">
    <w:name w:val="Předmět komentáře Char"/>
    <w:link w:val="Pedmtkomente"/>
    <w:rsid w:val="004A6A67"/>
    <w:rPr>
      <w:b/>
      <w:bCs/>
    </w:rPr>
  </w:style>
  <w:style w:type="paragraph" w:styleId="Textbubliny">
    <w:name w:val="Balloon Text"/>
    <w:basedOn w:val="Normln"/>
    <w:link w:val="TextbublinyChar"/>
    <w:semiHidden/>
    <w:rsid w:val="004A6A67"/>
    <w:rPr>
      <w:rFonts w:ascii="Tahoma" w:hAnsi="Tahoma" w:cs="Tahoma"/>
      <w:sz w:val="16"/>
      <w:szCs w:val="16"/>
    </w:rPr>
  </w:style>
  <w:style w:type="character" w:customStyle="1" w:styleId="TextbublinyChar">
    <w:name w:val="Text bubliny Char"/>
    <w:link w:val="Textbubliny"/>
    <w:semiHidden/>
    <w:rsid w:val="004A6A67"/>
    <w:rPr>
      <w:rFonts w:ascii="Tahoma" w:hAnsi="Tahoma" w:cs="Tahoma"/>
      <w:sz w:val="16"/>
      <w:szCs w:val="16"/>
    </w:rPr>
  </w:style>
  <w:style w:type="paragraph" w:styleId="Odstavecseseznamem">
    <w:name w:val="List Paragraph"/>
    <w:basedOn w:val="Normln"/>
    <w:uiPriority w:val="34"/>
    <w:qFormat/>
    <w:rsid w:val="004A6A67"/>
    <w:pPr>
      <w:ind w:left="708"/>
    </w:pPr>
  </w:style>
  <w:style w:type="character" w:styleId="slostrnky">
    <w:name w:val="page number"/>
    <w:basedOn w:val="Standardnpsmoodstavce"/>
    <w:rsid w:val="004A6A67"/>
  </w:style>
  <w:style w:type="numbering" w:customStyle="1" w:styleId="Bezseznamu1">
    <w:name w:val="Bez seznamu1"/>
    <w:next w:val="Bezseznamu"/>
    <w:uiPriority w:val="99"/>
    <w:semiHidden/>
    <w:rsid w:val="004A6A67"/>
  </w:style>
  <w:style w:type="character" w:styleId="slodku">
    <w:name w:val="line number"/>
    <w:unhideWhenUsed/>
    <w:rsid w:val="004A6A67"/>
  </w:style>
  <w:style w:type="paragraph" w:styleId="Seznamsodrkami">
    <w:name w:val="List Bullet"/>
    <w:basedOn w:val="Zkladntext"/>
    <w:link w:val="SeznamsodrkamiChar"/>
    <w:rsid w:val="004A6A67"/>
    <w:pPr>
      <w:numPr>
        <w:numId w:val="3"/>
      </w:numPr>
      <w:spacing w:before="130" w:after="130"/>
      <w:jc w:val="both"/>
    </w:pPr>
    <w:rPr>
      <w:sz w:val="22"/>
      <w:szCs w:val="20"/>
      <w:lang w:val="x-none" w:eastAsia="en-US"/>
    </w:rPr>
  </w:style>
  <w:style w:type="table" w:styleId="Mkatabulky">
    <w:name w:val="Table Grid"/>
    <w:basedOn w:val="Normlntabulka"/>
    <w:uiPriority w:val="59"/>
    <w:rsid w:val="004A6A67"/>
    <w:rPr>
      <w:rFonts w:ascii="Baskerville Old Face" w:hAnsi="Baskerville Old Fa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znamsodrkamiChar">
    <w:name w:val="Seznam s odrážkami Char"/>
    <w:link w:val="Seznamsodrkami"/>
    <w:rsid w:val="004A6A67"/>
    <w:rPr>
      <w:sz w:val="22"/>
      <w:lang w:val="x-none" w:eastAsia="en-US"/>
    </w:rPr>
  </w:style>
  <w:style w:type="paragraph" w:styleId="Rozloendokumentu">
    <w:name w:val="Document Map"/>
    <w:basedOn w:val="Normln"/>
    <w:link w:val="RozloendokumentuChar"/>
    <w:rsid w:val="004A6A67"/>
    <w:pPr>
      <w:shd w:val="clear" w:color="auto" w:fill="000080"/>
    </w:pPr>
    <w:rPr>
      <w:rFonts w:ascii="Tahoma" w:hAnsi="Tahoma" w:cs="Tahoma"/>
      <w:sz w:val="20"/>
      <w:szCs w:val="20"/>
    </w:rPr>
  </w:style>
  <w:style w:type="character" w:customStyle="1" w:styleId="RozloendokumentuChar">
    <w:name w:val="Rozložení dokumentu Char"/>
    <w:link w:val="Rozloendokumentu"/>
    <w:rsid w:val="004A6A67"/>
    <w:rPr>
      <w:rFonts w:ascii="Tahoma" w:hAnsi="Tahoma" w:cs="Tahoma"/>
      <w:shd w:val="clear" w:color="auto" w:fill="000080"/>
    </w:rPr>
  </w:style>
  <w:style w:type="paragraph" w:styleId="Textvysvtlivek">
    <w:name w:val="endnote text"/>
    <w:basedOn w:val="Normln"/>
    <w:link w:val="TextvysvtlivekChar"/>
    <w:uiPriority w:val="99"/>
    <w:unhideWhenUsed/>
    <w:rsid w:val="004A6A67"/>
    <w:rPr>
      <w:sz w:val="20"/>
      <w:szCs w:val="20"/>
    </w:rPr>
  </w:style>
  <w:style w:type="character" w:customStyle="1" w:styleId="TextvysvtlivekChar">
    <w:name w:val="Text vysvětlivek Char"/>
    <w:basedOn w:val="Standardnpsmoodstavce"/>
    <w:link w:val="Textvysvtlivek"/>
    <w:uiPriority w:val="99"/>
    <w:rsid w:val="004A6A67"/>
  </w:style>
  <w:style w:type="character" w:styleId="Odkaznavysvtlivky">
    <w:name w:val="endnote reference"/>
    <w:uiPriority w:val="99"/>
    <w:unhideWhenUsed/>
    <w:rsid w:val="004A6A67"/>
    <w:rPr>
      <w:vertAlign w:val="superscript"/>
    </w:rPr>
  </w:style>
  <w:style w:type="paragraph" w:styleId="Revize">
    <w:name w:val="Revision"/>
    <w:hidden/>
    <w:uiPriority w:val="99"/>
    <w:semiHidden/>
    <w:rsid w:val="004A6A67"/>
    <w:rPr>
      <w:sz w:val="24"/>
      <w:szCs w:val="24"/>
    </w:rPr>
  </w:style>
  <w:style w:type="paragraph" w:customStyle="1" w:styleId="Default">
    <w:name w:val="Default"/>
    <w:rsid w:val="004A6A67"/>
    <w:pPr>
      <w:autoSpaceDE w:val="0"/>
      <w:autoSpaceDN w:val="0"/>
      <w:adjustRightInd w:val="0"/>
    </w:pPr>
    <w:rPr>
      <w:rFonts w:ascii="Arial" w:hAnsi="Arial" w:cs="Arial"/>
      <w:color w:val="000000"/>
      <w:sz w:val="24"/>
      <w:szCs w:val="24"/>
    </w:rPr>
  </w:style>
  <w:style w:type="numbering" w:customStyle="1" w:styleId="Styl1">
    <w:name w:val="Styl1"/>
    <w:uiPriority w:val="99"/>
    <w:rsid w:val="004A6A67"/>
    <w:pPr>
      <w:numPr>
        <w:numId w:val="5"/>
      </w:numPr>
    </w:pPr>
  </w:style>
  <w:style w:type="character" w:customStyle="1" w:styleId="st">
    <w:name w:val="st"/>
    <w:rsid w:val="004A6A67"/>
  </w:style>
  <w:style w:type="character" w:customStyle="1" w:styleId="notranslate">
    <w:name w:val="notranslate"/>
    <w:basedOn w:val="Standardnpsmoodstavce"/>
    <w:rsid w:val="00DB2F41"/>
  </w:style>
  <w:style w:type="paragraph" w:styleId="Zkladntextodsazen">
    <w:name w:val="Body Text Indent"/>
    <w:basedOn w:val="Normln"/>
    <w:link w:val="ZkladntextodsazenChar"/>
    <w:rsid w:val="00496271"/>
    <w:pPr>
      <w:spacing w:after="120"/>
      <w:ind w:left="283"/>
    </w:pPr>
    <w:rPr>
      <w:rFonts w:ascii="Arial" w:hAnsi="Arial" w:cs="Arial"/>
      <w:sz w:val="22"/>
      <w:szCs w:val="22"/>
    </w:rPr>
  </w:style>
  <w:style w:type="character" w:customStyle="1" w:styleId="ZkladntextodsazenChar">
    <w:name w:val="Základní text odsazený Char"/>
    <w:basedOn w:val="Standardnpsmoodstavce"/>
    <w:link w:val="Zkladntextodsazen"/>
    <w:rsid w:val="00496271"/>
    <w:rPr>
      <w:rFonts w:ascii="Arial" w:hAnsi="Arial" w:cs="Arial"/>
      <w:sz w:val="22"/>
      <w:szCs w:val="22"/>
    </w:rPr>
  </w:style>
  <w:style w:type="paragraph" w:customStyle="1" w:styleId="TASBodytext">
    <w:name w:val="TAS Body text"/>
    <w:basedOn w:val="Normln"/>
    <w:qFormat/>
    <w:rsid w:val="00085EAF"/>
    <w:pPr>
      <w:spacing w:after="120"/>
      <w:jc w:val="both"/>
    </w:pPr>
    <w:rPr>
      <w:rFonts w:ascii="Arial" w:eastAsia="MS Mincho" w:hAnsi="Arial" w:cs="Arial"/>
      <w:sz w:val="20"/>
      <w:szCs w:val="20"/>
      <w:lang w:val="en-GB" w:eastAsia="zh-TW"/>
    </w:rPr>
  </w:style>
  <w:style w:type="paragraph" w:styleId="Titulek">
    <w:name w:val="caption"/>
    <w:basedOn w:val="Normln"/>
    <w:next w:val="Normln"/>
    <w:autoRedefine/>
    <w:qFormat/>
    <w:rsid w:val="00574F06"/>
    <w:pPr>
      <w:keepNext/>
      <w:spacing w:before="120" w:after="200" w:line="300" w:lineRule="atLeast"/>
      <w:jc w:val="both"/>
    </w:pPr>
    <w:rPr>
      <w:rFonts w:ascii="Arial" w:hAnsi="Arial"/>
      <w:color w:val="000000"/>
      <w:sz w:val="22"/>
      <w:szCs w:val="20"/>
      <w:lang w:val="en-GB" w:eastAsia="nl-NL"/>
    </w:rPr>
  </w:style>
  <w:style w:type="character" w:styleId="Nevyeenzmnka">
    <w:name w:val="Unresolved Mention"/>
    <w:basedOn w:val="Standardnpsmoodstavce"/>
    <w:uiPriority w:val="99"/>
    <w:semiHidden/>
    <w:unhideWhenUsed/>
    <w:rsid w:val="006260E6"/>
    <w:rPr>
      <w:color w:val="605E5C"/>
      <w:shd w:val="clear" w:color="auto" w:fill="E1DFDD"/>
    </w:rPr>
  </w:style>
  <w:style w:type="character" w:styleId="Zstupntext">
    <w:name w:val="Placeholder Text"/>
    <w:basedOn w:val="Standardnpsmoodstavce"/>
    <w:uiPriority w:val="99"/>
    <w:semiHidden/>
    <w:rsid w:val="00626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104">
      <w:bodyDiv w:val="1"/>
      <w:marLeft w:val="0"/>
      <w:marRight w:val="0"/>
      <w:marTop w:val="0"/>
      <w:marBottom w:val="0"/>
      <w:divBdr>
        <w:top w:val="none" w:sz="0" w:space="0" w:color="auto"/>
        <w:left w:val="none" w:sz="0" w:space="0" w:color="auto"/>
        <w:bottom w:val="none" w:sz="0" w:space="0" w:color="auto"/>
        <w:right w:val="none" w:sz="0" w:space="0" w:color="auto"/>
      </w:divBdr>
    </w:div>
    <w:div w:id="100104224">
      <w:bodyDiv w:val="1"/>
      <w:marLeft w:val="0"/>
      <w:marRight w:val="0"/>
      <w:marTop w:val="0"/>
      <w:marBottom w:val="0"/>
      <w:divBdr>
        <w:top w:val="none" w:sz="0" w:space="0" w:color="auto"/>
        <w:left w:val="none" w:sz="0" w:space="0" w:color="auto"/>
        <w:bottom w:val="none" w:sz="0" w:space="0" w:color="auto"/>
        <w:right w:val="none" w:sz="0" w:space="0" w:color="auto"/>
      </w:divBdr>
    </w:div>
    <w:div w:id="435910192">
      <w:bodyDiv w:val="1"/>
      <w:marLeft w:val="0"/>
      <w:marRight w:val="0"/>
      <w:marTop w:val="0"/>
      <w:marBottom w:val="0"/>
      <w:divBdr>
        <w:top w:val="none" w:sz="0" w:space="0" w:color="auto"/>
        <w:left w:val="none" w:sz="0" w:space="0" w:color="auto"/>
        <w:bottom w:val="none" w:sz="0" w:space="0" w:color="auto"/>
        <w:right w:val="none" w:sz="0" w:space="0" w:color="auto"/>
      </w:divBdr>
    </w:div>
    <w:div w:id="576062506">
      <w:bodyDiv w:val="1"/>
      <w:marLeft w:val="0"/>
      <w:marRight w:val="0"/>
      <w:marTop w:val="0"/>
      <w:marBottom w:val="0"/>
      <w:divBdr>
        <w:top w:val="none" w:sz="0" w:space="0" w:color="auto"/>
        <w:left w:val="none" w:sz="0" w:space="0" w:color="auto"/>
        <w:bottom w:val="none" w:sz="0" w:space="0" w:color="auto"/>
        <w:right w:val="none" w:sz="0" w:space="0" w:color="auto"/>
      </w:divBdr>
    </w:div>
    <w:div w:id="630131275">
      <w:bodyDiv w:val="1"/>
      <w:marLeft w:val="0"/>
      <w:marRight w:val="0"/>
      <w:marTop w:val="0"/>
      <w:marBottom w:val="0"/>
      <w:divBdr>
        <w:top w:val="none" w:sz="0" w:space="0" w:color="auto"/>
        <w:left w:val="none" w:sz="0" w:space="0" w:color="auto"/>
        <w:bottom w:val="none" w:sz="0" w:space="0" w:color="auto"/>
        <w:right w:val="none" w:sz="0" w:space="0" w:color="auto"/>
      </w:divBdr>
    </w:div>
    <w:div w:id="730008482">
      <w:bodyDiv w:val="1"/>
      <w:marLeft w:val="0"/>
      <w:marRight w:val="0"/>
      <w:marTop w:val="0"/>
      <w:marBottom w:val="0"/>
      <w:divBdr>
        <w:top w:val="none" w:sz="0" w:space="0" w:color="auto"/>
        <w:left w:val="none" w:sz="0" w:space="0" w:color="auto"/>
        <w:bottom w:val="none" w:sz="0" w:space="0" w:color="auto"/>
        <w:right w:val="none" w:sz="0" w:space="0" w:color="auto"/>
      </w:divBdr>
    </w:div>
    <w:div w:id="941910571">
      <w:bodyDiv w:val="1"/>
      <w:marLeft w:val="0"/>
      <w:marRight w:val="0"/>
      <w:marTop w:val="0"/>
      <w:marBottom w:val="0"/>
      <w:divBdr>
        <w:top w:val="none" w:sz="0" w:space="0" w:color="auto"/>
        <w:left w:val="none" w:sz="0" w:space="0" w:color="auto"/>
        <w:bottom w:val="none" w:sz="0" w:space="0" w:color="auto"/>
        <w:right w:val="none" w:sz="0" w:space="0" w:color="auto"/>
      </w:divBdr>
    </w:div>
    <w:div w:id="946742730">
      <w:bodyDiv w:val="1"/>
      <w:marLeft w:val="0"/>
      <w:marRight w:val="0"/>
      <w:marTop w:val="0"/>
      <w:marBottom w:val="0"/>
      <w:divBdr>
        <w:top w:val="none" w:sz="0" w:space="0" w:color="auto"/>
        <w:left w:val="none" w:sz="0" w:space="0" w:color="auto"/>
        <w:bottom w:val="none" w:sz="0" w:space="0" w:color="auto"/>
        <w:right w:val="none" w:sz="0" w:space="0" w:color="auto"/>
      </w:divBdr>
    </w:div>
    <w:div w:id="989023622">
      <w:bodyDiv w:val="1"/>
      <w:marLeft w:val="0"/>
      <w:marRight w:val="0"/>
      <w:marTop w:val="0"/>
      <w:marBottom w:val="0"/>
      <w:divBdr>
        <w:top w:val="none" w:sz="0" w:space="0" w:color="auto"/>
        <w:left w:val="none" w:sz="0" w:space="0" w:color="auto"/>
        <w:bottom w:val="none" w:sz="0" w:space="0" w:color="auto"/>
        <w:right w:val="none" w:sz="0" w:space="0" w:color="auto"/>
      </w:divBdr>
    </w:div>
    <w:div w:id="1086923002">
      <w:bodyDiv w:val="1"/>
      <w:marLeft w:val="0"/>
      <w:marRight w:val="0"/>
      <w:marTop w:val="0"/>
      <w:marBottom w:val="0"/>
      <w:divBdr>
        <w:top w:val="none" w:sz="0" w:space="0" w:color="auto"/>
        <w:left w:val="none" w:sz="0" w:space="0" w:color="auto"/>
        <w:bottom w:val="none" w:sz="0" w:space="0" w:color="auto"/>
        <w:right w:val="none" w:sz="0" w:space="0" w:color="auto"/>
      </w:divBdr>
    </w:div>
    <w:div w:id="1177693475">
      <w:bodyDiv w:val="1"/>
      <w:marLeft w:val="0"/>
      <w:marRight w:val="0"/>
      <w:marTop w:val="0"/>
      <w:marBottom w:val="0"/>
      <w:divBdr>
        <w:top w:val="none" w:sz="0" w:space="0" w:color="auto"/>
        <w:left w:val="none" w:sz="0" w:space="0" w:color="auto"/>
        <w:bottom w:val="none" w:sz="0" w:space="0" w:color="auto"/>
        <w:right w:val="none" w:sz="0" w:space="0" w:color="auto"/>
      </w:divBdr>
    </w:div>
    <w:div w:id="1246525440">
      <w:bodyDiv w:val="1"/>
      <w:marLeft w:val="0"/>
      <w:marRight w:val="0"/>
      <w:marTop w:val="0"/>
      <w:marBottom w:val="0"/>
      <w:divBdr>
        <w:top w:val="none" w:sz="0" w:space="0" w:color="auto"/>
        <w:left w:val="none" w:sz="0" w:space="0" w:color="auto"/>
        <w:bottom w:val="none" w:sz="0" w:space="0" w:color="auto"/>
        <w:right w:val="none" w:sz="0" w:space="0" w:color="auto"/>
      </w:divBdr>
    </w:div>
    <w:div w:id="1340505984">
      <w:bodyDiv w:val="1"/>
      <w:marLeft w:val="0"/>
      <w:marRight w:val="0"/>
      <w:marTop w:val="0"/>
      <w:marBottom w:val="0"/>
      <w:divBdr>
        <w:top w:val="none" w:sz="0" w:space="0" w:color="auto"/>
        <w:left w:val="none" w:sz="0" w:space="0" w:color="auto"/>
        <w:bottom w:val="none" w:sz="0" w:space="0" w:color="auto"/>
        <w:right w:val="none" w:sz="0" w:space="0" w:color="auto"/>
      </w:divBdr>
    </w:div>
    <w:div w:id="1376005004">
      <w:bodyDiv w:val="1"/>
      <w:marLeft w:val="0"/>
      <w:marRight w:val="0"/>
      <w:marTop w:val="0"/>
      <w:marBottom w:val="0"/>
      <w:divBdr>
        <w:top w:val="none" w:sz="0" w:space="0" w:color="auto"/>
        <w:left w:val="none" w:sz="0" w:space="0" w:color="auto"/>
        <w:bottom w:val="none" w:sz="0" w:space="0" w:color="auto"/>
        <w:right w:val="none" w:sz="0" w:space="0" w:color="auto"/>
      </w:divBdr>
    </w:div>
    <w:div w:id="1508211191">
      <w:bodyDiv w:val="1"/>
      <w:marLeft w:val="0"/>
      <w:marRight w:val="0"/>
      <w:marTop w:val="0"/>
      <w:marBottom w:val="0"/>
      <w:divBdr>
        <w:top w:val="none" w:sz="0" w:space="0" w:color="auto"/>
        <w:left w:val="none" w:sz="0" w:space="0" w:color="auto"/>
        <w:bottom w:val="none" w:sz="0" w:space="0" w:color="auto"/>
        <w:right w:val="none" w:sz="0" w:space="0" w:color="auto"/>
      </w:divBdr>
    </w:div>
    <w:div w:id="1598171426">
      <w:bodyDiv w:val="1"/>
      <w:marLeft w:val="0"/>
      <w:marRight w:val="0"/>
      <w:marTop w:val="0"/>
      <w:marBottom w:val="0"/>
      <w:divBdr>
        <w:top w:val="none" w:sz="0" w:space="0" w:color="auto"/>
        <w:left w:val="none" w:sz="0" w:space="0" w:color="auto"/>
        <w:bottom w:val="none" w:sz="0" w:space="0" w:color="auto"/>
        <w:right w:val="none" w:sz="0" w:space="0" w:color="auto"/>
      </w:divBdr>
    </w:div>
    <w:div w:id="1630041218">
      <w:bodyDiv w:val="1"/>
      <w:marLeft w:val="0"/>
      <w:marRight w:val="0"/>
      <w:marTop w:val="0"/>
      <w:marBottom w:val="0"/>
      <w:divBdr>
        <w:top w:val="none" w:sz="0" w:space="0" w:color="auto"/>
        <w:left w:val="none" w:sz="0" w:space="0" w:color="auto"/>
        <w:bottom w:val="none" w:sz="0" w:space="0" w:color="auto"/>
        <w:right w:val="none" w:sz="0" w:space="0" w:color="auto"/>
      </w:divBdr>
    </w:div>
    <w:div w:id="1724210228">
      <w:bodyDiv w:val="1"/>
      <w:marLeft w:val="0"/>
      <w:marRight w:val="0"/>
      <w:marTop w:val="0"/>
      <w:marBottom w:val="0"/>
      <w:divBdr>
        <w:top w:val="none" w:sz="0" w:space="0" w:color="auto"/>
        <w:left w:val="none" w:sz="0" w:space="0" w:color="auto"/>
        <w:bottom w:val="none" w:sz="0" w:space="0" w:color="auto"/>
        <w:right w:val="none" w:sz="0" w:space="0" w:color="auto"/>
      </w:divBdr>
    </w:div>
    <w:div w:id="1742673681">
      <w:bodyDiv w:val="1"/>
      <w:marLeft w:val="0"/>
      <w:marRight w:val="0"/>
      <w:marTop w:val="0"/>
      <w:marBottom w:val="0"/>
      <w:divBdr>
        <w:top w:val="none" w:sz="0" w:space="0" w:color="auto"/>
        <w:left w:val="none" w:sz="0" w:space="0" w:color="auto"/>
        <w:bottom w:val="none" w:sz="0" w:space="0" w:color="auto"/>
        <w:right w:val="none" w:sz="0" w:space="0" w:color="auto"/>
      </w:divBdr>
    </w:div>
    <w:div w:id="1778403941">
      <w:bodyDiv w:val="1"/>
      <w:marLeft w:val="0"/>
      <w:marRight w:val="0"/>
      <w:marTop w:val="0"/>
      <w:marBottom w:val="0"/>
      <w:divBdr>
        <w:top w:val="none" w:sz="0" w:space="0" w:color="auto"/>
        <w:left w:val="none" w:sz="0" w:space="0" w:color="auto"/>
        <w:bottom w:val="none" w:sz="0" w:space="0" w:color="auto"/>
        <w:right w:val="none" w:sz="0" w:space="0" w:color="auto"/>
      </w:divBdr>
    </w:div>
    <w:div w:id="1788697553">
      <w:bodyDiv w:val="1"/>
      <w:marLeft w:val="0"/>
      <w:marRight w:val="0"/>
      <w:marTop w:val="0"/>
      <w:marBottom w:val="0"/>
      <w:divBdr>
        <w:top w:val="none" w:sz="0" w:space="0" w:color="auto"/>
        <w:left w:val="none" w:sz="0" w:space="0" w:color="auto"/>
        <w:bottom w:val="none" w:sz="0" w:space="0" w:color="auto"/>
        <w:right w:val="none" w:sz="0" w:space="0" w:color="auto"/>
      </w:divBdr>
    </w:div>
    <w:div w:id="2026859855">
      <w:bodyDiv w:val="1"/>
      <w:marLeft w:val="0"/>
      <w:marRight w:val="0"/>
      <w:marTop w:val="0"/>
      <w:marBottom w:val="0"/>
      <w:divBdr>
        <w:top w:val="none" w:sz="0" w:space="0" w:color="auto"/>
        <w:left w:val="none" w:sz="0" w:space="0" w:color="auto"/>
        <w:bottom w:val="none" w:sz="0" w:space="0" w:color="auto"/>
        <w:right w:val="none" w:sz="0" w:space="0" w:color="auto"/>
      </w:divBdr>
    </w:div>
    <w:div w:id="212214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hyperlink" Target="http://cs.wikipedia.org/wiki/Technologie" TargetMode="External"/><Relationship Id="rId26" Type="http://schemas.openxmlformats.org/officeDocument/2006/relationships/hyperlink" Target="http://www.ctu.cz/cs/download/oop/oop_04/oop_04-11_2012-15.pdf" TargetMode="External"/><Relationship Id="rId39"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hyperlink" Target="http://cs.wikipedia.org/wiki/Technologie" TargetMode="External"/><Relationship Id="rId34" Type="http://schemas.openxmlformats.org/officeDocument/2006/relationships/oleObject" Target="embeddings/oleObject4.bin"/><Relationship Id="rId42" Type="http://schemas.openxmlformats.org/officeDocument/2006/relationships/hyperlink" Target="https://eur-lex.europa.eu/LexUriServ/LexUriServ.do?uri=OJ:L:2010:251:0035:0048:CS:PDF"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cs.wikipedia.org/wiki/Telefon" TargetMode="External"/><Relationship Id="rId25" Type="http://schemas.openxmlformats.org/officeDocument/2006/relationships/hyperlink" Target="http://www.ctu.cz/cs/download/oop/oop_04/oop_04-12_2011-19.pdf" TargetMode="External"/><Relationship Id="rId33" Type="http://schemas.openxmlformats.org/officeDocument/2006/relationships/image" Target="media/image11.wmf"/><Relationship Id="rId38"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cs.wikipedia.org/wiki/Telefon" TargetMode="External"/><Relationship Id="rId29" Type="http://schemas.openxmlformats.org/officeDocument/2006/relationships/image" Target="media/image9.wmf"/><Relationship Id="rId41" Type="http://schemas.openxmlformats.org/officeDocument/2006/relationships/hyperlink" Target="https://www.ctu.cz/vyzva-k-uplatneni-pripominek-k-navrhu-opatreni-obecne-povahy-c-oop4xx2022-y-kterym-se-meni-opatre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tu.cz/cs/download/oop/oop_04/oop_04-02_2008-01.pdf" TargetMode="External"/><Relationship Id="rId32" Type="http://schemas.openxmlformats.org/officeDocument/2006/relationships/oleObject" Target="embeddings/oleObject3.bin"/><Relationship Id="rId37" Type="http://schemas.openxmlformats.org/officeDocument/2006/relationships/oleObject" Target="embeddings/oleObject6.bin"/><Relationship Id="rId40" Type="http://schemas.openxmlformats.org/officeDocument/2006/relationships/hyperlink" Target="https://www.ctu.cz/sites/default/files/obsah/ctu/vyzva-k-uplatneni-pripominek-k-navrhu-opatreni-obecne-povahy-c.oop/4/xx.2021-y-kterym-se-meni-opatreni-obecne-povahy-c.oop/4/09.2014-6-kterym-se-stanovi-metodika-uceloveho-cleneni-nakladu-vynosu-jejich-pr/tabulkavyporadanipripominek.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3.xml"/><Relationship Id="rId28" Type="http://schemas.openxmlformats.org/officeDocument/2006/relationships/oleObject" Target="embeddings/oleObject1.bin"/><Relationship Id="rId36" Type="http://schemas.openxmlformats.org/officeDocument/2006/relationships/oleObject" Target="embeddings/oleObject5.bin"/><Relationship Id="rId10" Type="http://schemas.openxmlformats.org/officeDocument/2006/relationships/image" Target="media/image3.emf"/><Relationship Id="rId19" Type="http://schemas.openxmlformats.org/officeDocument/2006/relationships/hyperlink" Target="http://cs.wikipedia.org/wiki/Mobiln%C3%AD_telefon" TargetMode="External"/><Relationship Id="rId31" Type="http://schemas.openxmlformats.org/officeDocument/2006/relationships/image" Target="media/image10.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hyperlink" Target="http://cs.wikipedia.org/wiki/Mobiln%C3%AD_telefon" TargetMode="External"/><Relationship Id="rId27" Type="http://schemas.openxmlformats.org/officeDocument/2006/relationships/image" Target="media/image8.wmf"/><Relationship Id="rId30" Type="http://schemas.openxmlformats.org/officeDocument/2006/relationships/oleObject" Target="embeddings/oleObject2.bin"/><Relationship Id="rId35" Type="http://schemas.openxmlformats.org/officeDocument/2006/relationships/image" Target="media/image12.wmf"/><Relationship Id="rId43" Type="http://schemas.openxmlformats.org/officeDocument/2006/relationships/image" Target="media/image15.png"/></Relationships>
</file>

<file path=word/_rels/footnotes.xml.rels><?xml version="1.0" encoding="UTF-8" standalone="yes"?>
<Relationships xmlns="http://schemas.openxmlformats.org/package/2006/relationships"><Relationship Id="rId8" Type="http://schemas.openxmlformats.org/officeDocument/2006/relationships/hyperlink" Target="http://www.ctu.cz/cs/download/oop/oop_04/model_lric_originace_pevna_sit_12_07_2013.zip" TargetMode="External"/><Relationship Id="rId13" Type="http://schemas.openxmlformats.org/officeDocument/2006/relationships/hyperlink" Target="https://digital-strategy.ec.europa.eu/en/library/commission-publishes-notice-calculation-cost-capital-legacy-infrastructure" TargetMode="External"/><Relationship Id="rId18" Type="http://schemas.openxmlformats.org/officeDocument/2006/relationships/hyperlink" Target="https://eur-lex.europa.eu/legal-content/CS/TXT/PDF/?uri=CELEX:52019XC1106(01)" TargetMode="External"/><Relationship Id="rId26" Type="http://schemas.openxmlformats.org/officeDocument/2006/relationships/hyperlink" Target="https://www.berec.europa.eu/sites/default/files/files/document_register_store/2022/6/BoR%20%2822%29%2070%20BEREC%20Report%20on%20WACC%20parameters%202022.pdf" TargetMode="External"/><Relationship Id="rId3" Type="http://schemas.openxmlformats.org/officeDocument/2006/relationships/hyperlink" Target="http://www.ctu.cz/cs/download/oop/oop_04/model_lric_terminace_mobilni_sit.zip" TargetMode="External"/><Relationship Id="rId21" Type="http://schemas.openxmlformats.org/officeDocument/2006/relationships/hyperlink" Target="https://ec.europa.eu/eurostat/databrowser/view/IRT_LT_MCBY_M__custom_6759584/default/table?lang=en" TargetMode="External"/><Relationship Id="rId7" Type="http://schemas.openxmlformats.org/officeDocument/2006/relationships/hyperlink" Target="http://www.ctu.cz/cs/download/oop/oop_04/kolokace_30_03_2007.xls" TargetMode="External"/><Relationship Id="rId12" Type="http://schemas.openxmlformats.org/officeDocument/2006/relationships/hyperlink" Target="https://ec.europa.eu/eurostat/databrowser/view/IRT_LT_MCBY_M__custom_1075498/default/table?lang=en" TargetMode="External"/><Relationship Id="rId17" Type="http://schemas.openxmlformats.org/officeDocument/2006/relationships/hyperlink" Target="https://circabc.europa.eu/ui/group/2328c58f-1fed-4402-a6cc-0f0237699dc3/library/360dc978-4e52-429b-8f86-698e58ff2803/details" TargetMode="External"/><Relationship Id="rId25" Type="http://schemas.openxmlformats.org/officeDocument/2006/relationships/hyperlink" Target="https://www.berec.europa.eu/sites/default/files/files/document_register_store/2021/6/BoR_%2821%29_86_BEREC_WACC_parameters_Report_2021_final_11062021_sent_approved.pdf" TargetMode="External"/><Relationship Id="rId2" Type="http://schemas.openxmlformats.org/officeDocument/2006/relationships/hyperlink" Target="http://www.ctu.cz/cs/download/oop/oop_04/manual_lric_pevna.pdf" TargetMode="External"/><Relationship Id="rId16" Type="http://schemas.openxmlformats.org/officeDocument/2006/relationships/hyperlink" Target="https://digital-strategy.ec.europa.eu/en/library/commission-publishes-notice-calculation-cost-capital-legacy-infrastructure" TargetMode="External"/><Relationship Id="rId20" Type="http://schemas.openxmlformats.org/officeDocument/2006/relationships/hyperlink" Target="https://www.berec.europa.eu/en/document-categories/berec/reports/berec-report-on-wacc-parameter-calculations-according-to-the-european-commissions-wacc-notice-of-6th-november-2019-wacc-parameters-report-2023" TargetMode="External"/><Relationship Id="rId1" Type="http://schemas.openxmlformats.org/officeDocument/2006/relationships/hyperlink" Target="http://www.ctu.cz/cs/download/oop/oop_04/model_lric_terminace_pevna_sit.zip" TargetMode="External"/><Relationship Id="rId6" Type="http://schemas.openxmlformats.org/officeDocument/2006/relationships/hyperlink" Target="http://www.ctu.cz/cs/download/oop/oop_04/kolokace_30_03_2007.xls" TargetMode="External"/><Relationship Id="rId11" Type="http://schemas.openxmlformats.org/officeDocument/2006/relationships/hyperlink" Target="https://berec.europa.eu/eng/document_register/subject_matter/berec/reports/9977-berec-report-on-wacc-parameter-calculations-according-to-the-european-commissions-wacc-notice-of-6-november-2019" TargetMode="External"/><Relationship Id="rId24" Type="http://schemas.openxmlformats.org/officeDocument/2006/relationships/hyperlink" Target="https://www.berec.europa.eu/sites/default/files/files/document_register_store/2020/10/BoR_%2820%29_165_BEREC_Guidelines_VHCN.pdf" TargetMode="External"/><Relationship Id="rId5" Type="http://schemas.openxmlformats.org/officeDocument/2006/relationships/hyperlink" Target="http://www.ctu.cz/cs/download/oop/oop_04/vosp_02-2013.zip" TargetMode="External"/><Relationship Id="rId15" Type="http://schemas.openxmlformats.org/officeDocument/2006/relationships/hyperlink" Target="https://berec.europa.eu/eng/document_register/subject_matter/berec/reports/10274-berec-report-on-wacc-parameter-calculations-according-to-the-european-commissions-wacc-notice-wacc-parameters-report-2022" TargetMode="External"/><Relationship Id="rId23" Type="http://schemas.openxmlformats.org/officeDocument/2006/relationships/hyperlink" Target="https://eur-lex.europa.eu/legal-content/CS/TXT/PDF/?uri=CELEX:32018L1972" TargetMode="External"/><Relationship Id="rId10" Type="http://schemas.openxmlformats.org/officeDocument/2006/relationships/hyperlink" Target="https://op.europa.eu/en/publication-detail/-/publication/87f74532-007e-11ea-8c1f-01aa75ed71a1/language-cs/format-HTML" TargetMode="External"/><Relationship Id="rId19" Type="http://schemas.openxmlformats.org/officeDocument/2006/relationships/hyperlink" Target="https://eur-lex.europa.eu/legal-content/CS/TXT/PDF/?uri=CELEX:32018L1972" TargetMode="External"/><Relationship Id="rId4" Type="http://schemas.openxmlformats.org/officeDocument/2006/relationships/hyperlink" Target="http://www.ctu.cz/cs/download/oop/oop_04/manual_mobil.pdf" TargetMode="External"/><Relationship Id="rId9" Type="http://schemas.openxmlformats.org/officeDocument/2006/relationships/hyperlink" Target="http://www.plumconsulting.co.uk/pdfs/Plum_Costing_methodology_and_the_transition_to_next_generation_access_March_2011_Final.pdf" TargetMode="External"/><Relationship Id="rId14" Type="http://schemas.openxmlformats.org/officeDocument/2006/relationships/hyperlink" Target="https://op.europa.eu/en/publication-detail/-/publication/87f74532-007e-11ea-8c1f-01aa75ed71a1/language-cs/format-HTML" TargetMode="External"/><Relationship Id="rId22" Type="http://schemas.openxmlformats.org/officeDocument/2006/relationships/hyperlink" Target="https://digital-strategy.ec.europa.eu/en/library/commission-publishes-notice-calculation-cost-capital-legacy-infrastructur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F6F8-EACD-41B5-83D3-44AFD5AF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30227</Words>
  <Characters>173421</Characters>
  <Application>Microsoft Office Word</Application>
  <DocSecurity>0</DocSecurity>
  <Lines>1445</Lines>
  <Paragraphs>406</Paragraphs>
  <ScaleCrop>false</ScaleCrop>
  <HeadingPairs>
    <vt:vector size="2" baseType="variant">
      <vt:variant>
        <vt:lpstr>Název</vt:lpstr>
      </vt:variant>
      <vt:variant>
        <vt:i4>1</vt:i4>
      </vt:variant>
    </vt:vector>
  </HeadingPairs>
  <TitlesOfParts>
    <vt:vector size="1" baseType="lpstr">
      <vt:lpstr/>
    </vt:vector>
  </TitlesOfParts>
  <Company>ctu</Company>
  <LinksUpToDate>false</LinksUpToDate>
  <CharactersWithSpaces>203242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KUCHAŘOVÁ Eliška</dc:creator>
  <cp:keywords/>
  <dc:description/>
  <cp:lastModifiedBy>VLČKOVÁ Martina</cp:lastModifiedBy>
  <cp:revision>2</cp:revision>
  <cp:lastPrinted>2014-07-21T07:10:00Z</cp:lastPrinted>
  <dcterms:created xsi:type="dcterms:W3CDTF">2023-11-13T10:48:00Z</dcterms:created>
  <dcterms:modified xsi:type="dcterms:W3CDTF">2023-11-13T10:48:00Z</dcterms:modified>
</cp:coreProperties>
</file>