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AF5" w:rsidRDefault="008D457D">
      <w:pPr>
        <w:spacing w:after="9" w:line="268" w:lineRule="auto"/>
        <w:ind w:right="2"/>
        <w:jc w:val="center"/>
      </w:pPr>
      <w:r>
        <w:rPr>
          <w:b/>
          <w:sz w:val="24"/>
        </w:rPr>
        <w:t xml:space="preserve">Metodické pokyny  </w:t>
      </w:r>
    </w:p>
    <w:p w:rsidR="00A35AF5" w:rsidRDefault="008D457D">
      <w:pPr>
        <w:spacing w:after="9" w:line="268" w:lineRule="auto"/>
        <w:ind w:right="0"/>
        <w:jc w:val="center"/>
      </w:pPr>
      <w:r>
        <w:rPr>
          <w:b/>
          <w:sz w:val="24"/>
        </w:rPr>
        <w:t xml:space="preserve">pro hodnocení a způsob informování o závažném narušení bezpečnosti a ztrátě integrity sítí a služeb elektronických komunikací </w:t>
      </w:r>
    </w:p>
    <w:p w:rsidR="00A35AF5" w:rsidRDefault="008D457D">
      <w:pPr>
        <w:spacing w:after="0" w:line="259" w:lineRule="auto"/>
        <w:ind w:left="0" w:right="0" w:firstLine="0"/>
        <w:jc w:val="left"/>
        <w:rPr>
          <w:b/>
        </w:rPr>
      </w:pPr>
      <w:r>
        <w:rPr>
          <w:b/>
        </w:rPr>
        <w:t xml:space="preserve"> </w:t>
      </w:r>
    </w:p>
    <w:p w:rsidR="005347D4" w:rsidRDefault="005347D4">
      <w:pPr>
        <w:spacing w:after="0" w:line="259" w:lineRule="auto"/>
        <w:ind w:left="0" w:right="0" w:firstLine="0"/>
        <w:jc w:val="left"/>
      </w:pPr>
    </w:p>
    <w:p w:rsidR="00CC6BC0" w:rsidRDefault="008D457D">
      <w:pPr>
        <w:pStyle w:val="Nadpis1"/>
      </w:pPr>
      <w:r>
        <w:t xml:space="preserve">Článek 1 </w:t>
      </w:r>
    </w:p>
    <w:p w:rsidR="00A35AF5" w:rsidRDefault="008D457D">
      <w:pPr>
        <w:pStyle w:val="Nadpis1"/>
      </w:pPr>
      <w:r>
        <w:t xml:space="preserve">Preambule </w:t>
      </w:r>
    </w:p>
    <w:p w:rsidR="00A35AF5" w:rsidRDefault="008D457D">
      <w:pPr>
        <w:spacing w:after="11" w:line="259" w:lineRule="auto"/>
        <w:ind w:left="0" w:right="0" w:firstLine="0"/>
        <w:jc w:val="left"/>
      </w:pPr>
      <w:r>
        <w:t xml:space="preserve"> </w:t>
      </w:r>
    </w:p>
    <w:p w:rsidR="00A35AF5" w:rsidRDefault="008D457D">
      <w:pPr>
        <w:ind w:left="-5" w:right="0"/>
      </w:pPr>
      <w:r>
        <w:t xml:space="preserve">Metodické pokyny byly zpracovány k upřesnění postupů při plnění povinností podnikatele zajišťujícího veřejnou komunikační síť nebo poskytujícího veřejně dostupnou službu elektronických komunikací (dále jen „podnikatel“) podle § 98 odst. 4 a § 99 odst. 4 zákona </w:t>
      </w:r>
      <w:r w:rsidR="00CA3937">
        <w:t xml:space="preserve">       </w:t>
      </w:r>
      <w:r>
        <w:t xml:space="preserve">č. 127/2005 Sb., o elektronických komunikacích a o změně některých souvisejících zákonů (zákon o elektronických komunikacích), ve znění pozdějších předpisů (dále jen „zákon“) </w:t>
      </w:r>
      <w:r w:rsidR="00CA3937">
        <w:t xml:space="preserve">            </w:t>
      </w:r>
      <w:r>
        <w:t xml:space="preserve">a vyhlášky č. 242/2012 Sb., o stanovení rozsahu a formy předávané informace o narušení bezpečnosti a ztrátě integrity sítě (dále jen „vyhláška“). </w:t>
      </w:r>
    </w:p>
    <w:p w:rsidR="00A35AF5" w:rsidRDefault="008D457D">
      <w:pPr>
        <w:spacing w:after="19" w:line="259" w:lineRule="auto"/>
        <w:ind w:left="0" w:right="0" w:firstLine="0"/>
        <w:jc w:val="left"/>
      </w:pPr>
      <w:r>
        <w:t xml:space="preserve"> </w:t>
      </w:r>
    </w:p>
    <w:p w:rsidR="00A35AF5" w:rsidRDefault="008D457D">
      <w:pPr>
        <w:ind w:left="-5" w:right="0"/>
      </w:pPr>
      <w:r>
        <w:t>Při definování pojmů a činností byly s ohledem na sjednocování činností v rámci Evropské unie využity Technické pokyny pro hlášení incidentů</w:t>
      </w:r>
      <w:r>
        <w:rPr>
          <w:vertAlign w:val="superscript"/>
        </w:rPr>
        <w:footnoteReference w:id="1"/>
      </w:r>
      <w:r>
        <w:t xml:space="preserve"> (dále jen „Technické pokyny“), zpracované Evropskou agenturou pro bezpečnost sítí a informací (dále jen „ENISA“) ve spolupráci </w:t>
      </w:r>
      <w:r w:rsidR="00CA3937">
        <w:t xml:space="preserve">                </w:t>
      </w:r>
      <w:r>
        <w:t xml:space="preserve">s národními regulačními orgány EU, a to v souladu se Směrnicí Evropského parlamentu </w:t>
      </w:r>
      <w:r w:rsidR="009F6656">
        <w:t xml:space="preserve">              </w:t>
      </w:r>
      <w:r>
        <w:t>a Rady 2009/140/ES ze dne 25. listopadu 2009</w:t>
      </w:r>
      <w:r>
        <w:rPr>
          <w:vertAlign w:val="superscript"/>
        </w:rPr>
        <w:footnoteReference w:id="2"/>
      </w:r>
      <w:r>
        <w:t xml:space="preserve">. </w:t>
      </w:r>
    </w:p>
    <w:p w:rsidR="00A35AF5" w:rsidRDefault="008D457D" w:rsidP="005347D4">
      <w:pPr>
        <w:spacing w:after="0" w:line="259" w:lineRule="auto"/>
        <w:ind w:left="0" w:right="0" w:firstLine="0"/>
        <w:jc w:val="left"/>
        <w:rPr>
          <w:rFonts w:ascii="Times New Roman" w:eastAsia="Times New Roman" w:hAnsi="Times New Roman" w:cs="Times New Roman"/>
        </w:rPr>
      </w:pPr>
      <w:r>
        <w:t xml:space="preserve"> </w:t>
      </w:r>
      <w:r>
        <w:rPr>
          <w:rFonts w:ascii="Times New Roman" w:eastAsia="Times New Roman" w:hAnsi="Times New Roman" w:cs="Times New Roman"/>
        </w:rPr>
        <w:t xml:space="preserve"> </w:t>
      </w:r>
    </w:p>
    <w:p w:rsidR="005347D4" w:rsidRDefault="005347D4" w:rsidP="005347D4">
      <w:pPr>
        <w:spacing w:after="0" w:line="259" w:lineRule="auto"/>
        <w:ind w:left="0" w:right="0" w:firstLine="0"/>
        <w:jc w:val="left"/>
      </w:pPr>
    </w:p>
    <w:p w:rsidR="00CC6BC0" w:rsidRDefault="008D457D">
      <w:pPr>
        <w:pStyle w:val="Nadpis1"/>
      </w:pPr>
      <w:r>
        <w:t xml:space="preserve">Článek 2 </w:t>
      </w:r>
    </w:p>
    <w:p w:rsidR="00A35AF5" w:rsidRDefault="008D457D">
      <w:pPr>
        <w:pStyle w:val="Nadpis1"/>
      </w:pPr>
      <w:r>
        <w:t xml:space="preserve">Závažné narušení bezpečnosti a ztráta integrity sítě </w:t>
      </w:r>
    </w:p>
    <w:p w:rsidR="00A35AF5" w:rsidRDefault="008D457D">
      <w:pPr>
        <w:spacing w:after="18" w:line="259" w:lineRule="auto"/>
        <w:ind w:left="0" w:right="0" w:firstLine="0"/>
        <w:jc w:val="left"/>
      </w:pPr>
      <w:r>
        <w:rPr>
          <w:b/>
        </w:rPr>
        <w:t xml:space="preserve"> </w:t>
      </w:r>
    </w:p>
    <w:p w:rsidR="00A35AF5" w:rsidRDefault="008D457D">
      <w:pPr>
        <w:ind w:left="-5" w:right="0"/>
      </w:pPr>
      <w:r>
        <w:t xml:space="preserve">Pro posouzení míry závažnosti narušení bezpečnosti a ztráty integrity sítě je doporučeno </w:t>
      </w:r>
      <w:r w:rsidR="00CA3937">
        <w:t xml:space="preserve">       </w:t>
      </w:r>
      <w:proofErr w:type="gramStart"/>
      <w:r w:rsidR="00CA3937">
        <w:t xml:space="preserve">   </w:t>
      </w:r>
      <w:r>
        <w:t>(</w:t>
      </w:r>
      <w:proofErr w:type="gramEnd"/>
      <w:r>
        <w:t xml:space="preserve">v rámci EU převážně využívané) použití kombinovaného kritéria, vycházejícího z počtu postižených uživatelů (účastníků) a délky trvání postižení (narušení nebo přerušení služby elektronických komunikací). </w:t>
      </w:r>
    </w:p>
    <w:p w:rsidR="00A35AF5" w:rsidRDefault="008D457D">
      <w:pPr>
        <w:spacing w:after="16" w:line="259" w:lineRule="auto"/>
        <w:ind w:left="0" w:right="0" w:firstLine="0"/>
        <w:jc w:val="left"/>
      </w:pPr>
      <w:r>
        <w:t xml:space="preserve">  </w:t>
      </w:r>
    </w:p>
    <w:p w:rsidR="00A35AF5" w:rsidRDefault="008D457D">
      <w:pPr>
        <w:ind w:left="-5" w:right="0"/>
      </w:pPr>
      <w:r>
        <w:t>Způsob posouzení vyplývá z níže uvedené tabulky. Červeně vybarvená pole tabulky označují stav závažného narušení bezpečnosti a ztráty integrity sítě (dále jen „závažné narušení“</w:t>
      </w:r>
      <w:proofErr w:type="gramStart"/>
      <w:r>
        <w:t xml:space="preserve">), </w:t>
      </w:r>
      <w:r w:rsidR="00CA3937">
        <w:t xml:space="preserve">  </w:t>
      </w:r>
      <w:proofErr w:type="gramEnd"/>
      <w:r w:rsidR="00CA3937">
        <w:t xml:space="preserve">       </w:t>
      </w:r>
      <w:r>
        <w:t xml:space="preserve">o kterém je nutno informovat Český telekomunikační úřad (dále jen „Úřad“) v souladu </w:t>
      </w:r>
      <w:r w:rsidR="009E179F">
        <w:t xml:space="preserve">                   </w:t>
      </w:r>
      <w:r>
        <w:t xml:space="preserve">s § 98 odst. 4 zákona.  </w:t>
      </w:r>
      <w:bookmarkStart w:id="0" w:name="_GoBack"/>
      <w:bookmarkEnd w:id="0"/>
    </w:p>
    <w:p w:rsidR="00A35AF5" w:rsidRDefault="008D457D">
      <w:pPr>
        <w:spacing w:after="19" w:line="259" w:lineRule="auto"/>
        <w:ind w:left="708" w:right="0" w:firstLine="0"/>
        <w:jc w:val="left"/>
      </w:pPr>
      <w:r>
        <w:t xml:space="preserve"> </w:t>
      </w:r>
    </w:p>
    <w:p w:rsidR="00A35AF5" w:rsidRDefault="008D457D">
      <w:pPr>
        <w:ind w:left="-5" w:right="0"/>
      </w:pPr>
      <w:r>
        <w:t xml:space="preserve">Procento postižených uživatelů (účastníků) je vypočítáno z poměru zjištěného počtu (kvalifikovaného odhadu) postižených uživatelů (účastníků) a celkového počtu účastníků vedených v databázi podnikatele, vztažené k jednotlivým poskytovaným službám (veřejně dostupná pevná telefonní služba, veřejně dostupná mobilní telefonní služba, přístup k </w:t>
      </w:r>
      <w:proofErr w:type="gramStart"/>
      <w:r>
        <w:t>Internetu</w:t>
      </w:r>
      <w:proofErr w:type="gramEnd"/>
      <w:r>
        <w:t xml:space="preserve"> po pevné síti, přístup k Internetu po mobilní síti). </w:t>
      </w:r>
    </w:p>
    <w:p w:rsidR="00CA3937" w:rsidRDefault="00CA3937" w:rsidP="00CC6BC0">
      <w:pPr>
        <w:spacing w:after="14" w:line="259" w:lineRule="auto"/>
        <w:ind w:left="708" w:right="0" w:firstLine="0"/>
        <w:jc w:val="left"/>
      </w:pPr>
    </w:p>
    <w:p w:rsidR="00CA3937" w:rsidRDefault="00CA3937" w:rsidP="00CC6BC0">
      <w:pPr>
        <w:spacing w:after="14" w:line="259" w:lineRule="auto"/>
        <w:ind w:left="708" w:right="0" w:firstLine="0"/>
        <w:jc w:val="left"/>
      </w:pPr>
    </w:p>
    <w:p w:rsidR="00CC6BC0" w:rsidRDefault="008D457D" w:rsidP="00CC6BC0">
      <w:pPr>
        <w:spacing w:after="14" w:line="259" w:lineRule="auto"/>
        <w:ind w:left="708" w:right="0" w:firstLine="0"/>
        <w:jc w:val="left"/>
        <w:rPr>
          <w:u w:val="single" w:color="000000"/>
        </w:rPr>
      </w:pPr>
      <w:r>
        <w:t xml:space="preserve"> </w:t>
      </w:r>
    </w:p>
    <w:p w:rsidR="00A35AF5" w:rsidRDefault="008D457D">
      <w:pPr>
        <w:spacing w:after="0" w:line="259" w:lineRule="auto"/>
        <w:ind w:left="703" w:right="0"/>
        <w:jc w:val="left"/>
      </w:pPr>
      <w:r>
        <w:rPr>
          <w:u w:val="single" w:color="000000"/>
        </w:rPr>
        <w:t>Příklady:</w:t>
      </w:r>
      <w:r>
        <w:t xml:space="preserve"> </w:t>
      </w:r>
    </w:p>
    <w:p w:rsidR="00A35AF5" w:rsidRDefault="008D457D">
      <w:pPr>
        <w:spacing w:after="15" w:line="259" w:lineRule="auto"/>
        <w:ind w:left="708" w:right="0" w:firstLine="0"/>
        <w:jc w:val="left"/>
      </w:pPr>
      <w:r>
        <w:t xml:space="preserve"> </w:t>
      </w:r>
    </w:p>
    <w:p w:rsidR="00A35AF5" w:rsidRDefault="008D457D">
      <w:pPr>
        <w:spacing w:after="3" w:line="266" w:lineRule="auto"/>
        <w:ind w:left="-5" w:right="0"/>
      </w:pPr>
      <w:r>
        <w:rPr>
          <w:i/>
        </w:rPr>
        <w:lastRenderedPageBreak/>
        <w:t xml:space="preserve">Podnikatel má v databázi registrováno 1 000 000 účastníků. Při incidentu bylo postiženo </w:t>
      </w:r>
    </w:p>
    <w:p w:rsidR="00A35AF5" w:rsidRDefault="008D457D">
      <w:pPr>
        <w:spacing w:after="3" w:line="266" w:lineRule="auto"/>
        <w:ind w:left="-5" w:right="0"/>
      </w:pPr>
      <w:r>
        <w:rPr>
          <w:i/>
        </w:rPr>
        <w:t xml:space="preserve">10 000 uživatelů po dobu 8 hodin a více = jedná se o závažné narušení. </w:t>
      </w:r>
    </w:p>
    <w:p w:rsidR="00A35AF5" w:rsidRDefault="008D457D">
      <w:pPr>
        <w:spacing w:after="14" w:line="259" w:lineRule="auto"/>
        <w:ind w:left="0" w:right="0" w:firstLine="0"/>
        <w:jc w:val="left"/>
      </w:pPr>
      <w:r>
        <w:rPr>
          <w:i/>
        </w:rPr>
        <w:t xml:space="preserve"> </w:t>
      </w:r>
    </w:p>
    <w:p w:rsidR="00A35AF5" w:rsidRDefault="008D457D">
      <w:pPr>
        <w:spacing w:after="3" w:line="266" w:lineRule="auto"/>
        <w:ind w:left="-5" w:right="0"/>
      </w:pPr>
      <w:r>
        <w:rPr>
          <w:i/>
        </w:rPr>
        <w:t xml:space="preserve">Podnikatel má v databázi registrováno 1 000 000 účastníků. Při incidentu bylo postiženo </w:t>
      </w:r>
      <w:r w:rsidR="00CA3937">
        <w:rPr>
          <w:i/>
        </w:rPr>
        <w:t xml:space="preserve">       </w:t>
      </w:r>
      <w:r>
        <w:rPr>
          <w:i/>
        </w:rPr>
        <w:t>140 000 uživatelů po dobu 1,5 hodiny = nejedná se o závažné narušení.</w:t>
      </w:r>
      <w:r>
        <w:t xml:space="preserve">  </w:t>
      </w:r>
    </w:p>
    <w:p w:rsidR="00A35AF5" w:rsidRDefault="008D457D">
      <w:pPr>
        <w:spacing w:after="0" w:line="259" w:lineRule="auto"/>
        <w:ind w:left="0" w:right="0" w:firstLine="0"/>
        <w:jc w:val="left"/>
      </w:pPr>
      <w:r>
        <w:t xml:space="preserve"> </w:t>
      </w:r>
    </w:p>
    <w:p w:rsidR="00A35AF5" w:rsidRDefault="008D457D">
      <w:pPr>
        <w:spacing w:after="0" w:line="259" w:lineRule="auto"/>
        <w:ind w:left="708" w:right="0" w:firstLine="0"/>
        <w:jc w:val="left"/>
      </w:pPr>
      <w:r>
        <w:t xml:space="preserve"> </w:t>
      </w:r>
    </w:p>
    <w:tbl>
      <w:tblPr>
        <w:tblStyle w:val="TableGrid"/>
        <w:tblW w:w="9180" w:type="dxa"/>
        <w:tblInd w:w="0" w:type="dxa"/>
        <w:tblCellMar>
          <w:top w:w="8" w:type="dxa"/>
          <w:left w:w="79" w:type="dxa"/>
          <w:right w:w="55" w:type="dxa"/>
        </w:tblCellMar>
        <w:tblLook w:val="04A0" w:firstRow="1" w:lastRow="0" w:firstColumn="1" w:lastColumn="0" w:noHBand="0" w:noVBand="1"/>
      </w:tblPr>
      <w:tblGrid>
        <w:gridCol w:w="1442"/>
        <w:gridCol w:w="1546"/>
        <w:gridCol w:w="1548"/>
        <w:gridCol w:w="1547"/>
        <w:gridCol w:w="1550"/>
        <w:gridCol w:w="1547"/>
      </w:tblGrid>
      <w:tr w:rsidR="00A35AF5">
        <w:trPr>
          <w:trHeight w:val="966"/>
        </w:trPr>
        <w:tc>
          <w:tcPr>
            <w:tcW w:w="1442" w:type="dxa"/>
            <w:tcBorders>
              <w:top w:val="single" w:sz="4" w:space="0" w:color="000000"/>
              <w:left w:val="single" w:sz="4" w:space="0" w:color="000000"/>
              <w:bottom w:val="single" w:sz="4" w:space="0" w:color="000000"/>
              <w:right w:val="single" w:sz="4" w:space="0" w:color="000000"/>
            </w:tcBorders>
          </w:tcPr>
          <w:p w:rsidR="00A35AF5" w:rsidRDefault="008D457D">
            <w:pPr>
              <w:spacing w:after="19" w:line="259" w:lineRule="auto"/>
              <w:ind w:left="29" w:right="0" w:firstLine="0"/>
              <w:jc w:val="center"/>
            </w:pPr>
            <w:r>
              <w:rPr>
                <w:sz w:val="20"/>
              </w:rPr>
              <w:t xml:space="preserve"> </w:t>
            </w:r>
          </w:p>
          <w:p w:rsidR="00A35AF5" w:rsidRDefault="008D457D">
            <w:pPr>
              <w:spacing w:after="0" w:line="259" w:lineRule="auto"/>
              <w:ind w:left="0" w:right="32" w:firstLine="0"/>
              <w:jc w:val="center"/>
            </w:pPr>
            <w:r>
              <w:rPr>
                <w:sz w:val="20"/>
              </w:rPr>
              <w:t xml:space="preserve">Délka trvání </w:t>
            </w:r>
          </w:p>
          <w:p w:rsidR="00A35AF5" w:rsidRDefault="008D457D">
            <w:pPr>
              <w:spacing w:after="40" w:line="259" w:lineRule="auto"/>
              <w:ind w:left="0" w:right="0" w:firstLine="0"/>
              <w:jc w:val="left"/>
            </w:pPr>
            <w:r>
              <w:rPr>
                <w:rFonts w:ascii="Calibri" w:eastAsia="Calibri" w:hAnsi="Calibri" w:cs="Calibri"/>
                <w:noProof/>
              </w:rPr>
              <mc:AlternateContent>
                <mc:Choice Requires="wpg">
                  <w:drawing>
                    <wp:inline distT="0" distB="0" distL="0" distR="0">
                      <wp:extent cx="813816" cy="9144"/>
                      <wp:effectExtent l="0" t="0" r="0" b="0"/>
                      <wp:docPr id="8655" name="Group 8655"/>
                      <wp:cNvGraphicFramePr/>
                      <a:graphic xmlns:a="http://schemas.openxmlformats.org/drawingml/2006/main">
                        <a:graphicData uri="http://schemas.microsoft.com/office/word/2010/wordprocessingGroup">
                          <wpg:wgp>
                            <wpg:cNvGrpSpPr/>
                            <wpg:grpSpPr>
                              <a:xfrm>
                                <a:off x="0" y="0"/>
                                <a:ext cx="813816" cy="9144"/>
                                <a:chOff x="0" y="0"/>
                                <a:chExt cx="813816" cy="9144"/>
                              </a:xfrm>
                            </wpg:grpSpPr>
                            <wps:wsp>
                              <wps:cNvPr id="9484" name="Shape 9484"/>
                              <wps:cNvSpPr/>
                              <wps:spPr>
                                <a:xfrm>
                                  <a:off x="0" y="0"/>
                                  <a:ext cx="813816" cy="9144"/>
                                </a:xfrm>
                                <a:custGeom>
                                  <a:avLst/>
                                  <a:gdLst/>
                                  <a:ahLst/>
                                  <a:cxnLst/>
                                  <a:rect l="0" t="0" r="0" b="0"/>
                                  <a:pathLst>
                                    <a:path w="813816" h="9144">
                                      <a:moveTo>
                                        <a:pt x="0" y="0"/>
                                      </a:moveTo>
                                      <a:lnTo>
                                        <a:pt x="813816" y="0"/>
                                      </a:lnTo>
                                      <a:lnTo>
                                        <a:pt x="813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3933C3" id="Group 8655" o:spid="_x0000_s1026" style="width:64.1pt;height:.7pt;mso-position-horizontal-relative:char;mso-position-vertical-relative:line" coordsize="81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">
                      <v:shape id="Shape 9484" o:spid="_x0000_s1027" style="position:absolute;width:8138;height:91;visibility:visible;mso-wrap-style:square;v-text-anchor:top" coordsize="813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" path="m,l813816,r,9144l,9144,,e" fillcolor="black" stroked="f" strokeweight="0">
                        <v:stroke miterlimit="83231f" joinstyle="miter"/>
                        <v:path arrowok="t" textboxrect="0,0,813816,9144"/>
                      </v:shape>
                      <w10:anchorlock/>
                    </v:group>
                  </w:pict>
                </mc:Fallback>
              </mc:AlternateContent>
            </w:r>
          </w:p>
          <w:p w:rsidR="00A35AF5" w:rsidRDefault="008D457D">
            <w:pPr>
              <w:spacing w:after="0" w:line="259" w:lineRule="auto"/>
              <w:ind w:left="0" w:right="0" w:firstLine="0"/>
              <w:jc w:val="center"/>
            </w:pPr>
            <w:r>
              <w:rPr>
                <w:sz w:val="20"/>
              </w:rPr>
              <w:t xml:space="preserve">Počet postižených  </w:t>
            </w:r>
          </w:p>
        </w:tc>
        <w:tc>
          <w:tcPr>
            <w:tcW w:w="1546" w:type="dxa"/>
            <w:tcBorders>
              <w:top w:val="single" w:sz="4" w:space="0" w:color="000000"/>
              <w:left w:val="single" w:sz="4" w:space="0" w:color="000000"/>
              <w:bottom w:val="single" w:sz="4" w:space="0" w:color="000000"/>
              <w:right w:val="single" w:sz="4" w:space="0" w:color="000000"/>
            </w:tcBorders>
          </w:tcPr>
          <w:p w:rsidR="00A35AF5" w:rsidRDefault="008D457D">
            <w:pPr>
              <w:spacing w:after="1" w:line="259" w:lineRule="auto"/>
              <w:ind w:left="26" w:right="0" w:firstLine="0"/>
              <w:jc w:val="center"/>
            </w:pPr>
            <w:r>
              <w:rPr>
                <w:sz w:val="20"/>
              </w:rPr>
              <w:t xml:space="preserve"> </w:t>
            </w:r>
          </w:p>
          <w:p w:rsidR="00A35AF5" w:rsidRDefault="008D457D">
            <w:pPr>
              <w:spacing w:after="10" w:line="259" w:lineRule="auto"/>
              <w:ind w:left="0" w:right="32" w:firstLine="0"/>
              <w:jc w:val="center"/>
            </w:pPr>
            <w:r>
              <w:rPr>
                <w:sz w:val="20"/>
              </w:rPr>
              <w:t xml:space="preserve">od </w:t>
            </w:r>
            <w:proofErr w:type="gramStart"/>
            <w:r>
              <w:rPr>
                <w:sz w:val="20"/>
              </w:rPr>
              <w:t>1h</w:t>
            </w:r>
            <w:proofErr w:type="gramEnd"/>
            <w:r>
              <w:rPr>
                <w:sz w:val="20"/>
              </w:rPr>
              <w:t xml:space="preserve"> až po </w:t>
            </w:r>
          </w:p>
          <w:p w:rsidR="00A35AF5" w:rsidRDefault="008D457D">
            <w:pPr>
              <w:spacing w:after="0" w:line="259" w:lineRule="auto"/>
              <w:ind w:left="113" w:right="0" w:firstLine="0"/>
              <w:jc w:val="left"/>
            </w:pPr>
            <w:r>
              <w:rPr>
                <w:sz w:val="20"/>
              </w:rPr>
              <w:t xml:space="preserve">méně než </w:t>
            </w:r>
            <w:proofErr w:type="gramStart"/>
            <w:r>
              <w:rPr>
                <w:sz w:val="20"/>
              </w:rPr>
              <w:t>2h</w:t>
            </w:r>
            <w:proofErr w:type="gramEnd"/>
            <w:r>
              <w:rPr>
                <w:sz w:val="20"/>
              </w:rPr>
              <w:t xml:space="preserve"> </w:t>
            </w:r>
          </w:p>
          <w:p w:rsidR="00A35AF5" w:rsidRDefault="008D457D">
            <w:pPr>
              <w:spacing w:after="0" w:line="259" w:lineRule="auto"/>
              <w:ind w:left="26" w:right="0" w:firstLine="0"/>
              <w:jc w:val="center"/>
            </w:pPr>
            <w:r>
              <w:rPr>
                <w:sz w:val="20"/>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A35AF5" w:rsidRDefault="008D457D">
            <w:pPr>
              <w:spacing w:after="0" w:line="259" w:lineRule="auto"/>
              <w:ind w:left="29" w:right="0" w:firstLine="0"/>
              <w:jc w:val="center"/>
            </w:pPr>
            <w:r>
              <w:rPr>
                <w:sz w:val="20"/>
              </w:rPr>
              <w:t xml:space="preserve"> </w:t>
            </w:r>
          </w:p>
          <w:p w:rsidR="00A35AF5" w:rsidRDefault="008D457D">
            <w:pPr>
              <w:spacing w:after="17" w:line="259" w:lineRule="auto"/>
              <w:ind w:left="0" w:right="25" w:firstLine="0"/>
              <w:jc w:val="center"/>
            </w:pPr>
            <w:r>
              <w:rPr>
                <w:sz w:val="20"/>
              </w:rPr>
              <w:t xml:space="preserve">od </w:t>
            </w:r>
            <w:proofErr w:type="gramStart"/>
            <w:r>
              <w:rPr>
                <w:sz w:val="20"/>
              </w:rPr>
              <w:t>2h</w:t>
            </w:r>
            <w:proofErr w:type="gramEnd"/>
            <w:r>
              <w:rPr>
                <w:sz w:val="20"/>
              </w:rPr>
              <w:t xml:space="preserve"> až po </w:t>
            </w:r>
          </w:p>
          <w:p w:rsidR="00A35AF5" w:rsidRDefault="008D457D">
            <w:pPr>
              <w:spacing w:after="0" w:line="259" w:lineRule="auto"/>
              <w:ind w:left="115" w:right="0" w:firstLine="0"/>
              <w:jc w:val="left"/>
            </w:pPr>
            <w:r>
              <w:rPr>
                <w:sz w:val="20"/>
              </w:rPr>
              <w:t xml:space="preserve">méně než </w:t>
            </w:r>
            <w:proofErr w:type="gramStart"/>
            <w:r>
              <w:rPr>
                <w:sz w:val="20"/>
              </w:rPr>
              <w:t>4h</w:t>
            </w:r>
            <w:proofErr w:type="gramEnd"/>
            <w:r>
              <w:rPr>
                <w:sz w:val="20"/>
              </w:rPr>
              <w:t xml:space="preserve"> </w:t>
            </w:r>
          </w:p>
          <w:p w:rsidR="00A35AF5" w:rsidRDefault="008D457D">
            <w:pPr>
              <w:spacing w:after="0" w:line="259" w:lineRule="auto"/>
              <w:ind w:left="29" w:right="0" w:firstLine="0"/>
              <w:jc w:val="center"/>
            </w:pPr>
            <w:r>
              <w:rPr>
                <w:sz w:val="20"/>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35AF5" w:rsidRDefault="008D457D">
            <w:pPr>
              <w:spacing w:after="0" w:line="259" w:lineRule="auto"/>
              <w:ind w:left="30" w:right="0" w:firstLine="0"/>
              <w:jc w:val="center"/>
            </w:pPr>
            <w:r>
              <w:rPr>
                <w:sz w:val="20"/>
              </w:rPr>
              <w:t xml:space="preserve"> </w:t>
            </w:r>
          </w:p>
          <w:p w:rsidR="00A35AF5" w:rsidRDefault="008D457D">
            <w:pPr>
              <w:spacing w:after="17" w:line="259" w:lineRule="auto"/>
              <w:ind w:left="0" w:right="24" w:firstLine="0"/>
              <w:jc w:val="center"/>
            </w:pPr>
            <w:r>
              <w:rPr>
                <w:sz w:val="20"/>
              </w:rPr>
              <w:t xml:space="preserve">od </w:t>
            </w:r>
            <w:proofErr w:type="gramStart"/>
            <w:r>
              <w:rPr>
                <w:sz w:val="20"/>
              </w:rPr>
              <w:t>4h</w:t>
            </w:r>
            <w:proofErr w:type="gramEnd"/>
            <w:r>
              <w:rPr>
                <w:sz w:val="20"/>
              </w:rPr>
              <w:t xml:space="preserve"> až po </w:t>
            </w:r>
          </w:p>
          <w:p w:rsidR="00A35AF5" w:rsidRDefault="008D457D">
            <w:pPr>
              <w:spacing w:after="0" w:line="259" w:lineRule="auto"/>
              <w:ind w:left="115" w:right="0" w:firstLine="0"/>
              <w:jc w:val="left"/>
            </w:pPr>
            <w:r>
              <w:rPr>
                <w:sz w:val="20"/>
              </w:rPr>
              <w:t xml:space="preserve">méně než </w:t>
            </w:r>
            <w:proofErr w:type="gramStart"/>
            <w:r>
              <w:rPr>
                <w:sz w:val="20"/>
              </w:rPr>
              <w:t>6h</w:t>
            </w:r>
            <w:proofErr w:type="gramEnd"/>
            <w:r>
              <w:rPr>
                <w:sz w:val="20"/>
              </w:rPr>
              <w:t xml:space="preserve"> </w:t>
            </w:r>
          </w:p>
          <w:p w:rsidR="00A35AF5" w:rsidRDefault="008D457D">
            <w:pPr>
              <w:spacing w:after="0" w:line="259" w:lineRule="auto"/>
              <w:ind w:left="30" w:right="0" w:firstLine="0"/>
              <w:jc w:val="center"/>
            </w:pPr>
            <w:r>
              <w:rPr>
                <w:sz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A35AF5" w:rsidRDefault="008D457D">
            <w:pPr>
              <w:spacing w:after="0" w:line="259" w:lineRule="auto"/>
              <w:ind w:left="29" w:right="0" w:firstLine="0"/>
              <w:jc w:val="center"/>
            </w:pPr>
            <w:r>
              <w:rPr>
                <w:sz w:val="20"/>
              </w:rPr>
              <w:t xml:space="preserve"> </w:t>
            </w:r>
          </w:p>
          <w:p w:rsidR="00A35AF5" w:rsidRDefault="008D457D">
            <w:pPr>
              <w:spacing w:after="17" w:line="259" w:lineRule="auto"/>
              <w:ind w:left="0" w:right="24" w:firstLine="0"/>
              <w:jc w:val="center"/>
            </w:pPr>
            <w:r>
              <w:rPr>
                <w:sz w:val="20"/>
              </w:rPr>
              <w:t xml:space="preserve">od </w:t>
            </w:r>
            <w:proofErr w:type="gramStart"/>
            <w:r>
              <w:rPr>
                <w:sz w:val="20"/>
              </w:rPr>
              <w:t>6h</w:t>
            </w:r>
            <w:proofErr w:type="gramEnd"/>
            <w:r>
              <w:rPr>
                <w:sz w:val="20"/>
              </w:rPr>
              <w:t xml:space="preserve"> až po </w:t>
            </w:r>
          </w:p>
          <w:p w:rsidR="00A35AF5" w:rsidRDefault="008D457D">
            <w:pPr>
              <w:spacing w:after="0" w:line="259" w:lineRule="auto"/>
              <w:ind w:left="116" w:right="0" w:firstLine="0"/>
              <w:jc w:val="left"/>
            </w:pPr>
            <w:r>
              <w:rPr>
                <w:sz w:val="20"/>
              </w:rPr>
              <w:t xml:space="preserve">méně než </w:t>
            </w:r>
            <w:proofErr w:type="gramStart"/>
            <w:r>
              <w:rPr>
                <w:sz w:val="20"/>
              </w:rPr>
              <w:t>8h</w:t>
            </w:r>
            <w:proofErr w:type="gramEnd"/>
            <w:r>
              <w:rPr>
                <w:sz w:val="20"/>
              </w:rPr>
              <w:t xml:space="preserve"> </w:t>
            </w:r>
          </w:p>
          <w:p w:rsidR="00A35AF5" w:rsidRDefault="008D457D">
            <w:pPr>
              <w:spacing w:after="0" w:line="259" w:lineRule="auto"/>
              <w:ind w:left="29" w:right="0" w:firstLine="0"/>
              <w:jc w:val="center"/>
            </w:pPr>
            <w:r>
              <w:rPr>
                <w:sz w:val="20"/>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A35AF5" w:rsidRDefault="008D457D">
            <w:pPr>
              <w:spacing w:after="16" w:line="259" w:lineRule="auto"/>
              <w:ind w:left="30" w:right="0" w:firstLine="0"/>
              <w:jc w:val="center"/>
            </w:pPr>
            <w:r>
              <w:rPr>
                <w:sz w:val="20"/>
              </w:rPr>
              <w:t xml:space="preserve"> </w:t>
            </w:r>
          </w:p>
          <w:p w:rsidR="00A35AF5" w:rsidRDefault="008D457D">
            <w:pPr>
              <w:spacing w:after="0" w:line="259" w:lineRule="auto"/>
              <w:ind w:left="0" w:right="28" w:firstLine="0"/>
              <w:jc w:val="center"/>
            </w:pPr>
            <w:proofErr w:type="gramStart"/>
            <w:r>
              <w:rPr>
                <w:sz w:val="20"/>
              </w:rPr>
              <w:t>8h</w:t>
            </w:r>
            <w:proofErr w:type="gramEnd"/>
            <w:r>
              <w:rPr>
                <w:sz w:val="20"/>
              </w:rPr>
              <w:t xml:space="preserve"> a více </w:t>
            </w:r>
          </w:p>
        </w:tc>
      </w:tr>
      <w:tr w:rsidR="00A35AF5">
        <w:trPr>
          <w:trHeight w:val="575"/>
        </w:trPr>
        <w:tc>
          <w:tcPr>
            <w:tcW w:w="1442" w:type="dxa"/>
            <w:tcBorders>
              <w:top w:val="single" w:sz="4" w:space="0" w:color="000000"/>
              <w:left w:val="single" w:sz="4" w:space="0" w:color="000000"/>
              <w:bottom w:val="single" w:sz="4" w:space="0" w:color="000000"/>
              <w:right w:val="single" w:sz="4" w:space="0" w:color="000000"/>
            </w:tcBorders>
          </w:tcPr>
          <w:p w:rsidR="00A35AF5" w:rsidRDefault="008D457D">
            <w:pPr>
              <w:spacing w:after="0" w:line="259" w:lineRule="auto"/>
              <w:ind w:left="0" w:right="0" w:firstLine="0"/>
              <w:jc w:val="center"/>
            </w:pPr>
            <w:r>
              <w:rPr>
                <w:sz w:val="20"/>
              </w:rPr>
              <w:t xml:space="preserve">od </w:t>
            </w:r>
            <w:proofErr w:type="gramStart"/>
            <w:r>
              <w:rPr>
                <w:sz w:val="20"/>
              </w:rPr>
              <w:t>1%</w:t>
            </w:r>
            <w:proofErr w:type="gramEnd"/>
            <w:r>
              <w:rPr>
                <w:sz w:val="20"/>
              </w:rPr>
              <w:t xml:space="preserve"> až po méně než 2% </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Pr>
          <w:p w:rsidR="00A35AF5" w:rsidRDefault="008D457D">
            <w:pPr>
              <w:spacing w:after="0" w:line="259" w:lineRule="auto"/>
              <w:ind w:left="26" w:right="0" w:firstLine="0"/>
              <w:jc w:val="center"/>
            </w:pPr>
            <w:r>
              <w:rPr>
                <w:sz w:val="20"/>
              </w:rPr>
              <w:t xml:space="preserve"> </w:t>
            </w:r>
          </w:p>
        </w:tc>
        <w:tc>
          <w:tcPr>
            <w:tcW w:w="1548" w:type="dxa"/>
            <w:tcBorders>
              <w:top w:val="single" w:sz="4" w:space="0" w:color="000000"/>
              <w:left w:val="single" w:sz="4" w:space="0" w:color="000000"/>
              <w:bottom w:val="single" w:sz="4" w:space="0" w:color="000000"/>
              <w:right w:val="single" w:sz="4" w:space="0" w:color="000000"/>
            </w:tcBorders>
            <w:shd w:val="clear" w:color="auto" w:fill="99CC00"/>
          </w:tcPr>
          <w:p w:rsidR="00A35AF5" w:rsidRDefault="008D457D">
            <w:pPr>
              <w:spacing w:after="0" w:line="259" w:lineRule="auto"/>
              <w:ind w:left="29" w:right="0" w:firstLine="0"/>
              <w:jc w:val="center"/>
            </w:pPr>
            <w:r>
              <w:rPr>
                <w:sz w:val="20"/>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99CC00"/>
          </w:tcPr>
          <w:p w:rsidR="00A35AF5" w:rsidRDefault="008D457D">
            <w:pPr>
              <w:spacing w:after="0" w:line="259" w:lineRule="auto"/>
              <w:ind w:left="30" w:right="0" w:firstLine="0"/>
              <w:jc w:val="center"/>
            </w:pPr>
            <w:r>
              <w:rPr>
                <w:sz w:val="20"/>
              </w:rPr>
              <w:t xml:space="preserve"> </w:t>
            </w:r>
          </w:p>
        </w:tc>
        <w:tc>
          <w:tcPr>
            <w:tcW w:w="1550" w:type="dxa"/>
            <w:tcBorders>
              <w:top w:val="single" w:sz="4" w:space="0" w:color="000000"/>
              <w:left w:val="single" w:sz="4" w:space="0" w:color="000000"/>
              <w:bottom w:val="single" w:sz="4" w:space="0" w:color="000000"/>
              <w:right w:val="single" w:sz="4" w:space="0" w:color="000000"/>
            </w:tcBorders>
            <w:shd w:val="clear" w:color="auto" w:fill="99CC00"/>
          </w:tcPr>
          <w:p w:rsidR="00A35AF5" w:rsidRDefault="008D457D">
            <w:pPr>
              <w:spacing w:after="0" w:line="259" w:lineRule="auto"/>
              <w:ind w:left="29" w:right="0" w:firstLine="0"/>
              <w:jc w:val="center"/>
            </w:pPr>
            <w:r>
              <w:rPr>
                <w:sz w:val="20"/>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FF0000"/>
          </w:tcPr>
          <w:p w:rsidR="00A35AF5" w:rsidRDefault="008D457D">
            <w:pPr>
              <w:spacing w:after="0" w:line="259" w:lineRule="auto"/>
              <w:ind w:left="30" w:right="0" w:firstLine="0"/>
              <w:jc w:val="center"/>
            </w:pPr>
            <w:r>
              <w:rPr>
                <w:sz w:val="20"/>
              </w:rPr>
              <w:t xml:space="preserve"> </w:t>
            </w:r>
          </w:p>
        </w:tc>
      </w:tr>
      <w:tr w:rsidR="00A35AF5">
        <w:trPr>
          <w:trHeight w:val="578"/>
        </w:trPr>
        <w:tc>
          <w:tcPr>
            <w:tcW w:w="1442" w:type="dxa"/>
            <w:tcBorders>
              <w:top w:val="single" w:sz="4" w:space="0" w:color="000000"/>
              <w:left w:val="single" w:sz="4" w:space="0" w:color="000000"/>
              <w:bottom w:val="single" w:sz="4" w:space="0" w:color="000000"/>
              <w:right w:val="single" w:sz="4" w:space="0" w:color="000000"/>
            </w:tcBorders>
          </w:tcPr>
          <w:p w:rsidR="00A35AF5" w:rsidRDefault="008D457D">
            <w:pPr>
              <w:spacing w:after="0" w:line="259" w:lineRule="auto"/>
              <w:ind w:left="0" w:right="0" w:firstLine="0"/>
              <w:jc w:val="center"/>
            </w:pPr>
            <w:r>
              <w:rPr>
                <w:sz w:val="20"/>
              </w:rPr>
              <w:t xml:space="preserve">od </w:t>
            </w:r>
            <w:proofErr w:type="gramStart"/>
            <w:r>
              <w:rPr>
                <w:sz w:val="20"/>
              </w:rPr>
              <w:t>2%</w:t>
            </w:r>
            <w:proofErr w:type="gramEnd"/>
            <w:r>
              <w:rPr>
                <w:sz w:val="20"/>
              </w:rPr>
              <w:t xml:space="preserve"> až po méně než 5% </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Pr>
          <w:p w:rsidR="00A35AF5" w:rsidRDefault="008D457D">
            <w:pPr>
              <w:spacing w:after="0" w:line="259" w:lineRule="auto"/>
              <w:ind w:left="26" w:right="0" w:firstLine="0"/>
              <w:jc w:val="center"/>
            </w:pPr>
            <w:r>
              <w:rPr>
                <w:sz w:val="20"/>
              </w:rPr>
              <w:t xml:space="preserve"> </w:t>
            </w:r>
          </w:p>
        </w:tc>
        <w:tc>
          <w:tcPr>
            <w:tcW w:w="1548" w:type="dxa"/>
            <w:tcBorders>
              <w:top w:val="single" w:sz="4" w:space="0" w:color="000000"/>
              <w:left w:val="single" w:sz="4" w:space="0" w:color="000000"/>
              <w:bottom w:val="single" w:sz="4" w:space="0" w:color="000000"/>
              <w:right w:val="single" w:sz="4" w:space="0" w:color="000000"/>
            </w:tcBorders>
            <w:shd w:val="clear" w:color="auto" w:fill="99CC00"/>
          </w:tcPr>
          <w:p w:rsidR="00A35AF5" w:rsidRDefault="008D457D">
            <w:pPr>
              <w:spacing w:after="0" w:line="259" w:lineRule="auto"/>
              <w:ind w:left="29" w:right="0" w:firstLine="0"/>
              <w:jc w:val="center"/>
            </w:pPr>
            <w:r>
              <w:rPr>
                <w:sz w:val="20"/>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99CC00"/>
          </w:tcPr>
          <w:p w:rsidR="00A35AF5" w:rsidRDefault="008D457D">
            <w:pPr>
              <w:spacing w:after="0" w:line="259" w:lineRule="auto"/>
              <w:ind w:left="30" w:right="0" w:firstLine="0"/>
              <w:jc w:val="center"/>
            </w:pPr>
            <w:r>
              <w:rPr>
                <w:sz w:val="20"/>
              </w:rPr>
              <w:t xml:space="preserve"> </w:t>
            </w:r>
          </w:p>
        </w:tc>
        <w:tc>
          <w:tcPr>
            <w:tcW w:w="1550" w:type="dxa"/>
            <w:tcBorders>
              <w:top w:val="single" w:sz="4" w:space="0" w:color="000000"/>
              <w:left w:val="single" w:sz="4" w:space="0" w:color="000000"/>
              <w:bottom w:val="single" w:sz="4" w:space="0" w:color="000000"/>
              <w:right w:val="single" w:sz="4" w:space="0" w:color="000000"/>
            </w:tcBorders>
            <w:shd w:val="clear" w:color="auto" w:fill="FF0000"/>
          </w:tcPr>
          <w:p w:rsidR="00A35AF5" w:rsidRDefault="008D457D">
            <w:pPr>
              <w:spacing w:after="0" w:line="259" w:lineRule="auto"/>
              <w:ind w:left="29" w:right="0" w:firstLine="0"/>
              <w:jc w:val="center"/>
            </w:pPr>
            <w:r>
              <w:rPr>
                <w:sz w:val="20"/>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FF0000"/>
          </w:tcPr>
          <w:p w:rsidR="00A35AF5" w:rsidRDefault="008D457D">
            <w:pPr>
              <w:spacing w:after="0" w:line="259" w:lineRule="auto"/>
              <w:ind w:left="30" w:right="0" w:firstLine="0"/>
              <w:jc w:val="center"/>
            </w:pPr>
            <w:r>
              <w:rPr>
                <w:sz w:val="20"/>
              </w:rPr>
              <w:t xml:space="preserve"> </w:t>
            </w:r>
          </w:p>
        </w:tc>
      </w:tr>
      <w:tr w:rsidR="00A35AF5">
        <w:trPr>
          <w:trHeight w:val="700"/>
        </w:trPr>
        <w:tc>
          <w:tcPr>
            <w:tcW w:w="1442" w:type="dxa"/>
            <w:tcBorders>
              <w:top w:val="single" w:sz="4" w:space="0" w:color="000000"/>
              <w:left w:val="single" w:sz="4" w:space="0" w:color="000000"/>
              <w:bottom w:val="single" w:sz="4" w:space="0" w:color="000000"/>
              <w:right w:val="single" w:sz="4" w:space="0" w:color="000000"/>
            </w:tcBorders>
          </w:tcPr>
          <w:p w:rsidR="00A35AF5" w:rsidRDefault="008D457D">
            <w:pPr>
              <w:spacing w:after="0" w:line="259" w:lineRule="auto"/>
              <w:ind w:left="86" w:right="0" w:firstLine="0"/>
              <w:jc w:val="left"/>
            </w:pPr>
            <w:r>
              <w:rPr>
                <w:sz w:val="20"/>
              </w:rPr>
              <w:t xml:space="preserve">od </w:t>
            </w:r>
            <w:proofErr w:type="gramStart"/>
            <w:r>
              <w:rPr>
                <w:sz w:val="20"/>
              </w:rPr>
              <w:t>5%</w:t>
            </w:r>
            <w:proofErr w:type="gramEnd"/>
            <w:r>
              <w:rPr>
                <w:sz w:val="20"/>
              </w:rPr>
              <w:t xml:space="preserve"> až po </w:t>
            </w:r>
          </w:p>
          <w:p w:rsidR="00A35AF5" w:rsidRDefault="008D457D">
            <w:pPr>
              <w:spacing w:after="0" w:line="259" w:lineRule="auto"/>
              <w:ind w:left="0" w:right="26" w:firstLine="0"/>
              <w:jc w:val="center"/>
            </w:pPr>
            <w:r>
              <w:rPr>
                <w:sz w:val="20"/>
              </w:rPr>
              <w:t xml:space="preserve">méně než </w:t>
            </w:r>
          </w:p>
          <w:p w:rsidR="00A35AF5" w:rsidRDefault="008D457D">
            <w:pPr>
              <w:spacing w:after="0" w:line="259" w:lineRule="auto"/>
              <w:ind w:left="0" w:right="32" w:firstLine="0"/>
              <w:jc w:val="center"/>
            </w:pPr>
            <w:proofErr w:type="gramStart"/>
            <w:r>
              <w:rPr>
                <w:sz w:val="20"/>
              </w:rPr>
              <w:t>10%</w:t>
            </w:r>
            <w:proofErr w:type="gramEnd"/>
            <w:r>
              <w:rPr>
                <w:sz w:val="20"/>
              </w:rPr>
              <w:t xml:space="preserve"> </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Pr>
          <w:p w:rsidR="00A35AF5" w:rsidRDefault="008D457D">
            <w:pPr>
              <w:spacing w:after="0" w:line="259" w:lineRule="auto"/>
              <w:ind w:left="26" w:right="0" w:firstLine="0"/>
              <w:jc w:val="center"/>
            </w:pPr>
            <w:r>
              <w:rPr>
                <w:sz w:val="20"/>
              </w:rPr>
              <w:t xml:space="preserve"> </w:t>
            </w:r>
          </w:p>
        </w:tc>
        <w:tc>
          <w:tcPr>
            <w:tcW w:w="1548" w:type="dxa"/>
            <w:tcBorders>
              <w:top w:val="single" w:sz="4" w:space="0" w:color="000000"/>
              <w:left w:val="single" w:sz="4" w:space="0" w:color="000000"/>
              <w:bottom w:val="single" w:sz="4" w:space="0" w:color="000000"/>
              <w:right w:val="single" w:sz="4" w:space="0" w:color="000000"/>
            </w:tcBorders>
            <w:shd w:val="clear" w:color="auto" w:fill="99CC00"/>
          </w:tcPr>
          <w:p w:rsidR="00A35AF5" w:rsidRDefault="008D457D">
            <w:pPr>
              <w:spacing w:after="0" w:line="259" w:lineRule="auto"/>
              <w:ind w:left="29" w:right="0" w:firstLine="0"/>
              <w:jc w:val="center"/>
            </w:pPr>
            <w:r>
              <w:rPr>
                <w:sz w:val="20"/>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FF0000"/>
          </w:tcPr>
          <w:p w:rsidR="00A35AF5" w:rsidRDefault="008D457D">
            <w:pPr>
              <w:spacing w:after="0" w:line="259" w:lineRule="auto"/>
              <w:ind w:left="30" w:right="0" w:firstLine="0"/>
              <w:jc w:val="center"/>
            </w:pPr>
            <w:r>
              <w:rPr>
                <w:sz w:val="20"/>
              </w:rPr>
              <w:t xml:space="preserve"> </w:t>
            </w:r>
          </w:p>
        </w:tc>
        <w:tc>
          <w:tcPr>
            <w:tcW w:w="1550" w:type="dxa"/>
            <w:tcBorders>
              <w:top w:val="single" w:sz="4" w:space="0" w:color="000000"/>
              <w:left w:val="single" w:sz="4" w:space="0" w:color="000000"/>
              <w:bottom w:val="single" w:sz="4" w:space="0" w:color="000000"/>
              <w:right w:val="single" w:sz="4" w:space="0" w:color="000000"/>
            </w:tcBorders>
            <w:shd w:val="clear" w:color="auto" w:fill="FF0000"/>
          </w:tcPr>
          <w:p w:rsidR="00A35AF5" w:rsidRDefault="008D457D">
            <w:pPr>
              <w:spacing w:after="0" w:line="259" w:lineRule="auto"/>
              <w:ind w:left="29" w:right="0" w:firstLine="0"/>
              <w:jc w:val="center"/>
            </w:pPr>
            <w:r>
              <w:rPr>
                <w:sz w:val="20"/>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FF0000"/>
          </w:tcPr>
          <w:p w:rsidR="00A35AF5" w:rsidRDefault="008D457D">
            <w:pPr>
              <w:spacing w:after="0" w:line="259" w:lineRule="auto"/>
              <w:ind w:left="30" w:right="0" w:firstLine="0"/>
              <w:jc w:val="center"/>
            </w:pPr>
            <w:r>
              <w:rPr>
                <w:sz w:val="20"/>
              </w:rPr>
              <w:t xml:space="preserve"> </w:t>
            </w:r>
          </w:p>
        </w:tc>
      </w:tr>
      <w:tr w:rsidR="00A35AF5">
        <w:trPr>
          <w:trHeight w:val="700"/>
        </w:trPr>
        <w:tc>
          <w:tcPr>
            <w:tcW w:w="1442" w:type="dxa"/>
            <w:tcBorders>
              <w:top w:val="single" w:sz="4" w:space="0" w:color="000000"/>
              <w:left w:val="single" w:sz="4" w:space="0" w:color="000000"/>
              <w:bottom w:val="single" w:sz="4" w:space="0" w:color="000000"/>
              <w:right w:val="single" w:sz="4" w:space="0" w:color="000000"/>
            </w:tcBorders>
          </w:tcPr>
          <w:p w:rsidR="00A35AF5" w:rsidRDefault="008D457D">
            <w:pPr>
              <w:spacing w:after="0" w:line="259" w:lineRule="auto"/>
              <w:ind w:left="29" w:right="0" w:firstLine="0"/>
              <w:jc w:val="left"/>
            </w:pPr>
            <w:r>
              <w:rPr>
                <w:sz w:val="20"/>
              </w:rPr>
              <w:t xml:space="preserve">od </w:t>
            </w:r>
            <w:proofErr w:type="gramStart"/>
            <w:r>
              <w:rPr>
                <w:sz w:val="20"/>
              </w:rPr>
              <w:t>10%</w:t>
            </w:r>
            <w:proofErr w:type="gramEnd"/>
            <w:r>
              <w:rPr>
                <w:sz w:val="20"/>
              </w:rPr>
              <w:t xml:space="preserve"> až po </w:t>
            </w:r>
          </w:p>
          <w:p w:rsidR="00A35AF5" w:rsidRDefault="008D457D">
            <w:pPr>
              <w:spacing w:after="0" w:line="259" w:lineRule="auto"/>
              <w:ind w:left="0" w:right="26" w:firstLine="0"/>
              <w:jc w:val="center"/>
            </w:pPr>
            <w:r>
              <w:rPr>
                <w:sz w:val="20"/>
              </w:rPr>
              <w:t xml:space="preserve">méně než </w:t>
            </w:r>
          </w:p>
          <w:p w:rsidR="00A35AF5" w:rsidRDefault="008D457D">
            <w:pPr>
              <w:spacing w:after="0" w:line="259" w:lineRule="auto"/>
              <w:ind w:left="0" w:right="32" w:firstLine="0"/>
              <w:jc w:val="center"/>
            </w:pPr>
            <w:proofErr w:type="gramStart"/>
            <w:r>
              <w:rPr>
                <w:sz w:val="20"/>
              </w:rPr>
              <w:t>15%</w:t>
            </w:r>
            <w:proofErr w:type="gramEnd"/>
            <w:r>
              <w:rPr>
                <w:sz w:val="20"/>
              </w:rPr>
              <w:t xml:space="preserve"> </w:t>
            </w:r>
          </w:p>
        </w:tc>
        <w:tc>
          <w:tcPr>
            <w:tcW w:w="1546" w:type="dxa"/>
            <w:tcBorders>
              <w:top w:val="single" w:sz="4" w:space="0" w:color="000000"/>
              <w:left w:val="single" w:sz="4" w:space="0" w:color="000000"/>
              <w:bottom w:val="single" w:sz="4" w:space="0" w:color="000000"/>
              <w:right w:val="single" w:sz="4" w:space="0" w:color="000000"/>
            </w:tcBorders>
            <w:shd w:val="clear" w:color="auto" w:fill="99CC00"/>
          </w:tcPr>
          <w:p w:rsidR="00A35AF5" w:rsidRDefault="008D457D">
            <w:pPr>
              <w:spacing w:after="0" w:line="259" w:lineRule="auto"/>
              <w:ind w:left="26" w:right="0" w:firstLine="0"/>
              <w:jc w:val="center"/>
            </w:pPr>
            <w:r>
              <w:rPr>
                <w:sz w:val="20"/>
              </w:rPr>
              <w:t xml:space="preserve"> </w:t>
            </w:r>
          </w:p>
        </w:tc>
        <w:tc>
          <w:tcPr>
            <w:tcW w:w="1548" w:type="dxa"/>
            <w:tcBorders>
              <w:top w:val="single" w:sz="4" w:space="0" w:color="000000"/>
              <w:left w:val="single" w:sz="4" w:space="0" w:color="000000"/>
              <w:bottom w:val="single" w:sz="4" w:space="0" w:color="000000"/>
              <w:right w:val="single" w:sz="4" w:space="0" w:color="000000"/>
            </w:tcBorders>
            <w:shd w:val="clear" w:color="auto" w:fill="FF0000"/>
          </w:tcPr>
          <w:p w:rsidR="00A35AF5" w:rsidRDefault="008D457D">
            <w:pPr>
              <w:spacing w:after="0" w:line="259" w:lineRule="auto"/>
              <w:ind w:left="29" w:right="0" w:firstLine="0"/>
              <w:jc w:val="center"/>
            </w:pPr>
            <w:r>
              <w:rPr>
                <w:sz w:val="20"/>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FF0000"/>
          </w:tcPr>
          <w:p w:rsidR="00A35AF5" w:rsidRDefault="008D457D">
            <w:pPr>
              <w:spacing w:after="0" w:line="259" w:lineRule="auto"/>
              <w:ind w:left="30" w:right="0" w:firstLine="0"/>
              <w:jc w:val="center"/>
            </w:pPr>
            <w:r>
              <w:rPr>
                <w:sz w:val="20"/>
              </w:rPr>
              <w:t xml:space="preserve"> </w:t>
            </w:r>
          </w:p>
        </w:tc>
        <w:tc>
          <w:tcPr>
            <w:tcW w:w="1550" w:type="dxa"/>
            <w:tcBorders>
              <w:top w:val="single" w:sz="4" w:space="0" w:color="000000"/>
              <w:left w:val="single" w:sz="4" w:space="0" w:color="000000"/>
              <w:bottom w:val="single" w:sz="4" w:space="0" w:color="000000"/>
              <w:right w:val="single" w:sz="4" w:space="0" w:color="000000"/>
            </w:tcBorders>
            <w:shd w:val="clear" w:color="auto" w:fill="FF0000"/>
          </w:tcPr>
          <w:p w:rsidR="00A35AF5" w:rsidRDefault="008D457D">
            <w:pPr>
              <w:spacing w:after="0" w:line="259" w:lineRule="auto"/>
              <w:ind w:left="29" w:right="0" w:firstLine="0"/>
              <w:jc w:val="center"/>
            </w:pPr>
            <w:r>
              <w:rPr>
                <w:sz w:val="20"/>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FF0000"/>
          </w:tcPr>
          <w:p w:rsidR="00A35AF5" w:rsidRDefault="008D457D">
            <w:pPr>
              <w:spacing w:after="0" w:line="259" w:lineRule="auto"/>
              <w:ind w:left="30" w:right="0" w:firstLine="0"/>
              <w:jc w:val="center"/>
            </w:pPr>
            <w:r>
              <w:rPr>
                <w:sz w:val="20"/>
              </w:rPr>
              <w:t xml:space="preserve"> </w:t>
            </w:r>
          </w:p>
        </w:tc>
      </w:tr>
      <w:tr w:rsidR="00A35AF5">
        <w:trPr>
          <w:trHeight w:val="577"/>
        </w:trPr>
        <w:tc>
          <w:tcPr>
            <w:tcW w:w="1442" w:type="dxa"/>
            <w:tcBorders>
              <w:top w:val="single" w:sz="4" w:space="0" w:color="000000"/>
              <w:left w:val="single" w:sz="4" w:space="0" w:color="000000"/>
              <w:bottom w:val="single" w:sz="4" w:space="0" w:color="000000"/>
              <w:right w:val="single" w:sz="4" w:space="0" w:color="000000"/>
            </w:tcBorders>
          </w:tcPr>
          <w:p w:rsidR="00A35AF5" w:rsidRDefault="008D457D">
            <w:pPr>
              <w:spacing w:after="15" w:line="259" w:lineRule="auto"/>
              <w:ind w:left="0" w:right="29" w:firstLine="0"/>
              <w:jc w:val="center"/>
            </w:pPr>
            <w:r>
              <w:rPr>
                <w:sz w:val="20"/>
              </w:rPr>
              <w:t xml:space="preserve">od </w:t>
            </w:r>
            <w:proofErr w:type="gramStart"/>
            <w:r>
              <w:rPr>
                <w:sz w:val="20"/>
              </w:rPr>
              <w:t>15%</w:t>
            </w:r>
            <w:proofErr w:type="gramEnd"/>
            <w:r>
              <w:rPr>
                <w:sz w:val="20"/>
              </w:rPr>
              <w:t xml:space="preserve"> a </w:t>
            </w:r>
          </w:p>
          <w:p w:rsidR="00A35AF5" w:rsidRDefault="008D457D">
            <w:pPr>
              <w:spacing w:after="0" w:line="259" w:lineRule="auto"/>
              <w:ind w:left="0" w:right="29" w:firstLine="0"/>
              <w:jc w:val="center"/>
            </w:pPr>
            <w:r>
              <w:rPr>
                <w:sz w:val="20"/>
              </w:rPr>
              <w:t xml:space="preserve">více % </w:t>
            </w:r>
          </w:p>
        </w:tc>
        <w:tc>
          <w:tcPr>
            <w:tcW w:w="1546" w:type="dxa"/>
            <w:tcBorders>
              <w:top w:val="single" w:sz="4" w:space="0" w:color="000000"/>
              <w:left w:val="single" w:sz="4" w:space="0" w:color="000000"/>
              <w:bottom w:val="single" w:sz="4" w:space="0" w:color="000000"/>
              <w:right w:val="single" w:sz="4" w:space="0" w:color="000000"/>
            </w:tcBorders>
            <w:shd w:val="clear" w:color="auto" w:fill="FF0000"/>
          </w:tcPr>
          <w:p w:rsidR="00A35AF5" w:rsidRDefault="008D457D">
            <w:pPr>
              <w:spacing w:after="0" w:line="259" w:lineRule="auto"/>
              <w:ind w:left="26" w:right="0" w:firstLine="0"/>
              <w:jc w:val="center"/>
            </w:pPr>
            <w:r>
              <w:rPr>
                <w:sz w:val="20"/>
              </w:rPr>
              <w:t xml:space="preserve"> </w:t>
            </w:r>
          </w:p>
        </w:tc>
        <w:tc>
          <w:tcPr>
            <w:tcW w:w="1548" w:type="dxa"/>
            <w:tcBorders>
              <w:top w:val="single" w:sz="4" w:space="0" w:color="000000"/>
              <w:left w:val="single" w:sz="4" w:space="0" w:color="000000"/>
              <w:bottom w:val="single" w:sz="4" w:space="0" w:color="000000"/>
              <w:right w:val="single" w:sz="4" w:space="0" w:color="000000"/>
            </w:tcBorders>
            <w:shd w:val="clear" w:color="auto" w:fill="FF0000"/>
          </w:tcPr>
          <w:p w:rsidR="00A35AF5" w:rsidRDefault="008D457D">
            <w:pPr>
              <w:spacing w:after="0" w:line="259" w:lineRule="auto"/>
              <w:ind w:left="29" w:right="0" w:firstLine="0"/>
              <w:jc w:val="center"/>
            </w:pPr>
            <w:r>
              <w:rPr>
                <w:sz w:val="20"/>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FF0000"/>
          </w:tcPr>
          <w:p w:rsidR="00A35AF5" w:rsidRDefault="008D457D">
            <w:pPr>
              <w:spacing w:after="0" w:line="259" w:lineRule="auto"/>
              <w:ind w:left="30" w:right="0" w:firstLine="0"/>
              <w:jc w:val="center"/>
            </w:pPr>
            <w:r>
              <w:rPr>
                <w:sz w:val="20"/>
              </w:rPr>
              <w:t xml:space="preserve"> </w:t>
            </w:r>
          </w:p>
        </w:tc>
        <w:tc>
          <w:tcPr>
            <w:tcW w:w="1550" w:type="dxa"/>
            <w:tcBorders>
              <w:top w:val="single" w:sz="4" w:space="0" w:color="000000"/>
              <w:left w:val="single" w:sz="4" w:space="0" w:color="000000"/>
              <w:bottom w:val="single" w:sz="4" w:space="0" w:color="000000"/>
              <w:right w:val="single" w:sz="4" w:space="0" w:color="000000"/>
            </w:tcBorders>
            <w:shd w:val="clear" w:color="auto" w:fill="FF0000"/>
          </w:tcPr>
          <w:p w:rsidR="00A35AF5" w:rsidRDefault="008D457D">
            <w:pPr>
              <w:spacing w:after="0" w:line="259" w:lineRule="auto"/>
              <w:ind w:left="29" w:right="0" w:firstLine="0"/>
              <w:jc w:val="center"/>
            </w:pPr>
            <w:r>
              <w:rPr>
                <w:sz w:val="20"/>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FF0000"/>
          </w:tcPr>
          <w:p w:rsidR="00A35AF5" w:rsidRDefault="008D457D">
            <w:pPr>
              <w:spacing w:after="0" w:line="259" w:lineRule="auto"/>
              <w:ind w:left="30" w:right="0" w:firstLine="0"/>
              <w:jc w:val="center"/>
            </w:pPr>
            <w:r>
              <w:rPr>
                <w:sz w:val="20"/>
              </w:rPr>
              <w:t xml:space="preserve"> </w:t>
            </w:r>
          </w:p>
        </w:tc>
      </w:tr>
    </w:tbl>
    <w:p w:rsidR="00A35AF5" w:rsidRDefault="008D457D">
      <w:pPr>
        <w:spacing w:after="0" w:line="259" w:lineRule="auto"/>
        <w:ind w:left="0" w:right="0" w:firstLine="0"/>
        <w:jc w:val="left"/>
      </w:pPr>
      <w:r>
        <w:rPr>
          <w:b/>
        </w:rPr>
        <w:t xml:space="preserve"> </w:t>
      </w:r>
    </w:p>
    <w:p w:rsidR="00A35AF5" w:rsidRDefault="008D457D">
      <w:pPr>
        <w:ind w:left="-5" w:right="0"/>
      </w:pPr>
      <w:r>
        <w:t xml:space="preserve">Uvedená kritéria tvoří rovněž základ ročního hlášení o závažných incidentech za předchozí rok, které zasílá Česká republika (prostřednictvím Úřadu) do Evropské komise a ENISA. Na základě těchto hlášení zpracovává ENISA souhrnnou roční zprávu za celou EU, která by měla být využívána podnikatelskými subjekty i státní správou, k předcházení a minimalizaci bezpečnostních incidentů v elektronických komunikacích, zvýšení odolnosti elektronických komunikací, a to s důrazem na poskytované služby elektronických komunikací ve prospěch národních a evropských kritických infrastruktur. </w:t>
      </w:r>
    </w:p>
    <w:p w:rsidR="00A35AF5" w:rsidRDefault="008D457D" w:rsidP="005347D4">
      <w:pPr>
        <w:spacing w:after="0" w:line="259" w:lineRule="auto"/>
        <w:ind w:left="0" w:right="0" w:firstLine="0"/>
        <w:jc w:val="left"/>
      </w:pPr>
      <w:r>
        <w:t xml:space="preserve">  </w:t>
      </w:r>
    </w:p>
    <w:p w:rsidR="005347D4" w:rsidRDefault="005347D4" w:rsidP="005347D4">
      <w:pPr>
        <w:spacing w:after="0" w:line="259" w:lineRule="auto"/>
        <w:ind w:left="0" w:right="0" w:firstLine="0"/>
        <w:jc w:val="left"/>
      </w:pPr>
    </w:p>
    <w:p w:rsidR="00CC6BC0" w:rsidRDefault="008D457D">
      <w:pPr>
        <w:pStyle w:val="Nadpis1"/>
      </w:pPr>
      <w:r>
        <w:t xml:space="preserve">Článek 3 </w:t>
      </w:r>
    </w:p>
    <w:p w:rsidR="00A35AF5" w:rsidRDefault="008D457D">
      <w:pPr>
        <w:pStyle w:val="Nadpis1"/>
      </w:pPr>
      <w:r>
        <w:t xml:space="preserve">Stanovení počtu postižených uživatelů (účastníků) v mobilních sítích </w:t>
      </w:r>
    </w:p>
    <w:p w:rsidR="00A35AF5" w:rsidRDefault="008D457D">
      <w:pPr>
        <w:spacing w:after="7" w:line="259" w:lineRule="auto"/>
        <w:ind w:left="0" w:right="0" w:firstLine="0"/>
        <w:jc w:val="left"/>
      </w:pPr>
      <w:r>
        <w:rPr>
          <w:b/>
        </w:rPr>
        <w:t xml:space="preserve"> </w:t>
      </w:r>
    </w:p>
    <w:p w:rsidR="00A35AF5" w:rsidRDefault="008D457D">
      <w:pPr>
        <w:ind w:left="-5" w:right="0"/>
      </w:pPr>
      <w:r>
        <w:t xml:space="preserve">Zjištění počtu postižených uživatelů (účastníků) mobilní služby tak, aby tato hodnota mohla být využita pro posouzení existence závažného narušení (viz tabulka v článku 2) je velmi složité, a to z důvodu neznámého počtu potencionálních volajících i volaných uživatelů v okamžiku postižení sítě nebo služby, kdy zde značnou roli sehrává i migrace obyvatelstva. </w:t>
      </w:r>
    </w:p>
    <w:p w:rsidR="00A35AF5" w:rsidRDefault="008D457D">
      <w:pPr>
        <w:spacing w:after="17" w:line="259" w:lineRule="auto"/>
        <w:ind w:left="0" w:right="0" w:firstLine="0"/>
        <w:jc w:val="left"/>
      </w:pPr>
      <w:r>
        <w:t xml:space="preserve"> </w:t>
      </w:r>
    </w:p>
    <w:p w:rsidR="00A35AF5" w:rsidRDefault="008D457D">
      <w:pPr>
        <w:ind w:left="-5" w:right="0"/>
      </w:pPr>
      <w:r>
        <w:t xml:space="preserve">Doporučeným je postup (využívaný v rámci ostatních států EU), kdy podnikatel kvalifikovaně odhadne počet potencionálních volání při využití plné kapacity technologických zařízení, která jsou vyřazena z provozu a volání nelze zajistit ani přes </w:t>
      </w:r>
      <w:proofErr w:type="spellStart"/>
      <w:r>
        <w:t>obchozí</w:t>
      </w:r>
      <w:proofErr w:type="spellEnd"/>
      <w:r>
        <w:t xml:space="preserve"> trasy.  </w:t>
      </w:r>
    </w:p>
    <w:p w:rsidR="00A35AF5" w:rsidRDefault="008D457D">
      <w:pPr>
        <w:spacing w:after="8" w:line="259" w:lineRule="auto"/>
        <w:ind w:left="708" w:right="0" w:firstLine="0"/>
        <w:jc w:val="left"/>
      </w:pPr>
      <w:r>
        <w:t xml:space="preserve"> </w:t>
      </w:r>
    </w:p>
    <w:p w:rsidR="00CA3937" w:rsidRDefault="00CA3937">
      <w:pPr>
        <w:spacing w:after="0" w:line="259" w:lineRule="auto"/>
        <w:ind w:left="703" w:right="0"/>
        <w:jc w:val="left"/>
        <w:rPr>
          <w:u w:val="single" w:color="000000"/>
        </w:rPr>
      </w:pPr>
    </w:p>
    <w:p w:rsidR="00CA3937" w:rsidRDefault="00CA3937">
      <w:pPr>
        <w:spacing w:after="0" w:line="259" w:lineRule="auto"/>
        <w:ind w:left="703" w:right="0"/>
        <w:jc w:val="left"/>
        <w:rPr>
          <w:u w:val="single" w:color="000000"/>
        </w:rPr>
      </w:pPr>
    </w:p>
    <w:p w:rsidR="00A35AF5" w:rsidRDefault="008D457D">
      <w:pPr>
        <w:spacing w:after="0" w:line="259" w:lineRule="auto"/>
        <w:ind w:left="703" w:right="0"/>
        <w:jc w:val="left"/>
      </w:pPr>
      <w:r>
        <w:rPr>
          <w:u w:val="single" w:color="000000"/>
        </w:rPr>
        <w:t>Příklady:</w:t>
      </w:r>
      <w:r>
        <w:rPr>
          <w:i/>
        </w:rPr>
        <w:t xml:space="preserve">  </w:t>
      </w:r>
    </w:p>
    <w:p w:rsidR="00A35AF5" w:rsidRDefault="008D457D">
      <w:pPr>
        <w:spacing w:after="10" w:line="259" w:lineRule="auto"/>
        <w:ind w:left="0" w:right="0" w:firstLine="0"/>
        <w:jc w:val="left"/>
      </w:pPr>
      <w:r>
        <w:rPr>
          <w:i/>
        </w:rPr>
        <w:t xml:space="preserve"> </w:t>
      </w:r>
    </w:p>
    <w:p w:rsidR="00A35AF5" w:rsidRDefault="008D457D">
      <w:pPr>
        <w:spacing w:after="3" w:line="266" w:lineRule="auto"/>
        <w:ind w:left="-5" w:right="0"/>
      </w:pPr>
      <w:r>
        <w:rPr>
          <w:i/>
        </w:rPr>
        <w:t xml:space="preserve">Výpadek 10 základnových stanic, každá s kapacitou 10 000 volání = celkový počet potencionálně postižených uživatelů (účastníků) je 100 000. </w:t>
      </w:r>
    </w:p>
    <w:p w:rsidR="00A35AF5" w:rsidRDefault="008D457D">
      <w:pPr>
        <w:spacing w:after="6" w:line="259" w:lineRule="auto"/>
        <w:ind w:left="0" w:right="0" w:firstLine="0"/>
        <w:jc w:val="left"/>
      </w:pPr>
      <w:r>
        <w:rPr>
          <w:i/>
        </w:rPr>
        <w:t xml:space="preserve">  </w:t>
      </w:r>
    </w:p>
    <w:p w:rsidR="00A35AF5" w:rsidRDefault="008D457D">
      <w:pPr>
        <w:spacing w:after="3" w:line="266" w:lineRule="auto"/>
        <w:ind w:left="-5" w:right="0"/>
      </w:pPr>
      <w:r>
        <w:rPr>
          <w:i/>
        </w:rPr>
        <w:t>Výpadek registru typu HLR (</w:t>
      </w:r>
      <w:proofErr w:type="spellStart"/>
      <w:r>
        <w:rPr>
          <w:i/>
        </w:rPr>
        <w:t>Home</w:t>
      </w:r>
      <w:proofErr w:type="spellEnd"/>
      <w:r>
        <w:rPr>
          <w:i/>
        </w:rPr>
        <w:t xml:space="preserve"> </w:t>
      </w:r>
      <w:proofErr w:type="spellStart"/>
      <w:r>
        <w:rPr>
          <w:i/>
        </w:rPr>
        <w:t>Location</w:t>
      </w:r>
      <w:proofErr w:type="spellEnd"/>
      <w:r>
        <w:rPr>
          <w:i/>
        </w:rPr>
        <w:t xml:space="preserve"> </w:t>
      </w:r>
      <w:proofErr w:type="spellStart"/>
      <w:r>
        <w:rPr>
          <w:i/>
        </w:rPr>
        <w:t>Register</w:t>
      </w:r>
      <w:proofErr w:type="spellEnd"/>
      <w:r>
        <w:rPr>
          <w:i/>
        </w:rPr>
        <w:t xml:space="preserve">) a počet účastníků vedených registrem, kteří nemohou volat, bude i základním kritériem pro hodnocení počtu postižených uživatelů (účastníků). </w:t>
      </w:r>
      <w:r>
        <w:t xml:space="preserve"> </w:t>
      </w:r>
    </w:p>
    <w:p w:rsidR="00A35AF5" w:rsidRDefault="008D457D" w:rsidP="005347D4">
      <w:pPr>
        <w:spacing w:after="0" w:line="259" w:lineRule="auto"/>
        <w:ind w:left="0" w:right="0" w:firstLine="0"/>
        <w:jc w:val="left"/>
      </w:pPr>
      <w:r>
        <w:t xml:space="preserve">  </w:t>
      </w:r>
    </w:p>
    <w:p w:rsidR="005347D4" w:rsidRDefault="005347D4" w:rsidP="005347D4">
      <w:pPr>
        <w:spacing w:after="0" w:line="259" w:lineRule="auto"/>
        <w:ind w:left="0" w:right="0" w:firstLine="0"/>
        <w:jc w:val="left"/>
      </w:pPr>
    </w:p>
    <w:p w:rsidR="00CC6BC0" w:rsidRDefault="008D457D">
      <w:pPr>
        <w:pStyle w:val="Nadpis1"/>
      </w:pPr>
      <w:r>
        <w:t xml:space="preserve">Článek 4 </w:t>
      </w:r>
    </w:p>
    <w:p w:rsidR="00A35AF5" w:rsidRDefault="008D457D">
      <w:pPr>
        <w:pStyle w:val="Nadpis1"/>
      </w:pPr>
      <w:r>
        <w:t xml:space="preserve">Bezodkladné poskytnutí informace </w:t>
      </w:r>
    </w:p>
    <w:p w:rsidR="00A35AF5" w:rsidRDefault="008D457D">
      <w:pPr>
        <w:spacing w:after="17" w:line="259" w:lineRule="auto"/>
        <w:ind w:left="0" w:right="0" w:firstLine="0"/>
        <w:jc w:val="left"/>
      </w:pPr>
      <w:r>
        <w:t xml:space="preserve"> </w:t>
      </w:r>
    </w:p>
    <w:p w:rsidR="00A35AF5" w:rsidRDefault="008D457D">
      <w:pPr>
        <w:ind w:left="-5" w:right="0"/>
      </w:pPr>
      <w:r>
        <w:t xml:space="preserve">O závažném narušení podle § 98 odst. 4 zákona a za krizového stavu při ohrožení nebo narušení bezpečnosti a integrity své sítě a bezpečnosti služeb podle § 99 odst. 4 zákona je podnikatel povinen informovat Úřad bezodkladně.  </w:t>
      </w:r>
    </w:p>
    <w:p w:rsidR="00A35AF5" w:rsidRDefault="008D457D">
      <w:pPr>
        <w:spacing w:line="259" w:lineRule="auto"/>
        <w:ind w:left="0" w:right="0" w:firstLine="0"/>
        <w:jc w:val="left"/>
      </w:pPr>
      <w:r>
        <w:t xml:space="preserve"> </w:t>
      </w:r>
    </w:p>
    <w:p w:rsidR="00A35AF5" w:rsidRDefault="008D457D">
      <w:pPr>
        <w:ind w:left="-5" w:right="0"/>
      </w:pPr>
      <w:r>
        <w:t xml:space="preserve">V obou případech předává podnikatel informace Úřadu ve formě oznámení, jehož vzor je přílohou vyhlášky (dále jen „formulář“).  </w:t>
      </w:r>
    </w:p>
    <w:p w:rsidR="00A35AF5" w:rsidRDefault="008D457D">
      <w:pPr>
        <w:spacing w:after="9" w:line="259" w:lineRule="auto"/>
        <w:ind w:left="0" w:right="0" w:firstLine="0"/>
        <w:jc w:val="left"/>
      </w:pPr>
      <w:r>
        <w:t xml:space="preserve"> </w:t>
      </w:r>
    </w:p>
    <w:p w:rsidR="00A35AF5" w:rsidRDefault="008D457D">
      <w:pPr>
        <w:ind w:left="-5" w:right="0"/>
      </w:pPr>
      <w:r>
        <w:t xml:space="preserve">Formulář obsahuje údaje v rozsahu potřebném pro následné řešení a hodnocení vzniklé situace, v době vzniku závažného narušení však nemusí být všechny údaje známy. Pokud by informace podle § 98 odst. 4 zákona byla podávána až v okamžiku, kdy budou známé všechny údaje v rozsahu předpokládaném v § 1 vyhlášky, mohlo by dojít k problémům z důvodů </w:t>
      </w:r>
      <w:r w:rsidR="00CA3937">
        <w:t xml:space="preserve">               </w:t>
      </w:r>
      <w:r>
        <w:t xml:space="preserve">z prodlení.  </w:t>
      </w:r>
    </w:p>
    <w:p w:rsidR="00A35AF5" w:rsidRDefault="008D457D">
      <w:pPr>
        <w:spacing w:after="3" w:line="259" w:lineRule="auto"/>
        <w:ind w:left="0" w:right="0" w:firstLine="0"/>
        <w:jc w:val="left"/>
      </w:pPr>
      <w:r>
        <w:t xml:space="preserve"> </w:t>
      </w:r>
    </w:p>
    <w:p w:rsidR="00A35AF5" w:rsidRDefault="008D457D">
      <w:pPr>
        <w:spacing w:after="130"/>
        <w:ind w:left="-5" w:right="0"/>
      </w:pPr>
      <w:r>
        <w:t xml:space="preserve">Z uvedených důvodů je nezbytné, aby podnikatel v případě, že nebudou všechny požadované údaje k dispozici současně, oznamoval informace postupně, a to následujícím způsobem:  </w:t>
      </w:r>
    </w:p>
    <w:p w:rsidR="00A35AF5" w:rsidRDefault="008D457D">
      <w:pPr>
        <w:numPr>
          <w:ilvl w:val="0"/>
          <w:numId w:val="1"/>
        </w:numPr>
        <w:ind w:right="0" w:hanging="360"/>
      </w:pPr>
      <w:r>
        <w:t xml:space="preserve">bezodkladně oznámit zjištění, že stav naplňuje, příp. dle kvalifikovaného odhadu podnikatele naplní, definici závažného narušení podle článku 2 těchto metodických pokynů, a to včetně všech aktuálně známých údajů, které mají být obsahem </w:t>
      </w:r>
    </w:p>
    <w:p w:rsidR="00A35AF5" w:rsidRDefault="008D457D">
      <w:pPr>
        <w:ind w:left="723" w:right="0"/>
      </w:pPr>
      <w:r>
        <w:t xml:space="preserve">formuláře;  </w:t>
      </w:r>
    </w:p>
    <w:p w:rsidR="00A35AF5" w:rsidRDefault="008D457D">
      <w:pPr>
        <w:numPr>
          <w:ilvl w:val="0"/>
          <w:numId w:val="1"/>
        </w:numPr>
        <w:ind w:right="0" w:hanging="360"/>
      </w:pPr>
      <w:r>
        <w:t xml:space="preserve">bezodkladně oznamovat další aktuálně známé údaje, které mají být obsahem formuláře a nebyly dosud oznámeny podle bodu 1, příp. aktualizovat údaje, které byly oznámeny podle bodu 1; </w:t>
      </w:r>
    </w:p>
    <w:p w:rsidR="00A35AF5" w:rsidRDefault="008D457D">
      <w:pPr>
        <w:numPr>
          <w:ilvl w:val="0"/>
          <w:numId w:val="1"/>
        </w:numPr>
        <w:ind w:right="0" w:hanging="360"/>
      </w:pPr>
      <w:r>
        <w:t xml:space="preserve">bezodkladně informovat Úřad o datu a čase zprovoznění všech postižených technologických celků a o obnovení poskytování služby elektronických komunikací, případně o zpřesnění údajů oznámených podle bodů 1 a 2. </w:t>
      </w:r>
    </w:p>
    <w:p w:rsidR="00A35AF5" w:rsidRDefault="008D457D" w:rsidP="005347D4">
      <w:pPr>
        <w:spacing w:after="0" w:line="259" w:lineRule="auto"/>
        <w:ind w:left="0" w:right="0" w:firstLine="0"/>
        <w:jc w:val="left"/>
      </w:pPr>
      <w:r>
        <w:t xml:space="preserve">  </w:t>
      </w:r>
    </w:p>
    <w:p w:rsidR="005347D4" w:rsidRDefault="005347D4" w:rsidP="005347D4">
      <w:pPr>
        <w:spacing w:after="0" w:line="259" w:lineRule="auto"/>
        <w:ind w:left="0" w:right="0" w:firstLine="0"/>
        <w:jc w:val="left"/>
      </w:pPr>
    </w:p>
    <w:p w:rsidR="00CC6BC0" w:rsidRDefault="008D457D">
      <w:pPr>
        <w:pStyle w:val="Nadpis1"/>
      </w:pPr>
      <w:r>
        <w:t xml:space="preserve">Článek 5 </w:t>
      </w:r>
    </w:p>
    <w:p w:rsidR="00A35AF5" w:rsidRDefault="008D457D">
      <w:pPr>
        <w:pStyle w:val="Nadpis1"/>
      </w:pPr>
      <w:r>
        <w:t xml:space="preserve">Rozsah údajů podle § 1 odst. 1 písm. c) vyhlášky </w:t>
      </w:r>
    </w:p>
    <w:p w:rsidR="00A35AF5" w:rsidRDefault="008D457D">
      <w:pPr>
        <w:spacing w:after="3" w:line="259" w:lineRule="auto"/>
        <w:ind w:left="0" w:right="0" w:firstLine="0"/>
        <w:jc w:val="left"/>
      </w:pPr>
      <w:r>
        <w:rPr>
          <w:b/>
        </w:rPr>
        <w:t xml:space="preserve"> </w:t>
      </w:r>
    </w:p>
    <w:p w:rsidR="00A35AF5" w:rsidRDefault="008D457D">
      <w:pPr>
        <w:ind w:left="-5" w:right="0"/>
      </w:pPr>
      <w:r>
        <w:t xml:space="preserve">Ve 4. sloupci formuláře je v rámci popisu oblasti a rozsahu narušení sítě nutné podrobně specifikovat typy a množství postižených technologií (např. optické nebo metalické kabely, základnové, řídící a další stanice, ústředny, vysílače, anténní systémy, informační systémy, přepínače-routery, registry, páteřní síť, hlavní nebo záložní napájecí systémy, hardware nebo software, a další). Uvedené údaje jsou nedílným obsahem ročních hlášení Úřadu pro Evropskou komisi a ENISA. </w:t>
      </w:r>
    </w:p>
    <w:p w:rsidR="00A35AF5" w:rsidRDefault="008D457D">
      <w:pPr>
        <w:spacing w:after="18" w:line="259" w:lineRule="auto"/>
        <w:ind w:left="0" w:right="0" w:firstLine="0"/>
        <w:jc w:val="left"/>
      </w:pPr>
      <w:r>
        <w:t xml:space="preserve"> </w:t>
      </w:r>
    </w:p>
    <w:p w:rsidR="00A35AF5" w:rsidRDefault="008D457D">
      <w:pPr>
        <w:ind w:left="-5" w:right="0"/>
      </w:pPr>
      <w:r>
        <w:t xml:space="preserve">Má-li závažné narušení dopad na mezinárodní spojení (elektronické komunikace) – např. výpadek mezinárodní telekomunikační ústředny, narušení dálkových kabelových sítí atd., bude tato informace uvedena, ihned po jejím zjištění, rovněž ve 4. sloupci formuláře. Úřad </w:t>
      </w:r>
      <w:r w:rsidR="00CA3937">
        <w:t xml:space="preserve">         </w:t>
      </w:r>
      <w:r>
        <w:t xml:space="preserve">o této skutečnosti informuje „ad-hoc“ způsobem zahraniční regulační orgány a ENISA. </w:t>
      </w:r>
    </w:p>
    <w:p w:rsidR="00A35AF5" w:rsidRDefault="008D457D" w:rsidP="005347D4">
      <w:pPr>
        <w:spacing w:after="0" w:line="259" w:lineRule="auto"/>
        <w:ind w:left="0" w:right="0" w:firstLine="0"/>
        <w:jc w:val="left"/>
      </w:pPr>
      <w:r>
        <w:t xml:space="preserve">  </w:t>
      </w:r>
    </w:p>
    <w:p w:rsidR="005347D4" w:rsidRDefault="005347D4" w:rsidP="005347D4">
      <w:pPr>
        <w:spacing w:after="0" w:line="259" w:lineRule="auto"/>
        <w:ind w:left="0" w:right="0" w:firstLine="0"/>
        <w:jc w:val="left"/>
      </w:pPr>
    </w:p>
    <w:p w:rsidR="00CC6BC0" w:rsidRDefault="008D457D">
      <w:pPr>
        <w:pStyle w:val="Nadpis1"/>
      </w:pPr>
      <w:r>
        <w:t xml:space="preserve">Článek 6 </w:t>
      </w:r>
    </w:p>
    <w:p w:rsidR="00A35AF5" w:rsidRDefault="008D457D">
      <w:pPr>
        <w:pStyle w:val="Nadpis1"/>
      </w:pPr>
      <w:r>
        <w:t xml:space="preserve">Rozsah údajů podle § 1 odst. 1 písm. f) vyhlášky </w:t>
      </w:r>
    </w:p>
    <w:p w:rsidR="00A35AF5" w:rsidRDefault="008D457D">
      <w:pPr>
        <w:spacing w:after="19" w:line="259" w:lineRule="auto"/>
        <w:ind w:left="0" w:right="0" w:firstLine="0"/>
        <w:jc w:val="left"/>
      </w:pPr>
      <w:r>
        <w:rPr>
          <w:b/>
        </w:rPr>
        <w:t xml:space="preserve"> </w:t>
      </w:r>
    </w:p>
    <w:p w:rsidR="00A35AF5" w:rsidRDefault="008D457D">
      <w:pPr>
        <w:ind w:left="-5" w:right="0"/>
      </w:pPr>
      <w:r>
        <w:t xml:space="preserve">V 7. sloupci formuláře je uváděn počet postižených účastníků (uživatelů) „s“ nebo „bez“ přístupu k tísňovému volání. Tento údaj má vyjadřovat, zda „bylo“ nebo „nebylo“ umožněno volat na čísla tísňového volání prostřednictvím postižené sítě nebo služby. Na tísňová volání prostřednictvím jiných sítí či služeb nebo prostřednictvím sítí jiných podnikatelských subjektů se nebere zřetel. </w:t>
      </w:r>
    </w:p>
    <w:p w:rsidR="00A35AF5" w:rsidRDefault="008D457D">
      <w:pPr>
        <w:spacing w:after="0" w:line="259" w:lineRule="auto"/>
        <w:ind w:left="0" w:right="0" w:firstLine="0"/>
        <w:jc w:val="left"/>
      </w:pPr>
      <w:r>
        <w:t xml:space="preserve">   </w:t>
      </w:r>
    </w:p>
    <w:p w:rsidR="005347D4" w:rsidRDefault="005347D4">
      <w:pPr>
        <w:spacing w:after="0" w:line="259" w:lineRule="auto"/>
        <w:ind w:left="0" w:right="0" w:firstLine="0"/>
        <w:jc w:val="left"/>
      </w:pPr>
    </w:p>
    <w:p w:rsidR="00CC6BC0" w:rsidRDefault="008D457D">
      <w:pPr>
        <w:pStyle w:val="Nadpis1"/>
        <w:ind w:left="2088" w:right="2084"/>
      </w:pPr>
      <w:r>
        <w:t xml:space="preserve">Článek 7 </w:t>
      </w:r>
    </w:p>
    <w:p w:rsidR="00A35AF5" w:rsidRDefault="008D457D">
      <w:pPr>
        <w:pStyle w:val="Nadpis1"/>
        <w:ind w:left="2088" w:right="2084"/>
      </w:pPr>
      <w:r>
        <w:t xml:space="preserve">Kontaktní údaje Úřadu pro předávání informací </w:t>
      </w:r>
    </w:p>
    <w:p w:rsidR="00A35AF5" w:rsidRDefault="008D457D">
      <w:pPr>
        <w:spacing w:after="0" w:line="259" w:lineRule="auto"/>
        <w:ind w:left="0" w:right="0" w:firstLine="0"/>
        <w:jc w:val="left"/>
      </w:pPr>
      <w:r>
        <w:rPr>
          <w:b/>
        </w:rPr>
        <w:t xml:space="preserve"> </w:t>
      </w:r>
    </w:p>
    <w:p w:rsidR="00A35AF5" w:rsidRDefault="008D457D">
      <w:pPr>
        <w:ind w:left="-5" w:right="0"/>
      </w:pPr>
      <w:r>
        <w:t xml:space="preserve">Kontaktními údaji Úřadu pro předávání informací o závažném narušení podle </w:t>
      </w:r>
      <w:r w:rsidR="00CA3937">
        <w:t xml:space="preserve">                                   </w:t>
      </w:r>
      <w:r>
        <w:t xml:space="preserve">§ 2 odst. 2 vyhlášky ze strany podnikatelů jsou:  </w:t>
      </w:r>
    </w:p>
    <w:p w:rsidR="00A35AF5" w:rsidRDefault="008D457D">
      <w:pPr>
        <w:spacing w:after="2" w:line="259" w:lineRule="auto"/>
        <w:ind w:left="0" w:right="0" w:firstLine="0"/>
        <w:jc w:val="left"/>
      </w:pPr>
      <w:r>
        <w:t xml:space="preserve"> </w:t>
      </w:r>
    </w:p>
    <w:p w:rsidR="00A35AF5" w:rsidRDefault="008D457D">
      <w:pPr>
        <w:numPr>
          <w:ilvl w:val="0"/>
          <w:numId w:val="2"/>
        </w:numPr>
        <w:spacing w:after="92"/>
        <w:ind w:right="0" w:hanging="360"/>
      </w:pPr>
      <w:r>
        <w:t xml:space="preserve">pro formu datové zprávy e-mailová adresa:  </w:t>
      </w:r>
    </w:p>
    <w:p w:rsidR="00A35AF5" w:rsidRDefault="008D457D">
      <w:pPr>
        <w:spacing w:after="0" w:line="259" w:lineRule="auto"/>
        <w:ind w:left="180" w:right="0" w:firstLine="0"/>
        <w:jc w:val="left"/>
      </w:pPr>
      <w:r>
        <w:rPr>
          <w:color w:val="0000FF"/>
          <w:u w:val="single" w:color="0000FF"/>
        </w:rPr>
        <w:t>zavaznenaruseni@ctu.cz</w:t>
      </w:r>
      <w:r>
        <w:t xml:space="preserve"> </w:t>
      </w:r>
    </w:p>
    <w:p w:rsidR="00A35AF5" w:rsidRDefault="008D457D">
      <w:pPr>
        <w:spacing w:after="0" w:line="259" w:lineRule="auto"/>
        <w:ind w:left="360" w:right="0" w:firstLine="0"/>
        <w:jc w:val="left"/>
      </w:pPr>
      <w:r>
        <w:t xml:space="preserve"> </w:t>
      </w:r>
    </w:p>
    <w:p w:rsidR="00A35AF5" w:rsidRDefault="008D457D">
      <w:pPr>
        <w:ind w:left="-15" w:right="0" w:firstLine="360"/>
      </w:pPr>
      <w:r>
        <w:t xml:space="preserve">Oznámení bude předáváno datovou zprávou podepsanou uznávaným elektronickým podpisem na uvedenou e-mailovou adresu. Předmět zprávy bude obsahovat text „ZÁVAŽNÉ NARUŠENÍ“; </w:t>
      </w:r>
    </w:p>
    <w:p w:rsidR="00A35AF5" w:rsidRDefault="008D457D">
      <w:pPr>
        <w:spacing w:after="3" w:line="259" w:lineRule="auto"/>
        <w:ind w:left="0" w:right="0" w:firstLine="0"/>
        <w:jc w:val="left"/>
      </w:pPr>
      <w:r>
        <w:t xml:space="preserve"> </w:t>
      </w:r>
    </w:p>
    <w:p w:rsidR="00A35AF5" w:rsidRDefault="008D457D">
      <w:pPr>
        <w:numPr>
          <w:ilvl w:val="0"/>
          <w:numId w:val="2"/>
        </w:numPr>
        <w:ind w:right="0" w:hanging="360"/>
      </w:pPr>
      <w:r>
        <w:t xml:space="preserve">datová schránka Úřadu – identifikátor a9qaats; </w:t>
      </w:r>
    </w:p>
    <w:p w:rsidR="00A35AF5" w:rsidRDefault="008D457D">
      <w:pPr>
        <w:spacing w:after="18" w:line="259" w:lineRule="auto"/>
        <w:ind w:left="0" w:right="0" w:firstLine="0"/>
        <w:jc w:val="left"/>
      </w:pPr>
      <w:r>
        <w:t xml:space="preserve"> </w:t>
      </w:r>
    </w:p>
    <w:p w:rsidR="00A35AF5" w:rsidRDefault="008D457D">
      <w:pPr>
        <w:numPr>
          <w:ilvl w:val="0"/>
          <w:numId w:val="2"/>
        </w:numPr>
        <w:spacing w:after="96"/>
        <w:ind w:right="0" w:hanging="360"/>
      </w:pPr>
      <w:r>
        <w:t xml:space="preserve">telefonní čísla (v případě nemožnosti využití elektronické formy komunikace podle písmene a) a b) tohoto článku): </w:t>
      </w:r>
    </w:p>
    <w:p w:rsidR="00A35AF5" w:rsidRDefault="00CC6BC0">
      <w:pPr>
        <w:numPr>
          <w:ilvl w:val="1"/>
          <w:numId w:val="2"/>
        </w:numPr>
        <w:ind w:right="0" w:hanging="360"/>
      </w:pPr>
      <w:r>
        <w:t>pevná síť – 224 004 723, 224 004 718</w:t>
      </w:r>
      <w:r w:rsidR="008D457D">
        <w:t xml:space="preserve"> nebo 224 004 71</w:t>
      </w:r>
      <w:r>
        <w:t>7</w:t>
      </w:r>
      <w:r w:rsidR="008D457D">
        <w:t xml:space="preserve">;  </w:t>
      </w:r>
    </w:p>
    <w:p w:rsidR="00A35AF5" w:rsidRDefault="00CC6BC0">
      <w:pPr>
        <w:numPr>
          <w:ilvl w:val="1"/>
          <w:numId w:val="2"/>
        </w:numPr>
        <w:ind w:right="0" w:hanging="360"/>
      </w:pPr>
      <w:r>
        <w:t>mobilní síť – 773 604 780</w:t>
      </w:r>
      <w:r w:rsidR="008D457D">
        <w:t xml:space="preserve"> nebo </w:t>
      </w:r>
      <w:r>
        <w:t>773 604 781</w:t>
      </w:r>
      <w:r w:rsidR="008D457D">
        <w:t xml:space="preserve">; </w:t>
      </w:r>
    </w:p>
    <w:p w:rsidR="00A35AF5" w:rsidRDefault="008D457D">
      <w:pPr>
        <w:spacing w:after="0" w:line="259" w:lineRule="auto"/>
        <w:ind w:left="0" w:right="0" w:firstLine="0"/>
        <w:jc w:val="left"/>
      </w:pPr>
      <w:r>
        <w:t xml:space="preserve"> </w:t>
      </w:r>
    </w:p>
    <w:p w:rsidR="00A35AF5" w:rsidRDefault="008D457D">
      <w:pPr>
        <w:ind w:left="370" w:right="0"/>
      </w:pPr>
      <w:r>
        <w:t xml:space="preserve">Vyplněný formulář bude zaslán následně po zprovoznění elektronické komunikace dle bodu a) nebo b). </w:t>
      </w:r>
    </w:p>
    <w:p w:rsidR="00A35AF5" w:rsidRDefault="008D457D">
      <w:pPr>
        <w:spacing w:after="18" w:line="259" w:lineRule="auto"/>
        <w:ind w:left="0" w:right="0" w:firstLine="0"/>
        <w:jc w:val="left"/>
      </w:pPr>
      <w:r>
        <w:t xml:space="preserve"> </w:t>
      </w:r>
    </w:p>
    <w:p w:rsidR="00A35AF5" w:rsidRDefault="008D457D">
      <w:pPr>
        <w:numPr>
          <w:ilvl w:val="0"/>
          <w:numId w:val="2"/>
        </w:numPr>
        <w:spacing w:after="116"/>
        <w:ind w:right="0" w:hanging="360"/>
      </w:pPr>
      <w:r>
        <w:t xml:space="preserve">doručovací adresa při využití poštovních služeb (v případě nemožnosti využití elektronické formy komunikace podle písmene a) až c) tohoto článku): </w:t>
      </w:r>
    </w:p>
    <w:p w:rsidR="00A35AF5" w:rsidRDefault="008D457D">
      <w:pPr>
        <w:spacing w:line="352" w:lineRule="auto"/>
        <w:ind w:left="360" w:right="0" w:firstLine="348"/>
      </w:pPr>
      <w:r>
        <w:t>Český telekomu</w:t>
      </w:r>
      <w:r w:rsidR="00CC6BC0">
        <w:t>nikační úřad, samostatné oddělení bezpečnosti a</w:t>
      </w:r>
      <w:r>
        <w:t xml:space="preserve"> krizového řízení, </w:t>
      </w:r>
      <w:proofErr w:type="spellStart"/>
      <w:r>
        <w:t>P.O.Box</w:t>
      </w:r>
      <w:proofErr w:type="spellEnd"/>
      <w:r>
        <w:t xml:space="preserve"> 02, 225 02 Praha 025 nebo </w:t>
      </w:r>
    </w:p>
    <w:p w:rsidR="00A35AF5" w:rsidRDefault="008D457D">
      <w:pPr>
        <w:spacing w:after="18" w:line="259" w:lineRule="auto"/>
        <w:ind w:left="0" w:right="0" w:firstLine="0"/>
        <w:jc w:val="left"/>
      </w:pPr>
      <w:r>
        <w:t xml:space="preserve"> </w:t>
      </w:r>
    </w:p>
    <w:p w:rsidR="00CA3937" w:rsidRDefault="00CA3937">
      <w:pPr>
        <w:spacing w:after="18" w:line="259" w:lineRule="auto"/>
        <w:ind w:left="0" w:right="0" w:firstLine="0"/>
        <w:jc w:val="left"/>
      </w:pPr>
    </w:p>
    <w:p w:rsidR="00CA3937" w:rsidRDefault="00CA3937">
      <w:pPr>
        <w:spacing w:after="18" w:line="259" w:lineRule="auto"/>
        <w:ind w:left="0" w:right="0" w:firstLine="0"/>
        <w:jc w:val="left"/>
      </w:pPr>
    </w:p>
    <w:p w:rsidR="00A35AF5" w:rsidRDefault="008D457D">
      <w:pPr>
        <w:numPr>
          <w:ilvl w:val="0"/>
          <w:numId w:val="2"/>
        </w:numPr>
        <w:spacing w:after="131"/>
        <w:ind w:right="0" w:hanging="360"/>
      </w:pPr>
      <w:r>
        <w:t>adresa sídla Úřadu při využití kurýrních služeb (v případě nemožnosti využití elektronické formy komunikace podle písmene a) až c) tohoto článku):</w:t>
      </w:r>
      <w:r>
        <w:rPr>
          <w:b/>
        </w:rPr>
        <w:t xml:space="preserve"> </w:t>
      </w:r>
    </w:p>
    <w:p w:rsidR="00A35AF5" w:rsidRDefault="00CC6BC0">
      <w:pPr>
        <w:ind w:left="718" w:right="0"/>
      </w:pPr>
      <w:r>
        <w:t>Samostatné oddělení bezpečnosti</w:t>
      </w:r>
      <w:r w:rsidR="008D457D">
        <w:t xml:space="preserve"> </w:t>
      </w:r>
      <w:r>
        <w:t xml:space="preserve">a </w:t>
      </w:r>
      <w:r w:rsidR="008D457D">
        <w:t>krizového řízení, Sokolovská 219, Praha 9 (metro B, stanice Vysočanská).</w:t>
      </w:r>
      <w:r w:rsidR="008D457D">
        <w:rPr>
          <w:b/>
        </w:rPr>
        <w:t xml:space="preserve"> </w:t>
      </w:r>
    </w:p>
    <w:p w:rsidR="00A35AF5" w:rsidRDefault="008D457D" w:rsidP="005347D4">
      <w:pPr>
        <w:spacing w:after="0" w:line="259" w:lineRule="auto"/>
        <w:ind w:left="0" w:right="0" w:firstLine="0"/>
        <w:jc w:val="left"/>
      </w:pPr>
      <w:r>
        <w:t xml:space="preserve">  </w:t>
      </w:r>
    </w:p>
    <w:p w:rsidR="00CC6BC0" w:rsidRDefault="008D457D">
      <w:pPr>
        <w:pStyle w:val="Nadpis1"/>
      </w:pPr>
      <w:r>
        <w:t xml:space="preserve">Článek 8 </w:t>
      </w:r>
    </w:p>
    <w:p w:rsidR="00A35AF5" w:rsidRDefault="008D457D">
      <w:pPr>
        <w:pStyle w:val="Nadpis1"/>
      </w:pPr>
      <w:r>
        <w:t xml:space="preserve">Závěr </w:t>
      </w:r>
    </w:p>
    <w:p w:rsidR="00A35AF5" w:rsidRDefault="008D457D">
      <w:pPr>
        <w:spacing w:after="14" w:line="259" w:lineRule="auto"/>
        <w:ind w:left="0" w:right="0" w:firstLine="0"/>
        <w:jc w:val="left"/>
      </w:pPr>
      <w:r>
        <w:t xml:space="preserve"> </w:t>
      </w:r>
    </w:p>
    <w:p w:rsidR="00A35AF5" w:rsidRDefault="008D457D">
      <w:pPr>
        <w:ind w:left="-5" w:right="0"/>
      </w:pPr>
      <w:r>
        <w:t xml:space="preserve">Hlavním smyslem těchto metodických pokynů je stanovení základních principů pro definování závažného narušení a s ním spojených postupů, definovaných zákonem a vyhláškou. Obecně platné principy vhodné pro dominantní, střední i drobné podnikatele lze jen velmi těžko vyspecifikovat, přičemž zákon nerozlišuje mezi takovými subjekty při plnění povinností při zajišťování bezpečnosti a integrity veřejných komunikačních sítí a služeb elektronických komunikací. Uvedená metodika by měla být základním vodítkem pro podnikatele s tím, že je třeba zohledňovat specifika každého konkrétního subjektu a případu. </w:t>
      </w:r>
    </w:p>
    <w:p w:rsidR="00A35AF5" w:rsidRDefault="008D457D">
      <w:pPr>
        <w:spacing w:after="0" w:line="259" w:lineRule="auto"/>
        <w:ind w:left="0" w:right="0" w:firstLine="0"/>
        <w:jc w:val="left"/>
      </w:pPr>
      <w:r>
        <w:t xml:space="preserve"> </w:t>
      </w:r>
    </w:p>
    <w:sectPr w:rsidR="00A35AF5">
      <w:footerReference w:type="even" r:id="rId7"/>
      <w:footerReference w:type="default" r:id="rId8"/>
      <w:footerReference w:type="first" r:id="rId9"/>
      <w:footnotePr>
        <w:numRestart w:val="eachPage"/>
      </w:footnotePr>
      <w:pgSz w:w="11906" w:h="16838"/>
      <w:pgMar w:top="1420" w:right="1412" w:bottom="1418" w:left="1416"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57D" w:rsidRDefault="008D457D">
      <w:pPr>
        <w:spacing w:after="0" w:line="240" w:lineRule="auto"/>
      </w:pPr>
      <w:r>
        <w:separator/>
      </w:r>
    </w:p>
  </w:endnote>
  <w:endnote w:type="continuationSeparator" w:id="0">
    <w:p w:rsidR="008D457D" w:rsidRDefault="008D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F5" w:rsidRDefault="008D457D">
    <w:pPr>
      <w:tabs>
        <w:tab w:val="center" w:pos="4537"/>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F5" w:rsidRDefault="008D457D">
    <w:pPr>
      <w:tabs>
        <w:tab w:val="center" w:pos="4537"/>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9E179F" w:rsidRPr="009E179F">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F5" w:rsidRDefault="008D457D">
    <w:pPr>
      <w:tabs>
        <w:tab w:val="center" w:pos="4537"/>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57D" w:rsidRDefault="008D457D">
      <w:pPr>
        <w:spacing w:after="65" w:line="259" w:lineRule="auto"/>
        <w:ind w:left="0" w:right="0" w:firstLine="0"/>
        <w:jc w:val="left"/>
      </w:pPr>
      <w:r>
        <w:separator/>
      </w:r>
    </w:p>
  </w:footnote>
  <w:footnote w:type="continuationSeparator" w:id="0">
    <w:p w:rsidR="008D457D" w:rsidRDefault="008D457D">
      <w:pPr>
        <w:spacing w:after="65" w:line="259" w:lineRule="auto"/>
        <w:ind w:left="0" w:right="0" w:firstLine="0"/>
        <w:jc w:val="left"/>
      </w:pPr>
      <w:r>
        <w:continuationSeparator/>
      </w:r>
    </w:p>
  </w:footnote>
  <w:footnote w:id="1">
    <w:p w:rsidR="00A35AF5" w:rsidRDefault="008D457D">
      <w:pPr>
        <w:pStyle w:val="footnotedescription"/>
        <w:spacing w:after="65" w:line="259" w:lineRule="auto"/>
        <w:ind w:right="0"/>
      </w:pPr>
      <w:r>
        <w:rPr>
          <w:rStyle w:val="footnotemark"/>
          <w:rFonts w:eastAsia="Arial"/>
        </w:rPr>
        <w:footnoteRef/>
      </w:r>
      <w:r>
        <w:t xml:space="preserve"> vi</w:t>
      </w:r>
      <w:hyperlink r:id="rId1">
        <w:r>
          <w:t xml:space="preserve">z </w:t>
        </w:r>
      </w:hyperlink>
      <w:hyperlink r:id="rId2">
        <w:r>
          <w:rPr>
            <w:color w:val="0000FF"/>
            <w:u w:val="single" w:color="0000FF"/>
          </w:rPr>
          <w:t>https://resilience.enisa.europa.eu/article</w:t>
        </w:r>
      </w:hyperlink>
      <w:hyperlink r:id="rId3">
        <w:r>
          <w:rPr>
            <w:color w:val="0000FF"/>
            <w:u w:val="single" w:color="0000FF"/>
          </w:rPr>
          <w:t>-</w:t>
        </w:r>
      </w:hyperlink>
      <w:hyperlink r:id="rId4">
        <w:r>
          <w:rPr>
            <w:color w:val="0000FF"/>
            <w:u w:val="single" w:color="0000FF"/>
          </w:rPr>
          <w:t>13</w:t>
        </w:r>
      </w:hyperlink>
      <w:hyperlink r:id="rId5">
        <w:r>
          <w:rPr>
            <w:rFonts w:ascii="Times New Roman" w:eastAsia="Times New Roman" w:hAnsi="Times New Roman" w:cs="Times New Roman"/>
            <w:sz w:val="18"/>
          </w:rPr>
          <w:t xml:space="preserve"> </w:t>
        </w:r>
      </w:hyperlink>
    </w:p>
  </w:footnote>
  <w:footnote w:id="2">
    <w:p w:rsidR="00A35AF5" w:rsidRDefault="008D457D">
      <w:pPr>
        <w:pStyle w:val="footnotedescription"/>
        <w:spacing w:after="0" w:line="271" w:lineRule="auto"/>
        <w:ind w:right="4"/>
        <w:jc w:val="both"/>
      </w:pPr>
      <w:r>
        <w:rPr>
          <w:rStyle w:val="footnotemark"/>
          <w:rFonts w:eastAsia="Arial"/>
        </w:rPr>
        <w:footnoteRef/>
      </w:r>
      <w:r>
        <w:t xml:space="preserve"> Směrnice Evropského parlamentu a Rady 2009/140/ES ze dne 25. listopadu 2009, kterou se mění směrnice 2002/21/ES o společném předpisovém rámci pro sítě a služby elektronických komunikací, směrnice 2002/19/ES o přístupu k sítím elektronických komunikací a přiřazeným zařízením a o jejich vzájemném propojení a směrnice 2002/20/ES o oprávnění pro sítě a služby elektronických komunikací.</w:t>
      </w:r>
      <w:r>
        <w:rPr>
          <w:rFonts w:ascii="Times New Roman" w:eastAsia="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F1203"/>
    <w:multiLevelType w:val="hybridMultilevel"/>
    <w:tmpl w:val="3BFA6BC0"/>
    <w:lvl w:ilvl="0" w:tplc="0AF6BA1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F2E6D4">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D83F12">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924BA2">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4C38A">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48B050">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B4E66C">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3CE230">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960D0C">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7BD789A"/>
    <w:multiLevelType w:val="hybridMultilevel"/>
    <w:tmpl w:val="E85CA1FC"/>
    <w:lvl w:ilvl="0" w:tplc="AF70F46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DE5FF8">
      <w:start w:val="1"/>
      <w:numFmt w:val="decimal"/>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847A92">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546BFE">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C4B07E">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D69F76">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76010A">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9EB5CC">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AADCCE">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F5"/>
    <w:rsid w:val="001E2BCB"/>
    <w:rsid w:val="003A0337"/>
    <w:rsid w:val="004870F5"/>
    <w:rsid w:val="005347D4"/>
    <w:rsid w:val="008D457D"/>
    <w:rsid w:val="009E179F"/>
    <w:rsid w:val="009F6656"/>
    <w:rsid w:val="00A35AF5"/>
    <w:rsid w:val="00CA3937"/>
    <w:rsid w:val="00CC6BC0"/>
    <w:rsid w:val="00EB1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1740"/>
  <w15:docId w15:val="{41478185-99F6-4340-8C79-C0910087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4" w:line="265" w:lineRule="auto"/>
      <w:ind w:left="10" w:right="1" w:hanging="10"/>
      <w:jc w:val="both"/>
    </w:pPr>
    <w:rPr>
      <w:rFonts w:ascii="Arial" w:eastAsia="Arial" w:hAnsi="Arial" w:cs="Arial"/>
      <w:color w:val="000000"/>
    </w:rPr>
  </w:style>
  <w:style w:type="paragraph" w:styleId="Nadpis1">
    <w:name w:val="heading 1"/>
    <w:next w:val="Normln"/>
    <w:link w:val="Nadpis1Char"/>
    <w:uiPriority w:val="9"/>
    <w:unhideWhenUsed/>
    <w:qFormat/>
    <w:pPr>
      <w:keepNext/>
      <w:keepLines/>
      <w:spacing w:after="4" w:line="268" w:lineRule="auto"/>
      <w:ind w:left="10" w:right="4" w:hanging="10"/>
      <w:jc w:val="center"/>
      <w:outlineLvl w:val="0"/>
    </w:pPr>
    <w:rPr>
      <w:rFonts w:ascii="Arial" w:eastAsia="Arial" w:hAnsi="Arial" w:cs="Arial"/>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2"/>
    </w:rPr>
  </w:style>
  <w:style w:type="paragraph" w:customStyle="1" w:styleId="footnotedescription">
    <w:name w:val="footnote description"/>
    <w:next w:val="Normln"/>
    <w:link w:val="footnotedescriptionChar"/>
    <w:hidden/>
    <w:pPr>
      <w:spacing w:after="33" w:line="265" w:lineRule="auto"/>
      <w:ind w:right="2"/>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resilience.enisa.europa.eu/article-13" TargetMode="External"/><Relationship Id="rId2" Type="http://schemas.openxmlformats.org/officeDocument/2006/relationships/hyperlink" Target="https://resilience.enisa.europa.eu/article-13" TargetMode="External"/><Relationship Id="rId1" Type="http://schemas.openxmlformats.org/officeDocument/2006/relationships/hyperlink" Target="https://resilience.enisa.europa.eu/article-13" TargetMode="External"/><Relationship Id="rId5" Type="http://schemas.openxmlformats.org/officeDocument/2006/relationships/hyperlink" Target="https://resilience.enisa.europa.eu/article-13" TargetMode="External"/><Relationship Id="rId4" Type="http://schemas.openxmlformats.org/officeDocument/2006/relationships/hyperlink" Target="https://resilience.enisa.europa.eu/article-1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D18D5F7C</Template>
  <TotalTime>7</TotalTime>
  <Pages>5</Pages>
  <Words>1392</Words>
  <Characters>8215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Metodické pokyny</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pokyny</dc:title>
  <dc:subject/>
  <dc:creator>krojj</dc:creator>
  <cp:keywords/>
  <cp:lastModifiedBy>DURDA Aleš</cp:lastModifiedBy>
  <cp:revision>5</cp:revision>
  <dcterms:created xsi:type="dcterms:W3CDTF">2018-02-26T09:49:00Z</dcterms:created>
  <dcterms:modified xsi:type="dcterms:W3CDTF">2018-02-26T10:37:00Z</dcterms:modified>
</cp:coreProperties>
</file>