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E17" w:rsidRPr="008B1755" w:rsidRDefault="00661E17" w:rsidP="00661E17">
      <w:pPr>
        <w:rPr>
          <w:lang w:val="cs-CZ"/>
        </w:rPr>
      </w:pPr>
      <w:bookmarkStart w:id="0" w:name="_Toc352078565"/>
    </w:p>
    <w:p w:rsidR="00661E17" w:rsidRPr="008B1755" w:rsidRDefault="00661E17" w:rsidP="00661E17">
      <w:pPr>
        <w:rPr>
          <w:lang w:val="cs-CZ"/>
        </w:rPr>
      </w:pPr>
    </w:p>
    <w:p w:rsidR="00661E17" w:rsidRPr="008B1755" w:rsidRDefault="00661E17" w:rsidP="00661E17">
      <w:pPr>
        <w:rPr>
          <w:lang w:val="cs-CZ"/>
        </w:rPr>
      </w:pPr>
    </w:p>
    <w:p w:rsidR="00661E17" w:rsidRPr="008B1755" w:rsidRDefault="00661E17" w:rsidP="00661E17">
      <w:pPr>
        <w:rPr>
          <w:lang w:val="cs-CZ"/>
        </w:rPr>
      </w:pPr>
    </w:p>
    <w:p w:rsidR="00661E17" w:rsidRPr="008B1755" w:rsidRDefault="00661E17" w:rsidP="00274455">
      <w:pPr>
        <w:jc w:val="center"/>
        <w:rPr>
          <w:lang w:val="cs-CZ"/>
        </w:rPr>
      </w:pPr>
    </w:p>
    <w:p w:rsidR="00ED043E" w:rsidRPr="008B1755" w:rsidRDefault="00ED043E" w:rsidP="00661E17">
      <w:pPr>
        <w:rPr>
          <w:lang w:val="cs-CZ"/>
        </w:rPr>
      </w:pPr>
    </w:p>
    <w:p w:rsidR="00485D30" w:rsidRPr="008B1755" w:rsidRDefault="00485D30" w:rsidP="00661E17">
      <w:pPr>
        <w:rPr>
          <w:lang w:val="cs-CZ"/>
        </w:rPr>
      </w:pPr>
    </w:p>
    <w:p w:rsidR="00661E17" w:rsidRPr="008B1755" w:rsidRDefault="00661E17" w:rsidP="00661E17">
      <w:pPr>
        <w:rPr>
          <w:lang w:val="cs-CZ"/>
        </w:rPr>
      </w:pPr>
    </w:p>
    <w:p w:rsidR="00661E17" w:rsidRDefault="001D46DD" w:rsidP="00E91486">
      <w:pPr>
        <w:jc w:val="center"/>
        <w:rPr>
          <w:b/>
          <w:color w:val="18276E"/>
          <w:sz w:val="40"/>
          <w:szCs w:val="44"/>
          <w:lang w:val="cs-CZ"/>
        </w:rPr>
      </w:pPr>
      <w:r w:rsidRPr="008B1755">
        <w:rPr>
          <w:b/>
          <w:color w:val="18276E"/>
          <w:sz w:val="40"/>
          <w:szCs w:val="44"/>
          <w:lang w:val="cs-CZ"/>
        </w:rPr>
        <w:t xml:space="preserve">Pokyny </w:t>
      </w:r>
      <w:r w:rsidR="00420776" w:rsidRPr="008B1755">
        <w:rPr>
          <w:b/>
          <w:color w:val="18276E"/>
          <w:sz w:val="40"/>
          <w:szCs w:val="44"/>
          <w:lang w:val="cs-CZ"/>
        </w:rPr>
        <w:t xml:space="preserve">BEREC </w:t>
      </w:r>
      <w:r w:rsidRPr="008B1755">
        <w:rPr>
          <w:b/>
          <w:color w:val="18276E"/>
          <w:sz w:val="40"/>
          <w:szCs w:val="44"/>
          <w:lang w:val="cs-CZ"/>
        </w:rPr>
        <w:t>k provádění evropských pravidel síťové neutrality vnitrostátními regulačními úřady</w:t>
      </w:r>
    </w:p>
    <w:p w:rsidR="00210144" w:rsidRDefault="00210144" w:rsidP="00E91486">
      <w:pPr>
        <w:jc w:val="center"/>
        <w:rPr>
          <w:b/>
          <w:color w:val="18276E"/>
          <w:sz w:val="40"/>
          <w:szCs w:val="44"/>
          <w:lang w:val="cs-CZ"/>
        </w:rPr>
      </w:pPr>
      <w:r>
        <w:rPr>
          <w:b/>
          <w:color w:val="18276E"/>
          <w:sz w:val="40"/>
          <w:szCs w:val="44"/>
          <w:lang w:val="cs-CZ"/>
        </w:rPr>
        <w:t>-</w:t>
      </w:r>
    </w:p>
    <w:p w:rsidR="00210144" w:rsidRPr="008B1755" w:rsidRDefault="00C547ED" w:rsidP="00E91486">
      <w:pPr>
        <w:jc w:val="center"/>
        <w:rPr>
          <w:lang w:val="cs-CZ"/>
        </w:rPr>
      </w:pPr>
      <w:r>
        <w:rPr>
          <w:b/>
          <w:color w:val="18276E"/>
          <w:sz w:val="40"/>
          <w:szCs w:val="44"/>
          <w:lang w:val="cs-CZ"/>
        </w:rPr>
        <w:t>Ne</w:t>
      </w:r>
      <w:r w:rsidR="00210144">
        <w:rPr>
          <w:b/>
          <w:color w:val="18276E"/>
          <w:sz w:val="40"/>
          <w:szCs w:val="44"/>
          <w:lang w:val="cs-CZ"/>
        </w:rPr>
        <w:t xml:space="preserve">oficiální překlad </w:t>
      </w:r>
      <w:r>
        <w:rPr>
          <w:b/>
          <w:color w:val="18276E"/>
          <w:sz w:val="40"/>
          <w:szCs w:val="44"/>
          <w:lang w:val="cs-CZ"/>
        </w:rPr>
        <w:t>pro usnadnění využití pokynů v prostředí ČR</w:t>
      </w:r>
    </w:p>
    <w:p w:rsidR="00661E17" w:rsidRPr="008B1755" w:rsidRDefault="00661E17" w:rsidP="00EA5C22">
      <w:pPr>
        <w:jc w:val="left"/>
        <w:rPr>
          <w:lang w:val="cs-CZ"/>
        </w:rPr>
      </w:pPr>
    </w:p>
    <w:p w:rsidR="00661E17" w:rsidRPr="008B1755" w:rsidRDefault="00661E17" w:rsidP="00B56E26">
      <w:pPr>
        <w:rPr>
          <w:lang w:val="cs-CZ"/>
        </w:rPr>
      </w:pPr>
    </w:p>
    <w:p w:rsidR="004A59F6" w:rsidRPr="008B1755" w:rsidRDefault="004A59F6" w:rsidP="00B56E26">
      <w:pPr>
        <w:rPr>
          <w:lang w:val="cs-CZ"/>
        </w:rPr>
      </w:pPr>
    </w:p>
    <w:p w:rsidR="004A59F6" w:rsidRPr="008B1755" w:rsidRDefault="004A59F6" w:rsidP="00B56E26">
      <w:pPr>
        <w:rPr>
          <w:lang w:val="cs-CZ"/>
        </w:rPr>
      </w:pPr>
    </w:p>
    <w:p w:rsidR="00661E17" w:rsidRPr="008B1755" w:rsidRDefault="00661E17" w:rsidP="00B56E26">
      <w:pPr>
        <w:rPr>
          <w:lang w:val="cs-CZ"/>
        </w:rPr>
      </w:pPr>
    </w:p>
    <w:p w:rsidR="00DB1B05" w:rsidRPr="008B1755" w:rsidRDefault="00DB1B05">
      <w:pPr>
        <w:jc w:val="left"/>
        <w:rPr>
          <w:lang w:val="cs-CZ"/>
        </w:rPr>
      </w:pPr>
      <w:r w:rsidRPr="008B1755">
        <w:rPr>
          <w:lang w:val="cs-CZ"/>
        </w:rPr>
        <w:br w:type="page"/>
      </w:r>
    </w:p>
    <w:p w:rsidR="001B30A2" w:rsidRPr="008B1755" w:rsidRDefault="001D46DD" w:rsidP="008D6F10">
      <w:pPr>
        <w:pStyle w:val="Nadpisobsahu"/>
        <w:spacing w:after="120"/>
        <w:rPr>
          <w:rFonts w:ascii="Arial" w:hAnsi="Arial" w:cs="Arial"/>
          <w:color w:val="auto"/>
          <w:lang w:val="cs-CZ"/>
        </w:rPr>
      </w:pPr>
      <w:r w:rsidRPr="008B1755">
        <w:rPr>
          <w:rFonts w:ascii="Arial" w:hAnsi="Arial" w:cs="Arial"/>
          <w:color w:val="auto"/>
          <w:lang w:val="cs-CZ"/>
        </w:rPr>
        <w:t>Obsah</w:t>
      </w:r>
    </w:p>
    <w:p w:rsidR="003627EC" w:rsidRPr="008B1755" w:rsidRDefault="00CA269E">
      <w:pPr>
        <w:pStyle w:val="Obsah1"/>
        <w:rPr>
          <w:rFonts w:asciiTheme="minorHAnsi" w:eastAsiaTheme="minorEastAsia" w:hAnsiTheme="minorHAnsi" w:cstheme="minorBidi"/>
          <w:b w:val="0"/>
          <w:lang w:val="cs-CZ" w:eastAsia="cs-CZ"/>
        </w:rPr>
      </w:pPr>
      <w:r w:rsidRPr="008B1755">
        <w:rPr>
          <w:b w:val="0"/>
          <w:noProof w:val="0"/>
          <w:lang w:val="cs-CZ"/>
        </w:rPr>
        <w:fldChar w:fldCharType="begin"/>
      </w:r>
      <w:r w:rsidR="00B42A13" w:rsidRPr="008B1755">
        <w:rPr>
          <w:b w:val="0"/>
          <w:noProof w:val="0"/>
          <w:lang w:val="cs-CZ"/>
        </w:rPr>
        <w:instrText xml:space="preserve"> TOC \o "1-2" \h \z \u </w:instrText>
      </w:r>
      <w:r w:rsidRPr="008B1755">
        <w:rPr>
          <w:b w:val="0"/>
          <w:noProof w:val="0"/>
          <w:lang w:val="cs-CZ"/>
        </w:rPr>
        <w:fldChar w:fldCharType="separate"/>
      </w:r>
      <w:hyperlink w:anchor="_Toc461400152" w:history="1">
        <w:r w:rsidR="003627EC" w:rsidRPr="008B1755">
          <w:rPr>
            <w:rStyle w:val="Hypertextovodkaz"/>
            <w:lang w:val="cs-CZ"/>
          </w:rPr>
          <w:t>Východiska a obecná hlediska</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_Toc461400152 \h </w:instrText>
        </w:r>
        <w:r w:rsidR="003627EC" w:rsidRPr="008B1755">
          <w:rPr>
            <w:webHidden/>
            <w:lang w:val="cs-CZ"/>
          </w:rPr>
        </w:r>
        <w:r w:rsidR="003627EC" w:rsidRPr="008B1755">
          <w:rPr>
            <w:webHidden/>
            <w:lang w:val="cs-CZ"/>
          </w:rPr>
          <w:fldChar w:fldCharType="separate"/>
        </w:r>
        <w:r w:rsidR="003627EC" w:rsidRPr="008B1755">
          <w:rPr>
            <w:webHidden/>
            <w:lang w:val="cs-CZ"/>
          </w:rPr>
          <w:t>3</w:t>
        </w:r>
        <w:r w:rsidR="003627EC" w:rsidRPr="008B1755">
          <w:rPr>
            <w:webHidden/>
            <w:lang w:val="cs-CZ"/>
          </w:rPr>
          <w:fldChar w:fldCharType="end"/>
        </w:r>
      </w:hyperlink>
    </w:p>
    <w:p w:rsidR="003627EC" w:rsidRPr="008B1755" w:rsidRDefault="00210144">
      <w:pPr>
        <w:pStyle w:val="Obsah1"/>
        <w:rPr>
          <w:rFonts w:asciiTheme="minorHAnsi" w:eastAsiaTheme="minorEastAsia" w:hAnsiTheme="minorHAnsi" w:cstheme="minorBidi"/>
          <w:b w:val="0"/>
          <w:lang w:val="cs-CZ" w:eastAsia="cs-CZ"/>
        </w:rPr>
      </w:pPr>
      <w:hyperlink w:anchor="_Toc461400153" w:history="1">
        <w:r w:rsidR="003627EC" w:rsidRPr="008B1755">
          <w:rPr>
            <w:rStyle w:val="Hypertextovodkaz"/>
            <w:lang w:val="cs-CZ"/>
          </w:rPr>
          <w:t>Článek 1 Předmět a oblast působnosti</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_Toc461400153 \h </w:instrText>
        </w:r>
        <w:r w:rsidR="003627EC" w:rsidRPr="008B1755">
          <w:rPr>
            <w:webHidden/>
            <w:lang w:val="cs-CZ"/>
          </w:rPr>
        </w:r>
        <w:r w:rsidR="003627EC" w:rsidRPr="008B1755">
          <w:rPr>
            <w:webHidden/>
            <w:lang w:val="cs-CZ"/>
          </w:rPr>
          <w:fldChar w:fldCharType="separate"/>
        </w:r>
        <w:r w:rsidR="003627EC" w:rsidRPr="008B1755">
          <w:rPr>
            <w:webHidden/>
            <w:lang w:val="cs-CZ"/>
          </w:rPr>
          <w:t>4</w:t>
        </w:r>
        <w:r w:rsidR="003627EC" w:rsidRPr="008B1755">
          <w:rPr>
            <w:webHidden/>
            <w:lang w:val="cs-CZ"/>
          </w:rPr>
          <w:fldChar w:fldCharType="end"/>
        </w:r>
      </w:hyperlink>
    </w:p>
    <w:p w:rsidR="003627EC" w:rsidRPr="008B1755" w:rsidRDefault="00210144">
      <w:pPr>
        <w:pStyle w:val="Obsah1"/>
        <w:rPr>
          <w:rFonts w:asciiTheme="minorHAnsi" w:eastAsiaTheme="minorEastAsia" w:hAnsiTheme="minorHAnsi" w:cstheme="minorBidi"/>
          <w:b w:val="0"/>
          <w:lang w:val="cs-CZ" w:eastAsia="cs-CZ"/>
        </w:rPr>
      </w:pPr>
      <w:hyperlink w:anchor="_Toc461400154" w:history="1">
        <w:r w:rsidR="003627EC" w:rsidRPr="008B1755">
          <w:rPr>
            <w:rStyle w:val="Hypertextovodkaz"/>
            <w:lang w:val="cs-CZ"/>
          </w:rPr>
          <w:t>Článek 2 Definice</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_Toc461400154 \h </w:instrText>
        </w:r>
        <w:r w:rsidR="003627EC" w:rsidRPr="008B1755">
          <w:rPr>
            <w:webHidden/>
            <w:lang w:val="cs-CZ"/>
          </w:rPr>
        </w:r>
        <w:r w:rsidR="003627EC" w:rsidRPr="008B1755">
          <w:rPr>
            <w:webHidden/>
            <w:lang w:val="cs-CZ"/>
          </w:rPr>
          <w:fldChar w:fldCharType="separate"/>
        </w:r>
        <w:r w:rsidR="003627EC" w:rsidRPr="008B1755">
          <w:rPr>
            <w:webHidden/>
            <w:lang w:val="cs-CZ"/>
          </w:rPr>
          <w:t>5</w:t>
        </w:r>
        <w:r w:rsidR="003627EC" w:rsidRPr="008B1755">
          <w:rPr>
            <w:webHidden/>
            <w:lang w:val="cs-CZ"/>
          </w:rPr>
          <w:fldChar w:fldCharType="end"/>
        </w:r>
      </w:hyperlink>
    </w:p>
    <w:p w:rsidR="003627EC" w:rsidRPr="008B1755" w:rsidRDefault="00210144">
      <w:pPr>
        <w:pStyle w:val="Obsah1"/>
        <w:rPr>
          <w:rFonts w:asciiTheme="minorHAnsi" w:eastAsiaTheme="minorEastAsia" w:hAnsiTheme="minorHAnsi" w:cstheme="minorBidi"/>
          <w:b w:val="0"/>
          <w:lang w:val="cs-CZ" w:eastAsia="cs-CZ"/>
        </w:rPr>
      </w:pPr>
      <w:hyperlink w:anchor="_Toc461400155" w:history="1">
        <w:r w:rsidR="003627EC" w:rsidRPr="008B1755">
          <w:rPr>
            <w:rStyle w:val="Hypertextovodkaz"/>
            <w:lang w:val="cs-CZ"/>
          </w:rPr>
          <w:t>Článek 3 Zajištění přístupu k otevřenému internetu</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_Toc461400155 \h </w:instrText>
        </w:r>
        <w:r w:rsidR="003627EC" w:rsidRPr="008B1755">
          <w:rPr>
            <w:webHidden/>
            <w:lang w:val="cs-CZ"/>
          </w:rPr>
        </w:r>
        <w:r w:rsidR="003627EC" w:rsidRPr="008B1755">
          <w:rPr>
            <w:webHidden/>
            <w:lang w:val="cs-CZ"/>
          </w:rPr>
          <w:fldChar w:fldCharType="separate"/>
        </w:r>
        <w:r w:rsidR="003627EC" w:rsidRPr="008B1755">
          <w:rPr>
            <w:webHidden/>
            <w:lang w:val="cs-CZ"/>
          </w:rPr>
          <w:t>7</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56" w:history="1">
        <w:r w:rsidR="003627EC" w:rsidRPr="008B1755">
          <w:rPr>
            <w:rStyle w:val="Hypertextovodkaz"/>
            <w:rFonts w:eastAsia="SimSun" w:cs="Arial"/>
            <w:b/>
            <w:bCs/>
            <w:lang w:val="cs-CZ"/>
          </w:rPr>
          <w:t>Článek 3 odst. 1</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_Toc461400156 \h </w:instrText>
        </w:r>
        <w:r w:rsidR="003627EC" w:rsidRPr="008B1755">
          <w:rPr>
            <w:webHidden/>
            <w:lang w:val="cs-CZ"/>
          </w:rPr>
        </w:r>
        <w:r w:rsidR="003627EC" w:rsidRPr="008B1755">
          <w:rPr>
            <w:webHidden/>
            <w:lang w:val="cs-CZ"/>
          </w:rPr>
          <w:fldChar w:fldCharType="separate"/>
        </w:r>
        <w:r w:rsidR="003627EC" w:rsidRPr="008B1755">
          <w:rPr>
            <w:webHidden/>
            <w:lang w:val="cs-CZ"/>
          </w:rPr>
          <w:t>8</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57" w:history="1">
        <w:r w:rsidR="003627EC" w:rsidRPr="008B1755">
          <w:rPr>
            <w:rStyle w:val="Hypertextovodkaz"/>
            <w:rFonts w:eastAsia="SimSun" w:cs="Arial"/>
            <w:b/>
            <w:bCs/>
            <w:lang w:val="cs-CZ"/>
          </w:rPr>
          <w:t>Článek 3 odst. 2</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_Toc461400157 \h </w:instrText>
        </w:r>
        <w:r w:rsidR="003627EC" w:rsidRPr="008B1755">
          <w:rPr>
            <w:webHidden/>
            <w:lang w:val="cs-CZ"/>
          </w:rPr>
        </w:r>
        <w:r w:rsidR="003627EC" w:rsidRPr="008B1755">
          <w:rPr>
            <w:webHidden/>
            <w:lang w:val="cs-CZ"/>
          </w:rPr>
          <w:fldChar w:fldCharType="separate"/>
        </w:r>
        <w:r w:rsidR="003627EC" w:rsidRPr="008B1755">
          <w:rPr>
            <w:webHidden/>
            <w:lang w:val="cs-CZ"/>
          </w:rPr>
          <w:t>9</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58" w:history="1">
        <w:r w:rsidR="003627EC" w:rsidRPr="008B1755">
          <w:rPr>
            <w:rStyle w:val="Hypertextovodkaz"/>
            <w:rFonts w:eastAsia="SimSun" w:cs="Arial"/>
            <w:b/>
            <w:bCs/>
            <w:lang w:val="cs-CZ"/>
          </w:rPr>
          <w:t>Článek 3 odst. 3, první pododstavec</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_Toc461400158 \h </w:instrText>
        </w:r>
        <w:r w:rsidR="003627EC" w:rsidRPr="008B1755">
          <w:rPr>
            <w:webHidden/>
            <w:lang w:val="cs-CZ"/>
          </w:rPr>
        </w:r>
        <w:r w:rsidR="003627EC" w:rsidRPr="008B1755">
          <w:rPr>
            <w:webHidden/>
            <w:lang w:val="cs-CZ"/>
          </w:rPr>
          <w:fldChar w:fldCharType="separate"/>
        </w:r>
        <w:r w:rsidR="003627EC" w:rsidRPr="008B1755">
          <w:rPr>
            <w:webHidden/>
            <w:lang w:val="cs-CZ"/>
          </w:rPr>
          <w:t>14</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59" w:history="1">
        <w:r w:rsidR="003627EC" w:rsidRPr="008B1755">
          <w:rPr>
            <w:rStyle w:val="Hypertextovodkaz"/>
            <w:rFonts w:eastAsia="SimSun" w:cs="Arial"/>
            <w:b/>
            <w:bCs/>
            <w:lang w:val="cs-CZ"/>
          </w:rPr>
          <w:t>Článek 3 odst. 3, druhý pododstavec</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_Toc461400159 \h </w:instrText>
        </w:r>
        <w:r w:rsidR="003627EC" w:rsidRPr="008B1755">
          <w:rPr>
            <w:webHidden/>
            <w:lang w:val="cs-CZ"/>
          </w:rPr>
        </w:r>
        <w:r w:rsidR="003627EC" w:rsidRPr="008B1755">
          <w:rPr>
            <w:webHidden/>
            <w:lang w:val="cs-CZ"/>
          </w:rPr>
          <w:fldChar w:fldCharType="separate"/>
        </w:r>
        <w:r w:rsidR="003627EC" w:rsidRPr="008B1755">
          <w:rPr>
            <w:webHidden/>
            <w:lang w:val="cs-CZ"/>
          </w:rPr>
          <w:t>16</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60" w:history="1">
        <w:r w:rsidR="003627EC" w:rsidRPr="008B1755">
          <w:rPr>
            <w:rStyle w:val="Hypertextovodkaz"/>
            <w:rFonts w:eastAsia="SimSun" w:cs="Arial"/>
            <w:b/>
            <w:bCs/>
            <w:lang w:val="cs-CZ"/>
          </w:rPr>
          <w:t>Článek 3 odst. 3, třetí pododstavec</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_Toc461400160 \h </w:instrText>
        </w:r>
        <w:r w:rsidR="003627EC" w:rsidRPr="008B1755">
          <w:rPr>
            <w:webHidden/>
            <w:lang w:val="cs-CZ"/>
          </w:rPr>
        </w:r>
        <w:r w:rsidR="003627EC" w:rsidRPr="008B1755">
          <w:rPr>
            <w:webHidden/>
            <w:lang w:val="cs-CZ"/>
          </w:rPr>
          <w:fldChar w:fldCharType="separate"/>
        </w:r>
        <w:r w:rsidR="003627EC" w:rsidRPr="008B1755">
          <w:rPr>
            <w:webHidden/>
            <w:lang w:val="cs-CZ"/>
          </w:rPr>
          <w:t>20</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61" w:history="1">
        <w:r w:rsidR="003627EC" w:rsidRPr="008B1755">
          <w:rPr>
            <w:rStyle w:val="Hypertextovodkaz"/>
            <w:rFonts w:eastAsia="SimSun" w:cs="Arial"/>
            <w:b/>
            <w:bCs/>
            <w:lang w:val="cs-CZ"/>
          </w:rPr>
          <w:t>Článek 3 odst. 3 písm. a)</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_Toc461400161 \h </w:instrText>
        </w:r>
        <w:r w:rsidR="003627EC" w:rsidRPr="008B1755">
          <w:rPr>
            <w:webHidden/>
            <w:lang w:val="cs-CZ"/>
          </w:rPr>
        </w:r>
        <w:r w:rsidR="003627EC" w:rsidRPr="008B1755">
          <w:rPr>
            <w:webHidden/>
            <w:lang w:val="cs-CZ"/>
          </w:rPr>
          <w:fldChar w:fldCharType="separate"/>
        </w:r>
        <w:r w:rsidR="003627EC" w:rsidRPr="008B1755">
          <w:rPr>
            <w:webHidden/>
            <w:lang w:val="cs-CZ"/>
          </w:rPr>
          <w:t>21</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62" w:history="1">
        <w:r w:rsidR="003627EC" w:rsidRPr="008B1755">
          <w:rPr>
            <w:rStyle w:val="Hypertextovodkaz"/>
            <w:rFonts w:eastAsia="SimSun" w:cs="Arial"/>
            <w:b/>
            <w:bCs/>
            <w:lang w:val="cs-CZ"/>
          </w:rPr>
          <w:t>Článek 3 odst. 3 písm. b)</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_Toc461400162 \h </w:instrText>
        </w:r>
        <w:r w:rsidR="003627EC" w:rsidRPr="008B1755">
          <w:rPr>
            <w:webHidden/>
            <w:lang w:val="cs-CZ"/>
          </w:rPr>
        </w:r>
        <w:r w:rsidR="003627EC" w:rsidRPr="008B1755">
          <w:rPr>
            <w:webHidden/>
            <w:lang w:val="cs-CZ"/>
          </w:rPr>
          <w:fldChar w:fldCharType="separate"/>
        </w:r>
        <w:r w:rsidR="003627EC" w:rsidRPr="008B1755">
          <w:rPr>
            <w:webHidden/>
            <w:lang w:val="cs-CZ"/>
          </w:rPr>
          <w:t>22</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63" w:history="1">
        <w:r w:rsidR="003627EC" w:rsidRPr="008B1755">
          <w:rPr>
            <w:rStyle w:val="Hypertextovodkaz"/>
            <w:rFonts w:eastAsia="SimSun" w:cs="Arial"/>
            <w:b/>
            <w:bCs/>
            <w:lang w:val="cs-CZ"/>
          </w:rPr>
          <w:t>Článek 3 odst. 3 písm. c)</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_Toc461400163 \h </w:instrText>
        </w:r>
        <w:r w:rsidR="003627EC" w:rsidRPr="008B1755">
          <w:rPr>
            <w:webHidden/>
            <w:lang w:val="cs-CZ"/>
          </w:rPr>
        </w:r>
        <w:r w:rsidR="003627EC" w:rsidRPr="008B1755">
          <w:rPr>
            <w:webHidden/>
            <w:lang w:val="cs-CZ"/>
          </w:rPr>
          <w:fldChar w:fldCharType="separate"/>
        </w:r>
        <w:r w:rsidR="003627EC" w:rsidRPr="008B1755">
          <w:rPr>
            <w:webHidden/>
            <w:lang w:val="cs-CZ"/>
          </w:rPr>
          <w:t>23</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64" w:history="1">
        <w:r w:rsidR="003627EC" w:rsidRPr="008B1755">
          <w:rPr>
            <w:rStyle w:val="Hypertextovodkaz"/>
            <w:rFonts w:eastAsia="SimSun" w:cs="Arial"/>
            <w:b/>
            <w:bCs/>
            <w:lang w:val="cs-CZ"/>
          </w:rPr>
          <w:t>Článek 3 odst. 4</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_Toc461400164 \h </w:instrText>
        </w:r>
        <w:r w:rsidR="003627EC" w:rsidRPr="008B1755">
          <w:rPr>
            <w:webHidden/>
            <w:lang w:val="cs-CZ"/>
          </w:rPr>
        </w:r>
        <w:r w:rsidR="003627EC" w:rsidRPr="008B1755">
          <w:rPr>
            <w:webHidden/>
            <w:lang w:val="cs-CZ"/>
          </w:rPr>
          <w:fldChar w:fldCharType="separate"/>
        </w:r>
        <w:r w:rsidR="003627EC" w:rsidRPr="008B1755">
          <w:rPr>
            <w:webHidden/>
            <w:lang w:val="cs-CZ"/>
          </w:rPr>
          <w:t>24</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65" w:history="1">
        <w:r w:rsidR="003627EC" w:rsidRPr="008B1755">
          <w:rPr>
            <w:rStyle w:val="Hypertextovodkaz"/>
            <w:rFonts w:eastAsia="SimSun" w:cs="Arial"/>
            <w:b/>
            <w:bCs/>
            <w:lang w:val="cs-CZ"/>
          </w:rPr>
          <w:t>Článek 3 odst. 5, první pododstavec</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_Toc461400165 \h </w:instrText>
        </w:r>
        <w:r w:rsidR="003627EC" w:rsidRPr="008B1755">
          <w:rPr>
            <w:webHidden/>
            <w:lang w:val="cs-CZ"/>
          </w:rPr>
        </w:r>
        <w:r w:rsidR="003627EC" w:rsidRPr="008B1755">
          <w:rPr>
            <w:webHidden/>
            <w:lang w:val="cs-CZ"/>
          </w:rPr>
          <w:fldChar w:fldCharType="separate"/>
        </w:r>
        <w:r w:rsidR="003627EC" w:rsidRPr="008B1755">
          <w:rPr>
            <w:webHidden/>
            <w:lang w:val="cs-CZ"/>
          </w:rPr>
          <w:t>25</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66" w:history="1">
        <w:r w:rsidR="003627EC" w:rsidRPr="008B1755">
          <w:rPr>
            <w:rStyle w:val="Hypertextovodkaz"/>
            <w:rFonts w:eastAsia="SimSun" w:cs="Arial"/>
            <w:b/>
            <w:bCs/>
            <w:lang w:val="cs-CZ"/>
          </w:rPr>
          <w:t>Článek 3 odst. 5, druhý pododstavec</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_Toc461400166 \h </w:instrText>
        </w:r>
        <w:r w:rsidR="003627EC" w:rsidRPr="008B1755">
          <w:rPr>
            <w:webHidden/>
            <w:lang w:val="cs-CZ"/>
          </w:rPr>
        </w:r>
        <w:r w:rsidR="003627EC" w:rsidRPr="008B1755">
          <w:rPr>
            <w:webHidden/>
            <w:lang w:val="cs-CZ"/>
          </w:rPr>
          <w:fldChar w:fldCharType="separate"/>
        </w:r>
        <w:r w:rsidR="003627EC" w:rsidRPr="008B1755">
          <w:rPr>
            <w:webHidden/>
            <w:lang w:val="cs-CZ"/>
          </w:rPr>
          <w:t>28</w:t>
        </w:r>
        <w:r w:rsidR="003627EC" w:rsidRPr="008B1755">
          <w:rPr>
            <w:webHidden/>
            <w:lang w:val="cs-CZ"/>
          </w:rPr>
          <w:fldChar w:fldCharType="end"/>
        </w:r>
      </w:hyperlink>
    </w:p>
    <w:p w:rsidR="003627EC" w:rsidRPr="008B1755" w:rsidRDefault="00210144">
      <w:pPr>
        <w:pStyle w:val="Obsah1"/>
        <w:rPr>
          <w:rFonts w:asciiTheme="minorHAnsi" w:eastAsiaTheme="minorEastAsia" w:hAnsiTheme="minorHAnsi" w:cstheme="minorBidi"/>
          <w:b w:val="0"/>
          <w:lang w:val="cs-CZ" w:eastAsia="cs-CZ"/>
        </w:rPr>
      </w:pPr>
      <w:hyperlink w:anchor="_Toc461400167" w:history="1">
        <w:r w:rsidR="003627EC" w:rsidRPr="008B1755">
          <w:rPr>
            <w:rStyle w:val="Hypertextovodkaz"/>
            <w:rFonts w:eastAsia="SimSun"/>
            <w:bCs/>
            <w:lang w:val="cs-CZ"/>
          </w:rPr>
          <w:t xml:space="preserve">Článek 4 </w:t>
        </w:r>
        <w:r w:rsidR="003627EC" w:rsidRPr="008B1755">
          <w:rPr>
            <w:rStyle w:val="Hypertextovodkaz"/>
            <w:lang w:val="cs-CZ"/>
          </w:rPr>
          <w:t>Opatření ke zvýšení transparentnosti pro zajištění přístupu k otevřenému internetu</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_Toc461400167 \h </w:instrText>
        </w:r>
        <w:r w:rsidR="003627EC" w:rsidRPr="008B1755">
          <w:rPr>
            <w:webHidden/>
            <w:lang w:val="cs-CZ"/>
          </w:rPr>
        </w:r>
        <w:r w:rsidR="003627EC" w:rsidRPr="008B1755">
          <w:rPr>
            <w:webHidden/>
            <w:lang w:val="cs-CZ"/>
          </w:rPr>
          <w:fldChar w:fldCharType="separate"/>
        </w:r>
        <w:r w:rsidR="003627EC" w:rsidRPr="008B1755">
          <w:rPr>
            <w:webHidden/>
            <w:lang w:val="cs-CZ"/>
          </w:rPr>
          <w:t>31</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68" w:history="1">
        <w:r w:rsidR="003627EC" w:rsidRPr="008B1755">
          <w:rPr>
            <w:rStyle w:val="Hypertextovodkaz"/>
            <w:rFonts w:eastAsia="SimSun" w:cs="Arial"/>
            <w:b/>
            <w:bCs/>
            <w:lang w:val="cs-CZ"/>
          </w:rPr>
          <w:t>Článek 4 odst. 1</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_Toc461400168 \h </w:instrText>
        </w:r>
        <w:r w:rsidR="003627EC" w:rsidRPr="008B1755">
          <w:rPr>
            <w:webHidden/>
            <w:lang w:val="cs-CZ"/>
          </w:rPr>
        </w:r>
        <w:r w:rsidR="003627EC" w:rsidRPr="008B1755">
          <w:rPr>
            <w:webHidden/>
            <w:lang w:val="cs-CZ"/>
          </w:rPr>
          <w:fldChar w:fldCharType="separate"/>
        </w:r>
        <w:r w:rsidR="003627EC" w:rsidRPr="008B1755">
          <w:rPr>
            <w:webHidden/>
            <w:lang w:val="cs-CZ"/>
          </w:rPr>
          <w:t>31</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69" w:history="1">
        <w:r w:rsidR="003627EC" w:rsidRPr="008B1755">
          <w:rPr>
            <w:rStyle w:val="Hypertextovodkaz"/>
            <w:rFonts w:eastAsia="SimSun" w:cs="Arial"/>
            <w:b/>
            <w:bCs/>
            <w:lang w:val="cs-CZ"/>
          </w:rPr>
          <w:t>Článek 4 odst. 1 písm. a)</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_Toc461400169 \h </w:instrText>
        </w:r>
        <w:r w:rsidR="003627EC" w:rsidRPr="008B1755">
          <w:rPr>
            <w:webHidden/>
            <w:lang w:val="cs-CZ"/>
          </w:rPr>
        </w:r>
        <w:r w:rsidR="003627EC" w:rsidRPr="008B1755">
          <w:rPr>
            <w:webHidden/>
            <w:lang w:val="cs-CZ"/>
          </w:rPr>
          <w:fldChar w:fldCharType="separate"/>
        </w:r>
        <w:r w:rsidR="003627EC" w:rsidRPr="008B1755">
          <w:rPr>
            <w:webHidden/>
            <w:lang w:val="cs-CZ"/>
          </w:rPr>
          <w:t>33</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70" w:history="1">
        <w:r w:rsidR="003627EC" w:rsidRPr="008B1755">
          <w:rPr>
            <w:rStyle w:val="Hypertextovodkaz"/>
            <w:rFonts w:eastAsia="SimSun" w:cs="Arial"/>
            <w:b/>
            <w:bCs/>
            <w:lang w:val="cs-CZ"/>
          </w:rPr>
          <w:t>Článek 4 odst. 1 písm. b)</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_Toc461400170 \h </w:instrText>
        </w:r>
        <w:r w:rsidR="003627EC" w:rsidRPr="008B1755">
          <w:rPr>
            <w:webHidden/>
            <w:lang w:val="cs-CZ"/>
          </w:rPr>
        </w:r>
        <w:r w:rsidR="003627EC" w:rsidRPr="008B1755">
          <w:rPr>
            <w:webHidden/>
            <w:lang w:val="cs-CZ"/>
          </w:rPr>
          <w:fldChar w:fldCharType="separate"/>
        </w:r>
        <w:r w:rsidR="003627EC" w:rsidRPr="008B1755">
          <w:rPr>
            <w:webHidden/>
            <w:lang w:val="cs-CZ"/>
          </w:rPr>
          <w:t>34</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71" w:history="1">
        <w:r w:rsidR="003627EC" w:rsidRPr="008B1755">
          <w:rPr>
            <w:rStyle w:val="Hypertextovodkaz"/>
            <w:rFonts w:eastAsia="SimSun" w:cs="Arial"/>
            <w:b/>
            <w:bCs/>
            <w:lang w:val="cs-CZ"/>
          </w:rPr>
          <w:t>Článek 4 odst. 1 písm. c)</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_Toc461400171 \h </w:instrText>
        </w:r>
        <w:r w:rsidR="003627EC" w:rsidRPr="008B1755">
          <w:rPr>
            <w:webHidden/>
            <w:lang w:val="cs-CZ"/>
          </w:rPr>
        </w:r>
        <w:r w:rsidR="003627EC" w:rsidRPr="008B1755">
          <w:rPr>
            <w:webHidden/>
            <w:lang w:val="cs-CZ"/>
          </w:rPr>
          <w:fldChar w:fldCharType="separate"/>
        </w:r>
        <w:r w:rsidR="003627EC" w:rsidRPr="008B1755">
          <w:rPr>
            <w:webHidden/>
            <w:lang w:val="cs-CZ"/>
          </w:rPr>
          <w:t>34</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72" w:history="1">
        <w:r w:rsidR="003627EC" w:rsidRPr="008B1755">
          <w:rPr>
            <w:rStyle w:val="Hypertextovodkaz"/>
            <w:rFonts w:eastAsia="SimSun" w:cs="Arial"/>
            <w:b/>
            <w:bCs/>
            <w:lang w:val="cs-CZ"/>
          </w:rPr>
          <w:t>Článek 4 odst. 1 písm. d)</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_Toc461400172 \h </w:instrText>
        </w:r>
        <w:r w:rsidR="003627EC" w:rsidRPr="008B1755">
          <w:rPr>
            <w:webHidden/>
            <w:lang w:val="cs-CZ"/>
          </w:rPr>
        </w:r>
        <w:r w:rsidR="003627EC" w:rsidRPr="008B1755">
          <w:rPr>
            <w:webHidden/>
            <w:lang w:val="cs-CZ"/>
          </w:rPr>
          <w:fldChar w:fldCharType="separate"/>
        </w:r>
        <w:r w:rsidR="003627EC" w:rsidRPr="008B1755">
          <w:rPr>
            <w:webHidden/>
            <w:lang w:val="cs-CZ"/>
          </w:rPr>
          <w:t>35</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73" w:history="1">
        <w:r w:rsidR="003627EC" w:rsidRPr="008B1755">
          <w:rPr>
            <w:rStyle w:val="Hypertextovodkaz"/>
            <w:rFonts w:eastAsia="SimSun" w:cs="Arial"/>
            <w:b/>
            <w:bCs/>
            <w:lang w:val="cs-CZ"/>
          </w:rPr>
          <w:t>Článek 4 odst. 1 písm. e)</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_Toc461400173 \h </w:instrText>
        </w:r>
        <w:r w:rsidR="003627EC" w:rsidRPr="008B1755">
          <w:rPr>
            <w:webHidden/>
            <w:lang w:val="cs-CZ"/>
          </w:rPr>
        </w:r>
        <w:r w:rsidR="003627EC" w:rsidRPr="008B1755">
          <w:rPr>
            <w:webHidden/>
            <w:lang w:val="cs-CZ"/>
          </w:rPr>
          <w:fldChar w:fldCharType="separate"/>
        </w:r>
        <w:r w:rsidR="003627EC" w:rsidRPr="008B1755">
          <w:rPr>
            <w:webHidden/>
            <w:lang w:val="cs-CZ"/>
          </w:rPr>
          <w:t>37</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74" w:history="1">
        <w:r w:rsidR="003627EC" w:rsidRPr="008B1755">
          <w:rPr>
            <w:rStyle w:val="Hypertextovodkaz"/>
            <w:rFonts w:eastAsia="SimSun" w:cs="Arial"/>
            <w:b/>
            <w:bCs/>
            <w:lang w:val="cs-CZ"/>
          </w:rPr>
          <w:t>Článek 4 odst. 2</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_Toc461400174 \h </w:instrText>
        </w:r>
        <w:r w:rsidR="003627EC" w:rsidRPr="008B1755">
          <w:rPr>
            <w:webHidden/>
            <w:lang w:val="cs-CZ"/>
          </w:rPr>
        </w:r>
        <w:r w:rsidR="003627EC" w:rsidRPr="008B1755">
          <w:rPr>
            <w:webHidden/>
            <w:lang w:val="cs-CZ"/>
          </w:rPr>
          <w:fldChar w:fldCharType="separate"/>
        </w:r>
        <w:r w:rsidR="003627EC" w:rsidRPr="008B1755">
          <w:rPr>
            <w:webHidden/>
            <w:lang w:val="cs-CZ"/>
          </w:rPr>
          <w:t>37</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75" w:history="1">
        <w:r w:rsidR="003627EC" w:rsidRPr="008B1755">
          <w:rPr>
            <w:rStyle w:val="Hypertextovodkaz"/>
            <w:rFonts w:eastAsia="SimSun" w:cs="Arial"/>
            <w:b/>
            <w:bCs/>
            <w:lang w:val="cs-CZ"/>
          </w:rPr>
          <w:t>Článek 4 odst. 3</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_Toc461400175 \h </w:instrText>
        </w:r>
        <w:r w:rsidR="003627EC" w:rsidRPr="008B1755">
          <w:rPr>
            <w:webHidden/>
            <w:lang w:val="cs-CZ"/>
          </w:rPr>
        </w:r>
        <w:r w:rsidR="003627EC" w:rsidRPr="008B1755">
          <w:rPr>
            <w:webHidden/>
            <w:lang w:val="cs-CZ"/>
          </w:rPr>
          <w:fldChar w:fldCharType="separate"/>
        </w:r>
        <w:r w:rsidR="003627EC" w:rsidRPr="008B1755">
          <w:rPr>
            <w:webHidden/>
            <w:lang w:val="cs-CZ"/>
          </w:rPr>
          <w:t>39</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76" w:history="1">
        <w:r w:rsidR="003627EC" w:rsidRPr="008B1755">
          <w:rPr>
            <w:rStyle w:val="Hypertextovodkaz"/>
            <w:rFonts w:eastAsia="SimSun" w:cs="Arial"/>
            <w:b/>
            <w:bCs/>
            <w:lang w:val="cs-CZ"/>
          </w:rPr>
          <w:t>Článek 4 odst. 4</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_Toc461400176 \h </w:instrText>
        </w:r>
        <w:r w:rsidR="003627EC" w:rsidRPr="008B1755">
          <w:rPr>
            <w:webHidden/>
            <w:lang w:val="cs-CZ"/>
          </w:rPr>
        </w:r>
        <w:r w:rsidR="003627EC" w:rsidRPr="008B1755">
          <w:rPr>
            <w:webHidden/>
            <w:lang w:val="cs-CZ"/>
          </w:rPr>
          <w:fldChar w:fldCharType="separate"/>
        </w:r>
        <w:r w:rsidR="003627EC" w:rsidRPr="008B1755">
          <w:rPr>
            <w:webHidden/>
            <w:lang w:val="cs-CZ"/>
          </w:rPr>
          <w:t>39</w:t>
        </w:r>
        <w:r w:rsidR="003627EC" w:rsidRPr="008B1755">
          <w:rPr>
            <w:webHidden/>
            <w:lang w:val="cs-CZ"/>
          </w:rPr>
          <w:fldChar w:fldCharType="end"/>
        </w:r>
      </w:hyperlink>
    </w:p>
    <w:p w:rsidR="003627EC" w:rsidRPr="008B1755" w:rsidRDefault="00210144">
      <w:pPr>
        <w:pStyle w:val="Obsah1"/>
        <w:rPr>
          <w:rFonts w:asciiTheme="minorHAnsi" w:eastAsiaTheme="minorEastAsia" w:hAnsiTheme="minorHAnsi" w:cstheme="minorBidi"/>
          <w:b w:val="0"/>
          <w:lang w:val="cs-CZ" w:eastAsia="cs-CZ"/>
        </w:rPr>
      </w:pPr>
      <w:hyperlink w:anchor="_Toc461400177" w:history="1">
        <w:r w:rsidR="003627EC" w:rsidRPr="008B1755">
          <w:rPr>
            <w:rStyle w:val="Hypertextovodkaz"/>
            <w:rFonts w:eastAsia="SimSun"/>
            <w:bCs/>
            <w:lang w:val="cs-CZ"/>
          </w:rPr>
          <w:t>Článek 5 Dohled a vymáhání</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_Toc461400177 \h </w:instrText>
        </w:r>
        <w:r w:rsidR="003627EC" w:rsidRPr="008B1755">
          <w:rPr>
            <w:webHidden/>
            <w:lang w:val="cs-CZ"/>
          </w:rPr>
        </w:r>
        <w:r w:rsidR="003627EC" w:rsidRPr="008B1755">
          <w:rPr>
            <w:webHidden/>
            <w:lang w:val="cs-CZ"/>
          </w:rPr>
          <w:fldChar w:fldCharType="separate"/>
        </w:r>
        <w:r w:rsidR="003627EC" w:rsidRPr="008B1755">
          <w:rPr>
            <w:webHidden/>
            <w:lang w:val="cs-CZ"/>
          </w:rPr>
          <w:t>40</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78" w:history="1">
        <w:r w:rsidR="003627EC" w:rsidRPr="008B1755">
          <w:rPr>
            <w:rStyle w:val="Hypertextovodkaz"/>
            <w:rFonts w:eastAsia="SimSun" w:cs="Arial"/>
            <w:b/>
            <w:bCs/>
            <w:lang w:val="cs-CZ"/>
          </w:rPr>
          <w:t>Článek 5 odst. 1</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_Toc461400178 \h </w:instrText>
        </w:r>
        <w:r w:rsidR="003627EC" w:rsidRPr="008B1755">
          <w:rPr>
            <w:webHidden/>
            <w:lang w:val="cs-CZ"/>
          </w:rPr>
        </w:r>
        <w:r w:rsidR="003627EC" w:rsidRPr="008B1755">
          <w:rPr>
            <w:webHidden/>
            <w:lang w:val="cs-CZ"/>
          </w:rPr>
          <w:fldChar w:fldCharType="separate"/>
        </w:r>
        <w:r w:rsidR="003627EC" w:rsidRPr="008B1755">
          <w:rPr>
            <w:webHidden/>
            <w:lang w:val="cs-CZ"/>
          </w:rPr>
          <w:t>40</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79" w:history="1">
        <w:r w:rsidR="003627EC" w:rsidRPr="008B1755">
          <w:rPr>
            <w:rStyle w:val="Hypertextovodkaz"/>
            <w:rFonts w:eastAsia="SimSun" w:cs="Arial"/>
            <w:b/>
            <w:bCs/>
            <w:lang w:val="cs-CZ"/>
          </w:rPr>
          <w:t>Článek 5 odst. 2</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_Toc461400179 \h </w:instrText>
        </w:r>
        <w:r w:rsidR="003627EC" w:rsidRPr="008B1755">
          <w:rPr>
            <w:webHidden/>
            <w:lang w:val="cs-CZ"/>
          </w:rPr>
        </w:r>
        <w:r w:rsidR="003627EC" w:rsidRPr="008B1755">
          <w:rPr>
            <w:webHidden/>
            <w:lang w:val="cs-CZ"/>
          </w:rPr>
          <w:fldChar w:fldCharType="separate"/>
        </w:r>
        <w:r w:rsidR="003627EC" w:rsidRPr="008B1755">
          <w:rPr>
            <w:webHidden/>
            <w:lang w:val="cs-CZ"/>
          </w:rPr>
          <w:t>45</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80" w:history="1">
        <w:r w:rsidR="003627EC" w:rsidRPr="008B1755">
          <w:rPr>
            <w:rStyle w:val="Hypertextovodkaz"/>
            <w:rFonts w:eastAsia="SimSun" w:cs="Arial"/>
            <w:b/>
            <w:bCs/>
            <w:lang w:val="cs-CZ"/>
          </w:rPr>
          <w:t>Článek 5 odst. 3</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_Toc461400180 \h </w:instrText>
        </w:r>
        <w:r w:rsidR="003627EC" w:rsidRPr="008B1755">
          <w:rPr>
            <w:webHidden/>
            <w:lang w:val="cs-CZ"/>
          </w:rPr>
        </w:r>
        <w:r w:rsidR="003627EC" w:rsidRPr="008B1755">
          <w:rPr>
            <w:webHidden/>
            <w:lang w:val="cs-CZ"/>
          </w:rPr>
          <w:fldChar w:fldCharType="separate"/>
        </w:r>
        <w:r w:rsidR="003627EC" w:rsidRPr="008B1755">
          <w:rPr>
            <w:webHidden/>
            <w:lang w:val="cs-CZ"/>
          </w:rPr>
          <w:t>46</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81" w:history="1">
        <w:r w:rsidR="003627EC" w:rsidRPr="008B1755">
          <w:rPr>
            <w:rStyle w:val="Hypertextovodkaz"/>
            <w:rFonts w:eastAsia="SimSun" w:cs="Arial"/>
            <w:b/>
            <w:bCs/>
            <w:lang w:val="cs-CZ"/>
          </w:rPr>
          <w:t>Článek 5 odst. 4</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_Toc461400181 \h </w:instrText>
        </w:r>
        <w:r w:rsidR="003627EC" w:rsidRPr="008B1755">
          <w:rPr>
            <w:webHidden/>
            <w:lang w:val="cs-CZ"/>
          </w:rPr>
        </w:r>
        <w:r w:rsidR="003627EC" w:rsidRPr="008B1755">
          <w:rPr>
            <w:webHidden/>
            <w:lang w:val="cs-CZ"/>
          </w:rPr>
          <w:fldChar w:fldCharType="separate"/>
        </w:r>
        <w:r w:rsidR="003627EC" w:rsidRPr="008B1755">
          <w:rPr>
            <w:webHidden/>
            <w:lang w:val="cs-CZ"/>
          </w:rPr>
          <w:t>46</w:t>
        </w:r>
        <w:r w:rsidR="003627EC" w:rsidRPr="008B1755">
          <w:rPr>
            <w:webHidden/>
            <w:lang w:val="cs-CZ"/>
          </w:rPr>
          <w:fldChar w:fldCharType="end"/>
        </w:r>
      </w:hyperlink>
    </w:p>
    <w:p w:rsidR="003627EC" w:rsidRPr="008B1755" w:rsidRDefault="00210144">
      <w:pPr>
        <w:pStyle w:val="Obsah1"/>
        <w:rPr>
          <w:rFonts w:asciiTheme="minorHAnsi" w:eastAsiaTheme="minorEastAsia" w:hAnsiTheme="minorHAnsi" w:cstheme="minorBidi"/>
          <w:b w:val="0"/>
          <w:lang w:val="cs-CZ" w:eastAsia="cs-CZ"/>
        </w:rPr>
      </w:pPr>
      <w:hyperlink w:anchor="_Toc461400182" w:history="1">
        <w:r w:rsidR="003627EC" w:rsidRPr="008B1755">
          <w:rPr>
            <w:rStyle w:val="Hypertextovodkaz"/>
            <w:rFonts w:eastAsia="SimSun"/>
            <w:bCs/>
            <w:lang w:val="cs-CZ"/>
          </w:rPr>
          <w:t>Článek 6 Sankce</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_Toc461400182 \h </w:instrText>
        </w:r>
        <w:r w:rsidR="003627EC" w:rsidRPr="008B1755">
          <w:rPr>
            <w:webHidden/>
            <w:lang w:val="cs-CZ"/>
          </w:rPr>
        </w:r>
        <w:r w:rsidR="003627EC" w:rsidRPr="008B1755">
          <w:rPr>
            <w:webHidden/>
            <w:lang w:val="cs-CZ"/>
          </w:rPr>
          <w:fldChar w:fldCharType="separate"/>
        </w:r>
        <w:r w:rsidR="003627EC" w:rsidRPr="008B1755">
          <w:rPr>
            <w:webHidden/>
            <w:lang w:val="cs-CZ"/>
          </w:rPr>
          <w:t>47</w:t>
        </w:r>
        <w:r w:rsidR="003627EC" w:rsidRPr="008B1755">
          <w:rPr>
            <w:webHidden/>
            <w:lang w:val="cs-CZ"/>
          </w:rPr>
          <w:fldChar w:fldCharType="end"/>
        </w:r>
      </w:hyperlink>
    </w:p>
    <w:p w:rsidR="003627EC" w:rsidRPr="008B1755" w:rsidRDefault="00210144">
      <w:pPr>
        <w:pStyle w:val="Obsah1"/>
        <w:rPr>
          <w:rFonts w:asciiTheme="minorHAnsi" w:eastAsiaTheme="minorEastAsia" w:hAnsiTheme="minorHAnsi" w:cstheme="minorBidi"/>
          <w:b w:val="0"/>
          <w:lang w:val="cs-CZ" w:eastAsia="cs-CZ"/>
        </w:rPr>
      </w:pPr>
      <w:hyperlink w:anchor="_Toc461400183" w:history="1">
        <w:r w:rsidR="003627EC" w:rsidRPr="008B1755">
          <w:rPr>
            <w:rStyle w:val="Hypertextovodkaz"/>
            <w:lang w:val="cs-CZ"/>
          </w:rPr>
          <w:t>Článek 10  Vstup v platnost a přechodná ustanovení</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_Toc461400183 \h </w:instrText>
        </w:r>
        <w:r w:rsidR="003627EC" w:rsidRPr="008B1755">
          <w:rPr>
            <w:webHidden/>
            <w:lang w:val="cs-CZ"/>
          </w:rPr>
        </w:r>
        <w:r w:rsidR="003627EC" w:rsidRPr="008B1755">
          <w:rPr>
            <w:webHidden/>
            <w:lang w:val="cs-CZ"/>
          </w:rPr>
          <w:fldChar w:fldCharType="separate"/>
        </w:r>
        <w:r w:rsidR="003627EC" w:rsidRPr="008B1755">
          <w:rPr>
            <w:webHidden/>
            <w:lang w:val="cs-CZ"/>
          </w:rPr>
          <w:t>47</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84" w:history="1">
        <w:r w:rsidR="003627EC" w:rsidRPr="008B1755">
          <w:rPr>
            <w:rStyle w:val="Hypertextovodkaz"/>
            <w:rFonts w:eastAsia="SimSun" w:cs="Arial"/>
            <w:b/>
            <w:bCs/>
            <w:lang w:val="cs-CZ"/>
          </w:rPr>
          <w:t>Článek 10 odst. 1</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_Toc461400184 \h </w:instrText>
        </w:r>
        <w:r w:rsidR="003627EC" w:rsidRPr="008B1755">
          <w:rPr>
            <w:webHidden/>
            <w:lang w:val="cs-CZ"/>
          </w:rPr>
        </w:r>
        <w:r w:rsidR="003627EC" w:rsidRPr="008B1755">
          <w:rPr>
            <w:webHidden/>
            <w:lang w:val="cs-CZ"/>
          </w:rPr>
          <w:fldChar w:fldCharType="separate"/>
        </w:r>
        <w:r w:rsidR="003627EC" w:rsidRPr="008B1755">
          <w:rPr>
            <w:webHidden/>
            <w:lang w:val="cs-CZ"/>
          </w:rPr>
          <w:t>47</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85" w:history="1">
        <w:r w:rsidR="003627EC" w:rsidRPr="008B1755">
          <w:rPr>
            <w:rStyle w:val="Hypertextovodkaz"/>
            <w:rFonts w:eastAsia="SimSun" w:cs="Arial"/>
            <w:b/>
            <w:bCs/>
            <w:lang w:val="cs-CZ"/>
          </w:rPr>
          <w:t>Článek 10 odst. 2</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_Toc461400185 \h </w:instrText>
        </w:r>
        <w:r w:rsidR="003627EC" w:rsidRPr="008B1755">
          <w:rPr>
            <w:webHidden/>
            <w:lang w:val="cs-CZ"/>
          </w:rPr>
        </w:r>
        <w:r w:rsidR="003627EC" w:rsidRPr="008B1755">
          <w:rPr>
            <w:webHidden/>
            <w:lang w:val="cs-CZ"/>
          </w:rPr>
          <w:fldChar w:fldCharType="separate"/>
        </w:r>
        <w:r w:rsidR="003627EC" w:rsidRPr="008B1755">
          <w:rPr>
            <w:webHidden/>
            <w:lang w:val="cs-CZ"/>
          </w:rPr>
          <w:t>47</w:t>
        </w:r>
        <w:r w:rsidR="003627EC" w:rsidRPr="008B1755">
          <w:rPr>
            <w:webHidden/>
            <w:lang w:val="cs-CZ"/>
          </w:rPr>
          <w:fldChar w:fldCharType="end"/>
        </w:r>
      </w:hyperlink>
    </w:p>
    <w:p w:rsidR="003627EC" w:rsidRPr="008B1755" w:rsidRDefault="00210144">
      <w:pPr>
        <w:pStyle w:val="Obsah2"/>
        <w:rPr>
          <w:rFonts w:asciiTheme="minorHAnsi" w:eastAsiaTheme="minorEastAsia" w:hAnsiTheme="minorHAnsi" w:cstheme="minorBidi"/>
          <w:lang w:val="cs-CZ" w:eastAsia="cs-CZ"/>
        </w:rPr>
      </w:pPr>
      <w:hyperlink w:anchor="_Toc461400186" w:history="1">
        <w:r w:rsidR="003627EC" w:rsidRPr="008B1755">
          <w:rPr>
            <w:rStyle w:val="Hypertextovodkaz"/>
            <w:rFonts w:eastAsia="SimSun" w:cs="Arial"/>
            <w:b/>
            <w:bCs/>
            <w:lang w:val="cs-CZ"/>
          </w:rPr>
          <w:t>Článek 10 odst. 3</w:t>
        </w:r>
        <w:r w:rsidR="003627EC" w:rsidRPr="008B1755">
          <w:rPr>
            <w:webHidden/>
            <w:lang w:val="cs-CZ"/>
          </w:rPr>
          <w:tab/>
        </w:r>
        <w:r w:rsidR="003627EC" w:rsidRPr="008B1755">
          <w:rPr>
            <w:webHidden/>
            <w:lang w:val="cs-CZ"/>
          </w:rPr>
          <w:fldChar w:fldCharType="begin"/>
        </w:r>
        <w:r w:rsidR="003627EC" w:rsidRPr="008B1755">
          <w:rPr>
            <w:webHidden/>
            <w:lang w:val="cs-CZ"/>
          </w:rPr>
          <w:instrText xml:space="preserve"> PAGEREF _Toc461400186 \h </w:instrText>
        </w:r>
        <w:r w:rsidR="003627EC" w:rsidRPr="008B1755">
          <w:rPr>
            <w:webHidden/>
            <w:lang w:val="cs-CZ"/>
          </w:rPr>
        </w:r>
        <w:r w:rsidR="003627EC" w:rsidRPr="008B1755">
          <w:rPr>
            <w:webHidden/>
            <w:lang w:val="cs-CZ"/>
          </w:rPr>
          <w:fldChar w:fldCharType="separate"/>
        </w:r>
        <w:r w:rsidR="003627EC" w:rsidRPr="008B1755">
          <w:rPr>
            <w:webHidden/>
            <w:lang w:val="cs-CZ"/>
          </w:rPr>
          <w:t>48</w:t>
        </w:r>
        <w:r w:rsidR="003627EC" w:rsidRPr="008B1755">
          <w:rPr>
            <w:webHidden/>
            <w:lang w:val="cs-CZ"/>
          </w:rPr>
          <w:fldChar w:fldCharType="end"/>
        </w:r>
      </w:hyperlink>
    </w:p>
    <w:p w:rsidR="00BE1665" w:rsidRPr="008B1755" w:rsidRDefault="00CA269E" w:rsidP="00BE1665">
      <w:pPr>
        <w:pStyle w:val="Obsah2"/>
        <w:ind w:left="0"/>
        <w:rPr>
          <w:noProof w:val="0"/>
          <w:lang w:val="cs-CZ"/>
        </w:rPr>
      </w:pPr>
      <w:r w:rsidRPr="008B1755">
        <w:rPr>
          <w:b/>
          <w:noProof w:val="0"/>
          <w:lang w:val="cs-CZ"/>
        </w:rPr>
        <w:fldChar w:fldCharType="end"/>
      </w:r>
    </w:p>
    <w:p w:rsidR="004B1C9E" w:rsidRPr="008B1755" w:rsidRDefault="0081714A">
      <w:pPr>
        <w:jc w:val="left"/>
        <w:rPr>
          <w:lang w:val="cs-CZ"/>
        </w:rPr>
      </w:pPr>
      <w:r w:rsidRPr="008B1755">
        <w:rPr>
          <w:lang w:val="cs-CZ"/>
        </w:rPr>
        <w:br w:type="page"/>
      </w:r>
      <w:bookmarkEnd w:id="0"/>
    </w:p>
    <w:p w:rsidR="00B32F13" w:rsidRPr="008B1755" w:rsidRDefault="001D46DD" w:rsidP="003978F1">
      <w:pPr>
        <w:pStyle w:val="Nadpis1"/>
        <w:jc w:val="left"/>
        <w:rPr>
          <w:lang w:val="cs-CZ"/>
        </w:rPr>
      </w:pPr>
      <w:bookmarkStart w:id="1" w:name="_Toc461400152"/>
      <w:r w:rsidRPr="008B1755">
        <w:rPr>
          <w:lang w:val="cs-CZ"/>
        </w:rPr>
        <w:t>Východiska a obecná hlediska</w:t>
      </w:r>
      <w:bookmarkEnd w:id="1"/>
    </w:p>
    <w:p w:rsidR="00DD186C" w:rsidRPr="008B1755" w:rsidRDefault="001D46DD" w:rsidP="0038751B">
      <w:pPr>
        <w:pStyle w:val="Odstavecseseznamem"/>
        <w:numPr>
          <w:ilvl w:val="0"/>
          <w:numId w:val="2"/>
        </w:numPr>
        <w:spacing w:after="120"/>
        <w:ind w:left="357" w:hanging="357"/>
        <w:contextualSpacing w:val="0"/>
        <w:rPr>
          <w:lang w:val="cs-CZ"/>
        </w:rPr>
      </w:pPr>
      <w:r w:rsidRPr="008B1755">
        <w:rPr>
          <w:lang w:val="cs-CZ"/>
        </w:rPr>
        <w:t>Tyto pokyny</w:t>
      </w:r>
      <w:r w:rsidR="00030F14" w:rsidRPr="008B1755">
        <w:rPr>
          <w:lang w:val="cs-CZ"/>
        </w:rPr>
        <w:t xml:space="preserve"> </w:t>
      </w:r>
      <w:r w:rsidR="00330C9A" w:rsidRPr="008B1755">
        <w:rPr>
          <w:lang w:val="cs-CZ"/>
        </w:rPr>
        <w:t xml:space="preserve">BEREC </w:t>
      </w:r>
      <w:r w:rsidRPr="008B1755">
        <w:rPr>
          <w:lang w:val="cs-CZ"/>
        </w:rPr>
        <w:t xml:space="preserve">vypracované v souladu s článkem </w:t>
      </w:r>
      <w:r w:rsidR="00751F60" w:rsidRPr="008B1755">
        <w:rPr>
          <w:lang w:val="cs-CZ"/>
        </w:rPr>
        <w:t>5</w:t>
      </w:r>
      <w:r w:rsidRPr="008B1755">
        <w:rPr>
          <w:lang w:val="cs-CZ"/>
        </w:rPr>
        <w:t xml:space="preserve"> odst. </w:t>
      </w:r>
      <w:r w:rsidR="00751F60" w:rsidRPr="008B1755">
        <w:rPr>
          <w:lang w:val="cs-CZ"/>
        </w:rPr>
        <w:t>3</w:t>
      </w:r>
      <w:r w:rsidR="00DE08D6" w:rsidRPr="008B1755">
        <w:rPr>
          <w:lang w:val="cs-CZ"/>
        </w:rPr>
        <w:t xml:space="preserve"> </w:t>
      </w:r>
      <w:r w:rsidRPr="008B1755">
        <w:rPr>
          <w:lang w:val="cs-CZ"/>
        </w:rPr>
        <w:t>Nařízení</w:t>
      </w:r>
      <w:r w:rsidR="00613E30" w:rsidRPr="008B1755">
        <w:rPr>
          <w:rStyle w:val="Znakapoznpodarou"/>
          <w:lang w:val="cs-CZ"/>
        </w:rPr>
        <w:footnoteReference w:id="2"/>
      </w:r>
      <w:r w:rsidR="00751F60" w:rsidRPr="008B1755">
        <w:rPr>
          <w:lang w:val="cs-CZ"/>
        </w:rPr>
        <w:t xml:space="preserve"> </w:t>
      </w:r>
      <w:r w:rsidR="00B3671F" w:rsidRPr="008B1755">
        <w:rPr>
          <w:lang w:val="cs-CZ"/>
        </w:rPr>
        <w:t xml:space="preserve">jsou </w:t>
      </w:r>
      <w:r w:rsidR="005E5223">
        <w:rPr>
          <w:lang w:val="cs-CZ"/>
        </w:rPr>
        <w:t xml:space="preserve">koncipovány tak, aby </w:t>
      </w:r>
      <w:r w:rsidR="00B3671F" w:rsidRPr="008B1755">
        <w:rPr>
          <w:lang w:val="cs-CZ"/>
        </w:rPr>
        <w:t>poskyt</w:t>
      </w:r>
      <w:r w:rsidR="005E5223">
        <w:rPr>
          <w:lang w:val="cs-CZ"/>
        </w:rPr>
        <w:t>ly</w:t>
      </w:r>
      <w:r w:rsidR="00B3671F" w:rsidRPr="008B1755">
        <w:rPr>
          <w:lang w:val="cs-CZ"/>
        </w:rPr>
        <w:t xml:space="preserve"> návod k provádění povinností vnitrostátních regulačních orgánů</w:t>
      </w:r>
      <w:r w:rsidR="00DD186C" w:rsidRPr="008B1755">
        <w:rPr>
          <w:lang w:val="cs-CZ"/>
        </w:rPr>
        <w:t xml:space="preserve">. </w:t>
      </w:r>
      <w:r w:rsidR="005E5223">
        <w:rPr>
          <w:lang w:val="cs-CZ"/>
        </w:rPr>
        <w:t>Konkrétně</w:t>
      </w:r>
      <w:r w:rsidR="005E5223" w:rsidRPr="008B1755">
        <w:rPr>
          <w:lang w:val="cs-CZ"/>
        </w:rPr>
        <w:t xml:space="preserve"> </w:t>
      </w:r>
      <w:r w:rsidR="00B3671F" w:rsidRPr="008B1755">
        <w:rPr>
          <w:lang w:val="cs-CZ"/>
        </w:rPr>
        <w:t xml:space="preserve">sem patří povinnost důkladně monitorovat a zajistit dodržování pravidel </w:t>
      </w:r>
      <w:r w:rsidR="009847D5" w:rsidRPr="008B1755">
        <w:rPr>
          <w:rStyle w:val="BERECChar"/>
          <w:lang w:val="cs-CZ"/>
        </w:rPr>
        <w:t>rovného a nediskriminačního nakládání s provozem při poskytování služeb přístupu k internetu a související práv</w:t>
      </w:r>
      <w:r w:rsidR="00AC7734">
        <w:rPr>
          <w:rStyle w:val="BERECChar"/>
          <w:lang w:val="cs-CZ"/>
        </w:rPr>
        <w:t>a</w:t>
      </w:r>
      <w:r w:rsidR="009847D5" w:rsidRPr="008B1755">
        <w:rPr>
          <w:rStyle w:val="BERECChar"/>
          <w:lang w:val="cs-CZ"/>
        </w:rPr>
        <w:t xml:space="preserve"> koncových uživatelů </w:t>
      </w:r>
      <w:r w:rsidR="00B3671F" w:rsidRPr="008B1755">
        <w:rPr>
          <w:lang w:val="cs-CZ"/>
        </w:rPr>
        <w:t>stanoven</w:t>
      </w:r>
      <w:r w:rsidR="00AC7734">
        <w:rPr>
          <w:lang w:val="cs-CZ"/>
        </w:rPr>
        <w:t>á</w:t>
      </w:r>
      <w:r w:rsidR="00B3671F" w:rsidRPr="008B1755">
        <w:rPr>
          <w:lang w:val="cs-CZ"/>
        </w:rPr>
        <w:t xml:space="preserve"> v článku </w:t>
      </w:r>
      <w:r w:rsidR="002E299D" w:rsidRPr="008B1755">
        <w:rPr>
          <w:lang w:val="cs-CZ"/>
        </w:rPr>
        <w:t xml:space="preserve">3 a 4. </w:t>
      </w:r>
      <w:r w:rsidR="00B3671F" w:rsidRPr="008B1755">
        <w:rPr>
          <w:lang w:val="cs-CZ"/>
        </w:rPr>
        <w:t>Tyto Pokyny</w:t>
      </w:r>
      <w:r w:rsidR="00C35A2D" w:rsidRPr="008B1755">
        <w:rPr>
          <w:lang w:val="cs-CZ"/>
        </w:rPr>
        <w:t xml:space="preserve"> </w:t>
      </w:r>
      <w:r w:rsidR="00B3671F" w:rsidRPr="008B1755">
        <w:rPr>
          <w:lang w:val="cs-CZ"/>
        </w:rPr>
        <w:t>představují doporučení pro vnitrostátní regulační orgány</w:t>
      </w:r>
      <w:r w:rsidR="00C35A2D" w:rsidRPr="008B1755">
        <w:rPr>
          <w:lang w:val="cs-CZ"/>
        </w:rPr>
        <w:t xml:space="preserve">, </w:t>
      </w:r>
      <w:r w:rsidR="00B3671F" w:rsidRPr="008B1755">
        <w:rPr>
          <w:lang w:val="cs-CZ"/>
        </w:rPr>
        <w:t xml:space="preserve">přičemž vnitrostátní regulační orgány by měly k v maximální míře </w:t>
      </w:r>
      <w:r w:rsidR="00AC7734">
        <w:rPr>
          <w:lang w:val="cs-CZ"/>
        </w:rPr>
        <w:t xml:space="preserve">k </w:t>
      </w:r>
      <w:r w:rsidR="00B3671F" w:rsidRPr="008B1755">
        <w:rPr>
          <w:lang w:val="cs-CZ"/>
        </w:rPr>
        <w:t>Pokynům přihlížet</w:t>
      </w:r>
      <w:r w:rsidR="00207776" w:rsidRPr="008B1755">
        <w:rPr>
          <w:lang w:val="cs-CZ"/>
        </w:rPr>
        <w:t>.</w:t>
      </w:r>
      <w:r w:rsidR="009D65B7" w:rsidRPr="008B1755">
        <w:rPr>
          <w:rStyle w:val="Znakapoznpodarou"/>
          <w:lang w:val="cs-CZ"/>
        </w:rPr>
        <w:footnoteReference w:id="3"/>
      </w:r>
      <w:r w:rsidR="009D65B7" w:rsidRPr="008B1755">
        <w:rPr>
          <w:lang w:val="cs-CZ"/>
        </w:rPr>
        <w:t xml:space="preserve"> </w:t>
      </w:r>
      <w:r w:rsidR="00B3671F" w:rsidRPr="008B1755">
        <w:rPr>
          <w:lang w:val="cs-CZ"/>
        </w:rPr>
        <w:t>Pokyny by měly přispět k </w:t>
      </w:r>
      <w:r w:rsidR="005E5223">
        <w:rPr>
          <w:lang w:val="cs-CZ"/>
        </w:rPr>
        <w:t>jednotnému</w:t>
      </w:r>
      <w:r w:rsidR="005E5223" w:rsidRPr="008B1755">
        <w:rPr>
          <w:lang w:val="cs-CZ"/>
        </w:rPr>
        <w:t xml:space="preserve"> </w:t>
      </w:r>
      <w:r w:rsidR="00B3671F" w:rsidRPr="008B1755">
        <w:rPr>
          <w:lang w:val="cs-CZ"/>
        </w:rPr>
        <w:t xml:space="preserve">uplatňování </w:t>
      </w:r>
      <w:r w:rsidRPr="008B1755">
        <w:rPr>
          <w:lang w:val="cs-CZ"/>
        </w:rPr>
        <w:t>Nařízení</w:t>
      </w:r>
      <w:r w:rsidR="00DD186C" w:rsidRPr="008B1755">
        <w:rPr>
          <w:lang w:val="cs-CZ"/>
        </w:rPr>
        <w:t xml:space="preserve">, </w:t>
      </w:r>
      <w:r w:rsidR="00B3671F" w:rsidRPr="008B1755">
        <w:rPr>
          <w:lang w:val="cs-CZ"/>
        </w:rPr>
        <w:t xml:space="preserve">a tím </w:t>
      </w:r>
      <w:r w:rsidR="00B3671F" w:rsidRPr="008B1755">
        <w:rPr>
          <w:rStyle w:val="BERECChar"/>
          <w:lang w:val="cs-CZ"/>
        </w:rPr>
        <w:t>přispívat</w:t>
      </w:r>
      <w:r w:rsidR="00B3671F" w:rsidRPr="008B1755">
        <w:rPr>
          <w:lang w:val="cs-CZ"/>
        </w:rPr>
        <w:t xml:space="preserve"> k regulační jistotě </w:t>
      </w:r>
      <w:r w:rsidR="001E1D1E">
        <w:rPr>
          <w:lang w:val="cs-CZ"/>
        </w:rPr>
        <w:t>dotčených subjektů</w:t>
      </w:r>
      <w:r w:rsidR="00DD186C" w:rsidRPr="008B1755">
        <w:rPr>
          <w:lang w:val="cs-CZ"/>
        </w:rPr>
        <w:t>.</w:t>
      </w:r>
      <w:r w:rsidR="009D65B7" w:rsidRPr="008B1755">
        <w:rPr>
          <w:lang w:val="cs-CZ"/>
        </w:rPr>
        <w:t xml:space="preserve"> </w:t>
      </w:r>
    </w:p>
    <w:p w:rsidR="001D0BBB" w:rsidRDefault="001D0BBB" w:rsidP="00DE2B5C">
      <w:pPr>
        <w:pStyle w:val="Nadpis3"/>
        <w:spacing w:before="360" w:after="120"/>
        <w:rPr>
          <w:lang w:val="cs-CZ"/>
        </w:rPr>
      </w:pPr>
      <w:r w:rsidRPr="008B1755">
        <w:rPr>
          <w:lang w:val="cs-CZ"/>
        </w:rPr>
        <w:t>Terminolog</w:t>
      </w:r>
      <w:r w:rsidR="001D46DD" w:rsidRPr="008B1755">
        <w:rPr>
          <w:lang w:val="cs-CZ"/>
        </w:rPr>
        <w:t>ie</w:t>
      </w:r>
    </w:p>
    <w:p w:rsidR="003B4430" w:rsidRPr="008B1755" w:rsidRDefault="00B3671F" w:rsidP="0038751B">
      <w:pPr>
        <w:pStyle w:val="Odstavecseseznamem"/>
        <w:numPr>
          <w:ilvl w:val="0"/>
          <w:numId w:val="2"/>
        </w:numPr>
        <w:ind w:left="357" w:hanging="357"/>
        <w:contextualSpacing w:val="0"/>
        <w:rPr>
          <w:lang w:val="cs-CZ"/>
        </w:rPr>
      </w:pPr>
      <w:bookmarkStart w:id="2" w:name="_Ref449466952"/>
      <w:r w:rsidRPr="008B1755">
        <w:rPr>
          <w:lang w:val="cs-CZ"/>
        </w:rPr>
        <w:t xml:space="preserve">Pro potřeby </w:t>
      </w:r>
      <w:r w:rsidR="001D46DD" w:rsidRPr="008B1755">
        <w:rPr>
          <w:lang w:val="cs-CZ"/>
        </w:rPr>
        <w:t>těchto Pokynů</w:t>
      </w:r>
      <w:r w:rsidRPr="008B1755">
        <w:rPr>
          <w:lang w:val="cs-CZ"/>
        </w:rPr>
        <w:t xml:space="preserve"> použil </w:t>
      </w:r>
      <w:r w:rsidR="00115507" w:rsidRPr="008B1755">
        <w:rPr>
          <w:lang w:val="cs-CZ"/>
        </w:rPr>
        <w:t xml:space="preserve">BEREC </w:t>
      </w:r>
      <w:r w:rsidRPr="008B1755">
        <w:rPr>
          <w:lang w:val="cs-CZ"/>
        </w:rPr>
        <w:t xml:space="preserve">pro lepší srozumitelnost následující </w:t>
      </w:r>
      <w:r w:rsidR="001E1D1E">
        <w:rPr>
          <w:lang w:val="cs-CZ"/>
        </w:rPr>
        <w:t>pojmy</w:t>
      </w:r>
      <w:r w:rsidR="00207776" w:rsidRPr="008B1755">
        <w:rPr>
          <w:lang w:val="cs-CZ"/>
        </w:rPr>
        <w:t>.</w:t>
      </w:r>
      <w:r w:rsidR="00AC0AC9" w:rsidRPr="008B1755">
        <w:rPr>
          <w:rStyle w:val="Znakapoznpodarou"/>
          <w:lang w:val="cs-CZ"/>
        </w:rPr>
        <w:footnoteReference w:id="4"/>
      </w:r>
      <w:bookmarkEnd w:id="2"/>
      <w:r w:rsidR="009D65B7" w:rsidRPr="008B1755">
        <w:rPr>
          <w:lang w:val="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071"/>
      </w:tblGrid>
      <w:tr w:rsidR="00B4164F" w:rsidRPr="008B1755" w:rsidTr="006F0EC7">
        <w:tc>
          <w:tcPr>
            <w:tcW w:w="1951" w:type="dxa"/>
            <w:shd w:val="clear" w:color="auto" w:fill="auto"/>
          </w:tcPr>
          <w:p w:rsidR="00B4164F" w:rsidRPr="008B1755" w:rsidRDefault="00BE001A" w:rsidP="006F0EC7">
            <w:pPr>
              <w:spacing w:after="120" w:line="240" w:lineRule="auto"/>
              <w:rPr>
                <w:b/>
                <w:lang w:val="cs-CZ"/>
              </w:rPr>
            </w:pPr>
            <w:r w:rsidRPr="008B1755">
              <w:rPr>
                <w:b/>
                <w:lang w:val="cs-CZ"/>
              </w:rPr>
              <w:t>Aplikace</w:t>
            </w:r>
          </w:p>
          <w:p w:rsidR="00B4164F" w:rsidRPr="008B1755" w:rsidRDefault="00B4164F" w:rsidP="006F0EC7">
            <w:pPr>
              <w:spacing w:after="120" w:line="240" w:lineRule="auto"/>
              <w:rPr>
                <w:lang w:val="cs-CZ"/>
              </w:rPr>
            </w:pPr>
          </w:p>
        </w:tc>
        <w:tc>
          <w:tcPr>
            <w:tcW w:w="7291" w:type="dxa"/>
            <w:shd w:val="clear" w:color="auto" w:fill="auto"/>
          </w:tcPr>
          <w:p w:rsidR="00DB4CFB" w:rsidRPr="008B1755" w:rsidRDefault="00591B5B" w:rsidP="00AC7734">
            <w:pPr>
              <w:spacing w:after="120" w:line="240" w:lineRule="auto"/>
              <w:rPr>
                <w:lang w:val="cs-CZ"/>
              </w:rPr>
            </w:pPr>
            <w:r w:rsidRPr="008B1755">
              <w:rPr>
                <w:lang w:val="cs-CZ"/>
              </w:rPr>
              <w:t xml:space="preserve">V těchto Pokynech používá </w:t>
            </w:r>
            <w:r w:rsidR="00311BDC" w:rsidRPr="008B1755">
              <w:rPr>
                <w:lang w:val="cs-CZ"/>
              </w:rPr>
              <w:t>BEREC</w:t>
            </w:r>
            <w:r w:rsidR="00B4164F" w:rsidRPr="008B1755">
              <w:rPr>
                <w:lang w:val="cs-CZ"/>
              </w:rPr>
              <w:t xml:space="preserve"> </w:t>
            </w:r>
            <w:r w:rsidR="00D2652F">
              <w:rPr>
                <w:lang w:val="cs-CZ"/>
              </w:rPr>
              <w:t>pojem</w:t>
            </w:r>
            <w:r w:rsidRPr="008B1755">
              <w:rPr>
                <w:lang w:val="cs-CZ"/>
              </w:rPr>
              <w:t xml:space="preserve"> </w:t>
            </w:r>
            <w:r w:rsidR="00BE001A" w:rsidRPr="008B1755">
              <w:rPr>
                <w:lang w:val="cs-CZ"/>
              </w:rPr>
              <w:t>„aplikace“</w:t>
            </w:r>
            <w:r w:rsidR="00B4164F" w:rsidRPr="008B1755">
              <w:rPr>
                <w:lang w:val="cs-CZ"/>
              </w:rPr>
              <w:t xml:space="preserve"> </w:t>
            </w:r>
            <w:r w:rsidR="00BE001A" w:rsidRPr="008B1755">
              <w:rPr>
                <w:lang w:val="cs-CZ"/>
              </w:rPr>
              <w:t xml:space="preserve">jako </w:t>
            </w:r>
            <w:r w:rsidR="00AC7734">
              <w:rPr>
                <w:lang w:val="cs-CZ"/>
              </w:rPr>
              <w:t>zkratk</w:t>
            </w:r>
            <w:r w:rsidR="00FF37B9">
              <w:rPr>
                <w:lang w:val="cs-CZ"/>
              </w:rPr>
              <w:t>u</w:t>
            </w:r>
            <w:r w:rsidR="00AC7734">
              <w:rPr>
                <w:lang w:val="cs-CZ"/>
              </w:rPr>
              <w:t xml:space="preserve"> </w:t>
            </w:r>
            <w:r w:rsidR="00BE001A" w:rsidRPr="008B1755">
              <w:rPr>
                <w:lang w:val="cs-CZ"/>
              </w:rPr>
              <w:t xml:space="preserve">pro delší výrazy </w:t>
            </w:r>
            <w:r w:rsidR="005E5223">
              <w:rPr>
                <w:lang w:val="cs-CZ"/>
              </w:rPr>
              <w:t> použité v</w:t>
            </w:r>
            <w:r w:rsidR="005E5223" w:rsidRPr="008B1755">
              <w:rPr>
                <w:lang w:val="cs-CZ"/>
              </w:rPr>
              <w:t> </w:t>
            </w:r>
            <w:r w:rsidR="00BE001A" w:rsidRPr="008B1755">
              <w:rPr>
                <w:lang w:val="cs-CZ"/>
              </w:rPr>
              <w:t>Nařízení, jako např. „aplikace a služby“</w:t>
            </w:r>
            <w:r w:rsidR="00B4164F" w:rsidRPr="008B1755">
              <w:rPr>
                <w:lang w:val="cs-CZ"/>
              </w:rPr>
              <w:t xml:space="preserve">, </w:t>
            </w:r>
            <w:r w:rsidR="00BE001A" w:rsidRPr="008B1755">
              <w:rPr>
                <w:lang w:val="cs-CZ"/>
              </w:rPr>
              <w:t>„obsah</w:t>
            </w:r>
            <w:r w:rsidR="00B4164F" w:rsidRPr="008B1755">
              <w:rPr>
                <w:lang w:val="cs-CZ"/>
              </w:rPr>
              <w:t xml:space="preserve">, </w:t>
            </w:r>
            <w:r w:rsidR="00BE001A" w:rsidRPr="008B1755">
              <w:rPr>
                <w:lang w:val="cs-CZ"/>
              </w:rPr>
              <w:t>aplikace a služba“</w:t>
            </w:r>
            <w:r w:rsidR="00B4164F" w:rsidRPr="008B1755">
              <w:rPr>
                <w:lang w:val="cs-CZ"/>
              </w:rPr>
              <w:t xml:space="preserve">. </w:t>
            </w:r>
          </w:p>
        </w:tc>
      </w:tr>
      <w:tr w:rsidR="0076189E" w:rsidRPr="008B1755" w:rsidTr="006F0EC7">
        <w:tc>
          <w:tcPr>
            <w:tcW w:w="1951" w:type="dxa"/>
            <w:shd w:val="clear" w:color="auto" w:fill="auto"/>
          </w:tcPr>
          <w:p w:rsidR="0076189E" w:rsidRPr="008B1755" w:rsidRDefault="001E1D1E" w:rsidP="00BE001A">
            <w:pPr>
              <w:spacing w:after="120" w:line="240" w:lineRule="auto"/>
              <w:rPr>
                <w:b/>
                <w:lang w:val="cs-CZ"/>
              </w:rPr>
            </w:pPr>
            <w:r>
              <w:rPr>
                <w:b/>
                <w:lang w:val="cs-CZ"/>
              </w:rPr>
              <w:t>P</w:t>
            </w:r>
            <w:r w:rsidR="004C4F26" w:rsidRPr="008B1755">
              <w:rPr>
                <w:b/>
                <w:lang w:val="cs-CZ"/>
              </w:rPr>
              <w:t>oskytovatel obsahu a aplikací</w:t>
            </w:r>
            <w:r w:rsidR="0076189E" w:rsidRPr="008B1755">
              <w:rPr>
                <w:b/>
                <w:lang w:val="cs-CZ"/>
              </w:rPr>
              <w:t xml:space="preserve"> (</w:t>
            </w:r>
            <w:r w:rsidR="00BE001A" w:rsidRPr="008B1755">
              <w:rPr>
                <w:b/>
                <w:lang w:val="cs-CZ"/>
              </w:rPr>
              <w:t>Poskytovatel obsahu a aplikací</w:t>
            </w:r>
            <w:r w:rsidR="0076189E" w:rsidRPr="008B1755">
              <w:rPr>
                <w:b/>
                <w:lang w:val="cs-CZ"/>
              </w:rPr>
              <w:t>)</w:t>
            </w:r>
          </w:p>
        </w:tc>
        <w:tc>
          <w:tcPr>
            <w:tcW w:w="7291" w:type="dxa"/>
            <w:shd w:val="clear" w:color="auto" w:fill="auto"/>
          </w:tcPr>
          <w:p w:rsidR="0076189E" w:rsidRPr="008B1755" w:rsidRDefault="00BE001A" w:rsidP="00BE001A">
            <w:pPr>
              <w:spacing w:after="120" w:line="240" w:lineRule="auto"/>
              <w:rPr>
                <w:lang w:val="cs-CZ"/>
              </w:rPr>
            </w:pPr>
            <w:r w:rsidRPr="008B1755">
              <w:rPr>
                <w:lang w:val="cs-CZ"/>
              </w:rPr>
              <w:t>Poskytovatelé obsahu a aplikací</w:t>
            </w:r>
            <w:r w:rsidR="001E1D1E">
              <w:rPr>
                <w:lang w:val="cs-CZ"/>
              </w:rPr>
              <w:t xml:space="preserve"> (dále jen CAPs)</w:t>
            </w:r>
            <w:r w:rsidRPr="008B1755">
              <w:rPr>
                <w:lang w:val="cs-CZ"/>
              </w:rPr>
              <w:t xml:space="preserve"> vytvářejí obsah </w:t>
            </w:r>
            <w:r w:rsidR="0076189E" w:rsidRPr="008B1755">
              <w:rPr>
                <w:lang w:val="cs-CZ"/>
              </w:rPr>
              <w:t>(</w:t>
            </w:r>
            <w:r w:rsidRPr="008B1755">
              <w:rPr>
                <w:lang w:val="cs-CZ"/>
              </w:rPr>
              <w:t>např.</w:t>
            </w:r>
            <w:r w:rsidR="0076189E" w:rsidRPr="008B1755">
              <w:rPr>
                <w:lang w:val="cs-CZ"/>
              </w:rPr>
              <w:t xml:space="preserve"> web</w:t>
            </w:r>
            <w:r w:rsidRPr="008B1755">
              <w:rPr>
                <w:lang w:val="cs-CZ"/>
              </w:rPr>
              <w:t>ové stránky</w:t>
            </w:r>
            <w:r w:rsidR="0076189E" w:rsidRPr="008B1755">
              <w:rPr>
                <w:lang w:val="cs-CZ"/>
              </w:rPr>
              <w:t>, blog</w:t>
            </w:r>
            <w:r w:rsidRPr="008B1755">
              <w:rPr>
                <w:lang w:val="cs-CZ"/>
              </w:rPr>
              <w:t>y</w:t>
            </w:r>
            <w:r w:rsidR="0076189E" w:rsidRPr="008B1755">
              <w:rPr>
                <w:lang w:val="cs-CZ"/>
              </w:rPr>
              <w:t xml:space="preserve">, video) </w:t>
            </w:r>
            <w:r w:rsidRPr="008B1755">
              <w:rPr>
                <w:lang w:val="cs-CZ"/>
              </w:rPr>
              <w:t>a/nebo</w:t>
            </w:r>
            <w:r w:rsidR="0076189E" w:rsidRPr="008B1755">
              <w:rPr>
                <w:lang w:val="cs-CZ"/>
              </w:rPr>
              <w:t xml:space="preserve"> </w:t>
            </w:r>
            <w:r w:rsidRPr="008B1755">
              <w:rPr>
                <w:lang w:val="cs-CZ"/>
              </w:rPr>
              <w:t xml:space="preserve">aplikace </w:t>
            </w:r>
            <w:r w:rsidR="0076189E" w:rsidRPr="008B1755">
              <w:rPr>
                <w:lang w:val="cs-CZ"/>
              </w:rPr>
              <w:t>(</w:t>
            </w:r>
            <w:r w:rsidRPr="008B1755">
              <w:rPr>
                <w:lang w:val="cs-CZ"/>
              </w:rPr>
              <w:t>např.</w:t>
            </w:r>
            <w:r w:rsidR="0076189E" w:rsidRPr="008B1755">
              <w:rPr>
                <w:lang w:val="cs-CZ"/>
              </w:rPr>
              <w:t xml:space="preserve"> </w:t>
            </w:r>
            <w:r w:rsidRPr="008B1755">
              <w:rPr>
                <w:lang w:val="cs-CZ"/>
              </w:rPr>
              <w:t>vyhledávače</w:t>
            </w:r>
            <w:r w:rsidR="0076189E" w:rsidRPr="008B1755">
              <w:rPr>
                <w:lang w:val="cs-CZ"/>
              </w:rPr>
              <w:t xml:space="preserve">, </w:t>
            </w:r>
            <w:r w:rsidRPr="008B1755">
              <w:rPr>
                <w:lang w:val="cs-CZ"/>
              </w:rPr>
              <w:t>aplikace přenosu hlasu pomocí IP (</w:t>
            </w:r>
            <w:r w:rsidR="0076189E" w:rsidRPr="008B1755">
              <w:rPr>
                <w:lang w:val="cs-CZ"/>
              </w:rPr>
              <w:t>VoIP</w:t>
            </w:r>
            <w:r w:rsidRPr="008B1755">
              <w:rPr>
                <w:lang w:val="cs-CZ"/>
              </w:rPr>
              <w:t>)</w:t>
            </w:r>
            <w:r w:rsidR="0076189E" w:rsidRPr="008B1755">
              <w:rPr>
                <w:lang w:val="cs-CZ"/>
              </w:rPr>
              <w:t xml:space="preserve">) </w:t>
            </w:r>
            <w:r w:rsidRPr="008B1755">
              <w:rPr>
                <w:lang w:val="cs-CZ"/>
              </w:rPr>
              <w:t>a/nebo</w:t>
            </w:r>
            <w:r w:rsidR="00EA11F8" w:rsidRPr="008B1755">
              <w:rPr>
                <w:lang w:val="cs-CZ"/>
              </w:rPr>
              <w:t xml:space="preserve"> </w:t>
            </w:r>
            <w:r w:rsidRPr="008B1755">
              <w:rPr>
                <w:lang w:val="cs-CZ"/>
              </w:rPr>
              <w:t>služby dostupné na internetu</w:t>
            </w:r>
            <w:r w:rsidR="0076189E" w:rsidRPr="008B1755">
              <w:rPr>
                <w:lang w:val="cs-CZ"/>
              </w:rPr>
              <w:t xml:space="preserve">. </w:t>
            </w:r>
            <w:r w:rsidR="005E5223">
              <w:rPr>
                <w:lang w:val="cs-CZ"/>
              </w:rPr>
              <w:t>CAPs</w:t>
            </w:r>
            <w:r w:rsidRPr="008B1755">
              <w:rPr>
                <w:lang w:val="cs-CZ"/>
              </w:rPr>
              <w:t xml:space="preserve"> mohou rovněž vytvářet obsah</w:t>
            </w:r>
            <w:r w:rsidR="00EA11F8" w:rsidRPr="008B1755">
              <w:rPr>
                <w:lang w:val="cs-CZ"/>
              </w:rPr>
              <w:t xml:space="preserve">, </w:t>
            </w:r>
            <w:r w:rsidRPr="008B1755">
              <w:rPr>
                <w:lang w:val="cs-CZ"/>
              </w:rPr>
              <w:t>služby a aplikace dostupné prostřednictvím specializovaných služeb</w:t>
            </w:r>
            <w:r w:rsidR="0076189E" w:rsidRPr="008B1755">
              <w:rPr>
                <w:lang w:val="cs-CZ"/>
              </w:rPr>
              <w:t>.</w:t>
            </w:r>
          </w:p>
        </w:tc>
      </w:tr>
      <w:tr w:rsidR="0076189E" w:rsidRPr="008B1755" w:rsidTr="006F0EC7">
        <w:tc>
          <w:tcPr>
            <w:tcW w:w="1951" w:type="dxa"/>
            <w:shd w:val="clear" w:color="auto" w:fill="auto"/>
          </w:tcPr>
          <w:p w:rsidR="0076189E" w:rsidRPr="008B1755" w:rsidRDefault="00143CE5" w:rsidP="00FF37B9">
            <w:pPr>
              <w:spacing w:after="120" w:line="240" w:lineRule="auto"/>
              <w:rPr>
                <w:b/>
                <w:lang w:val="cs-CZ"/>
              </w:rPr>
            </w:pPr>
            <w:r>
              <w:rPr>
                <w:b/>
                <w:lang w:val="cs-CZ"/>
              </w:rPr>
              <w:t>P</w:t>
            </w:r>
            <w:r w:rsidR="00DD272F" w:rsidRPr="008B1755">
              <w:rPr>
                <w:b/>
                <w:lang w:val="cs-CZ"/>
              </w:rPr>
              <w:t>oskytovatel internetových služeb</w:t>
            </w:r>
            <w:r w:rsidR="0076189E" w:rsidRPr="008B1755">
              <w:rPr>
                <w:b/>
                <w:lang w:val="cs-CZ"/>
              </w:rPr>
              <w:t xml:space="preserve"> (</w:t>
            </w:r>
            <w:r w:rsidR="00591B5B" w:rsidRPr="008B1755">
              <w:rPr>
                <w:b/>
                <w:lang w:val="cs-CZ"/>
              </w:rPr>
              <w:t>Poskytovatel internetových služeb</w:t>
            </w:r>
            <w:r w:rsidR="0076189E" w:rsidRPr="008B1755">
              <w:rPr>
                <w:b/>
                <w:lang w:val="cs-CZ"/>
              </w:rPr>
              <w:t>)</w:t>
            </w:r>
          </w:p>
        </w:tc>
        <w:tc>
          <w:tcPr>
            <w:tcW w:w="7291" w:type="dxa"/>
            <w:shd w:val="clear" w:color="auto" w:fill="auto"/>
          </w:tcPr>
          <w:p w:rsidR="0076189E" w:rsidRPr="008B1755" w:rsidRDefault="00591B5B" w:rsidP="0077703B">
            <w:pPr>
              <w:spacing w:after="120" w:line="240" w:lineRule="auto"/>
              <w:rPr>
                <w:lang w:val="cs-CZ"/>
              </w:rPr>
            </w:pPr>
            <w:r w:rsidRPr="008B1755">
              <w:rPr>
                <w:lang w:val="cs-CZ"/>
              </w:rPr>
              <w:t xml:space="preserve">V těchto Pokynech používá BEREC </w:t>
            </w:r>
            <w:r w:rsidR="00D2652F">
              <w:rPr>
                <w:lang w:val="cs-CZ"/>
              </w:rPr>
              <w:t>pojem</w:t>
            </w:r>
            <w:r w:rsidRPr="008B1755">
              <w:rPr>
                <w:lang w:val="cs-CZ"/>
              </w:rPr>
              <w:t xml:space="preserve"> „</w:t>
            </w:r>
            <w:r w:rsidR="00DD272F" w:rsidRPr="008B1755">
              <w:rPr>
                <w:lang w:val="cs-CZ"/>
              </w:rPr>
              <w:t>poskytovatel internetových služeb</w:t>
            </w:r>
            <w:r w:rsidR="00604F05">
              <w:rPr>
                <w:lang w:val="cs-CZ"/>
              </w:rPr>
              <w:t>“ tj. „</w:t>
            </w:r>
            <w:r w:rsidR="0077703B">
              <w:rPr>
                <w:lang w:val="cs-CZ"/>
              </w:rPr>
              <w:t>ISP</w:t>
            </w:r>
            <w:r w:rsidRPr="008B1755">
              <w:rPr>
                <w:lang w:val="cs-CZ"/>
              </w:rPr>
              <w:t>“</w:t>
            </w:r>
            <w:r w:rsidR="0076189E" w:rsidRPr="008B1755">
              <w:rPr>
                <w:lang w:val="cs-CZ"/>
              </w:rPr>
              <w:t xml:space="preserve"> </w:t>
            </w:r>
            <w:r w:rsidR="00BE001A" w:rsidRPr="008B1755">
              <w:rPr>
                <w:lang w:val="cs-CZ"/>
              </w:rPr>
              <w:t xml:space="preserve">jako označení poskytovatelů služeb přístupu k internetu </w:t>
            </w:r>
            <w:r w:rsidR="0076189E" w:rsidRPr="008B1755">
              <w:rPr>
                <w:lang w:val="cs-CZ"/>
              </w:rPr>
              <w:t>(</w:t>
            </w:r>
            <w:r w:rsidR="0077703B">
              <w:rPr>
                <w:lang w:val="cs-CZ"/>
              </w:rPr>
              <w:t>IAS</w:t>
            </w:r>
            <w:r w:rsidR="0076189E" w:rsidRPr="008B1755">
              <w:rPr>
                <w:lang w:val="cs-CZ"/>
              </w:rPr>
              <w:t xml:space="preserve">). </w:t>
            </w:r>
            <w:r w:rsidR="00BE001A" w:rsidRPr="008B1755">
              <w:rPr>
                <w:lang w:val="cs-CZ"/>
              </w:rPr>
              <w:t>Poskytovatelé internetových služeb mohou být rovněž poskytovatelé specializovaných služeb</w:t>
            </w:r>
            <w:r w:rsidR="0076189E" w:rsidRPr="008B1755">
              <w:rPr>
                <w:lang w:val="cs-CZ"/>
              </w:rPr>
              <w:t xml:space="preserve">. </w:t>
            </w:r>
          </w:p>
        </w:tc>
      </w:tr>
      <w:tr w:rsidR="0076189E" w:rsidRPr="008B1755" w:rsidTr="006F0EC7">
        <w:tc>
          <w:tcPr>
            <w:tcW w:w="1951" w:type="dxa"/>
            <w:shd w:val="clear" w:color="auto" w:fill="auto"/>
          </w:tcPr>
          <w:p w:rsidR="0076189E" w:rsidRPr="008B1755" w:rsidRDefault="0076189E" w:rsidP="00591B5B">
            <w:pPr>
              <w:spacing w:after="120" w:line="240" w:lineRule="auto"/>
              <w:rPr>
                <w:lang w:val="cs-CZ"/>
              </w:rPr>
            </w:pPr>
            <w:r w:rsidRPr="008B1755">
              <w:rPr>
                <w:b/>
                <w:lang w:val="cs-CZ"/>
              </w:rPr>
              <w:t>Speciali</w:t>
            </w:r>
            <w:r w:rsidR="00591B5B" w:rsidRPr="008B1755">
              <w:rPr>
                <w:b/>
                <w:lang w:val="cs-CZ"/>
              </w:rPr>
              <w:t>zovaná služba</w:t>
            </w:r>
          </w:p>
        </w:tc>
        <w:tc>
          <w:tcPr>
            <w:tcW w:w="7291" w:type="dxa"/>
            <w:shd w:val="clear" w:color="auto" w:fill="auto"/>
          </w:tcPr>
          <w:p w:rsidR="0076189E" w:rsidRPr="008B1755" w:rsidRDefault="00591B5B" w:rsidP="0077703B">
            <w:pPr>
              <w:spacing w:after="120" w:line="240" w:lineRule="auto"/>
              <w:rPr>
                <w:lang w:val="cs-CZ"/>
              </w:rPr>
            </w:pPr>
            <w:r w:rsidRPr="008B1755">
              <w:rPr>
                <w:lang w:val="cs-CZ"/>
              </w:rPr>
              <w:t xml:space="preserve">V těchto Pokynech </w:t>
            </w:r>
            <w:r w:rsidRPr="008B1755">
              <w:rPr>
                <w:rStyle w:val="Style1Char"/>
                <w:lang w:val="cs-CZ"/>
              </w:rPr>
              <w:t>používá</w:t>
            </w:r>
            <w:r w:rsidRPr="008B1755">
              <w:rPr>
                <w:lang w:val="cs-CZ"/>
              </w:rPr>
              <w:t xml:space="preserve"> BEREC </w:t>
            </w:r>
            <w:r w:rsidR="00D2652F">
              <w:rPr>
                <w:lang w:val="cs-CZ"/>
              </w:rPr>
              <w:t>pojem</w:t>
            </w:r>
            <w:r w:rsidRPr="008B1755">
              <w:rPr>
                <w:lang w:val="cs-CZ"/>
              </w:rPr>
              <w:t xml:space="preserve"> „specializované služby“</w:t>
            </w:r>
            <w:r w:rsidR="0076189E" w:rsidRPr="008B1755">
              <w:rPr>
                <w:lang w:val="cs-CZ"/>
              </w:rPr>
              <w:t xml:space="preserve"> </w:t>
            </w:r>
            <w:r w:rsidR="00BE001A" w:rsidRPr="008B1755">
              <w:rPr>
                <w:lang w:val="cs-CZ"/>
              </w:rPr>
              <w:t>jako zkratku pro „</w:t>
            </w:r>
            <w:r w:rsidR="00BE001A" w:rsidRPr="008B1755">
              <w:rPr>
                <w:rStyle w:val="BERECChar"/>
                <w:lang w:val="cs-CZ"/>
              </w:rPr>
              <w:t xml:space="preserve">jiné služby než služby přístupu k internetu, které jsou optimalizovány pro konkrétní obsah, aplikace nebo služby, případně jejich kombinaci, pokud je optimalizace nezbytná ke splnění požadavků </w:t>
            </w:r>
            <w:r w:rsidR="0077703B">
              <w:rPr>
                <w:rStyle w:val="BERECChar"/>
                <w:lang w:val="cs-CZ"/>
              </w:rPr>
              <w:t>na</w:t>
            </w:r>
            <w:r w:rsidR="0077703B" w:rsidRPr="008B1755">
              <w:rPr>
                <w:rStyle w:val="BERECChar"/>
                <w:lang w:val="cs-CZ"/>
              </w:rPr>
              <w:t xml:space="preserve"> určitou úroveň kvality </w:t>
            </w:r>
            <w:r w:rsidR="0077703B">
              <w:rPr>
                <w:rStyle w:val="BERECChar"/>
                <w:lang w:val="cs-CZ"/>
              </w:rPr>
              <w:t>pro tento</w:t>
            </w:r>
            <w:r w:rsidR="0077703B" w:rsidRPr="008B1755">
              <w:rPr>
                <w:rStyle w:val="BERECChar"/>
                <w:lang w:val="cs-CZ"/>
              </w:rPr>
              <w:t xml:space="preserve"> </w:t>
            </w:r>
            <w:r w:rsidR="00BE001A" w:rsidRPr="008B1755">
              <w:rPr>
                <w:rStyle w:val="BERECChar"/>
                <w:lang w:val="cs-CZ"/>
              </w:rPr>
              <w:t xml:space="preserve">obsah, aplikace nebo služby </w:t>
            </w:r>
            <w:r w:rsidR="00BE001A" w:rsidRPr="008B1755">
              <w:rPr>
                <w:lang w:val="cs-CZ"/>
              </w:rPr>
              <w:t>“</w:t>
            </w:r>
            <w:r w:rsidR="0076189E" w:rsidRPr="008B1755">
              <w:rPr>
                <w:lang w:val="cs-CZ"/>
              </w:rPr>
              <w:t xml:space="preserve"> (</w:t>
            </w:r>
            <w:r w:rsidR="00BE001A" w:rsidRPr="008B1755">
              <w:rPr>
                <w:lang w:val="cs-CZ"/>
              </w:rPr>
              <w:t>viz článek</w:t>
            </w:r>
            <w:r w:rsidR="0076189E" w:rsidRPr="008B1755">
              <w:rPr>
                <w:lang w:val="cs-CZ"/>
              </w:rPr>
              <w:t xml:space="preserve"> 3</w:t>
            </w:r>
            <w:r w:rsidR="00BE001A" w:rsidRPr="008B1755">
              <w:rPr>
                <w:lang w:val="cs-CZ"/>
              </w:rPr>
              <w:t xml:space="preserve"> odst. </w:t>
            </w:r>
            <w:r w:rsidR="0076189E" w:rsidRPr="008B1755">
              <w:rPr>
                <w:lang w:val="cs-CZ"/>
              </w:rPr>
              <w:t>5).</w:t>
            </w:r>
          </w:p>
        </w:tc>
      </w:tr>
    </w:tbl>
    <w:p w:rsidR="00B32F13" w:rsidRPr="008B1755" w:rsidRDefault="00BE001A" w:rsidP="00A17DB0">
      <w:pPr>
        <w:pStyle w:val="Nadpis1"/>
        <w:spacing w:after="120"/>
        <w:jc w:val="left"/>
        <w:rPr>
          <w:lang w:val="cs-CZ"/>
        </w:rPr>
      </w:pPr>
      <w:bookmarkStart w:id="3" w:name="_Toc461400153"/>
      <w:r w:rsidRPr="008B1755">
        <w:rPr>
          <w:u w:val="single"/>
          <w:lang w:val="cs-CZ"/>
        </w:rPr>
        <w:t xml:space="preserve">Článek </w:t>
      </w:r>
      <w:r w:rsidR="00B32F13" w:rsidRPr="008B1755">
        <w:rPr>
          <w:u w:val="single"/>
          <w:lang w:val="cs-CZ"/>
        </w:rPr>
        <w:t>1</w:t>
      </w:r>
      <w:r w:rsidR="003978F1" w:rsidRPr="008B1755">
        <w:rPr>
          <w:u w:val="single"/>
          <w:lang w:val="cs-CZ"/>
        </w:rPr>
        <w:br/>
      </w:r>
      <w:r w:rsidRPr="008B1755">
        <w:rPr>
          <w:lang w:val="cs-CZ"/>
        </w:rPr>
        <w:t xml:space="preserve">Předmět a </w:t>
      </w:r>
      <w:r w:rsidR="003B2CBE" w:rsidRPr="008B1755">
        <w:rPr>
          <w:lang w:val="cs-CZ"/>
        </w:rPr>
        <w:t>oblast působnosti</w:t>
      </w:r>
      <w:bookmarkEnd w:id="3"/>
    </w:p>
    <w:p w:rsidR="00CF5F20" w:rsidRPr="008B1755" w:rsidRDefault="009847D5"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Fonts w:ascii="Times New Roman" w:hAnsi="Times New Roman"/>
          <w:szCs w:val="19"/>
          <w:lang w:val="cs-CZ"/>
        </w:rPr>
        <w:t xml:space="preserve">Toto nařízení stanoví společná pravidla pro zajištění rovného a nediskriminačního nakládání s provozem při poskytování služeb </w:t>
      </w:r>
      <w:r w:rsidRPr="008B1755">
        <w:rPr>
          <w:rStyle w:val="Style2Char"/>
          <w:lang w:val="cs-CZ"/>
        </w:rPr>
        <w:t>přístupu</w:t>
      </w:r>
      <w:r w:rsidRPr="008B1755">
        <w:rPr>
          <w:rFonts w:ascii="Times New Roman" w:hAnsi="Times New Roman"/>
          <w:szCs w:val="19"/>
          <w:lang w:val="cs-CZ"/>
        </w:rPr>
        <w:t xml:space="preserve"> k internetu a zajištění souvisejících práv koncových uživatelů</w:t>
      </w:r>
      <w:r w:rsidR="00CF5F20" w:rsidRPr="008B1755">
        <w:rPr>
          <w:rFonts w:ascii="Times New Roman" w:hAnsi="Times New Roman"/>
          <w:lang w:val="cs-CZ"/>
        </w:rPr>
        <w:t>.</w:t>
      </w:r>
    </w:p>
    <w:p w:rsidR="00CF5F20" w:rsidRPr="008B1755" w:rsidRDefault="009847D5" w:rsidP="006F0EC7">
      <w:pPr>
        <w:keepNext/>
        <w:shd w:val="clear" w:color="auto" w:fill="D9D9D9"/>
        <w:spacing w:after="0"/>
        <w:rPr>
          <w:rFonts w:ascii="Times New Roman" w:hAnsi="Times New Roman"/>
          <w:sz w:val="20"/>
          <w:szCs w:val="20"/>
          <w:u w:val="single"/>
          <w:lang w:val="cs-CZ"/>
        </w:rPr>
      </w:pPr>
      <w:r w:rsidRPr="008B1755">
        <w:rPr>
          <w:rFonts w:ascii="Times New Roman" w:hAnsi="Times New Roman"/>
          <w:sz w:val="20"/>
          <w:szCs w:val="20"/>
          <w:u w:val="single"/>
          <w:lang w:val="cs-CZ"/>
        </w:rPr>
        <w:t>(</w:t>
      </w:r>
      <w:r w:rsidR="00CF5F20" w:rsidRPr="008B1755">
        <w:rPr>
          <w:rFonts w:ascii="Times New Roman" w:hAnsi="Times New Roman"/>
          <w:sz w:val="20"/>
          <w:szCs w:val="20"/>
          <w:u w:val="single"/>
          <w:lang w:val="cs-CZ"/>
        </w:rPr>
        <w:t>1</w:t>
      </w:r>
      <w:r w:rsidRPr="008B1755">
        <w:rPr>
          <w:rFonts w:ascii="Times New Roman" w:hAnsi="Times New Roman"/>
          <w:sz w:val="20"/>
          <w:szCs w:val="20"/>
          <w:u w:val="single"/>
          <w:lang w:val="cs-CZ"/>
        </w:rPr>
        <w:t>)</w:t>
      </w:r>
    </w:p>
    <w:p w:rsidR="00CF5F20" w:rsidRPr="008B1755" w:rsidRDefault="009847D5" w:rsidP="006F0EC7">
      <w:pPr>
        <w:shd w:val="clear" w:color="auto" w:fill="D9D9D9"/>
        <w:rPr>
          <w:rFonts w:ascii="Times New Roman" w:hAnsi="Times New Roman"/>
          <w:sz w:val="20"/>
          <w:szCs w:val="20"/>
          <w:lang w:val="cs-CZ"/>
        </w:rPr>
      </w:pPr>
      <w:r w:rsidRPr="008B1755">
        <w:rPr>
          <w:rStyle w:val="Style2Char"/>
          <w:sz w:val="20"/>
          <w:lang w:val="cs-CZ"/>
        </w:rPr>
        <w:t>Účelem tohoto nařízení je stanovit společná pravidla pro zajištění rovného a nediskriminačního nakládání s provozem při poskytování služeb přístupu k internetu a zajištění souvisejících práv koncových uživatelů. Jeho účelem je nejen chránit koncové uživatele, ale zároveň zaručit trvalé fungování internetového ekosystému coby hnací síly pro inovace</w:t>
      </w:r>
      <w:r w:rsidR="00CF5F20" w:rsidRPr="008B1755">
        <w:rPr>
          <w:rFonts w:ascii="Times New Roman" w:hAnsi="Times New Roman"/>
          <w:sz w:val="20"/>
          <w:szCs w:val="20"/>
          <w:lang w:val="cs-CZ"/>
        </w:rPr>
        <w:t>.</w:t>
      </w:r>
    </w:p>
    <w:p w:rsidR="00CF5F20" w:rsidRPr="008B1755" w:rsidRDefault="009847D5" w:rsidP="006F0EC7">
      <w:pPr>
        <w:keepNext/>
        <w:shd w:val="clear" w:color="auto" w:fill="D9D9D9"/>
        <w:spacing w:after="0"/>
        <w:rPr>
          <w:rFonts w:ascii="Times New Roman" w:hAnsi="Times New Roman"/>
          <w:sz w:val="20"/>
          <w:szCs w:val="20"/>
          <w:u w:val="single"/>
          <w:lang w:val="cs-CZ"/>
        </w:rPr>
      </w:pPr>
      <w:r w:rsidRPr="008B1755">
        <w:rPr>
          <w:rFonts w:ascii="Times New Roman" w:hAnsi="Times New Roman"/>
          <w:sz w:val="20"/>
          <w:szCs w:val="20"/>
          <w:u w:val="single"/>
          <w:lang w:val="cs-CZ"/>
        </w:rPr>
        <w:t>(</w:t>
      </w:r>
      <w:r w:rsidR="00CF5F20" w:rsidRPr="008B1755">
        <w:rPr>
          <w:rFonts w:ascii="Times New Roman" w:hAnsi="Times New Roman"/>
          <w:sz w:val="20"/>
          <w:szCs w:val="20"/>
          <w:u w:val="single"/>
          <w:lang w:val="cs-CZ"/>
        </w:rPr>
        <w:t>2</w:t>
      </w:r>
      <w:r w:rsidRPr="008B1755">
        <w:rPr>
          <w:rFonts w:ascii="Times New Roman" w:hAnsi="Times New Roman"/>
          <w:sz w:val="20"/>
          <w:szCs w:val="20"/>
          <w:u w:val="single"/>
          <w:lang w:val="cs-CZ"/>
        </w:rPr>
        <w:t>)</w:t>
      </w:r>
    </w:p>
    <w:p w:rsidR="00CF5F20" w:rsidRPr="008B1755" w:rsidRDefault="003E7168" w:rsidP="006F0EC7">
      <w:pPr>
        <w:shd w:val="clear" w:color="auto" w:fill="D9D9D9"/>
        <w:rPr>
          <w:rFonts w:ascii="Times New Roman" w:hAnsi="Times New Roman"/>
          <w:sz w:val="20"/>
          <w:szCs w:val="20"/>
          <w:lang w:val="cs-CZ"/>
        </w:rPr>
      </w:pPr>
      <w:r w:rsidRPr="008B1755">
        <w:rPr>
          <w:rStyle w:val="Style2Char"/>
          <w:sz w:val="20"/>
          <w:lang w:val="cs-CZ"/>
        </w:rPr>
        <w:t>Opatření uvedená v tomto nařízení jsou v souladu se zásadou technologické neutrality, tedy nepřikazují používat konkrétní druh technologie ani na základě toho nediskriminují</w:t>
      </w:r>
      <w:r w:rsidR="00CF5F20" w:rsidRPr="008B1755">
        <w:rPr>
          <w:rFonts w:ascii="Times New Roman" w:hAnsi="Times New Roman"/>
          <w:sz w:val="20"/>
          <w:szCs w:val="20"/>
          <w:lang w:val="cs-CZ"/>
        </w:rPr>
        <w:t>.</w:t>
      </w:r>
    </w:p>
    <w:p w:rsidR="00CF5F20" w:rsidRPr="008B1755" w:rsidRDefault="009847D5" w:rsidP="006F0EC7">
      <w:pPr>
        <w:keepNext/>
        <w:shd w:val="clear" w:color="auto" w:fill="D9D9D9"/>
        <w:spacing w:after="0"/>
        <w:rPr>
          <w:rFonts w:ascii="Times New Roman" w:hAnsi="Times New Roman"/>
          <w:sz w:val="20"/>
          <w:szCs w:val="20"/>
          <w:u w:val="single"/>
          <w:lang w:val="cs-CZ"/>
        </w:rPr>
      </w:pPr>
      <w:r w:rsidRPr="008B1755">
        <w:rPr>
          <w:rFonts w:ascii="Times New Roman" w:hAnsi="Times New Roman"/>
          <w:sz w:val="20"/>
          <w:szCs w:val="20"/>
          <w:u w:val="single"/>
          <w:lang w:val="cs-CZ"/>
        </w:rPr>
        <w:t>(</w:t>
      </w:r>
      <w:r w:rsidR="00CF5F20" w:rsidRPr="008B1755">
        <w:rPr>
          <w:rFonts w:ascii="Times New Roman" w:hAnsi="Times New Roman"/>
          <w:sz w:val="20"/>
          <w:szCs w:val="20"/>
          <w:u w:val="single"/>
          <w:lang w:val="cs-CZ"/>
        </w:rPr>
        <w:t>3</w:t>
      </w:r>
      <w:r w:rsidRPr="008B1755">
        <w:rPr>
          <w:rFonts w:ascii="Times New Roman" w:hAnsi="Times New Roman"/>
          <w:sz w:val="20"/>
          <w:szCs w:val="20"/>
          <w:u w:val="single"/>
          <w:lang w:val="cs-CZ"/>
        </w:rPr>
        <w:t>)</w:t>
      </w:r>
    </w:p>
    <w:p w:rsidR="00CF5F20" w:rsidRPr="008B1755" w:rsidRDefault="003E7168" w:rsidP="006F0EC7">
      <w:pPr>
        <w:shd w:val="clear" w:color="auto" w:fill="D9D9D9"/>
        <w:rPr>
          <w:rFonts w:ascii="Times New Roman" w:hAnsi="Times New Roman"/>
          <w:sz w:val="20"/>
          <w:szCs w:val="20"/>
          <w:lang w:val="cs-CZ"/>
        </w:rPr>
      </w:pPr>
      <w:r w:rsidRPr="008B1755">
        <w:rPr>
          <w:rStyle w:val="Style2Char"/>
          <w:sz w:val="20"/>
          <w:lang w:val="cs-CZ"/>
        </w:rPr>
        <w:t>Internet se za poslední desetiletí vyvinul v otevřenou inovační platformu, u níž existují jen malé překážky v přístupu pro koncové uživatele, poskytovatele obsahu, aplikací a služeb a poskytovatele služeb přístupu k internetu. Účelem stávajícího regulačního rámce je podporovat přístup koncových uživatelů k informacím a možnost koncových uživatelů šířit informace nebo využívat aplikace a služby dle svého vlastního výběru. Avšak na značný počet koncových uživatelů mají nepříznivý dopad postupy řízení provozu, které blokují nebo zpomalují určité aplikace nebo služby. Tyto tendence si žádají zavedení společných pravidel na úrovni Unie, jež zajistí otevřenost internetu a zabrání roztříštěnosti vnitřního trhu v důsledku opatření přijatých jednotlivými členskými státy</w:t>
      </w:r>
      <w:r w:rsidR="00CF5F20" w:rsidRPr="008B1755">
        <w:rPr>
          <w:rFonts w:ascii="Times New Roman" w:hAnsi="Times New Roman"/>
          <w:sz w:val="20"/>
          <w:szCs w:val="20"/>
          <w:lang w:val="cs-CZ"/>
        </w:rPr>
        <w:t>.</w:t>
      </w:r>
    </w:p>
    <w:p w:rsidR="00F21BC4" w:rsidRPr="008B1755" w:rsidRDefault="003B2CBE" w:rsidP="0038751B">
      <w:pPr>
        <w:pStyle w:val="Odstavecseseznamem"/>
        <w:numPr>
          <w:ilvl w:val="0"/>
          <w:numId w:val="2"/>
        </w:numPr>
        <w:spacing w:after="120"/>
        <w:contextualSpacing w:val="0"/>
        <w:rPr>
          <w:lang w:val="cs-CZ"/>
        </w:rPr>
      </w:pPr>
      <w:r w:rsidRPr="008B1755">
        <w:rPr>
          <w:lang w:val="cs-CZ"/>
        </w:rPr>
        <w:t>Článek</w:t>
      </w:r>
      <w:r w:rsidR="00F21BC4" w:rsidRPr="008B1755">
        <w:rPr>
          <w:lang w:val="cs-CZ"/>
        </w:rPr>
        <w:t xml:space="preserve"> 1 </w:t>
      </w:r>
      <w:r w:rsidRPr="008B1755">
        <w:rPr>
          <w:lang w:val="cs-CZ"/>
        </w:rPr>
        <w:t xml:space="preserve">stanoví předmět a oblast působnosti </w:t>
      </w:r>
      <w:r w:rsidR="001D46DD" w:rsidRPr="008B1755">
        <w:rPr>
          <w:lang w:val="cs-CZ"/>
        </w:rPr>
        <w:t>Nařízení</w:t>
      </w:r>
      <w:r w:rsidR="00826B2D" w:rsidRPr="008B1755">
        <w:rPr>
          <w:lang w:val="cs-CZ"/>
        </w:rPr>
        <w:t>,</w:t>
      </w:r>
      <w:r w:rsidR="00F21BC4" w:rsidRPr="008B1755">
        <w:rPr>
          <w:lang w:val="cs-CZ"/>
        </w:rPr>
        <w:t xml:space="preserve"> </w:t>
      </w:r>
      <w:r w:rsidR="0071362D">
        <w:rPr>
          <w:lang w:val="cs-CZ"/>
        </w:rPr>
        <w:t>kterým je stanovení společných pravidel</w:t>
      </w:r>
      <w:r w:rsidRPr="008B1755">
        <w:rPr>
          <w:lang w:val="cs-CZ"/>
        </w:rPr>
        <w:t xml:space="preserve"> pro zajištění </w:t>
      </w:r>
      <w:r w:rsidRPr="008B1755">
        <w:rPr>
          <w:i/>
          <w:lang w:val="cs-CZ"/>
        </w:rPr>
        <w:t xml:space="preserve">„rovného a nediskriminačního nakládání s provozem při poskytování služeb </w:t>
      </w:r>
      <w:r w:rsidRPr="008B1755">
        <w:rPr>
          <w:rStyle w:val="BERECcitaceChar"/>
          <w:lang w:val="cs-CZ"/>
        </w:rPr>
        <w:t>přístupu</w:t>
      </w:r>
      <w:r w:rsidRPr="008B1755">
        <w:rPr>
          <w:i/>
          <w:lang w:val="cs-CZ"/>
        </w:rPr>
        <w:t xml:space="preserve"> k internetu“</w:t>
      </w:r>
      <w:r w:rsidR="003073ED" w:rsidRPr="008B1755">
        <w:rPr>
          <w:lang w:val="cs-CZ"/>
        </w:rPr>
        <w:t xml:space="preserve"> </w:t>
      </w:r>
      <w:r w:rsidR="00F21BC4" w:rsidRPr="008B1755">
        <w:rPr>
          <w:lang w:val="cs-CZ"/>
        </w:rPr>
        <w:t xml:space="preserve">a </w:t>
      </w:r>
      <w:r w:rsidRPr="008B1755">
        <w:rPr>
          <w:i/>
          <w:lang w:val="cs-CZ"/>
        </w:rPr>
        <w:t>„</w:t>
      </w:r>
      <w:r w:rsidRPr="008B1755">
        <w:rPr>
          <w:rStyle w:val="BERECcitaceChar"/>
          <w:lang w:val="cs-CZ"/>
        </w:rPr>
        <w:t>souvisejících práv koncových uživatelů</w:t>
      </w:r>
      <w:r w:rsidRPr="008B1755">
        <w:rPr>
          <w:i/>
          <w:lang w:val="cs-CZ"/>
        </w:rPr>
        <w:t>“</w:t>
      </w:r>
      <w:r w:rsidR="00F21BC4" w:rsidRPr="008B1755">
        <w:rPr>
          <w:lang w:val="cs-CZ"/>
        </w:rPr>
        <w:t>.</w:t>
      </w:r>
    </w:p>
    <w:p w:rsidR="0085764E" w:rsidRPr="008B1755" w:rsidRDefault="00E30780" w:rsidP="0038751B">
      <w:pPr>
        <w:pStyle w:val="Odstavecseseznamem"/>
        <w:numPr>
          <w:ilvl w:val="0"/>
          <w:numId w:val="2"/>
        </w:numPr>
        <w:spacing w:after="120"/>
        <w:contextualSpacing w:val="0"/>
        <w:rPr>
          <w:lang w:val="cs-CZ"/>
        </w:rPr>
      </w:pPr>
      <w:bookmarkStart w:id="4" w:name="_Ref447026940"/>
      <w:bookmarkStart w:id="5" w:name="_Ref447467904"/>
      <w:r w:rsidRPr="008B1755">
        <w:rPr>
          <w:lang w:val="cs-CZ"/>
        </w:rPr>
        <w:t>Podle rámcové směrnice</w:t>
      </w:r>
      <w:r w:rsidR="00F21BC4" w:rsidRPr="008B1755">
        <w:rPr>
          <w:rStyle w:val="Znakapoznpodarou"/>
          <w:lang w:val="cs-CZ"/>
        </w:rPr>
        <w:footnoteReference w:id="5"/>
      </w:r>
      <w:r w:rsidR="00F21BC4" w:rsidRPr="008B1755">
        <w:rPr>
          <w:lang w:val="cs-CZ"/>
        </w:rPr>
        <w:t xml:space="preserve"> </w:t>
      </w:r>
      <w:r w:rsidRPr="008B1755">
        <w:rPr>
          <w:lang w:val="cs-CZ"/>
        </w:rPr>
        <w:t xml:space="preserve">se pojmem </w:t>
      </w:r>
      <w:r w:rsidRPr="008B1755">
        <w:rPr>
          <w:i/>
          <w:lang w:val="cs-CZ"/>
        </w:rPr>
        <w:t>„koncový uživatel“</w:t>
      </w:r>
      <w:r w:rsidR="0085764E" w:rsidRPr="008B1755">
        <w:rPr>
          <w:lang w:val="cs-CZ"/>
        </w:rPr>
        <w:t xml:space="preserve"> </w:t>
      </w:r>
      <w:r w:rsidRPr="008B1755">
        <w:rPr>
          <w:lang w:val="cs-CZ"/>
        </w:rPr>
        <w:t xml:space="preserve">rozumí </w:t>
      </w:r>
      <w:r w:rsidR="00084CF0" w:rsidRPr="008B1755">
        <w:rPr>
          <w:rStyle w:val="BERECChar"/>
          <w:lang w:val="cs-CZ"/>
        </w:rPr>
        <w:t xml:space="preserve">uživatel, který nezajišťuje veřejné komunikační sítě ani neposkytuje veřejně </w:t>
      </w:r>
      <w:r w:rsidR="00143CE5">
        <w:rPr>
          <w:rStyle w:val="BERECChar"/>
          <w:lang w:val="cs-CZ"/>
        </w:rPr>
        <w:t>dostupné</w:t>
      </w:r>
      <w:r w:rsidR="00143CE5" w:rsidRPr="008B1755">
        <w:rPr>
          <w:rStyle w:val="BERECChar"/>
          <w:lang w:val="cs-CZ"/>
        </w:rPr>
        <w:t xml:space="preserve"> </w:t>
      </w:r>
      <w:r w:rsidR="00084CF0" w:rsidRPr="008B1755">
        <w:rPr>
          <w:rStyle w:val="BERECChar"/>
          <w:lang w:val="cs-CZ"/>
        </w:rPr>
        <w:t>služby elektronických komunikací</w:t>
      </w:r>
      <w:r w:rsidR="0085764E" w:rsidRPr="008B1755">
        <w:rPr>
          <w:lang w:val="cs-CZ"/>
        </w:rPr>
        <w:t xml:space="preserve">. </w:t>
      </w:r>
      <w:r w:rsidR="001972A3" w:rsidRPr="008B1755">
        <w:rPr>
          <w:lang w:val="cs-CZ"/>
        </w:rPr>
        <w:t xml:space="preserve">Naopak pojmem </w:t>
      </w:r>
      <w:r w:rsidR="00F21BC4" w:rsidRPr="008B1755">
        <w:rPr>
          <w:i/>
          <w:lang w:val="cs-CZ"/>
        </w:rPr>
        <w:t>“</w:t>
      </w:r>
      <w:r w:rsidR="007118BD">
        <w:rPr>
          <w:i/>
          <w:lang w:val="cs-CZ"/>
        </w:rPr>
        <w:t>uživatel</w:t>
      </w:r>
      <w:r w:rsidR="00F21BC4" w:rsidRPr="008B1755">
        <w:rPr>
          <w:i/>
          <w:lang w:val="cs-CZ"/>
        </w:rPr>
        <w:t>”</w:t>
      </w:r>
      <w:r w:rsidR="00F21BC4" w:rsidRPr="008B1755">
        <w:rPr>
          <w:lang w:val="cs-CZ"/>
        </w:rPr>
        <w:t xml:space="preserve"> </w:t>
      </w:r>
      <w:r w:rsidR="00084CF0" w:rsidRPr="008B1755">
        <w:rPr>
          <w:lang w:val="cs-CZ"/>
        </w:rPr>
        <w:t xml:space="preserve">se rozumí </w:t>
      </w:r>
      <w:r w:rsidR="00084CF0" w:rsidRPr="008B1755">
        <w:rPr>
          <w:rStyle w:val="BERECChar"/>
          <w:lang w:val="cs-CZ"/>
        </w:rPr>
        <w:t xml:space="preserve">právnická nebo fyzická osoba, která používá nebo požaduje veřejně </w:t>
      </w:r>
      <w:r w:rsidR="00143CE5">
        <w:rPr>
          <w:rStyle w:val="BERECChar"/>
          <w:lang w:val="cs-CZ"/>
        </w:rPr>
        <w:t>dostupnou</w:t>
      </w:r>
      <w:r w:rsidR="00143CE5" w:rsidRPr="008B1755">
        <w:rPr>
          <w:rStyle w:val="BERECChar"/>
          <w:lang w:val="cs-CZ"/>
        </w:rPr>
        <w:t xml:space="preserve"> </w:t>
      </w:r>
      <w:r w:rsidR="00084CF0" w:rsidRPr="008B1755">
        <w:rPr>
          <w:rStyle w:val="BERECChar"/>
          <w:lang w:val="cs-CZ"/>
        </w:rPr>
        <w:t>službu elektronických komunikací</w:t>
      </w:r>
      <w:r w:rsidR="00F21BC4" w:rsidRPr="008B1755">
        <w:rPr>
          <w:lang w:val="cs-CZ"/>
        </w:rPr>
        <w:t>.</w:t>
      </w:r>
      <w:bookmarkEnd w:id="4"/>
      <w:r w:rsidR="00F21BC4" w:rsidRPr="008B1755">
        <w:rPr>
          <w:lang w:val="cs-CZ"/>
        </w:rPr>
        <w:t xml:space="preserve"> </w:t>
      </w:r>
      <w:bookmarkStart w:id="6" w:name="_Ref447026949"/>
      <w:r w:rsidR="00C44AED" w:rsidRPr="008B1755">
        <w:rPr>
          <w:lang w:val="cs-CZ"/>
        </w:rPr>
        <w:t xml:space="preserve">Na základě toho sdružení </w:t>
      </w:r>
      <w:r w:rsidR="0085764E" w:rsidRPr="008B1755">
        <w:rPr>
          <w:lang w:val="cs-CZ"/>
        </w:rPr>
        <w:t xml:space="preserve">BEREC </w:t>
      </w:r>
      <w:r w:rsidR="00C44AED" w:rsidRPr="008B1755">
        <w:rPr>
          <w:lang w:val="cs-CZ"/>
        </w:rPr>
        <w:t xml:space="preserve">chápe pojem </w:t>
      </w:r>
      <w:r w:rsidR="00C44AED" w:rsidRPr="008B1755">
        <w:rPr>
          <w:i/>
          <w:lang w:val="cs-CZ"/>
        </w:rPr>
        <w:t xml:space="preserve">„koncový uživatel“ </w:t>
      </w:r>
      <w:r w:rsidR="00C44AED" w:rsidRPr="008B1755">
        <w:rPr>
          <w:lang w:val="cs-CZ"/>
        </w:rPr>
        <w:t>tak, že zahrnuje fyzické a právnické osoby včetně spotřebitelů a rovněž poskytovatele obsahu a aplikací</w:t>
      </w:r>
      <w:r w:rsidR="0085764E" w:rsidRPr="008B1755">
        <w:rPr>
          <w:lang w:val="cs-CZ"/>
        </w:rPr>
        <w:t>.</w:t>
      </w:r>
      <w:bookmarkEnd w:id="5"/>
      <w:bookmarkEnd w:id="6"/>
    </w:p>
    <w:p w:rsidR="00F21BC4" w:rsidRPr="008B1755" w:rsidRDefault="00C44AED" w:rsidP="0038751B">
      <w:pPr>
        <w:pStyle w:val="Odstavecseseznamem"/>
        <w:numPr>
          <w:ilvl w:val="0"/>
          <w:numId w:val="2"/>
        </w:numPr>
        <w:spacing w:after="120"/>
        <w:contextualSpacing w:val="0"/>
        <w:rPr>
          <w:lang w:val="cs-CZ"/>
        </w:rPr>
      </w:pPr>
      <w:r w:rsidRPr="008B1755">
        <w:rPr>
          <w:lang w:val="cs-CZ"/>
        </w:rPr>
        <w:t>Poskytovatelé obsahu a aplikací</w:t>
      </w:r>
      <w:r w:rsidR="00F21BC4" w:rsidRPr="008B1755">
        <w:rPr>
          <w:lang w:val="cs-CZ"/>
        </w:rPr>
        <w:t xml:space="preserve"> </w:t>
      </w:r>
      <w:r w:rsidRPr="008B1755">
        <w:rPr>
          <w:lang w:val="cs-CZ"/>
        </w:rPr>
        <w:t>jsou na základě Nařízení</w:t>
      </w:r>
      <w:r w:rsidR="00F21BC4" w:rsidRPr="008B1755">
        <w:rPr>
          <w:lang w:val="cs-CZ"/>
        </w:rPr>
        <w:t xml:space="preserve"> </w:t>
      </w:r>
      <w:r w:rsidRPr="008B1755">
        <w:rPr>
          <w:lang w:val="cs-CZ"/>
        </w:rPr>
        <w:t>chráněni jako koncoví uživatelé, pokud poskytovatelé obsahu a aplikací</w:t>
      </w:r>
      <w:r w:rsidR="00CB29F4" w:rsidRPr="008B1755">
        <w:rPr>
          <w:lang w:val="cs-CZ"/>
        </w:rPr>
        <w:t xml:space="preserve"> </w:t>
      </w:r>
      <w:r w:rsidRPr="008B1755">
        <w:rPr>
          <w:lang w:val="cs-CZ"/>
        </w:rPr>
        <w:t xml:space="preserve">používají </w:t>
      </w:r>
      <w:r w:rsidR="008C5ACF" w:rsidRPr="008B1755">
        <w:rPr>
          <w:lang w:val="cs-CZ"/>
        </w:rPr>
        <w:t xml:space="preserve">službu přístupu k internetu </w:t>
      </w:r>
      <w:r w:rsidRPr="008B1755">
        <w:rPr>
          <w:lang w:val="cs-CZ"/>
        </w:rPr>
        <w:t>k dosažení jiných koncových uživatelů</w:t>
      </w:r>
      <w:r w:rsidR="00F21BC4" w:rsidRPr="008B1755">
        <w:rPr>
          <w:lang w:val="cs-CZ"/>
        </w:rPr>
        <w:t>.</w:t>
      </w:r>
      <w:r w:rsidR="00247724" w:rsidRPr="008B1755">
        <w:rPr>
          <w:lang w:val="cs-CZ"/>
        </w:rPr>
        <w:t xml:space="preserve"> </w:t>
      </w:r>
      <w:r w:rsidR="007D7F64" w:rsidRPr="008B1755">
        <w:rPr>
          <w:lang w:val="cs-CZ"/>
        </w:rPr>
        <w:t xml:space="preserve">Nicméně někteří </w:t>
      </w:r>
      <w:r w:rsidRPr="008B1755">
        <w:rPr>
          <w:lang w:val="cs-CZ"/>
        </w:rPr>
        <w:t>poskytovatelé obsahu a aplikací</w:t>
      </w:r>
      <w:r w:rsidR="00F21BC4" w:rsidRPr="008B1755">
        <w:rPr>
          <w:lang w:val="cs-CZ"/>
        </w:rPr>
        <w:t xml:space="preserve"> </w:t>
      </w:r>
      <w:r w:rsidR="007D7F64" w:rsidRPr="008B1755">
        <w:rPr>
          <w:lang w:val="cs-CZ"/>
        </w:rPr>
        <w:t>mohou rovněž provozovat vlastní sítě a v rámci toho mají smlouvy o propojení s poskytovateli internetových služeb</w:t>
      </w:r>
      <w:r w:rsidR="00F21BC4" w:rsidRPr="008B1755">
        <w:rPr>
          <w:lang w:val="cs-CZ"/>
        </w:rPr>
        <w:t xml:space="preserve">; </w:t>
      </w:r>
      <w:r w:rsidR="007D7F64" w:rsidRPr="008B1755">
        <w:rPr>
          <w:lang w:val="cs-CZ"/>
        </w:rPr>
        <w:t>poskytování propojení je služba odlišná od poskytování služby přístupu k internetu</w:t>
      </w:r>
      <w:r w:rsidR="00F21BC4" w:rsidRPr="008B1755">
        <w:rPr>
          <w:lang w:val="cs-CZ"/>
        </w:rPr>
        <w:t xml:space="preserve">. </w:t>
      </w:r>
    </w:p>
    <w:p w:rsidR="00F21BC4" w:rsidRPr="008B1755" w:rsidRDefault="00926BAE" w:rsidP="0038751B">
      <w:pPr>
        <w:pStyle w:val="Odstavecseseznamem"/>
        <w:numPr>
          <w:ilvl w:val="0"/>
          <w:numId w:val="2"/>
        </w:numPr>
        <w:rPr>
          <w:lang w:val="cs-CZ"/>
        </w:rPr>
      </w:pPr>
      <w:r w:rsidRPr="008B1755">
        <w:rPr>
          <w:lang w:val="cs-CZ"/>
        </w:rPr>
        <w:t>Vnitrostátní regulační orgány</w:t>
      </w:r>
      <w:r w:rsidR="00A569E1" w:rsidRPr="008B1755">
        <w:rPr>
          <w:lang w:val="cs-CZ"/>
        </w:rPr>
        <w:t xml:space="preserve"> </w:t>
      </w:r>
      <w:r w:rsidRPr="008B1755">
        <w:rPr>
          <w:lang w:val="cs-CZ"/>
        </w:rPr>
        <w:t xml:space="preserve">mohou zohledňovat pravidla </w:t>
      </w:r>
      <w:r w:rsidR="00977D1B" w:rsidRPr="008B1755">
        <w:rPr>
          <w:lang w:val="cs-CZ"/>
        </w:rPr>
        <w:t xml:space="preserve">a </w:t>
      </w:r>
      <w:r w:rsidRPr="008B1755">
        <w:rPr>
          <w:lang w:val="cs-CZ"/>
        </w:rPr>
        <w:t>postupy poskytovatelů</w:t>
      </w:r>
      <w:r w:rsidR="007D7F64" w:rsidRPr="008B1755">
        <w:rPr>
          <w:lang w:val="cs-CZ"/>
        </w:rPr>
        <w:t xml:space="preserve"> internetových služeb</w:t>
      </w:r>
      <w:r w:rsidR="00977D1B" w:rsidRPr="008B1755">
        <w:rPr>
          <w:lang w:val="cs-CZ"/>
        </w:rPr>
        <w:t xml:space="preserve"> při propojování</w:t>
      </w:r>
      <w:r w:rsidRPr="008B1755">
        <w:rPr>
          <w:lang w:val="cs-CZ"/>
        </w:rPr>
        <w:t xml:space="preserve">, pokud </w:t>
      </w:r>
      <w:r w:rsidR="00977D1B" w:rsidRPr="008B1755">
        <w:rPr>
          <w:lang w:val="cs-CZ"/>
        </w:rPr>
        <w:t>bude jejich účinkem omez</w:t>
      </w:r>
      <w:r w:rsidR="00143CE5">
        <w:rPr>
          <w:lang w:val="cs-CZ"/>
        </w:rPr>
        <w:t>eno</w:t>
      </w:r>
      <w:r w:rsidR="00977D1B" w:rsidRPr="008B1755">
        <w:rPr>
          <w:lang w:val="cs-CZ"/>
        </w:rPr>
        <w:t xml:space="preserve"> uplatňování práv koncových uživatelů podle čl. </w:t>
      </w:r>
      <w:r w:rsidR="00A569E1" w:rsidRPr="008B1755">
        <w:rPr>
          <w:lang w:val="cs-CZ"/>
        </w:rPr>
        <w:t>3</w:t>
      </w:r>
      <w:r w:rsidR="00977D1B" w:rsidRPr="008B1755">
        <w:rPr>
          <w:lang w:val="cs-CZ"/>
        </w:rPr>
        <w:t xml:space="preserve"> odst. </w:t>
      </w:r>
      <w:r w:rsidR="00A569E1" w:rsidRPr="008B1755">
        <w:rPr>
          <w:lang w:val="cs-CZ"/>
        </w:rPr>
        <w:t xml:space="preserve">1. </w:t>
      </w:r>
      <w:r w:rsidR="00977D1B" w:rsidRPr="008B1755">
        <w:rPr>
          <w:lang w:val="cs-CZ"/>
        </w:rPr>
        <w:t>To může být relevantní v některých případech, jako např.</w:t>
      </w:r>
      <w:r w:rsidR="008C5ACF">
        <w:rPr>
          <w:lang w:val="cs-CZ"/>
        </w:rPr>
        <w:t>,</w:t>
      </w:r>
      <w:r w:rsidR="00977D1B" w:rsidRPr="008B1755">
        <w:rPr>
          <w:lang w:val="cs-CZ"/>
        </w:rPr>
        <w:t xml:space="preserve"> když je propojení realizováno způsobem, který se snaží obcházet Nařízení</w:t>
      </w:r>
      <w:r w:rsidR="00C315D7" w:rsidRPr="008B1755">
        <w:rPr>
          <w:lang w:val="cs-CZ"/>
        </w:rPr>
        <w:t>.</w:t>
      </w:r>
      <w:r w:rsidR="000262BF" w:rsidRPr="008B1755">
        <w:rPr>
          <w:rStyle w:val="Znakapoznpodarou"/>
          <w:lang w:val="cs-CZ"/>
        </w:rPr>
        <w:footnoteReference w:id="6"/>
      </w:r>
    </w:p>
    <w:p w:rsidR="00B32F13" w:rsidRPr="008B1755" w:rsidRDefault="003E7168" w:rsidP="00A17DB0">
      <w:pPr>
        <w:pStyle w:val="Nadpis1"/>
        <w:spacing w:after="120"/>
        <w:jc w:val="left"/>
        <w:rPr>
          <w:lang w:val="cs-CZ"/>
        </w:rPr>
      </w:pPr>
      <w:bookmarkStart w:id="7" w:name="_Toc461400154"/>
      <w:r w:rsidRPr="008B1755">
        <w:rPr>
          <w:u w:val="single"/>
          <w:lang w:val="cs-CZ"/>
        </w:rPr>
        <w:t xml:space="preserve">Článek </w:t>
      </w:r>
      <w:r w:rsidR="00B32F13" w:rsidRPr="008B1755">
        <w:rPr>
          <w:u w:val="single"/>
          <w:lang w:val="cs-CZ"/>
        </w:rPr>
        <w:t>2</w:t>
      </w:r>
      <w:r w:rsidR="003978F1" w:rsidRPr="008B1755">
        <w:rPr>
          <w:lang w:val="cs-CZ"/>
        </w:rPr>
        <w:br/>
      </w:r>
      <w:r w:rsidR="00B32F13" w:rsidRPr="008B1755">
        <w:rPr>
          <w:lang w:val="cs-CZ"/>
        </w:rPr>
        <w:t>Defini</w:t>
      </w:r>
      <w:r w:rsidRPr="008B1755">
        <w:rPr>
          <w:lang w:val="cs-CZ"/>
        </w:rPr>
        <w:t>ce</w:t>
      </w:r>
      <w:bookmarkEnd w:id="7"/>
    </w:p>
    <w:p w:rsidR="00CF5F20" w:rsidRPr="008B1755" w:rsidRDefault="000F62E4"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Pro účely tohoto nařízení se použijí definice stanovené v článku 2 směrnice 2002/21/ES</w:t>
      </w:r>
      <w:r w:rsidR="00CF5F20" w:rsidRPr="008B1755">
        <w:rPr>
          <w:rStyle w:val="Style2Char"/>
          <w:lang w:val="cs-CZ"/>
        </w:rPr>
        <w:t xml:space="preserve">. </w:t>
      </w:r>
      <w:r w:rsidRPr="008B1755">
        <w:rPr>
          <w:rStyle w:val="Style2Char"/>
          <w:lang w:val="cs-CZ"/>
        </w:rPr>
        <w:t>Použijí se rovněž tyto definice</w:t>
      </w:r>
      <w:r w:rsidR="00CF5F20" w:rsidRPr="008B1755">
        <w:rPr>
          <w:rFonts w:ascii="Times New Roman" w:hAnsi="Times New Roman"/>
          <w:lang w:val="cs-CZ"/>
        </w:rPr>
        <w:t>:</w:t>
      </w:r>
    </w:p>
    <w:p w:rsidR="002C28D0" w:rsidRPr="008B1755" w:rsidRDefault="00977D1B" w:rsidP="0038751B">
      <w:pPr>
        <w:pStyle w:val="Odstavecseseznamem"/>
        <w:numPr>
          <w:ilvl w:val="0"/>
          <w:numId w:val="2"/>
        </w:numPr>
        <w:rPr>
          <w:lang w:val="cs-CZ"/>
        </w:rPr>
      </w:pPr>
      <w:bookmarkStart w:id="8" w:name="_Ref447467925"/>
      <w:r w:rsidRPr="008B1755">
        <w:rPr>
          <w:lang w:val="cs-CZ"/>
        </w:rPr>
        <w:t xml:space="preserve">Definice článku </w:t>
      </w:r>
      <w:r w:rsidR="002C28D0" w:rsidRPr="008B1755">
        <w:rPr>
          <w:lang w:val="cs-CZ"/>
        </w:rPr>
        <w:t xml:space="preserve">2 </w:t>
      </w:r>
      <w:r w:rsidRPr="008B1755">
        <w:rPr>
          <w:lang w:val="cs-CZ"/>
        </w:rPr>
        <w:t xml:space="preserve">směrnice č. </w:t>
      </w:r>
      <w:r w:rsidR="002C28D0" w:rsidRPr="008B1755">
        <w:rPr>
          <w:lang w:val="cs-CZ"/>
        </w:rPr>
        <w:t>2002/21/E</w:t>
      </w:r>
      <w:r w:rsidRPr="008B1755">
        <w:rPr>
          <w:lang w:val="cs-CZ"/>
        </w:rPr>
        <w:t>S</w:t>
      </w:r>
      <w:r w:rsidR="002C28D0" w:rsidRPr="008B1755">
        <w:rPr>
          <w:lang w:val="cs-CZ"/>
        </w:rPr>
        <w:t xml:space="preserve"> </w:t>
      </w:r>
      <w:r w:rsidRPr="008B1755">
        <w:rPr>
          <w:lang w:val="cs-CZ"/>
        </w:rPr>
        <w:t xml:space="preserve">platí rovněž pro potřeby </w:t>
      </w:r>
      <w:r w:rsidR="001D46DD" w:rsidRPr="008B1755">
        <w:rPr>
          <w:lang w:val="cs-CZ"/>
        </w:rPr>
        <w:t>těchto Pokynů</w:t>
      </w:r>
      <w:r w:rsidR="001E1EA4" w:rsidRPr="008B1755">
        <w:rPr>
          <w:lang w:val="cs-CZ"/>
        </w:rPr>
        <w:t xml:space="preserve">. </w:t>
      </w:r>
      <w:r w:rsidRPr="008B1755">
        <w:rPr>
          <w:lang w:val="cs-CZ"/>
        </w:rPr>
        <w:t xml:space="preserve">To zahrnuje pojem </w:t>
      </w:r>
      <w:r w:rsidRPr="008B1755">
        <w:rPr>
          <w:i/>
          <w:lang w:val="cs-CZ"/>
        </w:rPr>
        <w:t>„koncový uživatel“</w:t>
      </w:r>
      <w:r w:rsidR="001E1EA4" w:rsidRPr="008B1755">
        <w:rPr>
          <w:lang w:val="cs-CZ"/>
        </w:rPr>
        <w:t xml:space="preserve">, </w:t>
      </w:r>
      <w:r w:rsidRPr="008B1755">
        <w:rPr>
          <w:i/>
          <w:lang w:val="cs-CZ"/>
        </w:rPr>
        <w:t>„spotřebitel“</w:t>
      </w:r>
      <w:r w:rsidR="001E1EA4" w:rsidRPr="008B1755">
        <w:rPr>
          <w:lang w:val="cs-CZ"/>
        </w:rPr>
        <w:t xml:space="preserve">, </w:t>
      </w:r>
      <w:r w:rsidRPr="008B1755">
        <w:rPr>
          <w:i/>
          <w:lang w:val="cs-CZ"/>
        </w:rPr>
        <w:t>„služby elektronických komunikací“</w:t>
      </w:r>
      <w:r w:rsidR="005620CC" w:rsidRPr="008B1755">
        <w:rPr>
          <w:i/>
          <w:lang w:val="cs-CZ"/>
        </w:rPr>
        <w:t>,</w:t>
      </w:r>
      <w:r w:rsidR="00AF3ACF" w:rsidRPr="008B1755">
        <w:rPr>
          <w:lang w:val="cs-CZ"/>
        </w:rPr>
        <w:t xml:space="preserve"> </w:t>
      </w:r>
      <w:r w:rsidRPr="008B1755">
        <w:rPr>
          <w:i/>
          <w:lang w:val="cs-CZ"/>
        </w:rPr>
        <w:t>„síť elektronických komunikací“</w:t>
      </w:r>
      <w:r w:rsidR="001E1EA4" w:rsidRPr="008B1755">
        <w:rPr>
          <w:lang w:val="cs-CZ"/>
        </w:rPr>
        <w:t xml:space="preserve"> </w:t>
      </w:r>
      <w:r w:rsidR="002D6E77" w:rsidRPr="008B1755">
        <w:rPr>
          <w:lang w:val="cs-CZ"/>
        </w:rPr>
        <w:t xml:space="preserve">a </w:t>
      </w:r>
      <w:r w:rsidRPr="008B1755">
        <w:rPr>
          <w:i/>
          <w:lang w:val="cs-CZ"/>
        </w:rPr>
        <w:t>„</w:t>
      </w:r>
      <w:r w:rsidR="00F064F8" w:rsidRPr="008B1755">
        <w:rPr>
          <w:i/>
          <w:lang w:val="cs-CZ"/>
        </w:rPr>
        <w:t>koncový bod sítě</w:t>
      </w:r>
      <w:r w:rsidR="001E1EA4" w:rsidRPr="008B1755">
        <w:rPr>
          <w:i/>
          <w:lang w:val="cs-CZ"/>
        </w:rPr>
        <w:t xml:space="preserve"> (NTP)</w:t>
      </w:r>
      <w:bookmarkEnd w:id="8"/>
      <w:r w:rsidRPr="008B1755">
        <w:rPr>
          <w:i/>
          <w:lang w:val="cs-CZ"/>
        </w:rPr>
        <w:t>“</w:t>
      </w:r>
      <w:r w:rsidR="002D6E77" w:rsidRPr="008B1755">
        <w:rPr>
          <w:lang w:val="cs-CZ"/>
        </w:rPr>
        <w:t>.</w:t>
      </w:r>
    </w:p>
    <w:p w:rsidR="00BE1665" w:rsidRPr="008B1755" w:rsidRDefault="00F064F8" w:rsidP="00BE1665">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w:t>
      </w:r>
      <w:r w:rsidRPr="008B1755">
        <w:rPr>
          <w:i/>
          <w:sz w:val="24"/>
          <w:u w:val="single"/>
          <w:lang w:val="cs-CZ"/>
        </w:rPr>
        <w:t>Poskytovatel služeb elektronických komunikací pro veřejnost</w:t>
      </w:r>
      <w:r w:rsidRPr="008B1755">
        <w:rPr>
          <w:rFonts w:eastAsia="SimSun"/>
          <w:bCs/>
          <w:i/>
          <w:iCs/>
          <w:sz w:val="24"/>
          <w:szCs w:val="24"/>
          <w:u w:val="single"/>
          <w:lang w:val="cs-CZ"/>
        </w:rPr>
        <w:t>“</w:t>
      </w:r>
    </w:p>
    <w:p w:rsidR="00CF5F20" w:rsidRPr="008B1755" w:rsidRDefault="00BE1665"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Fonts w:ascii="Times New Roman" w:hAnsi="Times New Roman"/>
          <w:lang w:val="cs-CZ"/>
        </w:rPr>
        <w:t xml:space="preserve"> </w:t>
      </w:r>
      <w:r w:rsidR="003073ED" w:rsidRPr="008B1755">
        <w:rPr>
          <w:rFonts w:ascii="Times New Roman" w:hAnsi="Times New Roman"/>
          <w:lang w:val="cs-CZ"/>
        </w:rPr>
        <w:t xml:space="preserve">(1) </w:t>
      </w:r>
      <w:r w:rsidR="000F62E4" w:rsidRPr="008B1755">
        <w:rPr>
          <w:rStyle w:val="Style2Char"/>
          <w:lang w:val="cs-CZ"/>
        </w:rPr>
        <w:t>„poskytovatelem služeb elektronických komunikací pro veřejnost“ se rozumí podnik, který poskytuje veřejné komunikační sítě nebo veřejně dostupné služby elektronických komunikací</w:t>
      </w:r>
      <w:r w:rsidR="00CF5F20" w:rsidRPr="008B1755">
        <w:rPr>
          <w:rFonts w:ascii="Times New Roman" w:hAnsi="Times New Roman"/>
          <w:lang w:val="cs-CZ"/>
        </w:rPr>
        <w:t>;</w:t>
      </w:r>
    </w:p>
    <w:p w:rsidR="006A2454" w:rsidRPr="008B1755" w:rsidRDefault="00F064F8" w:rsidP="0038751B">
      <w:pPr>
        <w:pStyle w:val="Odstavecseseznamem"/>
        <w:numPr>
          <w:ilvl w:val="0"/>
          <w:numId w:val="2"/>
        </w:numPr>
        <w:spacing w:after="120"/>
        <w:contextualSpacing w:val="0"/>
        <w:rPr>
          <w:lang w:val="cs-CZ"/>
        </w:rPr>
      </w:pPr>
      <w:r w:rsidRPr="008B1755">
        <w:rPr>
          <w:lang w:val="cs-CZ"/>
        </w:rPr>
        <w:t xml:space="preserve">Pojem </w:t>
      </w:r>
      <w:r w:rsidRPr="008B1755">
        <w:rPr>
          <w:i/>
          <w:lang w:val="cs-CZ"/>
        </w:rPr>
        <w:t>„</w:t>
      </w:r>
      <w:r w:rsidR="00977D1B" w:rsidRPr="008B1755">
        <w:rPr>
          <w:i/>
          <w:lang w:val="cs-CZ"/>
        </w:rPr>
        <w:t>poskytovatel služeb elektronických komunikací pro veřejnost</w:t>
      </w:r>
      <w:r w:rsidRPr="008B1755">
        <w:rPr>
          <w:i/>
          <w:lang w:val="cs-CZ"/>
        </w:rPr>
        <w:t>“</w:t>
      </w:r>
      <w:r w:rsidR="00644F0C" w:rsidRPr="008B1755">
        <w:rPr>
          <w:lang w:val="cs-CZ"/>
        </w:rPr>
        <w:t xml:space="preserve"> </w:t>
      </w:r>
      <w:r w:rsidRPr="008B1755">
        <w:rPr>
          <w:lang w:val="cs-CZ"/>
        </w:rPr>
        <w:t>obsahuje jak „</w:t>
      </w:r>
      <w:r w:rsidR="00977D1B" w:rsidRPr="008B1755">
        <w:rPr>
          <w:i/>
          <w:lang w:val="cs-CZ"/>
        </w:rPr>
        <w:t>veřejné komunikační sítě</w:t>
      </w:r>
      <w:r w:rsidRPr="008B1755">
        <w:rPr>
          <w:i/>
          <w:lang w:val="cs-CZ"/>
        </w:rPr>
        <w:t>“, tak „</w:t>
      </w:r>
      <w:r w:rsidR="00977D1B" w:rsidRPr="008B1755">
        <w:rPr>
          <w:i/>
          <w:lang w:val="cs-CZ"/>
        </w:rPr>
        <w:t>služby elektronických komunikací</w:t>
      </w:r>
      <w:r w:rsidRPr="008B1755">
        <w:rPr>
          <w:i/>
          <w:lang w:val="cs-CZ"/>
        </w:rPr>
        <w:t>“</w:t>
      </w:r>
      <w:r w:rsidR="00920622" w:rsidRPr="008B1755">
        <w:rPr>
          <w:lang w:val="cs-CZ"/>
        </w:rPr>
        <w:t xml:space="preserve">, </w:t>
      </w:r>
      <w:r w:rsidR="00CA4B6A">
        <w:rPr>
          <w:rStyle w:val="Znakapoznpodarou"/>
          <w:lang w:val="cs-CZ"/>
        </w:rPr>
        <w:footnoteReference w:id="7"/>
      </w:r>
      <w:r w:rsidRPr="008B1755">
        <w:rPr>
          <w:lang w:val="cs-CZ"/>
        </w:rPr>
        <w:t>které jsou definovány v článku</w:t>
      </w:r>
      <w:r w:rsidR="00920622" w:rsidRPr="008B1755">
        <w:rPr>
          <w:lang w:val="cs-CZ"/>
        </w:rPr>
        <w:t xml:space="preserve"> 2 </w:t>
      </w:r>
      <w:r w:rsidRPr="008B1755">
        <w:rPr>
          <w:lang w:val="cs-CZ"/>
        </w:rPr>
        <w:t>rámcové směrnice</w:t>
      </w:r>
      <w:r w:rsidR="00826B2D" w:rsidRPr="008B1755">
        <w:rPr>
          <w:lang w:val="cs-CZ"/>
        </w:rPr>
        <w:t>.</w:t>
      </w:r>
      <w:r w:rsidR="00AE4AE1" w:rsidRPr="008B1755">
        <w:rPr>
          <w:rStyle w:val="Znakapoznpodarou"/>
          <w:lang w:val="cs-CZ"/>
        </w:rPr>
        <w:footnoteReference w:id="8"/>
      </w:r>
    </w:p>
    <w:p w:rsidR="006A0908" w:rsidRPr="008B1755" w:rsidRDefault="00DD272F" w:rsidP="0038751B">
      <w:pPr>
        <w:pStyle w:val="Odstavecseseznamem"/>
        <w:numPr>
          <w:ilvl w:val="0"/>
          <w:numId w:val="2"/>
        </w:numPr>
        <w:spacing w:after="120"/>
        <w:contextualSpacing w:val="0"/>
        <w:rPr>
          <w:rFonts w:cs="Arial"/>
          <w:lang w:val="cs-CZ"/>
        </w:rPr>
      </w:pPr>
      <w:r w:rsidRPr="008B1755">
        <w:rPr>
          <w:lang w:val="cs-CZ"/>
        </w:rPr>
        <w:t>Naopak definice poskytovatele služeb elektronických komunikací pro veřejnost</w:t>
      </w:r>
      <w:r w:rsidR="00920622" w:rsidRPr="008B1755">
        <w:rPr>
          <w:lang w:val="cs-CZ"/>
        </w:rPr>
        <w:t xml:space="preserve"> </w:t>
      </w:r>
      <w:r w:rsidRPr="008B1755">
        <w:rPr>
          <w:lang w:val="cs-CZ"/>
        </w:rPr>
        <w:t>nezahrnuje poskytovatele služeb elektronických komunikací</w:t>
      </w:r>
      <w:r w:rsidR="00920622" w:rsidRPr="008B1755">
        <w:rPr>
          <w:lang w:val="cs-CZ"/>
        </w:rPr>
        <w:t xml:space="preserve"> </w:t>
      </w:r>
      <w:r w:rsidRPr="008B1755">
        <w:rPr>
          <w:lang w:val="cs-CZ"/>
        </w:rPr>
        <w:t xml:space="preserve">nebo komunikačních sítí, které </w:t>
      </w:r>
      <w:r w:rsidRPr="008B1755">
        <w:rPr>
          <w:i/>
          <w:lang w:val="cs-CZ"/>
        </w:rPr>
        <w:t>nejsou</w:t>
      </w:r>
      <w:r w:rsidRPr="008B1755">
        <w:rPr>
          <w:lang w:val="cs-CZ"/>
        </w:rPr>
        <w:t xml:space="preserve"> </w:t>
      </w:r>
      <w:r w:rsidRPr="008B1755">
        <w:rPr>
          <w:rFonts w:cs="Arial"/>
          <w:lang w:val="cs-CZ"/>
        </w:rPr>
        <w:t>veřejně dostupné</w:t>
      </w:r>
      <w:r w:rsidR="00826B2D" w:rsidRPr="008B1755">
        <w:rPr>
          <w:rFonts w:cs="Arial"/>
          <w:lang w:val="cs-CZ"/>
        </w:rPr>
        <w:t>,</w:t>
      </w:r>
      <w:r w:rsidR="006A0908" w:rsidRPr="008B1755">
        <w:rPr>
          <w:rFonts w:cs="Arial"/>
          <w:lang w:val="cs-CZ"/>
        </w:rPr>
        <w:t xml:space="preserve"> </w:t>
      </w:r>
      <w:r w:rsidRPr="008B1755">
        <w:rPr>
          <w:rFonts w:cs="Arial"/>
          <w:lang w:val="cs-CZ"/>
        </w:rPr>
        <w:t>a na které se tedy toto Nařízení nevztahuje</w:t>
      </w:r>
      <w:r w:rsidR="006A0908" w:rsidRPr="008B1755">
        <w:rPr>
          <w:lang w:val="cs-CZ"/>
        </w:rPr>
        <w:t>.</w:t>
      </w:r>
    </w:p>
    <w:p w:rsidR="00F06318" w:rsidRPr="008B1755" w:rsidRDefault="00080F70" w:rsidP="00FD41E0">
      <w:pPr>
        <w:pStyle w:val="Odstavecseseznamem"/>
        <w:numPr>
          <w:ilvl w:val="0"/>
          <w:numId w:val="2"/>
        </w:numPr>
        <w:spacing w:after="120"/>
        <w:contextualSpacing w:val="0"/>
        <w:rPr>
          <w:rFonts w:cs="Arial"/>
          <w:lang w:val="cs-CZ"/>
        </w:rPr>
      </w:pPr>
      <w:r w:rsidRPr="008B1755">
        <w:rPr>
          <w:rFonts w:cs="Arial"/>
          <w:lang w:val="cs-CZ"/>
        </w:rPr>
        <w:t xml:space="preserve">Služby nebo sítě elektronických komunikací, které </w:t>
      </w:r>
      <w:r w:rsidR="008C5ACF">
        <w:rPr>
          <w:rFonts w:cs="Arial"/>
          <w:lang w:val="cs-CZ"/>
        </w:rPr>
        <w:t>ne</w:t>
      </w:r>
      <w:r w:rsidRPr="008B1755">
        <w:rPr>
          <w:rFonts w:cs="Arial"/>
          <w:lang w:val="cs-CZ"/>
        </w:rPr>
        <w:t>jsou nabízeny předem vymezené skupině koncových uživatelů</w:t>
      </w:r>
      <w:r w:rsidR="004F640E">
        <w:rPr>
          <w:rFonts w:cs="Arial"/>
          <w:lang w:val="cs-CZ"/>
        </w:rPr>
        <w:t>,</w:t>
      </w:r>
      <w:r w:rsidRPr="008B1755">
        <w:rPr>
          <w:rFonts w:cs="Arial"/>
          <w:lang w:val="cs-CZ"/>
        </w:rPr>
        <w:t xml:space="preserve"> ale v zásadě jakémukoli zákazníkovi, který chce tuto službu nebo síť </w:t>
      </w:r>
      <w:r w:rsidR="008C5ACF">
        <w:rPr>
          <w:rFonts w:cs="Arial"/>
          <w:lang w:val="cs-CZ"/>
        </w:rPr>
        <w:t>využívat</w:t>
      </w:r>
      <w:r w:rsidRPr="008B1755">
        <w:rPr>
          <w:rFonts w:cs="Arial"/>
          <w:lang w:val="cs-CZ"/>
        </w:rPr>
        <w:t xml:space="preserve">, by měly být považovány za </w:t>
      </w:r>
      <w:r w:rsidR="004F640E">
        <w:rPr>
          <w:rFonts w:cs="Arial"/>
          <w:lang w:val="cs-CZ"/>
        </w:rPr>
        <w:t xml:space="preserve">veřejně dostupné resp. </w:t>
      </w:r>
      <w:r w:rsidRPr="008B1755">
        <w:rPr>
          <w:rFonts w:cs="Arial"/>
          <w:lang w:val="cs-CZ"/>
        </w:rPr>
        <w:t>veřejné</w:t>
      </w:r>
      <w:r w:rsidR="00962C91" w:rsidRPr="008B1755">
        <w:rPr>
          <w:rFonts w:cs="Arial"/>
          <w:lang w:val="cs-CZ"/>
        </w:rPr>
        <w:t>.</w:t>
      </w:r>
      <w:r w:rsidR="002D6E77" w:rsidRPr="008B1755">
        <w:rPr>
          <w:rFonts w:cs="Arial"/>
          <w:lang w:val="cs-CZ"/>
        </w:rPr>
        <w:t xml:space="preserve"> </w:t>
      </w:r>
      <w:r w:rsidRPr="008B1755">
        <w:rPr>
          <w:rFonts w:cs="Arial"/>
          <w:lang w:val="cs-CZ"/>
        </w:rPr>
        <w:t xml:space="preserve">Služby nebo sítě elektronických komunikací, které jsou nabízeny pouze </w:t>
      </w:r>
      <w:r w:rsidRPr="008B1755">
        <w:rPr>
          <w:rFonts w:cs="Arial"/>
          <w:i/>
          <w:lang w:val="cs-CZ"/>
        </w:rPr>
        <w:t xml:space="preserve">předem vymezené </w:t>
      </w:r>
      <w:r w:rsidRPr="008B1755">
        <w:rPr>
          <w:rFonts w:cs="Arial"/>
          <w:lang w:val="cs-CZ"/>
        </w:rPr>
        <w:t>skupině koncových uživatelů, lze považovat za neveřejné</w:t>
      </w:r>
      <w:r w:rsidR="004769F4" w:rsidRPr="008B1755">
        <w:rPr>
          <w:rFonts w:cs="Arial"/>
          <w:lang w:val="cs-CZ"/>
        </w:rPr>
        <w:t>.</w:t>
      </w:r>
      <w:bookmarkStart w:id="9" w:name="_Ref447285554"/>
      <w:r w:rsidR="00F06318" w:rsidRPr="008B1755">
        <w:rPr>
          <w:rFonts w:cs="Arial"/>
          <w:lang w:val="cs-CZ"/>
        </w:rPr>
        <w:t xml:space="preserve"> </w:t>
      </w:r>
    </w:p>
    <w:p w:rsidR="00F06318" w:rsidRPr="008B1755" w:rsidRDefault="00080F70" w:rsidP="00FD41E0">
      <w:pPr>
        <w:pStyle w:val="Odstavecseseznamem"/>
        <w:numPr>
          <w:ilvl w:val="0"/>
          <w:numId w:val="2"/>
        </w:numPr>
        <w:spacing w:after="120"/>
        <w:contextualSpacing w:val="0"/>
        <w:rPr>
          <w:rFonts w:cs="Arial"/>
          <w:lang w:val="cs-CZ"/>
        </w:rPr>
      </w:pPr>
      <w:r w:rsidRPr="008B1755">
        <w:rPr>
          <w:rFonts w:cs="Arial"/>
          <w:lang w:val="cs-CZ"/>
        </w:rPr>
        <w:t xml:space="preserve">Služby virtuálních privátních sítí </w:t>
      </w:r>
      <w:r w:rsidR="00F06318" w:rsidRPr="008B1755">
        <w:rPr>
          <w:rFonts w:cs="Arial"/>
          <w:lang w:val="cs-CZ"/>
        </w:rPr>
        <w:t xml:space="preserve">(VPN) </w:t>
      </w:r>
      <w:r w:rsidRPr="008B1755">
        <w:rPr>
          <w:rFonts w:cs="Arial"/>
          <w:lang w:val="cs-CZ"/>
        </w:rPr>
        <w:t>jsou zpravidla nabízeny poskytovateli</w:t>
      </w:r>
      <w:r w:rsidR="00DD272F" w:rsidRPr="008B1755">
        <w:rPr>
          <w:rFonts w:cs="Arial"/>
          <w:lang w:val="cs-CZ"/>
        </w:rPr>
        <w:t xml:space="preserve"> služeb elektronických komunikací pro veřejnost</w:t>
      </w:r>
      <w:r w:rsidR="00F06318" w:rsidRPr="008B1755">
        <w:rPr>
          <w:rFonts w:cs="Arial"/>
          <w:lang w:val="cs-CZ"/>
        </w:rPr>
        <w:t xml:space="preserve"> </w:t>
      </w:r>
      <w:r w:rsidRPr="008B1755">
        <w:rPr>
          <w:rFonts w:cs="Arial"/>
          <w:lang w:val="cs-CZ"/>
        </w:rPr>
        <w:t xml:space="preserve">komukoli, </w:t>
      </w:r>
      <w:r w:rsidR="00AA5578">
        <w:rPr>
          <w:rFonts w:cs="Arial"/>
          <w:lang w:val="cs-CZ"/>
        </w:rPr>
        <w:t xml:space="preserve">kdo </w:t>
      </w:r>
      <w:r w:rsidRPr="008B1755">
        <w:rPr>
          <w:rFonts w:cs="Arial"/>
          <w:lang w:val="cs-CZ"/>
        </w:rPr>
        <w:t>chce uzavřít smlouvu o poskytování takovéto služby</w:t>
      </w:r>
      <w:r w:rsidR="00F06318" w:rsidRPr="008B1755">
        <w:rPr>
          <w:rFonts w:cs="Arial"/>
          <w:lang w:val="cs-CZ"/>
        </w:rPr>
        <w:t xml:space="preserve">. </w:t>
      </w:r>
      <w:r w:rsidR="00E41CCF">
        <w:rPr>
          <w:rFonts w:cs="Arial"/>
          <w:lang w:val="cs-CZ"/>
        </w:rPr>
        <w:t>T</w:t>
      </w:r>
      <w:r w:rsidR="00D23530" w:rsidRPr="008B1755">
        <w:rPr>
          <w:rFonts w:cs="Arial"/>
          <w:lang w:val="cs-CZ"/>
        </w:rPr>
        <w:t xml:space="preserve">udíž </w:t>
      </w:r>
      <w:r w:rsidR="00E41CCF">
        <w:rPr>
          <w:rFonts w:cs="Arial"/>
          <w:lang w:val="cs-CZ"/>
        </w:rPr>
        <w:t xml:space="preserve">by </w:t>
      </w:r>
      <w:r w:rsidR="00D23530" w:rsidRPr="008B1755">
        <w:rPr>
          <w:rFonts w:cs="Arial"/>
          <w:lang w:val="cs-CZ"/>
        </w:rPr>
        <w:t>byly zpravidla považovány za veřejně dostupné</w:t>
      </w:r>
      <w:r w:rsidR="00F06318" w:rsidRPr="008B1755">
        <w:rPr>
          <w:rFonts w:cs="Arial"/>
          <w:lang w:val="cs-CZ"/>
        </w:rPr>
        <w:t xml:space="preserve">, </w:t>
      </w:r>
      <w:r w:rsidR="00D23530" w:rsidRPr="008B1755">
        <w:rPr>
          <w:rFonts w:cs="Arial"/>
          <w:lang w:val="cs-CZ"/>
        </w:rPr>
        <w:t xml:space="preserve">i když </w:t>
      </w:r>
      <w:r w:rsidR="004F640E">
        <w:rPr>
          <w:rFonts w:cs="Arial"/>
          <w:lang w:val="cs-CZ"/>
        </w:rPr>
        <w:t xml:space="preserve">by </w:t>
      </w:r>
      <w:r w:rsidR="00D23530" w:rsidRPr="008B1755">
        <w:rPr>
          <w:rFonts w:cs="Arial"/>
          <w:lang w:val="cs-CZ"/>
        </w:rPr>
        <w:t xml:space="preserve">konkrétní </w:t>
      </w:r>
      <w:r w:rsidR="00F06318" w:rsidRPr="008B1755">
        <w:rPr>
          <w:rFonts w:cs="Arial"/>
          <w:lang w:val="cs-CZ"/>
        </w:rPr>
        <w:t xml:space="preserve">VPN </w:t>
      </w:r>
      <w:r w:rsidR="00E41CCF">
        <w:rPr>
          <w:rFonts w:cs="Arial"/>
          <w:lang w:val="cs-CZ"/>
        </w:rPr>
        <w:t>fungovala jako</w:t>
      </w:r>
      <w:r w:rsidR="00D23530" w:rsidRPr="008B1755">
        <w:rPr>
          <w:rFonts w:cs="Arial"/>
          <w:lang w:val="cs-CZ"/>
        </w:rPr>
        <w:t xml:space="preserve"> </w:t>
      </w:r>
      <w:r w:rsidR="004F640E">
        <w:rPr>
          <w:rFonts w:cs="Arial"/>
          <w:lang w:val="cs-CZ"/>
        </w:rPr>
        <w:t>neveřejná (</w:t>
      </w:r>
      <w:r w:rsidR="00D23530" w:rsidRPr="008B1755">
        <w:rPr>
          <w:rFonts w:cs="Arial"/>
          <w:lang w:val="cs-CZ"/>
        </w:rPr>
        <w:t>privátní</w:t>
      </w:r>
      <w:r w:rsidR="004F640E">
        <w:rPr>
          <w:rFonts w:cs="Arial"/>
          <w:lang w:val="cs-CZ"/>
        </w:rPr>
        <w:t>)</w:t>
      </w:r>
      <w:r w:rsidR="00D23530" w:rsidRPr="008B1755">
        <w:rPr>
          <w:rFonts w:cs="Arial"/>
          <w:lang w:val="cs-CZ"/>
        </w:rPr>
        <w:t xml:space="preserve"> síť</w:t>
      </w:r>
      <w:r w:rsidR="00F06318" w:rsidRPr="008B1755">
        <w:rPr>
          <w:rFonts w:cs="Arial"/>
          <w:lang w:val="cs-CZ"/>
        </w:rPr>
        <w:t xml:space="preserve">. </w:t>
      </w:r>
      <w:r w:rsidR="00D23530" w:rsidRPr="008B1755">
        <w:rPr>
          <w:rFonts w:cs="Arial"/>
          <w:lang w:val="cs-CZ"/>
        </w:rPr>
        <w:t xml:space="preserve">Pojem „privátní“ popisuje používání takovéto služby, které je obvykle omezeno na koncové body </w:t>
      </w:r>
      <w:r w:rsidR="00E41CCF">
        <w:rPr>
          <w:rFonts w:cs="Arial"/>
          <w:lang w:val="cs-CZ"/>
        </w:rPr>
        <w:t>podnikajícího subjektu</w:t>
      </w:r>
      <w:r w:rsidR="00E41CCF" w:rsidRPr="008B1755">
        <w:rPr>
          <w:rFonts w:cs="Arial"/>
          <w:lang w:val="cs-CZ"/>
        </w:rPr>
        <w:t xml:space="preserve"> </w:t>
      </w:r>
      <w:r w:rsidR="00D23530" w:rsidRPr="008B1755">
        <w:rPr>
          <w:rFonts w:cs="Arial"/>
          <w:lang w:val="cs-CZ"/>
        </w:rPr>
        <w:t>uzavírající</w:t>
      </w:r>
      <w:r w:rsidR="00E41CCF">
        <w:rPr>
          <w:rFonts w:cs="Arial"/>
          <w:lang w:val="cs-CZ"/>
        </w:rPr>
        <w:t>ho</w:t>
      </w:r>
      <w:r w:rsidR="00D23530" w:rsidRPr="008B1755">
        <w:rPr>
          <w:rFonts w:cs="Arial"/>
          <w:lang w:val="cs-CZ"/>
        </w:rPr>
        <w:t xml:space="preserve"> smlouvu a je zabezpečeno pro </w:t>
      </w:r>
      <w:r w:rsidR="00E41CCF">
        <w:rPr>
          <w:rFonts w:cs="Arial"/>
          <w:lang w:val="cs-CZ"/>
        </w:rPr>
        <w:t>interní</w:t>
      </w:r>
      <w:r w:rsidR="00E41CCF" w:rsidRPr="008B1755">
        <w:rPr>
          <w:rFonts w:cs="Arial"/>
          <w:lang w:val="cs-CZ"/>
        </w:rPr>
        <w:t xml:space="preserve"> </w:t>
      </w:r>
      <w:r w:rsidR="00D23530" w:rsidRPr="008B1755">
        <w:rPr>
          <w:rFonts w:cs="Arial"/>
          <w:lang w:val="cs-CZ"/>
        </w:rPr>
        <w:t>komunikaci</w:t>
      </w:r>
      <w:r w:rsidR="00F06318" w:rsidRPr="008B1755">
        <w:rPr>
          <w:rFonts w:cs="Arial"/>
          <w:lang w:val="cs-CZ"/>
        </w:rPr>
        <w:t xml:space="preserve">. </w:t>
      </w:r>
      <w:r w:rsidR="00D23530" w:rsidRPr="008B1755">
        <w:rPr>
          <w:rFonts w:cs="Arial"/>
          <w:lang w:val="cs-CZ"/>
        </w:rPr>
        <w:t xml:space="preserve">Sítě </w:t>
      </w:r>
      <w:r w:rsidR="00F06318" w:rsidRPr="008B1755" w:rsidDel="002925F4">
        <w:rPr>
          <w:rFonts w:cs="Arial"/>
          <w:lang w:val="cs-CZ"/>
        </w:rPr>
        <w:t>VPN</w:t>
      </w:r>
      <w:r w:rsidR="00D23530" w:rsidRPr="008B1755">
        <w:rPr>
          <w:rFonts w:cs="Arial"/>
          <w:lang w:val="cs-CZ"/>
        </w:rPr>
        <w:t xml:space="preserve"> jsou dále řešeny </w:t>
      </w:r>
      <w:r w:rsidR="00DD272F" w:rsidRPr="008B1755">
        <w:rPr>
          <w:rFonts w:cs="Arial"/>
          <w:lang w:val="cs-CZ"/>
        </w:rPr>
        <w:t xml:space="preserve">v </w:t>
      </w:r>
      <w:r w:rsidR="00D2652F">
        <w:rPr>
          <w:rFonts w:cs="Arial"/>
          <w:lang w:val="cs-CZ"/>
        </w:rPr>
        <w:t>bodu</w:t>
      </w:r>
      <w:r w:rsidR="00F06318" w:rsidRPr="008B1755">
        <w:rPr>
          <w:rFonts w:cs="Arial"/>
          <w:lang w:val="cs-CZ"/>
        </w:rPr>
        <w:t xml:space="preserve"> </w:t>
      </w:r>
      <w:r w:rsidR="00CA269E" w:rsidRPr="008B1755">
        <w:rPr>
          <w:rFonts w:cs="Arial"/>
          <w:lang w:val="cs-CZ"/>
        </w:rPr>
        <w:fldChar w:fldCharType="begin"/>
      </w:r>
      <w:r w:rsidR="00F06318" w:rsidRPr="008B1755">
        <w:rPr>
          <w:rFonts w:cs="Arial"/>
          <w:lang w:val="cs-CZ"/>
        </w:rPr>
        <w:instrText xml:space="preserve"> REF _Ref458589031 \r \h </w:instrText>
      </w:r>
      <w:r w:rsidR="00CA269E" w:rsidRPr="008B1755">
        <w:rPr>
          <w:rFonts w:cs="Arial"/>
          <w:lang w:val="cs-CZ"/>
        </w:rPr>
      </w:r>
      <w:r w:rsidR="00CA269E" w:rsidRPr="008B1755">
        <w:rPr>
          <w:rFonts w:cs="Arial"/>
          <w:lang w:val="cs-CZ"/>
        </w:rPr>
        <w:fldChar w:fldCharType="separate"/>
      </w:r>
      <w:r w:rsidR="003B403B" w:rsidRPr="008B1755">
        <w:rPr>
          <w:rFonts w:cs="Arial"/>
          <w:lang w:val="cs-CZ"/>
        </w:rPr>
        <w:t>115</w:t>
      </w:r>
      <w:r w:rsidR="00CA269E" w:rsidRPr="008B1755">
        <w:rPr>
          <w:rFonts w:cs="Arial"/>
          <w:lang w:val="cs-CZ"/>
        </w:rPr>
        <w:fldChar w:fldCharType="end"/>
      </w:r>
      <w:r w:rsidR="00F06318" w:rsidRPr="008B1755">
        <w:rPr>
          <w:rFonts w:cs="Arial"/>
          <w:lang w:val="cs-CZ"/>
        </w:rPr>
        <w:t>.</w:t>
      </w:r>
    </w:p>
    <w:bookmarkEnd w:id="9"/>
    <w:p w:rsidR="00BA0914" w:rsidRPr="008B1755" w:rsidRDefault="00D23530" w:rsidP="0038751B">
      <w:pPr>
        <w:pStyle w:val="Odstavecseseznamem"/>
        <w:numPr>
          <w:ilvl w:val="0"/>
          <w:numId w:val="2"/>
        </w:numPr>
        <w:spacing w:after="120"/>
        <w:ind w:left="425" w:hanging="425"/>
        <w:rPr>
          <w:rFonts w:cs="Arial"/>
          <w:lang w:val="cs-CZ"/>
        </w:rPr>
      </w:pPr>
      <w:r w:rsidRPr="008B1755">
        <w:rPr>
          <w:rFonts w:cs="Arial"/>
          <w:lang w:val="cs-CZ"/>
        </w:rPr>
        <w:t xml:space="preserve">Následující příklady </w:t>
      </w:r>
      <w:r w:rsidR="004E4F9E">
        <w:rPr>
          <w:rFonts w:cs="Arial"/>
          <w:lang w:val="cs-CZ"/>
        </w:rPr>
        <w:t>mohou</w:t>
      </w:r>
      <w:r w:rsidRPr="008B1755">
        <w:rPr>
          <w:rFonts w:cs="Arial"/>
          <w:lang w:val="cs-CZ"/>
        </w:rPr>
        <w:t xml:space="preserve"> být považovány za služby nebo sítě, které nejsou veřejně dostupné</w:t>
      </w:r>
      <w:r w:rsidR="00BA0914" w:rsidRPr="008B1755">
        <w:rPr>
          <w:rFonts w:cs="Arial"/>
          <w:lang w:val="cs-CZ"/>
        </w:rPr>
        <w:t xml:space="preserve">, </w:t>
      </w:r>
      <w:r w:rsidRPr="008B1755">
        <w:rPr>
          <w:rFonts w:cs="Arial"/>
          <w:lang w:val="cs-CZ"/>
        </w:rPr>
        <w:t xml:space="preserve">a to na základě individuálního posouzení ze strany </w:t>
      </w:r>
      <w:r w:rsidR="00926BAE" w:rsidRPr="008B1755">
        <w:rPr>
          <w:rFonts w:cs="Arial"/>
          <w:lang w:val="cs-CZ"/>
        </w:rPr>
        <w:t>vnitrostátní</w:t>
      </w:r>
      <w:r w:rsidRPr="008B1755">
        <w:rPr>
          <w:rFonts w:cs="Arial"/>
          <w:lang w:val="cs-CZ"/>
        </w:rPr>
        <w:t>ch</w:t>
      </w:r>
      <w:r w:rsidR="00926BAE" w:rsidRPr="008B1755">
        <w:rPr>
          <w:rFonts w:cs="Arial"/>
          <w:lang w:val="cs-CZ"/>
        </w:rPr>
        <w:t xml:space="preserve"> regulační</w:t>
      </w:r>
      <w:r w:rsidRPr="008B1755">
        <w:rPr>
          <w:rFonts w:cs="Arial"/>
          <w:lang w:val="cs-CZ"/>
        </w:rPr>
        <w:t>ch</w:t>
      </w:r>
      <w:r w:rsidR="00926BAE" w:rsidRPr="008B1755">
        <w:rPr>
          <w:rFonts w:cs="Arial"/>
          <w:lang w:val="cs-CZ"/>
        </w:rPr>
        <w:t xml:space="preserve"> orgán</w:t>
      </w:r>
      <w:r w:rsidRPr="008B1755">
        <w:rPr>
          <w:rFonts w:cs="Arial"/>
          <w:lang w:val="cs-CZ"/>
        </w:rPr>
        <w:t>ů s přihlédnutím k</w:t>
      </w:r>
      <w:r w:rsidR="004F640E">
        <w:rPr>
          <w:rFonts w:cs="Arial"/>
          <w:lang w:val="cs-CZ"/>
        </w:rPr>
        <w:t> národním zvyklostem</w:t>
      </w:r>
      <w:r w:rsidR="00BA0914" w:rsidRPr="008B1755">
        <w:rPr>
          <w:rFonts w:cs="Arial"/>
          <w:lang w:val="cs-CZ"/>
        </w:rPr>
        <w:t>:</w:t>
      </w:r>
      <w:r w:rsidR="00BA0914" w:rsidRPr="008B1755">
        <w:rPr>
          <w:rFonts w:cs="Arial"/>
          <w:b/>
          <w:lang w:val="cs-CZ"/>
        </w:rPr>
        <w:t xml:space="preserve"> </w:t>
      </w:r>
    </w:p>
    <w:p w:rsidR="000853EE" w:rsidRPr="008B1755" w:rsidRDefault="00D23530" w:rsidP="005D7948">
      <w:pPr>
        <w:numPr>
          <w:ilvl w:val="0"/>
          <w:numId w:val="9"/>
        </w:numPr>
        <w:contextualSpacing/>
        <w:rPr>
          <w:rFonts w:cs="Arial"/>
          <w:lang w:val="cs-CZ"/>
        </w:rPr>
      </w:pPr>
      <w:r w:rsidRPr="008B1755">
        <w:rPr>
          <w:rFonts w:cs="Arial"/>
          <w:lang w:val="cs-CZ"/>
        </w:rPr>
        <w:t xml:space="preserve">přístup k internetu poskytovaný kavárnami a </w:t>
      </w:r>
      <w:r w:rsidR="000853EE" w:rsidRPr="008B1755">
        <w:rPr>
          <w:rFonts w:cs="Arial"/>
          <w:lang w:val="cs-CZ"/>
        </w:rPr>
        <w:t>restaura</w:t>
      </w:r>
      <w:r w:rsidRPr="008B1755">
        <w:rPr>
          <w:rFonts w:cs="Arial"/>
          <w:lang w:val="cs-CZ"/>
        </w:rPr>
        <w:t>cemi</w:t>
      </w:r>
      <w:r w:rsidR="000853EE" w:rsidRPr="008B1755">
        <w:rPr>
          <w:rFonts w:cs="Arial"/>
          <w:lang w:val="cs-CZ"/>
        </w:rPr>
        <w:t>;</w:t>
      </w:r>
    </w:p>
    <w:p w:rsidR="000853EE" w:rsidRPr="008B1755" w:rsidRDefault="00D23530" w:rsidP="000853EE">
      <w:pPr>
        <w:numPr>
          <w:ilvl w:val="0"/>
          <w:numId w:val="9"/>
        </w:numPr>
        <w:spacing w:after="120"/>
        <w:ind w:left="1037" w:hanging="357"/>
        <w:rPr>
          <w:rFonts w:cs="Arial"/>
          <w:lang w:val="cs-CZ"/>
        </w:rPr>
      </w:pPr>
      <w:r w:rsidRPr="008B1755">
        <w:rPr>
          <w:rFonts w:cs="Arial"/>
          <w:lang w:val="cs-CZ"/>
        </w:rPr>
        <w:t>interní firemní sítě</w:t>
      </w:r>
      <w:r w:rsidR="000853EE" w:rsidRPr="008B1755">
        <w:rPr>
          <w:rFonts w:cs="Arial"/>
          <w:lang w:val="cs-CZ"/>
        </w:rPr>
        <w:t>.</w:t>
      </w:r>
    </w:p>
    <w:p w:rsidR="00883DE5" w:rsidRPr="008B1755" w:rsidRDefault="00D23530" w:rsidP="000853EE">
      <w:pPr>
        <w:ind w:left="567"/>
        <w:rPr>
          <w:rFonts w:cs="Arial"/>
          <w:lang w:val="cs-CZ"/>
        </w:rPr>
      </w:pPr>
      <w:r w:rsidRPr="008B1755">
        <w:rPr>
          <w:rFonts w:cs="Arial"/>
          <w:lang w:val="cs-CZ"/>
        </w:rPr>
        <w:t>Mezi příklady kritérií, která by bylo možno použít pro posouzení, patří smluvní vztah, na jehož základě je služba poskytována</w:t>
      </w:r>
      <w:r w:rsidR="00DB4B8E" w:rsidRPr="008B1755">
        <w:rPr>
          <w:rFonts w:cs="Arial"/>
          <w:lang w:val="cs-CZ"/>
        </w:rPr>
        <w:t xml:space="preserve">, </w:t>
      </w:r>
      <w:r w:rsidRPr="008B1755">
        <w:rPr>
          <w:rFonts w:cs="Arial"/>
          <w:lang w:val="cs-CZ"/>
        </w:rPr>
        <w:t>skupina uživatelů a zda je tato skupina předem vymezena</w:t>
      </w:r>
      <w:r w:rsidR="00883DE5" w:rsidRPr="008B1755">
        <w:rPr>
          <w:rFonts w:cs="Arial"/>
          <w:lang w:val="cs-CZ"/>
        </w:rPr>
        <w:t>.</w:t>
      </w:r>
    </w:p>
    <w:p w:rsidR="00BE1665" w:rsidRPr="008B1755" w:rsidRDefault="000C3CE2" w:rsidP="00BE1665">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w:t>
      </w:r>
      <w:r w:rsidR="00080F70" w:rsidRPr="008B1755">
        <w:rPr>
          <w:rFonts w:eastAsia="SimSun"/>
          <w:bCs/>
          <w:i/>
          <w:iCs/>
          <w:sz w:val="24"/>
          <w:szCs w:val="24"/>
          <w:u w:val="single"/>
          <w:lang w:val="cs-CZ"/>
        </w:rPr>
        <w:t>Služba přístupu k</w:t>
      </w:r>
      <w:r w:rsidRPr="008B1755">
        <w:rPr>
          <w:rFonts w:eastAsia="SimSun"/>
          <w:bCs/>
          <w:i/>
          <w:iCs/>
          <w:sz w:val="24"/>
          <w:szCs w:val="24"/>
          <w:u w:val="single"/>
          <w:lang w:val="cs-CZ"/>
        </w:rPr>
        <w:t> </w:t>
      </w:r>
      <w:r w:rsidR="00080F70" w:rsidRPr="008B1755">
        <w:rPr>
          <w:rFonts w:eastAsia="SimSun"/>
          <w:bCs/>
          <w:i/>
          <w:iCs/>
          <w:sz w:val="24"/>
          <w:szCs w:val="24"/>
          <w:u w:val="single"/>
          <w:lang w:val="cs-CZ"/>
        </w:rPr>
        <w:t>internetu</w:t>
      </w:r>
      <w:r w:rsidRPr="008B1755">
        <w:rPr>
          <w:rFonts w:eastAsia="SimSun"/>
          <w:bCs/>
          <w:i/>
          <w:iCs/>
          <w:sz w:val="24"/>
          <w:szCs w:val="24"/>
          <w:u w:val="single"/>
          <w:lang w:val="cs-CZ"/>
        </w:rPr>
        <w:t>“</w:t>
      </w:r>
    </w:p>
    <w:p w:rsidR="00CF5F20" w:rsidRPr="008B1755" w:rsidRDefault="003073ED"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Fonts w:ascii="Times New Roman" w:hAnsi="Times New Roman"/>
          <w:lang w:val="cs-CZ"/>
        </w:rPr>
        <w:t xml:space="preserve">(2) </w:t>
      </w:r>
      <w:r w:rsidR="000F62E4" w:rsidRPr="008B1755">
        <w:rPr>
          <w:rStyle w:val="Style2Char"/>
          <w:lang w:val="cs-CZ"/>
        </w:rPr>
        <w:t>„službou přístupu k internetu“ se rozumí veřejně dostupná služba elektronických komunikací, která poskytuje přístup k internetu, a tím propojení s prakticky všemi koncovými body internetu, bez ohledu na použitou technologii sítě a použité koncové zařízení</w:t>
      </w:r>
      <w:r w:rsidR="00CF5F20" w:rsidRPr="008B1755">
        <w:rPr>
          <w:rFonts w:ascii="Times New Roman" w:hAnsi="Times New Roman"/>
          <w:lang w:val="cs-CZ"/>
        </w:rPr>
        <w:t>.</w:t>
      </w:r>
    </w:p>
    <w:p w:rsidR="00CF5F20" w:rsidRPr="008B1755" w:rsidRDefault="00946CEA" w:rsidP="006F0EC7">
      <w:pPr>
        <w:keepNext/>
        <w:shd w:val="clear" w:color="auto" w:fill="D9D9D9"/>
        <w:spacing w:after="0"/>
        <w:rPr>
          <w:rFonts w:ascii="Times New Roman" w:hAnsi="Times New Roman"/>
          <w:sz w:val="20"/>
          <w:szCs w:val="20"/>
          <w:u w:val="single"/>
          <w:lang w:val="cs-CZ"/>
        </w:rPr>
      </w:pPr>
      <w:r w:rsidRPr="008B1755">
        <w:rPr>
          <w:rFonts w:ascii="Times New Roman" w:hAnsi="Times New Roman"/>
          <w:sz w:val="20"/>
          <w:szCs w:val="20"/>
          <w:u w:val="single"/>
          <w:lang w:val="cs-CZ"/>
        </w:rPr>
        <w:t xml:space="preserve">Úvodní část Nařízení, bod </w:t>
      </w:r>
      <w:r w:rsidR="00CF5F20" w:rsidRPr="008B1755">
        <w:rPr>
          <w:rFonts w:ascii="Times New Roman" w:hAnsi="Times New Roman"/>
          <w:sz w:val="20"/>
          <w:szCs w:val="20"/>
          <w:u w:val="single"/>
          <w:lang w:val="cs-CZ"/>
        </w:rPr>
        <w:t>4</w:t>
      </w:r>
    </w:p>
    <w:p w:rsidR="00CF5F20" w:rsidRPr="008B1755" w:rsidRDefault="000F62E4" w:rsidP="006F0EC7">
      <w:pPr>
        <w:shd w:val="clear" w:color="auto" w:fill="D9D9D9"/>
        <w:rPr>
          <w:rFonts w:ascii="Times New Roman" w:hAnsi="Times New Roman"/>
          <w:sz w:val="20"/>
          <w:szCs w:val="20"/>
          <w:lang w:val="cs-CZ"/>
        </w:rPr>
      </w:pPr>
      <w:r w:rsidRPr="008B1755">
        <w:rPr>
          <w:rStyle w:val="Style2Char"/>
          <w:sz w:val="20"/>
          <w:lang w:val="cs-CZ"/>
        </w:rPr>
        <w:t>Služba přístupu k internetu poskytuje přístup k internetu a v zásadě ke všem jeho koncovým bodům, bez ohledu na technologii sítě a koncové zařízení, které koncoví uživatelé používají. Avšak z důvodů, které poskytovatelé služeb přístupu k internetu nemohou ovlivnit, mohou být některé koncové body internetu někdy nepřístupné. Mělo by se proto vycházet z toho, že poskytovatelé svou povinnost související s poskytováním služby přístupu k internetu ve smyslu tohoto nařízení splnili, pokud tato služba poskytuje spojení prakticky se všemi koncovými body internetu. Poskytovatelé služeb přístupu k internetu by tedy neměli omezovat možnost spojení s žádným přístupným koncovým bodem internetu</w:t>
      </w:r>
      <w:r w:rsidR="00CF5F20" w:rsidRPr="008B1755">
        <w:rPr>
          <w:rFonts w:ascii="Times New Roman" w:hAnsi="Times New Roman"/>
          <w:sz w:val="20"/>
          <w:szCs w:val="20"/>
          <w:lang w:val="cs-CZ"/>
        </w:rPr>
        <w:t>.</w:t>
      </w:r>
    </w:p>
    <w:p w:rsidR="007E4497" w:rsidRPr="008B1755" w:rsidRDefault="00E412EF" w:rsidP="0038751B">
      <w:pPr>
        <w:pStyle w:val="Odstavecseseznamem"/>
        <w:numPr>
          <w:ilvl w:val="0"/>
          <w:numId w:val="2"/>
        </w:numPr>
        <w:spacing w:after="120"/>
        <w:contextualSpacing w:val="0"/>
        <w:rPr>
          <w:lang w:val="cs-CZ"/>
        </w:rPr>
      </w:pPr>
      <w:r w:rsidRPr="008B1755">
        <w:rPr>
          <w:rFonts w:cs="Arial"/>
          <w:lang w:val="cs-CZ"/>
        </w:rPr>
        <w:t xml:space="preserve">Článek 2 odst. </w:t>
      </w:r>
      <w:r w:rsidR="006773F2" w:rsidRPr="008B1755">
        <w:rPr>
          <w:rFonts w:cs="Arial"/>
          <w:lang w:val="cs-CZ"/>
        </w:rPr>
        <w:t>2</w:t>
      </w:r>
      <w:r w:rsidRPr="008B1755">
        <w:rPr>
          <w:rFonts w:cs="Arial"/>
          <w:lang w:val="cs-CZ"/>
        </w:rPr>
        <w:t xml:space="preserve"> definuje „</w:t>
      </w:r>
      <w:r w:rsidR="00080F70" w:rsidRPr="008B1755">
        <w:rPr>
          <w:rFonts w:cs="Arial"/>
          <w:i/>
          <w:lang w:val="cs-CZ"/>
        </w:rPr>
        <w:t>služb</w:t>
      </w:r>
      <w:r w:rsidRPr="008B1755">
        <w:rPr>
          <w:rFonts w:cs="Arial"/>
          <w:i/>
          <w:lang w:val="cs-CZ"/>
        </w:rPr>
        <w:t>u</w:t>
      </w:r>
      <w:r w:rsidR="00080F70" w:rsidRPr="008B1755">
        <w:rPr>
          <w:rFonts w:cs="Arial"/>
          <w:i/>
          <w:lang w:val="cs-CZ"/>
        </w:rPr>
        <w:t xml:space="preserve"> přístupu k</w:t>
      </w:r>
      <w:r w:rsidRPr="008B1755">
        <w:rPr>
          <w:rFonts w:cs="Arial"/>
          <w:i/>
          <w:lang w:val="cs-CZ"/>
        </w:rPr>
        <w:t> </w:t>
      </w:r>
      <w:r w:rsidR="00080F70" w:rsidRPr="008B1755">
        <w:rPr>
          <w:rFonts w:cs="Arial"/>
          <w:i/>
          <w:lang w:val="cs-CZ"/>
        </w:rPr>
        <w:t>internetu</w:t>
      </w:r>
      <w:r w:rsidRPr="008B1755">
        <w:rPr>
          <w:rFonts w:cs="Arial"/>
          <w:i/>
          <w:lang w:val="cs-CZ"/>
        </w:rPr>
        <w:t>“</w:t>
      </w:r>
      <w:r w:rsidR="007E4497" w:rsidRPr="008B1755">
        <w:rPr>
          <w:rFonts w:cs="Arial"/>
          <w:i/>
          <w:lang w:val="cs-CZ"/>
        </w:rPr>
        <w:t xml:space="preserve"> </w:t>
      </w:r>
      <w:r w:rsidRPr="008B1755">
        <w:rPr>
          <w:rFonts w:cs="Arial"/>
          <w:lang w:val="cs-CZ"/>
        </w:rPr>
        <w:t xml:space="preserve">jako </w:t>
      </w:r>
      <w:r w:rsidR="00DD272F" w:rsidRPr="008B1755">
        <w:rPr>
          <w:rFonts w:cs="Arial"/>
          <w:lang w:val="cs-CZ"/>
        </w:rPr>
        <w:t>služb</w:t>
      </w:r>
      <w:r w:rsidRPr="008B1755">
        <w:rPr>
          <w:rFonts w:cs="Arial"/>
          <w:lang w:val="cs-CZ"/>
        </w:rPr>
        <w:t>u</w:t>
      </w:r>
      <w:r w:rsidR="00DD272F" w:rsidRPr="008B1755">
        <w:rPr>
          <w:rFonts w:cs="Arial"/>
          <w:lang w:val="cs-CZ"/>
        </w:rPr>
        <w:t xml:space="preserve"> elektronických komunikací</w:t>
      </w:r>
      <w:r w:rsidRPr="008B1755">
        <w:rPr>
          <w:rFonts w:cs="Arial"/>
          <w:lang w:val="cs-CZ"/>
        </w:rPr>
        <w:t>,</w:t>
      </w:r>
      <w:r w:rsidRPr="008B1755">
        <w:rPr>
          <w:rStyle w:val="BERECChar"/>
          <w:lang w:val="cs-CZ"/>
        </w:rPr>
        <w:t xml:space="preserve"> která poskytuje přístup k internetu, a tím </w:t>
      </w:r>
      <w:r w:rsidR="00CA4B6A" w:rsidRPr="004E4F9E">
        <w:rPr>
          <w:rStyle w:val="BERECChar"/>
          <w:lang w:val="cs-CZ"/>
        </w:rPr>
        <w:t>s</w:t>
      </w:r>
      <w:r w:rsidRPr="004E4F9E">
        <w:rPr>
          <w:rStyle w:val="BERECChar"/>
          <w:lang w:val="cs-CZ"/>
        </w:rPr>
        <w:t>pojení</w:t>
      </w:r>
      <w:r w:rsidRPr="008B1755">
        <w:rPr>
          <w:rStyle w:val="BERECChar"/>
          <w:lang w:val="cs-CZ"/>
        </w:rPr>
        <w:t xml:space="preserve"> s prakticky všemi koncovými body internetu, bez ohledu na použitou technologii sítě a použité koncové zařízení</w:t>
      </w:r>
      <w:r w:rsidR="007E4497" w:rsidRPr="008B1755">
        <w:rPr>
          <w:rFonts w:cs="Arial"/>
          <w:lang w:val="cs-CZ"/>
        </w:rPr>
        <w:t xml:space="preserve">. </w:t>
      </w:r>
    </w:p>
    <w:p w:rsidR="0025747C" w:rsidRPr="008B1755" w:rsidRDefault="00443548" w:rsidP="0038751B">
      <w:pPr>
        <w:pStyle w:val="Odstavecseseznamem"/>
        <w:numPr>
          <w:ilvl w:val="0"/>
          <w:numId w:val="2"/>
        </w:numPr>
        <w:spacing w:after="120"/>
        <w:contextualSpacing w:val="0"/>
        <w:rPr>
          <w:lang w:val="cs-CZ"/>
        </w:rPr>
      </w:pPr>
      <w:r w:rsidRPr="008B1755">
        <w:rPr>
          <w:rFonts w:cs="Arial"/>
          <w:lang w:val="cs-CZ"/>
        </w:rPr>
        <w:t xml:space="preserve">Pro potřeby </w:t>
      </w:r>
      <w:r w:rsidR="001D46DD" w:rsidRPr="008B1755">
        <w:rPr>
          <w:rFonts w:cs="Arial"/>
          <w:lang w:val="cs-CZ"/>
        </w:rPr>
        <w:t>Nařízení</w:t>
      </w:r>
      <w:r w:rsidRPr="008B1755">
        <w:rPr>
          <w:rFonts w:cs="Arial"/>
          <w:lang w:val="cs-CZ"/>
        </w:rPr>
        <w:t xml:space="preserve"> chápe sdružení </w:t>
      </w:r>
      <w:r w:rsidR="006773F2" w:rsidRPr="008B1755">
        <w:rPr>
          <w:rFonts w:cs="Arial"/>
          <w:lang w:val="cs-CZ"/>
        </w:rPr>
        <w:t xml:space="preserve">BEREC </w:t>
      </w:r>
      <w:r w:rsidRPr="008B1755">
        <w:rPr>
          <w:rFonts w:cs="Arial"/>
          <w:lang w:val="cs-CZ"/>
        </w:rPr>
        <w:t xml:space="preserve">pojem </w:t>
      </w:r>
      <w:r w:rsidRPr="008B1755">
        <w:rPr>
          <w:rFonts w:cs="Arial"/>
          <w:i/>
          <w:lang w:val="cs-CZ"/>
        </w:rPr>
        <w:t>„</w:t>
      </w:r>
      <w:r w:rsidR="007E4497" w:rsidRPr="008B1755">
        <w:rPr>
          <w:rFonts w:cs="Arial"/>
          <w:i/>
          <w:lang w:val="cs-CZ"/>
        </w:rPr>
        <w:t>i</w:t>
      </w:r>
      <w:r w:rsidR="006773F2" w:rsidRPr="008B1755">
        <w:rPr>
          <w:rFonts w:cs="Arial"/>
          <w:i/>
          <w:lang w:val="cs-CZ"/>
        </w:rPr>
        <w:t>nternet</w:t>
      </w:r>
      <w:r w:rsidRPr="008B1755">
        <w:rPr>
          <w:rFonts w:cs="Arial"/>
          <w:i/>
          <w:lang w:val="cs-CZ"/>
        </w:rPr>
        <w:t>“</w:t>
      </w:r>
      <w:r w:rsidR="006773F2" w:rsidRPr="008B1755">
        <w:rPr>
          <w:rFonts w:cs="Arial"/>
          <w:lang w:val="cs-CZ"/>
        </w:rPr>
        <w:t xml:space="preserve"> </w:t>
      </w:r>
      <w:r w:rsidRPr="008B1755">
        <w:rPr>
          <w:rFonts w:cs="Arial"/>
          <w:lang w:val="cs-CZ"/>
        </w:rPr>
        <w:t xml:space="preserve">jako globální systém vzájemně propojených sítí </w:t>
      </w:r>
      <w:r w:rsidRPr="008B1755">
        <w:rPr>
          <w:lang w:val="cs-CZ"/>
        </w:rPr>
        <w:t xml:space="preserve">umožňující připojeným </w:t>
      </w:r>
      <w:r w:rsidR="00C44AED" w:rsidRPr="008B1755">
        <w:rPr>
          <w:lang w:val="cs-CZ"/>
        </w:rPr>
        <w:t>koncov</w:t>
      </w:r>
      <w:r w:rsidRPr="008B1755">
        <w:rPr>
          <w:lang w:val="cs-CZ"/>
        </w:rPr>
        <w:t>ým</w:t>
      </w:r>
      <w:r w:rsidR="00C44AED" w:rsidRPr="008B1755">
        <w:rPr>
          <w:lang w:val="cs-CZ"/>
        </w:rPr>
        <w:t xml:space="preserve"> uživatel</w:t>
      </w:r>
      <w:r w:rsidRPr="008B1755">
        <w:rPr>
          <w:lang w:val="cs-CZ"/>
        </w:rPr>
        <w:t xml:space="preserve">ům spojit se </w:t>
      </w:r>
      <w:r w:rsidR="00143CE5">
        <w:rPr>
          <w:lang w:val="cs-CZ"/>
        </w:rPr>
        <w:t xml:space="preserve">mezi </w:t>
      </w:r>
      <w:r w:rsidRPr="008B1755">
        <w:rPr>
          <w:lang w:val="cs-CZ"/>
        </w:rPr>
        <w:t>s</w:t>
      </w:r>
      <w:r w:rsidR="00143CE5">
        <w:rPr>
          <w:lang w:val="cs-CZ"/>
        </w:rPr>
        <w:t xml:space="preserve">ebou </w:t>
      </w:r>
      <w:r w:rsidRPr="008B1755">
        <w:rPr>
          <w:lang w:val="cs-CZ"/>
        </w:rPr>
        <w:t xml:space="preserve"> navzájem</w:t>
      </w:r>
      <w:r w:rsidR="0025747C" w:rsidRPr="008B1755">
        <w:rPr>
          <w:lang w:val="cs-CZ"/>
        </w:rPr>
        <w:t xml:space="preserve">. </w:t>
      </w:r>
      <w:r w:rsidRPr="008B1755">
        <w:rPr>
          <w:lang w:val="cs-CZ"/>
        </w:rPr>
        <w:t xml:space="preserve">Služba </w:t>
      </w:r>
      <w:r w:rsidR="00DD272F" w:rsidRPr="008B1755">
        <w:rPr>
          <w:lang w:val="cs-CZ"/>
        </w:rPr>
        <w:t>přístupu k internetu</w:t>
      </w:r>
      <w:r w:rsidR="007E4497" w:rsidRPr="008B1755">
        <w:rPr>
          <w:lang w:val="cs-CZ"/>
        </w:rPr>
        <w:t xml:space="preserve"> </w:t>
      </w:r>
      <w:r w:rsidRPr="008B1755">
        <w:rPr>
          <w:lang w:val="cs-CZ"/>
        </w:rPr>
        <w:t xml:space="preserve">umožňuje </w:t>
      </w:r>
      <w:r w:rsidR="00E41CCF" w:rsidRPr="008B1755">
        <w:rPr>
          <w:lang w:val="cs-CZ"/>
        </w:rPr>
        <w:t>t</w:t>
      </w:r>
      <w:r w:rsidR="00E41CCF">
        <w:rPr>
          <w:lang w:val="cs-CZ"/>
        </w:rPr>
        <w:t>akový</w:t>
      </w:r>
      <w:r w:rsidR="00E41CCF" w:rsidRPr="008B1755">
        <w:rPr>
          <w:lang w:val="cs-CZ"/>
        </w:rPr>
        <w:t xml:space="preserve"> </w:t>
      </w:r>
      <w:r w:rsidRPr="008B1755">
        <w:rPr>
          <w:lang w:val="cs-CZ"/>
        </w:rPr>
        <w:t xml:space="preserve">přístup </w:t>
      </w:r>
      <w:r w:rsidR="004F640E">
        <w:rPr>
          <w:lang w:val="cs-CZ"/>
        </w:rPr>
        <w:t>k</w:t>
      </w:r>
      <w:r w:rsidRPr="008B1755">
        <w:rPr>
          <w:lang w:val="cs-CZ"/>
        </w:rPr>
        <w:t xml:space="preserve"> </w:t>
      </w:r>
      <w:r w:rsidR="007E4497" w:rsidRPr="008B1755">
        <w:rPr>
          <w:lang w:val="cs-CZ"/>
        </w:rPr>
        <w:t>internet</w:t>
      </w:r>
      <w:r w:rsidR="004F640E">
        <w:rPr>
          <w:lang w:val="cs-CZ"/>
        </w:rPr>
        <w:t>u</w:t>
      </w:r>
      <w:r w:rsidR="007E4497" w:rsidRPr="008B1755">
        <w:rPr>
          <w:lang w:val="cs-CZ"/>
        </w:rPr>
        <w:t xml:space="preserve">. </w:t>
      </w:r>
    </w:p>
    <w:p w:rsidR="007E4497" w:rsidRPr="008B1755" w:rsidRDefault="00443548" w:rsidP="0038751B">
      <w:pPr>
        <w:pStyle w:val="Odstavecseseznamem"/>
        <w:numPr>
          <w:ilvl w:val="0"/>
          <w:numId w:val="2"/>
        </w:numPr>
        <w:spacing w:after="120"/>
        <w:contextualSpacing w:val="0"/>
        <w:rPr>
          <w:rFonts w:cs="Arial"/>
          <w:lang w:val="cs-CZ"/>
        </w:rPr>
      </w:pPr>
      <w:r w:rsidRPr="008B1755">
        <w:rPr>
          <w:lang w:val="cs-CZ"/>
        </w:rPr>
        <w:t xml:space="preserve">Sdružení </w:t>
      </w:r>
      <w:r w:rsidR="0025747C" w:rsidRPr="008B1755">
        <w:rPr>
          <w:lang w:val="cs-CZ"/>
        </w:rPr>
        <w:t xml:space="preserve">BEREC </w:t>
      </w:r>
      <w:r w:rsidRPr="008B1755">
        <w:rPr>
          <w:lang w:val="cs-CZ"/>
        </w:rPr>
        <w:t xml:space="preserve">chápe pojem </w:t>
      </w:r>
      <w:r w:rsidRPr="008B1755">
        <w:rPr>
          <w:i/>
          <w:lang w:val="cs-CZ"/>
        </w:rPr>
        <w:t>„</w:t>
      </w:r>
      <w:r w:rsidR="004E4F9E">
        <w:rPr>
          <w:i/>
          <w:lang w:val="cs-CZ"/>
        </w:rPr>
        <w:t>s</w:t>
      </w:r>
      <w:r w:rsidRPr="008B1755">
        <w:rPr>
          <w:i/>
          <w:lang w:val="cs-CZ"/>
        </w:rPr>
        <w:t>pojení s prakticky všemi koncovými body“</w:t>
      </w:r>
      <w:r w:rsidR="0025747C" w:rsidRPr="008B1755">
        <w:rPr>
          <w:lang w:val="cs-CZ"/>
        </w:rPr>
        <w:t xml:space="preserve"> </w:t>
      </w:r>
      <w:r w:rsidRPr="008B1755">
        <w:rPr>
          <w:lang w:val="cs-CZ"/>
        </w:rPr>
        <w:t xml:space="preserve">jako důsledek toho, že </w:t>
      </w:r>
      <w:r w:rsidR="0025747C" w:rsidRPr="008B1755">
        <w:rPr>
          <w:lang w:val="cs-CZ"/>
        </w:rPr>
        <w:t xml:space="preserve">internet </w:t>
      </w:r>
      <w:r w:rsidRPr="008B1755">
        <w:rPr>
          <w:lang w:val="cs-CZ"/>
        </w:rPr>
        <w:t xml:space="preserve">je decentralizovaný systém, kde jeden </w:t>
      </w:r>
      <w:r w:rsidR="00DD272F" w:rsidRPr="008B1755">
        <w:rPr>
          <w:lang w:val="cs-CZ"/>
        </w:rPr>
        <w:t>poskytovatel internetových služeb</w:t>
      </w:r>
      <w:r w:rsidR="00A83042" w:rsidRPr="008B1755">
        <w:rPr>
          <w:lang w:val="cs-CZ"/>
        </w:rPr>
        <w:t xml:space="preserve"> </w:t>
      </w:r>
      <w:r w:rsidRPr="008B1755">
        <w:rPr>
          <w:lang w:val="cs-CZ"/>
        </w:rPr>
        <w:t xml:space="preserve">ovládá </w:t>
      </w:r>
      <w:r w:rsidR="00E41CCF">
        <w:rPr>
          <w:lang w:val="cs-CZ"/>
        </w:rPr>
        <w:t>pouze</w:t>
      </w:r>
      <w:r w:rsidR="00E41CCF" w:rsidRPr="008B1755">
        <w:rPr>
          <w:lang w:val="cs-CZ"/>
        </w:rPr>
        <w:t xml:space="preserve"> </w:t>
      </w:r>
      <w:r w:rsidRPr="008B1755">
        <w:rPr>
          <w:lang w:val="cs-CZ"/>
        </w:rPr>
        <w:t>omezenou část</w:t>
      </w:r>
      <w:r w:rsidR="0025747C" w:rsidRPr="008B1755">
        <w:rPr>
          <w:lang w:val="cs-CZ"/>
        </w:rPr>
        <w:t xml:space="preserve">. </w:t>
      </w:r>
      <w:r w:rsidR="0093524D" w:rsidRPr="008B1755">
        <w:rPr>
          <w:lang w:val="cs-CZ"/>
        </w:rPr>
        <w:t xml:space="preserve">Z důvodů, které nejsou pod kontrolou jednotlivého </w:t>
      </w:r>
      <w:r w:rsidR="00DD272F" w:rsidRPr="008B1755">
        <w:rPr>
          <w:lang w:val="cs-CZ"/>
        </w:rPr>
        <w:t>poskytovatel</w:t>
      </w:r>
      <w:r w:rsidR="0093524D" w:rsidRPr="008B1755">
        <w:rPr>
          <w:lang w:val="cs-CZ"/>
        </w:rPr>
        <w:t>e</w:t>
      </w:r>
      <w:r w:rsidR="00DD272F" w:rsidRPr="008B1755">
        <w:rPr>
          <w:lang w:val="cs-CZ"/>
        </w:rPr>
        <w:t xml:space="preserve"> internetových služeb</w:t>
      </w:r>
      <w:r w:rsidR="007E4497" w:rsidRPr="008B1755">
        <w:rPr>
          <w:lang w:val="cs-CZ"/>
        </w:rPr>
        <w:t xml:space="preserve"> (</w:t>
      </w:r>
      <w:r w:rsidR="00BE001A" w:rsidRPr="008B1755">
        <w:rPr>
          <w:lang w:val="cs-CZ"/>
        </w:rPr>
        <w:t>např.</w:t>
      </w:r>
      <w:r w:rsidR="007E4497" w:rsidRPr="008B1755">
        <w:rPr>
          <w:lang w:val="cs-CZ"/>
        </w:rPr>
        <w:t xml:space="preserve"> </w:t>
      </w:r>
      <w:r w:rsidR="0025747C" w:rsidRPr="008B1755">
        <w:rPr>
          <w:lang w:val="cs-CZ"/>
        </w:rPr>
        <w:t>technic</w:t>
      </w:r>
      <w:r w:rsidR="0093524D" w:rsidRPr="008B1755">
        <w:rPr>
          <w:lang w:val="cs-CZ"/>
        </w:rPr>
        <w:t>ká omezení</w:t>
      </w:r>
      <w:r w:rsidR="0025747C" w:rsidRPr="008B1755">
        <w:rPr>
          <w:lang w:val="cs-CZ"/>
        </w:rPr>
        <w:t xml:space="preserve">, </w:t>
      </w:r>
      <w:r w:rsidR="0093524D" w:rsidRPr="008B1755">
        <w:rPr>
          <w:lang w:val="cs-CZ"/>
        </w:rPr>
        <w:t xml:space="preserve">politika ostatních </w:t>
      </w:r>
      <w:r w:rsidR="007D7F64" w:rsidRPr="008B1755">
        <w:rPr>
          <w:lang w:val="cs-CZ"/>
        </w:rPr>
        <w:t>poskytovatel</w:t>
      </w:r>
      <w:r w:rsidR="0093524D" w:rsidRPr="008B1755">
        <w:rPr>
          <w:lang w:val="cs-CZ"/>
        </w:rPr>
        <w:t>ů</w:t>
      </w:r>
      <w:r w:rsidR="007D7F64" w:rsidRPr="008B1755">
        <w:rPr>
          <w:lang w:val="cs-CZ"/>
        </w:rPr>
        <w:t xml:space="preserve"> internetových služeb</w:t>
      </w:r>
      <w:r w:rsidR="0025747C" w:rsidRPr="008B1755">
        <w:rPr>
          <w:lang w:val="cs-CZ"/>
        </w:rPr>
        <w:t xml:space="preserve"> </w:t>
      </w:r>
      <w:r w:rsidR="0093524D" w:rsidRPr="008B1755">
        <w:rPr>
          <w:lang w:val="cs-CZ"/>
        </w:rPr>
        <w:t>nebo regulace v některých zemích</w:t>
      </w:r>
      <w:r w:rsidR="007E4497" w:rsidRPr="008B1755">
        <w:rPr>
          <w:lang w:val="cs-CZ"/>
        </w:rPr>
        <w:t>)</w:t>
      </w:r>
      <w:r w:rsidR="0025747C" w:rsidRPr="008B1755">
        <w:rPr>
          <w:lang w:val="cs-CZ"/>
        </w:rPr>
        <w:t xml:space="preserve">, </w:t>
      </w:r>
      <w:r w:rsidR="0093524D" w:rsidRPr="008B1755">
        <w:rPr>
          <w:lang w:val="cs-CZ"/>
        </w:rPr>
        <w:t>nemusí být všechny koncové body vždy dosažitelné</w:t>
      </w:r>
      <w:r w:rsidR="0025747C" w:rsidRPr="008B1755">
        <w:rPr>
          <w:lang w:val="cs-CZ"/>
        </w:rPr>
        <w:t>.</w:t>
      </w:r>
      <w:r w:rsidR="007E4497" w:rsidRPr="008B1755">
        <w:rPr>
          <w:lang w:val="cs-CZ"/>
        </w:rPr>
        <w:t xml:space="preserve"> </w:t>
      </w:r>
      <w:r w:rsidR="0093524D" w:rsidRPr="008B1755">
        <w:rPr>
          <w:lang w:val="cs-CZ"/>
        </w:rPr>
        <w:t xml:space="preserve">Nicméně tato nedosažitelnost by neměla zabraňovat tomu, aby tato služba byla definována jako </w:t>
      </w:r>
      <w:r w:rsidR="007D7F64" w:rsidRPr="008B1755">
        <w:rPr>
          <w:lang w:val="cs-CZ"/>
        </w:rPr>
        <w:t>služba přístupu k internetu</w:t>
      </w:r>
      <w:r w:rsidR="007E4497" w:rsidRPr="008B1755">
        <w:rPr>
          <w:lang w:val="cs-CZ"/>
        </w:rPr>
        <w:t xml:space="preserve">. </w:t>
      </w:r>
    </w:p>
    <w:p w:rsidR="00EE1660" w:rsidRPr="008B1755" w:rsidRDefault="0093524D" w:rsidP="0038751B">
      <w:pPr>
        <w:pStyle w:val="Odstavecseseznamem"/>
        <w:numPr>
          <w:ilvl w:val="0"/>
          <w:numId w:val="2"/>
        </w:numPr>
        <w:spacing w:after="120"/>
        <w:contextualSpacing w:val="0"/>
        <w:rPr>
          <w:lang w:val="cs-CZ"/>
        </w:rPr>
      </w:pPr>
      <w:r w:rsidRPr="008B1755">
        <w:rPr>
          <w:lang w:val="cs-CZ"/>
        </w:rPr>
        <w:t xml:space="preserve">V situaci, kdy omezení v dosažení koncových bodů vyplývají z použití dvou různých </w:t>
      </w:r>
      <w:r w:rsidR="00CA4B6A">
        <w:rPr>
          <w:lang w:val="cs-CZ"/>
        </w:rPr>
        <w:t>verzí</w:t>
      </w:r>
      <w:r w:rsidRPr="008B1755">
        <w:rPr>
          <w:lang w:val="cs-CZ"/>
        </w:rPr>
        <w:t xml:space="preserve"> internetových adres</w:t>
      </w:r>
      <w:r w:rsidR="00EE1660" w:rsidRPr="008B1755">
        <w:rPr>
          <w:lang w:val="cs-CZ"/>
        </w:rPr>
        <w:t xml:space="preserve">, IPv4 a IPv6, </w:t>
      </w:r>
      <w:r w:rsidRPr="008B1755">
        <w:rPr>
          <w:lang w:val="cs-CZ"/>
        </w:rPr>
        <w:t xml:space="preserve">to zpravidla neznamená, že dané služby nelze definovat jako </w:t>
      </w:r>
      <w:r w:rsidR="007D7F64" w:rsidRPr="008B1755">
        <w:rPr>
          <w:lang w:val="cs-CZ"/>
        </w:rPr>
        <w:t>služb</w:t>
      </w:r>
      <w:r w:rsidRPr="008B1755">
        <w:rPr>
          <w:lang w:val="cs-CZ"/>
        </w:rPr>
        <w:t>u</w:t>
      </w:r>
      <w:r w:rsidR="007D7F64" w:rsidRPr="008B1755">
        <w:rPr>
          <w:lang w:val="cs-CZ"/>
        </w:rPr>
        <w:t xml:space="preserve"> přístupu k internetu</w:t>
      </w:r>
      <w:r w:rsidR="00EE1660" w:rsidRPr="008B1755">
        <w:rPr>
          <w:lang w:val="cs-CZ"/>
        </w:rPr>
        <w:t xml:space="preserve">. </w:t>
      </w:r>
      <w:r w:rsidRPr="008B1755">
        <w:rPr>
          <w:lang w:val="cs-CZ"/>
        </w:rPr>
        <w:t>I když není možné propojit dva různé body s různým typem adres bez funkce převodu</w:t>
      </w:r>
      <w:r w:rsidR="00EE1660" w:rsidRPr="008B1755">
        <w:rPr>
          <w:lang w:val="cs-CZ"/>
        </w:rPr>
        <w:t xml:space="preserve">, </w:t>
      </w:r>
      <w:r w:rsidRPr="008B1755">
        <w:rPr>
          <w:lang w:val="cs-CZ"/>
        </w:rPr>
        <w:t xml:space="preserve">sdružení </w:t>
      </w:r>
      <w:r w:rsidR="00EE1660" w:rsidRPr="008B1755">
        <w:rPr>
          <w:lang w:val="cs-CZ"/>
        </w:rPr>
        <w:t xml:space="preserve">BEREC </w:t>
      </w:r>
      <w:r w:rsidRPr="008B1755">
        <w:rPr>
          <w:lang w:val="cs-CZ"/>
        </w:rPr>
        <w:t xml:space="preserve">má za to, že </w:t>
      </w:r>
      <w:r w:rsidR="00D2652F">
        <w:rPr>
          <w:lang w:val="cs-CZ"/>
        </w:rPr>
        <w:t>pojem</w:t>
      </w:r>
      <w:r w:rsidRPr="008B1755">
        <w:rPr>
          <w:lang w:val="cs-CZ"/>
        </w:rPr>
        <w:t xml:space="preserve"> </w:t>
      </w:r>
      <w:r w:rsidRPr="008B1755">
        <w:rPr>
          <w:i/>
          <w:lang w:val="cs-CZ"/>
        </w:rPr>
        <w:t xml:space="preserve">„prakticky všechny koncové body“ </w:t>
      </w:r>
      <w:r w:rsidRPr="008B1755">
        <w:rPr>
          <w:lang w:val="cs-CZ"/>
        </w:rPr>
        <w:t xml:space="preserve">by prozatím neměl být vykládán jako požadavek, aby </w:t>
      </w:r>
      <w:r w:rsidR="007D7F64" w:rsidRPr="008B1755">
        <w:rPr>
          <w:lang w:val="cs-CZ"/>
        </w:rPr>
        <w:t>poskytovatelé internetových služeb</w:t>
      </w:r>
      <w:r w:rsidR="00EE1660" w:rsidRPr="008B1755">
        <w:rPr>
          <w:lang w:val="cs-CZ"/>
        </w:rPr>
        <w:t xml:space="preserve"> </w:t>
      </w:r>
      <w:r w:rsidRPr="008B1755">
        <w:rPr>
          <w:lang w:val="cs-CZ"/>
        </w:rPr>
        <w:t xml:space="preserve">nabízeli propojení </w:t>
      </w:r>
      <w:r w:rsidR="00E41CCF">
        <w:rPr>
          <w:lang w:val="cs-CZ"/>
        </w:rPr>
        <w:t xml:space="preserve"> na bázi obou </w:t>
      </w:r>
      <w:r w:rsidR="00CA4B6A">
        <w:rPr>
          <w:lang w:val="cs-CZ"/>
        </w:rPr>
        <w:t>verzí</w:t>
      </w:r>
      <w:r w:rsidR="00E41CCF">
        <w:rPr>
          <w:lang w:val="cs-CZ"/>
        </w:rPr>
        <w:t>,</w:t>
      </w:r>
      <w:r w:rsidR="00E41CCF" w:rsidRPr="008B1755">
        <w:rPr>
          <w:lang w:val="cs-CZ"/>
        </w:rPr>
        <w:t xml:space="preserve"> </w:t>
      </w:r>
      <w:r w:rsidR="00EE1660" w:rsidRPr="008B1755">
        <w:rPr>
          <w:lang w:val="cs-CZ"/>
        </w:rPr>
        <w:t xml:space="preserve">IPv4 </w:t>
      </w:r>
      <w:r w:rsidRPr="008B1755">
        <w:rPr>
          <w:lang w:val="cs-CZ"/>
        </w:rPr>
        <w:t xml:space="preserve">i </w:t>
      </w:r>
      <w:r w:rsidR="00EE1660" w:rsidRPr="008B1755">
        <w:rPr>
          <w:lang w:val="cs-CZ"/>
        </w:rPr>
        <w:t xml:space="preserve">IPv6. </w:t>
      </w:r>
    </w:p>
    <w:p w:rsidR="005452BA" w:rsidRPr="008B1755" w:rsidRDefault="0093524D" w:rsidP="0038751B">
      <w:pPr>
        <w:pStyle w:val="Odstavecseseznamem"/>
        <w:numPr>
          <w:ilvl w:val="0"/>
          <w:numId w:val="2"/>
        </w:numPr>
        <w:spacing w:after="120"/>
        <w:contextualSpacing w:val="0"/>
        <w:rPr>
          <w:lang w:val="cs-CZ"/>
        </w:rPr>
      </w:pPr>
      <w:bookmarkStart w:id="10" w:name="_Ref449105002"/>
      <w:r w:rsidRPr="008B1755">
        <w:rPr>
          <w:lang w:val="cs-CZ"/>
        </w:rPr>
        <w:t xml:space="preserve">Sdružení </w:t>
      </w:r>
      <w:r w:rsidR="009E2DC6" w:rsidRPr="008B1755">
        <w:rPr>
          <w:lang w:val="cs-CZ"/>
        </w:rPr>
        <w:t xml:space="preserve">BEREC </w:t>
      </w:r>
      <w:r w:rsidRPr="008B1755">
        <w:rPr>
          <w:lang w:val="cs-CZ"/>
        </w:rPr>
        <w:t xml:space="preserve">chápe </w:t>
      </w:r>
      <w:r w:rsidR="009E2DC6" w:rsidRPr="008B1755">
        <w:rPr>
          <w:rStyle w:val="BERECChar"/>
          <w:lang w:val="cs-CZ"/>
        </w:rPr>
        <w:t>sub-internet</w:t>
      </w:r>
      <w:r w:rsidR="000C3CE2" w:rsidRPr="008B1755">
        <w:rPr>
          <w:rStyle w:val="BERECChar"/>
          <w:lang w:val="cs-CZ"/>
        </w:rPr>
        <w:t>ovou službu</w:t>
      </w:r>
      <w:r w:rsidR="009E2DC6" w:rsidRPr="008B1755">
        <w:rPr>
          <w:lang w:val="cs-CZ"/>
        </w:rPr>
        <w:t xml:space="preserve"> </w:t>
      </w:r>
      <w:r w:rsidRPr="008B1755">
        <w:rPr>
          <w:lang w:val="cs-CZ"/>
        </w:rPr>
        <w:t>jako službu</w:t>
      </w:r>
      <w:r w:rsidR="00D44301" w:rsidRPr="008B1755">
        <w:rPr>
          <w:lang w:val="cs-CZ"/>
        </w:rPr>
        <w:t xml:space="preserve">, která omezuje přístup k službám nebo aplikacím </w:t>
      </w:r>
      <w:r w:rsidR="009E2DC6" w:rsidRPr="008B1755">
        <w:rPr>
          <w:lang w:val="cs-CZ"/>
        </w:rPr>
        <w:t>(</w:t>
      </w:r>
      <w:r w:rsidR="00BE001A" w:rsidRPr="008B1755">
        <w:rPr>
          <w:lang w:val="cs-CZ"/>
        </w:rPr>
        <w:t>např.</w:t>
      </w:r>
      <w:r w:rsidR="009E2DC6" w:rsidRPr="008B1755">
        <w:rPr>
          <w:lang w:val="cs-CZ"/>
        </w:rPr>
        <w:t xml:space="preserve"> </w:t>
      </w:r>
      <w:r w:rsidR="00D44301" w:rsidRPr="008B1755">
        <w:rPr>
          <w:lang w:val="cs-CZ"/>
        </w:rPr>
        <w:t xml:space="preserve">zákaz používání technologie </w:t>
      </w:r>
      <w:r w:rsidR="009E2DC6" w:rsidRPr="008B1755">
        <w:rPr>
          <w:lang w:val="cs-CZ"/>
        </w:rPr>
        <w:t xml:space="preserve">VoIP </w:t>
      </w:r>
      <w:r w:rsidR="00D44301" w:rsidRPr="008B1755">
        <w:rPr>
          <w:lang w:val="cs-CZ"/>
        </w:rPr>
        <w:t xml:space="preserve">nebo streamování </w:t>
      </w:r>
      <w:r w:rsidR="009E2DC6" w:rsidRPr="008B1755">
        <w:rPr>
          <w:lang w:val="cs-CZ"/>
        </w:rPr>
        <w:t>vide</w:t>
      </w:r>
      <w:r w:rsidR="00D44301" w:rsidRPr="008B1755">
        <w:rPr>
          <w:lang w:val="cs-CZ"/>
        </w:rPr>
        <w:t>a</w:t>
      </w:r>
      <w:r w:rsidR="009E2DC6" w:rsidRPr="008B1755">
        <w:rPr>
          <w:lang w:val="cs-CZ"/>
        </w:rPr>
        <w:t xml:space="preserve">) </w:t>
      </w:r>
      <w:r w:rsidR="00D44301" w:rsidRPr="008B1755">
        <w:rPr>
          <w:lang w:val="cs-CZ"/>
        </w:rPr>
        <w:t xml:space="preserve">nebo umožňuje přístup pouze na předem vymezenou část </w:t>
      </w:r>
      <w:r w:rsidR="009E2DC6" w:rsidRPr="008B1755">
        <w:rPr>
          <w:lang w:val="cs-CZ"/>
        </w:rPr>
        <w:t>internet</w:t>
      </w:r>
      <w:r w:rsidR="00D44301" w:rsidRPr="008B1755">
        <w:rPr>
          <w:lang w:val="cs-CZ"/>
        </w:rPr>
        <w:t>u</w:t>
      </w:r>
      <w:r w:rsidR="009E2DC6" w:rsidRPr="008B1755">
        <w:rPr>
          <w:lang w:val="cs-CZ"/>
        </w:rPr>
        <w:t xml:space="preserve"> (</w:t>
      </w:r>
      <w:r w:rsidR="00BE001A" w:rsidRPr="008B1755">
        <w:rPr>
          <w:lang w:val="cs-CZ"/>
        </w:rPr>
        <w:t>např.</w:t>
      </w:r>
      <w:r w:rsidR="009E2DC6" w:rsidRPr="008B1755">
        <w:rPr>
          <w:lang w:val="cs-CZ"/>
        </w:rPr>
        <w:t xml:space="preserve"> </w:t>
      </w:r>
      <w:r w:rsidR="00D44301" w:rsidRPr="008B1755">
        <w:rPr>
          <w:lang w:val="cs-CZ"/>
        </w:rPr>
        <w:t>přístup pouze na určité webové stránky</w:t>
      </w:r>
      <w:r w:rsidR="009E2DC6" w:rsidRPr="008B1755">
        <w:rPr>
          <w:lang w:val="cs-CZ"/>
        </w:rPr>
        <w:t xml:space="preserve">). </w:t>
      </w:r>
      <w:r w:rsidR="00D44301" w:rsidRPr="008B1755">
        <w:rPr>
          <w:lang w:val="cs-CZ"/>
        </w:rPr>
        <w:t xml:space="preserve">Vnitrostátní </w:t>
      </w:r>
      <w:r w:rsidR="00926BAE" w:rsidRPr="008B1755">
        <w:rPr>
          <w:lang w:val="cs-CZ"/>
        </w:rPr>
        <w:t>regulační orgány</w:t>
      </w:r>
      <w:r w:rsidR="00B95FE0" w:rsidRPr="008B1755">
        <w:rPr>
          <w:lang w:val="cs-CZ"/>
        </w:rPr>
        <w:t xml:space="preserve"> </w:t>
      </w:r>
      <w:r w:rsidR="00D44301" w:rsidRPr="008B1755">
        <w:rPr>
          <w:lang w:val="cs-CZ"/>
        </w:rPr>
        <w:t xml:space="preserve">by měly zohlednit skutečnost, že </w:t>
      </w:r>
      <w:r w:rsidR="00DD272F" w:rsidRPr="008B1755">
        <w:rPr>
          <w:lang w:val="cs-CZ"/>
        </w:rPr>
        <w:t>poskytovatel internetových služeb</w:t>
      </w:r>
      <w:r w:rsidR="00B95FE0" w:rsidRPr="008B1755">
        <w:rPr>
          <w:lang w:val="cs-CZ"/>
        </w:rPr>
        <w:t xml:space="preserve"> </w:t>
      </w:r>
      <w:r w:rsidR="00D44301" w:rsidRPr="008B1755">
        <w:rPr>
          <w:lang w:val="cs-CZ"/>
        </w:rPr>
        <w:t>by mohl snadno obejít Nařízení</w:t>
      </w:r>
      <w:r w:rsidR="00B95FE0" w:rsidRPr="008B1755">
        <w:rPr>
          <w:lang w:val="cs-CZ"/>
        </w:rPr>
        <w:t xml:space="preserve"> </w:t>
      </w:r>
      <w:r w:rsidR="00D44301" w:rsidRPr="008B1755">
        <w:rPr>
          <w:lang w:val="cs-CZ"/>
        </w:rPr>
        <w:t xml:space="preserve">tím, že by poskytoval tyto </w:t>
      </w:r>
      <w:r w:rsidR="009E2DC6" w:rsidRPr="008B1755">
        <w:rPr>
          <w:lang w:val="cs-CZ"/>
        </w:rPr>
        <w:t>sub-internet</w:t>
      </w:r>
      <w:r w:rsidR="00F300F4" w:rsidRPr="008B1755">
        <w:rPr>
          <w:lang w:val="cs-CZ"/>
        </w:rPr>
        <w:t>ové</w:t>
      </w:r>
      <w:r w:rsidR="009E2DC6" w:rsidRPr="008B1755">
        <w:rPr>
          <w:lang w:val="cs-CZ"/>
        </w:rPr>
        <w:t xml:space="preserve"> </w:t>
      </w:r>
      <w:r w:rsidR="00F300F4" w:rsidRPr="008B1755">
        <w:rPr>
          <w:lang w:val="cs-CZ"/>
        </w:rPr>
        <w:t>nabídky</w:t>
      </w:r>
      <w:r w:rsidR="00B95FE0" w:rsidRPr="008B1755">
        <w:rPr>
          <w:lang w:val="cs-CZ"/>
        </w:rPr>
        <w:t xml:space="preserve">. </w:t>
      </w:r>
      <w:r w:rsidR="00D44301" w:rsidRPr="008B1755">
        <w:rPr>
          <w:lang w:val="cs-CZ"/>
        </w:rPr>
        <w:t xml:space="preserve">Tyto služby by proto měly být považovány za služby v oblasti působnosti </w:t>
      </w:r>
      <w:r w:rsidR="001D46DD" w:rsidRPr="008B1755">
        <w:rPr>
          <w:lang w:val="cs-CZ"/>
        </w:rPr>
        <w:t>Nařízení</w:t>
      </w:r>
      <w:r w:rsidR="00D44301" w:rsidRPr="008B1755">
        <w:rPr>
          <w:lang w:val="cs-CZ"/>
        </w:rPr>
        <w:t xml:space="preserve"> a skutečnost, že zajišťují omezený přístup na </w:t>
      </w:r>
      <w:r w:rsidR="00B95FE0" w:rsidRPr="008B1755">
        <w:rPr>
          <w:lang w:val="cs-CZ"/>
        </w:rPr>
        <w:t>internet</w:t>
      </w:r>
      <w:r w:rsidR="00D44301" w:rsidRPr="008B1755">
        <w:rPr>
          <w:lang w:val="cs-CZ"/>
        </w:rPr>
        <w:t xml:space="preserve">, by měla představovat porušení čl. </w:t>
      </w:r>
      <w:r w:rsidR="00B95FE0" w:rsidRPr="008B1755">
        <w:rPr>
          <w:lang w:val="cs-CZ"/>
        </w:rPr>
        <w:t>3</w:t>
      </w:r>
      <w:r w:rsidR="00D44301" w:rsidRPr="008B1755">
        <w:rPr>
          <w:lang w:val="cs-CZ"/>
        </w:rPr>
        <w:t xml:space="preserve"> odst. </w:t>
      </w:r>
      <w:r w:rsidR="00B95FE0" w:rsidRPr="008B1755">
        <w:rPr>
          <w:lang w:val="cs-CZ"/>
        </w:rPr>
        <w:t xml:space="preserve">1, </w:t>
      </w:r>
      <w:r w:rsidR="00D44301" w:rsidRPr="008B1755">
        <w:rPr>
          <w:lang w:val="cs-CZ"/>
        </w:rPr>
        <w:t xml:space="preserve">čl. 3 odst. </w:t>
      </w:r>
      <w:r w:rsidR="00B95FE0" w:rsidRPr="008B1755">
        <w:rPr>
          <w:lang w:val="cs-CZ"/>
        </w:rPr>
        <w:t>2</w:t>
      </w:r>
      <w:r w:rsidR="00D44301" w:rsidRPr="008B1755">
        <w:rPr>
          <w:lang w:val="cs-CZ"/>
        </w:rPr>
        <w:t xml:space="preserve"> a čl. 3 odst. </w:t>
      </w:r>
      <w:r w:rsidR="00B95FE0" w:rsidRPr="008B1755">
        <w:rPr>
          <w:lang w:val="cs-CZ"/>
        </w:rPr>
        <w:t xml:space="preserve">3 </w:t>
      </w:r>
      <w:r w:rsidR="001D46DD" w:rsidRPr="008B1755">
        <w:rPr>
          <w:lang w:val="cs-CZ"/>
        </w:rPr>
        <w:t>Nařízení</w:t>
      </w:r>
      <w:r w:rsidR="00B95FE0" w:rsidRPr="008B1755">
        <w:rPr>
          <w:lang w:val="cs-CZ"/>
        </w:rPr>
        <w:t xml:space="preserve">. </w:t>
      </w:r>
      <w:bookmarkEnd w:id="10"/>
      <w:r w:rsidR="00D44301" w:rsidRPr="008B1755">
        <w:rPr>
          <w:lang w:val="cs-CZ"/>
        </w:rPr>
        <w:t xml:space="preserve">Sdružení </w:t>
      </w:r>
      <w:r w:rsidR="00F10D05" w:rsidRPr="008B1755">
        <w:rPr>
          <w:lang w:val="cs-CZ"/>
        </w:rPr>
        <w:t xml:space="preserve">BEREC </w:t>
      </w:r>
      <w:r w:rsidR="00D44301" w:rsidRPr="008B1755">
        <w:rPr>
          <w:lang w:val="cs-CZ"/>
        </w:rPr>
        <w:t xml:space="preserve">označuje tyto nabídky služeb jako </w:t>
      </w:r>
      <w:r w:rsidR="00F300F4" w:rsidRPr="008B1755">
        <w:rPr>
          <w:lang w:val="cs-CZ"/>
        </w:rPr>
        <w:t>„</w:t>
      </w:r>
      <w:r w:rsidR="00F10D05" w:rsidRPr="008B1755">
        <w:rPr>
          <w:lang w:val="cs-CZ"/>
        </w:rPr>
        <w:t>sub</w:t>
      </w:r>
      <w:r w:rsidR="00F300F4" w:rsidRPr="008B1755">
        <w:rPr>
          <w:lang w:val="cs-CZ"/>
        </w:rPr>
        <w:t>-</w:t>
      </w:r>
      <w:r w:rsidR="00F10D05" w:rsidRPr="008B1755">
        <w:rPr>
          <w:lang w:val="cs-CZ"/>
        </w:rPr>
        <w:t>internet</w:t>
      </w:r>
      <w:r w:rsidR="00F300F4" w:rsidRPr="008B1755">
        <w:rPr>
          <w:lang w:val="cs-CZ"/>
        </w:rPr>
        <w:t>ové služby“</w:t>
      </w:r>
      <w:r w:rsidR="00F10D05" w:rsidRPr="008B1755">
        <w:rPr>
          <w:lang w:val="cs-CZ"/>
        </w:rPr>
        <w:t xml:space="preserve">, </w:t>
      </w:r>
      <w:r w:rsidR="00D44301" w:rsidRPr="008B1755">
        <w:rPr>
          <w:lang w:val="cs-CZ"/>
        </w:rPr>
        <w:t xml:space="preserve">jak je dále uvedeno </w:t>
      </w:r>
      <w:r w:rsidR="00DD272F" w:rsidRPr="008B1755">
        <w:rPr>
          <w:lang w:val="cs-CZ"/>
        </w:rPr>
        <w:t>v</w:t>
      </w:r>
      <w:r w:rsidRPr="008B1755">
        <w:rPr>
          <w:lang w:val="cs-CZ"/>
        </w:rPr>
        <w:t> </w:t>
      </w:r>
      <w:r w:rsidR="00D2652F">
        <w:rPr>
          <w:lang w:val="cs-CZ"/>
        </w:rPr>
        <w:t>bode</w:t>
      </w:r>
      <w:r w:rsidRPr="008B1755">
        <w:rPr>
          <w:lang w:val="cs-CZ"/>
        </w:rPr>
        <w:t xml:space="preserve">ch </w:t>
      </w:r>
      <w:r w:rsidR="00CA269E" w:rsidRPr="008B1755">
        <w:rPr>
          <w:lang w:val="cs-CZ"/>
        </w:rPr>
        <w:fldChar w:fldCharType="begin"/>
      </w:r>
      <w:r w:rsidR="00334A96" w:rsidRPr="008B1755">
        <w:rPr>
          <w:lang w:val="cs-CZ"/>
        </w:rPr>
        <w:instrText xml:space="preserve"> REF _Ref449607135 \r \h </w:instrText>
      </w:r>
      <w:r w:rsidR="00CA269E" w:rsidRPr="008B1755">
        <w:rPr>
          <w:lang w:val="cs-CZ"/>
        </w:rPr>
      </w:r>
      <w:r w:rsidR="00CA269E" w:rsidRPr="008B1755">
        <w:rPr>
          <w:lang w:val="cs-CZ"/>
        </w:rPr>
        <w:fldChar w:fldCharType="separate"/>
      </w:r>
      <w:r w:rsidR="003B403B" w:rsidRPr="008B1755">
        <w:rPr>
          <w:lang w:val="cs-CZ"/>
        </w:rPr>
        <w:t>38</w:t>
      </w:r>
      <w:r w:rsidR="00CA269E" w:rsidRPr="008B1755">
        <w:rPr>
          <w:lang w:val="cs-CZ"/>
        </w:rPr>
        <w:fldChar w:fldCharType="end"/>
      </w:r>
      <w:r w:rsidR="0073458B" w:rsidRPr="008B1755">
        <w:rPr>
          <w:lang w:val="cs-CZ"/>
        </w:rPr>
        <w:t xml:space="preserve"> a </w:t>
      </w:r>
      <w:r w:rsidR="00CA269E" w:rsidRPr="008B1755">
        <w:rPr>
          <w:lang w:val="cs-CZ"/>
        </w:rPr>
        <w:fldChar w:fldCharType="begin"/>
      </w:r>
      <w:r w:rsidR="0073458B" w:rsidRPr="008B1755">
        <w:rPr>
          <w:lang w:val="cs-CZ"/>
        </w:rPr>
        <w:instrText xml:space="preserve"> REF _Ref447275754 \r \h </w:instrText>
      </w:r>
      <w:r w:rsidR="00CA269E" w:rsidRPr="008B1755">
        <w:rPr>
          <w:lang w:val="cs-CZ"/>
        </w:rPr>
      </w:r>
      <w:r w:rsidR="00CA269E" w:rsidRPr="008B1755">
        <w:rPr>
          <w:lang w:val="cs-CZ"/>
        </w:rPr>
        <w:fldChar w:fldCharType="separate"/>
      </w:r>
      <w:r w:rsidR="003B403B" w:rsidRPr="008B1755">
        <w:rPr>
          <w:lang w:val="cs-CZ"/>
        </w:rPr>
        <w:t>55</w:t>
      </w:r>
      <w:r w:rsidR="00CA269E" w:rsidRPr="008B1755">
        <w:rPr>
          <w:lang w:val="cs-CZ"/>
        </w:rPr>
        <w:fldChar w:fldCharType="end"/>
      </w:r>
      <w:r w:rsidR="00F10D05" w:rsidRPr="008B1755">
        <w:rPr>
          <w:lang w:val="cs-CZ"/>
        </w:rPr>
        <w:t xml:space="preserve">. </w:t>
      </w:r>
    </w:p>
    <w:p w:rsidR="00EE1660" w:rsidRPr="008B1755" w:rsidRDefault="00E10F4D" w:rsidP="0038751B">
      <w:pPr>
        <w:pStyle w:val="Odstavecseseznamem"/>
        <w:numPr>
          <w:ilvl w:val="0"/>
          <w:numId w:val="2"/>
        </w:numPr>
        <w:spacing w:after="120"/>
        <w:contextualSpacing w:val="0"/>
        <w:rPr>
          <w:lang w:val="cs-CZ"/>
        </w:rPr>
      </w:pPr>
      <w:r w:rsidRPr="008B1755">
        <w:rPr>
          <w:lang w:val="cs-CZ"/>
        </w:rPr>
        <w:t xml:space="preserve">Služby, u kterých je počet dosažitelných </w:t>
      </w:r>
      <w:r w:rsidR="0093524D" w:rsidRPr="008B1755">
        <w:rPr>
          <w:lang w:val="cs-CZ"/>
        </w:rPr>
        <w:t>koncov</w:t>
      </w:r>
      <w:r w:rsidRPr="008B1755">
        <w:rPr>
          <w:lang w:val="cs-CZ"/>
        </w:rPr>
        <w:t>ých</w:t>
      </w:r>
      <w:r w:rsidR="0093524D" w:rsidRPr="008B1755">
        <w:rPr>
          <w:lang w:val="cs-CZ"/>
        </w:rPr>
        <w:t xml:space="preserve"> bod</w:t>
      </w:r>
      <w:r w:rsidRPr="008B1755">
        <w:rPr>
          <w:lang w:val="cs-CZ"/>
        </w:rPr>
        <w:t xml:space="preserve">ů omezen charakterem koncového zařízení používaného u těchto služeb </w:t>
      </w:r>
      <w:r w:rsidR="009E2DC6" w:rsidRPr="008B1755">
        <w:rPr>
          <w:lang w:val="cs-CZ"/>
        </w:rPr>
        <w:t>(</w:t>
      </w:r>
      <w:r w:rsidR="00BE001A" w:rsidRPr="008B1755">
        <w:rPr>
          <w:lang w:val="cs-CZ"/>
        </w:rPr>
        <w:t>např.</w:t>
      </w:r>
      <w:r w:rsidR="00AF6113" w:rsidRPr="008B1755">
        <w:rPr>
          <w:lang w:val="cs-CZ"/>
        </w:rPr>
        <w:t xml:space="preserve"> </w:t>
      </w:r>
      <w:r w:rsidRPr="008B1755">
        <w:rPr>
          <w:lang w:val="cs-CZ"/>
        </w:rPr>
        <w:t>služby určené pro komunikaci s jednotlivými zařízeními jako např. čtečky elektronických knih a rovněž zařízení pro automatickou komunikac</w:t>
      </w:r>
      <w:r w:rsidR="00143CE5">
        <w:rPr>
          <w:lang w:val="cs-CZ"/>
        </w:rPr>
        <w:t xml:space="preserve">i </w:t>
      </w:r>
      <w:r w:rsidRPr="008B1755">
        <w:rPr>
          <w:lang w:val="cs-CZ"/>
        </w:rPr>
        <w:t xml:space="preserve"> typu M2M (</w:t>
      </w:r>
      <w:r w:rsidR="00AF6113" w:rsidRPr="008B1755">
        <w:rPr>
          <w:lang w:val="cs-CZ"/>
        </w:rPr>
        <w:t>machine-to-machine</w:t>
      </w:r>
      <w:r w:rsidRPr="008B1755">
        <w:rPr>
          <w:lang w:val="cs-CZ"/>
        </w:rPr>
        <w:t>)</w:t>
      </w:r>
      <w:r w:rsidR="00AF6113" w:rsidRPr="008B1755">
        <w:rPr>
          <w:rStyle w:val="Znakapoznpodarou"/>
          <w:lang w:val="cs-CZ"/>
        </w:rPr>
        <w:footnoteReference w:id="9"/>
      </w:r>
      <w:r w:rsidR="00AF6113" w:rsidRPr="008B1755">
        <w:rPr>
          <w:lang w:val="cs-CZ"/>
        </w:rPr>
        <w:t xml:space="preserve"> </w:t>
      </w:r>
      <w:r w:rsidRPr="008B1755">
        <w:rPr>
          <w:lang w:val="cs-CZ"/>
        </w:rPr>
        <w:t>jako např. chytré měřiče apod</w:t>
      </w:r>
      <w:r w:rsidR="00AF6113" w:rsidRPr="008B1755">
        <w:rPr>
          <w:lang w:val="cs-CZ"/>
        </w:rPr>
        <w:t>.)</w:t>
      </w:r>
      <w:r w:rsidRPr="008B1755">
        <w:rPr>
          <w:lang w:val="cs-CZ"/>
        </w:rPr>
        <w:t xml:space="preserve">, jsou považovány za služby, na které se </w:t>
      </w:r>
      <w:r w:rsidR="001D46DD" w:rsidRPr="008B1755">
        <w:rPr>
          <w:lang w:val="cs-CZ"/>
        </w:rPr>
        <w:t>Nařízení</w:t>
      </w:r>
      <w:r w:rsidR="00AF6113" w:rsidRPr="008B1755">
        <w:rPr>
          <w:lang w:val="cs-CZ"/>
        </w:rPr>
        <w:t xml:space="preserve"> </w:t>
      </w:r>
      <w:r w:rsidRPr="008B1755">
        <w:rPr>
          <w:lang w:val="cs-CZ"/>
        </w:rPr>
        <w:t xml:space="preserve">nevztahuje, pokud </w:t>
      </w:r>
      <w:r w:rsidR="00244C91" w:rsidRPr="008B1755">
        <w:rPr>
          <w:lang w:val="cs-CZ"/>
        </w:rPr>
        <w:t>nejsou používány k obcházení tohoto Nařízení</w:t>
      </w:r>
      <w:r w:rsidR="00AF6113" w:rsidRPr="008B1755">
        <w:rPr>
          <w:lang w:val="cs-CZ"/>
        </w:rPr>
        <w:t xml:space="preserve">. </w:t>
      </w:r>
      <w:r w:rsidR="00143CE5">
        <w:rPr>
          <w:lang w:val="cs-CZ"/>
        </w:rPr>
        <w:t>Tyto služby m</w:t>
      </w:r>
      <w:r w:rsidR="00244C91" w:rsidRPr="008B1755">
        <w:rPr>
          <w:lang w:val="cs-CZ"/>
        </w:rPr>
        <w:t xml:space="preserve">ohou využívat </w:t>
      </w:r>
      <w:r w:rsidR="007D7F64" w:rsidRPr="008B1755">
        <w:rPr>
          <w:rFonts w:cs="Arial"/>
          <w:color w:val="000000"/>
          <w:lang w:val="cs-CZ"/>
        </w:rPr>
        <w:t>služb</w:t>
      </w:r>
      <w:r w:rsidR="00244C91" w:rsidRPr="008B1755">
        <w:rPr>
          <w:rFonts w:cs="Arial"/>
          <w:color w:val="000000"/>
          <w:lang w:val="cs-CZ"/>
        </w:rPr>
        <w:t>u</w:t>
      </w:r>
      <w:r w:rsidR="007D7F64" w:rsidRPr="008B1755">
        <w:rPr>
          <w:rFonts w:cs="Arial"/>
          <w:color w:val="000000"/>
          <w:lang w:val="cs-CZ"/>
        </w:rPr>
        <w:t xml:space="preserve"> přístupu k internetu</w:t>
      </w:r>
      <w:r w:rsidR="00D334C4" w:rsidRPr="008B1755">
        <w:rPr>
          <w:rFonts w:cs="Arial"/>
          <w:color w:val="000000"/>
          <w:lang w:val="cs-CZ"/>
        </w:rPr>
        <w:t xml:space="preserve"> (</w:t>
      </w:r>
      <w:r w:rsidR="00244C91" w:rsidRPr="008B1755">
        <w:rPr>
          <w:rFonts w:cs="Arial"/>
          <w:color w:val="000000"/>
          <w:lang w:val="cs-CZ"/>
        </w:rPr>
        <w:t xml:space="preserve">ale </w:t>
      </w:r>
      <w:r w:rsidR="00561FDF">
        <w:rPr>
          <w:rFonts w:cs="Arial"/>
          <w:color w:val="000000"/>
          <w:lang w:val="cs-CZ"/>
        </w:rPr>
        <w:t xml:space="preserve">nikoli </w:t>
      </w:r>
      <w:r w:rsidR="00244C91" w:rsidRPr="008B1755">
        <w:rPr>
          <w:rFonts w:cs="Arial"/>
          <w:color w:val="000000"/>
          <w:lang w:val="cs-CZ"/>
        </w:rPr>
        <w:t xml:space="preserve">poskytovat </w:t>
      </w:r>
      <w:r w:rsidR="007D7F64" w:rsidRPr="008B1755">
        <w:rPr>
          <w:rFonts w:cs="Arial"/>
          <w:color w:val="000000"/>
          <w:lang w:val="cs-CZ"/>
        </w:rPr>
        <w:t>služb</w:t>
      </w:r>
      <w:r w:rsidR="00244C91" w:rsidRPr="008B1755">
        <w:rPr>
          <w:rFonts w:cs="Arial"/>
          <w:color w:val="000000"/>
          <w:lang w:val="cs-CZ"/>
        </w:rPr>
        <w:t>u</w:t>
      </w:r>
      <w:r w:rsidR="007D7F64" w:rsidRPr="008B1755">
        <w:rPr>
          <w:rFonts w:cs="Arial"/>
          <w:color w:val="000000"/>
          <w:lang w:val="cs-CZ"/>
        </w:rPr>
        <w:t xml:space="preserve"> přístupu k internetu</w:t>
      </w:r>
      <w:r w:rsidR="00D334C4" w:rsidRPr="008B1755">
        <w:rPr>
          <w:rFonts w:cs="Arial"/>
          <w:color w:val="000000"/>
          <w:lang w:val="cs-CZ"/>
        </w:rPr>
        <w:t xml:space="preserve"> </w:t>
      </w:r>
      <w:r w:rsidR="00561FDF">
        <w:rPr>
          <w:rFonts w:cs="Arial"/>
          <w:color w:val="000000"/>
          <w:lang w:val="cs-CZ"/>
        </w:rPr>
        <w:t xml:space="preserve">nebo </w:t>
      </w:r>
      <w:r w:rsidR="00244C91" w:rsidRPr="008B1755">
        <w:rPr>
          <w:rFonts w:cs="Arial"/>
          <w:color w:val="000000"/>
          <w:lang w:val="cs-CZ"/>
        </w:rPr>
        <w:t xml:space="preserve">představovat náhradu </w:t>
      </w:r>
      <w:r w:rsidR="007D7F64" w:rsidRPr="008B1755">
        <w:rPr>
          <w:rFonts w:cs="Arial"/>
          <w:color w:val="000000"/>
          <w:lang w:val="cs-CZ"/>
        </w:rPr>
        <w:t>služb</w:t>
      </w:r>
      <w:r w:rsidR="00244C91" w:rsidRPr="008B1755">
        <w:rPr>
          <w:rFonts w:cs="Arial"/>
          <w:color w:val="000000"/>
          <w:lang w:val="cs-CZ"/>
        </w:rPr>
        <w:t>y</w:t>
      </w:r>
      <w:r w:rsidR="007D7F64" w:rsidRPr="008B1755">
        <w:rPr>
          <w:rFonts w:cs="Arial"/>
          <w:color w:val="000000"/>
          <w:lang w:val="cs-CZ"/>
        </w:rPr>
        <w:t xml:space="preserve"> přístupu k internetu</w:t>
      </w:r>
      <w:r w:rsidR="00AF6113" w:rsidRPr="008B1755">
        <w:rPr>
          <w:rFonts w:cs="Arial"/>
          <w:color w:val="000000"/>
          <w:lang w:val="cs-CZ"/>
        </w:rPr>
        <w:t xml:space="preserve">), </w:t>
      </w:r>
      <w:r w:rsidR="00244C91" w:rsidRPr="008B1755">
        <w:rPr>
          <w:rFonts w:cs="Arial"/>
          <w:color w:val="000000"/>
          <w:lang w:val="cs-CZ"/>
        </w:rPr>
        <w:t>používat privátní síť nebo představovat specializovanou službu</w:t>
      </w:r>
      <w:r w:rsidR="00AF6113" w:rsidRPr="008B1755">
        <w:rPr>
          <w:rFonts w:cs="Arial"/>
          <w:color w:val="000000"/>
          <w:lang w:val="cs-CZ"/>
        </w:rPr>
        <w:t>.</w:t>
      </w:r>
      <w:r w:rsidR="00BD1AFF" w:rsidRPr="008B1755">
        <w:rPr>
          <w:rFonts w:cs="Arial"/>
          <w:color w:val="000000"/>
          <w:lang w:val="cs-CZ"/>
        </w:rPr>
        <w:t xml:space="preserve"> </w:t>
      </w:r>
      <w:r w:rsidR="00244C91" w:rsidRPr="008B1755">
        <w:rPr>
          <w:rFonts w:cs="Arial"/>
          <w:color w:val="000000"/>
          <w:lang w:val="cs-CZ"/>
        </w:rPr>
        <w:t xml:space="preserve">Pokud tyto služby používají </w:t>
      </w:r>
      <w:r w:rsidR="007D7F64" w:rsidRPr="008B1755">
        <w:rPr>
          <w:rFonts w:cs="Arial"/>
          <w:color w:val="000000"/>
          <w:lang w:val="cs-CZ"/>
        </w:rPr>
        <w:t>služb</w:t>
      </w:r>
      <w:r w:rsidR="00244C91" w:rsidRPr="008B1755">
        <w:rPr>
          <w:rFonts w:cs="Arial"/>
          <w:color w:val="000000"/>
          <w:lang w:val="cs-CZ"/>
        </w:rPr>
        <w:t>u</w:t>
      </w:r>
      <w:r w:rsidR="007D7F64" w:rsidRPr="008B1755">
        <w:rPr>
          <w:rFonts w:cs="Arial"/>
          <w:color w:val="000000"/>
          <w:lang w:val="cs-CZ"/>
        </w:rPr>
        <w:t xml:space="preserve"> přístupu k internetu</w:t>
      </w:r>
      <w:r w:rsidR="00AF6113" w:rsidRPr="008B1755">
        <w:rPr>
          <w:rFonts w:cs="Arial"/>
          <w:color w:val="000000"/>
          <w:lang w:val="cs-CZ"/>
        </w:rPr>
        <w:t xml:space="preserve"> </w:t>
      </w:r>
      <w:r w:rsidR="00244C91" w:rsidRPr="008B1755">
        <w:rPr>
          <w:rFonts w:cs="Arial"/>
          <w:color w:val="000000"/>
          <w:lang w:val="cs-CZ"/>
        </w:rPr>
        <w:t xml:space="preserve">nebo představují specializovanou službu, podléhá služba </w:t>
      </w:r>
      <w:r w:rsidR="00244C91" w:rsidRPr="00FF37B9">
        <w:rPr>
          <w:rFonts w:cs="Arial"/>
          <w:color w:val="000000"/>
          <w:lang w:val="cs-CZ"/>
        </w:rPr>
        <w:t>p</w:t>
      </w:r>
      <w:r w:rsidR="00D62EC3" w:rsidRPr="00FF37B9">
        <w:rPr>
          <w:rFonts w:cs="Arial"/>
          <w:color w:val="000000"/>
          <w:lang w:val="cs-CZ"/>
        </w:rPr>
        <w:t>řipojení</w:t>
      </w:r>
      <w:r w:rsidR="00244C91" w:rsidRPr="008B1755">
        <w:rPr>
          <w:rFonts w:cs="Arial"/>
          <w:color w:val="000000"/>
          <w:lang w:val="cs-CZ"/>
        </w:rPr>
        <w:t xml:space="preserve"> příslušným pravidlům platným pro </w:t>
      </w:r>
      <w:r w:rsidR="00DD272F" w:rsidRPr="008B1755">
        <w:rPr>
          <w:rFonts w:cs="Arial"/>
          <w:color w:val="000000"/>
          <w:lang w:val="cs-CZ"/>
        </w:rPr>
        <w:t>služb</w:t>
      </w:r>
      <w:r w:rsidR="00244C91" w:rsidRPr="008B1755">
        <w:rPr>
          <w:rFonts w:cs="Arial"/>
          <w:color w:val="000000"/>
          <w:lang w:val="cs-CZ"/>
        </w:rPr>
        <w:t>u</w:t>
      </w:r>
      <w:r w:rsidR="00DD272F" w:rsidRPr="008B1755">
        <w:rPr>
          <w:rFonts w:cs="Arial"/>
          <w:color w:val="000000"/>
          <w:lang w:val="cs-CZ"/>
        </w:rPr>
        <w:t xml:space="preserve"> přístupu k internetu</w:t>
      </w:r>
      <w:r w:rsidR="00AF6113" w:rsidRPr="008B1755">
        <w:rPr>
          <w:rFonts w:cs="Arial"/>
          <w:color w:val="000000"/>
          <w:lang w:val="cs-CZ"/>
        </w:rPr>
        <w:t xml:space="preserve"> a </w:t>
      </w:r>
      <w:r w:rsidR="00244C91" w:rsidRPr="008B1755">
        <w:rPr>
          <w:rFonts w:cs="Arial"/>
          <w:color w:val="000000"/>
          <w:lang w:val="cs-CZ"/>
        </w:rPr>
        <w:t>specializované služby</w:t>
      </w:r>
      <w:r w:rsidR="00AF6113" w:rsidRPr="008B1755">
        <w:rPr>
          <w:rFonts w:cs="Arial"/>
          <w:color w:val="000000"/>
          <w:lang w:val="cs-CZ"/>
        </w:rPr>
        <w:t xml:space="preserve"> </w:t>
      </w:r>
      <w:r w:rsidR="0093524D" w:rsidRPr="008B1755">
        <w:rPr>
          <w:rFonts w:cs="Arial"/>
          <w:color w:val="000000"/>
          <w:lang w:val="cs-CZ"/>
        </w:rPr>
        <w:t>v Nařízení</w:t>
      </w:r>
      <w:r w:rsidR="00BD1AFF" w:rsidRPr="008B1755">
        <w:rPr>
          <w:lang w:val="cs-CZ"/>
        </w:rPr>
        <w:t>.</w:t>
      </w:r>
      <w:r w:rsidR="00B95FE0" w:rsidRPr="008B1755">
        <w:rPr>
          <w:rStyle w:val="Znakapoznpodarou"/>
          <w:lang w:val="cs-CZ"/>
        </w:rPr>
        <w:footnoteReference w:id="10"/>
      </w:r>
      <w:r w:rsidR="00B95FE0" w:rsidRPr="008B1755">
        <w:rPr>
          <w:lang w:val="cs-CZ"/>
        </w:rPr>
        <w:t xml:space="preserve"> </w:t>
      </w:r>
    </w:p>
    <w:p w:rsidR="00DB4CFB" w:rsidRPr="008B1755" w:rsidRDefault="003E7168" w:rsidP="00DB4CFB">
      <w:pPr>
        <w:pStyle w:val="Nadpis1"/>
        <w:spacing w:after="120"/>
        <w:jc w:val="left"/>
        <w:rPr>
          <w:lang w:val="cs-CZ"/>
        </w:rPr>
      </w:pPr>
      <w:bookmarkStart w:id="11" w:name="_Toc461400155"/>
      <w:r w:rsidRPr="008B1755">
        <w:rPr>
          <w:u w:val="single"/>
          <w:lang w:val="cs-CZ"/>
        </w:rPr>
        <w:t xml:space="preserve">Článek </w:t>
      </w:r>
      <w:r w:rsidR="00DB4CFB" w:rsidRPr="008B1755">
        <w:rPr>
          <w:u w:val="single"/>
          <w:lang w:val="cs-CZ"/>
        </w:rPr>
        <w:t>3</w:t>
      </w:r>
      <w:r w:rsidR="00DB4CFB" w:rsidRPr="008B1755">
        <w:rPr>
          <w:u w:val="single"/>
          <w:lang w:val="cs-CZ"/>
        </w:rPr>
        <w:br/>
      </w:r>
      <w:r w:rsidR="00466D10" w:rsidRPr="008B1755">
        <w:rPr>
          <w:lang w:val="cs-CZ"/>
        </w:rPr>
        <w:t>Zajištění přístupu k otevřenému internetu</w:t>
      </w:r>
      <w:bookmarkEnd w:id="11"/>
    </w:p>
    <w:p w:rsidR="00D11B73" w:rsidRPr="008B1755" w:rsidRDefault="00466D10" w:rsidP="0038751B">
      <w:pPr>
        <w:pStyle w:val="Odstavecseseznamem"/>
        <w:numPr>
          <w:ilvl w:val="0"/>
          <w:numId w:val="2"/>
        </w:numPr>
        <w:rPr>
          <w:lang w:val="cs-CZ"/>
        </w:rPr>
      </w:pPr>
      <w:r w:rsidRPr="008B1755">
        <w:rPr>
          <w:lang w:val="cs-CZ"/>
        </w:rPr>
        <w:t xml:space="preserve">Článek </w:t>
      </w:r>
      <w:r w:rsidR="00D11B73" w:rsidRPr="008B1755">
        <w:rPr>
          <w:lang w:val="cs-CZ"/>
        </w:rPr>
        <w:t xml:space="preserve">3 </w:t>
      </w:r>
      <w:r w:rsidRPr="008B1755">
        <w:rPr>
          <w:lang w:val="cs-CZ"/>
        </w:rPr>
        <w:t>obsahuje opatření k zajištění přístupu k otevřenému internetu</w:t>
      </w:r>
      <w:r w:rsidR="008764BA" w:rsidRPr="008B1755">
        <w:rPr>
          <w:lang w:val="cs-CZ"/>
        </w:rPr>
        <w:t xml:space="preserve">, </w:t>
      </w:r>
      <w:r w:rsidRPr="008B1755">
        <w:rPr>
          <w:lang w:val="cs-CZ"/>
        </w:rPr>
        <w:t>zajištění práv koncových uživatelů</w:t>
      </w:r>
      <w:r w:rsidR="008764BA" w:rsidRPr="008B1755">
        <w:rPr>
          <w:lang w:val="cs-CZ"/>
        </w:rPr>
        <w:t xml:space="preserve"> </w:t>
      </w:r>
      <w:r w:rsidR="007D7F64" w:rsidRPr="008B1755">
        <w:rPr>
          <w:lang w:val="cs-CZ"/>
        </w:rPr>
        <w:t>služby přístupu k</w:t>
      </w:r>
      <w:r w:rsidRPr="008B1755">
        <w:rPr>
          <w:lang w:val="cs-CZ"/>
        </w:rPr>
        <w:t> </w:t>
      </w:r>
      <w:r w:rsidR="007D7F64" w:rsidRPr="008B1755">
        <w:rPr>
          <w:lang w:val="cs-CZ"/>
        </w:rPr>
        <w:t>internetu</w:t>
      </w:r>
      <w:r w:rsidRPr="008B1755">
        <w:rPr>
          <w:lang w:val="cs-CZ"/>
        </w:rPr>
        <w:t xml:space="preserve"> a povinnosti a povolené postupy </w:t>
      </w:r>
      <w:r w:rsidR="007D7F64" w:rsidRPr="008B1755">
        <w:rPr>
          <w:lang w:val="cs-CZ"/>
        </w:rPr>
        <w:t>poskytovatel</w:t>
      </w:r>
      <w:r w:rsidRPr="008B1755">
        <w:rPr>
          <w:lang w:val="cs-CZ"/>
        </w:rPr>
        <w:t>ů</w:t>
      </w:r>
      <w:r w:rsidR="007D7F64" w:rsidRPr="008B1755">
        <w:rPr>
          <w:lang w:val="cs-CZ"/>
        </w:rPr>
        <w:t xml:space="preserve"> internetových služeb</w:t>
      </w:r>
      <w:r w:rsidR="00D11B73" w:rsidRPr="008B1755">
        <w:rPr>
          <w:lang w:val="cs-CZ"/>
        </w:rPr>
        <w:t xml:space="preserve">: </w:t>
      </w:r>
    </w:p>
    <w:p w:rsidR="000853EE" w:rsidRPr="008B1755" w:rsidRDefault="00DD272F" w:rsidP="000853EE">
      <w:pPr>
        <w:numPr>
          <w:ilvl w:val="0"/>
          <w:numId w:val="9"/>
        </w:numPr>
        <w:contextualSpacing/>
        <w:rPr>
          <w:rFonts w:cs="Arial"/>
          <w:lang w:val="cs-CZ"/>
        </w:rPr>
      </w:pPr>
      <w:r w:rsidRPr="008B1755">
        <w:rPr>
          <w:rFonts w:cs="Arial"/>
          <w:lang w:val="cs-CZ"/>
        </w:rPr>
        <w:t xml:space="preserve">článek 3 odst. </w:t>
      </w:r>
      <w:r w:rsidR="000853EE" w:rsidRPr="008B1755">
        <w:rPr>
          <w:rFonts w:cs="Arial"/>
          <w:lang w:val="cs-CZ"/>
        </w:rPr>
        <w:t xml:space="preserve">1 </w:t>
      </w:r>
      <w:r w:rsidR="00466D10" w:rsidRPr="008B1755">
        <w:rPr>
          <w:rFonts w:cs="Arial"/>
          <w:lang w:val="cs-CZ"/>
        </w:rPr>
        <w:t xml:space="preserve">stanoví práva </w:t>
      </w:r>
      <w:r w:rsidR="00080F70" w:rsidRPr="008B1755">
        <w:rPr>
          <w:rFonts w:cs="Arial"/>
          <w:lang w:val="cs-CZ"/>
        </w:rPr>
        <w:t>koncových uživatelů</w:t>
      </w:r>
      <w:r w:rsidR="000853EE" w:rsidRPr="008B1755">
        <w:rPr>
          <w:rFonts w:cs="Arial"/>
          <w:lang w:val="cs-CZ"/>
        </w:rPr>
        <w:t xml:space="preserve"> </w:t>
      </w:r>
      <w:r w:rsidR="007D7F64" w:rsidRPr="008B1755">
        <w:rPr>
          <w:rFonts w:cs="Arial"/>
          <w:lang w:val="cs-CZ"/>
        </w:rPr>
        <w:t>služby přístupu k internetu</w:t>
      </w:r>
      <w:r w:rsidR="000853EE" w:rsidRPr="008B1755">
        <w:rPr>
          <w:rFonts w:cs="Arial"/>
          <w:lang w:val="cs-CZ"/>
        </w:rPr>
        <w:t>;</w:t>
      </w:r>
    </w:p>
    <w:p w:rsidR="000853EE" w:rsidRPr="008B1755" w:rsidRDefault="00DD272F" w:rsidP="000853EE">
      <w:pPr>
        <w:numPr>
          <w:ilvl w:val="0"/>
          <w:numId w:val="9"/>
        </w:numPr>
        <w:contextualSpacing/>
        <w:rPr>
          <w:rFonts w:cs="Arial"/>
          <w:lang w:val="cs-CZ"/>
        </w:rPr>
      </w:pPr>
      <w:r w:rsidRPr="008B1755">
        <w:rPr>
          <w:rFonts w:cs="Arial"/>
          <w:lang w:val="cs-CZ"/>
        </w:rPr>
        <w:t xml:space="preserve">článek 3 odst. </w:t>
      </w:r>
      <w:r w:rsidR="000853EE" w:rsidRPr="008B1755">
        <w:rPr>
          <w:rFonts w:cs="Arial"/>
          <w:lang w:val="cs-CZ"/>
        </w:rPr>
        <w:t xml:space="preserve">2 </w:t>
      </w:r>
      <w:r w:rsidR="00466D10" w:rsidRPr="008B1755">
        <w:rPr>
          <w:rFonts w:cs="Arial"/>
          <w:lang w:val="cs-CZ"/>
        </w:rPr>
        <w:t xml:space="preserve">stanoví omezení smluvních podmínek, které mohou být použity na </w:t>
      </w:r>
      <w:r w:rsidRPr="008B1755">
        <w:rPr>
          <w:rFonts w:cs="Arial"/>
          <w:lang w:val="cs-CZ"/>
        </w:rPr>
        <w:t>služb</w:t>
      </w:r>
      <w:r w:rsidR="00466D10" w:rsidRPr="008B1755">
        <w:rPr>
          <w:rFonts w:cs="Arial"/>
          <w:lang w:val="cs-CZ"/>
        </w:rPr>
        <w:t>u</w:t>
      </w:r>
      <w:r w:rsidRPr="008B1755">
        <w:rPr>
          <w:rFonts w:cs="Arial"/>
          <w:lang w:val="cs-CZ"/>
        </w:rPr>
        <w:t xml:space="preserve"> přístupu k internetu</w:t>
      </w:r>
      <w:r w:rsidR="000853EE" w:rsidRPr="008B1755">
        <w:rPr>
          <w:rFonts w:cs="Arial"/>
          <w:lang w:val="cs-CZ"/>
        </w:rPr>
        <w:t xml:space="preserve"> a</w:t>
      </w:r>
      <w:r w:rsidR="00466D10" w:rsidRPr="008B1755">
        <w:rPr>
          <w:rFonts w:cs="Arial"/>
          <w:lang w:val="cs-CZ"/>
        </w:rPr>
        <w:t xml:space="preserve"> obchodní praktiky </w:t>
      </w:r>
      <w:r w:rsidR="00926BAE" w:rsidRPr="008B1755">
        <w:rPr>
          <w:rFonts w:cs="Arial"/>
          <w:lang w:val="cs-CZ"/>
        </w:rPr>
        <w:t>poskytovatelů</w:t>
      </w:r>
      <w:r w:rsidR="007D7F64" w:rsidRPr="008B1755">
        <w:rPr>
          <w:rFonts w:cs="Arial"/>
          <w:lang w:val="cs-CZ"/>
        </w:rPr>
        <w:t xml:space="preserve"> internetových služeb</w:t>
      </w:r>
      <w:r w:rsidR="000853EE" w:rsidRPr="008B1755">
        <w:rPr>
          <w:rFonts w:cs="Arial"/>
          <w:lang w:val="cs-CZ"/>
        </w:rPr>
        <w:t xml:space="preserve"> </w:t>
      </w:r>
      <w:r w:rsidR="00466D10" w:rsidRPr="008B1755">
        <w:rPr>
          <w:rFonts w:cs="Arial"/>
          <w:lang w:val="cs-CZ"/>
        </w:rPr>
        <w:t xml:space="preserve">poskytujících </w:t>
      </w:r>
      <w:r w:rsidRPr="008B1755">
        <w:rPr>
          <w:rFonts w:cs="Arial"/>
          <w:lang w:val="cs-CZ"/>
        </w:rPr>
        <w:t>služb</w:t>
      </w:r>
      <w:r w:rsidR="00466D10" w:rsidRPr="008B1755">
        <w:rPr>
          <w:rFonts w:cs="Arial"/>
          <w:lang w:val="cs-CZ"/>
        </w:rPr>
        <w:t>u</w:t>
      </w:r>
      <w:r w:rsidRPr="008B1755">
        <w:rPr>
          <w:rFonts w:cs="Arial"/>
          <w:lang w:val="cs-CZ"/>
        </w:rPr>
        <w:t xml:space="preserve"> přístupu k</w:t>
      </w:r>
      <w:r w:rsidR="00466D10" w:rsidRPr="008B1755">
        <w:rPr>
          <w:rFonts w:cs="Arial"/>
          <w:lang w:val="cs-CZ"/>
        </w:rPr>
        <w:t> </w:t>
      </w:r>
      <w:r w:rsidRPr="008B1755">
        <w:rPr>
          <w:rFonts w:cs="Arial"/>
          <w:lang w:val="cs-CZ"/>
        </w:rPr>
        <w:t>internetu</w:t>
      </w:r>
      <w:r w:rsidR="00466D10" w:rsidRPr="008B1755">
        <w:rPr>
          <w:rFonts w:cs="Arial"/>
          <w:lang w:val="cs-CZ"/>
        </w:rPr>
        <w:t xml:space="preserve"> a požaduje, aby tyto podmínky neomezovaly uplatňování práv koncových uživatelů</w:t>
      </w:r>
      <w:r w:rsidR="000853EE" w:rsidRPr="008B1755">
        <w:rPr>
          <w:rFonts w:cs="Arial"/>
          <w:lang w:val="cs-CZ"/>
        </w:rPr>
        <w:t xml:space="preserve"> </w:t>
      </w:r>
      <w:r w:rsidR="00466D10" w:rsidRPr="008B1755">
        <w:rPr>
          <w:rFonts w:cs="Arial"/>
          <w:lang w:val="cs-CZ"/>
        </w:rPr>
        <w:t xml:space="preserve">uvedených </w:t>
      </w:r>
      <w:r w:rsidRPr="008B1755">
        <w:rPr>
          <w:rFonts w:cs="Arial"/>
          <w:lang w:val="cs-CZ"/>
        </w:rPr>
        <w:t>v odstavci</w:t>
      </w:r>
      <w:r w:rsidR="000853EE" w:rsidRPr="008B1755">
        <w:rPr>
          <w:rFonts w:cs="Arial"/>
          <w:lang w:val="cs-CZ"/>
        </w:rPr>
        <w:t xml:space="preserve"> 1. </w:t>
      </w:r>
      <w:r w:rsidR="00466D10" w:rsidRPr="008B1755">
        <w:rPr>
          <w:rFonts w:cs="Arial"/>
          <w:lang w:val="cs-CZ"/>
        </w:rPr>
        <w:t xml:space="preserve">Při posuzování obchodních praktik by mělo být rovněž přihlédnuto k čl. </w:t>
      </w:r>
      <w:r w:rsidRPr="008B1755">
        <w:rPr>
          <w:rFonts w:cs="Arial"/>
          <w:lang w:val="cs-CZ"/>
        </w:rPr>
        <w:t xml:space="preserve">3 odst. </w:t>
      </w:r>
      <w:r w:rsidR="000853EE" w:rsidRPr="008B1755">
        <w:rPr>
          <w:rFonts w:cs="Arial"/>
          <w:lang w:val="cs-CZ"/>
        </w:rPr>
        <w:t>3;</w:t>
      </w:r>
    </w:p>
    <w:p w:rsidR="000853EE" w:rsidRPr="008B1755" w:rsidRDefault="00DD272F" w:rsidP="000853EE">
      <w:pPr>
        <w:numPr>
          <w:ilvl w:val="0"/>
          <w:numId w:val="9"/>
        </w:numPr>
        <w:contextualSpacing/>
        <w:rPr>
          <w:rFonts w:cs="Arial"/>
          <w:lang w:val="cs-CZ"/>
        </w:rPr>
      </w:pPr>
      <w:r w:rsidRPr="008B1755">
        <w:rPr>
          <w:rFonts w:cs="Arial"/>
          <w:lang w:val="cs-CZ"/>
        </w:rPr>
        <w:t xml:space="preserve">článek 3 odst. </w:t>
      </w:r>
      <w:r w:rsidR="000853EE" w:rsidRPr="008B1755">
        <w:rPr>
          <w:rFonts w:cs="Arial"/>
          <w:lang w:val="cs-CZ"/>
        </w:rPr>
        <w:t xml:space="preserve">3 </w:t>
      </w:r>
      <w:r w:rsidR="00466D10" w:rsidRPr="008B1755">
        <w:rPr>
          <w:rFonts w:cs="Arial"/>
          <w:lang w:val="cs-CZ"/>
        </w:rPr>
        <w:t xml:space="preserve">omezuje postupy řízení provozu </w:t>
      </w:r>
      <w:r w:rsidR="00604F05" w:rsidRPr="008B1755">
        <w:rPr>
          <w:rFonts w:cs="Arial"/>
          <w:lang w:val="cs-CZ"/>
        </w:rPr>
        <w:t>poskytovatel</w:t>
      </w:r>
      <w:r w:rsidR="00604F05">
        <w:rPr>
          <w:rFonts w:cs="Arial"/>
          <w:lang w:val="cs-CZ"/>
        </w:rPr>
        <w:t>i</w:t>
      </w:r>
      <w:r w:rsidR="00604F05" w:rsidRPr="008B1755">
        <w:rPr>
          <w:rFonts w:cs="Arial"/>
          <w:lang w:val="cs-CZ"/>
        </w:rPr>
        <w:t xml:space="preserve"> </w:t>
      </w:r>
      <w:r w:rsidR="007D7F64" w:rsidRPr="008B1755">
        <w:rPr>
          <w:rFonts w:cs="Arial"/>
          <w:lang w:val="cs-CZ"/>
        </w:rPr>
        <w:t>internetových služeb</w:t>
      </w:r>
      <w:r w:rsidR="00466D10" w:rsidRPr="008B1755">
        <w:rPr>
          <w:rFonts w:cs="Arial"/>
          <w:lang w:val="cs-CZ"/>
        </w:rPr>
        <w:t xml:space="preserve"> a stanoví požadavek, aby </w:t>
      </w:r>
      <w:r w:rsidR="007D7F64" w:rsidRPr="008B1755">
        <w:rPr>
          <w:rFonts w:cs="Arial"/>
          <w:lang w:val="cs-CZ"/>
        </w:rPr>
        <w:t>poskytovatelé internetových služeb</w:t>
      </w:r>
      <w:r w:rsidR="000853EE" w:rsidRPr="008B1755">
        <w:rPr>
          <w:rFonts w:cs="Arial"/>
          <w:lang w:val="cs-CZ"/>
        </w:rPr>
        <w:t xml:space="preserve"> </w:t>
      </w:r>
      <w:r w:rsidR="00466D10" w:rsidRPr="008B1755">
        <w:rPr>
          <w:rFonts w:cs="Arial"/>
          <w:lang w:val="cs-CZ"/>
        </w:rPr>
        <w:t xml:space="preserve">nakládali s veškerým datovým provozem stejně, přičemž jsou stanoveny zvláštní okolnosti, za kterých se </w:t>
      </w:r>
      <w:r w:rsidR="007D7F64" w:rsidRPr="008B1755">
        <w:rPr>
          <w:rFonts w:cs="Arial"/>
          <w:lang w:val="cs-CZ"/>
        </w:rPr>
        <w:t>poskytovatelé internetových služeb</w:t>
      </w:r>
      <w:r w:rsidR="000853EE" w:rsidRPr="008B1755">
        <w:rPr>
          <w:rFonts w:cs="Arial"/>
          <w:lang w:val="cs-CZ"/>
        </w:rPr>
        <w:t xml:space="preserve"> </w:t>
      </w:r>
      <w:r w:rsidR="00466D10" w:rsidRPr="008B1755">
        <w:rPr>
          <w:rFonts w:cs="Arial"/>
          <w:lang w:val="cs-CZ"/>
        </w:rPr>
        <w:t>mohou od tohoto pravidla odchýlit</w:t>
      </w:r>
      <w:r w:rsidR="000853EE" w:rsidRPr="008B1755">
        <w:rPr>
          <w:rFonts w:cs="Arial"/>
          <w:lang w:val="cs-CZ"/>
        </w:rPr>
        <w:t>;</w:t>
      </w:r>
    </w:p>
    <w:p w:rsidR="000853EE" w:rsidRPr="008B1755" w:rsidRDefault="00DD272F" w:rsidP="000853EE">
      <w:pPr>
        <w:numPr>
          <w:ilvl w:val="0"/>
          <w:numId w:val="9"/>
        </w:numPr>
        <w:contextualSpacing/>
        <w:rPr>
          <w:rFonts w:cs="Arial"/>
          <w:lang w:val="cs-CZ"/>
        </w:rPr>
      </w:pPr>
      <w:r w:rsidRPr="008B1755">
        <w:rPr>
          <w:rFonts w:cs="Arial"/>
          <w:lang w:val="cs-CZ"/>
        </w:rPr>
        <w:t xml:space="preserve">článek 3 odst. </w:t>
      </w:r>
      <w:r w:rsidR="000853EE" w:rsidRPr="008B1755">
        <w:rPr>
          <w:rFonts w:cs="Arial"/>
          <w:lang w:val="cs-CZ"/>
        </w:rPr>
        <w:t xml:space="preserve">4 </w:t>
      </w:r>
      <w:r w:rsidR="00466D10" w:rsidRPr="008B1755">
        <w:rPr>
          <w:rFonts w:cs="Arial"/>
          <w:lang w:val="cs-CZ"/>
        </w:rPr>
        <w:t>stanoví podmínky, za kterých opatření řízení provozu</w:t>
      </w:r>
      <w:r w:rsidR="000853EE" w:rsidRPr="008B1755">
        <w:rPr>
          <w:rFonts w:cs="Arial"/>
          <w:lang w:val="cs-CZ"/>
        </w:rPr>
        <w:t xml:space="preserve"> </w:t>
      </w:r>
      <w:r w:rsidR="00466D10" w:rsidRPr="008B1755">
        <w:rPr>
          <w:rFonts w:cs="Arial"/>
          <w:lang w:val="cs-CZ"/>
        </w:rPr>
        <w:t>mohou vést ke zpracování osobních údajů</w:t>
      </w:r>
      <w:r w:rsidR="000853EE" w:rsidRPr="008B1755">
        <w:rPr>
          <w:rFonts w:cs="Arial"/>
          <w:lang w:val="cs-CZ"/>
        </w:rPr>
        <w:t>;</w:t>
      </w:r>
    </w:p>
    <w:p w:rsidR="000853EE" w:rsidRPr="008B1755" w:rsidRDefault="00DD272F" w:rsidP="000853EE">
      <w:pPr>
        <w:numPr>
          <w:ilvl w:val="0"/>
          <w:numId w:val="9"/>
        </w:numPr>
        <w:contextualSpacing/>
        <w:rPr>
          <w:rFonts w:cs="Arial"/>
          <w:lang w:val="cs-CZ"/>
        </w:rPr>
      </w:pPr>
      <w:r w:rsidRPr="008B1755">
        <w:rPr>
          <w:rFonts w:cs="Arial"/>
          <w:lang w:val="cs-CZ"/>
        </w:rPr>
        <w:t xml:space="preserve">článek 3 odst. </w:t>
      </w:r>
      <w:r w:rsidR="000853EE" w:rsidRPr="008B1755">
        <w:rPr>
          <w:rFonts w:cs="Arial"/>
          <w:lang w:val="cs-CZ"/>
        </w:rPr>
        <w:t xml:space="preserve">5 </w:t>
      </w:r>
      <w:r w:rsidR="00F300F4" w:rsidRPr="008B1755">
        <w:rPr>
          <w:rFonts w:cs="Arial"/>
          <w:lang w:val="cs-CZ"/>
        </w:rPr>
        <w:t xml:space="preserve">stanoví svobodu </w:t>
      </w:r>
      <w:r w:rsidR="00926BAE" w:rsidRPr="008B1755">
        <w:rPr>
          <w:rFonts w:cs="Arial"/>
          <w:lang w:val="cs-CZ"/>
        </w:rPr>
        <w:t>poskytovatelů</w:t>
      </w:r>
      <w:r w:rsidR="007D7F64" w:rsidRPr="008B1755">
        <w:rPr>
          <w:rFonts w:cs="Arial"/>
          <w:lang w:val="cs-CZ"/>
        </w:rPr>
        <w:t xml:space="preserve"> internetových služeb</w:t>
      </w:r>
      <w:r w:rsidR="000853EE" w:rsidRPr="008B1755">
        <w:rPr>
          <w:rFonts w:cs="Arial"/>
          <w:lang w:val="cs-CZ"/>
        </w:rPr>
        <w:t xml:space="preserve"> a </w:t>
      </w:r>
      <w:r w:rsidR="00C44AED" w:rsidRPr="008B1755">
        <w:rPr>
          <w:rFonts w:cs="Arial"/>
          <w:lang w:val="cs-CZ"/>
        </w:rPr>
        <w:t>poskytovatel</w:t>
      </w:r>
      <w:r w:rsidR="00F300F4" w:rsidRPr="008B1755">
        <w:rPr>
          <w:rFonts w:cs="Arial"/>
          <w:lang w:val="cs-CZ"/>
        </w:rPr>
        <w:t>ů</w:t>
      </w:r>
      <w:r w:rsidR="00C44AED" w:rsidRPr="008B1755">
        <w:rPr>
          <w:rFonts w:cs="Arial"/>
          <w:lang w:val="cs-CZ"/>
        </w:rPr>
        <w:t xml:space="preserve"> obsahu a aplikací</w:t>
      </w:r>
      <w:r w:rsidR="000853EE" w:rsidRPr="008B1755">
        <w:rPr>
          <w:rFonts w:cs="Arial"/>
          <w:lang w:val="cs-CZ"/>
        </w:rPr>
        <w:t xml:space="preserve"> </w:t>
      </w:r>
      <w:r w:rsidR="00F300F4" w:rsidRPr="008B1755">
        <w:rPr>
          <w:rFonts w:cs="Arial"/>
          <w:lang w:val="cs-CZ"/>
        </w:rPr>
        <w:t xml:space="preserve">poskytovat </w:t>
      </w:r>
      <w:r w:rsidR="00244C91" w:rsidRPr="008B1755">
        <w:rPr>
          <w:rFonts w:cs="Arial"/>
          <w:lang w:val="cs-CZ"/>
        </w:rPr>
        <w:t>specializované služby</w:t>
      </w:r>
      <w:r w:rsidR="000853EE" w:rsidRPr="008B1755">
        <w:rPr>
          <w:rFonts w:cs="Arial"/>
          <w:lang w:val="cs-CZ"/>
        </w:rPr>
        <w:t xml:space="preserve"> </w:t>
      </w:r>
      <w:r w:rsidR="00F300F4" w:rsidRPr="008B1755">
        <w:rPr>
          <w:rFonts w:cs="Arial"/>
          <w:lang w:val="cs-CZ"/>
        </w:rPr>
        <w:t>a rovněž podmínky, za kterých lze tuto svobodu uplatnit</w:t>
      </w:r>
      <w:r w:rsidR="000853EE" w:rsidRPr="008B1755">
        <w:rPr>
          <w:rFonts w:cs="Arial"/>
          <w:lang w:val="cs-CZ"/>
        </w:rPr>
        <w:t>.</w:t>
      </w:r>
    </w:p>
    <w:p w:rsidR="00030858" w:rsidRPr="008B1755" w:rsidRDefault="003574B2" w:rsidP="00B328D2">
      <w:pPr>
        <w:pStyle w:val="Odstavecseseznamem"/>
        <w:numPr>
          <w:ilvl w:val="0"/>
          <w:numId w:val="2"/>
        </w:numPr>
        <w:rPr>
          <w:lang w:val="cs-CZ"/>
        </w:rPr>
      </w:pPr>
      <w:r w:rsidRPr="008B1755">
        <w:rPr>
          <w:lang w:val="cs-CZ"/>
        </w:rPr>
        <w:t xml:space="preserve">Nařízení </w:t>
      </w:r>
      <w:r w:rsidRPr="008B1755">
        <w:rPr>
          <w:rStyle w:val="BERECChar"/>
          <w:lang w:val="cs-CZ"/>
        </w:rPr>
        <w:t>dodržuje základní práva a ctí zásady zakotvené zejména v Listině, především ochranu osobních údajů, svobodu projevu a informací, svobodu podnikání, zásadu nediskriminace a ochranu spotřebitele</w:t>
      </w:r>
      <w:r w:rsidRPr="008B1755">
        <w:rPr>
          <w:lang w:val="cs-CZ"/>
        </w:rPr>
        <w:t xml:space="preserve"> </w:t>
      </w:r>
      <w:r w:rsidR="00030858" w:rsidRPr="008B1755">
        <w:rPr>
          <w:lang w:val="cs-CZ"/>
        </w:rPr>
        <w:t>(</w:t>
      </w:r>
      <w:r w:rsidRPr="008B1755">
        <w:rPr>
          <w:lang w:val="cs-CZ"/>
        </w:rPr>
        <w:t xml:space="preserve">viz </w:t>
      </w:r>
      <w:r w:rsidR="00946CEA" w:rsidRPr="008B1755">
        <w:rPr>
          <w:lang w:val="cs-CZ"/>
        </w:rPr>
        <w:t xml:space="preserve">Úvodní část Nařízení, bod </w:t>
      </w:r>
      <w:r w:rsidR="00030858" w:rsidRPr="008B1755">
        <w:rPr>
          <w:lang w:val="cs-CZ"/>
        </w:rPr>
        <w:t>33).</w:t>
      </w:r>
    </w:p>
    <w:p w:rsidR="00030858" w:rsidRPr="008B1755" w:rsidRDefault="00030858" w:rsidP="00DD2E7D">
      <w:pPr>
        <w:pStyle w:val="Odstavecseseznamem"/>
        <w:ind w:left="482"/>
        <w:rPr>
          <w:lang w:val="cs-CZ"/>
        </w:rPr>
      </w:pPr>
    </w:p>
    <w:p w:rsidR="001B3533" w:rsidRPr="008B1755" w:rsidRDefault="003574B2" w:rsidP="00B328D2">
      <w:pPr>
        <w:pStyle w:val="Odstavecseseznamem"/>
        <w:numPr>
          <w:ilvl w:val="0"/>
          <w:numId w:val="2"/>
        </w:numPr>
        <w:rPr>
          <w:lang w:val="cs-CZ"/>
        </w:rPr>
      </w:pPr>
      <w:r w:rsidRPr="008B1755">
        <w:rPr>
          <w:lang w:val="cs-CZ"/>
        </w:rPr>
        <w:t xml:space="preserve">Sdružení </w:t>
      </w:r>
      <w:r w:rsidR="001B3533" w:rsidRPr="008B1755">
        <w:rPr>
          <w:lang w:val="cs-CZ"/>
        </w:rPr>
        <w:t xml:space="preserve">BEREC </w:t>
      </w:r>
      <w:r w:rsidR="00112FEA" w:rsidRPr="008B1755">
        <w:rPr>
          <w:lang w:val="cs-CZ"/>
        </w:rPr>
        <w:t xml:space="preserve">má za to, že </w:t>
      </w:r>
      <w:r w:rsidR="00D44301" w:rsidRPr="008B1755">
        <w:rPr>
          <w:lang w:val="cs-CZ"/>
        </w:rPr>
        <w:t>Nařízení</w:t>
      </w:r>
      <w:r w:rsidR="00B328D2" w:rsidRPr="008B1755">
        <w:rPr>
          <w:lang w:val="cs-CZ"/>
        </w:rPr>
        <w:t xml:space="preserve"> </w:t>
      </w:r>
      <w:r w:rsidR="00112FEA" w:rsidRPr="008B1755">
        <w:rPr>
          <w:lang w:val="cs-CZ"/>
        </w:rPr>
        <w:t xml:space="preserve">nevyžaduje </w:t>
      </w:r>
      <w:r w:rsidR="00B328D2" w:rsidRPr="008B1755">
        <w:rPr>
          <w:lang w:val="cs-CZ"/>
        </w:rPr>
        <w:t xml:space="preserve">ex ante </w:t>
      </w:r>
      <w:r w:rsidR="00112FEA" w:rsidRPr="00D62EC3">
        <w:rPr>
          <w:lang w:val="cs-CZ"/>
        </w:rPr>
        <w:t>schválení</w:t>
      </w:r>
      <w:r w:rsidR="00112FEA" w:rsidRPr="008B1755">
        <w:rPr>
          <w:lang w:val="cs-CZ"/>
        </w:rPr>
        <w:t xml:space="preserve"> ve vztahu k obchodním praktikám </w:t>
      </w:r>
      <w:r w:rsidR="001B3533" w:rsidRPr="008B1755">
        <w:rPr>
          <w:lang w:val="cs-CZ"/>
        </w:rPr>
        <w:t>(</w:t>
      </w:r>
      <w:r w:rsidR="00DD272F" w:rsidRPr="008B1755">
        <w:rPr>
          <w:lang w:val="cs-CZ"/>
        </w:rPr>
        <w:t xml:space="preserve">článek 3 odst. </w:t>
      </w:r>
      <w:r w:rsidR="001B3533" w:rsidRPr="008B1755">
        <w:rPr>
          <w:lang w:val="cs-CZ"/>
        </w:rPr>
        <w:t xml:space="preserve">2), </w:t>
      </w:r>
      <w:r w:rsidR="00112FEA" w:rsidRPr="008B1755">
        <w:rPr>
          <w:lang w:val="cs-CZ"/>
        </w:rPr>
        <w:t xml:space="preserve">postupům řízení provozu </w:t>
      </w:r>
      <w:r w:rsidR="001B3533" w:rsidRPr="008B1755">
        <w:rPr>
          <w:lang w:val="cs-CZ"/>
        </w:rPr>
        <w:t>(</w:t>
      </w:r>
      <w:r w:rsidR="00DD272F" w:rsidRPr="008B1755">
        <w:rPr>
          <w:lang w:val="cs-CZ"/>
        </w:rPr>
        <w:t xml:space="preserve">článek 3 </w:t>
      </w:r>
      <w:r w:rsidR="00585BD7" w:rsidRPr="008B1755">
        <w:rPr>
          <w:lang w:val="cs-CZ"/>
        </w:rPr>
        <w:t>odst. 3</w:t>
      </w:r>
      <w:r w:rsidR="001B3533" w:rsidRPr="008B1755">
        <w:rPr>
          <w:lang w:val="cs-CZ"/>
        </w:rPr>
        <w:t xml:space="preserve"> a </w:t>
      </w:r>
      <w:r w:rsidR="00244C91" w:rsidRPr="008B1755">
        <w:rPr>
          <w:lang w:val="cs-CZ"/>
        </w:rPr>
        <w:t>specializovan</w:t>
      </w:r>
      <w:r w:rsidR="00112FEA" w:rsidRPr="008B1755">
        <w:rPr>
          <w:lang w:val="cs-CZ"/>
        </w:rPr>
        <w:t>ým</w:t>
      </w:r>
      <w:r w:rsidR="00244C91" w:rsidRPr="008B1755">
        <w:rPr>
          <w:lang w:val="cs-CZ"/>
        </w:rPr>
        <w:t xml:space="preserve"> služb</w:t>
      </w:r>
      <w:r w:rsidR="00112FEA" w:rsidRPr="008B1755">
        <w:rPr>
          <w:lang w:val="cs-CZ"/>
        </w:rPr>
        <w:t>ám</w:t>
      </w:r>
      <w:r w:rsidR="001B3533" w:rsidRPr="008B1755">
        <w:rPr>
          <w:lang w:val="cs-CZ"/>
        </w:rPr>
        <w:t xml:space="preserve"> (</w:t>
      </w:r>
      <w:r w:rsidR="00DD272F" w:rsidRPr="008B1755">
        <w:rPr>
          <w:lang w:val="cs-CZ"/>
        </w:rPr>
        <w:t xml:space="preserve">článek 3 odst. </w:t>
      </w:r>
      <w:r w:rsidR="001B3533" w:rsidRPr="008B1755">
        <w:rPr>
          <w:lang w:val="cs-CZ"/>
        </w:rPr>
        <w:t>5)</w:t>
      </w:r>
      <w:r w:rsidR="00B328D2" w:rsidRPr="008B1755">
        <w:rPr>
          <w:lang w:val="cs-CZ"/>
        </w:rPr>
        <w:t xml:space="preserve">. </w:t>
      </w:r>
      <w:r w:rsidR="00112FEA" w:rsidRPr="008B1755">
        <w:rPr>
          <w:lang w:val="cs-CZ"/>
        </w:rPr>
        <w:t>To by ale nemělo vylučovat výměn</w:t>
      </w:r>
      <w:r w:rsidR="00167DC4">
        <w:rPr>
          <w:lang w:val="cs-CZ"/>
        </w:rPr>
        <w:t>u informací</w:t>
      </w:r>
      <w:r w:rsidR="00112FEA" w:rsidRPr="008B1755">
        <w:rPr>
          <w:lang w:val="cs-CZ"/>
        </w:rPr>
        <w:t xml:space="preserve"> mezi </w:t>
      </w:r>
      <w:r w:rsidR="00926BAE" w:rsidRPr="008B1755">
        <w:rPr>
          <w:lang w:val="cs-CZ"/>
        </w:rPr>
        <w:t>vnitrostátní</w:t>
      </w:r>
      <w:r w:rsidR="00112FEA" w:rsidRPr="008B1755">
        <w:rPr>
          <w:lang w:val="cs-CZ"/>
        </w:rPr>
        <w:t>mi</w:t>
      </w:r>
      <w:r w:rsidR="00926BAE" w:rsidRPr="008B1755">
        <w:rPr>
          <w:lang w:val="cs-CZ"/>
        </w:rPr>
        <w:t xml:space="preserve"> regulační</w:t>
      </w:r>
      <w:r w:rsidR="00112FEA" w:rsidRPr="008B1755">
        <w:rPr>
          <w:lang w:val="cs-CZ"/>
        </w:rPr>
        <w:t>mi</w:t>
      </w:r>
      <w:r w:rsidR="00926BAE" w:rsidRPr="008B1755">
        <w:rPr>
          <w:lang w:val="cs-CZ"/>
        </w:rPr>
        <w:t xml:space="preserve"> orgány</w:t>
      </w:r>
      <w:r w:rsidR="00B328D2" w:rsidRPr="008B1755">
        <w:rPr>
          <w:lang w:val="cs-CZ"/>
        </w:rPr>
        <w:t xml:space="preserve"> a</w:t>
      </w:r>
      <w:r w:rsidR="00112FEA" w:rsidRPr="008B1755">
        <w:rPr>
          <w:lang w:val="cs-CZ"/>
        </w:rPr>
        <w:t xml:space="preserve"> </w:t>
      </w:r>
      <w:r w:rsidR="00147F0D">
        <w:rPr>
          <w:lang w:val="cs-CZ"/>
        </w:rPr>
        <w:t xml:space="preserve">subjekty na </w:t>
      </w:r>
      <w:r w:rsidR="00112FEA" w:rsidRPr="008B1755">
        <w:rPr>
          <w:lang w:val="cs-CZ"/>
        </w:rPr>
        <w:t xml:space="preserve">trhu ohledně této problematiky ani uplatňování povinností a pravomocí </w:t>
      </w:r>
      <w:r w:rsidR="00926BAE" w:rsidRPr="008B1755">
        <w:rPr>
          <w:lang w:val="cs-CZ"/>
        </w:rPr>
        <w:t>vnitrostátní</w:t>
      </w:r>
      <w:r w:rsidR="00112FEA" w:rsidRPr="008B1755">
        <w:rPr>
          <w:lang w:val="cs-CZ"/>
        </w:rPr>
        <w:t>ch</w:t>
      </w:r>
      <w:r w:rsidR="00926BAE" w:rsidRPr="008B1755">
        <w:rPr>
          <w:lang w:val="cs-CZ"/>
        </w:rPr>
        <w:t xml:space="preserve"> regulační</w:t>
      </w:r>
      <w:r w:rsidR="00112FEA" w:rsidRPr="008B1755">
        <w:rPr>
          <w:lang w:val="cs-CZ"/>
        </w:rPr>
        <w:t>ch</w:t>
      </w:r>
      <w:r w:rsidR="00926BAE" w:rsidRPr="008B1755">
        <w:rPr>
          <w:lang w:val="cs-CZ"/>
        </w:rPr>
        <w:t xml:space="preserve"> orgán</w:t>
      </w:r>
      <w:r w:rsidR="00112FEA" w:rsidRPr="008B1755">
        <w:rPr>
          <w:lang w:val="cs-CZ"/>
        </w:rPr>
        <w:t xml:space="preserve">ů k zásahu podle čl. </w:t>
      </w:r>
      <w:r w:rsidR="00B328D2" w:rsidRPr="008B1755">
        <w:rPr>
          <w:lang w:val="cs-CZ"/>
        </w:rPr>
        <w:t>5</w:t>
      </w:r>
      <w:r w:rsidR="001B3533" w:rsidRPr="008B1755">
        <w:rPr>
          <w:lang w:val="cs-CZ"/>
        </w:rPr>
        <w:t xml:space="preserve">. </w:t>
      </w:r>
    </w:p>
    <w:p w:rsidR="00DB4CFB" w:rsidRPr="008B1755" w:rsidRDefault="003E7168" w:rsidP="001B38FB">
      <w:pPr>
        <w:keepNext/>
        <w:keepLines/>
        <w:spacing w:before="360" w:after="120"/>
        <w:outlineLvl w:val="1"/>
        <w:rPr>
          <w:rFonts w:eastAsia="SimSun" w:cs="Arial"/>
          <w:b/>
          <w:bCs/>
          <w:sz w:val="24"/>
          <w:szCs w:val="24"/>
          <w:lang w:val="cs-CZ"/>
        </w:rPr>
      </w:pPr>
      <w:bookmarkStart w:id="12" w:name="_Toc461400156"/>
      <w:r w:rsidRPr="008B1755">
        <w:rPr>
          <w:rFonts w:eastAsia="SimSun" w:cs="Arial"/>
          <w:b/>
          <w:bCs/>
          <w:sz w:val="24"/>
          <w:szCs w:val="24"/>
          <w:lang w:val="cs-CZ"/>
        </w:rPr>
        <w:t xml:space="preserve">Článek </w:t>
      </w:r>
      <w:r w:rsidR="00DB4CFB" w:rsidRPr="008B1755">
        <w:rPr>
          <w:rFonts w:eastAsia="SimSun" w:cs="Arial"/>
          <w:b/>
          <w:bCs/>
          <w:sz w:val="24"/>
          <w:szCs w:val="24"/>
          <w:lang w:val="cs-CZ"/>
        </w:rPr>
        <w:t>3</w:t>
      </w:r>
      <w:r w:rsidR="00224D69" w:rsidRPr="008B1755">
        <w:rPr>
          <w:rFonts w:eastAsia="SimSun" w:cs="Arial"/>
          <w:b/>
          <w:bCs/>
          <w:sz w:val="24"/>
          <w:szCs w:val="24"/>
          <w:lang w:val="cs-CZ"/>
        </w:rPr>
        <w:t xml:space="preserve"> odst. </w:t>
      </w:r>
      <w:r w:rsidR="00DB4CFB" w:rsidRPr="008B1755">
        <w:rPr>
          <w:rFonts w:eastAsia="SimSun" w:cs="Arial"/>
          <w:b/>
          <w:bCs/>
          <w:sz w:val="24"/>
          <w:szCs w:val="24"/>
          <w:lang w:val="cs-CZ"/>
        </w:rPr>
        <w:t>1</w:t>
      </w:r>
      <w:bookmarkEnd w:id="12"/>
    </w:p>
    <w:p w:rsidR="00CF5F20" w:rsidRPr="008B1755" w:rsidRDefault="000F62E4"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Koncoví uživatelé mají právo na přístup k informacím a obsahu a jejich šíření, využívání a poskytování aplikací a služeb a využívání koncového zařízení podle svého vlastního výběru bez ohledu na polohu koncového uživatele nebo poskytovatele či polohu, původ nebo určení dané informace, obsahu, aplikace nebo služby, a to prostřednictvím své služby přístupu k internetu</w:t>
      </w:r>
      <w:r w:rsidR="00CF5F20" w:rsidRPr="008B1755">
        <w:rPr>
          <w:rFonts w:ascii="Times New Roman" w:hAnsi="Times New Roman"/>
          <w:lang w:val="cs-CZ"/>
        </w:rPr>
        <w:t>.</w:t>
      </w:r>
    </w:p>
    <w:p w:rsidR="00CF5F20" w:rsidRPr="008B1755" w:rsidRDefault="000F62E4"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Tímto odstavcem není dotčeno právo Unie nebo vnitrostátní právo, které je v souladu s právem Unie, týkající se zákonnosti obsahu, aplikací či služeb</w:t>
      </w:r>
      <w:r w:rsidR="00CF5F20" w:rsidRPr="008B1755">
        <w:rPr>
          <w:rFonts w:ascii="Times New Roman" w:hAnsi="Times New Roman"/>
          <w:lang w:val="cs-CZ"/>
        </w:rPr>
        <w:t>.</w:t>
      </w:r>
    </w:p>
    <w:p w:rsidR="00CF5F20" w:rsidRPr="008B1755" w:rsidRDefault="00946CEA" w:rsidP="006F0EC7">
      <w:pPr>
        <w:keepNext/>
        <w:shd w:val="clear" w:color="auto" w:fill="D9D9D9"/>
        <w:spacing w:after="0"/>
        <w:rPr>
          <w:rFonts w:ascii="Times New Roman" w:hAnsi="Times New Roman"/>
          <w:sz w:val="20"/>
          <w:u w:val="single"/>
          <w:lang w:val="cs-CZ"/>
        </w:rPr>
      </w:pPr>
      <w:r w:rsidRPr="008B1755">
        <w:rPr>
          <w:rFonts w:ascii="Times New Roman" w:hAnsi="Times New Roman"/>
          <w:sz w:val="20"/>
          <w:u w:val="single"/>
          <w:lang w:val="cs-CZ"/>
        </w:rPr>
        <w:t xml:space="preserve">Úvodní část Nařízení, bod </w:t>
      </w:r>
      <w:r w:rsidR="00CF5F20" w:rsidRPr="008B1755">
        <w:rPr>
          <w:rFonts w:ascii="Times New Roman" w:hAnsi="Times New Roman"/>
          <w:sz w:val="20"/>
          <w:u w:val="single"/>
          <w:lang w:val="cs-CZ"/>
        </w:rPr>
        <w:t>5</w:t>
      </w:r>
    </w:p>
    <w:p w:rsidR="00CF5F20" w:rsidRPr="008B1755" w:rsidRDefault="000F62E4" w:rsidP="006F0EC7">
      <w:pPr>
        <w:shd w:val="clear" w:color="auto" w:fill="D9D9D9"/>
        <w:rPr>
          <w:rFonts w:ascii="Times New Roman" w:hAnsi="Times New Roman"/>
          <w:sz w:val="20"/>
          <w:lang w:val="cs-CZ"/>
        </w:rPr>
      </w:pPr>
      <w:r w:rsidRPr="008B1755">
        <w:rPr>
          <w:rStyle w:val="Style2Char"/>
          <w:sz w:val="20"/>
          <w:lang w:val="cs-CZ"/>
        </w:rPr>
        <w:t>Pro přístup k internetu by měli mít koncoví uživatelé možnost si volně vybrat mezi různými typy koncových zařízení, jak je vymezuje směrnice Komise 2008/63/ES (1). Poskytovatelé služeb přístupu k internetu by neměli ukládat omezení, pokud jde o použití koncových zařízení připojovaných k síti, nad rámec omezení ukládaných výrobci či distributory těchto koncových zařízení v souladu s právem Unie</w:t>
      </w:r>
      <w:r w:rsidR="00CF5F20" w:rsidRPr="008B1755">
        <w:rPr>
          <w:rFonts w:ascii="Times New Roman" w:hAnsi="Times New Roman"/>
          <w:sz w:val="20"/>
          <w:lang w:val="cs-CZ"/>
        </w:rPr>
        <w:t>.</w:t>
      </w:r>
    </w:p>
    <w:p w:rsidR="00CF5F20" w:rsidRPr="008B1755" w:rsidRDefault="00946CEA" w:rsidP="006F0EC7">
      <w:pPr>
        <w:keepNext/>
        <w:shd w:val="clear" w:color="auto" w:fill="D9D9D9"/>
        <w:spacing w:after="0"/>
        <w:rPr>
          <w:rFonts w:ascii="Times New Roman" w:hAnsi="Times New Roman"/>
          <w:sz w:val="20"/>
          <w:u w:val="single"/>
          <w:lang w:val="cs-CZ"/>
        </w:rPr>
      </w:pPr>
      <w:r w:rsidRPr="008B1755">
        <w:rPr>
          <w:rFonts w:ascii="Times New Roman" w:hAnsi="Times New Roman"/>
          <w:sz w:val="20"/>
          <w:u w:val="single"/>
          <w:lang w:val="cs-CZ"/>
        </w:rPr>
        <w:t xml:space="preserve">Úvodní část Nařízení, bod </w:t>
      </w:r>
      <w:r w:rsidR="00CF5F20" w:rsidRPr="008B1755">
        <w:rPr>
          <w:rFonts w:ascii="Times New Roman" w:hAnsi="Times New Roman"/>
          <w:sz w:val="20"/>
          <w:u w:val="single"/>
          <w:lang w:val="cs-CZ"/>
        </w:rPr>
        <w:t>6</w:t>
      </w:r>
    </w:p>
    <w:p w:rsidR="00CF5F20" w:rsidRPr="008B1755" w:rsidRDefault="000F62E4" w:rsidP="006F0EC7">
      <w:pPr>
        <w:shd w:val="clear" w:color="auto" w:fill="D9D9D9"/>
        <w:rPr>
          <w:rFonts w:ascii="Times New Roman" w:hAnsi="Times New Roman"/>
          <w:sz w:val="20"/>
          <w:lang w:val="cs-CZ"/>
        </w:rPr>
      </w:pPr>
      <w:r w:rsidRPr="008B1755">
        <w:rPr>
          <w:rStyle w:val="Style2Char"/>
          <w:sz w:val="20"/>
          <w:lang w:val="cs-CZ"/>
        </w:rPr>
        <w:t>Koncoví uživatelé by měli mít právo na přístup k informacím, svobodné šíření informací a obsahu a právo bez diskriminace využívat a poskytovat aplikace a služby prostřednictvím své služby přístupu k internetu. Výkonem tohoto práva by nemělo být dotčeno právo Unie či vnitrostátní právo, jež je v souladu s právem Unie, pokud jde o zákonnost obsahu, aplikací či služeb. Účelem tohoto nařízení není regulovat zákonnost obsahu, aplikací či služeb, ani s tím související procesy, požadavky a záruky. Na tyto záležitosti se tak i nadále vztahují unijní právní předpisy či vnitrostátní právní předpisy, jež jsou v souladu s právem Unie</w:t>
      </w:r>
      <w:r w:rsidR="00CF5F20" w:rsidRPr="008B1755">
        <w:rPr>
          <w:rFonts w:ascii="Times New Roman" w:hAnsi="Times New Roman"/>
          <w:sz w:val="20"/>
          <w:lang w:val="cs-CZ"/>
        </w:rPr>
        <w:t>.</w:t>
      </w:r>
    </w:p>
    <w:p w:rsidR="00830331" w:rsidRPr="008B1755" w:rsidRDefault="00E463CC" w:rsidP="001C22AF">
      <w:pPr>
        <w:pStyle w:val="Odstavecseseznamem"/>
        <w:numPr>
          <w:ilvl w:val="0"/>
          <w:numId w:val="2"/>
        </w:numPr>
        <w:spacing w:after="120"/>
        <w:contextualSpacing w:val="0"/>
        <w:rPr>
          <w:lang w:val="cs-CZ"/>
        </w:rPr>
      </w:pPr>
      <w:r w:rsidRPr="008B1755">
        <w:rPr>
          <w:lang w:val="cs-CZ"/>
        </w:rPr>
        <w:t>Č</w:t>
      </w:r>
      <w:r w:rsidR="00DD272F" w:rsidRPr="008B1755">
        <w:rPr>
          <w:lang w:val="cs-CZ"/>
        </w:rPr>
        <w:t>lánek</w:t>
      </w:r>
      <w:r w:rsidRPr="008B1755">
        <w:rPr>
          <w:lang w:val="cs-CZ"/>
        </w:rPr>
        <w:t xml:space="preserve"> </w:t>
      </w:r>
      <w:r w:rsidR="00DD272F" w:rsidRPr="008B1755">
        <w:rPr>
          <w:lang w:val="cs-CZ"/>
        </w:rPr>
        <w:t xml:space="preserve">3 odst. </w:t>
      </w:r>
      <w:r w:rsidR="0056783E" w:rsidRPr="008B1755">
        <w:rPr>
          <w:lang w:val="cs-CZ"/>
        </w:rPr>
        <w:t xml:space="preserve">1 </w:t>
      </w:r>
      <w:r w:rsidRPr="008B1755">
        <w:rPr>
          <w:lang w:val="cs-CZ"/>
        </w:rPr>
        <w:t xml:space="preserve">stanoví </w:t>
      </w:r>
      <w:r w:rsidR="00F300F4" w:rsidRPr="008B1755">
        <w:rPr>
          <w:lang w:val="cs-CZ"/>
        </w:rPr>
        <w:t>práva koncových uživatelů</w:t>
      </w:r>
      <w:r w:rsidR="0056783E" w:rsidRPr="008B1755">
        <w:rPr>
          <w:lang w:val="cs-CZ"/>
        </w:rPr>
        <w:t xml:space="preserve"> </w:t>
      </w:r>
      <w:r w:rsidRPr="008B1755">
        <w:rPr>
          <w:lang w:val="cs-CZ"/>
        </w:rPr>
        <w:t>ohledně otevřeného internetu</w:t>
      </w:r>
      <w:r w:rsidR="0056783E" w:rsidRPr="008B1755">
        <w:rPr>
          <w:lang w:val="cs-CZ"/>
        </w:rPr>
        <w:t xml:space="preserve">. </w:t>
      </w:r>
      <w:r w:rsidRPr="008B1755">
        <w:rPr>
          <w:lang w:val="cs-CZ"/>
        </w:rPr>
        <w:t xml:space="preserve">Pojem </w:t>
      </w:r>
      <w:r w:rsidR="00DD272F" w:rsidRPr="008B1755">
        <w:rPr>
          <w:lang w:val="cs-CZ"/>
        </w:rPr>
        <w:t xml:space="preserve">koncový uživatel </w:t>
      </w:r>
      <w:r w:rsidRPr="008B1755">
        <w:rPr>
          <w:lang w:val="cs-CZ"/>
        </w:rPr>
        <w:t xml:space="preserve">je vysvětlen </w:t>
      </w:r>
      <w:r w:rsidR="00DD272F" w:rsidRPr="008B1755">
        <w:rPr>
          <w:lang w:val="cs-CZ"/>
        </w:rPr>
        <w:t xml:space="preserve">v </w:t>
      </w:r>
      <w:r w:rsidR="00D2652F">
        <w:rPr>
          <w:lang w:val="cs-CZ"/>
        </w:rPr>
        <w:t>bodu</w:t>
      </w:r>
      <w:r w:rsidR="0056783E" w:rsidRPr="008B1755">
        <w:rPr>
          <w:lang w:val="cs-CZ"/>
        </w:rPr>
        <w:t xml:space="preserve"> </w:t>
      </w:r>
      <w:r w:rsidR="00CA269E" w:rsidRPr="008B1755">
        <w:rPr>
          <w:lang w:val="cs-CZ"/>
        </w:rPr>
        <w:fldChar w:fldCharType="begin"/>
      </w:r>
      <w:r w:rsidR="008879E7" w:rsidRPr="008B1755">
        <w:rPr>
          <w:lang w:val="cs-CZ"/>
        </w:rPr>
        <w:instrText xml:space="preserve"> REF _Ref447467904 \r \h </w:instrText>
      </w:r>
      <w:r w:rsidR="00CA269E" w:rsidRPr="008B1755">
        <w:rPr>
          <w:lang w:val="cs-CZ"/>
        </w:rPr>
      </w:r>
      <w:r w:rsidR="00CA269E" w:rsidRPr="008B1755">
        <w:rPr>
          <w:lang w:val="cs-CZ"/>
        </w:rPr>
        <w:fldChar w:fldCharType="separate"/>
      </w:r>
      <w:r w:rsidR="003B403B" w:rsidRPr="008B1755">
        <w:rPr>
          <w:lang w:val="cs-CZ"/>
        </w:rPr>
        <w:t>4</w:t>
      </w:r>
      <w:r w:rsidR="00CA269E" w:rsidRPr="008B1755">
        <w:rPr>
          <w:lang w:val="cs-CZ"/>
        </w:rPr>
        <w:fldChar w:fldCharType="end"/>
      </w:r>
      <w:r w:rsidR="0056783E" w:rsidRPr="008B1755">
        <w:rPr>
          <w:lang w:val="cs-CZ"/>
        </w:rPr>
        <w:t xml:space="preserve"> </w:t>
      </w:r>
      <w:r w:rsidR="001D46DD" w:rsidRPr="008B1755">
        <w:rPr>
          <w:lang w:val="cs-CZ"/>
        </w:rPr>
        <w:t>těchto Pokynů</w:t>
      </w:r>
      <w:r w:rsidR="0056783E" w:rsidRPr="008B1755">
        <w:rPr>
          <w:lang w:val="cs-CZ"/>
        </w:rPr>
        <w:t xml:space="preserve">. </w:t>
      </w:r>
    </w:p>
    <w:p w:rsidR="00830331" w:rsidRPr="008B1755" w:rsidRDefault="00E463CC" w:rsidP="00FC29FE">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w:t>
      </w:r>
      <w:r w:rsidRPr="008B1755">
        <w:rPr>
          <w:rStyle w:val="BERECcitaceChar"/>
          <w:sz w:val="24"/>
          <w:szCs w:val="24"/>
          <w:u w:val="single"/>
          <w:lang w:val="cs-CZ"/>
        </w:rPr>
        <w:t xml:space="preserve">Přístup k </w:t>
      </w:r>
      <w:r w:rsidRPr="008B1755">
        <w:rPr>
          <w:rStyle w:val="Style4Char"/>
          <w:i/>
          <w:lang w:val="cs-CZ"/>
        </w:rPr>
        <w:t>informacím</w:t>
      </w:r>
      <w:r w:rsidRPr="008B1755">
        <w:rPr>
          <w:rStyle w:val="BERECcitaceChar"/>
          <w:sz w:val="24"/>
          <w:szCs w:val="24"/>
          <w:u w:val="single"/>
          <w:lang w:val="cs-CZ"/>
        </w:rPr>
        <w:t xml:space="preserve"> a obsahu a jejich šíření</w:t>
      </w:r>
      <w:r w:rsidRPr="008B1755">
        <w:rPr>
          <w:rFonts w:eastAsia="SimSun"/>
          <w:bCs/>
          <w:i/>
          <w:iCs/>
          <w:sz w:val="24"/>
          <w:szCs w:val="24"/>
          <w:u w:val="single"/>
          <w:lang w:val="cs-CZ"/>
        </w:rPr>
        <w:t>“</w:t>
      </w:r>
    </w:p>
    <w:p w:rsidR="0056783E" w:rsidRPr="008B1755" w:rsidRDefault="00D46787" w:rsidP="0038751B">
      <w:pPr>
        <w:pStyle w:val="Odstavecseseznamem"/>
        <w:numPr>
          <w:ilvl w:val="0"/>
          <w:numId w:val="2"/>
        </w:numPr>
        <w:spacing w:after="120"/>
        <w:contextualSpacing w:val="0"/>
        <w:rPr>
          <w:lang w:val="cs-CZ"/>
        </w:rPr>
      </w:pPr>
      <w:r w:rsidRPr="008B1755">
        <w:rPr>
          <w:lang w:val="cs-CZ"/>
        </w:rPr>
        <w:t>Zaprvé mají</w:t>
      </w:r>
      <w:r w:rsidR="00830331" w:rsidRPr="008B1755">
        <w:rPr>
          <w:lang w:val="cs-CZ"/>
        </w:rPr>
        <w:t xml:space="preserve"> </w:t>
      </w:r>
      <w:r w:rsidR="00C44AED" w:rsidRPr="008B1755">
        <w:rPr>
          <w:lang w:val="cs-CZ"/>
        </w:rPr>
        <w:t>koncoví uživatelé</w:t>
      </w:r>
      <w:r w:rsidR="00830331" w:rsidRPr="008B1755">
        <w:rPr>
          <w:lang w:val="cs-CZ"/>
        </w:rPr>
        <w:t xml:space="preserve"> </w:t>
      </w:r>
      <w:r w:rsidRPr="008B1755">
        <w:rPr>
          <w:rStyle w:val="BERECChar"/>
          <w:lang w:val="cs-CZ"/>
        </w:rPr>
        <w:t>právo na přístup k informacím a obsahu a jejich šíření</w:t>
      </w:r>
      <w:r w:rsidR="00830331" w:rsidRPr="008B1755">
        <w:rPr>
          <w:lang w:val="cs-CZ"/>
        </w:rPr>
        <w:t xml:space="preserve">. </w:t>
      </w:r>
      <w:r w:rsidRPr="008B1755">
        <w:rPr>
          <w:i/>
          <w:lang w:val="cs-CZ"/>
        </w:rPr>
        <w:t>„Přístup a šíření“</w:t>
      </w:r>
      <w:r w:rsidR="00830331" w:rsidRPr="008B1755">
        <w:rPr>
          <w:lang w:val="cs-CZ"/>
        </w:rPr>
        <w:t xml:space="preserve"> </w:t>
      </w:r>
      <w:r w:rsidRPr="008B1755">
        <w:rPr>
          <w:lang w:val="cs-CZ"/>
        </w:rPr>
        <w:t xml:space="preserve">znamená, že ustanovení </w:t>
      </w:r>
      <w:r w:rsidR="00DD272F" w:rsidRPr="008B1755">
        <w:rPr>
          <w:lang w:val="cs-CZ"/>
        </w:rPr>
        <w:t>tohoto Nařízení</w:t>
      </w:r>
      <w:r w:rsidR="00830331" w:rsidRPr="008B1755">
        <w:rPr>
          <w:lang w:val="cs-CZ"/>
        </w:rPr>
        <w:t xml:space="preserve"> </w:t>
      </w:r>
      <w:r w:rsidRPr="008B1755">
        <w:rPr>
          <w:lang w:val="cs-CZ"/>
        </w:rPr>
        <w:t xml:space="preserve">se vztahují na </w:t>
      </w:r>
      <w:r w:rsidR="004E4F9E">
        <w:rPr>
          <w:lang w:val="cs-CZ"/>
        </w:rPr>
        <w:t>upload i download</w:t>
      </w:r>
      <w:r w:rsidRPr="008B1755">
        <w:rPr>
          <w:lang w:val="cs-CZ"/>
        </w:rPr>
        <w:t xml:space="preserve"> dat prostřednictvím </w:t>
      </w:r>
      <w:r w:rsidR="00DD272F" w:rsidRPr="008B1755">
        <w:rPr>
          <w:lang w:val="cs-CZ"/>
        </w:rPr>
        <w:t>služb</w:t>
      </w:r>
      <w:r w:rsidRPr="008B1755">
        <w:rPr>
          <w:lang w:val="cs-CZ"/>
        </w:rPr>
        <w:t>y</w:t>
      </w:r>
      <w:r w:rsidR="00DD272F" w:rsidRPr="008B1755">
        <w:rPr>
          <w:lang w:val="cs-CZ"/>
        </w:rPr>
        <w:t xml:space="preserve"> přístupu k internetu</w:t>
      </w:r>
      <w:r w:rsidR="00830331" w:rsidRPr="008B1755">
        <w:rPr>
          <w:lang w:val="cs-CZ"/>
        </w:rPr>
        <w:t xml:space="preserve">. </w:t>
      </w:r>
      <w:r w:rsidRPr="008B1755">
        <w:rPr>
          <w:lang w:val="cs-CZ"/>
        </w:rPr>
        <w:t xml:space="preserve">Pojem </w:t>
      </w:r>
      <w:r w:rsidRPr="008B1755">
        <w:rPr>
          <w:i/>
          <w:lang w:val="cs-CZ"/>
        </w:rPr>
        <w:t>„</w:t>
      </w:r>
      <w:r w:rsidR="00830331" w:rsidRPr="008B1755">
        <w:rPr>
          <w:i/>
          <w:lang w:val="cs-CZ"/>
        </w:rPr>
        <w:t>Informa</w:t>
      </w:r>
      <w:r w:rsidRPr="008B1755">
        <w:rPr>
          <w:i/>
          <w:lang w:val="cs-CZ"/>
        </w:rPr>
        <w:t>ce a obsah“</w:t>
      </w:r>
      <w:r w:rsidR="00830331" w:rsidRPr="008B1755">
        <w:rPr>
          <w:lang w:val="cs-CZ"/>
        </w:rPr>
        <w:t xml:space="preserve"> </w:t>
      </w:r>
      <w:r w:rsidRPr="008B1755">
        <w:rPr>
          <w:lang w:val="cs-CZ"/>
        </w:rPr>
        <w:t xml:space="preserve">má pokrývat jakoukoli formu dat, která lze </w:t>
      </w:r>
      <w:r w:rsidR="00147F0D">
        <w:rPr>
          <w:lang w:val="cs-CZ"/>
        </w:rPr>
        <w:t>ode</w:t>
      </w:r>
      <w:r w:rsidRPr="008B1755">
        <w:rPr>
          <w:lang w:val="cs-CZ"/>
        </w:rPr>
        <w:t xml:space="preserve">sílat nebo přijímat prostřednictvím </w:t>
      </w:r>
      <w:r w:rsidR="00DD272F" w:rsidRPr="008B1755">
        <w:rPr>
          <w:lang w:val="cs-CZ"/>
        </w:rPr>
        <w:t>služb</w:t>
      </w:r>
      <w:r w:rsidRPr="008B1755">
        <w:rPr>
          <w:lang w:val="cs-CZ"/>
        </w:rPr>
        <w:t>y</w:t>
      </w:r>
      <w:r w:rsidR="00DD272F" w:rsidRPr="008B1755">
        <w:rPr>
          <w:lang w:val="cs-CZ"/>
        </w:rPr>
        <w:t xml:space="preserve"> přístupu k internetu</w:t>
      </w:r>
      <w:r w:rsidR="00830331" w:rsidRPr="008B1755">
        <w:rPr>
          <w:lang w:val="cs-CZ"/>
        </w:rPr>
        <w:t>.</w:t>
      </w:r>
      <w:r w:rsidR="00830331" w:rsidRPr="008B1755" w:rsidDel="00E25AEA">
        <w:rPr>
          <w:lang w:val="cs-CZ"/>
        </w:rPr>
        <w:t xml:space="preserve"> </w:t>
      </w:r>
    </w:p>
    <w:p w:rsidR="00830331" w:rsidRPr="008B1755" w:rsidRDefault="00D46787" w:rsidP="00FC29FE">
      <w:pPr>
        <w:keepNext/>
        <w:keepLines/>
        <w:spacing w:before="120" w:after="120"/>
        <w:outlineLvl w:val="3"/>
        <w:rPr>
          <w:rFonts w:eastAsia="SimSun"/>
          <w:bCs/>
          <w:i/>
          <w:iCs/>
          <w:sz w:val="24"/>
          <w:szCs w:val="24"/>
          <w:u w:val="single"/>
          <w:lang w:val="cs-CZ"/>
        </w:rPr>
      </w:pPr>
      <w:r w:rsidRPr="008B1755">
        <w:rPr>
          <w:rStyle w:val="Style4Char"/>
          <w:i/>
          <w:lang w:val="cs-CZ"/>
        </w:rPr>
        <w:t>„Využívání a poskytování aplikací a služeb</w:t>
      </w:r>
      <w:r w:rsidRPr="008B1755">
        <w:rPr>
          <w:rFonts w:eastAsia="SimSun"/>
          <w:bCs/>
          <w:i/>
          <w:iCs/>
          <w:sz w:val="24"/>
          <w:szCs w:val="24"/>
          <w:u w:val="single"/>
          <w:lang w:val="cs-CZ"/>
        </w:rPr>
        <w:t>“</w:t>
      </w:r>
    </w:p>
    <w:p w:rsidR="00830331" w:rsidRPr="008B1755" w:rsidRDefault="00D46787" w:rsidP="0038751B">
      <w:pPr>
        <w:pStyle w:val="Odstavecseseznamem"/>
        <w:numPr>
          <w:ilvl w:val="0"/>
          <w:numId w:val="2"/>
        </w:numPr>
        <w:spacing w:after="120"/>
        <w:contextualSpacing w:val="0"/>
        <w:rPr>
          <w:lang w:val="cs-CZ"/>
        </w:rPr>
      </w:pPr>
      <w:r w:rsidRPr="008B1755">
        <w:rPr>
          <w:lang w:val="cs-CZ"/>
        </w:rPr>
        <w:t xml:space="preserve">Zadruhé mají </w:t>
      </w:r>
      <w:r w:rsidR="00C44AED" w:rsidRPr="008B1755">
        <w:rPr>
          <w:lang w:val="cs-CZ"/>
        </w:rPr>
        <w:t>koncoví uživatelé</w:t>
      </w:r>
      <w:r w:rsidR="00830331" w:rsidRPr="008B1755">
        <w:rPr>
          <w:lang w:val="cs-CZ"/>
        </w:rPr>
        <w:t xml:space="preserve"> </w:t>
      </w:r>
      <w:r w:rsidRPr="008B1755">
        <w:rPr>
          <w:lang w:val="cs-CZ"/>
        </w:rPr>
        <w:t xml:space="preserve">právo </w:t>
      </w:r>
      <w:r w:rsidR="00147F0D">
        <w:rPr>
          <w:lang w:val="cs-CZ"/>
        </w:rPr>
        <w:t>vy</w:t>
      </w:r>
      <w:r w:rsidRPr="008B1755">
        <w:rPr>
          <w:lang w:val="cs-CZ"/>
        </w:rPr>
        <w:t>oužívat a poskytovat aplikace a služby</w:t>
      </w:r>
      <w:r w:rsidR="00830331" w:rsidRPr="008B1755">
        <w:rPr>
          <w:lang w:val="cs-CZ"/>
        </w:rPr>
        <w:t xml:space="preserve">. </w:t>
      </w:r>
      <w:r w:rsidRPr="008B1755">
        <w:rPr>
          <w:i/>
          <w:lang w:val="cs-CZ"/>
        </w:rPr>
        <w:t xml:space="preserve">„Využívání a poskytování“ </w:t>
      </w:r>
      <w:r w:rsidRPr="008B1755">
        <w:rPr>
          <w:lang w:val="cs-CZ"/>
        </w:rPr>
        <w:t xml:space="preserve">znamená, že toto právo se vztahuje na </w:t>
      </w:r>
      <w:r w:rsidR="00167DC4">
        <w:rPr>
          <w:lang w:val="cs-CZ"/>
        </w:rPr>
        <w:t xml:space="preserve">užívání </w:t>
      </w:r>
      <w:r w:rsidRPr="008B1755">
        <w:rPr>
          <w:lang w:val="cs-CZ"/>
        </w:rPr>
        <w:t xml:space="preserve"> i poskytování aplikací a služeb</w:t>
      </w:r>
      <w:r w:rsidR="00830331" w:rsidRPr="008B1755">
        <w:rPr>
          <w:lang w:val="cs-CZ"/>
        </w:rPr>
        <w:t xml:space="preserve">. </w:t>
      </w:r>
      <w:r w:rsidRPr="008B1755">
        <w:rPr>
          <w:lang w:val="cs-CZ"/>
        </w:rPr>
        <w:t xml:space="preserve">Pojem </w:t>
      </w:r>
      <w:r w:rsidRPr="008B1755">
        <w:rPr>
          <w:i/>
          <w:lang w:val="cs-CZ"/>
        </w:rPr>
        <w:t xml:space="preserve">„aplikace a služby“ </w:t>
      </w:r>
      <w:r w:rsidRPr="008B1755">
        <w:rPr>
          <w:lang w:val="cs-CZ"/>
        </w:rPr>
        <w:t>znamená aplikace</w:t>
      </w:r>
      <w:r w:rsidRPr="008B1755">
        <w:rPr>
          <w:i/>
          <w:lang w:val="cs-CZ"/>
        </w:rPr>
        <w:t xml:space="preserve"> </w:t>
      </w:r>
      <w:r w:rsidR="00830331" w:rsidRPr="008B1755">
        <w:rPr>
          <w:lang w:val="cs-CZ"/>
        </w:rPr>
        <w:t>(</w:t>
      </w:r>
      <w:r w:rsidRPr="008B1755">
        <w:rPr>
          <w:lang w:val="cs-CZ"/>
        </w:rPr>
        <w:t xml:space="preserve">včetně klientského a </w:t>
      </w:r>
      <w:r w:rsidR="00CA4D5A" w:rsidRPr="008B1755">
        <w:rPr>
          <w:lang w:val="cs-CZ"/>
        </w:rPr>
        <w:t>server</w:t>
      </w:r>
      <w:r w:rsidRPr="008B1755">
        <w:rPr>
          <w:lang w:val="cs-CZ"/>
        </w:rPr>
        <w:t>ového</w:t>
      </w:r>
      <w:r w:rsidR="00830331" w:rsidRPr="008B1755">
        <w:rPr>
          <w:lang w:val="cs-CZ"/>
        </w:rPr>
        <w:t xml:space="preserve"> softwar</w:t>
      </w:r>
      <w:r w:rsidRPr="008B1755">
        <w:rPr>
          <w:lang w:val="cs-CZ"/>
        </w:rPr>
        <w:t>u</w:t>
      </w:r>
      <w:r w:rsidR="00830331" w:rsidRPr="008B1755">
        <w:rPr>
          <w:lang w:val="cs-CZ"/>
        </w:rPr>
        <w:t xml:space="preserve">) </w:t>
      </w:r>
      <w:r w:rsidRPr="008B1755">
        <w:rPr>
          <w:lang w:val="cs-CZ"/>
        </w:rPr>
        <w:t>i služby</w:t>
      </w:r>
      <w:r w:rsidR="00830331" w:rsidRPr="008B1755">
        <w:rPr>
          <w:lang w:val="cs-CZ"/>
        </w:rPr>
        <w:t xml:space="preserve">. </w:t>
      </w:r>
    </w:p>
    <w:p w:rsidR="00534B48" w:rsidRPr="008B1755" w:rsidRDefault="00D46787" w:rsidP="00FC29FE">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w:t>
      </w:r>
      <w:r w:rsidRPr="008B1755">
        <w:rPr>
          <w:rStyle w:val="Style4Char"/>
          <w:i/>
          <w:lang w:val="cs-CZ"/>
        </w:rPr>
        <w:t>Využívání koncového zařízení podle svého vlastního výběru</w:t>
      </w:r>
      <w:r w:rsidRPr="008B1755">
        <w:rPr>
          <w:rFonts w:eastAsia="SimSun"/>
          <w:bCs/>
          <w:i/>
          <w:iCs/>
          <w:sz w:val="24"/>
          <w:szCs w:val="24"/>
          <w:u w:val="single"/>
          <w:lang w:val="cs-CZ"/>
        </w:rPr>
        <w:t>“</w:t>
      </w:r>
    </w:p>
    <w:p w:rsidR="00B02FC2" w:rsidRPr="008B1755" w:rsidRDefault="00D46787" w:rsidP="0038751B">
      <w:pPr>
        <w:pStyle w:val="Odstavecseseznamem"/>
        <w:numPr>
          <w:ilvl w:val="0"/>
          <w:numId w:val="2"/>
        </w:numPr>
        <w:spacing w:after="120"/>
        <w:contextualSpacing w:val="0"/>
        <w:rPr>
          <w:lang w:val="cs-CZ"/>
        </w:rPr>
      </w:pPr>
      <w:r w:rsidRPr="008B1755">
        <w:rPr>
          <w:lang w:val="cs-CZ"/>
        </w:rPr>
        <w:t>Zatřetí mají koncoví uživatelé právo používat koncové zařízení podle vlastního výběru</w:t>
      </w:r>
      <w:r w:rsidR="00830331" w:rsidRPr="008B1755">
        <w:rPr>
          <w:lang w:val="cs-CZ"/>
        </w:rPr>
        <w:t xml:space="preserve">. </w:t>
      </w:r>
      <w:r w:rsidRPr="008B1755">
        <w:rPr>
          <w:lang w:val="cs-CZ"/>
        </w:rPr>
        <w:t xml:space="preserve">Směrnice </w:t>
      </w:r>
      <w:r w:rsidR="00830331" w:rsidRPr="008B1755">
        <w:rPr>
          <w:lang w:val="cs-CZ"/>
        </w:rPr>
        <w:t>2008/63</w:t>
      </w:r>
      <w:r w:rsidR="002E5214" w:rsidRPr="008B1755">
        <w:rPr>
          <w:lang w:val="cs-CZ"/>
        </w:rPr>
        <w:t>/ES</w:t>
      </w:r>
      <w:r w:rsidR="00830331" w:rsidRPr="008B1755">
        <w:rPr>
          <w:lang w:val="cs-CZ"/>
        </w:rPr>
        <w:t xml:space="preserve"> </w:t>
      </w:r>
      <w:r w:rsidRPr="008B1755">
        <w:rPr>
          <w:lang w:val="cs-CZ"/>
        </w:rPr>
        <w:t xml:space="preserve">definuje </w:t>
      </w:r>
      <w:r w:rsidRPr="008B1755">
        <w:rPr>
          <w:i/>
          <w:lang w:val="cs-CZ"/>
        </w:rPr>
        <w:t>„koncové zařízení“ jako „</w:t>
      </w:r>
      <w:r w:rsidRPr="008B1755">
        <w:rPr>
          <w:rStyle w:val="BERECcitaceChar"/>
          <w:lang w:val="cs-CZ"/>
        </w:rPr>
        <w:t>zařízení přímo nebo nepřímo připojené k rozhraní veřejné telekomunikační sítě</w:t>
      </w:r>
      <w:r w:rsidRPr="008B1755">
        <w:rPr>
          <w:i/>
          <w:lang w:val="cs-CZ"/>
        </w:rPr>
        <w:t>“</w:t>
      </w:r>
      <w:r w:rsidR="00830331" w:rsidRPr="008B1755">
        <w:rPr>
          <w:lang w:val="cs-CZ"/>
        </w:rPr>
        <w:t xml:space="preserve">. </w:t>
      </w:r>
      <w:r w:rsidR="00453FD2" w:rsidRPr="008B1755">
        <w:rPr>
          <w:lang w:val="cs-CZ"/>
        </w:rPr>
        <w:t>Právo na výběr koncového zařízení</w:t>
      </w:r>
      <w:r w:rsidR="00830331" w:rsidRPr="008B1755">
        <w:rPr>
          <w:lang w:val="cs-CZ"/>
        </w:rPr>
        <w:t xml:space="preserve"> </w:t>
      </w:r>
      <w:r w:rsidR="00453FD2" w:rsidRPr="008B1755">
        <w:rPr>
          <w:lang w:val="cs-CZ"/>
        </w:rPr>
        <w:t>se tedy vztahuje na zařízení, které se připojuje</w:t>
      </w:r>
      <w:r w:rsidR="00453FD2" w:rsidRPr="008B1755">
        <w:rPr>
          <w:rStyle w:val="BERECcitaceChar"/>
          <w:lang w:val="cs-CZ"/>
        </w:rPr>
        <w:t xml:space="preserve"> </w:t>
      </w:r>
      <w:r w:rsidR="00453FD2" w:rsidRPr="008B1755">
        <w:rPr>
          <w:rStyle w:val="BERECcitaceChar"/>
          <w:i w:val="0"/>
          <w:lang w:val="cs-CZ"/>
        </w:rPr>
        <w:t>k rozhraní veřejné telekomunikační sítě</w:t>
      </w:r>
      <w:r w:rsidR="00830331" w:rsidRPr="008B1755">
        <w:rPr>
          <w:lang w:val="cs-CZ"/>
        </w:rPr>
        <w:t xml:space="preserve">. </w:t>
      </w:r>
      <w:r w:rsidR="00453FD2" w:rsidRPr="008B1755">
        <w:rPr>
          <w:lang w:val="cs-CZ"/>
        </w:rPr>
        <w:t>Toto rozhraní</w:t>
      </w:r>
      <w:r w:rsidR="00830331" w:rsidRPr="008B1755">
        <w:rPr>
          <w:lang w:val="cs-CZ"/>
        </w:rPr>
        <w:t xml:space="preserve">, </w:t>
      </w:r>
      <w:r w:rsidR="00F064F8" w:rsidRPr="008B1755">
        <w:rPr>
          <w:lang w:val="cs-CZ"/>
        </w:rPr>
        <w:t>koncový bod sítě</w:t>
      </w:r>
      <w:r w:rsidR="00830331" w:rsidRPr="008B1755">
        <w:rPr>
          <w:lang w:val="cs-CZ"/>
        </w:rPr>
        <w:t xml:space="preserve"> (NTP), </w:t>
      </w:r>
      <w:r w:rsidR="00453FD2" w:rsidRPr="008B1755">
        <w:rPr>
          <w:lang w:val="cs-CZ"/>
        </w:rPr>
        <w:t xml:space="preserve">je definováno </w:t>
      </w:r>
      <w:r w:rsidR="00F064F8" w:rsidRPr="008B1755">
        <w:rPr>
          <w:lang w:val="cs-CZ"/>
        </w:rPr>
        <w:t>v článku</w:t>
      </w:r>
      <w:r w:rsidR="00830331" w:rsidRPr="008B1755">
        <w:rPr>
          <w:lang w:val="cs-CZ"/>
        </w:rPr>
        <w:t xml:space="preserve"> 2</w:t>
      </w:r>
      <w:r w:rsidR="00B02FC2" w:rsidRPr="008B1755">
        <w:rPr>
          <w:lang w:val="cs-CZ"/>
        </w:rPr>
        <w:t xml:space="preserve"> </w:t>
      </w:r>
      <w:r w:rsidR="003709D0" w:rsidRPr="008B1755">
        <w:rPr>
          <w:lang w:val="cs-CZ"/>
        </w:rPr>
        <w:t>(</w:t>
      </w:r>
      <w:r w:rsidR="006E7987" w:rsidRPr="008B1755">
        <w:rPr>
          <w:lang w:val="cs-CZ"/>
        </w:rPr>
        <w:t>da</w:t>
      </w:r>
      <w:r w:rsidR="003709D0" w:rsidRPr="008B1755">
        <w:rPr>
          <w:lang w:val="cs-CZ"/>
        </w:rPr>
        <w:t xml:space="preserve">) </w:t>
      </w:r>
      <w:r w:rsidR="00F064F8" w:rsidRPr="008B1755">
        <w:rPr>
          <w:lang w:val="cs-CZ"/>
        </w:rPr>
        <w:t>rámcové směrnice</w:t>
      </w:r>
      <w:r w:rsidR="00830331" w:rsidRPr="008B1755">
        <w:rPr>
          <w:lang w:val="cs-CZ"/>
        </w:rPr>
        <w:t xml:space="preserve"> (2002/</w:t>
      </w:r>
      <w:r w:rsidR="006E7987" w:rsidRPr="008B1755">
        <w:rPr>
          <w:lang w:val="cs-CZ"/>
        </w:rPr>
        <w:t>21</w:t>
      </w:r>
      <w:r w:rsidR="002E5214" w:rsidRPr="008B1755">
        <w:rPr>
          <w:lang w:val="cs-CZ"/>
        </w:rPr>
        <w:t>/ES</w:t>
      </w:r>
      <w:r w:rsidR="00830331" w:rsidRPr="008B1755">
        <w:rPr>
          <w:lang w:val="cs-CZ"/>
        </w:rPr>
        <w:t>)</w:t>
      </w:r>
      <w:r w:rsidR="00453FD2" w:rsidRPr="008B1755">
        <w:rPr>
          <w:lang w:val="cs-CZ"/>
        </w:rPr>
        <w:t xml:space="preserve"> a znamená fyzické místo, ve kterém je účastníkovi zajišťován přístup k </w:t>
      </w:r>
      <w:r w:rsidR="00F064F8" w:rsidRPr="008B1755">
        <w:rPr>
          <w:lang w:val="cs-CZ"/>
        </w:rPr>
        <w:t>veřejn</w:t>
      </w:r>
      <w:r w:rsidR="00453FD2" w:rsidRPr="008B1755">
        <w:rPr>
          <w:lang w:val="cs-CZ"/>
        </w:rPr>
        <w:t>é</w:t>
      </w:r>
      <w:r w:rsidR="00F064F8" w:rsidRPr="008B1755">
        <w:rPr>
          <w:lang w:val="cs-CZ"/>
        </w:rPr>
        <w:t xml:space="preserve"> komunikační sí</w:t>
      </w:r>
      <w:r w:rsidR="00453FD2" w:rsidRPr="008B1755">
        <w:rPr>
          <w:lang w:val="cs-CZ"/>
        </w:rPr>
        <w:t>ti</w:t>
      </w:r>
      <w:r w:rsidR="00830331" w:rsidRPr="008B1755">
        <w:rPr>
          <w:lang w:val="cs-CZ"/>
        </w:rPr>
        <w:t>.</w:t>
      </w:r>
      <w:r w:rsidR="002C1AF8" w:rsidRPr="008B1755">
        <w:rPr>
          <w:lang w:val="cs-CZ"/>
        </w:rPr>
        <w:t xml:space="preserve"> </w:t>
      </w:r>
    </w:p>
    <w:p w:rsidR="00677805" w:rsidRPr="008B1755" w:rsidRDefault="00007189" w:rsidP="0038751B">
      <w:pPr>
        <w:pStyle w:val="Odstavecseseznamem"/>
        <w:numPr>
          <w:ilvl w:val="0"/>
          <w:numId w:val="2"/>
        </w:numPr>
        <w:spacing w:after="120"/>
        <w:contextualSpacing w:val="0"/>
        <w:rPr>
          <w:lang w:val="cs-CZ"/>
        </w:rPr>
      </w:pPr>
      <w:r w:rsidRPr="008B1755">
        <w:rPr>
          <w:lang w:val="cs-CZ"/>
        </w:rPr>
        <w:t xml:space="preserve">Při posuzování, zda </w:t>
      </w:r>
      <w:r w:rsidR="00C44AED" w:rsidRPr="008B1755">
        <w:rPr>
          <w:lang w:val="cs-CZ"/>
        </w:rPr>
        <w:t>koncoví uživatelé</w:t>
      </w:r>
      <w:r w:rsidR="00677805" w:rsidRPr="008B1755">
        <w:rPr>
          <w:lang w:val="cs-CZ"/>
        </w:rPr>
        <w:t xml:space="preserve"> </w:t>
      </w:r>
      <w:r w:rsidRPr="008B1755">
        <w:rPr>
          <w:lang w:val="cs-CZ"/>
        </w:rPr>
        <w:t xml:space="preserve">mohou používat </w:t>
      </w:r>
      <w:r w:rsidR="00453FD2" w:rsidRPr="008B1755">
        <w:rPr>
          <w:lang w:val="cs-CZ"/>
        </w:rPr>
        <w:t>koncové zařízení</w:t>
      </w:r>
      <w:r w:rsidR="00677805" w:rsidRPr="008B1755">
        <w:rPr>
          <w:lang w:val="cs-CZ"/>
        </w:rPr>
        <w:t xml:space="preserve"> </w:t>
      </w:r>
      <w:r w:rsidRPr="008B1755">
        <w:rPr>
          <w:lang w:val="cs-CZ"/>
        </w:rPr>
        <w:t>podle vlastního výběru</w:t>
      </w:r>
      <w:r w:rsidR="000C3CE2" w:rsidRPr="008B1755">
        <w:rPr>
          <w:lang w:val="cs-CZ"/>
        </w:rPr>
        <w:t>,</w:t>
      </w:r>
      <w:r w:rsidRPr="008B1755">
        <w:rPr>
          <w:lang w:val="cs-CZ"/>
        </w:rPr>
        <w:t xml:space="preserve"> by </w:t>
      </w:r>
      <w:r w:rsidR="00926BAE" w:rsidRPr="008B1755">
        <w:rPr>
          <w:lang w:val="cs-CZ"/>
        </w:rPr>
        <w:t>vnitrostátní regulační orgány</w:t>
      </w:r>
      <w:r w:rsidR="00677805" w:rsidRPr="008B1755">
        <w:rPr>
          <w:lang w:val="cs-CZ"/>
        </w:rPr>
        <w:t xml:space="preserve"> </w:t>
      </w:r>
      <w:r w:rsidRPr="008B1755">
        <w:rPr>
          <w:lang w:val="cs-CZ"/>
        </w:rPr>
        <w:t xml:space="preserve">měly posuzovat, zda </w:t>
      </w:r>
      <w:r w:rsidR="00DD272F" w:rsidRPr="008B1755">
        <w:rPr>
          <w:lang w:val="cs-CZ"/>
        </w:rPr>
        <w:t>poskytovatel internetových služeb</w:t>
      </w:r>
      <w:r w:rsidR="00677805" w:rsidRPr="008B1755">
        <w:rPr>
          <w:lang w:val="cs-CZ"/>
        </w:rPr>
        <w:t xml:space="preserve"> </w:t>
      </w:r>
      <w:r w:rsidRPr="008B1755">
        <w:rPr>
          <w:lang w:val="cs-CZ"/>
        </w:rPr>
        <w:t>poskytuje zařízení pro své účastníky a omezuje</w:t>
      </w:r>
      <w:r w:rsidR="00167DC4">
        <w:rPr>
          <w:lang w:val="cs-CZ"/>
        </w:rPr>
        <w:t xml:space="preserve"> </w:t>
      </w:r>
      <w:r w:rsidR="00147F0D">
        <w:rPr>
          <w:lang w:val="cs-CZ"/>
        </w:rPr>
        <w:t xml:space="preserve">přitom </w:t>
      </w:r>
      <w:r w:rsidRPr="008B1755">
        <w:rPr>
          <w:lang w:val="cs-CZ"/>
        </w:rPr>
        <w:t xml:space="preserve">možnost </w:t>
      </w:r>
      <w:r w:rsidR="00C44AED" w:rsidRPr="008B1755">
        <w:rPr>
          <w:lang w:val="cs-CZ"/>
        </w:rPr>
        <w:t>koncov</w:t>
      </w:r>
      <w:r w:rsidRPr="008B1755">
        <w:rPr>
          <w:lang w:val="cs-CZ"/>
        </w:rPr>
        <w:t xml:space="preserve">ých </w:t>
      </w:r>
      <w:r w:rsidR="00C44AED" w:rsidRPr="008B1755">
        <w:rPr>
          <w:lang w:val="cs-CZ"/>
        </w:rPr>
        <w:t>uživatel</w:t>
      </w:r>
      <w:r w:rsidRPr="008B1755">
        <w:rPr>
          <w:lang w:val="cs-CZ"/>
        </w:rPr>
        <w:t xml:space="preserve">ů vyměnit </w:t>
      </w:r>
      <w:r w:rsidR="00167DC4">
        <w:rPr>
          <w:lang w:val="cs-CZ"/>
        </w:rPr>
        <w:t xml:space="preserve">si </w:t>
      </w:r>
      <w:r w:rsidRPr="008B1755">
        <w:rPr>
          <w:lang w:val="cs-CZ"/>
        </w:rPr>
        <w:t xml:space="preserve">toto zařízení za </w:t>
      </w:r>
      <w:r w:rsidR="00E35026" w:rsidRPr="008B1755">
        <w:rPr>
          <w:lang w:val="cs-CZ"/>
        </w:rPr>
        <w:t xml:space="preserve">zařízení </w:t>
      </w:r>
      <w:r w:rsidRPr="008B1755">
        <w:rPr>
          <w:lang w:val="cs-CZ"/>
        </w:rPr>
        <w:t>vlastní</w:t>
      </w:r>
      <w:r w:rsidR="00677805" w:rsidRPr="008B1755">
        <w:rPr>
          <w:lang w:val="cs-CZ"/>
        </w:rPr>
        <w:t xml:space="preserve">, </w:t>
      </w:r>
      <w:r w:rsidRPr="008B1755">
        <w:rPr>
          <w:lang w:val="cs-CZ"/>
        </w:rPr>
        <w:t>tj.</w:t>
      </w:r>
      <w:r w:rsidR="00D334C4" w:rsidRPr="008B1755">
        <w:rPr>
          <w:lang w:val="cs-CZ"/>
        </w:rPr>
        <w:t xml:space="preserve"> </w:t>
      </w:r>
      <w:r w:rsidRPr="008B1755">
        <w:rPr>
          <w:lang w:val="cs-CZ"/>
        </w:rPr>
        <w:t xml:space="preserve">zda poskytuje </w:t>
      </w:r>
      <w:r w:rsidRPr="008B1755">
        <w:rPr>
          <w:i/>
          <w:lang w:val="cs-CZ"/>
        </w:rPr>
        <w:t>„povinné zařízení“</w:t>
      </w:r>
      <w:r w:rsidR="00677805" w:rsidRPr="008B1755">
        <w:rPr>
          <w:lang w:val="cs-CZ"/>
        </w:rPr>
        <w:t xml:space="preserve">. </w:t>
      </w:r>
    </w:p>
    <w:p w:rsidR="00677805" w:rsidRPr="008B1755" w:rsidRDefault="00032BA4" w:rsidP="0038751B">
      <w:pPr>
        <w:pStyle w:val="Odstavecseseznamem"/>
        <w:numPr>
          <w:ilvl w:val="0"/>
          <w:numId w:val="2"/>
        </w:numPr>
        <w:spacing w:after="120"/>
        <w:contextualSpacing w:val="0"/>
        <w:rPr>
          <w:lang w:val="cs-CZ"/>
        </w:rPr>
      </w:pPr>
      <w:r w:rsidRPr="008B1755">
        <w:rPr>
          <w:lang w:val="cs-CZ"/>
        </w:rPr>
        <w:t xml:space="preserve">Navíc by </w:t>
      </w:r>
      <w:r w:rsidR="00926BAE" w:rsidRPr="008B1755">
        <w:rPr>
          <w:lang w:val="cs-CZ"/>
        </w:rPr>
        <w:t>vnitrostátní regulační orgány</w:t>
      </w:r>
      <w:r w:rsidR="00677805" w:rsidRPr="008B1755">
        <w:rPr>
          <w:lang w:val="cs-CZ"/>
        </w:rPr>
        <w:t xml:space="preserve"> </w:t>
      </w:r>
      <w:r w:rsidRPr="008B1755">
        <w:rPr>
          <w:lang w:val="cs-CZ"/>
        </w:rPr>
        <w:t xml:space="preserve">měly přihlédnout k tomu, zda existuje objektivní </w:t>
      </w:r>
      <w:r w:rsidR="00677805" w:rsidRPr="008B1755">
        <w:rPr>
          <w:lang w:val="cs-CZ"/>
        </w:rPr>
        <w:t>technologic</w:t>
      </w:r>
      <w:r w:rsidRPr="008B1755">
        <w:rPr>
          <w:lang w:val="cs-CZ"/>
        </w:rPr>
        <w:t xml:space="preserve">ká nutnost pro </w:t>
      </w:r>
      <w:r w:rsidR="00962EE2">
        <w:rPr>
          <w:lang w:val="cs-CZ"/>
        </w:rPr>
        <w:t xml:space="preserve">to aby bylo povinné zařízení považováno za část </w:t>
      </w:r>
      <w:r w:rsidRPr="008B1755">
        <w:rPr>
          <w:lang w:val="cs-CZ"/>
        </w:rPr>
        <w:t xml:space="preserve">sítě </w:t>
      </w:r>
      <w:r w:rsidR="00DD272F" w:rsidRPr="008B1755">
        <w:rPr>
          <w:lang w:val="cs-CZ"/>
        </w:rPr>
        <w:t>poskytovatel</w:t>
      </w:r>
      <w:r w:rsidRPr="008B1755">
        <w:rPr>
          <w:lang w:val="cs-CZ"/>
        </w:rPr>
        <w:t>e</w:t>
      </w:r>
      <w:r w:rsidR="00DD272F" w:rsidRPr="008B1755">
        <w:rPr>
          <w:lang w:val="cs-CZ"/>
        </w:rPr>
        <w:t xml:space="preserve"> internetových služeb</w:t>
      </w:r>
      <w:r w:rsidR="00677805" w:rsidRPr="008B1755">
        <w:rPr>
          <w:lang w:val="cs-CZ"/>
        </w:rPr>
        <w:t xml:space="preserve">. </w:t>
      </w:r>
      <w:r w:rsidRPr="008B1755">
        <w:rPr>
          <w:lang w:val="cs-CZ"/>
        </w:rPr>
        <w:t>Pokud tomu tak není a pokud je výběr koncového</w:t>
      </w:r>
      <w:r w:rsidR="00453FD2" w:rsidRPr="008B1755">
        <w:rPr>
          <w:lang w:val="cs-CZ"/>
        </w:rPr>
        <w:t xml:space="preserve"> zařízení</w:t>
      </w:r>
      <w:r w:rsidR="00677805" w:rsidRPr="008B1755">
        <w:rPr>
          <w:lang w:val="cs-CZ"/>
        </w:rPr>
        <w:t xml:space="preserve"> </w:t>
      </w:r>
      <w:r w:rsidRPr="008B1755">
        <w:rPr>
          <w:lang w:val="cs-CZ"/>
        </w:rPr>
        <w:t>omezen</w:t>
      </w:r>
      <w:r w:rsidR="00677805" w:rsidRPr="008B1755">
        <w:rPr>
          <w:lang w:val="cs-CZ"/>
        </w:rPr>
        <w:t xml:space="preserve">, </w:t>
      </w:r>
      <w:r w:rsidRPr="008B1755">
        <w:rPr>
          <w:lang w:val="cs-CZ"/>
        </w:rPr>
        <w:t>byla by tato praxe v rozporu s Nařízením</w:t>
      </w:r>
      <w:r w:rsidR="00677805" w:rsidRPr="008B1755">
        <w:rPr>
          <w:lang w:val="cs-CZ"/>
        </w:rPr>
        <w:t>.</w:t>
      </w:r>
      <w:r w:rsidR="00FD15CD" w:rsidRPr="008B1755">
        <w:rPr>
          <w:lang w:val="cs-CZ"/>
        </w:rPr>
        <w:t xml:space="preserve"> </w:t>
      </w:r>
      <w:r w:rsidRPr="008B1755">
        <w:rPr>
          <w:lang w:val="cs-CZ"/>
        </w:rPr>
        <w:t xml:space="preserve">Například praxe omezování </w:t>
      </w:r>
      <w:r w:rsidR="00E35026">
        <w:rPr>
          <w:lang w:val="cs-CZ"/>
        </w:rPr>
        <w:t xml:space="preserve">tzv. </w:t>
      </w:r>
      <w:r w:rsidR="00FD15CD" w:rsidRPr="008B1755">
        <w:rPr>
          <w:lang w:val="cs-CZ"/>
        </w:rPr>
        <w:t>tethering</w:t>
      </w:r>
      <w:r w:rsidR="00F05EFD" w:rsidRPr="008B1755">
        <w:rPr>
          <w:lang w:val="cs-CZ"/>
        </w:rPr>
        <w:t>u</w:t>
      </w:r>
      <w:r w:rsidR="00FD15CD" w:rsidRPr="008B1755">
        <w:rPr>
          <w:rStyle w:val="Znakapoznpodarou"/>
          <w:lang w:val="cs-CZ"/>
        </w:rPr>
        <w:footnoteReference w:id="11"/>
      </w:r>
      <w:r w:rsidR="00FD15CD" w:rsidRPr="008B1755">
        <w:rPr>
          <w:lang w:val="cs-CZ"/>
        </w:rPr>
        <w:t xml:space="preserve"> </w:t>
      </w:r>
      <w:r w:rsidRPr="008B1755">
        <w:rPr>
          <w:lang w:val="cs-CZ"/>
        </w:rPr>
        <w:t>pravděpodobně představuje omezení výběru koncového</w:t>
      </w:r>
      <w:r w:rsidR="00453FD2" w:rsidRPr="008B1755">
        <w:rPr>
          <w:lang w:val="cs-CZ"/>
        </w:rPr>
        <w:t xml:space="preserve"> zařízení</w:t>
      </w:r>
      <w:r w:rsidRPr="008B1755">
        <w:rPr>
          <w:lang w:val="cs-CZ"/>
        </w:rPr>
        <w:t xml:space="preserve">, protože </w:t>
      </w:r>
      <w:r w:rsidR="007D7F64" w:rsidRPr="008B1755">
        <w:rPr>
          <w:lang w:val="cs-CZ"/>
        </w:rPr>
        <w:t>poskytovatelé internetových služeb</w:t>
      </w:r>
      <w:r w:rsidR="006B2F82" w:rsidRPr="008B1755">
        <w:rPr>
          <w:lang w:val="cs-CZ"/>
        </w:rPr>
        <w:t xml:space="preserve"> </w:t>
      </w:r>
      <w:r w:rsidRPr="008B1755">
        <w:rPr>
          <w:rFonts w:cs="Arial"/>
          <w:i/>
          <w:lang w:val="cs-CZ"/>
        </w:rPr>
        <w:t>„</w:t>
      </w:r>
      <w:r w:rsidRPr="008B1755">
        <w:rPr>
          <w:rStyle w:val="BERECcitaceChar"/>
          <w:lang w:val="cs-CZ"/>
        </w:rPr>
        <w:t>by neměli ukládat omezení, pokud jde o použití koncových zařízení připojovaných k síti, nad rámec omezení ukládaných výrobci či distributory těchto koncových zařízení v souladu s právem Unie</w:t>
      </w:r>
      <w:r w:rsidRPr="008B1755">
        <w:rPr>
          <w:rFonts w:cs="Arial"/>
          <w:i/>
          <w:lang w:val="cs-CZ"/>
        </w:rPr>
        <w:t>“</w:t>
      </w:r>
      <w:r w:rsidR="006B2F82" w:rsidRPr="008B1755">
        <w:rPr>
          <w:rFonts w:cs="Arial"/>
          <w:lang w:val="cs-CZ"/>
        </w:rPr>
        <w:t xml:space="preserve"> (</w:t>
      </w:r>
      <w:r w:rsidR="00946CEA" w:rsidRPr="008B1755">
        <w:rPr>
          <w:rFonts w:cs="Arial"/>
          <w:lang w:val="cs-CZ"/>
        </w:rPr>
        <w:t xml:space="preserve">Úvodní část Nařízení, bod </w:t>
      </w:r>
      <w:r w:rsidR="006B2F82" w:rsidRPr="008B1755">
        <w:rPr>
          <w:rFonts w:cs="Arial"/>
          <w:lang w:val="cs-CZ"/>
        </w:rPr>
        <w:t>5)</w:t>
      </w:r>
      <w:r w:rsidR="00FD15CD" w:rsidRPr="008B1755">
        <w:rPr>
          <w:lang w:val="cs-CZ"/>
        </w:rPr>
        <w:t>.</w:t>
      </w:r>
    </w:p>
    <w:p w:rsidR="0090166F" w:rsidRPr="008B1755" w:rsidRDefault="00F05EFD" w:rsidP="0090166F">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Právní předpisy týkající se zákonnosti obsahu</w:t>
      </w:r>
      <w:r w:rsidR="0090166F" w:rsidRPr="008B1755">
        <w:rPr>
          <w:rFonts w:eastAsia="SimSun"/>
          <w:bCs/>
          <w:i/>
          <w:iCs/>
          <w:sz w:val="24"/>
          <w:szCs w:val="24"/>
          <w:u w:val="single"/>
          <w:lang w:val="cs-CZ"/>
        </w:rPr>
        <w:t xml:space="preserve">, </w:t>
      </w:r>
      <w:r w:rsidRPr="008B1755">
        <w:rPr>
          <w:rFonts w:eastAsia="SimSun"/>
          <w:bCs/>
          <w:i/>
          <w:iCs/>
          <w:sz w:val="24"/>
          <w:szCs w:val="24"/>
          <w:u w:val="single"/>
          <w:lang w:val="cs-CZ"/>
        </w:rPr>
        <w:t>aplikací nebo služeb</w:t>
      </w:r>
      <w:r w:rsidR="0090166F" w:rsidRPr="008B1755">
        <w:rPr>
          <w:rFonts w:eastAsia="SimSun"/>
          <w:bCs/>
          <w:i/>
          <w:iCs/>
          <w:sz w:val="24"/>
          <w:szCs w:val="24"/>
          <w:u w:val="single"/>
          <w:lang w:val="cs-CZ"/>
        </w:rPr>
        <w:t xml:space="preserve"> </w:t>
      </w:r>
    </w:p>
    <w:p w:rsidR="00DD2E7D" w:rsidRPr="008B1755" w:rsidRDefault="00F05EFD" w:rsidP="00474DCA">
      <w:pPr>
        <w:pStyle w:val="Odstavecseseznamem"/>
        <w:numPr>
          <w:ilvl w:val="0"/>
          <w:numId w:val="2"/>
        </w:numPr>
        <w:spacing w:after="120"/>
        <w:contextualSpacing w:val="0"/>
        <w:rPr>
          <w:lang w:val="cs-CZ"/>
        </w:rPr>
      </w:pPr>
      <w:r w:rsidRPr="008B1755">
        <w:rPr>
          <w:lang w:val="cs-CZ"/>
        </w:rPr>
        <w:t xml:space="preserve">Článek </w:t>
      </w:r>
      <w:r w:rsidR="00DD272F" w:rsidRPr="008B1755">
        <w:rPr>
          <w:lang w:val="cs-CZ"/>
        </w:rPr>
        <w:t xml:space="preserve">3 odst. </w:t>
      </w:r>
      <w:r w:rsidR="0090166F" w:rsidRPr="008B1755">
        <w:rPr>
          <w:lang w:val="cs-CZ"/>
        </w:rPr>
        <w:t>1</w:t>
      </w:r>
      <w:r w:rsidRPr="008B1755">
        <w:rPr>
          <w:lang w:val="cs-CZ"/>
        </w:rPr>
        <w:t>,</w:t>
      </w:r>
      <w:r w:rsidR="0090166F" w:rsidRPr="008B1755">
        <w:rPr>
          <w:lang w:val="cs-CZ"/>
        </w:rPr>
        <w:t xml:space="preserve"> </w:t>
      </w:r>
      <w:r w:rsidR="001D70F8" w:rsidRPr="008B1755">
        <w:rPr>
          <w:lang w:val="cs-CZ"/>
        </w:rPr>
        <w:t>druhý pododstavec</w:t>
      </w:r>
      <w:r w:rsidRPr="008B1755">
        <w:rPr>
          <w:lang w:val="cs-CZ"/>
        </w:rPr>
        <w:t xml:space="preserve">, stanoví, že stále platí </w:t>
      </w:r>
      <w:r w:rsidRPr="008B1755">
        <w:rPr>
          <w:rStyle w:val="BERECChar"/>
          <w:lang w:val="cs-CZ"/>
        </w:rPr>
        <w:t>právo Unie nebo vnitrostátní právo, které je v souladu s právem Unie, týkající se zákonnosti obsahu, aplikací či služeb</w:t>
      </w:r>
      <w:r w:rsidR="0090166F" w:rsidRPr="008B1755">
        <w:rPr>
          <w:lang w:val="cs-CZ"/>
        </w:rPr>
        <w:t xml:space="preserve">. </w:t>
      </w:r>
      <w:r w:rsidRPr="008B1755">
        <w:rPr>
          <w:lang w:val="cs-CZ"/>
        </w:rPr>
        <w:t>Nařízení k jednotnému telekomunikačnímu trhu</w:t>
      </w:r>
      <w:r w:rsidR="0090166F" w:rsidRPr="008B1755">
        <w:rPr>
          <w:lang w:val="cs-CZ"/>
        </w:rPr>
        <w:t xml:space="preserve"> </w:t>
      </w:r>
      <w:r w:rsidRPr="008B1755">
        <w:rPr>
          <w:lang w:val="cs-CZ"/>
        </w:rPr>
        <w:t>nemá za cíl regulovat zákonnost obsahu</w:t>
      </w:r>
      <w:r w:rsidR="0090166F" w:rsidRPr="008B1755">
        <w:rPr>
          <w:lang w:val="cs-CZ"/>
        </w:rPr>
        <w:t xml:space="preserve">, </w:t>
      </w:r>
      <w:r w:rsidRPr="008B1755">
        <w:rPr>
          <w:lang w:val="cs-CZ"/>
        </w:rPr>
        <w:t xml:space="preserve">aplikací nebo služeb </w:t>
      </w:r>
      <w:r w:rsidR="0090166F" w:rsidRPr="008B1755">
        <w:rPr>
          <w:lang w:val="cs-CZ"/>
        </w:rPr>
        <w:t>(</w:t>
      </w:r>
      <w:r w:rsidRPr="008B1755">
        <w:rPr>
          <w:lang w:val="cs-CZ"/>
        </w:rPr>
        <w:t xml:space="preserve">viz </w:t>
      </w:r>
      <w:r w:rsidR="00946CEA" w:rsidRPr="008B1755">
        <w:rPr>
          <w:lang w:val="cs-CZ"/>
        </w:rPr>
        <w:t xml:space="preserve">Úvodní část Nařízení, bod </w:t>
      </w:r>
      <w:r w:rsidR="0090166F" w:rsidRPr="008B1755">
        <w:rPr>
          <w:lang w:val="cs-CZ"/>
        </w:rPr>
        <w:t xml:space="preserve">6). </w:t>
      </w:r>
    </w:p>
    <w:p w:rsidR="0090166F" w:rsidRPr="008B1755" w:rsidRDefault="00F05EFD" w:rsidP="00474DCA">
      <w:pPr>
        <w:pStyle w:val="Odstavecseseznamem"/>
        <w:numPr>
          <w:ilvl w:val="0"/>
          <w:numId w:val="2"/>
        </w:numPr>
        <w:spacing w:after="120"/>
        <w:contextualSpacing w:val="0"/>
        <w:rPr>
          <w:lang w:val="cs-CZ"/>
        </w:rPr>
      </w:pPr>
      <w:r w:rsidRPr="008B1755">
        <w:rPr>
          <w:lang w:val="cs-CZ"/>
        </w:rPr>
        <w:t xml:space="preserve">Zatímco </w:t>
      </w:r>
      <w:r w:rsidR="00DD272F" w:rsidRPr="008B1755">
        <w:rPr>
          <w:lang w:val="cs-CZ"/>
        </w:rPr>
        <w:t xml:space="preserve">článek 3 odst. </w:t>
      </w:r>
      <w:r w:rsidR="00DD2E7D" w:rsidRPr="008B1755">
        <w:rPr>
          <w:lang w:val="cs-CZ"/>
        </w:rPr>
        <w:t>1</w:t>
      </w:r>
      <w:r w:rsidRPr="008B1755">
        <w:rPr>
          <w:lang w:val="cs-CZ"/>
        </w:rPr>
        <w:t>,</w:t>
      </w:r>
      <w:r w:rsidR="00DD2E7D" w:rsidRPr="008B1755">
        <w:rPr>
          <w:lang w:val="cs-CZ"/>
        </w:rPr>
        <w:t xml:space="preserve"> </w:t>
      </w:r>
      <w:r w:rsidR="001D70F8" w:rsidRPr="008B1755">
        <w:rPr>
          <w:lang w:val="cs-CZ"/>
        </w:rPr>
        <w:t>druhý pododstavec</w:t>
      </w:r>
      <w:r w:rsidRPr="008B1755">
        <w:rPr>
          <w:lang w:val="cs-CZ"/>
        </w:rPr>
        <w:t>, obsahuje vysvětlení ohledně použitelnosti těchto právních předpisů</w:t>
      </w:r>
      <w:r w:rsidR="00DD2E7D" w:rsidRPr="008B1755">
        <w:rPr>
          <w:lang w:val="cs-CZ"/>
        </w:rPr>
        <w:t xml:space="preserve">, </w:t>
      </w:r>
      <w:r w:rsidR="00DD272F" w:rsidRPr="008B1755">
        <w:rPr>
          <w:lang w:val="cs-CZ"/>
        </w:rPr>
        <w:t xml:space="preserve">článek 3 odst. </w:t>
      </w:r>
      <w:r w:rsidR="00DD2E7D" w:rsidRPr="008B1755">
        <w:rPr>
          <w:lang w:val="cs-CZ"/>
        </w:rPr>
        <w:t xml:space="preserve">3 </w:t>
      </w:r>
      <w:r w:rsidR="00C23D6B" w:rsidRPr="008B1755">
        <w:rPr>
          <w:lang w:val="cs-CZ"/>
        </w:rPr>
        <w:t xml:space="preserve">písm. </w:t>
      </w:r>
      <w:r w:rsidR="00DD2E7D" w:rsidRPr="008B1755">
        <w:rPr>
          <w:lang w:val="cs-CZ"/>
        </w:rPr>
        <w:t xml:space="preserve">a) </w:t>
      </w:r>
      <w:r w:rsidR="00C23D6B" w:rsidRPr="008B1755">
        <w:rPr>
          <w:lang w:val="cs-CZ"/>
        </w:rPr>
        <w:t xml:space="preserve">uvádí výjimku pro </w:t>
      </w:r>
      <w:r w:rsidR="007D7F64" w:rsidRPr="008B1755">
        <w:rPr>
          <w:lang w:val="cs-CZ"/>
        </w:rPr>
        <w:t>poskytovatel</w:t>
      </w:r>
      <w:r w:rsidR="00C23D6B" w:rsidRPr="008B1755">
        <w:rPr>
          <w:lang w:val="cs-CZ"/>
        </w:rPr>
        <w:t>e</w:t>
      </w:r>
      <w:r w:rsidR="007D7F64" w:rsidRPr="008B1755">
        <w:rPr>
          <w:lang w:val="cs-CZ"/>
        </w:rPr>
        <w:t xml:space="preserve"> internetových služeb</w:t>
      </w:r>
      <w:r w:rsidR="00DD2E7D" w:rsidRPr="008B1755">
        <w:rPr>
          <w:lang w:val="cs-CZ"/>
        </w:rPr>
        <w:t xml:space="preserve"> </w:t>
      </w:r>
      <w:r w:rsidR="00C23D6B" w:rsidRPr="008B1755">
        <w:rPr>
          <w:lang w:val="cs-CZ"/>
        </w:rPr>
        <w:t xml:space="preserve">při zavádění opatření nad rámec rozumných </w:t>
      </w:r>
      <w:r w:rsidR="00466D10" w:rsidRPr="008B1755">
        <w:rPr>
          <w:lang w:val="cs-CZ"/>
        </w:rPr>
        <w:t>opatření řízení provozu</w:t>
      </w:r>
      <w:r w:rsidR="00C23D6B" w:rsidRPr="008B1755">
        <w:rPr>
          <w:lang w:val="cs-CZ"/>
        </w:rPr>
        <w:t>, aby dodrželi právní předpisy nebo opatření stanovená v této výjimce</w:t>
      </w:r>
      <w:r w:rsidR="00DD2E7D" w:rsidRPr="008B1755">
        <w:rPr>
          <w:lang w:val="cs-CZ"/>
        </w:rPr>
        <w:t xml:space="preserve">. </w:t>
      </w:r>
      <w:r w:rsidR="0090166F" w:rsidRPr="008B1755">
        <w:rPr>
          <w:lang w:val="cs-CZ"/>
        </w:rPr>
        <w:t xml:space="preserve"> </w:t>
      </w:r>
    </w:p>
    <w:p w:rsidR="00DB4CFB" w:rsidRPr="008B1755" w:rsidRDefault="00224D69" w:rsidP="00DD2E7D">
      <w:pPr>
        <w:keepNext/>
        <w:keepLines/>
        <w:spacing w:before="360" w:after="120"/>
        <w:outlineLvl w:val="1"/>
        <w:rPr>
          <w:rFonts w:eastAsia="SimSun" w:cs="Arial"/>
          <w:b/>
          <w:bCs/>
          <w:sz w:val="24"/>
          <w:szCs w:val="24"/>
          <w:lang w:val="cs-CZ"/>
        </w:rPr>
      </w:pPr>
      <w:bookmarkStart w:id="13" w:name="_Toc461400157"/>
      <w:r w:rsidRPr="008B1755">
        <w:rPr>
          <w:rFonts w:eastAsia="SimSun" w:cs="Arial"/>
          <w:b/>
          <w:bCs/>
          <w:sz w:val="24"/>
          <w:szCs w:val="24"/>
          <w:lang w:val="cs-CZ"/>
        </w:rPr>
        <w:t xml:space="preserve">Článek 3 odst. </w:t>
      </w:r>
      <w:r w:rsidR="00DB4CFB" w:rsidRPr="008B1755">
        <w:rPr>
          <w:rFonts w:eastAsia="SimSun" w:cs="Arial"/>
          <w:b/>
          <w:bCs/>
          <w:sz w:val="24"/>
          <w:szCs w:val="24"/>
          <w:lang w:val="cs-CZ"/>
        </w:rPr>
        <w:t>2</w:t>
      </w:r>
      <w:bookmarkEnd w:id="13"/>
    </w:p>
    <w:p w:rsidR="00CF5F20" w:rsidRPr="008B1755" w:rsidRDefault="000F62E4"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Dohody mezi poskytovateli služeb přístupu k internetu a koncovými uživateli o obchodních a technických podmínkách a vlastnostech služeb přístupu k internetu, jako je cena, objem dat nebo rychlost, a veškeré obchodní praktiky poskytovatelů služeb přístupu k internetu neomezují výkon práv koncových uživatelů stanovených v odstavci 1</w:t>
      </w:r>
      <w:r w:rsidR="00CF5F20" w:rsidRPr="008B1755">
        <w:rPr>
          <w:rFonts w:ascii="Times New Roman" w:hAnsi="Times New Roman"/>
          <w:lang w:val="cs-CZ"/>
        </w:rPr>
        <w:t>.</w:t>
      </w:r>
    </w:p>
    <w:p w:rsidR="00CF5F20" w:rsidRPr="008B1755" w:rsidRDefault="00946CEA" w:rsidP="006F0EC7">
      <w:pPr>
        <w:keepNext/>
        <w:shd w:val="clear" w:color="auto" w:fill="D9D9D9"/>
        <w:spacing w:after="0"/>
        <w:rPr>
          <w:rFonts w:ascii="Times New Roman" w:hAnsi="Times New Roman"/>
          <w:sz w:val="20"/>
          <w:u w:val="single"/>
          <w:lang w:val="cs-CZ"/>
        </w:rPr>
      </w:pPr>
      <w:r w:rsidRPr="008B1755">
        <w:rPr>
          <w:rFonts w:ascii="Times New Roman" w:hAnsi="Times New Roman"/>
          <w:sz w:val="20"/>
          <w:u w:val="single"/>
          <w:lang w:val="cs-CZ"/>
        </w:rPr>
        <w:t xml:space="preserve">Úvodní část Nařízení, bod </w:t>
      </w:r>
      <w:r w:rsidR="00CF5F20" w:rsidRPr="008B1755">
        <w:rPr>
          <w:rFonts w:ascii="Times New Roman" w:hAnsi="Times New Roman"/>
          <w:sz w:val="20"/>
          <w:u w:val="single"/>
          <w:lang w:val="cs-CZ"/>
        </w:rPr>
        <w:t>7</w:t>
      </w:r>
    </w:p>
    <w:p w:rsidR="00CF5F20" w:rsidRPr="008B1755" w:rsidRDefault="000F62E4" w:rsidP="006F0EC7">
      <w:pPr>
        <w:shd w:val="clear" w:color="auto" w:fill="D9D9D9"/>
        <w:rPr>
          <w:rFonts w:ascii="Times New Roman" w:hAnsi="Times New Roman"/>
          <w:sz w:val="20"/>
          <w:lang w:val="cs-CZ"/>
        </w:rPr>
      </w:pPr>
      <w:r w:rsidRPr="008B1755">
        <w:rPr>
          <w:rStyle w:val="Style2Char"/>
          <w:sz w:val="20"/>
          <w:lang w:val="cs-CZ"/>
        </w:rPr>
        <w:t>Za účelem výkonu svých práv na přístup k informacím a obsahu a jejich šíření a na využívání a poskytování aplikací a služeb podle svého vlastního výběru by měli mít koncoví uživatelé možnost se dohodnout s poskytovateli služeb přístupu k internetu na tarifech za konkrétní objemy dat a rychlosti služeb přístupu k internetu. Tyto dohody, jakož i jakékoli obchodní praktiky poskytovatelů služeb přístupu k internetu, by neměly omezovat výkon těchto práv a obcházet tak ustanovení tohoto nařízení týkající se zajištění přístupu k otevřenému internetu. Vnitrostátní regulační a jiné příslušné orgány by měly mít pravomoc zasahovat v případě dohod či obchodních praktik, které z důvodu svého rozsahu vedou k situacím, v nichž je možnost volby pro koncové uživatele v praxi podstatně omezena. Za tímto účelem by posouzení dohod a obchodních praktik mělo mimo jiné zohledňovat postavení každého z těchto poskytovatelů služeb přístupu k internetu na trhu, jakož i postavení dotčených poskytovatelů obsahu, aplikací a služeb. Po vnitrostátních regulačních a jiných příslušných orgánech by mělo být požadováno, aby v rámci svých dohledových a vymáhacích pravomocí zasahovaly v případech, kdy by dohody či obchodní praktiky znamenaly ohrožení podstaty práv koncových uživatelů</w:t>
      </w:r>
      <w:r w:rsidR="00CF5F20" w:rsidRPr="008B1755">
        <w:rPr>
          <w:rFonts w:ascii="Times New Roman" w:hAnsi="Times New Roman"/>
          <w:sz w:val="20"/>
          <w:lang w:val="cs-CZ"/>
        </w:rPr>
        <w:t>.</w:t>
      </w:r>
    </w:p>
    <w:p w:rsidR="005C5F8D" w:rsidRPr="008B1755" w:rsidRDefault="00C23D6B" w:rsidP="00474DCA">
      <w:pPr>
        <w:pStyle w:val="Odstavecseseznamem"/>
        <w:numPr>
          <w:ilvl w:val="0"/>
          <w:numId w:val="2"/>
        </w:numPr>
        <w:spacing w:after="120"/>
        <w:contextualSpacing w:val="0"/>
        <w:rPr>
          <w:lang w:val="cs-CZ"/>
        </w:rPr>
      </w:pPr>
      <w:r w:rsidRPr="008B1755">
        <w:rPr>
          <w:lang w:val="cs-CZ"/>
        </w:rPr>
        <w:t xml:space="preserve">Článek </w:t>
      </w:r>
      <w:r w:rsidR="00DD272F" w:rsidRPr="008B1755">
        <w:rPr>
          <w:lang w:val="cs-CZ"/>
        </w:rPr>
        <w:t xml:space="preserve">3 odst. </w:t>
      </w:r>
      <w:r w:rsidR="005C5F8D" w:rsidRPr="008B1755">
        <w:rPr>
          <w:lang w:val="cs-CZ"/>
        </w:rPr>
        <w:t xml:space="preserve">2 </w:t>
      </w:r>
      <w:r w:rsidRPr="008B1755">
        <w:rPr>
          <w:lang w:val="cs-CZ"/>
        </w:rPr>
        <w:t xml:space="preserve">vysvětluje, že dohody mezi </w:t>
      </w:r>
      <w:r w:rsidR="007D7F64" w:rsidRPr="008B1755">
        <w:rPr>
          <w:lang w:val="cs-CZ"/>
        </w:rPr>
        <w:t>poskytovatel</w:t>
      </w:r>
      <w:r w:rsidRPr="008B1755">
        <w:rPr>
          <w:lang w:val="cs-CZ"/>
        </w:rPr>
        <w:t>i</w:t>
      </w:r>
      <w:r w:rsidR="007D7F64" w:rsidRPr="008B1755">
        <w:rPr>
          <w:lang w:val="cs-CZ"/>
        </w:rPr>
        <w:t xml:space="preserve"> internetových služeb</w:t>
      </w:r>
      <w:r w:rsidR="005C5F8D" w:rsidRPr="008B1755">
        <w:rPr>
          <w:lang w:val="cs-CZ"/>
        </w:rPr>
        <w:t xml:space="preserve"> a </w:t>
      </w:r>
      <w:r w:rsidR="00C44AED" w:rsidRPr="008B1755">
        <w:rPr>
          <w:lang w:val="cs-CZ"/>
        </w:rPr>
        <w:t>koncov</w:t>
      </w:r>
      <w:r w:rsidRPr="008B1755">
        <w:rPr>
          <w:lang w:val="cs-CZ"/>
        </w:rPr>
        <w:t>ými</w:t>
      </w:r>
      <w:r w:rsidR="00C44AED" w:rsidRPr="008B1755">
        <w:rPr>
          <w:lang w:val="cs-CZ"/>
        </w:rPr>
        <w:t xml:space="preserve"> uživatel</w:t>
      </w:r>
      <w:r w:rsidRPr="008B1755">
        <w:rPr>
          <w:lang w:val="cs-CZ"/>
        </w:rPr>
        <w:t xml:space="preserve">i </w:t>
      </w:r>
      <w:r w:rsidRPr="008B1755">
        <w:rPr>
          <w:rStyle w:val="BERECChar"/>
          <w:lang w:val="cs-CZ"/>
        </w:rPr>
        <w:t>o obchodních a technických podmínkách a vlastnostech služeb přístupu k internetu, jako je cena, objem dat nebo rychlost, a veškeré obchodní praktiky poskytovatelů služeb přístupu k internetu</w:t>
      </w:r>
      <w:r w:rsidRPr="008B1755">
        <w:rPr>
          <w:lang w:val="cs-CZ"/>
        </w:rPr>
        <w:t xml:space="preserve"> jsou dovoleny, </w:t>
      </w:r>
      <w:r w:rsidRPr="008B1755">
        <w:rPr>
          <w:rStyle w:val="BERECChar"/>
          <w:lang w:val="cs-CZ"/>
        </w:rPr>
        <w:t xml:space="preserve">ale nesmí omezovat výkon práv koncových uživatelů stanovených </w:t>
      </w:r>
      <w:r w:rsidR="00F064F8" w:rsidRPr="008B1755">
        <w:rPr>
          <w:lang w:val="cs-CZ"/>
        </w:rPr>
        <w:t>v článku</w:t>
      </w:r>
      <w:r w:rsidR="005C5F8D" w:rsidRPr="008B1755">
        <w:rPr>
          <w:lang w:val="cs-CZ"/>
        </w:rPr>
        <w:t xml:space="preserve"> 3</w:t>
      </w:r>
      <w:r w:rsidRPr="008B1755">
        <w:rPr>
          <w:lang w:val="cs-CZ"/>
        </w:rPr>
        <w:t xml:space="preserve"> odst. </w:t>
      </w:r>
      <w:r w:rsidR="005C5F8D" w:rsidRPr="008B1755">
        <w:rPr>
          <w:lang w:val="cs-CZ"/>
        </w:rPr>
        <w:t>1.</w:t>
      </w:r>
    </w:p>
    <w:p w:rsidR="003E1266" w:rsidRPr="008B1755" w:rsidRDefault="00C23D6B" w:rsidP="00474DCA">
      <w:pPr>
        <w:pStyle w:val="Odstavecseseznamem"/>
        <w:numPr>
          <w:ilvl w:val="0"/>
          <w:numId w:val="2"/>
        </w:numPr>
        <w:spacing w:after="120"/>
        <w:contextualSpacing w:val="0"/>
        <w:rPr>
          <w:lang w:val="cs-CZ"/>
        </w:rPr>
      </w:pPr>
      <w:r w:rsidRPr="008B1755">
        <w:rPr>
          <w:lang w:val="cs-CZ"/>
        </w:rPr>
        <w:t xml:space="preserve">Podle sdružení </w:t>
      </w:r>
      <w:r w:rsidR="005C5F8D" w:rsidRPr="008B1755">
        <w:rPr>
          <w:lang w:val="cs-CZ"/>
        </w:rPr>
        <w:t>BEREC</w:t>
      </w:r>
      <w:r w:rsidRPr="008B1755">
        <w:rPr>
          <w:lang w:val="cs-CZ"/>
        </w:rPr>
        <w:t xml:space="preserve"> obsahuje </w:t>
      </w:r>
      <w:r w:rsidR="00DD272F" w:rsidRPr="008B1755">
        <w:rPr>
          <w:lang w:val="cs-CZ"/>
        </w:rPr>
        <w:t xml:space="preserve">článek 3 odst. </w:t>
      </w:r>
      <w:r w:rsidR="005C5F8D" w:rsidRPr="008B1755">
        <w:rPr>
          <w:lang w:val="cs-CZ"/>
        </w:rPr>
        <w:t xml:space="preserve">2 </w:t>
      </w:r>
      <w:r w:rsidRPr="008B1755">
        <w:rPr>
          <w:lang w:val="cs-CZ"/>
        </w:rPr>
        <w:t>dva důležité aspekty</w:t>
      </w:r>
      <w:r w:rsidR="003E1266" w:rsidRPr="008B1755">
        <w:rPr>
          <w:lang w:val="cs-CZ"/>
        </w:rPr>
        <w:t>:</w:t>
      </w:r>
    </w:p>
    <w:p w:rsidR="003E1266" w:rsidRPr="008B1755" w:rsidRDefault="00C23D6B" w:rsidP="005D7948">
      <w:pPr>
        <w:numPr>
          <w:ilvl w:val="0"/>
          <w:numId w:val="9"/>
        </w:numPr>
        <w:contextualSpacing/>
        <w:rPr>
          <w:rFonts w:cs="Arial"/>
          <w:lang w:val="cs-CZ"/>
        </w:rPr>
      </w:pPr>
      <w:r w:rsidRPr="008B1755">
        <w:rPr>
          <w:rFonts w:cs="Arial"/>
          <w:lang w:val="cs-CZ"/>
        </w:rPr>
        <w:t xml:space="preserve">svobodu uzavírat dohody mezi </w:t>
      </w:r>
      <w:r w:rsidR="007D7F64" w:rsidRPr="008B1755">
        <w:rPr>
          <w:rFonts w:cs="Arial"/>
          <w:lang w:val="cs-CZ"/>
        </w:rPr>
        <w:t>poskytovatel</w:t>
      </w:r>
      <w:r w:rsidRPr="008B1755">
        <w:rPr>
          <w:rFonts w:cs="Arial"/>
          <w:lang w:val="cs-CZ"/>
        </w:rPr>
        <w:t>i</w:t>
      </w:r>
      <w:r w:rsidR="007D7F64" w:rsidRPr="008B1755">
        <w:rPr>
          <w:rFonts w:cs="Arial"/>
          <w:lang w:val="cs-CZ"/>
        </w:rPr>
        <w:t xml:space="preserve"> internetových služeb</w:t>
      </w:r>
      <w:r w:rsidR="005C5F8D" w:rsidRPr="008B1755">
        <w:rPr>
          <w:rFonts w:cs="Arial"/>
          <w:lang w:val="cs-CZ"/>
        </w:rPr>
        <w:t xml:space="preserve"> a </w:t>
      </w:r>
      <w:r w:rsidR="00C44AED" w:rsidRPr="008B1755">
        <w:rPr>
          <w:rFonts w:cs="Arial"/>
          <w:lang w:val="cs-CZ"/>
        </w:rPr>
        <w:t>koncov</w:t>
      </w:r>
      <w:r w:rsidRPr="008B1755">
        <w:rPr>
          <w:rFonts w:cs="Arial"/>
          <w:lang w:val="cs-CZ"/>
        </w:rPr>
        <w:t>ými</w:t>
      </w:r>
      <w:r w:rsidR="00C44AED" w:rsidRPr="008B1755">
        <w:rPr>
          <w:rFonts w:cs="Arial"/>
          <w:lang w:val="cs-CZ"/>
        </w:rPr>
        <w:t xml:space="preserve"> uživatel</w:t>
      </w:r>
      <w:r w:rsidRPr="008B1755">
        <w:rPr>
          <w:rFonts w:cs="Arial"/>
          <w:lang w:val="cs-CZ"/>
        </w:rPr>
        <w:t>i</w:t>
      </w:r>
      <w:r w:rsidR="005C5F8D" w:rsidRPr="008B1755">
        <w:rPr>
          <w:rFonts w:cs="Arial"/>
          <w:lang w:val="cs-CZ"/>
        </w:rPr>
        <w:t xml:space="preserve"> </w:t>
      </w:r>
      <w:r w:rsidR="008B3EEC" w:rsidRPr="008B1755">
        <w:rPr>
          <w:rFonts w:cs="Arial"/>
          <w:lang w:val="cs-CZ"/>
        </w:rPr>
        <w:t xml:space="preserve">o obchodních a technických podmínkách a rovněž </w:t>
      </w:r>
      <w:r w:rsidR="00962EE2">
        <w:rPr>
          <w:rFonts w:cs="Arial"/>
          <w:lang w:val="cs-CZ"/>
        </w:rPr>
        <w:t xml:space="preserve">parametrech </w:t>
      </w:r>
      <w:r w:rsidR="00E35026">
        <w:rPr>
          <w:rFonts w:cs="Arial"/>
          <w:lang w:val="cs-CZ"/>
        </w:rPr>
        <w:t>IAS</w:t>
      </w:r>
      <w:r w:rsidR="00FC29FE" w:rsidRPr="008B1755">
        <w:rPr>
          <w:rFonts w:cs="Arial"/>
          <w:lang w:val="cs-CZ"/>
        </w:rPr>
        <w:t>;</w:t>
      </w:r>
    </w:p>
    <w:p w:rsidR="005C5F8D" w:rsidRPr="008B1755" w:rsidRDefault="008B3EEC" w:rsidP="00474DCA">
      <w:pPr>
        <w:numPr>
          <w:ilvl w:val="0"/>
          <w:numId w:val="9"/>
        </w:numPr>
        <w:ind w:left="1037" w:hanging="357"/>
        <w:rPr>
          <w:rFonts w:cs="Arial"/>
          <w:lang w:val="cs-CZ"/>
        </w:rPr>
      </w:pPr>
      <w:r w:rsidRPr="008B1755">
        <w:rPr>
          <w:rFonts w:cs="Arial"/>
          <w:lang w:val="cs-CZ"/>
        </w:rPr>
        <w:t xml:space="preserve">ustanovení, že tyto dohody a obchodní praktiky nesmí omezovat výkon práv </w:t>
      </w:r>
      <w:r w:rsidR="00466D10" w:rsidRPr="008B1755">
        <w:rPr>
          <w:rFonts w:cs="Arial"/>
          <w:lang w:val="cs-CZ"/>
        </w:rPr>
        <w:t>koncových uživatelů</w:t>
      </w:r>
      <w:r w:rsidRPr="008B1755">
        <w:rPr>
          <w:rStyle w:val="BERECChar"/>
          <w:lang w:val="cs-CZ"/>
        </w:rPr>
        <w:t xml:space="preserve"> stanovených </w:t>
      </w:r>
      <w:r w:rsidRPr="008B1755">
        <w:rPr>
          <w:lang w:val="cs-CZ"/>
        </w:rPr>
        <w:t>v článku 3 odst. 1</w:t>
      </w:r>
      <w:r w:rsidR="005C5F8D" w:rsidRPr="008B1755">
        <w:rPr>
          <w:rFonts w:cs="Arial"/>
          <w:lang w:val="cs-CZ"/>
        </w:rPr>
        <w:t xml:space="preserve">. </w:t>
      </w:r>
    </w:p>
    <w:p w:rsidR="005C5F8D" w:rsidRPr="008B1755" w:rsidRDefault="004B0EAC" w:rsidP="00FC29FE">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Dohody</w:t>
      </w:r>
      <w:r w:rsidRPr="008B1755">
        <w:rPr>
          <w:rFonts w:eastAsia="SimSun"/>
          <w:bCs/>
          <w:i/>
          <w:iCs/>
          <w:sz w:val="28"/>
          <w:szCs w:val="24"/>
          <w:u w:val="single"/>
          <w:lang w:val="cs-CZ"/>
        </w:rPr>
        <w:t xml:space="preserve"> </w:t>
      </w:r>
      <w:r w:rsidRPr="008B1755">
        <w:rPr>
          <w:rFonts w:cs="Arial"/>
          <w:i/>
          <w:sz w:val="24"/>
          <w:u w:val="single"/>
          <w:lang w:val="cs-CZ"/>
        </w:rPr>
        <w:t>o obchodních a technických podmínkách a vlastnostech služeb přístupu k internetu</w:t>
      </w:r>
    </w:p>
    <w:p w:rsidR="00933BC4" w:rsidRPr="008B1755" w:rsidRDefault="004B0EAC" w:rsidP="00436FC6">
      <w:pPr>
        <w:pStyle w:val="Odstavecseseznamem"/>
        <w:numPr>
          <w:ilvl w:val="0"/>
          <w:numId w:val="2"/>
        </w:numPr>
        <w:spacing w:after="120"/>
        <w:contextualSpacing w:val="0"/>
        <w:rPr>
          <w:lang w:val="cs-CZ"/>
        </w:rPr>
      </w:pPr>
      <w:r w:rsidRPr="008B1755">
        <w:rPr>
          <w:lang w:val="cs-CZ"/>
        </w:rPr>
        <w:t>Dohodami se rozumí smluvní vztahy mezi poskytovateli internetových služeb</w:t>
      </w:r>
      <w:r w:rsidR="00933BC4" w:rsidRPr="008B1755">
        <w:rPr>
          <w:lang w:val="cs-CZ"/>
        </w:rPr>
        <w:t xml:space="preserve"> a </w:t>
      </w:r>
      <w:r w:rsidR="00C44AED" w:rsidRPr="008B1755">
        <w:rPr>
          <w:lang w:val="cs-CZ"/>
        </w:rPr>
        <w:t>koncov</w:t>
      </w:r>
      <w:r w:rsidRPr="008B1755">
        <w:rPr>
          <w:lang w:val="cs-CZ"/>
        </w:rPr>
        <w:t>ými</w:t>
      </w:r>
      <w:r w:rsidR="00C44AED" w:rsidRPr="008B1755">
        <w:rPr>
          <w:lang w:val="cs-CZ"/>
        </w:rPr>
        <w:t xml:space="preserve"> uživatel</w:t>
      </w:r>
      <w:r w:rsidRPr="008B1755">
        <w:rPr>
          <w:lang w:val="cs-CZ"/>
        </w:rPr>
        <w:t>i</w:t>
      </w:r>
      <w:r w:rsidR="00E235E4" w:rsidRPr="008B1755">
        <w:rPr>
          <w:lang w:val="cs-CZ"/>
        </w:rPr>
        <w:t>, které mohou obsahovat</w:t>
      </w:r>
      <w:r w:rsidR="00933BC4" w:rsidRPr="008B1755">
        <w:rPr>
          <w:lang w:val="cs-CZ"/>
        </w:rPr>
        <w:t xml:space="preserve">, </w:t>
      </w:r>
      <w:r w:rsidR="00E235E4" w:rsidRPr="008B1755">
        <w:rPr>
          <w:lang w:val="cs-CZ"/>
        </w:rPr>
        <w:t xml:space="preserve">jak je uvedeno </w:t>
      </w:r>
      <w:r w:rsidR="0093524D" w:rsidRPr="008B1755">
        <w:rPr>
          <w:lang w:val="cs-CZ"/>
        </w:rPr>
        <w:t>v Nařízení</w:t>
      </w:r>
      <w:r w:rsidR="00933BC4" w:rsidRPr="008B1755">
        <w:rPr>
          <w:lang w:val="cs-CZ"/>
        </w:rPr>
        <w:t xml:space="preserve">, </w:t>
      </w:r>
      <w:r w:rsidR="00E235E4" w:rsidRPr="008B1755">
        <w:rPr>
          <w:lang w:val="cs-CZ"/>
        </w:rPr>
        <w:t xml:space="preserve">obchodní podmínky </w:t>
      </w:r>
      <w:r w:rsidR="00933BC4" w:rsidRPr="008B1755">
        <w:rPr>
          <w:lang w:val="cs-CZ"/>
        </w:rPr>
        <w:t>(</w:t>
      </w:r>
      <w:r w:rsidR="00E235E4" w:rsidRPr="008B1755">
        <w:rPr>
          <w:lang w:val="cs-CZ"/>
        </w:rPr>
        <w:t>jako např. ceny</w:t>
      </w:r>
      <w:r w:rsidR="00933BC4" w:rsidRPr="008B1755">
        <w:rPr>
          <w:lang w:val="cs-CZ"/>
        </w:rPr>
        <w:t>), technic</w:t>
      </w:r>
      <w:r w:rsidR="00E235E4" w:rsidRPr="008B1755">
        <w:rPr>
          <w:lang w:val="cs-CZ"/>
        </w:rPr>
        <w:t xml:space="preserve">ké podmínky </w:t>
      </w:r>
      <w:r w:rsidR="00933BC4" w:rsidRPr="008B1755">
        <w:rPr>
          <w:lang w:val="cs-CZ"/>
        </w:rPr>
        <w:t>(</w:t>
      </w:r>
      <w:r w:rsidR="00E235E4" w:rsidRPr="008B1755">
        <w:rPr>
          <w:lang w:val="cs-CZ"/>
        </w:rPr>
        <w:t xml:space="preserve">jako např. </w:t>
      </w:r>
      <w:r w:rsidR="00E235E4" w:rsidRPr="008B1755">
        <w:rPr>
          <w:rStyle w:val="BERECChar"/>
          <w:lang w:val="cs-CZ"/>
        </w:rPr>
        <w:t>objem dat nebo rychlost</w:t>
      </w:r>
      <w:r w:rsidR="00933BC4" w:rsidRPr="008B1755">
        <w:rPr>
          <w:lang w:val="cs-CZ"/>
        </w:rPr>
        <w:t>) a</w:t>
      </w:r>
      <w:r w:rsidR="00E235E4" w:rsidRPr="008B1755">
        <w:rPr>
          <w:lang w:val="cs-CZ"/>
        </w:rPr>
        <w:t xml:space="preserve"> jakékoli </w:t>
      </w:r>
      <w:r w:rsidR="00962EE2">
        <w:rPr>
          <w:lang w:val="cs-CZ"/>
        </w:rPr>
        <w:t xml:space="preserve">parametry </w:t>
      </w:r>
      <w:r w:rsidR="00E235E4" w:rsidRPr="008B1755">
        <w:rPr>
          <w:lang w:val="cs-CZ"/>
        </w:rPr>
        <w:t>služby</w:t>
      </w:r>
      <w:r w:rsidR="00DD272F" w:rsidRPr="008B1755">
        <w:rPr>
          <w:lang w:val="cs-CZ"/>
        </w:rPr>
        <w:t xml:space="preserve"> přístupu k internetu</w:t>
      </w:r>
      <w:r w:rsidR="00933BC4" w:rsidRPr="008B1755">
        <w:rPr>
          <w:lang w:val="cs-CZ"/>
        </w:rPr>
        <w:t xml:space="preserve">. </w:t>
      </w:r>
      <w:r w:rsidR="00962EE2">
        <w:rPr>
          <w:lang w:val="cs-CZ"/>
        </w:rPr>
        <w:t>Je třeba upozornit</w:t>
      </w:r>
      <w:r w:rsidR="00E235E4" w:rsidRPr="008B1755">
        <w:rPr>
          <w:lang w:val="cs-CZ"/>
        </w:rPr>
        <w:t>, že se bude často jednat o situaci, kdy se obchodní a technické podmínky mohou prolínat</w:t>
      </w:r>
      <w:r w:rsidR="00933BC4" w:rsidRPr="008B1755">
        <w:rPr>
          <w:lang w:val="cs-CZ"/>
        </w:rPr>
        <w:t xml:space="preserve">. </w:t>
      </w:r>
    </w:p>
    <w:p w:rsidR="005C5F8D" w:rsidRPr="008B1755" w:rsidRDefault="004B0EAC" w:rsidP="00FC29FE">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Obchodní praktiky</w:t>
      </w:r>
    </w:p>
    <w:p w:rsidR="005C5F8D" w:rsidRPr="008B1755" w:rsidRDefault="00E235E4" w:rsidP="00474DCA">
      <w:pPr>
        <w:pStyle w:val="Odstavecseseznamem"/>
        <w:numPr>
          <w:ilvl w:val="0"/>
          <w:numId w:val="2"/>
        </w:numPr>
        <w:spacing w:after="120"/>
        <w:contextualSpacing w:val="0"/>
        <w:rPr>
          <w:lang w:val="cs-CZ"/>
        </w:rPr>
      </w:pPr>
      <w:r w:rsidRPr="008B1755">
        <w:rPr>
          <w:lang w:val="cs-CZ"/>
        </w:rPr>
        <w:t xml:space="preserve">Obchodní praktiky mohou obsahovat všechny důležité aspekty obchodního chování </w:t>
      </w:r>
      <w:r w:rsidR="00926BAE" w:rsidRPr="008B1755">
        <w:rPr>
          <w:lang w:val="cs-CZ"/>
        </w:rPr>
        <w:t>poskytovatelů</w:t>
      </w:r>
      <w:r w:rsidR="007D7F64" w:rsidRPr="008B1755">
        <w:rPr>
          <w:lang w:val="cs-CZ"/>
        </w:rPr>
        <w:t xml:space="preserve"> internetových služeb</w:t>
      </w:r>
      <w:r w:rsidR="00933BC4" w:rsidRPr="008B1755">
        <w:rPr>
          <w:lang w:val="cs-CZ"/>
        </w:rPr>
        <w:t xml:space="preserve">, </w:t>
      </w:r>
      <w:r w:rsidRPr="008B1755">
        <w:rPr>
          <w:lang w:val="cs-CZ"/>
        </w:rPr>
        <w:t xml:space="preserve">včetně jednostranných kroků </w:t>
      </w:r>
      <w:r w:rsidR="00DD272F" w:rsidRPr="008B1755">
        <w:rPr>
          <w:lang w:val="cs-CZ"/>
        </w:rPr>
        <w:t>poskytovatel</w:t>
      </w:r>
      <w:r w:rsidRPr="008B1755">
        <w:rPr>
          <w:lang w:val="cs-CZ"/>
        </w:rPr>
        <w:t>e</w:t>
      </w:r>
      <w:r w:rsidR="00DD272F" w:rsidRPr="008B1755">
        <w:rPr>
          <w:lang w:val="cs-CZ"/>
        </w:rPr>
        <w:t xml:space="preserve"> internetových služeb</w:t>
      </w:r>
      <w:r w:rsidR="007A2B99" w:rsidRPr="008B1755">
        <w:rPr>
          <w:lang w:val="cs-CZ"/>
        </w:rPr>
        <w:t>.</w:t>
      </w:r>
      <w:r w:rsidR="00474DCA" w:rsidRPr="008B1755">
        <w:rPr>
          <w:rStyle w:val="Znakapoznpodarou"/>
          <w:lang w:val="cs-CZ"/>
        </w:rPr>
        <w:footnoteReference w:id="12"/>
      </w:r>
      <w:r w:rsidR="00933BC4" w:rsidRPr="008B1755">
        <w:rPr>
          <w:lang w:val="cs-CZ"/>
        </w:rPr>
        <w:t xml:space="preserve"> </w:t>
      </w:r>
    </w:p>
    <w:p w:rsidR="005C5F8D" w:rsidRPr="008B1755" w:rsidRDefault="00747C71" w:rsidP="00262769">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 xml:space="preserve">Neomezují výkon práv </w:t>
      </w:r>
      <w:r w:rsidR="00080F70" w:rsidRPr="008B1755">
        <w:rPr>
          <w:rFonts w:eastAsia="SimSun"/>
          <w:bCs/>
          <w:i/>
          <w:iCs/>
          <w:sz w:val="24"/>
          <w:szCs w:val="24"/>
          <w:u w:val="single"/>
          <w:lang w:val="cs-CZ"/>
        </w:rPr>
        <w:t>koncových uživatelů</w:t>
      </w:r>
    </w:p>
    <w:p w:rsidR="00F464AA" w:rsidRPr="008B1755" w:rsidRDefault="00747C71" w:rsidP="00D56722">
      <w:pPr>
        <w:pStyle w:val="Textkomente"/>
        <w:numPr>
          <w:ilvl w:val="0"/>
          <w:numId w:val="2"/>
        </w:numPr>
        <w:rPr>
          <w:sz w:val="22"/>
          <w:szCs w:val="22"/>
          <w:lang w:val="cs-CZ"/>
        </w:rPr>
      </w:pPr>
      <w:r w:rsidRPr="008B1755">
        <w:rPr>
          <w:sz w:val="22"/>
          <w:szCs w:val="22"/>
          <w:lang w:val="cs-CZ"/>
        </w:rPr>
        <w:t xml:space="preserve">Co se týče </w:t>
      </w:r>
      <w:r w:rsidR="00962EE2">
        <w:rPr>
          <w:sz w:val="22"/>
          <w:szCs w:val="22"/>
          <w:lang w:val="cs-CZ"/>
        </w:rPr>
        <w:t xml:space="preserve">parametrů </w:t>
      </w:r>
      <w:r w:rsidR="007D7F64" w:rsidRPr="008B1755">
        <w:rPr>
          <w:sz w:val="22"/>
          <w:szCs w:val="22"/>
          <w:lang w:val="cs-CZ"/>
        </w:rPr>
        <w:t>služby přístupu k internetu</w:t>
      </w:r>
      <w:r w:rsidR="00202904" w:rsidRPr="008B1755">
        <w:rPr>
          <w:sz w:val="22"/>
          <w:szCs w:val="22"/>
          <w:lang w:val="cs-CZ"/>
        </w:rPr>
        <w:t xml:space="preserve">, </w:t>
      </w:r>
      <w:r w:rsidRPr="008B1755">
        <w:rPr>
          <w:sz w:val="22"/>
          <w:szCs w:val="22"/>
          <w:lang w:val="cs-CZ"/>
        </w:rPr>
        <w:t>dohoda o tarifech pro konkrétní objemy dat a rychlosti služby</w:t>
      </w:r>
      <w:r w:rsidR="00DD272F" w:rsidRPr="008B1755">
        <w:rPr>
          <w:sz w:val="22"/>
          <w:szCs w:val="22"/>
          <w:lang w:val="cs-CZ"/>
        </w:rPr>
        <w:t xml:space="preserve"> přístupu k internetu</w:t>
      </w:r>
      <w:r w:rsidR="00202904" w:rsidRPr="008B1755">
        <w:rPr>
          <w:sz w:val="22"/>
          <w:szCs w:val="22"/>
          <w:lang w:val="cs-CZ"/>
        </w:rPr>
        <w:t xml:space="preserve"> </w:t>
      </w:r>
      <w:r w:rsidRPr="008B1755">
        <w:rPr>
          <w:sz w:val="22"/>
          <w:szCs w:val="22"/>
          <w:lang w:val="cs-CZ"/>
        </w:rPr>
        <w:t>by nepředstavovala omezení výkonu práv koncových uživatelů</w:t>
      </w:r>
      <w:r w:rsidR="00202904" w:rsidRPr="008B1755">
        <w:rPr>
          <w:sz w:val="22"/>
          <w:szCs w:val="22"/>
          <w:lang w:val="cs-CZ"/>
        </w:rPr>
        <w:t xml:space="preserve"> (</w:t>
      </w:r>
      <w:r w:rsidRPr="008B1755">
        <w:rPr>
          <w:sz w:val="22"/>
          <w:szCs w:val="22"/>
          <w:lang w:val="cs-CZ"/>
        </w:rPr>
        <w:t>viz</w:t>
      </w:r>
      <w:r w:rsidR="00202904" w:rsidRPr="008B1755">
        <w:rPr>
          <w:sz w:val="22"/>
          <w:szCs w:val="22"/>
          <w:lang w:val="cs-CZ"/>
        </w:rPr>
        <w:t xml:space="preserve"> </w:t>
      </w:r>
      <w:r w:rsidR="00946CEA" w:rsidRPr="008B1755">
        <w:rPr>
          <w:sz w:val="22"/>
          <w:szCs w:val="22"/>
          <w:lang w:val="cs-CZ"/>
        </w:rPr>
        <w:t xml:space="preserve">Úvodní část Nařízení, bod </w:t>
      </w:r>
      <w:r w:rsidR="00202904" w:rsidRPr="008B1755">
        <w:rPr>
          <w:sz w:val="22"/>
          <w:szCs w:val="22"/>
          <w:lang w:val="cs-CZ"/>
        </w:rPr>
        <w:t xml:space="preserve">7). </w:t>
      </w:r>
      <w:r w:rsidRPr="008B1755">
        <w:rPr>
          <w:sz w:val="22"/>
          <w:szCs w:val="22"/>
          <w:lang w:val="cs-CZ"/>
        </w:rPr>
        <w:t xml:space="preserve">Navíc má sdružení </w:t>
      </w:r>
      <w:r w:rsidR="00202904" w:rsidRPr="008B1755">
        <w:rPr>
          <w:sz w:val="22"/>
          <w:szCs w:val="22"/>
          <w:lang w:val="cs-CZ"/>
        </w:rPr>
        <w:t xml:space="preserve">BEREC </w:t>
      </w:r>
      <w:r w:rsidRPr="008B1755">
        <w:rPr>
          <w:sz w:val="22"/>
          <w:szCs w:val="22"/>
          <w:lang w:val="cs-CZ"/>
        </w:rPr>
        <w:t xml:space="preserve">za to, že </w:t>
      </w:r>
      <w:r w:rsidR="00F300F4" w:rsidRPr="008B1755">
        <w:rPr>
          <w:sz w:val="22"/>
          <w:szCs w:val="22"/>
          <w:lang w:val="cs-CZ"/>
        </w:rPr>
        <w:t>práva koncových uživatelů</w:t>
      </w:r>
      <w:r w:rsidR="00A67400" w:rsidRPr="008B1755">
        <w:rPr>
          <w:sz w:val="22"/>
          <w:szCs w:val="22"/>
          <w:lang w:val="cs-CZ"/>
        </w:rPr>
        <w:t xml:space="preserve"> </w:t>
      </w:r>
      <w:r w:rsidRPr="008B1755">
        <w:rPr>
          <w:sz w:val="22"/>
          <w:szCs w:val="22"/>
          <w:lang w:val="cs-CZ"/>
        </w:rPr>
        <w:t>pravděpodobně ne</w:t>
      </w:r>
      <w:r w:rsidR="00E35026">
        <w:rPr>
          <w:sz w:val="22"/>
          <w:szCs w:val="22"/>
          <w:lang w:val="cs-CZ"/>
        </w:rPr>
        <w:t xml:space="preserve">budou </w:t>
      </w:r>
      <w:r w:rsidRPr="008B1755">
        <w:rPr>
          <w:sz w:val="22"/>
          <w:szCs w:val="22"/>
          <w:lang w:val="cs-CZ"/>
        </w:rPr>
        <w:t>dotčena</w:t>
      </w:r>
      <w:r w:rsidR="00202904" w:rsidRPr="008B1755">
        <w:rPr>
          <w:sz w:val="22"/>
          <w:szCs w:val="22"/>
          <w:lang w:val="cs-CZ"/>
        </w:rPr>
        <w:t xml:space="preserve">, </w:t>
      </w:r>
      <w:r w:rsidRPr="008B1755">
        <w:rPr>
          <w:sz w:val="22"/>
          <w:szCs w:val="22"/>
          <w:lang w:val="cs-CZ"/>
        </w:rPr>
        <w:t xml:space="preserve">minimálně v případech, kdy jsou </w:t>
      </w:r>
      <w:r w:rsidR="00962EE2">
        <w:rPr>
          <w:sz w:val="22"/>
          <w:szCs w:val="22"/>
          <w:lang w:val="cs-CZ"/>
        </w:rPr>
        <w:t xml:space="preserve">podmínky (parametry) </w:t>
      </w:r>
      <w:r w:rsidRPr="008B1755">
        <w:rPr>
          <w:sz w:val="22"/>
          <w:szCs w:val="22"/>
          <w:lang w:val="cs-CZ"/>
        </w:rPr>
        <w:t xml:space="preserve">související s objemem dat a rychlostí používány bez příslušnosti k určité aplikaci </w:t>
      </w:r>
      <w:r w:rsidR="00202904" w:rsidRPr="008B1755">
        <w:rPr>
          <w:sz w:val="22"/>
          <w:szCs w:val="22"/>
          <w:lang w:val="cs-CZ"/>
        </w:rPr>
        <w:t>(</w:t>
      </w:r>
      <w:r w:rsidRPr="008B1755">
        <w:rPr>
          <w:sz w:val="22"/>
          <w:szCs w:val="22"/>
          <w:lang w:val="cs-CZ"/>
        </w:rPr>
        <w:t>platí stejně pro všechny aplikace</w:t>
      </w:r>
      <w:r w:rsidR="00202904" w:rsidRPr="008B1755">
        <w:rPr>
          <w:sz w:val="22"/>
          <w:szCs w:val="22"/>
          <w:lang w:val="cs-CZ"/>
        </w:rPr>
        <w:t>).</w:t>
      </w:r>
      <w:r w:rsidR="00E27E60" w:rsidRPr="008B1755">
        <w:rPr>
          <w:sz w:val="22"/>
          <w:szCs w:val="22"/>
          <w:lang w:val="cs-CZ"/>
        </w:rPr>
        <w:t xml:space="preserve"> </w:t>
      </w:r>
    </w:p>
    <w:p w:rsidR="00861E11" w:rsidRPr="008B1755" w:rsidRDefault="00747C71" w:rsidP="00D56722">
      <w:pPr>
        <w:pStyle w:val="Textkomente"/>
        <w:numPr>
          <w:ilvl w:val="0"/>
          <w:numId w:val="2"/>
        </w:numPr>
        <w:rPr>
          <w:sz w:val="22"/>
          <w:szCs w:val="22"/>
          <w:lang w:val="cs-CZ"/>
        </w:rPr>
      </w:pPr>
      <w:r w:rsidRPr="008B1755">
        <w:rPr>
          <w:sz w:val="22"/>
          <w:szCs w:val="22"/>
          <w:lang w:val="cs-CZ"/>
        </w:rPr>
        <w:t xml:space="preserve">Mezi příklady obchodních praktik, které jsou </w:t>
      </w:r>
      <w:r w:rsidRPr="00D62EC3">
        <w:rPr>
          <w:sz w:val="22"/>
          <w:szCs w:val="22"/>
          <w:lang w:val="cs-CZ"/>
        </w:rPr>
        <w:t>pravděpodobně</w:t>
      </w:r>
      <w:r w:rsidRPr="008B1755">
        <w:rPr>
          <w:sz w:val="22"/>
          <w:szCs w:val="22"/>
          <w:lang w:val="cs-CZ"/>
        </w:rPr>
        <w:t xml:space="preserve"> přijatelné, patří</w:t>
      </w:r>
      <w:r w:rsidR="00861E11" w:rsidRPr="008B1755">
        <w:rPr>
          <w:sz w:val="22"/>
          <w:szCs w:val="22"/>
          <w:lang w:val="cs-CZ"/>
        </w:rPr>
        <w:t>:</w:t>
      </w:r>
    </w:p>
    <w:p w:rsidR="00861E11" w:rsidRPr="008B1755" w:rsidRDefault="00165AE3" w:rsidP="00F06318">
      <w:pPr>
        <w:numPr>
          <w:ilvl w:val="0"/>
          <w:numId w:val="9"/>
        </w:numPr>
        <w:ind w:left="1037" w:hanging="357"/>
        <w:rPr>
          <w:rFonts w:cs="Arial"/>
          <w:lang w:val="cs-CZ"/>
        </w:rPr>
      </w:pPr>
      <w:r w:rsidRPr="008B1755">
        <w:rPr>
          <w:rFonts w:cs="Arial"/>
          <w:lang w:val="cs-CZ"/>
        </w:rPr>
        <w:t xml:space="preserve">nabídky bez preference konkrétních aplikací, kdy </w:t>
      </w:r>
      <w:r w:rsidR="00DD272F" w:rsidRPr="008B1755">
        <w:rPr>
          <w:rFonts w:cs="Arial"/>
          <w:lang w:val="cs-CZ"/>
        </w:rPr>
        <w:t xml:space="preserve">koncový uživatel </w:t>
      </w:r>
      <w:r w:rsidRPr="008B1755">
        <w:rPr>
          <w:rFonts w:cs="Arial"/>
          <w:lang w:val="cs-CZ"/>
        </w:rPr>
        <w:t>dostane nelimitovaný</w:t>
      </w:r>
      <w:r w:rsidR="00F06318" w:rsidRPr="008B1755">
        <w:rPr>
          <w:rStyle w:val="Znakapoznpodarou"/>
          <w:lang w:val="cs-CZ"/>
        </w:rPr>
        <w:footnoteReference w:id="13"/>
      </w:r>
      <w:r w:rsidR="00D56722" w:rsidRPr="008B1755">
        <w:rPr>
          <w:rFonts w:cs="Arial"/>
          <w:lang w:val="cs-CZ"/>
        </w:rPr>
        <w:t xml:space="preserve"> </w:t>
      </w:r>
      <w:r w:rsidRPr="008B1755">
        <w:rPr>
          <w:rFonts w:cs="Arial"/>
          <w:lang w:val="cs-CZ"/>
        </w:rPr>
        <w:t xml:space="preserve">přístup k internetu </w:t>
      </w:r>
      <w:r w:rsidR="00D56722" w:rsidRPr="008B1755">
        <w:rPr>
          <w:rFonts w:cs="Arial"/>
          <w:lang w:val="cs-CZ"/>
        </w:rPr>
        <w:t>(a</w:t>
      </w:r>
      <w:r w:rsidRPr="008B1755">
        <w:rPr>
          <w:rFonts w:cs="Arial"/>
          <w:lang w:val="cs-CZ"/>
        </w:rPr>
        <w:t xml:space="preserve"> ne pouze pro některé aplikace</w:t>
      </w:r>
      <w:r w:rsidR="00D56722" w:rsidRPr="008B1755">
        <w:rPr>
          <w:rFonts w:cs="Arial"/>
          <w:lang w:val="cs-CZ"/>
        </w:rPr>
        <w:t xml:space="preserve">) </w:t>
      </w:r>
      <w:r w:rsidRPr="008B1755">
        <w:rPr>
          <w:rFonts w:cs="Arial"/>
          <w:lang w:val="cs-CZ"/>
        </w:rPr>
        <w:t>během omezeného časového období</w:t>
      </w:r>
      <w:r w:rsidR="00D56722" w:rsidRPr="008B1755">
        <w:rPr>
          <w:rFonts w:cs="Arial"/>
          <w:lang w:val="cs-CZ"/>
        </w:rPr>
        <w:t xml:space="preserve">, </w:t>
      </w:r>
      <w:r w:rsidR="00BE001A" w:rsidRPr="008B1755">
        <w:rPr>
          <w:rFonts w:cs="Arial"/>
          <w:lang w:val="cs-CZ"/>
        </w:rPr>
        <w:t>např.</w:t>
      </w:r>
      <w:r w:rsidR="00D56722" w:rsidRPr="008B1755">
        <w:rPr>
          <w:rFonts w:cs="Arial"/>
          <w:lang w:val="cs-CZ"/>
        </w:rPr>
        <w:t xml:space="preserve"> </w:t>
      </w:r>
      <w:r w:rsidRPr="008B1755">
        <w:rPr>
          <w:rFonts w:cs="Arial"/>
          <w:lang w:val="cs-CZ"/>
        </w:rPr>
        <w:t xml:space="preserve">v nočních hodinách nebo o víkendech </w:t>
      </w:r>
      <w:r w:rsidR="00D56722" w:rsidRPr="008B1755">
        <w:rPr>
          <w:rFonts w:cs="Arial"/>
          <w:lang w:val="cs-CZ"/>
        </w:rPr>
        <w:t>(</w:t>
      </w:r>
      <w:r w:rsidRPr="008B1755">
        <w:rPr>
          <w:rFonts w:cs="Arial"/>
          <w:lang w:val="cs-CZ"/>
        </w:rPr>
        <w:t>když je síť méně využívána</w:t>
      </w:r>
      <w:r w:rsidR="00D56722" w:rsidRPr="008B1755">
        <w:rPr>
          <w:rFonts w:cs="Arial"/>
          <w:lang w:val="cs-CZ"/>
        </w:rPr>
        <w:t>)</w:t>
      </w:r>
      <w:r w:rsidR="00757458" w:rsidRPr="008B1755">
        <w:rPr>
          <w:rFonts w:cs="Arial"/>
          <w:lang w:val="cs-CZ"/>
        </w:rPr>
        <w:t>;</w:t>
      </w:r>
      <w:r w:rsidR="00861E11" w:rsidRPr="008B1755">
        <w:rPr>
          <w:rFonts w:cs="Arial"/>
          <w:lang w:val="cs-CZ"/>
        </w:rPr>
        <w:t xml:space="preserve"> </w:t>
      </w:r>
    </w:p>
    <w:p w:rsidR="00D56722" w:rsidRPr="008B1755" w:rsidRDefault="00165AE3" w:rsidP="00F06318">
      <w:pPr>
        <w:numPr>
          <w:ilvl w:val="0"/>
          <w:numId w:val="9"/>
        </w:numPr>
        <w:ind w:left="1037" w:hanging="357"/>
        <w:rPr>
          <w:rFonts w:cs="Arial"/>
          <w:lang w:val="cs-CZ"/>
        </w:rPr>
      </w:pPr>
      <w:r w:rsidRPr="008B1755">
        <w:rPr>
          <w:rFonts w:cs="Arial"/>
          <w:lang w:val="cs-CZ"/>
        </w:rPr>
        <w:t xml:space="preserve">nabídky, kdy má </w:t>
      </w:r>
      <w:r w:rsidR="00DD272F" w:rsidRPr="008B1755">
        <w:rPr>
          <w:rFonts w:cs="Arial"/>
          <w:lang w:val="cs-CZ"/>
        </w:rPr>
        <w:t xml:space="preserve">koncový uživatel </w:t>
      </w:r>
      <w:r w:rsidRPr="008B1755">
        <w:rPr>
          <w:rFonts w:cs="Arial"/>
          <w:lang w:val="cs-CZ"/>
        </w:rPr>
        <w:t xml:space="preserve">možnost přístupu k zákaznickým službám </w:t>
      </w:r>
      <w:r w:rsidR="00DD272F" w:rsidRPr="008B1755">
        <w:rPr>
          <w:rFonts w:cs="Arial"/>
          <w:lang w:val="cs-CZ"/>
        </w:rPr>
        <w:t>poskytovatel</w:t>
      </w:r>
      <w:r w:rsidRPr="008B1755">
        <w:rPr>
          <w:rFonts w:cs="Arial"/>
          <w:lang w:val="cs-CZ"/>
        </w:rPr>
        <w:t>e</w:t>
      </w:r>
      <w:r w:rsidR="00DD272F" w:rsidRPr="008B1755">
        <w:rPr>
          <w:rFonts w:cs="Arial"/>
          <w:lang w:val="cs-CZ"/>
        </w:rPr>
        <w:t xml:space="preserve"> internetových služeb</w:t>
      </w:r>
      <w:r w:rsidRPr="008B1755">
        <w:rPr>
          <w:rFonts w:cs="Arial"/>
          <w:lang w:val="cs-CZ"/>
        </w:rPr>
        <w:t>, když dosáhne svého datového limitu, aby si mohl zakoupit přístup k dalším datům</w:t>
      </w:r>
      <w:r w:rsidR="00757458" w:rsidRPr="008B1755">
        <w:rPr>
          <w:rFonts w:cs="Arial"/>
          <w:lang w:val="cs-CZ"/>
        </w:rPr>
        <w:t>.</w:t>
      </w:r>
    </w:p>
    <w:p w:rsidR="00AA0A14" w:rsidRPr="008B1755" w:rsidRDefault="00165AE3" w:rsidP="0038751B">
      <w:pPr>
        <w:pStyle w:val="Odstavecseseznamem"/>
        <w:numPr>
          <w:ilvl w:val="0"/>
          <w:numId w:val="2"/>
        </w:numPr>
        <w:spacing w:after="120"/>
        <w:contextualSpacing w:val="0"/>
        <w:rPr>
          <w:lang w:val="cs-CZ"/>
        </w:rPr>
      </w:pPr>
      <w:bookmarkStart w:id="14" w:name="_Ref449105825"/>
      <w:r w:rsidRPr="008B1755">
        <w:rPr>
          <w:lang w:val="cs-CZ"/>
        </w:rPr>
        <w:t xml:space="preserve">Poskytovatel </w:t>
      </w:r>
      <w:r w:rsidR="00DD272F" w:rsidRPr="008B1755">
        <w:rPr>
          <w:lang w:val="cs-CZ"/>
        </w:rPr>
        <w:t>internetových služeb</w:t>
      </w:r>
      <w:r w:rsidR="00AA0A14" w:rsidRPr="008B1755">
        <w:rPr>
          <w:lang w:val="cs-CZ"/>
        </w:rPr>
        <w:t xml:space="preserve"> </w:t>
      </w:r>
      <w:r w:rsidRPr="008B1755">
        <w:rPr>
          <w:lang w:val="cs-CZ"/>
        </w:rPr>
        <w:t>může svázat posky</w:t>
      </w:r>
      <w:r w:rsidR="0042163B" w:rsidRPr="008B1755">
        <w:rPr>
          <w:lang w:val="cs-CZ"/>
        </w:rPr>
        <w:t xml:space="preserve">tování </w:t>
      </w:r>
      <w:r w:rsidR="00747C71" w:rsidRPr="008B1755">
        <w:rPr>
          <w:lang w:val="cs-CZ"/>
        </w:rPr>
        <w:t>služby</w:t>
      </w:r>
      <w:r w:rsidR="00DD272F" w:rsidRPr="008B1755">
        <w:rPr>
          <w:lang w:val="cs-CZ"/>
        </w:rPr>
        <w:t xml:space="preserve"> přístupu k internetu</w:t>
      </w:r>
      <w:r w:rsidR="00AA0A14" w:rsidRPr="008B1755">
        <w:rPr>
          <w:lang w:val="cs-CZ"/>
        </w:rPr>
        <w:t xml:space="preserve"> </w:t>
      </w:r>
      <w:r w:rsidR="0042163B" w:rsidRPr="008B1755">
        <w:rPr>
          <w:lang w:val="cs-CZ"/>
        </w:rPr>
        <w:t>s určitou aplikací</w:t>
      </w:r>
      <w:r w:rsidR="00AA0A14" w:rsidRPr="008B1755">
        <w:rPr>
          <w:lang w:val="cs-CZ"/>
        </w:rPr>
        <w:t xml:space="preserve">. </w:t>
      </w:r>
      <w:r w:rsidR="0042163B" w:rsidRPr="008B1755">
        <w:rPr>
          <w:lang w:val="cs-CZ"/>
        </w:rPr>
        <w:t xml:space="preserve">Například mobilní operátor může nabídnout bezplatné využívání aplikace pro </w:t>
      </w:r>
      <w:r w:rsidR="00AA0A14" w:rsidRPr="008B1755">
        <w:rPr>
          <w:lang w:val="cs-CZ"/>
        </w:rPr>
        <w:t xml:space="preserve">streaming </w:t>
      </w:r>
      <w:r w:rsidR="0042163B" w:rsidRPr="008B1755">
        <w:rPr>
          <w:lang w:val="cs-CZ"/>
        </w:rPr>
        <w:t xml:space="preserve">hudby po určitou dobu pro všechny nové zákazníky </w:t>
      </w:r>
      <w:r w:rsidR="00FE73D5" w:rsidRPr="008B1755">
        <w:rPr>
          <w:lang w:val="cs-CZ"/>
        </w:rPr>
        <w:t>(</w:t>
      </w:r>
      <w:r w:rsidR="0042163B" w:rsidRPr="008B1755">
        <w:rPr>
          <w:lang w:val="cs-CZ"/>
        </w:rPr>
        <w:t xml:space="preserve">na rozdíl od obchodních praktik jako např. tzv. </w:t>
      </w:r>
      <w:r w:rsidR="00FE73D5" w:rsidRPr="008B1755">
        <w:rPr>
          <w:lang w:val="cs-CZ"/>
        </w:rPr>
        <w:t xml:space="preserve">zero-rating, </w:t>
      </w:r>
      <w:r w:rsidR="0042163B" w:rsidRPr="008B1755">
        <w:rPr>
          <w:lang w:val="cs-CZ"/>
        </w:rPr>
        <w:t xml:space="preserve">která je vysvětlena </w:t>
      </w:r>
      <w:r w:rsidR="00DD272F" w:rsidRPr="008B1755">
        <w:rPr>
          <w:lang w:val="cs-CZ"/>
        </w:rPr>
        <w:t>v</w:t>
      </w:r>
      <w:r w:rsidR="0042163B" w:rsidRPr="008B1755">
        <w:rPr>
          <w:lang w:val="cs-CZ"/>
        </w:rPr>
        <w:t> </w:t>
      </w:r>
      <w:r w:rsidR="00D2652F">
        <w:rPr>
          <w:lang w:val="cs-CZ"/>
        </w:rPr>
        <w:t>bode</w:t>
      </w:r>
      <w:r w:rsidR="0042163B" w:rsidRPr="008B1755">
        <w:rPr>
          <w:lang w:val="cs-CZ"/>
        </w:rPr>
        <w:t xml:space="preserve">ch </w:t>
      </w:r>
      <w:r w:rsidR="00CA269E" w:rsidRPr="008B1755">
        <w:rPr>
          <w:lang w:val="cs-CZ"/>
        </w:rPr>
        <w:fldChar w:fldCharType="begin"/>
      </w:r>
      <w:r w:rsidR="00474DCA" w:rsidRPr="008B1755">
        <w:rPr>
          <w:lang w:val="cs-CZ"/>
        </w:rPr>
        <w:instrText xml:space="preserve"> REF _Ref449696434 \r \h </w:instrText>
      </w:r>
      <w:r w:rsidR="00CA269E" w:rsidRPr="008B1755">
        <w:rPr>
          <w:lang w:val="cs-CZ"/>
        </w:rPr>
      </w:r>
      <w:r w:rsidR="00CA269E" w:rsidRPr="008B1755">
        <w:rPr>
          <w:lang w:val="cs-CZ"/>
        </w:rPr>
        <w:fldChar w:fldCharType="separate"/>
      </w:r>
      <w:r w:rsidR="003B403B" w:rsidRPr="008B1755">
        <w:rPr>
          <w:lang w:val="cs-CZ"/>
        </w:rPr>
        <w:t>40</w:t>
      </w:r>
      <w:r w:rsidR="00CA269E" w:rsidRPr="008B1755">
        <w:rPr>
          <w:lang w:val="cs-CZ"/>
        </w:rPr>
        <w:fldChar w:fldCharType="end"/>
      </w:r>
      <w:r w:rsidR="007A2B99" w:rsidRPr="008B1755">
        <w:rPr>
          <w:lang w:val="cs-CZ"/>
        </w:rPr>
        <w:t>-</w:t>
      </w:r>
      <w:r w:rsidR="00CA269E" w:rsidRPr="008B1755">
        <w:rPr>
          <w:lang w:val="cs-CZ"/>
        </w:rPr>
        <w:fldChar w:fldCharType="begin"/>
      </w:r>
      <w:r w:rsidR="007A2B99" w:rsidRPr="008B1755">
        <w:rPr>
          <w:lang w:val="cs-CZ"/>
        </w:rPr>
        <w:instrText xml:space="preserve"> REF _Ref451444037 \r \h </w:instrText>
      </w:r>
      <w:r w:rsidR="00CA269E" w:rsidRPr="008B1755">
        <w:rPr>
          <w:lang w:val="cs-CZ"/>
        </w:rPr>
      </w:r>
      <w:r w:rsidR="00CA269E" w:rsidRPr="008B1755">
        <w:rPr>
          <w:lang w:val="cs-CZ"/>
        </w:rPr>
        <w:fldChar w:fldCharType="separate"/>
      </w:r>
      <w:r w:rsidR="003B403B" w:rsidRPr="008B1755">
        <w:rPr>
          <w:lang w:val="cs-CZ"/>
        </w:rPr>
        <w:t>43</w:t>
      </w:r>
      <w:r w:rsidR="00CA269E" w:rsidRPr="008B1755">
        <w:rPr>
          <w:lang w:val="cs-CZ"/>
        </w:rPr>
        <w:fldChar w:fldCharType="end"/>
      </w:r>
      <w:r w:rsidR="00FE73D5" w:rsidRPr="008B1755">
        <w:rPr>
          <w:lang w:val="cs-CZ"/>
        </w:rPr>
        <w:t>)</w:t>
      </w:r>
      <w:r w:rsidR="00AA0A14" w:rsidRPr="008B1755">
        <w:rPr>
          <w:lang w:val="cs-CZ"/>
        </w:rPr>
        <w:t xml:space="preserve">. </w:t>
      </w:r>
      <w:r w:rsidR="0042163B" w:rsidRPr="008B1755">
        <w:rPr>
          <w:lang w:val="cs-CZ"/>
        </w:rPr>
        <w:t xml:space="preserve">V případě, že datový provoz související s touto aplikací není předmětem žádného preferenčního řízení provozu a jeho cena není stanovena odlišně od </w:t>
      </w:r>
      <w:r w:rsidR="00F909B6">
        <w:rPr>
          <w:lang w:val="cs-CZ"/>
        </w:rPr>
        <w:t xml:space="preserve">ceny </w:t>
      </w:r>
      <w:r w:rsidR="0042163B" w:rsidRPr="008B1755">
        <w:rPr>
          <w:lang w:val="cs-CZ"/>
        </w:rPr>
        <w:t>přenosu ostatních dat</w:t>
      </w:r>
      <w:r w:rsidR="00AA0A14" w:rsidRPr="008B1755">
        <w:rPr>
          <w:lang w:val="cs-CZ"/>
        </w:rPr>
        <w:t xml:space="preserve">, </w:t>
      </w:r>
      <w:r w:rsidR="0042163B" w:rsidRPr="008B1755">
        <w:rPr>
          <w:lang w:val="cs-CZ"/>
        </w:rPr>
        <w:t xml:space="preserve">má se za to, že tyto obchodní praktiky neomezují výkon </w:t>
      </w:r>
      <w:r w:rsidR="00747C71" w:rsidRPr="008B1755">
        <w:rPr>
          <w:lang w:val="cs-CZ"/>
        </w:rPr>
        <w:t>práv koncových uživatelů</w:t>
      </w:r>
      <w:r w:rsidR="00AA0A14" w:rsidRPr="008B1755">
        <w:rPr>
          <w:lang w:val="cs-CZ"/>
        </w:rPr>
        <w:t xml:space="preserve"> </w:t>
      </w:r>
      <w:r w:rsidR="00F909B6">
        <w:rPr>
          <w:lang w:val="cs-CZ"/>
        </w:rPr>
        <w:t xml:space="preserve">stanovených </w:t>
      </w:r>
      <w:r w:rsidR="0042163B" w:rsidRPr="008B1755">
        <w:rPr>
          <w:lang w:val="cs-CZ"/>
        </w:rPr>
        <w:t xml:space="preserve">podle </w:t>
      </w:r>
      <w:r w:rsidR="00DD272F" w:rsidRPr="008B1755">
        <w:rPr>
          <w:lang w:val="cs-CZ"/>
        </w:rPr>
        <w:t>člán</w:t>
      </w:r>
      <w:r w:rsidR="0042163B" w:rsidRPr="008B1755">
        <w:rPr>
          <w:lang w:val="cs-CZ"/>
        </w:rPr>
        <w:t xml:space="preserve">ku </w:t>
      </w:r>
      <w:r w:rsidR="00DD272F" w:rsidRPr="008B1755">
        <w:rPr>
          <w:lang w:val="cs-CZ"/>
        </w:rPr>
        <w:t xml:space="preserve">3 odst. </w:t>
      </w:r>
      <w:r w:rsidR="00AA0A14" w:rsidRPr="008B1755">
        <w:rPr>
          <w:lang w:val="cs-CZ"/>
        </w:rPr>
        <w:t>1.</w:t>
      </w:r>
    </w:p>
    <w:bookmarkEnd w:id="14"/>
    <w:p w:rsidR="0076160D" w:rsidRPr="008B1755" w:rsidRDefault="0042163B" w:rsidP="0038751B">
      <w:pPr>
        <w:pStyle w:val="Odstavecseseznamem"/>
        <w:numPr>
          <w:ilvl w:val="0"/>
          <w:numId w:val="2"/>
        </w:numPr>
        <w:spacing w:after="120"/>
        <w:contextualSpacing w:val="0"/>
        <w:rPr>
          <w:lang w:val="cs-CZ"/>
        </w:rPr>
      </w:pPr>
      <w:r w:rsidRPr="008B1755">
        <w:rPr>
          <w:lang w:val="cs-CZ"/>
        </w:rPr>
        <w:t xml:space="preserve">Při posuzování dohod nebo obchodních praktik by </w:t>
      </w:r>
      <w:r w:rsidR="00926BAE" w:rsidRPr="008B1755">
        <w:rPr>
          <w:lang w:val="cs-CZ"/>
        </w:rPr>
        <w:t>vnitrostátní regulační orgány</w:t>
      </w:r>
      <w:r w:rsidR="00AA0A14" w:rsidRPr="008B1755">
        <w:rPr>
          <w:lang w:val="cs-CZ"/>
        </w:rPr>
        <w:t xml:space="preserve"> </w:t>
      </w:r>
      <w:r w:rsidRPr="008B1755">
        <w:rPr>
          <w:lang w:val="cs-CZ"/>
        </w:rPr>
        <w:t>měly přihlédnout rovněž k </w:t>
      </w:r>
      <w:r w:rsidR="00DD272F" w:rsidRPr="008B1755">
        <w:rPr>
          <w:lang w:val="cs-CZ"/>
        </w:rPr>
        <w:t>čl</w:t>
      </w:r>
      <w:r w:rsidRPr="008B1755">
        <w:rPr>
          <w:lang w:val="cs-CZ"/>
        </w:rPr>
        <w:t xml:space="preserve">. </w:t>
      </w:r>
      <w:r w:rsidR="00DD272F" w:rsidRPr="008B1755">
        <w:rPr>
          <w:lang w:val="cs-CZ"/>
        </w:rPr>
        <w:t xml:space="preserve">3 odst. </w:t>
      </w:r>
      <w:r w:rsidR="00AA0A14" w:rsidRPr="008B1755">
        <w:rPr>
          <w:lang w:val="cs-CZ"/>
        </w:rPr>
        <w:t>3</w:t>
      </w:r>
      <w:r w:rsidRPr="008B1755">
        <w:rPr>
          <w:lang w:val="cs-CZ"/>
        </w:rPr>
        <w:t xml:space="preserve"> s tím, že zpravidla porušení </w:t>
      </w:r>
      <w:r w:rsidR="002E5214" w:rsidRPr="008B1755">
        <w:rPr>
          <w:rFonts w:cs="Arial"/>
          <w:lang w:val="cs-CZ"/>
        </w:rPr>
        <w:t>článku</w:t>
      </w:r>
      <w:r w:rsidR="00DD272F" w:rsidRPr="008B1755">
        <w:rPr>
          <w:rFonts w:cs="Arial"/>
          <w:lang w:val="cs-CZ"/>
        </w:rPr>
        <w:t xml:space="preserve"> 3 odst. </w:t>
      </w:r>
      <w:r w:rsidR="00AA0A14" w:rsidRPr="008B1755">
        <w:rPr>
          <w:rFonts w:cs="Arial"/>
          <w:lang w:val="cs-CZ"/>
        </w:rPr>
        <w:t>3 (</w:t>
      </w:r>
      <w:r w:rsidR="00BE001A" w:rsidRPr="008B1755">
        <w:rPr>
          <w:rFonts w:cs="Arial"/>
          <w:lang w:val="cs-CZ"/>
        </w:rPr>
        <w:t>např.</w:t>
      </w:r>
      <w:r w:rsidR="00AA0A14" w:rsidRPr="008B1755">
        <w:rPr>
          <w:rFonts w:cs="Arial"/>
          <w:lang w:val="cs-CZ"/>
        </w:rPr>
        <w:t xml:space="preserve"> </w:t>
      </w:r>
      <w:r w:rsidR="00AA0A14" w:rsidRPr="008B1755">
        <w:rPr>
          <w:lang w:val="cs-CZ"/>
        </w:rPr>
        <w:t>technic</w:t>
      </w:r>
      <w:r w:rsidRPr="008B1755">
        <w:rPr>
          <w:lang w:val="cs-CZ"/>
        </w:rPr>
        <w:t>ké praktiky jako např. blokování přístupu k aplikacím nebo druhu aplikací</w:t>
      </w:r>
      <w:r w:rsidR="00AA0A14" w:rsidRPr="008B1755">
        <w:rPr>
          <w:rFonts w:cs="Arial"/>
          <w:lang w:val="cs-CZ"/>
        </w:rPr>
        <w:t xml:space="preserve">) </w:t>
      </w:r>
      <w:r w:rsidR="000D06E5" w:rsidRPr="008B1755">
        <w:rPr>
          <w:lang w:val="cs-CZ"/>
        </w:rPr>
        <w:t xml:space="preserve">omezují výkon </w:t>
      </w:r>
      <w:r w:rsidR="00747C71" w:rsidRPr="008B1755">
        <w:rPr>
          <w:lang w:val="cs-CZ"/>
        </w:rPr>
        <w:t>práv koncových uživatelů</w:t>
      </w:r>
      <w:r w:rsidR="000D06E5" w:rsidRPr="008B1755">
        <w:rPr>
          <w:lang w:val="cs-CZ"/>
        </w:rPr>
        <w:t xml:space="preserve"> a představují porušení čl. </w:t>
      </w:r>
      <w:r w:rsidR="00AA0A14" w:rsidRPr="008B1755">
        <w:rPr>
          <w:lang w:val="cs-CZ"/>
        </w:rPr>
        <w:t>3</w:t>
      </w:r>
      <w:r w:rsidR="000D06E5" w:rsidRPr="008B1755">
        <w:rPr>
          <w:lang w:val="cs-CZ"/>
        </w:rPr>
        <w:t xml:space="preserve"> odst. </w:t>
      </w:r>
      <w:r w:rsidR="00AA0A14" w:rsidRPr="008B1755">
        <w:rPr>
          <w:lang w:val="cs-CZ"/>
        </w:rPr>
        <w:t>2 a</w:t>
      </w:r>
      <w:r w:rsidR="000D06E5" w:rsidRPr="008B1755">
        <w:rPr>
          <w:lang w:val="cs-CZ"/>
        </w:rPr>
        <w:t xml:space="preserve"> čl. 3 odst. </w:t>
      </w:r>
      <w:r w:rsidR="00AA0A14" w:rsidRPr="008B1755">
        <w:rPr>
          <w:lang w:val="cs-CZ"/>
        </w:rPr>
        <w:t xml:space="preserve">1. </w:t>
      </w:r>
      <w:r w:rsidR="000D06E5" w:rsidRPr="008B1755">
        <w:rPr>
          <w:rFonts w:cs="Arial"/>
          <w:lang w:val="cs-CZ"/>
        </w:rPr>
        <w:t xml:space="preserve">Podrobnosti o tomto posuzování jsou uvedeny v </w:t>
      </w:r>
      <w:r w:rsidR="00D2652F">
        <w:rPr>
          <w:rFonts w:cs="Arial"/>
          <w:lang w:val="cs-CZ"/>
        </w:rPr>
        <w:t>b</w:t>
      </w:r>
      <w:r w:rsidR="000D06E5" w:rsidRPr="008B1755">
        <w:rPr>
          <w:rFonts w:cs="Arial"/>
          <w:lang w:val="cs-CZ"/>
        </w:rPr>
        <w:t>od</w:t>
      </w:r>
      <w:r w:rsidR="00D2652F">
        <w:rPr>
          <w:rFonts w:cs="Arial"/>
          <w:lang w:val="cs-CZ"/>
        </w:rPr>
        <w:t>e</w:t>
      </w:r>
      <w:r w:rsidR="000D06E5" w:rsidRPr="008B1755">
        <w:rPr>
          <w:rFonts w:cs="Arial"/>
          <w:lang w:val="cs-CZ"/>
        </w:rPr>
        <w:t>ch</w:t>
      </w:r>
      <w:r w:rsidR="00AA0A14" w:rsidRPr="008B1755">
        <w:rPr>
          <w:rFonts w:cs="Arial"/>
          <w:lang w:val="cs-CZ"/>
        </w:rPr>
        <w:t xml:space="preserve"> </w:t>
      </w:r>
      <w:r w:rsidR="00AF415C" w:rsidRPr="008B1755">
        <w:rPr>
          <w:lang w:val="cs-CZ"/>
        </w:rPr>
        <w:fldChar w:fldCharType="begin"/>
      </w:r>
      <w:r w:rsidR="00AF415C" w:rsidRPr="008B1755">
        <w:rPr>
          <w:lang w:val="cs-CZ"/>
        </w:rPr>
        <w:instrText xml:space="preserve"> REF _Ref447113725 \r \h  \* MERGEFORMAT </w:instrText>
      </w:r>
      <w:r w:rsidR="00AF415C" w:rsidRPr="008B1755">
        <w:rPr>
          <w:lang w:val="cs-CZ"/>
        </w:rPr>
      </w:r>
      <w:r w:rsidR="00AF415C" w:rsidRPr="008B1755">
        <w:rPr>
          <w:lang w:val="cs-CZ"/>
        </w:rPr>
        <w:fldChar w:fldCharType="separate"/>
      </w:r>
      <w:r w:rsidR="003B403B" w:rsidRPr="008B1755">
        <w:rPr>
          <w:rFonts w:cs="Arial"/>
          <w:lang w:val="cs-CZ"/>
        </w:rPr>
        <w:t>49</w:t>
      </w:r>
      <w:r w:rsidR="00AF415C" w:rsidRPr="008B1755">
        <w:rPr>
          <w:lang w:val="cs-CZ"/>
        </w:rPr>
        <w:fldChar w:fldCharType="end"/>
      </w:r>
      <w:r w:rsidR="000C3CE2" w:rsidRPr="008B1755">
        <w:rPr>
          <w:lang w:val="cs-CZ"/>
        </w:rPr>
        <w:t xml:space="preserve"> </w:t>
      </w:r>
      <w:r w:rsidR="00AA0A14" w:rsidRPr="008B1755">
        <w:rPr>
          <w:rFonts w:cs="Arial"/>
          <w:lang w:val="cs-CZ"/>
        </w:rPr>
        <w:t>-</w:t>
      </w:r>
      <w:r w:rsidR="000C3CE2" w:rsidRPr="008B1755">
        <w:rPr>
          <w:rFonts w:cs="Arial"/>
          <w:lang w:val="cs-CZ"/>
        </w:rPr>
        <w:t xml:space="preserve"> </w:t>
      </w:r>
      <w:r w:rsidR="00AF415C" w:rsidRPr="008B1755">
        <w:rPr>
          <w:lang w:val="cs-CZ"/>
        </w:rPr>
        <w:fldChar w:fldCharType="begin"/>
      </w:r>
      <w:r w:rsidR="00AF415C" w:rsidRPr="008B1755">
        <w:rPr>
          <w:lang w:val="cs-CZ"/>
        </w:rPr>
        <w:instrText xml:space="preserve"> REF _Ref449367488 \r \h  \* MERGEFORMAT </w:instrText>
      </w:r>
      <w:r w:rsidR="00AF415C" w:rsidRPr="008B1755">
        <w:rPr>
          <w:lang w:val="cs-CZ"/>
        </w:rPr>
      </w:r>
      <w:r w:rsidR="00AF415C" w:rsidRPr="008B1755">
        <w:rPr>
          <w:lang w:val="cs-CZ"/>
        </w:rPr>
        <w:fldChar w:fldCharType="separate"/>
      </w:r>
      <w:r w:rsidR="003B403B" w:rsidRPr="008B1755">
        <w:rPr>
          <w:rFonts w:cs="Arial"/>
          <w:lang w:val="cs-CZ"/>
        </w:rPr>
        <w:t>93</w:t>
      </w:r>
      <w:r w:rsidR="00AF415C" w:rsidRPr="008B1755">
        <w:rPr>
          <w:lang w:val="cs-CZ"/>
        </w:rPr>
        <w:fldChar w:fldCharType="end"/>
      </w:r>
      <w:r w:rsidR="00AA0A14" w:rsidRPr="008B1755">
        <w:rPr>
          <w:lang w:val="cs-CZ"/>
        </w:rPr>
        <w:t>.</w:t>
      </w:r>
    </w:p>
    <w:p w:rsidR="00A6468E" w:rsidRPr="008B1755" w:rsidRDefault="000D06E5" w:rsidP="0038751B">
      <w:pPr>
        <w:pStyle w:val="Odstavecseseznamem"/>
        <w:numPr>
          <w:ilvl w:val="0"/>
          <w:numId w:val="2"/>
        </w:numPr>
        <w:spacing w:after="120"/>
        <w:contextualSpacing w:val="0"/>
        <w:rPr>
          <w:lang w:val="cs-CZ"/>
        </w:rPr>
      </w:pPr>
      <w:bookmarkStart w:id="15" w:name="_Ref449607135"/>
      <w:r w:rsidRPr="008B1755">
        <w:rPr>
          <w:lang w:val="cs-CZ"/>
        </w:rPr>
        <w:t xml:space="preserve">Pokud některý </w:t>
      </w:r>
      <w:r w:rsidR="00DD272F" w:rsidRPr="008B1755">
        <w:rPr>
          <w:lang w:val="cs-CZ"/>
        </w:rPr>
        <w:t>poskytovatel internetových služeb</w:t>
      </w:r>
      <w:r w:rsidR="00E917B1" w:rsidRPr="008B1755">
        <w:rPr>
          <w:lang w:val="cs-CZ"/>
        </w:rPr>
        <w:t xml:space="preserve"> </w:t>
      </w:r>
      <w:r w:rsidRPr="008B1755">
        <w:rPr>
          <w:lang w:val="cs-CZ"/>
        </w:rPr>
        <w:t xml:space="preserve">smluvně </w:t>
      </w:r>
      <w:r w:rsidR="00202904" w:rsidRPr="008B1755">
        <w:rPr>
          <w:lang w:val="cs-CZ"/>
        </w:rPr>
        <w:t>(</w:t>
      </w:r>
      <w:r w:rsidRPr="008B1755">
        <w:rPr>
          <w:lang w:val="cs-CZ"/>
        </w:rPr>
        <w:t>a nikoli technicky</w:t>
      </w:r>
      <w:r w:rsidR="00202904" w:rsidRPr="008B1755">
        <w:rPr>
          <w:lang w:val="cs-CZ"/>
        </w:rPr>
        <w:t xml:space="preserve">) </w:t>
      </w:r>
      <w:r w:rsidRPr="008B1755">
        <w:rPr>
          <w:lang w:val="cs-CZ"/>
        </w:rPr>
        <w:t>zakázal používání určitého obsahu nebo jedné nebo více aplikací</w:t>
      </w:r>
      <w:r w:rsidR="00202904" w:rsidRPr="008B1755">
        <w:rPr>
          <w:lang w:val="cs-CZ"/>
        </w:rPr>
        <w:t>/</w:t>
      </w:r>
      <w:r w:rsidRPr="008B1755">
        <w:rPr>
          <w:lang w:val="cs-CZ"/>
        </w:rPr>
        <w:t xml:space="preserve">služeb nebo jejich kategorií </w:t>
      </w:r>
      <w:r w:rsidR="00202904" w:rsidRPr="008B1755">
        <w:rPr>
          <w:lang w:val="cs-CZ"/>
        </w:rPr>
        <w:t>(</w:t>
      </w:r>
      <w:r w:rsidRPr="008B1755">
        <w:rPr>
          <w:lang w:val="cs-CZ"/>
        </w:rPr>
        <w:t xml:space="preserve">např. zákaz používání služeb </w:t>
      </w:r>
      <w:r w:rsidR="00202904" w:rsidRPr="008B1755">
        <w:rPr>
          <w:lang w:val="cs-CZ"/>
        </w:rPr>
        <w:t>VoIP)</w:t>
      </w:r>
      <w:r w:rsidRPr="008B1755">
        <w:rPr>
          <w:lang w:val="cs-CZ"/>
        </w:rPr>
        <w:t xml:space="preserve">, znamenalo by to omezení výkonu </w:t>
      </w:r>
      <w:r w:rsidR="00466D10" w:rsidRPr="008B1755">
        <w:rPr>
          <w:lang w:val="cs-CZ"/>
        </w:rPr>
        <w:t>práv koncových uživatelů</w:t>
      </w:r>
      <w:r w:rsidR="00D60963" w:rsidRPr="008B1755">
        <w:rPr>
          <w:lang w:val="cs-CZ"/>
        </w:rPr>
        <w:t xml:space="preserve"> </w:t>
      </w:r>
      <w:r w:rsidRPr="008B1755">
        <w:rPr>
          <w:lang w:val="cs-CZ"/>
        </w:rPr>
        <w:t xml:space="preserve">uvedených </w:t>
      </w:r>
      <w:r w:rsidR="00F064F8" w:rsidRPr="008B1755">
        <w:rPr>
          <w:lang w:val="cs-CZ"/>
        </w:rPr>
        <w:t>v článku</w:t>
      </w:r>
      <w:r w:rsidR="00202904" w:rsidRPr="008B1755">
        <w:rPr>
          <w:lang w:val="cs-CZ"/>
        </w:rPr>
        <w:t xml:space="preserve"> 3</w:t>
      </w:r>
      <w:r w:rsidRPr="008B1755">
        <w:rPr>
          <w:lang w:val="cs-CZ"/>
        </w:rPr>
        <w:t xml:space="preserve"> odst. </w:t>
      </w:r>
      <w:r w:rsidR="00202904" w:rsidRPr="008B1755">
        <w:rPr>
          <w:lang w:val="cs-CZ"/>
        </w:rPr>
        <w:t>1.</w:t>
      </w:r>
      <w:r w:rsidR="00BF48BA" w:rsidRPr="008B1755">
        <w:rPr>
          <w:lang w:val="cs-CZ"/>
        </w:rPr>
        <w:t xml:space="preserve"> </w:t>
      </w:r>
      <w:r w:rsidR="003217FD">
        <w:rPr>
          <w:lang w:val="cs-CZ"/>
        </w:rPr>
        <w:t>T</w:t>
      </w:r>
      <w:r w:rsidR="00A46FEF">
        <w:rPr>
          <w:lang w:val="cs-CZ"/>
        </w:rPr>
        <w:t xml:space="preserve">akový postup by byl </w:t>
      </w:r>
      <w:r w:rsidRPr="008B1755">
        <w:rPr>
          <w:lang w:val="cs-CZ"/>
        </w:rPr>
        <w:t xml:space="preserve">považován za nabídku </w:t>
      </w:r>
      <w:r w:rsidR="00F86321" w:rsidRPr="008B1755">
        <w:rPr>
          <w:lang w:val="cs-CZ"/>
        </w:rPr>
        <w:t>sub-internet</w:t>
      </w:r>
      <w:r w:rsidRPr="008B1755">
        <w:rPr>
          <w:lang w:val="cs-CZ"/>
        </w:rPr>
        <w:t xml:space="preserve">ové služby </w:t>
      </w:r>
      <w:r w:rsidR="00F10D05" w:rsidRPr="008B1755">
        <w:rPr>
          <w:lang w:val="cs-CZ"/>
        </w:rPr>
        <w:t>(</w:t>
      </w:r>
      <w:r w:rsidR="002E5214" w:rsidRPr="008B1755">
        <w:rPr>
          <w:lang w:val="cs-CZ"/>
        </w:rPr>
        <w:t xml:space="preserve">viz </w:t>
      </w:r>
      <w:r w:rsidR="00D2652F">
        <w:rPr>
          <w:lang w:val="cs-CZ"/>
        </w:rPr>
        <w:t>bod</w:t>
      </w:r>
      <w:r w:rsidR="00F10D05" w:rsidRPr="008B1755">
        <w:rPr>
          <w:lang w:val="cs-CZ"/>
        </w:rPr>
        <w:t xml:space="preserve"> </w:t>
      </w:r>
      <w:r w:rsidR="00CA269E" w:rsidRPr="008B1755">
        <w:rPr>
          <w:lang w:val="cs-CZ"/>
        </w:rPr>
        <w:fldChar w:fldCharType="begin"/>
      </w:r>
      <w:r w:rsidR="00F10D05" w:rsidRPr="008B1755">
        <w:rPr>
          <w:lang w:val="cs-CZ"/>
        </w:rPr>
        <w:instrText xml:space="preserve"> REF _Ref449105002 \r \h </w:instrText>
      </w:r>
      <w:r w:rsidR="00CA269E" w:rsidRPr="008B1755">
        <w:rPr>
          <w:lang w:val="cs-CZ"/>
        </w:rPr>
      </w:r>
      <w:r w:rsidR="00CA269E" w:rsidRPr="008B1755">
        <w:rPr>
          <w:lang w:val="cs-CZ"/>
        </w:rPr>
        <w:fldChar w:fldCharType="separate"/>
      </w:r>
      <w:r w:rsidR="003B403B" w:rsidRPr="008B1755">
        <w:rPr>
          <w:lang w:val="cs-CZ"/>
        </w:rPr>
        <w:t>17</w:t>
      </w:r>
      <w:r w:rsidR="00CA269E" w:rsidRPr="008B1755">
        <w:rPr>
          <w:lang w:val="cs-CZ"/>
        </w:rPr>
        <w:fldChar w:fldCharType="end"/>
      </w:r>
      <w:r w:rsidR="00F10D05" w:rsidRPr="008B1755">
        <w:rPr>
          <w:lang w:val="cs-CZ"/>
        </w:rPr>
        <w:t>).</w:t>
      </w:r>
      <w:bookmarkEnd w:id="15"/>
      <w:r w:rsidR="00F10D05" w:rsidRPr="008B1755">
        <w:rPr>
          <w:lang w:val="cs-CZ"/>
        </w:rPr>
        <w:t xml:space="preserve"> </w:t>
      </w:r>
    </w:p>
    <w:p w:rsidR="003A26CB" w:rsidRPr="008B1755" w:rsidRDefault="000D06E5" w:rsidP="0038751B">
      <w:pPr>
        <w:pStyle w:val="Odstavecseseznamem"/>
        <w:numPr>
          <w:ilvl w:val="0"/>
          <w:numId w:val="2"/>
        </w:numPr>
        <w:spacing w:after="120"/>
        <w:contextualSpacing w:val="0"/>
        <w:rPr>
          <w:lang w:val="cs-CZ"/>
        </w:rPr>
      </w:pPr>
      <w:r w:rsidRPr="008B1755">
        <w:rPr>
          <w:lang w:val="cs-CZ"/>
        </w:rPr>
        <w:t>Nicméně některé obchodní podmínky</w:t>
      </w:r>
      <w:r w:rsidR="00512EBF" w:rsidRPr="008B1755">
        <w:rPr>
          <w:lang w:val="cs-CZ"/>
        </w:rPr>
        <w:t xml:space="preserve"> </w:t>
      </w:r>
      <w:r w:rsidRPr="008B1755">
        <w:rPr>
          <w:lang w:val="cs-CZ"/>
        </w:rPr>
        <w:t>nebo praktiky</w:t>
      </w:r>
      <w:r w:rsidR="00512EBF" w:rsidRPr="008B1755">
        <w:rPr>
          <w:lang w:val="cs-CZ"/>
        </w:rPr>
        <w:t xml:space="preserve">, </w:t>
      </w:r>
      <w:r w:rsidR="00AF415C" w:rsidRPr="008B1755">
        <w:rPr>
          <w:lang w:val="cs-CZ"/>
        </w:rPr>
        <w:t>nejzjevněji</w:t>
      </w:r>
      <w:r w:rsidRPr="008B1755">
        <w:rPr>
          <w:lang w:val="cs-CZ"/>
        </w:rPr>
        <w:t xml:space="preserve"> ty, u nichž jsou účtovány rozdílné ceny u různých kategorií aplikací</w:t>
      </w:r>
      <w:r w:rsidR="004B65CB" w:rsidRPr="008B1755">
        <w:rPr>
          <w:lang w:val="cs-CZ"/>
        </w:rPr>
        <w:t>,</w:t>
      </w:r>
      <w:r w:rsidR="00512EBF" w:rsidRPr="008B1755">
        <w:rPr>
          <w:lang w:val="cs-CZ"/>
        </w:rPr>
        <w:t xml:space="preserve"> </w:t>
      </w:r>
      <w:r w:rsidRPr="008B1755">
        <w:rPr>
          <w:lang w:val="cs-CZ"/>
        </w:rPr>
        <w:t xml:space="preserve">spíše ovlivní výkon práv </w:t>
      </w:r>
      <w:r w:rsidR="00C44AED" w:rsidRPr="008B1755">
        <w:rPr>
          <w:lang w:val="cs-CZ"/>
        </w:rPr>
        <w:t>koncov</w:t>
      </w:r>
      <w:r w:rsidRPr="008B1755">
        <w:rPr>
          <w:lang w:val="cs-CZ"/>
        </w:rPr>
        <w:t xml:space="preserve">ých </w:t>
      </w:r>
      <w:r w:rsidR="00C44AED" w:rsidRPr="008B1755">
        <w:rPr>
          <w:lang w:val="cs-CZ"/>
        </w:rPr>
        <w:t>uživatel</w:t>
      </w:r>
      <w:r w:rsidRPr="008B1755">
        <w:rPr>
          <w:lang w:val="cs-CZ"/>
        </w:rPr>
        <w:t xml:space="preserve">ů vymezených </w:t>
      </w:r>
      <w:r w:rsidR="00F064F8" w:rsidRPr="008B1755">
        <w:rPr>
          <w:lang w:val="cs-CZ"/>
        </w:rPr>
        <w:t>v článku</w:t>
      </w:r>
      <w:r w:rsidR="00202904" w:rsidRPr="008B1755">
        <w:rPr>
          <w:lang w:val="cs-CZ"/>
        </w:rPr>
        <w:t xml:space="preserve"> 3</w:t>
      </w:r>
      <w:r w:rsidRPr="008B1755">
        <w:rPr>
          <w:lang w:val="cs-CZ"/>
        </w:rPr>
        <w:t xml:space="preserve"> odst. </w:t>
      </w:r>
      <w:r w:rsidR="00202904" w:rsidRPr="008B1755">
        <w:rPr>
          <w:lang w:val="cs-CZ"/>
        </w:rPr>
        <w:t>1</w:t>
      </w:r>
      <w:r w:rsidRPr="008B1755">
        <w:rPr>
          <w:lang w:val="cs-CZ"/>
        </w:rPr>
        <w:t>, aniž by ho nutně omezily</w:t>
      </w:r>
      <w:r w:rsidR="00202904" w:rsidRPr="008B1755">
        <w:rPr>
          <w:lang w:val="cs-CZ"/>
        </w:rPr>
        <w:t xml:space="preserve">. </w:t>
      </w:r>
    </w:p>
    <w:p w:rsidR="00A92C7B" w:rsidRPr="008B1755" w:rsidRDefault="000D06E5" w:rsidP="0038751B">
      <w:pPr>
        <w:pStyle w:val="Odstavecseseznamem"/>
        <w:numPr>
          <w:ilvl w:val="0"/>
          <w:numId w:val="2"/>
        </w:numPr>
        <w:spacing w:after="120"/>
        <w:contextualSpacing w:val="0"/>
        <w:rPr>
          <w:lang w:val="cs-CZ"/>
        </w:rPr>
      </w:pPr>
      <w:bookmarkStart w:id="16" w:name="_Ref449696434"/>
      <w:r w:rsidRPr="008B1755">
        <w:rPr>
          <w:lang w:val="cs-CZ"/>
        </w:rPr>
        <w:t xml:space="preserve">Existuje specifická obchodní praktika nazývaná </w:t>
      </w:r>
      <w:r w:rsidR="00186302" w:rsidRPr="008B1755">
        <w:rPr>
          <w:lang w:val="cs-CZ"/>
        </w:rPr>
        <w:t>z</w:t>
      </w:r>
      <w:r w:rsidR="00A92C7B" w:rsidRPr="008B1755">
        <w:rPr>
          <w:lang w:val="cs-CZ"/>
        </w:rPr>
        <w:t>ero</w:t>
      </w:r>
      <w:r w:rsidR="00D2652F">
        <w:rPr>
          <w:lang w:val="cs-CZ"/>
        </w:rPr>
        <w:t xml:space="preserve"> </w:t>
      </w:r>
      <w:r w:rsidR="00A92C7B" w:rsidRPr="008B1755">
        <w:rPr>
          <w:lang w:val="cs-CZ"/>
        </w:rPr>
        <w:t>rating</w:t>
      </w:r>
      <w:r w:rsidR="00D2652F">
        <w:rPr>
          <w:lang w:val="cs-CZ"/>
        </w:rPr>
        <w:t>.</w:t>
      </w:r>
      <w:r w:rsidR="001F0F7E" w:rsidRPr="008B1755">
        <w:rPr>
          <w:lang w:val="cs-CZ"/>
        </w:rPr>
        <w:t xml:space="preserve"> </w:t>
      </w:r>
      <w:r w:rsidRPr="008B1755">
        <w:rPr>
          <w:lang w:val="cs-CZ"/>
        </w:rPr>
        <w:t xml:space="preserve">Jedná se o situaci, kdy </w:t>
      </w:r>
      <w:r w:rsidR="00DD272F" w:rsidRPr="008B1755">
        <w:rPr>
          <w:lang w:val="cs-CZ"/>
        </w:rPr>
        <w:t>poskytovatel internetových služeb</w:t>
      </w:r>
      <w:r w:rsidR="00A92C7B" w:rsidRPr="008B1755">
        <w:rPr>
          <w:lang w:val="cs-CZ"/>
        </w:rPr>
        <w:t xml:space="preserve"> </w:t>
      </w:r>
      <w:r w:rsidRPr="008B1755">
        <w:rPr>
          <w:lang w:val="cs-CZ"/>
        </w:rPr>
        <w:t xml:space="preserve">účtuje nulovou cenu za datový provoz související s konkrétní aplikací nebo kategorií aplikací </w:t>
      </w:r>
      <w:r w:rsidR="00A92C7B" w:rsidRPr="008B1755">
        <w:rPr>
          <w:lang w:val="cs-CZ"/>
        </w:rPr>
        <w:t>(</w:t>
      </w:r>
      <w:r w:rsidRPr="008B1755">
        <w:rPr>
          <w:lang w:val="cs-CZ"/>
        </w:rPr>
        <w:t xml:space="preserve">přičemž </w:t>
      </w:r>
      <w:r w:rsidR="00A92C7B" w:rsidRPr="008B1755">
        <w:rPr>
          <w:lang w:val="cs-CZ"/>
        </w:rPr>
        <w:t xml:space="preserve">data </w:t>
      </w:r>
      <w:r w:rsidRPr="008B1755">
        <w:rPr>
          <w:lang w:val="cs-CZ"/>
        </w:rPr>
        <w:t xml:space="preserve">se nezapočítávají do žádného limitu platného u </w:t>
      </w:r>
      <w:r w:rsidR="00DD272F" w:rsidRPr="008B1755">
        <w:rPr>
          <w:lang w:val="cs-CZ"/>
        </w:rPr>
        <w:t>služb</w:t>
      </w:r>
      <w:r w:rsidRPr="008B1755">
        <w:rPr>
          <w:lang w:val="cs-CZ"/>
        </w:rPr>
        <w:t>y</w:t>
      </w:r>
      <w:r w:rsidR="00DD272F" w:rsidRPr="008B1755">
        <w:rPr>
          <w:lang w:val="cs-CZ"/>
        </w:rPr>
        <w:t xml:space="preserve"> přístupu k internetu</w:t>
      </w:r>
      <w:r w:rsidR="00A92C7B" w:rsidRPr="008B1755">
        <w:rPr>
          <w:lang w:val="cs-CZ"/>
        </w:rPr>
        <w:t>).</w:t>
      </w:r>
      <w:r w:rsidR="00C94CE6" w:rsidRPr="008B1755">
        <w:rPr>
          <w:lang w:val="cs-CZ"/>
        </w:rPr>
        <w:t xml:space="preserve"> </w:t>
      </w:r>
      <w:r w:rsidRPr="008B1755">
        <w:rPr>
          <w:lang w:val="cs-CZ"/>
        </w:rPr>
        <w:t xml:space="preserve">Existují různé druhy praktik uplatňování </w:t>
      </w:r>
      <w:r w:rsidR="0077577C">
        <w:rPr>
          <w:lang w:val="cs-CZ"/>
        </w:rPr>
        <w:t>zero ratingu</w:t>
      </w:r>
      <w:r w:rsidRPr="008B1755">
        <w:rPr>
          <w:lang w:val="cs-CZ"/>
        </w:rPr>
        <w:t xml:space="preserve">, které mohou mít různé dopady na </w:t>
      </w:r>
      <w:r w:rsidR="00C44AED" w:rsidRPr="008B1755">
        <w:rPr>
          <w:lang w:val="cs-CZ"/>
        </w:rPr>
        <w:t>koncov</w:t>
      </w:r>
      <w:r w:rsidRPr="008B1755">
        <w:rPr>
          <w:lang w:val="cs-CZ"/>
        </w:rPr>
        <w:t>é</w:t>
      </w:r>
      <w:r w:rsidR="00C44AED" w:rsidRPr="008B1755">
        <w:rPr>
          <w:lang w:val="cs-CZ"/>
        </w:rPr>
        <w:t xml:space="preserve"> uživatel</w:t>
      </w:r>
      <w:r w:rsidRPr="008B1755">
        <w:rPr>
          <w:lang w:val="cs-CZ"/>
        </w:rPr>
        <w:t xml:space="preserve">e a otevřený </w:t>
      </w:r>
      <w:r w:rsidR="00A92C7B" w:rsidRPr="008B1755">
        <w:rPr>
          <w:lang w:val="cs-CZ"/>
        </w:rPr>
        <w:t>internet, a</w:t>
      </w:r>
      <w:r w:rsidRPr="008B1755">
        <w:rPr>
          <w:lang w:val="cs-CZ"/>
        </w:rPr>
        <w:t xml:space="preserve"> tudíž na </w:t>
      </w:r>
      <w:r w:rsidR="001D70F8" w:rsidRPr="008B1755">
        <w:rPr>
          <w:lang w:val="cs-CZ"/>
        </w:rPr>
        <w:t>práva koncových uživatelů</w:t>
      </w:r>
      <w:r w:rsidR="00A92C7B" w:rsidRPr="008B1755">
        <w:rPr>
          <w:lang w:val="cs-CZ"/>
        </w:rPr>
        <w:t xml:space="preserve"> </w:t>
      </w:r>
      <w:r w:rsidRPr="008B1755">
        <w:rPr>
          <w:lang w:val="cs-CZ"/>
        </w:rPr>
        <w:t xml:space="preserve">chráněná </w:t>
      </w:r>
      <w:r w:rsidR="00C44AED" w:rsidRPr="008B1755">
        <w:rPr>
          <w:lang w:val="cs-CZ"/>
        </w:rPr>
        <w:t>na základě Nařízení</w:t>
      </w:r>
      <w:r w:rsidR="00186302" w:rsidRPr="008B1755">
        <w:rPr>
          <w:lang w:val="cs-CZ"/>
        </w:rPr>
        <w:t>.</w:t>
      </w:r>
      <w:bookmarkEnd w:id="16"/>
      <w:r w:rsidR="00662A4B" w:rsidRPr="008B1755">
        <w:rPr>
          <w:lang w:val="cs-CZ"/>
        </w:rPr>
        <w:t xml:space="preserve"> </w:t>
      </w:r>
    </w:p>
    <w:p w:rsidR="00186302" w:rsidRPr="008B1755" w:rsidRDefault="000D06E5" w:rsidP="0038751B">
      <w:pPr>
        <w:numPr>
          <w:ilvl w:val="0"/>
          <w:numId w:val="2"/>
        </w:numPr>
        <w:spacing w:after="120"/>
        <w:rPr>
          <w:lang w:val="cs-CZ"/>
        </w:rPr>
      </w:pPr>
      <w:r w:rsidRPr="008B1755">
        <w:rPr>
          <w:lang w:val="cs-CZ"/>
        </w:rPr>
        <w:t xml:space="preserve">Nabídka s uplatňováním </w:t>
      </w:r>
      <w:r w:rsidR="0077577C">
        <w:rPr>
          <w:lang w:val="cs-CZ"/>
        </w:rPr>
        <w:t>zero ratingu</w:t>
      </w:r>
      <w:r w:rsidRPr="008B1755">
        <w:rPr>
          <w:lang w:val="cs-CZ"/>
        </w:rPr>
        <w:t xml:space="preserve">, kde jsou blokovány (nebo zpomaleny) všechny aplikace, jakmile </w:t>
      </w:r>
      <w:r w:rsidR="00225BD9" w:rsidRPr="008B1755">
        <w:rPr>
          <w:lang w:val="cs-CZ"/>
        </w:rPr>
        <w:t xml:space="preserve">je dosaženo datového limitu, s výjimkou aplikace (aplikací) </w:t>
      </w:r>
      <w:r w:rsidR="0077577C">
        <w:rPr>
          <w:lang w:val="cs-CZ"/>
        </w:rPr>
        <w:t>v režimu zero ratingu</w:t>
      </w:r>
      <w:r w:rsidR="00225BD9" w:rsidRPr="008B1755">
        <w:rPr>
          <w:lang w:val="cs-CZ"/>
        </w:rPr>
        <w:t xml:space="preserve">, by znamenala porušení </w:t>
      </w:r>
      <w:r w:rsidR="00DD272F" w:rsidRPr="008B1755">
        <w:rPr>
          <w:lang w:val="cs-CZ"/>
        </w:rPr>
        <w:t>člán</w:t>
      </w:r>
      <w:r w:rsidR="00225BD9" w:rsidRPr="008B1755">
        <w:rPr>
          <w:lang w:val="cs-CZ"/>
        </w:rPr>
        <w:t xml:space="preserve">ku </w:t>
      </w:r>
      <w:r w:rsidR="00DD272F" w:rsidRPr="008B1755">
        <w:rPr>
          <w:lang w:val="cs-CZ"/>
        </w:rPr>
        <w:t xml:space="preserve">3 odst. </w:t>
      </w:r>
      <w:r w:rsidR="00186302" w:rsidRPr="008B1755">
        <w:rPr>
          <w:lang w:val="cs-CZ"/>
        </w:rPr>
        <w:t>3</w:t>
      </w:r>
      <w:r w:rsidR="00225BD9" w:rsidRPr="008B1755">
        <w:rPr>
          <w:lang w:val="cs-CZ"/>
        </w:rPr>
        <w:t xml:space="preserve">, první </w:t>
      </w:r>
      <w:r w:rsidR="00186302" w:rsidRPr="008B1755">
        <w:rPr>
          <w:lang w:val="cs-CZ"/>
        </w:rPr>
        <w:t>(a</w:t>
      </w:r>
      <w:r w:rsidR="00225BD9" w:rsidRPr="008B1755">
        <w:rPr>
          <w:lang w:val="cs-CZ"/>
        </w:rPr>
        <w:t xml:space="preserve"> třetí</w:t>
      </w:r>
      <w:r w:rsidR="00186302" w:rsidRPr="008B1755">
        <w:rPr>
          <w:lang w:val="cs-CZ"/>
        </w:rPr>
        <w:t xml:space="preserve">) </w:t>
      </w:r>
      <w:r w:rsidR="002E5214" w:rsidRPr="008B1755">
        <w:rPr>
          <w:lang w:val="cs-CZ"/>
        </w:rPr>
        <w:t>pododstavec</w:t>
      </w:r>
      <w:r w:rsidR="00186302" w:rsidRPr="008B1755">
        <w:rPr>
          <w:lang w:val="cs-CZ"/>
        </w:rPr>
        <w:t xml:space="preserve"> (</w:t>
      </w:r>
      <w:r w:rsidR="002E5214" w:rsidRPr="008B1755">
        <w:rPr>
          <w:lang w:val="cs-CZ"/>
        </w:rPr>
        <w:t xml:space="preserve">viz </w:t>
      </w:r>
      <w:r w:rsidR="00D2652F">
        <w:rPr>
          <w:lang w:val="cs-CZ"/>
        </w:rPr>
        <w:t>bod</w:t>
      </w:r>
      <w:r w:rsidR="00186302" w:rsidRPr="008B1755">
        <w:rPr>
          <w:lang w:val="cs-CZ"/>
        </w:rPr>
        <w:t xml:space="preserve"> </w:t>
      </w:r>
      <w:r w:rsidR="00CA269E" w:rsidRPr="008B1755">
        <w:rPr>
          <w:lang w:val="cs-CZ"/>
        </w:rPr>
        <w:fldChar w:fldCharType="begin"/>
      </w:r>
      <w:r w:rsidR="00186302" w:rsidRPr="008B1755">
        <w:rPr>
          <w:lang w:val="cs-CZ"/>
        </w:rPr>
        <w:instrText xml:space="preserve"> REF _Ref447275754 \r \h </w:instrText>
      </w:r>
      <w:r w:rsidR="00CA269E" w:rsidRPr="008B1755">
        <w:rPr>
          <w:lang w:val="cs-CZ"/>
        </w:rPr>
      </w:r>
      <w:r w:rsidR="00CA269E" w:rsidRPr="008B1755">
        <w:rPr>
          <w:lang w:val="cs-CZ"/>
        </w:rPr>
        <w:fldChar w:fldCharType="separate"/>
      </w:r>
      <w:r w:rsidR="003B403B" w:rsidRPr="008B1755">
        <w:rPr>
          <w:lang w:val="cs-CZ"/>
        </w:rPr>
        <w:t>55</w:t>
      </w:r>
      <w:r w:rsidR="00CA269E" w:rsidRPr="008B1755">
        <w:rPr>
          <w:lang w:val="cs-CZ"/>
        </w:rPr>
        <w:fldChar w:fldCharType="end"/>
      </w:r>
      <w:r w:rsidR="00186302" w:rsidRPr="008B1755">
        <w:rPr>
          <w:lang w:val="cs-CZ"/>
        </w:rPr>
        <w:t xml:space="preserve">). </w:t>
      </w:r>
    </w:p>
    <w:p w:rsidR="00A92C7B" w:rsidRPr="008B1755" w:rsidRDefault="00225BD9" w:rsidP="0038751B">
      <w:pPr>
        <w:pStyle w:val="Odstavecseseznamem"/>
        <w:numPr>
          <w:ilvl w:val="0"/>
          <w:numId w:val="2"/>
        </w:numPr>
        <w:spacing w:after="120"/>
        <w:contextualSpacing w:val="0"/>
        <w:rPr>
          <w:lang w:val="cs-CZ"/>
        </w:rPr>
      </w:pPr>
      <w:r w:rsidRPr="008B1755">
        <w:rPr>
          <w:lang w:val="cs-CZ"/>
        </w:rPr>
        <w:t xml:space="preserve">Poskytovatel </w:t>
      </w:r>
      <w:r w:rsidR="00DD272F" w:rsidRPr="008B1755">
        <w:rPr>
          <w:lang w:val="cs-CZ"/>
        </w:rPr>
        <w:t>internetových služeb</w:t>
      </w:r>
      <w:r w:rsidR="00AA0A14" w:rsidRPr="008B1755">
        <w:rPr>
          <w:lang w:val="cs-CZ"/>
        </w:rPr>
        <w:t xml:space="preserve"> </w:t>
      </w:r>
      <w:r w:rsidRPr="008B1755">
        <w:rPr>
          <w:lang w:val="cs-CZ"/>
        </w:rPr>
        <w:t xml:space="preserve">by mohl uplatňovat nebo nabízet </w:t>
      </w:r>
      <w:r w:rsidR="0077577C">
        <w:rPr>
          <w:lang w:val="cs-CZ"/>
        </w:rPr>
        <w:t>zero rating</w:t>
      </w:r>
      <w:r w:rsidRPr="008B1755">
        <w:rPr>
          <w:lang w:val="cs-CZ"/>
        </w:rPr>
        <w:t xml:space="preserve"> pro celou kategorii aplikací </w:t>
      </w:r>
      <w:r w:rsidR="00AA0A14" w:rsidRPr="008B1755">
        <w:rPr>
          <w:lang w:val="cs-CZ"/>
        </w:rPr>
        <w:t>(</w:t>
      </w:r>
      <w:r w:rsidR="00BE001A" w:rsidRPr="008B1755">
        <w:rPr>
          <w:lang w:val="cs-CZ"/>
        </w:rPr>
        <w:t>např.</w:t>
      </w:r>
      <w:r w:rsidR="00AA0A14" w:rsidRPr="008B1755">
        <w:rPr>
          <w:lang w:val="cs-CZ"/>
        </w:rPr>
        <w:t xml:space="preserve"> </w:t>
      </w:r>
      <w:r w:rsidRPr="008B1755">
        <w:rPr>
          <w:lang w:val="cs-CZ"/>
        </w:rPr>
        <w:t xml:space="preserve">všechny aplikace na </w:t>
      </w:r>
      <w:r w:rsidR="00AA0A14" w:rsidRPr="008B1755">
        <w:rPr>
          <w:lang w:val="cs-CZ"/>
        </w:rPr>
        <w:t>streaming</w:t>
      </w:r>
      <w:r w:rsidRPr="008B1755">
        <w:rPr>
          <w:lang w:val="cs-CZ"/>
        </w:rPr>
        <w:t xml:space="preserve"> hudby nebo videa</w:t>
      </w:r>
      <w:r w:rsidR="00AA0A14" w:rsidRPr="008B1755">
        <w:rPr>
          <w:lang w:val="cs-CZ"/>
        </w:rPr>
        <w:t xml:space="preserve">) </w:t>
      </w:r>
      <w:r w:rsidRPr="008B1755">
        <w:rPr>
          <w:lang w:val="cs-CZ"/>
        </w:rPr>
        <w:t xml:space="preserve">nebo pouze pro některé aplikace </w:t>
      </w:r>
      <w:r w:rsidR="00AA0A14" w:rsidRPr="008B1755">
        <w:rPr>
          <w:lang w:val="cs-CZ"/>
        </w:rPr>
        <w:t>(</w:t>
      </w:r>
      <w:r w:rsidR="00BE001A" w:rsidRPr="008B1755">
        <w:rPr>
          <w:lang w:val="cs-CZ"/>
        </w:rPr>
        <w:t>např.</w:t>
      </w:r>
      <w:r w:rsidR="00AA0A14" w:rsidRPr="008B1755">
        <w:rPr>
          <w:lang w:val="cs-CZ"/>
        </w:rPr>
        <w:t xml:space="preserve"> </w:t>
      </w:r>
      <w:r w:rsidRPr="008B1755">
        <w:rPr>
          <w:lang w:val="cs-CZ"/>
        </w:rPr>
        <w:t>své vlastní služby</w:t>
      </w:r>
      <w:r w:rsidR="008A2CF5" w:rsidRPr="008B1755">
        <w:rPr>
          <w:lang w:val="cs-CZ"/>
        </w:rPr>
        <w:t>,</w:t>
      </w:r>
      <w:r w:rsidR="00AA0A14" w:rsidRPr="008B1755">
        <w:rPr>
          <w:lang w:val="cs-CZ"/>
        </w:rPr>
        <w:t xml:space="preserve"> </w:t>
      </w:r>
      <w:r w:rsidRPr="008B1755">
        <w:rPr>
          <w:lang w:val="cs-CZ"/>
        </w:rPr>
        <w:t>jednu konkrétní aplikaci sociálních médií</w:t>
      </w:r>
      <w:r w:rsidR="008A2CF5" w:rsidRPr="008B1755">
        <w:rPr>
          <w:lang w:val="cs-CZ"/>
        </w:rPr>
        <w:t>,</w:t>
      </w:r>
      <w:r w:rsidR="00AA0A14" w:rsidRPr="008B1755">
        <w:rPr>
          <w:lang w:val="cs-CZ"/>
        </w:rPr>
        <w:t xml:space="preserve"> </w:t>
      </w:r>
      <w:r w:rsidRPr="008B1755">
        <w:rPr>
          <w:lang w:val="cs-CZ"/>
        </w:rPr>
        <w:t xml:space="preserve">nejpopulárnější </w:t>
      </w:r>
      <w:r w:rsidR="00AA0A14" w:rsidRPr="008B1755">
        <w:rPr>
          <w:lang w:val="cs-CZ"/>
        </w:rPr>
        <w:t xml:space="preserve">video </w:t>
      </w:r>
      <w:r w:rsidRPr="008B1755">
        <w:rPr>
          <w:lang w:val="cs-CZ"/>
        </w:rPr>
        <w:t>nebo hudební aplikace</w:t>
      </w:r>
      <w:r w:rsidR="00AA0A14" w:rsidRPr="008B1755">
        <w:rPr>
          <w:lang w:val="cs-CZ"/>
        </w:rPr>
        <w:t xml:space="preserve">). </w:t>
      </w:r>
      <w:r w:rsidRPr="008B1755">
        <w:rPr>
          <w:lang w:val="cs-CZ"/>
        </w:rPr>
        <w:t xml:space="preserve">V posledně jmenovaném případě není </w:t>
      </w:r>
      <w:r w:rsidR="00DD272F" w:rsidRPr="008B1755">
        <w:rPr>
          <w:lang w:val="cs-CZ"/>
        </w:rPr>
        <w:t>koncov</w:t>
      </w:r>
      <w:r w:rsidRPr="008B1755">
        <w:rPr>
          <w:lang w:val="cs-CZ"/>
        </w:rPr>
        <w:t>ému</w:t>
      </w:r>
      <w:r w:rsidR="00DD272F" w:rsidRPr="008B1755">
        <w:rPr>
          <w:lang w:val="cs-CZ"/>
        </w:rPr>
        <w:t xml:space="preserve"> uživatel</w:t>
      </w:r>
      <w:r w:rsidRPr="008B1755">
        <w:rPr>
          <w:lang w:val="cs-CZ"/>
        </w:rPr>
        <w:t>i bráněno v používání jiných hudebních aplikací</w:t>
      </w:r>
      <w:r w:rsidR="00AA0A14" w:rsidRPr="008B1755">
        <w:rPr>
          <w:lang w:val="cs-CZ"/>
        </w:rPr>
        <w:t xml:space="preserve">. </w:t>
      </w:r>
      <w:r w:rsidRPr="008B1755">
        <w:rPr>
          <w:lang w:val="cs-CZ"/>
        </w:rPr>
        <w:t>Nicméně nulová cena uplatňovaná na datový provoz hudební aplikace s</w:t>
      </w:r>
      <w:r w:rsidR="0077577C">
        <w:rPr>
          <w:lang w:val="cs-CZ"/>
        </w:rPr>
        <w:t>e zero ratingem</w:t>
      </w:r>
      <w:r w:rsidRPr="008B1755">
        <w:rPr>
          <w:lang w:val="cs-CZ"/>
        </w:rPr>
        <w:t xml:space="preserve"> </w:t>
      </w:r>
      <w:r w:rsidR="000A4040" w:rsidRPr="008B1755">
        <w:rPr>
          <w:rFonts w:cs="Arial"/>
          <w:lang w:val="cs-CZ"/>
        </w:rPr>
        <w:t>(a</w:t>
      </w:r>
      <w:r w:rsidRPr="008B1755">
        <w:rPr>
          <w:rFonts w:cs="Arial"/>
          <w:lang w:val="cs-CZ"/>
        </w:rPr>
        <w:t xml:space="preserve"> skutečnost, že se datový provoz </w:t>
      </w:r>
      <w:r w:rsidRPr="008B1755">
        <w:rPr>
          <w:lang w:val="cs-CZ"/>
        </w:rPr>
        <w:t xml:space="preserve">hudební aplikace </w:t>
      </w:r>
      <w:r w:rsidR="0077577C" w:rsidRPr="008B1755">
        <w:rPr>
          <w:lang w:val="cs-CZ"/>
        </w:rPr>
        <w:t>s</w:t>
      </w:r>
      <w:r w:rsidR="0077577C">
        <w:rPr>
          <w:lang w:val="cs-CZ"/>
        </w:rPr>
        <w:t>e zero ratingem</w:t>
      </w:r>
      <w:r w:rsidR="0077577C" w:rsidRPr="008B1755">
        <w:rPr>
          <w:lang w:val="cs-CZ"/>
        </w:rPr>
        <w:t xml:space="preserve"> </w:t>
      </w:r>
      <w:r w:rsidRPr="008B1755">
        <w:rPr>
          <w:lang w:val="cs-CZ"/>
        </w:rPr>
        <w:t xml:space="preserve">nezapočítává </w:t>
      </w:r>
      <w:r w:rsidRPr="008B1755">
        <w:rPr>
          <w:rFonts w:cs="Arial"/>
          <w:lang w:val="cs-CZ"/>
        </w:rPr>
        <w:t xml:space="preserve">do datového limitu u </w:t>
      </w:r>
      <w:r w:rsidR="00DD272F" w:rsidRPr="008B1755">
        <w:rPr>
          <w:rFonts w:cs="Arial"/>
          <w:lang w:val="cs-CZ"/>
        </w:rPr>
        <w:t>služb</w:t>
      </w:r>
      <w:r w:rsidRPr="008B1755">
        <w:rPr>
          <w:rFonts w:cs="Arial"/>
          <w:lang w:val="cs-CZ"/>
        </w:rPr>
        <w:t>y</w:t>
      </w:r>
      <w:r w:rsidR="00DD272F" w:rsidRPr="008B1755">
        <w:rPr>
          <w:rFonts w:cs="Arial"/>
          <w:lang w:val="cs-CZ"/>
        </w:rPr>
        <w:t xml:space="preserve"> přístupu k internetu</w:t>
      </w:r>
      <w:r w:rsidR="000A4040" w:rsidRPr="008B1755">
        <w:rPr>
          <w:rFonts w:cs="Arial"/>
          <w:lang w:val="cs-CZ"/>
        </w:rPr>
        <w:t xml:space="preserve">) </w:t>
      </w:r>
      <w:r w:rsidRPr="008B1755">
        <w:rPr>
          <w:lang w:val="cs-CZ"/>
        </w:rPr>
        <w:t>představuje ekonomickou motivaci k používání této hudební aplikace namísto konkurenčních aplikací</w:t>
      </w:r>
      <w:r w:rsidR="00AA0A14" w:rsidRPr="008B1755">
        <w:rPr>
          <w:lang w:val="cs-CZ"/>
        </w:rPr>
        <w:t xml:space="preserve">. </w:t>
      </w:r>
      <w:r w:rsidRPr="008B1755">
        <w:rPr>
          <w:lang w:val="cs-CZ"/>
        </w:rPr>
        <w:t xml:space="preserve">Účinky této praktiky uplatňované na konkrétní aplikaci spíše </w:t>
      </w:r>
      <w:r w:rsidRPr="008B1755">
        <w:rPr>
          <w:i/>
          <w:lang w:val="cs-CZ"/>
        </w:rPr>
        <w:t>„</w:t>
      </w:r>
      <w:r w:rsidR="00EC3DB9" w:rsidRPr="008B1755">
        <w:rPr>
          <w:i/>
          <w:lang w:val="cs-CZ"/>
        </w:rPr>
        <w:t xml:space="preserve">ohrožují podstatu </w:t>
      </w:r>
      <w:r w:rsidR="00747C71" w:rsidRPr="008B1755">
        <w:rPr>
          <w:i/>
          <w:lang w:val="cs-CZ"/>
        </w:rPr>
        <w:t>práv koncových uživatelů</w:t>
      </w:r>
      <w:r w:rsidRPr="008B1755">
        <w:rPr>
          <w:i/>
          <w:lang w:val="cs-CZ"/>
        </w:rPr>
        <w:t>“</w:t>
      </w:r>
      <w:r w:rsidR="00AA0A14" w:rsidRPr="008B1755">
        <w:rPr>
          <w:i/>
          <w:lang w:val="cs-CZ"/>
        </w:rPr>
        <w:t xml:space="preserve"> </w:t>
      </w:r>
      <w:r w:rsidR="00EC3DB9" w:rsidRPr="008B1755">
        <w:rPr>
          <w:lang w:val="cs-CZ"/>
        </w:rPr>
        <w:t>nebo vedou k okolnostem, kdy je „</w:t>
      </w:r>
      <w:r w:rsidR="00EC3DB9" w:rsidRPr="008B1755">
        <w:rPr>
          <w:rStyle w:val="BERECcitaceChar"/>
          <w:lang w:val="cs-CZ"/>
        </w:rPr>
        <w:t>možnost volby pro koncové uživatele v praxi podstatně omezena</w:t>
      </w:r>
      <w:r w:rsidR="00EC3DB9" w:rsidRPr="008B1755">
        <w:rPr>
          <w:i/>
          <w:lang w:val="cs-CZ"/>
        </w:rPr>
        <w:t>“</w:t>
      </w:r>
      <w:r w:rsidR="00AA0A14" w:rsidRPr="008B1755">
        <w:rPr>
          <w:i/>
          <w:lang w:val="cs-CZ"/>
        </w:rPr>
        <w:t xml:space="preserve"> </w:t>
      </w:r>
      <w:r w:rsidR="00AA0A14" w:rsidRPr="008B1755">
        <w:rPr>
          <w:lang w:val="cs-CZ"/>
        </w:rPr>
        <w:t>(</w:t>
      </w:r>
      <w:r w:rsidR="00946CEA" w:rsidRPr="008B1755">
        <w:rPr>
          <w:lang w:val="cs-CZ"/>
        </w:rPr>
        <w:t xml:space="preserve">Úvodní část Nařízení, bod </w:t>
      </w:r>
      <w:r w:rsidR="00AA0A14" w:rsidRPr="008B1755">
        <w:rPr>
          <w:lang w:val="cs-CZ"/>
        </w:rPr>
        <w:t>7)</w:t>
      </w:r>
      <w:r w:rsidR="00817421" w:rsidRPr="008B1755">
        <w:rPr>
          <w:lang w:val="cs-CZ"/>
        </w:rPr>
        <w:t>, než kdyby byla uplatňována na celou kategorii aplikací</w:t>
      </w:r>
      <w:r w:rsidR="00AA0A14" w:rsidRPr="008B1755">
        <w:rPr>
          <w:lang w:val="cs-CZ"/>
        </w:rPr>
        <w:t>.</w:t>
      </w:r>
    </w:p>
    <w:p w:rsidR="00202904" w:rsidRPr="008B1755" w:rsidRDefault="00996C6C" w:rsidP="0038751B">
      <w:pPr>
        <w:pStyle w:val="Odstavecseseznamem"/>
        <w:numPr>
          <w:ilvl w:val="0"/>
          <w:numId w:val="2"/>
        </w:numPr>
        <w:spacing w:after="120"/>
        <w:contextualSpacing w:val="0"/>
        <w:rPr>
          <w:lang w:val="cs-CZ"/>
        </w:rPr>
      </w:pPr>
      <w:bookmarkStart w:id="17" w:name="_Ref451444037"/>
      <w:r w:rsidRPr="008B1755">
        <w:rPr>
          <w:lang w:val="cs-CZ"/>
        </w:rPr>
        <w:t xml:space="preserve">Při posuzování těchto dohod nebo </w:t>
      </w:r>
      <w:r w:rsidR="0042163B" w:rsidRPr="008B1755">
        <w:rPr>
          <w:lang w:val="cs-CZ"/>
        </w:rPr>
        <w:t>obchodní</w:t>
      </w:r>
      <w:r w:rsidRPr="008B1755">
        <w:rPr>
          <w:lang w:val="cs-CZ"/>
        </w:rPr>
        <w:t>ch</w:t>
      </w:r>
      <w:r w:rsidR="0042163B" w:rsidRPr="008B1755">
        <w:rPr>
          <w:lang w:val="cs-CZ"/>
        </w:rPr>
        <w:t xml:space="preserve"> praktik</w:t>
      </w:r>
      <w:r w:rsidRPr="008B1755">
        <w:rPr>
          <w:lang w:val="cs-CZ"/>
        </w:rPr>
        <w:t xml:space="preserve"> jako např. uplatňování </w:t>
      </w:r>
      <w:r w:rsidR="0077577C">
        <w:rPr>
          <w:lang w:val="cs-CZ"/>
        </w:rPr>
        <w:t>zero ratingu</w:t>
      </w:r>
      <w:r w:rsidRPr="008B1755">
        <w:rPr>
          <w:lang w:val="cs-CZ"/>
        </w:rPr>
        <w:t xml:space="preserve"> v souvislosti s čl. </w:t>
      </w:r>
      <w:r w:rsidR="00DD272F" w:rsidRPr="008B1755">
        <w:rPr>
          <w:lang w:val="cs-CZ"/>
        </w:rPr>
        <w:t xml:space="preserve">3 odst. </w:t>
      </w:r>
      <w:r w:rsidR="00202904" w:rsidRPr="008B1755">
        <w:rPr>
          <w:lang w:val="cs-CZ"/>
        </w:rPr>
        <w:t>2</w:t>
      </w:r>
      <w:r w:rsidRPr="008B1755">
        <w:rPr>
          <w:lang w:val="cs-CZ"/>
        </w:rPr>
        <w:t xml:space="preserve"> by mělo být přihlédnuto k cíli </w:t>
      </w:r>
      <w:r w:rsidR="001D46DD" w:rsidRPr="008B1755">
        <w:rPr>
          <w:lang w:val="cs-CZ"/>
        </w:rPr>
        <w:t>Nařízení</w:t>
      </w:r>
      <w:r w:rsidRPr="008B1755">
        <w:rPr>
          <w:lang w:val="cs-CZ"/>
        </w:rPr>
        <w:t>, tj. „</w:t>
      </w:r>
      <w:r w:rsidRPr="008B1755">
        <w:rPr>
          <w:rStyle w:val="BERECcitaceChar"/>
          <w:lang w:val="cs-CZ"/>
        </w:rPr>
        <w:t>zajištění rovného a nediskriminačního nakládání s provozem</w:t>
      </w:r>
      <w:r w:rsidRPr="008B1755">
        <w:rPr>
          <w:i/>
          <w:lang w:val="cs-CZ"/>
        </w:rPr>
        <w:t>“</w:t>
      </w:r>
      <w:r w:rsidR="00202904" w:rsidRPr="008B1755">
        <w:rPr>
          <w:lang w:val="cs-CZ"/>
        </w:rPr>
        <w:t xml:space="preserve"> (</w:t>
      </w:r>
      <w:r w:rsidRPr="008B1755">
        <w:rPr>
          <w:lang w:val="cs-CZ"/>
        </w:rPr>
        <w:t xml:space="preserve">čl. </w:t>
      </w:r>
      <w:r w:rsidR="00202904" w:rsidRPr="008B1755">
        <w:rPr>
          <w:lang w:val="cs-CZ"/>
        </w:rPr>
        <w:t>1) a</w:t>
      </w:r>
      <w:r w:rsidRPr="008B1755">
        <w:rPr>
          <w:lang w:val="cs-CZ"/>
        </w:rPr>
        <w:t xml:space="preserve"> „</w:t>
      </w:r>
      <w:r w:rsidRPr="008B1755">
        <w:rPr>
          <w:rStyle w:val="BERECcitaceChar"/>
          <w:lang w:val="cs-CZ"/>
        </w:rPr>
        <w:t>zaručit trvalé fungování internetového ekosystému coby hnací síly pro inovace</w:t>
      </w:r>
      <w:r w:rsidRPr="008B1755">
        <w:rPr>
          <w:lang w:val="cs-CZ"/>
        </w:rPr>
        <w:t>“</w:t>
      </w:r>
      <w:r w:rsidR="00202904" w:rsidRPr="008B1755">
        <w:rPr>
          <w:lang w:val="cs-CZ"/>
        </w:rPr>
        <w:t xml:space="preserve"> (</w:t>
      </w:r>
      <w:r w:rsidR="00946CEA" w:rsidRPr="008B1755">
        <w:rPr>
          <w:lang w:val="cs-CZ"/>
        </w:rPr>
        <w:t xml:space="preserve">Úvodní část Nařízení, bod </w:t>
      </w:r>
      <w:r w:rsidR="00202904" w:rsidRPr="008B1755">
        <w:rPr>
          <w:lang w:val="cs-CZ"/>
        </w:rPr>
        <w:t xml:space="preserve">1) </w:t>
      </w:r>
      <w:r w:rsidRPr="008B1755">
        <w:rPr>
          <w:lang w:val="cs-CZ"/>
        </w:rPr>
        <w:t xml:space="preserve">a rovněž k </w:t>
      </w:r>
      <w:r w:rsidR="00946CEA" w:rsidRPr="008B1755">
        <w:rPr>
          <w:lang w:val="cs-CZ"/>
        </w:rPr>
        <w:t>bod</w:t>
      </w:r>
      <w:r w:rsidRPr="008B1755">
        <w:rPr>
          <w:lang w:val="cs-CZ"/>
        </w:rPr>
        <w:t>u</w:t>
      </w:r>
      <w:r w:rsidR="00946CEA" w:rsidRPr="008B1755">
        <w:rPr>
          <w:lang w:val="cs-CZ"/>
        </w:rPr>
        <w:t xml:space="preserve"> </w:t>
      </w:r>
      <w:r w:rsidR="00202904" w:rsidRPr="008B1755">
        <w:rPr>
          <w:lang w:val="cs-CZ"/>
        </w:rPr>
        <w:t>7</w:t>
      </w:r>
      <w:r w:rsidRPr="008B1755">
        <w:rPr>
          <w:lang w:val="cs-CZ"/>
        </w:rPr>
        <w:t xml:space="preserve"> úvodní části Nařízení</w:t>
      </w:r>
      <w:r w:rsidR="00A83042" w:rsidRPr="008B1755">
        <w:rPr>
          <w:lang w:val="cs-CZ"/>
        </w:rPr>
        <w:t>,</w:t>
      </w:r>
      <w:r w:rsidR="00202904" w:rsidRPr="008B1755">
        <w:rPr>
          <w:lang w:val="cs-CZ"/>
        </w:rPr>
        <w:t xml:space="preserve"> </w:t>
      </w:r>
      <w:r w:rsidRPr="008B1755">
        <w:rPr>
          <w:lang w:val="cs-CZ"/>
        </w:rPr>
        <w:t xml:space="preserve">který nařizuje zásah proti dohodám nebo </w:t>
      </w:r>
      <w:r w:rsidR="0042163B" w:rsidRPr="008B1755">
        <w:rPr>
          <w:lang w:val="cs-CZ"/>
        </w:rPr>
        <w:t>obchodní</w:t>
      </w:r>
      <w:r w:rsidRPr="008B1755">
        <w:rPr>
          <w:lang w:val="cs-CZ"/>
        </w:rPr>
        <w:t>m</w:t>
      </w:r>
      <w:r w:rsidR="0042163B" w:rsidRPr="008B1755">
        <w:rPr>
          <w:lang w:val="cs-CZ"/>
        </w:rPr>
        <w:t xml:space="preserve"> praktik</w:t>
      </w:r>
      <w:r w:rsidRPr="008B1755">
        <w:rPr>
          <w:lang w:val="cs-CZ"/>
        </w:rPr>
        <w:t>ám, které „</w:t>
      </w:r>
      <w:r w:rsidRPr="008B1755">
        <w:rPr>
          <w:rStyle w:val="BERECcitaceChar"/>
          <w:lang w:val="cs-CZ"/>
        </w:rPr>
        <w:t>z důvodu svého rozsahu vedou k situacím, v nichž je možnost volby pro koncové uživatele v praxi podstatně omezena</w:t>
      </w:r>
      <w:r w:rsidRPr="008B1755">
        <w:rPr>
          <w:lang w:val="cs-CZ"/>
        </w:rPr>
        <w:t xml:space="preserve">“, nebo které by vedly k </w:t>
      </w:r>
      <w:r w:rsidRPr="008B1755">
        <w:rPr>
          <w:i/>
          <w:lang w:val="cs-CZ"/>
        </w:rPr>
        <w:t>„</w:t>
      </w:r>
      <w:r w:rsidRPr="008B1755">
        <w:rPr>
          <w:rStyle w:val="BERECcitaceChar"/>
          <w:lang w:val="cs-CZ"/>
        </w:rPr>
        <w:t xml:space="preserve">ohrožení podstaty </w:t>
      </w:r>
      <w:r w:rsidR="00747C71" w:rsidRPr="008B1755">
        <w:rPr>
          <w:i/>
          <w:lang w:val="cs-CZ"/>
        </w:rPr>
        <w:t>práv koncových uživatelů</w:t>
      </w:r>
      <w:r w:rsidRPr="008B1755">
        <w:rPr>
          <w:i/>
          <w:lang w:val="cs-CZ"/>
        </w:rPr>
        <w:t>“</w:t>
      </w:r>
      <w:r w:rsidR="00F77710" w:rsidRPr="008B1755">
        <w:rPr>
          <w:i/>
          <w:lang w:val="cs-CZ"/>
        </w:rPr>
        <w:t>.</w:t>
      </w:r>
      <w:bookmarkEnd w:id="17"/>
      <w:r w:rsidR="00202904" w:rsidRPr="008B1755">
        <w:rPr>
          <w:lang w:val="cs-CZ"/>
        </w:rPr>
        <w:t xml:space="preserve"> </w:t>
      </w:r>
    </w:p>
    <w:p w:rsidR="00202904" w:rsidRPr="008B1755" w:rsidRDefault="00996C6C" w:rsidP="0038751B">
      <w:pPr>
        <w:pStyle w:val="Odstavecseseznamem"/>
        <w:numPr>
          <w:ilvl w:val="0"/>
          <w:numId w:val="2"/>
        </w:numPr>
        <w:spacing w:after="120"/>
        <w:contextualSpacing w:val="0"/>
        <w:rPr>
          <w:lang w:val="cs-CZ"/>
        </w:rPr>
      </w:pPr>
      <w:r w:rsidRPr="008B1755">
        <w:rPr>
          <w:lang w:val="cs-CZ"/>
        </w:rPr>
        <w:t>B</w:t>
      </w:r>
      <w:r w:rsidR="00946CEA" w:rsidRPr="008B1755">
        <w:rPr>
          <w:lang w:val="cs-CZ"/>
        </w:rPr>
        <w:t xml:space="preserve">od </w:t>
      </w:r>
      <w:r w:rsidR="00F77710" w:rsidRPr="008B1755">
        <w:rPr>
          <w:lang w:val="cs-CZ"/>
        </w:rPr>
        <w:t xml:space="preserve">7 </w:t>
      </w:r>
      <w:r w:rsidRPr="008B1755">
        <w:rPr>
          <w:lang w:val="cs-CZ"/>
        </w:rPr>
        <w:t>úvodní části Nařízení rovněž uvádí, že by se při posuzování mělo zohledňovat „</w:t>
      </w:r>
      <w:r w:rsidRPr="008B1755">
        <w:rPr>
          <w:rStyle w:val="BERECcitaceChar"/>
          <w:lang w:val="cs-CZ"/>
        </w:rPr>
        <w:t xml:space="preserve">postavení </w:t>
      </w:r>
      <w:r w:rsidR="00167DC4" w:rsidRPr="008B1755">
        <w:rPr>
          <w:rStyle w:val="BERECcitaceChar"/>
          <w:lang w:val="cs-CZ"/>
        </w:rPr>
        <w:t xml:space="preserve">na trhu </w:t>
      </w:r>
      <w:r w:rsidRPr="008B1755">
        <w:rPr>
          <w:rStyle w:val="BERECcitaceChar"/>
          <w:lang w:val="cs-CZ"/>
        </w:rPr>
        <w:t>každého z těchto poskytovatelů služeb přístupu k internetu , jakož i postavení dotčených poskytovatelů obsahu, aplikací a služeb</w:t>
      </w:r>
      <w:r w:rsidRPr="008B1755">
        <w:rPr>
          <w:i/>
          <w:lang w:val="cs-CZ"/>
        </w:rPr>
        <w:t>“</w:t>
      </w:r>
      <w:r w:rsidR="00202904" w:rsidRPr="008B1755">
        <w:rPr>
          <w:lang w:val="cs-CZ"/>
        </w:rPr>
        <w:t xml:space="preserve">. </w:t>
      </w:r>
      <w:r w:rsidR="00F77710" w:rsidRPr="008B1755">
        <w:rPr>
          <w:lang w:val="cs-CZ"/>
        </w:rPr>
        <w:t xml:space="preserve"> </w:t>
      </w:r>
    </w:p>
    <w:p w:rsidR="00202904" w:rsidRPr="008B1755" w:rsidRDefault="004C4F26" w:rsidP="00101416">
      <w:pPr>
        <w:pStyle w:val="Odstavecseseznamem"/>
        <w:numPr>
          <w:ilvl w:val="0"/>
          <w:numId w:val="2"/>
        </w:numPr>
        <w:spacing w:after="120"/>
        <w:contextualSpacing w:val="0"/>
        <w:rPr>
          <w:lang w:val="cs-CZ"/>
        </w:rPr>
      </w:pPr>
      <w:r w:rsidRPr="008B1755">
        <w:rPr>
          <w:lang w:val="cs-CZ"/>
        </w:rPr>
        <w:t xml:space="preserve">Při posuzování toho, zda </w:t>
      </w:r>
      <w:r w:rsidR="00DD272F" w:rsidRPr="008B1755">
        <w:rPr>
          <w:lang w:val="cs-CZ"/>
        </w:rPr>
        <w:t>poskytovatel internetových služeb</w:t>
      </w:r>
      <w:r w:rsidR="00DE2B78" w:rsidRPr="008B1755">
        <w:rPr>
          <w:lang w:val="cs-CZ"/>
        </w:rPr>
        <w:t xml:space="preserve"> </w:t>
      </w:r>
      <w:r w:rsidRPr="008B1755">
        <w:rPr>
          <w:lang w:val="cs-CZ"/>
        </w:rPr>
        <w:t xml:space="preserve">omezuje výkon práv </w:t>
      </w:r>
      <w:r w:rsidR="00080F70" w:rsidRPr="008B1755">
        <w:rPr>
          <w:lang w:val="cs-CZ"/>
        </w:rPr>
        <w:t>koncových uživatelů</w:t>
      </w:r>
      <w:r w:rsidRPr="008B1755">
        <w:rPr>
          <w:lang w:val="cs-CZ"/>
        </w:rPr>
        <w:t xml:space="preserve">, by </w:t>
      </w:r>
      <w:r w:rsidR="00926BAE" w:rsidRPr="008B1755">
        <w:rPr>
          <w:lang w:val="cs-CZ"/>
        </w:rPr>
        <w:t>vnitrostátní regulační orgány</w:t>
      </w:r>
      <w:r w:rsidR="00202904" w:rsidRPr="008B1755">
        <w:rPr>
          <w:lang w:val="cs-CZ"/>
        </w:rPr>
        <w:t xml:space="preserve"> </w:t>
      </w:r>
      <w:r w:rsidRPr="008B1755">
        <w:rPr>
          <w:lang w:val="cs-CZ"/>
        </w:rPr>
        <w:t>měl</w:t>
      </w:r>
      <w:r w:rsidR="00786340">
        <w:rPr>
          <w:lang w:val="cs-CZ"/>
        </w:rPr>
        <w:t>y</w:t>
      </w:r>
      <w:r w:rsidRPr="008B1755">
        <w:rPr>
          <w:lang w:val="cs-CZ"/>
        </w:rPr>
        <w:t xml:space="preserve"> přihlížet k tomu, do jaké míry je výběr </w:t>
      </w:r>
      <w:r w:rsidR="00C44AED" w:rsidRPr="008B1755">
        <w:rPr>
          <w:lang w:val="cs-CZ"/>
        </w:rPr>
        <w:t>koncov</w:t>
      </w:r>
      <w:r w:rsidRPr="008B1755">
        <w:rPr>
          <w:lang w:val="cs-CZ"/>
        </w:rPr>
        <w:t>ých</w:t>
      </w:r>
      <w:r w:rsidR="00C44AED" w:rsidRPr="008B1755">
        <w:rPr>
          <w:lang w:val="cs-CZ"/>
        </w:rPr>
        <w:t xml:space="preserve"> uživatel</w:t>
      </w:r>
      <w:r w:rsidRPr="008B1755">
        <w:rPr>
          <w:lang w:val="cs-CZ"/>
        </w:rPr>
        <w:t xml:space="preserve">ů omezen dohodnutými obchodními a technickými podmínkami nebo </w:t>
      </w:r>
      <w:r w:rsidR="0042163B" w:rsidRPr="008B1755">
        <w:rPr>
          <w:lang w:val="cs-CZ"/>
        </w:rPr>
        <w:t>obchodní</w:t>
      </w:r>
      <w:r w:rsidRPr="008B1755">
        <w:rPr>
          <w:lang w:val="cs-CZ"/>
        </w:rPr>
        <w:t>mi</w:t>
      </w:r>
      <w:r w:rsidR="0042163B" w:rsidRPr="008B1755">
        <w:rPr>
          <w:lang w:val="cs-CZ"/>
        </w:rPr>
        <w:t xml:space="preserve"> praktik</w:t>
      </w:r>
      <w:r w:rsidRPr="008B1755">
        <w:rPr>
          <w:lang w:val="cs-CZ"/>
        </w:rPr>
        <w:t>ami</w:t>
      </w:r>
      <w:r w:rsidR="00202904" w:rsidRPr="008B1755">
        <w:rPr>
          <w:lang w:val="cs-CZ"/>
        </w:rPr>
        <w:t xml:space="preserve"> </w:t>
      </w:r>
      <w:r w:rsidR="00DD272F" w:rsidRPr="008B1755">
        <w:rPr>
          <w:lang w:val="cs-CZ"/>
        </w:rPr>
        <w:t>poskytovatel</w:t>
      </w:r>
      <w:r w:rsidRPr="008B1755">
        <w:rPr>
          <w:lang w:val="cs-CZ"/>
        </w:rPr>
        <w:t>e</w:t>
      </w:r>
      <w:r w:rsidR="00DD272F" w:rsidRPr="008B1755">
        <w:rPr>
          <w:lang w:val="cs-CZ"/>
        </w:rPr>
        <w:t xml:space="preserve"> internetových služeb</w:t>
      </w:r>
      <w:r w:rsidR="001F0F7E" w:rsidRPr="008B1755">
        <w:rPr>
          <w:lang w:val="cs-CZ"/>
        </w:rPr>
        <w:t xml:space="preserve">. </w:t>
      </w:r>
      <w:r w:rsidR="00167DC4">
        <w:rPr>
          <w:lang w:val="cs-CZ"/>
        </w:rPr>
        <w:t>Přitom n</w:t>
      </w:r>
      <w:r w:rsidRPr="008B1755">
        <w:rPr>
          <w:lang w:val="cs-CZ"/>
        </w:rPr>
        <w:t xml:space="preserve">ejde o to, že by každý faktor ovlivňující možnost volby koncových uživatelů měl být nutně považován za omezování výkonu </w:t>
      </w:r>
      <w:r w:rsidR="00747C71" w:rsidRPr="008B1755">
        <w:rPr>
          <w:lang w:val="cs-CZ"/>
        </w:rPr>
        <w:t>práv koncových uživatelů</w:t>
      </w:r>
      <w:r w:rsidR="00202904" w:rsidRPr="008B1755">
        <w:rPr>
          <w:lang w:val="cs-CZ"/>
        </w:rPr>
        <w:t xml:space="preserve"> </w:t>
      </w:r>
      <w:r w:rsidRPr="008B1755">
        <w:rPr>
          <w:lang w:val="cs-CZ"/>
        </w:rPr>
        <w:t xml:space="preserve">podle </w:t>
      </w:r>
      <w:r w:rsidR="00DD272F" w:rsidRPr="008B1755">
        <w:rPr>
          <w:lang w:val="cs-CZ"/>
        </w:rPr>
        <w:t>člán</w:t>
      </w:r>
      <w:r w:rsidRPr="008B1755">
        <w:rPr>
          <w:lang w:val="cs-CZ"/>
        </w:rPr>
        <w:t xml:space="preserve">ku </w:t>
      </w:r>
      <w:r w:rsidR="00DD272F" w:rsidRPr="008B1755">
        <w:rPr>
          <w:lang w:val="cs-CZ"/>
        </w:rPr>
        <w:t xml:space="preserve">3 odst. </w:t>
      </w:r>
      <w:r w:rsidR="00202904" w:rsidRPr="008B1755">
        <w:rPr>
          <w:lang w:val="cs-CZ"/>
        </w:rPr>
        <w:t xml:space="preserve">1. </w:t>
      </w:r>
      <w:r w:rsidRPr="008B1755">
        <w:rPr>
          <w:lang w:val="cs-CZ"/>
        </w:rPr>
        <w:t>Nařízení rovněž předpokládá zásah</w:t>
      </w:r>
      <w:r w:rsidR="00167DC4">
        <w:rPr>
          <w:lang w:val="cs-CZ"/>
        </w:rPr>
        <w:t xml:space="preserve"> nejen</w:t>
      </w:r>
      <w:r w:rsidRPr="008B1755">
        <w:rPr>
          <w:lang w:val="cs-CZ"/>
        </w:rPr>
        <w:t xml:space="preserve"> v případech, kdy tato omezení mají za následek podstatné snížení možnosti výběru</w:t>
      </w:r>
      <w:r w:rsidR="00101416" w:rsidRPr="008B1755">
        <w:rPr>
          <w:lang w:val="cs-CZ"/>
        </w:rPr>
        <w:t xml:space="preserve">, </w:t>
      </w:r>
      <w:r w:rsidRPr="008B1755">
        <w:rPr>
          <w:lang w:val="cs-CZ"/>
        </w:rPr>
        <w:t xml:space="preserve">ale rovněž v jiných případech, které by mohly být považovány za </w:t>
      </w:r>
      <w:r w:rsidR="00747C71" w:rsidRPr="008B1755">
        <w:rPr>
          <w:lang w:val="cs-CZ"/>
        </w:rPr>
        <w:t>omezení výkonu</w:t>
      </w:r>
      <w:r w:rsidR="00474DCA" w:rsidRPr="008B1755">
        <w:rPr>
          <w:lang w:val="cs-CZ"/>
        </w:rPr>
        <w:t xml:space="preserve"> </w:t>
      </w:r>
      <w:r w:rsidR="00747C71" w:rsidRPr="008B1755">
        <w:rPr>
          <w:lang w:val="cs-CZ"/>
        </w:rPr>
        <w:t>práv koncových uživatelů</w:t>
      </w:r>
      <w:r w:rsidR="004A0399" w:rsidRPr="008B1755">
        <w:rPr>
          <w:lang w:val="cs-CZ"/>
        </w:rPr>
        <w:t xml:space="preserve"> </w:t>
      </w:r>
      <w:r w:rsidRPr="008B1755">
        <w:rPr>
          <w:lang w:val="cs-CZ"/>
        </w:rPr>
        <w:t>podle článku</w:t>
      </w:r>
      <w:r w:rsidR="00DD272F" w:rsidRPr="008B1755">
        <w:rPr>
          <w:lang w:val="cs-CZ"/>
        </w:rPr>
        <w:t xml:space="preserve"> 3 odst. </w:t>
      </w:r>
      <w:r w:rsidR="004A0399" w:rsidRPr="008B1755">
        <w:rPr>
          <w:lang w:val="cs-CZ"/>
        </w:rPr>
        <w:t>1</w:t>
      </w:r>
      <w:r w:rsidR="00202904" w:rsidRPr="008B1755">
        <w:rPr>
          <w:lang w:val="cs-CZ"/>
        </w:rPr>
        <w:t xml:space="preserve">. </w:t>
      </w:r>
    </w:p>
    <w:p w:rsidR="00202904" w:rsidRPr="008B1755" w:rsidRDefault="004C4F26" w:rsidP="00437ECE">
      <w:pPr>
        <w:pStyle w:val="Odstavecseseznamem"/>
        <w:numPr>
          <w:ilvl w:val="0"/>
          <w:numId w:val="2"/>
        </w:numPr>
        <w:rPr>
          <w:rFonts w:cs="Arial"/>
          <w:lang w:val="cs-CZ"/>
        </w:rPr>
      </w:pPr>
      <w:r w:rsidRPr="008B1755">
        <w:rPr>
          <w:lang w:val="cs-CZ"/>
        </w:rPr>
        <w:t xml:space="preserve">Ve světle výše zmíněných úvah má sdružení </w:t>
      </w:r>
      <w:r w:rsidR="00202904" w:rsidRPr="008B1755">
        <w:rPr>
          <w:lang w:val="cs-CZ"/>
        </w:rPr>
        <w:t xml:space="preserve">BEREC </w:t>
      </w:r>
      <w:r w:rsidRPr="008B1755">
        <w:rPr>
          <w:lang w:val="cs-CZ"/>
        </w:rPr>
        <w:t xml:space="preserve">za to, že </w:t>
      </w:r>
      <w:r w:rsidR="00D62EC3">
        <w:rPr>
          <w:lang w:val="cs-CZ"/>
        </w:rPr>
        <w:t>může být požadováno</w:t>
      </w:r>
      <w:r w:rsidRPr="008B1755">
        <w:rPr>
          <w:lang w:val="cs-CZ"/>
        </w:rPr>
        <w:t xml:space="preserve"> komplexní posouzení těchto obchodních </w:t>
      </w:r>
      <w:r w:rsidR="00202904" w:rsidRPr="008B1755">
        <w:rPr>
          <w:lang w:val="cs-CZ"/>
        </w:rPr>
        <w:t>a</w:t>
      </w:r>
      <w:r w:rsidRPr="008B1755">
        <w:rPr>
          <w:lang w:val="cs-CZ"/>
        </w:rPr>
        <w:t xml:space="preserve"> technických podmínek</w:t>
      </w:r>
      <w:r w:rsidR="00202904" w:rsidRPr="008B1755">
        <w:rPr>
          <w:lang w:val="cs-CZ"/>
        </w:rPr>
        <w:t xml:space="preserve">, </w:t>
      </w:r>
      <w:r w:rsidRPr="008B1755">
        <w:rPr>
          <w:lang w:val="cs-CZ"/>
        </w:rPr>
        <w:t>zejména s přihlédnutím k</w:t>
      </w:r>
      <w:r w:rsidR="00202904" w:rsidRPr="008B1755">
        <w:rPr>
          <w:lang w:val="cs-CZ"/>
        </w:rPr>
        <w:t xml:space="preserve">: </w:t>
      </w:r>
    </w:p>
    <w:p w:rsidR="00437ECE" w:rsidRPr="008B1755" w:rsidRDefault="004C4F26" w:rsidP="00437ECE">
      <w:pPr>
        <w:numPr>
          <w:ilvl w:val="0"/>
          <w:numId w:val="9"/>
        </w:numPr>
        <w:contextualSpacing/>
        <w:rPr>
          <w:rFonts w:cs="Arial"/>
          <w:lang w:val="cs-CZ"/>
        </w:rPr>
      </w:pPr>
      <w:r w:rsidRPr="008B1755">
        <w:rPr>
          <w:rFonts w:cs="Arial"/>
          <w:lang w:val="cs-CZ"/>
        </w:rPr>
        <w:t xml:space="preserve">cílům </w:t>
      </w:r>
      <w:r w:rsidR="001D46DD" w:rsidRPr="008B1755">
        <w:rPr>
          <w:rFonts w:cs="Arial"/>
          <w:lang w:val="cs-CZ"/>
        </w:rPr>
        <w:t>Nařízení</w:t>
      </w:r>
      <w:r w:rsidR="00202904" w:rsidRPr="008B1755">
        <w:rPr>
          <w:rFonts w:cs="Arial"/>
          <w:lang w:val="cs-CZ"/>
        </w:rPr>
        <w:t xml:space="preserve"> </w:t>
      </w:r>
      <w:r w:rsidRPr="008B1755">
        <w:rPr>
          <w:rFonts w:cs="Arial"/>
          <w:lang w:val="cs-CZ"/>
        </w:rPr>
        <w:t xml:space="preserve">a tomu, zda příslušné dohody </w:t>
      </w:r>
      <w:r w:rsidR="00BE001A" w:rsidRPr="008B1755">
        <w:rPr>
          <w:rFonts w:cs="Arial"/>
          <w:lang w:val="cs-CZ"/>
        </w:rPr>
        <w:t>a/nebo</w:t>
      </w:r>
      <w:r w:rsidR="00202904" w:rsidRPr="008B1755">
        <w:rPr>
          <w:rFonts w:cs="Arial"/>
          <w:lang w:val="cs-CZ"/>
        </w:rPr>
        <w:t xml:space="preserve"> </w:t>
      </w:r>
      <w:r w:rsidR="0042163B" w:rsidRPr="008B1755">
        <w:rPr>
          <w:rFonts w:cs="Arial"/>
          <w:lang w:val="cs-CZ"/>
        </w:rPr>
        <w:t>obchodní praktiky</w:t>
      </w:r>
      <w:r w:rsidR="00202904" w:rsidRPr="008B1755">
        <w:rPr>
          <w:rFonts w:cs="Arial"/>
          <w:lang w:val="cs-CZ"/>
        </w:rPr>
        <w:t xml:space="preserve"> </w:t>
      </w:r>
      <w:r w:rsidRPr="008B1755">
        <w:rPr>
          <w:rFonts w:cs="Arial"/>
          <w:lang w:val="cs-CZ"/>
        </w:rPr>
        <w:t>obcházejí tyto obecné cíle</w:t>
      </w:r>
      <w:r w:rsidR="00202904" w:rsidRPr="008B1755">
        <w:rPr>
          <w:rFonts w:cs="Arial"/>
          <w:lang w:val="cs-CZ"/>
        </w:rPr>
        <w:t>;</w:t>
      </w:r>
    </w:p>
    <w:p w:rsidR="00437ECE" w:rsidRPr="008B1755" w:rsidRDefault="004C4F26" w:rsidP="00437ECE">
      <w:pPr>
        <w:numPr>
          <w:ilvl w:val="0"/>
          <w:numId w:val="9"/>
        </w:numPr>
        <w:contextualSpacing/>
        <w:rPr>
          <w:rFonts w:cs="Arial"/>
          <w:lang w:val="cs-CZ"/>
        </w:rPr>
      </w:pPr>
      <w:r w:rsidRPr="008B1755">
        <w:rPr>
          <w:rFonts w:cs="Arial"/>
          <w:lang w:val="cs-CZ"/>
        </w:rPr>
        <w:t xml:space="preserve">postavení </w:t>
      </w:r>
      <w:r w:rsidR="00786340">
        <w:rPr>
          <w:rFonts w:cs="Arial"/>
          <w:lang w:val="cs-CZ"/>
        </w:rPr>
        <w:t xml:space="preserve">dotčených </w:t>
      </w:r>
      <w:r w:rsidRPr="008B1755">
        <w:rPr>
          <w:rFonts w:cs="Arial"/>
          <w:lang w:val="cs-CZ"/>
        </w:rPr>
        <w:t>poskytovatelů</w:t>
      </w:r>
      <w:r w:rsidR="007D7F64" w:rsidRPr="008B1755">
        <w:rPr>
          <w:rFonts w:cs="Arial"/>
          <w:lang w:val="cs-CZ"/>
        </w:rPr>
        <w:t xml:space="preserve"> internetových služeb</w:t>
      </w:r>
      <w:r w:rsidR="00202904" w:rsidRPr="008B1755">
        <w:rPr>
          <w:rFonts w:cs="Arial"/>
          <w:lang w:val="cs-CZ"/>
        </w:rPr>
        <w:t xml:space="preserve"> a </w:t>
      </w:r>
      <w:r w:rsidR="00C44AED" w:rsidRPr="008B1755">
        <w:rPr>
          <w:rFonts w:cs="Arial"/>
          <w:lang w:val="cs-CZ"/>
        </w:rPr>
        <w:t>poskytovatel</w:t>
      </w:r>
      <w:r w:rsidRPr="008B1755">
        <w:rPr>
          <w:rFonts w:cs="Arial"/>
          <w:lang w:val="cs-CZ"/>
        </w:rPr>
        <w:t>ů</w:t>
      </w:r>
      <w:r w:rsidR="00C44AED" w:rsidRPr="008B1755">
        <w:rPr>
          <w:rFonts w:cs="Arial"/>
          <w:lang w:val="cs-CZ"/>
        </w:rPr>
        <w:t xml:space="preserve"> obsahu a aplikací</w:t>
      </w:r>
      <w:r w:rsidR="00202904" w:rsidRPr="008B1755">
        <w:rPr>
          <w:rFonts w:cs="Arial"/>
          <w:lang w:val="cs-CZ"/>
        </w:rPr>
        <w:t xml:space="preserve"> </w:t>
      </w:r>
      <w:r w:rsidRPr="008B1755">
        <w:rPr>
          <w:rFonts w:cs="Arial"/>
          <w:lang w:val="cs-CZ"/>
        </w:rPr>
        <w:t>na trhu –</w:t>
      </w:r>
      <w:r w:rsidR="008A2CF5" w:rsidRPr="008B1755">
        <w:rPr>
          <w:rFonts w:cs="Arial"/>
          <w:lang w:val="cs-CZ"/>
        </w:rPr>
        <w:t xml:space="preserve"> </w:t>
      </w:r>
      <w:r w:rsidR="00747C71" w:rsidRPr="008B1755">
        <w:rPr>
          <w:rFonts w:cs="Arial"/>
          <w:lang w:val="cs-CZ"/>
        </w:rPr>
        <w:t>omezení výkonu</w:t>
      </w:r>
      <w:r w:rsidR="00474DCA" w:rsidRPr="008B1755">
        <w:rPr>
          <w:rFonts w:cs="Arial"/>
          <w:lang w:val="cs-CZ"/>
        </w:rPr>
        <w:t xml:space="preserve"> </w:t>
      </w:r>
      <w:r w:rsidRPr="008B1755">
        <w:rPr>
          <w:rFonts w:cs="Arial"/>
          <w:lang w:val="cs-CZ"/>
        </w:rPr>
        <w:t>práv</w:t>
      </w:r>
      <w:r w:rsidR="001D70F8" w:rsidRPr="008B1755">
        <w:rPr>
          <w:rFonts w:cs="Arial"/>
          <w:lang w:val="cs-CZ"/>
        </w:rPr>
        <w:t xml:space="preserve"> koncových uživatelů</w:t>
      </w:r>
      <w:r w:rsidR="00202904" w:rsidRPr="008B1755">
        <w:rPr>
          <w:rFonts w:cs="Arial"/>
          <w:lang w:val="cs-CZ"/>
        </w:rPr>
        <w:t xml:space="preserve"> </w:t>
      </w:r>
      <w:r w:rsidRPr="008B1755">
        <w:rPr>
          <w:rFonts w:cs="Arial"/>
          <w:lang w:val="cs-CZ"/>
        </w:rPr>
        <w:t xml:space="preserve">dochází spíše v situaci, kdy </w:t>
      </w:r>
      <w:r w:rsidR="00DD272F" w:rsidRPr="008B1755">
        <w:rPr>
          <w:rFonts w:cs="Arial"/>
          <w:lang w:val="cs-CZ"/>
        </w:rPr>
        <w:t>poskytovatel internetových služeb</w:t>
      </w:r>
      <w:r w:rsidR="00202904" w:rsidRPr="008B1755">
        <w:rPr>
          <w:rFonts w:cs="Arial"/>
          <w:lang w:val="cs-CZ"/>
        </w:rPr>
        <w:t xml:space="preserve"> </w:t>
      </w:r>
      <w:r w:rsidRPr="008B1755">
        <w:rPr>
          <w:rFonts w:cs="Arial"/>
          <w:lang w:val="cs-CZ"/>
        </w:rPr>
        <w:t>nebo poskytovatel obsahu a aplikací</w:t>
      </w:r>
      <w:r w:rsidR="00202904" w:rsidRPr="008B1755">
        <w:rPr>
          <w:rFonts w:cs="Arial"/>
          <w:lang w:val="cs-CZ"/>
        </w:rPr>
        <w:t xml:space="preserve"> </w:t>
      </w:r>
      <w:r w:rsidRPr="008B1755">
        <w:rPr>
          <w:rFonts w:cs="Arial"/>
          <w:lang w:val="cs-CZ"/>
        </w:rPr>
        <w:t xml:space="preserve">má „silné“ postavení na trhu </w:t>
      </w:r>
      <w:r w:rsidR="00202904" w:rsidRPr="008B1755">
        <w:rPr>
          <w:rFonts w:cs="Arial"/>
          <w:lang w:val="cs-CZ"/>
        </w:rPr>
        <w:t>(</w:t>
      </w:r>
      <w:r w:rsidRPr="008B1755">
        <w:rPr>
          <w:rFonts w:cs="Arial"/>
          <w:lang w:val="cs-CZ"/>
        </w:rPr>
        <w:t xml:space="preserve">všichni ostatní mají </w:t>
      </w:r>
      <w:r w:rsidR="00167DC4">
        <w:rPr>
          <w:rFonts w:cs="Arial"/>
          <w:lang w:val="cs-CZ"/>
        </w:rPr>
        <w:t>rovnocenné</w:t>
      </w:r>
      <w:r w:rsidR="00202904" w:rsidRPr="008B1755">
        <w:rPr>
          <w:rFonts w:cs="Arial"/>
          <w:lang w:val="cs-CZ"/>
        </w:rPr>
        <w:t xml:space="preserve">) </w:t>
      </w:r>
      <w:r w:rsidRPr="008B1755">
        <w:rPr>
          <w:rFonts w:cs="Arial"/>
          <w:lang w:val="cs-CZ"/>
        </w:rPr>
        <w:t xml:space="preserve">oproti situaci, kdy </w:t>
      </w:r>
      <w:r w:rsidR="00DD272F" w:rsidRPr="008B1755">
        <w:rPr>
          <w:rFonts w:cs="Arial"/>
          <w:lang w:val="cs-CZ"/>
        </w:rPr>
        <w:t>poskytovatel internetových služeb</w:t>
      </w:r>
      <w:r w:rsidR="00202904" w:rsidRPr="008B1755">
        <w:rPr>
          <w:rFonts w:cs="Arial"/>
          <w:lang w:val="cs-CZ"/>
        </w:rPr>
        <w:t xml:space="preserve"> </w:t>
      </w:r>
      <w:r w:rsidRPr="008B1755">
        <w:rPr>
          <w:rFonts w:cs="Arial"/>
          <w:lang w:val="cs-CZ"/>
        </w:rPr>
        <w:t>nebo poskytovatel obsahu a aplikací</w:t>
      </w:r>
      <w:r w:rsidR="00202904" w:rsidRPr="008B1755">
        <w:rPr>
          <w:rFonts w:cs="Arial"/>
          <w:lang w:val="cs-CZ"/>
        </w:rPr>
        <w:t xml:space="preserve"> </w:t>
      </w:r>
      <w:r w:rsidRPr="008B1755">
        <w:rPr>
          <w:rFonts w:cs="Arial"/>
          <w:lang w:val="cs-CZ"/>
        </w:rPr>
        <w:t>má „slabé“ postavení na trhu</w:t>
      </w:r>
      <w:r w:rsidR="00202904" w:rsidRPr="008B1755">
        <w:rPr>
          <w:rFonts w:cs="Arial"/>
          <w:lang w:val="cs-CZ"/>
        </w:rPr>
        <w:t xml:space="preserve">. </w:t>
      </w:r>
      <w:r w:rsidR="003D4F55" w:rsidRPr="008B1755">
        <w:rPr>
          <w:rFonts w:cs="Arial"/>
          <w:lang w:val="cs-CZ"/>
        </w:rPr>
        <w:t>Postavení na trhu by měla být analyzována v souladu s principy soutěžního práva</w:t>
      </w:r>
      <w:r w:rsidR="008A2CF5" w:rsidRPr="008B1755">
        <w:rPr>
          <w:rFonts w:cs="Arial"/>
          <w:lang w:val="cs-CZ"/>
        </w:rPr>
        <w:t>;</w:t>
      </w:r>
    </w:p>
    <w:p w:rsidR="00202904" w:rsidRPr="008B1755" w:rsidRDefault="00167DC4" w:rsidP="00437ECE">
      <w:pPr>
        <w:numPr>
          <w:ilvl w:val="0"/>
          <w:numId w:val="9"/>
        </w:numPr>
        <w:spacing w:after="0"/>
        <w:ind w:left="1037" w:hanging="357"/>
        <w:contextualSpacing/>
        <w:rPr>
          <w:rFonts w:cs="Arial"/>
          <w:lang w:val="cs-CZ"/>
        </w:rPr>
      </w:pPr>
      <w:r>
        <w:rPr>
          <w:rFonts w:cs="Arial"/>
          <w:lang w:val="cs-CZ"/>
        </w:rPr>
        <w:t>dopadům</w:t>
      </w:r>
      <w:r w:rsidRPr="008B1755">
        <w:rPr>
          <w:rFonts w:cs="Arial"/>
          <w:lang w:val="cs-CZ"/>
        </w:rPr>
        <w:t xml:space="preserve"> </w:t>
      </w:r>
      <w:r w:rsidR="00FB4C30" w:rsidRPr="008B1755">
        <w:rPr>
          <w:rFonts w:cs="Arial"/>
          <w:lang w:val="cs-CZ"/>
        </w:rPr>
        <w:t>na práva koncových uživatelů z řad spotřebitelů a firemních zákazníků</w:t>
      </w:r>
      <w:r w:rsidR="00363FB4" w:rsidRPr="008B1755">
        <w:rPr>
          <w:rFonts w:cs="Arial"/>
          <w:lang w:val="cs-CZ"/>
        </w:rPr>
        <w:t xml:space="preserve">, </w:t>
      </w:r>
      <w:r w:rsidR="00FB4C30" w:rsidRPr="008B1755">
        <w:rPr>
          <w:rFonts w:cs="Arial"/>
          <w:lang w:val="cs-CZ"/>
        </w:rPr>
        <w:t>což znamená mj. posouzení</w:t>
      </w:r>
      <w:r w:rsidR="00202904" w:rsidRPr="008B1755">
        <w:rPr>
          <w:rFonts w:cs="Arial"/>
          <w:lang w:val="cs-CZ"/>
        </w:rPr>
        <w:t>:</w:t>
      </w:r>
    </w:p>
    <w:p w:rsidR="00202904" w:rsidRPr="008B1755" w:rsidRDefault="00FB4C30" w:rsidP="00437ECE">
      <w:pPr>
        <w:pStyle w:val="Odstavecseseznamem"/>
        <w:numPr>
          <w:ilvl w:val="2"/>
          <w:numId w:val="22"/>
        </w:numPr>
        <w:ind w:left="1560" w:hanging="425"/>
        <w:rPr>
          <w:rFonts w:cs="Arial"/>
          <w:lang w:val="cs-CZ"/>
        </w:rPr>
      </w:pPr>
      <w:r w:rsidRPr="008B1755">
        <w:rPr>
          <w:rFonts w:cs="Arial"/>
          <w:lang w:val="cs-CZ"/>
        </w:rPr>
        <w:t xml:space="preserve">zda existuje </w:t>
      </w:r>
      <w:r w:rsidR="00167DC4">
        <w:rPr>
          <w:rFonts w:cs="Arial"/>
          <w:lang w:val="cs-CZ"/>
        </w:rPr>
        <w:t>dopad</w:t>
      </w:r>
      <w:r w:rsidR="00167DC4" w:rsidRPr="008B1755">
        <w:rPr>
          <w:rFonts w:cs="Arial"/>
          <w:lang w:val="cs-CZ"/>
        </w:rPr>
        <w:t xml:space="preserve"> </w:t>
      </w:r>
      <w:r w:rsidRPr="008B1755">
        <w:rPr>
          <w:rFonts w:cs="Arial"/>
          <w:lang w:val="cs-CZ"/>
        </w:rPr>
        <w:t xml:space="preserve">na </w:t>
      </w:r>
      <w:r w:rsidR="00EA1A64">
        <w:rPr>
          <w:rFonts w:cs="Arial"/>
          <w:lang w:val="cs-CZ"/>
        </w:rPr>
        <w:t xml:space="preserve">rozsah </w:t>
      </w:r>
      <w:r w:rsidRPr="008B1755">
        <w:rPr>
          <w:rFonts w:cs="Arial"/>
          <w:lang w:val="cs-CZ"/>
        </w:rPr>
        <w:t xml:space="preserve">a </w:t>
      </w:r>
      <w:r w:rsidR="00167DC4">
        <w:rPr>
          <w:rFonts w:cs="Arial"/>
          <w:lang w:val="cs-CZ"/>
        </w:rPr>
        <w:t xml:space="preserve">na </w:t>
      </w:r>
      <w:r w:rsidRPr="008B1755">
        <w:rPr>
          <w:rFonts w:cs="Arial"/>
          <w:lang w:val="cs-CZ"/>
        </w:rPr>
        <w:t xml:space="preserve">různorodost </w:t>
      </w:r>
      <w:r w:rsidRPr="008B1755">
        <w:rPr>
          <w:lang w:val="cs-CZ"/>
        </w:rPr>
        <w:t xml:space="preserve">obsahu a aplikací, které </w:t>
      </w:r>
      <w:r w:rsidR="00C44AED" w:rsidRPr="008B1755">
        <w:rPr>
          <w:lang w:val="cs-CZ"/>
        </w:rPr>
        <w:t>koncoví uživatelé</w:t>
      </w:r>
      <w:r w:rsidR="00202904" w:rsidRPr="008B1755">
        <w:rPr>
          <w:lang w:val="cs-CZ"/>
        </w:rPr>
        <w:t xml:space="preserve"> </w:t>
      </w:r>
      <w:r w:rsidRPr="008B1755">
        <w:rPr>
          <w:lang w:val="cs-CZ"/>
        </w:rPr>
        <w:t>z řad spotřebitelů případně používají,</w:t>
      </w:r>
      <w:r w:rsidR="00987F78" w:rsidRPr="008B1755">
        <w:rPr>
          <w:rStyle w:val="Znakapoznpodarou"/>
          <w:lang w:val="cs-CZ"/>
        </w:rPr>
        <w:footnoteReference w:id="14"/>
      </w:r>
      <w:r w:rsidR="00202904" w:rsidRPr="008B1755">
        <w:rPr>
          <w:lang w:val="cs-CZ"/>
        </w:rPr>
        <w:t xml:space="preserve"> a</w:t>
      </w:r>
      <w:r w:rsidRPr="008B1755">
        <w:rPr>
          <w:lang w:val="cs-CZ"/>
        </w:rPr>
        <w:t xml:space="preserve"> pokud ano, zda </w:t>
      </w:r>
      <w:r w:rsidR="00EA1A64">
        <w:rPr>
          <w:rFonts w:cs="Arial"/>
          <w:lang w:val="cs-CZ"/>
        </w:rPr>
        <w:t xml:space="preserve">rozsah </w:t>
      </w:r>
      <w:r w:rsidRPr="008B1755">
        <w:rPr>
          <w:rFonts w:cs="Arial"/>
          <w:lang w:val="cs-CZ"/>
        </w:rPr>
        <w:t xml:space="preserve">a různorodost </w:t>
      </w:r>
      <w:r w:rsidRPr="008B1755">
        <w:rPr>
          <w:lang w:val="cs-CZ"/>
        </w:rPr>
        <w:t>obsahu a aplikací, které si koncoví uživatelé mohou vybrat, je v praxi omezen</w:t>
      </w:r>
      <w:r w:rsidR="00202904" w:rsidRPr="008B1755">
        <w:rPr>
          <w:lang w:val="cs-CZ"/>
        </w:rPr>
        <w:t xml:space="preserve">; </w:t>
      </w:r>
    </w:p>
    <w:p w:rsidR="00202904" w:rsidRPr="008B1755" w:rsidRDefault="00F5546C" w:rsidP="00437ECE">
      <w:pPr>
        <w:pStyle w:val="Odstavecseseznamem"/>
        <w:numPr>
          <w:ilvl w:val="2"/>
          <w:numId w:val="22"/>
        </w:numPr>
        <w:ind w:left="1560" w:hanging="425"/>
        <w:rPr>
          <w:rFonts w:cs="Arial"/>
          <w:lang w:val="cs-CZ"/>
        </w:rPr>
      </w:pPr>
      <w:r>
        <w:rPr>
          <w:rFonts w:cs="Arial"/>
          <w:lang w:val="cs-CZ"/>
        </w:rPr>
        <w:t xml:space="preserve">skutečnosti, </w:t>
      </w:r>
      <w:r w:rsidR="00FB4C30" w:rsidRPr="008B1755">
        <w:rPr>
          <w:rFonts w:cs="Arial"/>
          <w:lang w:val="cs-CZ"/>
        </w:rPr>
        <w:t xml:space="preserve">zda </w:t>
      </w:r>
      <w:r w:rsidR="00C6203E" w:rsidRPr="008B1755">
        <w:rPr>
          <w:rFonts w:cs="Arial"/>
          <w:lang w:val="cs-CZ"/>
        </w:rPr>
        <w:t xml:space="preserve">je </w:t>
      </w:r>
      <w:r w:rsidR="00DD272F" w:rsidRPr="008B1755">
        <w:rPr>
          <w:rFonts w:cs="Arial"/>
          <w:lang w:val="cs-CZ"/>
        </w:rPr>
        <w:t xml:space="preserve">koncový uživatel </w:t>
      </w:r>
      <w:r w:rsidR="00C6203E" w:rsidRPr="008B1755">
        <w:rPr>
          <w:rFonts w:cs="Arial"/>
          <w:lang w:val="cs-CZ"/>
        </w:rPr>
        <w:t>motivován k používání např. určitých aplikací</w:t>
      </w:r>
      <w:r w:rsidR="00202904" w:rsidRPr="008B1755">
        <w:rPr>
          <w:rFonts w:cs="Arial"/>
          <w:lang w:val="cs-CZ"/>
        </w:rPr>
        <w:t>;</w:t>
      </w:r>
    </w:p>
    <w:p w:rsidR="00202904" w:rsidRPr="008B1755" w:rsidRDefault="00F5546C" w:rsidP="00437ECE">
      <w:pPr>
        <w:pStyle w:val="Odstavecseseznamem"/>
        <w:numPr>
          <w:ilvl w:val="2"/>
          <w:numId w:val="22"/>
        </w:numPr>
        <w:spacing w:after="0"/>
        <w:ind w:left="1559" w:hanging="425"/>
        <w:rPr>
          <w:rFonts w:cs="Arial"/>
          <w:lang w:val="cs-CZ"/>
        </w:rPr>
      </w:pPr>
      <w:r>
        <w:rPr>
          <w:rFonts w:cs="Arial"/>
          <w:lang w:val="cs-CZ"/>
        </w:rPr>
        <w:t xml:space="preserve">skutečnosti, </w:t>
      </w:r>
      <w:r w:rsidR="00C6203E" w:rsidRPr="008B1755">
        <w:rPr>
          <w:rFonts w:cs="Arial"/>
          <w:lang w:val="cs-CZ"/>
        </w:rPr>
        <w:t xml:space="preserve">zda předplatné </w:t>
      </w:r>
      <w:r w:rsidR="00DD272F" w:rsidRPr="008B1755">
        <w:rPr>
          <w:rFonts w:cs="Arial"/>
          <w:lang w:val="cs-CZ"/>
        </w:rPr>
        <w:t>služb</w:t>
      </w:r>
      <w:r w:rsidR="00C6203E" w:rsidRPr="008B1755">
        <w:rPr>
          <w:rFonts w:cs="Arial"/>
          <w:lang w:val="cs-CZ"/>
        </w:rPr>
        <w:t>y</w:t>
      </w:r>
      <w:r w:rsidR="00DD272F" w:rsidRPr="008B1755">
        <w:rPr>
          <w:rFonts w:cs="Arial"/>
          <w:lang w:val="cs-CZ"/>
        </w:rPr>
        <w:t xml:space="preserve"> přístupu k internetu</w:t>
      </w:r>
      <w:r w:rsidR="00202904" w:rsidRPr="008B1755">
        <w:rPr>
          <w:rFonts w:cs="Arial"/>
          <w:lang w:val="cs-CZ"/>
        </w:rPr>
        <w:t xml:space="preserve"> </w:t>
      </w:r>
      <w:r w:rsidR="00C6203E" w:rsidRPr="008B1755">
        <w:rPr>
          <w:rFonts w:cs="Arial"/>
          <w:lang w:val="cs-CZ"/>
        </w:rPr>
        <w:t xml:space="preserve">obsahuje </w:t>
      </w:r>
      <w:r>
        <w:rPr>
          <w:rFonts w:cs="Arial"/>
          <w:lang w:val="cs-CZ"/>
        </w:rPr>
        <w:t>podmínky (parametry)</w:t>
      </w:r>
      <w:r w:rsidR="00C6203E" w:rsidRPr="008B1755">
        <w:rPr>
          <w:rFonts w:cs="Arial"/>
          <w:lang w:val="cs-CZ"/>
        </w:rPr>
        <w:t xml:space="preserve">, které podstatně omezují možnost výběru </w:t>
      </w:r>
      <w:r w:rsidR="00DD272F" w:rsidRPr="008B1755">
        <w:rPr>
          <w:rFonts w:cs="Arial"/>
          <w:lang w:val="cs-CZ"/>
        </w:rPr>
        <w:t>koncový</w:t>
      </w:r>
      <w:r w:rsidR="00C6203E" w:rsidRPr="008B1755">
        <w:rPr>
          <w:rFonts w:cs="Arial"/>
          <w:lang w:val="cs-CZ"/>
        </w:rPr>
        <w:t>ch</w:t>
      </w:r>
      <w:r w:rsidR="00DD272F" w:rsidRPr="008B1755">
        <w:rPr>
          <w:rFonts w:cs="Arial"/>
          <w:lang w:val="cs-CZ"/>
        </w:rPr>
        <w:t xml:space="preserve"> uživatel</w:t>
      </w:r>
      <w:r w:rsidR="00C6203E" w:rsidRPr="008B1755">
        <w:rPr>
          <w:rFonts w:cs="Arial"/>
          <w:lang w:val="cs-CZ"/>
        </w:rPr>
        <w:t>ů</w:t>
      </w:r>
      <w:r w:rsidR="00202904" w:rsidRPr="008B1755">
        <w:rPr>
          <w:rFonts w:cs="Arial"/>
          <w:lang w:val="cs-CZ"/>
        </w:rPr>
        <w:t xml:space="preserve"> (</w:t>
      </w:r>
      <w:r w:rsidR="00C6203E" w:rsidRPr="008B1755">
        <w:rPr>
          <w:rFonts w:cs="Arial"/>
          <w:lang w:val="cs-CZ"/>
        </w:rPr>
        <w:t xml:space="preserve">pro podrobnosti viz </w:t>
      </w:r>
      <w:r w:rsidR="00D2652F">
        <w:rPr>
          <w:rFonts w:cs="Arial"/>
          <w:lang w:val="cs-CZ"/>
        </w:rPr>
        <w:t>bod</w:t>
      </w:r>
      <w:r w:rsidR="007E1E70" w:rsidRPr="008B1755">
        <w:rPr>
          <w:rFonts w:cs="Arial"/>
          <w:lang w:val="cs-CZ"/>
        </w:rPr>
        <w:t xml:space="preserve"> </w:t>
      </w:r>
      <w:r w:rsidR="00CA269E" w:rsidRPr="008B1755">
        <w:rPr>
          <w:rFonts w:cs="Arial"/>
          <w:lang w:val="cs-CZ"/>
        </w:rPr>
        <w:fldChar w:fldCharType="begin"/>
      </w:r>
      <w:r w:rsidR="007E1E70" w:rsidRPr="008B1755">
        <w:rPr>
          <w:rFonts w:cs="Arial"/>
          <w:lang w:val="cs-CZ"/>
        </w:rPr>
        <w:instrText xml:space="preserve"> REF _Ref449440182 \r \h </w:instrText>
      </w:r>
      <w:r w:rsidR="00CA269E" w:rsidRPr="008B1755">
        <w:rPr>
          <w:rFonts w:cs="Arial"/>
          <w:lang w:val="cs-CZ"/>
        </w:rPr>
      </w:r>
      <w:r w:rsidR="00CA269E" w:rsidRPr="008B1755">
        <w:rPr>
          <w:rFonts w:cs="Arial"/>
          <w:lang w:val="cs-CZ"/>
        </w:rPr>
        <w:fldChar w:fldCharType="separate"/>
      </w:r>
      <w:r w:rsidR="003B403B" w:rsidRPr="008B1755">
        <w:rPr>
          <w:rFonts w:cs="Arial"/>
          <w:lang w:val="cs-CZ"/>
        </w:rPr>
        <w:t>48</w:t>
      </w:r>
      <w:r w:rsidR="00CA269E" w:rsidRPr="008B1755">
        <w:rPr>
          <w:rFonts w:cs="Arial"/>
          <w:lang w:val="cs-CZ"/>
        </w:rPr>
        <w:fldChar w:fldCharType="end"/>
      </w:r>
      <w:r w:rsidR="00202904" w:rsidRPr="008B1755">
        <w:rPr>
          <w:rFonts w:cs="Arial"/>
          <w:lang w:val="cs-CZ"/>
        </w:rPr>
        <w:t>).</w:t>
      </w:r>
    </w:p>
    <w:p w:rsidR="00202904" w:rsidRPr="008B1755" w:rsidRDefault="00167DC4" w:rsidP="00437ECE">
      <w:pPr>
        <w:numPr>
          <w:ilvl w:val="0"/>
          <w:numId w:val="9"/>
        </w:numPr>
        <w:spacing w:after="0"/>
        <w:ind w:left="1037" w:hanging="357"/>
        <w:contextualSpacing/>
        <w:rPr>
          <w:rFonts w:cs="Arial"/>
          <w:lang w:val="cs-CZ"/>
        </w:rPr>
      </w:pPr>
      <w:r>
        <w:rPr>
          <w:rFonts w:cs="Arial"/>
          <w:lang w:val="cs-CZ"/>
        </w:rPr>
        <w:t>dopadům</w:t>
      </w:r>
      <w:r w:rsidRPr="008B1755">
        <w:rPr>
          <w:rFonts w:cs="Arial"/>
          <w:lang w:val="cs-CZ"/>
        </w:rPr>
        <w:t xml:space="preserve"> </w:t>
      </w:r>
      <w:r w:rsidR="00C6203E" w:rsidRPr="008B1755">
        <w:rPr>
          <w:rFonts w:cs="Arial"/>
          <w:lang w:val="cs-CZ"/>
        </w:rPr>
        <w:t xml:space="preserve">na </w:t>
      </w:r>
      <w:r w:rsidR="001D70F8" w:rsidRPr="008B1755">
        <w:rPr>
          <w:rFonts w:cs="Arial"/>
          <w:lang w:val="cs-CZ"/>
        </w:rPr>
        <w:t>práva koncových uživatelů</w:t>
      </w:r>
      <w:r w:rsidR="00C6203E" w:rsidRPr="008B1755">
        <w:rPr>
          <w:rFonts w:cs="Arial"/>
          <w:lang w:val="cs-CZ"/>
        </w:rPr>
        <w:t xml:space="preserve"> z řad poskytovatelů obsahu a aplikací</w:t>
      </w:r>
      <w:r w:rsidR="00363FB4" w:rsidRPr="008B1755">
        <w:rPr>
          <w:rFonts w:cs="Arial"/>
          <w:lang w:val="cs-CZ"/>
        </w:rPr>
        <w:t xml:space="preserve">, </w:t>
      </w:r>
      <w:r w:rsidR="00C6203E" w:rsidRPr="008B1755">
        <w:rPr>
          <w:rFonts w:cs="Arial"/>
          <w:lang w:val="cs-CZ"/>
        </w:rPr>
        <w:t>což znamená mj. posouzení</w:t>
      </w:r>
      <w:r w:rsidR="00202904" w:rsidRPr="008B1755">
        <w:rPr>
          <w:rFonts w:cs="Arial"/>
          <w:lang w:val="cs-CZ"/>
        </w:rPr>
        <w:t xml:space="preserve">: </w:t>
      </w:r>
    </w:p>
    <w:p w:rsidR="00202904" w:rsidRPr="008B1755" w:rsidRDefault="009D3B2F" w:rsidP="00437ECE">
      <w:pPr>
        <w:pStyle w:val="Odstavecseseznamem"/>
        <w:numPr>
          <w:ilvl w:val="2"/>
          <w:numId w:val="22"/>
        </w:numPr>
        <w:ind w:left="1560" w:hanging="425"/>
        <w:rPr>
          <w:rFonts w:cs="Arial"/>
          <w:lang w:val="cs-CZ"/>
        </w:rPr>
      </w:pPr>
      <w:r w:rsidRPr="008B1755">
        <w:rPr>
          <w:rFonts w:cs="Arial"/>
          <w:lang w:val="cs-CZ"/>
        </w:rPr>
        <w:t xml:space="preserve">zda existuje </w:t>
      </w:r>
      <w:r w:rsidR="00167DC4">
        <w:rPr>
          <w:rFonts w:cs="Arial"/>
          <w:lang w:val="cs-CZ"/>
        </w:rPr>
        <w:t>dopad</w:t>
      </w:r>
      <w:r w:rsidR="00167DC4" w:rsidRPr="008B1755">
        <w:rPr>
          <w:rFonts w:cs="Arial"/>
          <w:lang w:val="cs-CZ"/>
        </w:rPr>
        <w:t xml:space="preserve"> </w:t>
      </w:r>
      <w:r w:rsidRPr="008B1755">
        <w:rPr>
          <w:rFonts w:cs="Arial"/>
          <w:lang w:val="cs-CZ"/>
        </w:rPr>
        <w:t xml:space="preserve">na </w:t>
      </w:r>
      <w:r w:rsidR="00EA1A64">
        <w:rPr>
          <w:rFonts w:cs="Arial"/>
          <w:lang w:val="cs-CZ"/>
        </w:rPr>
        <w:t xml:space="preserve">rozsah </w:t>
      </w:r>
      <w:r w:rsidRPr="008B1755">
        <w:rPr>
          <w:rFonts w:cs="Arial"/>
          <w:lang w:val="cs-CZ"/>
        </w:rPr>
        <w:t xml:space="preserve">a různorodost </w:t>
      </w:r>
      <w:r w:rsidRPr="008B1755">
        <w:rPr>
          <w:lang w:val="cs-CZ"/>
        </w:rPr>
        <w:t xml:space="preserve">obsahu a aplikací, které </w:t>
      </w:r>
      <w:r w:rsidR="00C44AED" w:rsidRPr="008B1755">
        <w:rPr>
          <w:rFonts w:cs="Arial"/>
          <w:lang w:val="cs-CZ"/>
        </w:rPr>
        <w:t>poskytovatelé obsahu a aplikací</w:t>
      </w:r>
      <w:r w:rsidR="00202904" w:rsidRPr="008B1755">
        <w:rPr>
          <w:rFonts w:cs="Arial"/>
          <w:lang w:val="cs-CZ"/>
        </w:rPr>
        <w:t xml:space="preserve"> </w:t>
      </w:r>
      <w:r w:rsidRPr="008B1755">
        <w:rPr>
          <w:rFonts w:cs="Arial"/>
          <w:lang w:val="cs-CZ"/>
        </w:rPr>
        <w:t>poskytují</w:t>
      </w:r>
      <w:r w:rsidR="00202904" w:rsidRPr="008B1755">
        <w:rPr>
          <w:rFonts w:cs="Arial"/>
          <w:lang w:val="cs-CZ"/>
        </w:rPr>
        <w:t>,</w:t>
      </w:r>
      <w:r w:rsidR="00631D71" w:rsidRPr="008B1755">
        <w:rPr>
          <w:rStyle w:val="Znakapoznpodarou"/>
          <w:lang w:val="cs-CZ"/>
        </w:rPr>
        <w:footnoteReference w:id="15"/>
      </w:r>
      <w:r w:rsidR="00202904" w:rsidRPr="008B1755">
        <w:rPr>
          <w:rFonts w:cs="Arial"/>
          <w:lang w:val="cs-CZ"/>
        </w:rPr>
        <w:t xml:space="preserve"> a</w:t>
      </w:r>
      <w:r w:rsidRPr="008B1755">
        <w:rPr>
          <w:rFonts w:cs="Arial"/>
          <w:lang w:val="cs-CZ"/>
        </w:rPr>
        <w:t xml:space="preserve"> do jaké míry není skutečně přístup k </w:t>
      </w:r>
      <w:r w:rsidR="00EA1A64">
        <w:rPr>
          <w:rFonts w:cs="Arial"/>
          <w:lang w:val="cs-CZ"/>
        </w:rPr>
        <w:t xml:space="preserve"> rozsahu </w:t>
      </w:r>
      <w:r w:rsidRPr="008B1755">
        <w:rPr>
          <w:rFonts w:cs="Arial"/>
          <w:lang w:val="cs-CZ"/>
        </w:rPr>
        <w:t xml:space="preserve">a různorodosti </w:t>
      </w:r>
      <w:r w:rsidRPr="008B1755">
        <w:rPr>
          <w:lang w:val="cs-CZ"/>
        </w:rPr>
        <w:t>obsahu a aplikací</w:t>
      </w:r>
      <w:r w:rsidRPr="008B1755">
        <w:rPr>
          <w:rFonts w:cs="Arial"/>
          <w:lang w:val="cs-CZ"/>
        </w:rPr>
        <w:t xml:space="preserve"> možný</w:t>
      </w:r>
      <w:r w:rsidR="00202904" w:rsidRPr="008B1755">
        <w:rPr>
          <w:rFonts w:cs="Arial"/>
          <w:lang w:val="cs-CZ"/>
        </w:rPr>
        <w:t xml:space="preserve">; </w:t>
      </w:r>
    </w:p>
    <w:p w:rsidR="00202904" w:rsidRPr="008B1755" w:rsidRDefault="009D3B2F" w:rsidP="00437ECE">
      <w:pPr>
        <w:pStyle w:val="Odstavecseseznamem"/>
        <w:numPr>
          <w:ilvl w:val="2"/>
          <w:numId w:val="22"/>
        </w:numPr>
        <w:ind w:left="1560" w:hanging="425"/>
        <w:rPr>
          <w:rFonts w:cs="Arial"/>
          <w:lang w:val="cs-CZ"/>
        </w:rPr>
      </w:pPr>
      <w:r w:rsidRPr="008B1755">
        <w:rPr>
          <w:rFonts w:cs="Arial"/>
          <w:lang w:val="cs-CZ"/>
        </w:rPr>
        <w:t xml:space="preserve">zda jsou </w:t>
      </w:r>
      <w:r w:rsidR="00C44AED" w:rsidRPr="008B1755">
        <w:rPr>
          <w:rFonts w:cs="Arial"/>
          <w:lang w:val="cs-CZ"/>
        </w:rPr>
        <w:t>poskytovatelé obsahu a aplikací</w:t>
      </w:r>
      <w:r w:rsidR="00202904" w:rsidRPr="008B1755">
        <w:rPr>
          <w:rFonts w:cs="Arial"/>
          <w:lang w:val="cs-CZ"/>
        </w:rPr>
        <w:t xml:space="preserve"> </w:t>
      </w:r>
      <w:r w:rsidRPr="008B1755">
        <w:rPr>
          <w:rFonts w:cs="Arial"/>
          <w:lang w:val="cs-CZ"/>
        </w:rPr>
        <w:t xml:space="preserve">v podstatné míře odrazováni od vstupu na trh nebo nuceni k odchodu z trhu, popřípadě zda existují jiná podstatná ohrožení hospodářské soutěže na daném trhu </w:t>
      </w:r>
      <w:r w:rsidR="00202904" w:rsidRPr="008B1755">
        <w:rPr>
          <w:rFonts w:cs="Arial"/>
          <w:lang w:val="cs-CZ"/>
        </w:rPr>
        <w:t>(</w:t>
      </w:r>
      <w:r w:rsidRPr="008B1755">
        <w:rPr>
          <w:rFonts w:cs="Arial"/>
          <w:lang w:val="cs-CZ"/>
        </w:rPr>
        <w:t xml:space="preserve">pro další podrobnosti viz čtvrtou odrážku </w:t>
      </w:r>
      <w:r w:rsidR="00D2652F">
        <w:rPr>
          <w:rFonts w:cs="Arial"/>
          <w:lang w:val="cs-CZ"/>
        </w:rPr>
        <w:t>bodu</w:t>
      </w:r>
      <w:r w:rsidRPr="008B1755">
        <w:rPr>
          <w:rFonts w:cs="Arial"/>
          <w:lang w:val="cs-CZ"/>
        </w:rPr>
        <w:t xml:space="preserve"> </w:t>
      </w:r>
      <w:r w:rsidR="00CA269E" w:rsidRPr="008B1755">
        <w:rPr>
          <w:rFonts w:cs="Arial"/>
          <w:lang w:val="cs-CZ"/>
        </w:rPr>
        <w:fldChar w:fldCharType="begin"/>
      </w:r>
      <w:r w:rsidR="009D2A76" w:rsidRPr="008B1755">
        <w:rPr>
          <w:rFonts w:cs="Arial"/>
          <w:lang w:val="cs-CZ"/>
        </w:rPr>
        <w:instrText xml:space="preserve"> REF _Ref449440182 \r \h </w:instrText>
      </w:r>
      <w:r w:rsidR="00CA269E" w:rsidRPr="008B1755">
        <w:rPr>
          <w:rFonts w:cs="Arial"/>
          <w:lang w:val="cs-CZ"/>
        </w:rPr>
      </w:r>
      <w:r w:rsidR="00CA269E" w:rsidRPr="008B1755">
        <w:rPr>
          <w:rFonts w:cs="Arial"/>
          <w:lang w:val="cs-CZ"/>
        </w:rPr>
        <w:fldChar w:fldCharType="separate"/>
      </w:r>
      <w:r w:rsidR="003B403B" w:rsidRPr="008B1755">
        <w:rPr>
          <w:rFonts w:cs="Arial"/>
          <w:lang w:val="cs-CZ"/>
        </w:rPr>
        <w:t>48</w:t>
      </w:r>
      <w:r w:rsidR="00CA269E" w:rsidRPr="008B1755">
        <w:rPr>
          <w:rFonts w:cs="Arial"/>
          <w:lang w:val="cs-CZ"/>
        </w:rPr>
        <w:fldChar w:fldCharType="end"/>
      </w:r>
      <w:r w:rsidR="00202904" w:rsidRPr="008B1755">
        <w:rPr>
          <w:rFonts w:cs="Arial"/>
          <w:lang w:val="cs-CZ"/>
        </w:rPr>
        <w:t xml:space="preserve"> </w:t>
      </w:r>
      <w:r w:rsidRPr="008B1755">
        <w:rPr>
          <w:rFonts w:cs="Arial"/>
          <w:lang w:val="cs-CZ"/>
        </w:rPr>
        <w:t>ohledně nabídek</w:t>
      </w:r>
      <w:r w:rsidR="00202904" w:rsidRPr="008B1755">
        <w:rPr>
          <w:rFonts w:cs="Arial"/>
          <w:lang w:val="cs-CZ"/>
        </w:rPr>
        <w:t>);</w:t>
      </w:r>
    </w:p>
    <w:p w:rsidR="00202904" w:rsidRPr="008B1755" w:rsidRDefault="009D3B2F" w:rsidP="00437ECE">
      <w:pPr>
        <w:pStyle w:val="Odstavecseseznamem"/>
        <w:numPr>
          <w:ilvl w:val="2"/>
          <w:numId w:val="22"/>
        </w:numPr>
        <w:spacing w:after="0"/>
        <w:ind w:left="1559" w:hanging="425"/>
        <w:rPr>
          <w:rFonts w:cs="Arial"/>
          <w:lang w:val="cs-CZ"/>
        </w:rPr>
      </w:pPr>
      <w:r w:rsidRPr="008B1755">
        <w:rPr>
          <w:rFonts w:cs="Arial"/>
          <w:lang w:val="cs-CZ"/>
        </w:rPr>
        <w:t xml:space="preserve">zda existuje dopad na </w:t>
      </w:r>
      <w:r w:rsidRPr="008B1755">
        <w:rPr>
          <w:rStyle w:val="BERECcitaceChar"/>
          <w:i w:val="0"/>
          <w:lang w:val="cs-CZ"/>
        </w:rPr>
        <w:t>trvalé fungování internetového ekosystému coby hnací síly pro inovace</w:t>
      </w:r>
      <w:r w:rsidR="00202904" w:rsidRPr="008B1755">
        <w:rPr>
          <w:rFonts w:cs="Arial"/>
          <w:lang w:val="cs-CZ"/>
        </w:rPr>
        <w:t xml:space="preserve">, </w:t>
      </w:r>
      <w:r w:rsidRPr="008B1755">
        <w:rPr>
          <w:rFonts w:cs="Arial"/>
          <w:lang w:val="cs-CZ"/>
        </w:rPr>
        <w:t xml:space="preserve">například zda si vítěze a poražené vybírá </w:t>
      </w:r>
      <w:r w:rsidR="00DD272F" w:rsidRPr="008B1755">
        <w:rPr>
          <w:rFonts w:cs="Arial"/>
          <w:lang w:val="cs-CZ"/>
        </w:rPr>
        <w:t>poskytovatel internetových služeb</w:t>
      </w:r>
      <w:r w:rsidR="00202904" w:rsidRPr="008B1755">
        <w:rPr>
          <w:rFonts w:cs="Arial"/>
          <w:lang w:val="cs-CZ"/>
        </w:rPr>
        <w:t>, a</w:t>
      </w:r>
      <w:r w:rsidRPr="008B1755">
        <w:rPr>
          <w:rFonts w:cs="Arial"/>
          <w:lang w:val="cs-CZ"/>
        </w:rPr>
        <w:t xml:space="preserve"> na </w:t>
      </w:r>
      <w:r w:rsidR="00202904" w:rsidRPr="008B1755">
        <w:rPr>
          <w:rFonts w:cs="Arial"/>
          <w:lang w:val="cs-CZ"/>
        </w:rPr>
        <w:t>administrativ</w:t>
      </w:r>
      <w:r w:rsidRPr="008B1755">
        <w:rPr>
          <w:rFonts w:cs="Arial"/>
          <w:lang w:val="cs-CZ"/>
        </w:rPr>
        <w:t>ní</w:t>
      </w:r>
      <w:r w:rsidR="00202904" w:rsidRPr="008B1755">
        <w:rPr>
          <w:rFonts w:cs="Arial"/>
          <w:lang w:val="cs-CZ"/>
        </w:rPr>
        <w:t xml:space="preserve"> </w:t>
      </w:r>
      <w:r w:rsidR="00BE001A" w:rsidRPr="008B1755">
        <w:rPr>
          <w:rFonts w:cs="Arial"/>
          <w:lang w:val="cs-CZ"/>
        </w:rPr>
        <w:t>a/nebo</w:t>
      </w:r>
      <w:r w:rsidR="00202904" w:rsidRPr="008B1755">
        <w:rPr>
          <w:rFonts w:cs="Arial"/>
          <w:lang w:val="cs-CZ"/>
        </w:rPr>
        <w:t xml:space="preserve"> technic</w:t>
      </w:r>
      <w:r w:rsidRPr="008B1755">
        <w:rPr>
          <w:rFonts w:cs="Arial"/>
          <w:lang w:val="cs-CZ"/>
        </w:rPr>
        <w:t xml:space="preserve">ké překážky pro uzavírání smluv </w:t>
      </w:r>
      <w:r w:rsidR="00C44AED" w:rsidRPr="008B1755">
        <w:rPr>
          <w:rFonts w:cs="Arial"/>
          <w:lang w:val="cs-CZ"/>
        </w:rPr>
        <w:t>poskytovatel</w:t>
      </w:r>
      <w:r w:rsidRPr="008B1755">
        <w:rPr>
          <w:rFonts w:cs="Arial"/>
          <w:lang w:val="cs-CZ"/>
        </w:rPr>
        <w:t>ů</w:t>
      </w:r>
      <w:r w:rsidR="00C44AED" w:rsidRPr="008B1755">
        <w:rPr>
          <w:rFonts w:cs="Arial"/>
          <w:lang w:val="cs-CZ"/>
        </w:rPr>
        <w:t xml:space="preserve"> obsahu a aplikací</w:t>
      </w:r>
      <w:r w:rsidR="00202904" w:rsidRPr="008B1755">
        <w:rPr>
          <w:rFonts w:cs="Arial"/>
          <w:lang w:val="cs-CZ"/>
        </w:rPr>
        <w:t xml:space="preserve"> </w:t>
      </w:r>
      <w:r w:rsidR="007D7F64" w:rsidRPr="008B1755">
        <w:rPr>
          <w:rFonts w:cs="Arial"/>
          <w:lang w:val="cs-CZ"/>
        </w:rPr>
        <w:t>s poskytovateli internetových služeb</w:t>
      </w:r>
      <w:r w:rsidR="00202904" w:rsidRPr="008B1755">
        <w:rPr>
          <w:rFonts w:cs="Arial"/>
          <w:lang w:val="cs-CZ"/>
        </w:rPr>
        <w:t>.</w:t>
      </w:r>
    </w:p>
    <w:p w:rsidR="00202904" w:rsidRPr="008B1755" w:rsidRDefault="00FA3475" w:rsidP="00437ECE">
      <w:pPr>
        <w:numPr>
          <w:ilvl w:val="0"/>
          <w:numId w:val="9"/>
        </w:numPr>
        <w:ind w:left="1037" w:hanging="357"/>
        <w:contextualSpacing/>
        <w:rPr>
          <w:rFonts w:cs="Arial"/>
          <w:lang w:val="cs-CZ"/>
        </w:rPr>
      </w:pPr>
      <w:r w:rsidRPr="008B1755">
        <w:rPr>
          <w:rFonts w:cs="Arial"/>
          <w:lang w:val="cs-CZ"/>
        </w:rPr>
        <w:t xml:space="preserve">rozsahu </w:t>
      </w:r>
      <w:r w:rsidR="009F2566" w:rsidRPr="008B1755">
        <w:rPr>
          <w:rFonts w:cs="Arial"/>
          <w:lang w:val="cs-CZ"/>
        </w:rPr>
        <w:t xml:space="preserve">působení a </w:t>
      </w:r>
      <w:r w:rsidR="00EA1A64">
        <w:rPr>
          <w:rFonts w:cs="Arial"/>
          <w:lang w:val="cs-CZ"/>
        </w:rPr>
        <w:t xml:space="preserve">existence </w:t>
      </w:r>
      <w:r w:rsidR="00202904" w:rsidRPr="008B1755">
        <w:rPr>
          <w:rFonts w:cs="Arial"/>
          <w:lang w:val="cs-CZ"/>
        </w:rPr>
        <w:t>alternativ</w:t>
      </w:r>
      <w:r w:rsidR="008A2CF5" w:rsidRPr="008B1755">
        <w:rPr>
          <w:rFonts w:cs="Arial"/>
          <w:lang w:val="cs-CZ"/>
        </w:rPr>
        <w:t xml:space="preserve"> </w:t>
      </w:r>
      <w:r w:rsidR="009F2566" w:rsidRPr="008B1755">
        <w:rPr>
          <w:rFonts w:cs="Arial"/>
          <w:lang w:val="cs-CZ"/>
        </w:rPr>
        <w:t>–</w:t>
      </w:r>
      <w:r w:rsidR="00EA1A64">
        <w:rPr>
          <w:rFonts w:cs="Arial"/>
          <w:lang w:val="cs-CZ"/>
        </w:rPr>
        <w:t xml:space="preserve"> </w:t>
      </w:r>
      <w:r w:rsidR="00B34067" w:rsidRPr="008B1755">
        <w:rPr>
          <w:rFonts w:cs="Arial"/>
          <w:lang w:val="cs-CZ"/>
        </w:rPr>
        <w:t>praktika</w:t>
      </w:r>
      <w:r w:rsidR="009F2566" w:rsidRPr="008B1755">
        <w:rPr>
          <w:rFonts w:cs="Arial"/>
          <w:lang w:val="cs-CZ"/>
        </w:rPr>
        <w:t xml:space="preserve"> spíše omezí výkon </w:t>
      </w:r>
      <w:r w:rsidR="004C4F26" w:rsidRPr="008B1755">
        <w:rPr>
          <w:rFonts w:cs="Arial"/>
          <w:lang w:val="cs-CZ"/>
        </w:rPr>
        <w:t>práv</w:t>
      </w:r>
      <w:r w:rsidR="001D70F8" w:rsidRPr="008B1755">
        <w:rPr>
          <w:rFonts w:cs="Arial"/>
          <w:lang w:val="cs-CZ"/>
        </w:rPr>
        <w:t xml:space="preserve"> koncových uživatelů</w:t>
      </w:r>
      <w:r w:rsidR="00202904" w:rsidRPr="008B1755">
        <w:rPr>
          <w:rFonts w:cs="Arial"/>
          <w:lang w:val="cs-CZ"/>
        </w:rPr>
        <w:t xml:space="preserve"> </w:t>
      </w:r>
      <w:r w:rsidR="009F2566" w:rsidRPr="008B1755">
        <w:rPr>
          <w:rFonts w:cs="Arial"/>
          <w:lang w:val="cs-CZ"/>
        </w:rPr>
        <w:t xml:space="preserve">v situaci, kdy se například jedná o mnoho </w:t>
      </w:r>
      <w:r w:rsidR="00C44AED" w:rsidRPr="008B1755">
        <w:rPr>
          <w:rFonts w:cs="Arial"/>
          <w:lang w:val="cs-CZ"/>
        </w:rPr>
        <w:t>koncov</w:t>
      </w:r>
      <w:r w:rsidR="009F2566" w:rsidRPr="008B1755">
        <w:rPr>
          <w:rFonts w:cs="Arial"/>
          <w:lang w:val="cs-CZ"/>
        </w:rPr>
        <w:t>ých</w:t>
      </w:r>
      <w:r w:rsidR="00C44AED" w:rsidRPr="008B1755">
        <w:rPr>
          <w:rFonts w:cs="Arial"/>
          <w:lang w:val="cs-CZ"/>
        </w:rPr>
        <w:t xml:space="preserve"> uživatel</w:t>
      </w:r>
      <w:r w:rsidR="009F2566" w:rsidRPr="008B1755">
        <w:rPr>
          <w:rFonts w:cs="Arial"/>
          <w:lang w:val="cs-CZ"/>
        </w:rPr>
        <w:t xml:space="preserve">ů </w:t>
      </w:r>
      <w:r w:rsidR="00BE001A" w:rsidRPr="008B1755">
        <w:rPr>
          <w:rFonts w:cs="Arial"/>
          <w:lang w:val="cs-CZ"/>
        </w:rPr>
        <w:t>a/nebo</w:t>
      </w:r>
      <w:r w:rsidR="00202904" w:rsidRPr="008B1755">
        <w:rPr>
          <w:rFonts w:cs="Arial"/>
          <w:lang w:val="cs-CZ"/>
        </w:rPr>
        <w:t xml:space="preserve"> </w:t>
      </w:r>
      <w:r w:rsidR="009F2566" w:rsidRPr="008B1755">
        <w:rPr>
          <w:rFonts w:cs="Arial"/>
          <w:lang w:val="cs-CZ"/>
        </w:rPr>
        <w:t xml:space="preserve">kdy existuje málo alternativních nabídek </w:t>
      </w:r>
      <w:r w:rsidR="00BE001A" w:rsidRPr="008B1755">
        <w:rPr>
          <w:rFonts w:cs="Arial"/>
          <w:lang w:val="cs-CZ"/>
        </w:rPr>
        <w:t>a/nebo</w:t>
      </w:r>
      <w:r w:rsidR="00202904" w:rsidRPr="008B1755">
        <w:rPr>
          <w:rFonts w:cs="Arial"/>
          <w:lang w:val="cs-CZ"/>
        </w:rPr>
        <w:t xml:space="preserve"> </w:t>
      </w:r>
      <w:r w:rsidR="009F2566" w:rsidRPr="008B1755">
        <w:rPr>
          <w:rFonts w:cs="Arial"/>
          <w:lang w:val="cs-CZ"/>
        </w:rPr>
        <w:t xml:space="preserve">konkurenčních </w:t>
      </w:r>
      <w:r w:rsidR="007D7F64" w:rsidRPr="008B1755">
        <w:rPr>
          <w:rFonts w:cs="Arial"/>
          <w:lang w:val="cs-CZ"/>
        </w:rPr>
        <w:t>poskytovatel</w:t>
      </w:r>
      <w:r w:rsidR="009F2566" w:rsidRPr="008B1755">
        <w:rPr>
          <w:rFonts w:cs="Arial"/>
          <w:lang w:val="cs-CZ"/>
        </w:rPr>
        <w:t>ů</w:t>
      </w:r>
      <w:r w:rsidR="007D7F64" w:rsidRPr="008B1755">
        <w:rPr>
          <w:rFonts w:cs="Arial"/>
          <w:lang w:val="cs-CZ"/>
        </w:rPr>
        <w:t xml:space="preserve"> internetových služeb</w:t>
      </w:r>
      <w:r w:rsidR="009F2566" w:rsidRPr="008B1755">
        <w:rPr>
          <w:rFonts w:cs="Arial"/>
          <w:lang w:val="cs-CZ"/>
        </w:rPr>
        <w:t xml:space="preserve">, ze kterých si </w:t>
      </w:r>
      <w:r w:rsidR="00C44AED" w:rsidRPr="008B1755">
        <w:rPr>
          <w:rFonts w:cs="Arial"/>
          <w:lang w:val="cs-CZ"/>
        </w:rPr>
        <w:t>koncoví uživatelé</w:t>
      </w:r>
      <w:r w:rsidR="00202904" w:rsidRPr="008B1755">
        <w:rPr>
          <w:rFonts w:cs="Arial"/>
          <w:lang w:val="cs-CZ"/>
        </w:rPr>
        <w:t xml:space="preserve"> </w:t>
      </w:r>
      <w:r w:rsidR="009F2566" w:rsidRPr="008B1755">
        <w:rPr>
          <w:rFonts w:cs="Arial"/>
          <w:lang w:val="cs-CZ"/>
        </w:rPr>
        <w:t>mohou vybrat</w:t>
      </w:r>
      <w:r w:rsidR="00C44DB2" w:rsidRPr="008B1755">
        <w:rPr>
          <w:rFonts w:cs="Arial"/>
          <w:lang w:val="cs-CZ"/>
        </w:rPr>
        <w:t>.</w:t>
      </w:r>
    </w:p>
    <w:p w:rsidR="00202904" w:rsidRPr="008B1755" w:rsidRDefault="009F2566" w:rsidP="0038751B">
      <w:pPr>
        <w:numPr>
          <w:ilvl w:val="0"/>
          <w:numId w:val="2"/>
        </w:numPr>
        <w:spacing w:after="120"/>
        <w:rPr>
          <w:lang w:val="cs-CZ"/>
        </w:rPr>
      </w:pPr>
      <w:bookmarkStart w:id="18" w:name="_Ref447705800"/>
      <w:r w:rsidRPr="008B1755">
        <w:rPr>
          <w:rFonts w:cs="Arial"/>
          <w:lang w:val="cs-CZ"/>
        </w:rPr>
        <w:t xml:space="preserve">Každý z těchto faktorů může přispět k podstatnému omezení možnosti výběru </w:t>
      </w:r>
      <w:r w:rsidR="00DD272F" w:rsidRPr="008B1755">
        <w:rPr>
          <w:rFonts w:cs="Arial"/>
          <w:lang w:val="cs-CZ"/>
        </w:rPr>
        <w:t>koncový</w:t>
      </w:r>
      <w:r w:rsidRPr="008B1755">
        <w:rPr>
          <w:rFonts w:cs="Arial"/>
          <w:lang w:val="cs-CZ"/>
        </w:rPr>
        <w:t>ch</w:t>
      </w:r>
      <w:r w:rsidR="00DD272F" w:rsidRPr="008B1755">
        <w:rPr>
          <w:rFonts w:cs="Arial"/>
          <w:lang w:val="cs-CZ"/>
        </w:rPr>
        <w:t xml:space="preserve"> uživatel</w:t>
      </w:r>
      <w:r w:rsidRPr="008B1755">
        <w:rPr>
          <w:rFonts w:cs="Arial"/>
          <w:lang w:val="cs-CZ"/>
        </w:rPr>
        <w:t xml:space="preserve">ů, a tudíž </w:t>
      </w:r>
      <w:r w:rsidR="00747C71" w:rsidRPr="008B1755">
        <w:rPr>
          <w:rFonts w:cs="Arial"/>
          <w:lang w:val="cs-CZ"/>
        </w:rPr>
        <w:t>omezení výkonu</w:t>
      </w:r>
      <w:r w:rsidR="00474DCA" w:rsidRPr="008B1755">
        <w:rPr>
          <w:rFonts w:cs="Arial"/>
          <w:lang w:val="cs-CZ"/>
        </w:rPr>
        <w:t xml:space="preserve"> </w:t>
      </w:r>
      <w:r w:rsidR="00747C71" w:rsidRPr="008B1755">
        <w:rPr>
          <w:rFonts w:cs="Arial"/>
          <w:lang w:val="cs-CZ"/>
        </w:rPr>
        <w:t>práv koncových uživatelů</w:t>
      </w:r>
      <w:r w:rsidR="00202904" w:rsidRPr="008B1755">
        <w:rPr>
          <w:rFonts w:cs="Arial"/>
          <w:lang w:val="cs-CZ"/>
        </w:rPr>
        <w:t xml:space="preserve"> </w:t>
      </w:r>
      <w:r w:rsidR="004C4F26" w:rsidRPr="008B1755">
        <w:rPr>
          <w:rFonts w:cs="Arial"/>
          <w:lang w:val="cs-CZ"/>
        </w:rPr>
        <w:t>podle článku</w:t>
      </w:r>
      <w:r w:rsidR="00DD272F" w:rsidRPr="008B1755">
        <w:rPr>
          <w:rFonts w:cs="Arial"/>
          <w:lang w:val="cs-CZ"/>
        </w:rPr>
        <w:t xml:space="preserve"> 3 odst. </w:t>
      </w:r>
      <w:r w:rsidR="00202904" w:rsidRPr="008B1755">
        <w:rPr>
          <w:rFonts w:cs="Arial"/>
          <w:lang w:val="cs-CZ"/>
        </w:rPr>
        <w:t>2</w:t>
      </w:r>
      <w:r w:rsidR="007E1E70" w:rsidRPr="008B1755">
        <w:rPr>
          <w:rFonts w:cs="Arial"/>
          <w:lang w:val="cs-CZ"/>
        </w:rPr>
        <w:t>.</w:t>
      </w:r>
      <w:r w:rsidR="00C701F1" w:rsidRPr="008B1755">
        <w:rPr>
          <w:rFonts w:cs="Arial"/>
          <w:lang w:val="cs-CZ"/>
        </w:rPr>
        <w:t xml:space="preserve"> </w:t>
      </w:r>
      <w:r w:rsidRPr="008B1755">
        <w:rPr>
          <w:rFonts w:cs="Arial"/>
          <w:lang w:val="cs-CZ"/>
        </w:rPr>
        <w:t xml:space="preserve">V jakémkoli konkrétním případě může výskyt jednoho nebo více takových faktorů ve skutečnosti omezit výkon </w:t>
      </w:r>
      <w:r w:rsidR="004C4F26" w:rsidRPr="008B1755">
        <w:rPr>
          <w:rFonts w:cs="Arial"/>
          <w:lang w:val="cs-CZ"/>
        </w:rPr>
        <w:t>práv</w:t>
      </w:r>
      <w:r w:rsidR="001D70F8" w:rsidRPr="008B1755">
        <w:rPr>
          <w:rFonts w:cs="Arial"/>
          <w:lang w:val="cs-CZ"/>
        </w:rPr>
        <w:t xml:space="preserve"> koncových uživatelů</w:t>
      </w:r>
      <w:r w:rsidR="00202904" w:rsidRPr="008B1755">
        <w:rPr>
          <w:rFonts w:cs="Arial"/>
          <w:lang w:val="cs-CZ"/>
        </w:rPr>
        <w:t>.</w:t>
      </w:r>
      <w:bookmarkEnd w:id="18"/>
    </w:p>
    <w:p w:rsidR="00202904" w:rsidRPr="008B1755" w:rsidRDefault="00694B31" w:rsidP="0038751B">
      <w:pPr>
        <w:pStyle w:val="Odstavecseseznamem"/>
        <w:numPr>
          <w:ilvl w:val="0"/>
          <w:numId w:val="2"/>
        </w:numPr>
        <w:spacing w:after="120"/>
        <w:contextualSpacing w:val="0"/>
        <w:rPr>
          <w:lang w:val="cs-CZ"/>
        </w:rPr>
      </w:pPr>
      <w:bookmarkStart w:id="19" w:name="_Ref449440182"/>
      <w:r w:rsidRPr="008B1755">
        <w:rPr>
          <w:lang w:val="cs-CZ"/>
        </w:rPr>
        <w:t>Při uskutečnění takovéhoto komplexního posouzení lze případně rovněž přihlédnout k následujícím faktorům</w:t>
      </w:r>
      <w:r w:rsidR="00202904" w:rsidRPr="008B1755">
        <w:rPr>
          <w:lang w:val="cs-CZ"/>
        </w:rPr>
        <w:t>:</w:t>
      </w:r>
      <w:bookmarkEnd w:id="19"/>
      <w:r w:rsidR="00202904" w:rsidRPr="008B1755">
        <w:rPr>
          <w:lang w:val="cs-CZ"/>
        </w:rPr>
        <w:t xml:space="preserve"> </w:t>
      </w:r>
    </w:p>
    <w:p w:rsidR="00202904" w:rsidRPr="008B1755" w:rsidRDefault="00B34067" w:rsidP="009D2A76">
      <w:pPr>
        <w:numPr>
          <w:ilvl w:val="0"/>
          <w:numId w:val="9"/>
        </w:numPr>
        <w:contextualSpacing/>
        <w:rPr>
          <w:rFonts w:cs="Arial"/>
          <w:lang w:val="cs-CZ"/>
        </w:rPr>
      </w:pPr>
      <w:bookmarkStart w:id="20" w:name="_Ref449439556"/>
      <w:bookmarkStart w:id="21" w:name="_Ref447046732"/>
      <w:r w:rsidRPr="008B1755">
        <w:rPr>
          <w:rFonts w:cs="Arial"/>
          <w:lang w:val="cs-CZ"/>
        </w:rPr>
        <w:t xml:space="preserve">Jakékoli dohody nebo praktiky, které mají podobný účinek jako </w:t>
      </w:r>
      <w:r w:rsidR="00DD2F54" w:rsidRPr="008B1755">
        <w:rPr>
          <w:rFonts w:cs="Arial"/>
          <w:lang w:val="cs-CZ"/>
        </w:rPr>
        <w:t>technic</w:t>
      </w:r>
      <w:r w:rsidRPr="008B1755">
        <w:rPr>
          <w:rFonts w:cs="Arial"/>
          <w:lang w:val="cs-CZ"/>
        </w:rPr>
        <w:t xml:space="preserve">ké blokování přístupu </w:t>
      </w:r>
      <w:r w:rsidR="00202904" w:rsidRPr="008B1755">
        <w:rPr>
          <w:rFonts w:cs="Arial"/>
          <w:lang w:val="cs-CZ"/>
        </w:rPr>
        <w:t>(</w:t>
      </w:r>
      <w:r w:rsidR="002E5214" w:rsidRPr="008B1755">
        <w:rPr>
          <w:rFonts w:cs="Arial"/>
          <w:lang w:val="cs-CZ"/>
        </w:rPr>
        <w:t xml:space="preserve">viz </w:t>
      </w:r>
      <w:r w:rsidR="00D2652F">
        <w:rPr>
          <w:rFonts w:cs="Arial"/>
          <w:lang w:val="cs-CZ"/>
        </w:rPr>
        <w:t>bod</w:t>
      </w:r>
      <w:r w:rsidR="00202904" w:rsidRPr="008B1755">
        <w:rPr>
          <w:rFonts w:cs="Arial"/>
          <w:lang w:val="cs-CZ"/>
        </w:rPr>
        <w:t xml:space="preserve"> </w:t>
      </w:r>
      <w:r w:rsidR="00AF415C" w:rsidRPr="008B1755">
        <w:rPr>
          <w:lang w:val="cs-CZ"/>
        </w:rPr>
        <w:fldChar w:fldCharType="begin"/>
      </w:r>
      <w:r w:rsidR="00AF415C" w:rsidRPr="008B1755">
        <w:rPr>
          <w:lang w:val="cs-CZ"/>
        </w:rPr>
        <w:instrText xml:space="preserve"> REF _Ref447275754 \r \h  \* MERGEFORMAT </w:instrText>
      </w:r>
      <w:r w:rsidR="00AF415C" w:rsidRPr="008B1755">
        <w:rPr>
          <w:lang w:val="cs-CZ"/>
        </w:rPr>
      </w:r>
      <w:r w:rsidR="00AF415C" w:rsidRPr="008B1755">
        <w:rPr>
          <w:lang w:val="cs-CZ"/>
        </w:rPr>
        <w:fldChar w:fldCharType="separate"/>
      </w:r>
      <w:r w:rsidR="003B403B" w:rsidRPr="008B1755">
        <w:rPr>
          <w:rFonts w:cs="Arial"/>
          <w:lang w:val="cs-CZ"/>
        </w:rPr>
        <w:t>55</w:t>
      </w:r>
      <w:r w:rsidR="00AF415C" w:rsidRPr="008B1755">
        <w:rPr>
          <w:lang w:val="cs-CZ"/>
        </w:rPr>
        <w:fldChar w:fldCharType="end"/>
      </w:r>
      <w:r w:rsidR="00202904" w:rsidRPr="008B1755">
        <w:rPr>
          <w:rFonts w:cs="Arial"/>
          <w:lang w:val="cs-CZ"/>
        </w:rPr>
        <w:t>)</w:t>
      </w:r>
      <w:r w:rsidRPr="008B1755">
        <w:rPr>
          <w:rFonts w:cs="Arial"/>
          <w:lang w:val="cs-CZ"/>
        </w:rPr>
        <w:t xml:space="preserve">, pravděpodobně představují porušení čl. </w:t>
      </w:r>
      <w:r w:rsidR="00202904" w:rsidRPr="008B1755">
        <w:rPr>
          <w:rFonts w:cs="Arial"/>
          <w:lang w:val="cs-CZ"/>
        </w:rPr>
        <w:t>3</w:t>
      </w:r>
      <w:r w:rsidRPr="008B1755">
        <w:rPr>
          <w:rFonts w:cs="Arial"/>
          <w:lang w:val="cs-CZ"/>
        </w:rPr>
        <w:t xml:space="preserve"> odst. </w:t>
      </w:r>
      <w:r w:rsidR="00202904" w:rsidRPr="008B1755">
        <w:rPr>
          <w:rFonts w:cs="Arial"/>
          <w:lang w:val="cs-CZ"/>
        </w:rPr>
        <w:t>1 a</w:t>
      </w:r>
      <w:r w:rsidRPr="008B1755">
        <w:rPr>
          <w:rFonts w:cs="Arial"/>
          <w:lang w:val="cs-CZ"/>
        </w:rPr>
        <w:t xml:space="preserve"> čl. 3 odst. </w:t>
      </w:r>
      <w:r w:rsidR="00202904" w:rsidRPr="008B1755">
        <w:rPr>
          <w:rFonts w:cs="Arial"/>
          <w:lang w:val="cs-CZ"/>
        </w:rPr>
        <w:t xml:space="preserve">2, </w:t>
      </w:r>
      <w:r w:rsidRPr="008B1755">
        <w:rPr>
          <w:rFonts w:cs="Arial"/>
          <w:lang w:val="cs-CZ"/>
        </w:rPr>
        <w:t xml:space="preserve">s ohledem na jejich silný dopad na </w:t>
      </w:r>
      <w:r w:rsidR="001D70F8" w:rsidRPr="008B1755">
        <w:rPr>
          <w:rFonts w:cs="Arial"/>
          <w:lang w:val="cs-CZ"/>
        </w:rPr>
        <w:t>práva koncových uživatelů</w:t>
      </w:r>
      <w:r w:rsidR="00202904" w:rsidRPr="008B1755">
        <w:rPr>
          <w:rFonts w:cs="Arial"/>
          <w:lang w:val="cs-CZ"/>
        </w:rPr>
        <w:t>.</w:t>
      </w:r>
      <w:bookmarkEnd w:id="20"/>
    </w:p>
    <w:p w:rsidR="00202904" w:rsidRPr="008B1755" w:rsidRDefault="00DE5B90" w:rsidP="009D2A76">
      <w:pPr>
        <w:numPr>
          <w:ilvl w:val="0"/>
          <w:numId w:val="9"/>
        </w:numPr>
        <w:contextualSpacing/>
        <w:rPr>
          <w:rFonts w:cs="Arial"/>
          <w:lang w:val="cs-CZ"/>
        </w:rPr>
      </w:pPr>
      <w:r w:rsidRPr="008B1755">
        <w:rPr>
          <w:rFonts w:cs="Arial"/>
          <w:lang w:val="cs-CZ"/>
        </w:rPr>
        <w:t xml:space="preserve">Obchodní praktiky, při kterých je uplatňována </w:t>
      </w:r>
      <w:r w:rsidRPr="008B1755">
        <w:rPr>
          <w:i/>
          <w:lang w:val="cs-CZ"/>
        </w:rPr>
        <w:t xml:space="preserve">vyšší </w:t>
      </w:r>
      <w:r w:rsidRPr="008B1755">
        <w:rPr>
          <w:rFonts w:cs="Arial"/>
          <w:lang w:val="cs-CZ"/>
        </w:rPr>
        <w:t xml:space="preserve">cena za </w:t>
      </w:r>
      <w:r w:rsidR="00202904" w:rsidRPr="008B1755">
        <w:rPr>
          <w:rFonts w:cs="Arial"/>
          <w:lang w:val="cs-CZ"/>
        </w:rPr>
        <w:t xml:space="preserve">data </w:t>
      </w:r>
      <w:r w:rsidRPr="008B1755">
        <w:rPr>
          <w:rFonts w:cs="Arial"/>
          <w:lang w:val="cs-CZ"/>
        </w:rPr>
        <w:t xml:space="preserve">související s konkrétní aplikací nebo </w:t>
      </w:r>
      <w:r w:rsidR="00D62EC3">
        <w:rPr>
          <w:rFonts w:cs="Arial"/>
          <w:lang w:val="cs-CZ"/>
        </w:rPr>
        <w:t>kategorie</w:t>
      </w:r>
      <w:r w:rsidR="00D62EC3" w:rsidRPr="008B1755">
        <w:rPr>
          <w:rFonts w:cs="Arial"/>
          <w:lang w:val="cs-CZ"/>
        </w:rPr>
        <w:t xml:space="preserve"> </w:t>
      </w:r>
      <w:r w:rsidRPr="008B1755">
        <w:rPr>
          <w:rFonts w:cs="Arial"/>
          <w:lang w:val="cs-CZ"/>
        </w:rPr>
        <w:t xml:space="preserve">aplikací, pravděpodobně omezují výkon </w:t>
      </w:r>
      <w:r w:rsidR="00747C71" w:rsidRPr="008B1755">
        <w:rPr>
          <w:rFonts w:cs="Arial"/>
          <w:lang w:val="cs-CZ"/>
        </w:rPr>
        <w:t>práv koncových uživatelů</w:t>
      </w:r>
      <w:r w:rsidR="00202904" w:rsidRPr="008B1755">
        <w:rPr>
          <w:rFonts w:cs="Arial"/>
          <w:lang w:val="cs-CZ"/>
        </w:rPr>
        <w:t xml:space="preserve"> </w:t>
      </w:r>
      <w:r w:rsidRPr="008B1755">
        <w:rPr>
          <w:rFonts w:cs="Arial"/>
          <w:lang w:val="cs-CZ"/>
        </w:rPr>
        <w:t>kvůli potenciálně silné vytvořené demotivaci k používání této aplikace (aplikací</w:t>
      </w:r>
      <w:r w:rsidR="00C701F1" w:rsidRPr="008B1755">
        <w:rPr>
          <w:rFonts w:cs="Arial"/>
          <w:lang w:val="cs-CZ"/>
        </w:rPr>
        <w:t>)</w:t>
      </w:r>
      <w:r w:rsidR="00202904" w:rsidRPr="008B1755">
        <w:rPr>
          <w:rFonts w:cs="Arial"/>
          <w:lang w:val="cs-CZ"/>
        </w:rPr>
        <w:t xml:space="preserve"> </w:t>
      </w:r>
      <w:r w:rsidRPr="008B1755">
        <w:rPr>
          <w:rFonts w:cs="Arial"/>
          <w:lang w:val="cs-CZ"/>
        </w:rPr>
        <w:t>a následně vedou k omezení výběru</w:t>
      </w:r>
      <w:r w:rsidR="00C701F1" w:rsidRPr="008B1755">
        <w:rPr>
          <w:rFonts w:cs="Arial"/>
          <w:lang w:val="cs-CZ"/>
        </w:rPr>
        <w:t>.</w:t>
      </w:r>
      <w:r w:rsidR="00202904" w:rsidRPr="008B1755">
        <w:rPr>
          <w:rFonts w:cs="Arial"/>
          <w:lang w:val="cs-CZ"/>
        </w:rPr>
        <w:t xml:space="preserve"> </w:t>
      </w:r>
      <w:r w:rsidRPr="008B1755">
        <w:rPr>
          <w:rFonts w:cs="Arial"/>
          <w:lang w:val="cs-CZ"/>
        </w:rPr>
        <w:t xml:space="preserve">Rovněž </w:t>
      </w:r>
      <w:r w:rsidR="004C1597">
        <w:rPr>
          <w:rFonts w:cs="Arial"/>
          <w:lang w:val="cs-CZ"/>
        </w:rPr>
        <w:t>postup</w:t>
      </w:r>
      <w:r w:rsidRPr="008B1755">
        <w:rPr>
          <w:rFonts w:cs="Arial"/>
          <w:lang w:val="cs-CZ"/>
        </w:rPr>
        <w:t>, kdy mohou být vyšší ceny uplatňovány na určitou aplikaci nebo kategorii aplikací, může odrazovat od vývoje nových aplikací</w:t>
      </w:r>
      <w:r w:rsidR="00202904" w:rsidRPr="008B1755">
        <w:rPr>
          <w:rFonts w:cs="Arial"/>
          <w:lang w:val="cs-CZ"/>
        </w:rPr>
        <w:t xml:space="preserve">.  </w:t>
      </w:r>
    </w:p>
    <w:p w:rsidR="00202904" w:rsidRPr="008B1755" w:rsidRDefault="00DE5B90" w:rsidP="009D2A76">
      <w:pPr>
        <w:numPr>
          <w:ilvl w:val="0"/>
          <w:numId w:val="9"/>
        </w:numPr>
        <w:contextualSpacing/>
        <w:rPr>
          <w:rFonts w:cs="Arial"/>
          <w:lang w:val="cs-CZ"/>
        </w:rPr>
      </w:pPr>
      <w:r w:rsidRPr="008B1755">
        <w:rPr>
          <w:rFonts w:cs="Arial"/>
          <w:lang w:val="cs-CZ"/>
        </w:rPr>
        <w:t xml:space="preserve">Koncoví uživatelé </w:t>
      </w:r>
      <w:r w:rsidR="007D7F64" w:rsidRPr="008B1755">
        <w:rPr>
          <w:rFonts w:cs="Arial"/>
          <w:lang w:val="cs-CZ"/>
        </w:rPr>
        <w:t>služb</w:t>
      </w:r>
      <w:r w:rsidRPr="008B1755">
        <w:rPr>
          <w:rFonts w:cs="Arial"/>
          <w:lang w:val="cs-CZ"/>
        </w:rPr>
        <w:t>y</w:t>
      </w:r>
      <w:r w:rsidR="007D7F64" w:rsidRPr="008B1755">
        <w:rPr>
          <w:rFonts w:cs="Arial"/>
          <w:lang w:val="cs-CZ"/>
        </w:rPr>
        <w:t xml:space="preserve"> přístupu k</w:t>
      </w:r>
      <w:r w:rsidRPr="008B1755">
        <w:rPr>
          <w:rFonts w:cs="Arial"/>
          <w:lang w:val="cs-CZ"/>
        </w:rPr>
        <w:t> </w:t>
      </w:r>
      <w:r w:rsidR="007D7F64" w:rsidRPr="008B1755">
        <w:rPr>
          <w:rFonts w:cs="Arial"/>
          <w:lang w:val="cs-CZ"/>
        </w:rPr>
        <w:t>internetu</w:t>
      </w:r>
      <w:r w:rsidRPr="008B1755">
        <w:rPr>
          <w:rFonts w:cs="Arial"/>
          <w:lang w:val="cs-CZ"/>
        </w:rPr>
        <w:t xml:space="preserve">, jejíž podmínky obsahují nižší </w:t>
      </w:r>
      <w:r w:rsidR="00763224" w:rsidRPr="008B1755">
        <w:rPr>
          <w:rFonts w:cs="Arial"/>
          <w:lang w:val="cs-CZ"/>
        </w:rPr>
        <w:t>(</w:t>
      </w:r>
      <w:r w:rsidRPr="008B1755">
        <w:rPr>
          <w:rFonts w:cs="Arial"/>
          <w:lang w:val="cs-CZ"/>
        </w:rPr>
        <w:t>nebo nulovou</w:t>
      </w:r>
      <w:r w:rsidR="00763224" w:rsidRPr="008B1755">
        <w:rPr>
          <w:rFonts w:cs="Arial"/>
          <w:lang w:val="cs-CZ"/>
        </w:rPr>
        <w:t xml:space="preserve">) </w:t>
      </w:r>
      <w:r w:rsidRPr="008B1755">
        <w:rPr>
          <w:rFonts w:cs="Arial"/>
          <w:lang w:val="cs-CZ"/>
        </w:rPr>
        <w:t xml:space="preserve">cenu za </w:t>
      </w:r>
      <w:r w:rsidR="00202904" w:rsidRPr="008B1755">
        <w:rPr>
          <w:rFonts w:cs="Arial"/>
          <w:lang w:val="cs-CZ"/>
        </w:rPr>
        <w:t xml:space="preserve">data </w:t>
      </w:r>
      <w:r w:rsidRPr="008B1755">
        <w:rPr>
          <w:rFonts w:cs="Arial"/>
          <w:lang w:val="cs-CZ"/>
        </w:rPr>
        <w:t xml:space="preserve">související s konkrétní aplikací nebo </w:t>
      </w:r>
      <w:r w:rsidR="004C1597">
        <w:rPr>
          <w:rFonts w:cs="Arial"/>
          <w:lang w:val="cs-CZ"/>
        </w:rPr>
        <w:t xml:space="preserve">kategorií </w:t>
      </w:r>
      <w:r w:rsidRPr="008B1755">
        <w:rPr>
          <w:rFonts w:cs="Arial"/>
          <w:lang w:val="cs-CZ"/>
        </w:rPr>
        <w:t xml:space="preserve">aplikací, budou motivováni k používání aplikace nebo kategorie aplikací </w:t>
      </w:r>
      <w:r w:rsidR="0077577C" w:rsidRPr="008B1755">
        <w:rPr>
          <w:lang w:val="cs-CZ"/>
        </w:rPr>
        <w:t>s</w:t>
      </w:r>
      <w:r w:rsidR="0077577C">
        <w:rPr>
          <w:lang w:val="cs-CZ"/>
        </w:rPr>
        <w:t>e zero ratingem</w:t>
      </w:r>
      <w:r w:rsidR="0077577C" w:rsidRPr="008B1755">
        <w:rPr>
          <w:lang w:val="cs-CZ"/>
        </w:rPr>
        <w:t xml:space="preserve"> </w:t>
      </w:r>
      <w:r w:rsidRPr="008B1755">
        <w:rPr>
          <w:rFonts w:cs="Arial"/>
          <w:lang w:val="cs-CZ"/>
        </w:rPr>
        <w:t>na rozdíl od jiných</w:t>
      </w:r>
      <w:r w:rsidR="00202904" w:rsidRPr="008B1755">
        <w:rPr>
          <w:rFonts w:cs="Arial"/>
          <w:lang w:val="cs-CZ"/>
        </w:rPr>
        <w:t xml:space="preserve">. </w:t>
      </w:r>
      <w:r w:rsidRPr="008B1755">
        <w:rPr>
          <w:rFonts w:cs="Arial"/>
          <w:lang w:val="cs-CZ"/>
        </w:rPr>
        <w:t>Navíc čím nižší je datový limit</w:t>
      </w:r>
      <w:r w:rsidR="00202904" w:rsidRPr="008B1755">
        <w:rPr>
          <w:rFonts w:cs="Arial"/>
          <w:lang w:val="cs-CZ"/>
        </w:rPr>
        <w:t xml:space="preserve">, </w:t>
      </w:r>
      <w:r w:rsidRPr="008B1755">
        <w:rPr>
          <w:rFonts w:cs="Arial"/>
          <w:lang w:val="cs-CZ"/>
        </w:rPr>
        <w:t xml:space="preserve">tím silnější může </w:t>
      </w:r>
      <w:r w:rsidR="00167DC4" w:rsidRPr="008B1755">
        <w:rPr>
          <w:rFonts w:cs="Arial"/>
          <w:lang w:val="cs-CZ"/>
        </w:rPr>
        <w:t xml:space="preserve">být </w:t>
      </w:r>
      <w:r w:rsidRPr="008B1755">
        <w:rPr>
          <w:rFonts w:cs="Arial"/>
          <w:lang w:val="cs-CZ"/>
        </w:rPr>
        <w:t>tento vliv</w:t>
      </w:r>
      <w:r w:rsidR="00202904" w:rsidRPr="008B1755">
        <w:rPr>
          <w:rFonts w:cs="Arial"/>
          <w:lang w:val="cs-CZ"/>
        </w:rPr>
        <w:t xml:space="preserve">. </w:t>
      </w:r>
    </w:p>
    <w:p w:rsidR="00202904" w:rsidRPr="008B1755" w:rsidRDefault="00DE5B90" w:rsidP="009D2A76">
      <w:pPr>
        <w:numPr>
          <w:ilvl w:val="0"/>
          <w:numId w:val="9"/>
        </w:numPr>
        <w:ind w:left="1037" w:hanging="357"/>
        <w:rPr>
          <w:rFonts w:cs="Arial"/>
          <w:lang w:val="cs-CZ"/>
        </w:rPr>
      </w:pPr>
      <w:bookmarkStart w:id="22" w:name="_Ref449439570"/>
      <w:bookmarkStart w:id="23" w:name="_Ref447044012"/>
      <w:bookmarkEnd w:id="21"/>
      <w:r w:rsidRPr="008B1755">
        <w:rPr>
          <w:rFonts w:cs="Arial"/>
          <w:lang w:val="cs-CZ"/>
        </w:rPr>
        <w:t xml:space="preserve">Cenové rozdíly mezi </w:t>
      </w:r>
      <w:r w:rsidRPr="008B1755">
        <w:rPr>
          <w:rFonts w:cs="Arial"/>
          <w:i/>
          <w:lang w:val="cs-CZ"/>
        </w:rPr>
        <w:t xml:space="preserve">jednotlivými </w:t>
      </w:r>
      <w:r w:rsidRPr="008B1755">
        <w:rPr>
          <w:rFonts w:cs="Arial"/>
          <w:lang w:val="cs-CZ"/>
        </w:rPr>
        <w:t xml:space="preserve">aplikacemi v rámci určité kategorie, mají dopad na konkurenci mezi poskytovateli v této </w:t>
      </w:r>
      <w:r w:rsidR="004C1597">
        <w:rPr>
          <w:rFonts w:cs="Arial"/>
          <w:lang w:val="cs-CZ"/>
        </w:rPr>
        <w:t>kategorii</w:t>
      </w:r>
      <w:r w:rsidR="00693A3A" w:rsidRPr="008B1755">
        <w:rPr>
          <w:rFonts w:cs="Arial"/>
          <w:lang w:val="cs-CZ"/>
        </w:rPr>
        <w:t xml:space="preserve">. </w:t>
      </w:r>
      <w:r w:rsidRPr="008B1755">
        <w:rPr>
          <w:rFonts w:cs="Arial"/>
          <w:lang w:val="cs-CZ"/>
        </w:rPr>
        <w:t>Proto mají spíše dopad na „</w:t>
      </w:r>
      <w:r w:rsidR="009D3B2F" w:rsidRPr="008B1755">
        <w:rPr>
          <w:rStyle w:val="BERECcitaceChar"/>
          <w:lang w:val="cs-CZ"/>
        </w:rPr>
        <w:t>trvalé fungování internetového ekosystému coby hnací síly pro inovace</w:t>
      </w:r>
      <w:r w:rsidRPr="008B1755">
        <w:rPr>
          <w:rFonts w:cs="Arial"/>
          <w:i/>
          <w:lang w:val="cs-CZ"/>
        </w:rPr>
        <w:t>“</w:t>
      </w:r>
      <w:r w:rsidRPr="008B1755">
        <w:rPr>
          <w:rFonts w:cs="Arial"/>
          <w:lang w:val="cs-CZ"/>
        </w:rPr>
        <w:t xml:space="preserve">, a tím </w:t>
      </w:r>
      <w:r w:rsidR="00FD003C" w:rsidRPr="008B1755">
        <w:rPr>
          <w:rFonts w:cs="Arial"/>
          <w:lang w:val="cs-CZ"/>
        </w:rPr>
        <w:t>s</w:t>
      </w:r>
      <w:r w:rsidRPr="008B1755">
        <w:rPr>
          <w:rFonts w:cs="Arial"/>
          <w:lang w:val="cs-CZ"/>
        </w:rPr>
        <w:t xml:space="preserve">píše ohrožují cíle </w:t>
      </w:r>
      <w:r w:rsidR="001D46DD" w:rsidRPr="008B1755">
        <w:rPr>
          <w:rFonts w:cs="Arial"/>
          <w:lang w:val="cs-CZ"/>
        </w:rPr>
        <w:t>Nařízení</w:t>
      </w:r>
      <w:r w:rsidR="00202904" w:rsidRPr="008B1755">
        <w:rPr>
          <w:rFonts w:cs="Arial"/>
          <w:lang w:val="cs-CZ"/>
        </w:rPr>
        <w:t xml:space="preserve"> </w:t>
      </w:r>
      <w:r w:rsidRPr="008B1755">
        <w:rPr>
          <w:rFonts w:cs="Arial"/>
          <w:lang w:val="cs-CZ"/>
        </w:rPr>
        <w:t xml:space="preserve">než cenové rozdíly mezi </w:t>
      </w:r>
      <w:r w:rsidR="004C1597">
        <w:rPr>
          <w:rFonts w:cs="Arial"/>
          <w:i/>
          <w:lang w:val="cs-CZ"/>
        </w:rPr>
        <w:t xml:space="preserve">kategoriemi </w:t>
      </w:r>
      <w:r w:rsidRPr="008B1755">
        <w:rPr>
          <w:rFonts w:cs="Arial"/>
          <w:lang w:val="cs-CZ"/>
        </w:rPr>
        <w:t>aplikací</w:t>
      </w:r>
      <w:r w:rsidR="00202904" w:rsidRPr="008B1755">
        <w:rPr>
          <w:rFonts w:cs="Arial"/>
          <w:lang w:val="cs-CZ"/>
        </w:rPr>
        <w:t>.</w:t>
      </w:r>
      <w:bookmarkEnd w:id="22"/>
      <w:r w:rsidR="00202904" w:rsidRPr="008B1755">
        <w:rPr>
          <w:rFonts w:cs="Arial"/>
          <w:lang w:val="cs-CZ"/>
        </w:rPr>
        <w:t xml:space="preserve"> </w:t>
      </w:r>
    </w:p>
    <w:p w:rsidR="00B35884" w:rsidRPr="008B1755" w:rsidRDefault="00224D69" w:rsidP="001B38FB">
      <w:pPr>
        <w:keepNext/>
        <w:keepLines/>
        <w:spacing w:before="360" w:after="120"/>
        <w:outlineLvl w:val="1"/>
        <w:rPr>
          <w:rFonts w:eastAsia="SimSun" w:cs="Arial"/>
          <w:b/>
          <w:bCs/>
          <w:sz w:val="24"/>
          <w:szCs w:val="24"/>
          <w:lang w:val="cs-CZ"/>
        </w:rPr>
      </w:pPr>
      <w:bookmarkStart w:id="24" w:name="_Toc461400158"/>
      <w:bookmarkEnd w:id="23"/>
      <w:r w:rsidRPr="008B1755">
        <w:rPr>
          <w:rFonts w:eastAsia="SimSun" w:cs="Arial"/>
          <w:b/>
          <w:bCs/>
          <w:sz w:val="24"/>
          <w:szCs w:val="24"/>
          <w:lang w:val="cs-CZ"/>
        </w:rPr>
        <w:t xml:space="preserve">Článek 3 odst. 3, </w:t>
      </w:r>
      <w:r w:rsidR="001D70F8" w:rsidRPr="008B1755">
        <w:rPr>
          <w:rFonts w:eastAsia="SimSun" w:cs="Arial"/>
          <w:b/>
          <w:bCs/>
          <w:sz w:val="24"/>
          <w:szCs w:val="24"/>
          <w:lang w:val="cs-CZ"/>
        </w:rPr>
        <w:t>první pododstavec</w:t>
      </w:r>
      <w:bookmarkEnd w:id="24"/>
    </w:p>
    <w:p w:rsidR="00B35884" w:rsidRPr="008B1755" w:rsidRDefault="00946CEA"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Poskytovatelé služeb přístupu k internetu nakládají při poskytování služeb přístupu k internetu s veškerým provozem stejně, bez diskriminace, omezení nebo narušování a bez ohledu na odesílatele a příjemce, na obsah, ke kterému se přistupuje nebo který se šíří, na používané či poskytované aplikace nebo služby nebo na použité koncové zařízení</w:t>
      </w:r>
      <w:r w:rsidR="00B35884" w:rsidRPr="008B1755">
        <w:rPr>
          <w:rFonts w:ascii="Times New Roman" w:hAnsi="Times New Roman"/>
          <w:lang w:val="cs-CZ"/>
        </w:rPr>
        <w:t>.</w:t>
      </w:r>
    </w:p>
    <w:p w:rsidR="00B35884" w:rsidRPr="008B1755" w:rsidRDefault="00946CEA" w:rsidP="006F0EC7">
      <w:pPr>
        <w:keepNext/>
        <w:shd w:val="clear" w:color="auto" w:fill="D9D9D9"/>
        <w:spacing w:after="0"/>
        <w:rPr>
          <w:rFonts w:ascii="Times New Roman" w:hAnsi="Times New Roman"/>
          <w:sz w:val="20"/>
          <w:u w:val="single"/>
          <w:lang w:val="cs-CZ"/>
        </w:rPr>
      </w:pPr>
      <w:r w:rsidRPr="008B1755">
        <w:rPr>
          <w:rFonts w:ascii="Times New Roman" w:hAnsi="Times New Roman"/>
          <w:sz w:val="20"/>
          <w:u w:val="single"/>
          <w:lang w:val="cs-CZ"/>
        </w:rPr>
        <w:t xml:space="preserve">Úvodní část Nařízení, bod </w:t>
      </w:r>
      <w:r w:rsidR="00B35884" w:rsidRPr="008B1755">
        <w:rPr>
          <w:rFonts w:ascii="Times New Roman" w:hAnsi="Times New Roman"/>
          <w:sz w:val="20"/>
          <w:u w:val="single"/>
          <w:lang w:val="cs-CZ"/>
        </w:rPr>
        <w:t>8</w:t>
      </w:r>
    </w:p>
    <w:p w:rsidR="00B35884" w:rsidRPr="008B1755" w:rsidRDefault="000F62E4" w:rsidP="006F0EC7">
      <w:pPr>
        <w:shd w:val="clear" w:color="auto" w:fill="D9D9D9"/>
        <w:rPr>
          <w:rFonts w:ascii="Times New Roman" w:hAnsi="Times New Roman"/>
          <w:sz w:val="20"/>
          <w:lang w:val="cs-CZ"/>
        </w:rPr>
      </w:pPr>
      <w:r w:rsidRPr="008B1755">
        <w:rPr>
          <w:rStyle w:val="Style2Char"/>
          <w:sz w:val="20"/>
          <w:lang w:val="cs-CZ"/>
        </w:rPr>
        <w:t xml:space="preserve">Při poskytování služeb přístupu k internetu by měli poskytovatelé těchto služeb nakládat s veškerým provozem stejně, bez diskriminace, omezení či narušování, nezávisle na odesílateli, příjemci, obsahu, aplikaci, službě nebo koncovém zařízení. V souladu s obecnými zásadami práva Unie a ustálenou judikaturou by s </w:t>
      </w:r>
      <w:r w:rsidRPr="008B1755">
        <w:rPr>
          <w:rStyle w:val="Style3Char"/>
          <w:sz w:val="20"/>
          <w:lang w:val="cs-CZ"/>
        </w:rPr>
        <w:t>provozem</w:t>
      </w:r>
      <w:r w:rsidRPr="008B1755">
        <w:rPr>
          <w:rStyle w:val="Style2Char"/>
          <w:sz w:val="18"/>
          <w:lang w:val="cs-CZ"/>
        </w:rPr>
        <w:t xml:space="preserve"> </w:t>
      </w:r>
      <w:r w:rsidRPr="008B1755">
        <w:rPr>
          <w:rStyle w:val="Style2Char"/>
          <w:sz w:val="20"/>
          <w:lang w:val="cs-CZ"/>
        </w:rPr>
        <w:t>ve srovnatelných situacích nemělo být nakládáno rozdílně a s provozem v rozdílných situacích by nemělo být nakládáno stejně, s výjimkou případů, kdy je takové nakládání objektivně odůvodněno</w:t>
      </w:r>
      <w:r w:rsidR="00B35884" w:rsidRPr="008B1755">
        <w:rPr>
          <w:rFonts w:ascii="Times New Roman" w:hAnsi="Times New Roman"/>
          <w:sz w:val="20"/>
          <w:lang w:val="cs-CZ"/>
        </w:rPr>
        <w:t>.</w:t>
      </w:r>
    </w:p>
    <w:p w:rsidR="00B35884" w:rsidRPr="008B1755" w:rsidRDefault="00B96719" w:rsidP="00437ECE">
      <w:pPr>
        <w:pStyle w:val="Odstavecseseznamem"/>
        <w:numPr>
          <w:ilvl w:val="0"/>
          <w:numId w:val="2"/>
        </w:numPr>
        <w:spacing w:after="120"/>
        <w:contextualSpacing w:val="0"/>
        <w:rPr>
          <w:rFonts w:cs="Arial"/>
          <w:lang w:val="cs-CZ"/>
        </w:rPr>
      </w:pPr>
      <w:bookmarkStart w:id="25" w:name="_Ref447113725"/>
      <w:r w:rsidRPr="008B1755">
        <w:rPr>
          <w:rFonts w:cs="Arial"/>
          <w:lang w:val="cs-CZ"/>
        </w:rPr>
        <w:t xml:space="preserve">Základní princip </w:t>
      </w:r>
      <w:r w:rsidR="001D46DD" w:rsidRPr="008B1755">
        <w:rPr>
          <w:rFonts w:cs="Arial"/>
          <w:lang w:val="cs-CZ"/>
        </w:rPr>
        <w:t>Nařízení</w:t>
      </w:r>
      <w:r w:rsidR="00B35884" w:rsidRPr="008B1755">
        <w:rPr>
          <w:rFonts w:cs="Arial"/>
          <w:lang w:val="cs-CZ"/>
        </w:rPr>
        <w:t xml:space="preserve"> </w:t>
      </w:r>
      <w:r w:rsidRPr="008B1755">
        <w:rPr>
          <w:rFonts w:cs="Arial"/>
          <w:lang w:val="cs-CZ"/>
        </w:rPr>
        <w:t xml:space="preserve">se týká řízení datového provozu a je zakotven v povinnosti </w:t>
      </w:r>
      <w:r w:rsidR="007D7F64" w:rsidRPr="008B1755">
        <w:rPr>
          <w:rFonts w:cs="Arial"/>
          <w:lang w:val="cs-CZ"/>
        </w:rPr>
        <w:t>poskytovatel</w:t>
      </w:r>
      <w:r w:rsidRPr="008B1755">
        <w:rPr>
          <w:rFonts w:cs="Arial"/>
          <w:lang w:val="cs-CZ"/>
        </w:rPr>
        <w:t>ů</w:t>
      </w:r>
      <w:r w:rsidR="007D7F64" w:rsidRPr="008B1755">
        <w:rPr>
          <w:rFonts w:cs="Arial"/>
          <w:lang w:val="cs-CZ"/>
        </w:rPr>
        <w:t xml:space="preserve"> internetových služeb</w:t>
      </w:r>
      <w:r w:rsidR="00B35884" w:rsidRPr="008B1755">
        <w:rPr>
          <w:rFonts w:cs="Arial"/>
          <w:lang w:val="cs-CZ"/>
        </w:rPr>
        <w:t xml:space="preserve"> </w:t>
      </w:r>
      <w:r w:rsidRPr="008B1755">
        <w:rPr>
          <w:rFonts w:cs="Arial"/>
          <w:lang w:val="cs-CZ"/>
        </w:rPr>
        <w:t>nakládat při poskytování služeb přístupu k internetu s veškerým provozem stejně</w:t>
      </w:r>
      <w:r w:rsidR="00B35884" w:rsidRPr="008B1755">
        <w:rPr>
          <w:rFonts w:cs="Arial"/>
          <w:lang w:val="cs-CZ"/>
        </w:rPr>
        <w:t>.</w:t>
      </w:r>
      <w:bookmarkEnd w:id="25"/>
      <w:r w:rsidR="00F87FBE" w:rsidRPr="008B1755">
        <w:rPr>
          <w:rFonts w:cs="Arial"/>
          <w:lang w:val="cs-CZ"/>
        </w:rPr>
        <w:t xml:space="preserve"> </w:t>
      </w:r>
      <w:r w:rsidRPr="008B1755">
        <w:rPr>
          <w:rFonts w:cs="Arial"/>
          <w:lang w:val="cs-CZ"/>
        </w:rPr>
        <w:t xml:space="preserve">Porušení tohoto principu, která nejsou odůvodněna podle </w:t>
      </w:r>
      <w:r w:rsidR="00DD272F" w:rsidRPr="008B1755">
        <w:rPr>
          <w:rFonts w:cs="Arial"/>
          <w:lang w:val="cs-CZ"/>
        </w:rPr>
        <w:t>článk</w:t>
      </w:r>
      <w:r w:rsidRPr="008B1755">
        <w:rPr>
          <w:rFonts w:cs="Arial"/>
          <w:lang w:val="cs-CZ"/>
        </w:rPr>
        <w:t>u</w:t>
      </w:r>
      <w:r w:rsidR="00DD272F" w:rsidRPr="008B1755">
        <w:rPr>
          <w:rFonts w:cs="Arial"/>
          <w:lang w:val="cs-CZ"/>
        </w:rPr>
        <w:t xml:space="preserve"> 3 odst. </w:t>
      </w:r>
      <w:r w:rsidR="00F87FBE" w:rsidRPr="008B1755">
        <w:rPr>
          <w:rFonts w:cs="Arial"/>
          <w:lang w:val="cs-CZ"/>
        </w:rPr>
        <w:t>3</w:t>
      </w:r>
      <w:r w:rsidRPr="008B1755">
        <w:rPr>
          <w:rFonts w:cs="Arial"/>
          <w:lang w:val="cs-CZ"/>
        </w:rPr>
        <w:t xml:space="preserve">, by zpravidla představovala rovněž porušení </w:t>
      </w:r>
      <w:r w:rsidR="00466D10" w:rsidRPr="008B1755">
        <w:rPr>
          <w:rFonts w:cs="Arial"/>
          <w:lang w:val="cs-CZ"/>
        </w:rPr>
        <w:t>práv koncových uživatelů</w:t>
      </w:r>
      <w:r w:rsidR="00F87FBE" w:rsidRPr="008B1755">
        <w:rPr>
          <w:rFonts w:cs="Arial"/>
          <w:lang w:val="cs-CZ"/>
        </w:rPr>
        <w:t xml:space="preserve"> </w:t>
      </w:r>
      <w:r w:rsidRPr="008B1755">
        <w:rPr>
          <w:rFonts w:cs="Arial"/>
          <w:lang w:val="cs-CZ"/>
        </w:rPr>
        <w:t xml:space="preserve">stanovených </w:t>
      </w:r>
      <w:r w:rsidR="00F064F8" w:rsidRPr="008B1755">
        <w:rPr>
          <w:rFonts w:cs="Arial"/>
          <w:lang w:val="cs-CZ"/>
        </w:rPr>
        <w:t>v článku</w:t>
      </w:r>
      <w:r w:rsidR="00F87FBE" w:rsidRPr="008B1755">
        <w:rPr>
          <w:rFonts w:cs="Arial"/>
          <w:lang w:val="cs-CZ"/>
        </w:rPr>
        <w:t xml:space="preserve"> 3</w:t>
      </w:r>
      <w:r w:rsidRPr="008B1755">
        <w:rPr>
          <w:rFonts w:cs="Arial"/>
          <w:lang w:val="cs-CZ"/>
        </w:rPr>
        <w:t xml:space="preserve"> odst. </w:t>
      </w:r>
      <w:r w:rsidR="00F87FBE" w:rsidRPr="008B1755">
        <w:rPr>
          <w:rFonts w:cs="Arial"/>
          <w:lang w:val="cs-CZ"/>
        </w:rPr>
        <w:t xml:space="preserve">1. </w:t>
      </w:r>
    </w:p>
    <w:p w:rsidR="005E4C9C" w:rsidRPr="008B1755" w:rsidRDefault="00B96719" w:rsidP="00437ECE">
      <w:pPr>
        <w:pStyle w:val="Odstavecseseznamem"/>
        <w:numPr>
          <w:ilvl w:val="0"/>
          <w:numId w:val="2"/>
        </w:numPr>
        <w:spacing w:after="120"/>
        <w:contextualSpacing w:val="0"/>
        <w:rPr>
          <w:rFonts w:cs="Arial"/>
          <w:lang w:val="cs-CZ"/>
        </w:rPr>
      </w:pPr>
      <w:r w:rsidRPr="008B1755">
        <w:rPr>
          <w:rFonts w:cs="Arial"/>
          <w:lang w:val="cs-CZ"/>
        </w:rPr>
        <w:t xml:space="preserve">Vzhledem k tomu, že </w:t>
      </w:r>
      <w:r w:rsidR="00DD272F" w:rsidRPr="008B1755">
        <w:rPr>
          <w:rFonts w:cs="Arial"/>
          <w:lang w:val="cs-CZ"/>
        </w:rPr>
        <w:t xml:space="preserve">článek 3 odst. </w:t>
      </w:r>
      <w:r w:rsidR="005E4C9C" w:rsidRPr="008B1755">
        <w:rPr>
          <w:rFonts w:cs="Arial"/>
          <w:lang w:val="cs-CZ"/>
        </w:rPr>
        <w:t xml:space="preserve">3 </w:t>
      </w:r>
      <w:r w:rsidRPr="008B1755">
        <w:rPr>
          <w:rFonts w:cs="Arial"/>
          <w:lang w:val="cs-CZ"/>
        </w:rPr>
        <w:t xml:space="preserve">se týká stejného nakládání s veškerým provozem </w:t>
      </w:r>
      <w:r w:rsidRPr="008B1755">
        <w:rPr>
          <w:rFonts w:cs="Arial"/>
          <w:i/>
          <w:lang w:val="cs-CZ"/>
        </w:rPr>
        <w:t xml:space="preserve">„při poskytování </w:t>
      </w:r>
      <w:r w:rsidR="00080F70" w:rsidRPr="008B1755">
        <w:rPr>
          <w:rFonts w:cs="Arial"/>
          <w:i/>
          <w:lang w:val="cs-CZ"/>
        </w:rPr>
        <w:t>služ</w:t>
      </w:r>
      <w:r w:rsidRPr="008B1755">
        <w:rPr>
          <w:rFonts w:cs="Arial"/>
          <w:i/>
          <w:lang w:val="cs-CZ"/>
        </w:rPr>
        <w:t>e</w:t>
      </w:r>
      <w:r w:rsidR="00080F70" w:rsidRPr="008B1755">
        <w:rPr>
          <w:rFonts w:cs="Arial"/>
          <w:i/>
          <w:lang w:val="cs-CZ"/>
        </w:rPr>
        <w:t>b přístupu k</w:t>
      </w:r>
      <w:r w:rsidRPr="008B1755">
        <w:rPr>
          <w:rFonts w:cs="Arial"/>
          <w:i/>
          <w:lang w:val="cs-CZ"/>
        </w:rPr>
        <w:t> </w:t>
      </w:r>
      <w:r w:rsidR="00080F70" w:rsidRPr="008B1755">
        <w:rPr>
          <w:rFonts w:cs="Arial"/>
          <w:i/>
          <w:lang w:val="cs-CZ"/>
        </w:rPr>
        <w:t>internetu</w:t>
      </w:r>
      <w:r w:rsidRPr="008B1755">
        <w:rPr>
          <w:rFonts w:cs="Arial"/>
          <w:i/>
          <w:lang w:val="cs-CZ"/>
        </w:rPr>
        <w:t>“</w:t>
      </w:r>
      <w:r w:rsidR="00A33867" w:rsidRPr="008B1755">
        <w:rPr>
          <w:rFonts w:cs="Arial"/>
          <w:i/>
          <w:lang w:val="cs-CZ"/>
        </w:rPr>
        <w:t>,</w:t>
      </w:r>
      <w:r w:rsidR="005E4C9C" w:rsidRPr="008B1755">
        <w:rPr>
          <w:rFonts w:cs="Arial"/>
          <w:lang w:val="cs-CZ"/>
        </w:rPr>
        <w:t xml:space="preserve"> </w:t>
      </w:r>
      <w:r w:rsidRPr="008B1755">
        <w:rPr>
          <w:rFonts w:cs="Arial"/>
          <w:lang w:val="cs-CZ"/>
        </w:rPr>
        <w:t xml:space="preserve">nevztahuje se tento odstavec na </w:t>
      </w:r>
      <w:r w:rsidRPr="00D62EC3">
        <w:rPr>
          <w:rFonts w:cs="Arial"/>
          <w:lang w:val="cs-CZ"/>
        </w:rPr>
        <w:t xml:space="preserve">způsoby </w:t>
      </w:r>
      <w:r w:rsidR="00145E18" w:rsidRPr="00D62EC3">
        <w:rPr>
          <w:rFonts w:cs="Arial"/>
          <w:lang w:val="cs-CZ"/>
        </w:rPr>
        <w:t xml:space="preserve">IP </w:t>
      </w:r>
      <w:r w:rsidRPr="00D62EC3">
        <w:rPr>
          <w:rFonts w:cs="Arial"/>
          <w:lang w:val="cs-CZ"/>
        </w:rPr>
        <w:t>propojování</w:t>
      </w:r>
      <w:r w:rsidR="005E4C9C" w:rsidRPr="008B1755">
        <w:rPr>
          <w:rFonts w:cs="Arial"/>
          <w:lang w:val="cs-CZ"/>
        </w:rPr>
        <w:t>.</w:t>
      </w:r>
    </w:p>
    <w:p w:rsidR="00B35884" w:rsidRPr="008B1755" w:rsidRDefault="00B96719" w:rsidP="00437ECE">
      <w:pPr>
        <w:numPr>
          <w:ilvl w:val="0"/>
          <w:numId w:val="2"/>
        </w:numPr>
        <w:contextualSpacing/>
        <w:rPr>
          <w:lang w:val="cs-CZ"/>
        </w:rPr>
      </w:pPr>
      <w:r w:rsidRPr="008B1755">
        <w:rPr>
          <w:lang w:val="cs-CZ"/>
        </w:rPr>
        <w:t xml:space="preserve">Při posuzování toho, zda </w:t>
      </w:r>
      <w:r w:rsidR="00DD272F" w:rsidRPr="008B1755">
        <w:rPr>
          <w:lang w:val="cs-CZ"/>
        </w:rPr>
        <w:t>poskytovatel internetových služeb</w:t>
      </w:r>
      <w:r w:rsidR="00B776D7" w:rsidRPr="008B1755">
        <w:rPr>
          <w:lang w:val="cs-CZ"/>
        </w:rPr>
        <w:t xml:space="preserve"> </w:t>
      </w:r>
      <w:r w:rsidRPr="008B1755">
        <w:rPr>
          <w:lang w:val="cs-CZ"/>
        </w:rPr>
        <w:t>dodržuje tento princip</w:t>
      </w:r>
      <w:r w:rsidR="00B35884" w:rsidRPr="008B1755">
        <w:rPr>
          <w:lang w:val="cs-CZ"/>
        </w:rPr>
        <w:t xml:space="preserve">, </w:t>
      </w:r>
      <w:r w:rsidRPr="008B1755">
        <w:rPr>
          <w:lang w:val="cs-CZ"/>
        </w:rPr>
        <w:t xml:space="preserve">by </w:t>
      </w:r>
      <w:r w:rsidR="00926BAE" w:rsidRPr="008B1755">
        <w:rPr>
          <w:lang w:val="cs-CZ"/>
        </w:rPr>
        <w:t>vnitrostátní regulační orgány</w:t>
      </w:r>
      <w:r w:rsidR="00B35884" w:rsidRPr="008B1755">
        <w:rPr>
          <w:lang w:val="cs-CZ"/>
        </w:rPr>
        <w:t xml:space="preserve"> </w:t>
      </w:r>
      <w:r w:rsidR="003F7893" w:rsidRPr="008B1755">
        <w:rPr>
          <w:lang w:val="cs-CZ"/>
        </w:rPr>
        <w:t>měl</w:t>
      </w:r>
      <w:r w:rsidR="003F7893">
        <w:rPr>
          <w:lang w:val="cs-CZ"/>
        </w:rPr>
        <w:t xml:space="preserve">y </w:t>
      </w:r>
      <w:r w:rsidRPr="008B1755">
        <w:rPr>
          <w:lang w:val="cs-CZ"/>
        </w:rPr>
        <w:t>použít dvoustupňové posouzení</w:t>
      </w:r>
      <w:r w:rsidR="00B35884" w:rsidRPr="008B1755">
        <w:rPr>
          <w:lang w:val="cs-CZ"/>
        </w:rPr>
        <w:t>:</w:t>
      </w:r>
    </w:p>
    <w:p w:rsidR="00B35884" w:rsidRPr="008B1755" w:rsidRDefault="00B96719" w:rsidP="00437ECE">
      <w:pPr>
        <w:numPr>
          <w:ilvl w:val="0"/>
          <w:numId w:val="9"/>
        </w:numPr>
        <w:contextualSpacing/>
        <w:rPr>
          <w:rFonts w:cs="Arial"/>
          <w:lang w:val="cs-CZ"/>
        </w:rPr>
      </w:pPr>
      <w:r w:rsidRPr="008B1755">
        <w:rPr>
          <w:rFonts w:cs="Arial"/>
          <w:lang w:val="cs-CZ"/>
        </w:rPr>
        <w:t>V prvním kroku by měly posoudit, zda je se vším provozem nakládáno stejně</w:t>
      </w:r>
      <w:r w:rsidR="00B35884" w:rsidRPr="008B1755">
        <w:rPr>
          <w:rFonts w:cs="Arial"/>
          <w:lang w:val="cs-CZ"/>
        </w:rPr>
        <w:t>.</w:t>
      </w:r>
    </w:p>
    <w:p w:rsidR="00B35884" w:rsidRPr="008B1755" w:rsidRDefault="00B96719" w:rsidP="00437ECE">
      <w:pPr>
        <w:numPr>
          <w:ilvl w:val="0"/>
          <w:numId w:val="9"/>
        </w:numPr>
        <w:rPr>
          <w:rFonts w:cs="Arial"/>
          <w:lang w:val="cs-CZ"/>
        </w:rPr>
      </w:pPr>
      <w:r w:rsidRPr="008B1755">
        <w:rPr>
          <w:rFonts w:cs="Arial"/>
          <w:lang w:val="cs-CZ"/>
        </w:rPr>
        <w:t xml:space="preserve">Ve druhém kroku by měly posoudit, zda jsou situace srovnatelné nebo odlišné a zda existují objektivní důvody, které by mohly ospravedlnit odlišné nakládání </w:t>
      </w:r>
      <w:r w:rsidR="00145E18">
        <w:rPr>
          <w:rFonts w:cs="Arial"/>
          <w:lang w:val="cs-CZ"/>
        </w:rPr>
        <w:t>v</w:t>
      </w:r>
      <w:r w:rsidR="00145E18" w:rsidRPr="008B1755">
        <w:rPr>
          <w:rFonts w:cs="Arial"/>
          <w:lang w:val="cs-CZ"/>
        </w:rPr>
        <w:t> různý</w:t>
      </w:r>
      <w:r w:rsidR="00145E18">
        <w:rPr>
          <w:rFonts w:cs="Arial"/>
          <w:lang w:val="cs-CZ"/>
        </w:rPr>
        <w:t>ch</w:t>
      </w:r>
      <w:r w:rsidR="00145E18" w:rsidRPr="008B1755">
        <w:rPr>
          <w:rFonts w:cs="Arial"/>
          <w:lang w:val="cs-CZ"/>
        </w:rPr>
        <w:t xml:space="preserve"> situac</w:t>
      </w:r>
      <w:r w:rsidR="00145E18">
        <w:rPr>
          <w:rFonts w:cs="Arial"/>
          <w:lang w:val="cs-CZ"/>
        </w:rPr>
        <w:t>ích</w:t>
      </w:r>
      <w:r w:rsidR="00145E18" w:rsidRPr="008B1755">
        <w:rPr>
          <w:rFonts w:cs="Arial"/>
          <w:lang w:val="cs-CZ"/>
        </w:rPr>
        <w:t xml:space="preserve"> </w:t>
      </w:r>
      <w:r w:rsidR="00B776D7" w:rsidRPr="008B1755">
        <w:rPr>
          <w:rFonts w:cs="Arial"/>
          <w:lang w:val="cs-CZ"/>
        </w:rPr>
        <w:t>(</w:t>
      </w:r>
      <w:r w:rsidR="004C4F26" w:rsidRPr="008B1755">
        <w:rPr>
          <w:rFonts w:cs="Arial"/>
          <w:lang w:val="cs-CZ"/>
        </w:rPr>
        <w:t>podle článku</w:t>
      </w:r>
      <w:r w:rsidR="00DD272F" w:rsidRPr="008B1755">
        <w:rPr>
          <w:rFonts w:cs="Arial"/>
          <w:lang w:val="cs-CZ"/>
        </w:rPr>
        <w:t xml:space="preserve"> 3 odst. </w:t>
      </w:r>
      <w:r w:rsidR="00B776D7" w:rsidRPr="008B1755">
        <w:rPr>
          <w:rFonts w:cs="Arial"/>
          <w:lang w:val="cs-CZ"/>
        </w:rPr>
        <w:t>3</w:t>
      </w:r>
      <w:r w:rsidRPr="008B1755">
        <w:rPr>
          <w:rFonts w:cs="Arial"/>
          <w:lang w:val="cs-CZ"/>
        </w:rPr>
        <w:t>,</w:t>
      </w:r>
      <w:r w:rsidR="00B776D7" w:rsidRPr="008B1755">
        <w:rPr>
          <w:rFonts w:cs="Arial"/>
          <w:lang w:val="cs-CZ"/>
        </w:rPr>
        <w:t xml:space="preserve"> </w:t>
      </w:r>
      <w:r w:rsidR="001D70F8" w:rsidRPr="008B1755">
        <w:rPr>
          <w:rFonts w:cs="Arial"/>
          <w:lang w:val="cs-CZ"/>
        </w:rPr>
        <w:t>druhý pododstavec</w:t>
      </w:r>
      <w:r w:rsidR="00B776D7" w:rsidRPr="008B1755">
        <w:rPr>
          <w:rFonts w:cs="Arial"/>
          <w:lang w:val="cs-CZ"/>
        </w:rPr>
        <w:t xml:space="preserve"> – </w:t>
      </w:r>
      <w:r w:rsidR="00DD272F" w:rsidRPr="008B1755">
        <w:rPr>
          <w:rFonts w:cs="Arial"/>
          <w:lang w:val="cs-CZ"/>
        </w:rPr>
        <w:t xml:space="preserve">viz </w:t>
      </w:r>
      <w:r w:rsidR="00D2652F">
        <w:rPr>
          <w:rFonts w:cs="Arial"/>
          <w:lang w:val="cs-CZ"/>
        </w:rPr>
        <w:t>body</w:t>
      </w:r>
      <w:r w:rsidR="00B776D7" w:rsidRPr="008B1755">
        <w:rPr>
          <w:rFonts w:cs="Arial"/>
          <w:lang w:val="cs-CZ"/>
        </w:rPr>
        <w:t xml:space="preserve"> </w:t>
      </w:r>
      <w:r w:rsidR="00AF415C" w:rsidRPr="008B1755">
        <w:rPr>
          <w:lang w:val="cs-CZ"/>
        </w:rPr>
        <w:fldChar w:fldCharType="begin"/>
      </w:r>
      <w:r w:rsidR="00AF415C" w:rsidRPr="008B1755">
        <w:rPr>
          <w:lang w:val="cs-CZ"/>
        </w:rPr>
        <w:instrText xml:space="preserve"> REF _Ref447272504 \r \h  \* MERGEFORMAT </w:instrText>
      </w:r>
      <w:r w:rsidR="00AF415C" w:rsidRPr="008B1755">
        <w:rPr>
          <w:lang w:val="cs-CZ"/>
        </w:rPr>
      </w:r>
      <w:r w:rsidR="00AF415C" w:rsidRPr="008B1755">
        <w:rPr>
          <w:lang w:val="cs-CZ"/>
        </w:rPr>
        <w:fldChar w:fldCharType="separate"/>
      </w:r>
      <w:r w:rsidR="003B403B" w:rsidRPr="008B1755">
        <w:rPr>
          <w:rFonts w:cs="Arial"/>
          <w:lang w:val="cs-CZ"/>
        </w:rPr>
        <w:t>57</w:t>
      </w:r>
      <w:r w:rsidR="00AF415C" w:rsidRPr="008B1755">
        <w:rPr>
          <w:lang w:val="cs-CZ"/>
        </w:rPr>
        <w:fldChar w:fldCharType="end"/>
      </w:r>
      <w:r w:rsidR="00B776D7" w:rsidRPr="008B1755">
        <w:rPr>
          <w:rFonts w:cs="Arial"/>
          <w:lang w:val="cs-CZ"/>
        </w:rPr>
        <w:t>-</w:t>
      </w:r>
      <w:r w:rsidR="00AF415C" w:rsidRPr="008B1755">
        <w:rPr>
          <w:lang w:val="cs-CZ"/>
        </w:rPr>
        <w:fldChar w:fldCharType="begin"/>
      </w:r>
      <w:r w:rsidR="00AF415C" w:rsidRPr="008B1755">
        <w:rPr>
          <w:lang w:val="cs-CZ"/>
        </w:rPr>
        <w:instrText xml:space="preserve"> REF _Ref447272526 \r \h  \* MERGEFORMAT </w:instrText>
      </w:r>
      <w:r w:rsidR="00AF415C" w:rsidRPr="008B1755">
        <w:rPr>
          <w:lang w:val="cs-CZ"/>
        </w:rPr>
      </w:r>
      <w:r w:rsidR="00AF415C" w:rsidRPr="008B1755">
        <w:rPr>
          <w:lang w:val="cs-CZ"/>
        </w:rPr>
        <w:fldChar w:fldCharType="separate"/>
      </w:r>
      <w:r w:rsidR="003B403B" w:rsidRPr="008B1755">
        <w:rPr>
          <w:rFonts w:cs="Arial"/>
          <w:lang w:val="cs-CZ"/>
        </w:rPr>
        <w:t>75</w:t>
      </w:r>
      <w:r w:rsidR="00AF415C" w:rsidRPr="008B1755">
        <w:rPr>
          <w:lang w:val="cs-CZ"/>
        </w:rPr>
        <w:fldChar w:fldCharType="end"/>
      </w:r>
      <w:r w:rsidR="00B776D7" w:rsidRPr="008B1755">
        <w:rPr>
          <w:rFonts w:cs="Arial"/>
          <w:lang w:val="cs-CZ"/>
        </w:rPr>
        <w:t xml:space="preserve"> </w:t>
      </w:r>
      <w:r w:rsidRPr="008B1755">
        <w:rPr>
          <w:rFonts w:cs="Arial"/>
          <w:lang w:val="cs-CZ"/>
        </w:rPr>
        <w:t>níže</w:t>
      </w:r>
      <w:r w:rsidR="00B776D7" w:rsidRPr="008B1755">
        <w:rPr>
          <w:rFonts w:cs="Arial"/>
          <w:lang w:val="cs-CZ"/>
        </w:rPr>
        <w:t>)</w:t>
      </w:r>
      <w:r w:rsidR="00B35884" w:rsidRPr="008B1755">
        <w:rPr>
          <w:rFonts w:cs="Arial"/>
          <w:lang w:val="cs-CZ"/>
        </w:rPr>
        <w:t xml:space="preserve">. </w:t>
      </w:r>
    </w:p>
    <w:p w:rsidR="00B35884" w:rsidRPr="008B1755" w:rsidRDefault="00EC408F" w:rsidP="00437ECE">
      <w:pPr>
        <w:numPr>
          <w:ilvl w:val="0"/>
          <w:numId w:val="2"/>
        </w:numPr>
        <w:rPr>
          <w:lang w:val="cs-CZ"/>
        </w:rPr>
      </w:pPr>
      <w:r w:rsidRPr="008B1755">
        <w:rPr>
          <w:lang w:val="cs-CZ"/>
        </w:rPr>
        <w:t xml:space="preserve">Navíc by </w:t>
      </w:r>
      <w:r w:rsidR="00926BAE" w:rsidRPr="008B1755">
        <w:rPr>
          <w:lang w:val="cs-CZ"/>
        </w:rPr>
        <w:t>vnitrostátní regulační orgány</w:t>
      </w:r>
      <w:r w:rsidR="00B35884" w:rsidRPr="008B1755">
        <w:rPr>
          <w:lang w:val="cs-CZ"/>
        </w:rPr>
        <w:t xml:space="preserve"> </w:t>
      </w:r>
      <w:r w:rsidRPr="008B1755">
        <w:rPr>
          <w:lang w:val="cs-CZ"/>
        </w:rPr>
        <w:t>měl</w:t>
      </w:r>
      <w:r w:rsidR="003F7893">
        <w:rPr>
          <w:lang w:val="cs-CZ"/>
        </w:rPr>
        <w:t>y</w:t>
      </w:r>
      <w:r w:rsidRPr="008B1755">
        <w:rPr>
          <w:lang w:val="cs-CZ"/>
        </w:rPr>
        <w:t xml:space="preserve"> zajistit, aby datový provoz u </w:t>
      </w:r>
      <w:r w:rsidR="007D7F64" w:rsidRPr="008B1755">
        <w:rPr>
          <w:lang w:val="cs-CZ"/>
        </w:rPr>
        <w:t>služb</w:t>
      </w:r>
      <w:r w:rsidRPr="008B1755">
        <w:rPr>
          <w:lang w:val="cs-CZ"/>
        </w:rPr>
        <w:t>y</w:t>
      </w:r>
      <w:r w:rsidR="007D7F64" w:rsidRPr="008B1755">
        <w:rPr>
          <w:lang w:val="cs-CZ"/>
        </w:rPr>
        <w:t xml:space="preserve"> přístupu k internetu</w:t>
      </w:r>
      <w:r w:rsidR="00B35884" w:rsidRPr="008B1755">
        <w:rPr>
          <w:lang w:val="cs-CZ"/>
        </w:rPr>
        <w:t xml:space="preserve"> </w:t>
      </w:r>
      <w:r w:rsidRPr="008B1755">
        <w:rPr>
          <w:lang w:val="cs-CZ"/>
        </w:rPr>
        <w:t>byl řízen</w:t>
      </w:r>
      <w:r w:rsidR="00FC29FE" w:rsidRPr="008B1755">
        <w:rPr>
          <w:lang w:val="cs-CZ"/>
        </w:rPr>
        <w:t>:</w:t>
      </w:r>
    </w:p>
    <w:p w:rsidR="00B35884" w:rsidRPr="008B1755" w:rsidRDefault="00EC408F" w:rsidP="00437ECE">
      <w:pPr>
        <w:numPr>
          <w:ilvl w:val="0"/>
          <w:numId w:val="9"/>
        </w:numPr>
        <w:contextualSpacing/>
        <w:rPr>
          <w:rFonts w:cs="Arial"/>
          <w:lang w:val="cs-CZ"/>
        </w:rPr>
      </w:pPr>
      <w:r w:rsidRPr="008B1755">
        <w:rPr>
          <w:rFonts w:cs="Arial"/>
          <w:i/>
          <w:lang w:val="cs-CZ"/>
        </w:rPr>
        <w:t>„</w:t>
      </w:r>
      <w:r w:rsidRPr="008B1755">
        <w:rPr>
          <w:rStyle w:val="BERECcitaceChar"/>
          <w:lang w:val="cs-CZ"/>
        </w:rPr>
        <w:t>bez diskriminace, omezení či narušování</w:t>
      </w:r>
      <w:r w:rsidRPr="008B1755">
        <w:rPr>
          <w:rFonts w:cs="Arial"/>
          <w:i/>
          <w:lang w:val="cs-CZ"/>
        </w:rPr>
        <w:t>“</w:t>
      </w:r>
      <w:r w:rsidR="00B35884" w:rsidRPr="008B1755">
        <w:rPr>
          <w:rFonts w:cs="Arial"/>
          <w:lang w:val="cs-CZ"/>
        </w:rPr>
        <w:t>;</w:t>
      </w:r>
    </w:p>
    <w:p w:rsidR="00B35884" w:rsidRPr="008B1755" w:rsidRDefault="00EC408F" w:rsidP="00437ECE">
      <w:pPr>
        <w:numPr>
          <w:ilvl w:val="0"/>
          <w:numId w:val="9"/>
        </w:numPr>
        <w:contextualSpacing/>
        <w:rPr>
          <w:rFonts w:cs="Arial"/>
          <w:lang w:val="cs-CZ"/>
        </w:rPr>
      </w:pPr>
      <w:r w:rsidRPr="008B1755">
        <w:rPr>
          <w:rFonts w:cs="Arial"/>
          <w:i/>
          <w:lang w:val="cs-CZ"/>
        </w:rPr>
        <w:t>„</w:t>
      </w:r>
      <w:r w:rsidRPr="008B1755">
        <w:rPr>
          <w:rStyle w:val="BERECcitaceChar"/>
          <w:lang w:val="cs-CZ"/>
        </w:rPr>
        <w:t>nezávisle na odesílateli, příjemci, obsahu, aplikaci, službě nebo koncovém zařízení</w:t>
      </w:r>
      <w:r w:rsidRPr="008B1755">
        <w:rPr>
          <w:rFonts w:cs="Arial"/>
          <w:i/>
          <w:lang w:val="cs-CZ"/>
        </w:rPr>
        <w:t>“</w:t>
      </w:r>
      <w:r w:rsidR="00B35884" w:rsidRPr="008B1755">
        <w:rPr>
          <w:rFonts w:cs="Arial"/>
          <w:lang w:val="cs-CZ"/>
        </w:rPr>
        <w:t>.</w:t>
      </w:r>
    </w:p>
    <w:p w:rsidR="003A11A2" w:rsidRPr="008B1755" w:rsidRDefault="00730C18" w:rsidP="00437ECE">
      <w:pPr>
        <w:pStyle w:val="Odstavecseseznamem"/>
        <w:numPr>
          <w:ilvl w:val="0"/>
          <w:numId w:val="2"/>
        </w:numPr>
        <w:spacing w:after="120"/>
        <w:contextualSpacing w:val="0"/>
        <w:rPr>
          <w:rFonts w:cs="Arial"/>
          <w:lang w:val="cs-CZ"/>
        </w:rPr>
      </w:pPr>
      <w:bookmarkStart w:id="26" w:name="_Ref447113971"/>
      <w:r w:rsidRPr="008B1755">
        <w:rPr>
          <w:rFonts w:cs="Arial"/>
          <w:lang w:val="cs-CZ"/>
        </w:rPr>
        <w:t xml:space="preserve">Vnitrostátní </w:t>
      </w:r>
      <w:r w:rsidR="00926BAE" w:rsidRPr="008B1755">
        <w:rPr>
          <w:rFonts w:cs="Arial"/>
          <w:lang w:val="cs-CZ"/>
        </w:rPr>
        <w:t>regulační orgány</w:t>
      </w:r>
      <w:r w:rsidR="00B35884" w:rsidRPr="008B1755">
        <w:rPr>
          <w:rFonts w:cs="Arial"/>
          <w:lang w:val="cs-CZ"/>
        </w:rPr>
        <w:t xml:space="preserve"> </w:t>
      </w:r>
      <w:r w:rsidRPr="008B1755">
        <w:rPr>
          <w:rFonts w:cs="Arial"/>
          <w:lang w:val="cs-CZ"/>
        </w:rPr>
        <w:t xml:space="preserve">by měly přihlédnout k tomu, že stejné zacházení neznamená nutně, že všichni </w:t>
      </w:r>
      <w:r w:rsidR="00C44AED" w:rsidRPr="008B1755">
        <w:rPr>
          <w:rFonts w:cs="Arial"/>
          <w:lang w:val="cs-CZ"/>
        </w:rPr>
        <w:t>koncoví uživatelé</w:t>
      </w:r>
      <w:r w:rsidR="00B35884" w:rsidRPr="008B1755">
        <w:rPr>
          <w:rFonts w:cs="Arial"/>
          <w:lang w:val="cs-CZ"/>
        </w:rPr>
        <w:t xml:space="preserve"> </w:t>
      </w:r>
      <w:r w:rsidR="00AA1766" w:rsidRPr="008B1755">
        <w:rPr>
          <w:rFonts w:cs="Arial"/>
          <w:lang w:val="cs-CZ"/>
        </w:rPr>
        <w:t xml:space="preserve">budou mít k dispozici stejný výkon sítě nebo kvalitu služby </w:t>
      </w:r>
      <w:r w:rsidR="008E17EC" w:rsidRPr="008B1755">
        <w:rPr>
          <w:rFonts w:cs="Arial"/>
          <w:lang w:val="cs-CZ"/>
        </w:rPr>
        <w:t>(</w:t>
      </w:r>
      <w:r w:rsidR="00B35884" w:rsidRPr="008B1755">
        <w:rPr>
          <w:rFonts w:cs="Arial"/>
          <w:lang w:val="cs-CZ"/>
        </w:rPr>
        <w:t>QoS</w:t>
      </w:r>
      <w:r w:rsidR="008E17EC" w:rsidRPr="008B1755">
        <w:rPr>
          <w:rFonts w:cs="Arial"/>
          <w:lang w:val="cs-CZ"/>
        </w:rPr>
        <w:t>)</w:t>
      </w:r>
      <w:r w:rsidR="00B35884" w:rsidRPr="008B1755">
        <w:rPr>
          <w:rFonts w:cs="Arial"/>
          <w:lang w:val="cs-CZ"/>
        </w:rPr>
        <w:t xml:space="preserve">. </w:t>
      </w:r>
      <w:r w:rsidR="00AA1766" w:rsidRPr="008B1755">
        <w:rPr>
          <w:rFonts w:cs="Arial"/>
          <w:lang w:val="cs-CZ"/>
        </w:rPr>
        <w:t xml:space="preserve">Proto i když u paketů může být různý přenosový výkon </w:t>
      </w:r>
      <w:r w:rsidR="00E727B6" w:rsidRPr="008B1755">
        <w:rPr>
          <w:rFonts w:cs="Arial"/>
          <w:lang w:val="cs-CZ"/>
        </w:rPr>
        <w:t>(</w:t>
      </w:r>
      <w:r w:rsidR="00BE001A" w:rsidRPr="008B1755">
        <w:rPr>
          <w:rFonts w:cs="Arial"/>
          <w:lang w:val="cs-CZ"/>
        </w:rPr>
        <w:t>např.</w:t>
      </w:r>
      <w:r w:rsidR="00E727B6" w:rsidRPr="008B1755">
        <w:rPr>
          <w:rFonts w:cs="Arial"/>
          <w:lang w:val="cs-CZ"/>
        </w:rPr>
        <w:t xml:space="preserve"> </w:t>
      </w:r>
      <w:r w:rsidR="00AA1766" w:rsidRPr="008B1755">
        <w:rPr>
          <w:rFonts w:cs="Arial"/>
          <w:lang w:val="cs-CZ"/>
        </w:rPr>
        <w:t xml:space="preserve">u </w:t>
      </w:r>
      <w:r w:rsidR="00E727B6" w:rsidRPr="008B1755">
        <w:rPr>
          <w:rFonts w:cs="Arial"/>
          <w:lang w:val="cs-CZ"/>
        </w:rPr>
        <w:t>paramet</w:t>
      </w:r>
      <w:r w:rsidR="00AA1766" w:rsidRPr="008B1755">
        <w:rPr>
          <w:rFonts w:cs="Arial"/>
          <w:lang w:val="cs-CZ"/>
        </w:rPr>
        <w:t xml:space="preserve">rů jako např. </w:t>
      </w:r>
      <w:r w:rsidR="00AA1766" w:rsidRPr="008B1755">
        <w:rPr>
          <w:rStyle w:val="BERECChar"/>
          <w:lang w:val="cs-CZ"/>
        </w:rPr>
        <w:t>prodleva nebo kolísání kvality přenosu</w:t>
      </w:r>
      <w:r w:rsidR="00E727B6" w:rsidRPr="008B1755">
        <w:rPr>
          <w:rFonts w:cs="Arial"/>
          <w:lang w:val="cs-CZ"/>
        </w:rPr>
        <w:t>)</w:t>
      </w:r>
      <w:r w:rsidR="00B35884" w:rsidRPr="008B1755">
        <w:rPr>
          <w:rFonts w:cs="Arial"/>
          <w:lang w:val="cs-CZ"/>
        </w:rPr>
        <w:t xml:space="preserve">, </w:t>
      </w:r>
      <w:r w:rsidR="00AA1766" w:rsidRPr="008B1755">
        <w:rPr>
          <w:rFonts w:cs="Arial"/>
          <w:lang w:val="cs-CZ"/>
        </w:rPr>
        <w:t>lze mít za to, že s pakety je nakládáno stejně, pokud jsou všechny pakety zpracovávány bez upřednostňování/znevýhodňování konkrétního odesílatele a příjemce</w:t>
      </w:r>
      <w:r w:rsidR="00B35884" w:rsidRPr="008B1755">
        <w:rPr>
          <w:rFonts w:cs="Arial"/>
          <w:lang w:val="cs-CZ"/>
        </w:rPr>
        <w:t xml:space="preserve">, </w:t>
      </w:r>
      <w:r w:rsidR="00A6340E" w:rsidRPr="008B1755">
        <w:rPr>
          <w:rFonts w:cs="Arial"/>
          <w:lang w:val="cs-CZ"/>
        </w:rPr>
        <w:t>zpřístupňovaného nebo šířeného obsahu a používané nebo poskytované aplikace nebo služby</w:t>
      </w:r>
      <w:r w:rsidR="00B35884" w:rsidRPr="008B1755">
        <w:rPr>
          <w:rFonts w:cs="Arial"/>
          <w:lang w:val="cs-CZ"/>
        </w:rPr>
        <w:t>.</w:t>
      </w:r>
      <w:bookmarkEnd w:id="26"/>
      <w:r w:rsidR="007F4210" w:rsidRPr="008B1755">
        <w:rPr>
          <w:rFonts w:cs="Arial"/>
          <w:lang w:val="cs-CZ"/>
        </w:rPr>
        <w:t xml:space="preserve"> </w:t>
      </w:r>
    </w:p>
    <w:p w:rsidR="005B4DA7" w:rsidRPr="005B4DA7" w:rsidRDefault="005B4DA7" w:rsidP="00210144">
      <w:pPr>
        <w:pStyle w:val="BERECcitace"/>
        <w:rPr>
          <w:rFonts w:cs="Arial"/>
          <w:i w:val="0"/>
        </w:rPr>
      </w:pPr>
      <w:r w:rsidRPr="005B4DA7">
        <w:rPr>
          <w:i w:val="0"/>
        </w:rPr>
        <w:t>Předcházení zahlcení, prováděné zařízením uživatele služby</w:t>
      </w:r>
      <w:r w:rsidRPr="005B4DA7">
        <w:rPr>
          <w:rStyle w:val="Znakapoznpodarou"/>
          <w:i w:val="0"/>
        </w:rPr>
        <w:footnoteReference w:id="16"/>
      </w:r>
      <w:r w:rsidRPr="005B4DA7">
        <w:rPr>
          <w:i w:val="0"/>
        </w:rPr>
        <w:t xml:space="preserve"> (end-point based congestion control</w:t>
      </w:r>
      <w:r>
        <w:rPr>
          <w:i w:val="0"/>
        </w:rPr>
        <w:t>)</w:t>
      </w:r>
      <w:r w:rsidRPr="005B4DA7">
        <w:rPr>
          <w:i w:val="0"/>
        </w:rPr>
        <w:t>, typickým příkladem je předcházení zahlcení v protokolu TCP, Transmission Control Protocol) není v rozporu s čl. 3 odst. 3, první pododstavec, jelikož se již ze své podstaty odehrává v koncovém zařízení, a na koncová zařízení se Nařízení nevztahuje.  Opatření, aplikovaná poskytovateli internetových služeb uvnitř sítí a sloužící k podpoře mechanismů pro předcházení zahlcení prováděného zařízením uživatele služby3, by národní regulační orgány měly posuzovat jako opatření v souladu se zásadou stejného nakládání a tudíž přípustné, pokud jde o mechanismy fungující uvnitř sítě agnostickým způsobem vůči aplikacím, běžícím v zařízení uživatele služby</w:t>
      </w:r>
      <w:r>
        <w:rPr>
          <w:i w:val="0"/>
        </w:rPr>
        <w:t>,  a </w:t>
      </w:r>
      <w:r w:rsidRPr="005B4DA7">
        <w:rPr>
          <w:i w:val="0"/>
        </w:rPr>
        <w:t xml:space="preserve">k obcházení Nařízení u nich nedochází. </w:t>
      </w:r>
    </w:p>
    <w:p w:rsidR="00B35884" w:rsidRPr="008B1755" w:rsidRDefault="003532D1" w:rsidP="00437ECE">
      <w:pPr>
        <w:numPr>
          <w:ilvl w:val="0"/>
          <w:numId w:val="2"/>
        </w:numPr>
        <w:rPr>
          <w:lang w:val="cs-CZ"/>
        </w:rPr>
      </w:pPr>
      <w:bookmarkStart w:id="27" w:name="_Ref447275754"/>
      <w:r>
        <w:rPr>
          <w:lang w:val="cs-CZ"/>
        </w:rPr>
        <w:t>P</w:t>
      </w:r>
      <w:r w:rsidR="00354BC1" w:rsidRPr="008B1755">
        <w:rPr>
          <w:lang w:val="cs-CZ"/>
        </w:rPr>
        <w:t>řípad</w:t>
      </w:r>
      <w:r>
        <w:rPr>
          <w:lang w:val="cs-CZ"/>
        </w:rPr>
        <w:t>y</w:t>
      </w:r>
      <w:r w:rsidR="00354BC1" w:rsidRPr="008B1755">
        <w:rPr>
          <w:lang w:val="cs-CZ"/>
        </w:rPr>
        <w:t xml:space="preserve"> dohod nebo praktik obsahujících </w:t>
      </w:r>
      <w:r w:rsidR="00B35884" w:rsidRPr="008B1755">
        <w:rPr>
          <w:lang w:val="cs-CZ"/>
        </w:rPr>
        <w:t>technic</w:t>
      </w:r>
      <w:r w:rsidR="00354BC1" w:rsidRPr="008B1755">
        <w:rPr>
          <w:lang w:val="cs-CZ"/>
        </w:rPr>
        <w:t xml:space="preserve">kou diskriminaci by </w:t>
      </w:r>
      <w:r>
        <w:rPr>
          <w:lang w:val="cs-CZ"/>
        </w:rPr>
        <w:t xml:space="preserve">představovaly </w:t>
      </w:r>
      <w:r w:rsidR="00354BC1" w:rsidRPr="008B1755">
        <w:rPr>
          <w:lang w:val="cs-CZ"/>
        </w:rPr>
        <w:t xml:space="preserve">nerovné nakládání, které by nebylo v souladu s čl. </w:t>
      </w:r>
      <w:r w:rsidR="00DD272F" w:rsidRPr="008B1755">
        <w:rPr>
          <w:lang w:val="cs-CZ"/>
        </w:rPr>
        <w:t xml:space="preserve">3 odst. </w:t>
      </w:r>
      <w:r w:rsidR="00042B83" w:rsidRPr="008B1755">
        <w:rPr>
          <w:lang w:val="cs-CZ"/>
        </w:rPr>
        <w:t>3</w:t>
      </w:r>
      <w:r w:rsidR="00B35884" w:rsidRPr="008B1755">
        <w:rPr>
          <w:lang w:val="cs-CZ"/>
        </w:rPr>
        <w:t xml:space="preserve">. </w:t>
      </w:r>
      <w:r w:rsidR="00354BC1" w:rsidRPr="008B1755">
        <w:rPr>
          <w:lang w:val="cs-CZ"/>
        </w:rPr>
        <w:t>To platí zejména pro následující příklady</w:t>
      </w:r>
      <w:r w:rsidR="00B35884" w:rsidRPr="008B1755">
        <w:rPr>
          <w:lang w:val="cs-CZ"/>
        </w:rPr>
        <w:t>:</w:t>
      </w:r>
      <w:bookmarkEnd w:id="27"/>
    </w:p>
    <w:p w:rsidR="00B35884" w:rsidRPr="008B1755" w:rsidRDefault="003532D1" w:rsidP="00437ECE">
      <w:pPr>
        <w:numPr>
          <w:ilvl w:val="0"/>
          <w:numId w:val="9"/>
        </w:numPr>
        <w:contextualSpacing/>
        <w:rPr>
          <w:rFonts w:cs="Arial"/>
          <w:lang w:val="cs-CZ"/>
        </w:rPr>
      </w:pPr>
      <w:r>
        <w:rPr>
          <w:rFonts w:cs="Arial"/>
          <w:lang w:val="cs-CZ"/>
        </w:rPr>
        <w:t>P</w:t>
      </w:r>
      <w:r w:rsidR="00354BC1" w:rsidRPr="008B1755">
        <w:rPr>
          <w:rFonts w:cs="Arial"/>
          <w:lang w:val="cs-CZ"/>
        </w:rPr>
        <w:t xml:space="preserve">raxe, kdy </w:t>
      </w:r>
      <w:r w:rsidR="00DD272F" w:rsidRPr="008B1755">
        <w:rPr>
          <w:rFonts w:cs="Arial"/>
          <w:lang w:val="cs-CZ"/>
        </w:rPr>
        <w:t>poskytovatel internetových služeb</w:t>
      </w:r>
      <w:r w:rsidR="00B35884" w:rsidRPr="008B1755">
        <w:rPr>
          <w:rFonts w:cs="Arial"/>
          <w:lang w:val="cs-CZ"/>
        </w:rPr>
        <w:t xml:space="preserve"> </w:t>
      </w:r>
      <w:r w:rsidR="00354BC1" w:rsidRPr="008B1755">
        <w:rPr>
          <w:rFonts w:cs="Arial"/>
          <w:lang w:val="cs-CZ"/>
        </w:rPr>
        <w:t>blokuje</w:t>
      </w:r>
      <w:r w:rsidR="00384FD5" w:rsidRPr="008B1755">
        <w:rPr>
          <w:rFonts w:cs="Arial"/>
          <w:lang w:val="cs-CZ"/>
        </w:rPr>
        <w:t xml:space="preserve">, </w:t>
      </w:r>
      <w:r w:rsidR="00354BC1" w:rsidRPr="008B1755">
        <w:rPr>
          <w:rFonts w:cs="Arial"/>
          <w:lang w:val="cs-CZ"/>
        </w:rPr>
        <w:t>zpomaluje</w:t>
      </w:r>
      <w:r w:rsidR="00384FD5" w:rsidRPr="008B1755">
        <w:rPr>
          <w:rFonts w:cs="Arial"/>
          <w:lang w:val="cs-CZ"/>
        </w:rPr>
        <w:t xml:space="preserve">, </w:t>
      </w:r>
      <w:r w:rsidR="00354BC1" w:rsidRPr="008B1755">
        <w:rPr>
          <w:rFonts w:cs="Arial"/>
          <w:lang w:val="cs-CZ"/>
        </w:rPr>
        <w:t>omezuje</w:t>
      </w:r>
      <w:r w:rsidR="00384FD5" w:rsidRPr="008B1755">
        <w:rPr>
          <w:rFonts w:cs="Arial"/>
          <w:lang w:val="cs-CZ"/>
        </w:rPr>
        <w:t xml:space="preserve">, </w:t>
      </w:r>
      <w:r w:rsidR="004B05C2" w:rsidRPr="008B1755">
        <w:rPr>
          <w:rFonts w:cs="Arial"/>
          <w:lang w:val="cs-CZ"/>
        </w:rPr>
        <w:t>narušuje</w:t>
      </w:r>
      <w:r w:rsidR="00384FD5" w:rsidRPr="008B1755">
        <w:rPr>
          <w:rFonts w:cs="Arial"/>
          <w:lang w:val="cs-CZ"/>
        </w:rPr>
        <w:t xml:space="preserve">, </w:t>
      </w:r>
      <w:r w:rsidR="00354BC1" w:rsidRPr="008B1755">
        <w:rPr>
          <w:rFonts w:cs="Arial"/>
          <w:lang w:val="cs-CZ"/>
        </w:rPr>
        <w:t xml:space="preserve">zhoršuje </w:t>
      </w:r>
      <w:r w:rsidR="004B05C2" w:rsidRPr="008B1755">
        <w:rPr>
          <w:rFonts w:cs="Arial"/>
          <w:lang w:val="cs-CZ"/>
        </w:rPr>
        <w:t>nebo diskriminuje přístup ke konkrétnímu obsahu</w:t>
      </w:r>
      <w:r w:rsidR="00B35884" w:rsidRPr="008B1755">
        <w:rPr>
          <w:rFonts w:cs="Arial"/>
          <w:lang w:val="cs-CZ"/>
        </w:rPr>
        <w:t xml:space="preserve">, </w:t>
      </w:r>
      <w:r w:rsidR="004B05C2" w:rsidRPr="008B1755">
        <w:rPr>
          <w:rFonts w:cs="Arial"/>
          <w:lang w:val="cs-CZ"/>
        </w:rPr>
        <w:t xml:space="preserve">jedné nebo více aplikacím </w:t>
      </w:r>
      <w:r w:rsidR="00B35884" w:rsidRPr="008B1755">
        <w:rPr>
          <w:rFonts w:cs="Arial"/>
          <w:lang w:val="cs-CZ"/>
        </w:rPr>
        <w:t>(</w:t>
      </w:r>
      <w:r w:rsidR="004B05C2" w:rsidRPr="008B1755">
        <w:rPr>
          <w:rFonts w:cs="Arial"/>
          <w:lang w:val="cs-CZ"/>
        </w:rPr>
        <w:t>nebo jejich kategoriím</w:t>
      </w:r>
      <w:r w:rsidR="00B35884" w:rsidRPr="008B1755">
        <w:rPr>
          <w:rFonts w:cs="Arial"/>
          <w:lang w:val="cs-CZ"/>
        </w:rPr>
        <w:t>)</w:t>
      </w:r>
      <w:r w:rsidR="00B50701" w:rsidRPr="008B1755">
        <w:rPr>
          <w:rFonts w:cs="Arial"/>
          <w:lang w:val="cs-CZ"/>
        </w:rPr>
        <w:t>,</w:t>
      </w:r>
      <w:r w:rsidR="0055677F" w:rsidRPr="008B1755">
        <w:rPr>
          <w:rFonts w:cs="Arial"/>
          <w:lang w:val="cs-CZ"/>
        </w:rPr>
        <w:t xml:space="preserve"> </w:t>
      </w:r>
      <w:r w:rsidR="004B05C2" w:rsidRPr="008B1755">
        <w:rPr>
          <w:rFonts w:cs="Arial"/>
          <w:lang w:val="cs-CZ"/>
        </w:rPr>
        <w:t xml:space="preserve">pokud to není odůvodněno odkazem na výjimky uvedené v </w:t>
      </w:r>
      <w:r w:rsidR="002E5214" w:rsidRPr="008B1755">
        <w:rPr>
          <w:rFonts w:cs="Arial"/>
          <w:lang w:val="cs-CZ"/>
        </w:rPr>
        <w:t>článku</w:t>
      </w:r>
      <w:r w:rsidR="00DD272F" w:rsidRPr="008B1755">
        <w:rPr>
          <w:rFonts w:cs="Arial"/>
          <w:lang w:val="cs-CZ"/>
        </w:rPr>
        <w:t xml:space="preserve"> 3 odst. </w:t>
      </w:r>
      <w:r w:rsidR="0055677F" w:rsidRPr="008B1755">
        <w:rPr>
          <w:rFonts w:cs="Arial"/>
          <w:lang w:val="cs-CZ"/>
        </w:rPr>
        <w:t>3</w:t>
      </w:r>
      <w:r w:rsidR="004B05C2" w:rsidRPr="008B1755">
        <w:rPr>
          <w:rFonts w:cs="Arial"/>
          <w:lang w:val="cs-CZ"/>
        </w:rPr>
        <w:t>,</w:t>
      </w:r>
      <w:r w:rsidR="0055677F" w:rsidRPr="008B1755">
        <w:rPr>
          <w:rFonts w:cs="Arial"/>
          <w:lang w:val="cs-CZ"/>
        </w:rPr>
        <w:t xml:space="preserve"> </w:t>
      </w:r>
      <w:r w:rsidR="001D70F8" w:rsidRPr="008B1755">
        <w:rPr>
          <w:rFonts w:cs="Arial"/>
          <w:lang w:val="cs-CZ"/>
        </w:rPr>
        <w:t>třetí pododstavec</w:t>
      </w:r>
      <w:r w:rsidR="00F6505A" w:rsidRPr="008B1755">
        <w:rPr>
          <w:rFonts w:cs="Arial"/>
          <w:lang w:val="cs-CZ"/>
        </w:rPr>
        <w:t>.</w:t>
      </w:r>
    </w:p>
    <w:p w:rsidR="00B35884" w:rsidRPr="008B1755" w:rsidRDefault="004B05C2" w:rsidP="00437ECE">
      <w:pPr>
        <w:numPr>
          <w:ilvl w:val="0"/>
          <w:numId w:val="9"/>
        </w:numPr>
        <w:contextualSpacing/>
        <w:rPr>
          <w:rFonts w:cs="Arial"/>
          <w:lang w:val="cs-CZ"/>
        </w:rPr>
      </w:pPr>
      <w:r w:rsidRPr="008B1755">
        <w:rPr>
          <w:rFonts w:cs="Arial"/>
          <w:lang w:val="cs-CZ"/>
        </w:rPr>
        <w:t xml:space="preserve">Nabídky služeb </w:t>
      </w:r>
      <w:r w:rsidR="00DD272F" w:rsidRPr="008B1755">
        <w:rPr>
          <w:rFonts w:cs="Arial"/>
          <w:lang w:val="cs-CZ"/>
        </w:rPr>
        <w:t>přístupu k</w:t>
      </w:r>
      <w:r w:rsidRPr="008B1755">
        <w:rPr>
          <w:rFonts w:cs="Arial"/>
          <w:lang w:val="cs-CZ"/>
        </w:rPr>
        <w:t> </w:t>
      </w:r>
      <w:r w:rsidR="00DD272F" w:rsidRPr="008B1755">
        <w:rPr>
          <w:rFonts w:cs="Arial"/>
          <w:lang w:val="cs-CZ"/>
        </w:rPr>
        <w:t>internetu</w:t>
      </w:r>
      <w:r w:rsidRPr="008B1755">
        <w:rPr>
          <w:rFonts w:cs="Arial"/>
          <w:lang w:val="cs-CZ"/>
        </w:rPr>
        <w:t xml:space="preserve">, kdy je ze strany poskytovatele internetových služeb přístup k internetu omezen na omezenou množinu aplikací nebo koncových bodů </w:t>
      </w:r>
      <w:r w:rsidR="00F34FD3" w:rsidRPr="008B1755">
        <w:rPr>
          <w:rFonts w:cs="Arial"/>
          <w:lang w:val="cs-CZ"/>
        </w:rPr>
        <w:t>(</w:t>
      </w:r>
      <w:r w:rsidRPr="008B1755">
        <w:rPr>
          <w:rFonts w:cs="Arial"/>
          <w:lang w:val="cs-CZ"/>
        </w:rPr>
        <w:t xml:space="preserve">nabídky </w:t>
      </w:r>
      <w:r w:rsidR="00F34FD3" w:rsidRPr="008B1755">
        <w:rPr>
          <w:rFonts w:cs="Arial"/>
          <w:lang w:val="cs-CZ"/>
        </w:rPr>
        <w:t>sub-internet</w:t>
      </w:r>
      <w:r w:rsidRPr="008B1755">
        <w:rPr>
          <w:rFonts w:cs="Arial"/>
          <w:lang w:val="cs-CZ"/>
        </w:rPr>
        <w:t>ových služeb</w:t>
      </w:r>
      <w:r w:rsidR="00F34FD3" w:rsidRPr="008B1755">
        <w:rPr>
          <w:rFonts w:cs="Arial"/>
          <w:lang w:val="cs-CZ"/>
        </w:rPr>
        <w:t>)</w:t>
      </w:r>
      <w:r w:rsidRPr="008B1755">
        <w:rPr>
          <w:rFonts w:cs="Arial"/>
          <w:lang w:val="cs-CZ"/>
        </w:rPr>
        <w:t xml:space="preserve">, představují porušení </w:t>
      </w:r>
      <w:r w:rsidR="00DD272F" w:rsidRPr="008B1755">
        <w:rPr>
          <w:rFonts w:cs="Arial"/>
          <w:lang w:val="cs-CZ"/>
        </w:rPr>
        <w:t>člán</w:t>
      </w:r>
      <w:r w:rsidRPr="008B1755">
        <w:rPr>
          <w:rFonts w:cs="Arial"/>
          <w:lang w:val="cs-CZ"/>
        </w:rPr>
        <w:t xml:space="preserve">ku </w:t>
      </w:r>
      <w:r w:rsidR="00DD272F" w:rsidRPr="008B1755">
        <w:rPr>
          <w:rFonts w:cs="Arial"/>
          <w:lang w:val="cs-CZ"/>
        </w:rPr>
        <w:t xml:space="preserve">3 odst. </w:t>
      </w:r>
      <w:r w:rsidR="00B35884" w:rsidRPr="008B1755">
        <w:rPr>
          <w:rFonts w:cs="Arial"/>
          <w:lang w:val="cs-CZ"/>
        </w:rPr>
        <w:t>3</w:t>
      </w:r>
      <w:r w:rsidRPr="008B1755">
        <w:rPr>
          <w:rFonts w:cs="Arial"/>
          <w:lang w:val="cs-CZ"/>
        </w:rPr>
        <w:t xml:space="preserve">, </w:t>
      </w:r>
      <w:r w:rsidR="001D70F8" w:rsidRPr="008B1755">
        <w:rPr>
          <w:rFonts w:cs="Arial"/>
          <w:lang w:val="cs-CZ"/>
        </w:rPr>
        <w:t>první pododstavec</w:t>
      </w:r>
      <w:r w:rsidR="00486D5A" w:rsidRPr="008B1755">
        <w:rPr>
          <w:rFonts w:cs="Arial"/>
          <w:lang w:val="cs-CZ"/>
        </w:rPr>
        <w:t>,</w:t>
      </w:r>
      <w:r w:rsidR="00B35884" w:rsidRPr="008B1755">
        <w:rPr>
          <w:rFonts w:cs="Arial"/>
          <w:lang w:val="cs-CZ"/>
        </w:rPr>
        <w:t xml:space="preserve"> </w:t>
      </w:r>
      <w:r w:rsidRPr="008B1755">
        <w:rPr>
          <w:rFonts w:cs="Arial"/>
          <w:lang w:val="cs-CZ"/>
        </w:rPr>
        <w:t>neboť znamenají blokování aplikací a/nebo diskriminaci</w:t>
      </w:r>
      <w:r w:rsidR="00042B83" w:rsidRPr="008B1755">
        <w:rPr>
          <w:rFonts w:cs="Arial"/>
          <w:lang w:val="cs-CZ"/>
        </w:rPr>
        <w:t xml:space="preserve">, </w:t>
      </w:r>
      <w:r w:rsidRPr="008B1755">
        <w:rPr>
          <w:rFonts w:cs="Arial"/>
          <w:lang w:val="cs-CZ"/>
        </w:rPr>
        <w:t>omezení nebo zásahy související s původem nebo cílem informací</w:t>
      </w:r>
      <w:r w:rsidR="00F6505A" w:rsidRPr="008B1755">
        <w:rPr>
          <w:rFonts w:cs="Arial"/>
          <w:lang w:val="cs-CZ"/>
        </w:rPr>
        <w:t>.</w:t>
      </w:r>
      <w:r w:rsidR="00B35884" w:rsidRPr="008B1755">
        <w:rPr>
          <w:rFonts w:cs="Arial"/>
          <w:lang w:val="cs-CZ"/>
        </w:rPr>
        <w:t xml:space="preserve"> </w:t>
      </w:r>
    </w:p>
    <w:p w:rsidR="00B35884" w:rsidRPr="008B1755" w:rsidRDefault="004B05C2" w:rsidP="00437ECE">
      <w:pPr>
        <w:numPr>
          <w:ilvl w:val="0"/>
          <w:numId w:val="9"/>
        </w:numPr>
        <w:ind w:left="1037" w:hanging="357"/>
        <w:rPr>
          <w:rFonts w:cs="Arial"/>
          <w:lang w:val="cs-CZ"/>
        </w:rPr>
      </w:pPr>
      <w:r w:rsidRPr="008B1755">
        <w:rPr>
          <w:rFonts w:cs="Arial"/>
          <w:lang w:val="cs-CZ"/>
        </w:rPr>
        <w:t xml:space="preserve">Nabídka </w:t>
      </w:r>
      <w:r w:rsidR="0077577C" w:rsidRPr="008B1755">
        <w:rPr>
          <w:lang w:val="cs-CZ"/>
        </w:rPr>
        <w:t>s</w:t>
      </w:r>
      <w:r w:rsidR="0077577C">
        <w:rPr>
          <w:lang w:val="cs-CZ"/>
        </w:rPr>
        <w:t>e zero ratingem</w:t>
      </w:r>
      <w:r w:rsidRPr="008B1755">
        <w:rPr>
          <w:rFonts w:cs="Arial"/>
          <w:lang w:val="cs-CZ"/>
        </w:rPr>
        <w:t xml:space="preserve">, kde </w:t>
      </w:r>
      <w:r w:rsidR="003532D1">
        <w:rPr>
          <w:rFonts w:cs="Arial"/>
          <w:lang w:val="cs-CZ"/>
        </w:rPr>
        <w:t xml:space="preserve">jsou </w:t>
      </w:r>
      <w:r w:rsidRPr="008B1755">
        <w:rPr>
          <w:rFonts w:cs="Arial"/>
          <w:lang w:val="cs-CZ"/>
        </w:rPr>
        <w:t>všechny aplikace blokovány</w:t>
      </w:r>
      <w:r w:rsidR="00B35884" w:rsidRPr="008B1755">
        <w:rPr>
          <w:rFonts w:cs="Arial"/>
          <w:lang w:val="cs-CZ"/>
        </w:rPr>
        <w:t xml:space="preserve"> (</w:t>
      </w:r>
      <w:r w:rsidRPr="008B1755">
        <w:rPr>
          <w:rFonts w:cs="Arial"/>
          <w:lang w:val="cs-CZ"/>
        </w:rPr>
        <w:t>nebo zpomaleny</w:t>
      </w:r>
      <w:r w:rsidR="00B35884" w:rsidRPr="008B1755">
        <w:rPr>
          <w:rFonts w:cs="Arial"/>
          <w:lang w:val="cs-CZ"/>
        </w:rPr>
        <w:t>)</w:t>
      </w:r>
      <w:r w:rsidRPr="008B1755">
        <w:rPr>
          <w:rFonts w:cs="Arial"/>
          <w:lang w:val="cs-CZ"/>
        </w:rPr>
        <w:t>, jakmile je dosaženo datového limitu, s výjimkou aplikace (aplikací), kde je uplatňován</w:t>
      </w:r>
      <w:r w:rsidR="0077577C">
        <w:rPr>
          <w:rFonts w:cs="Arial"/>
          <w:lang w:val="cs-CZ"/>
        </w:rPr>
        <w:t xml:space="preserve"> </w:t>
      </w:r>
      <w:r w:rsidR="0077577C">
        <w:rPr>
          <w:lang w:val="cs-CZ"/>
        </w:rPr>
        <w:t>zero rating</w:t>
      </w:r>
      <w:r w:rsidR="00486D5A" w:rsidRPr="008B1755">
        <w:rPr>
          <w:rFonts w:cs="Arial"/>
          <w:lang w:val="cs-CZ"/>
        </w:rPr>
        <w:t xml:space="preserve">, </w:t>
      </w:r>
      <w:r w:rsidRPr="008B1755">
        <w:rPr>
          <w:rFonts w:cs="Arial"/>
          <w:lang w:val="cs-CZ"/>
        </w:rPr>
        <w:t xml:space="preserve">protože by to představovalo porušení čl. </w:t>
      </w:r>
      <w:r w:rsidR="00DD272F" w:rsidRPr="008B1755">
        <w:rPr>
          <w:rFonts w:cs="Arial"/>
          <w:lang w:val="cs-CZ"/>
        </w:rPr>
        <w:t xml:space="preserve">3 odst. </w:t>
      </w:r>
      <w:r w:rsidR="00B35884" w:rsidRPr="008B1755">
        <w:rPr>
          <w:rFonts w:cs="Arial"/>
          <w:lang w:val="cs-CZ"/>
        </w:rPr>
        <w:t>3</w:t>
      </w:r>
      <w:r w:rsidRPr="008B1755">
        <w:rPr>
          <w:rFonts w:cs="Arial"/>
          <w:lang w:val="cs-CZ"/>
        </w:rPr>
        <w:t xml:space="preserve">, první </w:t>
      </w:r>
      <w:r w:rsidR="00195A82" w:rsidRPr="008B1755">
        <w:rPr>
          <w:rFonts w:cs="Arial"/>
          <w:lang w:val="cs-CZ"/>
        </w:rPr>
        <w:t>(a</w:t>
      </w:r>
      <w:r w:rsidRPr="008B1755">
        <w:rPr>
          <w:rFonts w:cs="Arial"/>
          <w:lang w:val="cs-CZ"/>
        </w:rPr>
        <w:t xml:space="preserve"> třetí</w:t>
      </w:r>
      <w:r w:rsidR="00195A82" w:rsidRPr="008B1755">
        <w:rPr>
          <w:rFonts w:cs="Arial"/>
          <w:lang w:val="cs-CZ"/>
        </w:rPr>
        <w:t xml:space="preserve">) </w:t>
      </w:r>
      <w:r w:rsidR="002E5214" w:rsidRPr="008B1755">
        <w:rPr>
          <w:rFonts w:cs="Arial"/>
          <w:lang w:val="cs-CZ"/>
        </w:rPr>
        <w:t>pododstavec</w:t>
      </w:r>
      <w:r w:rsidR="00B35884" w:rsidRPr="008B1755">
        <w:rPr>
          <w:rFonts w:cs="Arial"/>
          <w:lang w:val="cs-CZ"/>
        </w:rPr>
        <w:t xml:space="preserve">. </w:t>
      </w:r>
    </w:p>
    <w:p w:rsidR="00B35884" w:rsidRPr="008B1755" w:rsidRDefault="004B05C2" w:rsidP="0038751B">
      <w:pPr>
        <w:numPr>
          <w:ilvl w:val="0"/>
          <w:numId w:val="2"/>
        </w:numPr>
        <w:contextualSpacing/>
        <w:rPr>
          <w:lang w:val="cs-CZ"/>
        </w:rPr>
      </w:pPr>
      <w:r w:rsidRPr="008B1755">
        <w:rPr>
          <w:lang w:val="cs-CZ"/>
        </w:rPr>
        <w:t xml:space="preserve">Vnitrostátní </w:t>
      </w:r>
      <w:r w:rsidR="00926BAE" w:rsidRPr="008B1755">
        <w:rPr>
          <w:lang w:val="cs-CZ"/>
        </w:rPr>
        <w:t>regulační orgány</w:t>
      </w:r>
      <w:r w:rsidR="00B35884" w:rsidRPr="008B1755">
        <w:rPr>
          <w:lang w:val="cs-CZ"/>
        </w:rPr>
        <w:t xml:space="preserve"> </w:t>
      </w:r>
      <w:r w:rsidRPr="008B1755">
        <w:rPr>
          <w:lang w:val="cs-CZ"/>
        </w:rPr>
        <w:t xml:space="preserve">by měly provést komplexní posouzení souladu všech nabídek </w:t>
      </w:r>
      <w:r w:rsidR="00DD272F" w:rsidRPr="008B1755">
        <w:rPr>
          <w:lang w:val="cs-CZ"/>
        </w:rPr>
        <w:t>služb</w:t>
      </w:r>
      <w:r w:rsidRPr="008B1755">
        <w:rPr>
          <w:lang w:val="cs-CZ"/>
        </w:rPr>
        <w:t>y</w:t>
      </w:r>
      <w:r w:rsidR="00DD272F" w:rsidRPr="008B1755">
        <w:rPr>
          <w:lang w:val="cs-CZ"/>
        </w:rPr>
        <w:t xml:space="preserve"> přístupu k</w:t>
      </w:r>
      <w:r w:rsidRPr="008B1755">
        <w:rPr>
          <w:lang w:val="cs-CZ"/>
        </w:rPr>
        <w:t> </w:t>
      </w:r>
      <w:r w:rsidR="00DD272F" w:rsidRPr="008B1755">
        <w:rPr>
          <w:lang w:val="cs-CZ"/>
        </w:rPr>
        <w:t>internetu</w:t>
      </w:r>
      <w:r w:rsidRPr="008B1755">
        <w:rPr>
          <w:lang w:val="cs-CZ"/>
        </w:rPr>
        <w:t xml:space="preserve">, které nejsou tak zřejmé jako příklady uvedené </w:t>
      </w:r>
      <w:r w:rsidR="00DD272F" w:rsidRPr="008B1755">
        <w:rPr>
          <w:lang w:val="cs-CZ"/>
        </w:rPr>
        <w:t xml:space="preserve">v </w:t>
      </w:r>
      <w:r w:rsidR="00D2652F">
        <w:rPr>
          <w:lang w:val="cs-CZ"/>
        </w:rPr>
        <w:t>bodu</w:t>
      </w:r>
      <w:r w:rsidR="00486D5A" w:rsidRPr="008B1755">
        <w:rPr>
          <w:lang w:val="cs-CZ"/>
        </w:rPr>
        <w:t xml:space="preserve"> </w:t>
      </w:r>
      <w:r w:rsidR="00CA269E" w:rsidRPr="008B1755">
        <w:rPr>
          <w:lang w:val="cs-CZ"/>
        </w:rPr>
        <w:fldChar w:fldCharType="begin"/>
      </w:r>
      <w:r w:rsidR="00486D5A" w:rsidRPr="008B1755">
        <w:rPr>
          <w:lang w:val="cs-CZ"/>
        </w:rPr>
        <w:instrText xml:space="preserve"> REF _Ref447275754 \r \h </w:instrText>
      </w:r>
      <w:r w:rsidR="00CA269E" w:rsidRPr="008B1755">
        <w:rPr>
          <w:lang w:val="cs-CZ"/>
        </w:rPr>
      </w:r>
      <w:r w:rsidR="00CA269E" w:rsidRPr="008B1755">
        <w:rPr>
          <w:lang w:val="cs-CZ"/>
        </w:rPr>
        <w:fldChar w:fldCharType="separate"/>
      </w:r>
      <w:r w:rsidR="003B403B" w:rsidRPr="008B1755">
        <w:rPr>
          <w:lang w:val="cs-CZ"/>
        </w:rPr>
        <w:t>55</w:t>
      </w:r>
      <w:r w:rsidR="00CA269E" w:rsidRPr="008B1755">
        <w:rPr>
          <w:lang w:val="cs-CZ"/>
        </w:rPr>
        <w:fldChar w:fldCharType="end"/>
      </w:r>
      <w:r w:rsidRPr="008B1755">
        <w:rPr>
          <w:lang w:val="cs-CZ"/>
        </w:rPr>
        <w:t>, s Nařízením</w:t>
      </w:r>
      <w:r w:rsidR="0043527E" w:rsidRPr="008B1755">
        <w:rPr>
          <w:lang w:val="cs-CZ"/>
        </w:rPr>
        <w:t>.</w:t>
      </w:r>
    </w:p>
    <w:p w:rsidR="00B35884" w:rsidRPr="008B1755" w:rsidRDefault="00B35884" w:rsidP="004632E2">
      <w:pPr>
        <w:contextualSpacing/>
        <w:rPr>
          <w:highlight w:val="yellow"/>
          <w:lang w:val="cs-CZ"/>
        </w:rPr>
      </w:pPr>
    </w:p>
    <w:p w:rsidR="00B35884" w:rsidRPr="008B1755" w:rsidRDefault="003E7168" w:rsidP="001B38FB">
      <w:pPr>
        <w:keepNext/>
        <w:keepLines/>
        <w:spacing w:before="360" w:after="120"/>
        <w:outlineLvl w:val="1"/>
        <w:rPr>
          <w:rFonts w:eastAsia="SimSun" w:cs="Arial"/>
          <w:b/>
          <w:bCs/>
          <w:sz w:val="24"/>
          <w:szCs w:val="24"/>
          <w:lang w:val="cs-CZ"/>
        </w:rPr>
      </w:pPr>
      <w:bookmarkStart w:id="28" w:name="_Toc461400159"/>
      <w:r w:rsidRPr="008B1755">
        <w:rPr>
          <w:rFonts w:eastAsia="SimSun" w:cs="Arial"/>
          <w:b/>
          <w:bCs/>
          <w:sz w:val="24"/>
          <w:szCs w:val="24"/>
          <w:lang w:val="cs-CZ"/>
        </w:rPr>
        <w:t xml:space="preserve">Článek </w:t>
      </w:r>
      <w:r w:rsidR="00B35884" w:rsidRPr="008B1755">
        <w:rPr>
          <w:rFonts w:eastAsia="SimSun" w:cs="Arial"/>
          <w:b/>
          <w:bCs/>
          <w:sz w:val="24"/>
          <w:szCs w:val="24"/>
          <w:lang w:val="cs-CZ"/>
        </w:rPr>
        <w:t>3</w:t>
      </w:r>
      <w:r w:rsidR="00224D69" w:rsidRPr="008B1755">
        <w:rPr>
          <w:rFonts w:eastAsia="SimSun" w:cs="Arial"/>
          <w:b/>
          <w:bCs/>
          <w:sz w:val="24"/>
          <w:szCs w:val="24"/>
          <w:lang w:val="cs-CZ"/>
        </w:rPr>
        <w:t xml:space="preserve"> odst. </w:t>
      </w:r>
      <w:r w:rsidR="00B35884" w:rsidRPr="008B1755">
        <w:rPr>
          <w:rFonts w:eastAsia="SimSun" w:cs="Arial"/>
          <w:b/>
          <w:bCs/>
          <w:sz w:val="24"/>
          <w:szCs w:val="24"/>
          <w:lang w:val="cs-CZ"/>
        </w:rPr>
        <w:t>3</w:t>
      </w:r>
      <w:r w:rsidR="00224D69" w:rsidRPr="008B1755">
        <w:rPr>
          <w:rFonts w:eastAsia="SimSun" w:cs="Arial"/>
          <w:b/>
          <w:bCs/>
          <w:sz w:val="24"/>
          <w:szCs w:val="24"/>
          <w:lang w:val="cs-CZ"/>
        </w:rPr>
        <w:t xml:space="preserve">, </w:t>
      </w:r>
      <w:r w:rsidR="001D70F8" w:rsidRPr="008B1755">
        <w:rPr>
          <w:rFonts w:eastAsia="SimSun" w:cs="Arial"/>
          <w:b/>
          <w:bCs/>
          <w:sz w:val="24"/>
          <w:szCs w:val="24"/>
          <w:lang w:val="cs-CZ"/>
        </w:rPr>
        <w:t>druhý pododstavec</w:t>
      </w:r>
      <w:bookmarkEnd w:id="28"/>
    </w:p>
    <w:p w:rsidR="00B35884" w:rsidRPr="008B1755" w:rsidRDefault="00946CEA"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První pododstavec nebrání poskytovatelům služeb přístupu k internetu v zavádění opatření přiměřeného řízení provozu. Aby mohla být tato opatření považována za přiměřená, musí být transparentní, nediskriminační a přiměřená, a nesmí být založena na obchodních cílech, nýbrž na objektivně odlišných požadavcích určitých kategorií provozu na technickou kvalitu služeb. Tato opatření nesmí sledovat konkrétní obsah a nesmí být uplatňována po dobu delší, než je nezbytné</w:t>
      </w:r>
      <w:r w:rsidR="00B35884" w:rsidRPr="008B1755">
        <w:rPr>
          <w:rFonts w:ascii="Times New Roman" w:hAnsi="Times New Roman"/>
          <w:lang w:val="cs-CZ"/>
        </w:rPr>
        <w:t>.</w:t>
      </w:r>
    </w:p>
    <w:p w:rsidR="00B35884" w:rsidRPr="008B1755" w:rsidRDefault="00946CEA" w:rsidP="006F0EC7">
      <w:pPr>
        <w:keepNext/>
        <w:shd w:val="clear" w:color="auto" w:fill="D9D9D9"/>
        <w:spacing w:after="0"/>
        <w:rPr>
          <w:rFonts w:ascii="Times New Roman" w:hAnsi="Times New Roman"/>
          <w:sz w:val="20"/>
          <w:u w:val="single"/>
          <w:lang w:val="cs-CZ"/>
        </w:rPr>
      </w:pPr>
      <w:r w:rsidRPr="008B1755">
        <w:rPr>
          <w:rFonts w:ascii="Times New Roman" w:hAnsi="Times New Roman"/>
          <w:sz w:val="20"/>
          <w:u w:val="single"/>
          <w:lang w:val="cs-CZ"/>
        </w:rPr>
        <w:t xml:space="preserve">Úvodní část Nařízení, bod </w:t>
      </w:r>
      <w:r w:rsidR="00B35884" w:rsidRPr="008B1755">
        <w:rPr>
          <w:rFonts w:ascii="Times New Roman" w:hAnsi="Times New Roman"/>
          <w:sz w:val="20"/>
          <w:u w:val="single"/>
          <w:lang w:val="cs-CZ"/>
        </w:rPr>
        <w:t>9</w:t>
      </w:r>
    </w:p>
    <w:p w:rsidR="00B35884" w:rsidRPr="008B1755" w:rsidRDefault="000F62E4" w:rsidP="006F0EC7">
      <w:pPr>
        <w:shd w:val="clear" w:color="auto" w:fill="D9D9D9"/>
        <w:rPr>
          <w:rFonts w:ascii="Times New Roman" w:hAnsi="Times New Roman"/>
          <w:sz w:val="20"/>
          <w:lang w:val="cs-CZ"/>
        </w:rPr>
      </w:pPr>
      <w:r w:rsidRPr="008B1755">
        <w:rPr>
          <w:rStyle w:val="Style3Char"/>
          <w:sz w:val="20"/>
          <w:lang w:val="cs-CZ"/>
        </w:rPr>
        <w:t>Účelem přiměřeného řízení provozu je přispět k účinnému využívání síťových zdrojů a k optimalizaci celkové kvality přenosu v reakci na objektivně různé požadavky jednotlivých kategorií provozu na technickou kvalitu služeb, a tedy kvalitu přenášeného obsahu, aplikací a služeb. Opatření přiměřeného řízení provozu uplatňovaná poskytovateli služeb přístupu k internetu by měla být transparentní, nediskriminační a přiměřená a neměla by být založena na obchodních cílech. Požadavek nediskriminačních opatření řízení provozu nebrání poskytovatelům služeb přístupu k internetu zavést za účelem optimalizace celkové kvality přenosu opatření řízení provozu rozlišující mezi objektivně odlišnými kategoriemi provozu. Jakékoli takovéto rozlišování by za účelem optimalizace celkové kvality a přínosu pro uživatele mělo být povoleno pouze na základě objektivně odlišných požadavků na technickou kvalitu služeb (například pokud jde o prodlevu, kolísání kvality přenosu („jitter“), ztrátovost paketů a šířku pásma) jednotlivých kategorií provozu, a nikoli na základě obchodních cílů. Takováto rozlišující opatření by měla být přiměřená účelu celkové optimalizace kvality a měla by s rovnocennými druhy provozu nakládat stejně. Tato opatření by neměla být uplatňována déle, než je nezbytné</w:t>
      </w:r>
      <w:r w:rsidR="00B35884" w:rsidRPr="008B1755">
        <w:rPr>
          <w:rFonts w:ascii="Times New Roman" w:hAnsi="Times New Roman"/>
          <w:sz w:val="20"/>
          <w:lang w:val="cs-CZ"/>
        </w:rPr>
        <w:t>.</w:t>
      </w:r>
    </w:p>
    <w:p w:rsidR="00B35884" w:rsidRPr="008B1755" w:rsidRDefault="00946CEA" w:rsidP="006F0EC7">
      <w:pPr>
        <w:keepNext/>
        <w:shd w:val="clear" w:color="auto" w:fill="D9D9D9"/>
        <w:spacing w:after="0"/>
        <w:rPr>
          <w:rFonts w:ascii="Times New Roman" w:hAnsi="Times New Roman"/>
          <w:sz w:val="20"/>
          <w:u w:val="single"/>
          <w:lang w:val="cs-CZ"/>
        </w:rPr>
      </w:pPr>
      <w:r w:rsidRPr="008B1755">
        <w:rPr>
          <w:rFonts w:ascii="Times New Roman" w:hAnsi="Times New Roman"/>
          <w:sz w:val="20"/>
          <w:u w:val="single"/>
          <w:lang w:val="cs-CZ"/>
        </w:rPr>
        <w:t xml:space="preserve">Úvodní část Nařízení, bod </w:t>
      </w:r>
      <w:r w:rsidR="00B35884" w:rsidRPr="008B1755">
        <w:rPr>
          <w:rFonts w:ascii="Times New Roman" w:hAnsi="Times New Roman"/>
          <w:sz w:val="20"/>
          <w:u w:val="single"/>
          <w:lang w:val="cs-CZ"/>
        </w:rPr>
        <w:t>10</w:t>
      </w:r>
    </w:p>
    <w:p w:rsidR="00B35884" w:rsidRPr="008B1755" w:rsidRDefault="00946CEA" w:rsidP="006F0EC7">
      <w:pPr>
        <w:shd w:val="clear" w:color="auto" w:fill="D9D9D9"/>
        <w:rPr>
          <w:rFonts w:ascii="Times New Roman" w:hAnsi="Times New Roman"/>
          <w:sz w:val="20"/>
          <w:lang w:val="cs-CZ"/>
        </w:rPr>
      </w:pPr>
      <w:r w:rsidRPr="008B1755">
        <w:rPr>
          <w:rStyle w:val="Style3Char"/>
          <w:sz w:val="20"/>
          <w:lang w:val="cs-CZ"/>
        </w:rPr>
        <w:t>Přiměřené řízení provozu nevyžaduje použití technik sledování konkrétního obsahu dat přenášených prostřednictvím služby přístupu k internetu</w:t>
      </w:r>
      <w:r w:rsidR="00B35884" w:rsidRPr="008B1755">
        <w:rPr>
          <w:rFonts w:ascii="Times New Roman" w:hAnsi="Times New Roman"/>
          <w:sz w:val="20"/>
          <w:lang w:val="cs-CZ"/>
        </w:rPr>
        <w:t>.</w:t>
      </w:r>
    </w:p>
    <w:p w:rsidR="00B35884" w:rsidRPr="008B1755" w:rsidRDefault="00354BC1" w:rsidP="00262769">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Opatření řízení provozu</w:t>
      </w:r>
      <w:r w:rsidR="003A11A2" w:rsidRPr="008B1755">
        <w:rPr>
          <w:rStyle w:val="Znakapoznpodarou"/>
          <w:i/>
          <w:sz w:val="24"/>
          <w:szCs w:val="24"/>
          <w:lang w:val="cs-CZ"/>
        </w:rPr>
        <w:footnoteReference w:id="17"/>
      </w:r>
    </w:p>
    <w:p w:rsidR="00B35884" w:rsidRPr="008B1755" w:rsidRDefault="003132BE" w:rsidP="0038751B">
      <w:pPr>
        <w:numPr>
          <w:ilvl w:val="0"/>
          <w:numId w:val="2"/>
        </w:numPr>
        <w:spacing w:after="120"/>
        <w:rPr>
          <w:rFonts w:cs="Arial"/>
          <w:lang w:val="cs-CZ"/>
        </w:rPr>
      </w:pPr>
      <w:bookmarkStart w:id="29" w:name="_Ref447272504"/>
      <w:r w:rsidRPr="008B1755">
        <w:rPr>
          <w:lang w:val="cs-CZ"/>
        </w:rPr>
        <w:t xml:space="preserve">Při posuzování, zda </w:t>
      </w:r>
      <w:r w:rsidR="00DD272F" w:rsidRPr="008B1755">
        <w:rPr>
          <w:lang w:val="cs-CZ"/>
        </w:rPr>
        <w:t>poskytovatel internetových služeb</w:t>
      </w:r>
      <w:r w:rsidR="00B35884" w:rsidRPr="008B1755">
        <w:rPr>
          <w:lang w:val="cs-CZ"/>
        </w:rPr>
        <w:t xml:space="preserve"> </w:t>
      </w:r>
      <w:r w:rsidRPr="008B1755">
        <w:rPr>
          <w:lang w:val="cs-CZ"/>
        </w:rPr>
        <w:t xml:space="preserve">dodržuje zásadu stejného nakládání stanovenou </w:t>
      </w:r>
      <w:r w:rsidR="00F064F8" w:rsidRPr="008B1755">
        <w:rPr>
          <w:lang w:val="cs-CZ"/>
        </w:rPr>
        <w:t>v článku</w:t>
      </w:r>
      <w:r w:rsidR="00B35884" w:rsidRPr="008B1755">
        <w:rPr>
          <w:lang w:val="cs-CZ"/>
        </w:rPr>
        <w:t xml:space="preserve"> </w:t>
      </w:r>
      <w:r w:rsidR="00585BD7" w:rsidRPr="008B1755">
        <w:rPr>
          <w:lang w:val="cs-CZ"/>
        </w:rPr>
        <w:t>čl. 3 odst. 3</w:t>
      </w:r>
      <w:r w:rsidRPr="008B1755">
        <w:rPr>
          <w:lang w:val="cs-CZ"/>
        </w:rPr>
        <w:t>,</w:t>
      </w:r>
      <w:r w:rsidR="00B35884" w:rsidRPr="008B1755">
        <w:rPr>
          <w:lang w:val="cs-CZ"/>
        </w:rPr>
        <w:t xml:space="preserve"> </w:t>
      </w:r>
      <w:r w:rsidR="001D70F8" w:rsidRPr="008B1755">
        <w:rPr>
          <w:lang w:val="cs-CZ"/>
        </w:rPr>
        <w:t>první pododstavec</w:t>
      </w:r>
      <w:r w:rsidR="00B35884" w:rsidRPr="008B1755">
        <w:rPr>
          <w:lang w:val="cs-CZ"/>
        </w:rPr>
        <w:t xml:space="preserve">, </w:t>
      </w:r>
      <w:r w:rsidRPr="008B1755">
        <w:rPr>
          <w:lang w:val="cs-CZ"/>
        </w:rPr>
        <w:t xml:space="preserve">by </w:t>
      </w:r>
      <w:r w:rsidR="00926BAE" w:rsidRPr="008B1755">
        <w:rPr>
          <w:lang w:val="cs-CZ"/>
        </w:rPr>
        <w:t>vnitrostátní regulační orgány</w:t>
      </w:r>
      <w:r w:rsidR="00B35884" w:rsidRPr="008B1755">
        <w:rPr>
          <w:lang w:val="cs-CZ"/>
        </w:rPr>
        <w:t xml:space="preserve"> </w:t>
      </w:r>
      <w:r w:rsidRPr="008B1755">
        <w:rPr>
          <w:lang w:val="cs-CZ"/>
        </w:rPr>
        <w:t>měly přihlédnout k tomu, zda je opatření přiměřeným opatřením řízení provozu</w:t>
      </w:r>
      <w:r w:rsidR="00B35884" w:rsidRPr="008B1755">
        <w:rPr>
          <w:rFonts w:cs="Arial"/>
          <w:lang w:val="cs-CZ"/>
        </w:rPr>
        <w:t xml:space="preserve">. </w:t>
      </w:r>
      <w:r w:rsidR="00C974DA" w:rsidRPr="008B1755">
        <w:rPr>
          <w:rFonts w:cs="Arial"/>
          <w:lang w:val="cs-CZ"/>
        </w:rPr>
        <w:t xml:space="preserve">Zásada </w:t>
      </w:r>
      <w:r w:rsidR="00C974DA" w:rsidRPr="008B1755">
        <w:rPr>
          <w:lang w:val="cs-CZ"/>
        </w:rPr>
        <w:t xml:space="preserve">stejného nakládání </w:t>
      </w:r>
      <w:r w:rsidR="00C974DA" w:rsidRPr="008B1755">
        <w:rPr>
          <w:rFonts w:cs="Arial"/>
          <w:lang w:val="cs-CZ"/>
        </w:rPr>
        <w:t xml:space="preserve">s provozem nebrání </w:t>
      </w:r>
      <w:r w:rsidR="007D7F64" w:rsidRPr="008B1755">
        <w:rPr>
          <w:rFonts w:cs="Arial"/>
          <w:lang w:val="cs-CZ"/>
        </w:rPr>
        <w:t>poskytovatel</w:t>
      </w:r>
      <w:r w:rsidR="00C974DA" w:rsidRPr="008B1755">
        <w:rPr>
          <w:rFonts w:cs="Arial"/>
          <w:lang w:val="cs-CZ"/>
        </w:rPr>
        <w:t>ům</w:t>
      </w:r>
      <w:r w:rsidR="007D7F64" w:rsidRPr="008B1755">
        <w:rPr>
          <w:rFonts w:cs="Arial"/>
          <w:lang w:val="cs-CZ"/>
        </w:rPr>
        <w:t xml:space="preserve"> internetových služeb</w:t>
      </w:r>
      <w:r w:rsidR="00B35884" w:rsidRPr="008B1755">
        <w:rPr>
          <w:rFonts w:cs="Arial"/>
          <w:lang w:val="cs-CZ"/>
        </w:rPr>
        <w:t xml:space="preserve"> </w:t>
      </w:r>
      <w:r w:rsidR="00C974DA" w:rsidRPr="008B1755">
        <w:rPr>
          <w:rFonts w:cs="Arial"/>
          <w:lang w:val="cs-CZ"/>
        </w:rPr>
        <w:t xml:space="preserve">v realizaci přiměřených </w:t>
      </w:r>
      <w:r w:rsidR="00466D10" w:rsidRPr="008B1755">
        <w:rPr>
          <w:rFonts w:cs="Arial"/>
          <w:lang w:val="cs-CZ"/>
        </w:rPr>
        <w:t>opatření řízení provozu</w:t>
      </w:r>
      <w:r w:rsidR="00B35884" w:rsidRPr="008B1755">
        <w:rPr>
          <w:rFonts w:cs="Arial"/>
          <w:lang w:val="cs-CZ"/>
        </w:rPr>
        <w:t xml:space="preserve"> </w:t>
      </w:r>
      <w:r w:rsidR="00C974DA" w:rsidRPr="008B1755">
        <w:rPr>
          <w:rFonts w:cs="Arial"/>
          <w:lang w:val="cs-CZ"/>
        </w:rPr>
        <w:t>v souladu s článkem</w:t>
      </w:r>
      <w:r w:rsidR="00DD272F" w:rsidRPr="008B1755">
        <w:rPr>
          <w:rFonts w:cs="Arial"/>
          <w:lang w:val="cs-CZ"/>
        </w:rPr>
        <w:t xml:space="preserve"> 3 </w:t>
      </w:r>
      <w:r w:rsidR="00585BD7" w:rsidRPr="008B1755">
        <w:rPr>
          <w:rFonts w:cs="Arial"/>
          <w:lang w:val="cs-CZ"/>
        </w:rPr>
        <w:t>odst. 3</w:t>
      </w:r>
      <w:r w:rsidR="00C974DA" w:rsidRPr="008B1755">
        <w:rPr>
          <w:rFonts w:cs="Arial"/>
          <w:lang w:val="cs-CZ"/>
        </w:rPr>
        <w:t>,</w:t>
      </w:r>
      <w:r w:rsidR="00B35884" w:rsidRPr="008B1755">
        <w:rPr>
          <w:rFonts w:cs="Arial"/>
          <w:lang w:val="cs-CZ"/>
        </w:rPr>
        <w:t xml:space="preserve"> </w:t>
      </w:r>
      <w:r w:rsidR="001D70F8" w:rsidRPr="008B1755">
        <w:rPr>
          <w:rFonts w:cs="Arial"/>
          <w:lang w:val="cs-CZ"/>
        </w:rPr>
        <w:t>druhý pododstavec</w:t>
      </w:r>
      <w:r w:rsidR="00B35884" w:rsidRPr="008B1755">
        <w:rPr>
          <w:rFonts w:cs="Arial"/>
          <w:lang w:val="cs-CZ"/>
        </w:rPr>
        <w:t>.</w:t>
      </w:r>
      <w:bookmarkEnd w:id="29"/>
      <w:r w:rsidR="00B35884" w:rsidRPr="008B1755">
        <w:rPr>
          <w:rFonts w:cs="Arial"/>
          <w:lang w:val="cs-CZ"/>
        </w:rPr>
        <w:t xml:space="preserve"> </w:t>
      </w:r>
    </w:p>
    <w:p w:rsidR="00B35884" w:rsidRPr="008B1755" w:rsidRDefault="00354BC1" w:rsidP="00262769">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w:t>
      </w:r>
      <w:r w:rsidR="00B35884" w:rsidRPr="008B1755">
        <w:rPr>
          <w:rFonts w:eastAsia="SimSun"/>
          <w:bCs/>
          <w:i/>
          <w:iCs/>
          <w:sz w:val="24"/>
          <w:szCs w:val="24"/>
          <w:u w:val="single"/>
          <w:lang w:val="cs-CZ"/>
        </w:rPr>
        <w:t>Transparent</w:t>
      </w:r>
      <w:r w:rsidRPr="008B1755">
        <w:rPr>
          <w:rFonts w:eastAsia="SimSun"/>
          <w:bCs/>
          <w:i/>
          <w:iCs/>
          <w:sz w:val="24"/>
          <w:szCs w:val="24"/>
          <w:u w:val="single"/>
          <w:lang w:val="cs-CZ"/>
        </w:rPr>
        <w:t>ní</w:t>
      </w:r>
      <w:r w:rsidR="00B35884" w:rsidRPr="008B1755">
        <w:rPr>
          <w:rFonts w:eastAsia="SimSun"/>
          <w:bCs/>
          <w:i/>
          <w:iCs/>
          <w:sz w:val="24"/>
          <w:szCs w:val="24"/>
          <w:u w:val="single"/>
          <w:lang w:val="cs-CZ"/>
        </w:rPr>
        <w:t xml:space="preserve">, </w:t>
      </w:r>
      <w:r w:rsidRPr="008B1755">
        <w:rPr>
          <w:rFonts w:eastAsia="SimSun"/>
          <w:bCs/>
          <w:i/>
          <w:iCs/>
          <w:sz w:val="24"/>
          <w:szCs w:val="24"/>
          <w:u w:val="single"/>
          <w:lang w:val="cs-CZ"/>
        </w:rPr>
        <w:t>nediskriminační a přiměřená“</w:t>
      </w:r>
    </w:p>
    <w:p w:rsidR="00B35884" w:rsidRPr="008B1755" w:rsidRDefault="00C974DA" w:rsidP="0038751B">
      <w:pPr>
        <w:numPr>
          <w:ilvl w:val="0"/>
          <w:numId w:val="2"/>
        </w:numPr>
        <w:spacing w:after="120"/>
        <w:rPr>
          <w:rFonts w:cs="Arial"/>
          <w:lang w:val="cs-CZ"/>
        </w:rPr>
      </w:pPr>
      <w:r w:rsidRPr="008B1755">
        <w:rPr>
          <w:lang w:val="cs-CZ"/>
        </w:rPr>
        <w:t xml:space="preserve">Při posuzování, zda je určité </w:t>
      </w:r>
      <w:r w:rsidR="003132BE" w:rsidRPr="008B1755">
        <w:rPr>
          <w:lang w:val="cs-CZ"/>
        </w:rPr>
        <w:t>opatření řízení provozu</w:t>
      </w:r>
      <w:r w:rsidR="00B35884" w:rsidRPr="008B1755">
        <w:rPr>
          <w:lang w:val="cs-CZ"/>
        </w:rPr>
        <w:t xml:space="preserve"> </w:t>
      </w:r>
      <w:r w:rsidRPr="008B1755">
        <w:rPr>
          <w:lang w:val="cs-CZ"/>
        </w:rPr>
        <w:t>přiměřené</w:t>
      </w:r>
      <w:r w:rsidR="00B35884" w:rsidRPr="008B1755">
        <w:rPr>
          <w:lang w:val="cs-CZ"/>
        </w:rPr>
        <w:t xml:space="preserve">, </w:t>
      </w:r>
      <w:r w:rsidRPr="008B1755">
        <w:rPr>
          <w:lang w:val="cs-CZ"/>
        </w:rPr>
        <w:t xml:space="preserve">by </w:t>
      </w:r>
      <w:r w:rsidR="00926BAE" w:rsidRPr="008B1755">
        <w:rPr>
          <w:lang w:val="cs-CZ"/>
        </w:rPr>
        <w:t>vnitrostátní regulační orgány</w:t>
      </w:r>
      <w:r w:rsidR="00B35884" w:rsidRPr="008B1755">
        <w:rPr>
          <w:lang w:val="cs-CZ"/>
        </w:rPr>
        <w:t xml:space="preserve"> </w:t>
      </w:r>
      <w:r w:rsidRPr="008B1755">
        <w:rPr>
          <w:lang w:val="cs-CZ"/>
        </w:rPr>
        <w:t xml:space="preserve">měly jako první krok posoudit, zda je dané </w:t>
      </w:r>
      <w:r w:rsidR="003132BE" w:rsidRPr="008B1755">
        <w:rPr>
          <w:lang w:val="cs-CZ"/>
        </w:rPr>
        <w:t>opatření řízení provozu</w:t>
      </w:r>
      <w:r w:rsidR="00B35884" w:rsidRPr="008B1755">
        <w:rPr>
          <w:lang w:val="cs-CZ"/>
        </w:rPr>
        <w:t xml:space="preserve"> transparent</w:t>
      </w:r>
      <w:r w:rsidRPr="008B1755">
        <w:rPr>
          <w:lang w:val="cs-CZ"/>
        </w:rPr>
        <w:t>ní</w:t>
      </w:r>
      <w:r w:rsidR="00B35884" w:rsidRPr="008B1755">
        <w:rPr>
          <w:lang w:val="cs-CZ"/>
        </w:rPr>
        <w:t xml:space="preserve">, </w:t>
      </w:r>
      <w:r w:rsidRPr="008B1755">
        <w:rPr>
          <w:lang w:val="cs-CZ"/>
        </w:rPr>
        <w:t>nediskriminační a přiměřené</w:t>
      </w:r>
      <w:r w:rsidR="00B35884" w:rsidRPr="008B1755">
        <w:rPr>
          <w:lang w:val="cs-CZ"/>
        </w:rPr>
        <w:t xml:space="preserve">. </w:t>
      </w:r>
      <w:r w:rsidRPr="008B1755">
        <w:rPr>
          <w:lang w:val="cs-CZ"/>
        </w:rPr>
        <w:t xml:space="preserve">Tyto podmínky jsou právní zásady, které se již používají v každodenní regulační praxi při uplatňování práva </w:t>
      </w:r>
      <w:r w:rsidR="00B35884" w:rsidRPr="008B1755">
        <w:rPr>
          <w:lang w:val="cs-CZ"/>
        </w:rPr>
        <w:t xml:space="preserve">EU </w:t>
      </w:r>
      <w:r w:rsidRPr="008B1755">
        <w:rPr>
          <w:lang w:val="cs-CZ"/>
        </w:rPr>
        <w:t>a příslušného vnitrostátního práva</w:t>
      </w:r>
      <w:r w:rsidR="00B35884" w:rsidRPr="008B1755">
        <w:rPr>
          <w:lang w:val="cs-CZ"/>
        </w:rPr>
        <w:t xml:space="preserve">. </w:t>
      </w:r>
    </w:p>
    <w:p w:rsidR="00287451" w:rsidRPr="008B1755" w:rsidRDefault="00C974DA" w:rsidP="0038751B">
      <w:pPr>
        <w:numPr>
          <w:ilvl w:val="0"/>
          <w:numId w:val="2"/>
        </w:numPr>
        <w:spacing w:after="120"/>
        <w:rPr>
          <w:lang w:val="cs-CZ"/>
        </w:rPr>
      </w:pPr>
      <w:r w:rsidRPr="008B1755">
        <w:rPr>
          <w:rFonts w:cs="Arial"/>
          <w:lang w:val="cs-CZ"/>
        </w:rPr>
        <w:t xml:space="preserve">Podle </w:t>
      </w:r>
      <w:r w:rsidR="00DD272F" w:rsidRPr="008B1755">
        <w:rPr>
          <w:rFonts w:cs="Arial"/>
          <w:lang w:val="cs-CZ"/>
        </w:rPr>
        <w:t>člán</w:t>
      </w:r>
      <w:r w:rsidRPr="008B1755">
        <w:rPr>
          <w:rFonts w:cs="Arial"/>
          <w:lang w:val="cs-CZ"/>
        </w:rPr>
        <w:t xml:space="preserve">ku </w:t>
      </w:r>
      <w:r w:rsidR="00DD272F" w:rsidRPr="008B1755">
        <w:rPr>
          <w:rFonts w:cs="Arial"/>
          <w:lang w:val="cs-CZ"/>
        </w:rPr>
        <w:t xml:space="preserve">3 </w:t>
      </w:r>
      <w:r w:rsidR="00585BD7" w:rsidRPr="008B1755">
        <w:rPr>
          <w:rFonts w:cs="Arial"/>
          <w:lang w:val="cs-CZ"/>
        </w:rPr>
        <w:t>odst. 3</w:t>
      </w:r>
      <w:r w:rsidRPr="008B1755">
        <w:rPr>
          <w:rFonts w:cs="Arial"/>
          <w:lang w:val="cs-CZ"/>
        </w:rPr>
        <w:t xml:space="preserve"> by </w:t>
      </w:r>
      <w:r w:rsidR="00926BAE" w:rsidRPr="008B1755">
        <w:rPr>
          <w:lang w:val="cs-CZ"/>
        </w:rPr>
        <w:t>vnitrostátní regulační orgány</w:t>
      </w:r>
      <w:r w:rsidR="00287451" w:rsidRPr="008B1755">
        <w:rPr>
          <w:lang w:val="cs-CZ"/>
        </w:rPr>
        <w:t xml:space="preserve"> </w:t>
      </w:r>
      <w:r w:rsidRPr="008B1755">
        <w:rPr>
          <w:lang w:val="cs-CZ"/>
        </w:rPr>
        <w:t xml:space="preserve">měly vyžadovat, aby </w:t>
      </w:r>
      <w:r w:rsidR="007D7F64" w:rsidRPr="008B1755">
        <w:rPr>
          <w:lang w:val="cs-CZ"/>
        </w:rPr>
        <w:t>poskytovatelé internetových služeb</w:t>
      </w:r>
      <w:r w:rsidR="00287451" w:rsidRPr="008B1755">
        <w:rPr>
          <w:lang w:val="cs-CZ"/>
        </w:rPr>
        <w:t xml:space="preserve"> </w:t>
      </w:r>
      <w:r w:rsidRPr="008B1755">
        <w:rPr>
          <w:lang w:val="cs-CZ"/>
        </w:rPr>
        <w:t xml:space="preserve">poskytly </w:t>
      </w:r>
      <w:r w:rsidR="00287451" w:rsidRPr="008B1755">
        <w:rPr>
          <w:i/>
          <w:lang w:val="cs-CZ"/>
        </w:rPr>
        <w:t>transparent</w:t>
      </w:r>
      <w:r w:rsidRPr="008B1755">
        <w:rPr>
          <w:i/>
          <w:lang w:val="cs-CZ"/>
        </w:rPr>
        <w:t>ní</w:t>
      </w:r>
      <w:r w:rsidR="00287451" w:rsidRPr="008B1755">
        <w:rPr>
          <w:lang w:val="cs-CZ"/>
        </w:rPr>
        <w:t xml:space="preserve"> </w:t>
      </w:r>
      <w:r w:rsidRPr="008B1755">
        <w:rPr>
          <w:lang w:val="cs-CZ"/>
        </w:rPr>
        <w:t xml:space="preserve">informace o </w:t>
      </w:r>
      <w:r w:rsidR="004C228F" w:rsidRPr="008B1755">
        <w:rPr>
          <w:lang w:val="cs-CZ"/>
        </w:rPr>
        <w:t>způsobe</w:t>
      </w:r>
      <w:r w:rsidR="004C228F">
        <w:rPr>
          <w:lang w:val="cs-CZ"/>
        </w:rPr>
        <w:t>ch</w:t>
      </w:r>
      <w:r w:rsidR="004C228F" w:rsidRPr="008B1755">
        <w:rPr>
          <w:lang w:val="cs-CZ"/>
        </w:rPr>
        <w:t xml:space="preserve"> </w:t>
      </w:r>
      <w:r w:rsidRPr="008B1755">
        <w:rPr>
          <w:lang w:val="cs-CZ"/>
        </w:rPr>
        <w:t xml:space="preserve">řízení provozu a dopadu těchto způsobů </w:t>
      </w:r>
      <w:r w:rsidR="00287451" w:rsidRPr="008B1755">
        <w:rPr>
          <w:lang w:val="cs-CZ"/>
        </w:rPr>
        <w:t>(</w:t>
      </w:r>
      <w:r w:rsidRPr="008B1755">
        <w:rPr>
          <w:lang w:val="cs-CZ"/>
        </w:rPr>
        <w:t xml:space="preserve">viz také čl. </w:t>
      </w:r>
      <w:r w:rsidR="00287451" w:rsidRPr="008B1755">
        <w:rPr>
          <w:lang w:val="cs-CZ"/>
        </w:rPr>
        <w:t xml:space="preserve">4 a 5). </w:t>
      </w:r>
    </w:p>
    <w:p w:rsidR="00287451" w:rsidRPr="008B1755" w:rsidRDefault="00C974DA" w:rsidP="00437ECE">
      <w:pPr>
        <w:numPr>
          <w:ilvl w:val="0"/>
          <w:numId w:val="2"/>
        </w:numPr>
        <w:rPr>
          <w:lang w:val="cs-CZ"/>
        </w:rPr>
      </w:pPr>
      <w:r w:rsidRPr="008B1755">
        <w:rPr>
          <w:lang w:val="cs-CZ"/>
        </w:rPr>
        <w:t xml:space="preserve">Při posuzování, zda je určité </w:t>
      </w:r>
      <w:r w:rsidR="003132BE" w:rsidRPr="008B1755">
        <w:rPr>
          <w:lang w:val="cs-CZ"/>
        </w:rPr>
        <w:t>opatření řízení provozu</w:t>
      </w:r>
      <w:r w:rsidR="00287451" w:rsidRPr="008B1755">
        <w:rPr>
          <w:lang w:val="cs-CZ"/>
        </w:rPr>
        <w:t xml:space="preserve"> </w:t>
      </w:r>
      <w:r w:rsidRPr="008B1755">
        <w:rPr>
          <w:lang w:val="cs-CZ"/>
        </w:rPr>
        <w:t xml:space="preserve">nediskriminační, by </w:t>
      </w:r>
      <w:r w:rsidR="00926BAE" w:rsidRPr="008B1755">
        <w:rPr>
          <w:lang w:val="cs-CZ"/>
        </w:rPr>
        <w:t>vnitrostátní regulační orgány</w:t>
      </w:r>
      <w:r w:rsidR="00287451" w:rsidRPr="008B1755">
        <w:rPr>
          <w:lang w:val="cs-CZ"/>
        </w:rPr>
        <w:t xml:space="preserve"> </w:t>
      </w:r>
      <w:r w:rsidRPr="008B1755">
        <w:rPr>
          <w:lang w:val="cs-CZ"/>
        </w:rPr>
        <w:t>měly přihlédnout k následujícímu</w:t>
      </w:r>
      <w:r w:rsidR="00287451" w:rsidRPr="008B1755">
        <w:rPr>
          <w:lang w:val="cs-CZ"/>
        </w:rPr>
        <w:t>:</w:t>
      </w:r>
    </w:p>
    <w:p w:rsidR="00287451" w:rsidRPr="008B1755" w:rsidRDefault="00BD0770" w:rsidP="0038751B">
      <w:pPr>
        <w:numPr>
          <w:ilvl w:val="0"/>
          <w:numId w:val="9"/>
        </w:numPr>
        <w:contextualSpacing/>
        <w:rPr>
          <w:lang w:val="cs-CZ"/>
        </w:rPr>
      </w:pPr>
      <w:r w:rsidRPr="008B1755">
        <w:rPr>
          <w:rFonts w:cs="Arial"/>
          <w:lang w:val="cs-CZ"/>
        </w:rPr>
        <w:t xml:space="preserve">Požadavek na to, aby </w:t>
      </w:r>
      <w:r w:rsidR="00466D10" w:rsidRPr="008B1755">
        <w:rPr>
          <w:rFonts w:cs="Arial"/>
          <w:lang w:val="cs-CZ"/>
        </w:rPr>
        <w:t>opatření řízení provozu</w:t>
      </w:r>
      <w:r w:rsidR="00287451" w:rsidRPr="008B1755">
        <w:rPr>
          <w:rFonts w:cs="Arial"/>
          <w:lang w:val="cs-CZ"/>
        </w:rPr>
        <w:t xml:space="preserve"> </w:t>
      </w:r>
      <w:r w:rsidRPr="008B1755">
        <w:rPr>
          <w:rFonts w:cs="Arial"/>
          <w:lang w:val="cs-CZ"/>
        </w:rPr>
        <w:t xml:space="preserve">byla nediskriminační, nebrání </w:t>
      </w:r>
      <w:r w:rsidR="007D7F64" w:rsidRPr="008B1755">
        <w:rPr>
          <w:rFonts w:cs="Arial"/>
          <w:lang w:val="cs-CZ"/>
        </w:rPr>
        <w:t>poskytovatel</w:t>
      </w:r>
      <w:r w:rsidRPr="008B1755">
        <w:rPr>
          <w:rFonts w:cs="Arial"/>
          <w:lang w:val="cs-CZ"/>
        </w:rPr>
        <w:t>ům</w:t>
      </w:r>
      <w:r w:rsidR="007D7F64" w:rsidRPr="008B1755">
        <w:rPr>
          <w:rFonts w:cs="Arial"/>
          <w:lang w:val="cs-CZ"/>
        </w:rPr>
        <w:t xml:space="preserve"> internetových služeb</w:t>
      </w:r>
      <w:r w:rsidR="00287451" w:rsidRPr="008B1755">
        <w:rPr>
          <w:rFonts w:cs="Arial"/>
          <w:lang w:val="cs-CZ"/>
        </w:rPr>
        <w:t xml:space="preserve"> </w:t>
      </w:r>
      <w:r w:rsidRPr="008B1755">
        <w:rPr>
          <w:rFonts w:cs="Arial"/>
          <w:lang w:val="cs-CZ"/>
        </w:rPr>
        <w:t xml:space="preserve">v zavádění </w:t>
      </w:r>
      <w:r w:rsidR="00AD5847" w:rsidRPr="008B1755">
        <w:rPr>
          <w:rFonts w:cs="Arial"/>
          <w:lang w:val="cs-CZ"/>
        </w:rPr>
        <w:t xml:space="preserve">- </w:t>
      </w:r>
      <w:r w:rsidRPr="008B1755">
        <w:rPr>
          <w:rStyle w:val="BERECChar"/>
          <w:lang w:val="cs-CZ"/>
        </w:rPr>
        <w:t xml:space="preserve">za účelem optimalizace celkové kvality přenosu a přínosu pro uživatele </w:t>
      </w:r>
      <w:r w:rsidR="00AD5847" w:rsidRPr="008B1755">
        <w:rPr>
          <w:rFonts w:cs="Arial"/>
          <w:lang w:val="cs-CZ"/>
        </w:rPr>
        <w:t xml:space="preserve">- </w:t>
      </w:r>
      <w:r w:rsidR="00466D10" w:rsidRPr="008B1755">
        <w:rPr>
          <w:rFonts w:cs="Arial"/>
          <w:lang w:val="cs-CZ"/>
        </w:rPr>
        <w:t>opatření řízení provozu</w:t>
      </w:r>
      <w:r w:rsidRPr="008B1755">
        <w:rPr>
          <w:rStyle w:val="BERECChar"/>
          <w:lang w:val="cs-CZ"/>
        </w:rPr>
        <w:t xml:space="preserve"> rozlišujících mezi objektivně odlišnými kategoriemi provozu </w:t>
      </w:r>
      <w:r w:rsidR="00287451" w:rsidRPr="008B1755">
        <w:rPr>
          <w:rFonts w:cs="Arial"/>
          <w:lang w:val="cs-CZ"/>
        </w:rPr>
        <w:t>(</w:t>
      </w:r>
      <w:r w:rsidRPr="008B1755">
        <w:rPr>
          <w:rFonts w:cs="Arial"/>
          <w:lang w:val="cs-CZ"/>
        </w:rPr>
        <w:t>viz</w:t>
      </w:r>
      <w:r w:rsidR="00946CEA" w:rsidRPr="008B1755">
        <w:rPr>
          <w:rFonts w:cs="Arial"/>
          <w:lang w:val="cs-CZ"/>
        </w:rPr>
        <w:t xml:space="preserve"> bod </w:t>
      </w:r>
      <w:r w:rsidR="00287451" w:rsidRPr="008B1755">
        <w:rPr>
          <w:rFonts w:cs="Arial"/>
          <w:lang w:val="cs-CZ"/>
        </w:rPr>
        <w:t>9</w:t>
      </w:r>
      <w:r w:rsidRPr="008B1755">
        <w:rPr>
          <w:rFonts w:cs="Arial"/>
          <w:lang w:val="cs-CZ"/>
        </w:rPr>
        <w:t xml:space="preserve"> úvodní části Nařízení</w:t>
      </w:r>
      <w:r w:rsidR="00287451" w:rsidRPr="008B1755">
        <w:rPr>
          <w:rFonts w:cs="Arial"/>
          <w:lang w:val="cs-CZ"/>
        </w:rPr>
        <w:t xml:space="preserve"> a</w:t>
      </w:r>
      <w:r w:rsidRPr="008B1755">
        <w:rPr>
          <w:rFonts w:cs="Arial"/>
          <w:lang w:val="cs-CZ"/>
        </w:rPr>
        <w:t xml:space="preserve"> </w:t>
      </w:r>
      <w:r w:rsidR="00D2652F">
        <w:rPr>
          <w:rFonts w:cs="Arial"/>
          <w:lang w:val="cs-CZ"/>
        </w:rPr>
        <w:t>body</w:t>
      </w:r>
      <w:r w:rsidRPr="008B1755">
        <w:rPr>
          <w:rFonts w:cs="Arial"/>
          <w:lang w:val="cs-CZ"/>
        </w:rPr>
        <w:t xml:space="preserve"> </w:t>
      </w:r>
      <w:r w:rsidR="00CA269E" w:rsidRPr="008B1755">
        <w:rPr>
          <w:rFonts w:cs="Arial"/>
          <w:lang w:val="cs-CZ"/>
        </w:rPr>
        <w:fldChar w:fldCharType="begin"/>
      </w:r>
      <w:r w:rsidR="0038751B" w:rsidRPr="008B1755">
        <w:rPr>
          <w:rFonts w:cs="Arial"/>
          <w:lang w:val="cs-CZ"/>
        </w:rPr>
        <w:instrText xml:space="preserve"> REF _Ref449367897 \r \h </w:instrText>
      </w:r>
      <w:r w:rsidR="00CA269E" w:rsidRPr="008B1755">
        <w:rPr>
          <w:rFonts w:cs="Arial"/>
          <w:lang w:val="cs-CZ"/>
        </w:rPr>
      </w:r>
      <w:r w:rsidR="00CA269E" w:rsidRPr="008B1755">
        <w:rPr>
          <w:rFonts w:cs="Arial"/>
          <w:lang w:val="cs-CZ"/>
        </w:rPr>
        <w:fldChar w:fldCharType="separate"/>
      </w:r>
      <w:r w:rsidR="003B403B" w:rsidRPr="008B1755">
        <w:rPr>
          <w:rFonts w:cs="Arial"/>
          <w:lang w:val="cs-CZ"/>
        </w:rPr>
        <w:t>62</w:t>
      </w:r>
      <w:r w:rsidR="00CA269E" w:rsidRPr="008B1755">
        <w:rPr>
          <w:rFonts w:cs="Arial"/>
          <w:lang w:val="cs-CZ"/>
        </w:rPr>
        <w:fldChar w:fldCharType="end"/>
      </w:r>
      <w:r w:rsidR="0038751B" w:rsidRPr="008B1755">
        <w:rPr>
          <w:rFonts w:cs="Arial"/>
          <w:lang w:val="cs-CZ"/>
        </w:rPr>
        <w:t>-</w:t>
      </w:r>
      <w:r w:rsidR="00CA269E" w:rsidRPr="008B1755">
        <w:rPr>
          <w:rFonts w:cs="Arial"/>
          <w:lang w:val="cs-CZ"/>
        </w:rPr>
        <w:fldChar w:fldCharType="begin"/>
      </w:r>
      <w:r w:rsidR="0038751B" w:rsidRPr="008B1755">
        <w:rPr>
          <w:rFonts w:cs="Arial"/>
          <w:lang w:val="cs-CZ"/>
        </w:rPr>
        <w:instrText xml:space="preserve"> REF _Ref449367910 \r \h </w:instrText>
      </w:r>
      <w:r w:rsidR="00CA269E" w:rsidRPr="008B1755">
        <w:rPr>
          <w:rFonts w:cs="Arial"/>
          <w:lang w:val="cs-CZ"/>
        </w:rPr>
      </w:r>
      <w:r w:rsidR="00CA269E" w:rsidRPr="008B1755">
        <w:rPr>
          <w:rFonts w:cs="Arial"/>
          <w:lang w:val="cs-CZ"/>
        </w:rPr>
        <w:fldChar w:fldCharType="separate"/>
      </w:r>
      <w:r w:rsidR="003B403B" w:rsidRPr="008B1755">
        <w:rPr>
          <w:rFonts w:cs="Arial"/>
          <w:lang w:val="cs-CZ"/>
        </w:rPr>
        <w:t>67</w:t>
      </w:r>
      <w:r w:rsidR="00CA269E" w:rsidRPr="008B1755">
        <w:rPr>
          <w:rFonts w:cs="Arial"/>
          <w:lang w:val="cs-CZ"/>
        </w:rPr>
        <w:fldChar w:fldCharType="end"/>
      </w:r>
      <w:r w:rsidR="008E17EC" w:rsidRPr="008B1755">
        <w:rPr>
          <w:rFonts w:cs="Arial"/>
          <w:lang w:val="cs-CZ"/>
        </w:rPr>
        <w:t xml:space="preserve"> </w:t>
      </w:r>
      <w:r w:rsidRPr="008B1755">
        <w:rPr>
          <w:rFonts w:cs="Arial"/>
          <w:lang w:val="cs-CZ"/>
        </w:rPr>
        <w:t>níže</w:t>
      </w:r>
      <w:r w:rsidR="00287451" w:rsidRPr="008B1755">
        <w:rPr>
          <w:lang w:val="cs-CZ"/>
        </w:rPr>
        <w:t>).</w:t>
      </w:r>
    </w:p>
    <w:p w:rsidR="00287451" w:rsidRPr="008B1755" w:rsidRDefault="00BD0770" w:rsidP="0038751B">
      <w:pPr>
        <w:numPr>
          <w:ilvl w:val="0"/>
          <w:numId w:val="9"/>
        </w:numPr>
        <w:contextualSpacing/>
        <w:rPr>
          <w:lang w:val="cs-CZ"/>
        </w:rPr>
      </w:pPr>
      <w:r w:rsidRPr="008B1755">
        <w:rPr>
          <w:lang w:val="cs-CZ"/>
        </w:rPr>
        <w:t>Podobné situace, co se týče podobných požadavků na technickou kvalitu služby, by měly být řešeny podobně</w:t>
      </w:r>
      <w:r w:rsidR="008E17EC" w:rsidRPr="008B1755">
        <w:rPr>
          <w:lang w:val="cs-CZ"/>
        </w:rPr>
        <w:t>.</w:t>
      </w:r>
    </w:p>
    <w:p w:rsidR="00287451" w:rsidRPr="008B1755" w:rsidRDefault="00BD0770" w:rsidP="0038751B">
      <w:pPr>
        <w:numPr>
          <w:ilvl w:val="0"/>
          <w:numId w:val="9"/>
        </w:numPr>
        <w:contextualSpacing/>
        <w:rPr>
          <w:lang w:val="cs-CZ"/>
        </w:rPr>
      </w:pPr>
      <w:r w:rsidRPr="008B1755">
        <w:rPr>
          <w:lang w:val="cs-CZ"/>
        </w:rPr>
        <w:t>Různé situace, co se týče různých požadavků na technickou kvalitu služby, lze řešit různými způsoby, pokud je toto řešení objektivně odůvodněno</w:t>
      </w:r>
      <w:r w:rsidR="008E17EC" w:rsidRPr="008B1755">
        <w:rPr>
          <w:lang w:val="cs-CZ"/>
        </w:rPr>
        <w:t>.</w:t>
      </w:r>
    </w:p>
    <w:p w:rsidR="00287451" w:rsidRPr="008B1755" w:rsidRDefault="00BD0770" w:rsidP="0038751B">
      <w:pPr>
        <w:numPr>
          <w:ilvl w:val="0"/>
          <w:numId w:val="9"/>
        </w:numPr>
        <w:spacing w:after="120"/>
        <w:rPr>
          <w:lang w:val="cs-CZ"/>
        </w:rPr>
      </w:pPr>
      <w:r w:rsidRPr="008B1755">
        <w:rPr>
          <w:lang w:val="cs-CZ"/>
        </w:rPr>
        <w:t>Zejména samotná skutečnost, že provoz v síti je šifrován, by neměl</w:t>
      </w:r>
      <w:r w:rsidR="00394FA4">
        <w:rPr>
          <w:lang w:val="cs-CZ"/>
        </w:rPr>
        <w:t>a</w:t>
      </w:r>
      <w:r w:rsidRPr="008B1755">
        <w:rPr>
          <w:lang w:val="cs-CZ"/>
        </w:rPr>
        <w:t xml:space="preserve"> být </w:t>
      </w:r>
      <w:r w:rsidR="00926BAE" w:rsidRPr="008B1755">
        <w:rPr>
          <w:lang w:val="cs-CZ"/>
        </w:rPr>
        <w:t>vnitrostátní</w:t>
      </w:r>
      <w:r w:rsidRPr="008B1755">
        <w:rPr>
          <w:lang w:val="cs-CZ"/>
        </w:rPr>
        <w:t>mi</w:t>
      </w:r>
      <w:r w:rsidR="00926BAE" w:rsidRPr="008B1755">
        <w:rPr>
          <w:lang w:val="cs-CZ"/>
        </w:rPr>
        <w:t xml:space="preserve"> regulační</w:t>
      </w:r>
      <w:r w:rsidRPr="008B1755">
        <w:rPr>
          <w:lang w:val="cs-CZ"/>
        </w:rPr>
        <w:t>mi</w:t>
      </w:r>
      <w:r w:rsidR="00926BAE" w:rsidRPr="008B1755">
        <w:rPr>
          <w:lang w:val="cs-CZ"/>
        </w:rPr>
        <w:t xml:space="preserve"> orgány</w:t>
      </w:r>
      <w:r w:rsidR="00287451" w:rsidRPr="008B1755">
        <w:rPr>
          <w:lang w:val="cs-CZ"/>
        </w:rPr>
        <w:t xml:space="preserve"> </w:t>
      </w:r>
      <w:r w:rsidRPr="008B1755">
        <w:rPr>
          <w:lang w:val="cs-CZ"/>
        </w:rPr>
        <w:t xml:space="preserve">považována za objektivní odůvodnění odlišného nakládání ze strany </w:t>
      </w:r>
      <w:r w:rsidR="00080F70" w:rsidRPr="008B1755">
        <w:rPr>
          <w:lang w:val="cs-CZ"/>
        </w:rPr>
        <w:t>poskytovatel</w:t>
      </w:r>
      <w:r w:rsidRPr="008B1755">
        <w:rPr>
          <w:lang w:val="cs-CZ"/>
        </w:rPr>
        <w:t>ů</w:t>
      </w:r>
      <w:r w:rsidR="007D7F64" w:rsidRPr="008B1755">
        <w:rPr>
          <w:lang w:val="cs-CZ"/>
        </w:rPr>
        <w:t xml:space="preserve"> internetových služeb</w:t>
      </w:r>
      <w:r w:rsidR="00287451" w:rsidRPr="008B1755">
        <w:rPr>
          <w:lang w:val="cs-CZ"/>
        </w:rPr>
        <w:t xml:space="preserve">. </w:t>
      </w:r>
    </w:p>
    <w:p w:rsidR="00B35884" w:rsidRPr="008B1755" w:rsidRDefault="00C974DA" w:rsidP="00437ECE">
      <w:pPr>
        <w:numPr>
          <w:ilvl w:val="0"/>
          <w:numId w:val="2"/>
        </w:numPr>
        <w:rPr>
          <w:lang w:val="cs-CZ"/>
        </w:rPr>
      </w:pPr>
      <w:r w:rsidRPr="008B1755">
        <w:rPr>
          <w:lang w:val="cs-CZ"/>
        </w:rPr>
        <w:t>Při posuzování, zda je určité opatření řízení provozu přiměřené, by vnitrostátní regulační orgány měly přihlédnout k následujícímu</w:t>
      </w:r>
      <w:r w:rsidR="00B35884" w:rsidRPr="008B1755">
        <w:rPr>
          <w:i/>
          <w:lang w:val="cs-CZ"/>
        </w:rPr>
        <w:t>:</w:t>
      </w:r>
      <w:r w:rsidR="00B35884" w:rsidRPr="008B1755">
        <w:rPr>
          <w:lang w:val="cs-CZ"/>
        </w:rPr>
        <w:t xml:space="preserve"> </w:t>
      </w:r>
    </w:p>
    <w:p w:rsidR="00B35884" w:rsidRPr="008B1755" w:rsidRDefault="0098713E" w:rsidP="0038751B">
      <w:pPr>
        <w:numPr>
          <w:ilvl w:val="0"/>
          <w:numId w:val="10"/>
        </w:numPr>
        <w:contextualSpacing/>
        <w:rPr>
          <w:lang w:val="cs-CZ"/>
        </w:rPr>
      </w:pPr>
      <w:r w:rsidRPr="008B1755">
        <w:rPr>
          <w:lang w:val="cs-CZ"/>
        </w:rPr>
        <w:t xml:space="preserve">Toto opatření musí mít </w:t>
      </w:r>
      <w:r w:rsidR="00B35884" w:rsidRPr="008B1755">
        <w:rPr>
          <w:lang w:val="cs-CZ"/>
        </w:rPr>
        <w:t>legitim</w:t>
      </w:r>
      <w:r w:rsidRPr="008B1755">
        <w:rPr>
          <w:lang w:val="cs-CZ"/>
        </w:rPr>
        <w:t>ní cíl</w:t>
      </w:r>
      <w:r w:rsidR="0050706D" w:rsidRPr="008B1755">
        <w:rPr>
          <w:lang w:val="cs-CZ"/>
        </w:rPr>
        <w:t xml:space="preserve">, </w:t>
      </w:r>
      <w:r w:rsidRPr="008B1755">
        <w:rPr>
          <w:lang w:val="cs-CZ"/>
        </w:rPr>
        <w:t>jak je uvedeno v první větě bodu 9 ú</w:t>
      </w:r>
      <w:r w:rsidR="00946CEA" w:rsidRPr="008B1755">
        <w:rPr>
          <w:lang w:val="cs-CZ"/>
        </w:rPr>
        <w:t>vodní část</w:t>
      </w:r>
      <w:r w:rsidRPr="008B1755">
        <w:rPr>
          <w:lang w:val="cs-CZ"/>
        </w:rPr>
        <w:t>i</w:t>
      </w:r>
      <w:r w:rsidR="00946CEA" w:rsidRPr="008B1755">
        <w:rPr>
          <w:lang w:val="cs-CZ"/>
        </w:rPr>
        <w:t xml:space="preserve"> Nařízení</w:t>
      </w:r>
      <w:r w:rsidR="00435750" w:rsidRPr="008B1755">
        <w:rPr>
          <w:lang w:val="cs-CZ"/>
        </w:rPr>
        <w:t xml:space="preserve">, </w:t>
      </w:r>
      <w:r w:rsidRPr="008B1755">
        <w:rPr>
          <w:lang w:val="cs-CZ"/>
        </w:rPr>
        <w:t xml:space="preserve">zejména </w:t>
      </w:r>
      <w:r w:rsidRPr="008B1755">
        <w:rPr>
          <w:rStyle w:val="BERECChar"/>
          <w:lang w:val="cs-CZ"/>
        </w:rPr>
        <w:t>přispět k účinnému využívání síťových zdrojů a k optimalizaci celkové kvality přenosu</w:t>
      </w:r>
      <w:r w:rsidR="008E17EC" w:rsidRPr="008B1755">
        <w:rPr>
          <w:lang w:val="cs-CZ"/>
        </w:rPr>
        <w:t>.</w:t>
      </w:r>
      <w:r w:rsidR="00B35884" w:rsidRPr="008B1755">
        <w:rPr>
          <w:lang w:val="cs-CZ"/>
        </w:rPr>
        <w:t xml:space="preserve"> </w:t>
      </w:r>
    </w:p>
    <w:p w:rsidR="00B35884" w:rsidRPr="008B1755" w:rsidRDefault="0098713E" w:rsidP="0038751B">
      <w:pPr>
        <w:numPr>
          <w:ilvl w:val="0"/>
          <w:numId w:val="10"/>
        </w:numPr>
        <w:contextualSpacing/>
        <w:rPr>
          <w:lang w:val="cs-CZ"/>
        </w:rPr>
      </w:pPr>
      <w:r w:rsidRPr="008B1755">
        <w:rPr>
          <w:lang w:val="cs-CZ"/>
        </w:rPr>
        <w:t xml:space="preserve">Opatření </w:t>
      </w:r>
      <w:r w:rsidR="003132BE" w:rsidRPr="008B1755">
        <w:rPr>
          <w:lang w:val="cs-CZ"/>
        </w:rPr>
        <w:t>řízení provozu</w:t>
      </w:r>
      <w:r w:rsidR="00B35884" w:rsidRPr="008B1755">
        <w:rPr>
          <w:lang w:val="cs-CZ"/>
        </w:rPr>
        <w:t xml:space="preserve"> </w:t>
      </w:r>
      <w:r w:rsidRPr="008B1755">
        <w:rPr>
          <w:lang w:val="cs-CZ"/>
        </w:rPr>
        <w:t xml:space="preserve">musí být vhodné k dosažení tohoto cíle </w:t>
      </w:r>
      <w:r w:rsidR="00B35884" w:rsidRPr="008B1755">
        <w:rPr>
          <w:lang w:val="cs-CZ"/>
        </w:rPr>
        <w:t>(</w:t>
      </w:r>
      <w:r w:rsidRPr="008B1755">
        <w:rPr>
          <w:lang w:val="cs-CZ"/>
        </w:rPr>
        <w:t>s požadavkem prokázání</w:t>
      </w:r>
      <w:r w:rsidR="00E57537" w:rsidRPr="008B1755">
        <w:rPr>
          <w:lang w:val="cs-CZ"/>
        </w:rPr>
        <w:t>, že má tento účinek a že není zjevně nevhodné</w:t>
      </w:r>
      <w:r w:rsidR="00B35884" w:rsidRPr="008B1755">
        <w:rPr>
          <w:lang w:val="cs-CZ"/>
        </w:rPr>
        <w:t>)</w:t>
      </w:r>
      <w:r w:rsidR="008E17EC" w:rsidRPr="008B1755">
        <w:rPr>
          <w:lang w:val="cs-CZ"/>
        </w:rPr>
        <w:t>.</w:t>
      </w:r>
    </w:p>
    <w:p w:rsidR="00B35884" w:rsidRPr="008B1755" w:rsidRDefault="00646D4E" w:rsidP="0038751B">
      <w:pPr>
        <w:numPr>
          <w:ilvl w:val="0"/>
          <w:numId w:val="10"/>
        </w:numPr>
        <w:contextualSpacing/>
        <w:rPr>
          <w:lang w:val="cs-CZ"/>
        </w:rPr>
      </w:pPr>
      <w:r w:rsidRPr="008B1755">
        <w:rPr>
          <w:lang w:val="cs-CZ"/>
        </w:rPr>
        <w:t xml:space="preserve">Opatření </w:t>
      </w:r>
      <w:r w:rsidR="003132BE" w:rsidRPr="008B1755">
        <w:rPr>
          <w:lang w:val="cs-CZ"/>
        </w:rPr>
        <w:t>řízení provozu</w:t>
      </w:r>
      <w:r w:rsidR="00B35884" w:rsidRPr="008B1755">
        <w:rPr>
          <w:lang w:val="cs-CZ"/>
        </w:rPr>
        <w:t xml:space="preserve"> </w:t>
      </w:r>
      <w:r w:rsidRPr="008B1755">
        <w:rPr>
          <w:lang w:val="cs-CZ"/>
        </w:rPr>
        <w:t>musí být nezbytné k dosažení tohoto cíle</w:t>
      </w:r>
      <w:r w:rsidR="008E17EC" w:rsidRPr="008B1755">
        <w:rPr>
          <w:lang w:val="cs-CZ"/>
        </w:rPr>
        <w:t>.</w:t>
      </w:r>
    </w:p>
    <w:p w:rsidR="00B35884" w:rsidRPr="008B1755" w:rsidRDefault="00646D4E" w:rsidP="0038751B">
      <w:pPr>
        <w:numPr>
          <w:ilvl w:val="0"/>
          <w:numId w:val="10"/>
        </w:numPr>
        <w:contextualSpacing/>
        <w:rPr>
          <w:lang w:val="cs-CZ"/>
        </w:rPr>
      </w:pPr>
      <w:r w:rsidRPr="008B1755">
        <w:rPr>
          <w:lang w:val="cs-CZ"/>
        </w:rPr>
        <w:t xml:space="preserve">Neexistuje méně narušující a stejně účinný </w:t>
      </w:r>
      <w:r w:rsidR="008F19C4" w:rsidRPr="008B1755">
        <w:rPr>
          <w:lang w:val="cs-CZ"/>
        </w:rPr>
        <w:t>alternativ</w:t>
      </w:r>
      <w:r w:rsidRPr="008B1755">
        <w:rPr>
          <w:lang w:val="cs-CZ"/>
        </w:rPr>
        <w:t xml:space="preserve">ní způsob řízení provozu k dosažení tohoto cíle </w:t>
      </w:r>
      <w:r w:rsidR="00B35884" w:rsidRPr="008B1755">
        <w:rPr>
          <w:lang w:val="cs-CZ"/>
        </w:rPr>
        <w:t>(</w:t>
      </w:r>
      <w:r w:rsidR="00BE001A" w:rsidRPr="008B1755">
        <w:rPr>
          <w:lang w:val="cs-CZ"/>
        </w:rPr>
        <w:t>např.</w:t>
      </w:r>
      <w:r w:rsidR="00B35884" w:rsidRPr="008B1755">
        <w:rPr>
          <w:lang w:val="cs-CZ"/>
        </w:rPr>
        <w:t xml:space="preserve"> </w:t>
      </w:r>
      <w:r w:rsidRPr="008B1755">
        <w:rPr>
          <w:lang w:val="cs-CZ"/>
        </w:rPr>
        <w:t>stejné nakládání bez kategorií provozu</w:t>
      </w:r>
      <w:r w:rsidR="00B35884" w:rsidRPr="008B1755">
        <w:rPr>
          <w:lang w:val="cs-CZ"/>
        </w:rPr>
        <w:t>)</w:t>
      </w:r>
      <w:r w:rsidR="00616F85" w:rsidRPr="008B1755">
        <w:rPr>
          <w:lang w:val="cs-CZ"/>
        </w:rPr>
        <w:t xml:space="preserve"> </w:t>
      </w:r>
      <w:r w:rsidRPr="008B1755">
        <w:rPr>
          <w:lang w:val="cs-CZ"/>
        </w:rPr>
        <w:t>s dostupnými síťovými zdroji</w:t>
      </w:r>
      <w:r w:rsidR="008E17EC" w:rsidRPr="008B1755">
        <w:rPr>
          <w:lang w:val="cs-CZ"/>
        </w:rPr>
        <w:t>.</w:t>
      </w:r>
      <w:r w:rsidR="00B35884" w:rsidRPr="008B1755">
        <w:rPr>
          <w:lang w:val="cs-CZ"/>
        </w:rPr>
        <w:t xml:space="preserve"> </w:t>
      </w:r>
    </w:p>
    <w:p w:rsidR="00B35884" w:rsidRPr="008B1755" w:rsidRDefault="00646D4E" w:rsidP="0038751B">
      <w:pPr>
        <w:numPr>
          <w:ilvl w:val="0"/>
          <w:numId w:val="10"/>
        </w:numPr>
        <w:spacing w:after="120"/>
        <w:ind w:left="1037" w:hanging="357"/>
        <w:rPr>
          <w:lang w:val="cs-CZ"/>
        </w:rPr>
      </w:pPr>
      <w:r w:rsidRPr="008B1755">
        <w:rPr>
          <w:lang w:val="cs-CZ"/>
        </w:rPr>
        <w:t xml:space="preserve">Opatření </w:t>
      </w:r>
      <w:r w:rsidR="003132BE" w:rsidRPr="008B1755">
        <w:rPr>
          <w:lang w:val="cs-CZ"/>
        </w:rPr>
        <w:t>řízení provozu</w:t>
      </w:r>
      <w:r w:rsidR="00B35884" w:rsidRPr="008B1755">
        <w:rPr>
          <w:lang w:val="cs-CZ"/>
        </w:rPr>
        <w:t xml:space="preserve"> </w:t>
      </w:r>
      <w:r w:rsidRPr="008B1755">
        <w:rPr>
          <w:lang w:val="cs-CZ"/>
        </w:rPr>
        <w:t>musí být vhodné</w:t>
      </w:r>
      <w:r w:rsidR="00B35884" w:rsidRPr="008B1755">
        <w:rPr>
          <w:lang w:val="cs-CZ"/>
        </w:rPr>
        <w:t xml:space="preserve">, </w:t>
      </w:r>
      <w:r w:rsidR="00BE001A" w:rsidRPr="008B1755">
        <w:rPr>
          <w:lang w:val="cs-CZ"/>
        </w:rPr>
        <w:t>např.</w:t>
      </w:r>
      <w:r w:rsidR="009B4361" w:rsidRPr="008B1755">
        <w:rPr>
          <w:lang w:val="cs-CZ"/>
        </w:rPr>
        <w:t xml:space="preserve"> </w:t>
      </w:r>
      <w:r w:rsidRPr="008B1755">
        <w:rPr>
          <w:lang w:val="cs-CZ"/>
        </w:rPr>
        <w:t>za účelem vyvažování konkurenčních požadavků různých kategorií provozu nebo konkurenčních zájmů různých skupin</w:t>
      </w:r>
      <w:r w:rsidR="00B35884" w:rsidRPr="008B1755">
        <w:rPr>
          <w:lang w:val="cs-CZ"/>
        </w:rPr>
        <w:t>.</w:t>
      </w:r>
    </w:p>
    <w:p w:rsidR="00B35884" w:rsidRPr="008B1755" w:rsidRDefault="00354BC1" w:rsidP="00262769">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w:t>
      </w:r>
      <w:r w:rsidRPr="008B1755">
        <w:rPr>
          <w:rStyle w:val="BERECcitaceChar"/>
          <w:sz w:val="24"/>
          <w:u w:val="single"/>
          <w:lang w:val="cs-CZ"/>
        </w:rPr>
        <w:t>Objektivně odlišné požadavky na technickou kvalitu služeb jednotlivých kategorií provozu</w:t>
      </w:r>
      <w:r w:rsidRPr="008B1755">
        <w:rPr>
          <w:rFonts w:eastAsia="SimSun"/>
          <w:bCs/>
          <w:i/>
          <w:iCs/>
          <w:sz w:val="24"/>
          <w:szCs w:val="24"/>
          <w:u w:val="single"/>
          <w:lang w:val="cs-CZ"/>
        </w:rPr>
        <w:t>“</w:t>
      </w:r>
    </w:p>
    <w:p w:rsidR="00844092" w:rsidRPr="008B1755" w:rsidRDefault="00E93B88" w:rsidP="0038751B">
      <w:pPr>
        <w:numPr>
          <w:ilvl w:val="0"/>
          <w:numId w:val="2"/>
        </w:numPr>
        <w:spacing w:after="120"/>
        <w:rPr>
          <w:rFonts w:cs="Arial"/>
          <w:lang w:val="cs-CZ"/>
        </w:rPr>
      </w:pPr>
      <w:bookmarkStart w:id="30" w:name="_Ref449367897"/>
      <w:r w:rsidRPr="008B1755">
        <w:rPr>
          <w:lang w:val="cs-CZ"/>
        </w:rPr>
        <w:t xml:space="preserve">Při posuzování, zda je určité opatření řízení provozu přiměřené, by </w:t>
      </w:r>
      <w:r w:rsidR="00926BAE" w:rsidRPr="008B1755">
        <w:rPr>
          <w:lang w:val="cs-CZ"/>
        </w:rPr>
        <w:t>vnitrostátní regulační orgány</w:t>
      </w:r>
      <w:r w:rsidR="003B726C" w:rsidRPr="008B1755">
        <w:rPr>
          <w:lang w:val="cs-CZ"/>
        </w:rPr>
        <w:t xml:space="preserve"> </w:t>
      </w:r>
      <w:r w:rsidRPr="008B1755">
        <w:rPr>
          <w:lang w:val="cs-CZ"/>
        </w:rPr>
        <w:t xml:space="preserve">měly posoudit </w:t>
      </w:r>
      <w:r w:rsidRPr="008B1755">
        <w:rPr>
          <w:rFonts w:cs="Arial"/>
          <w:color w:val="000000"/>
          <w:lang w:val="cs-CZ"/>
        </w:rPr>
        <w:t xml:space="preserve">odůvodnění </w:t>
      </w:r>
      <w:r w:rsidR="00DD272F" w:rsidRPr="008B1755">
        <w:rPr>
          <w:rFonts w:cs="Arial"/>
          <w:color w:val="000000"/>
          <w:lang w:val="cs-CZ"/>
        </w:rPr>
        <w:t>poskytovatel</w:t>
      </w:r>
      <w:r w:rsidRPr="008B1755">
        <w:rPr>
          <w:rFonts w:cs="Arial"/>
          <w:color w:val="000000"/>
          <w:lang w:val="cs-CZ"/>
        </w:rPr>
        <w:t>e</w:t>
      </w:r>
      <w:r w:rsidR="00DD272F" w:rsidRPr="008B1755">
        <w:rPr>
          <w:rFonts w:cs="Arial"/>
          <w:color w:val="000000"/>
          <w:lang w:val="cs-CZ"/>
        </w:rPr>
        <w:t xml:space="preserve"> internetových služeb</w:t>
      </w:r>
      <w:r w:rsidR="003B726C" w:rsidRPr="008B1755">
        <w:rPr>
          <w:rFonts w:cs="Arial"/>
          <w:color w:val="000000"/>
          <w:lang w:val="cs-CZ"/>
        </w:rPr>
        <w:t xml:space="preserve">. </w:t>
      </w:r>
      <w:r w:rsidRPr="008B1755">
        <w:rPr>
          <w:rFonts w:cs="Arial"/>
          <w:color w:val="000000"/>
          <w:lang w:val="cs-CZ"/>
        </w:rPr>
        <w:t xml:space="preserve">Aby </w:t>
      </w:r>
      <w:r w:rsidRPr="008B1755">
        <w:rPr>
          <w:lang w:val="cs-CZ"/>
        </w:rPr>
        <w:t>opatření řízení provozu bylo považováno za přiměřené</w:t>
      </w:r>
      <w:r w:rsidR="00844092" w:rsidRPr="008B1755">
        <w:rPr>
          <w:lang w:val="cs-CZ"/>
        </w:rPr>
        <w:t xml:space="preserve">, </w:t>
      </w:r>
      <w:r w:rsidRPr="008B1755">
        <w:rPr>
          <w:lang w:val="cs-CZ"/>
        </w:rPr>
        <w:t xml:space="preserve">musí být založeno na objektivně odlišných požadavcích </w:t>
      </w:r>
      <w:r w:rsidRPr="008B1755">
        <w:rPr>
          <w:rStyle w:val="BERECChar"/>
          <w:lang w:val="cs-CZ"/>
        </w:rPr>
        <w:t>na technickou kvalitu služeb jednotlivých kategorií provozu</w:t>
      </w:r>
      <w:r w:rsidR="00844092" w:rsidRPr="008B1755">
        <w:rPr>
          <w:lang w:val="cs-CZ"/>
        </w:rPr>
        <w:t>.</w:t>
      </w:r>
      <w:r w:rsidR="0047327D" w:rsidRPr="008B1755">
        <w:rPr>
          <w:lang w:val="cs-CZ"/>
        </w:rPr>
        <w:t xml:space="preserve"> </w:t>
      </w:r>
      <w:r w:rsidRPr="008B1755">
        <w:rPr>
          <w:lang w:val="cs-CZ"/>
        </w:rPr>
        <w:t xml:space="preserve">Příklady požadavků </w:t>
      </w:r>
      <w:r w:rsidRPr="008B1755">
        <w:rPr>
          <w:rStyle w:val="BERECChar"/>
          <w:lang w:val="cs-CZ"/>
        </w:rPr>
        <w:t xml:space="preserve">na technickou kvalitu služeb </w:t>
      </w:r>
      <w:r w:rsidRPr="008B1755">
        <w:rPr>
          <w:lang w:val="cs-CZ"/>
        </w:rPr>
        <w:t>jsou prodleva</w:t>
      </w:r>
      <w:r w:rsidR="0047327D" w:rsidRPr="008B1755">
        <w:rPr>
          <w:lang w:val="cs-CZ"/>
        </w:rPr>
        <w:t xml:space="preserve">, </w:t>
      </w:r>
      <w:r w:rsidRPr="008B1755">
        <w:rPr>
          <w:rStyle w:val="BERECChar"/>
          <w:lang w:val="cs-CZ"/>
        </w:rPr>
        <w:t>kolísání kvality přenosu („jitter“), ztrátovost paketů a šířka pásma</w:t>
      </w:r>
      <w:r w:rsidR="00D70138" w:rsidRPr="008B1755">
        <w:rPr>
          <w:lang w:val="cs-CZ"/>
        </w:rPr>
        <w:t>.</w:t>
      </w:r>
      <w:bookmarkEnd w:id="30"/>
    </w:p>
    <w:p w:rsidR="00B35884" w:rsidRPr="008B1755" w:rsidRDefault="00285D96" w:rsidP="0038751B">
      <w:pPr>
        <w:numPr>
          <w:ilvl w:val="0"/>
          <w:numId w:val="2"/>
        </w:numPr>
        <w:spacing w:after="120"/>
        <w:rPr>
          <w:lang w:val="cs-CZ"/>
        </w:rPr>
      </w:pPr>
      <w:r w:rsidRPr="008B1755">
        <w:rPr>
          <w:lang w:val="cs-CZ"/>
        </w:rPr>
        <w:t xml:space="preserve">Kategorie datového provozu by měly </w:t>
      </w:r>
      <w:r w:rsidR="006820D2" w:rsidRPr="008B1755">
        <w:rPr>
          <w:lang w:val="cs-CZ"/>
        </w:rPr>
        <w:t xml:space="preserve">být </w:t>
      </w:r>
      <w:r w:rsidRPr="008B1755">
        <w:rPr>
          <w:lang w:val="cs-CZ"/>
        </w:rPr>
        <w:t xml:space="preserve">zpravidla </w:t>
      </w:r>
      <w:r w:rsidR="006820D2" w:rsidRPr="008B1755">
        <w:rPr>
          <w:lang w:val="cs-CZ"/>
        </w:rPr>
        <w:t>definovány na základě požadavků na kvalitu služeb</w:t>
      </w:r>
      <w:r w:rsidR="00B35884" w:rsidRPr="008B1755">
        <w:rPr>
          <w:lang w:val="cs-CZ"/>
        </w:rPr>
        <w:t xml:space="preserve">, </w:t>
      </w:r>
      <w:r w:rsidR="006820D2" w:rsidRPr="008B1755">
        <w:rPr>
          <w:lang w:val="cs-CZ"/>
        </w:rPr>
        <w:t>přičemž kategorie provozu bude obsahovat tok paketů z aplikací s podobnými požadavky</w:t>
      </w:r>
      <w:r w:rsidR="00B35884" w:rsidRPr="008B1755">
        <w:rPr>
          <w:lang w:val="cs-CZ"/>
        </w:rPr>
        <w:t xml:space="preserve">. </w:t>
      </w:r>
      <w:r w:rsidR="006820D2" w:rsidRPr="008B1755">
        <w:rPr>
          <w:lang w:val="cs-CZ"/>
        </w:rPr>
        <w:t xml:space="preserve">Proto pokud </w:t>
      </w:r>
      <w:r w:rsidR="007D7F64" w:rsidRPr="008B1755">
        <w:rPr>
          <w:lang w:val="cs-CZ"/>
        </w:rPr>
        <w:t>poskytovatelé internetových služeb</w:t>
      </w:r>
      <w:r w:rsidR="00121A13" w:rsidRPr="008B1755">
        <w:rPr>
          <w:lang w:val="cs-CZ"/>
        </w:rPr>
        <w:t xml:space="preserve"> </w:t>
      </w:r>
      <w:r w:rsidR="006820D2" w:rsidRPr="008B1755">
        <w:rPr>
          <w:lang w:val="cs-CZ"/>
        </w:rPr>
        <w:t xml:space="preserve">zavedou různé požadavky </w:t>
      </w:r>
      <w:r w:rsidR="006820D2" w:rsidRPr="008B1755">
        <w:rPr>
          <w:rStyle w:val="BERECChar"/>
          <w:lang w:val="cs-CZ"/>
        </w:rPr>
        <w:t xml:space="preserve">na technickou kvalitu služeb </w:t>
      </w:r>
      <w:r w:rsidR="006820D2" w:rsidRPr="008B1755">
        <w:rPr>
          <w:lang w:val="cs-CZ"/>
        </w:rPr>
        <w:t>u konkrétních kategorií provozu</w:t>
      </w:r>
      <w:r w:rsidR="008E17EC" w:rsidRPr="008B1755">
        <w:rPr>
          <w:lang w:val="cs-CZ"/>
        </w:rPr>
        <w:t>,</w:t>
      </w:r>
      <w:r w:rsidR="00B35884" w:rsidRPr="008B1755">
        <w:rPr>
          <w:lang w:val="cs-CZ"/>
        </w:rPr>
        <w:t xml:space="preserve"> </w:t>
      </w:r>
      <w:r w:rsidR="006820D2" w:rsidRPr="008B1755">
        <w:rPr>
          <w:lang w:val="cs-CZ"/>
        </w:rPr>
        <w:t>měl</w:t>
      </w:r>
      <w:r w:rsidR="005E5923">
        <w:rPr>
          <w:lang w:val="cs-CZ"/>
        </w:rPr>
        <w:t xml:space="preserve">i </w:t>
      </w:r>
      <w:r w:rsidR="006820D2" w:rsidRPr="008B1755">
        <w:rPr>
          <w:lang w:val="cs-CZ"/>
        </w:rPr>
        <w:t xml:space="preserve">by </w:t>
      </w:r>
      <w:r w:rsidR="005E5923">
        <w:rPr>
          <w:lang w:val="cs-CZ"/>
        </w:rPr>
        <w:t xml:space="preserve">přitom postupovat </w:t>
      </w:r>
      <w:r w:rsidR="006820D2" w:rsidRPr="008B1755">
        <w:rPr>
          <w:lang w:val="cs-CZ"/>
        </w:rPr>
        <w:t xml:space="preserve">objektivně </w:t>
      </w:r>
      <w:r w:rsidR="005E5923">
        <w:rPr>
          <w:lang w:val="cs-CZ"/>
        </w:rPr>
        <w:t xml:space="preserve">s ohledem </w:t>
      </w:r>
      <w:r w:rsidR="006820D2" w:rsidRPr="008B1755">
        <w:rPr>
          <w:lang w:val="cs-CZ"/>
        </w:rPr>
        <w:t xml:space="preserve">na citlivosti vůči požadavkům aplikací </w:t>
      </w:r>
      <w:r w:rsidR="006820D2" w:rsidRPr="008B1755">
        <w:rPr>
          <w:rStyle w:val="BERECChar"/>
          <w:lang w:val="cs-CZ"/>
        </w:rPr>
        <w:t xml:space="preserve">na technickou kvalitu služeb </w:t>
      </w:r>
      <w:r w:rsidR="005B1C1C" w:rsidRPr="008B1755">
        <w:rPr>
          <w:lang w:val="cs-CZ"/>
        </w:rPr>
        <w:t>(</w:t>
      </w:r>
      <w:r w:rsidR="00BE001A" w:rsidRPr="008B1755">
        <w:rPr>
          <w:lang w:val="cs-CZ"/>
        </w:rPr>
        <w:t>např.</w:t>
      </w:r>
      <w:r w:rsidR="005B1C1C" w:rsidRPr="008B1755">
        <w:rPr>
          <w:lang w:val="cs-CZ"/>
        </w:rPr>
        <w:t xml:space="preserve"> </w:t>
      </w:r>
      <w:r w:rsidR="006820D2" w:rsidRPr="008B1755">
        <w:rPr>
          <w:lang w:val="cs-CZ"/>
        </w:rPr>
        <w:t xml:space="preserve">prodleva, </w:t>
      </w:r>
      <w:r w:rsidR="006820D2" w:rsidRPr="008B1755">
        <w:rPr>
          <w:rStyle w:val="BERECChar"/>
          <w:lang w:val="cs-CZ"/>
        </w:rPr>
        <w:t>kolísání kvality přenosu („jitter“), ztrátovost paketů a šířka pásma</w:t>
      </w:r>
      <w:r w:rsidR="005B1C1C" w:rsidRPr="008B1755">
        <w:rPr>
          <w:lang w:val="cs-CZ"/>
        </w:rPr>
        <w:t>)</w:t>
      </w:r>
      <w:r w:rsidR="00B35884" w:rsidRPr="008B1755">
        <w:rPr>
          <w:lang w:val="cs-CZ"/>
        </w:rPr>
        <w:t xml:space="preserve">. </w:t>
      </w:r>
      <w:r w:rsidR="006820D2" w:rsidRPr="008B1755">
        <w:rPr>
          <w:lang w:val="cs-CZ"/>
        </w:rPr>
        <w:t xml:space="preserve">Takováto kategorie může například obsahovat aplikace v reálném čase vyžadující krátkou </w:t>
      </w:r>
      <w:r w:rsidR="005E5923">
        <w:rPr>
          <w:lang w:val="cs-CZ"/>
        </w:rPr>
        <w:t xml:space="preserve">časovou </w:t>
      </w:r>
      <w:r w:rsidR="006820D2" w:rsidRPr="008B1755">
        <w:rPr>
          <w:lang w:val="cs-CZ"/>
        </w:rPr>
        <w:t>prodlevu mezi odesílatelem a příjemcem</w:t>
      </w:r>
      <w:r w:rsidR="00B35884" w:rsidRPr="008B1755">
        <w:rPr>
          <w:lang w:val="cs-CZ"/>
        </w:rPr>
        <w:t>.</w:t>
      </w:r>
      <w:r w:rsidR="00164003" w:rsidRPr="008B1755">
        <w:rPr>
          <w:rStyle w:val="Znakapoznpodarou"/>
          <w:lang w:val="cs-CZ"/>
        </w:rPr>
        <w:footnoteReference w:id="18"/>
      </w:r>
    </w:p>
    <w:p w:rsidR="00164003" w:rsidRPr="008B1755" w:rsidRDefault="00B52D0D" w:rsidP="0038751B">
      <w:pPr>
        <w:numPr>
          <w:ilvl w:val="0"/>
          <w:numId w:val="2"/>
        </w:numPr>
        <w:spacing w:after="120"/>
        <w:rPr>
          <w:lang w:val="cs-CZ"/>
        </w:rPr>
      </w:pPr>
      <w:r w:rsidRPr="008B1755">
        <w:rPr>
          <w:lang w:val="cs-CZ"/>
        </w:rPr>
        <w:t>Navíc, jak je vysvětleno v </w:t>
      </w:r>
      <w:r w:rsidR="00D2652F">
        <w:rPr>
          <w:lang w:val="cs-CZ"/>
        </w:rPr>
        <w:t>bodu</w:t>
      </w:r>
      <w:r w:rsidRPr="008B1755">
        <w:rPr>
          <w:lang w:val="cs-CZ"/>
        </w:rPr>
        <w:t xml:space="preserve"> 9 ú</w:t>
      </w:r>
      <w:r w:rsidR="00946CEA" w:rsidRPr="008B1755">
        <w:rPr>
          <w:lang w:val="cs-CZ"/>
        </w:rPr>
        <w:t>vodní část</w:t>
      </w:r>
      <w:r w:rsidRPr="008B1755">
        <w:rPr>
          <w:lang w:val="cs-CZ"/>
        </w:rPr>
        <w:t>i</w:t>
      </w:r>
      <w:r w:rsidR="00946CEA" w:rsidRPr="008B1755">
        <w:rPr>
          <w:lang w:val="cs-CZ"/>
        </w:rPr>
        <w:t xml:space="preserve"> Nařízení, </w:t>
      </w:r>
      <w:r w:rsidRPr="008B1755">
        <w:rPr>
          <w:lang w:val="cs-CZ"/>
        </w:rPr>
        <w:t xml:space="preserve">opatření řízení provozu </w:t>
      </w:r>
      <w:r w:rsidR="007D7F64" w:rsidRPr="008B1755">
        <w:rPr>
          <w:lang w:val="cs-CZ"/>
        </w:rPr>
        <w:t>poskytovatel</w:t>
      </w:r>
      <w:r w:rsidRPr="008B1755">
        <w:rPr>
          <w:lang w:val="cs-CZ"/>
        </w:rPr>
        <w:t>ů</w:t>
      </w:r>
      <w:r w:rsidR="007D7F64" w:rsidRPr="008B1755">
        <w:rPr>
          <w:lang w:val="cs-CZ"/>
        </w:rPr>
        <w:t xml:space="preserve"> internetových služeb</w:t>
      </w:r>
      <w:r w:rsidRPr="008B1755">
        <w:rPr>
          <w:lang w:val="cs-CZ"/>
        </w:rPr>
        <w:t xml:space="preserve"> </w:t>
      </w:r>
      <w:r w:rsidRPr="008B1755">
        <w:rPr>
          <w:i/>
          <w:lang w:val="cs-CZ"/>
        </w:rPr>
        <w:t xml:space="preserve">„reagují“ </w:t>
      </w:r>
      <w:r w:rsidRPr="008B1755">
        <w:rPr>
          <w:lang w:val="cs-CZ"/>
        </w:rPr>
        <w:t xml:space="preserve">na požadavky </w:t>
      </w:r>
      <w:r w:rsidRPr="008B1755">
        <w:rPr>
          <w:rStyle w:val="BERECChar"/>
          <w:lang w:val="cs-CZ"/>
        </w:rPr>
        <w:t>na technickou kvalitu služeb jednotlivých kategorií provozu</w:t>
      </w:r>
      <w:r w:rsidRPr="008B1755">
        <w:rPr>
          <w:lang w:val="cs-CZ"/>
        </w:rPr>
        <w:t xml:space="preserve"> </w:t>
      </w:r>
      <w:r w:rsidRPr="008B1755">
        <w:rPr>
          <w:rStyle w:val="BERECChar"/>
          <w:lang w:val="cs-CZ"/>
        </w:rPr>
        <w:t>za účelem optimalizace celkové kvality přenosu a přínosu pro uživatele</w:t>
      </w:r>
      <w:r w:rsidR="00B35884" w:rsidRPr="008B1755">
        <w:rPr>
          <w:lang w:val="cs-CZ"/>
        </w:rPr>
        <w:t xml:space="preserve">. </w:t>
      </w:r>
      <w:r w:rsidRPr="008B1755">
        <w:rPr>
          <w:lang w:val="cs-CZ"/>
        </w:rPr>
        <w:t xml:space="preserve">Při identifikaci kategorií provozu </w:t>
      </w:r>
      <w:r w:rsidR="00DD272F" w:rsidRPr="008B1755">
        <w:rPr>
          <w:lang w:val="cs-CZ"/>
        </w:rPr>
        <w:t>poskytovatel internetových služeb</w:t>
      </w:r>
      <w:r w:rsidR="00B35884" w:rsidRPr="008B1755">
        <w:rPr>
          <w:lang w:val="cs-CZ"/>
        </w:rPr>
        <w:t xml:space="preserve"> </w:t>
      </w:r>
      <w:r w:rsidRPr="008B1755">
        <w:rPr>
          <w:lang w:val="cs-CZ"/>
        </w:rPr>
        <w:t xml:space="preserve">vychází z informací poskytovaných aplikací, když jsou pakety </w:t>
      </w:r>
      <w:r w:rsidR="005E5923">
        <w:rPr>
          <w:lang w:val="cs-CZ"/>
        </w:rPr>
        <w:t>ode</w:t>
      </w:r>
      <w:r w:rsidRPr="008B1755">
        <w:rPr>
          <w:lang w:val="cs-CZ"/>
        </w:rPr>
        <w:t>sílány do sítě</w:t>
      </w:r>
      <w:r w:rsidR="00B35884" w:rsidRPr="008B1755">
        <w:rPr>
          <w:lang w:val="cs-CZ"/>
        </w:rPr>
        <w:t xml:space="preserve">. </w:t>
      </w:r>
      <w:r w:rsidR="001B6C05" w:rsidRPr="008B1755">
        <w:rPr>
          <w:lang w:val="cs-CZ"/>
        </w:rPr>
        <w:t>(</w:t>
      </w:r>
      <w:r w:rsidRPr="008B1755">
        <w:rPr>
          <w:lang w:val="cs-CZ"/>
        </w:rPr>
        <w:t xml:space="preserve">Ohledně informací, které mohou být poskytovateli internetových služeb legitimně brány v </w:t>
      </w:r>
      <w:r w:rsidR="00A56F4C">
        <w:rPr>
          <w:lang w:val="cs-CZ"/>
        </w:rPr>
        <w:t> </w:t>
      </w:r>
      <w:r w:rsidRPr="008B1755">
        <w:rPr>
          <w:lang w:val="cs-CZ"/>
        </w:rPr>
        <w:t>úvahu</w:t>
      </w:r>
      <w:r w:rsidR="00A56F4C">
        <w:rPr>
          <w:lang w:val="cs-CZ"/>
        </w:rPr>
        <w:t>,</w:t>
      </w:r>
      <w:r w:rsidRPr="008B1755">
        <w:rPr>
          <w:lang w:val="cs-CZ"/>
        </w:rPr>
        <w:t xml:space="preserve"> vi</w:t>
      </w:r>
      <w:r w:rsidR="00A56F4C">
        <w:rPr>
          <w:lang w:val="cs-CZ"/>
        </w:rPr>
        <w:t>z</w:t>
      </w:r>
      <w:r w:rsidRPr="008B1755">
        <w:rPr>
          <w:lang w:val="cs-CZ"/>
        </w:rPr>
        <w:t xml:space="preserve"> také </w:t>
      </w:r>
      <w:r w:rsidR="00D2652F">
        <w:rPr>
          <w:lang w:val="cs-CZ"/>
        </w:rPr>
        <w:t>bod</w:t>
      </w:r>
      <w:r w:rsidRPr="008B1755">
        <w:rPr>
          <w:lang w:val="cs-CZ"/>
        </w:rPr>
        <w:t xml:space="preserve"> </w:t>
      </w:r>
      <w:r w:rsidR="00AF415C" w:rsidRPr="008B1755">
        <w:rPr>
          <w:lang w:val="cs-CZ"/>
        </w:rPr>
        <w:fldChar w:fldCharType="begin"/>
      </w:r>
      <w:r w:rsidR="00AF415C" w:rsidRPr="008B1755">
        <w:rPr>
          <w:lang w:val="cs-CZ"/>
        </w:rPr>
        <w:instrText xml:space="preserve"> REF _Ref447279880 \r \h  \* MERGEFORMAT </w:instrText>
      </w:r>
      <w:r w:rsidR="00AF415C" w:rsidRPr="008B1755">
        <w:rPr>
          <w:lang w:val="cs-CZ"/>
        </w:rPr>
      </w:r>
      <w:r w:rsidR="00AF415C" w:rsidRPr="008B1755">
        <w:rPr>
          <w:lang w:val="cs-CZ"/>
        </w:rPr>
        <w:fldChar w:fldCharType="separate"/>
      </w:r>
      <w:r w:rsidR="003B403B" w:rsidRPr="008B1755">
        <w:rPr>
          <w:lang w:val="cs-CZ"/>
        </w:rPr>
        <w:t>70</w:t>
      </w:r>
      <w:r w:rsidR="00AF415C" w:rsidRPr="008B1755">
        <w:rPr>
          <w:lang w:val="cs-CZ"/>
        </w:rPr>
        <w:fldChar w:fldCharType="end"/>
      </w:r>
      <w:r w:rsidR="00B35884" w:rsidRPr="008B1755">
        <w:rPr>
          <w:lang w:val="cs-CZ"/>
        </w:rPr>
        <w:t>)</w:t>
      </w:r>
      <w:r w:rsidR="001B6C05" w:rsidRPr="008B1755">
        <w:rPr>
          <w:lang w:val="cs-CZ"/>
        </w:rPr>
        <w:t>.</w:t>
      </w:r>
      <w:r w:rsidR="00B35884" w:rsidRPr="008B1755">
        <w:rPr>
          <w:lang w:val="cs-CZ"/>
        </w:rPr>
        <w:t xml:space="preserve"> </w:t>
      </w:r>
      <w:r w:rsidRPr="008B1755">
        <w:rPr>
          <w:lang w:val="cs-CZ"/>
        </w:rPr>
        <w:t>Se zašifrovaným provozem by nemělo být nakládáno méně příznivě z titulu jeho šifrování</w:t>
      </w:r>
      <w:r w:rsidR="00C73AF6" w:rsidRPr="008B1755">
        <w:rPr>
          <w:lang w:val="cs-CZ"/>
        </w:rPr>
        <w:t>.</w:t>
      </w:r>
    </w:p>
    <w:p w:rsidR="00D47DE9" w:rsidRPr="008B1755" w:rsidRDefault="00C366BC" w:rsidP="0038751B">
      <w:pPr>
        <w:numPr>
          <w:ilvl w:val="0"/>
          <w:numId w:val="2"/>
        </w:numPr>
        <w:spacing w:after="120"/>
        <w:rPr>
          <w:lang w:val="cs-CZ"/>
        </w:rPr>
      </w:pPr>
      <w:r w:rsidRPr="008B1755">
        <w:rPr>
          <w:lang w:val="cs-CZ"/>
        </w:rPr>
        <w:t xml:space="preserve">Když </w:t>
      </w:r>
      <w:r w:rsidR="00926BAE" w:rsidRPr="008B1755">
        <w:rPr>
          <w:lang w:val="cs-CZ"/>
        </w:rPr>
        <w:t>vnitrostátní regulační orgány</w:t>
      </w:r>
      <w:r w:rsidR="00D47DE9" w:rsidRPr="008B1755">
        <w:rPr>
          <w:lang w:val="cs-CZ"/>
        </w:rPr>
        <w:t xml:space="preserve"> </w:t>
      </w:r>
      <w:r w:rsidR="008A22E9" w:rsidRPr="008B1755">
        <w:rPr>
          <w:lang w:val="cs-CZ"/>
        </w:rPr>
        <w:t xml:space="preserve">posuzují </w:t>
      </w:r>
      <w:r w:rsidR="008A22E9" w:rsidRPr="008B1755">
        <w:rPr>
          <w:rFonts w:cs="Arial"/>
          <w:lang w:val="cs-CZ"/>
        </w:rPr>
        <w:t xml:space="preserve">síťové interní mechanismy poskytovatelů internetových služeb, které pomáhají při </w:t>
      </w:r>
      <w:r w:rsidR="005E5923">
        <w:rPr>
          <w:rFonts w:cs="Arial"/>
          <w:lang w:val="cs-CZ"/>
        </w:rPr>
        <w:t xml:space="preserve">řízení </w:t>
      </w:r>
      <w:r w:rsidR="008A22E9" w:rsidRPr="008B1755">
        <w:rPr>
          <w:rFonts w:cs="Arial"/>
          <w:lang w:val="cs-CZ"/>
        </w:rPr>
        <w:t>přetížení na koncových bod</w:t>
      </w:r>
      <w:r w:rsidR="005E5923">
        <w:rPr>
          <w:rFonts w:cs="Arial"/>
          <w:lang w:val="cs-CZ"/>
        </w:rPr>
        <w:t>ech</w:t>
      </w:r>
      <w:r w:rsidR="00D47DE9" w:rsidRPr="008B1755">
        <w:rPr>
          <w:lang w:val="cs-CZ"/>
        </w:rPr>
        <w:t xml:space="preserve"> (</w:t>
      </w:r>
      <w:r w:rsidR="002E5214" w:rsidRPr="008B1755">
        <w:rPr>
          <w:lang w:val="cs-CZ"/>
        </w:rPr>
        <w:t xml:space="preserve">viz </w:t>
      </w:r>
      <w:r w:rsidR="00D2652F">
        <w:rPr>
          <w:lang w:val="cs-CZ"/>
        </w:rPr>
        <w:t>bod</w:t>
      </w:r>
      <w:r w:rsidR="00D47DE9" w:rsidRPr="008B1755">
        <w:rPr>
          <w:lang w:val="cs-CZ"/>
        </w:rPr>
        <w:t xml:space="preserve"> </w:t>
      </w:r>
      <w:r w:rsidR="00CA269E" w:rsidRPr="008B1755">
        <w:rPr>
          <w:lang w:val="cs-CZ"/>
        </w:rPr>
        <w:fldChar w:fldCharType="begin"/>
      </w:r>
      <w:r w:rsidR="00D47DE9" w:rsidRPr="008B1755">
        <w:rPr>
          <w:lang w:val="cs-CZ"/>
        </w:rPr>
        <w:instrText xml:space="preserve"> REF _Ref449101462 \r \h </w:instrText>
      </w:r>
      <w:r w:rsidR="00CA269E" w:rsidRPr="008B1755">
        <w:rPr>
          <w:lang w:val="cs-CZ"/>
        </w:rPr>
      </w:r>
      <w:r w:rsidR="00CA269E" w:rsidRPr="008B1755">
        <w:rPr>
          <w:lang w:val="cs-CZ"/>
        </w:rPr>
        <w:fldChar w:fldCharType="separate"/>
      </w:r>
      <w:r w:rsidR="003B403B" w:rsidRPr="008B1755">
        <w:rPr>
          <w:lang w:val="cs-CZ"/>
        </w:rPr>
        <w:t>54</w:t>
      </w:r>
      <w:r w:rsidR="00CA269E" w:rsidRPr="008B1755">
        <w:rPr>
          <w:lang w:val="cs-CZ"/>
        </w:rPr>
        <w:fldChar w:fldCharType="end"/>
      </w:r>
      <w:r w:rsidR="00D47DE9" w:rsidRPr="008B1755">
        <w:rPr>
          <w:lang w:val="cs-CZ"/>
        </w:rPr>
        <w:t xml:space="preserve">) </w:t>
      </w:r>
      <w:r w:rsidR="008A22E9" w:rsidRPr="008B1755">
        <w:rPr>
          <w:lang w:val="cs-CZ"/>
        </w:rPr>
        <w:t xml:space="preserve">v kontextu </w:t>
      </w:r>
      <w:r w:rsidR="002E5214" w:rsidRPr="008B1755">
        <w:rPr>
          <w:lang w:val="cs-CZ"/>
        </w:rPr>
        <w:t>článku</w:t>
      </w:r>
      <w:r w:rsidR="00DD272F" w:rsidRPr="008B1755">
        <w:rPr>
          <w:lang w:val="cs-CZ"/>
        </w:rPr>
        <w:t xml:space="preserve"> 3 </w:t>
      </w:r>
      <w:r w:rsidR="00585BD7" w:rsidRPr="008B1755">
        <w:rPr>
          <w:lang w:val="cs-CZ"/>
        </w:rPr>
        <w:t>odst. 3</w:t>
      </w:r>
      <w:r w:rsidR="008A22E9" w:rsidRPr="008B1755">
        <w:rPr>
          <w:lang w:val="cs-CZ"/>
        </w:rPr>
        <w:t>,</w:t>
      </w:r>
      <w:r w:rsidR="00D47DE9" w:rsidRPr="008B1755">
        <w:rPr>
          <w:lang w:val="cs-CZ"/>
        </w:rPr>
        <w:t xml:space="preserve"> </w:t>
      </w:r>
      <w:r w:rsidR="001D70F8" w:rsidRPr="008B1755">
        <w:rPr>
          <w:lang w:val="cs-CZ"/>
        </w:rPr>
        <w:t>druhý pododstavec</w:t>
      </w:r>
      <w:r w:rsidR="00D47DE9" w:rsidRPr="008B1755">
        <w:rPr>
          <w:lang w:val="cs-CZ"/>
        </w:rPr>
        <w:t xml:space="preserve">, </w:t>
      </w:r>
      <w:r w:rsidR="008A22E9" w:rsidRPr="008B1755">
        <w:rPr>
          <w:lang w:val="cs-CZ"/>
        </w:rPr>
        <w:t>řízení front různých kategorií datového provozu</w:t>
      </w:r>
      <w:r w:rsidR="00D47DE9" w:rsidRPr="008B1755">
        <w:rPr>
          <w:rStyle w:val="Znakapoznpodarou"/>
          <w:lang w:val="cs-CZ"/>
        </w:rPr>
        <w:footnoteReference w:id="19"/>
      </w:r>
      <w:r w:rsidR="00D47DE9" w:rsidRPr="008B1755">
        <w:rPr>
          <w:lang w:val="cs-CZ"/>
        </w:rPr>
        <w:t xml:space="preserve"> </w:t>
      </w:r>
      <w:r w:rsidR="008A22E9" w:rsidRPr="008B1755">
        <w:rPr>
          <w:lang w:val="cs-CZ"/>
        </w:rPr>
        <w:t xml:space="preserve">by mělo být posuzováno podle stejných kritérií, jaká jsou popsána obecně pro </w:t>
      </w:r>
      <w:r w:rsidR="00DD272F" w:rsidRPr="008B1755">
        <w:rPr>
          <w:lang w:val="cs-CZ"/>
        </w:rPr>
        <w:t xml:space="preserve">článek 3 </w:t>
      </w:r>
      <w:r w:rsidR="00585BD7" w:rsidRPr="008B1755">
        <w:rPr>
          <w:lang w:val="cs-CZ"/>
        </w:rPr>
        <w:t>odst. 3</w:t>
      </w:r>
      <w:r w:rsidR="008A22E9" w:rsidRPr="008B1755">
        <w:rPr>
          <w:lang w:val="cs-CZ"/>
        </w:rPr>
        <w:t>,</w:t>
      </w:r>
      <w:r w:rsidR="00D47DE9" w:rsidRPr="008B1755">
        <w:rPr>
          <w:lang w:val="cs-CZ"/>
        </w:rPr>
        <w:t xml:space="preserve"> </w:t>
      </w:r>
      <w:r w:rsidR="001D70F8" w:rsidRPr="008B1755">
        <w:rPr>
          <w:lang w:val="cs-CZ"/>
        </w:rPr>
        <w:t>druhý pododstavec</w:t>
      </w:r>
      <w:r w:rsidR="00D47DE9" w:rsidRPr="008B1755">
        <w:rPr>
          <w:lang w:val="cs-CZ"/>
        </w:rPr>
        <w:t>.</w:t>
      </w:r>
    </w:p>
    <w:p w:rsidR="00B35884" w:rsidRPr="008B1755" w:rsidRDefault="008A22E9" w:rsidP="0038751B">
      <w:pPr>
        <w:numPr>
          <w:ilvl w:val="0"/>
          <w:numId w:val="2"/>
        </w:numPr>
        <w:spacing w:after="120"/>
        <w:rPr>
          <w:lang w:val="cs-CZ"/>
        </w:rPr>
      </w:pPr>
      <w:r w:rsidRPr="008B1755">
        <w:rPr>
          <w:lang w:val="cs-CZ"/>
        </w:rPr>
        <w:t xml:space="preserve">Na základě toho může být používáno přiměřené řízení provozu na rozlišování mezi objektivně odlišnými </w:t>
      </w:r>
      <w:r w:rsidRPr="008B1755">
        <w:rPr>
          <w:i/>
          <w:lang w:val="cs-CZ"/>
        </w:rPr>
        <w:t>„kategoriemi provozu“</w:t>
      </w:r>
      <w:r w:rsidR="005A46FA" w:rsidRPr="008B1755">
        <w:rPr>
          <w:lang w:val="cs-CZ"/>
        </w:rPr>
        <w:t xml:space="preserve">, </w:t>
      </w:r>
      <w:r w:rsidRPr="008B1755">
        <w:rPr>
          <w:lang w:val="cs-CZ"/>
        </w:rPr>
        <w:t xml:space="preserve">například odkazem na protokol aplikační vrstvy nebo univerzální typy aplikací </w:t>
      </w:r>
      <w:r w:rsidR="00B35884" w:rsidRPr="008B1755">
        <w:rPr>
          <w:lang w:val="cs-CZ"/>
        </w:rPr>
        <w:t>(</w:t>
      </w:r>
      <w:r w:rsidRPr="008B1755">
        <w:rPr>
          <w:lang w:val="cs-CZ"/>
        </w:rPr>
        <w:t>jako např. sdílení souborů</w:t>
      </w:r>
      <w:r w:rsidR="00B35884" w:rsidRPr="008B1755">
        <w:rPr>
          <w:lang w:val="cs-CZ"/>
        </w:rPr>
        <w:t xml:space="preserve">, VoIP </w:t>
      </w:r>
      <w:r w:rsidRPr="008B1755">
        <w:rPr>
          <w:lang w:val="cs-CZ"/>
        </w:rPr>
        <w:t>nebo systémy výměny zpráv v reálném čase</w:t>
      </w:r>
      <w:r w:rsidR="00B35884" w:rsidRPr="008B1755">
        <w:rPr>
          <w:lang w:val="cs-CZ"/>
        </w:rPr>
        <w:t xml:space="preserve">), </w:t>
      </w:r>
      <w:r w:rsidR="001C2FF0" w:rsidRPr="008B1755">
        <w:rPr>
          <w:lang w:val="cs-CZ"/>
        </w:rPr>
        <w:t>pokud</w:t>
      </w:r>
      <w:r w:rsidR="00B35884" w:rsidRPr="008B1755">
        <w:rPr>
          <w:lang w:val="cs-CZ"/>
        </w:rPr>
        <w:t xml:space="preserve">: </w:t>
      </w:r>
    </w:p>
    <w:p w:rsidR="00B35884" w:rsidRPr="008B1755" w:rsidRDefault="00C24D4C" w:rsidP="0038751B">
      <w:pPr>
        <w:pStyle w:val="Odstavecseseznamem"/>
        <w:numPr>
          <w:ilvl w:val="0"/>
          <w:numId w:val="18"/>
        </w:numPr>
        <w:spacing w:after="120"/>
        <w:ind w:left="1077" w:hanging="357"/>
        <w:rPr>
          <w:lang w:val="cs-CZ"/>
        </w:rPr>
      </w:pPr>
      <w:r w:rsidRPr="006856BE">
        <w:rPr>
          <w:lang w:val="cs-CZ"/>
        </w:rPr>
        <w:t xml:space="preserve">Protokol </w:t>
      </w:r>
      <w:r w:rsidR="001C2FF0" w:rsidRPr="006856BE">
        <w:rPr>
          <w:lang w:val="cs-CZ"/>
        </w:rPr>
        <w:t>aplikační vrstvy</w:t>
      </w:r>
      <w:r w:rsidR="001C2FF0" w:rsidRPr="008B1755">
        <w:rPr>
          <w:lang w:val="cs-CZ"/>
        </w:rPr>
        <w:t xml:space="preserve"> nebo </w:t>
      </w:r>
      <w:r w:rsidR="001C2FF0" w:rsidRPr="006856BE">
        <w:rPr>
          <w:lang w:val="cs-CZ"/>
        </w:rPr>
        <w:t>univerzální typy aplikací</w:t>
      </w:r>
      <w:r w:rsidR="001C2FF0" w:rsidRPr="008B1755">
        <w:rPr>
          <w:lang w:val="cs-CZ"/>
        </w:rPr>
        <w:t xml:space="preserve"> vyžadují objektivně odlišnou technickou kvalitu služeb</w:t>
      </w:r>
      <w:r w:rsidR="00B35884" w:rsidRPr="008B1755">
        <w:rPr>
          <w:lang w:val="cs-CZ"/>
        </w:rPr>
        <w:t>;</w:t>
      </w:r>
    </w:p>
    <w:p w:rsidR="00B35884" w:rsidRPr="008B1755" w:rsidRDefault="001C2FF0" w:rsidP="0038751B">
      <w:pPr>
        <w:pStyle w:val="Odstavecseseznamem"/>
        <w:numPr>
          <w:ilvl w:val="0"/>
          <w:numId w:val="18"/>
        </w:numPr>
        <w:spacing w:after="120"/>
        <w:ind w:left="1077" w:hanging="357"/>
        <w:rPr>
          <w:lang w:val="cs-CZ"/>
        </w:rPr>
      </w:pPr>
      <w:r w:rsidRPr="008B1755">
        <w:rPr>
          <w:lang w:val="cs-CZ"/>
        </w:rPr>
        <w:t xml:space="preserve">s aplikacemi s rovnocennými požadavky na kvalitu služby je ve stejné kategorii provozu nakládáno </w:t>
      </w:r>
      <w:r w:rsidR="005E5923">
        <w:rPr>
          <w:lang w:val="cs-CZ"/>
        </w:rPr>
        <w:t xml:space="preserve">agnostickým způsobem </w:t>
      </w:r>
      <w:r w:rsidRPr="008B1755">
        <w:rPr>
          <w:lang w:val="cs-CZ"/>
        </w:rPr>
        <w:t>a</w:t>
      </w:r>
    </w:p>
    <w:p w:rsidR="00B35884" w:rsidRPr="008B1755" w:rsidRDefault="001C2FF0" w:rsidP="0038751B">
      <w:pPr>
        <w:pStyle w:val="Odstavecseseznamem"/>
        <w:numPr>
          <w:ilvl w:val="0"/>
          <w:numId w:val="18"/>
        </w:numPr>
        <w:spacing w:after="120"/>
        <w:ind w:left="1077" w:hanging="357"/>
        <w:rPr>
          <w:lang w:val="cs-CZ"/>
        </w:rPr>
      </w:pPr>
      <w:r w:rsidRPr="008B1755">
        <w:rPr>
          <w:lang w:val="cs-CZ"/>
        </w:rPr>
        <w:t xml:space="preserve">odůvodnění jsou specifická pro cíle, které sleduje realizace </w:t>
      </w:r>
      <w:r w:rsidR="00466D10" w:rsidRPr="008B1755">
        <w:rPr>
          <w:lang w:val="cs-CZ"/>
        </w:rPr>
        <w:t>opatření řízení provozu</w:t>
      </w:r>
      <w:r w:rsidR="00B35884" w:rsidRPr="008B1755">
        <w:rPr>
          <w:lang w:val="cs-CZ"/>
        </w:rPr>
        <w:t xml:space="preserve"> </w:t>
      </w:r>
      <w:r w:rsidRPr="008B1755">
        <w:rPr>
          <w:lang w:val="cs-CZ"/>
        </w:rPr>
        <w:t>na základě různých kategorií provozu</w:t>
      </w:r>
      <w:r w:rsidR="00B35884" w:rsidRPr="008B1755">
        <w:rPr>
          <w:lang w:val="cs-CZ"/>
        </w:rPr>
        <w:t xml:space="preserve">. </w:t>
      </w:r>
    </w:p>
    <w:p w:rsidR="00600E3D" w:rsidRPr="008B1755" w:rsidRDefault="001C2FF0" w:rsidP="0038751B">
      <w:pPr>
        <w:numPr>
          <w:ilvl w:val="0"/>
          <w:numId w:val="2"/>
        </w:numPr>
        <w:spacing w:after="120"/>
        <w:rPr>
          <w:lang w:val="cs-CZ"/>
        </w:rPr>
      </w:pPr>
      <w:bookmarkStart w:id="31" w:name="_Ref449367910"/>
      <w:r w:rsidRPr="008B1755">
        <w:rPr>
          <w:lang w:val="cs-CZ"/>
        </w:rPr>
        <w:t xml:space="preserve">Poskytovatelé </w:t>
      </w:r>
      <w:r w:rsidR="007D7F64" w:rsidRPr="008B1755">
        <w:rPr>
          <w:lang w:val="cs-CZ"/>
        </w:rPr>
        <w:t>internetových služeb</w:t>
      </w:r>
      <w:r w:rsidR="00600E3D" w:rsidRPr="008B1755">
        <w:rPr>
          <w:lang w:val="cs-CZ"/>
        </w:rPr>
        <w:t xml:space="preserve"> </w:t>
      </w:r>
      <w:r w:rsidRPr="008B1755">
        <w:rPr>
          <w:lang w:val="cs-CZ"/>
        </w:rPr>
        <w:t>mohou provádět řízení sítě podle priorit a regulovat provoz, co se týče zbývající části jejich datového provozu</w:t>
      </w:r>
      <w:r w:rsidR="00600E3D" w:rsidRPr="008B1755">
        <w:rPr>
          <w:lang w:val="cs-CZ"/>
        </w:rPr>
        <w:t xml:space="preserve">. </w:t>
      </w:r>
      <w:r w:rsidRPr="008B1755">
        <w:rPr>
          <w:lang w:val="cs-CZ"/>
        </w:rPr>
        <w:t xml:space="preserve">Tyto způsoby řízení provozu by měly být považovány za přiměřené za předpokladu, že jsou </w:t>
      </w:r>
      <w:r w:rsidR="00600E3D" w:rsidRPr="008B1755">
        <w:rPr>
          <w:lang w:val="cs-CZ"/>
        </w:rPr>
        <w:t>transparent</w:t>
      </w:r>
      <w:r w:rsidRPr="008B1755">
        <w:rPr>
          <w:lang w:val="cs-CZ"/>
        </w:rPr>
        <w:t>ní a mají za cíl správnou konfiguraci a zabezpečení sítě a jejích zařízení pomocí efektivního vyvažování zátěže</w:t>
      </w:r>
      <w:r w:rsidR="00600E3D" w:rsidRPr="008B1755">
        <w:rPr>
          <w:lang w:val="cs-CZ"/>
        </w:rPr>
        <w:t xml:space="preserve">, </w:t>
      </w:r>
      <w:r w:rsidR="00BE001A" w:rsidRPr="008B1755">
        <w:rPr>
          <w:lang w:val="cs-CZ"/>
        </w:rPr>
        <w:t>např.</w:t>
      </w:r>
      <w:r w:rsidR="005A46FA" w:rsidRPr="008B1755">
        <w:rPr>
          <w:lang w:val="cs-CZ"/>
        </w:rPr>
        <w:t xml:space="preserve"> </w:t>
      </w:r>
      <w:r w:rsidRPr="008B1755">
        <w:rPr>
          <w:lang w:val="cs-CZ"/>
        </w:rPr>
        <w:t>co nejrychlejším reagováním v případě přetížení</w:t>
      </w:r>
      <w:r w:rsidR="00600E3D" w:rsidRPr="008B1755">
        <w:rPr>
          <w:lang w:val="cs-CZ"/>
        </w:rPr>
        <w:t xml:space="preserve">, </w:t>
      </w:r>
      <w:r w:rsidRPr="008B1755">
        <w:rPr>
          <w:lang w:val="cs-CZ"/>
        </w:rPr>
        <w:t>poruch</w:t>
      </w:r>
      <w:r w:rsidR="00600E3D" w:rsidRPr="008B1755">
        <w:rPr>
          <w:lang w:val="cs-CZ"/>
        </w:rPr>
        <w:t xml:space="preserve">, </w:t>
      </w:r>
      <w:r w:rsidRPr="008B1755">
        <w:rPr>
          <w:lang w:val="cs-CZ"/>
        </w:rPr>
        <w:t>výpadků apod</w:t>
      </w:r>
      <w:r w:rsidR="00600E3D" w:rsidRPr="008B1755">
        <w:rPr>
          <w:lang w:val="cs-CZ"/>
        </w:rPr>
        <w:t>.</w:t>
      </w:r>
      <w:bookmarkEnd w:id="31"/>
      <w:r w:rsidR="00600E3D" w:rsidRPr="008B1755">
        <w:rPr>
          <w:lang w:val="cs-CZ"/>
        </w:rPr>
        <w:t xml:space="preserve"> </w:t>
      </w:r>
    </w:p>
    <w:p w:rsidR="003B726C" w:rsidRPr="008B1755" w:rsidRDefault="0066590D" w:rsidP="003B726C">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w:t>
      </w:r>
      <w:r w:rsidRPr="008B1755">
        <w:rPr>
          <w:rStyle w:val="BERECcitaceChar"/>
          <w:sz w:val="24"/>
          <w:u w:val="single"/>
          <w:lang w:val="cs-CZ"/>
        </w:rPr>
        <w:t>Nesmí být založena na obchodních cílech</w:t>
      </w:r>
      <w:r w:rsidRPr="008B1755">
        <w:rPr>
          <w:rFonts w:eastAsia="SimSun"/>
          <w:bCs/>
          <w:i/>
          <w:iCs/>
          <w:sz w:val="24"/>
          <w:szCs w:val="24"/>
          <w:u w:val="single"/>
          <w:lang w:val="cs-CZ"/>
        </w:rPr>
        <w:t>“</w:t>
      </w:r>
    </w:p>
    <w:p w:rsidR="003B726C" w:rsidRPr="008B1755" w:rsidRDefault="0066590D" w:rsidP="0038751B">
      <w:pPr>
        <w:numPr>
          <w:ilvl w:val="0"/>
          <w:numId w:val="2"/>
        </w:numPr>
        <w:spacing w:after="120"/>
        <w:rPr>
          <w:lang w:val="cs-CZ"/>
        </w:rPr>
      </w:pPr>
      <w:r w:rsidRPr="008B1755">
        <w:rPr>
          <w:lang w:val="cs-CZ"/>
        </w:rPr>
        <w:t xml:space="preserve">V případě, že jsou </w:t>
      </w:r>
      <w:r w:rsidR="00466D10" w:rsidRPr="008B1755">
        <w:rPr>
          <w:lang w:val="cs-CZ"/>
        </w:rPr>
        <w:t xml:space="preserve">opatření řízení </w:t>
      </w:r>
      <w:r w:rsidR="00F40B67" w:rsidRPr="008B1755">
        <w:rPr>
          <w:lang w:val="cs-CZ"/>
        </w:rPr>
        <w:t xml:space="preserve">provozu </w:t>
      </w:r>
      <w:r w:rsidRPr="008B1755">
        <w:rPr>
          <w:lang w:val="cs-CZ"/>
        </w:rPr>
        <w:t>založena na obchodních cílech</w:t>
      </w:r>
      <w:r w:rsidR="003B726C" w:rsidRPr="008B1755">
        <w:rPr>
          <w:lang w:val="cs-CZ"/>
        </w:rPr>
        <w:t xml:space="preserve">, </w:t>
      </w:r>
      <w:r w:rsidR="00F40B67" w:rsidRPr="008B1755">
        <w:rPr>
          <w:lang w:val="cs-CZ"/>
        </w:rPr>
        <w:t>nejsou přiměřená</w:t>
      </w:r>
      <w:r w:rsidR="003B726C" w:rsidRPr="008B1755">
        <w:rPr>
          <w:lang w:val="cs-CZ"/>
        </w:rPr>
        <w:t xml:space="preserve">. </w:t>
      </w:r>
      <w:r w:rsidR="00F40B67" w:rsidRPr="008B1755">
        <w:rPr>
          <w:lang w:val="cs-CZ"/>
        </w:rPr>
        <w:t xml:space="preserve">Zjevným příkladem může být situace, kdy </w:t>
      </w:r>
      <w:r w:rsidR="00DD272F" w:rsidRPr="008B1755">
        <w:rPr>
          <w:lang w:val="cs-CZ"/>
        </w:rPr>
        <w:t>poskytovatel internetových služeb</w:t>
      </w:r>
      <w:r w:rsidR="00F40B67" w:rsidRPr="008B1755">
        <w:rPr>
          <w:lang w:val="cs-CZ"/>
        </w:rPr>
        <w:t xml:space="preserve"> </w:t>
      </w:r>
      <w:r w:rsidR="00C24D4C">
        <w:rPr>
          <w:lang w:val="cs-CZ"/>
        </w:rPr>
        <w:t xml:space="preserve"> </w:t>
      </w:r>
      <w:r w:rsidR="00F40B67" w:rsidRPr="008B1755">
        <w:rPr>
          <w:lang w:val="cs-CZ"/>
        </w:rPr>
        <w:t xml:space="preserve">účtuje </w:t>
      </w:r>
      <w:r w:rsidR="00F40B67" w:rsidRPr="008B1755">
        <w:rPr>
          <w:rFonts w:cs="Arial"/>
          <w:lang w:val="cs-CZ"/>
        </w:rPr>
        <w:t xml:space="preserve">za používání různých kategorií provozu nebo </w:t>
      </w:r>
      <w:r w:rsidR="00F40B67" w:rsidRPr="008B1755">
        <w:rPr>
          <w:lang w:val="cs-CZ"/>
        </w:rPr>
        <w:t xml:space="preserve">kdy </w:t>
      </w:r>
      <w:r w:rsidR="003132BE" w:rsidRPr="008B1755">
        <w:rPr>
          <w:lang w:val="cs-CZ"/>
        </w:rPr>
        <w:t>opatření řízení provozu</w:t>
      </w:r>
      <w:r w:rsidR="00ED7C8E" w:rsidRPr="008B1755">
        <w:rPr>
          <w:lang w:val="cs-CZ"/>
        </w:rPr>
        <w:t xml:space="preserve"> </w:t>
      </w:r>
      <w:r w:rsidR="00F40B67" w:rsidRPr="008B1755">
        <w:rPr>
          <w:lang w:val="cs-CZ"/>
        </w:rPr>
        <w:t xml:space="preserve">odrážejí obchodní zájmy </w:t>
      </w:r>
      <w:r w:rsidR="00DD272F" w:rsidRPr="008B1755">
        <w:rPr>
          <w:lang w:val="cs-CZ"/>
        </w:rPr>
        <w:t>poskytovatel</w:t>
      </w:r>
      <w:r w:rsidR="00F40B67" w:rsidRPr="008B1755">
        <w:rPr>
          <w:lang w:val="cs-CZ"/>
        </w:rPr>
        <w:t>e</w:t>
      </w:r>
      <w:r w:rsidR="00DD272F" w:rsidRPr="008B1755">
        <w:rPr>
          <w:lang w:val="cs-CZ"/>
        </w:rPr>
        <w:t xml:space="preserve"> internetových služeb</w:t>
      </w:r>
      <w:r w:rsidR="00F40B67" w:rsidRPr="008B1755">
        <w:rPr>
          <w:lang w:val="cs-CZ"/>
        </w:rPr>
        <w:t>, který nabízí</w:t>
      </w:r>
      <w:r w:rsidR="00ED7C8E" w:rsidRPr="008B1755">
        <w:rPr>
          <w:lang w:val="cs-CZ"/>
        </w:rPr>
        <w:t xml:space="preserve"> </w:t>
      </w:r>
      <w:r w:rsidR="00F40B67" w:rsidRPr="008B1755">
        <w:rPr>
          <w:lang w:val="cs-CZ"/>
        </w:rPr>
        <w:t xml:space="preserve">určité aplikace nebo má </w:t>
      </w:r>
      <w:r w:rsidR="00ED7C8E" w:rsidRPr="008B1755">
        <w:rPr>
          <w:lang w:val="cs-CZ"/>
        </w:rPr>
        <w:t>partners</w:t>
      </w:r>
      <w:r w:rsidR="00F40B67" w:rsidRPr="008B1755">
        <w:rPr>
          <w:lang w:val="cs-CZ"/>
        </w:rPr>
        <w:t>kou spolupráci s poskytovatelem určitých aplikací</w:t>
      </w:r>
      <w:r w:rsidR="007411E8" w:rsidRPr="008B1755">
        <w:rPr>
          <w:lang w:val="cs-CZ"/>
        </w:rPr>
        <w:t>.</w:t>
      </w:r>
      <w:r w:rsidR="003B726C" w:rsidRPr="008B1755">
        <w:rPr>
          <w:lang w:val="cs-CZ"/>
        </w:rPr>
        <w:t xml:space="preserve"> </w:t>
      </w:r>
      <w:r w:rsidR="00F40B67" w:rsidRPr="008B1755">
        <w:rPr>
          <w:lang w:val="cs-CZ"/>
        </w:rPr>
        <w:t xml:space="preserve">Nicméně </w:t>
      </w:r>
      <w:r w:rsidR="00926BAE" w:rsidRPr="008B1755">
        <w:rPr>
          <w:lang w:val="cs-CZ"/>
        </w:rPr>
        <w:t>vnitrostátní regulační orgány</w:t>
      </w:r>
      <w:r w:rsidR="003B726C" w:rsidRPr="008B1755">
        <w:rPr>
          <w:lang w:val="cs-CZ"/>
        </w:rPr>
        <w:t xml:space="preserve"> </w:t>
      </w:r>
      <w:r w:rsidR="00F40B67" w:rsidRPr="008B1755">
        <w:rPr>
          <w:lang w:val="cs-CZ"/>
        </w:rPr>
        <w:t xml:space="preserve">nemusí prokazovat, že </w:t>
      </w:r>
      <w:r w:rsidR="003132BE" w:rsidRPr="008B1755">
        <w:rPr>
          <w:lang w:val="cs-CZ"/>
        </w:rPr>
        <w:t>opatření řízení provozu</w:t>
      </w:r>
      <w:r w:rsidR="003B726C" w:rsidRPr="008B1755">
        <w:rPr>
          <w:lang w:val="cs-CZ"/>
        </w:rPr>
        <w:t xml:space="preserve"> </w:t>
      </w:r>
      <w:r w:rsidR="00F40B67" w:rsidRPr="008B1755">
        <w:rPr>
          <w:lang w:val="cs-CZ"/>
        </w:rPr>
        <w:t>je založeno na obchodních cílech</w:t>
      </w:r>
      <w:r w:rsidR="007411E8" w:rsidRPr="008B1755">
        <w:rPr>
          <w:lang w:val="cs-CZ"/>
        </w:rPr>
        <w:t xml:space="preserve">; </w:t>
      </w:r>
      <w:r w:rsidR="00F40B67" w:rsidRPr="008B1755">
        <w:rPr>
          <w:lang w:val="cs-CZ"/>
        </w:rPr>
        <w:t xml:space="preserve">stačí </w:t>
      </w:r>
      <w:r w:rsidR="005A258A">
        <w:rPr>
          <w:lang w:val="cs-CZ"/>
        </w:rPr>
        <w:t>potvrdit</w:t>
      </w:r>
      <w:r w:rsidR="00F40B67" w:rsidRPr="008B1755">
        <w:rPr>
          <w:lang w:val="cs-CZ"/>
        </w:rPr>
        <w:t xml:space="preserve">, že </w:t>
      </w:r>
      <w:r w:rsidR="003132BE" w:rsidRPr="008B1755">
        <w:rPr>
          <w:lang w:val="cs-CZ"/>
        </w:rPr>
        <w:t>opatření řízení provozu</w:t>
      </w:r>
      <w:r w:rsidR="003B726C" w:rsidRPr="008B1755">
        <w:rPr>
          <w:lang w:val="cs-CZ"/>
        </w:rPr>
        <w:t xml:space="preserve"> </w:t>
      </w:r>
      <w:r w:rsidR="00F40B67" w:rsidRPr="008B1755">
        <w:rPr>
          <w:lang w:val="cs-CZ"/>
        </w:rPr>
        <w:t xml:space="preserve">není založeno na objektivně odlišných </w:t>
      </w:r>
      <w:r w:rsidR="001C2FF0" w:rsidRPr="008B1755">
        <w:rPr>
          <w:lang w:val="cs-CZ"/>
        </w:rPr>
        <w:t>požadav</w:t>
      </w:r>
      <w:r w:rsidR="00F40B67" w:rsidRPr="008B1755">
        <w:rPr>
          <w:lang w:val="cs-CZ"/>
        </w:rPr>
        <w:t>cích</w:t>
      </w:r>
      <w:r w:rsidR="001C2FF0" w:rsidRPr="008B1755">
        <w:rPr>
          <w:lang w:val="cs-CZ"/>
        </w:rPr>
        <w:t xml:space="preserve"> na technickou kvalitu služeb</w:t>
      </w:r>
      <w:r w:rsidR="003B726C" w:rsidRPr="008B1755">
        <w:rPr>
          <w:lang w:val="cs-CZ"/>
        </w:rPr>
        <w:t>.</w:t>
      </w:r>
    </w:p>
    <w:p w:rsidR="00B35884" w:rsidRPr="008B1755" w:rsidRDefault="00B50701" w:rsidP="00262769">
      <w:pPr>
        <w:keepNext/>
        <w:keepLines/>
        <w:spacing w:before="120" w:after="120"/>
        <w:outlineLvl w:val="3"/>
        <w:rPr>
          <w:rFonts w:eastAsia="SimSun"/>
          <w:bCs/>
          <w:i/>
          <w:iCs/>
          <w:sz w:val="24"/>
          <w:szCs w:val="24"/>
          <w:u w:val="single"/>
          <w:lang w:val="cs-CZ"/>
        </w:rPr>
      </w:pPr>
      <w:r w:rsidRPr="008B1755" w:rsidDel="00B50701">
        <w:rPr>
          <w:lang w:val="cs-CZ"/>
        </w:rPr>
        <w:t xml:space="preserve"> </w:t>
      </w:r>
      <w:r w:rsidR="00690AA6" w:rsidRPr="008B1755">
        <w:rPr>
          <w:rFonts w:eastAsia="SimSun"/>
          <w:bCs/>
          <w:i/>
          <w:iCs/>
          <w:sz w:val="24"/>
          <w:szCs w:val="24"/>
          <w:u w:val="single"/>
          <w:lang w:val="cs-CZ"/>
        </w:rPr>
        <w:t>„</w:t>
      </w:r>
      <w:r w:rsidR="00690AA6" w:rsidRPr="008B1755">
        <w:rPr>
          <w:rStyle w:val="BERECcitaceChar"/>
          <w:sz w:val="24"/>
          <w:u w:val="single"/>
          <w:lang w:val="cs-CZ"/>
        </w:rPr>
        <w:t>Nesmí sledovat konkrétní obsah</w:t>
      </w:r>
      <w:r w:rsidR="00690AA6" w:rsidRPr="008B1755">
        <w:rPr>
          <w:rFonts w:eastAsia="SimSun"/>
          <w:bCs/>
          <w:i/>
          <w:iCs/>
          <w:sz w:val="24"/>
          <w:szCs w:val="24"/>
          <w:u w:val="single"/>
          <w:lang w:val="cs-CZ"/>
        </w:rPr>
        <w:t>“</w:t>
      </w:r>
    </w:p>
    <w:p w:rsidR="00B35884" w:rsidRPr="008B1755" w:rsidRDefault="00690AA6" w:rsidP="0038751B">
      <w:pPr>
        <w:numPr>
          <w:ilvl w:val="0"/>
          <w:numId w:val="2"/>
        </w:numPr>
        <w:spacing w:after="120"/>
        <w:rPr>
          <w:lang w:val="cs-CZ"/>
        </w:rPr>
      </w:pPr>
      <w:r w:rsidRPr="008B1755">
        <w:rPr>
          <w:lang w:val="cs-CZ"/>
        </w:rPr>
        <w:t xml:space="preserve">Při posuzování </w:t>
      </w:r>
      <w:r w:rsidR="00466D10" w:rsidRPr="008B1755">
        <w:rPr>
          <w:lang w:val="cs-CZ"/>
        </w:rPr>
        <w:t>opatření řízení provozu</w:t>
      </w:r>
      <w:r w:rsidRPr="008B1755">
        <w:rPr>
          <w:lang w:val="cs-CZ"/>
        </w:rPr>
        <w:t xml:space="preserve"> by</w:t>
      </w:r>
      <w:r w:rsidR="00B35884" w:rsidRPr="008B1755">
        <w:rPr>
          <w:lang w:val="cs-CZ"/>
        </w:rPr>
        <w:t xml:space="preserve"> </w:t>
      </w:r>
      <w:r w:rsidR="00926BAE" w:rsidRPr="008B1755">
        <w:rPr>
          <w:lang w:val="cs-CZ"/>
        </w:rPr>
        <w:t>vnitrostátní regulační orgány</w:t>
      </w:r>
      <w:r w:rsidR="00B35884" w:rsidRPr="008B1755">
        <w:rPr>
          <w:lang w:val="cs-CZ"/>
        </w:rPr>
        <w:t xml:space="preserve"> </w:t>
      </w:r>
      <w:r w:rsidRPr="008B1755">
        <w:rPr>
          <w:lang w:val="cs-CZ"/>
        </w:rPr>
        <w:t>měly zajistit, aby tato opatření nesledovala konkrétní obsah</w:t>
      </w:r>
      <w:r w:rsidR="00FB2D7A" w:rsidRPr="008B1755">
        <w:rPr>
          <w:lang w:val="cs-CZ"/>
        </w:rPr>
        <w:t xml:space="preserve"> (</w:t>
      </w:r>
      <w:r w:rsidR="00007189" w:rsidRPr="008B1755">
        <w:rPr>
          <w:lang w:val="cs-CZ"/>
        </w:rPr>
        <w:t>tj.</w:t>
      </w:r>
      <w:r w:rsidR="00FB2D7A" w:rsidRPr="008B1755">
        <w:rPr>
          <w:lang w:val="cs-CZ"/>
        </w:rPr>
        <w:t xml:space="preserve"> </w:t>
      </w:r>
      <w:r w:rsidR="001072B6" w:rsidRPr="008B1755">
        <w:rPr>
          <w:lang w:val="cs-CZ"/>
        </w:rPr>
        <w:t>uživatelská data protokolu transportní vrstvy</w:t>
      </w:r>
      <w:r w:rsidR="00FB2D7A" w:rsidRPr="008B1755">
        <w:rPr>
          <w:lang w:val="cs-CZ"/>
        </w:rPr>
        <w:t>)</w:t>
      </w:r>
      <w:r w:rsidR="00B35884" w:rsidRPr="008B1755">
        <w:rPr>
          <w:lang w:val="cs-CZ"/>
        </w:rPr>
        <w:t xml:space="preserve">. </w:t>
      </w:r>
    </w:p>
    <w:p w:rsidR="00B35884" w:rsidRPr="008B1755" w:rsidRDefault="001072B6" w:rsidP="0038751B">
      <w:pPr>
        <w:numPr>
          <w:ilvl w:val="0"/>
          <w:numId w:val="2"/>
        </w:numPr>
        <w:spacing w:after="120"/>
        <w:rPr>
          <w:lang w:val="cs-CZ"/>
        </w:rPr>
      </w:pPr>
      <w:bookmarkStart w:id="32" w:name="_Ref447279880"/>
      <w:r w:rsidRPr="008B1755">
        <w:rPr>
          <w:lang w:val="cs-CZ"/>
        </w:rPr>
        <w:t xml:space="preserve">Naopak se má za to, že </w:t>
      </w:r>
      <w:r w:rsidR="00466D10" w:rsidRPr="008B1755">
        <w:rPr>
          <w:lang w:val="cs-CZ"/>
        </w:rPr>
        <w:t>opatření řízení provozu</w:t>
      </w:r>
      <w:r w:rsidRPr="008B1755">
        <w:rPr>
          <w:lang w:val="cs-CZ"/>
        </w:rPr>
        <w:t xml:space="preserve">, </w:t>
      </w:r>
      <w:r w:rsidRPr="005A258A">
        <w:rPr>
          <w:lang w:val="cs-CZ"/>
        </w:rPr>
        <w:t>která sledují jiná hlediska než konkrétní obsah</w:t>
      </w:r>
      <w:r w:rsidR="00B35884" w:rsidRPr="005A258A">
        <w:rPr>
          <w:lang w:val="cs-CZ"/>
        </w:rPr>
        <w:t xml:space="preserve">, </w:t>
      </w:r>
      <w:r w:rsidR="00007189" w:rsidRPr="005A258A">
        <w:rPr>
          <w:lang w:val="cs-CZ"/>
        </w:rPr>
        <w:t>tj.</w:t>
      </w:r>
      <w:r w:rsidR="00B35884" w:rsidRPr="005A258A">
        <w:rPr>
          <w:lang w:val="cs-CZ"/>
        </w:rPr>
        <w:t xml:space="preserve"> </w:t>
      </w:r>
      <w:r w:rsidRPr="005A258A">
        <w:rPr>
          <w:lang w:val="cs-CZ"/>
        </w:rPr>
        <w:t>univerzální</w:t>
      </w:r>
      <w:r w:rsidRPr="008B1755">
        <w:rPr>
          <w:lang w:val="cs-CZ"/>
        </w:rPr>
        <w:t xml:space="preserve"> obsah</w:t>
      </w:r>
      <w:r w:rsidR="00B35884" w:rsidRPr="008B1755">
        <w:rPr>
          <w:lang w:val="cs-CZ"/>
        </w:rPr>
        <w:t xml:space="preserve">, </w:t>
      </w:r>
      <w:r w:rsidRPr="008B1755">
        <w:rPr>
          <w:lang w:val="cs-CZ"/>
        </w:rPr>
        <w:t>by měla být povolena</w:t>
      </w:r>
      <w:r w:rsidR="00B35884" w:rsidRPr="008B1755">
        <w:rPr>
          <w:lang w:val="cs-CZ"/>
        </w:rPr>
        <w:t xml:space="preserve">. </w:t>
      </w:r>
      <w:r w:rsidRPr="008B1755">
        <w:rPr>
          <w:lang w:val="cs-CZ"/>
        </w:rPr>
        <w:t xml:space="preserve">Sledovací postupy používané </w:t>
      </w:r>
      <w:r w:rsidR="00080F70" w:rsidRPr="008B1755">
        <w:rPr>
          <w:lang w:val="cs-CZ"/>
        </w:rPr>
        <w:t>poskytovateli</w:t>
      </w:r>
      <w:r w:rsidR="007D7F64" w:rsidRPr="008B1755">
        <w:rPr>
          <w:lang w:val="cs-CZ"/>
        </w:rPr>
        <w:t xml:space="preserve"> internetových služeb</w:t>
      </w:r>
      <w:r w:rsidRPr="008B1755">
        <w:rPr>
          <w:lang w:val="cs-CZ"/>
        </w:rPr>
        <w:t xml:space="preserve">, které vycházejí z informací obsažených v záhlaví </w:t>
      </w:r>
      <w:r w:rsidR="00B35884" w:rsidRPr="008B1755">
        <w:rPr>
          <w:lang w:val="cs-CZ"/>
        </w:rPr>
        <w:t xml:space="preserve">IP </w:t>
      </w:r>
      <w:r w:rsidR="00974A73" w:rsidRPr="008B1755">
        <w:rPr>
          <w:lang w:val="cs-CZ"/>
        </w:rPr>
        <w:t>pa</w:t>
      </w:r>
      <w:r w:rsidRPr="008B1755">
        <w:rPr>
          <w:lang w:val="cs-CZ"/>
        </w:rPr>
        <w:t xml:space="preserve">ketu a záhlaví protokolu transportní vrstvy </w:t>
      </w:r>
      <w:r w:rsidR="00B35884" w:rsidRPr="008B1755">
        <w:rPr>
          <w:lang w:val="cs-CZ"/>
        </w:rPr>
        <w:t>(</w:t>
      </w:r>
      <w:r w:rsidR="00BE001A" w:rsidRPr="008B1755">
        <w:rPr>
          <w:lang w:val="cs-CZ"/>
        </w:rPr>
        <w:t>např.</w:t>
      </w:r>
      <w:r w:rsidR="00B35884" w:rsidRPr="008B1755">
        <w:rPr>
          <w:lang w:val="cs-CZ"/>
        </w:rPr>
        <w:t xml:space="preserve"> TCP)</w:t>
      </w:r>
      <w:r w:rsidRPr="008B1755">
        <w:rPr>
          <w:lang w:val="cs-CZ"/>
        </w:rPr>
        <w:t xml:space="preserve">, lze považovat za univerzální obsah oproti konkrétnímu obsahu poskytovanému samotnými </w:t>
      </w:r>
      <w:r w:rsidR="00C44AED" w:rsidRPr="008B1755">
        <w:rPr>
          <w:lang w:val="cs-CZ"/>
        </w:rPr>
        <w:t>koncov</w:t>
      </w:r>
      <w:r w:rsidRPr="008B1755">
        <w:rPr>
          <w:lang w:val="cs-CZ"/>
        </w:rPr>
        <w:t>ými</w:t>
      </w:r>
      <w:r w:rsidR="00C44AED" w:rsidRPr="008B1755">
        <w:rPr>
          <w:lang w:val="cs-CZ"/>
        </w:rPr>
        <w:t xml:space="preserve"> uživatel</w:t>
      </w:r>
      <w:r w:rsidRPr="008B1755">
        <w:rPr>
          <w:lang w:val="cs-CZ"/>
        </w:rPr>
        <w:t>i</w:t>
      </w:r>
      <w:r w:rsidR="00B35884" w:rsidRPr="008B1755">
        <w:rPr>
          <w:lang w:val="cs-CZ"/>
        </w:rPr>
        <w:t xml:space="preserve"> (</w:t>
      </w:r>
      <w:r w:rsidRPr="008B1755">
        <w:rPr>
          <w:lang w:val="cs-CZ"/>
        </w:rPr>
        <w:t xml:space="preserve">jako např. </w:t>
      </w:r>
      <w:r w:rsidR="00B35884" w:rsidRPr="008B1755">
        <w:rPr>
          <w:lang w:val="cs-CZ"/>
        </w:rPr>
        <w:t xml:space="preserve">text, </w:t>
      </w:r>
      <w:r w:rsidRPr="008B1755">
        <w:rPr>
          <w:lang w:val="cs-CZ"/>
        </w:rPr>
        <w:t xml:space="preserve">obrázky a </w:t>
      </w:r>
      <w:r w:rsidR="00B35884" w:rsidRPr="008B1755">
        <w:rPr>
          <w:lang w:val="cs-CZ"/>
        </w:rPr>
        <w:t>video).</w:t>
      </w:r>
      <w:bookmarkEnd w:id="32"/>
    </w:p>
    <w:p w:rsidR="00B35884" w:rsidRPr="008B1755" w:rsidRDefault="00974A73" w:rsidP="00262769">
      <w:pPr>
        <w:keepNext/>
        <w:keepLines/>
        <w:spacing w:before="120" w:after="120"/>
        <w:outlineLvl w:val="3"/>
        <w:rPr>
          <w:rFonts w:eastAsia="SimSun"/>
          <w:bCs/>
          <w:i/>
          <w:iCs/>
          <w:sz w:val="24"/>
          <w:szCs w:val="24"/>
          <w:u w:val="single"/>
          <w:lang w:val="cs-CZ"/>
        </w:rPr>
      </w:pPr>
      <w:r w:rsidRPr="008B1755" w:rsidDel="00974A73">
        <w:rPr>
          <w:lang w:val="cs-CZ"/>
        </w:rPr>
        <w:t xml:space="preserve"> </w:t>
      </w:r>
      <w:r w:rsidR="00690AA6" w:rsidRPr="008B1755">
        <w:rPr>
          <w:rFonts w:eastAsia="SimSun"/>
          <w:bCs/>
          <w:i/>
          <w:iCs/>
          <w:sz w:val="24"/>
          <w:szCs w:val="24"/>
          <w:u w:val="single"/>
          <w:lang w:val="cs-CZ"/>
        </w:rPr>
        <w:t>„</w:t>
      </w:r>
      <w:r w:rsidR="00690AA6" w:rsidRPr="008B1755">
        <w:rPr>
          <w:rStyle w:val="BERECcitaceChar"/>
          <w:sz w:val="24"/>
          <w:u w:val="single"/>
          <w:lang w:val="cs-CZ"/>
        </w:rPr>
        <w:t>Nesmí být uplatňována po dobu delší, než je nezbytné</w:t>
      </w:r>
      <w:r w:rsidR="00690AA6" w:rsidRPr="008B1755">
        <w:rPr>
          <w:rFonts w:eastAsia="SimSun"/>
          <w:bCs/>
          <w:i/>
          <w:iCs/>
          <w:sz w:val="24"/>
          <w:szCs w:val="24"/>
          <w:u w:val="single"/>
          <w:lang w:val="cs-CZ"/>
        </w:rPr>
        <w:t>“</w:t>
      </w:r>
    </w:p>
    <w:p w:rsidR="00B35884" w:rsidRPr="008B1755" w:rsidRDefault="001A0890" w:rsidP="0038751B">
      <w:pPr>
        <w:numPr>
          <w:ilvl w:val="0"/>
          <w:numId w:val="2"/>
        </w:numPr>
        <w:spacing w:after="120"/>
        <w:rPr>
          <w:lang w:val="cs-CZ"/>
        </w:rPr>
      </w:pPr>
      <w:r w:rsidRPr="008B1755">
        <w:rPr>
          <w:lang w:val="cs-CZ"/>
        </w:rPr>
        <w:t xml:space="preserve">Při posuzování </w:t>
      </w:r>
      <w:r w:rsidR="00466D10" w:rsidRPr="008B1755">
        <w:rPr>
          <w:lang w:val="cs-CZ"/>
        </w:rPr>
        <w:t>opatření řízení provozu</w:t>
      </w:r>
      <w:r w:rsidRPr="008B1755">
        <w:rPr>
          <w:lang w:val="cs-CZ"/>
        </w:rPr>
        <w:t xml:space="preserve"> by</w:t>
      </w:r>
      <w:r w:rsidR="00B35884" w:rsidRPr="008B1755">
        <w:rPr>
          <w:lang w:val="cs-CZ"/>
        </w:rPr>
        <w:t xml:space="preserve"> </w:t>
      </w:r>
      <w:r w:rsidR="00926BAE" w:rsidRPr="008B1755">
        <w:rPr>
          <w:lang w:val="cs-CZ"/>
        </w:rPr>
        <w:t>vnitrostátní regulační orgány</w:t>
      </w:r>
      <w:r w:rsidR="00B35884" w:rsidRPr="008B1755">
        <w:rPr>
          <w:lang w:val="cs-CZ"/>
        </w:rPr>
        <w:t xml:space="preserve"> </w:t>
      </w:r>
      <w:r w:rsidRPr="008B1755">
        <w:rPr>
          <w:lang w:val="cs-CZ"/>
        </w:rPr>
        <w:t>měly vzít v úvahu, že tato opatření nesmí být uplatňována déle, než je nezbytné</w:t>
      </w:r>
      <w:r w:rsidR="00B35884" w:rsidRPr="008B1755">
        <w:rPr>
          <w:lang w:val="cs-CZ"/>
        </w:rPr>
        <w:t xml:space="preserve">. </w:t>
      </w:r>
    </w:p>
    <w:p w:rsidR="00B35884" w:rsidRPr="008B1755" w:rsidRDefault="001A0890" w:rsidP="0038751B">
      <w:pPr>
        <w:numPr>
          <w:ilvl w:val="0"/>
          <w:numId w:val="2"/>
        </w:numPr>
        <w:spacing w:after="120"/>
        <w:rPr>
          <w:lang w:val="cs-CZ"/>
        </w:rPr>
      </w:pPr>
      <w:r w:rsidRPr="008B1755">
        <w:rPr>
          <w:lang w:val="cs-CZ"/>
        </w:rPr>
        <w:t xml:space="preserve">Sdružení </w:t>
      </w:r>
      <w:r w:rsidR="00B35884" w:rsidRPr="008B1755">
        <w:rPr>
          <w:lang w:val="cs-CZ"/>
        </w:rPr>
        <w:t xml:space="preserve">BEREC </w:t>
      </w:r>
      <w:r w:rsidRPr="008B1755">
        <w:rPr>
          <w:lang w:val="cs-CZ"/>
        </w:rPr>
        <w:t xml:space="preserve">chápe tento pojem tak, že se vztahuje k proporcionalitě přiměřených </w:t>
      </w:r>
      <w:r w:rsidR="00466D10" w:rsidRPr="008B1755">
        <w:rPr>
          <w:lang w:val="cs-CZ"/>
        </w:rPr>
        <w:t>opatření řízení provozu</w:t>
      </w:r>
      <w:r w:rsidRPr="008B1755">
        <w:rPr>
          <w:lang w:val="cs-CZ"/>
        </w:rPr>
        <w:t>, co se týče jejich trvání</w:t>
      </w:r>
      <w:r w:rsidR="00B35884" w:rsidRPr="008B1755">
        <w:rPr>
          <w:lang w:val="cs-CZ"/>
        </w:rPr>
        <w:t xml:space="preserve">, </w:t>
      </w:r>
      <w:r w:rsidRPr="008B1755">
        <w:rPr>
          <w:lang w:val="cs-CZ"/>
        </w:rPr>
        <w:t>paralelně k výslovnému předpokladu</w:t>
      </w:r>
      <w:r w:rsidR="00AE4021" w:rsidRPr="008B1755">
        <w:rPr>
          <w:lang w:val="cs-CZ"/>
        </w:rPr>
        <w:t>, že</w:t>
      </w:r>
      <w:r w:rsidRPr="008B1755">
        <w:rPr>
          <w:lang w:val="cs-CZ"/>
        </w:rPr>
        <w:t xml:space="preserve"> </w:t>
      </w:r>
      <w:r w:rsidRPr="008B1755">
        <w:rPr>
          <w:i/>
          <w:lang w:val="cs-CZ"/>
        </w:rPr>
        <w:t>„musí být přiměřená“</w:t>
      </w:r>
      <w:r w:rsidR="00AE4021" w:rsidRPr="008B1755">
        <w:rPr>
          <w:lang w:val="cs-CZ"/>
        </w:rPr>
        <w:t xml:space="preserve">, což se týká jejich přiměřenosti, </w:t>
      </w:r>
      <w:r w:rsidR="00DC22E0">
        <w:rPr>
          <w:lang w:val="cs-CZ"/>
        </w:rPr>
        <w:t xml:space="preserve">ve smyslu </w:t>
      </w:r>
      <w:r w:rsidR="00AE4021" w:rsidRPr="008B1755">
        <w:rPr>
          <w:lang w:val="cs-CZ"/>
        </w:rPr>
        <w:t xml:space="preserve">rozsahu </w:t>
      </w:r>
      <w:r w:rsidR="00B35884" w:rsidRPr="008B1755">
        <w:rPr>
          <w:lang w:val="cs-CZ"/>
        </w:rPr>
        <w:t>(typ</w:t>
      </w:r>
      <w:r w:rsidR="00AE4021" w:rsidRPr="008B1755">
        <w:rPr>
          <w:lang w:val="cs-CZ"/>
        </w:rPr>
        <w:t xml:space="preserve"> a poměr dotčeného provozu</w:t>
      </w:r>
      <w:r w:rsidR="00B35884" w:rsidRPr="008B1755">
        <w:rPr>
          <w:lang w:val="cs-CZ"/>
        </w:rPr>
        <w:t xml:space="preserve">, </w:t>
      </w:r>
      <w:r w:rsidR="00AE4021" w:rsidRPr="008B1755">
        <w:rPr>
          <w:lang w:val="cs-CZ"/>
        </w:rPr>
        <w:t>dopad na zbývající provoz</w:t>
      </w:r>
      <w:r w:rsidR="00B35884" w:rsidRPr="008B1755">
        <w:rPr>
          <w:lang w:val="cs-CZ"/>
        </w:rPr>
        <w:t xml:space="preserve">, </w:t>
      </w:r>
      <w:r w:rsidR="00AE4021" w:rsidRPr="008B1755">
        <w:rPr>
          <w:lang w:val="cs-CZ"/>
        </w:rPr>
        <w:t xml:space="preserve">stejné nakládání </w:t>
      </w:r>
      <w:r w:rsidR="00DC22E0">
        <w:rPr>
          <w:lang w:val="cs-CZ"/>
        </w:rPr>
        <w:t xml:space="preserve">s provozem ve </w:t>
      </w:r>
      <w:r w:rsidR="00AE4021" w:rsidRPr="008B1755">
        <w:rPr>
          <w:lang w:val="cs-CZ"/>
        </w:rPr>
        <w:t>srovnatelný</w:t>
      </w:r>
      <w:r w:rsidR="00DC22E0">
        <w:rPr>
          <w:lang w:val="cs-CZ"/>
        </w:rPr>
        <w:t>ch</w:t>
      </w:r>
      <w:r w:rsidR="00AE4021" w:rsidRPr="008B1755">
        <w:rPr>
          <w:lang w:val="cs-CZ"/>
        </w:rPr>
        <w:t xml:space="preserve"> situac</w:t>
      </w:r>
      <w:r w:rsidR="00DC22E0">
        <w:rPr>
          <w:lang w:val="cs-CZ"/>
        </w:rPr>
        <w:t>ích</w:t>
      </w:r>
      <w:r w:rsidR="00AE4021" w:rsidRPr="008B1755">
        <w:rPr>
          <w:lang w:val="cs-CZ"/>
        </w:rPr>
        <w:t xml:space="preserve"> atd</w:t>
      </w:r>
      <w:r w:rsidR="00B35884" w:rsidRPr="008B1755">
        <w:rPr>
          <w:lang w:val="cs-CZ"/>
        </w:rPr>
        <w:t xml:space="preserve">.). </w:t>
      </w:r>
    </w:p>
    <w:p w:rsidR="00B35884" w:rsidRPr="008B1755" w:rsidRDefault="00B259E1" w:rsidP="0038751B">
      <w:pPr>
        <w:numPr>
          <w:ilvl w:val="0"/>
          <w:numId w:val="2"/>
        </w:numPr>
        <w:spacing w:after="120"/>
        <w:rPr>
          <w:lang w:val="cs-CZ"/>
        </w:rPr>
      </w:pPr>
      <w:r w:rsidRPr="008B1755">
        <w:rPr>
          <w:lang w:val="cs-CZ"/>
        </w:rPr>
        <w:t xml:space="preserve">To samo o sobě nebrání zavedení a </w:t>
      </w:r>
      <w:r w:rsidR="00DC22E0">
        <w:rPr>
          <w:lang w:val="cs-CZ"/>
        </w:rPr>
        <w:t xml:space="preserve">trvalému </w:t>
      </w:r>
      <w:r w:rsidRPr="008B1755">
        <w:rPr>
          <w:lang w:val="cs-CZ"/>
        </w:rPr>
        <w:t xml:space="preserve">používání spouštěcí funkce </w:t>
      </w:r>
      <w:r w:rsidR="00A56F4C" w:rsidRPr="008B1755">
        <w:rPr>
          <w:lang w:val="cs-CZ"/>
        </w:rPr>
        <w:t xml:space="preserve">trvale </w:t>
      </w:r>
      <w:r w:rsidR="00B35884" w:rsidRPr="008B1755">
        <w:rPr>
          <w:lang w:val="cs-CZ"/>
        </w:rPr>
        <w:t>(</w:t>
      </w:r>
      <w:r w:rsidRPr="008B1755">
        <w:rPr>
          <w:lang w:val="cs-CZ"/>
        </w:rPr>
        <w:t xml:space="preserve">kdy ale </w:t>
      </w:r>
      <w:r w:rsidR="003132BE" w:rsidRPr="008B1755">
        <w:rPr>
          <w:lang w:val="cs-CZ"/>
        </w:rPr>
        <w:t>opatření řízení provozu</w:t>
      </w:r>
      <w:r w:rsidR="00AD3221" w:rsidRPr="008B1755">
        <w:rPr>
          <w:lang w:val="cs-CZ"/>
        </w:rPr>
        <w:t xml:space="preserve"> </w:t>
      </w:r>
      <w:r w:rsidRPr="008B1755">
        <w:rPr>
          <w:lang w:val="cs-CZ"/>
        </w:rPr>
        <w:t>nejsou dosud účinná</w:t>
      </w:r>
      <w:r w:rsidR="00B35884" w:rsidRPr="008B1755">
        <w:rPr>
          <w:lang w:val="cs-CZ"/>
        </w:rPr>
        <w:t>)</w:t>
      </w:r>
      <w:r w:rsidRPr="008B1755">
        <w:rPr>
          <w:lang w:val="cs-CZ"/>
        </w:rPr>
        <w:t xml:space="preserve">, pokud </w:t>
      </w:r>
      <w:r w:rsidR="00C24D4C">
        <w:rPr>
          <w:lang w:val="cs-CZ"/>
        </w:rPr>
        <w:t xml:space="preserve">se </w:t>
      </w:r>
      <w:r w:rsidR="003132BE" w:rsidRPr="008B1755">
        <w:rPr>
          <w:lang w:val="cs-CZ"/>
        </w:rPr>
        <w:t>opatření řízení provozu</w:t>
      </w:r>
      <w:r w:rsidR="00AD3221" w:rsidRPr="008B1755">
        <w:rPr>
          <w:lang w:val="cs-CZ"/>
        </w:rPr>
        <w:t xml:space="preserve"> </w:t>
      </w:r>
      <w:r w:rsidR="00C24D4C">
        <w:rPr>
          <w:lang w:val="cs-CZ"/>
        </w:rPr>
        <w:t>začne uplatňovat</w:t>
      </w:r>
      <w:r w:rsidRPr="008B1755">
        <w:rPr>
          <w:lang w:val="cs-CZ"/>
        </w:rPr>
        <w:t xml:space="preserve"> až v případech, kdy to bude nezbytné</w:t>
      </w:r>
      <w:r w:rsidR="00B35884" w:rsidRPr="008B1755">
        <w:rPr>
          <w:lang w:val="cs-CZ"/>
        </w:rPr>
        <w:t xml:space="preserve">. </w:t>
      </w:r>
      <w:r w:rsidRPr="008B1755">
        <w:rPr>
          <w:lang w:val="cs-CZ"/>
        </w:rPr>
        <w:t>Nezbytnost může nastat několikrát, nebo</w:t>
      </w:r>
      <w:r w:rsidR="00DC22E0">
        <w:rPr>
          <w:lang w:val="cs-CZ"/>
        </w:rPr>
        <w:t xml:space="preserve"> může</w:t>
      </w:r>
      <w:r w:rsidRPr="008B1755">
        <w:rPr>
          <w:lang w:val="cs-CZ"/>
        </w:rPr>
        <w:t xml:space="preserve"> dokonce nastávat pravidelně po dané časové období</w:t>
      </w:r>
      <w:r w:rsidR="00B35884" w:rsidRPr="008B1755">
        <w:rPr>
          <w:lang w:val="cs-CZ"/>
        </w:rPr>
        <w:t xml:space="preserve">. </w:t>
      </w:r>
      <w:r w:rsidRPr="008B1755">
        <w:rPr>
          <w:lang w:val="cs-CZ"/>
        </w:rPr>
        <w:t xml:space="preserve">Nicméně pokud jsou </w:t>
      </w:r>
      <w:r w:rsidR="00466D10" w:rsidRPr="008B1755">
        <w:rPr>
          <w:lang w:val="cs-CZ"/>
        </w:rPr>
        <w:t>opatření řízení provozu</w:t>
      </w:r>
      <w:r w:rsidR="003E6E62" w:rsidRPr="008B1755">
        <w:rPr>
          <w:lang w:val="cs-CZ"/>
        </w:rPr>
        <w:t xml:space="preserve"> </w:t>
      </w:r>
      <w:r w:rsidRPr="008B1755">
        <w:rPr>
          <w:lang w:val="cs-CZ"/>
        </w:rPr>
        <w:t>v platnosti trvale nebo opakovaně</w:t>
      </w:r>
      <w:r w:rsidR="00EC47E5" w:rsidRPr="008B1755">
        <w:rPr>
          <w:lang w:val="cs-CZ"/>
        </w:rPr>
        <w:t>,</w:t>
      </w:r>
      <w:r w:rsidR="003E6E62" w:rsidRPr="008B1755">
        <w:rPr>
          <w:lang w:val="cs-CZ"/>
        </w:rPr>
        <w:t xml:space="preserve"> </w:t>
      </w:r>
      <w:r w:rsidRPr="008B1755">
        <w:rPr>
          <w:lang w:val="cs-CZ"/>
        </w:rPr>
        <w:t xml:space="preserve">může být jejich nezbytnost sporná a </w:t>
      </w:r>
      <w:r w:rsidR="00926BAE" w:rsidRPr="008B1755">
        <w:rPr>
          <w:lang w:val="cs-CZ"/>
        </w:rPr>
        <w:t>vnitrostátní regulační orgány</w:t>
      </w:r>
      <w:r w:rsidR="003E6E62" w:rsidRPr="008B1755">
        <w:rPr>
          <w:lang w:val="cs-CZ"/>
        </w:rPr>
        <w:t xml:space="preserve"> </w:t>
      </w:r>
      <w:r w:rsidRPr="008B1755">
        <w:rPr>
          <w:lang w:val="cs-CZ"/>
        </w:rPr>
        <w:t xml:space="preserve">by v takových situacích měly zvážit, zda tato </w:t>
      </w:r>
      <w:r w:rsidR="00466D10" w:rsidRPr="008B1755">
        <w:rPr>
          <w:lang w:val="cs-CZ"/>
        </w:rPr>
        <w:t>opatření řízení provozu</w:t>
      </w:r>
      <w:r w:rsidR="00974A73" w:rsidRPr="008B1755">
        <w:rPr>
          <w:lang w:val="cs-CZ"/>
        </w:rPr>
        <w:t xml:space="preserve"> </w:t>
      </w:r>
      <w:r w:rsidRPr="008B1755">
        <w:rPr>
          <w:lang w:val="cs-CZ"/>
        </w:rPr>
        <w:t xml:space="preserve">lze nadále kvalifikovat jako přiměřená ve smyslu </w:t>
      </w:r>
      <w:r w:rsidR="002E5214" w:rsidRPr="008B1755">
        <w:rPr>
          <w:lang w:val="cs-CZ"/>
        </w:rPr>
        <w:t>článku</w:t>
      </w:r>
      <w:r w:rsidR="00DD272F" w:rsidRPr="008B1755">
        <w:rPr>
          <w:lang w:val="cs-CZ"/>
        </w:rPr>
        <w:t xml:space="preserve"> 3 </w:t>
      </w:r>
      <w:r w:rsidR="00585BD7" w:rsidRPr="008B1755">
        <w:rPr>
          <w:lang w:val="cs-CZ"/>
        </w:rPr>
        <w:t>odst. 3</w:t>
      </w:r>
      <w:r w:rsidRPr="008B1755">
        <w:rPr>
          <w:lang w:val="cs-CZ"/>
        </w:rPr>
        <w:t>,</w:t>
      </w:r>
      <w:r w:rsidR="00974A73" w:rsidRPr="008B1755">
        <w:rPr>
          <w:lang w:val="cs-CZ"/>
        </w:rPr>
        <w:t xml:space="preserve"> </w:t>
      </w:r>
      <w:r w:rsidR="001D70F8" w:rsidRPr="008B1755">
        <w:rPr>
          <w:lang w:val="cs-CZ"/>
        </w:rPr>
        <w:t>druhý pododstavec</w:t>
      </w:r>
      <w:r w:rsidR="00B35884" w:rsidRPr="008B1755">
        <w:rPr>
          <w:lang w:val="cs-CZ"/>
        </w:rPr>
        <w:t xml:space="preserve">. </w:t>
      </w:r>
    </w:p>
    <w:p w:rsidR="00B35884" w:rsidRPr="008B1755" w:rsidRDefault="00B259E1" w:rsidP="00262769">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 xml:space="preserve">Odlišení od výjimečných </w:t>
      </w:r>
      <w:r w:rsidR="00466D10" w:rsidRPr="008B1755">
        <w:rPr>
          <w:rFonts w:eastAsia="SimSun"/>
          <w:bCs/>
          <w:i/>
          <w:iCs/>
          <w:sz w:val="24"/>
          <w:szCs w:val="24"/>
          <w:u w:val="single"/>
          <w:lang w:val="cs-CZ"/>
        </w:rPr>
        <w:t>opatření řízení provozu</w:t>
      </w:r>
    </w:p>
    <w:p w:rsidR="00B35884" w:rsidRPr="008B1755" w:rsidRDefault="00B259E1" w:rsidP="0038751B">
      <w:pPr>
        <w:numPr>
          <w:ilvl w:val="0"/>
          <w:numId w:val="2"/>
        </w:numPr>
        <w:spacing w:after="120"/>
        <w:rPr>
          <w:lang w:val="cs-CZ"/>
        </w:rPr>
      </w:pPr>
      <w:r w:rsidRPr="008B1755">
        <w:rPr>
          <w:lang w:val="cs-CZ"/>
        </w:rPr>
        <w:t xml:space="preserve">Článek </w:t>
      </w:r>
      <w:r w:rsidR="00DD272F" w:rsidRPr="008B1755">
        <w:rPr>
          <w:lang w:val="cs-CZ"/>
        </w:rPr>
        <w:t xml:space="preserve">3 </w:t>
      </w:r>
      <w:r w:rsidR="00585BD7" w:rsidRPr="008B1755">
        <w:rPr>
          <w:lang w:val="cs-CZ"/>
        </w:rPr>
        <w:t>odst. 3</w:t>
      </w:r>
      <w:r w:rsidRPr="008B1755">
        <w:rPr>
          <w:lang w:val="cs-CZ"/>
        </w:rPr>
        <w:t>,</w:t>
      </w:r>
      <w:r w:rsidR="00B35884" w:rsidRPr="008B1755">
        <w:rPr>
          <w:lang w:val="cs-CZ"/>
        </w:rPr>
        <w:t xml:space="preserve"> </w:t>
      </w:r>
      <w:r w:rsidR="001D70F8" w:rsidRPr="008B1755">
        <w:rPr>
          <w:lang w:val="cs-CZ"/>
        </w:rPr>
        <w:t>třetí pododstavec</w:t>
      </w:r>
      <w:r w:rsidRPr="008B1755">
        <w:rPr>
          <w:lang w:val="cs-CZ"/>
        </w:rPr>
        <w:t xml:space="preserve">, vysvětluje, že </w:t>
      </w:r>
      <w:r w:rsidR="004C4F26" w:rsidRPr="008B1755">
        <w:rPr>
          <w:lang w:val="cs-CZ"/>
        </w:rPr>
        <w:t>podle článku</w:t>
      </w:r>
      <w:r w:rsidR="00DD272F" w:rsidRPr="008B1755">
        <w:rPr>
          <w:lang w:val="cs-CZ"/>
        </w:rPr>
        <w:t xml:space="preserve"> 3 </w:t>
      </w:r>
      <w:r w:rsidR="00585BD7" w:rsidRPr="008B1755">
        <w:rPr>
          <w:lang w:val="cs-CZ"/>
        </w:rPr>
        <w:t>odst. 3</w:t>
      </w:r>
      <w:r w:rsidRPr="008B1755">
        <w:rPr>
          <w:lang w:val="cs-CZ"/>
        </w:rPr>
        <w:t>,</w:t>
      </w:r>
      <w:r w:rsidR="00B35884" w:rsidRPr="008B1755">
        <w:rPr>
          <w:lang w:val="cs-CZ"/>
        </w:rPr>
        <w:t xml:space="preserve"> </w:t>
      </w:r>
      <w:r w:rsidR="001D70F8" w:rsidRPr="008B1755">
        <w:rPr>
          <w:lang w:val="cs-CZ"/>
        </w:rPr>
        <w:t>druhý pododstavec</w:t>
      </w:r>
      <w:r w:rsidR="005A46FA" w:rsidRPr="008B1755">
        <w:rPr>
          <w:lang w:val="cs-CZ"/>
        </w:rPr>
        <w:t>,</w:t>
      </w:r>
      <w:r w:rsidR="00B35884" w:rsidRPr="008B1755">
        <w:rPr>
          <w:lang w:val="cs-CZ"/>
        </w:rPr>
        <w:t xml:space="preserve"> </w:t>
      </w:r>
      <w:r w:rsidRPr="008B1755">
        <w:rPr>
          <w:lang w:val="cs-CZ"/>
        </w:rPr>
        <w:t xml:space="preserve">jsou zakázána mimo jiné následující </w:t>
      </w:r>
      <w:r w:rsidR="00466D10" w:rsidRPr="008B1755">
        <w:rPr>
          <w:lang w:val="cs-CZ"/>
        </w:rPr>
        <w:t>opatření řízení provozu</w:t>
      </w:r>
      <w:r w:rsidR="00ED5232" w:rsidRPr="008B1755">
        <w:rPr>
          <w:lang w:val="cs-CZ"/>
        </w:rPr>
        <w:t>:</w:t>
      </w:r>
      <w:r w:rsidR="00B35884" w:rsidRPr="008B1755">
        <w:rPr>
          <w:lang w:val="cs-CZ"/>
        </w:rPr>
        <w:t xml:space="preserve"> </w:t>
      </w:r>
      <w:r w:rsidRPr="008B1755">
        <w:rPr>
          <w:rStyle w:val="BERECChar"/>
          <w:lang w:val="cs-CZ"/>
        </w:rPr>
        <w:t>blokování, zpomalování, měnění, omezování, narušování, zhoršování nebo diskriminace konkrétního obsahu, aplikací nebo služeb nebo jejich konkrétní kategorií</w:t>
      </w:r>
      <w:r w:rsidR="00B35884" w:rsidRPr="008B1755">
        <w:rPr>
          <w:lang w:val="cs-CZ"/>
        </w:rPr>
        <w:t xml:space="preserve">. </w:t>
      </w:r>
    </w:p>
    <w:p w:rsidR="00B35884" w:rsidRPr="008B1755" w:rsidRDefault="00B259E1" w:rsidP="00262769">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 xml:space="preserve">Odlišení od </w:t>
      </w:r>
      <w:r w:rsidR="00244C91" w:rsidRPr="008B1755">
        <w:rPr>
          <w:rFonts w:eastAsia="SimSun"/>
          <w:bCs/>
          <w:i/>
          <w:iCs/>
          <w:sz w:val="24"/>
          <w:szCs w:val="24"/>
          <w:u w:val="single"/>
          <w:lang w:val="cs-CZ"/>
        </w:rPr>
        <w:t>specializovan</w:t>
      </w:r>
      <w:r w:rsidRPr="008B1755">
        <w:rPr>
          <w:rFonts w:eastAsia="SimSun"/>
          <w:bCs/>
          <w:i/>
          <w:iCs/>
          <w:sz w:val="24"/>
          <w:szCs w:val="24"/>
          <w:u w:val="single"/>
          <w:lang w:val="cs-CZ"/>
        </w:rPr>
        <w:t>ých</w:t>
      </w:r>
      <w:r w:rsidR="00244C91" w:rsidRPr="008B1755">
        <w:rPr>
          <w:rFonts w:eastAsia="SimSun"/>
          <w:bCs/>
          <w:i/>
          <w:iCs/>
          <w:sz w:val="24"/>
          <w:szCs w:val="24"/>
          <w:u w:val="single"/>
          <w:lang w:val="cs-CZ"/>
        </w:rPr>
        <w:t xml:space="preserve"> služ</w:t>
      </w:r>
      <w:r w:rsidRPr="008B1755">
        <w:rPr>
          <w:rFonts w:eastAsia="SimSun"/>
          <w:bCs/>
          <w:i/>
          <w:iCs/>
          <w:sz w:val="24"/>
          <w:szCs w:val="24"/>
          <w:u w:val="single"/>
          <w:lang w:val="cs-CZ"/>
        </w:rPr>
        <w:t>e</w:t>
      </w:r>
      <w:r w:rsidR="00244C91" w:rsidRPr="008B1755">
        <w:rPr>
          <w:rFonts w:eastAsia="SimSun"/>
          <w:bCs/>
          <w:i/>
          <w:iCs/>
          <w:sz w:val="24"/>
          <w:szCs w:val="24"/>
          <w:u w:val="single"/>
          <w:lang w:val="cs-CZ"/>
        </w:rPr>
        <w:t>b</w:t>
      </w:r>
    </w:p>
    <w:p w:rsidR="00E63F6C" w:rsidRPr="008B1755" w:rsidRDefault="00B259E1" w:rsidP="0038751B">
      <w:pPr>
        <w:numPr>
          <w:ilvl w:val="0"/>
          <w:numId w:val="2"/>
        </w:numPr>
        <w:spacing w:after="120"/>
        <w:rPr>
          <w:lang w:val="cs-CZ"/>
        </w:rPr>
      </w:pPr>
      <w:bookmarkStart w:id="33" w:name="_Ref447272526"/>
      <w:r w:rsidRPr="008B1755">
        <w:rPr>
          <w:lang w:val="cs-CZ"/>
        </w:rPr>
        <w:t xml:space="preserve">Sdružení </w:t>
      </w:r>
      <w:r w:rsidR="00B35884" w:rsidRPr="008B1755">
        <w:rPr>
          <w:lang w:val="cs-CZ"/>
        </w:rPr>
        <w:t xml:space="preserve">BEREC </w:t>
      </w:r>
      <w:r w:rsidRPr="008B1755">
        <w:rPr>
          <w:lang w:val="cs-CZ"/>
        </w:rPr>
        <w:t>chápe, že „</w:t>
      </w:r>
      <w:r w:rsidRPr="008B1755">
        <w:rPr>
          <w:i/>
          <w:lang w:val="cs-CZ"/>
        </w:rPr>
        <w:t>kategorie provozu“</w:t>
      </w:r>
      <w:r w:rsidR="00B35884" w:rsidRPr="008B1755">
        <w:rPr>
          <w:lang w:val="cs-CZ"/>
        </w:rPr>
        <w:t xml:space="preserve"> </w:t>
      </w:r>
      <w:r w:rsidRPr="008B1755">
        <w:rPr>
          <w:lang w:val="cs-CZ"/>
        </w:rPr>
        <w:t xml:space="preserve">by měly být jasně odlišeny od </w:t>
      </w:r>
      <w:r w:rsidR="00244C91" w:rsidRPr="008B1755">
        <w:rPr>
          <w:lang w:val="cs-CZ"/>
        </w:rPr>
        <w:t>specializovan</w:t>
      </w:r>
      <w:r w:rsidRPr="008B1755">
        <w:rPr>
          <w:lang w:val="cs-CZ"/>
        </w:rPr>
        <w:t>ých</w:t>
      </w:r>
      <w:r w:rsidR="00244C91" w:rsidRPr="008B1755">
        <w:rPr>
          <w:lang w:val="cs-CZ"/>
        </w:rPr>
        <w:t xml:space="preserve"> služ</w:t>
      </w:r>
      <w:r w:rsidRPr="008B1755">
        <w:rPr>
          <w:lang w:val="cs-CZ"/>
        </w:rPr>
        <w:t>e</w:t>
      </w:r>
      <w:r w:rsidR="00244C91" w:rsidRPr="008B1755">
        <w:rPr>
          <w:lang w:val="cs-CZ"/>
        </w:rPr>
        <w:t>b</w:t>
      </w:r>
      <w:r w:rsidR="00B35884" w:rsidRPr="008B1755">
        <w:rPr>
          <w:lang w:val="cs-CZ"/>
        </w:rPr>
        <w:t>.</w:t>
      </w:r>
      <w:bookmarkEnd w:id="33"/>
      <w:r w:rsidR="00E63F6C" w:rsidRPr="008B1755">
        <w:rPr>
          <w:lang w:val="cs-CZ"/>
        </w:rPr>
        <w:t xml:space="preserve"> </w:t>
      </w:r>
      <w:r w:rsidRPr="008B1755">
        <w:rPr>
          <w:lang w:val="cs-CZ"/>
        </w:rPr>
        <w:t xml:space="preserve">Článek </w:t>
      </w:r>
      <w:r w:rsidR="00DD272F" w:rsidRPr="008B1755">
        <w:rPr>
          <w:lang w:val="cs-CZ"/>
        </w:rPr>
        <w:t xml:space="preserve">3 odst. </w:t>
      </w:r>
      <w:r w:rsidR="00E63F6C" w:rsidRPr="008B1755">
        <w:rPr>
          <w:lang w:val="cs-CZ"/>
        </w:rPr>
        <w:t>5</w:t>
      </w:r>
      <w:r w:rsidRPr="008B1755">
        <w:rPr>
          <w:lang w:val="cs-CZ"/>
        </w:rPr>
        <w:t xml:space="preserve"> vysvětluje, že </w:t>
      </w:r>
      <w:r w:rsidR="00244C91" w:rsidRPr="008B1755">
        <w:rPr>
          <w:lang w:val="cs-CZ"/>
        </w:rPr>
        <w:t>specializované služby</w:t>
      </w:r>
      <w:r w:rsidR="00E63F6C" w:rsidRPr="008B1755">
        <w:rPr>
          <w:lang w:val="cs-CZ"/>
        </w:rPr>
        <w:t xml:space="preserve"> </w:t>
      </w:r>
      <w:r w:rsidR="00F6209C" w:rsidRPr="008B1755">
        <w:rPr>
          <w:lang w:val="cs-CZ"/>
        </w:rPr>
        <w:t>mohou být poskytovány z důvodů optimalizace za účelem splnění požadavků na určitou úroveň kvality</w:t>
      </w:r>
      <w:r w:rsidR="00E63F6C" w:rsidRPr="008B1755">
        <w:rPr>
          <w:lang w:val="cs-CZ"/>
        </w:rPr>
        <w:t xml:space="preserve">. </w:t>
      </w:r>
      <w:r w:rsidR="000147FD" w:rsidRPr="008B1755">
        <w:rPr>
          <w:lang w:val="cs-CZ"/>
        </w:rPr>
        <w:t>Na druhé straně je používání „</w:t>
      </w:r>
      <w:r w:rsidR="000147FD" w:rsidRPr="008B1755">
        <w:rPr>
          <w:i/>
          <w:lang w:val="cs-CZ"/>
        </w:rPr>
        <w:t>kategorií provozu</w:t>
      </w:r>
      <w:r w:rsidR="000147FD" w:rsidRPr="008B1755">
        <w:rPr>
          <w:lang w:val="cs-CZ"/>
        </w:rPr>
        <w:t xml:space="preserve">“ </w:t>
      </w:r>
      <w:r w:rsidR="004C4F26" w:rsidRPr="008B1755">
        <w:rPr>
          <w:lang w:val="cs-CZ"/>
        </w:rPr>
        <w:t>podle článku</w:t>
      </w:r>
      <w:r w:rsidR="00DD272F" w:rsidRPr="008B1755">
        <w:rPr>
          <w:lang w:val="cs-CZ"/>
        </w:rPr>
        <w:t xml:space="preserve"> 3 </w:t>
      </w:r>
      <w:r w:rsidR="00585BD7" w:rsidRPr="008B1755">
        <w:rPr>
          <w:lang w:val="cs-CZ"/>
        </w:rPr>
        <w:t>odst. 3</w:t>
      </w:r>
      <w:r w:rsidR="000147FD" w:rsidRPr="008B1755">
        <w:rPr>
          <w:lang w:val="cs-CZ"/>
        </w:rPr>
        <w:t>,</w:t>
      </w:r>
      <w:r w:rsidR="00E63F6C" w:rsidRPr="008B1755">
        <w:rPr>
          <w:lang w:val="cs-CZ"/>
        </w:rPr>
        <w:t xml:space="preserve"> </w:t>
      </w:r>
      <w:r w:rsidR="001D70F8" w:rsidRPr="008B1755">
        <w:rPr>
          <w:lang w:val="cs-CZ"/>
        </w:rPr>
        <w:t>druhý pododstavec</w:t>
      </w:r>
      <w:r w:rsidR="000147FD" w:rsidRPr="008B1755">
        <w:rPr>
          <w:lang w:val="cs-CZ"/>
        </w:rPr>
        <w:t>, povoleno za účelem optimalizace celkové kvality přenosu</w:t>
      </w:r>
      <w:r w:rsidR="00BF65C4" w:rsidRPr="008B1755">
        <w:rPr>
          <w:lang w:val="cs-CZ"/>
        </w:rPr>
        <w:t xml:space="preserve"> (</w:t>
      </w:r>
      <w:r w:rsidR="000147FD" w:rsidRPr="008B1755">
        <w:rPr>
          <w:lang w:val="cs-CZ"/>
        </w:rPr>
        <w:t xml:space="preserve">viz </w:t>
      </w:r>
      <w:r w:rsidR="00946CEA" w:rsidRPr="008B1755">
        <w:rPr>
          <w:lang w:val="cs-CZ"/>
        </w:rPr>
        <w:t xml:space="preserve">Úvodní část Nařízení, bod </w:t>
      </w:r>
      <w:r w:rsidR="00E63F6C" w:rsidRPr="008B1755">
        <w:rPr>
          <w:lang w:val="cs-CZ"/>
        </w:rPr>
        <w:t>9</w:t>
      </w:r>
      <w:r w:rsidR="00BF65C4" w:rsidRPr="008B1755">
        <w:rPr>
          <w:lang w:val="cs-CZ"/>
        </w:rPr>
        <w:t>)</w:t>
      </w:r>
      <w:r w:rsidR="00E63F6C" w:rsidRPr="008B1755">
        <w:rPr>
          <w:lang w:val="cs-CZ"/>
        </w:rPr>
        <w:t>.</w:t>
      </w:r>
    </w:p>
    <w:p w:rsidR="00B35884" w:rsidRPr="008B1755" w:rsidRDefault="003E7168" w:rsidP="001B38FB">
      <w:pPr>
        <w:keepNext/>
        <w:keepLines/>
        <w:spacing w:before="360" w:after="120"/>
        <w:outlineLvl w:val="1"/>
        <w:rPr>
          <w:rFonts w:eastAsia="SimSun" w:cs="Arial"/>
          <w:b/>
          <w:bCs/>
          <w:sz w:val="24"/>
          <w:szCs w:val="24"/>
          <w:lang w:val="cs-CZ"/>
        </w:rPr>
      </w:pPr>
      <w:bookmarkStart w:id="34" w:name="_Toc461400160"/>
      <w:r w:rsidRPr="008B1755">
        <w:rPr>
          <w:rFonts w:eastAsia="SimSun" w:cs="Arial"/>
          <w:b/>
          <w:bCs/>
          <w:sz w:val="24"/>
          <w:szCs w:val="24"/>
          <w:lang w:val="cs-CZ"/>
        </w:rPr>
        <w:t xml:space="preserve">Článek </w:t>
      </w:r>
      <w:r w:rsidR="00585BD7" w:rsidRPr="008B1755">
        <w:rPr>
          <w:rFonts w:eastAsia="SimSun" w:cs="Arial"/>
          <w:b/>
          <w:bCs/>
          <w:sz w:val="24"/>
          <w:szCs w:val="24"/>
          <w:lang w:val="cs-CZ"/>
        </w:rPr>
        <w:t>3 odst. 3</w:t>
      </w:r>
      <w:r w:rsidR="000147FD" w:rsidRPr="008B1755">
        <w:rPr>
          <w:rFonts w:eastAsia="SimSun" w:cs="Arial"/>
          <w:b/>
          <w:bCs/>
          <w:sz w:val="24"/>
          <w:szCs w:val="24"/>
          <w:lang w:val="cs-CZ"/>
        </w:rPr>
        <w:t>,</w:t>
      </w:r>
      <w:r w:rsidR="00B35884" w:rsidRPr="008B1755">
        <w:rPr>
          <w:rFonts w:eastAsia="SimSun" w:cs="Arial"/>
          <w:b/>
          <w:bCs/>
          <w:sz w:val="24"/>
          <w:szCs w:val="24"/>
          <w:lang w:val="cs-CZ"/>
        </w:rPr>
        <w:t xml:space="preserve"> </w:t>
      </w:r>
      <w:r w:rsidR="001D70F8" w:rsidRPr="008B1755">
        <w:rPr>
          <w:rFonts w:eastAsia="SimSun" w:cs="Arial"/>
          <w:b/>
          <w:bCs/>
          <w:sz w:val="24"/>
          <w:szCs w:val="24"/>
          <w:lang w:val="cs-CZ"/>
        </w:rPr>
        <w:t>třetí pododstavec</w:t>
      </w:r>
      <w:bookmarkEnd w:id="34"/>
    </w:p>
    <w:p w:rsidR="00B35884" w:rsidRPr="008B1755" w:rsidRDefault="009B7C0D"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Poskytovatelé služeb přístupu k internetu nesmějí provádět opatření řízení provozu, která jdou nad rámec opatření stanovených v druhém pododstavci, a zejména nesmějí blokovat, zpomalovat, měnit, omezovat, narušovat, zhoršovat nebo diskriminovat konkrétní obsah, aplikace nebo služby nebo jejich konkrétní kategorie, s výjimkou případů, kdy je to nezbytné, a pouze na nezbytně nutnou dobu za účelem</w:t>
      </w:r>
      <w:r w:rsidR="00B35884" w:rsidRPr="008B1755">
        <w:rPr>
          <w:rFonts w:ascii="Times New Roman" w:hAnsi="Times New Roman"/>
          <w:lang w:val="cs-CZ"/>
        </w:rPr>
        <w:t>:</w:t>
      </w:r>
    </w:p>
    <w:p w:rsidR="00B35884" w:rsidRPr="008B1755" w:rsidRDefault="00946CEA" w:rsidP="006F0EC7">
      <w:pPr>
        <w:keepNext/>
        <w:shd w:val="clear" w:color="auto" w:fill="D9D9D9"/>
        <w:spacing w:after="0"/>
        <w:rPr>
          <w:rFonts w:ascii="Times New Roman" w:hAnsi="Times New Roman"/>
          <w:sz w:val="20"/>
          <w:u w:val="single"/>
          <w:lang w:val="cs-CZ"/>
        </w:rPr>
      </w:pPr>
      <w:r w:rsidRPr="008B1755">
        <w:rPr>
          <w:rFonts w:ascii="Times New Roman" w:hAnsi="Times New Roman"/>
          <w:sz w:val="20"/>
          <w:u w:val="single"/>
          <w:lang w:val="cs-CZ"/>
        </w:rPr>
        <w:t xml:space="preserve">Úvodní část Nařízení, bod </w:t>
      </w:r>
      <w:r w:rsidR="00B35884" w:rsidRPr="008B1755">
        <w:rPr>
          <w:rFonts w:ascii="Times New Roman" w:hAnsi="Times New Roman"/>
          <w:sz w:val="20"/>
          <w:u w:val="single"/>
          <w:lang w:val="cs-CZ"/>
        </w:rPr>
        <w:t>11</w:t>
      </w:r>
    </w:p>
    <w:p w:rsidR="00B35884" w:rsidRPr="008B1755" w:rsidRDefault="00946CEA" w:rsidP="006F0EC7">
      <w:pPr>
        <w:shd w:val="clear" w:color="auto" w:fill="D9D9D9"/>
        <w:rPr>
          <w:rFonts w:ascii="Times New Roman" w:hAnsi="Times New Roman"/>
          <w:sz w:val="20"/>
          <w:lang w:val="cs-CZ"/>
        </w:rPr>
      </w:pPr>
      <w:r w:rsidRPr="008B1755">
        <w:rPr>
          <w:rStyle w:val="Style3Char"/>
          <w:sz w:val="20"/>
          <w:lang w:val="cs-CZ"/>
        </w:rPr>
        <w:t>Jakékoli postupy řízení provozu jdoucí nad rámec takovýchto opatření přiměřeného řízení provozu tím, že blokují, zpomalují, mění, omezují, ruší, zhoršují či diskriminují konkrétní obsah, aplikace nebo služby či konkrétní kategorie obsahu, aplikací nebo služeb, by měly být zakázány s výhradou odůvodněných a přesně vymezených výjimek stanovených v tomto nařízení. Tyto výjimky by měly být vykládány restriktivně a měly by se na ně vztahovat požadavky proporcionality. Konkrétní obsah, aplikace a služby, jakož i jejich konkrétní kategorie, by měly být chráněny, protože jejich blokování či jiná omezující opatření, která nespadají pod odůvodněné výjimky, by měla nepříznivý dopad na možnost volby pro koncové uživatele a možné inovace. Pravidla zakazující měnit obsah, aplikace nebo služby se vztahují na změnu obsahu sdělení, nezakazují však nediskriminační techniky datové komprese, které zmenšují velikost datového souboru bez jakékoli změny obsahu. Tato komprese umožňuje účinnější využívání nedostatkových zdrojů a slouží zájmu koncových uživatelů snižováním objemu dat, zvyšováním rychlosti a zlepšováním zkušeností s využíváním dotčeného obsahu, aplikací nebo služeb</w:t>
      </w:r>
      <w:r w:rsidR="00B35884" w:rsidRPr="008B1755">
        <w:rPr>
          <w:rFonts w:ascii="Times New Roman" w:hAnsi="Times New Roman"/>
          <w:sz w:val="20"/>
          <w:lang w:val="cs-CZ"/>
        </w:rPr>
        <w:t>.</w:t>
      </w:r>
    </w:p>
    <w:p w:rsidR="00B35884" w:rsidRPr="008B1755" w:rsidRDefault="00946CEA" w:rsidP="006F0EC7">
      <w:pPr>
        <w:keepNext/>
        <w:shd w:val="clear" w:color="auto" w:fill="D9D9D9"/>
        <w:spacing w:after="0"/>
        <w:rPr>
          <w:rFonts w:ascii="Times New Roman" w:hAnsi="Times New Roman"/>
          <w:sz w:val="20"/>
          <w:u w:val="single"/>
          <w:lang w:val="cs-CZ"/>
        </w:rPr>
      </w:pPr>
      <w:r w:rsidRPr="008B1755">
        <w:rPr>
          <w:rFonts w:ascii="Times New Roman" w:hAnsi="Times New Roman"/>
          <w:sz w:val="20"/>
          <w:u w:val="single"/>
          <w:lang w:val="cs-CZ"/>
        </w:rPr>
        <w:t xml:space="preserve">Úvodní část Nařízení, bod </w:t>
      </w:r>
      <w:r w:rsidR="00B35884" w:rsidRPr="008B1755">
        <w:rPr>
          <w:rFonts w:ascii="Times New Roman" w:hAnsi="Times New Roman"/>
          <w:sz w:val="20"/>
          <w:u w:val="single"/>
          <w:lang w:val="cs-CZ"/>
        </w:rPr>
        <w:t>12</w:t>
      </w:r>
    </w:p>
    <w:p w:rsidR="00B35884" w:rsidRPr="008B1755" w:rsidRDefault="00946CEA" w:rsidP="006F0EC7">
      <w:pPr>
        <w:shd w:val="clear" w:color="auto" w:fill="D9D9D9"/>
        <w:rPr>
          <w:rFonts w:ascii="Times New Roman" w:hAnsi="Times New Roman"/>
          <w:sz w:val="20"/>
          <w:lang w:val="cs-CZ"/>
        </w:rPr>
      </w:pPr>
      <w:r w:rsidRPr="008B1755">
        <w:rPr>
          <w:rStyle w:val="Style3Char"/>
          <w:sz w:val="20"/>
          <w:lang w:val="cs-CZ"/>
        </w:rPr>
        <w:t>Opatření řízení provozu jdoucí nad rámec daných opatření přiměřeného řízení provozu lze uplatňovat pouze v nezbytných případech a po dobu nezbytně nutnou, a pokud tato opatření spadají mezi tři odůvodněné výjimky stanovené v tomto nařízení</w:t>
      </w:r>
      <w:r w:rsidR="00B35884" w:rsidRPr="008B1755">
        <w:rPr>
          <w:rFonts w:ascii="Times New Roman" w:hAnsi="Times New Roman"/>
          <w:sz w:val="20"/>
          <w:lang w:val="cs-CZ"/>
        </w:rPr>
        <w:t>.</w:t>
      </w:r>
    </w:p>
    <w:p w:rsidR="007352A3" w:rsidRPr="008B1755" w:rsidRDefault="00E97FD2" w:rsidP="0038751B">
      <w:pPr>
        <w:numPr>
          <w:ilvl w:val="0"/>
          <w:numId w:val="2"/>
        </w:numPr>
        <w:spacing w:after="120"/>
        <w:rPr>
          <w:lang w:val="cs-CZ"/>
        </w:rPr>
      </w:pPr>
      <w:r w:rsidRPr="008B1755">
        <w:rPr>
          <w:lang w:val="cs-CZ"/>
        </w:rPr>
        <w:t xml:space="preserve">Článek </w:t>
      </w:r>
      <w:r w:rsidR="00DD272F" w:rsidRPr="008B1755">
        <w:rPr>
          <w:lang w:val="cs-CZ"/>
        </w:rPr>
        <w:t xml:space="preserve">3 </w:t>
      </w:r>
      <w:r w:rsidR="00585BD7" w:rsidRPr="008B1755">
        <w:rPr>
          <w:lang w:val="cs-CZ"/>
        </w:rPr>
        <w:t>odst. 3</w:t>
      </w:r>
      <w:r w:rsidR="00B35884" w:rsidRPr="008B1755">
        <w:rPr>
          <w:lang w:val="cs-CZ"/>
        </w:rPr>
        <w:t xml:space="preserve">, </w:t>
      </w:r>
      <w:r w:rsidR="001D70F8" w:rsidRPr="008B1755">
        <w:rPr>
          <w:lang w:val="cs-CZ"/>
        </w:rPr>
        <w:t>třetí pododstavec</w:t>
      </w:r>
      <w:r w:rsidRPr="008B1755">
        <w:rPr>
          <w:lang w:val="cs-CZ"/>
        </w:rPr>
        <w:t>, obsahuje dva aspekty</w:t>
      </w:r>
      <w:r w:rsidR="007352A3" w:rsidRPr="008B1755">
        <w:rPr>
          <w:lang w:val="cs-CZ"/>
        </w:rPr>
        <w:t xml:space="preserve">: </w:t>
      </w:r>
    </w:p>
    <w:p w:rsidR="00164003" w:rsidRPr="008B1755" w:rsidRDefault="00E97FD2" w:rsidP="0038751B">
      <w:pPr>
        <w:pStyle w:val="Odstavecseseznamem"/>
        <w:numPr>
          <w:ilvl w:val="0"/>
          <w:numId w:val="19"/>
        </w:numPr>
        <w:spacing w:after="120"/>
        <w:rPr>
          <w:lang w:val="cs-CZ"/>
        </w:rPr>
      </w:pPr>
      <w:r w:rsidRPr="008B1755">
        <w:rPr>
          <w:lang w:val="cs-CZ"/>
        </w:rPr>
        <w:t xml:space="preserve">Zákaz </w:t>
      </w:r>
      <w:r w:rsidR="00213F4A" w:rsidRPr="008B1755">
        <w:rPr>
          <w:lang w:val="cs-CZ"/>
        </w:rPr>
        <w:t xml:space="preserve">provádění </w:t>
      </w:r>
      <w:r w:rsidR="00213F4A" w:rsidRPr="008B1755">
        <w:rPr>
          <w:rStyle w:val="BERECChar"/>
          <w:lang w:val="cs-CZ"/>
        </w:rPr>
        <w:t xml:space="preserve">opatření řízení provozu, která jdou nad rámec přiměřených opatření, ze strany </w:t>
      </w:r>
      <w:r w:rsidR="007D7F64" w:rsidRPr="008B1755">
        <w:rPr>
          <w:lang w:val="cs-CZ"/>
        </w:rPr>
        <w:t>poskytovatel</w:t>
      </w:r>
      <w:r w:rsidR="00213F4A" w:rsidRPr="008B1755">
        <w:rPr>
          <w:lang w:val="cs-CZ"/>
        </w:rPr>
        <w:t>ů</w:t>
      </w:r>
      <w:r w:rsidR="007D7F64" w:rsidRPr="008B1755">
        <w:rPr>
          <w:lang w:val="cs-CZ"/>
        </w:rPr>
        <w:t xml:space="preserve"> internetových služeb</w:t>
      </w:r>
      <w:r w:rsidR="00213F4A" w:rsidRPr="008B1755">
        <w:rPr>
          <w:lang w:val="cs-CZ"/>
        </w:rPr>
        <w:t xml:space="preserve"> a dále</w:t>
      </w:r>
    </w:p>
    <w:p w:rsidR="00886DC9" w:rsidRPr="008B1755" w:rsidRDefault="009830D8" w:rsidP="0038751B">
      <w:pPr>
        <w:pStyle w:val="Odstavecseseznamem"/>
        <w:numPr>
          <w:ilvl w:val="0"/>
          <w:numId w:val="19"/>
        </w:numPr>
        <w:spacing w:after="120"/>
        <w:rPr>
          <w:lang w:val="cs-CZ"/>
        </w:rPr>
      </w:pPr>
      <w:r>
        <w:rPr>
          <w:lang w:val="cs-CZ"/>
        </w:rPr>
        <w:t xml:space="preserve">Úplný </w:t>
      </w:r>
      <w:r w:rsidR="00213F4A" w:rsidRPr="008B1755">
        <w:rPr>
          <w:lang w:val="cs-CZ"/>
        </w:rPr>
        <w:t xml:space="preserve">seznam tří výjimek, za kterých jsou </w:t>
      </w:r>
      <w:r w:rsidR="00466D10" w:rsidRPr="008B1755">
        <w:rPr>
          <w:lang w:val="cs-CZ"/>
        </w:rPr>
        <w:t xml:space="preserve">opatření řízení </w:t>
      </w:r>
      <w:r w:rsidR="00213F4A" w:rsidRPr="008B1755">
        <w:rPr>
          <w:rStyle w:val="BERECChar"/>
          <w:lang w:val="cs-CZ"/>
        </w:rPr>
        <w:t>provozu, která jdou nad rámec těchto přiměřených opatření</w:t>
      </w:r>
      <w:r w:rsidR="00213F4A" w:rsidRPr="008B1755">
        <w:rPr>
          <w:lang w:val="cs-CZ"/>
        </w:rPr>
        <w:t xml:space="preserve"> řízení provozu, přípustná</w:t>
      </w:r>
      <w:r w:rsidR="00886DC9" w:rsidRPr="008B1755">
        <w:rPr>
          <w:lang w:val="cs-CZ"/>
        </w:rPr>
        <w:t>.</w:t>
      </w:r>
    </w:p>
    <w:p w:rsidR="000E1E52" w:rsidRPr="008B1755" w:rsidRDefault="00213F4A" w:rsidP="00437ECE">
      <w:pPr>
        <w:numPr>
          <w:ilvl w:val="0"/>
          <w:numId w:val="2"/>
        </w:numPr>
        <w:spacing w:after="120"/>
        <w:rPr>
          <w:lang w:val="cs-CZ"/>
        </w:rPr>
      </w:pPr>
      <w:r w:rsidRPr="008B1755">
        <w:rPr>
          <w:lang w:val="cs-CZ"/>
        </w:rPr>
        <w:t>Pro zajištění otevřeného internetu popisuje</w:t>
      </w:r>
      <w:r w:rsidR="000E1E52" w:rsidRPr="008B1755">
        <w:rPr>
          <w:lang w:val="cs-CZ"/>
        </w:rPr>
        <w:t xml:space="preserve"> </w:t>
      </w:r>
      <w:r w:rsidR="00DD272F" w:rsidRPr="008B1755">
        <w:rPr>
          <w:lang w:val="cs-CZ"/>
        </w:rPr>
        <w:t xml:space="preserve">článek 3 </w:t>
      </w:r>
      <w:r w:rsidR="00585BD7" w:rsidRPr="008B1755">
        <w:rPr>
          <w:lang w:val="cs-CZ"/>
        </w:rPr>
        <w:t>odst. 3</w:t>
      </w:r>
      <w:r w:rsidRPr="008B1755">
        <w:rPr>
          <w:lang w:val="cs-CZ"/>
        </w:rPr>
        <w:t>,</w:t>
      </w:r>
      <w:r w:rsidR="000E1E52" w:rsidRPr="008B1755">
        <w:rPr>
          <w:lang w:val="cs-CZ"/>
        </w:rPr>
        <w:t xml:space="preserve"> </w:t>
      </w:r>
      <w:r w:rsidR="001D70F8" w:rsidRPr="008B1755">
        <w:rPr>
          <w:lang w:val="cs-CZ"/>
        </w:rPr>
        <w:t>třetí pododstavec</w:t>
      </w:r>
      <w:r w:rsidRPr="008B1755">
        <w:rPr>
          <w:lang w:val="cs-CZ"/>
        </w:rPr>
        <w:t>, způsoby řízení provozu, které jsou zakázány</w:t>
      </w:r>
      <w:r w:rsidR="000E1E52" w:rsidRPr="008B1755">
        <w:rPr>
          <w:lang w:val="cs-CZ"/>
        </w:rPr>
        <w:t xml:space="preserve">, </w:t>
      </w:r>
      <w:r w:rsidRPr="008B1755">
        <w:rPr>
          <w:lang w:val="cs-CZ"/>
        </w:rPr>
        <w:t>pokud se na ně nevztahuje konkrétní výjimka</w:t>
      </w:r>
      <w:r w:rsidR="000E1E52" w:rsidRPr="008B1755">
        <w:rPr>
          <w:lang w:val="cs-CZ"/>
        </w:rPr>
        <w:t xml:space="preserve">. </w:t>
      </w:r>
      <w:r w:rsidRPr="008B1755">
        <w:rPr>
          <w:lang w:val="cs-CZ"/>
        </w:rPr>
        <w:t xml:space="preserve">Jedná se o opatření, která jsou v tomto ohledu mj. zakázána a která lze popsat pomocí těchto sedmi principů, které by měly být používány </w:t>
      </w:r>
      <w:r w:rsidR="00926BAE" w:rsidRPr="008B1755">
        <w:rPr>
          <w:lang w:val="cs-CZ"/>
        </w:rPr>
        <w:t>vnitrostátní</w:t>
      </w:r>
      <w:r w:rsidRPr="008B1755">
        <w:rPr>
          <w:lang w:val="cs-CZ"/>
        </w:rPr>
        <w:t>mi</w:t>
      </w:r>
      <w:r w:rsidR="00926BAE" w:rsidRPr="008B1755">
        <w:rPr>
          <w:lang w:val="cs-CZ"/>
        </w:rPr>
        <w:t xml:space="preserve"> regulační</w:t>
      </w:r>
      <w:r w:rsidRPr="008B1755">
        <w:rPr>
          <w:lang w:val="cs-CZ"/>
        </w:rPr>
        <w:t>mi</w:t>
      </w:r>
      <w:r w:rsidR="00926BAE" w:rsidRPr="008B1755">
        <w:rPr>
          <w:lang w:val="cs-CZ"/>
        </w:rPr>
        <w:t xml:space="preserve"> orgány</w:t>
      </w:r>
      <w:r w:rsidR="000E1E52" w:rsidRPr="008B1755">
        <w:rPr>
          <w:lang w:val="cs-CZ"/>
        </w:rPr>
        <w:t xml:space="preserve"> </w:t>
      </w:r>
      <w:r w:rsidRPr="008B1755">
        <w:rPr>
          <w:lang w:val="cs-CZ"/>
        </w:rPr>
        <w:t xml:space="preserve">při posuzování praktik </w:t>
      </w:r>
      <w:r w:rsidR="007D7F64" w:rsidRPr="008B1755">
        <w:rPr>
          <w:lang w:val="cs-CZ"/>
        </w:rPr>
        <w:t>poskytovatel</w:t>
      </w:r>
      <w:r w:rsidRPr="008B1755">
        <w:rPr>
          <w:lang w:val="cs-CZ"/>
        </w:rPr>
        <w:t>ů</w:t>
      </w:r>
      <w:r w:rsidR="007D7F64" w:rsidRPr="008B1755">
        <w:rPr>
          <w:lang w:val="cs-CZ"/>
        </w:rPr>
        <w:t xml:space="preserve"> internetových služeb</w:t>
      </w:r>
      <w:r w:rsidR="000E1E52" w:rsidRPr="008B1755">
        <w:rPr>
          <w:lang w:val="cs-CZ"/>
        </w:rPr>
        <w:t>:</w:t>
      </w:r>
    </w:p>
    <w:p w:rsidR="000E1E52" w:rsidRPr="008B1755" w:rsidRDefault="00213F4A" w:rsidP="0038751B">
      <w:pPr>
        <w:pStyle w:val="Odstavecseseznamem"/>
        <w:numPr>
          <w:ilvl w:val="0"/>
          <w:numId w:val="20"/>
        </w:numPr>
        <w:ind w:left="1134" w:hanging="425"/>
        <w:rPr>
          <w:lang w:val="cs-CZ"/>
        </w:rPr>
      </w:pPr>
      <w:r w:rsidRPr="008B1755">
        <w:rPr>
          <w:lang w:val="cs-CZ"/>
        </w:rPr>
        <w:t>zákaz</w:t>
      </w:r>
      <w:r w:rsidR="000E1E52" w:rsidRPr="008B1755">
        <w:rPr>
          <w:lang w:val="cs-CZ"/>
        </w:rPr>
        <w:t xml:space="preserve"> </w:t>
      </w:r>
      <w:r w:rsidR="00350081" w:rsidRPr="008B1755">
        <w:rPr>
          <w:rStyle w:val="BERECChar"/>
          <w:lang w:val="cs-CZ"/>
        </w:rPr>
        <w:t>blokování</w:t>
      </w:r>
      <w:r w:rsidR="000E1E52" w:rsidRPr="008B1755">
        <w:rPr>
          <w:lang w:val="cs-CZ"/>
        </w:rPr>
        <w:t xml:space="preserve">, </w:t>
      </w:r>
    </w:p>
    <w:p w:rsidR="000E1E52" w:rsidRPr="008B1755" w:rsidRDefault="00213F4A" w:rsidP="0038751B">
      <w:pPr>
        <w:pStyle w:val="Odstavecseseznamem"/>
        <w:numPr>
          <w:ilvl w:val="0"/>
          <w:numId w:val="20"/>
        </w:numPr>
        <w:ind w:left="1134" w:hanging="425"/>
        <w:rPr>
          <w:lang w:val="cs-CZ"/>
        </w:rPr>
      </w:pPr>
      <w:r w:rsidRPr="008B1755">
        <w:rPr>
          <w:lang w:val="cs-CZ"/>
        </w:rPr>
        <w:t>zákaz</w:t>
      </w:r>
      <w:r w:rsidR="000E1E52" w:rsidRPr="008B1755">
        <w:rPr>
          <w:lang w:val="cs-CZ"/>
        </w:rPr>
        <w:t xml:space="preserve"> </w:t>
      </w:r>
      <w:r w:rsidR="00350081" w:rsidRPr="008B1755">
        <w:rPr>
          <w:rStyle w:val="BERECChar"/>
          <w:lang w:val="cs-CZ"/>
        </w:rPr>
        <w:t>zpomalování</w:t>
      </w:r>
      <w:r w:rsidR="000E1E52" w:rsidRPr="008B1755">
        <w:rPr>
          <w:lang w:val="cs-CZ"/>
        </w:rPr>
        <w:t xml:space="preserve">, </w:t>
      </w:r>
    </w:p>
    <w:p w:rsidR="000E1E52" w:rsidRPr="008B1755" w:rsidRDefault="00213F4A" w:rsidP="0038751B">
      <w:pPr>
        <w:pStyle w:val="Odstavecseseznamem"/>
        <w:numPr>
          <w:ilvl w:val="0"/>
          <w:numId w:val="20"/>
        </w:numPr>
        <w:ind w:left="1134" w:hanging="425"/>
        <w:rPr>
          <w:lang w:val="cs-CZ"/>
        </w:rPr>
      </w:pPr>
      <w:r w:rsidRPr="008B1755">
        <w:rPr>
          <w:lang w:val="cs-CZ"/>
        </w:rPr>
        <w:t>zákaz</w:t>
      </w:r>
      <w:r w:rsidR="000E1E52" w:rsidRPr="008B1755">
        <w:rPr>
          <w:lang w:val="cs-CZ"/>
        </w:rPr>
        <w:t xml:space="preserve"> </w:t>
      </w:r>
      <w:r w:rsidR="00350081" w:rsidRPr="008B1755">
        <w:rPr>
          <w:lang w:val="cs-CZ"/>
        </w:rPr>
        <w:t>měnění</w:t>
      </w:r>
      <w:r w:rsidR="000E1E52" w:rsidRPr="008B1755">
        <w:rPr>
          <w:lang w:val="cs-CZ"/>
        </w:rPr>
        <w:t xml:space="preserve">, </w:t>
      </w:r>
    </w:p>
    <w:p w:rsidR="000E1E52" w:rsidRPr="008B1755" w:rsidRDefault="00213F4A" w:rsidP="0038751B">
      <w:pPr>
        <w:pStyle w:val="Odstavecseseznamem"/>
        <w:numPr>
          <w:ilvl w:val="0"/>
          <w:numId w:val="20"/>
        </w:numPr>
        <w:ind w:left="1134" w:hanging="425"/>
        <w:rPr>
          <w:lang w:val="cs-CZ"/>
        </w:rPr>
      </w:pPr>
      <w:r w:rsidRPr="008B1755">
        <w:rPr>
          <w:lang w:val="cs-CZ"/>
        </w:rPr>
        <w:t>zákaz</w:t>
      </w:r>
      <w:r w:rsidR="000E1E52" w:rsidRPr="008B1755">
        <w:rPr>
          <w:lang w:val="cs-CZ"/>
        </w:rPr>
        <w:t xml:space="preserve"> </w:t>
      </w:r>
      <w:r w:rsidR="00350081" w:rsidRPr="008B1755">
        <w:rPr>
          <w:lang w:val="cs-CZ"/>
        </w:rPr>
        <w:t>omezování</w:t>
      </w:r>
      <w:r w:rsidR="000E1E52" w:rsidRPr="008B1755">
        <w:rPr>
          <w:lang w:val="cs-CZ"/>
        </w:rPr>
        <w:t xml:space="preserve">, </w:t>
      </w:r>
    </w:p>
    <w:p w:rsidR="000E1E52" w:rsidRPr="008B1755" w:rsidRDefault="00213F4A" w:rsidP="0038751B">
      <w:pPr>
        <w:pStyle w:val="Odstavecseseznamem"/>
        <w:numPr>
          <w:ilvl w:val="0"/>
          <w:numId w:val="20"/>
        </w:numPr>
        <w:ind w:left="1134" w:hanging="425"/>
        <w:rPr>
          <w:lang w:val="cs-CZ"/>
        </w:rPr>
      </w:pPr>
      <w:r w:rsidRPr="008B1755">
        <w:rPr>
          <w:lang w:val="cs-CZ"/>
        </w:rPr>
        <w:t>zákaz</w:t>
      </w:r>
      <w:r w:rsidR="000E1E52" w:rsidRPr="008B1755">
        <w:rPr>
          <w:lang w:val="cs-CZ"/>
        </w:rPr>
        <w:t xml:space="preserve"> </w:t>
      </w:r>
      <w:r w:rsidR="00350081" w:rsidRPr="008B1755">
        <w:rPr>
          <w:lang w:val="cs-CZ"/>
        </w:rPr>
        <w:t>narušování</w:t>
      </w:r>
      <w:r w:rsidR="000E1E52" w:rsidRPr="008B1755">
        <w:rPr>
          <w:lang w:val="cs-CZ"/>
        </w:rPr>
        <w:t xml:space="preserve">, </w:t>
      </w:r>
    </w:p>
    <w:p w:rsidR="000E1E52" w:rsidRPr="008B1755" w:rsidRDefault="00213F4A" w:rsidP="0038751B">
      <w:pPr>
        <w:pStyle w:val="Odstavecseseznamem"/>
        <w:numPr>
          <w:ilvl w:val="0"/>
          <w:numId w:val="20"/>
        </w:numPr>
        <w:ind w:left="1134" w:hanging="425"/>
        <w:rPr>
          <w:lang w:val="cs-CZ"/>
        </w:rPr>
      </w:pPr>
      <w:r w:rsidRPr="008B1755">
        <w:rPr>
          <w:lang w:val="cs-CZ"/>
        </w:rPr>
        <w:t>zákaz</w:t>
      </w:r>
      <w:r w:rsidR="000E1E52" w:rsidRPr="008B1755">
        <w:rPr>
          <w:lang w:val="cs-CZ"/>
        </w:rPr>
        <w:t xml:space="preserve"> </w:t>
      </w:r>
      <w:r w:rsidR="00350081" w:rsidRPr="008B1755">
        <w:rPr>
          <w:lang w:val="cs-CZ"/>
        </w:rPr>
        <w:t>zhoršování a</w:t>
      </w:r>
      <w:r w:rsidR="000E1E52" w:rsidRPr="008B1755">
        <w:rPr>
          <w:lang w:val="cs-CZ"/>
        </w:rPr>
        <w:t xml:space="preserve"> </w:t>
      </w:r>
    </w:p>
    <w:p w:rsidR="000E1E52" w:rsidRPr="008B1755" w:rsidRDefault="00213F4A" w:rsidP="0038751B">
      <w:pPr>
        <w:pStyle w:val="Odstavecseseznamem"/>
        <w:numPr>
          <w:ilvl w:val="0"/>
          <w:numId w:val="20"/>
        </w:numPr>
        <w:spacing w:after="60"/>
        <w:ind w:left="1134" w:hanging="425"/>
        <w:rPr>
          <w:lang w:val="cs-CZ"/>
        </w:rPr>
      </w:pPr>
      <w:r w:rsidRPr="008B1755">
        <w:rPr>
          <w:lang w:val="cs-CZ"/>
        </w:rPr>
        <w:t>zákaz</w:t>
      </w:r>
      <w:r w:rsidR="000E1E52" w:rsidRPr="008B1755">
        <w:rPr>
          <w:lang w:val="cs-CZ"/>
        </w:rPr>
        <w:t xml:space="preserve"> </w:t>
      </w:r>
      <w:r w:rsidR="00350081" w:rsidRPr="008B1755">
        <w:rPr>
          <w:lang w:val="cs-CZ"/>
        </w:rPr>
        <w:t xml:space="preserve">diskriminace </w:t>
      </w:r>
    </w:p>
    <w:p w:rsidR="000E1E52" w:rsidRPr="008B1755" w:rsidRDefault="00350081" w:rsidP="000E1E52">
      <w:pPr>
        <w:ind w:left="482"/>
        <w:rPr>
          <w:lang w:val="cs-CZ"/>
        </w:rPr>
      </w:pPr>
      <w:r w:rsidRPr="008B1755">
        <w:rPr>
          <w:lang w:val="cs-CZ"/>
        </w:rPr>
        <w:t>konkrétního obsahu</w:t>
      </w:r>
      <w:r w:rsidR="000E1E52" w:rsidRPr="008B1755">
        <w:rPr>
          <w:lang w:val="cs-CZ"/>
        </w:rPr>
        <w:t xml:space="preserve">, </w:t>
      </w:r>
      <w:r w:rsidRPr="008B1755">
        <w:rPr>
          <w:lang w:val="cs-CZ"/>
        </w:rPr>
        <w:t>aplikací nebo služeb nebo jejich jednotlivých kategorií</w:t>
      </w:r>
      <w:r w:rsidR="000E1E52" w:rsidRPr="008B1755">
        <w:rPr>
          <w:lang w:val="cs-CZ"/>
        </w:rPr>
        <w:t>.</w:t>
      </w:r>
      <w:r w:rsidR="00886DC9" w:rsidRPr="008B1755">
        <w:rPr>
          <w:lang w:val="cs-CZ"/>
        </w:rPr>
        <w:t xml:space="preserve"> </w:t>
      </w:r>
      <w:r w:rsidRPr="008B1755">
        <w:rPr>
          <w:lang w:val="cs-CZ"/>
        </w:rPr>
        <w:t xml:space="preserve">Jedná se o </w:t>
      </w:r>
      <w:r w:rsidR="009830D8">
        <w:rPr>
          <w:lang w:val="cs-CZ"/>
        </w:rPr>
        <w:t xml:space="preserve"> příklad</w:t>
      </w:r>
      <w:r w:rsidR="005A258A">
        <w:rPr>
          <w:lang w:val="cs-CZ"/>
        </w:rPr>
        <w:t>n</w:t>
      </w:r>
      <w:r w:rsidR="009830D8">
        <w:rPr>
          <w:lang w:val="cs-CZ"/>
        </w:rPr>
        <w:t xml:space="preserve">ý </w:t>
      </w:r>
      <w:r w:rsidRPr="008B1755">
        <w:rPr>
          <w:lang w:val="cs-CZ"/>
        </w:rPr>
        <w:t xml:space="preserve">výčet </w:t>
      </w:r>
      <w:r w:rsidR="00466D10" w:rsidRPr="008B1755">
        <w:rPr>
          <w:lang w:val="cs-CZ"/>
        </w:rPr>
        <w:t>opatření řízení provozu</w:t>
      </w:r>
      <w:r w:rsidRPr="008B1755">
        <w:rPr>
          <w:lang w:val="cs-CZ"/>
        </w:rPr>
        <w:t>, která jsou zakázána</w:t>
      </w:r>
      <w:r w:rsidR="000E1E52" w:rsidRPr="008B1755">
        <w:rPr>
          <w:lang w:val="cs-CZ"/>
        </w:rPr>
        <w:t xml:space="preserve">, </w:t>
      </w:r>
      <w:r w:rsidRPr="008B1755">
        <w:rPr>
          <w:lang w:val="cs-CZ"/>
        </w:rPr>
        <w:t>přičemž zakázána jsou také jakákoli jiná opatření jdoucí nad rámec přiměřeného řízení provozu</w:t>
      </w:r>
      <w:r w:rsidR="000E1E52" w:rsidRPr="008B1755">
        <w:rPr>
          <w:lang w:val="cs-CZ"/>
        </w:rPr>
        <w:t>.</w:t>
      </w:r>
      <w:r w:rsidR="00886DC9" w:rsidRPr="008B1755">
        <w:rPr>
          <w:lang w:val="cs-CZ"/>
        </w:rPr>
        <w:t xml:space="preserve"> </w:t>
      </w:r>
      <w:r w:rsidRPr="008B1755">
        <w:rPr>
          <w:lang w:val="cs-CZ"/>
        </w:rPr>
        <w:t xml:space="preserve">Praktiky nesplňující těchto sedm základních principů nebo jinak jdoucí nad rámec přiměřeného řízení provozu mohou být </w:t>
      </w:r>
      <w:r w:rsidR="00080F70" w:rsidRPr="008B1755">
        <w:rPr>
          <w:lang w:val="cs-CZ"/>
        </w:rPr>
        <w:t>poskytovateli</w:t>
      </w:r>
      <w:r w:rsidR="007D7F64" w:rsidRPr="008B1755">
        <w:rPr>
          <w:lang w:val="cs-CZ"/>
        </w:rPr>
        <w:t xml:space="preserve"> internetových služeb</w:t>
      </w:r>
      <w:r w:rsidR="000E1E52" w:rsidRPr="008B1755">
        <w:rPr>
          <w:lang w:val="cs-CZ"/>
        </w:rPr>
        <w:t xml:space="preserve"> </w:t>
      </w:r>
      <w:r w:rsidRPr="008B1755">
        <w:rPr>
          <w:lang w:val="cs-CZ"/>
        </w:rPr>
        <w:t xml:space="preserve">používány pouze na základě tří konkrétních výjimek popsaných níže </w:t>
      </w:r>
      <w:r w:rsidR="004C4F26" w:rsidRPr="008B1755">
        <w:rPr>
          <w:lang w:val="cs-CZ"/>
        </w:rPr>
        <w:t>podle článku</w:t>
      </w:r>
      <w:r w:rsidR="00DD272F" w:rsidRPr="008B1755">
        <w:rPr>
          <w:lang w:val="cs-CZ"/>
        </w:rPr>
        <w:t xml:space="preserve"> 3 </w:t>
      </w:r>
      <w:r w:rsidR="00585BD7" w:rsidRPr="008B1755">
        <w:rPr>
          <w:lang w:val="cs-CZ"/>
        </w:rPr>
        <w:t>odst. 3</w:t>
      </w:r>
      <w:r w:rsidR="000E1E52" w:rsidRPr="008B1755">
        <w:rPr>
          <w:lang w:val="cs-CZ"/>
        </w:rPr>
        <w:t xml:space="preserve"> </w:t>
      </w:r>
      <w:r w:rsidRPr="008B1755">
        <w:rPr>
          <w:lang w:val="cs-CZ"/>
        </w:rPr>
        <w:t xml:space="preserve">písm. </w:t>
      </w:r>
      <w:r w:rsidR="000E1E52" w:rsidRPr="008B1755">
        <w:rPr>
          <w:lang w:val="cs-CZ"/>
        </w:rPr>
        <w:t>a), b) a c).</w:t>
      </w:r>
    </w:p>
    <w:p w:rsidR="00145E18" w:rsidRPr="00F274BC" w:rsidRDefault="00F274BC" w:rsidP="00F274BC">
      <w:pPr>
        <w:pStyle w:val="Odstavecseseznamem"/>
        <w:numPr>
          <w:ilvl w:val="0"/>
          <w:numId w:val="2"/>
        </w:numPr>
        <w:rPr>
          <w:b/>
          <w:lang w:val="cs-CZ"/>
        </w:rPr>
      </w:pPr>
      <w:r>
        <w:rPr>
          <w:lang w:val="cs-CZ"/>
        </w:rPr>
        <w:t xml:space="preserve">Jako příklad lze uvést, že ISP by neměli blokovat, </w:t>
      </w:r>
      <w:r w:rsidR="00C24D4C" w:rsidRPr="00F274BC">
        <w:rPr>
          <w:lang w:val="cs-CZ"/>
        </w:rPr>
        <w:t xml:space="preserve">zpomalovat, měnit, omezovat, zasahovat do, znehodnocovat nebo znevýhodňovat reklamy při poskytování služby připojení k internetu, nejsou-li v konkrétním případě splněny podmínky a), b) nebo c). Na rozdíl od blokování na úrovni sítě zavedeném ze strany </w:t>
      </w:r>
      <w:r w:rsidR="006856BE">
        <w:rPr>
          <w:lang w:val="cs-CZ"/>
        </w:rPr>
        <w:t>poskytovatele internetových služeb</w:t>
      </w:r>
      <w:r w:rsidR="00C24D4C" w:rsidRPr="00F274BC">
        <w:rPr>
          <w:lang w:val="cs-CZ"/>
        </w:rPr>
        <w:t xml:space="preserve"> se toto </w:t>
      </w:r>
      <w:r>
        <w:rPr>
          <w:lang w:val="cs-CZ"/>
        </w:rPr>
        <w:t>N</w:t>
      </w:r>
      <w:r w:rsidR="00C24D4C" w:rsidRPr="00F274BC">
        <w:rPr>
          <w:lang w:val="cs-CZ"/>
        </w:rPr>
        <w:t>ařízení nevztahuje na omezení nastavená koncovými uživateli na jejich koncovém zařízení.</w:t>
      </w:r>
      <w:r w:rsidRPr="00F274BC" w:rsidDel="00F274BC">
        <w:rPr>
          <w:lang w:val="cs-CZ"/>
        </w:rPr>
        <w:t xml:space="preserve"> </w:t>
      </w:r>
    </w:p>
    <w:p w:rsidR="007C66B5" w:rsidRPr="008B1755" w:rsidRDefault="00FC032B" w:rsidP="007C66B5">
      <w:pPr>
        <w:numPr>
          <w:ilvl w:val="0"/>
          <w:numId w:val="2"/>
        </w:numPr>
        <w:spacing w:after="120"/>
        <w:rPr>
          <w:lang w:val="cs-CZ"/>
        </w:rPr>
      </w:pPr>
      <w:r w:rsidRPr="008B1755">
        <w:rPr>
          <w:lang w:val="cs-CZ"/>
        </w:rPr>
        <w:t xml:space="preserve">Tři výjimky uvedené </w:t>
      </w:r>
      <w:r w:rsidR="00F064F8" w:rsidRPr="008B1755">
        <w:rPr>
          <w:lang w:val="cs-CZ"/>
        </w:rPr>
        <w:t>v článku</w:t>
      </w:r>
      <w:r w:rsidR="0043065E" w:rsidRPr="008B1755">
        <w:rPr>
          <w:lang w:val="cs-CZ"/>
        </w:rPr>
        <w:t xml:space="preserve"> </w:t>
      </w:r>
      <w:r w:rsidR="00585BD7" w:rsidRPr="008B1755">
        <w:rPr>
          <w:lang w:val="cs-CZ"/>
        </w:rPr>
        <w:t>3 odst. 3</w:t>
      </w:r>
      <w:r w:rsidRPr="008B1755">
        <w:rPr>
          <w:lang w:val="cs-CZ"/>
        </w:rPr>
        <w:t>,</w:t>
      </w:r>
      <w:r w:rsidR="0043065E" w:rsidRPr="008B1755">
        <w:rPr>
          <w:lang w:val="cs-CZ"/>
        </w:rPr>
        <w:t xml:space="preserve"> </w:t>
      </w:r>
      <w:r w:rsidR="001D70F8" w:rsidRPr="008B1755">
        <w:rPr>
          <w:lang w:val="cs-CZ"/>
        </w:rPr>
        <w:t>třetí pododstavec</w:t>
      </w:r>
      <w:r w:rsidRPr="008B1755">
        <w:rPr>
          <w:lang w:val="cs-CZ"/>
        </w:rPr>
        <w:t xml:space="preserve">, mají společný předpoklad, že </w:t>
      </w:r>
      <w:r w:rsidR="003132BE" w:rsidRPr="008B1755">
        <w:rPr>
          <w:lang w:val="cs-CZ"/>
        </w:rPr>
        <w:t>opatření řízení provozu</w:t>
      </w:r>
      <w:r w:rsidR="007352A3" w:rsidRPr="008B1755">
        <w:rPr>
          <w:lang w:val="cs-CZ"/>
        </w:rPr>
        <w:t xml:space="preserve"> </w:t>
      </w:r>
      <w:r w:rsidR="00B41249">
        <w:rPr>
          <w:lang w:val="cs-CZ"/>
        </w:rPr>
        <w:t xml:space="preserve">je </w:t>
      </w:r>
      <w:r w:rsidRPr="008B1755">
        <w:rPr>
          <w:lang w:val="cs-CZ"/>
        </w:rPr>
        <w:t xml:space="preserve"> nezbytné pro dosažení příslušné výjimky </w:t>
      </w:r>
      <w:r w:rsidR="007352A3" w:rsidRPr="008B1755">
        <w:rPr>
          <w:lang w:val="cs-CZ"/>
        </w:rPr>
        <w:t>(</w:t>
      </w:r>
      <w:r w:rsidRPr="008B1755">
        <w:rPr>
          <w:i/>
          <w:lang w:val="cs-CZ"/>
        </w:rPr>
        <w:t>„</w:t>
      </w:r>
      <w:r w:rsidRPr="008B1755">
        <w:rPr>
          <w:rStyle w:val="BERECcitaceChar"/>
          <w:lang w:val="cs-CZ"/>
        </w:rPr>
        <w:t>s výjimkou případů, kdy je to nezbytné</w:t>
      </w:r>
      <w:r w:rsidRPr="008B1755">
        <w:rPr>
          <w:i/>
          <w:lang w:val="cs-CZ"/>
        </w:rPr>
        <w:t>“</w:t>
      </w:r>
      <w:r w:rsidR="007352A3" w:rsidRPr="008B1755">
        <w:rPr>
          <w:lang w:val="cs-CZ"/>
        </w:rPr>
        <w:t>) a</w:t>
      </w:r>
      <w:r w:rsidRPr="008B1755">
        <w:rPr>
          <w:lang w:val="cs-CZ"/>
        </w:rPr>
        <w:t xml:space="preserve"> lze je uplatňovat </w:t>
      </w:r>
      <w:r w:rsidRPr="008B1755">
        <w:rPr>
          <w:i/>
          <w:lang w:val="cs-CZ"/>
        </w:rPr>
        <w:t>„</w:t>
      </w:r>
      <w:r w:rsidRPr="008B1755">
        <w:rPr>
          <w:rStyle w:val="BERECcitaceChar"/>
          <w:lang w:val="cs-CZ"/>
        </w:rPr>
        <w:t>pouze na nezbytně nutnou dobu</w:t>
      </w:r>
      <w:r w:rsidRPr="008B1755">
        <w:rPr>
          <w:i/>
          <w:lang w:val="cs-CZ"/>
        </w:rPr>
        <w:t>“</w:t>
      </w:r>
      <w:r w:rsidR="004A4C0A" w:rsidRPr="008B1755">
        <w:rPr>
          <w:lang w:val="cs-CZ"/>
        </w:rPr>
        <w:t xml:space="preserve">. </w:t>
      </w:r>
      <w:r w:rsidRPr="008B1755">
        <w:rPr>
          <w:lang w:val="cs-CZ"/>
        </w:rPr>
        <w:t>Tyto požadavky jsou v souladu s požadavkem proporcionality</w:t>
      </w:r>
      <w:r w:rsidR="006F1BE2" w:rsidRPr="008B1755">
        <w:rPr>
          <w:lang w:val="cs-CZ"/>
        </w:rPr>
        <w:t>.</w:t>
      </w:r>
      <w:r w:rsidR="004A4C0A" w:rsidRPr="008B1755">
        <w:rPr>
          <w:rStyle w:val="Znakapoznpodarou"/>
          <w:lang w:val="cs-CZ"/>
        </w:rPr>
        <w:footnoteReference w:id="20"/>
      </w:r>
      <w:r w:rsidR="004A4C0A" w:rsidRPr="008B1755">
        <w:rPr>
          <w:lang w:val="cs-CZ"/>
        </w:rPr>
        <w:t xml:space="preserve"> </w:t>
      </w:r>
      <w:r w:rsidRPr="008B1755">
        <w:rPr>
          <w:lang w:val="cs-CZ"/>
        </w:rPr>
        <w:t xml:space="preserve">Navíc by jako výjimky měly být vykládány </w:t>
      </w:r>
      <w:r w:rsidR="00343902">
        <w:rPr>
          <w:lang w:val="cs-CZ"/>
        </w:rPr>
        <w:t>přísně</w:t>
      </w:r>
      <w:r w:rsidR="004A4C0A" w:rsidRPr="008B1755">
        <w:rPr>
          <w:lang w:val="cs-CZ"/>
        </w:rPr>
        <w:t>.</w:t>
      </w:r>
      <w:r w:rsidR="004A4C0A" w:rsidRPr="008B1755">
        <w:rPr>
          <w:rStyle w:val="Znakapoznpodarou"/>
          <w:lang w:val="cs-CZ"/>
        </w:rPr>
        <w:footnoteReference w:id="21"/>
      </w:r>
      <w:r w:rsidR="004A4C0A" w:rsidRPr="008B1755">
        <w:rPr>
          <w:lang w:val="cs-CZ"/>
        </w:rPr>
        <w:t xml:space="preserve"> </w:t>
      </w:r>
    </w:p>
    <w:p w:rsidR="007C66B5" w:rsidRPr="008B1755" w:rsidRDefault="00FC032B" w:rsidP="007C66B5">
      <w:pPr>
        <w:numPr>
          <w:ilvl w:val="0"/>
          <w:numId w:val="2"/>
        </w:numPr>
        <w:spacing w:after="120"/>
        <w:rPr>
          <w:lang w:val="cs-CZ"/>
        </w:rPr>
      </w:pPr>
      <w:r w:rsidRPr="008B1755">
        <w:rPr>
          <w:lang w:val="cs-CZ"/>
        </w:rPr>
        <w:t xml:space="preserve">Zákaz sledování konkrétního obsahu se nevztahuje na </w:t>
      </w:r>
      <w:r w:rsidR="00350081" w:rsidRPr="008B1755">
        <w:rPr>
          <w:lang w:val="cs-CZ"/>
        </w:rPr>
        <w:t>řízení provozu</w:t>
      </w:r>
      <w:r w:rsidR="007C66B5" w:rsidRPr="008B1755">
        <w:rPr>
          <w:lang w:val="cs-CZ"/>
        </w:rPr>
        <w:t xml:space="preserve"> </w:t>
      </w:r>
      <w:r w:rsidRPr="008B1755">
        <w:rPr>
          <w:rStyle w:val="BERECcitaceChar"/>
          <w:lang w:val="cs-CZ"/>
        </w:rPr>
        <w:t>jdoucí nad rámec opatření přiměřeného řízení provozu</w:t>
      </w:r>
      <w:r w:rsidR="007C66B5" w:rsidRPr="008B1755">
        <w:rPr>
          <w:i/>
          <w:lang w:val="cs-CZ"/>
        </w:rPr>
        <w:t xml:space="preserve"> </w:t>
      </w:r>
      <w:r w:rsidR="007C66B5" w:rsidRPr="008B1755">
        <w:rPr>
          <w:lang w:val="cs-CZ"/>
        </w:rPr>
        <w:t>(</w:t>
      </w:r>
      <w:r w:rsidR="00007189" w:rsidRPr="008B1755">
        <w:rPr>
          <w:lang w:val="cs-CZ"/>
        </w:rPr>
        <w:t>tj.</w:t>
      </w:r>
      <w:r w:rsidR="007C66B5" w:rsidRPr="008B1755">
        <w:rPr>
          <w:lang w:val="cs-CZ"/>
        </w:rPr>
        <w:t xml:space="preserve"> </w:t>
      </w:r>
      <w:r w:rsidR="00350081" w:rsidRPr="008B1755">
        <w:rPr>
          <w:lang w:val="cs-CZ"/>
        </w:rPr>
        <w:t>řízení provozu</w:t>
      </w:r>
      <w:r w:rsidR="007C66B5" w:rsidRPr="008B1755">
        <w:rPr>
          <w:lang w:val="cs-CZ"/>
        </w:rPr>
        <w:t xml:space="preserve"> </w:t>
      </w:r>
      <w:r w:rsidRPr="008B1755">
        <w:rPr>
          <w:lang w:val="cs-CZ"/>
        </w:rPr>
        <w:t xml:space="preserve">splňující výjimky v bodech </w:t>
      </w:r>
      <w:r w:rsidR="007C66B5" w:rsidRPr="008B1755">
        <w:rPr>
          <w:lang w:val="cs-CZ"/>
        </w:rPr>
        <w:t>(a), (b)</w:t>
      </w:r>
      <w:r w:rsidRPr="008B1755">
        <w:rPr>
          <w:lang w:val="cs-CZ"/>
        </w:rPr>
        <w:t xml:space="preserve"> nebo </w:t>
      </w:r>
      <w:r w:rsidR="007C66B5" w:rsidRPr="008B1755">
        <w:rPr>
          <w:lang w:val="cs-CZ"/>
        </w:rPr>
        <w:t xml:space="preserve">(c)). </w:t>
      </w:r>
      <w:r w:rsidR="009830D8">
        <w:rPr>
          <w:lang w:val="cs-CZ"/>
        </w:rPr>
        <w:t>Je třeba u</w:t>
      </w:r>
      <w:r w:rsidRPr="008B1755">
        <w:rPr>
          <w:lang w:val="cs-CZ"/>
        </w:rPr>
        <w:t>pozor</w:t>
      </w:r>
      <w:r w:rsidR="009830D8">
        <w:rPr>
          <w:lang w:val="cs-CZ"/>
        </w:rPr>
        <w:t>nit</w:t>
      </w:r>
      <w:r w:rsidRPr="008B1755">
        <w:rPr>
          <w:lang w:val="cs-CZ"/>
        </w:rPr>
        <w:t xml:space="preserve">, že podle čl. </w:t>
      </w:r>
      <w:r w:rsidR="00DD272F" w:rsidRPr="008B1755">
        <w:rPr>
          <w:lang w:val="cs-CZ"/>
        </w:rPr>
        <w:t xml:space="preserve">3 odst. </w:t>
      </w:r>
      <w:r w:rsidR="007C66B5" w:rsidRPr="008B1755">
        <w:rPr>
          <w:lang w:val="cs-CZ"/>
        </w:rPr>
        <w:t>4</w:t>
      </w:r>
      <w:r w:rsidR="00B41249">
        <w:rPr>
          <w:lang w:val="cs-CZ"/>
        </w:rPr>
        <w:t>,</w:t>
      </w:r>
      <w:r w:rsidRPr="008B1755">
        <w:rPr>
          <w:lang w:val="cs-CZ"/>
        </w:rPr>
        <w:t xml:space="preserve"> musí být veškeré zpracování </w:t>
      </w:r>
      <w:r w:rsidR="00466D10" w:rsidRPr="008B1755">
        <w:rPr>
          <w:lang w:val="cs-CZ"/>
        </w:rPr>
        <w:t>osobních údajů</w:t>
      </w:r>
      <w:r w:rsidR="007C66B5" w:rsidRPr="008B1755">
        <w:rPr>
          <w:lang w:val="cs-CZ"/>
        </w:rPr>
        <w:t xml:space="preserve"> </w:t>
      </w:r>
      <w:r w:rsidRPr="008B1755">
        <w:rPr>
          <w:lang w:val="cs-CZ"/>
        </w:rPr>
        <w:t xml:space="preserve">prováděno v souladu se směrnicí </w:t>
      </w:r>
      <w:r w:rsidR="007C66B5" w:rsidRPr="008B1755">
        <w:rPr>
          <w:lang w:val="cs-CZ"/>
        </w:rPr>
        <w:t>95/46</w:t>
      </w:r>
      <w:r w:rsidR="002E5214" w:rsidRPr="008B1755">
        <w:rPr>
          <w:lang w:val="cs-CZ"/>
        </w:rPr>
        <w:t>/ES</w:t>
      </w:r>
      <w:r w:rsidR="007C66B5" w:rsidRPr="008B1755">
        <w:rPr>
          <w:lang w:val="cs-CZ"/>
        </w:rPr>
        <w:t xml:space="preserve"> a</w:t>
      </w:r>
      <w:r w:rsidRPr="008B1755">
        <w:rPr>
          <w:lang w:val="cs-CZ"/>
        </w:rPr>
        <w:t xml:space="preserve"> směrnicí </w:t>
      </w:r>
      <w:r w:rsidR="007C66B5" w:rsidRPr="008B1755">
        <w:rPr>
          <w:lang w:val="cs-CZ"/>
        </w:rPr>
        <w:t>2002/58</w:t>
      </w:r>
      <w:r w:rsidR="002E5214" w:rsidRPr="008B1755">
        <w:rPr>
          <w:lang w:val="cs-CZ"/>
        </w:rPr>
        <w:t>/ES</w:t>
      </w:r>
      <w:r w:rsidR="007C66B5" w:rsidRPr="008B1755">
        <w:rPr>
          <w:lang w:val="cs-CZ"/>
        </w:rPr>
        <w:t>.</w:t>
      </w:r>
    </w:p>
    <w:p w:rsidR="00B35884" w:rsidRPr="008B1755" w:rsidRDefault="003E7168" w:rsidP="001B38FB">
      <w:pPr>
        <w:keepNext/>
        <w:keepLines/>
        <w:spacing w:before="360" w:after="120"/>
        <w:outlineLvl w:val="1"/>
        <w:rPr>
          <w:rFonts w:eastAsia="SimSun" w:cs="Arial"/>
          <w:b/>
          <w:bCs/>
          <w:sz w:val="24"/>
          <w:szCs w:val="24"/>
          <w:lang w:val="cs-CZ"/>
        </w:rPr>
      </w:pPr>
      <w:bookmarkStart w:id="35" w:name="_Toc461400161"/>
      <w:r w:rsidRPr="008B1755">
        <w:rPr>
          <w:rFonts w:eastAsia="SimSun" w:cs="Arial"/>
          <w:b/>
          <w:bCs/>
          <w:sz w:val="24"/>
          <w:szCs w:val="24"/>
          <w:lang w:val="cs-CZ"/>
        </w:rPr>
        <w:t xml:space="preserve">Článek </w:t>
      </w:r>
      <w:r w:rsidR="00585BD7" w:rsidRPr="008B1755">
        <w:rPr>
          <w:rFonts w:eastAsia="SimSun" w:cs="Arial"/>
          <w:b/>
          <w:bCs/>
          <w:sz w:val="24"/>
          <w:szCs w:val="24"/>
          <w:lang w:val="cs-CZ"/>
        </w:rPr>
        <w:t>3 odst. 3</w:t>
      </w:r>
      <w:r w:rsidR="00AF4CD5" w:rsidRPr="008B1755">
        <w:rPr>
          <w:rFonts w:eastAsia="SimSun" w:cs="Arial"/>
          <w:b/>
          <w:bCs/>
          <w:sz w:val="24"/>
          <w:szCs w:val="24"/>
          <w:lang w:val="cs-CZ"/>
        </w:rPr>
        <w:t xml:space="preserve"> písm. </w:t>
      </w:r>
      <w:r w:rsidR="00B35884" w:rsidRPr="008B1755">
        <w:rPr>
          <w:rFonts w:eastAsia="SimSun" w:cs="Arial"/>
          <w:b/>
          <w:bCs/>
          <w:sz w:val="24"/>
          <w:szCs w:val="24"/>
          <w:lang w:val="cs-CZ"/>
        </w:rPr>
        <w:t>a)</w:t>
      </w:r>
      <w:bookmarkEnd w:id="35"/>
      <w:r w:rsidR="00B35884" w:rsidRPr="008B1755">
        <w:rPr>
          <w:rFonts w:eastAsia="SimSun" w:cs="Arial"/>
          <w:b/>
          <w:bCs/>
          <w:sz w:val="24"/>
          <w:szCs w:val="24"/>
          <w:lang w:val="cs-CZ"/>
        </w:rPr>
        <w:t xml:space="preserve"> </w:t>
      </w:r>
    </w:p>
    <w:p w:rsidR="00940CEC" w:rsidRPr="008B1755" w:rsidRDefault="00940CEC" w:rsidP="006F0EC7">
      <w:pPr>
        <w:pBdr>
          <w:top w:val="single" w:sz="4" w:space="1" w:color="auto"/>
          <w:left w:val="single" w:sz="4" w:space="4" w:color="auto"/>
          <w:bottom w:val="single" w:sz="4" w:space="1" w:color="auto"/>
          <w:right w:val="single" w:sz="4" w:space="4" w:color="auto"/>
        </w:pBdr>
        <w:shd w:val="clear" w:color="auto" w:fill="D9D9D9"/>
        <w:contextualSpacing/>
        <w:rPr>
          <w:rFonts w:ascii="Times New Roman" w:hAnsi="Times New Roman"/>
          <w:lang w:val="cs-CZ"/>
        </w:rPr>
      </w:pPr>
      <w:r w:rsidRPr="008B1755">
        <w:rPr>
          <w:rFonts w:ascii="Times New Roman" w:hAnsi="Times New Roman"/>
          <w:lang w:val="cs-CZ"/>
        </w:rPr>
        <w:t xml:space="preserve">(a) </w:t>
      </w:r>
      <w:r w:rsidR="009B7C0D" w:rsidRPr="008B1755">
        <w:rPr>
          <w:rStyle w:val="Style2Char"/>
          <w:lang w:val="cs-CZ"/>
        </w:rPr>
        <w:t>dodržení unijních legislativních aktů či vnitrostátních právních předpisů, které jsou v souladu s právem Unie, jež se vztahují na poskytovatele služeb přístupu k internetu, nebo opatření provádějících v souladu s právem Unie tyto unijní legislativní akty či vnitrostátní právní předpisy, včetně rozhodnutí soudů nebo veřejných orgánů s příslušnou pravomocí</w:t>
      </w:r>
      <w:r w:rsidRPr="008B1755">
        <w:rPr>
          <w:rFonts w:ascii="Times New Roman" w:hAnsi="Times New Roman"/>
          <w:lang w:val="cs-CZ"/>
        </w:rPr>
        <w:t>;</w:t>
      </w:r>
    </w:p>
    <w:p w:rsidR="00940CEC" w:rsidRPr="008B1755" w:rsidRDefault="00940CEC" w:rsidP="006F0EC7">
      <w:pPr>
        <w:keepNext/>
        <w:shd w:val="clear" w:color="auto" w:fill="FFFFFF"/>
        <w:spacing w:after="0"/>
        <w:rPr>
          <w:rFonts w:ascii="Times New Roman" w:hAnsi="Times New Roman"/>
          <w:sz w:val="20"/>
          <w:u w:val="single"/>
          <w:lang w:val="cs-CZ"/>
        </w:rPr>
      </w:pPr>
    </w:p>
    <w:p w:rsidR="00940CEC" w:rsidRPr="008B1755" w:rsidRDefault="00946CEA" w:rsidP="006F0EC7">
      <w:pPr>
        <w:keepNext/>
        <w:shd w:val="clear" w:color="auto" w:fill="D9D9D9"/>
        <w:spacing w:after="0"/>
        <w:rPr>
          <w:rFonts w:ascii="Times New Roman" w:hAnsi="Times New Roman"/>
          <w:sz w:val="20"/>
          <w:u w:val="single"/>
          <w:lang w:val="cs-CZ"/>
        </w:rPr>
      </w:pPr>
      <w:r w:rsidRPr="008B1755">
        <w:rPr>
          <w:rFonts w:ascii="Times New Roman" w:hAnsi="Times New Roman"/>
          <w:sz w:val="20"/>
          <w:u w:val="single"/>
          <w:lang w:val="cs-CZ"/>
        </w:rPr>
        <w:t xml:space="preserve">Úvodní část Nařízení, bod </w:t>
      </w:r>
      <w:r w:rsidR="00940CEC" w:rsidRPr="008B1755">
        <w:rPr>
          <w:rFonts w:ascii="Times New Roman" w:hAnsi="Times New Roman"/>
          <w:sz w:val="20"/>
          <w:u w:val="single"/>
          <w:lang w:val="cs-CZ"/>
        </w:rPr>
        <w:t>13</w:t>
      </w:r>
    </w:p>
    <w:p w:rsidR="00940CEC" w:rsidRPr="008B1755" w:rsidRDefault="00946CEA" w:rsidP="006F0EC7">
      <w:pPr>
        <w:shd w:val="clear" w:color="auto" w:fill="D9D9D9"/>
        <w:rPr>
          <w:rFonts w:ascii="Times New Roman" w:hAnsi="Times New Roman"/>
          <w:sz w:val="20"/>
          <w:lang w:val="cs-CZ"/>
        </w:rPr>
      </w:pPr>
      <w:r w:rsidRPr="008B1755">
        <w:rPr>
          <w:rStyle w:val="Style3Char"/>
          <w:sz w:val="20"/>
          <w:lang w:val="cs-CZ"/>
        </w:rPr>
        <w:t>Zaprvé může nastat situace, kdy se na poskytovatele služeb přístupu k internetu vztahují unijní legislativní akty nebo vnitrostátní právní předpisy, které jsou v souladu s právem Unie, (týkající se například zákonnosti obsahu, aplikací nebo služeb či týkající se veřejné bezpečnosti), včetně ustanovení trestního práva, která vyžadují například blokování konkrétního obsahu, aplikací či služeb. Dále pak může nastat situace, kdy se na tyto poskytovatele vztahují opatření provádějící či uplatňující unijní legislativní akty nebo vnitrostátní právní předpisy, jako jsou obecně použitelná vnitrostátní opatření, soudní rozhodnutí, rozhodnutí veřejných orgánů s příslušnou pravomocí, nebo jiná opatření zajišťující dodržování unijních legislativních aktů nebo vnitrostátních právních předpisů (například povinnosti plnit rozhodnutí soudů či veřejných orgánů požadující blokovat nezákonný obsah). Požadavek být v souladu s právem Unie souvisí mimo jiné s plněním požadavků Listiny základních práv Evropské unie (dále jen „Listina“) v souvislosti s omezeními výkonu základních práv a svobod. Jak je uvedeno ve směrnici Evropského parlamentu a Rady 2002/21/ES (1), jakákoli opatření vedoucí k omezení těchto základních práv a svobod mohou být přijata pouze v případě, že jsou v rámci demokratické společnosti vhodná, přiměřená a nezbytná, a jejich provedení má podléhat přiměřeným procesním zárukám v souladu s Evropskou úmluvou o ochraně lidských práv a základních svobod, včetně jejích ustanovení o účinné soudní ochraně a řádném procesu</w:t>
      </w:r>
      <w:r w:rsidR="00940CEC" w:rsidRPr="008B1755">
        <w:rPr>
          <w:rFonts w:ascii="Times New Roman" w:hAnsi="Times New Roman"/>
          <w:sz w:val="20"/>
          <w:lang w:val="cs-CZ"/>
        </w:rPr>
        <w:t>.</w:t>
      </w:r>
    </w:p>
    <w:p w:rsidR="003510D5" w:rsidRPr="008B1755" w:rsidRDefault="00A57F41" w:rsidP="00FD41E0">
      <w:pPr>
        <w:numPr>
          <w:ilvl w:val="0"/>
          <w:numId w:val="2"/>
        </w:numPr>
        <w:spacing w:after="120"/>
        <w:rPr>
          <w:lang w:val="cs-CZ"/>
        </w:rPr>
      </w:pPr>
      <w:bookmarkStart w:id="36" w:name="_Ref447716014"/>
      <w:r w:rsidRPr="008B1755">
        <w:rPr>
          <w:lang w:val="cs-CZ"/>
        </w:rPr>
        <w:t xml:space="preserve">Pokud </w:t>
      </w:r>
      <w:r w:rsidR="00DD272F" w:rsidRPr="008B1755">
        <w:rPr>
          <w:lang w:val="cs-CZ"/>
        </w:rPr>
        <w:t>poskytovatel internetových služeb</w:t>
      </w:r>
      <w:r w:rsidR="000E7B08" w:rsidRPr="008B1755">
        <w:rPr>
          <w:lang w:val="cs-CZ"/>
        </w:rPr>
        <w:t xml:space="preserve"> </w:t>
      </w:r>
      <w:r w:rsidRPr="008B1755">
        <w:rPr>
          <w:lang w:val="cs-CZ"/>
        </w:rPr>
        <w:t xml:space="preserve">uplatní </w:t>
      </w:r>
      <w:r w:rsidR="00466D10" w:rsidRPr="008B1755">
        <w:rPr>
          <w:lang w:val="cs-CZ"/>
        </w:rPr>
        <w:t>opatření řízení provozu</w:t>
      </w:r>
      <w:r w:rsidRPr="008B1755">
        <w:rPr>
          <w:lang w:val="cs-CZ"/>
        </w:rPr>
        <w:t>, které nelze považovat za přiměřené</w:t>
      </w:r>
      <w:r w:rsidR="000E7B08" w:rsidRPr="008B1755">
        <w:rPr>
          <w:lang w:val="cs-CZ"/>
        </w:rPr>
        <w:t xml:space="preserve">, </w:t>
      </w:r>
      <w:r w:rsidRPr="008B1755">
        <w:rPr>
          <w:lang w:val="cs-CZ"/>
        </w:rPr>
        <w:t xml:space="preserve">měly by </w:t>
      </w:r>
      <w:r w:rsidR="00926BAE" w:rsidRPr="008B1755">
        <w:rPr>
          <w:lang w:val="cs-CZ"/>
        </w:rPr>
        <w:t>vnitrostátní regulační orgány</w:t>
      </w:r>
      <w:r w:rsidR="000E7B08" w:rsidRPr="008B1755">
        <w:rPr>
          <w:lang w:val="cs-CZ"/>
        </w:rPr>
        <w:t xml:space="preserve"> </w:t>
      </w:r>
      <w:r w:rsidRPr="008B1755">
        <w:rPr>
          <w:lang w:val="cs-CZ"/>
        </w:rPr>
        <w:t>posoudit, zda t</w:t>
      </w:r>
      <w:r w:rsidR="00137AAE">
        <w:rPr>
          <w:lang w:val="cs-CZ"/>
        </w:rPr>
        <w:t xml:space="preserve">ak </w:t>
      </w:r>
      <w:r w:rsidR="00DD272F" w:rsidRPr="008B1755">
        <w:rPr>
          <w:lang w:val="cs-CZ"/>
        </w:rPr>
        <w:t>poskytovatel internetových služeb</w:t>
      </w:r>
      <w:r w:rsidR="000E7B08" w:rsidRPr="008B1755">
        <w:rPr>
          <w:lang w:val="cs-CZ"/>
        </w:rPr>
        <w:t xml:space="preserve"> </w:t>
      </w:r>
      <w:r w:rsidRPr="008B1755">
        <w:rPr>
          <w:lang w:val="cs-CZ"/>
        </w:rPr>
        <w:t xml:space="preserve">činí, protože </w:t>
      </w:r>
      <w:r w:rsidR="00137AAE" w:rsidRPr="008B1755">
        <w:rPr>
          <w:lang w:val="cs-CZ"/>
        </w:rPr>
        <w:t xml:space="preserve">z právních důvodů </w:t>
      </w:r>
      <w:r w:rsidRPr="008B1755">
        <w:rPr>
          <w:lang w:val="cs-CZ"/>
        </w:rPr>
        <w:t>musí</w:t>
      </w:r>
      <w:r w:rsidR="000E7B08" w:rsidRPr="008B1755">
        <w:rPr>
          <w:lang w:val="cs-CZ"/>
        </w:rPr>
        <w:t xml:space="preserve">, </w:t>
      </w:r>
      <w:r w:rsidRPr="008B1755">
        <w:rPr>
          <w:lang w:val="cs-CZ"/>
        </w:rPr>
        <w:t>zejména za účelem splnění právních předpisů nebo opatření orgánů státní správy uvedených v této výjimce</w:t>
      </w:r>
      <w:r w:rsidR="000E7B08" w:rsidRPr="008B1755">
        <w:rPr>
          <w:lang w:val="cs-CZ"/>
        </w:rPr>
        <w:t>.</w:t>
      </w:r>
      <w:bookmarkEnd w:id="36"/>
      <w:r w:rsidR="000E7B08" w:rsidRPr="008B1755">
        <w:rPr>
          <w:lang w:val="cs-CZ"/>
        </w:rPr>
        <w:t xml:space="preserve"> </w:t>
      </w:r>
    </w:p>
    <w:p w:rsidR="002173F2" w:rsidRPr="008B1755" w:rsidRDefault="00A57F41" w:rsidP="00FD41E0">
      <w:pPr>
        <w:numPr>
          <w:ilvl w:val="0"/>
          <w:numId w:val="2"/>
        </w:numPr>
        <w:spacing w:after="120"/>
        <w:rPr>
          <w:lang w:val="cs-CZ"/>
        </w:rPr>
      </w:pPr>
      <w:r w:rsidRPr="008B1755">
        <w:rPr>
          <w:lang w:val="cs-CZ"/>
        </w:rPr>
        <w:t>Jak je vysvětleno v </w:t>
      </w:r>
      <w:r w:rsidR="00D2652F">
        <w:rPr>
          <w:lang w:val="cs-CZ"/>
        </w:rPr>
        <w:t>bodu</w:t>
      </w:r>
      <w:r w:rsidR="00946CEA" w:rsidRPr="008B1755">
        <w:rPr>
          <w:lang w:val="cs-CZ"/>
        </w:rPr>
        <w:t xml:space="preserve"> </w:t>
      </w:r>
      <w:r w:rsidR="002173F2" w:rsidRPr="008B1755">
        <w:rPr>
          <w:lang w:val="cs-CZ"/>
        </w:rPr>
        <w:t>13</w:t>
      </w:r>
      <w:r w:rsidRPr="008B1755">
        <w:rPr>
          <w:lang w:val="cs-CZ"/>
        </w:rPr>
        <w:t xml:space="preserve"> úvodní části Nařízení</w:t>
      </w:r>
      <w:r w:rsidR="002173F2" w:rsidRPr="008B1755">
        <w:rPr>
          <w:lang w:val="cs-CZ"/>
        </w:rPr>
        <w:t xml:space="preserve">, </w:t>
      </w:r>
      <w:r w:rsidRPr="008B1755">
        <w:rPr>
          <w:lang w:val="cs-CZ"/>
        </w:rPr>
        <w:t xml:space="preserve">tyto </w:t>
      </w:r>
      <w:r w:rsidR="00E97641" w:rsidRPr="008B1755">
        <w:rPr>
          <w:lang w:val="cs-CZ"/>
        </w:rPr>
        <w:t xml:space="preserve">právní předpisy nebo opatření </w:t>
      </w:r>
      <w:r w:rsidR="00E97641" w:rsidRPr="008B1755">
        <w:rPr>
          <w:rStyle w:val="BERECChar"/>
          <w:lang w:val="cs-CZ"/>
        </w:rPr>
        <w:t>musí splňovat požadavky Listiny základních práv</w:t>
      </w:r>
      <w:r w:rsidR="002173F2" w:rsidRPr="008B1755">
        <w:rPr>
          <w:lang w:val="cs-CZ"/>
        </w:rPr>
        <w:t xml:space="preserve">, </w:t>
      </w:r>
      <w:r w:rsidR="00E97641" w:rsidRPr="008B1755">
        <w:rPr>
          <w:lang w:val="cs-CZ"/>
        </w:rPr>
        <w:t xml:space="preserve">zejména čl. </w:t>
      </w:r>
      <w:r w:rsidR="002173F2" w:rsidRPr="008B1755">
        <w:rPr>
          <w:lang w:val="cs-CZ"/>
        </w:rPr>
        <w:t>52</w:t>
      </w:r>
      <w:r w:rsidR="00E97641" w:rsidRPr="008B1755">
        <w:rPr>
          <w:lang w:val="cs-CZ"/>
        </w:rPr>
        <w:t>, který uvádí</w:t>
      </w:r>
      <w:r w:rsidR="0000157F">
        <w:rPr>
          <w:lang w:val="cs-CZ"/>
        </w:rPr>
        <w:t xml:space="preserve"> zejména</w:t>
      </w:r>
      <w:r w:rsidR="00E97641" w:rsidRPr="008B1755">
        <w:rPr>
          <w:lang w:val="cs-CZ"/>
        </w:rPr>
        <w:t>, že jakékoli omezení práv a svobod uznávaných Listinou musí být stanoveno zákonem a musí respektovat podstatu těchto práv a svobod</w:t>
      </w:r>
      <w:r w:rsidR="002173F2" w:rsidRPr="008B1755">
        <w:rPr>
          <w:lang w:val="cs-CZ"/>
        </w:rPr>
        <w:t>.</w:t>
      </w:r>
    </w:p>
    <w:p w:rsidR="00B35884" w:rsidRPr="008B1755" w:rsidRDefault="003E7168" w:rsidP="001B38FB">
      <w:pPr>
        <w:keepNext/>
        <w:keepLines/>
        <w:spacing w:before="360" w:after="120"/>
        <w:outlineLvl w:val="1"/>
        <w:rPr>
          <w:rFonts w:eastAsia="SimSun" w:cs="Arial"/>
          <w:b/>
          <w:bCs/>
          <w:sz w:val="24"/>
          <w:szCs w:val="24"/>
          <w:lang w:val="cs-CZ"/>
        </w:rPr>
      </w:pPr>
      <w:bookmarkStart w:id="37" w:name="_Toc461400162"/>
      <w:r w:rsidRPr="008B1755">
        <w:rPr>
          <w:rFonts w:eastAsia="SimSun" w:cs="Arial"/>
          <w:b/>
          <w:bCs/>
          <w:sz w:val="24"/>
          <w:szCs w:val="24"/>
          <w:lang w:val="cs-CZ"/>
        </w:rPr>
        <w:t xml:space="preserve">Článek </w:t>
      </w:r>
      <w:r w:rsidR="00585BD7" w:rsidRPr="008B1755">
        <w:rPr>
          <w:rFonts w:eastAsia="SimSun" w:cs="Arial"/>
          <w:b/>
          <w:bCs/>
          <w:sz w:val="24"/>
          <w:szCs w:val="24"/>
          <w:lang w:val="cs-CZ"/>
        </w:rPr>
        <w:t>3 odst. 3</w:t>
      </w:r>
      <w:r w:rsidR="00B35884" w:rsidRPr="008B1755">
        <w:rPr>
          <w:rFonts w:eastAsia="SimSun" w:cs="Arial"/>
          <w:b/>
          <w:bCs/>
          <w:sz w:val="24"/>
          <w:szCs w:val="24"/>
          <w:lang w:val="cs-CZ"/>
        </w:rPr>
        <w:t xml:space="preserve"> </w:t>
      </w:r>
      <w:r w:rsidR="00AF4CD5" w:rsidRPr="008B1755">
        <w:rPr>
          <w:rFonts w:eastAsia="SimSun" w:cs="Arial"/>
          <w:b/>
          <w:bCs/>
          <w:sz w:val="24"/>
          <w:szCs w:val="24"/>
          <w:lang w:val="cs-CZ"/>
        </w:rPr>
        <w:t xml:space="preserve">písm. </w:t>
      </w:r>
      <w:r w:rsidR="00B35884" w:rsidRPr="008B1755">
        <w:rPr>
          <w:rFonts w:eastAsia="SimSun" w:cs="Arial"/>
          <w:b/>
          <w:bCs/>
          <w:sz w:val="24"/>
          <w:szCs w:val="24"/>
          <w:lang w:val="cs-CZ"/>
        </w:rPr>
        <w:t>b)</w:t>
      </w:r>
      <w:bookmarkEnd w:id="37"/>
      <w:r w:rsidR="00B35884" w:rsidRPr="008B1755">
        <w:rPr>
          <w:rFonts w:eastAsia="SimSun" w:cs="Arial"/>
          <w:b/>
          <w:bCs/>
          <w:sz w:val="24"/>
          <w:szCs w:val="24"/>
          <w:lang w:val="cs-CZ"/>
        </w:rPr>
        <w:t xml:space="preserve"> </w:t>
      </w:r>
    </w:p>
    <w:p w:rsidR="00B35884" w:rsidRPr="008B1755" w:rsidRDefault="00940CEC" w:rsidP="006F0EC7">
      <w:pPr>
        <w:pBdr>
          <w:top w:val="single" w:sz="4" w:space="1" w:color="auto"/>
          <w:left w:val="single" w:sz="4" w:space="4" w:color="auto"/>
          <w:bottom w:val="single" w:sz="4" w:space="1" w:color="auto"/>
          <w:right w:val="single" w:sz="4" w:space="4" w:color="auto"/>
        </w:pBdr>
        <w:shd w:val="clear" w:color="auto" w:fill="D9D9D9"/>
        <w:contextualSpacing/>
        <w:rPr>
          <w:rFonts w:ascii="Times New Roman" w:hAnsi="Times New Roman"/>
          <w:lang w:val="cs-CZ"/>
        </w:rPr>
      </w:pPr>
      <w:r w:rsidRPr="008B1755">
        <w:rPr>
          <w:rFonts w:ascii="Times New Roman" w:hAnsi="Times New Roman"/>
          <w:lang w:val="cs-CZ"/>
        </w:rPr>
        <w:t xml:space="preserve">(b) </w:t>
      </w:r>
      <w:r w:rsidR="009B7C0D" w:rsidRPr="008B1755">
        <w:rPr>
          <w:rStyle w:val="Style2Char"/>
          <w:lang w:val="cs-CZ"/>
        </w:rPr>
        <w:t>zachování integrity a bezpečnosti sítě, služeb poskytovaných prostřednictvím této sítě a koncových zařízení koncových uživatelů</w:t>
      </w:r>
      <w:r w:rsidR="00B35884" w:rsidRPr="008B1755">
        <w:rPr>
          <w:rFonts w:ascii="Times New Roman" w:hAnsi="Times New Roman"/>
          <w:lang w:val="cs-CZ"/>
        </w:rPr>
        <w:t>;</w:t>
      </w:r>
    </w:p>
    <w:p w:rsidR="00B35884" w:rsidRPr="008B1755" w:rsidRDefault="00B35884" w:rsidP="006F0EC7">
      <w:pPr>
        <w:keepNext/>
        <w:shd w:val="clear" w:color="auto" w:fill="FFFFFF"/>
        <w:spacing w:after="0"/>
        <w:rPr>
          <w:rFonts w:ascii="Times New Roman" w:hAnsi="Times New Roman"/>
          <w:sz w:val="20"/>
          <w:u w:val="single"/>
          <w:lang w:val="cs-CZ"/>
        </w:rPr>
      </w:pPr>
    </w:p>
    <w:p w:rsidR="00B35884" w:rsidRPr="008B1755" w:rsidRDefault="00946CEA" w:rsidP="006F0EC7">
      <w:pPr>
        <w:keepNext/>
        <w:shd w:val="clear" w:color="auto" w:fill="D9D9D9"/>
        <w:spacing w:after="0"/>
        <w:rPr>
          <w:rFonts w:ascii="Times New Roman" w:hAnsi="Times New Roman"/>
          <w:sz w:val="20"/>
          <w:u w:val="single"/>
          <w:lang w:val="cs-CZ"/>
        </w:rPr>
      </w:pPr>
      <w:r w:rsidRPr="008B1755">
        <w:rPr>
          <w:rFonts w:ascii="Times New Roman" w:hAnsi="Times New Roman"/>
          <w:sz w:val="20"/>
          <w:u w:val="single"/>
          <w:lang w:val="cs-CZ"/>
        </w:rPr>
        <w:t xml:space="preserve">Úvodní část Nařízení, bod </w:t>
      </w:r>
      <w:r w:rsidR="00B35884" w:rsidRPr="008B1755">
        <w:rPr>
          <w:rFonts w:ascii="Times New Roman" w:hAnsi="Times New Roman"/>
          <w:sz w:val="20"/>
          <w:u w:val="single"/>
          <w:lang w:val="cs-CZ"/>
        </w:rPr>
        <w:t>14</w:t>
      </w:r>
    </w:p>
    <w:p w:rsidR="00B35884" w:rsidRPr="008B1755" w:rsidRDefault="00946CEA" w:rsidP="006F0EC7">
      <w:pPr>
        <w:shd w:val="clear" w:color="auto" w:fill="D9D9D9"/>
        <w:rPr>
          <w:rFonts w:ascii="Times New Roman" w:hAnsi="Times New Roman"/>
          <w:sz w:val="20"/>
          <w:lang w:val="cs-CZ"/>
        </w:rPr>
      </w:pPr>
      <w:r w:rsidRPr="008B1755">
        <w:rPr>
          <w:rStyle w:val="Style3Char"/>
          <w:sz w:val="20"/>
          <w:lang w:val="cs-CZ"/>
        </w:rPr>
        <w:t>Zadruhé by mohla být opatření řízení provozu jdoucí nad rámec opatření přiměřeného řízení provozu nezbytná pro ochranu integrity a bezpečnosti sítě, například při předcházení kybernetickým útokům, k nimž dochází šířením škodlivého softwaru, či zneužití totožnosti koncových uživatelů, k němuž dochází v důsledku použití spywaru</w:t>
      </w:r>
      <w:r w:rsidR="00B35884" w:rsidRPr="008B1755">
        <w:rPr>
          <w:rFonts w:ascii="Times New Roman" w:hAnsi="Times New Roman"/>
          <w:sz w:val="20"/>
          <w:lang w:val="cs-CZ"/>
        </w:rPr>
        <w:t>.</w:t>
      </w:r>
    </w:p>
    <w:p w:rsidR="00B35884" w:rsidRPr="008B1755" w:rsidRDefault="00003637" w:rsidP="0038751B">
      <w:pPr>
        <w:numPr>
          <w:ilvl w:val="0"/>
          <w:numId w:val="2"/>
        </w:numPr>
        <w:spacing w:after="120"/>
        <w:rPr>
          <w:rFonts w:cs="Arial"/>
          <w:color w:val="000000"/>
          <w:lang w:val="cs-CZ"/>
        </w:rPr>
      </w:pPr>
      <w:r w:rsidRPr="008B1755">
        <w:rPr>
          <w:rFonts w:cs="Arial"/>
          <w:color w:val="000000"/>
          <w:lang w:val="cs-CZ"/>
        </w:rPr>
        <w:t xml:space="preserve">Mezi typické útoky a hrozby, které spustí opatření na ochranu </w:t>
      </w:r>
      <w:r w:rsidR="00B35884" w:rsidRPr="008B1755">
        <w:rPr>
          <w:rFonts w:cs="Arial"/>
          <w:color w:val="000000"/>
          <w:lang w:val="cs-CZ"/>
        </w:rPr>
        <w:t>integrity a</w:t>
      </w:r>
      <w:r w:rsidRPr="008B1755">
        <w:rPr>
          <w:rFonts w:cs="Arial"/>
          <w:color w:val="000000"/>
          <w:lang w:val="cs-CZ"/>
        </w:rPr>
        <w:t xml:space="preserve"> bezpečnosti, patří</w:t>
      </w:r>
      <w:r w:rsidR="00B35884" w:rsidRPr="008B1755">
        <w:rPr>
          <w:rFonts w:cs="Arial"/>
          <w:color w:val="000000"/>
          <w:lang w:val="cs-CZ"/>
        </w:rPr>
        <w:t>:</w:t>
      </w:r>
    </w:p>
    <w:p w:rsidR="00B35884" w:rsidRPr="008B1755" w:rsidRDefault="00E653FD" w:rsidP="0038751B">
      <w:pPr>
        <w:pStyle w:val="Odstavecseseznamem"/>
        <w:numPr>
          <w:ilvl w:val="0"/>
          <w:numId w:val="18"/>
        </w:numPr>
        <w:spacing w:after="120"/>
        <w:ind w:left="1077" w:hanging="357"/>
        <w:rPr>
          <w:lang w:val="cs-CZ"/>
        </w:rPr>
      </w:pPr>
      <w:r w:rsidRPr="008B1755">
        <w:rPr>
          <w:lang w:val="cs-CZ"/>
        </w:rPr>
        <w:t xml:space="preserve">zahlcení síťových prvků nebo </w:t>
      </w:r>
      <w:r w:rsidR="00453FD2" w:rsidRPr="008B1755">
        <w:rPr>
          <w:lang w:val="cs-CZ"/>
        </w:rPr>
        <w:t>koncové</w:t>
      </w:r>
      <w:r w:rsidRPr="008B1755">
        <w:rPr>
          <w:lang w:val="cs-CZ"/>
        </w:rPr>
        <w:t>ho</w:t>
      </w:r>
      <w:r w:rsidR="00453FD2" w:rsidRPr="008B1755">
        <w:rPr>
          <w:lang w:val="cs-CZ"/>
        </w:rPr>
        <w:t xml:space="preserve"> zařízení</w:t>
      </w:r>
      <w:r w:rsidR="005C381E" w:rsidRPr="008B1755">
        <w:rPr>
          <w:lang w:val="cs-CZ"/>
        </w:rPr>
        <w:t xml:space="preserve"> </w:t>
      </w:r>
      <w:r w:rsidRPr="008B1755">
        <w:rPr>
          <w:lang w:val="cs-CZ"/>
        </w:rPr>
        <w:t xml:space="preserve">datovým provozem s cílem je destabilizovat </w:t>
      </w:r>
      <w:r w:rsidR="00B35884" w:rsidRPr="008B1755">
        <w:rPr>
          <w:lang w:val="cs-CZ"/>
        </w:rPr>
        <w:t>(</w:t>
      </w:r>
      <w:r w:rsidR="00BE001A" w:rsidRPr="008B1755">
        <w:rPr>
          <w:lang w:val="cs-CZ"/>
        </w:rPr>
        <w:t>např.</w:t>
      </w:r>
      <w:r w:rsidR="00B35884" w:rsidRPr="008B1755">
        <w:rPr>
          <w:lang w:val="cs-CZ"/>
        </w:rPr>
        <w:t xml:space="preserve"> </w:t>
      </w:r>
      <w:r w:rsidRPr="008B1755">
        <w:rPr>
          <w:lang w:val="cs-CZ"/>
        </w:rPr>
        <w:t>úrok typu odepření služby (</w:t>
      </w:r>
      <w:r w:rsidR="00B35884" w:rsidRPr="008B1755">
        <w:rPr>
          <w:lang w:val="cs-CZ"/>
        </w:rPr>
        <w:t>Denial of Service</w:t>
      </w:r>
      <w:r w:rsidRPr="008B1755">
        <w:rPr>
          <w:lang w:val="cs-CZ"/>
        </w:rPr>
        <w:t>)</w:t>
      </w:r>
      <w:r w:rsidR="00B35884" w:rsidRPr="008B1755">
        <w:rPr>
          <w:lang w:val="cs-CZ"/>
        </w:rPr>
        <w:t>)</w:t>
      </w:r>
      <w:r w:rsidR="00E4215C" w:rsidRPr="008B1755">
        <w:rPr>
          <w:lang w:val="cs-CZ"/>
        </w:rPr>
        <w:t>;</w:t>
      </w:r>
    </w:p>
    <w:p w:rsidR="00B35884" w:rsidRPr="008B1755" w:rsidRDefault="00E653FD" w:rsidP="0038751B">
      <w:pPr>
        <w:pStyle w:val="Odstavecseseznamem"/>
        <w:numPr>
          <w:ilvl w:val="0"/>
          <w:numId w:val="18"/>
        </w:numPr>
        <w:spacing w:after="120"/>
        <w:ind w:left="1077" w:hanging="357"/>
        <w:rPr>
          <w:lang w:val="cs-CZ"/>
        </w:rPr>
      </w:pPr>
      <w:r w:rsidRPr="008B1755">
        <w:rPr>
          <w:lang w:val="cs-CZ"/>
        </w:rPr>
        <w:t xml:space="preserve">tzv. IP </w:t>
      </w:r>
      <w:r w:rsidR="00BF65C4" w:rsidRPr="008B1755">
        <w:rPr>
          <w:lang w:val="cs-CZ"/>
        </w:rPr>
        <w:t>s</w:t>
      </w:r>
      <w:r w:rsidR="00B35884" w:rsidRPr="008B1755">
        <w:rPr>
          <w:lang w:val="cs-CZ"/>
        </w:rPr>
        <w:t xml:space="preserve">poofing </w:t>
      </w:r>
      <w:r w:rsidRPr="008B1755">
        <w:rPr>
          <w:lang w:val="cs-CZ"/>
        </w:rPr>
        <w:t>za účelem napodobení síťových zařízení nebo umožnění neoprávněné komunikace</w:t>
      </w:r>
      <w:r w:rsidR="00E4215C" w:rsidRPr="008B1755">
        <w:rPr>
          <w:lang w:val="cs-CZ"/>
        </w:rPr>
        <w:t>;</w:t>
      </w:r>
    </w:p>
    <w:p w:rsidR="00B35884" w:rsidRPr="008B1755" w:rsidRDefault="00E653FD" w:rsidP="0038751B">
      <w:pPr>
        <w:pStyle w:val="Odstavecseseznamem"/>
        <w:numPr>
          <w:ilvl w:val="0"/>
          <w:numId w:val="18"/>
        </w:numPr>
        <w:spacing w:after="120"/>
        <w:ind w:left="1077" w:hanging="357"/>
        <w:rPr>
          <w:lang w:val="cs-CZ"/>
        </w:rPr>
      </w:pPr>
      <w:r w:rsidRPr="008B1755">
        <w:rPr>
          <w:lang w:val="cs-CZ"/>
        </w:rPr>
        <w:t>ú</w:t>
      </w:r>
      <w:r w:rsidR="00137AAE">
        <w:rPr>
          <w:lang w:val="cs-CZ"/>
        </w:rPr>
        <w:t>t</w:t>
      </w:r>
      <w:r w:rsidRPr="008B1755">
        <w:rPr>
          <w:lang w:val="cs-CZ"/>
        </w:rPr>
        <w:t xml:space="preserve">oky hackerů proti síťovým prvkům nebo </w:t>
      </w:r>
      <w:r w:rsidR="00453FD2" w:rsidRPr="008B1755">
        <w:rPr>
          <w:lang w:val="cs-CZ"/>
        </w:rPr>
        <w:t>koncov</w:t>
      </w:r>
      <w:r w:rsidRPr="008B1755">
        <w:rPr>
          <w:lang w:val="cs-CZ"/>
        </w:rPr>
        <w:t>ým</w:t>
      </w:r>
      <w:r w:rsidR="00453FD2" w:rsidRPr="008B1755">
        <w:rPr>
          <w:lang w:val="cs-CZ"/>
        </w:rPr>
        <w:t xml:space="preserve"> zařízení</w:t>
      </w:r>
      <w:r w:rsidRPr="008B1755">
        <w:rPr>
          <w:lang w:val="cs-CZ"/>
        </w:rPr>
        <w:t>m</w:t>
      </w:r>
      <w:r w:rsidR="00E4215C" w:rsidRPr="008B1755">
        <w:rPr>
          <w:lang w:val="cs-CZ"/>
        </w:rPr>
        <w:t>;</w:t>
      </w:r>
    </w:p>
    <w:p w:rsidR="00B35884" w:rsidRPr="008B1755" w:rsidRDefault="00E653FD" w:rsidP="0038751B">
      <w:pPr>
        <w:pStyle w:val="Odstavecseseznamem"/>
        <w:numPr>
          <w:ilvl w:val="0"/>
          <w:numId w:val="18"/>
        </w:numPr>
        <w:spacing w:after="120"/>
        <w:ind w:left="1077" w:hanging="357"/>
        <w:rPr>
          <w:lang w:val="cs-CZ"/>
        </w:rPr>
      </w:pPr>
      <w:r w:rsidRPr="008B1755">
        <w:rPr>
          <w:lang w:val="cs-CZ"/>
        </w:rPr>
        <w:t xml:space="preserve">šíření škodlivého </w:t>
      </w:r>
      <w:r w:rsidR="00B35884" w:rsidRPr="008B1755">
        <w:rPr>
          <w:lang w:val="cs-CZ"/>
        </w:rPr>
        <w:t>softwar</w:t>
      </w:r>
      <w:r w:rsidRPr="008B1755">
        <w:rPr>
          <w:lang w:val="cs-CZ"/>
        </w:rPr>
        <w:t>ů, počítačových virů apod</w:t>
      </w:r>
      <w:r w:rsidR="00E4215C" w:rsidRPr="008B1755">
        <w:rPr>
          <w:lang w:val="cs-CZ"/>
        </w:rPr>
        <w:t>.</w:t>
      </w:r>
    </w:p>
    <w:p w:rsidR="00B35884" w:rsidRPr="008B1755" w:rsidRDefault="00E653FD" w:rsidP="0038751B">
      <w:pPr>
        <w:numPr>
          <w:ilvl w:val="0"/>
          <w:numId w:val="2"/>
        </w:numPr>
        <w:spacing w:after="120"/>
        <w:rPr>
          <w:bCs/>
          <w:lang w:val="cs-CZ"/>
        </w:rPr>
      </w:pPr>
      <w:bookmarkStart w:id="38" w:name="_Ref449442753"/>
      <w:r w:rsidRPr="008B1755">
        <w:rPr>
          <w:lang w:val="cs-CZ"/>
        </w:rPr>
        <w:t xml:space="preserve">Provádění </w:t>
      </w:r>
      <w:r w:rsidR="00466D10" w:rsidRPr="008B1755">
        <w:rPr>
          <w:lang w:val="cs-CZ"/>
        </w:rPr>
        <w:t>opatření řízení provozu</w:t>
      </w:r>
      <w:r w:rsidR="00B35884" w:rsidRPr="008B1755">
        <w:rPr>
          <w:lang w:val="cs-CZ"/>
        </w:rPr>
        <w:t xml:space="preserve"> </w:t>
      </w:r>
      <w:r w:rsidRPr="008B1755">
        <w:rPr>
          <w:lang w:val="cs-CZ"/>
        </w:rPr>
        <w:t xml:space="preserve">za účelem </w:t>
      </w:r>
      <w:r w:rsidRPr="008B1755">
        <w:rPr>
          <w:rStyle w:val="BERECChar"/>
          <w:lang w:val="cs-CZ"/>
        </w:rPr>
        <w:t xml:space="preserve">zachování integrity a bezpečnosti sítě by </w:t>
      </w:r>
      <w:r w:rsidR="0000157F">
        <w:rPr>
          <w:rStyle w:val="BERECChar"/>
          <w:lang w:val="cs-CZ"/>
        </w:rPr>
        <w:t xml:space="preserve">v podstatě </w:t>
      </w:r>
      <w:r w:rsidRPr="008B1755">
        <w:rPr>
          <w:rStyle w:val="BERECChar"/>
          <w:lang w:val="cs-CZ"/>
        </w:rPr>
        <w:t xml:space="preserve">mohlo </w:t>
      </w:r>
      <w:r w:rsidR="0000157F">
        <w:rPr>
          <w:rStyle w:val="BERECChar"/>
          <w:lang w:val="cs-CZ"/>
        </w:rPr>
        <w:t xml:space="preserve">spočívat v </w:t>
      </w:r>
      <w:r w:rsidRPr="008B1755">
        <w:rPr>
          <w:lang w:val="cs-CZ"/>
        </w:rPr>
        <w:t>omezení konektivity nebo blokování provozu do a z konkrétních koncových bodů</w:t>
      </w:r>
      <w:r w:rsidR="00861AE0" w:rsidRPr="008B1755">
        <w:rPr>
          <w:lang w:val="cs-CZ"/>
        </w:rPr>
        <w:t xml:space="preserve">. </w:t>
      </w:r>
      <w:r w:rsidRPr="008B1755">
        <w:rPr>
          <w:lang w:val="cs-CZ"/>
        </w:rPr>
        <w:t xml:space="preserve">Typické příklady </w:t>
      </w:r>
      <w:r w:rsidRPr="008B1755">
        <w:rPr>
          <w:bCs/>
          <w:lang w:val="cs-CZ"/>
        </w:rPr>
        <w:t xml:space="preserve">takovýchto </w:t>
      </w:r>
      <w:r w:rsidR="00466D10" w:rsidRPr="008B1755">
        <w:rPr>
          <w:bCs/>
          <w:lang w:val="cs-CZ"/>
        </w:rPr>
        <w:t>opatření řízení provozu</w:t>
      </w:r>
      <w:r w:rsidR="00B35884" w:rsidRPr="008B1755">
        <w:rPr>
          <w:bCs/>
          <w:lang w:val="cs-CZ"/>
        </w:rPr>
        <w:t xml:space="preserve"> </w:t>
      </w:r>
      <w:r w:rsidRPr="008B1755">
        <w:rPr>
          <w:bCs/>
          <w:lang w:val="cs-CZ"/>
        </w:rPr>
        <w:t>jsou</w:t>
      </w:r>
      <w:r w:rsidR="00B35884" w:rsidRPr="008B1755">
        <w:rPr>
          <w:bCs/>
          <w:lang w:val="cs-CZ"/>
        </w:rPr>
        <w:t>:</w:t>
      </w:r>
      <w:bookmarkEnd w:id="38"/>
    </w:p>
    <w:p w:rsidR="00B35884" w:rsidRPr="008B1755" w:rsidRDefault="00E653FD" w:rsidP="0038751B">
      <w:pPr>
        <w:pStyle w:val="Odstavecseseznamem"/>
        <w:numPr>
          <w:ilvl w:val="0"/>
          <w:numId w:val="18"/>
        </w:numPr>
        <w:spacing w:after="120"/>
        <w:ind w:left="1077" w:hanging="357"/>
        <w:rPr>
          <w:lang w:val="cs-CZ"/>
        </w:rPr>
      </w:pPr>
      <w:r w:rsidRPr="008B1755">
        <w:rPr>
          <w:lang w:val="cs-CZ"/>
        </w:rPr>
        <w:t xml:space="preserve">blokování </w:t>
      </w:r>
      <w:r w:rsidR="00B35884" w:rsidRPr="008B1755">
        <w:rPr>
          <w:lang w:val="cs-CZ"/>
        </w:rPr>
        <w:t xml:space="preserve">IP </w:t>
      </w:r>
      <w:r w:rsidRPr="008B1755">
        <w:rPr>
          <w:lang w:val="cs-CZ"/>
        </w:rPr>
        <w:t xml:space="preserve">adres nebo </w:t>
      </w:r>
      <w:r w:rsidR="00D4028E" w:rsidRPr="008B1755">
        <w:rPr>
          <w:lang w:val="cs-CZ"/>
        </w:rPr>
        <w:t>jejich skupin</w:t>
      </w:r>
      <w:r w:rsidR="00BF65C4" w:rsidRPr="008B1755">
        <w:rPr>
          <w:lang w:val="cs-CZ"/>
        </w:rPr>
        <w:t>,</w:t>
      </w:r>
      <w:r w:rsidR="00B35884" w:rsidRPr="008B1755">
        <w:rPr>
          <w:lang w:val="cs-CZ"/>
        </w:rPr>
        <w:t xml:space="preserve"> </w:t>
      </w:r>
      <w:r w:rsidR="00D4028E" w:rsidRPr="008B1755">
        <w:rPr>
          <w:lang w:val="cs-CZ"/>
        </w:rPr>
        <w:t>protože jsou známými zdroji útoků</w:t>
      </w:r>
      <w:r w:rsidR="00E4215C" w:rsidRPr="008B1755">
        <w:rPr>
          <w:lang w:val="cs-CZ"/>
        </w:rPr>
        <w:t>;</w:t>
      </w:r>
      <w:r w:rsidR="00B35884" w:rsidRPr="008B1755">
        <w:rPr>
          <w:lang w:val="cs-CZ"/>
        </w:rPr>
        <w:t xml:space="preserve"> </w:t>
      </w:r>
    </w:p>
    <w:p w:rsidR="00B35884" w:rsidRPr="008B1755" w:rsidRDefault="00E653FD" w:rsidP="0038751B">
      <w:pPr>
        <w:pStyle w:val="Odstavecseseznamem"/>
        <w:numPr>
          <w:ilvl w:val="0"/>
          <w:numId w:val="18"/>
        </w:numPr>
        <w:spacing w:after="120"/>
        <w:ind w:left="1077" w:hanging="357"/>
        <w:rPr>
          <w:lang w:val="cs-CZ"/>
        </w:rPr>
      </w:pPr>
      <w:r w:rsidRPr="008B1755">
        <w:rPr>
          <w:lang w:val="cs-CZ"/>
        </w:rPr>
        <w:t>blokování IP adres</w:t>
      </w:r>
      <w:r w:rsidR="00D4028E" w:rsidRPr="008B1755">
        <w:rPr>
          <w:lang w:val="cs-CZ"/>
        </w:rPr>
        <w:t xml:space="preserve">, ze kterých </w:t>
      </w:r>
      <w:r w:rsidR="0000157F" w:rsidRPr="008B1755">
        <w:rPr>
          <w:lang w:val="cs-CZ"/>
        </w:rPr>
        <w:t>pochází</w:t>
      </w:r>
      <w:r w:rsidR="0000157F" w:rsidRPr="008B1755" w:rsidDel="0000157F">
        <w:rPr>
          <w:lang w:val="cs-CZ"/>
        </w:rPr>
        <w:t xml:space="preserve"> </w:t>
      </w:r>
      <w:r w:rsidR="0000157F">
        <w:rPr>
          <w:lang w:val="cs-CZ"/>
        </w:rPr>
        <w:t xml:space="preserve">aktuální </w:t>
      </w:r>
      <w:r w:rsidR="00D4028E" w:rsidRPr="008B1755">
        <w:rPr>
          <w:lang w:val="cs-CZ"/>
        </w:rPr>
        <w:t>útok</w:t>
      </w:r>
      <w:r w:rsidR="00BF65C4" w:rsidRPr="008B1755">
        <w:rPr>
          <w:lang w:val="cs-CZ"/>
        </w:rPr>
        <w:t>;</w:t>
      </w:r>
    </w:p>
    <w:p w:rsidR="00B35884" w:rsidRPr="008B1755" w:rsidRDefault="00E653FD" w:rsidP="0038751B">
      <w:pPr>
        <w:pStyle w:val="Odstavecseseznamem"/>
        <w:numPr>
          <w:ilvl w:val="0"/>
          <w:numId w:val="18"/>
        </w:numPr>
        <w:spacing w:after="120"/>
        <w:ind w:left="1077" w:hanging="357"/>
        <w:rPr>
          <w:lang w:val="cs-CZ"/>
        </w:rPr>
      </w:pPr>
      <w:r w:rsidRPr="008B1755">
        <w:rPr>
          <w:lang w:val="cs-CZ"/>
        </w:rPr>
        <w:t>blokování IP adres</w:t>
      </w:r>
      <w:r w:rsidR="00B35884" w:rsidRPr="008B1755">
        <w:rPr>
          <w:lang w:val="cs-CZ"/>
        </w:rPr>
        <w:t>/</w:t>
      </w:r>
      <w:r w:rsidR="00DD272F" w:rsidRPr="008B1755">
        <w:rPr>
          <w:lang w:val="cs-CZ"/>
        </w:rPr>
        <w:t>služ</w:t>
      </w:r>
      <w:r w:rsidR="00D4028E" w:rsidRPr="008B1755">
        <w:rPr>
          <w:lang w:val="cs-CZ"/>
        </w:rPr>
        <w:t>e</w:t>
      </w:r>
      <w:r w:rsidR="00DD272F" w:rsidRPr="008B1755">
        <w:rPr>
          <w:lang w:val="cs-CZ"/>
        </w:rPr>
        <w:t>b přístupu k internetu</w:t>
      </w:r>
      <w:r w:rsidR="00B35884" w:rsidRPr="008B1755">
        <w:rPr>
          <w:lang w:val="cs-CZ"/>
        </w:rPr>
        <w:t xml:space="preserve"> </w:t>
      </w:r>
      <w:r w:rsidR="00D4028E" w:rsidRPr="008B1755">
        <w:rPr>
          <w:lang w:val="cs-CZ"/>
        </w:rPr>
        <w:t xml:space="preserve">vykazujících podezřelé chování </w:t>
      </w:r>
      <w:r w:rsidR="00B35884" w:rsidRPr="008B1755">
        <w:rPr>
          <w:lang w:val="cs-CZ"/>
        </w:rPr>
        <w:t>(</w:t>
      </w:r>
      <w:r w:rsidR="00BE001A" w:rsidRPr="008B1755">
        <w:rPr>
          <w:lang w:val="cs-CZ"/>
        </w:rPr>
        <w:t>např.</w:t>
      </w:r>
      <w:r w:rsidR="00B35884" w:rsidRPr="008B1755">
        <w:rPr>
          <w:lang w:val="cs-CZ"/>
        </w:rPr>
        <w:t xml:space="preserve"> </w:t>
      </w:r>
      <w:r w:rsidR="00D4028E" w:rsidRPr="008B1755">
        <w:rPr>
          <w:lang w:val="cs-CZ"/>
        </w:rPr>
        <w:t>neoprávněná komunikace se síťovými prvky</w:t>
      </w:r>
      <w:r w:rsidR="00B35884" w:rsidRPr="008B1755">
        <w:rPr>
          <w:lang w:val="cs-CZ"/>
        </w:rPr>
        <w:t xml:space="preserve">, </w:t>
      </w:r>
      <w:r w:rsidR="00D4028E" w:rsidRPr="008B1755">
        <w:rPr>
          <w:lang w:val="cs-CZ"/>
        </w:rPr>
        <w:t xml:space="preserve">IP </w:t>
      </w:r>
      <w:r w:rsidR="00B35884" w:rsidRPr="008B1755">
        <w:rPr>
          <w:lang w:val="cs-CZ"/>
        </w:rPr>
        <w:t>spoofing)</w:t>
      </w:r>
      <w:r w:rsidR="00E4215C" w:rsidRPr="008B1755">
        <w:rPr>
          <w:lang w:val="cs-CZ"/>
        </w:rPr>
        <w:t>;</w:t>
      </w:r>
      <w:r w:rsidR="00B35884" w:rsidRPr="008B1755">
        <w:rPr>
          <w:lang w:val="cs-CZ"/>
        </w:rPr>
        <w:t xml:space="preserve"> </w:t>
      </w:r>
    </w:p>
    <w:p w:rsidR="00B35884" w:rsidRPr="008B1755" w:rsidRDefault="00E653FD" w:rsidP="0038751B">
      <w:pPr>
        <w:pStyle w:val="Odstavecseseznamem"/>
        <w:numPr>
          <w:ilvl w:val="0"/>
          <w:numId w:val="18"/>
        </w:numPr>
        <w:spacing w:after="120"/>
        <w:rPr>
          <w:lang w:val="cs-CZ"/>
        </w:rPr>
      </w:pPr>
      <w:r w:rsidRPr="008B1755">
        <w:rPr>
          <w:lang w:val="cs-CZ"/>
        </w:rPr>
        <w:t>blokování IP adres</w:t>
      </w:r>
      <w:r w:rsidR="00D4028E" w:rsidRPr="008B1755">
        <w:rPr>
          <w:lang w:val="cs-CZ"/>
        </w:rPr>
        <w:t>, u nichž je zřejmé, že jsou součástí internetových robotů (tzv. botnet)</w:t>
      </w:r>
      <w:r w:rsidR="00E4215C" w:rsidRPr="008B1755">
        <w:rPr>
          <w:lang w:val="cs-CZ"/>
        </w:rPr>
        <w:t>;</w:t>
      </w:r>
    </w:p>
    <w:p w:rsidR="00B35884" w:rsidRPr="008B1755" w:rsidRDefault="00E653FD" w:rsidP="0038751B">
      <w:pPr>
        <w:pStyle w:val="Odstavecseseznamem"/>
        <w:numPr>
          <w:ilvl w:val="0"/>
          <w:numId w:val="18"/>
        </w:numPr>
        <w:spacing w:after="120"/>
        <w:ind w:left="1077" w:hanging="357"/>
        <w:rPr>
          <w:lang w:val="cs-CZ"/>
        </w:rPr>
      </w:pPr>
      <w:r w:rsidRPr="008B1755">
        <w:rPr>
          <w:lang w:val="cs-CZ"/>
        </w:rPr>
        <w:t xml:space="preserve">blokování </w:t>
      </w:r>
      <w:r w:rsidR="00D4028E" w:rsidRPr="008B1755">
        <w:rPr>
          <w:lang w:val="cs-CZ"/>
        </w:rPr>
        <w:t xml:space="preserve">konkrétních čísel portů představujících hrozbu pro bezpečnost a </w:t>
      </w:r>
      <w:r w:rsidR="00E41515" w:rsidRPr="008B1755">
        <w:rPr>
          <w:lang w:val="cs-CZ"/>
        </w:rPr>
        <w:t>integrit</w:t>
      </w:r>
      <w:r w:rsidR="00D4028E" w:rsidRPr="008B1755">
        <w:rPr>
          <w:lang w:val="cs-CZ"/>
        </w:rPr>
        <w:t>u</w:t>
      </w:r>
      <w:r w:rsidR="00E4215C" w:rsidRPr="008B1755">
        <w:rPr>
          <w:lang w:val="cs-CZ"/>
        </w:rPr>
        <w:t>.</w:t>
      </w:r>
    </w:p>
    <w:p w:rsidR="00B35884" w:rsidRPr="008B1755" w:rsidRDefault="00D4028E" w:rsidP="0038751B">
      <w:pPr>
        <w:numPr>
          <w:ilvl w:val="0"/>
          <w:numId w:val="2"/>
        </w:numPr>
        <w:spacing w:after="120"/>
        <w:rPr>
          <w:lang w:val="cs-CZ"/>
        </w:rPr>
      </w:pPr>
      <w:r w:rsidRPr="008B1755">
        <w:rPr>
          <w:lang w:val="cs-CZ"/>
        </w:rPr>
        <w:t xml:space="preserve">Vnitrostátní </w:t>
      </w:r>
      <w:r w:rsidR="00926BAE" w:rsidRPr="008B1755">
        <w:rPr>
          <w:lang w:val="cs-CZ"/>
        </w:rPr>
        <w:t>regulační orgány</w:t>
      </w:r>
      <w:r w:rsidR="00B35884" w:rsidRPr="008B1755">
        <w:rPr>
          <w:lang w:val="cs-CZ"/>
        </w:rPr>
        <w:t xml:space="preserve"> </w:t>
      </w:r>
      <w:r w:rsidRPr="008B1755">
        <w:rPr>
          <w:lang w:val="cs-CZ"/>
        </w:rPr>
        <w:t xml:space="preserve">by měly přihlédnout k tomu, že </w:t>
      </w:r>
      <w:r w:rsidR="0000157F">
        <w:rPr>
          <w:lang w:val="cs-CZ"/>
        </w:rPr>
        <w:t xml:space="preserve">za účelem identifikace </w:t>
      </w:r>
      <w:r w:rsidRPr="008B1755">
        <w:rPr>
          <w:lang w:val="cs-CZ"/>
        </w:rPr>
        <w:t xml:space="preserve">útoků a aktivování bezpečnostních opatření je často důvodné použití bezpečnostních sledovacích systémů ze strany </w:t>
      </w:r>
      <w:r w:rsidR="00080F70" w:rsidRPr="008B1755">
        <w:rPr>
          <w:lang w:val="cs-CZ"/>
        </w:rPr>
        <w:t>poskytovatel</w:t>
      </w:r>
      <w:r w:rsidRPr="008B1755">
        <w:rPr>
          <w:lang w:val="cs-CZ"/>
        </w:rPr>
        <w:t>ů</w:t>
      </w:r>
      <w:r w:rsidR="007D7F64" w:rsidRPr="008B1755">
        <w:rPr>
          <w:lang w:val="cs-CZ"/>
        </w:rPr>
        <w:t xml:space="preserve"> internetových služeb</w:t>
      </w:r>
      <w:r w:rsidR="00B35884" w:rsidRPr="008B1755">
        <w:rPr>
          <w:lang w:val="cs-CZ"/>
        </w:rPr>
        <w:t xml:space="preserve">. </w:t>
      </w:r>
      <w:r w:rsidRPr="008B1755">
        <w:rPr>
          <w:lang w:val="cs-CZ"/>
        </w:rPr>
        <w:t xml:space="preserve">V těchto případech </w:t>
      </w:r>
      <w:r w:rsidR="0000157F" w:rsidRPr="008B1755">
        <w:rPr>
          <w:lang w:val="cs-CZ"/>
        </w:rPr>
        <w:t xml:space="preserve">může být </w:t>
      </w:r>
      <w:r w:rsidRPr="008B1755">
        <w:rPr>
          <w:lang w:val="cs-CZ"/>
        </w:rPr>
        <w:t xml:space="preserve">sledování provozu za účelem zjištění bezpečnostních hrozeb </w:t>
      </w:r>
      <w:r w:rsidR="002715B6" w:rsidRPr="008B1755">
        <w:rPr>
          <w:lang w:val="cs-CZ"/>
        </w:rPr>
        <w:t>(</w:t>
      </w:r>
      <w:r w:rsidRPr="008B1755">
        <w:rPr>
          <w:lang w:val="cs-CZ"/>
        </w:rPr>
        <w:t xml:space="preserve">jako například těch uvedených </w:t>
      </w:r>
      <w:r w:rsidR="00DD272F" w:rsidRPr="008B1755">
        <w:rPr>
          <w:lang w:val="cs-CZ"/>
        </w:rPr>
        <w:t xml:space="preserve">v </w:t>
      </w:r>
      <w:r w:rsidR="00D2652F">
        <w:rPr>
          <w:lang w:val="cs-CZ"/>
        </w:rPr>
        <w:t>bodu</w:t>
      </w:r>
      <w:r w:rsidR="00BF65C4" w:rsidRPr="008B1755">
        <w:rPr>
          <w:lang w:val="cs-CZ"/>
        </w:rPr>
        <w:t xml:space="preserve"> </w:t>
      </w:r>
      <w:r w:rsidR="00CA269E" w:rsidRPr="008B1755">
        <w:rPr>
          <w:lang w:val="cs-CZ"/>
        </w:rPr>
        <w:fldChar w:fldCharType="begin"/>
      </w:r>
      <w:r w:rsidR="00BF65C4" w:rsidRPr="008B1755">
        <w:rPr>
          <w:lang w:val="cs-CZ"/>
        </w:rPr>
        <w:instrText xml:space="preserve"> REF _Ref449442753 \r \h </w:instrText>
      </w:r>
      <w:r w:rsidR="00CA269E" w:rsidRPr="008B1755">
        <w:rPr>
          <w:lang w:val="cs-CZ"/>
        </w:rPr>
      </w:r>
      <w:r w:rsidR="00CA269E" w:rsidRPr="008B1755">
        <w:rPr>
          <w:lang w:val="cs-CZ"/>
        </w:rPr>
        <w:fldChar w:fldCharType="separate"/>
      </w:r>
      <w:r w:rsidR="003B403B" w:rsidRPr="008B1755">
        <w:rPr>
          <w:lang w:val="cs-CZ"/>
        </w:rPr>
        <w:t>84</w:t>
      </w:r>
      <w:r w:rsidR="00CA269E" w:rsidRPr="008B1755">
        <w:rPr>
          <w:lang w:val="cs-CZ"/>
        </w:rPr>
        <w:fldChar w:fldCharType="end"/>
      </w:r>
      <w:r w:rsidR="00B35884" w:rsidRPr="008B1755">
        <w:rPr>
          <w:lang w:val="cs-CZ"/>
        </w:rPr>
        <w:t xml:space="preserve">) </w:t>
      </w:r>
      <w:r w:rsidRPr="008B1755">
        <w:rPr>
          <w:lang w:val="cs-CZ"/>
        </w:rPr>
        <w:t>prováděno na pozadí trvale</w:t>
      </w:r>
      <w:r w:rsidR="007B6F05" w:rsidRPr="008B1755">
        <w:rPr>
          <w:lang w:val="cs-CZ"/>
        </w:rPr>
        <w:t>,</w:t>
      </w:r>
      <w:r w:rsidR="00631D71" w:rsidRPr="008B1755">
        <w:rPr>
          <w:rStyle w:val="Znakapoznpodarou"/>
          <w:lang w:val="cs-CZ"/>
        </w:rPr>
        <w:footnoteReference w:id="22"/>
      </w:r>
      <w:r w:rsidR="007B6F05" w:rsidRPr="008B1755">
        <w:rPr>
          <w:lang w:val="cs-CZ"/>
        </w:rPr>
        <w:t xml:space="preserve"> </w:t>
      </w:r>
      <w:r w:rsidRPr="008B1755">
        <w:rPr>
          <w:lang w:val="cs-CZ"/>
        </w:rPr>
        <w:t xml:space="preserve">přičemž skutečné </w:t>
      </w:r>
      <w:r w:rsidR="003132BE" w:rsidRPr="008B1755">
        <w:rPr>
          <w:lang w:val="cs-CZ"/>
        </w:rPr>
        <w:t>opatření řízení provozu</w:t>
      </w:r>
      <w:r w:rsidR="007B6F05" w:rsidRPr="008B1755">
        <w:rPr>
          <w:lang w:val="cs-CZ"/>
        </w:rPr>
        <w:t xml:space="preserve"> </w:t>
      </w:r>
      <w:r w:rsidRPr="008B1755">
        <w:rPr>
          <w:lang w:val="cs-CZ"/>
        </w:rPr>
        <w:t xml:space="preserve">pro zachování </w:t>
      </w:r>
      <w:r w:rsidR="007B6F05" w:rsidRPr="008B1755">
        <w:rPr>
          <w:lang w:val="cs-CZ"/>
        </w:rPr>
        <w:t>integrity a</w:t>
      </w:r>
      <w:r w:rsidRPr="008B1755">
        <w:rPr>
          <w:lang w:val="cs-CZ"/>
        </w:rPr>
        <w:t xml:space="preserve"> bezpečnosti sítě je spuštěno, až když je konkrétní bezpečnostní hrozba zjištěna</w:t>
      </w:r>
      <w:r w:rsidR="00B35884" w:rsidRPr="008B1755">
        <w:rPr>
          <w:lang w:val="cs-CZ"/>
        </w:rPr>
        <w:t xml:space="preserve">. </w:t>
      </w:r>
      <w:r w:rsidRPr="008B1755">
        <w:rPr>
          <w:lang w:val="cs-CZ"/>
        </w:rPr>
        <w:t>Proto předpoklad „</w:t>
      </w:r>
      <w:r w:rsidRPr="008B1755">
        <w:rPr>
          <w:rStyle w:val="BERECcitaceChar"/>
          <w:lang w:val="cs-CZ"/>
        </w:rPr>
        <w:t>pouze na nezbytně nutnou dobu</w:t>
      </w:r>
      <w:r w:rsidRPr="008B1755">
        <w:rPr>
          <w:i/>
          <w:lang w:val="cs-CZ"/>
        </w:rPr>
        <w:t>“</w:t>
      </w:r>
      <w:r w:rsidR="00B35884" w:rsidRPr="008B1755">
        <w:rPr>
          <w:lang w:val="cs-CZ"/>
        </w:rPr>
        <w:t xml:space="preserve"> </w:t>
      </w:r>
      <w:r w:rsidRPr="008B1755">
        <w:rPr>
          <w:lang w:val="cs-CZ"/>
        </w:rPr>
        <w:t xml:space="preserve">nevylučuje zavedení tohoto sledování </w:t>
      </w:r>
      <w:r w:rsidR="006F79DD" w:rsidRPr="008B1755">
        <w:rPr>
          <w:lang w:val="cs-CZ"/>
        </w:rPr>
        <w:t>integrity a</w:t>
      </w:r>
      <w:r w:rsidRPr="008B1755">
        <w:rPr>
          <w:lang w:val="cs-CZ"/>
        </w:rPr>
        <w:t xml:space="preserve"> bezpečnosti sítě</w:t>
      </w:r>
      <w:r w:rsidR="00B35884" w:rsidRPr="008B1755">
        <w:rPr>
          <w:lang w:val="cs-CZ"/>
        </w:rPr>
        <w:t xml:space="preserve">. </w:t>
      </w:r>
    </w:p>
    <w:p w:rsidR="00B35884" w:rsidRPr="008B1755" w:rsidRDefault="00D4028E" w:rsidP="0038751B">
      <w:pPr>
        <w:numPr>
          <w:ilvl w:val="0"/>
          <w:numId w:val="2"/>
        </w:numPr>
        <w:spacing w:after="120"/>
        <w:rPr>
          <w:lang w:val="cs-CZ"/>
        </w:rPr>
      </w:pPr>
      <w:r w:rsidRPr="008B1755">
        <w:rPr>
          <w:lang w:val="cs-CZ"/>
        </w:rPr>
        <w:t xml:space="preserve">Kromě sledování integrity a bezpečnosti sítě mohou být možné bezpečnostní hrozby </w:t>
      </w:r>
      <w:r w:rsidR="0014287E" w:rsidRPr="008B1755">
        <w:rPr>
          <w:lang w:val="cs-CZ"/>
        </w:rPr>
        <w:t xml:space="preserve">zjišťovány rovněž </w:t>
      </w:r>
      <w:r w:rsidRPr="008B1755">
        <w:rPr>
          <w:lang w:val="cs-CZ"/>
        </w:rPr>
        <w:t xml:space="preserve">na základě </w:t>
      </w:r>
      <w:r w:rsidR="0014287E" w:rsidRPr="008B1755">
        <w:rPr>
          <w:lang w:val="cs-CZ"/>
        </w:rPr>
        <w:t>hlášení</w:t>
      </w:r>
      <w:r w:rsidR="00B35884" w:rsidRPr="008B1755">
        <w:rPr>
          <w:lang w:val="cs-CZ"/>
        </w:rPr>
        <w:t>/</w:t>
      </w:r>
      <w:r w:rsidR="0014287E" w:rsidRPr="008B1755">
        <w:rPr>
          <w:lang w:val="cs-CZ"/>
        </w:rPr>
        <w:t xml:space="preserve">reklamací </w:t>
      </w:r>
      <w:r w:rsidR="00C44AED" w:rsidRPr="008B1755">
        <w:rPr>
          <w:lang w:val="cs-CZ"/>
        </w:rPr>
        <w:t>koncov</w:t>
      </w:r>
      <w:r w:rsidR="0014287E" w:rsidRPr="008B1755">
        <w:rPr>
          <w:lang w:val="cs-CZ"/>
        </w:rPr>
        <w:t>ých</w:t>
      </w:r>
      <w:r w:rsidR="00C44AED" w:rsidRPr="008B1755">
        <w:rPr>
          <w:lang w:val="cs-CZ"/>
        </w:rPr>
        <w:t xml:space="preserve"> uživatel</w:t>
      </w:r>
      <w:r w:rsidR="0014287E" w:rsidRPr="008B1755">
        <w:rPr>
          <w:lang w:val="cs-CZ"/>
        </w:rPr>
        <w:t xml:space="preserve">ů nebo </w:t>
      </w:r>
      <w:r w:rsidR="0014287E" w:rsidRPr="005A258A">
        <w:rPr>
          <w:lang w:val="cs-CZ"/>
        </w:rPr>
        <w:t>blokovacích seznamů</w:t>
      </w:r>
      <w:r w:rsidR="0014287E" w:rsidRPr="008B1755">
        <w:rPr>
          <w:lang w:val="cs-CZ"/>
        </w:rPr>
        <w:t xml:space="preserve"> </w:t>
      </w:r>
      <w:r w:rsidR="005A258A">
        <w:rPr>
          <w:lang w:val="cs-CZ"/>
        </w:rPr>
        <w:t xml:space="preserve">(black list) </w:t>
      </w:r>
      <w:r w:rsidR="0014287E" w:rsidRPr="008B1755">
        <w:rPr>
          <w:lang w:val="cs-CZ"/>
        </w:rPr>
        <w:t>od uznávaných bezpečnostních organizací</w:t>
      </w:r>
      <w:r w:rsidR="00B35884" w:rsidRPr="008B1755">
        <w:rPr>
          <w:lang w:val="cs-CZ"/>
        </w:rPr>
        <w:t>.</w:t>
      </w:r>
    </w:p>
    <w:p w:rsidR="00B35884" w:rsidRPr="008B1755" w:rsidRDefault="0014287E" w:rsidP="0038751B">
      <w:pPr>
        <w:numPr>
          <w:ilvl w:val="0"/>
          <w:numId w:val="2"/>
        </w:numPr>
        <w:spacing w:after="120"/>
        <w:rPr>
          <w:lang w:val="cs-CZ"/>
        </w:rPr>
      </w:pPr>
      <w:r w:rsidRPr="008B1755">
        <w:rPr>
          <w:bCs/>
          <w:lang w:val="cs-CZ"/>
        </w:rPr>
        <w:t>Tato výjimka by mohla</w:t>
      </w:r>
      <w:r w:rsidR="004E4F9E">
        <w:rPr>
          <w:bCs/>
          <w:lang w:val="cs-CZ"/>
        </w:rPr>
        <w:t xml:space="preserve"> být</w:t>
      </w:r>
      <w:r w:rsidRPr="008B1755">
        <w:rPr>
          <w:bCs/>
          <w:lang w:val="cs-CZ"/>
        </w:rPr>
        <w:t xml:space="preserve"> </w:t>
      </w:r>
      <w:r w:rsidR="0000157F">
        <w:rPr>
          <w:bCs/>
          <w:lang w:val="cs-CZ"/>
        </w:rPr>
        <w:t>vy</w:t>
      </w:r>
      <w:r w:rsidRPr="008B1755">
        <w:rPr>
          <w:bCs/>
          <w:lang w:val="cs-CZ"/>
        </w:rPr>
        <w:t xml:space="preserve">užívána </w:t>
      </w:r>
      <w:r w:rsidR="0000157F">
        <w:rPr>
          <w:bCs/>
          <w:lang w:val="cs-CZ"/>
        </w:rPr>
        <w:t>pro</w:t>
      </w:r>
      <w:r w:rsidRPr="008B1755">
        <w:rPr>
          <w:bCs/>
          <w:lang w:val="cs-CZ"/>
        </w:rPr>
        <w:t xml:space="preserve"> obcházení </w:t>
      </w:r>
      <w:r w:rsidR="001D46DD" w:rsidRPr="008B1755">
        <w:rPr>
          <w:bCs/>
          <w:lang w:val="cs-CZ"/>
        </w:rPr>
        <w:t>Nařízení</w:t>
      </w:r>
      <w:r w:rsidRPr="008B1755">
        <w:rPr>
          <w:bCs/>
          <w:lang w:val="cs-CZ"/>
        </w:rPr>
        <w:t>, protože bezpečnost je široký pojem</w:t>
      </w:r>
      <w:r w:rsidR="00B35884" w:rsidRPr="008B1755">
        <w:rPr>
          <w:bCs/>
          <w:lang w:val="cs-CZ"/>
        </w:rPr>
        <w:t xml:space="preserve">. </w:t>
      </w:r>
      <w:r w:rsidRPr="008B1755">
        <w:rPr>
          <w:bCs/>
          <w:lang w:val="cs-CZ"/>
        </w:rPr>
        <w:t xml:space="preserve">Vnitrostátní </w:t>
      </w:r>
      <w:r w:rsidR="00926BAE" w:rsidRPr="008B1755">
        <w:rPr>
          <w:bCs/>
          <w:lang w:val="cs-CZ"/>
        </w:rPr>
        <w:t>regulační orgány</w:t>
      </w:r>
      <w:r w:rsidR="00B35884" w:rsidRPr="008B1755">
        <w:rPr>
          <w:bCs/>
          <w:lang w:val="cs-CZ"/>
        </w:rPr>
        <w:t xml:space="preserve"> </w:t>
      </w:r>
      <w:r w:rsidRPr="008B1755">
        <w:rPr>
          <w:bCs/>
          <w:lang w:val="cs-CZ"/>
        </w:rPr>
        <w:t xml:space="preserve">by proto měly důkladně posoudit, zda jsou splněny požadavky této výjimky, a požadovat, aby </w:t>
      </w:r>
      <w:r w:rsidR="007D7F64" w:rsidRPr="008B1755">
        <w:rPr>
          <w:bCs/>
          <w:lang w:val="cs-CZ"/>
        </w:rPr>
        <w:t>poskytovatelé internetových služeb</w:t>
      </w:r>
      <w:r w:rsidRPr="008B1755">
        <w:rPr>
          <w:bCs/>
          <w:lang w:val="cs-CZ"/>
        </w:rPr>
        <w:t>, je-li to nutné, poskytli odpovídající zdůvodnění</w:t>
      </w:r>
      <w:r w:rsidR="009C2101" w:rsidRPr="008B1755">
        <w:rPr>
          <w:rStyle w:val="Znakapoznpodarou"/>
          <w:color w:val="000000"/>
          <w:lang w:val="cs-CZ"/>
        </w:rPr>
        <w:footnoteReference w:id="23"/>
      </w:r>
      <w:r w:rsidR="00B35884" w:rsidRPr="008B1755">
        <w:rPr>
          <w:bCs/>
          <w:lang w:val="cs-CZ"/>
        </w:rPr>
        <w:t xml:space="preserve">.  </w:t>
      </w:r>
    </w:p>
    <w:p w:rsidR="00B35884" w:rsidRPr="008B1755" w:rsidRDefault="003E7168" w:rsidP="001B38FB">
      <w:pPr>
        <w:keepNext/>
        <w:keepLines/>
        <w:spacing w:before="360" w:after="120"/>
        <w:outlineLvl w:val="1"/>
        <w:rPr>
          <w:rFonts w:eastAsia="SimSun" w:cs="Arial"/>
          <w:b/>
          <w:bCs/>
          <w:sz w:val="24"/>
          <w:szCs w:val="24"/>
          <w:lang w:val="cs-CZ"/>
        </w:rPr>
      </w:pPr>
      <w:bookmarkStart w:id="39" w:name="_Toc461400163"/>
      <w:r w:rsidRPr="008B1755">
        <w:rPr>
          <w:rFonts w:eastAsia="SimSun" w:cs="Arial"/>
          <w:b/>
          <w:bCs/>
          <w:sz w:val="24"/>
          <w:szCs w:val="24"/>
          <w:lang w:val="cs-CZ"/>
        </w:rPr>
        <w:t xml:space="preserve">Článek </w:t>
      </w:r>
      <w:r w:rsidR="00585BD7" w:rsidRPr="008B1755">
        <w:rPr>
          <w:rFonts w:eastAsia="SimSun" w:cs="Arial"/>
          <w:b/>
          <w:bCs/>
          <w:sz w:val="24"/>
          <w:szCs w:val="24"/>
          <w:lang w:val="cs-CZ"/>
        </w:rPr>
        <w:t>3 odst. 3</w:t>
      </w:r>
      <w:r w:rsidR="00B35884" w:rsidRPr="008B1755">
        <w:rPr>
          <w:rFonts w:eastAsia="SimSun" w:cs="Arial"/>
          <w:b/>
          <w:bCs/>
          <w:sz w:val="24"/>
          <w:szCs w:val="24"/>
          <w:lang w:val="cs-CZ"/>
        </w:rPr>
        <w:t xml:space="preserve"> </w:t>
      </w:r>
      <w:r w:rsidR="00AF4CD5" w:rsidRPr="008B1755">
        <w:rPr>
          <w:rFonts w:eastAsia="SimSun" w:cs="Arial"/>
          <w:b/>
          <w:bCs/>
          <w:sz w:val="24"/>
          <w:szCs w:val="24"/>
          <w:lang w:val="cs-CZ"/>
        </w:rPr>
        <w:t xml:space="preserve">písm. </w:t>
      </w:r>
      <w:r w:rsidR="00B35884" w:rsidRPr="008B1755">
        <w:rPr>
          <w:rFonts w:eastAsia="SimSun" w:cs="Arial"/>
          <w:b/>
          <w:bCs/>
          <w:sz w:val="24"/>
          <w:szCs w:val="24"/>
          <w:lang w:val="cs-CZ"/>
        </w:rPr>
        <w:t>c)</w:t>
      </w:r>
      <w:bookmarkEnd w:id="39"/>
      <w:r w:rsidR="00B35884" w:rsidRPr="008B1755">
        <w:rPr>
          <w:rFonts w:eastAsia="SimSun" w:cs="Arial"/>
          <w:b/>
          <w:bCs/>
          <w:sz w:val="24"/>
          <w:szCs w:val="24"/>
          <w:lang w:val="cs-CZ"/>
        </w:rPr>
        <w:t xml:space="preserve"> </w:t>
      </w:r>
    </w:p>
    <w:p w:rsidR="00B35884" w:rsidRPr="008B1755" w:rsidRDefault="00940CEC" w:rsidP="006F0EC7">
      <w:pPr>
        <w:pBdr>
          <w:top w:val="single" w:sz="4" w:space="1" w:color="auto"/>
          <w:left w:val="single" w:sz="4" w:space="4" w:color="auto"/>
          <w:bottom w:val="single" w:sz="4" w:space="1" w:color="auto"/>
          <w:right w:val="single" w:sz="4" w:space="4" w:color="auto"/>
        </w:pBdr>
        <w:shd w:val="clear" w:color="auto" w:fill="D9D9D9"/>
        <w:contextualSpacing/>
        <w:rPr>
          <w:rFonts w:ascii="Times New Roman" w:hAnsi="Times New Roman"/>
          <w:lang w:val="cs-CZ"/>
        </w:rPr>
      </w:pPr>
      <w:r w:rsidRPr="008B1755">
        <w:rPr>
          <w:rFonts w:ascii="Times New Roman" w:hAnsi="Times New Roman"/>
          <w:lang w:val="cs-CZ"/>
        </w:rPr>
        <w:t xml:space="preserve">(c) </w:t>
      </w:r>
      <w:r w:rsidR="009B7C0D" w:rsidRPr="008B1755">
        <w:rPr>
          <w:rStyle w:val="Style2Char"/>
          <w:lang w:val="cs-CZ"/>
        </w:rPr>
        <w:t>zabránění hrozícímu přetížení sítě a zmírnění účinků výjimečného nebo dočasného přetížení sítě za předpokladu, že se s rovnocennými kategoriemi provozu nakládá stejně</w:t>
      </w:r>
      <w:r w:rsidR="00B35884" w:rsidRPr="008B1755">
        <w:rPr>
          <w:rFonts w:ascii="Times New Roman" w:hAnsi="Times New Roman"/>
          <w:lang w:val="cs-CZ"/>
        </w:rPr>
        <w:t>.</w:t>
      </w:r>
    </w:p>
    <w:p w:rsidR="00B35884" w:rsidRPr="008B1755" w:rsidRDefault="00B35884" w:rsidP="006F0EC7">
      <w:pPr>
        <w:keepNext/>
        <w:shd w:val="clear" w:color="auto" w:fill="FFFFFF"/>
        <w:spacing w:after="0"/>
        <w:rPr>
          <w:rFonts w:ascii="Times New Roman" w:hAnsi="Times New Roman"/>
          <w:sz w:val="20"/>
          <w:u w:val="single"/>
          <w:lang w:val="cs-CZ"/>
        </w:rPr>
      </w:pPr>
    </w:p>
    <w:p w:rsidR="00B35884" w:rsidRPr="008B1755" w:rsidRDefault="00946CEA" w:rsidP="006F0EC7">
      <w:pPr>
        <w:keepNext/>
        <w:shd w:val="clear" w:color="auto" w:fill="D9D9D9"/>
        <w:spacing w:after="0"/>
        <w:rPr>
          <w:rFonts w:ascii="Times New Roman" w:hAnsi="Times New Roman"/>
          <w:sz w:val="20"/>
          <w:u w:val="single"/>
          <w:lang w:val="cs-CZ"/>
        </w:rPr>
      </w:pPr>
      <w:r w:rsidRPr="008B1755">
        <w:rPr>
          <w:rFonts w:ascii="Times New Roman" w:hAnsi="Times New Roman"/>
          <w:sz w:val="20"/>
          <w:u w:val="single"/>
          <w:lang w:val="cs-CZ"/>
        </w:rPr>
        <w:t xml:space="preserve">Úvodní část Nařízení, bod </w:t>
      </w:r>
      <w:r w:rsidR="00B35884" w:rsidRPr="008B1755">
        <w:rPr>
          <w:rFonts w:ascii="Times New Roman" w:hAnsi="Times New Roman"/>
          <w:sz w:val="20"/>
          <w:u w:val="single"/>
          <w:lang w:val="cs-CZ"/>
        </w:rPr>
        <w:t>15</w:t>
      </w:r>
    </w:p>
    <w:p w:rsidR="00B35884" w:rsidRPr="008B1755" w:rsidRDefault="00946CEA" w:rsidP="006F0EC7">
      <w:pPr>
        <w:shd w:val="clear" w:color="auto" w:fill="D9D9D9"/>
        <w:rPr>
          <w:rFonts w:ascii="Times New Roman" w:hAnsi="Times New Roman"/>
          <w:sz w:val="20"/>
          <w:lang w:val="cs-CZ"/>
        </w:rPr>
      </w:pPr>
      <w:r w:rsidRPr="008B1755">
        <w:rPr>
          <w:rStyle w:val="Style3Char"/>
          <w:sz w:val="20"/>
          <w:lang w:val="cs-CZ"/>
        </w:rPr>
        <w:t>Zatřetí by mohla být opatření jdoucí nad rámec opatření přiměřeného řízení provozu rovněž nezbytná, aby se zabránilo hrozícímu přetížení sítě, tedy v situacích, kdy má k přetížení právě dojít, a aby se zmírnily účinky přetížení sítě, pokud k takovému přetížení dochází pouze dočasně či za výjimečných okolností. Zásada proporcionality vyžaduje, aby opatření řízení provozu založená na této výjimce nakládala s rovnocennými kategoriemi provozu stejně. Za dočasné přetížení by se měly považovat konkrétní krátkodobé situace, kdy náhlý nárůst počtu uživatelů nad rámec pravidelných uživatelů nebo náhlý nárůst poptávky po určitém obsahu, aplikacích či službách mohou překročit přenosovou kapacitu některých prvků sítě, a zpomalit tak reakce zbytku sítě. K dočasnému přetížení může dojít zejména u mobilních sítí, které podléhají proměnlivějším podmínkám, jako jsou fyzické překážky, nižší pokrytí ve vnitřních prostorách či proměnlivý počet aktivních uživatelů měnících polohu. I když lze předvídat, že k takovému dočasnému přetížení na určitých bodech sítě může občas dojít, takže je nelze považovat za výjimečné – nemělo by k němu docházet tak často a po tak dlouhou dobu, že by to ekonomicky odůvodňovalo rozšíření kapacity sítě. Za výjimečné přetížení by se měly považovat nepředvídatelné a nevyhnutelné situace přetížení mobilních i pevných sítí. Příčinou těchto situací může být technický nedostatek, jako je výpadek služby kvůli přerušeným kabelům či jiným prvkům infrastruktury, neočekávané přesměrování provozu či rozsáhlé nárůsty provozu v síti následkem nouzových či jiných situací, které poskytovatelé služeb přístupu k internetu nemohou ovlivnit. Taková přetížení pravděpodobně nebudou častá, ale mohou být vážná a nikoliv nutně krátkodobá. Nutnost uplatnit opatření řízení provozu jdoucí nad rámec opatření přiměřeného řízení provozu s cílem předejít dočasnému či výjimečnému přetížení sítě či zmírnit jeho účinky by neměla poskytovatelům služeb přístupu k internetu umožňovat obcházení obecného zákazu blokovat, zpomalovat, měnit, omezovat, narušovat, zhoršovat či diskriminovat konkrétní obsah, aplikace či služby nebo jejich konkrétní kategorie. Tato výjimka by se neměla vztahovat na opakovaná a dlouhodobější přetížení sítě, která nejsou výjimečná ani dočasná. Taková přetížení by se měla řešit spíše rozšířením kapacity sítě</w:t>
      </w:r>
      <w:r w:rsidR="00B35884" w:rsidRPr="008B1755">
        <w:rPr>
          <w:rFonts w:ascii="Times New Roman" w:hAnsi="Times New Roman"/>
          <w:sz w:val="20"/>
          <w:lang w:val="cs-CZ"/>
        </w:rPr>
        <w:t>.</w:t>
      </w:r>
    </w:p>
    <w:p w:rsidR="00E00D12" w:rsidRPr="008B1755" w:rsidRDefault="00202636" w:rsidP="0038751B">
      <w:pPr>
        <w:numPr>
          <w:ilvl w:val="0"/>
          <w:numId w:val="2"/>
        </w:numPr>
        <w:spacing w:after="120"/>
        <w:rPr>
          <w:lang w:val="cs-CZ"/>
        </w:rPr>
      </w:pPr>
      <w:r w:rsidRPr="008B1755">
        <w:rPr>
          <w:lang w:val="cs-CZ"/>
        </w:rPr>
        <w:t>Ve výjimečných případech a ne déle, než je nezbytné</w:t>
      </w:r>
      <w:r w:rsidR="00E00D12" w:rsidRPr="008B1755">
        <w:rPr>
          <w:lang w:val="cs-CZ"/>
        </w:rPr>
        <w:t xml:space="preserve">, </w:t>
      </w:r>
      <w:r w:rsidRPr="008B1755">
        <w:rPr>
          <w:lang w:val="cs-CZ"/>
        </w:rPr>
        <w:t xml:space="preserve">mohou </w:t>
      </w:r>
      <w:r w:rsidR="007D7F64" w:rsidRPr="008B1755">
        <w:rPr>
          <w:lang w:val="cs-CZ"/>
        </w:rPr>
        <w:t>poskytovatelé internetových služeb</w:t>
      </w:r>
      <w:r w:rsidR="00E00D12" w:rsidRPr="008B1755">
        <w:rPr>
          <w:lang w:val="cs-CZ"/>
        </w:rPr>
        <w:t xml:space="preserve"> </w:t>
      </w:r>
      <w:r w:rsidRPr="008B1755">
        <w:rPr>
          <w:lang w:val="cs-CZ"/>
        </w:rPr>
        <w:t xml:space="preserve">provádět </w:t>
      </w:r>
      <w:r w:rsidR="00350081" w:rsidRPr="008B1755">
        <w:rPr>
          <w:lang w:val="cs-CZ"/>
        </w:rPr>
        <w:t>řízení provozu</w:t>
      </w:r>
      <w:r w:rsidR="00E00D12" w:rsidRPr="008B1755">
        <w:rPr>
          <w:lang w:val="cs-CZ"/>
        </w:rPr>
        <w:t xml:space="preserve"> </w:t>
      </w:r>
      <w:r w:rsidRPr="008B1755">
        <w:rPr>
          <w:lang w:val="cs-CZ"/>
        </w:rPr>
        <w:t xml:space="preserve">nad rámec limitů </w:t>
      </w:r>
      <w:r w:rsidR="002E5214" w:rsidRPr="008B1755">
        <w:rPr>
          <w:lang w:val="cs-CZ"/>
        </w:rPr>
        <w:t>článku</w:t>
      </w:r>
      <w:r w:rsidR="00DD272F" w:rsidRPr="008B1755">
        <w:rPr>
          <w:lang w:val="cs-CZ"/>
        </w:rPr>
        <w:t xml:space="preserve"> 3 </w:t>
      </w:r>
      <w:r w:rsidR="00585BD7" w:rsidRPr="008B1755">
        <w:rPr>
          <w:lang w:val="cs-CZ"/>
        </w:rPr>
        <w:t>odst. 3</w:t>
      </w:r>
      <w:r w:rsidRPr="008B1755">
        <w:rPr>
          <w:lang w:val="cs-CZ"/>
        </w:rPr>
        <w:t>,</w:t>
      </w:r>
      <w:r w:rsidR="00E00D12" w:rsidRPr="008B1755">
        <w:rPr>
          <w:lang w:val="cs-CZ"/>
        </w:rPr>
        <w:t xml:space="preserve"> </w:t>
      </w:r>
      <w:r w:rsidR="001D70F8" w:rsidRPr="008B1755">
        <w:rPr>
          <w:lang w:val="cs-CZ"/>
        </w:rPr>
        <w:t>druhý pododstavec</w:t>
      </w:r>
      <w:r w:rsidRPr="008B1755">
        <w:rPr>
          <w:lang w:val="cs-CZ"/>
        </w:rPr>
        <w:t>, za účelem zvládnutí některých typů přetížení sítě</w:t>
      </w:r>
      <w:r w:rsidR="00E00D12" w:rsidRPr="008B1755">
        <w:rPr>
          <w:lang w:val="cs-CZ"/>
        </w:rPr>
        <w:t xml:space="preserve">, </w:t>
      </w:r>
      <w:r w:rsidRPr="008B1755">
        <w:rPr>
          <w:lang w:val="cs-CZ"/>
        </w:rPr>
        <w:t xml:space="preserve">zejména za účelem zabránění hrozícímu přetížení sítě </w:t>
      </w:r>
      <w:r w:rsidR="00E00D12" w:rsidRPr="008B1755">
        <w:rPr>
          <w:lang w:val="cs-CZ"/>
        </w:rPr>
        <w:t>(</w:t>
      </w:r>
      <w:r w:rsidRPr="008B1755">
        <w:rPr>
          <w:lang w:val="cs-CZ"/>
        </w:rPr>
        <w:t>kterému lze zabránit</w:t>
      </w:r>
      <w:r w:rsidR="00E00D12" w:rsidRPr="008B1755">
        <w:rPr>
          <w:lang w:val="cs-CZ"/>
        </w:rPr>
        <w:t>) a</w:t>
      </w:r>
      <w:r w:rsidRPr="008B1755">
        <w:rPr>
          <w:lang w:val="cs-CZ"/>
        </w:rPr>
        <w:t xml:space="preserve"> výjimečnému nebo dočasnému přetížení sítě </w:t>
      </w:r>
      <w:r w:rsidR="00E00D12" w:rsidRPr="008B1755">
        <w:rPr>
          <w:lang w:val="cs-CZ"/>
        </w:rPr>
        <w:t>(</w:t>
      </w:r>
      <w:r w:rsidRPr="008B1755">
        <w:rPr>
          <w:lang w:val="cs-CZ"/>
        </w:rPr>
        <w:t>jehož účinky lze zmírnit</w:t>
      </w:r>
      <w:r w:rsidR="00E00D12" w:rsidRPr="008B1755">
        <w:rPr>
          <w:lang w:val="cs-CZ"/>
        </w:rPr>
        <w:t>).</w:t>
      </w:r>
      <w:r w:rsidR="00946CEA" w:rsidRPr="008B1755">
        <w:rPr>
          <w:lang w:val="cs-CZ"/>
        </w:rPr>
        <w:t xml:space="preserve"> </w:t>
      </w:r>
      <w:r w:rsidRPr="008B1755">
        <w:rPr>
          <w:lang w:val="cs-CZ"/>
        </w:rPr>
        <w:t>B</w:t>
      </w:r>
      <w:r w:rsidR="00946CEA" w:rsidRPr="008B1755">
        <w:rPr>
          <w:lang w:val="cs-CZ"/>
        </w:rPr>
        <w:t xml:space="preserve">od </w:t>
      </w:r>
      <w:r w:rsidR="00E00D12" w:rsidRPr="008B1755">
        <w:rPr>
          <w:lang w:val="cs-CZ"/>
        </w:rPr>
        <w:t xml:space="preserve">15 </w:t>
      </w:r>
      <w:r w:rsidRPr="008B1755">
        <w:rPr>
          <w:lang w:val="cs-CZ"/>
        </w:rPr>
        <w:t>úvodní části Nařízení poskytuje podrobné informace ohledně zjišťování situací, kdy dochází k výjimečnému nebo dočasnému přetížení</w:t>
      </w:r>
      <w:r w:rsidR="00E00D12" w:rsidRPr="008B1755">
        <w:rPr>
          <w:lang w:val="cs-CZ"/>
        </w:rPr>
        <w:t xml:space="preserve">. </w:t>
      </w:r>
      <w:r w:rsidRPr="008B1755">
        <w:rPr>
          <w:lang w:val="cs-CZ"/>
        </w:rPr>
        <w:t xml:space="preserve">Hrozící přetížení sítě je definováno jako </w:t>
      </w:r>
      <w:r w:rsidRPr="008B1755">
        <w:rPr>
          <w:rStyle w:val="BERECChar"/>
          <w:lang w:val="cs-CZ"/>
        </w:rPr>
        <w:t>situace, kdy má k přetížení právě dojít</w:t>
      </w:r>
      <w:r w:rsidR="00AD2F53" w:rsidRPr="008B1755">
        <w:rPr>
          <w:lang w:val="cs-CZ"/>
        </w:rPr>
        <w:t xml:space="preserve">, </w:t>
      </w:r>
      <w:r w:rsidR="00007189" w:rsidRPr="008B1755">
        <w:rPr>
          <w:lang w:val="cs-CZ"/>
        </w:rPr>
        <w:t>tj.</w:t>
      </w:r>
      <w:r w:rsidR="00AD2F53" w:rsidRPr="008B1755">
        <w:rPr>
          <w:lang w:val="cs-CZ"/>
        </w:rPr>
        <w:t xml:space="preserve"> </w:t>
      </w:r>
      <w:r w:rsidRPr="008B1755">
        <w:rPr>
          <w:lang w:val="cs-CZ"/>
        </w:rPr>
        <w:t>bezprostředně hrozí</w:t>
      </w:r>
      <w:r w:rsidR="00E00D12" w:rsidRPr="008B1755">
        <w:rPr>
          <w:lang w:val="cs-CZ"/>
        </w:rPr>
        <w:t xml:space="preserve">. </w:t>
      </w:r>
    </w:p>
    <w:p w:rsidR="00E00D12" w:rsidRPr="008B1755" w:rsidRDefault="00202636" w:rsidP="0038751B">
      <w:pPr>
        <w:numPr>
          <w:ilvl w:val="0"/>
          <w:numId w:val="2"/>
        </w:numPr>
        <w:spacing w:after="120"/>
        <w:rPr>
          <w:lang w:val="cs-CZ"/>
        </w:rPr>
      </w:pPr>
      <w:r w:rsidRPr="008B1755">
        <w:rPr>
          <w:lang w:val="cs-CZ"/>
        </w:rPr>
        <w:t xml:space="preserve">Bod 15 úvodní části Nařízení se věnuje výjimečnému nebo dočasnému přetížení sítě. Proto opatření na zabránění hrozícímu přetížení sítě platí pouze </w:t>
      </w:r>
      <w:r w:rsidR="00AF4CD5" w:rsidRPr="008B1755">
        <w:rPr>
          <w:lang w:val="cs-CZ"/>
        </w:rPr>
        <w:t>pro případy tohoto přetížení</w:t>
      </w:r>
      <w:r w:rsidR="00E00D12" w:rsidRPr="008B1755">
        <w:rPr>
          <w:lang w:val="cs-CZ"/>
        </w:rPr>
        <w:t>.</w:t>
      </w:r>
    </w:p>
    <w:p w:rsidR="008A7801" w:rsidRPr="008B1755" w:rsidRDefault="00AF4CD5" w:rsidP="0038751B">
      <w:pPr>
        <w:numPr>
          <w:ilvl w:val="0"/>
          <w:numId w:val="2"/>
        </w:numPr>
        <w:spacing w:after="120"/>
        <w:rPr>
          <w:lang w:val="cs-CZ"/>
        </w:rPr>
      </w:pPr>
      <w:r w:rsidRPr="008B1755">
        <w:rPr>
          <w:lang w:val="cs-CZ"/>
        </w:rPr>
        <w:t xml:space="preserve">Při posuzování výjimek opatření řízení provozu podle bodu </w:t>
      </w:r>
      <w:r w:rsidR="008A7801" w:rsidRPr="008B1755">
        <w:rPr>
          <w:lang w:val="cs-CZ"/>
        </w:rPr>
        <w:t>c)</w:t>
      </w:r>
      <w:r w:rsidRPr="008B1755">
        <w:rPr>
          <w:lang w:val="cs-CZ"/>
        </w:rPr>
        <w:t xml:space="preserve"> by</w:t>
      </w:r>
      <w:r w:rsidR="008A7801" w:rsidRPr="008B1755">
        <w:rPr>
          <w:lang w:val="cs-CZ"/>
        </w:rPr>
        <w:t xml:space="preserve"> </w:t>
      </w:r>
      <w:r w:rsidR="00926BAE" w:rsidRPr="008B1755">
        <w:rPr>
          <w:lang w:val="cs-CZ"/>
        </w:rPr>
        <w:t>vnitrostátní regulační orgány</w:t>
      </w:r>
      <w:r w:rsidR="008A7801" w:rsidRPr="008B1755">
        <w:rPr>
          <w:lang w:val="cs-CZ"/>
        </w:rPr>
        <w:t xml:space="preserve"> </w:t>
      </w:r>
      <w:r w:rsidRPr="008B1755">
        <w:rPr>
          <w:lang w:val="cs-CZ"/>
        </w:rPr>
        <w:t xml:space="preserve">měly vzít v úvahu obecná kritéria </w:t>
      </w:r>
      <w:r w:rsidR="00C94485">
        <w:rPr>
          <w:lang w:val="cs-CZ"/>
        </w:rPr>
        <w:t>přísného</w:t>
      </w:r>
      <w:r w:rsidR="00C94485" w:rsidRPr="008B1755">
        <w:rPr>
          <w:lang w:val="cs-CZ"/>
        </w:rPr>
        <w:t xml:space="preserve"> </w:t>
      </w:r>
      <w:r w:rsidRPr="008B1755">
        <w:rPr>
          <w:lang w:val="cs-CZ"/>
        </w:rPr>
        <w:t xml:space="preserve">výkladu a </w:t>
      </w:r>
      <w:r w:rsidR="00C94485">
        <w:rPr>
          <w:lang w:val="cs-CZ"/>
        </w:rPr>
        <w:t>přiměřenosti</w:t>
      </w:r>
      <w:r w:rsidR="00C94485" w:rsidRPr="008B1755">
        <w:rPr>
          <w:lang w:val="cs-CZ"/>
        </w:rPr>
        <w:t xml:space="preserve"> </w:t>
      </w:r>
      <w:r w:rsidRPr="008B1755">
        <w:rPr>
          <w:lang w:val="cs-CZ"/>
        </w:rPr>
        <w:t xml:space="preserve">uvedená </w:t>
      </w:r>
      <w:r w:rsidR="00F064F8" w:rsidRPr="008B1755">
        <w:rPr>
          <w:lang w:val="cs-CZ"/>
        </w:rPr>
        <w:t>v článku</w:t>
      </w:r>
      <w:r w:rsidR="008A7801" w:rsidRPr="008B1755">
        <w:rPr>
          <w:lang w:val="cs-CZ"/>
        </w:rPr>
        <w:t xml:space="preserve"> </w:t>
      </w:r>
      <w:r w:rsidR="00585BD7" w:rsidRPr="008B1755">
        <w:rPr>
          <w:lang w:val="cs-CZ"/>
        </w:rPr>
        <w:t>3 odst. 3</w:t>
      </w:r>
      <w:r w:rsidRPr="008B1755">
        <w:rPr>
          <w:lang w:val="cs-CZ"/>
        </w:rPr>
        <w:t>,</w:t>
      </w:r>
      <w:r w:rsidR="008A7801" w:rsidRPr="008B1755">
        <w:rPr>
          <w:lang w:val="cs-CZ"/>
        </w:rPr>
        <w:t xml:space="preserve"> </w:t>
      </w:r>
      <w:r w:rsidR="001D70F8" w:rsidRPr="008B1755">
        <w:rPr>
          <w:lang w:val="cs-CZ"/>
        </w:rPr>
        <w:t>třetí pododstavec</w:t>
      </w:r>
      <w:r w:rsidR="008A7801" w:rsidRPr="008B1755">
        <w:rPr>
          <w:lang w:val="cs-CZ"/>
        </w:rPr>
        <w:t xml:space="preserve">. </w:t>
      </w:r>
      <w:r w:rsidRPr="008B1755">
        <w:rPr>
          <w:lang w:val="cs-CZ"/>
        </w:rPr>
        <w:t xml:space="preserve">Navíc by </w:t>
      </w:r>
      <w:r w:rsidR="00926BAE" w:rsidRPr="008B1755">
        <w:rPr>
          <w:lang w:val="cs-CZ"/>
        </w:rPr>
        <w:t>vnitrostátní regulační orgány</w:t>
      </w:r>
      <w:r w:rsidR="008B1063" w:rsidRPr="008B1755">
        <w:rPr>
          <w:lang w:val="cs-CZ"/>
        </w:rPr>
        <w:t xml:space="preserve"> </w:t>
      </w:r>
      <w:r w:rsidRPr="008B1755">
        <w:rPr>
          <w:lang w:val="cs-CZ"/>
        </w:rPr>
        <w:t xml:space="preserve">měly ověřit, zda není řízení přetížení </w:t>
      </w:r>
      <w:r w:rsidR="006B2E8D">
        <w:rPr>
          <w:lang w:val="cs-CZ"/>
        </w:rPr>
        <w:t>vy</w:t>
      </w:r>
      <w:r w:rsidRPr="008B1755">
        <w:rPr>
          <w:lang w:val="cs-CZ"/>
        </w:rPr>
        <w:t xml:space="preserve">užíváno </w:t>
      </w:r>
      <w:r w:rsidR="006B2E8D">
        <w:rPr>
          <w:lang w:val="cs-CZ"/>
        </w:rPr>
        <w:t xml:space="preserve">za účelem </w:t>
      </w:r>
      <w:r w:rsidRPr="008B1755">
        <w:rPr>
          <w:lang w:val="cs-CZ"/>
        </w:rPr>
        <w:t>obcházení zákazu blokování</w:t>
      </w:r>
      <w:r w:rsidR="008B1063" w:rsidRPr="008B1755">
        <w:rPr>
          <w:lang w:val="cs-CZ"/>
        </w:rPr>
        <w:t xml:space="preserve">, </w:t>
      </w:r>
      <w:r w:rsidRPr="008B1755">
        <w:rPr>
          <w:lang w:val="cs-CZ"/>
        </w:rPr>
        <w:t xml:space="preserve">zpomalování a diskriminace </w:t>
      </w:r>
      <w:r w:rsidR="0090177D" w:rsidRPr="008B1755">
        <w:rPr>
          <w:lang w:val="cs-CZ"/>
        </w:rPr>
        <w:t>(</w:t>
      </w:r>
      <w:r w:rsidRPr="008B1755">
        <w:rPr>
          <w:lang w:val="cs-CZ"/>
        </w:rPr>
        <w:t>viz bod</w:t>
      </w:r>
      <w:r w:rsidR="00202636" w:rsidRPr="008B1755">
        <w:rPr>
          <w:lang w:val="cs-CZ"/>
        </w:rPr>
        <w:t xml:space="preserve"> 15 úvodní části Nařízení</w:t>
      </w:r>
      <w:r w:rsidR="009D3A42" w:rsidRPr="008B1755">
        <w:rPr>
          <w:lang w:val="cs-CZ"/>
        </w:rPr>
        <w:t>)</w:t>
      </w:r>
      <w:r w:rsidR="008B1063" w:rsidRPr="008B1755">
        <w:rPr>
          <w:lang w:val="cs-CZ"/>
        </w:rPr>
        <w:t>.</w:t>
      </w:r>
    </w:p>
    <w:p w:rsidR="007D6661" w:rsidRPr="008B1755" w:rsidRDefault="006B2E8D" w:rsidP="0038751B">
      <w:pPr>
        <w:numPr>
          <w:ilvl w:val="0"/>
          <w:numId w:val="2"/>
        </w:numPr>
        <w:spacing w:after="120"/>
        <w:rPr>
          <w:lang w:val="cs-CZ"/>
        </w:rPr>
      </w:pPr>
      <w:r>
        <w:rPr>
          <w:lang w:val="cs-CZ"/>
        </w:rPr>
        <w:t xml:space="preserve">Vzhledem k </w:t>
      </w:r>
      <w:r w:rsidR="00AF4CD5" w:rsidRPr="008B1755">
        <w:rPr>
          <w:lang w:val="cs-CZ"/>
        </w:rPr>
        <w:t xml:space="preserve">požadavku, aby výjimečné </w:t>
      </w:r>
      <w:r w:rsidR="00350081" w:rsidRPr="008B1755">
        <w:rPr>
          <w:lang w:val="cs-CZ"/>
        </w:rPr>
        <w:t>řízení provozu</w:t>
      </w:r>
      <w:r w:rsidR="007D6661" w:rsidRPr="008B1755">
        <w:rPr>
          <w:lang w:val="cs-CZ"/>
        </w:rPr>
        <w:t xml:space="preserve"> </w:t>
      </w:r>
      <w:r w:rsidR="00AF4CD5" w:rsidRPr="008B1755">
        <w:rPr>
          <w:lang w:val="cs-CZ"/>
        </w:rPr>
        <w:t>bylo uplatňováno jen v případech, kdy je to nezbytné, a jen po nezbytně dlouhou dobu</w:t>
      </w:r>
      <w:r w:rsidR="007D6661" w:rsidRPr="008B1755">
        <w:rPr>
          <w:lang w:val="cs-CZ"/>
        </w:rPr>
        <w:t xml:space="preserve">, </w:t>
      </w:r>
      <w:r w:rsidR="00AF4CD5" w:rsidRPr="008B1755">
        <w:rPr>
          <w:lang w:val="cs-CZ"/>
        </w:rPr>
        <w:t xml:space="preserve">by </w:t>
      </w:r>
      <w:r w:rsidR="00926BAE" w:rsidRPr="008B1755">
        <w:rPr>
          <w:lang w:val="cs-CZ"/>
        </w:rPr>
        <w:t>vnitrostátní regulační orgány</w:t>
      </w:r>
      <w:r w:rsidR="007D6661" w:rsidRPr="008B1755">
        <w:rPr>
          <w:lang w:val="cs-CZ"/>
        </w:rPr>
        <w:t xml:space="preserve"> </w:t>
      </w:r>
      <w:r w:rsidR="00AF4CD5" w:rsidRPr="008B1755">
        <w:rPr>
          <w:lang w:val="cs-CZ"/>
        </w:rPr>
        <w:t xml:space="preserve">měly přihlédnout k tomu, že v případech, kdy </w:t>
      </w:r>
      <w:r>
        <w:rPr>
          <w:lang w:val="cs-CZ"/>
        </w:rPr>
        <w:t>dochází k</w:t>
      </w:r>
      <w:r w:rsidR="00511F74">
        <w:rPr>
          <w:lang w:val="cs-CZ"/>
        </w:rPr>
        <w:t> </w:t>
      </w:r>
      <w:r w:rsidR="00AF4CD5" w:rsidRPr="005A258A">
        <w:rPr>
          <w:lang w:val="cs-CZ"/>
        </w:rPr>
        <w:t>ř</w:t>
      </w:r>
      <w:r w:rsidR="00511F74" w:rsidRPr="005A258A">
        <w:rPr>
          <w:lang w:val="cs-CZ"/>
        </w:rPr>
        <w:t xml:space="preserve">ešení </w:t>
      </w:r>
      <w:r w:rsidR="00AF4CD5" w:rsidRPr="005A258A">
        <w:rPr>
          <w:lang w:val="cs-CZ"/>
        </w:rPr>
        <w:t>přetížení neutráln</w:t>
      </w:r>
      <w:r w:rsidRPr="005A258A">
        <w:rPr>
          <w:lang w:val="cs-CZ"/>
        </w:rPr>
        <w:t>ě</w:t>
      </w:r>
      <w:r w:rsidR="00AF4CD5" w:rsidRPr="005A258A">
        <w:rPr>
          <w:lang w:val="cs-CZ"/>
        </w:rPr>
        <w:t xml:space="preserve"> vůči aplikacím </w:t>
      </w:r>
      <w:r w:rsidR="007D6661" w:rsidRPr="005A258A">
        <w:rPr>
          <w:lang w:val="cs-CZ"/>
        </w:rPr>
        <w:t>(</w:t>
      </w:r>
      <w:r w:rsidR="00007189" w:rsidRPr="005A258A">
        <w:rPr>
          <w:lang w:val="cs-CZ"/>
        </w:rPr>
        <w:t>tj.</w:t>
      </w:r>
      <w:r w:rsidR="007D6661" w:rsidRPr="005A258A">
        <w:rPr>
          <w:lang w:val="cs-CZ"/>
        </w:rPr>
        <w:t xml:space="preserve"> </w:t>
      </w:r>
      <w:r w:rsidR="00AF4CD5" w:rsidRPr="005A258A">
        <w:rPr>
          <w:lang w:val="cs-CZ"/>
        </w:rPr>
        <w:t>řízení přetížení, které necílí na konkrétní apli</w:t>
      </w:r>
      <w:r w:rsidR="00AF4CD5" w:rsidRPr="008B1755">
        <w:rPr>
          <w:lang w:val="cs-CZ"/>
        </w:rPr>
        <w:t>kace ani jejich kategorie</w:t>
      </w:r>
      <w:r w:rsidR="007D6661" w:rsidRPr="008B1755">
        <w:rPr>
          <w:lang w:val="cs-CZ"/>
        </w:rPr>
        <w:t xml:space="preserve">) </w:t>
      </w:r>
      <w:r w:rsidR="00AF4CD5" w:rsidRPr="008B1755">
        <w:rPr>
          <w:lang w:val="cs-CZ"/>
        </w:rPr>
        <w:t>nestačí</w:t>
      </w:r>
      <w:r w:rsidR="007D6661" w:rsidRPr="008B1755">
        <w:rPr>
          <w:lang w:val="cs-CZ"/>
        </w:rPr>
        <w:t xml:space="preserve">, </w:t>
      </w:r>
      <w:r w:rsidR="00AF4CD5" w:rsidRPr="008B1755">
        <w:rPr>
          <w:lang w:val="cs-CZ"/>
        </w:rPr>
        <w:t xml:space="preserve">lze přetížení řešit podle čl. </w:t>
      </w:r>
      <w:r w:rsidR="00DD272F" w:rsidRPr="008B1755">
        <w:rPr>
          <w:lang w:val="cs-CZ"/>
        </w:rPr>
        <w:t xml:space="preserve">3 </w:t>
      </w:r>
      <w:r w:rsidR="00585BD7" w:rsidRPr="008B1755">
        <w:rPr>
          <w:lang w:val="cs-CZ"/>
        </w:rPr>
        <w:t>odst. 3</w:t>
      </w:r>
      <w:r w:rsidR="009D3A42" w:rsidRPr="008B1755">
        <w:rPr>
          <w:lang w:val="cs-CZ"/>
        </w:rPr>
        <w:t xml:space="preserve"> </w:t>
      </w:r>
      <w:r w:rsidR="00AF4CD5" w:rsidRPr="008B1755">
        <w:rPr>
          <w:lang w:val="cs-CZ"/>
        </w:rPr>
        <w:t xml:space="preserve">písm. </w:t>
      </w:r>
      <w:r w:rsidR="007D6661" w:rsidRPr="008B1755">
        <w:rPr>
          <w:lang w:val="cs-CZ"/>
        </w:rPr>
        <w:t xml:space="preserve">c). </w:t>
      </w:r>
      <w:r w:rsidR="00AF4CD5" w:rsidRPr="008B1755">
        <w:rPr>
          <w:lang w:val="cs-CZ"/>
        </w:rPr>
        <w:t>Navíc v těchto případech musí být se stejnými kategoriemi provozu nakládáno stejně</w:t>
      </w:r>
      <w:r w:rsidR="007D6661" w:rsidRPr="008B1755">
        <w:rPr>
          <w:lang w:val="cs-CZ"/>
        </w:rPr>
        <w:t xml:space="preserve">. </w:t>
      </w:r>
      <w:r w:rsidR="00AF4CD5" w:rsidRPr="008B1755">
        <w:rPr>
          <w:lang w:val="cs-CZ"/>
        </w:rPr>
        <w:t xml:space="preserve">Jakékoli zpomalovací opatření by mělo být omezeno na </w:t>
      </w:r>
      <w:r>
        <w:rPr>
          <w:lang w:val="cs-CZ"/>
        </w:rPr>
        <w:t xml:space="preserve">tu </w:t>
      </w:r>
      <w:r w:rsidR="00AF4CD5" w:rsidRPr="008B1755">
        <w:rPr>
          <w:lang w:val="cs-CZ"/>
        </w:rPr>
        <w:t>část sítě, kde k přetížení dochází, je-li to proveditelné</w:t>
      </w:r>
      <w:r w:rsidR="007D6661" w:rsidRPr="008B1755">
        <w:rPr>
          <w:lang w:val="cs-CZ"/>
        </w:rPr>
        <w:t xml:space="preserve">. </w:t>
      </w:r>
    </w:p>
    <w:p w:rsidR="00B35884" w:rsidRPr="008B1755" w:rsidRDefault="003D7133" w:rsidP="0038751B">
      <w:pPr>
        <w:numPr>
          <w:ilvl w:val="0"/>
          <w:numId w:val="2"/>
        </w:numPr>
        <w:spacing w:after="120"/>
        <w:rPr>
          <w:lang w:val="cs-CZ"/>
        </w:rPr>
      </w:pPr>
      <w:r w:rsidRPr="008B1755">
        <w:rPr>
          <w:lang w:val="cs-CZ"/>
        </w:rPr>
        <w:t>Řízení přetížení lze provádět obecně</w:t>
      </w:r>
      <w:r w:rsidR="009D3A42" w:rsidRPr="008B1755">
        <w:rPr>
          <w:lang w:val="cs-CZ"/>
        </w:rPr>
        <w:t>,</w:t>
      </w:r>
      <w:r w:rsidR="00B35884" w:rsidRPr="008B1755">
        <w:rPr>
          <w:lang w:val="cs-CZ"/>
        </w:rPr>
        <w:t xml:space="preserve"> </w:t>
      </w:r>
      <w:r w:rsidRPr="008B1755">
        <w:rPr>
          <w:lang w:val="cs-CZ"/>
        </w:rPr>
        <w:t>nezávisle na aplikacích</w:t>
      </w:r>
      <w:r w:rsidR="009D3A42" w:rsidRPr="008B1755">
        <w:rPr>
          <w:lang w:val="cs-CZ"/>
        </w:rPr>
        <w:t>.</w:t>
      </w:r>
      <w:r w:rsidR="008A7801" w:rsidRPr="008B1755">
        <w:rPr>
          <w:rStyle w:val="Znakapoznpodarou"/>
          <w:lang w:val="cs-CZ"/>
        </w:rPr>
        <w:footnoteReference w:id="24"/>
      </w:r>
      <w:r w:rsidR="00B35884" w:rsidRPr="008B1755">
        <w:rPr>
          <w:lang w:val="cs-CZ"/>
        </w:rPr>
        <w:t xml:space="preserve"> </w:t>
      </w:r>
      <w:r w:rsidRPr="008B1755">
        <w:rPr>
          <w:lang w:val="cs-CZ"/>
        </w:rPr>
        <w:t>V</w:t>
      </w:r>
      <w:r w:rsidR="00926BAE" w:rsidRPr="008B1755">
        <w:rPr>
          <w:lang w:val="cs-CZ"/>
        </w:rPr>
        <w:t>nitrostátní regulační orgány</w:t>
      </w:r>
      <w:r w:rsidR="00B35884" w:rsidRPr="008B1755">
        <w:rPr>
          <w:lang w:val="cs-CZ"/>
        </w:rPr>
        <w:t xml:space="preserve"> </w:t>
      </w:r>
      <w:r w:rsidRPr="008B1755">
        <w:rPr>
          <w:lang w:val="cs-CZ"/>
        </w:rPr>
        <w:t xml:space="preserve">by měly přihlédnout k tomu, zda by </w:t>
      </w:r>
      <w:r w:rsidR="0074003D" w:rsidRPr="008B1755">
        <w:rPr>
          <w:lang w:val="cs-CZ"/>
        </w:rPr>
        <w:t xml:space="preserve">byly </w:t>
      </w:r>
      <w:r w:rsidRPr="008B1755">
        <w:rPr>
          <w:lang w:val="cs-CZ"/>
        </w:rPr>
        <w:t>tyto typy řízení přetížení dostatečné a stejně účinné</w:t>
      </w:r>
      <w:r w:rsidR="00792C4F" w:rsidRPr="008B1755">
        <w:rPr>
          <w:lang w:val="cs-CZ"/>
        </w:rPr>
        <w:t xml:space="preserve"> na zvládnutí přetížení</w:t>
      </w:r>
      <w:r w:rsidRPr="008B1755">
        <w:rPr>
          <w:lang w:val="cs-CZ"/>
        </w:rPr>
        <w:t>, a to ve světle principu proporcionality</w:t>
      </w:r>
      <w:r w:rsidR="00B35884" w:rsidRPr="008B1755">
        <w:rPr>
          <w:lang w:val="cs-CZ"/>
        </w:rPr>
        <w:t xml:space="preserve">. </w:t>
      </w:r>
      <w:r w:rsidR="00792C4F" w:rsidRPr="008B1755">
        <w:rPr>
          <w:lang w:val="cs-CZ"/>
        </w:rPr>
        <w:t>Ze stejného důvodu by vnitrostátní regulační orgány měly přihlédnout k tomu, zda</w:t>
      </w:r>
      <w:r w:rsidR="0097741A" w:rsidRPr="008B1755">
        <w:rPr>
          <w:lang w:val="cs-CZ"/>
        </w:rPr>
        <w:t xml:space="preserve"> </w:t>
      </w:r>
      <w:r w:rsidR="00792C4F" w:rsidRPr="008B1755">
        <w:rPr>
          <w:lang w:val="cs-CZ"/>
        </w:rPr>
        <w:t xml:space="preserve">by </w:t>
      </w:r>
      <w:r w:rsidR="00792C4F" w:rsidRPr="008B1755">
        <w:rPr>
          <w:i/>
          <w:lang w:val="cs-CZ"/>
        </w:rPr>
        <w:t>zpomalování</w:t>
      </w:r>
      <w:r w:rsidR="0097741A" w:rsidRPr="008B1755">
        <w:rPr>
          <w:lang w:val="cs-CZ"/>
        </w:rPr>
        <w:t xml:space="preserve"> </w:t>
      </w:r>
      <w:r w:rsidR="00792C4F" w:rsidRPr="008B1755">
        <w:rPr>
          <w:lang w:val="cs-CZ"/>
        </w:rPr>
        <w:t>provozu</w:t>
      </w:r>
      <w:r w:rsidR="008A3379" w:rsidRPr="008B1755">
        <w:rPr>
          <w:lang w:val="cs-CZ"/>
        </w:rPr>
        <w:t xml:space="preserve">, </w:t>
      </w:r>
      <w:r w:rsidR="00792C4F" w:rsidRPr="008B1755">
        <w:rPr>
          <w:lang w:val="cs-CZ"/>
        </w:rPr>
        <w:t xml:space="preserve">na rozdíl od </w:t>
      </w:r>
      <w:r w:rsidR="00792C4F" w:rsidRPr="008B1755">
        <w:rPr>
          <w:i/>
          <w:lang w:val="cs-CZ"/>
        </w:rPr>
        <w:t xml:space="preserve">blokování </w:t>
      </w:r>
      <w:r w:rsidR="00792C4F" w:rsidRPr="008B1755">
        <w:rPr>
          <w:lang w:val="cs-CZ"/>
        </w:rPr>
        <w:t>provozu</w:t>
      </w:r>
      <w:r w:rsidR="008A3379" w:rsidRPr="008B1755">
        <w:rPr>
          <w:lang w:val="cs-CZ"/>
        </w:rPr>
        <w:t xml:space="preserve">, </w:t>
      </w:r>
      <w:r w:rsidR="006B2E8D">
        <w:rPr>
          <w:lang w:val="cs-CZ"/>
        </w:rPr>
        <w:t>ne</w:t>
      </w:r>
      <w:r w:rsidR="00792C4F" w:rsidRPr="008B1755">
        <w:rPr>
          <w:lang w:val="cs-CZ"/>
        </w:rPr>
        <w:t xml:space="preserve">bylo dostatečné a </w:t>
      </w:r>
      <w:r w:rsidR="006B2E8D">
        <w:rPr>
          <w:lang w:val="cs-CZ"/>
        </w:rPr>
        <w:t xml:space="preserve">stejně </w:t>
      </w:r>
      <w:r w:rsidR="00792C4F" w:rsidRPr="008B1755">
        <w:rPr>
          <w:lang w:val="cs-CZ"/>
        </w:rPr>
        <w:t>účinné na zvládnutí přetížení</w:t>
      </w:r>
      <w:r w:rsidR="008A3379" w:rsidRPr="008B1755">
        <w:rPr>
          <w:lang w:val="cs-CZ"/>
        </w:rPr>
        <w:t>.</w:t>
      </w:r>
    </w:p>
    <w:p w:rsidR="009D3A42" w:rsidRPr="008B1755" w:rsidRDefault="00792C4F" w:rsidP="0038751B">
      <w:pPr>
        <w:numPr>
          <w:ilvl w:val="0"/>
          <w:numId w:val="2"/>
        </w:numPr>
        <w:spacing w:after="120"/>
        <w:rPr>
          <w:lang w:val="cs-CZ"/>
        </w:rPr>
      </w:pPr>
      <w:bookmarkStart w:id="40" w:name="_Ref449367488"/>
      <w:r w:rsidRPr="008B1755">
        <w:rPr>
          <w:lang w:val="cs-CZ"/>
        </w:rPr>
        <w:t xml:space="preserve">V rámci kontroly řízení provozu </w:t>
      </w:r>
      <w:r w:rsidR="00511F74">
        <w:rPr>
          <w:lang w:val="cs-CZ"/>
        </w:rPr>
        <w:t xml:space="preserve">při </w:t>
      </w:r>
      <w:r w:rsidRPr="008B1755">
        <w:rPr>
          <w:lang w:val="cs-CZ"/>
        </w:rPr>
        <w:t>přetížení</w:t>
      </w:r>
      <w:r w:rsidR="00B748EF" w:rsidRPr="008B1755">
        <w:rPr>
          <w:lang w:val="cs-CZ"/>
        </w:rPr>
        <w:t xml:space="preserve"> </w:t>
      </w:r>
      <w:r w:rsidRPr="008B1755">
        <w:rPr>
          <w:lang w:val="cs-CZ"/>
        </w:rPr>
        <w:t>mohou</w:t>
      </w:r>
      <w:r w:rsidR="00B748EF" w:rsidRPr="008B1755">
        <w:rPr>
          <w:lang w:val="cs-CZ"/>
        </w:rPr>
        <w:t xml:space="preserve"> </w:t>
      </w:r>
      <w:r w:rsidR="00926BAE" w:rsidRPr="008B1755">
        <w:rPr>
          <w:lang w:val="cs-CZ"/>
        </w:rPr>
        <w:t>vnitrostátní regulační orgány</w:t>
      </w:r>
      <w:r w:rsidR="005269E3" w:rsidRPr="008B1755">
        <w:rPr>
          <w:lang w:val="cs-CZ"/>
        </w:rPr>
        <w:t xml:space="preserve"> </w:t>
      </w:r>
      <w:r w:rsidRPr="008B1755">
        <w:rPr>
          <w:lang w:val="cs-CZ"/>
        </w:rPr>
        <w:t xml:space="preserve">sledovat, zda </w:t>
      </w:r>
      <w:r w:rsidR="007D7F64" w:rsidRPr="008B1755">
        <w:rPr>
          <w:lang w:val="cs-CZ"/>
        </w:rPr>
        <w:t>poskytovatelé internetových služeb</w:t>
      </w:r>
      <w:r w:rsidR="005269E3" w:rsidRPr="008B1755">
        <w:rPr>
          <w:lang w:val="cs-CZ"/>
        </w:rPr>
        <w:t xml:space="preserve"> </w:t>
      </w:r>
      <w:r w:rsidRPr="008B1755">
        <w:rPr>
          <w:lang w:val="cs-CZ"/>
        </w:rPr>
        <w:t>řádně dimenzují svou síť</w:t>
      </w:r>
      <w:r w:rsidR="0017230D" w:rsidRPr="008B1755">
        <w:rPr>
          <w:lang w:val="cs-CZ"/>
        </w:rPr>
        <w:t xml:space="preserve">, </w:t>
      </w:r>
      <w:r w:rsidRPr="008B1755">
        <w:rPr>
          <w:lang w:val="cs-CZ"/>
        </w:rPr>
        <w:t>a měly by zohlednit následující</w:t>
      </w:r>
      <w:r w:rsidR="009D3A42" w:rsidRPr="008B1755">
        <w:rPr>
          <w:lang w:val="cs-CZ"/>
        </w:rPr>
        <w:t xml:space="preserve">: </w:t>
      </w:r>
    </w:p>
    <w:p w:rsidR="009D3A42" w:rsidRPr="008B1755" w:rsidRDefault="00792C4F" w:rsidP="009D3A42">
      <w:pPr>
        <w:pStyle w:val="Odstavecseseznamem"/>
        <w:numPr>
          <w:ilvl w:val="0"/>
          <w:numId w:val="18"/>
        </w:numPr>
        <w:spacing w:after="120"/>
        <w:ind w:left="1077" w:hanging="357"/>
        <w:rPr>
          <w:lang w:val="cs-CZ"/>
        </w:rPr>
      </w:pPr>
      <w:r w:rsidRPr="008B1755">
        <w:rPr>
          <w:lang w:val="cs-CZ"/>
        </w:rPr>
        <w:t>pokud v síti poskytovatele internetových služeb dochází k opakovanému a déletrvajícímu přetížení sítě</w:t>
      </w:r>
      <w:r w:rsidR="006C5B3A" w:rsidRPr="008B1755">
        <w:rPr>
          <w:lang w:val="cs-CZ"/>
        </w:rPr>
        <w:t xml:space="preserve">, poskytovatel internetových služeb nemůže uplatnit výjimku pro </w:t>
      </w:r>
      <w:r w:rsidR="00511F74">
        <w:rPr>
          <w:lang w:val="cs-CZ"/>
        </w:rPr>
        <w:t xml:space="preserve">zavedení </w:t>
      </w:r>
      <w:r w:rsidR="006C5B3A" w:rsidRPr="008B1755">
        <w:rPr>
          <w:lang w:val="cs-CZ"/>
        </w:rPr>
        <w:t xml:space="preserve">opatření řízení provozu na </w:t>
      </w:r>
      <w:r w:rsidR="006C5B3A" w:rsidRPr="005A258A">
        <w:rPr>
          <w:lang w:val="cs-CZ"/>
        </w:rPr>
        <w:t>řešení přetížení</w:t>
      </w:r>
      <w:r w:rsidR="0017230D" w:rsidRPr="008B1755">
        <w:rPr>
          <w:lang w:val="cs-CZ"/>
        </w:rPr>
        <w:t xml:space="preserve"> (</w:t>
      </w:r>
      <w:r w:rsidR="00AF4CD5" w:rsidRPr="008B1755">
        <w:rPr>
          <w:lang w:val="cs-CZ"/>
        </w:rPr>
        <w:t>viz bod</w:t>
      </w:r>
      <w:r w:rsidR="00202636" w:rsidRPr="008B1755">
        <w:rPr>
          <w:lang w:val="cs-CZ"/>
        </w:rPr>
        <w:t xml:space="preserve"> 15 úvodní části Nařízení</w:t>
      </w:r>
      <w:r w:rsidR="009D3A42" w:rsidRPr="008B1755">
        <w:rPr>
          <w:lang w:val="cs-CZ"/>
        </w:rPr>
        <w:t xml:space="preserve">); </w:t>
      </w:r>
    </w:p>
    <w:p w:rsidR="005269E3" w:rsidRPr="008B1755" w:rsidRDefault="00792C4F" w:rsidP="009D3A42">
      <w:pPr>
        <w:pStyle w:val="Odstavecseseznamem"/>
        <w:numPr>
          <w:ilvl w:val="0"/>
          <w:numId w:val="18"/>
        </w:numPr>
        <w:spacing w:after="120"/>
        <w:ind w:left="1077" w:hanging="357"/>
        <w:rPr>
          <w:lang w:val="cs-CZ"/>
        </w:rPr>
      </w:pPr>
      <w:r w:rsidRPr="008B1755">
        <w:rPr>
          <w:lang w:val="cs-CZ"/>
        </w:rPr>
        <w:t>opatření řízení provozu na řešení přetížení</w:t>
      </w:r>
      <w:r w:rsidR="005269E3" w:rsidRPr="008B1755">
        <w:rPr>
          <w:lang w:val="cs-CZ"/>
        </w:rPr>
        <w:t xml:space="preserve"> </w:t>
      </w:r>
      <w:r w:rsidRPr="008B1755">
        <w:rPr>
          <w:lang w:val="cs-CZ"/>
        </w:rPr>
        <w:t>týkající se konkrétních aplikací by neměla být používána ani akceptována jako náhrada za strukturálnější řešení, jako např. rozšíření kapacity sítě</w:t>
      </w:r>
      <w:r w:rsidR="005269E3" w:rsidRPr="008B1755">
        <w:rPr>
          <w:lang w:val="cs-CZ"/>
        </w:rPr>
        <w:t>.</w:t>
      </w:r>
      <w:bookmarkEnd w:id="40"/>
    </w:p>
    <w:p w:rsidR="00B35884" w:rsidRPr="008B1755" w:rsidRDefault="003E7168" w:rsidP="001B38FB">
      <w:pPr>
        <w:keepNext/>
        <w:keepLines/>
        <w:spacing w:before="360" w:after="120"/>
        <w:outlineLvl w:val="1"/>
        <w:rPr>
          <w:rFonts w:eastAsia="SimSun" w:cs="Arial"/>
          <w:b/>
          <w:bCs/>
          <w:sz w:val="24"/>
          <w:szCs w:val="24"/>
          <w:lang w:val="cs-CZ"/>
        </w:rPr>
      </w:pPr>
      <w:bookmarkStart w:id="41" w:name="_Toc461400164"/>
      <w:r w:rsidRPr="008B1755">
        <w:rPr>
          <w:rFonts w:eastAsia="SimSun" w:cs="Arial"/>
          <w:b/>
          <w:bCs/>
          <w:sz w:val="24"/>
          <w:szCs w:val="24"/>
          <w:lang w:val="cs-CZ"/>
        </w:rPr>
        <w:t xml:space="preserve">Článek </w:t>
      </w:r>
      <w:r w:rsidR="006C5B3A" w:rsidRPr="008B1755">
        <w:rPr>
          <w:rFonts w:eastAsia="SimSun" w:cs="Arial"/>
          <w:b/>
          <w:bCs/>
          <w:sz w:val="24"/>
          <w:szCs w:val="24"/>
          <w:lang w:val="cs-CZ"/>
        </w:rPr>
        <w:t>3 odst. 4</w:t>
      </w:r>
      <w:bookmarkEnd w:id="41"/>
      <w:r w:rsidR="00B35884" w:rsidRPr="008B1755">
        <w:rPr>
          <w:rFonts w:eastAsia="SimSun" w:cs="Arial"/>
          <w:b/>
          <w:bCs/>
          <w:sz w:val="24"/>
          <w:szCs w:val="24"/>
          <w:lang w:val="cs-CZ"/>
        </w:rPr>
        <w:t xml:space="preserve"> </w:t>
      </w:r>
    </w:p>
    <w:p w:rsidR="00B35884" w:rsidRPr="008B1755" w:rsidRDefault="009B7C0D"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Veškerá opatření řízení provozu mohou vést ke zpracování osobních údajů pouze tehdy, pokud je takové zpracování nezbytné a přiměřené pro dosažení cílů uvedených v odstavci 3. Toto zpracování se provádí v souladu se směrnicí Evropského parlamentu a Rady 95/46/ES. Opatření řízení provozu musí být rovněž v souladu se směrnicí Evropského parlamentu a Rady 2002/58/ES</w:t>
      </w:r>
      <w:r w:rsidR="00B35884" w:rsidRPr="008B1755">
        <w:rPr>
          <w:rFonts w:ascii="Times New Roman" w:hAnsi="Times New Roman"/>
          <w:lang w:val="cs-CZ"/>
        </w:rPr>
        <w:t>.</w:t>
      </w:r>
    </w:p>
    <w:p w:rsidR="008C118C" w:rsidRPr="008B1755" w:rsidRDefault="006C5B3A" w:rsidP="008C118C">
      <w:pPr>
        <w:numPr>
          <w:ilvl w:val="0"/>
          <w:numId w:val="2"/>
        </w:numPr>
        <w:spacing w:after="120"/>
        <w:rPr>
          <w:lang w:val="cs-CZ"/>
        </w:rPr>
      </w:pPr>
      <w:r w:rsidRPr="008B1755">
        <w:rPr>
          <w:lang w:val="cs-CZ"/>
        </w:rPr>
        <w:t xml:space="preserve">V rámci </w:t>
      </w:r>
      <w:r w:rsidR="00350081" w:rsidRPr="008B1755">
        <w:rPr>
          <w:lang w:val="cs-CZ"/>
        </w:rPr>
        <w:t>řízení provozu</w:t>
      </w:r>
      <w:r w:rsidRPr="008B1755">
        <w:rPr>
          <w:lang w:val="cs-CZ"/>
        </w:rPr>
        <w:t xml:space="preserve"> mohou být zpracovávány </w:t>
      </w:r>
      <w:r w:rsidR="00466D10" w:rsidRPr="008B1755">
        <w:rPr>
          <w:lang w:val="cs-CZ"/>
        </w:rPr>
        <w:t>osobní</w:t>
      </w:r>
      <w:r w:rsidRPr="008B1755">
        <w:rPr>
          <w:lang w:val="cs-CZ"/>
        </w:rPr>
        <w:t xml:space="preserve"> údaje</w:t>
      </w:r>
      <w:r w:rsidR="00B35884" w:rsidRPr="008B1755">
        <w:rPr>
          <w:lang w:val="cs-CZ"/>
        </w:rPr>
        <w:t xml:space="preserve">. </w:t>
      </w:r>
      <w:r w:rsidRPr="008B1755">
        <w:rPr>
          <w:lang w:val="cs-CZ"/>
        </w:rPr>
        <w:t xml:space="preserve">Článek </w:t>
      </w:r>
      <w:r w:rsidR="00DD272F" w:rsidRPr="008B1755">
        <w:rPr>
          <w:lang w:val="cs-CZ"/>
        </w:rPr>
        <w:t xml:space="preserve">3 odst. </w:t>
      </w:r>
      <w:r w:rsidR="00B35884" w:rsidRPr="008B1755">
        <w:rPr>
          <w:lang w:val="cs-CZ"/>
        </w:rPr>
        <w:t>4</w:t>
      </w:r>
      <w:r w:rsidRPr="008B1755">
        <w:rPr>
          <w:lang w:val="cs-CZ"/>
        </w:rPr>
        <w:t xml:space="preserve"> stanoví, že tato opatření mohou </w:t>
      </w:r>
      <w:r w:rsidR="000B78BA" w:rsidRPr="008B1755">
        <w:rPr>
          <w:rStyle w:val="BERECChar"/>
          <w:lang w:val="cs-CZ"/>
        </w:rPr>
        <w:t>vést ke zpracování osobních údajů pouze tehdy, pokud jsou splněny určité požadavky</w:t>
      </w:r>
      <w:r w:rsidR="00DE7D0B" w:rsidRPr="008B1755">
        <w:rPr>
          <w:lang w:val="cs-CZ"/>
        </w:rPr>
        <w:t>, a</w:t>
      </w:r>
      <w:r w:rsidR="000B78BA" w:rsidRPr="008B1755">
        <w:rPr>
          <w:lang w:val="cs-CZ"/>
        </w:rPr>
        <w:t xml:space="preserve"> pouze za určitých podmínek</w:t>
      </w:r>
      <w:r w:rsidR="00B35884" w:rsidRPr="008B1755">
        <w:rPr>
          <w:lang w:val="cs-CZ"/>
        </w:rPr>
        <w:t>.</w:t>
      </w:r>
      <w:r w:rsidR="004904F8" w:rsidRPr="008B1755">
        <w:rPr>
          <w:lang w:val="cs-CZ"/>
        </w:rPr>
        <w:t xml:space="preserve"> </w:t>
      </w:r>
    </w:p>
    <w:p w:rsidR="00B35884" w:rsidRPr="008B1755" w:rsidRDefault="000B78BA" w:rsidP="008C118C">
      <w:pPr>
        <w:numPr>
          <w:ilvl w:val="0"/>
          <w:numId w:val="2"/>
        </w:numPr>
        <w:spacing w:after="120"/>
        <w:rPr>
          <w:lang w:val="cs-CZ"/>
        </w:rPr>
      </w:pPr>
      <w:r w:rsidRPr="008B1755">
        <w:rPr>
          <w:lang w:val="cs-CZ"/>
        </w:rPr>
        <w:t xml:space="preserve">Článek </w:t>
      </w:r>
      <w:r w:rsidR="00DD272F" w:rsidRPr="008B1755">
        <w:rPr>
          <w:lang w:val="cs-CZ"/>
        </w:rPr>
        <w:t xml:space="preserve">3 </w:t>
      </w:r>
      <w:r w:rsidR="00585BD7" w:rsidRPr="008B1755">
        <w:rPr>
          <w:lang w:val="cs-CZ"/>
        </w:rPr>
        <w:t>odst. 3</w:t>
      </w:r>
      <w:r w:rsidR="004904F8" w:rsidRPr="008B1755">
        <w:rPr>
          <w:lang w:val="cs-CZ"/>
        </w:rPr>
        <w:t xml:space="preserve"> </w:t>
      </w:r>
      <w:r w:rsidRPr="008B1755">
        <w:rPr>
          <w:lang w:val="cs-CZ"/>
        </w:rPr>
        <w:t xml:space="preserve">rozlišuje mezi přiměřeným </w:t>
      </w:r>
      <w:r w:rsidR="00466D10" w:rsidRPr="008B1755">
        <w:rPr>
          <w:lang w:val="cs-CZ"/>
        </w:rPr>
        <w:t>opatření</w:t>
      </w:r>
      <w:r w:rsidRPr="008B1755">
        <w:rPr>
          <w:lang w:val="cs-CZ"/>
        </w:rPr>
        <w:t>m</w:t>
      </w:r>
      <w:r w:rsidR="00466D10" w:rsidRPr="008B1755">
        <w:rPr>
          <w:lang w:val="cs-CZ"/>
        </w:rPr>
        <w:t xml:space="preserve"> řízení provozu</w:t>
      </w:r>
      <w:r w:rsidR="004904F8" w:rsidRPr="008B1755">
        <w:rPr>
          <w:lang w:val="cs-CZ"/>
        </w:rPr>
        <w:t xml:space="preserve"> a </w:t>
      </w:r>
      <w:r w:rsidR="00466D10" w:rsidRPr="008B1755">
        <w:rPr>
          <w:lang w:val="cs-CZ"/>
        </w:rPr>
        <w:t>opatření</w:t>
      </w:r>
      <w:r w:rsidRPr="008B1755">
        <w:rPr>
          <w:lang w:val="cs-CZ"/>
        </w:rPr>
        <w:t>m</w:t>
      </w:r>
      <w:r w:rsidR="00466D10" w:rsidRPr="008B1755">
        <w:rPr>
          <w:lang w:val="cs-CZ"/>
        </w:rPr>
        <w:t xml:space="preserve"> řízení provozu</w:t>
      </w:r>
      <w:r w:rsidR="004904F8" w:rsidRPr="008B1755">
        <w:rPr>
          <w:lang w:val="cs-CZ"/>
        </w:rPr>
        <w:t xml:space="preserve"> </w:t>
      </w:r>
      <w:r w:rsidRPr="008B1755">
        <w:rPr>
          <w:lang w:val="cs-CZ"/>
        </w:rPr>
        <w:t xml:space="preserve">jdoucím nad rámec přiměřených </w:t>
      </w:r>
      <w:r w:rsidR="00466D10" w:rsidRPr="008B1755">
        <w:rPr>
          <w:lang w:val="cs-CZ"/>
        </w:rPr>
        <w:t>opatření</w:t>
      </w:r>
      <w:r w:rsidR="004904F8" w:rsidRPr="008B1755">
        <w:rPr>
          <w:lang w:val="cs-CZ"/>
        </w:rPr>
        <w:t xml:space="preserve">. </w:t>
      </w:r>
      <w:r w:rsidRPr="008B1755">
        <w:rPr>
          <w:lang w:val="cs-CZ"/>
        </w:rPr>
        <w:t xml:space="preserve">Článek </w:t>
      </w:r>
      <w:r w:rsidR="00DD272F" w:rsidRPr="008B1755">
        <w:rPr>
          <w:lang w:val="cs-CZ"/>
        </w:rPr>
        <w:t xml:space="preserve">3 odst. </w:t>
      </w:r>
      <w:r w:rsidR="004904F8" w:rsidRPr="008B1755">
        <w:rPr>
          <w:lang w:val="cs-CZ"/>
        </w:rPr>
        <w:t xml:space="preserve">4 </w:t>
      </w:r>
      <w:r w:rsidRPr="008B1755">
        <w:rPr>
          <w:lang w:val="cs-CZ"/>
        </w:rPr>
        <w:t xml:space="preserve">se vztahuje na obě tato opatření </w:t>
      </w:r>
      <w:r w:rsidR="00350081" w:rsidRPr="008B1755">
        <w:rPr>
          <w:lang w:val="cs-CZ"/>
        </w:rPr>
        <w:t>řízení provozu</w:t>
      </w:r>
      <w:r w:rsidR="004904F8" w:rsidRPr="008B1755">
        <w:rPr>
          <w:lang w:val="cs-CZ"/>
        </w:rPr>
        <w:t xml:space="preserve"> </w:t>
      </w:r>
      <w:r w:rsidR="004904F8" w:rsidRPr="008B1755">
        <w:rPr>
          <w:i/>
          <w:lang w:val="cs-CZ"/>
        </w:rPr>
        <w:t>(</w:t>
      </w:r>
      <w:r w:rsidRPr="008B1755">
        <w:rPr>
          <w:i/>
          <w:lang w:val="cs-CZ"/>
        </w:rPr>
        <w:t xml:space="preserve">„Veškerá </w:t>
      </w:r>
      <w:r w:rsidR="003132BE" w:rsidRPr="008B1755">
        <w:rPr>
          <w:i/>
          <w:lang w:val="cs-CZ"/>
        </w:rPr>
        <w:t>opatření řízení provozu</w:t>
      </w:r>
      <w:r w:rsidRPr="008B1755">
        <w:rPr>
          <w:i/>
          <w:lang w:val="cs-CZ"/>
        </w:rPr>
        <w:t>“</w:t>
      </w:r>
      <w:r w:rsidR="004904F8" w:rsidRPr="008B1755">
        <w:rPr>
          <w:lang w:val="cs-CZ"/>
        </w:rPr>
        <w:t xml:space="preserve">). </w:t>
      </w:r>
      <w:r w:rsidRPr="008B1755">
        <w:rPr>
          <w:lang w:val="cs-CZ"/>
        </w:rPr>
        <w:t xml:space="preserve">Co se týče přiměřených </w:t>
      </w:r>
      <w:r w:rsidR="00466D10" w:rsidRPr="008B1755">
        <w:rPr>
          <w:lang w:val="cs-CZ"/>
        </w:rPr>
        <w:t>opatření řízení provozu</w:t>
      </w:r>
      <w:r w:rsidR="004904F8" w:rsidRPr="008B1755">
        <w:rPr>
          <w:lang w:val="cs-CZ"/>
        </w:rPr>
        <w:t xml:space="preserve">, </w:t>
      </w:r>
      <w:r w:rsidRPr="008B1755">
        <w:rPr>
          <w:lang w:val="cs-CZ"/>
        </w:rPr>
        <w:t>jsou tyto požadavky dále specifikovány v </w:t>
      </w:r>
      <w:r w:rsidR="00DD272F" w:rsidRPr="008B1755">
        <w:rPr>
          <w:lang w:val="cs-CZ"/>
        </w:rPr>
        <w:t>člán</w:t>
      </w:r>
      <w:r w:rsidRPr="008B1755">
        <w:rPr>
          <w:lang w:val="cs-CZ"/>
        </w:rPr>
        <w:t xml:space="preserve">ku </w:t>
      </w:r>
      <w:r w:rsidR="00DD272F" w:rsidRPr="008B1755">
        <w:rPr>
          <w:lang w:val="cs-CZ"/>
        </w:rPr>
        <w:t xml:space="preserve">3 </w:t>
      </w:r>
      <w:r w:rsidR="00585BD7" w:rsidRPr="008B1755">
        <w:rPr>
          <w:lang w:val="cs-CZ"/>
        </w:rPr>
        <w:t>odst. 3</w:t>
      </w:r>
      <w:r w:rsidRPr="008B1755">
        <w:rPr>
          <w:lang w:val="cs-CZ"/>
        </w:rPr>
        <w:t>,</w:t>
      </w:r>
      <w:r w:rsidR="004904F8" w:rsidRPr="008B1755">
        <w:rPr>
          <w:lang w:val="cs-CZ"/>
        </w:rPr>
        <w:t xml:space="preserve"> </w:t>
      </w:r>
      <w:r w:rsidR="001D70F8" w:rsidRPr="008B1755">
        <w:rPr>
          <w:lang w:val="cs-CZ"/>
        </w:rPr>
        <w:t>druhý pododstavec</w:t>
      </w:r>
      <w:r w:rsidRPr="008B1755">
        <w:rPr>
          <w:lang w:val="cs-CZ"/>
        </w:rPr>
        <w:t xml:space="preserve">, kde se uvádí, že </w:t>
      </w:r>
      <w:r w:rsidRPr="008B1755">
        <w:rPr>
          <w:i/>
          <w:lang w:val="cs-CZ"/>
        </w:rPr>
        <w:t>„</w:t>
      </w:r>
      <w:r w:rsidRPr="008B1755">
        <w:rPr>
          <w:rStyle w:val="BERECcitaceChar"/>
          <w:lang w:val="cs-CZ"/>
        </w:rPr>
        <w:t>Tato opatření nesmí sledovat konkrétní obsah</w:t>
      </w:r>
      <w:r w:rsidRPr="008B1755">
        <w:rPr>
          <w:i/>
          <w:lang w:val="cs-CZ"/>
        </w:rPr>
        <w:t>“</w:t>
      </w:r>
      <w:r w:rsidR="004904F8" w:rsidRPr="008B1755">
        <w:rPr>
          <w:lang w:val="cs-CZ"/>
        </w:rPr>
        <w:t>.</w:t>
      </w:r>
    </w:p>
    <w:p w:rsidR="00AD306B" w:rsidRPr="008B1755" w:rsidRDefault="000B78BA" w:rsidP="0038751B">
      <w:pPr>
        <w:numPr>
          <w:ilvl w:val="0"/>
          <w:numId w:val="2"/>
        </w:numPr>
        <w:spacing w:after="120"/>
        <w:rPr>
          <w:lang w:val="cs-CZ"/>
        </w:rPr>
      </w:pPr>
      <w:r w:rsidRPr="008B1755">
        <w:rPr>
          <w:lang w:val="cs-CZ"/>
        </w:rPr>
        <w:t xml:space="preserve">Cíle uvedené </w:t>
      </w:r>
      <w:r w:rsidR="00F064F8" w:rsidRPr="008B1755">
        <w:rPr>
          <w:lang w:val="cs-CZ"/>
        </w:rPr>
        <w:t>v článku</w:t>
      </w:r>
      <w:r w:rsidR="00AD306B" w:rsidRPr="008B1755">
        <w:rPr>
          <w:lang w:val="cs-CZ"/>
        </w:rPr>
        <w:t xml:space="preserve"> </w:t>
      </w:r>
      <w:r w:rsidR="006C5B3A" w:rsidRPr="008B1755">
        <w:rPr>
          <w:lang w:val="cs-CZ"/>
        </w:rPr>
        <w:t>3 odst. 4</w:t>
      </w:r>
      <w:r w:rsidR="00AD306B" w:rsidRPr="008B1755">
        <w:rPr>
          <w:lang w:val="cs-CZ"/>
        </w:rPr>
        <w:t xml:space="preserve"> </w:t>
      </w:r>
      <w:r w:rsidRPr="008B1755">
        <w:rPr>
          <w:lang w:val="cs-CZ"/>
        </w:rPr>
        <w:t xml:space="preserve">jsou stejné jako </w:t>
      </w:r>
      <w:r w:rsidR="00F064F8" w:rsidRPr="008B1755">
        <w:rPr>
          <w:lang w:val="cs-CZ"/>
        </w:rPr>
        <w:t>v článku</w:t>
      </w:r>
      <w:r w:rsidR="00A65005" w:rsidRPr="008B1755">
        <w:rPr>
          <w:lang w:val="cs-CZ"/>
        </w:rPr>
        <w:t xml:space="preserve"> </w:t>
      </w:r>
      <w:r w:rsidR="00585BD7" w:rsidRPr="008B1755">
        <w:rPr>
          <w:lang w:val="cs-CZ"/>
        </w:rPr>
        <w:t>3 odst. 3</w:t>
      </w:r>
      <w:r w:rsidR="00AD306B" w:rsidRPr="008B1755">
        <w:rPr>
          <w:lang w:val="cs-CZ"/>
        </w:rPr>
        <w:t xml:space="preserve">. </w:t>
      </w:r>
    </w:p>
    <w:p w:rsidR="00B35884" w:rsidRPr="008B1755" w:rsidRDefault="000B78BA" w:rsidP="00262769">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„Nezbytné a přiměřené“</w:t>
      </w:r>
    </w:p>
    <w:p w:rsidR="00B35884" w:rsidRPr="008B1755" w:rsidRDefault="000B78BA" w:rsidP="0038751B">
      <w:pPr>
        <w:numPr>
          <w:ilvl w:val="0"/>
          <w:numId w:val="2"/>
        </w:numPr>
        <w:spacing w:after="120"/>
        <w:rPr>
          <w:lang w:val="cs-CZ"/>
        </w:rPr>
      </w:pPr>
      <w:r w:rsidRPr="008B1755">
        <w:rPr>
          <w:lang w:val="cs-CZ"/>
        </w:rPr>
        <w:t xml:space="preserve">Zpracování </w:t>
      </w:r>
      <w:r w:rsidR="00466D10" w:rsidRPr="008B1755">
        <w:rPr>
          <w:lang w:val="cs-CZ"/>
        </w:rPr>
        <w:t>osobních údajů</w:t>
      </w:r>
      <w:r w:rsidR="00910AE9" w:rsidRPr="008B1755">
        <w:rPr>
          <w:lang w:val="cs-CZ"/>
        </w:rPr>
        <w:t xml:space="preserve"> </w:t>
      </w:r>
      <w:r w:rsidRPr="008B1755">
        <w:rPr>
          <w:lang w:val="cs-CZ"/>
        </w:rPr>
        <w:t xml:space="preserve">v rámci </w:t>
      </w:r>
      <w:r w:rsidR="00350081" w:rsidRPr="008B1755">
        <w:rPr>
          <w:lang w:val="cs-CZ"/>
        </w:rPr>
        <w:t>řízení provozu</w:t>
      </w:r>
      <w:r w:rsidR="00910AE9" w:rsidRPr="008B1755">
        <w:rPr>
          <w:lang w:val="cs-CZ"/>
        </w:rPr>
        <w:t xml:space="preserve"> </w:t>
      </w:r>
      <w:r w:rsidRPr="008B1755">
        <w:rPr>
          <w:lang w:val="cs-CZ"/>
        </w:rPr>
        <w:t xml:space="preserve">rovněž podléhá požadavku </w:t>
      </w:r>
      <w:r w:rsidR="00511F74">
        <w:rPr>
          <w:lang w:val="cs-CZ"/>
        </w:rPr>
        <w:t>přiměřenosti</w:t>
      </w:r>
      <w:r w:rsidR="00910AE9" w:rsidRPr="008B1755">
        <w:rPr>
          <w:lang w:val="cs-CZ"/>
        </w:rPr>
        <w:t xml:space="preserve">. </w:t>
      </w:r>
      <w:r w:rsidRPr="008B1755">
        <w:rPr>
          <w:lang w:val="cs-CZ"/>
        </w:rPr>
        <w:t xml:space="preserve">Vnitrostátní </w:t>
      </w:r>
      <w:r w:rsidR="00926BAE" w:rsidRPr="008B1755">
        <w:rPr>
          <w:lang w:val="cs-CZ"/>
        </w:rPr>
        <w:t>regulační orgány</w:t>
      </w:r>
      <w:r w:rsidR="00910AE9" w:rsidRPr="008B1755">
        <w:rPr>
          <w:lang w:val="cs-CZ"/>
        </w:rPr>
        <w:t xml:space="preserve"> </w:t>
      </w:r>
      <w:r w:rsidRPr="008B1755">
        <w:rPr>
          <w:lang w:val="cs-CZ"/>
        </w:rPr>
        <w:t xml:space="preserve">by měly posoudit, zda zpracování </w:t>
      </w:r>
      <w:r w:rsidR="00466D10" w:rsidRPr="008B1755">
        <w:rPr>
          <w:lang w:val="cs-CZ"/>
        </w:rPr>
        <w:t>osobních údajů</w:t>
      </w:r>
      <w:r w:rsidR="00910AE9" w:rsidRPr="008B1755">
        <w:rPr>
          <w:lang w:val="cs-CZ"/>
        </w:rPr>
        <w:t xml:space="preserve"> </w:t>
      </w:r>
      <w:r w:rsidRPr="008B1755">
        <w:rPr>
          <w:lang w:val="cs-CZ"/>
        </w:rPr>
        <w:t xml:space="preserve">ze strany </w:t>
      </w:r>
      <w:r w:rsidR="00080F70" w:rsidRPr="008B1755">
        <w:rPr>
          <w:lang w:val="cs-CZ"/>
        </w:rPr>
        <w:t>poskytovatel</w:t>
      </w:r>
      <w:r w:rsidRPr="008B1755">
        <w:rPr>
          <w:lang w:val="cs-CZ"/>
        </w:rPr>
        <w:t>ů</w:t>
      </w:r>
      <w:r w:rsidR="007D7F64" w:rsidRPr="008B1755">
        <w:rPr>
          <w:lang w:val="cs-CZ"/>
        </w:rPr>
        <w:t xml:space="preserve"> internetových služeb</w:t>
      </w:r>
      <w:r w:rsidR="00C01FE3" w:rsidRPr="008B1755">
        <w:rPr>
          <w:lang w:val="cs-CZ"/>
        </w:rPr>
        <w:t xml:space="preserve"> </w:t>
      </w:r>
      <w:r w:rsidRPr="008B1755">
        <w:rPr>
          <w:lang w:val="cs-CZ"/>
        </w:rPr>
        <w:t xml:space="preserve">je nezbytné a přiměřené k dosažení cílů stanovených </w:t>
      </w:r>
      <w:r w:rsidR="00F064F8" w:rsidRPr="008B1755">
        <w:rPr>
          <w:lang w:val="cs-CZ"/>
        </w:rPr>
        <w:t>v článku</w:t>
      </w:r>
      <w:r w:rsidR="00B35884" w:rsidRPr="008B1755">
        <w:rPr>
          <w:lang w:val="cs-CZ"/>
        </w:rPr>
        <w:t xml:space="preserve"> </w:t>
      </w:r>
      <w:r w:rsidR="00585BD7" w:rsidRPr="008B1755">
        <w:rPr>
          <w:lang w:val="cs-CZ"/>
        </w:rPr>
        <w:t>3 odst. 3</w:t>
      </w:r>
      <w:r w:rsidR="00B35884" w:rsidRPr="008B1755">
        <w:rPr>
          <w:lang w:val="cs-CZ"/>
        </w:rPr>
        <w:t>.</w:t>
      </w:r>
    </w:p>
    <w:p w:rsidR="00B35884" w:rsidRPr="008B1755" w:rsidRDefault="004D0556" w:rsidP="00262769">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w:t>
      </w:r>
      <w:r w:rsidR="00511F74">
        <w:rPr>
          <w:rFonts w:eastAsia="SimSun"/>
          <w:bCs/>
          <w:i/>
          <w:iCs/>
          <w:sz w:val="24"/>
          <w:szCs w:val="24"/>
          <w:u w:val="single"/>
          <w:lang w:val="cs-CZ"/>
        </w:rPr>
        <w:t>S</w:t>
      </w:r>
      <w:r w:rsidR="000B78BA" w:rsidRPr="008B1755">
        <w:rPr>
          <w:rFonts w:eastAsia="SimSun"/>
          <w:bCs/>
          <w:i/>
          <w:iCs/>
          <w:sz w:val="24"/>
          <w:szCs w:val="24"/>
          <w:u w:val="single"/>
          <w:lang w:val="cs-CZ"/>
        </w:rPr>
        <w:t>oulad s</w:t>
      </w:r>
      <w:r w:rsidRPr="008B1755">
        <w:rPr>
          <w:rFonts w:eastAsia="SimSun"/>
          <w:bCs/>
          <w:i/>
          <w:iCs/>
          <w:sz w:val="24"/>
          <w:szCs w:val="24"/>
          <w:u w:val="single"/>
          <w:lang w:val="cs-CZ"/>
        </w:rPr>
        <w:t> právem Unie o ochraně údajů“</w:t>
      </w:r>
    </w:p>
    <w:p w:rsidR="00B35884" w:rsidRPr="008B1755" w:rsidRDefault="004D0556" w:rsidP="0038751B">
      <w:pPr>
        <w:numPr>
          <w:ilvl w:val="0"/>
          <w:numId w:val="2"/>
        </w:numPr>
        <w:spacing w:after="120"/>
        <w:rPr>
          <w:lang w:val="cs-CZ"/>
        </w:rPr>
      </w:pPr>
      <w:r w:rsidRPr="008B1755">
        <w:rPr>
          <w:lang w:val="cs-CZ"/>
        </w:rPr>
        <w:t xml:space="preserve">Příslušný vnitrostátní orgán by měl posoudit, zda je zpracování </w:t>
      </w:r>
      <w:r w:rsidR="00466D10" w:rsidRPr="008B1755">
        <w:rPr>
          <w:lang w:val="cs-CZ"/>
        </w:rPr>
        <w:t>osobních údajů</w:t>
      </w:r>
      <w:r w:rsidR="008A61D3" w:rsidRPr="008B1755">
        <w:rPr>
          <w:lang w:val="cs-CZ"/>
        </w:rPr>
        <w:t xml:space="preserve"> </w:t>
      </w:r>
      <w:r w:rsidRPr="008B1755">
        <w:rPr>
          <w:lang w:val="cs-CZ"/>
        </w:rPr>
        <w:t>v souladu s právem Unie o ochraně údajů</w:t>
      </w:r>
      <w:r w:rsidR="009D3A42" w:rsidRPr="008B1755">
        <w:rPr>
          <w:lang w:val="cs-CZ"/>
        </w:rPr>
        <w:t>.</w:t>
      </w:r>
      <w:r w:rsidR="008A61D3" w:rsidRPr="008B1755">
        <w:rPr>
          <w:rStyle w:val="Znakapoznpodarou"/>
          <w:lang w:val="cs-CZ"/>
        </w:rPr>
        <w:footnoteReference w:id="25"/>
      </w:r>
      <w:r w:rsidR="008A61D3" w:rsidRPr="008B1755">
        <w:rPr>
          <w:lang w:val="cs-CZ"/>
        </w:rPr>
        <w:t xml:space="preserve"> </w:t>
      </w:r>
    </w:p>
    <w:p w:rsidR="00B35884" w:rsidRPr="008B1755" w:rsidRDefault="003E7168" w:rsidP="001B38FB">
      <w:pPr>
        <w:keepNext/>
        <w:keepLines/>
        <w:spacing w:before="360" w:after="120"/>
        <w:outlineLvl w:val="1"/>
        <w:rPr>
          <w:rFonts w:eastAsia="SimSun" w:cs="Arial"/>
          <w:b/>
          <w:bCs/>
          <w:sz w:val="24"/>
          <w:szCs w:val="24"/>
          <w:lang w:val="cs-CZ"/>
        </w:rPr>
      </w:pPr>
      <w:bookmarkStart w:id="42" w:name="_Toc461400165"/>
      <w:r w:rsidRPr="008B1755">
        <w:rPr>
          <w:rFonts w:eastAsia="SimSun" w:cs="Arial"/>
          <w:b/>
          <w:bCs/>
          <w:sz w:val="24"/>
          <w:szCs w:val="24"/>
          <w:lang w:val="cs-CZ"/>
        </w:rPr>
        <w:t xml:space="preserve">Článek </w:t>
      </w:r>
      <w:r w:rsidR="003D7133" w:rsidRPr="008B1755">
        <w:rPr>
          <w:rFonts w:eastAsia="SimSun" w:cs="Arial"/>
          <w:b/>
          <w:bCs/>
          <w:sz w:val="24"/>
          <w:szCs w:val="24"/>
          <w:lang w:val="cs-CZ"/>
        </w:rPr>
        <w:t>3 odst. 5</w:t>
      </w:r>
      <w:r w:rsidR="00A82AD1" w:rsidRPr="008B1755">
        <w:rPr>
          <w:rFonts w:eastAsia="SimSun" w:cs="Arial"/>
          <w:b/>
          <w:bCs/>
          <w:sz w:val="24"/>
          <w:szCs w:val="24"/>
          <w:lang w:val="cs-CZ"/>
        </w:rPr>
        <w:t>,</w:t>
      </w:r>
      <w:r w:rsidR="00B35884" w:rsidRPr="008B1755">
        <w:rPr>
          <w:rFonts w:eastAsia="SimSun" w:cs="Arial"/>
          <w:b/>
          <w:bCs/>
          <w:sz w:val="24"/>
          <w:szCs w:val="24"/>
          <w:lang w:val="cs-CZ"/>
        </w:rPr>
        <w:t xml:space="preserve"> </w:t>
      </w:r>
      <w:r w:rsidR="001D70F8" w:rsidRPr="008B1755">
        <w:rPr>
          <w:rFonts w:eastAsia="SimSun" w:cs="Arial"/>
          <w:b/>
          <w:bCs/>
          <w:sz w:val="24"/>
          <w:szCs w:val="24"/>
          <w:lang w:val="cs-CZ"/>
        </w:rPr>
        <w:t>první pododstavec</w:t>
      </w:r>
      <w:bookmarkEnd w:id="42"/>
    </w:p>
    <w:p w:rsidR="00B35884" w:rsidRPr="008B1755" w:rsidRDefault="009B7C0D"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Poskytovatelé služeb elektronických komunikací pro veřejnost, včetně poskytovatelů služeb přístupu k internetu, a poskytovatelé obsahu, aplikací a služeb mají svobodu nabízet jiné služby než služby přístupu k internetu, které jsou optimalizovány pro konkrétní obsah, aplikace nebo služby, případně jejich kombinaci, pokud je optimalizace nezbytná ke splnění požadavků na obsah, aplikace nebo služby pro určitou úroveň kvality</w:t>
      </w:r>
      <w:r w:rsidR="00B35884" w:rsidRPr="008B1755">
        <w:rPr>
          <w:rFonts w:ascii="Times New Roman" w:hAnsi="Times New Roman"/>
          <w:lang w:val="cs-CZ"/>
        </w:rPr>
        <w:t>.</w:t>
      </w:r>
    </w:p>
    <w:p w:rsidR="00B35884" w:rsidRPr="008B1755" w:rsidRDefault="00946CEA" w:rsidP="006F0EC7">
      <w:pPr>
        <w:keepNext/>
        <w:shd w:val="clear" w:color="auto" w:fill="D9D9D9"/>
        <w:spacing w:after="0"/>
        <w:rPr>
          <w:rFonts w:ascii="Times New Roman" w:hAnsi="Times New Roman"/>
          <w:sz w:val="20"/>
          <w:u w:val="single"/>
          <w:lang w:val="cs-CZ"/>
        </w:rPr>
      </w:pPr>
      <w:r w:rsidRPr="008B1755">
        <w:rPr>
          <w:rFonts w:ascii="Times New Roman" w:hAnsi="Times New Roman"/>
          <w:sz w:val="20"/>
          <w:u w:val="single"/>
          <w:lang w:val="cs-CZ"/>
        </w:rPr>
        <w:t xml:space="preserve">Úvodní část Nařízení, bod </w:t>
      </w:r>
      <w:r w:rsidR="00B35884" w:rsidRPr="008B1755">
        <w:rPr>
          <w:rFonts w:ascii="Times New Roman" w:hAnsi="Times New Roman"/>
          <w:sz w:val="20"/>
          <w:u w:val="single"/>
          <w:lang w:val="cs-CZ"/>
        </w:rPr>
        <w:t>16</w:t>
      </w:r>
    </w:p>
    <w:p w:rsidR="00B35884" w:rsidRPr="008B1755" w:rsidRDefault="00946CEA" w:rsidP="006F0EC7">
      <w:pPr>
        <w:shd w:val="clear" w:color="auto" w:fill="D9D9D9"/>
        <w:rPr>
          <w:rFonts w:ascii="Times New Roman" w:hAnsi="Times New Roman"/>
          <w:sz w:val="20"/>
          <w:lang w:val="cs-CZ"/>
        </w:rPr>
      </w:pPr>
      <w:r w:rsidRPr="008B1755">
        <w:rPr>
          <w:rStyle w:val="Style3Char"/>
          <w:sz w:val="20"/>
          <w:lang w:val="cs-CZ"/>
        </w:rPr>
        <w:t>Existuje poptávka, a</w:t>
      </w:r>
      <w:r w:rsidR="00A82AD1" w:rsidRPr="008B1755">
        <w:rPr>
          <w:rStyle w:val="Style3Char"/>
          <w:sz w:val="20"/>
          <w:lang w:val="cs-CZ"/>
        </w:rPr>
        <w:t xml:space="preserve">by </w:t>
      </w:r>
      <w:r w:rsidR="00080F70" w:rsidRPr="008B1755">
        <w:rPr>
          <w:rStyle w:val="Style3Char"/>
          <w:sz w:val="20"/>
          <w:lang w:val="cs-CZ"/>
        </w:rPr>
        <w:t>poskytovatel</w:t>
      </w:r>
      <w:r w:rsidR="00A82AD1" w:rsidRPr="008B1755">
        <w:rPr>
          <w:rStyle w:val="Style3Char"/>
          <w:sz w:val="20"/>
          <w:lang w:val="cs-CZ"/>
        </w:rPr>
        <w:t>é</w:t>
      </w:r>
      <w:r w:rsidRPr="008B1755">
        <w:rPr>
          <w:rStyle w:val="Style3Char"/>
          <w:sz w:val="20"/>
          <w:lang w:val="cs-CZ"/>
        </w:rPr>
        <w:t xml:space="preserve"> obsahu, aplikací a služeb byli schopni poskytovat jiné služby elektronických komunikací než služby přístupu k internetu, pro které je nutná určitá úroveň kvality, jež není zajištěna službou přístupu k internetu. Tuto určitou úroveň kvality vyžadují například některé služby veřejného zájmu nebo některé nové služby komunikace mezi zařízeními. Poskytovatelé služeb elektronických komunikací pro veřejnost, včetně poskytovatelů služeb přístupu k internetu, a poskytovatelé obsahu, aplikací a služeb by tedy měli mít svobodu nabízet jiné služby než služby přístupu k internetu, které jsou optimalizovány pro konkrétní obsah, aplikace nebo služby, případně jejich kombinaci, pokud je optimalizace nezbytná k tomu, aby byly splněny požadavky obsahu, aplikací nebo služeb na určitou úroveň kvality. Vnitrostátní regulační orgány by měly spíše ověřovat, zda a do jaké míry je tato optimalizace objektivně nutná k zajištění jedné či více konkrétních klíčových charakteristik obsahu, aplikací či služeb a k umožnění poskytnutí záruky odpovídající kvality služeb poskytovaných koncovým uživatelům, než pouze udělovat obecnou prioritu pro srovnatelný obsah, aplikace či služby dostupné přes službu přístupu k internetu, a tedy obcházet ustanovení o opatřeních řízení provozu ve vztahu ke službám přístupu k internetu</w:t>
      </w:r>
      <w:r w:rsidR="00B35884" w:rsidRPr="008B1755">
        <w:rPr>
          <w:rFonts w:ascii="Times New Roman" w:hAnsi="Times New Roman"/>
          <w:sz w:val="20"/>
          <w:lang w:val="cs-CZ"/>
        </w:rPr>
        <w:t>.</w:t>
      </w:r>
    </w:p>
    <w:p w:rsidR="009C7711" w:rsidRPr="008B1755" w:rsidRDefault="00A82AD1" w:rsidP="0038751B">
      <w:pPr>
        <w:numPr>
          <w:ilvl w:val="0"/>
          <w:numId w:val="2"/>
        </w:numPr>
        <w:contextualSpacing/>
        <w:rPr>
          <w:lang w:val="cs-CZ"/>
        </w:rPr>
      </w:pPr>
      <w:bookmarkStart w:id="43" w:name="_Ref449464254"/>
      <w:r w:rsidRPr="008B1755">
        <w:rPr>
          <w:lang w:val="cs-CZ"/>
        </w:rPr>
        <w:t xml:space="preserve">Nad rámec poskytování aplikací prostřednictvím </w:t>
      </w:r>
      <w:r w:rsidR="00DD272F" w:rsidRPr="008B1755">
        <w:rPr>
          <w:lang w:val="cs-CZ"/>
        </w:rPr>
        <w:t>služb</w:t>
      </w:r>
      <w:r w:rsidRPr="008B1755">
        <w:rPr>
          <w:lang w:val="cs-CZ"/>
        </w:rPr>
        <w:t>y</w:t>
      </w:r>
      <w:r w:rsidR="00DD272F" w:rsidRPr="008B1755">
        <w:rPr>
          <w:lang w:val="cs-CZ"/>
        </w:rPr>
        <w:t xml:space="preserve"> přístupu k</w:t>
      </w:r>
      <w:r w:rsidRPr="008B1755">
        <w:rPr>
          <w:lang w:val="cs-CZ"/>
        </w:rPr>
        <w:t> </w:t>
      </w:r>
      <w:r w:rsidR="00DD272F" w:rsidRPr="008B1755">
        <w:rPr>
          <w:lang w:val="cs-CZ"/>
        </w:rPr>
        <w:t>internetu</w:t>
      </w:r>
      <w:r w:rsidRPr="008B1755">
        <w:rPr>
          <w:lang w:val="cs-CZ"/>
        </w:rPr>
        <w:t xml:space="preserve"> může existovat poptávka po službách, které je nutno poskytovat v určité úrovni kvality, kterou nelze zaručit </w:t>
      </w:r>
      <w:r w:rsidR="002F0017">
        <w:rPr>
          <w:lang w:val="cs-CZ"/>
        </w:rPr>
        <w:t>v rámci standardní „best effort“ služby</w:t>
      </w:r>
      <w:r w:rsidR="00A01D9E" w:rsidRPr="008B1755">
        <w:rPr>
          <w:lang w:val="cs-CZ"/>
        </w:rPr>
        <w:t>.</w:t>
      </w:r>
      <w:bookmarkEnd w:id="43"/>
      <w:r w:rsidR="009C7711" w:rsidRPr="008B1755">
        <w:rPr>
          <w:lang w:val="cs-CZ"/>
        </w:rPr>
        <w:t xml:space="preserve"> </w:t>
      </w:r>
    </w:p>
    <w:p w:rsidR="00CB343C" w:rsidRPr="008B1755" w:rsidRDefault="00A82AD1" w:rsidP="0038751B">
      <w:pPr>
        <w:pStyle w:val="Odstavecseseznamem"/>
        <w:numPr>
          <w:ilvl w:val="0"/>
          <w:numId w:val="2"/>
        </w:numPr>
        <w:rPr>
          <w:lang w:val="cs-CZ"/>
        </w:rPr>
      </w:pPr>
      <w:r w:rsidRPr="008B1755">
        <w:rPr>
          <w:lang w:val="cs-CZ"/>
        </w:rPr>
        <w:t xml:space="preserve">Tyto služby mohou být nabízeny poskytovateli </w:t>
      </w:r>
      <w:r w:rsidR="002F0017">
        <w:rPr>
          <w:lang w:val="cs-CZ"/>
        </w:rPr>
        <w:t xml:space="preserve">veřejně dostupných služeb </w:t>
      </w:r>
      <w:r w:rsidRPr="008B1755">
        <w:rPr>
          <w:lang w:val="cs-CZ"/>
        </w:rPr>
        <w:t>elektronických komunikací veřejnosti</w:t>
      </w:r>
      <w:r w:rsidR="00CB343C" w:rsidRPr="008B1755">
        <w:rPr>
          <w:lang w:val="cs-CZ"/>
        </w:rPr>
        <w:t xml:space="preserve">, </w:t>
      </w:r>
      <w:r w:rsidRPr="008B1755">
        <w:rPr>
          <w:lang w:val="cs-CZ"/>
        </w:rPr>
        <w:t xml:space="preserve">včetně poskytovatelů </w:t>
      </w:r>
      <w:r w:rsidR="00080F70" w:rsidRPr="008B1755">
        <w:rPr>
          <w:lang w:val="cs-CZ"/>
        </w:rPr>
        <w:t>služ</w:t>
      </w:r>
      <w:r w:rsidRPr="008B1755">
        <w:rPr>
          <w:lang w:val="cs-CZ"/>
        </w:rPr>
        <w:t>e</w:t>
      </w:r>
      <w:r w:rsidR="00080F70" w:rsidRPr="008B1755">
        <w:rPr>
          <w:lang w:val="cs-CZ"/>
        </w:rPr>
        <w:t>b přístupu k internetu</w:t>
      </w:r>
      <w:r w:rsidRPr="008B1755">
        <w:rPr>
          <w:lang w:val="cs-CZ"/>
        </w:rPr>
        <w:t xml:space="preserve"> a poskytovatelů obsahu, aplikací a služeb </w:t>
      </w:r>
      <w:r w:rsidR="00CB343C" w:rsidRPr="008B1755">
        <w:rPr>
          <w:lang w:val="cs-CZ"/>
        </w:rPr>
        <w:t>(</w:t>
      </w:r>
      <w:r w:rsidR="00C44AED" w:rsidRPr="008B1755">
        <w:rPr>
          <w:lang w:val="cs-CZ"/>
        </w:rPr>
        <w:t>poskytovatelé obsahu a aplikací</w:t>
      </w:r>
      <w:r w:rsidR="00CB343C" w:rsidRPr="008B1755">
        <w:rPr>
          <w:lang w:val="cs-CZ"/>
        </w:rPr>
        <w:t>).</w:t>
      </w:r>
    </w:p>
    <w:p w:rsidR="002B5E6F" w:rsidRPr="008B1755" w:rsidRDefault="00A82AD1" w:rsidP="0038751B">
      <w:pPr>
        <w:numPr>
          <w:ilvl w:val="0"/>
          <w:numId w:val="2"/>
        </w:numPr>
        <w:spacing w:after="120"/>
        <w:rPr>
          <w:lang w:val="cs-CZ"/>
        </w:rPr>
      </w:pPr>
      <w:r w:rsidRPr="008B1755">
        <w:rPr>
          <w:lang w:val="cs-CZ"/>
        </w:rPr>
        <w:t xml:space="preserve">Tito poskytovatelé mohou nabízet služby uvedené </w:t>
      </w:r>
      <w:r w:rsidR="00F064F8" w:rsidRPr="008B1755">
        <w:rPr>
          <w:lang w:val="cs-CZ"/>
        </w:rPr>
        <w:t>v článku</w:t>
      </w:r>
      <w:r w:rsidR="002B5E6F" w:rsidRPr="008B1755">
        <w:rPr>
          <w:lang w:val="cs-CZ"/>
        </w:rPr>
        <w:t xml:space="preserve"> </w:t>
      </w:r>
      <w:r w:rsidR="003D7133" w:rsidRPr="008B1755">
        <w:rPr>
          <w:lang w:val="cs-CZ"/>
        </w:rPr>
        <w:t>3 odst. 5</w:t>
      </w:r>
      <w:r w:rsidR="002B5E6F" w:rsidRPr="008B1755">
        <w:rPr>
          <w:lang w:val="cs-CZ"/>
        </w:rPr>
        <w:t xml:space="preserve">, </w:t>
      </w:r>
      <w:r w:rsidRPr="008B1755">
        <w:rPr>
          <w:lang w:val="cs-CZ"/>
        </w:rPr>
        <w:t xml:space="preserve">které sdružení </w:t>
      </w:r>
      <w:r w:rsidR="002B5E6F" w:rsidRPr="008B1755">
        <w:rPr>
          <w:lang w:val="cs-CZ"/>
        </w:rPr>
        <w:t xml:space="preserve">BEREC </w:t>
      </w:r>
      <w:r w:rsidRPr="008B1755">
        <w:rPr>
          <w:lang w:val="cs-CZ"/>
        </w:rPr>
        <w:t xml:space="preserve">označuje jako </w:t>
      </w:r>
      <w:r w:rsidR="00244C91" w:rsidRPr="008B1755">
        <w:rPr>
          <w:lang w:val="cs-CZ"/>
        </w:rPr>
        <w:t>specializované služby</w:t>
      </w:r>
      <w:r w:rsidR="006834B2" w:rsidRPr="008B1755">
        <w:rPr>
          <w:rStyle w:val="Znakapoznpodarou"/>
          <w:lang w:val="cs-CZ"/>
        </w:rPr>
        <w:footnoteReference w:id="26"/>
      </w:r>
      <w:r w:rsidR="009D3A42" w:rsidRPr="008B1755">
        <w:rPr>
          <w:lang w:val="cs-CZ"/>
        </w:rPr>
        <w:t>,</w:t>
      </w:r>
      <w:r w:rsidR="002B5E6F" w:rsidRPr="008B1755">
        <w:rPr>
          <w:lang w:val="cs-CZ"/>
        </w:rPr>
        <w:t xml:space="preserve"> </w:t>
      </w:r>
      <w:r w:rsidRPr="008B1755">
        <w:rPr>
          <w:lang w:val="cs-CZ"/>
        </w:rPr>
        <w:t>pouze v případě, že jsou splněny určité požadavky</w:t>
      </w:r>
      <w:r w:rsidR="0080686C" w:rsidRPr="008B1755">
        <w:rPr>
          <w:lang w:val="cs-CZ"/>
        </w:rPr>
        <w:t xml:space="preserve">. </w:t>
      </w:r>
      <w:r w:rsidRPr="008B1755">
        <w:rPr>
          <w:lang w:val="cs-CZ"/>
        </w:rPr>
        <w:t xml:space="preserve">Článek </w:t>
      </w:r>
      <w:r w:rsidR="00DD272F" w:rsidRPr="008B1755">
        <w:rPr>
          <w:lang w:val="cs-CZ"/>
        </w:rPr>
        <w:t xml:space="preserve">3 odst. </w:t>
      </w:r>
      <w:r w:rsidR="0080686C" w:rsidRPr="008B1755">
        <w:rPr>
          <w:lang w:val="cs-CZ"/>
        </w:rPr>
        <w:t xml:space="preserve">5 </w:t>
      </w:r>
      <w:r w:rsidRPr="008B1755">
        <w:rPr>
          <w:lang w:val="cs-CZ"/>
        </w:rPr>
        <w:t xml:space="preserve">stanoví záruky pro poskytování specializovaných služeb, které jsou charakterizovány následujícími prvky </w:t>
      </w:r>
      <w:r w:rsidR="00F064F8" w:rsidRPr="008B1755">
        <w:rPr>
          <w:lang w:val="cs-CZ"/>
        </w:rPr>
        <w:t>v článku</w:t>
      </w:r>
      <w:r w:rsidR="00733401" w:rsidRPr="008B1755">
        <w:rPr>
          <w:lang w:val="cs-CZ"/>
        </w:rPr>
        <w:t xml:space="preserve"> </w:t>
      </w:r>
      <w:r w:rsidR="00F055C4" w:rsidRPr="008B1755">
        <w:rPr>
          <w:lang w:val="cs-CZ"/>
        </w:rPr>
        <w:t xml:space="preserve">3 </w:t>
      </w:r>
      <w:r w:rsidRPr="008B1755">
        <w:rPr>
          <w:lang w:val="cs-CZ"/>
        </w:rPr>
        <w:t xml:space="preserve">odst. </w:t>
      </w:r>
      <w:r w:rsidR="00F055C4" w:rsidRPr="008B1755">
        <w:rPr>
          <w:lang w:val="cs-CZ"/>
        </w:rPr>
        <w:t>5</w:t>
      </w:r>
      <w:r w:rsidRPr="008B1755">
        <w:rPr>
          <w:lang w:val="cs-CZ"/>
        </w:rPr>
        <w:t>,</w:t>
      </w:r>
      <w:r w:rsidR="00F055C4" w:rsidRPr="008B1755">
        <w:rPr>
          <w:lang w:val="cs-CZ"/>
        </w:rPr>
        <w:t xml:space="preserve"> </w:t>
      </w:r>
      <w:r w:rsidR="001D70F8" w:rsidRPr="008B1755">
        <w:rPr>
          <w:lang w:val="cs-CZ"/>
        </w:rPr>
        <w:t>první pododstavec</w:t>
      </w:r>
      <w:r w:rsidR="00FA600B" w:rsidRPr="008B1755">
        <w:rPr>
          <w:lang w:val="cs-CZ"/>
        </w:rPr>
        <w:t>:</w:t>
      </w:r>
    </w:p>
    <w:p w:rsidR="002B5E6F" w:rsidRPr="008B1755" w:rsidRDefault="00A82AD1" w:rsidP="0038751B">
      <w:pPr>
        <w:pStyle w:val="Odstavecseseznamem"/>
        <w:numPr>
          <w:ilvl w:val="0"/>
          <w:numId w:val="18"/>
        </w:numPr>
        <w:spacing w:after="120"/>
        <w:ind w:left="1077" w:hanging="357"/>
        <w:rPr>
          <w:lang w:val="cs-CZ"/>
        </w:rPr>
      </w:pPr>
      <w:r w:rsidRPr="008B1755">
        <w:rPr>
          <w:lang w:val="cs-CZ"/>
        </w:rPr>
        <w:t>jsou to</w:t>
      </w:r>
      <w:r w:rsidRPr="008B1755">
        <w:rPr>
          <w:rStyle w:val="BERECChar"/>
          <w:lang w:val="cs-CZ"/>
        </w:rPr>
        <w:t xml:space="preserve"> jiné služby než služby přístupu k internetu</w:t>
      </w:r>
      <w:r w:rsidR="00E4215C" w:rsidRPr="008B1755">
        <w:rPr>
          <w:lang w:val="cs-CZ"/>
        </w:rPr>
        <w:t>;</w:t>
      </w:r>
    </w:p>
    <w:p w:rsidR="002B5E6F" w:rsidRPr="008B1755" w:rsidRDefault="00A82AD1" w:rsidP="0038751B">
      <w:pPr>
        <w:pStyle w:val="Odstavecseseznamem"/>
        <w:numPr>
          <w:ilvl w:val="0"/>
          <w:numId w:val="18"/>
        </w:numPr>
        <w:spacing w:after="120"/>
        <w:ind w:left="1077" w:hanging="357"/>
        <w:rPr>
          <w:lang w:val="cs-CZ"/>
        </w:rPr>
      </w:pPr>
      <w:r w:rsidRPr="008B1755">
        <w:rPr>
          <w:rStyle w:val="BERECChar"/>
          <w:lang w:val="cs-CZ"/>
        </w:rPr>
        <w:t>jsou optimalizovány pro konkrétní obsah, aplikace nebo služby, případně jejich kombinaci</w:t>
      </w:r>
      <w:r w:rsidR="00E4215C" w:rsidRPr="008B1755">
        <w:rPr>
          <w:lang w:val="cs-CZ"/>
        </w:rPr>
        <w:t>;</w:t>
      </w:r>
    </w:p>
    <w:p w:rsidR="002B5E6F" w:rsidRPr="008B1755" w:rsidRDefault="00A82AD1" w:rsidP="0038751B">
      <w:pPr>
        <w:pStyle w:val="Odstavecseseznamem"/>
        <w:numPr>
          <w:ilvl w:val="0"/>
          <w:numId w:val="18"/>
        </w:numPr>
        <w:spacing w:after="120"/>
        <w:ind w:left="1077" w:hanging="357"/>
        <w:rPr>
          <w:lang w:val="cs-CZ"/>
        </w:rPr>
      </w:pPr>
      <w:r w:rsidRPr="008B1755">
        <w:rPr>
          <w:rStyle w:val="BERECChar"/>
          <w:lang w:val="cs-CZ"/>
        </w:rPr>
        <w:t>optimalizace je objektivně nezbytná ke splnění požadavků na obsah, aplikace nebo služby pro určitou úroveň kvality</w:t>
      </w:r>
      <w:r w:rsidR="00E4215C" w:rsidRPr="008B1755">
        <w:rPr>
          <w:lang w:val="cs-CZ"/>
        </w:rPr>
        <w:t>.</w:t>
      </w:r>
    </w:p>
    <w:p w:rsidR="00FA600B" w:rsidRPr="008B1755" w:rsidRDefault="00251CF1" w:rsidP="0038751B">
      <w:pPr>
        <w:numPr>
          <w:ilvl w:val="0"/>
          <w:numId w:val="2"/>
        </w:numPr>
        <w:spacing w:after="120"/>
        <w:rPr>
          <w:lang w:val="cs-CZ"/>
        </w:rPr>
      </w:pPr>
      <w:r w:rsidRPr="008B1755">
        <w:rPr>
          <w:lang w:val="cs-CZ"/>
        </w:rPr>
        <w:t xml:space="preserve">Jejich poskytování musí splnit řadu podmínek uvedených </w:t>
      </w:r>
      <w:r w:rsidR="00F064F8" w:rsidRPr="008B1755">
        <w:rPr>
          <w:lang w:val="cs-CZ"/>
        </w:rPr>
        <w:t>v článku</w:t>
      </w:r>
      <w:r w:rsidR="009D3A42" w:rsidRPr="008B1755">
        <w:rPr>
          <w:lang w:val="cs-CZ"/>
        </w:rPr>
        <w:t xml:space="preserve"> </w:t>
      </w:r>
      <w:r w:rsidR="003D7133" w:rsidRPr="008B1755">
        <w:rPr>
          <w:lang w:val="cs-CZ"/>
        </w:rPr>
        <w:t>3 odst. 5</w:t>
      </w:r>
      <w:r w:rsidRPr="008B1755">
        <w:rPr>
          <w:lang w:val="cs-CZ"/>
        </w:rPr>
        <w:t>,</w:t>
      </w:r>
      <w:r w:rsidR="00FA600B" w:rsidRPr="008B1755">
        <w:rPr>
          <w:lang w:val="cs-CZ"/>
        </w:rPr>
        <w:t xml:space="preserve"> </w:t>
      </w:r>
      <w:r w:rsidR="001D70F8" w:rsidRPr="008B1755">
        <w:rPr>
          <w:lang w:val="cs-CZ"/>
        </w:rPr>
        <w:t>druhý pododstavec</w:t>
      </w:r>
      <w:r w:rsidR="00FA600B" w:rsidRPr="008B1755">
        <w:rPr>
          <w:lang w:val="cs-CZ"/>
        </w:rPr>
        <w:t xml:space="preserve">, </w:t>
      </w:r>
      <w:r w:rsidRPr="008B1755">
        <w:rPr>
          <w:lang w:val="cs-CZ"/>
        </w:rPr>
        <w:t>zejména</w:t>
      </w:r>
      <w:r w:rsidR="00FA600B" w:rsidRPr="008B1755">
        <w:rPr>
          <w:lang w:val="cs-CZ"/>
        </w:rPr>
        <w:t>:</w:t>
      </w:r>
    </w:p>
    <w:p w:rsidR="00FA600B" w:rsidRPr="008B1755" w:rsidRDefault="00251CF1" w:rsidP="0038751B">
      <w:pPr>
        <w:pStyle w:val="Odstavecseseznamem"/>
        <w:numPr>
          <w:ilvl w:val="0"/>
          <w:numId w:val="18"/>
        </w:numPr>
        <w:spacing w:after="120"/>
        <w:ind w:left="1077" w:hanging="357"/>
        <w:rPr>
          <w:lang w:val="cs-CZ"/>
        </w:rPr>
      </w:pPr>
      <w:r w:rsidRPr="008B1755">
        <w:rPr>
          <w:rStyle w:val="BERECChar"/>
          <w:lang w:val="cs-CZ"/>
        </w:rPr>
        <w:t>kapacita sítě musí být dostatečná k jejich poskytování jako doplnění k poskytovaným službám přístupu k internetu</w:t>
      </w:r>
      <w:r w:rsidR="00E4215C" w:rsidRPr="008B1755">
        <w:rPr>
          <w:lang w:val="cs-CZ"/>
        </w:rPr>
        <w:t>;</w:t>
      </w:r>
    </w:p>
    <w:p w:rsidR="00FA600B" w:rsidRPr="008B1755" w:rsidRDefault="00244C91" w:rsidP="0038751B">
      <w:pPr>
        <w:pStyle w:val="Odstavecseseznamem"/>
        <w:numPr>
          <w:ilvl w:val="0"/>
          <w:numId w:val="18"/>
        </w:numPr>
        <w:spacing w:after="120"/>
        <w:ind w:left="1077" w:hanging="357"/>
        <w:rPr>
          <w:lang w:val="cs-CZ"/>
        </w:rPr>
      </w:pPr>
      <w:r w:rsidRPr="008B1755">
        <w:rPr>
          <w:lang w:val="cs-CZ"/>
        </w:rPr>
        <w:t>specializované služby</w:t>
      </w:r>
      <w:r w:rsidR="00FA600B" w:rsidRPr="008B1755">
        <w:rPr>
          <w:lang w:val="cs-CZ"/>
        </w:rPr>
        <w:t xml:space="preserve"> </w:t>
      </w:r>
      <w:r w:rsidR="00251CF1" w:rsidRPr="008B1755">
        <w:rPr>
          <w:rStyle w:val="BERECChar"/>
          <w:lang w:val="cs-CZ"/>
        </w:rPr>
        <w:t>nesmějí být používány ani nabízeny jako náhrada za</w:t>
      </w:r>
      <w:r w:rsidR="00251CF1" w:rsidRPr="008B1755">
        <w:rPr>
          <w:rFonts w:ascii="Lucida Sans Unicode" w:hAnsi="Lucida Sans Unicode" w:cs="Lucida Sans Unicode"/>
          <w:color w:val="444444"/>
          <w:sz w:val="19"/>
          <w:szCs w:val="19"/>
          <w:lang w:val="cs-CZ"/>
        </w:rPr>
        <w:t xml:space="preserve"> </w:t>
      </w:r>
      <w:r w:rsidR="00AF415C" w:rsidRPr="008B1755">
        <w:rPr>
          <w:lang w:val="cs-CZ"/>
        </w:rPr>
        <w:t>službu</w:t>
      </w:r>
      <w:r w:rsidR="00DD272F" w:rsidRPr="008B1755">
        <w:rPr>
          <w:lang w:val="cs-CZ"/>
        </w:rPr>
        <w:t xml:space="preserve"> přístupu k internetu</w:t>
      </w:r>
      <w:r w:rsidR="00E4215C" w:rsidRPr="008B1755">
        <w:rPr>
          <w:lang w:val="cs-CZ"/>
        </w:rPr>
        <w:t>;</w:t>
      </w:r>
    </w:p>
    <w:p w:rsidR="00FA600B" w:rsidRPr="008B1755" w:rsidRDefault="00244C91" w:rsidP="0038751B">
      <w:pPr>
        <w:pStyle w:val="Odstavecseseznamem"/>
        <w:numPr>
          <w:ilvl w:val="0"/>
          <w:numId w:val="18"/>
        </w:numPr>
        <w:spacing w:after="120"/>
        <w:ind w:left="1077" w:hanging="357"/>
        <w:contextualSpacing w:val="0"/>
        <w:rPr>
          <w:lang w:val="cs-CZ"/>
        </w:rPr>
      </w:pPr>
      <w:r w:rsidRPr="008B1755">
        <w:rPr>
          <w:lang w:val="cs-CZ"/>
        </w:rPr>
        <w:t>specializované služby</w:t>
      </w:r>
      <w:r w:rsidR="00FA600B" w:rsidRPr="008B1755">
        <w:rPr>
          <w:lang w:val="cs-CZ"/>
        </w:rPr>
        <w:t xml:space="preserve"> </w:t>
      </w:r>
      <w:r w:rsidR="00251CF1" w:rsidRPr="008B1755">
        <w:rPr>
          <w:rStyle w:val="BERECChar"/>
          <w:lang w:val="cs-CZ"/>
        </w:rPr>
        <w:t>nesmějí být na úkor dostupnosti nebo obecné kvality služeb přístupu k internetu pro koncové uživatele</w:t>
      </w:r>
      <w:r w:rsidR="00E4215C" w:rsidRPr="008B1755">
        <w:rPr>
          <w:lang w:val="cs-CZ"/>
        </w:rPr>
        <w:t>.</w:t>
      </w:r>
    </w:p>
    <w:p w:rsidR="00FA600B" w:rsidRPr="008B1755" w:rsidRDefault="00251CF1" w:rsidP="0038751B">
      <w:pPr>
        <w:pStyle w:val="Odstavecseseznamem"/>
        <w:numPr>
          <w:ilvl w:val="0"/>
          <w:numId w:val="2"/>
        </w:numPr>
        <w:spacing w:after="120"/>
        <w:rPr>
          <w:lang w:val="cs-CZ"/>
        </w:rPr>
      </w:pPr>
      <w:r w:rsidRPr="008B1755">
        <w:rPr>
          <w:lang w:val="cs-CZ"/>
        </w:rPr>
        <w:t>Podle bodu 16 ú</w:t>
      </w:r>
      <w:r w:rsidR="00946CEA" w:rsidRPr="008B1755">
        <w:rPr>
          <w:lang w:val="cs-CZ"/>
        </w:rPr>
        <w:t>vodní část</w:t>
      </w:r>
      <w:r w:rsidRPr="008B1755">
        <w:rPr>
          <w:lang w:val="cs-CZ"/>
        </w:rPr>
        <w:t>i</w:t>
      </w:r>
      <w:r w:rsidR="00946CEA" w:rsidRPr="008B1755">
        <w:rPr>
          <w:lang w:val="cs-CZ"/>
        </w:rPr>
        <w:t xml:space="preserve"> Nařízení</w:t>
      </w:r>
      <w:r w:rsidRPr="008B1755">
        <w:rPr>
          <w:lang w:val="cs-CZ"/>
        </w:rPr>
        <w:t xml:space="preserve"> nesmí být služba používaná k obcházení </w:t>
      </w:r>
      <w:r w:rsidRPr="008B1755">
        <w:rPr>
          <w:rStyle w:val="BERECChar"/>
          <w:lang w:val="cs-CZ"/>
        </w:rPr>
        <w:t>ustanovení o opatřeních řízení provozu ve vztahu ke službám přístupu k internetu</w:t>
      </w:r>
      <w:r w:rsidR="00FA600B" w:rsidRPr="008B1755">
        <w:rPr>
          <w:lang w:val="cs-CZ"/>
        </w:rPr>
        <w:t>.</w:t>
      </w:r>
    </w:p>
    <w:p w:rsidR="00FA600B" w:rsidRPr="008B1755" w:rsidRDefault="00251CF1" w:rsidP="0038751B">
      <w:pPr>
        <w:numPr>
          <w:ilvl w:val="0"/>
          <w:numId w:val="2"/>
        </w:numPr>
        <w:spacing w:after="120"/>
        <w:rPr>
          <w:lang w:val="cs-CZ"/>
        </w:rPr>
      </w:pPr>
      <w:r w:rsidRPr="008B1755">
        <w:rPr>
          <w:lang w:val="cs-CZ"/>
        </w:rPr>
        <w:t xml:space="preserve">Všechny tyto záruky mají za cíl zajistit trvalou dostupnost a celkovou kvalitu </w:t>
      </w:r>
      <w:r w:rsidR="003F683B">
        <w:rPr>
          <w:lang w:val="cs-CZ"/>
        </w:rPr>
        <w:t xml:space="preserve">„best effort“ </w:t>
      </w:r>
      <w:r w:rsidR="00DD272F" w:rsidRPr="008B1755">
        <w:rPr>
          <w:lang w:val="cs-CZ"/>
        </w:rPr>
        <w:t>služb</w:t>
      </w:r>
      <w:r w:rsidRPr="008B1755">
        <w:rPr>
          <w:lang w:val="cs-CZ"/>
        </w:rPr>
        <w:t>y</w:t>
      </w:r>
      <w:r w:rsidR="00DD272F" w:rsidRPr="008B1755">
        <w:rPr>
          <w:lang w:val="cs-CZ"/>
        </w:rPr>
        <w:t xml:space="preserve"> přístupu k</w:t>
      </w:r>
      <w:r w:rsidRPr="008B1755">
        <w:rPr>
          <w:lang w:val="cs-CZ"/>
        </w:rPr>
        <w:t> </w:t>
      </w:r>
      <w:r w:rsidR="00DD272F" w:rsidRPr="008B1755">
        <w:rPr>
          <w:lang w:val="cs-CZ"/>
        </w:rPr>
        <w:t>internetu</w:t>
      </w:r>
      <w:r w:rsidR="0080686C" w:rsidRPr="005A258A">
        <w:rPr>
          <w:lang w:val="cs-CZ"/>
        </w:rPr>
        <w:t>.</w:t>
      </w:r>
    </w:p>
    <w:p w:rsidR="00F055C4" w:rsidRPr="008B1755" w:rsidRDefault="00251CF1" w:rsidP="0038751B">
      <w:pPr>
        <w:numPr>
          <w:ilvl w:val="0"/>
          <w:numId w:val="2"/>
        </w:numPr>
        <w:spacing w:after="120"/>
        <w:rPr>
          <w:lang w:val="cs-CZ"/>
        </w:rPr>
      </w:pPr>
      <w:r w:rsidRPr="008B1755">
        <w:rPr>
          <w:lang w:val="cs-CZ"/>
        </w:rPr>
        <w:t xml:space="preserve">Vnitrostátní </w:t>
      </w:r>
      <w:r w:rsidR="00926BAE" w:rsidRPr="008B1755">
        <w:rPr>
          <w:lang w:val="cs-CZ"/>
        </w:rPr>
        <w:t>regulační orgány</w:t>
      </w:r>
      <w:r w:rsidR="00A3451E" w:rsidRPr="008B1755">
        <w:rPr>
          <w:lang w:val="cs-CZ"/>
        </w:rPr>
        <w:t xml:space="preserve"> </w:t>
      </w:r>
      <w:r w:rsidRPr="008B1755">
        <w:rPr>
          <w:lang w:val="cs-CZ"/>
        </w:rPr>
        <w:t xml:space="preserve">by měly ověřit, zda je možné aplikaci poskytovat prostřednictvím </w:t>
      </w:r>
      <w:r w:rsidR="00DD272F" w:rsidRPr="008B1755">
        <w:rPr>
          <w:lang w:val="cs-CZ"/>
        </w:rPr>
        <w:t>služb</w:t>
      </w:r>
      <w:r w:rsidRPr="008B1755">
        <w:rPr>
          <w:lang w:val="cs-CZ"/>
        </w:rPr>
        <w:t>y</w:t>
      </w:r>
      <w:r w:rsidR="00DD272F" w:rsidRPr="008B1755">
        <w:rPr>
          <w:lang w:val="cs-CZ"/>
        </w:rPr>
        <w:t xml:space="preserve"> přístupu k internetu</w:t>
      </w:r>
      <w:r w:rsidR="009D3A42" w:rsidRPr="008B1755">
        <w:rPr>
          <w:lang w:val="cs-CZ"/>
        </w:rPr>
        <w:t xml:space="preserve"> </w:t>
      </w:r>
      <w:r w:rsidRPr="008B1755">
        <w:rPr>
          <w:lang w:val="cs-CZ"/>
        </w:rPr>
        <w:t xml:space="preserve">na </w:t>
      </w:r>
      <w:r w:rsidR="003F683B">
        <w:rPr>
          <w:lang w:val="cs-CZ"/>
        </w:rPr>
        <w:t xml:space="preserve">takových </w:t>
      </w:r>
      <w:r w:rsidRPr="008B1755">
        <w:rPr>
          <w:lang w:val="cs-CZ"/>
        </w:rPr>
        <w:t>úrovních kvality, které jsou objektivně nezbytné ve vztahu k této aplikaci</w:t>
      </w:r>
      <w:r w:rsidR="00B35884" w:rsidRPr="008B1755">
        <w:rPr>
          <w:lang w:val="cs-CZ"/>
        </w:rPr>
        <w:t xml:space="preserve">, </w:t>
      </w:r>
      <w:r w:rsidRPr="008B1755">
        <w:rPr>
          <w:lang w:val="cs-CZ"/>
        </w:rPr>
        <w:t>nebo zda jsou spíše stanoven</w:t>
      </w:r>
      <w:r w:rsidR="00AB13A1" w:rsidRPr="008B1755">
        <w:rPr>
          <w:lang w:val="cs-CZ"/>
        </w:rPr>
        <w:t>y</w:t>
      </w:r>
      <w:r w:rsidRPr="008B1755">
        <w:rPr>
          <w:lang w:val="cs-CZ"/>
        </w:rPr>
        <w:t xml:space="preserve"> za účelem obcházení ustanovení o </w:t>
      </w:r>
      <w:r w:rsidR="00466D10" w:rsidRPr="008B1755">
        <w:rPr>
          <w:lang w:val="cs-CZ"/>
        </w:rPr>
        <w:t>opatření</w:t>
      </w:r>
      <w:r w:rsidRPr="008B1755">
        <w:rPr>
          <w:lang w:val="cs-CZ"/>
        </w:rPr>
        <w:t>ch</w:t>
      </w:r>
      <w:r w:rsidR="00466D10" w:rsidRPr="008B1755">
        <w:rPr>
          <w:lang w:val="cs-CZ"/>
        </w:rPr>
        <w:t xml:space="preserve"> řízení provozu</w:t>
      </w:r>
      <w:r w:rsidR="00F055C4" w:rsidRPr="008B1755">
        <w:rPr>
          <w:lang w:val="cs-CZ"/>
        </w:rPr>
        <w:t xml:space="preserve"> </w:t>
      </w:r>
      <w:r w:rsidRPr="008B1755">
        <w:rPr>
          <w:lang w:val="cs-CZ"/>
        </w:rPr>
        <w:t xml:space="preserve">platných pro </w:t>
      </w:r>
      <w:r w:rsidR="00DD272F" w:rsidRPr="008B1755">
        <w:rPr>
          <w:lang w:val="cs-CZ"/>
        </w:rPr>
        <w:t>služb</w:t>
      </w:r>
      <w:r w:rsidRPr="008B1755">
        <w:rPr>
          <w:lang w:val="cs-CZ"/>
        </w:rPr>
        <w:t>u</w:t>
      </w:r>
      <w:r w:rsidR="00DD272F" w:rsidRPr="008B1755">
        <w:rPr>
          <w:lang w:val="cs-CZ"/>
        </w:rPr>
        <w:t xml:space="preserve"> přístupu k internetu</w:t>
      </w:r>
      <w:r w:rsidR="00B35884" w:rsidRPr="008B1755">
        <w:rPr>
          <w:lang w:val="cs-CZ"/>
        </w:rPr>
        <w:t xml:space="preserve">, </w:t>
      </w:r>
      <w:r w:rsidRPr="008B1755">
        <w:rPr>
          <w:lang w:val="cs-CZ"/>
        </w:rPr>
        <w:t>což by nebylo přípustné</w:t>
      </w:r>
      <w:r w:rsidR="00B35884" w:rsidRPr="008B1755">
        <w:rPr>
          <w:lang w:val="cs-CZ"/>
        </w:rPr>
        <w:t>.</w:t>
      </w:r>
      <w:r w:rsidR="00DE1350" w:rsidRPr="008B1755">
        <w:rPr>
          <w:lang w:val="cs-CZ"/>
        </w:rPr>
        <w:t xml:space="preserve"> </w:t>
      </w:r>
    </w:p>
    <w:p w:rsidR="008B5AF2" w:rsidRPr="008B1755" w:rsidRDefault="00A82AD1" w:rsidP="00262769">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 xml:space="preserve">Posouzení podle čl. </w:t>
      </w:r>
      <w:r w:rsidR="00DD272F" w:rsidRPr="008B1755">
        <w:rPr>
          <w:rFonts w:eastAsia="SimSun"/>
          <w:bCs/>
          <w:i/>
          <w:iCs/>
          <w:sz w:val="24"/>
          <w:szCs w:val="24"/>
          <w:u w:val="single"/>
          <w:lang w:val="cs-CZ"/>
        </w:rPr>
        <w:t xml:space="preserve">3 odst. </w:t>
      </w:r>
      <w:r w:rsidR="00B35884" w:rsidRPr="008B1755">
        <w:rPr>
          <w:rFonts w:eastAsia="SimSun"/>
          <w:bCs/>
          <w:i/>
          <w:iCs/>
          <w:sz w:val="24"/>
          <w:szCs w:val="24"/>
          <w:u w:val="single"/>
          <w:lang w:val="cs-CZ"/>
        </w:rPr>
        <w:t>5</w:t>
      </w:r>
      <w:r w:rsidRPr="008B1755">
        <w:rPr>
          <w:rFonts w:eastAsia="SimSun"/>
          <w:bCs/>
          <w:i/>
          <w:iCs/>
          <w:sz w:val="24"/>
          <w:szCs w:val="24"/>
          <w:u w:val="single"/>
          <w:lang w:val="cs-CZ"/>
        </w:rPr>
        <w:t>,</w:t>
      </w:r>
      <w:r w:rsidR="00B35884" w:rsidRPr="008B1755">
        <w:rPr>
          <w:rFonts w:eastAsia="SimSun"/>
          <w:bCs/>
          <w:i/>
          <w:iCs/>
          <w:sz w:val="24"/>
          <w:szCs w:val="24"/>
          <w:u w:val="single"/>
          <w:lang w:val="cs-CZ"/>
        </w:rPr>
        <w:t xml:space="preserve"> </w:t>
      </w:r>
      <w:r w:rsidR="001D70F8" w:rsidRPr="008B1755">
        <w:rPr>
          <w:rFonts w:eastAsia="SimSun"/>
          <w:bCs/>
          <w:i/>
          <w:iCs/>
          <w:sz w:val="24"/>
          <w:szCs w:val="24"/>
          <w:u w:val="single"/>
          <w:lang w:val="cs-CZ"/>
        </w:rPr>
        <w:t>první pododstavec</w:t>
      </w:r>
    </w:p>
    <w:p w:rsidR="008B5AF2" w:rsidRPr="008B1755" w:rsidRDefault="003F683B" w:rsidP="0038751B">
      <w:pPr>
        <w:pStyle w:val="Odstavecseseznamem"/>
        <w:numPr>
          <w:ilvl w:val="0"/>
          <w:numId w:val="2"/>
        </w:numPr>
        <w:spacing w:after="120"/>
        <w:contextualSpacing w:val="0"/>
        <w:rPr>
          <w:lang w:val="cs-CZ"/>
        </w:rPr>
      </w:pPr>
      <w:r>
        <w:rPr>
          <w:lang w:val="cs-CZ"/>
        </w:rPr>
        <w:t>P</w:t>
      </w:r>
      <w:r w:rsidRPr="008B1755">
        <w:rPr>
          <w:lang w:val="cs-CZ"/>
        </w:rPr>
        <w:t xml:space="preserve">ožadavek </w:t>
      </w:r>
      <w:r>
        <w:rPr>
          <w:lang w:val="cs-CZ"/>
        </w:rPr>
        <w:t xml:space="preserve">na kvalitu aplikace </w:t>
      </w:r>
      <w:r w:rsidR="00AB13A1" w:rsidRPr="008B1755">
        <w:rPr>
          <w:lang w:val="cs-CZ"/>
        </w:rPr>
        <w:t xml:space="preserve">může být </w:t>
      </w:r>
      <w:r>
        <w:rPr>
          <w:lang w:val="cs-CZ"/>
        </w:rPr>
        <w:t xml:space="preserve">zpočátku </w:t>
      </w:r>
      <w:r w:rsidR="00AB13A1" w:rsidRPr="008B1755">
        <w:rPr>
          <w:lang w:val="cs-CZ"/>
        </w:rPr>
        <w:t xml:space="preserve">stanoven poskytovatelem </w:t>
      </w:r>
      <w:r w:rsidR="00244C91" w:rsidRPr="008B1755">
        <w:rPr>
          <w:lang w:val="cs-CZ"/>
        </w:rPr>
        <w:t>specializovan</w:t>
      </w:r>
      <w:r w:rsidR="00AB13A1" w:rsidRPr="008B1755">
        <w:rPr>
          <w:lang w:val="cs-CZ"/>
        </w:rPr>
        <w:t>é</w:t>
      </w:r>
      <w:r w:rsidR="00244C91" w:rsidRPr="008B1755">
        <w:rPr>
          <w:lang w:val="cs-CZ"/>
        </w:rPr>
        <w:t xml:space="preserve"> služb</w:t>
      </w:r>
      <w:r w:rsidR="00AB13A1" w:rsidRPr="008B1755">
        <w:rPr>
          <w:lang w:val="cs-CZ"/>
        </w:rPr>
        <w:t>y</w:t>
      </w:r>
      <w:r w:rsidR="008B5AF2" w:rsidRPr="008B1755">
        <w:rPr>
          <w:lang w:val="cs-CZ"/>
        </w:rPr>
        <w:t>,</w:t>
      </w:r>
      <w:r w:rsidR="00A3451E" w:rsidRPr="008B1755">
        <w:rPr>
          <w:lang w:val="cs-CZ"/>
        </w:rPr>
        <w:t xml:space="preserve"> </w:t>
      </w:r>
      <w:r w:rsidR="00AB13A1" w:rsidRPr="008B1755">
        <w:rPr>
          <w:lang w:val="cs-CZ"/>
        </w:rPr>
        <w:t>i když požadavky mohou být rovněž nedílnou součástí samotné aplikace</w:t>
      </w:r>
      <w:r w:rsidR="008B5AF2" w:rsidRPr="008B1755">
        <w:rPr>
          <w:lang w:val="cs-CZ"/>
        </w:rPr>
        <w:t xml:space="preserve">. </w:t>
      </w:r>
      <w:r w:rsidR="00AB13A1" w:rsidRPr="008B1755">
        <w:rPr>
          <w:lang w:val="cs-CZ"/>
        </w:rPr>
        <w:t xml:space="preserve">Například </w:t>
      </w:r>
      <w:r w:rsidR="008B5AF2" w:rsidRPr="008B1755">
        <w:rPr>
          <w:lang w:val="cs-CZ"/>
        </w:rPr>
        <w:t xml:space="preserve">video </w:t>
      </w:r>
      <w:r w:rsidR="00AB13A1" w:rsidRPr="008B1755">
        <w:rPr>
          <w:lang w:val="cs-CZ"/>
        </w:rPr>
        <w:t xml:space="preserve">aplikace by mohla používat </w:t>
      </w:r>
      <w:r w:rsidR="008B5AF2" w:rsidRPr="008B1755">
        <w:rPr>
          <w:lang w:val="cs-CZ"/>
        </w:rPr>
        <w:t>standard</w:t>
      </w:r>
      <w:r w:rsidR="00AB13A1" w:rsidRPr="008B1755">
        <w:rPr>
          <w:lang w:val="cs-CZ"/>
        </w:rPr>
        <w:t>ní rozlišení s nízkou přenosovou rychlostí nebo ultra vysoké rozlišení s vysokou přenosovou rychlostí</w:t>
      </w:r>
      <w:r w:rsidR="008B5AF2" w:rsidRPr="008B1755">
        <w:rPr>
          <w:lang w:val="cs-CZ"/>
        </w:rPr>
        <w:t xml:space="preserve">, </w:t>
      </w:r>
      <w:r w:rsidR="00AB13A1" w:rsidRPr="008B1755">
        <w:rPr>
          <w:lang w:val="cs-CZ"/>
        </w:rPr>
        <w:t>přičemž tyto dvě formy mají zjevně různé požadavky na kvalitu služby</w:t>
      </w:r>
      <w:r w:rsidR="008B5AF2" w:rsidRPr="008B1755">
        <w:rPr>
          <w:lang w:val="cs-CZ"/>
        </w:rPr>
        <w:t>.</w:t>
      </w:r>
      <w:r w:rsidR="00A3451E" w:rsidRPr="008B1755">
        <w:rPr>
          <w:lang w:val="cs-CZ"/>
        </w:rPr>
        <w:t xml:space="preserve"> </w:t>
      </w:r>
      <w:r w:rsidR="00AB13A1" w:rsidRPr="008B1755">
        <w:rPr>
          <w:lang w:val="cs-CZ"/>
        </w:rPr>
        <w:t xml:space="preserve">Typickým příkladem vlastních požadavků je nízká </w:t>
      </w:r>
      <w:r w:rsidR="0002204E">
        <w:rPr>
          <w:lang w:val="cs-CZ"/>
        </w:rPr>
        <w:t xml:space="preserve">latence </w:t>
      </w:r>
      <w:r w:rsidR="00AB13A1" w:rsidRPr="008B1755">
        <w:rPr>
          <w:lang w:val="cs-CZ"/>
        </w:rPr>
        <w:t>u aplikací v reálném čase</w:t>
      </w:r>
      <w:r w:rsidR="00A3451E" w:rsidRPr="008B1755">
        <w:rPr>
          <w:lang w:val="cs-CZ"/>
        </w:rPr>
        <w:t>.</w:t>
      </w:r>
      <w:r w:rsidR="00894935" w:rsidRPr="008B1755">
        <w:rPr>
          <w:lang w:val="cs-CZ"/>
        </w:rPr>
        <w:t xml:space="preserve"> </w:t>
      </w:r>
    </w:p>
    <w:p w:rsidR="00B35884" w:rsidRPr="008B1755" w:rsidRDefault="00C1595E" w:rsidP="0038751B">
      <w:pPr>
        <w:numPr>
          <w:ilvl w:val="0"/>
          <w:numId w:val="2"/>
        </w:numPr>
        <w:spacing w:after="120"/>
        <w:rPr>
          <w:lang w:val="cs-CZ"/>
        </w:rPr>
      </w:pPr>
      <w:r w:rsidRPr="008B1755">
        <w:rPr>
          <w:lang w:val="cs-CZ"/>
        </w:rPr>
        <w:t>Při</w:t>
      </w:r>
      <w:r w:rsidR="00B35884" w:rsidRPr="008B1755">
        <w:rPr>
          <w:lang w:val="cs-CZ"/>
        </w:rPr>
        <w:t xml:space="preserve"> </w:t>
      </w:r>
      <w:r w:rsidRPr="008B1755">
        <w:rPr>
          <w:lang w:val="cs-CZ"/>
        </w:rPr>
        <w:t xml:space="preserve">posuzování, zda jsou praktiky používané při poskytování </w:t>
      </w:r>
      <w:r w:rsidR="00244C91" w:rsidRPr="008B1755">
        <w:rPr>
          <w:lang w:val="cs-CZ"/>
        </w:rPr>
        <w:t>specializovan</w:t>
      </w:r>
      <w:r w:rsidRPr="008B1755">
        <w:rPr>
          <w:lang w:val="cs-CZ"/>
        </w:rPr>
        <w:t>ých</w:t>
      </w:r>
      <w:r w:rsidR="00244C91" w:rsidRPr="008B1755">
        <w:rPr>
          <w:lang w:val="cs-CZ"/>
        </w:rPr>
        <w:t xml:space="preserve"> služ</w:t>
      </w:r>
      <w:r w:rsidRPr="008B1755">
        <w:rPr>
          <w:lang w:val="cs-CZ"/>
        </w:rPr>
        <w:t>e</w:t>
      </w:r>
      <w:r w:rsidR="00244C91" w:rsidRPr="008B1755">
        <w:rPr>
          <w:lang w:val="cs-CZ"/>
        </w:rPr>
        <w:t>b</w:t>
      </w:r>
      <w:r w:rsidR="00324809" w:rsidRPr="008B1755">
        <w:rPr>
          <w:lang w:val="cs-CZ"/>
        </w:rPr>
        <w:t xml:space="preserve"> </w:t>
      </w:r>
      <w:r w:rsidRPr="008B1755">
        <w:rPr>
          <w:lang w:val="cs-CZ"/>
        </w:rPr>
        <w:t xml:space="preserve">v souladu </w:t>
      </w:r>
      <w:r w:rsidR="00C974DA" w:rsidRPr="008B1755">
        <w:rPr>
          <w:lang w:val="cs-CZ"/>
        </w:rPr>
        <w:t>s článkem</w:t>
      </w:r>
      <w:r w:rsidR="00DD272F" w:rsidRPr="008B1755">
        <w:rPr>
          <w:lang w:val="cs-CZ"/>
        </w:rPr>
        <w:t xml:space="preserve"> 3 odst. </w:t>
      </w:r>
      <w:r w:rsidR="00B35884" w:rsidRPr="008B1755">
        <w:rPr>
          <w:lang w:val="cs-CZ"/>
        </w:rPr>
        <w:t>5</w:t>
      </w:r>
      <w:r w:rsidRPr="008B1755">
        <w:rPr>
          <w:lang w:val="cs-CZ"/>
        </w:rPr>
        <w:t>,</w:t>
      </w:r>
      <w:r w:rsidR="00B35884" w:rsidRPr="008B1755">
        <w:rPr>
          <w:lang w:val="cs-CZ"/>
        </w:rPr>
        <w:t xml:space="preserve"> </w:t>
      </w:r>
      <w:r w:rsidR="001D70F8" w:rsidRPr="008B1755">
        <w:rPr>
          <w:lang w:val="cs-CZ"/>
        </w:rPr>
        <w:t>první pododstavec</w:t>
      </w:r>
      <w:r w:rsidR="00B35884" w:rsidRPr="008B1755">
        <w:rPr>
          <w:lang w:val="cs-CZ"/>
        </w:rPr>
        <w:t xml:space="preserve">, </w:t>
      </w:r>
      <w:r w:rsidRPr="008B1755">
        <w:rPr>
          <w:lang w:val="cs-CZ"/>
        </w:rPr>
        <w:t xml:space="preserve">by </w:t>
      </w:r>
      <w:r w:rsidR="00926BAE" w:rsidRPr="008B1755">
        <w:rPr>
          <w:lang w:val="cs-CZ"/>
        </w:rPr>
        <w:t>vnitrostátní regulační orgány</w:t>
      </w:r>
      <w:r w:rsidR="00B35884" w:rsidRPr="008B1755">
        <w:rPr>
          <w:lang w:val="cs-CZ"/>
        </w:rPr>
        <w:t xml:space="preserve"> </w:t>
      </w:r>
      <w:r w:rsidRPr="008B1755">
        <w:rPr>
          <w:lang w:val="cs-CZ"/>
        </w:rPr>
        <w:t xml:space="preserve">měly postupovat podle </w:t>
      </w:r>
      <w:r w:rsidR="00D2652F">
        <w:rPr>
          <w:lang w:val="cs-CZ"/>
        </w:rPr>
        <w:t>bod</w:t>
      </w:r>
      <w:r w:rsidRPr="008B1755">
        <w:rPr>
          <w:lang w:val="cs-CZ"/>
        </w:rPr>
        <w:t>ů</w:t>
      </w:r>
      <w:r w:rsidR="004E00A3" w:rsidRPr="008B1755">
        <w:rPr>
          <w:lang w:val="cs-CZ"/>
        </w:rPr>
        <w:t xml:space="preserve"> </w:t>
      </w:r>
      <w:r w:rsidR="00AF415C" w:rsidRPr="008B1755">
        <w:rPr>
          <w:lang w:val="cs-CZ"/>
        </w:rPr>
        <w:fldChar w:fldCharType="begin"/>
      </w:r>
      <w:r w:rsidR="00AF415C" w:rsidRPr="008B1755">
        <w:rPr>
          <w:lang w:val="cs-CZ"/>
        </w:rPr>
        <w:instrText xml:space="preserve"> REF _Ref449700976 \r \h  \* MERGEFORMAT </w:instrText>
      </w:r>
      <w:r w:rsidR="00AF415C" w:rsidRPr="008B1755">
        <w:rPr>
          <w:lang w:val="cs-CZ"/>
        </w:rPr>
      </w:r>
      <w:r w:rsidR="00AF415C" w:rsidRPr="008B1755">
        <w:rPr>
          <w:lang w:val="cs-CZ"/>
        </w:rPr>
        <w:fldChar w:fldCharType="separate"/>
      </w:r>
      <w:r w:rsidR="003B403B" w:rsidRPr="008B1755">
        <w:rPr>
          <w:lang w:val="cs-CZ"/>
        </w:rPr>
        <w:t>108</w:t>
      </w:r>
      <w:r w:rsidR="00AF415C" w:rsidRPr="008B1755">
        <w:rPr>
          <w:lang w:val="cs-CZ"/>
        </w:rPr>
        <w:fldChar w:fldCharType="end"/>
      </w:r>
      <w:r w:rsidR="004E00A3" w:rsidRPr="008B1755">
        <w:rPr>
          <w:lang w:val="cs-CZ"/>
        </w:rPr>
        <w:t>-</w:t>
      </w:r>
      <w:r w:rsidR="005536E9">
        <w:rPr>
          <w:lang w:val="cs-CZ"/>
        </w:rPr>
        <w:t>115</w:t>
      </w:r>
      <w:r w:rsidR="004E00A3" w:rsidRPr="006E156D">
        <w:rPr>
          <w:lang w:val="cs-CZ"/>
        </w:rPr>
        <w:t>.</w:t>
      </w:r>
    </w:p>
    <w:p w:rsidR="00B35884" w:rsidRPr="008B1755" w:rsidRDefault="00C1595E" w:rsidP="0038751B">
      <w:pPr>
        <w:numPr>
          <w:ilvl w:val="0"/>
          <w:numId w:val="2"/>
        </w:numPr>
        <w:spacing w:after="120"/>
        <w:rPr>
          <w:lang w:val="cs-CZ"/>
        </w:rPr>
      </w:pPr>
      <w:bookmarkStart w:id="44" w:name="_Ref449700976"/>
      <w:r w:rsidRPr="008B1755">
        <w:rPr>
          <w:lang w:val="cs-CZ"/>
        </w:rPr>
        <w:t xml:space="preserve">Vnitrostátní </w:t>
      </w:r>
      <w:r w:rsidR="00926BAE" w:rsidRPr="008B1755">
        <w:rPr>
          <w:lang w:val="cs-CZ"/>
        </w:rPr>
        <w:t>regulační orgány</w:t>
      </w:r>
      <w:r w:rsidR="00B35884" w:rsidRPr="008B1755">
        <w:rPr>
          <w:lang w:val="cs-CZ"/>
        </w:rPr>
        <w:t xml:space="preserve"> </w:t>
      </w:r>
      <w:r w:rsidRPr="008B1755">
        <w:rPr>
          <w:lang w:val="cs-CZ"/>
        </w:rPr>
        <w:t xml:space="preserve">si mohou </w:t>
      </w:r>
      <w:r w:rsidR="008F6AC8" w:rsidRPr="008B1755">
        <w:rPr>
          <w:lang w:val="cs-CZ"/>
        </w:rPr>
        <w:t>s využitím pravomocí udělených čl. 5 odst. 2</w:t>
      </w:r>
      <w:r w:rsidR="008F6AC8">
        <w:rPr>
          <w:lang w:val="cs-CZ"/>
        </w:rPr>
        <w:t xml:space="preserve"> </w:t>
      </w:r>
      <w:r w:rsidRPr="008B1755">
        <w:rPr>
          <w:lang w:val="cs-CZ"/>
        </w:rPr>
        <w:t xml:space="preserve">od poskytovatele vyžádat příslušné informace o jeho </w:t>
      </w:r>
      <w:r w:rsidR="00244C91" w:rsidRPr="008B1755">
        <w:rPr>
          <w:lang w:val="cs-CZ"/>
        </w:rPr>
        <w:t>specializovan</w:t>
      </w:r>
      <w:r w:rsidRPr="008B1755">
        <w:rPr>
          <w:lang w:val="cs-CZ"/>
        </w:rPr>
        <w:t>ých</w:t>
      </w:r>
      <w:r w:rsidR="00244C91" w:rsidRPr="008B1755">
        <w:rPr>
          <w:lang w:val="cs-CZ"/>
        </w:rPr>
        <w:t xml:space="preserve"> služb</w:t>
      </w:r>
      <w:r w:rsidRPr="008B1755">
        <w:rPr>
          <w:lang w:val="cs-CZ"/>
        </w:rPr>
        <w:t>ách</w:t>
      </w:r>
      <w:r w:rsidR="00B35884" w:rsidRPr="008B1755">
        <w:rPr>
          <w:lang w:val="cs-CZ"/>
        </w:rPr>
        <w:t xml:space="preserve">. </w:t>
      </w:r>
      <w:r w:rsidR="00672C47" w:rsidRPr="008B1755">
        <w:rPr>
          <w:lang w:val="cs-CZ"/>
        </w:rPr>
        <w:t xml:space="preserve">Ve svých odpovědích by poskytovatelé měli uvést informace o svých </w:t>
      </w:r>
      <w:r w:rsidR="00244C91" w:rsidRPr="008B1755">
        <w:rPr>
          <w:lang w:val="cs-CZ"/>
        </w:rPr>
        <w:t>specializovan</w:t>
      </w:r>
      <w:r w:rsidR="00672C47" w:rsidRPr="008B1755">
        <w:rPr>
          <w:lang w:val="cs-CZ"/>
        </w:rPr>
        <w:t>ých</w:t>
      </w:r>
      <w:r w:rsidR="00244C91" w:rsidRPr="008B1755">
        <w:rPr>
          <w:lang w:val="cs-CZ"/>
        </w:rPr>
        <w:t xml:space="preserve"> služb</w:t>
      </w:r>
      <w:r w:rsidR="00672C47" w:rsidRPr="008B1755">
        <w:rPr>
          <w:lang w:val="cs-CZ"/>
        </w:rPr>
        <w:t>ách</w:t>
      </w:r>
      <w:r w:rsidR="00B35884" w:rsidRPr="008B1755">
        <w:rPr>
          <w:lang w:val="cs-CZ"/>
        </w:rPr>
        <w:t xml:space="preserve">, </w:t>
      </w:r>
      <w:r w:rsidR="00672C47" w:rsidRPr="008B1755">
        <w:rPr>
          <w:lang w:val="cs-CZ"/>
        </w:rPr>
        <w:t xml:space="preserve">včetně toho, jaké jsou příslušné požadavky na kvalitu služby </w:t>
      </w:r>
      <w:r w:rsidR="00C235BF" w:rsidRPr="008B1755">
        <w:rPr>
          <w:lang w:val="cs-CZ"/>
        </w:rPr>
        <w:t>(</w:t>
      </w:r>
      <w:r w:rsidR="00BE001A" w:rsidRPr="008B1755">
        <w:rPr>
          <w:lang w:val="cs-CZ"/>
        </w:rPr>
        <w:t>např.</w:t>
      </w:r>
      <w:r w:rsidR="00B35884" w:rsidRPr="008B1755">
        <w:rPr>
          <w:lang w:val="cs-CZ"/>
        </w:rPr>
        <w:t xml:space="preserve"> </w:t>
      </w:r>
      <w:r w:rsidR="008F6AC8">
        <w:rPr>
          <w:lang w:val="cs-CZ"/>
        </w:rPr>
        <w:t>latence</w:t>
      </w:r>
      <w:r w:rsidR="00B35884" w:rsidRPr="008B1755">
        <w:rPr>
          <w:lang w:val="cs-CZ"/>
        </w:rPr>
        <w:t>, jitter a</w:t>
      </w:r>
      <w:r w:rsidR="00672C47" w:rsidRPr="008B1755">
        <w:rPr>
          <w:lang w:val="cs-CZ"/>
        </w:rPr>
        <w:t xml:space="preserve"> ztrátovost paketů</w:t>
      </w:r>
      <w:r w:rsidR="00C235BF" w:rsidRPr="008B1755">
        <w:rPr>
          <w:lang w:val="cs-CZ"/>
        </w:rPr>
        <w:t>)</w:t>
      </w:r>
      <w:r w:rsidR="00672C47" w:rsidRPr="008B1755">
        <w:rPr>
          <w:lang w:val="cs-CZ"/>
        </w:rPr>
        <w:t>, a také veškeré smluvní požadavky</w:t>
      </w:r>
      <w:r w:rsidR="00B35884" w:rsidRPr="008B1755">
        <w:rPr>
          <w:lang w:val="cs-CZ"/>
        </w:rPr>
        <w:t xml:space="preserve">. </w:t>
      </w:r>
      <w:r w:rsidR="000955EC" w:rsidRPr="008B1755">
        <w:rPr>
          <w:lang w:val="cs-CZ"/>
        </w:rPr>
        <w:t>Navíc „</w:t>
      </w:r>
      <w:r w:rsidR="000955EC" w:rsidRPr="008B1755">
        <w:rPr>
          <w:i/>
          <w:lang w:val="cs-CZ"/>
        </w:rPr>
        <w:t>určitá úroveň kvality</w:t>
      </w:r>
      <w:r w:rsidR="000955EC" w:rsidRPr="008B1755">
        <w:rPr>
          <w:lang w:val="cs-CZ"/>
        </w:rPr>
        <w:t>“</w:t>
      </w:r>
      <w:r w:rsidR="00B35884" w:rsidRPr="008B1755">
        <w:rPr>
          <w:lang w:val="cs-CZ"/>
        </w:rPr>
        <w:t xml:space="preserve"> </w:t>
      </w:r>
      <w:r w:rsidR="000955EC" w:rsidRPr="008B1755">
        <w:rPr>
          <w:lang w:val="cs-CZ"/>
        </w:rPr>
        <w:t>by měla být specifikována a mělo by být prokázáno, že tato určitá úroveň kvality</w:t>
      </w:r>
      <w:r w:rsidR="00B35884" w:rsidRPr="008B1755">
        <w:rPr>
          <w:lang w:val="cs-CZ"/>
        </w:rPr>
        <w:t xml:space="preserve"> </w:t>
      </w:r>
      <w:r w:rsidR="000955EC" w:rsidRPr="008B1755">
        <w:rPr>
          <w:lang w:val="cs-CZ"/>
        </w:rPr>
        <w:t xml:space="preserve">nemůže být zajištěna prostřednictvím </w:t>
      </w:r>
      <w:r w:rsidR="00DD272F" w:rsidRPr="008B1755">
        <w:rPr>
          <w:lang w:val="cs-CZ"/>
        </w:rPr>
        <w:t>služb</w:t>
      </w:r>
      <w:r w:rsidR="000955EC" w:rsidRPr="008B1755">
        <w:rPr>
          <w:lang w:val="cs-CZ"/>
        </w:rPr>
        <w:t>y</w:t>
      </w:r>
      <w:r w:rsidR="00DD272F" w:rsidRPr="008B1755">
        <w:rPr>
          <w:lang w:val="cs-CZ"/>
        </w:rPr>
        <w:t xml:space="preserve"> přístupu k internetu</w:t>
      </w:r>
      <w:r w:rsidR="00D575E8" w:rsidRPr="008B1755">
        <w:rPr>
          <w:lang w:val="cs-CZ"/>
        </w:rPr>
        <w:t xml:space="preserve"> </w:t>
      </w:r>
      <w:r w:rsidR="000955EC" w:rsidRPr="008B1755">
        <w:rPr>
          <w:lang w:val="cs-CZ"/>
        </w:rPr>
        <w:t>a že požadavky na kvalitu služby</w:t>
      </w:r>
      <w:r w:rsidR="00D575E8" w:rsidRPr="008B1755">
        <w:rPr>
          <w:lang w:val="cs-CZ"/>
        </w:rPr>
        <w:t xml:space="preserve"> </w:t>
      </w:r>
      <w:r w:rsidR="000955EC" w:rsidRPr="008B1755">
        <w:rPr>
          <w:lang w:val="cs-CZ"/>
        </w:rPr>
        <w:t>jsou objektivně nezbytné k zajištění jedné nebo více klíčových vlastností aplikace</w:t>
      </w:r>
      <w:r w:rsidR="00B35884" w:rsidRPr="008B1755">
        <w:rPr>
          <w:lang w:val="cs-CZ"/>
        </w:rPr>
        <w:t>.</w:t>
      </w:r>
      <w:bookmarkEnd w:id="44"/>
      <w:r w:rsidR="00B35884" w:rsidRPr="008B1755">
        <w:rPr>
          <w:lang w:val="cs-CZ"/>
        </w:rPr>
        <w:t xml:space="preserve"> </w:t>
      </w:r>
    </w:p>
    <w:p w:rsidR="008A60D4" w:rsidRPr="008B1755" w:rsidRDefault="000955EC" w:rsidP="0038751B">
      <w:pPr>
        <w:numPr>
          <w:ilvl w:val="0"/>
          <w:numId w:val="2"/>
        </w:numPr>
        <w:spacing w:after="120"/>
        <w:rPr>
          <w:lang w:val="cs-CZ"/>
        </w:rPr>
      </w:pPr>
      <w:r w:rsidRPr="008B1755">
        <w:rPr>
          <w:lang w:val="cs-CZ"/>
        </w:rPr>
        <w:t>Na základě těchto informací by vnitrostátní regulační orgán</w:t>
      </w:r>
      <w:r w:rsidR="008A60D4" w:rsidRPr="008B1755">
        <w:rPr>
          <w:lang w:val="cs-CZ"/>
        </w:rPr>
        <w:t xml:space="preserve"> </w:t>
      </w:r>
      <w:r w:rsidRPr="008B1755">
        <w:rPr>
          <w:lang w:val="cs-CZ"/>
        </w:rPr>
        <w:t xml:space="preserve">měl posoudit požadavky uvedené </w:t>
      </w:r>
      <w:r w:rsidR="00F064F8" w:rsidRPr="008B1755">
        <w:rPr>
          <w:lang w:val="cs-CZ"/>
        </w:rPr>
        <w:t>v článku</w:t>
      </w:r>
      <w:r w:rsidR="008A60D4" w:rsidRPr="008B1755">
        <w:rPr>
          <w:lang w:val="cs-CZ"/>
        </w:rPr>
        <w:t xml:space="preserve"> </w:t>
      </w:r>
      <w:r w:rsidR="003D7133" w:rsidRPr="008B1755">
        <w:rPr>
          <w:lang w:val="cs-CZ"/>
        </w:rPr>
        <w:t>3 odst. 5</w:t>
      </w:r>
      <w:r w:rsidRPr="008B1755">
        <w:rPr>
          <w:lang w:val="cs-CZ"/>
        </w:rPr>
        <w:t>,</w:t>
      </w:r>
      <w:r w:rsidR="008A60D4" w:rsidRPr="008B1755">
        <w:rPr>
          <w:lang w:val="cs-CZ"/>
        </w:rPr>
        <w:t xml:space="preserve"> </w:t>
      </w:r>
      <w:r w:rsidR="001D70F8" w:rsidRPr="008B1755">
        <w:rPr>
          <w:lang w:val="cs-CZ"/>
        </w:rPr>
        <w:t>první pododstavec</w:t>
      </w:r>
      <w:r w:rsidR="008A60D4" w:rsidRPr="008B1755">
        <w:rPr>
          <w:lang w:val="cs-CZ"/>
        </w:rPr>
        <w:t>.</w:t>
      </w:r>
    </w:p>
    <w:p w:rsidR="00B363CF" w:rsidRPr="008B1755" w:rsidRDefault="000955EC" w:rsidP="0038751B">
      <w:pPr>
        <w:pStyle w:val="Odstavecseseznamem"/>
        <w:numPr>
          <w:ilvl w:val="0"/>
          <w:numId w:val="2"/>
        </w:numPr>
        <w:spacing w:after="120"/>
        <w:contextualSpacing w:val="0"/>
        <w:rPr>
          <w:lang w:val="cs-CZ"/>
        </w:rPr>
      </w:pPr>
      <w:r w:rsidRPr="008B1755">
        <w:rPr>
          <w:lang w:val="cs-CZ"/>
        </w:rPr>
        <w:t>Pokud je zajištění určité úrovně kvality</w:t>
      </w:r>
      <w:r w:rsidR="00B363CF" w:rsidRPr="008B1755">
        <w:rPr>
          <w:lang w:val="cs-CZ"/>
        </w:rPr>
        <w:t xml:space="preserve"> </w:t>
      </w:r>
      <w:r w:rsidRPr="008B1755">
        <w:rPr>
          <w:lang w:val="cs-CZ"/>
        </w:rPr>
        <w:t>objektivně nezbytné</w:t>
      </w:r>
      <w:r w:rsidR="00C235BF" w:rsidRPr="008B1755">
        <w:rPr>
          <w:lang w:val="cs-CZ"/>
        </w:rPr>
        <w:t>,</w:t>
      </w:r>
      <w:r w:rsidR="00B363CF" w:rsidRPr="008B1755">
        <w:rPr>
          <w:lang w:val="cs-CZ"/>
        </w:rPr>
        <w:t xml:space="preserve"> </w:t>
      </w:r>
      <w:r w:rsidRPr="008B1755">
        <w:rPr>
          <w:lang w:val="cs-CZ"/>
        </w:rPr>
        <w:t xml:space="preserve">nemůže být </w:t>
      </w:r>
      <w:r w:rsidR="008F6AC8">
        <w:rPr>
          <w:lang w:val="cs-CZ"/>
        </w:rPr>
        <w:t xml:space="preserve">realizováno </w:t>
      </w:r>
      <w:r w:rsidRPr="008B1755">
        <w:rPr>
          <w:lang w:val="cs-CZ"/>
        </w:rPr>
        <w:t xml:space="preserve">jednoduše </w:t>
      </w:r>
      <w:r w:rsidR="008F6AC8">
        <w:rPr>
          <w:lang w:val="cs-CZ"/>
        </w:rPr>
        <w:t xml:space="preserve">garancí </w:t>
      </w:r>
      <w:r w:rsidRPr="008B1755">
        <w:rPr>
          <w:lang w:val="cs-CZ"/>
        </w:rPr>
        <w:t xml:space="preserve">obecné </w:t>
      </w:r>
      <w:r w:rsidR="00B363CF" w:rsidRPr="008B1755">
        <w:rPr>
          <w:lang w:val="cs-CZ"/>
        </w:rPr>
        <w:t xml:space="preserve">priority </w:t>
      </w:r>
      <w:r w:rsidR="008F6AC8">
        <w:rPr>
          <w:lang w:val="cs-CZ"/>
        </w:rPr>
        <w:t xml:space="preserve">oproti </w:t>
      </w:r>
      <w:r w:rsidRPr="008B1755">
        <w:rPr>
          <w:lang w:val="cs-CZ"/>
        </w:rPr>
        <w:t>srovnatelnému obsahu</w:t>
      </w:r>
      <w:r w:rsidR="00324809" w:rsidRPr="008B1755">
        <w:rPr>
          <w:lang w:val="cs-CZ"/>
        </w:rPr>
        <w:t>.</w:t>
      </w:r>
      <w:r w:rsidR="00284CC5" w:rsidRPr="008B1755">
        <w:rPr>
          <w:rStyle w:val="Znakapoznpodarou"/>
          <w:lang w:val="cs-CZ"/>
        </w:rPr>
        <w:footnoteReference w:id="27"/>
      </w:r>
      <w:r w:rsidR="00284CC5" w:rsidRPr="008B1755">
        <w:rPr>
          <w:lang w:val="cs-CZ"/>
        </w:rPr>
        <w:t xml:space="preserve"> </w:t>
      </w:r>
      <w:r w:rsidRPr="008B1755">
        <w:rPr>
          <w:lang w:val="cs-CZ"/>
        </w:rPr>
        <w:t xml:space="preserve">Specializované služby neposkytují připojení k internetu a mohou být nabízeny například prostřednictvím připojení, které je logicky odděleno od provozu </w:t>
      </w:r>
      <w:r w:rsidR="00747C71" w:rsidRPr="008B1755">
        <w:rPr>
          <w:lang w:val="cs-CZ"/>
        </w:rPr>
        <w:t>služby</w:t>
      </w:r>
      <w:r w:rsidR="00DD272F" w:rsidRPr="008B1755">
        <w:rPr>
          <w:lang w:val="cs-CZ"/>
        </w:rPr>
        <w:t xml:space="preserve"> přístupu k</w:t>
      </w:r>
      <w:r w:rsidRPr="008B1755">
        <w:rPr>
          <w:lang w:val="cs-CZ"/>
        </w:rPr>
        <w:t> </w:t>
      </w:r>
      <w:r w:rsidR="00DD272F" w:rsidRPr="008B1755">
        <w:rPr>
          <w:lang w:val="cs-CZ"/>
        </w:rPr>
        <w:t>internetu</w:t>
      </w:r>
      <w:r w:rsidRPr="008B1755">
        <w:rPr>
          <w:lang w:val="cs-CZ"/>
        </w:rPr>
        <w:t>, aby mohly být zaručeny tyto úrovně kvality</w:t>
      </w:r>
      <w:r w:rsidR="00B363CF" w:rsidRPr="008B1755">
        <w:rPr>
          <w:lang w:val="cs-CZ"/>
        </w:rPr>
        <w:t xml:space="preserve">. </w:t>
      </w:r>
    </w:p>
    <w:p w:rsidR="00B363CF" w:rsidRPr="008B1755" w:rsidRDefault="000955EC" w:rsidP="0097490B">
      <w:pPr>
        <w:pStyle w:val="Odstavecseseznamem"/>
        <w:numPr>
          <w:ilvl w:val="0"/>
          <w:numId w:val="2"/>
        </w:numPr>
        <w:spacing w:after="120"/>
        <w:contextualSpacing w:val="0"/>
        <w:rPr>
          <w:lang w:val="cs-CZ"/>
        </w:rPr>
      </w:pPr>
      <w:r w:rsidRPr="008B1755">
        <w:rPr>
          <w:lang w:val="cs-CZ"/>
        </w:rPr>
        <w:t xml:space="preserve">Vnitrostátní </w:t>
      </w:r>
      <w:r w:rsidR="00926BAE" w:rsidRPr="008B1755">
        <w:rPr>
          <w:lang w:val="cs-CZ"/>
        </w:rPr>
        <w:t>regulační orgány</w:t>
      </w:r>
      <w:r w:rsidR="00B363CF" w:rsidRPr="008B1755">
        <w:rPr>
          <w:lang w:val="cs-CZ"/>
        </w:rPr>
        <w:t xml:space="preserve"> </w:t>
      </w:r>
      <w:r w:rsidRPr="008B1755">
        <w:rPr>
          <w:lang w:val="cs-CZ"/>
        </w:rPr>
        <w:t>by měly ověřit, zda a do jaké míry je objektivně nezbytné</w:t>
      </w:r>
      <w:r w:rsidR="00B363CF" w:rsidRPr="008B1755">
        <w:rPr>
          <w:lang w:val="cs-CZ"/>
        </w:rPr>
        <w:t xml:space="preserve"> </w:t>
      </w:r>
      <w:r w:rsidRPr="008B1755">
        <w:rPr>
          <w:lang w:val="cs-CZ"/>
        </w:rPr>
        <w:t xml:space="preserve">zajistit jednu nebo více klíčových vlastností dané aplikace a umožnit odpovídající záruku kvality pro </w:t>
      </w:r>
      <w:r w:rsidR="00C44AED" w:rsidRPr="008B1755">
        <w:rPr>
          <w:lang w:val="cs-CZ"/>
        </w:rPr>
        <w:t>koncov</w:t>
      </w:r>
      <w:r w:rsidRPr="008B1755">
        <w:rPr>
          <w:lang w:val="cs-CZ"/>
        </w:rPr>
        <w:t>é</w:t>
      </w:r>
      <w:r w:rsidR="00C44AED" w:rsidRPr="008B1755">
        <w:rPr>
          <w:lang w:val="cs-CZ"/>
        </w:rPr>
        <w:t xml:space="preserve"> uživatel</w:t>
      </w:r>
      <w:r w:rsidRPr="008B1755">
        <w:rPr>
          <w:lang w:val="cs-CZ"/>
        </w:rPr>
        <w:t>e</w:t>
      </w:r>
      <w:r w:rsidR="00B363CF" w:rsidRPr="008B1755">
        <w:rPr>
          <w:lang w:val="cs-CZ"/>
        </w:rPr>
        <w:t xml:space="preserve">. </w:t>
      </w:r>
      <w:r w:rsidRPr="008B1755">
        <w:rPr>
          <w:lang w:val="cs-CZ"/>
        </w:rPr>
        <w:t>Za tímto účelem by vnitrostátní regulační orgán</w:t>
      </w:r>
      <w:r w:rsidR="00B363CF" w:rsidRPr="008B1755">
        <w:rPr>
          <w:lang w:val="cs-CZ"/>
        </w:rPr>
        <w:t xml:space="preserve"> </w:t>
      </w:r>
      <w:r w:rsidRPr="008B1755">
        <w:rPr>
          <w:lang w:val="cs-CZ"/>
        </w:rPr>
        <w:t>měl posoudit, zda služba elektronických komunikací</w:t>
      </w:r>
      <w:r w:rsidR="00B363CF" w:rsidRPr="008B1755">
        <w:rPr>
          <w:lang w:val="cs-CZ"/>
        </w:rPr>
        <w:t xml:space="preserve">, </w:t>
      </w:r>
      <w:r w:rsidR="008F6AC8">
        <w:rPr>
          <w:lang w:val="cs-CZ"/>
        </w:rPr>
        <w:t xml:space="preserve">jiná než </w:t>
      </w:r>
      <w:r w:rsidR="007D7F64" w:rsidRPr="008B1755">
        <w:rPr>
          <w:lang w:val="cs-CZ"/>
        </w:rPr>
        <w:t>služb</w:t>
      </w:r>
      <w:r w:rsidRPr="008B1755">
        <w:rPr>
          <w:lang w:val="cs-CZ"/>
        </w:rPr>
        <w:t>y</w:t>
      </w:r>
      <w:r w:rsidR="007D7F64" w:rsidRPr="008B1755">
        <w:rPr>
          <w:lang w:val="cs-CZ"/>
        </w:rPr>
        <w:t xml:space="preserve"> přístupu k internetu</w:t>
      </w:r>
      <w:r w:rsidR="00B363CF" w:rsidRPr="008B1755">
        <w:rPr>
          <w:lang w:val="cs-CZ"/>
        </w:rPr>
        <w:t xml:space="preserve">, </w:t>
      </w:r>
      <w:r w:rsidR="00035413" w:rsidRPr="008B1755">
        <w:rPr>
          <w:lang w:val="cs-CZ"/>
        </w:rPr>
        <w:t>vyžaduje úroveň kvality, která nemůže být zaručena prostřednictvím služby</w:t>
      </w:r>
      <w:r w:rsidR="00DD272F" w:rsidRPr="008B1755">
        <w:rPr>
          <w:lang w:val="cs-CZ"/>
        </w:rPr>
        <w:t xml:space="preserve"> přístupu k internetu</w:t>
      </w:r>
      <w:r w:rsidR="00B363CF" w:rsidRPr="008B1755">
        <w:rPr>
          <w:lang w:val="cs-CZ"/>
        </w:rPr>
        <w:t xml:space="preserve">. </w:t>
      </w:r>
      <w:r w:rsidR="00035413" w:rsidRPr="008B1755">
        <w:rPr>
          <w:lang w:val="cs-CZ"/>
        </w:rPr>
        <w:t>Pokud ne</w:t>
      </w:r>
      <w:r w:rsidR="008F6AC8">
        <w:rPr>
          <w:lang w:val="cs-CZ"/>
        </w:rPr>
        <w:t>vyžaduje</w:t>
      </w:r>
      <w:r w:rsidR="00035413" w:rsidRPr="008B1755">
        <w:rPr>
          <w:lang w:val="cs-CZ"/>
        </w:rPr>
        <w:t xml:space="preserve">, pravděpodobně tyto </w:t>
      </w:r>
      <w:r w:rsidRPr="008B1755">
        <w:rPr>
          <w:lang w:val="cs-CZ"/>
        </w:rPr>
        <w:t>služb</w:t>
      </w:r>
      <w:r w:rsidR="00035413" w:rsidRPr="008B1755">
        <w:rPr>
          <w:lang w:val="cs-CZ"/>
        </w:rPr>
        <w:t>y</w:t>
      </w:r>
      <w:r w:rsidRPr="008B1755">
        <w:rPr>
          <w:lang w:val="cs-CZ"/>
        </w:rPr>
        <w:t xml:space="preserve"> elektronických komunikací</w:t>
      </w:r>
      <w:r w:rsidR="00035413" w:rsidRPr="008B1755">
        <w:rPr>
          <w:lang w:val="cs-CZ"/>
        </w:rPr>
        <w:t xml:space="preserve"> budou obcházet ustanovení </w:t>
      </w:r>
      <w:r w:rsidR="001D46DD" w:rsidRPr="008B1755">
        <w:rPr>
          <w:lang w:val="cs-CZ"/>
        </w:rPr>
        <w:t>Nařízení</w:t>
      </w:r>
      <w:r w:rsidR="00035413" w:rsidRPr="008B1755">
        <w:rPr>
          <w:lang w:val="cs-CZ"/>
        </w:rPr>
        <w:t>, a proto nejsou přípustné</w:t>
      </w:r>
      <w:r w:rsidR="00B363CF" w:rsidRPr="008B1755">
        <w:rPr>
          <w:lang w:val="cs-CZ"/>
        </w:rPr>
        <w:t xml:space="preserve">. </w:t>
      </w:r>
    </w:p>
    <w:p w:rsidR="00B35884" w:rsidRPr="008B1755" w:rsidRDefault="00035413" w:rsidP="0038751B">
      <w:pPr>
        <w:numPr>
          <w:ilvl w:val="0"/>
          <w:numId w:val="2"/>
        </w:numPr>
        <w:spacing w:after="120"/>
        <w:rPr>
          <w:lang w:val="cs-CZ"/>
        </w:rPr>
      </w:pPr>
      <w:r w:rsidRPr="008B1755">
        <w:rPr>
          <w:lang w:val="cs-CZ"/>
        </w:rPr>
        <w:t>I</w:t>
      </w:r>
      <w:r w:rsidR="00B35884" w:rsidRPr="008B1755">
        <w:rPr>
          <w:lang w:val="cs-CZ"/>
        </w:rPr>
        <w:t>nternet</w:t>
      </w:r>
      <w:r w:rsidRPr="008B1755">
        <w:rPr>
          <w:lang w:val="cs-CZ"/>
        </w:rPr>
        <w:t xml:space="preserve"> a charakter </w:t>
      </w:r>
      <w:r w:rsidR="007D7F64" w:rsidRPr="008B1755">
        <w:rPr>
          <w:lang w:val="cs-CZ"/>
        </w:rPr>
        <w:t>služby přístupu k internetu</w:t>
      </w:r>
      <w:r w:rsidR="00B35884" w:rsidRPr="008B1755">
        <w:rPr>
          <w:lang w:val="cs-CZ"/>
        </w:rPr>
        <w:t xml:space="preserve"> </w:t>
      </w:r>
      <w:r w:rsidRPr="008B1755">
        <w:rPr>
          <w:lang w:val="cs-CZ"/>
        </w:rPr>
        <w:t>se během času budou vyvíjet</w:t>
      </w:r>
      <w:r w:rsidR="00B35884" w:rsidRPr="008B1755">
        <w:rPr>
          <w:lang w:val="cs-CZ"/>
        </w:rPr>
        <w:t xml:space="preserve">. </w:t>
      </w:r>
      <w:r w:rsidRPr="008B1755">
        <w:rPr>
          <w:lang w:val="cs-CZ"/>
        </w:rPr>
        <w:t xml:space="preserve">Služba, která je dnes považována za </w:t>
      </w:r>
      <w:r w:rsidR="00244C91" w:rsidRPr="008B1755">
        <w:rPr>
          <w:lang w:val="cs-CZ"/>
        </w:rPr>
        <w:t>specializovan</w:t>
      </w:r>
      <w:r w:rsidRPr="008B1755">
        <w:rPr>
          <w:lang w:val="cs-CZ"/>
        </w:rPr>
        <w:t>ou</w:t>
      </w:r>
      <w:r w:rsidR="00244C91" w:rsidRPr="008B1755">
        <w:rPr>
          <w:lang w:val="cs-CZ"/>
        </w:rPr>
        <w:t xml:space="preserve"> služb</w:t>
      </w:r>
      <w:r w:rsidRPr="008B1755">
        <w:rPr>
          <w:lang w:val="cs-CZ"/>
        </w:rPr>
        <w:t xml:space="preserve">u, nemusí splňovat předpoklady pro </w:t>
      </w:r>
      <w:r w:rsidR="00244C91" w:rsidRPr="008B1755">
        <w:rPr>
          <w:lang w:val="cs-CZ"/>
        </w:rPr>
        <w:t>specializovan</w:t>
      </w:r>
      <w:r w:rsidRPr="008B1755">
        <w:rPr>
          <w:lang w:val="cs-CZ"/>
        </w:rPr>
        <w:t>ou</w:t>
      </w:r>
      <w:r w:rsidR="00244C91" w:rsidRPr="008B1755">
        <w:rPr>
          <w:lang w:val="cs-CZ"/>
        </w:rPr>
        <w:t xml:space="preserve"> služb</w:t>
      </w:r>
      <w:r w:rsidRPr="008B1755">
        <w:rPr>
          <w:lang w:val="cs-CZ"/>
        </w:rPr>
        <w:t>u v budoucnosti z toho důvodu, že optimalizace</w:t>
      </w:r>
      <w:r w:rsidR="00B35884" w:rsidRPr="008B1755">
        <w:rPr>
          <w:lang w:val="cs-CZ"/>
        </w:rPr>
        <w:t xml:space="preserve"> </w:t>
      </w:r>
      <w:r w:rsidRPr="008B1755">
        <w:rPr>
          <w:lang w:val="cs-CZ"/>
        </w:rPr>
        <w:t xml:space="preserve">této služby nemusí být </w:t>
      </w:r>
      <w:r w:rsidR="000955EC" w:rsidRPr="008B1755">
        <w:rPr>
          <w:lang w:val="cs-CZ"/>
        </w:rPr>
        <w:t>objektivně nezbytn</w:t>
      </w:r>
      <w:r w:rsidRPr="008B1755">
        <w:rPr>
          <w:lang w:val="cs-CZ"/>
        </w:rPr>
        <w:t xml:space="preserve">á, protože se celkový </w:t>
      </w:r>
      <w:r w:rsidR="00B35884" w:rsidRPr="008B1755">
        <w:rPr>
          <w:lang w:val="cs-CZ"/>
        </w:rPr>
        <w:t xml:space="preserve">standard </w:t>
      </w:r>
      <w:r w:rsidR="007D7F64" w:rsidRPr="008B1755">
        <w:rPr>
          <w:lang w:val="cs-CZ"/>
        </w:rPr>
        <w:t>služby přístupu k internetu</w:t>
      </w:r>
      <w:r w:rsidR="00B35884" w:rsidRPr="008B1755">
        <w:rPr>
          <w:lang w:val="cs-CZ"/>
        </w:rPr>
        <w:t xml:space="preserve"> </w:t>
      </w:r>
      <w:r w:rsidRPr="008B1755">
        <w:rPr>
          <w:lang w:val="cs-CZ"/>
        </w:rPr>
        <w:t>zlepšil</w:t>
      </w:r>
      <w:r w:rsidR="00B35884" w:rsidRPr="008B1755">
        <w:rPr>
          <w:lang w:val="cs-CZ"/>
        </w:rPr>
        <w:t xml:space="preserve">. </w:t>
      </w:r>
      <w:r w:rsidRPr="008B1755">
        <w:rPr>
          <w:lang w:val="cs-CZ"/>
        </w:rPr>
        <w:t>Na druhé straně se mohou objevit další služby, které je třeba optimalizovat</w:t>
      </w:r>
      <w:r w:rsidR="00B35884" w:rsidRPr="008B1755">
        <w:rPr>
          <w:lang w:val="cs-CZ"/>
        </w:rPr>
        <w:t xml:space="preserve">, </w:t>
      </w:r>
      <w:r w:rsidRPr="008B1755">
        <w:rPr>
          <w:lang w:val="cs-CZ"/>
        </w:rPr>
        <w:t xml:space="preserve">i když se </w:t>
      </w:r>
      <w:r w:rsidR="00B35884" w:rsidRPr="008B1755">
        <w:rPr>
          <w:lang w:val="cs-CZ"/>
        </w:rPr>
        <w:t xml:space="preserve">standard </w:t>
      </w:r>
      <w:r w:rsidR="007D7F64" w:rsidRPr="008B1755">
        <w:rPr>
          <w:lang w:val="cs-CZ"/>
        </w:rPr>
        <w:t>služby přístupu k internetu</w:t>
      </w:r>
      <w:r w:rsidR="00B35884" w:rsidRPr="008B1755">
        <w:rPr>
          <w:lang w:val="cs-CZ"/>
        </w:rPr>
        <w:t xml:space="preserve"> </w:t>
      </w:r>
      <w:r w:rsidRPr="008B1755">
        <w:rPr>
          <w:lang w:val="cs-CZ"/>
        </w:rPr>
        <w:t>zlepš</w:t>
      </w:r>
      <w:r w:rsidR="00CB0974">
        <w:rPr>
          <w:lang w:val="cs-CZ"/>
        </w:rPr>
        <w:t>il</w:t>
      </w:r>
      <w:r w:rsidR="00B35884" w:rsidRPr="008B1755">
        <w:rPr>
          <w:lang w:val="cs-CZ"/>
        </w:rPr>
        <w:t>.</w:t>
      </w:r>
      <w:r w:rsidR="00745DD0" w:rsidRPr="008B1755">
        <w:rPr>
          <w:lang w:val="cs-CZ"/>
        </w:rPr>
        <w:t xml:space="preserve"> </w:t>
      </w:r>
      <w:r w:rsidRPr="008B1755">
        <w:rPr>
          <w:lang w:val="cs-CZ"/>
        </w:rPr>
        <w:t>Vzhledem k tomu, že ne</w:t>
      </w:r>
      <w:r w:rsidR="003306E9">
        <w:rPr>
          <w:lang w:val="cs-CZ"/>
        </w:rPr>
        <w:t>ní jasné</w:t>
      </w:r>
      <w:r w:rsidRPr="008B1755">
        <w:rPr>
          <w:lang w:val="cs-CZ"/>
        </w:rPr>
        <w:t xml:space="preserve">, jaké </w:t>
      </w:r>
      <w:r w:rsidR="00244C91" w:rsidRPr="008B1755">
        <w:rPr>
          <w:lang w:val="cs-CZ"/>
        </w:rPr>
        <w:t>specializované služby</w:t>
      </w:r>
      <w:r w:rsidR="00745DD0" w:rsidRPr="008B1755">
        <w:rPr>
          <w:lang w:val="cs-CZ"/>
        </w:rPr>
        <w:t xml:space="preserve"> </w:t>
      </w:r>
      <w:r w:rsidRPr="008B1755">
        <w:rPr>
          <w:lang w:val="cs-CZ"/>
        </w:rPr>
        <w:t>se mohou v budoucnu objevit</w:t>
      </w:r>
      <w:r w:rsidR="00745DD0" w:rsidRPr="008B1755">
        <w:rPr>
          <w:lang w:val="cs-CZ"/>
        </w:rPr>
        <w:t xml:space="preserve">, </w:t>
      </w:r>
      <w:r w:rsidRPr="008B1755">
        <w:rPr>
          <w:lang w:val="cs-CZ"/>
        </w:rPr>
        <w:t xml:space="preserve">měly by </w:t>
      </w:r>
      <w:r w:rsidR="00926BAE" w:rsidRPr="008B1755">
        <w:rPr>
          <w:lang w:val="cs-CZ"/>
        </w:rPr>
        <w:t>vnitrostátní regulační orgány</w:t>
      </w:r>
      <w:r w:rsidR="00745DD0" w:rsidRPr="008B1755">
        <w:rPr>
          <w:lang w:val="cs-CZ"/>
        </w:rPr>
        <w:t xml:space="preserve"> </w:t>
      </w:r>
      <w:r w:rsidRPr="008B1755">
        <w:rPr>
          <w:lang w:val="cs-CZ"/>
        </w:rPr>
        <w:t>posuzovat, zda určitá služba splňuje předpoklady pro specializovanou službu, individuálně</w:t>
      </w:r>
      <w:r w:rsidR="00745DD0" w:rsidRPr="008B1755">
        <w:rPr>
          <w:lang w:val="cs-CZ"/>
        </w:rPr>
        <w:t>.</w:t>
      </w:r>
    </w:p>
    <w:p w:rsidR="00B363CF" w:rsidRPr="008B1755" w:rsidRDefault="00035413" w:rsidP="0038751B">
      <w:pPr>
        <w:numPr>
          <w:ilvl w:val="0"/>
          <w:numId w:val="2"/>
        </w:numPr>
        <w:spacing w:after="120"/>
        <w:rPr>
          <w:lang w:val="cs-CZ"/>
        </w:rPr>
      </w:pPr>
      <w:bookmarkStart w:id="45" w:name="_Ref449699050"/>
      <w:r w:rsidRPr="008B1755">
        <w:rPr>
          <w:lang w:val="cs-CZ"/>
        </w:rPr>
        <w:t xml:space="preserve">Typické příklady </w:t>
      </w:r>
      <w:r w:rsidR="00A82AD1" w:rsidRPr="008B1755">
        <w:rPr>
          <w:lang w:val="cs-CZ"/>
        </w:rPr>
        <w:t>specializovaných služeb</w:t>
      </w:r>
      <w:r w:rsidR="00B363CF" w:rsidRPr="008B1755">
        <w:rPr>
          <w:lang w:val="cs-CZ"/>
        </w:rPr>
        <w:t xml:space="preserve"> </w:t>
      </w:r>
      <w:r w:rsidRPr="008B1755">
        <w:rPr>
          <w:lang w:val="cs-CZ"/>
        </w:rPr>
        <w:t>poskytovaných koncovým uživatelům</w:t>
      </w:r>
      <w:r w:rsidR="00C47C7A" w:rsidRPr="008B1755">
        <w:rPr>
          <w:lang w:val="cs-CZ"/>
        </w:rPr>
        <w:t xml:space="preserve"> </w:t>
      </w:r>
      <w:r w:rsidRPr="008B1755">
        <w:rPr>
          <w:lang w:val="cs-CZ"/>
        </w:rPr>
        <w:t>jsou</w:t>
      </w:r>
      <w:r w:rsidR="003306E9">
        <w:rPr>
          <w:lang w:val="cs-CZ"/>
        </w:rPr>
        <w:t xml:space="preserve"> </w:t>
      </w:r>
      <w:r w:rsidR="00223291" w:rsidRPr="008B1755">
        <w:rPr>
          <w:lang w:val="cs-CZ"/>
        </w:rPr>
        <w:t>VoLTE</w:t>
      </w:r>
      <w:r w:rsidR="00B363CF" w:rsidRPr="008B1755">
        <w:rPr>
          <w:lang w:val="cs-CZ"/>
        </w:rPr>
        <w:t xml:space="preserve"> a</w:t>
      </w:r>
      <w:r w:rsidRPr="008B1755">
        <w:rPr>
          <w:lang w:val="cs-CZ"/>
        </w:rPr>
        <w:t xml:space="preserve"> služby lineárního vysílání </w:t>
      </w:r>
      <w:r w:rsidR="00B363CF" w:rsidRPr="008B1755">
        <w:rPr>
          <w:lang w:val="cs-CZ"/>
        </w:rPr>
        <w:t xml:space="preserve">IPTV </w:t>
      </w:r>
      <w:r w:rsidRPr="008B1755">
        <w:rPr>
          <w:lang w:val="cs-CZ"/>
        </w:rPr>
        <w:t xml:space="preserve">se </w:t>
      </w:r>
      <w:r w:rsidR="002F4573" w:rsidRPr="008B1755">
        <w:rPr>
          <w:lang w:val="cs-CZ"/>
        </w:rPr>
        <w:t>specific</w:t>
      </w:r>
      <w:r w:rsidRPr="008B1755">
        <w:rPr>
          <w:lang w:val="cs-CZ"/>
        </w:rPr>
        <w:t>kými</w:t>
      </w:r>
      <w:r w:rsidR="002F4573" w:rsidRPr="008B1755">
        <w:rPr>
          <w:lang w:val="cs-CZ"/>
        </w:rPr>
        <w:t xml:space="preserve"> </w:t>
      </w:r>
      <w:r w:rsidR="000955EC" w:rsidRPr="008B1755">
        <w:rPr>
          <w:lang w:val="cs-CZ"/>
        </w:rPr>
        <w:t>požadavky na kvalitu služby</w:t>
      </w:r>
      <w:r w:rsidR="00B363CF" w:rsidRPr="008B1755">
        <w:rPr>
          <w:lang w:val="cs-CZ"/>
        </w:rPr>
        <w:t xml:space="preserve">, </w:t>
      </w:r>
      <w:r w:rsidRPr="008B1755">
        <w:rPr>
          <w:lang w:val="cs-CZ"/>
        </w:rPr>
        <w:t xml:space="preserve">pokud splňují požadavky </w:t>
      </w:r>
      <w:r w:rsidR="001D46DD" w:rsidRPr="008B1755">
        <w:rPr>
          <w:lang w:val="cs-CZ"/>
        </w:rPr>
        <w:t>Nařízení</w:t>
      </w:r>
      <w:r w:rsidR="00B363CF" w:rsidRPr="008B1755">
        <w:rPr>
          <w:lang w:val="cs-CZ"/>
        </w:rPr>
        <w:t xml:space="preserve">, </w:t>
      </w:r>
      <w:r w:rsidRPr="008B1755">
        <w:rPr>
          <w:lang w:val="cs-CZ"/>
        </w:rPr>
        <w:t xml:space="preserve">zejména pak </w:t>
      </w:r>
      <w:r w:rsidR="00DD272F" w:rsidRPr="008B1755">
        <w:rPr>
          <w:lang w:val="cs-CZ"/>
        </w:rPr>
        <w:t xml:space="preserve">článek 3 odst. </w:t>
      </w:r>
      <w:r w:rsidR="00B363CF" w:rsidRPr="008B1755">
        <w:rPr>
          <w:lang w:val="cs-CZ"/>
        </w:rPr>
        <w:t>5</w:t>
      </w:r>
      <w:r w:rsidRPr="008B1755">
        <w:rPr>
          <w:lang w:val="cs-CZ"/>
        </w:rPr>
        <w:t>,</w:t>
      </w:r>
      <w:r w:rsidR="001D22B2" w:rsidRPr="008B1755">
        <w:rPr>
          <w:lang w:val="cs-CZ"/>
        </w:rPr>
        <w:t xml:space="preserve"> </w:t>
      </w:r>
      <w:r w:rsidR="001D70F8" w:rsidRPr="008B1755">
        <w:rPr>
          <w:lang w:val="cs-CZ"/>
        </w:rPr>
        <w:t>první pododstavec</w:t>
      </w:r>
      <w:r w:rsidR="00B363CF" w:rsidRPr="008B1755">
        <w:rPr>
          <w:lang w:val="cs-CZ"/>
        </w:rPr>
        <w:t>.</w:t>
      </w:r>
      <w:r w:rsidR="00B363CF" w:rsidRPr="008B1755" w:rsidDel="00DE1350">
        <w:rPr>
          <w:lang w:val="cs-CZ"/>
        </w:rPr>
        <w:t xml:space="preserve"> </w:t>
      </w:r>
      <w:r w:rsidRPr="008B1755">
        <w:rPr>
          <w:lang w:val="cs-CZ"/>
        </w:rPr>
        <w:t xml:space="preserve">Se stejnými předpoklady by mezi další příklady patřily zdravotní služby v reálném čase </w:t>
      </w:r>
      <w:r w:rsidR="005E46E7" w:rsidRPr="008B1755">
        <w:rPr>
          <w:lang w:val="cs-CZ"/>
        </w:rPr>
        <w:t>(</w:t>
      </w:r>
      <w:r w:rsidR="00BE001A" w:rsidRPr="008B1755">
        <w:rPr>
          <w:lang w:val="cs-CZ"/>
        </w:rPr>
        <w:t>např.</w:t>
      </w:r>
      <w:r w:rsidR="005E46E7" w:rsidRPr="008B1755">
        <w:rPr>
          <w:lang w:val="cs-CZ"/>
        </w:rPr>
        <w:t xml:space="preserve"> </w:t>
      </w:r>
      <w:r w:rsidRPr="008B1755">
        <w:rPr>
          <w:lang w:val="cs-CZ"/>
        </w:rPr>
        <w:t>vzdálená ordinace</w:t>
      </w:r>
      <w:r w:rsidR="005E46E7" w:rsidRPr="008B1755">
        <w:rPr>
          <w:lang w:val="cs-CZ"/>
        </w:rPr>
        <w:t>)</w:t>
      </w:r>
      <w:r w:rsidR="00B363CF" w:rsidRPr="008B1755">
        <w:rPr>
          <w:lang w:val="cs-CZ"/>
        </w:rPr>
        <w:t xml:space="preserve"> </w:t>
      </w:r>
      <w:r w:rsidRPr="008B1755">
        <w:rPr>
          <w:lang w:val="cs-CZ"/>
        </w:rPr>
        <w:t xml:space="preserve">nebo </w:t>
      </w:r>
      <w:r w:rsidRPr="008B1755">
        <w:rPr>
          <w:i/>
          <w:lang w:val="cs-CZ"/>
        </w:rPr>
        <w:t>„</w:t>
      </w:r>
      <w:r w:rsidRPr="008B1755">
        <w:rPr>
          <w:rStyle w:val="BERECcitaceChar"/>
          <w:lang w:val="cs-CZ"/>
        </w:rPr>
        <w:t>některé služby veřejného zájmu nebo některé nové služby komunikace mezi zařízeními</w:t>
      </w:r>
      <w:r w:rsidRPr="008B1755">
        <w:rPr>
          <w:i/>
          <w:lang w:val="cs-CZ"/>
        </w:rPr>
        <w:t>“</w:t>
      </w:r>
      <w:r w:rsidR="00B363CF" w:rsidRPr="008B1755">
        <w:rPr>
          <w:lang w:val="cs-CZ"/>
        </w:rPr>
        <w:t xml:space="preserve"> (</w:t>
      </w:r>
      <w:r w:rsidR="00946CEA" w:rsidRPr="008B1755">
        <w:rPr>
          <w:lang w:val="cs-CZ"/>
        </w:rPr>
        <w:t xml:space="preserve">Úvodní část Nařízení, bod </w:t>
      </w:r>
      <w:r w:rsidR="00B363CF" w:rsidRPr="008B1755">
        <w:rPr>
          <w:lang w:val="cs-CZ"/>
        </w:rPr>
        <w:t>16).</w:t>
      </w:r>
      <w:bookmarkEnd w:id="45"/>
    </w:p>
    <w:p w:rsidR="00B363CF" w:rsidRPr="008B1755" w:rsidRDefault="00035413" w:rsidP="0038751B">
      <w:pPr>
        <w:numPr>
          <w:ilvl w:val="0"/>
          <w:numId w:val="2"/>
        </w:numPr>
        <w:spacing w:after="120"/>
        <w:rPr>
          <w:lang w:val="cs-CZ"/>
        </w:rPr>
      </w:pPr>
      <w:r w:rsidRPr="008B1755">
        <w:rPr>
          <w:lang w:val="cs-CZ"/>
        </w:rPr>
        <w:t xml:space="preserve">Kvalita služby může být zvláště důležitá pro firemní zákazníky a tito zákazníci </w:t>
      </w:r>
      <w:r w:rsidR="00ED6995" w:rsidRPr="008B1755">
        <w:rPr>
          <w:lang w:val="cs-CZ"/>
        </w:rPr>
        <w:t xml:space="preserve">by mohli potřebovat </w:t>
      </w:r>
      <w:r w:rsidR="00A82AD1" w:rsidRPr="008B1755">
        <w:rPr>
          <w:lang w:val="cs-CZ"/>
        </w:rPr>
        <w:t>specializovan</w:t>
      </w:r>
      <w:r w:rsidR="00ED6995" w:rsidRPr="008B1755">
        <w:rPr>
          <w:lang w:val="cs-CZ"/>
        </w:rPr>
        <w:t>é</w:t>
      </w:r>
      <w:r w:rsidR="00A82AD1" w:rsidRPr="008B1755">
        <w:rPr>
          <w:lang w:val="cs-CZ"/>
        </w:rPr>
        <w:t xml:space="preserve"> služ</w:t>
      </w:r>
      <w:r w:rsidR="00ED6995" w:rsidRPr="008B1755">
        <w:rPr>
          <w:lang w:val="cs-CZ"/>
        </w:rPr>
        <w:t xml:space="preserve">by, které </w:t>
      </w:r>
      <w:r w:rsidR="00B363CF" w:rsidRPr="008B1755">
        <w:rPr>
          <w:lang w:val="cs-CZ"/>
        </w:rPr>
        <w:t xml:space="preserve">– </w:t>
      </w:r>
      <w:r w:rsidR="00ED6995" w:rsidRPr="008B1755">
        <w:rPr>
          <w:lang w:val="cs-CZ"/>
        </w:rPr>
        <w:t xml:space="preserve">protože jsou určeny obchodním společnostem </w:t>
      </w:r>
      <w:r w:rsidR="00B363CF" w:rsidRPr="008B1755">
        <w:rPr>
          <w:lang w:val="cs-CZ"/>
        </w:rPr>
        <w:t xml:space="preserve">– </w:t>
      </w:r>
      <w:r w:rsidR="00ED6995" w:rsidRPr="008B1755">
        <w:rPr>
          <w:lang w:val="cs-CZ"/>
        </w:rPr>
        <w:t>jsou často označovány jako „služby</w:t>
      </w:r>
      <w:r w:rsidR="0094748E">
        <w:rPr>
          <w:lang w:val="cs-CZ"/>
        </w:rPr>
        <w:t xml:space="preserve"> firemním zákazníkům</w:t>
      </w:r>
      <w:r w:rsidR="00ED6995" w:rsidRPr="008B1755">
        <w:rPr>
          <w:lang w:val="cs-CZ"/>
        </w:rPr>
        <w:t>“</w:t>
      </w:r>
      <w:r w:rsidR="00B363CF" w:rsidRPr="008B1755">
        <w:rPr>
          <w:lang w:val="cs-CZ"/>
        </w:rPr>
        <w:t xml:space="preserve">. </w:t>
      </w:r>
      <w:r w:rsidR="00ED6995" w:rsidRPr="008B1755">
        <w:rPr>
          <w:lang w:val="cs-CZ"/>
        </w:rPr>
        <w:t>Tyto „služby</w:t>
      </w:r>
      <w:r w:rsidR="0094748E">
        <w:rPr>
          <w:lang w:val="cs-CZ"/>
        </w:rPr>
        <w:t xml:space="preserve"> firemním zákazníkům</w:t>
      </w:r>
      <w:r w:rsidR="00ED6995" w:rsidRPr="008B1755">
        <w:rPr>
          <w:lang w:val="cs-CZ"/>
        </w:rPr>
        <w:t>“ představují širokou škálu služeb a musí být posuzovány jednotlivě</w:t>
      </w:r>
      <w:r w:rsidR="00370896" w:rsidRPr="008B1755">
        <w:rPr>
          <w:lang w:val="cs-CZ"/>
        </w:rPr>
        <w:t>.</w:t>
      </w:r>
      <w:r w:rsidR="000E0D87" w:rsidRPr="008B1755">
        <w:rPr>
          <w:lang w:val="cs-CZ"/>
        </w:rPr>
        <w:t xml:space="preserve"> </w:t>
      </w:r>
    </w:p>
    <w:p w:rsidR="002925F4" w:rsidRPr="008B1755" w:rsidRDefault="00ED6995" w:rsidP="002925F4">
      <w:pPr>
        <w:pStyle w:val="Odstavecseseznamem"/>
        <w:numPr>
          <w:ilvl w:val="0"/>
          <w:numId w:val="2"/>
        </w:numPr>
        <w:spacing w:after="120"/>
        <w:contextualSpacing w:val="0"/>
        <w:rPr>
          <w:lang w:val="cs-CZ"/>
        </w:rPr>
      </w:pPr>
      <w:bookmarkStart w:id="46" w:name="_Ref458589031"/>
      <w:r w:rsidRPr="008B1755">
        <w:rPr>
          <w:lang w:val="cs-CZ"/>
        </w:rPr>
        <w:t xml:space="preserve">Sítě </w:t>
      </w:r>
      <w:r w:rsidR="002925F4" w:rsidRPr="008B1755">
        <w:rPr>
          <w:lang w:val="cs-CZ"/>
        </w:rPr>
        <w:t>VPN</w:t>
      </w:r>
      <w:r w:rsidRPr="008B1755">
        <w:rPr>
          <w:lang w:val="cs-CZ"/>
        </w:rPr>
        <w:t xml:space="preserve"> </w:t>
      </w:r>
      <w:r w:rsidR="00D243D0">
        <w:rPr>
          <w:lang w:val="cs-CZ"/>
        </w:rPr>
        <w:t>mohou</w:t>
      </w:r>
      <w:r w:rsidRPr="008B1755">
        <w:rPr>
          <w:lang w:val="cs-CZ"/>
        </w:rPr>
        <w:t xml:space="preserve"> být považovány za </w:t>
      </w:r>
      <w:r w:rsidR="00244C91" w:rsidRPr="008B1755">
        <w:rPr>
          <w:lang w:val="cs-CZ"/>
        </w:rPr>
        <w:t>specializované služby</w:t>
      </w:r>
      <w:r w:rsidR="002925F4" w:rsidRPr="008B1755">
        <w:rPr>
          <w:lang w:val="cs-CZ"/>
        </w:rPr>
        <w:t xml:space="preserve"> </w:t>
      </w:r>
      <w:r w:rsidRPr="008B1755">
        <w:rPr>
          <w:lang w:val="cs-CZ"/>
        </w:rPr>
        <w:t xml:space="preserve">v souladu </w:t>
      </w:r>
      <w:r w:rsidR="00C974DA" w:rsidRPr="008B1755">
        <w:rPr>
          <w:lang w:val="cs-CZ"/>
        </w:rPr>
        <w:t>s článkem</w:t>
      </w:r>
      <w:r w:rsidR="00DD272F" w:rsidRPr="008B1755">
        <w:rPr>
          <w:lang w:val="cs-CZ"/>
        </w:rPr>
        <w:t xml:space="preserve"> 3 odst. </w:t>
      </w:r>
      <w:r w:rsidR="002925F4" w:rsidRPr="008B1755">
        <w:rPr>
          <w:lang w:val="cs-CZ"/>
        </w:rPr>
        <w:t xml:space="preserve">5 </w:t>
      </w:r>
      <w:r w:rsidR="001D46DD" w:rsidRPr="008B1755">
        <w:rPr>
          <w:lang w:val="cs-CZ"/>
        </w:rPr>
        <w:t>Nařízení</w:t>
      </w:r>
      <w:r w:rsidR="002925F4" w:rsidRPr="008B1755">
        <w:rPr>
          <w:lang w:val="cs-CZ"/>
        </w:rPr>
        <w:t xml:space="preserve">. </w:t>
      </w:r>
      <w:r w:rsidRPr="008B1755">
        <w:rPr>
          <w:lang w:val="cs-CZ"/>
        </w:rPr>
        <w:t>Nicméně v souladu s bodem 17 ú</w:t>
      </w:r>
      <w:r w:rsidR="00946CEA" w:rsidRPr="008B1755">
        <w:rPr>
          <w:rFonts w:cs="Arial"/>
          <w:lang w:val="cs-CZ"/>
        </w:rPr>
        <w:t>vodní část</w:t>
      </w:r>
      <w:r w:rsidRPr="008B1755">
        <w:rPr>
          <w:rFonts w:cs="Arial"/>
          <w:lang w:val="cs-CZ"/>
        </w:rPr>
        <w:t>i</w:t>
      </w:r>
      <w:r w:rsidR="00946CEA" w:rsidRPr="008B1755">
        <w:rPr>
          <w:rFonts w:cs="Arial"/>
          <w:lang w:val="cs-CZ"/>
        </w:rPr>
        <w:t xml:space="preserve"> Nařízení</w:t>
      </w:r>
      <w:r w:rsidR="002925F4" w:rsidRPr="008B1755">
        <w:rPr>
          <w:rFonts w:cs="Arial"/>
          <w:lang w:val="cs-CZ"/>
        </w:rPr>
        <w:t xml:space="preserve">, </w:t>
      </w:r>
      <w:r w:rsidRPr="008B1755">
        <w:rPr>
          <w:rFonts w:cs="Arial"/>
          <w:lang w:val="cs-CZ"/>
        </w:rPr>
        <w:t xml:space="preserve">pokud firemní služby jako například sítě </w:t>
      </w:r>
      <w:r w:rsidR="002925F4" w:rsidRPr="008B1755">
        <w:rPr>
          <w:rFonts w:cs="Arial"/>
          <w:lang w:val="cs-CZ"/>
        </w:rPr>
        <w:t>VPN</w:t>
      </w:r>
      <w:r w:rsidRPr="008B1755">
        <w:rPr>
          <w:rFonts w:cs="Arial"/>
          <w:lang w:val="cs-CZ"/>
        </w:rPr>
        <w:t xml:space="preserve"> rovněž zajišťují přístup k internetu</w:t>
      </w:r>
      <w:r w:rsidR="002925F4" w:rsidRPr="008B1755">
        <w:rPr>
          <w:rFonts w:cs="Arial"/>
          <w:lang w:val="cs-CZ"/>
        </w:rPr>
        <w:t xml:space="preserve">, </w:t>
      </w:r>
      <w:r w:rsidRPr="008B1755">
        <w:rPr>
          <w:rFonts w:cs="Arial"/>
          <w:lang w:val="cs-CZ"/>
        </w:rPr>
        <w:t xml:space="preserve">mělo </w:t>
      </w:r>
      <w:r w:rsidR="0094748E">
        <w:rPr>
          <w:rFonts w:cs="Arial"/>
          <w:lang w:val="cs-CZ"/>
        </w:rPr>
        <w:t xml:space="preserve">by </w:t>
      </w:r>
      <w:r w:rsidRPr="008B1755">
        <w:rPr>
          <w:rFonts w:cs="Arial"/>
          <w:lang w:val="cs-CZ"/>
        </w:rPr>
        <w:t xml:space="preserve">poskytování tohoto přístupu k </w:t>
      </w:r>
      <w:r w:rsidR="002925F4" w:rsidRPr="008B1755">
        <w:rPr>
          <w:rFonts w:cs="Arial"/>
          <w:lang w:val="cs-CZ"/>
        </w:rPr>
        <w:t>internet</w:t>
      </w:r>
      <w:r w:rsidRPr="008B1755">
        <w:rPr>
          <w:rFonts w:cs="Arial"/>
          <w:lang w:val="cs-CZ"/>
        </w:rPr>
        <w:t>u</w:t>
      </w:r>
      <w:r w:rsidR="002925F4" w:rsidRPr="008B1755">
        <w:rPr>
          <w:rFonts w:cs="Arial"/>
          <w:lang w:val="cs-CZ"/>
        </w:rPr>
        <w:t xml:space="preserve"> </w:t>
      </w:r>
      <w:r w:rsidRPr="008B1755">
        <w:rPr>
          <w:rFonts w:cs="Arial"/>
          <w:lang w:val="cs-CZ"/>
        </w:rPr>
        <w:t xml:space="preserve">ze strany </w:t>
      </w:r>
      <w:r w:rsidR="00977D1B" w:rsidRPr="008B1755">
        <w:rPr>
          <w:rFonts w:cs="Arial"/>
          <w:lang w:val="cs-CZ"/>
        </w:rPr>
        <w:t>poskytovatel</w:t>
      </w:r>
      <w:r w:rsidRPr="008B1755">
        <w:rPr>
          <w:rFonts w:cs="Arial"/>
          <w:lang w:val="cs-CZ"/>
        </w:rPr>
        <w:t>e</w:t>
      </w:r>
      <w:r w:rsidR="00977D1B" w:rsidRPr="008B1755">
        <w:rPr>
          <w:rFonts w:cs="Arial"/>
          <w:lang w:val="cs-CZ"/>
        </w:rPr>
        <w:t xml:space="preserve"> služeb elektronických komunikací pro veřejnost</w:t>
      </w:r>
      <w:r w:rsidR="002925F4" w:rsidRPr="008B1755">
        <w:rPr>
          <w:rFonts w:cs="Arial"/>
          <w:lang w:val="cs-CZ"/>
        </w:rPr>
        <w:t xml:space="preserve"> </w:t>
      </w:r>
      <w:r w:rsidRPr="008B1755">
        <w:rPr>
          <w:rFonts w:cs="Arial"/>
          <w:lang w:val="cs-CZ"/>
        </w:rPr>
        <w:t xml:space="preserve">být v souladu </w:t>
      </w:r>
      <w:r w:rsidR="00C974DA" w:rsidRPr="008B1755">
        <w:rPr>
          <w:rFonts w:cs="Arial"/>
          <w:lang w:val="cs-CZ"/>
        </w:rPr>
        <w:t>s článkem</w:t>
      </w:r>
      <w:r w:rsidR="00DD272F" w:rsidRPr="008B1755">
        <w:rPr>
          <w:rFonts w:cs="Arial"/>
          <w:lang w:val="cs-CZ"/>
        </w:rPr>
        <w:t xml:space="preserve"> 3 odst. </w:t>
      </w:r>
      <w:r w:rsidR="002925F4" w:rsidRPr="008B1755">
        <w:rPr>
          <w:rFonts w:cs="Arial"/>
          <w:lang w:val="cs-CZ"/>
        </w:rPr>
        <w:t xml:space="preserve">1 </w:t>
      </w:r>
      <w:r w:rsidRPr="008B1755">
        <w:rPr>
          <w:rFonts w:cs="Arial"/>
          <w:lang w:val="cs-CZ"/>
        </w:rPr>
        <w:t>a</w:t>
      </w:r>
      <w:r w:rsidR="007B2DE4" w:rsidRPr="008B1755">
        <w:rPr>
          <w:rFonts w:cs="Arial"/>
          <w:lang w:val="cs-CZ"/>
        </w:rPr>
        <w:t xml:space="preserve">ž </w:t>
      </w:r>
      <w:r w:rsidRPr="008B1755">
        <w:rPr>
          <w:rFonts w:cs="Arial"/>
          <w:lang w:val="cs-CZ"/>
        </w:rPr>
        <w:t xml:space="preserve">odst. </w:t>
      </w:r>
      <w:r w:rsidR="002925F4" w:rsidRPr="008B1755">
        <w:rPr>
          <w:rFonts w:cs="Arial"/>
          <w:lang w:val="cs-CZ"/>
        </w:rPr>
        <w:t xml:space="preserve">4 </w:t>
      </w:r>
      <w:r w:rsidR="001D46DD" w:rsidRPr="008B1755">
        <w:rPr>
          <w:rFonts w:cs="Arial"/>
          <w:lang w:val="cs-CZ"/>
        </w:rPr>
        <w:t>Nařízení</w:t>
      </w:r>
      <w:r w:rsidR="002925F4" w:rsidRPr="008B1755">
        <w:rPr>
          <w:rFonts w:cs="Arial"/>
          <w:lang w:val="cs-CZ"/>
        </w:rPr>
        <w:t>.</w:t>
      </w:r>
      <w:bookmarkEnd w:id="46"/>
      <w:r w:rsidR="002925F4" w:rsidRPr="008B1755">
        <w:rPr>
          <w:lang w:val="cs-CZ"/>
        </w:rPr>
        <w:t xml:space="preserve"> </w:t>
      </w:r>
    </w:p>
    <w:p w:rsidR="00B363CF" w:rsidRPr="008B1755" w:rsidRDefault="00B363CF" w:rsidP="004241B5">
      <w:pPr>
        <w:ind w:left="1040"/>
        <w:contextualSpacing/>
        <w:rPr>
          <w:rFonts w:cs="Arial"/>
          <w:lang w:val="cs-CZ"/>
        </w:rPr>
      </w:pPr>
    </w:p>
    <w:p w:rsidR="00B35884" w:rsidRPr="008B1755" w:rsidRDefault="003E7168" w:rsidP="001B38FB">
      <w:pPr>
        <w:keepNext/>
        <w:keepLines/>
        <w:spacing w:before="360" w:after="120"/>
        <w:outlineLvl w:val="1"/>
        <w:rPr>
          <w:rFonts w:eastAsia="SimSun" w:cs="Arial"/>
          <w:b/>
          <w:bCs/>
          <w:sz w:val="24"/>
          <w:szCs w:val="24"/>
          <w:lang w:val="cs-CZ"/>
        </w:rPr>
      </w:pPr>
      <w:bookmarkStart w:id="47" w:name="_Toc461400166"/>
      <w:r w:rsidRPr="008B1755">
        <w:rPr>
          <w:rFonts w:eastAsia="SimSun" w:cs="Arial"/>
          <w:b/>
          <w:bCs/>
          <w:sz w:val="24"/>
          <w:szCs w:val="24"/>
          <w:lang w:val="cs-CZ"/>
        </w:rPr>
        <w:t xml:space="preserve">Článek </w:t>
      </w:r>
      <w:r w:rsidR="003D7133" w:rsidRPr="008B1755">
        <w:rPr>
          <w:rFonts w:eastAsia="SimSun" w:cs="Arial"/>
          <w:b/>
          <w:bCs/>
          <w:sz w:val="24"/>
          <w:szCs w:val="24"/>
          <w:lang w:val="cs-CZ"/>
        </w:rPr>
        <w:t>3 odst. 5</w:t>
      </w:r>
      <w:r w:rsidR="00A82AD1" w:rsidRPr="008B1755">
        <w:rPr>
          <w:rFonts w:eastAsia="SimSun" w:cs="Arial"/>
          <w:b/>
          <w:bCs/>
          <w:sz w:val="24"/>
          <w:szCs w:val="24"/>
          <w:lang w:val="cs-CZ"/>
        </w:rPr>
        <w:t>,</w:t>
      </w:r>
      <w:r w:rsidR="00B35884" w:rsidRPr="008B1755">
        <w:rPr>
          <w:rFonts w:eastAsia="SimSun" w:cs="Arial"/>
          <w:b/>
          <w:bCs/>
          <w:sz w:val="24"/>
          <w:szCs w:val="24"/>
          <w:lang w:val="cs-CZ"/>
        </w:rPr>
        <w:t xml:space="preserve"> </w:t>
      </w:r>
      <w:r w:rsidR="001D70F8" w:rsidRPr="008B1755">
        <w:rPr>
          <w:rFonts w:eastAsia="SimSun" w:cs="Arial"/>
          <w:b/>
          <w:bCs/>
          <w:sz w:val="24"/>
          <w:szCs w:val="24"/>
          <w:lang w:val="cs-CZ"/>
        </w:rPr>
        <w:t>druhý pododstavec</w:t>
      </w:r>
      <w:bookmarkEnd w:id="47"/>
      <w:r w:rsidR="00B35884" w:rsidRPr="008B1755">
        <w:rPr>
          <w:rFonts w:eastAsia="SimSun" w:cs="Arial"/>
          <w:b/>
          <w:bCs/>
          <w:sz w:val="24"/>
          <w:szCs w:val="24"/>
          <w:lang w:val="cs-CZ"/>
        </w:rPr>
        <w:t xml:space="preserve"> </w:t>
      </w:r>
    </w:p>
    <w:p w:rsidR="00B35884" w:rsidRPr="008B1755" w:rsidRDefault="009B7C0D"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Poskytovatelé služeb elektronických komunikací pro veřejnost, včetně poskytovatelů služeb přístupu k internetu, mohou nabízet nebo umožňovat takovéto služby pouze tehdy, pokud je kapacita sítě dostatečná k jejich poskytování jako doplnění k poskytovaným službám přístupu k internetu. Tyto služby nesmějí být používány ani nabízeny jako náhrada za služby přístupu k internetu a nesmějí být na úkor dostupnosti nebo obecné kvality služeb přístupu k internetu pro koncové uživatele</w:t>
      </w:r>
      <w:r w:rsidR="00B35884" w:rsidRPr="008B1755">
        <w:rPr>
          <w:rFonts w:ascii="Times New Roman" w:hAnsi="Times New Roman"/>
          <w:lang w:val="cs-CZ"/>
        </w:rPr>
        <w:t>.</w:t>
      </w:r>
    </w:p>
    <w:p w:rsidR="00B35884" w:rsidRPr="008B1755" w:rsidRDefault="00946CEA" w:rsidP="006F0EC7">
      <w:pPr>
        <w:keepNext/>
        <w:shd w:val="clear" w:color="auto" w:fill="D9D9D9"/>
        <w:spacing w:after="0"/>
        <w:rPr>
          <w:rFonts w:ascii="Times New Roman" w:hAnsi="Times New Roman"/>
          <w:sz w:val="20"/>
          <w:u w:val="single"/>
          <w:lang w:val="cs-CZ"/>
        </w:rPr>
      </w:pPr>
      <w:r w:rsidRPr="008B1755">
        <w:rPr>
          <w:rFonts w:ascii="Times New Roman" w:hAnsi="Times New Roman"/>
          <w:sz w:val="20"/>
          <w:u w:val="single"/>
          <w:lang w:val="cs-CZ"/>
        </w:rPr>
        <w:t xml:space="preserve">Úvodní část Nařízení, bod </w:t>
      </w:r>
      <w:r w:rsidR="00B35884" w:rsidRPr="008B1755">
        <w:rPr>
          <w:rFonts w:ascii="Times New Roman" w:hAnsi="Times New Roman"/>
          <w:sz w:val="20"/>
          <w:u w:val="single"/>
          <w:lang w:val="cs-CZ"/>
        </w:rPr>
        <w:t>17</w:t>
      </w:r>
    </w:p>
    <w:p w:rsidR="00B35884" w:rsidRPr="008B1755" w:rsidRDefault="00946CEA" w:rsidP="006F0EC7">
      <w:pPr>
        <w:shd w:val="clear" w:color="auto" w:fill="D9D9D9"/>
        <w:rPr>
          <w:rFonts w:ascii="Times New Roman" w:hAnsi="Times New Roman"/>
          <w:sz w:val="20"/>
          <w:lang w:val="cs-CZ"/>
        </w:rPr>
      </w:pPr>
      <w:r w:rsidRPr="008B1755">
        <w:rPr>
          <w:rStyle w:val="Style3Char"/>
          <w:sz w:val="20"/>
          <w:lang w:val="cs-CZ"/>
        </w:rPr>
        <w:t>Aby se zabránilo nepříznivému dopadu poskytování takovýchto jiných služeb na dostupnost nebo obecnou kvalitu služeb přístupu k internetu pro koncové uživatele, je třeba zajistit dostatečnou kapacitu sítě. Poskytovatelé služeb elektronických komunikací pro veřejnost, včetně poskytovatelů služeb přístupu k internetu, by tedy měli nabízet tyto jiné služby nebo uzavřít odpovídající dohody s poskytovateli obsahu, aplikací či služeb usnadňující takovéto jiné služby pouze tehdy, pokud je kapacita sítě dostatečná k jejich poskytování jako doplnění ke všem poskytovaným službám přístupu k internetu. Ustanovení tohoto nařízení týkající se zajištění přístupu k otevřenému internetu by neměla být obcházena jinými službami využívatelnými či nabízenými jako náhrada za službu přístupu k internetu. Avšak pouhá skutečnost, že podnikové služby, jako virtuální soukromé sítě, mohou rovněž poskytovat přístup k internetu, by neměla vést k závěru, že je lze považovat za náhradu služeb přístupu k internetu, a to za předpokladu, že poskytování takové služby přístupu k internetu poskytovatelem služeb elektronických komunikací pro veřejnost je v souladu s čl. 3 odst. 1 až 4 tohoto nařízení, a tudíž je nelze považovat za obcházení těchto ustanovení. Poskytování takových služeb jiných než služeb přístupu k internetu by nemělo být na úkor dostupnosti a obecné kvality služeb přístupu k internetu pro koncové uživatele. U mobilních sítí je obtížnější odhadnout objem provozu v dané rádiové buňce z důvodu proměnlivého počtu aktivních koncových uživatelů, a proto může za nepředvídatelných okolností dojít k ovlivnění kvality služeb přístupu k internetu pro koncové uživatele. U mobilních sítí by se nemělo mít za to, že se obecná kvalita služeb přístupu k internetu pro koncové uživatele zhoršila v takových případech, kdy je celkový nepříznivý dopad služeb jiných než služeb přístupu k internetu nevyhnutelný, minimální a omezený na krátkou dobu. Vnitrostátní regulační orgány by měly zajistit, a</w:t>
      </w:r>
      <w:r w:rsidR="007B2DE4" w:rsidRPr="008B1755">
        <w:rPr>
          <w:rStyle w:val="Style3Char"/>
          <w:sz w:val="20"/>
          <w:lang w:val="cs-CZ"/>
        </w:rPr>
        <w:t xml:space="preserve">by </w:t>
      </w:r>
      <w:r w:rsidR="00080F70" w:rsidRPr="008B1755">
        <w:rPr>
          <w:rStyle w:val="Style3Char"/>
          <w:sz w:val="20"/>
          <w:lang w:val="cs-CZ"/>
        </w:rPr>
        <w:t>poskytovatel</w:t>
      </w:r>
      <w:r w:rsidR="007B2DE4" w:rsidRPr="008B1755">
        <w:rPr>
          <w:rStyle w:val="Style3Char"/>
          <w:sz w:val="20"/>
          <w:lang w:val="cs-CZ"/>
        </w:rPr>
        <w:t>é</w:t>
      </w:r>
      <w:r w:rsidRPr="008B1755">
        <w:rPr>
          <w:rStyle w:val="Style3Char"/>
          <w:sz w:val="20"/>
          <w:lang w:val="cs-CZ"/>
        </w:rPr>
        <w:t xml:space="preserve"> služeb elektronických komunikací pro veřejnost uvedený požadavek splňovali. Vnitrostátní regulační orgány by v tomto ohledu měly posoudit dopad na dostupnost a obecnou kvalitu služeb přístupu k internetu analýzou mimo jiné parametrů kvality služeb (prodleva, kolísání kvality přenosu („jiter“), ztrátovost paketů atd.), úrovně a účinků přetížení sítě, skutečné přenosové rychlosti v porovnání s inzerovanou, výkonu služeb přístupu k internetu ve srovnání s jinými službami, než je přístup k internetu a kvality vnímané koncovými uživateli</w:t>
      </w:r>
      <w:r w:rsidR="00B35884" w:rsidRPr="008B1755">
        <w:rPr>
          <w:rFonts w:ascii="Times New Roman" w:hAnsi="Times New Roman"/>
          <w:sz w:val="20"/>
          <w:lang w:val="cs-CZ"/>
        </w:rPr>
        <w:t>.</w:t>
      </w:r>
    </w:p>
    <w:p w:rsidR="00B35884" w:rsidRPr="008B1755" w:rsidRDefault="007B2DE4" w:rsidP="00262769">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 xml:space="preserve">Dostatečná kapacita sítě k poskytování </w:t>
      </w:r>
      <w:r w:rsidR="00244C91" w:rsidRPr="008B1755">
        <w:rPr>
          <w:rFonts w:eastAsia="SimSun"/>
          <w:bCs/>
          <w:i/>
          <w:iCs/>
          <w:sz w:val="24"/>
          <w:szCs w:val="24"/>
          <w:u w:val="single"/>
          <w:lang w:val="cs-CZ"/>
        </w:rPr>
        <w:t>specializovan</w:t>
      </w:r>
      <w:r w:rsidRPr="008B1755">
        <w:rPr>
          <w:rFonts w:eastAsia="SimSun"/>
          <w:bCs/>
          <w:i/>
          <w:iCs/>
          <w:sz w:val="24"/>
          <w:szCs w:val="24"/>
          <w:u w:val="single"/>
          <w:lang w:val="cs-CZ"/>
        </w:rPr>
        <w:t>ých</w:t>
      </w:r>
      <w:r w:rsidR="00244C91" w:rsidRPr="008B1755">
        <w:rPr>
          <w:rFonts w:eastAsia="SimSun"/>
          <w:bCs/>
          <w:i/>
          <w:iCs/>
          <w:sz w:val="24"/>
          <w:szCs w:val="24"/>
          <w:u w:val="single"/>
          <w:lang w:val="cs-CZ"/>
        </w:rPr>
        <w:t xml:space="preserve"> služ</w:t>
      </w:r>
      <w:r w:rsidRPr="008B1755">
        <w:rPr>
          <w:rFonts w:eastAsia="SimSun"/>
          <w:bCs/>
          <w:i/>
          <w:iCs/>
          <w:sz w:val="24"/>
          <w:szCs w:val="24"/>
          <w:u w:val="single"/>
          <w:lang w:val="cs-CZ"/>
        </w:rPr>
        <w:t>e</w:t>
      </w:r>
      <w:r w:rsidR="00244C91" w:rsidRPr="008B1755">
        <w:rPr>
          <w:rFonts w:eastAsia="SimSun"/>
          <w:bCs/>
          <w:i/>
          <w:iCs/>
          <w:sz w:val="24"/>
          <w:szCs w:val="24"/>
          <w:u w:val="single"/>
          <w:lang w:val="cs-CZ"/>
        </w:rPr>
        <w:t>b</w:t>
      </w:r>
      <w:r w:rsidR="00B35884" w:rsidRPr="008B1755">
        <w:rPr>
          <w:rFonts w:eastAsia="SimSun"/>
          <w:bCs/>
          <w:i/>
          <w:iCs/>
          <w:sz w:val="24"/>
          <w:szCs w:val="24"/>
          <w:u w:val="single"/>
          <w:lang w:val="cs-CZ"/>
        </w:rPr>
        <w:t xml:space="preserve"> </w:t>
      </w:r>
      <w:r w:rsidR="0094748E">
        <w:rPr>
          <w:rFonts w:eastAsia="SimSun"/>
          <w:bCs/>
          <w:i/>
          <w:iCs/>
          <w:sz w:val="24"/>
          <w:szCs w:val="24"/>
          <w:u w:val="single"/>
          <w:lang w:val="cs-CZ"/>
        </w:rPr>
        <w:t xml:space="preserve">nad rámec </w:t>
      </w:r>
      <w:r w:rsidRPr="008B1755">
        <w:rPr>
          <w:rFonts w:eastAsia="SimSun"/>
          <w:bCs/>
          <w:i/>
          <w:iCs/>
          <w:sz w:val="24"/>
          <w:szCs w:val="24"/>
          <w:u w:val="single"/>
          <w:lang w:val="cs-CZ"/>
        </w:rPr>
        <w:t>služ</w:t>
      </w:r>
      <w:r w:rsidR="0094748E">
        <w:rPr>
          <w:rFonts w:eastAsia="SimSun"/>
          <w:bCs/>
          <w:i/>
          <w:iCs/>
          <w:sz w:val="24"/>
          <w:szCs w:val="24"/>
          <w:u w:val="single"/>
          <w:lang w:val="cs-CZ"/>
        </w:rPr>
        <w:t>e</w:t>
      </w:r>
      <w:r w:rsidRPr="008B1755">
        <w:rPr>
          <w:rFonts w:eastAsia="SimSun"/>
          <w:bCs/>
          <w:i/>
          <w:iCs/>
          <w:sz w:val="24"/>
          <w:szCs w:val="24"/>
          <w:u w:val="single"/>
          <w:lang w:val="cs-CZ"/>
        </w:rPr>
        <w:t xml:space="preserve">b </w:t>
      </w:r>
      <w:r w:rsidR="00DD272F" w:rsidRPr="008B1755">
        <w:rPr>
          <w:rFonts w:eastAsia="SimSun"/>
          <w:bCs/>
          <w:i/>
          <w:iCs/>
          <w:sz w:val="24"/>
          <w:szCs w:val="24"/>
          <w:u w:val="single"/>
          <w:lang w:val="cs-CZ"/>
        </w:rPr>
        <w:t>přístupu k internetu</w:t>
      </w:r>
    </w:p>
    <w:p w:rsidR="00B35884" w:rsidRPr="008B1755" w:rsidRDefault="00B35884" w:rsidP="0038751B">
      <w:pPr>
        <w:numPr>
          <w:ilvl w:val="0"/>
          <w:numId w:val="2"/>
        </w:numPr>
        <w:spacing w:after="120"/>
        <w:rPr>
          <w:lang w:val="cs-CZ"/>
        </w:rPr>
      </w:pPr>
      <w:r w:rsidRPr="008B1755">
        <w:rPr>
          <w:lang w:val="cs-CZ"/>
        </w:rPr>
        <w:t>Speciali</w:t>
      </w:r>
      <w:r w:rsidR="007B2DE4" w:rsidRPr="008B1755">
        <w:rPr>
          <w:lang w:val="cs-CZ"/>
        </w:rPr>
        <w:t xml:space="preserve">zované služby musí být nabízeny pouze tehdy, pokud je kapacita sítě dostatečná tak, aby </w:t>
      </w:r>
      <w:r w:rsidR="00DD272F" w:rsidRPr="008B1755">
        <w:rPr>
          <w:lang w:val="cs-CZ"/>
        </w:rPr>
        <w:t>služba přístupu k internetu</w:t>
      </w:r>
      <w:r w:rsidRPr="008B1755">
        <w:rPr>
          <w:lang w:val="cs-CZ"/>
        </w:rPr>
        <w:t xml:space="preserve"> </w:t>
      </w:r>
      <w:r w:rsidR="007B2DE4" w:rsidRPr="008B1755">
        <w:rPr>
          <w:lang w:val="cs-CZ"/>
        </w:rPr>
        <w:t xml:space="preserve">nebyla zhoršena </w:t>
      </w:r>
      <w:r w:rsidRPr="008B1755">
        <w:rPr>
          <w:lang w:val="cs-CZ"/>
        </w:rPr>
        <w:t>(</w:t>
      </w:r>
      <w:r w:rsidR="00BE001A" w:rsidRPr="008B1755">
        <w:rPr>
          <w:lang w:val="cs-CZ"/>
        </w:rPr>
        <w:t>např.</w:t>
      </w:r>
      <w:r w:rsidRPr="008B1755">
        <w:rPr>
          <w:lang w:val="cs-CZ"/>
        </w:rPr>
        <w:t xml:space="preserve"> </w:t>
      </w:r>
      <w:r w:rsidR="007B2DE4" w:rsidRPr="008B1755">
        <w:rPr>
          <w:lang w:val="cs-CZ"/>
        </w:rPr>
        <w:t xml:space="preserve">kvůli vyšší </w:t>
      </w:r>
      <w:r w:rsidR="0094748E">
        <w:rPr>
          <w:lang w:val="cs-CZ"/>
        </w:rPr>
        <w:t xml:space="preserve">latenci </w:t>
      </w:r>
      <w:r w:rsidR="007B2DE4" w:rsidRPr="008B1755">
        <w:rPr>
          <w:lang w:val="cs-CZ"/>
        </w:rPr>
        <w:t>nebo kolísání výkonu (</w:t>
      </w:r>
      <w:r w:rsidRPr="008B1755">
        <w:rPr>
          <w:lang w:val="cs-CZ"/>
        </w:rPr>
        <w:t>jitter</w:t>
      </w:r>
      <w:r w:rsidR="007B2DE4" w:rsidRPr="008B1755">
        <w:rPr>
          <w:lang w:val="cs-CZ"/>
        </w:rPr>
        <w:t>) nebo chybějící šířce pásma</w:t>
      </w:r>
      <w:r w:rsidRPr="008B1755">
        <w:rPr>
          <w:lang w:val="cs-CZ"/>
        </w:rPr>
        <w:t xml:space="preserve">) </w:t>
      </w:r>
      <w:r w:rsidR="007B2DE4" w:rsidRPr="008B1755">
        <w:rPr>
          <w:lang w:val="cs-CZ"/>
        </w:rPr>
        <w:t xml:space="preserve">přidáním </w:t>
      </w:r>
      <w:r w:rsidR="00A82AD1" w:rsidRPr="008B1755">
        <w:rPr>
          <w:lang w:val="cs-CZ"/>
        </w:rPr>
        <w:t>specializovaných služeb</w:t>
      </w:r>
      <w:r w:rsidRPr="008B1755">
        <w:rPr>
          <w:lang w:val="cs-CZ"/>
        </w:rPr>
        <w:t xml:space="preserve">. </w:t>
      </w:r>
      <w:r w:rsidR="007B2DE4" w:rsidRPr="008B1755">
        <w:rPr>
          <w:lang w:val="cs-CZ"/>
        </w:rPr>
        <w:t>S</w:t>
      </w:r>
      <w:r w:rsidR="00244C91" w:rsidRPr="008B1755">
        <w:rPr>
          <w:lang w:val="cs-CZ"/>
        </w:rPr>
        <w:t>pecializované služby</w:t>
      </w:r>
      <w:r w:rsidRPr="008B1755">
        <w:rPr>
          <w:lang w:val="cs-CZ"/>
        </w:rPr>
        <w:t xml:space="preserve"> </w:t>
      </w:r>
      <w:r w:rsidR="007B2DE4" w:rsidRPr="008B1755">
        <w:rPr>
          <w:lang w:val="cs-CZ"/>
        </w:rPr>
        <w:t xml:space="preserve">nesmí krátkodobě ani dlouhodobě vést ke zhoršení celkové kvality </w:t>
      </w:r>
      <w:r w:rsidR="00DD272F" w:rsidRPr="008B1755">
        <w:rPr>
          <w:lang w:val="cs-CZ"/>
        </w:rPr>
        <w:t>služb</w:t>
      </w:r>
      <w:r w:rsidR="007B2DE4" w:rsidRPr="008B1755">
        <w:rPr>
          <w:lang w:val="cs-CZ"/>
        </w:rPr>
        <w:t>y</w:t>
      </w:r>
      <w:r w:rsidR="00DD272F" w:rsidRPr="008B1755">
        <w:rPr>
          <w:lang w:val="cs-CZ"/>
        </w:rPr>
        <w:t xml:space="preserve"> přístupu k internetu</w:t>
      </w:r>
      <w:r w:rsidRPr="008B1755">
        <w:rPr>
          <w:lang w:val="cs-CZ"/>
        </w:rPr>
        <w:t xml:space="preserve"> </w:t>
      </w:r>
      <w:r w:rsidR="007B2DE4" w:rsidRPr="008B1755">
        <w:rPr>
          <w:lang w:val="cs-CZ"/>
        </w:rPr>
        <w:t xml:space="preserve">pro </w:t>
      </w:r>
      <w:r w:rsidR="00C44AED" w:rsidRPr="008B1755">
        <w:rPr>
          <w:lang w:val="cs-CZ"/>
        </w:rPr>
        <w:t>koncov</w:t>
      </w:r>
      <w:r w:rsidR="007B2DE4" w:rsidRPr="008B1755">
        <w:rPr>
          <w:lang w:val="cs-CZ"/>
        </w:rPr>
        <w:t>é</w:t>
      </w:r>
      <w:r w:rsidR="00C44AED" w:rsidRPr="008B1755">
        <w:rPr>
          <w:lang w:val="cs-CZ"/>
        </w:rPr>
        <w:t xml:space="preserve"> uživatel</w:t>
      </w:r>
      <w:r w:rsidR="007B2DE4" w:rsidRPr="008B1755">
        <w:rPr>
          <w:lang w:val="cs-CZ"/>
        </w:rPr>
        <w:t>e</w:t>
      </w:r>
      <w:r w:rsidRPr="008B1755">
        <w:rPr>
          <w:lang w:val="cs-CZ"/>
        </w:rPr>
        <w:t xml:space="preserve">. </w:t>
      </w:r>
      <w:r w:rsidR="007B2DE4" w:rsidRPr="008B1755">
        <w:rPr>
          <w:lang w:val="cs-CZ"/>
        </w:rPr>
        <w:t xml:space="preserve">Toho lze dosáhnout </w:t>
      </w:r>
      <w:r w:rsidR="0094748E" w:rsidRPr="008B1755">
        <w:rPr>
          <w:lang w:val="cs-CZ"/>
        </w:rPr>
        <w:t xml:space="preserve">například </w:t>
      </w:r>
      <w:r w:rsidR="007B2DE4" w:rsidRPr="008B1755">
        <w:rPr>
          <w:lang w:val="cs-CZ"/>
        </w:rPr>
        <w:t>dodatečnými investicemi do infrastruktury</w:t>
      </w:r>
      <w:r w:rsidR="000D1E2C" w:rsidRPr="008B1755">
        <w:rPr>
          <w:lang w:val="cs-CZ"/>
        </w:rPr>
        <w:t xml:space="preserve">, které umožní dodatečnou kapacitu, takže nevznikne nepříznivý dopad na kvalitu </w:t>
      </w:r>
      <w:r w:rsidR="00DD272F" w:rsidRPr="008B1755">
        <w:rPr>
          <w:lang w:val="cs-CZ"/>
        </w:rPr>
        <w:t>služb</w:t>
      </w:r>
      <w:r w:rsidR="000D1E2C" w:rsidRPr="008B1755">
        <w:rPr>
          <w:lang w:val="cs-CZ"/>
        </w:rPr>
        <w:t>y</w:t>
      </w:r>
      <w:r w:rsidR="00DD272F" w:rsidRPr="008B1755">
        <w:rPr>
          <w:lang w:val="cs-CZ"/>
        </w:rPr>
        <w:t xml:space="preserve"> přístupu k internetu</w:t>
      </w:r>
      <w:r w:rsidRPr="008B1755">
        <w:rPr>
          <w:lang w:val="cs-CZ"/>
        </w:rPr>
        <w:t>.</w:t>
      </w:r>
    </w:p>
    <w:p w:rsidR="00B35884" w:rsidRPr="008B1755" w:rsidRDefault="000D1E2C" w:rsidP="0038751B">
      <w:pPr>
        <w:numPr>
          <w:ilvl w:val="0"/>
          <w:numId w:val="2"/>
        </w:numPr>
        <w:spacing w:after="120"/>
        <w:rPr>
          <w:lang w:val="cs-CZ"/>
        </w:rPr>
      </w:pPr>
      <w:r w:rsidRPr="008B1755">
        <w:rPr>
          <w:lang w:val="cs-CZ"/>
        </w:rPr>
        <w:t xml:space="preserve">V síti s omezenou kapacitou by </w:t>
      </w:r>
      <w:r w:rsidR="00DD272F" w:rsidRPr="008B1755">
        <w:rPr>
          <w:lang w:val="cs-CZ"/>
        </w:rPr>
        <w:t>služba přístupu k internetu</w:t>
      </w:r>
      <w:r w:rsidR="00B35884" w:rsidRPr="008B1755">
        <w:rPr>
          <w:lang w:val="cs-CZ"/>
        </w:rPr>
        <w:t xml:space="preserve"> a </w:t>
      </w:r>
      <w:r w:rsidR="00244C91" w:rsidRPr="008B1755">
        <w:rPr>
          <w:lang w:val="cs-CZ"/>
        </w:rPr>
        <w:t>specializované služby</w:t>
      </w:r>
      <w:r w:rsidR="00B35884" w:rsidRPr="008B1755">
        <w:rPr>
          <w:lang w:val="cs-CZ"/>
        </w:rPr>
        <w:t xml:space="preserve"> </w:t>
      </w:r>
      <w:r w:rsidRPr="008B1755">
        <w:rPr>
          <w:lang w:val="cs-CZ"/>
        </w:rPr>
        <w:t>mohly soutěžit o celkové síťové zdroje</w:t>
      </w:r>
      <w:r w:rsidR="00B35884" w:rsidRPr="008B1755">
        <w:rPr>
          <w:lang w:val="cs-CZ"/>
        </w:rPr>
        <w:t xml:space="preserve">. </w:t>
      </w:r>
      <w:r w:rsidRPr="008B1755">
        <w:rPr>
          <w:lang w:val="cs-CZ"/>
        </w:rPr>
        <w:t xml:space="preserve">Za účelem zajištění dostupnosti obecné kvality </w:t>
      </w:r>
      <w:r w:rsidR="007D7F64" w:rsidRPr="008B1755">
        <w:rPr>
          <w:lang w:val="cs-CZ"/>
        </w:rPr>
        <w:t>služby přístupu k</w:t>
      </w:r>
      <w:r w:rsidRPr="008B1755">
        <w:rPr>
          <w:lang w:val="cs-CZ"/>
        </w:rPr>
        <w:t> </w:t>
      </w:r>
      <w:r w:rsidR="007D7F64" w:rsidRPr="008B1755">
        <w:rPr>
          <w:lang w:val="cs-CZ"/>
        </w:rPr>
        <w:t>internetu</w:t>
      </w:r>
      <w:r w:rsidRPr="008B1755">
        <w:rPr>
          <w:lang w:val="cs-CZ"/>
        </w:rPr>
        <w:t xml:space="preserve"> ne</w:t>
      </w:r>
      <w:r w:rsidR="0094748E">
        <w:rPr>
          <w:lang w:val="cs-CZ"/>
        </w:rPr>
        <w:t>d</w:t>
      </w:r>
      <w:r w:rsidRPr="008B1755">
        <w:rPr>
          <w:lang w:val="cs-CZ"/>
        </w:rPr>
        <w:t>ovoluje</w:t>
      </w:r>
      <w:r w:rsidR="00B35884" w:rsidRPr="008B1755">
        <w:rPr>
          <w:lang w:val="cs-CZ"/>
        </w:rPr>
        <w:t xml:space="preserve"> </w:t>
      </w:r>
      <w:r w:rsidR="00D44301" w:rsidRPr="008B1755">
        <w:rPr>
          <w:lang w:val="cs-CZ"/>
        </w:rPr>
        <w:t>Nařízení</w:t>
      </w:r>
      <w:r w:rsidR="00B35884" w:rsidRPr="008B1755">
        <w:rPr>
          <w:lang w:val="cs-CZ"/>
        </w:rPr>
        <w:t xml:space="preserve"> </w:t>
      </w:r>
      <w:r w:rsidR="0094748E">
        <w:rPr>
          <w:lang w:val="cs-CZ"/>
        </w:rPr>
        <w:t xml:space="preserve">poskytovat </w:t>
      </w:r>
      <w:r w:rsidR="00244C91" w:rsidRPr="008B1755">
        <w:rPr>
          <w:lang w:val="cs-CZ"/>
        </w:rPr>
        <w:t>specializované služby</w:t>
      </w:r>
      <w:r w:rsidRPr="008B1755">
        <w:rPr>
          <w:lang w:val="cs-CZ"/>
        </w:rPr>
        <w:t>, pokud kapacita sítě</w:t>
      </w:r>
      <w:r w:rsidR="007909C8" w:rsidRPr="008B1755">
        <w:rPr>
          <w:lang w:val="cs-CZ"/>
        </w:rPr>
        <w:t xml:space="preserve"> </w:t>
      </w:r>
      <w:r w:rsidRPr="008B1755">
        <w:rPr>
          <w:lang w:val="cs-CZ"/>
        </w:rPr>
        <w:t xml:space="preserve">není </w:t>
      </w:r>
      <w:r w:rsidR="00904FED" w:rsidRPr="008B1755">
        <w:rPr>
          <w:rStyle w:val="BERECChar"/>
          <w:lang w:val="cs-CZ"/>
        </w:rPr>
        <w:t xml:space="preserve">dostatečná </w:t>
      </w:r>
      <w:r w:rsidRPr="008B1755">
        <w:rPr>
          <w:rStyle w:val="BERECChar"/>
          <w:lang w:val="cs-CZ"/>
        </w:rPr>
        <w:t xml:space="preserve">k jejich poskytování </w:t>
      </w:r>
      <w:r w:rsidR="0094748E">
        <w:rPr>
          <w:rStyle w:val="BERECChar"/>
          <w:lang w:val="cs-CZ"/>
        </w:rPr>
        <w:t xml:space="preserve">nad rámec </w:t>
      </w:r>
      <w:r w:rsidRPr="008B1755">
        <w:rPr>
          <w:rStyle w:val="BERECChar"/>
          <w:lang w:val="cs-CZ"/>
        </w:rPr>
        <w:t>poskytovaný</w:t>
      </w:r>
      <w:r w:rsidR="0094748E">
        <w:rPr>
          <w:rStyle w:val="BERECChar"/>
          <w:lang w:val="cs-CZ"/>
        </w:rPr>
        <w:t>ch</w:t>
      </w:r>
      <w:r w:rsidRPr="008B1755">
        <w:rPr>
          <w:rStyle w:val="BERECChar"/>
          <w:lang w:val="cs-CZ"/>
        </w:rPr>
        <w:t xml:space="preserve"> služ</w:t>
      </w:r>
      <w:r w:rsidR="0094748E">
        <w:rPr>
          <w:rStyle w:val="BERECChar"/>
          <w:lang w:val="cs-CZ"/>
        </w:rPr>
        <w:t>e</w:t>
      </w:r>
      <w:r w:rsidRPr="008B1755">
        <w:rPr>
          <w:rStyle w:val="BERECChar"/>
          <w:lang w:val="cs-CZ"/>
        </w:rPr>
        <w:t>b přístupu k internetu</w:t>
      </w:r>
      <w:r w:rsidR="007909C8" w:rsidRPr="008B1755">
        <w:rPr>
          <w:lang w:val="cs-CZ"/>
        </w:rPr>
        <w:t xml:space="preserve">, </w:t>
      </w:r>
      <w:r w:rsidR="00904FED" w:rsidRPr="008B1755">
        <w:rPr>
          <w:lang w:val="cs-CZ"/>
        </w:rPr>
        <w:t xml:space="preserve">protože by to vedlo ke zhoršení </w:t>
      </w:r>
      <w:r w:rsidR="00747C71" w:rsidRPr="008B1755">
        <w:rPr>
          <w:lang w:val="cs-CZ"/>
        </w:rPr>
        <w:t>služby</w:t>
      </w:r>
      <w:r w:rsidR="00DD272F" w:rsidRPr="008B1755">
        <w:rPr>
          <w:lang w:val="cs-CZ"/>
        </w:rPr>
        <w:t xml:space="preserve"> přístupu k</w:t>
      </w:r>
      <w:r w:rsidR="00904FED" w:rsidRPr="008B1755">
        <w:rPr>
          <w:lang w:val="cs-CZ"/>
        </w:rPr>
        <w:t> </w:t>
      </w:r>
      <w:r w:rsidR="00DD272F" w:rsidRPr="008B1755">
        <w:rPr>
          <w:lang w:val="cs-CZ"/>
        </w:rPr>
        <w:t>internetu</w:t>
      </w:r>
      <w:r w:rsidR="00904FED" w:rsidRPr="008B1755">
        <w:rPr>
          <w:lang w:val="cs-CZ"/>
        </w:rPr>
        <w:t xml:space="preserve">, a tím k obcházení </w:t>
      </w:r>
      <w:r w:rsidR="00D44301" w:rsidRPr="008B1755">
        <w:rPr>
          <w:lang w:val="cs-CZ"/>
        </w:rPr>
        <w:t>Nařízení</w:t>
      </w:r>
      <w:r w:rsidR="00B35884" w:rsidRPr="008B1755">
        <w:rPr>
          <w:lang w:val="cs-CZ"/>
        </w:rPr>
        <w:t xml:space="preserve">. </w:t>
      </w:r>
      <w:r w:rsidR="00904FED" w:rsidRPr="008B1755">
        <w:rPr>
          <w:lang w:val="cs-CZ"/>
        </w:rPr>
        <w:t xml:space="preserve">Nařízením je chráněna před zhoršováním </w:t>
      </w:r>
      <w:r w:rsidR="0094748E">
        <w:rPr>
          <w:lang w:val="cs-CZ"/>
        </w:rPr>
        <w:t xml:space="preserve">právě </w:t>
      </w:r>
      <w:r w:rsidR="00904FED" w:rsidRPr="008B1755">
        <w:rPr>
          <w:lang w:val="cs-CZ"/>
        </w:rPr>
        <w:t xml:space="preserve">obecná kvalita </w:t>
      </w:r>
      <w:r w:rsidR="00747C71" w:rsidRPr="008B1755">
        <w:rPr>
          <w:lang w:val="cs-CZ"/>
        </w:rPr>
        <w:t>služby</w:t>
      </w:r>
      <w:r w:rsidR="00DD272F" w:rsidRPr="008B1755">
        <w:rPr>
          <w:lang w:val="cs-CZ"/>
        </w:rPr>
        <w:t xml:space="preserve"> přístupu k</w:t>
      </w:r>
      <w:r w:rsidR="00904FED" w:rsidRPr="008B1755">
        <w:rPr>
          <w:lang w:val="cs-CZ"/>
        </w:rPr>
        <w:t> </w:t>
      </w:r>
      <w:r w:rsidR="00DD272F" w:rsidRPr="008B1755">
        <w:rPr>
          <w:lang w:val="cs-CZ"/>
        </w:rPr>
        <w:t>internetu</w:t>
      </w:r>
      <w:r w:rsidR="00904FED" w:rsidRPr="008B1755">
        <w:rPr>
          <w:lang w:val="cs-CZ"/>
        </w:rPr>
        <w:t xml:space="preserve"> a nikoli kvalita </w:t>
      </w:r>
      <w:r w:rsidR="00244C91" w:rsidRPr="008B1755">
        <w:rPr>
          <w:lang w:val="cs-CZ"/>
        </w:rPr>
        <w:t>specializované služby</w:t>
      </w:r>
      <w:r w:rsidR="00B35884" w:rsidRPr="008B1755">
        <w:rPr>
          <w:lang w:val="cs-CZ"/>
        </w:rPr>
        <w:t>.</w:t>
      </w:r>
    </w:p>
    <w:p w:rsidR="00B35884" w:rsidRPr="008B1755" w:rsidRDefault="00904FED" w:rsidP="0038751B">
      <w:pPr>
        <w:numPr>
          <w:ilvl w:val="0"/>
          <w:numId w:val="2"/>
        </w:numPr>
        <w:spacing w:after="120"/>
        <w:rPr>
          <w:lang w:val="cs-CZ"/>
        </w:rPr>
      </w:pPr>
      <w:r w:rsidRPr="008B1755">
        <w:rPr>
          <w:lang w:val="cs-CZ"/>
        </w:rPr>
        <w:t xml:space="preserve">Vnitrostátní </w:t>
      </w:r>
      <w:r w:rsidR="00926BAE" w:rsidRPr="008B1755">
        <w:rPr>
          <w:lang w:val="cs-CZ"/>
        </w:rPr>
        <w:t>regulační orgány</w:t>
      </w:r>
      <w:r w:rsidR="003F2AF1" w:rsidRPr="008B1755">
        <w:rPr>
          <w:lang w:val="cs-CZ"/>
        </w:rPr>
        <w:t xml:space="preserve"> </w:t>
      </w:r>
      <w:r w:rsidRPr="008B1755">
        <w:rPr>
          <w:lang w:val="cs-CZ"/>
        </w:rPr>
        <w:t xml:space="preserve">by měly posoudit, zda za účelem zajištění kvality </w:t>
      </w:r>
      <w:r w:rsidR="00A82AD1" w:rsidRPr="008B1755">
        <w:rPr>
          <w:lang w:val="cs-CZ"/>
        </w:rPr>
        <w:t>specializovaných služeb</w:t>
      </w:r>
      <w:r w:rsidR="00B35884" w:rsidRPr="008B1755">
        <w:rPr>
          <w:lang w:val="cs-CZ"/>
        </w:rPr>
        <w:t xml:space="preserve"> </w:t>
      </w:r>
      <w:r w:rsidR="007D7F64" w:rsidRPr="008B1755">
        <w:rPr>
          <w:lang w:val="cs-CZ"/>
        </w:rPr>
        <w:t>poskytovatelé internetových služeb</w:t>
      </w:r>
      <w:r w:rsidR="00B35884" w:rsidRPr="008B1755">
        <w:rPr>
          <w:lang w:val="cs-CZ"/>
        </w:rPr>
        <w:t xml:space="preserve"> </w:t>
      </w:r>
      <w:r w:rsidRPr="008B1755">
        <w:rPr>
          <w:lang w:val="cs-CZ"/>
        </w:rPr>
        <w:t>zajistili dostatečnou kapacitu sítě</w:t>
      </w:r>
      <w:r w:rsidR="00A90101" w:rsidRPr="008B1755">
        <w:rPr>
          <w:lang w:val="cs-CZ"/>
        </w:rPr>
        <w:t xml:space="preserve"> </w:t>
      </w:r>
      <w:r w:rsidRPr="008B1755">
        <w:rPr>
          <w:lang w:val="cs-CZ"/>
        </w:rPr>
        <w:t xml:space="preserve">pro veškeré nabídky </w:t>
      </w:r>
      <w:r w:rsidR="00DD272F" w:rsidRPr="008B1755">
        <w:rPr>
          <w:lang w:val="cs-CZ"/>
        </w:rPr>
        <w:t>služb</w:t>
      </w:r>
      <w:r w:rsidRPr="008B1755">
        <w:rPr>
          <w:lang w:val="cs-CZ"/>
        </w:rPr>
        <w:t>y</w:t>
      </w:r>
      <w:r w:rsidR="00DD272F" w:rsidRPr="008B1755">
        <w:rPr>
          <w:lang w:val="cs-CZ"/>
        </w:rPr>
        <w:t xml:space="preserve"> přístupu k internetu</w:t>
      </w:r>
      <w:r w:rsidR="00B35884" w:rsidRPr="008B1755">
        <w:rPr>
          <w:lang w:val="cs-CZ"/>
        </w:rPr>
        <w:t xml:space="preserve"> </w:t>
      </w:r>
      <w:r w:rsidRPr="008B1755">
        <w:rPr>
          <w:lang w:val="cs-CZ"/>
        </w:rPr>
        <w:t xml:space="preserve">poskytované prostřednictvím této infrastruktury i pro </w:t>
      </w:r>
      <w:r w:rsidR="00244C91" w:rsidRPr="008B1755">
        <w:rPr>
          <w:lang w:val="cs-CZ"/>
        </w:rPr>
        <w:t>specializované služby</w:t>
      </w:r>
      <w:r w:rsidR="00B35884" w:rsidRPr="008B1755">
        <w:rPr>
          <w:lang w:val="cs-CZ"/>
        </w:rPr>
        <w:t xml:space="preserve">. </w:t>
      </w:r>
      <w:r w:rsidRPr="008B1755">
        <w:rPr>
          <w:lang w:val="cs-CZ"/>
        </w:rPr>
        <w:t xml:space="preserve">Pokud ne, poskytování </w:t>
      </w:r>
      <w:r w:rsidR="00A82AD1" w:rsidRPr="008B1755">
        <w:rPr>
          <w:lang w:val="cs-CZ"/>
        </w:rPr>
        <w:t>specializovaných služeb</w:t>
      </w:r>
      <w:r w:rsidR="00B35884" w:rsidRPr="008B1755">
        <w:rPr>
          <w:lang w:val="cs-CZ"/>
        </w:rPr>
        <w:t xml:space="preserve"> </w:t>
      </w:r>
      <w:r w:rsidRPr="008B1755">
        <w:rPr>
          <w:lang w:val="cs-CZ"/>
        </w:rPr>
        <w:t xml:space="preserve">by </w:t>
      </w:r>
      <w:r w:rsidR="00C44AED" w:rsidRPr="008B1755">
        <w:rPr>
          <w:lang w:val="cs-CZ"/>
        </w:rPr>
        <w:t>na základě Nařízení</w:t>
      </w:r>
      <w:r w:rsidRPr="008B1755">
        <w:rPr>
          <w:lang w:val="cs-CZ"/>
        </w:rPr>
        <w:t xml:space="preserve"> nebylo dovoleno</w:t>
      </w:r>
      <w:r w:rsidR="00B35884" w:rsidRPr="008B1755">
        <w:rPr>
          <w:lang w:val="cs-CZ"/>
        </w:rPr>
        <w:t>.</w:t>
      </w:r>
      <w:r w:rsidR="007D18D4" w:rsidRPr="008B1755">
        <w:rPr>
          <w:lang w:val="cs-CZ"/>
        </w:rPr>
        <w:t xml:space="preserve"> </w:t>
      </w:r>
    </w:p>
    <w:p w:rsidR="000A532B" w:rsidRPr="008B1755" w:rsidRDefault="00904FED" w:rsidP="0038751B">
      <w:pPr>
        <w:numPr>
          <w:ilvl w:val="0"/>
          <w:numId w:val="2"/>
        </w:numPr>
        <w:spacing w:after="120"/>
        <w:rPr>
          <w:lang w:val="cs-CZ"/>
        </w:rPr>
      </w:pPr>
      <w:r w:rsidRPr="008B1755">
        <w:rPr>
          <w:lang w:val="cs-CZ"/>
        </w:rPr>
        <w:t xml:space="preserve">Vnitrostátní </w:t>
      </w:r>
      <w:r w:rsidR="00926BAE" w:rsidRPr="008B1755">
        <w:rPr>
          <w:lang w:val="cs-CZ"/>
        </w:rPr>
        <w:t>regulační orgány</w:t>
      </w:r>
      <w:r w:rsidR="000A532B" w:rsidRPr="008B1755">
        <w:rPr>
          <w:lang w:val="cs-CZ"/>
        </w:rPr>
        <w:t xml:space="preserve"> </w:t>
      </w:r>
      <w:r w:rsidRPr="008B1755">
        <w:rPr>
          <w:lang w:val="cs-CZ"/>
        </w:rPr>
        <w:t xml:space="preserve">by si mohly od </w:t>
      </w:r>
      <w:r w:rsidR="007D7F64" w:rsidRPr="008B1755">
        <w:rPr>
          <w:lang w:val="cs-CZ"/>
        </w:rPr>
        <w:t>poskytovatel</w:t>
      </w:r>
      <w:r w:rsidRPr="008B1755">
        <w:rPr>
          <w:lang w:val="cs-CZ"/>
        </w:rPr>
        <w:t>ů</w:t>
      </w:r>
      <w:r w:rsidR="007D7F64" w:rsidRPr="008B1755">
        <w:rPr>
          <w:lang w:val="cs-CZ"/>
        </w:rPr>
        <w:t xml:space="preserve"> internetových služeb</w:t>
      </w:r>
      <w:r w:rsidR="000A532B" w:rsidRPr="008B1755">
        <w:rPr>
          <w:lang w:val="cs-CZ"/>
        </w:rPr>
        <w:t xml:space="preserve"> </w:t>
      </w:r>
      <w:r w:rsidRPr="008B1755">
        <w:rPr>
          <w:lang w:val="cs-CZ"/>
        </w:rPr>
        <w:t xml:space="preserve">vyžádat informace ohledně toho, jak </w:t>
      </w:r>
      <w:r w:rsidR="00CF30F5">
        <w:rPr>
          <w:lang w:val="cs-CZ"/>
        </w:rPr>
        <w:t xml:space="preserve">je </w:t>
      </w:r>
      <w:r w:rsidRPr="008B1755">
        <w:rPr>
          <w:lang w:val="cs-CZ"/>
        </w:rPr>
        <w:t xml:space="preserve">dostatečná kapacita zaručena a v jakém měřítku je služba nabízena </w:t>
      </w:r>
      <w:r w:rsidR="000A532B" w:rsidRPr="008B1755">
        <w:rPr>
          <w:lang w:val="cs-CZ"/>
        </w:rPr>
        <w:t>(</w:t>
      </w:r>
      <w:r w:rsidR="00BE001A" w:rsidRPr="008B1755">
        <w:rPr>
          <w:lang w:val="cs-CZ"/>
        </w:rPr>
        <w:t>např.</w:t>
      </w:r>
      <w:r w:rsidR="001D22B2" w:rsidRPr="008B1755">
        <w:rPr>
          <w:lang w:val="cs-CZ"/>
        </w:rPr>
        <w:t xml:space="preserve"> </w:t>
      </w:r>
      <w:r w:rsidRPr="008B1755">
        <w:rPr>
          <w:lang w:val="cs-CZ"/>
        </w:rPr>
        <w:t>sítě</w:t>
      </w:r>
      <w:r w:rsidR="000A532B" w:rsidRPr="008B1755">
        <w:rPr>
          <w:lang w:val="cs-CZ"/>
        </w:rPr>
        <w:t xml:space="preserve">, </w:t>
      </w:r>
      <w:r w:rsidRPr="008B1755">
        <w:rPr>
          <w:lang w:val="cs-CZ"/>
        </w:rPr>
        <w:t xml:space="preserve">pokrytí a </w:t>
      </w:r>
      <w:r w:rsidR="00C44AED" w:rsidRPr="008B1755">
        <w:rPr>
          <w:lang w:val="cs-CZ"/>
        </w:rPr>
        <w:t>koncoví uživatelé</w:t>
      </w:r>
      <w:r w:rsidR="000A532B" w:rsidRPr="008B1755">
        <w:rPr>
          <w:lang w:val="cs-CZ"/>
        </w:rPr>
        <w:t xml:space="preserve">). </w:t>
      </w:r>
      <w:r w:rsidRPr="008B1755">
        <w:rPr>
          <w:lang w:val="cs-CZ"/>
        </w:rPr>
        <w:t xml:space="preserve">Vnitrostátní </w:t>
      </w:r>
      <w:r w:rsidR="00926BAE" w:rsidRPr="008B1755">
        <w:rPr>
          <w:lang w:val="cs-CZ"/>
        </w:rPr>
        <w:t>regulační orgány</w:t>
      </w:r>
      <w:r w:rsidR="000A532B" w:rsidRPr="008B1755">
        <w:rPr>
          <w:lang w:val="cs-CZ"/>
        </w:rPr>
        <w:t xml:space="preserve"> </w:t>
      </w:r>
      <w:r w:rsidRPr="008B1755">
        <w:rPr>
          <w:lang w:val="cs-CZ"/>
        </w:rPr>
        <w:t xml:space="preserve">by poté mohly posoudit, jak </w:t>
      </w:r>
      <w:r w:rsidR="007D7F64" w:rsidRPr="008B1755">
        <w:rPr>
          <w:lang w:val="cs-CZ"/>
        </w:rPr>
        <w:t>poskytovatelé internetových služeb</w:t>
      </w:r>
      <w:r w:rsidR="000A532B" w:rsidRPr="008B1755">
        <w:rPr>
          <w:lang w:val="cs-CZ"/>
        </w:rPr>
        <w:t xml:space="preserve"> </w:t>
      </w:r>
      <w:r w:rsidRPr="008B1755">
        <w:rPr>
          <w:lang w:val="cs-CZ"/>
        </w:rPr>
        <w:t xml:space="preserve">odhadli dodatečnou kapacitu potřebnou pro své </w:t>
      </w:r>
      <w:r w:rsidR="00244C91" w:rsidRPr="008B1755">
        <w:rPr>
          <w:lang w:val="cs-CZ"/>
        </w:rPr>
        <w:t>specializované služby</w:t>
      </w:r>
      <w:r w:rsidR="000A532B" w:rsidRPr="008B1755">
        <w:rPr>
          <w:lang w:val="cs-CZ"/>
        </w:rPr>
        <w:t xml:space="preserve"> </w:t>
      </w:r>
      <w:r w:rsidRPr="008B1755">
        <w:rPr>
          <w:lang w:val="cs-CZ"/>
        </w:rPr>
        <w:t xml:space="preserve">a jak zajistili, aby síťové prvky a spoje měly dostatečnou kapacitu pro poskytování </w:t>
      </w:r>
      <w:r w:rsidR="00244C91" w:rsidRPr="008B1755">
        <w:rPr>
          <w:lang w:val="cs-CZ"/>
        </w:rPr>
        <w:t>specializovan</w:t>
      </w:r>
      <w:r w:rsidRPr="008B1755">
        <w:rPr>
          <w:lang w:val="cs-CZ"/>
        </w:rPr>
        <w:t>ých</w:t>
      </w:r>
      <w:r w:rsidR="00244C91" w:rsidRPr="008B1755">
        <w:rPr>
          <w:lang w:val="cs-CZ"/>
        </w:rPr>
        <w:t xml:space="preserve"> služ</w:t>
      </w:r>
      <w:r w:rsidRPr="008B1755">
        <w:rPr>
          <w:lang w:val="cs-CZ"/>
        </w:rPr>
        <w:t>e</w:t>
      </w:r>
      <w:r w:rsidR="00244C91" w:rsidRPr="008B1755">
        <w:rPr>
          <w:lang w:val="cs-CZ"/>
        </w:rPr>
        <w:t>b</w:t>
      </w:r>
      <w:r w:rsidRPr="008B1755">
        <w:rPr>
          <w:lang w:val="cs-CZ"/>
        </w:rPr>
        <w:t xml:space="preserve"> </w:t>
      </w:r>
      <w:r w:rsidR="00CF30F5">
        <w:rPr>
          <w:rStyle w:val="BERECChar"/>
          <w:lang w:val="cs-CZ"/>
        </w:rPr>
        <w:t xml:space="preserve">nad rámec </w:t>
      </w:r>
      <w:r w:rsidRPr="008B1755">
        <w:rPr>
          <w:rStyle w:val="BERECChar"/>
          <w:lang w:val="cs-CZ"/>
        </w:rPr>
        <w:t>poskytovaný</w:t>
      </w:r>
      <w:r w:rsidR="00CF30F5">
        <w:rPr>
          <w:rStyle w:val="BERECChar"/>
          <w:lang w:val="cs-CZ"/>
        </w:rPr>
        <w:t>ch</w:t>
      </w:r>
      <w:r w:rsidRPr="008B1755">
        <w:rPr>
          <w:rStyle w:val="BERECChar"/>
          <w:lang w:val="cs-CZ"/>
        </w:rPr>
        <w:t xml:space="preserve"> služ</w:t>
      </w:r>
      <w:r w:rsidR="00CF30F5">
        <w:rPr>
          <w:rStyle w:val="BERECChar"/>
          <w:lang w:val="cs-CZ"/>
        </w:rPr>
        <w:t>e</w:t>
      </w:r>
      <w:r w:rsidRPr="008B1755">
        <w:rPr>
          <w:rStyle w:val="BERECChar"/>
          <w:lang w:val="cs-CZ"/>
        </w:rPr>
        <w:t xml:space="preserve">b </w:t>
      </w:r>
      <w:r w:rsidR="00DD272F" w:rsidRPr="008B1755">
        <w:rPr>
          <w:lang w:val="cs-CZ"/>
        </w:rPr>
        <w:t>přístupu k internetu</w:t>
      </w:r>
      <w:r w:rsidR="000A532B" w:rsidRPr="008B1755">
        <w:rPr>
          <w:lang w:val="cs-CZ"/>
        </w:rPr>
        <w:t>.</w:t>
      </w:r>
    </w:p>
    <w:p w:rsidR="00B35884" w:rsidRPr="008B1755" w:rsidRDefault="00904FED" w:rsidP="0038751B">
      <w:pPr>
        <w:numPr>
          <w:ilvl w:val="0"/>
          <w:numId w:val="2"/>
        </w:numPr>
        <w:spacing w:after="120"/>
        <w:rPr>
          <w:lang w:val="cs-CZ"/>
        </w:rPr>
      </w:pPr>
      <w:r w:rsidRPr="008B1755">
        <w:rPr>
          <w:lang w:val="cs-CZ"/>
        </w:rPr>
        <w:t xml:space="preserve">Vnitrostátní </w:t>
      </w:r>
      <w:r w:rsidR="00926BAE" w:rsidRPr="008B1755">
        <w:rPr>
          <w:lang w:val="cs-CZ"/>
        </w:rPr>
        <w:t>regulační orgány</w:t>
      </w:r>
      <w:r w:rsidR="00B35884" w:rsidRPr="008B1755">
        <w:rPr>
          <w:lang w:val="cs-CZ"/>
        </w:rPr>
        <w:t xml:space="preserve"> </w:t>
      </w:r>
      <w:r w:rsidRPr="008B1755">
        <w:rPr>
          <w:lang w:val="cs-CZ"/>
        </w:rPr>
        <w:t>by měly posoudit, zda</w:t>
      </w:r>
      <w:r w:rsidR="00B35884" w:rsidRPr="008B1755">
        <w:rPr>
          <w:lang w:val="cs-CZ"/>
        </w:rPr>
        <w:t xml:space="preserve"> </w:t>
      </w:r>
      <w:r w:rsidRPr="008B1755">
        <w:rPr>
          <w:lang w:val="cs-CZ"/>
        </w:rPr>
        <w:t xml:space="preserve">existuje dostatečná kapacita pro </w:t>
      </w:r>
      <w:r w:rsidR="00DD272F" w:rsidRPr="008B1755">
        <w:rPr>
          <w:lang w:val="cs-CZ"/>
        </w:rPr>
        <w:t>služb</w:t>
      </w:r>
      <w:r w:rsidRPr="008B1755">
        <w:rPr>
          <w:lang w:val="cs-CZ"/>
        </w:rPr>
        <w:t>u</w:t>
      </w:r>
      <w:r w:rsidR="00DD272F" w:rsidRPr="008B1755">
        <w:rPr>
          <w:lang w:val="cs-CZ"/>
        </w:rPr>
        <w:t xml:space="preserve"> přístupu k</w:t>
      </w:r>
      <w:r w:rsidRPr="008B1755">
        <w:rPr>
          <w:lang w:val="cs-CZ"/>
        </w:rPr>
        <w:t> </w:t>
      </w:r>
      <w:r w:rsidR="00DD272F" w:rsidRPr="008B1755">
        <w:rPr>
          <w:lang w:val="cs-CZ"/>
        </w:rPr>
        <w:t>internetu</w:t>
      </w:r>
      <w:r w:rsidRPr="008B1755">
        <w:rPr>
          <w:lang w:val="cs-CZ"/>
        </w:rPr>
        <w:t xml:space="preserve">, když jsou poskytovány </w:t>
      </w:r>
      <w:r w:rsidR="00244C91" w:rsidRPr="008B1755">
        <w:rPr>
          <w:lang w:val="cs-CZ"/>
        </w:rPr>
        <w:t>specializované služby</w:t>
      </w:r>
      <w:r w:rsidRPr="008B1755">
        <w:rPr>
          <w:lang w:val="cs-CZ"/>
        </w:rPr>
        <w:t>, či nikoliv, například pomocí provádění měření</w:t>
      </w:r>
      <w:r w:rsidR="00B35884" w:rsidRPr="008B1755">
        <w:rPr>
          <w:lang w:val="cs-CZ"/>
        </w:rPr>
        <w:t xml:space="preserve"> </w:t>
      </w:r>
      <w:r w:rsidR="007D7F64" w:rsidRPr="008B1755">
        <w:rPr>
          <w:lang w:val="cs-CZ"/>
        </w:rPr>
        <w:t>služby přístupu k internetu</w:t>
      </w:r>
      <w:r w:rsidR="00B35884" w:rsidRPr="008B1755">
        <w:rPr>
          <w:lang w:val="cs-CZ"/>
        </w:rPr>
        <w:t>.</w:t>
      </w:r>
      <w:r w:rsidR="00FB6FAC" w:rsidRPr="008B1755">
        <w:rPr>
          <w:rStyle w:val="Znakapoznpodarou"/>
          <w:lang w:val="cs-CZ"/>
        </w:rPr>
        <w:footnoteReference w:id="28"/>
      </w:r>
      <w:r w:rsidR="00B35884" w:rsidRPr="008B1755">
        <w:rPr>
          <w:lang w:val="cs-CZ"/>
        </w:rPr>
        <w:t xml:space="preserve"> </w:t>
      </w:r>
      <w:r w:rsidRPr="008B1755">
        <w:rPr>
          <w:lang w:val="cs-CZ"/>
        </w:rPr>
        <w:t xml:space="preserve">Postupy pro tato měření byly </w:t>
      </w:r>
      <w:r w:rsidR="00CF30F5">
        <w:rPr>
          <w:lang w:val="cs-CZ"/>
        </w:rPr>
        <w:t xml:space="preserve">v posledních letech </w:t>
      </w:r>
      <w:r w:rsidRPr="008B1755">
        <w:rPr>
          <w:lang w:val="cs-CZ"/>
        </w:rPr>
        <w:t xml:space="preserve">poměrně kvalitně </w:t>
      </w:r>
      <w:r w:rsidR="00CF30F5">
        <w:rPr>
          <w:lang w:val="cs-CZ"/>
        </w:rPr>
        <w:t>z</w:t>
      </w:r>
      <w:r w:rsidRPr="008B1755">
        <w:rPr>
          <w:lang w:val="cs-CZ"/>
        </w:rPr>
        <w:t xml:space="preserve">pracovány </w:t>
      </w:r>
      <w:r w:rsidR="00CF30F5">
        <w:rPr>
          <w:lang w:val="cs-CZ"/>
        </w:rPr>
        <w:t xml:space="preserve">v rámci činnosti jednotlivých projektů pracovní skupiny sdružení BEREC k síťové neutralitě </w:t>
      </w:r>
      <w:r w:rsidRPr="008B1755">
        <w:rPr>
          <w:lang w:val="cs-CZ"/>
        </w:rPr>
        <w:t xml:space="preserve">a neustále se </w:t>
      </w:r>
      <w:r w:rsidR="00CF30F5">
        <w:rPr>
          <w:lang w:val="cs-CZ"/>
        </w:rPr>
        <w:t>vy</w:t>
      </w:r>
      <w:r w:rsidRPr="008B1755">
        <w:rPr>
          <w:lang w:val="cs-CZ"/>
        </w:rPr>
        <w:t>lepšují</w:t>
      </w:r>
      <w:r w:rsidR="00B35884" w:rsidRPr="008B1755">
        <w:rPr>
          <w:lang w:val="cs-CZ"/>
        </w:rPr>
        <w:t xml:space="preserve">. </w:t>
      </w:r>
    </w:p>
    <w:p w:rsidR="00FF7B62" w:rsidRPr="008B1755" w:rsidRDefault="000D1E2C" w:rsidP="00FF7B62">
      <w:pPr>
        <w:keepNext/>
        <w:keepLines/>
        <w:spacing w:before="120" w:after="120"/>
        <w:outlineLvl w:val="3"/>
        <w:rPr>
          <w:lang w:val="cs-CZ"/>
        </w:rPr>
      </w:pPr>
      <w:r w:rsidRPr="008B1755">
        <w:rPr>
          <w:rFonts w:eastAsia="SimSun"/>
          <w:bCs/>
          <w:i/>
          <w:iCs/>
          <w:sz w:val="24"/>
          <w:szCs w:val="24"/>
          <w:u w:val="single"/>
          <w:lang w:val="cs-CZ"/>
        </w:rPr>
        <w:t>„</w:t>
      </w:r>
      <w:r w:rsidR="00FF7B62" w:rsidRPr="008B1755">
        <w:rPr>
          <w:rFonts w:eastAsia="SimSun"/>
          <w:bCs/>
          <w:i/>
          <w:iCs/>
          <w:sz w:val="24"/>
          <w:szCs w:val="24"/>
          <w:u w:val="single"/>
          <w:lang w:val="cs-CZ"/>
        </w:rPr>
        <w:t>N</w:t>
      </w:r>
      <w:r w:rsidRPr="008B1755">
        <w:rPr>
          <w:rFonts w:eastAsia="SimSun"/>
          <w:bCs/>
          <w:i/>
          <w:iCs/>
          <w:sz w:val="24"/>
          <w:szCs w:val="24"/>
          <w:u w:val="single"/>
          <w:lang w:val="cs-CZ"/>
        </w:rPr>
        <w:t xml:space="preserve">e </w:t>
      </w:r>
      <w:r w:rsidRPr="008B1755">
        <w:rPr>
          <w:rStyle w:val="BERECcitaceChar"/>
          <w:sz w:val="24"/>
          <w:u w:val="single"/>
          <w:lang w:val="cs-CZ"/>
        </w:rPr>
        <w:t>na úkor dostupnosti nebo obecné kvality služeb přístupu k internetu</w:t>
      </w:r>
      <w:r w:rsidRPr="008B1755">
        <w:rPr>
          <w:rFonts w:eastAsia="SimSun"/>
          <w:bCs/>
          <w:i/>
          <w:iCs/>
          <w:sz w:val="24"/>
          <w:szCs w:val="24"/>
          <w:u w:val="single"/>
          <w:lang w:val="cs-CZ"/>
        </w:rPr>
        <w:t>“</w:t>
      </w:r>
    </w:p>
    <w:p w:rsidR="00B35884" w:rsidRPr="008B1755" w:rsidRDefault="000F2AFE" w:rsidP="0038751B">
      <w:pPr>
        <w:numPr>
          <w:ilvl w:val="0"/>
          <w:numId w:val="2"/>
        </w:numPr>
        <w:spacing w:after="120"/>
        <w:rPr>
          <w:lang w:val="cs-CZ"/>
        </w:rPr>
      </w:pPr>
      <w:r w:rsidRPr="008B1755">
        <w:rPr>
          <w:lang w:val="cs-CZ"/>
        </w:rPr>
        <w:t>Speciali</w:t>
      </w:r>
      <w:r w:rsidR="0032482D" w:rsidRPr="008B1755">
        <w:rPr>
          <w:lang w:val="cs-CZ"/>
        </w:rPr>
        <w:t xml:space="preserve">zované služby nejsou přípustné, pokud jsou na úkor dostupnosti nebo obecné kvality </w:t>
      </w:r>
      <w:r w:rsidR="00747C71" w:rsidRPr="008B1755">
        <w:rPr>
          <w:lang w:val="cs-CZ"/>
        </w:rPr>
        <w:t>služ</w:t>
      </w:r>
      <w:r w:rsidR="0032482D" w:rsidRPr="008B1755">
        <w:rPr>
          <w:lang w:val="cs-CZ"/>
        </w:rPr>
        <w:t>e</w:t>
      </w:r>
      <w:r w:rsidR="00747C71" w:rsidRPr="008B1755">
        <w:rPr>
          <w:lang w:val="cs-CZ"/>
        </w:rPr>
        <w:t>b</w:t>
      </w:r>
      <w:r w:rsidR="00DD272F" w:rsidRPr="008B1755">
        <w:rPr>
          <w:lang w:val="cs-CZ"/>
        </w:rPr>
        <w:t xml:space="preserve"> přístupu k internetu</w:t>
      </w:r>
      <w:r w:rsidRPr="008B1755">
        <w:rPr>
          <w:lang w:val="cs-CZ"/>
        </w:rPr>
        <w:t xml:space="preserve">. </w:t>
      </w:r>
      <w:r w:rsidR="0032482D" w:rsidRPr="008B1755">
        <w:rPr>
          <w:lang w:val="cs-CZ"/>
        </w:rPr>
        <w:t xml:space="preserve">Existuje korelace mezi </w:t>
      </w:r>
      <w:r w:rsidR="00CF30F5">
        <w:rPr>
          <w:lang w:val="cs-CZ"/>
        </w:rPr>
        <w:t xml:space="preserve">parametry </w:t>
      </w:r>
      <w:r w:rsidR="0032482D" w:rsidRPr="008B1755">
        <w:rPr>
          <w:lang w:val="cs-CZ"/>
        </w:rPr>
        <w:t xml:space="preserve">nabídky </w:t>
      </w:r>
      <w:r w:rsidR="00747C71" w:rsidRPr="008B1755">
        <w:rPr>
          <w:lang w:val="cs-CZ"/>
        </w:rPr>
        <w:t>služby</w:t>
      </w:r>
      <w:r w:rsidR="00DD272F" w:rsidRPr="008B1755">
        <w:rPr>
          <w:lang w:val="cs-CZ"/>
        </w:rPr>
        <w:t xml:space="preserve"> přístupu k internetu</w:t>
      </w:r>
      <w:r w:rsidR="00B35884" w:rsidRPr="008B1755">
        <w:rPr>
          <w:lang w:val="cs-CZ"/>
        </w:rPr>
        <w:t xml:space="preserve"> </w:t>
      </w:r>
      <w:r w:rsidRPr="008B1755">
        <w:rPr>
          <w:lang w:val="cs-CZ"/>
        </w:rPr>
        <w:t>(</w:t>
      </w:r>
      <w:r w:rsidR="00007189" w:rsidRPr="008B1755">
        <w:rPr>
          <w:lang w:val="cs-CZ"/>
        </w:rPr>
        <w:t>tj.</w:t>
      </w:r>
      <w:r w:rsidRPr="008B1755">
        <w:rPr>
          <w:lang w:val="cs-CZ"/>
        </w:rPr>
        <w:t xml:space="preserve"> </w:t>
      </w:r>
      <w:r w:rsidR="0032482D" w:rsidRPr="008B1755">
        <w:rPr>
          <w:lang w:val="cs-CZ"/>
        </w:rPr>
        <w:t>její dostupností a obecnou kvalitou</w:t>
      </w:r>
      <w:r w:rsidRPr="008B1755">
        <w:rPr>
          <w:lang w:val="cs-CZ"/>
        </w:rPr>
        <w:t xml:space="preserve">) </w:t>
      </w:r>
      <w:r w:rsidR="00B35884" w:rsidRPr="008B1755">
        <w:rPr>
          <w:lang w:val="cs-CZ"/>
        </w:rPr>
        <w:t>a</w:t>
      </w:r>
      <w:r w:rsidR="0032482D" w:rsidRPr="008B1755">
        <w:rPr>
          <w:lang w:val="cs-CZ"/>
        </w:rPr>
        <w:t xml:space="preserve"> tím, zda existuje dostatečná kapacita pro poskytování specializovaných služeb </w:t>
      </w:r>
      <w:r w:rsidR="00CF30F5">
        <w:rPr>
          <w:rStyle w:val="BERECChar"/>
          <w:lang w:val="cs-CZ"/>
        </w:rPr>
        <w:t xml:space="preserve">nad rámec </w:t>
      </w:r>
      <w:r w:rsidR="0032482D" w:rsidRPr="008B1755">
        <w:rPr>
          <w:rStyle w:val="BERECChar"/>
          <w:lang w:val="cs-CZ"/>
        </w:rPr>
        <w:t>poskytovaný</w:t>
      </w:r>
      <w:r w:rsidR="00CF30F5">
        <w:rPr>
          <w:rStyle w:val="BERECChar"/>
          <w:lang w:val="cs-CZ"/>
        </w:rPr>
        <w:t>ch</w:t>
      </w:r>
      <w:r w:rsidR="0032482D" w:rsidRPr="008B1755">
        <w:rPr>
          <w:rStyle w:val="BERECChar"/>
          <w:lang w:val="cs-CZ"/>
        </w:rPr>
        <w:t xml:space="preserve"> služ</w:t>
      </w:r>
      <w:r w:rsidR="00CF30F5">
        <w:rPr>
          <w:rStyle w:val="BERECChar"/>
          <w:lang w:val="cs-CZ"/>
        </w:rPr>
        <w:t>e</w:t>
      </w:r>
      <w:r w:rsidR="0032482D" w:rsidRPr="008B1755">
        <w:rPr>
          <w:rStyle w:val="BERECChar"/>
          <w:lang w:val="cs-CZ"/>
        </w:rPr>
        <w:t xml:space="preserve">b </w:t>
      </w:r>
      <w:r w:rsidR="0032482D" w:rsidRPr="008B1755">
        <w:rPr>
          <w:lang w:val="cs-CZ"/>
        </w:rPr>
        <w:t>přístupu k internetu</w:t>
      </w:r>
      <w:r w:rsidR="00B35884" w:rsidRPr="008B1755">
        <w:rPr>
          <w:lang w:val="cs-CZ"/>
        </w:rPr>
        <w:t xml:space="preserve">. </w:t>
      </w:r>
      <w:r w:rsidR="0032482D" w:rsidRPr="008B1755">
        <w:rPr>
          <w:lang w:val="cs-CZ"/>
        </w:rPr>
        <w:t xml:space="preserve">Měření kvality </w:t>
      </w:r>
      <w:r w:rsidR="00DD272F" w:rsidRPr="008B1755">
        <w:rPr>
          <w:lang w:val="cs-CZ"/>
        </w:rPr>
        <w:t>služb</w:t>
      </w:r>
      <w:r w:rsidR="0032482D" w:rsidRPr="008B1755">
        <w:rPr>
          <w:lang w:val="cs-CZ"/>
        </w:rPr>
        <w:t>y</w:t>
      </w:r>
      <w:r w:rsidR="00DD272F" w:rsidRPr="008B1755">
        <w:rPr>
          <w:lang w:val="cs-CZ"/>
        </w:rPr>
        <w:t xml:space="preserve"> přístupu k internetu</w:t>
      </w:r>
      <w:r w:rsidR="00B35884" w:rsidRPr="008B1755">
        <w:rPr>
          <w:lang w:val="cs-CZ"/>
        </w:rPr>
        <w:t xml:space="preserve"> </w:t>
      </w:r>
      <w:r w:rsidR="003C56C4">
        <w:rPr>
          <w:lang w:val="cs-CZ"/>
        </w:rPr>
        <w:t>může</w:t>
      </w:r>
      <w:r w:rsidR="0032482D" w:rsidRPr="008B1755">
        <w:rPr>
          <w:lang w:val="cs-CZ"/>
        </w:rPr>
        <w:t xml:space="preserve"> být provedeno se </w:t>
      </w:r>
      <w:r w:rsidR="00244C91" w:rsidRPr="008B1755">
        <w:rPr>
          <w:lang w:val="cs-CZ"/>
        </w:rPr>
        <w:t>specializovan</w:t>
      </w:r>
      <w:r w:rsidR="0032482D" w:rsidRPr="008B1755">
        <w:rPr>
          <w:lang w:val="cs-CZ"/>
        </w:rPr>
        <w:t>ými</w:t>
      </w:r>
      <w:r w:rsidR="00244C91" w:rsidRPr="008B1755">
        <w:rPr>
          <w:lang w:val="cs-CZ"/>
        </w:rPr>
        <w:t xml:space="preserve"> služb</w:t>
      </w:r>
      <w:r w:rsidR="0032482D" w:rsidRPr="008B1755">
        <w:rPr>
          <w:lang w:val="cs-CZ"/>
        </w:rPr>
        <w:t xml:space="preserve">ami </w:t>
      </w:r>
      <w:r w:rsidR="00CF30F5">
        <w:rPr>
          <w:lang w:val="cs-CZ"/>
        </w:rPr>
        <w:t>i</w:t>
      </w:r>
      <w:r w:rsidR="0032482D" w:rsidRPr="008B1755">
        <w:rPr>
          <w:lang w:val="cs-CZ"/>
        </w:rPr>
        <w:t xml:space="preserve"> bez nich</w:t>
      </w:r>
      <w:r w:rsidR="00B35884" w:rsidRPr="008B1755">
        <w:rPr>
          <w:lang w:val="cs-CZ"/>
        </w:rPr>
        <w:t xml:space="preserve">, </w:t>
      </w:r>
      <w:r w:rsidR="0032482D" w:rsidRPr="008B1755">
        <w:rPr>
          <w:lang w:val="cs-CZ"/>
        </w:rPr>
        <w:t xml:space="preserve">a to jak v krátkodobém intervalu pro jednotlivé </w:t>
      </w:r>
      <w:r w:rsidR="00C44AED" w:rsidRPr="008B1755">
        <w:rPr>
          <w:lang w:val="cs-CZ"/>
        </w:rPr>
        <w:t>koncov</w:t>
      </w:r>
      <w:r w:rsidR="0032482D" w:rsidRPr="008B1755">
        <w:rPr>
          <w:lang w:val="cs-CZ"/>
        </w:rPr>
        <w:t>é</w:t>
      </w:r>
      <w:r w:rsidR="00C44AED" w:rsidRPr="008B1755">
        <w:rPr>
          <w:lang w:val="cs-CZ"/>
        </w:rPr>
        <w:t xml:space="preserve"> uživatel</w:t>
      </w:r>
      <w:r w:rsidR="0032482D" w:rsidRPr="008B1755">
        <w:rPr>
          <w:lang w:val="cs-CZ"/>
        </w:rPr>
        <w:t>e</w:t>
      </w:r>
      <w:r w:rsidR="00183074" w:rsidRPr="008B1755">
        <w:rPr>
          <w:lang w:val="cs-CZ"/>
        </w:rPr>
        <w:t xml:space="preserve"> </w:t>
      </w:r>
      <w:r w:rsidR="00B35884" w:rsidRPr="008B1755">
        <w:rPr>
          <w:lang w:val="cs-CZ"/>
        </w:rPr>
        <w:t>(</w:t>
      </w:r>
      <w:r w:rsidR="0032482D" w:rsidRPr="008B1755">
        <w:rPr>
          <w:lang w:val="cs-CZ"/>
        </w:rPr>
        <w:t>měření se zapnutými resp. vypnutými specializovanými službami</w:t>
      </w:r>
      <w:r w:rsidR="00B35884" w:rsidRPr="008B1755">
        <w:rPr>
          <w:lang w:val="cs-CZ"/>
        </w:rPr>
        <w:t>) a</w:t>
      </w:r>
      <w:r w:rsidR="003C56C4">
        <w:rPr>
          <w:lang w:val="cs-CZ"/>
        </w:rPr>
        <w:t> </w:t>
      </w:r>
      <w:r w:rsidR="0032482D" w:rsidRPr="008B1755">
        <w:rPr>
          <w:lang w:val="cs-CZ"/>
        </w:rPr>
        <w:t xml:space="preserve">dlouhodobém intervalu </w:t>
      </w:r>
      <w:r w:rsidR="00B35884" w:rsidRPr="008B1755">
        <w:rPr>
          <w:lang w:val="cs-CZ"/>
        </w:rPr>
        <w:t>(</w:t>
      </w:r>
      <w:r w:rsidR="0032482D" w:rsidRPr="008B1755">
        <w:rPr>
          <w:lang w:val="cs-CZ"/>
        </w:rPr>
        <w:t xml:space="preserve">například měření před zavedením </w:t>
      </w:r>
      <w:r w:rsidR="00244C91" w:rsidRPr="008B1755">
        <w:rPr>
          <w:lang w:val="cs-CZ"/>
        </w:rPr>
        <w:t>specializovan</w:t>
      </w:r>
      <w:r w:rsidR="0032482D" w:rsidRPr="008B1755">
        <w:rPr>
          <w:lang w:val="cs-CZ"/>
        </w:rPr>
        <w:t>ých</w:t>
      </w:r>
      <w:r w:rsidR="00244C91" w:rsidRPr="008B1755">
        <w:rPr>
          <w:lang w:val="cs-CZ"/>
        </w:rPr>
        <w:t xml:space="preserve"> služ</w:t>
      </w:r>
      <w:r w:rsidR="0032482D" w:rsidRPr="008B1755">
        <w:rPr>
          <w:lang w:val="cs-CZ"/>
        </w:rPr>
        <w:t>e</w:t>
      </w:r>
      <w:r w:rsidR="00244C91" w:rsidRPr="008B1755">
        <w:rPr>
          <w:lang w:val="cs-CZ"/>
        </w:rPr>
        <w:t>b</w:t>
      </w:r>
      <w:r w:rsidR="0032482D" w:rsidRPr="008B1755">
        <w:rPr>
          <w:lang w:val="cs-CZ"/>
        </w:rPr>
        <w:t xml:space="preserve"> na trhu a poté</w:t>
      </w:r>
      <w:r w:rsidR="0028306F" w:rsidRPr="008B1755">
        <w:rPr>
          <w:lang w:val="cs-CZ"/>
        </w:rPr>
        <w:t>)</w:t>
      </w:r>
      <w:r w:rsidR="00B35884" w:rsidRPr="008B1755">
        <w:rPr>
          <w:lang w:val="cs-CZ"/>
        </w:rPr>
        <w:t xml:space="preserve">. </w:t>
      </w:r>
      <w:r w:rsidR="0032482D" w:rsidRPr="008B1755">
        <w:rPr>
          <w:lang w:val="cs-CZ"/>
        </w:rPr>
        <w:t>Jak je vysvětleno v </w:t>
      </w:r>
      <w:r w:rsidR="00D2652F">
        <w:rPr>
          <w:lang w:val="cs-CZ"/>
        </w:rPr>
        <w:t>bodu</w:t>
      </w:r>
      <w:r w:rsidR="0032482D" w:rsidRPr="008B1755">
        <w:rPr>
          <w:lang w:val="cs-CZ"/>
        </w:rPr>
        <w:t xml:space="preserve"> 17 ú</w:t>
      </w:r>
      <w:r w:rsidR="00946CEA" w:rsidRPr="008B1755">
        <w:rPr>
          <w:lang w:val="cs-CZ"/>
        </w:rPr>
        <w:t>vodní část</w:t>
      </w:r>
      <w:r w:rsidR="0032482D" w:rsidRPr="008B1755">
        <w:rPr>
          <w:lang w:val="cs-CZ"/>
        </w:rPr>
        <w:t>i</w:t>
      </w:r>
      <w:r w:rsidR="00946CEA" w:rsidRPr="008B1755">
        <w:rPr>
          <w:lang w:val="cs-CZ"/>
        </w:rPr>
        <w:t xml:space="preserve"> Nařízení</w:t>
      </w:r>
      <w:r w:rsidR="00B35884" w:rsidRPr="008B1755">
        <w:rPr>
          <w:lang w:val="cs-CZ"/>
        </w:rPr>
        <w:t xml:space="preserve">, </w:t>
      </w:r>
      <w:r w:rsidR="00926BAE" w:rsidRPr="008B1755">
        <w:rPr>
          <w:lang w:val="cs-CZ"/>
        </w:rPr>
        <w:t>vnitrostátní regulační orgány</w:t>
      </w:r>
      <w:r w:rsidR="00B35884" w:rsidRPr="008B1755">
        <w:rPr>
          <w:lang w:val="cs-CZ"/>
        </w:rPr>
        <w:t xml:space="preserve"> </w:t>
      </w:r>
      <w:r w:rsidR="0032482D" w:rsidRPr="008B1755">
        <w:rPr>
          <w:lang w:val="cs-CZ"/>
        </w:rPr>
        <w:t xml:space="preserve">by měly </w:t>
      </w:r>
      <w:r w:rsidR="0032482D" w:rsidRPr="008B1755">
        <w:rPr>
          <w:i/>
          <w:lang w:val="cs-CZ"/>
        </w:rPr>
        <w:t>„</w:t>
      </w:r>
      <w:r w:rsidR="000D1E2C" w:rsidRPr="008B1755">
        <w:rPr>
          <w:rStyle w:val="BERECcitaceChar"/>
          <w:lang w:val="cs-CZ"/>
        </w:rPr>
        <w:t>posoudit dopad na dostupnost a obecnou kvalitu služeb přístupu k internetu analýzou mimo jiné parametrů kvality služeb (</w:t>
      </w:r>
      <w:r w:rsidR="008729B6">
        <w:rPr>
          <w:rStyle w:val="BERECcitaceChar"/>
          <w:lang w:val="cs-CZ"/>
        </w:rPr>
        <w:t>latence</w:t>
      </w:r>
      <w:r w:rsidR="000D1E2C" w:rsidRPr="008B1755">
        <w:rPr>
          <w:rStyle w:val="BERECcitaceChar"/>
          <w:lang w:val="cs-CZ"/>
        </w:rPr>
        <w:t>, kolísání kvality přenosu („jiter“), ztrátovost paketů atd.), úrovně a účinků přetížení sítě, skutečné přenosové rychlosti v porovnání s inzerovanou, výkonu služeb přístupu k internetu ve srovnání s jinými službami, než je přístup k</w:t>
      </w:r>
      <w:r w:rsidR="0032482D" w:rsidRPr="008B1755">
        <w:rPr>
          <w:rStyle w:val="BERECcitaceChar"/>
          <w:lang w:val="cs-CZ"/>
        </w:rPr>
        <w:t> </w:t>
      </w:r>
      <w:r w:rsidR="000D1E2C" w:rsidRPr="008B1755">
        <w:rPr>
          <w:rStyle w:val="BERECcitaceChar"/>
          <w:lang w:val="cs-CZ"/>
        </w:rPr>
        <w:t>internetu</w:t>
      </w:r>
      <w:r w:rsidR="0032482D" w:rsidRPr="008B1755">
        <w:rPr>
          <w:i/>
          <w:lang w:val="cs-CZ"/>
        </w:rPr>
        <w:t>“</w:t>
      </w:r>
      <w:r w:rsidR="00B35884" w:rsidRPr="008B1755">
        <w:rPr>
          <w:lang w:val="cs-CZ"/>
        </w:rPr>
        <w:t xml:space="preserve">. </w:t>
      </w:r>
    </w:p>
    <w:p w:rsidR="00FF7B62" w:rsidRPr="008B1755" w:rsidRDefault="008729B6" w:rsidP="0038751B">
      <w:pPr>
        <w:numPr>
          <w:ilvl w:val="0"/>
          <w:numId w:val="2"/>
        </w:numPr>
        <w:spacing w:after="120"/>
        <w:rPr>
          <w:lang w:val="cs-CZ"/>
        </w:rPr>
      </w:pPr>
      <w:bookmarkStart w:id="48" w:name="_Ref458073205"/>
      <w:r>
        <w:rPr>
          <w:lang w:val="cs-CZ"/>
        </w:rPr>
        <w:t xml:space="preserve">Zatímco </w:t>
      </w:r>
      <w:r w:rsidR="00DD272F" w:rsidRPr="008B1755">
        <w:rPr>
          <w:lang w:val="cs-CZ"/>
        </w:rPr>
        <w:t>služba přístupu k internetu</w:t>
      </w:r>
      <w:r w:rsidR="00FF7B62" w:rsidRPr="008B1755">
        <w:rPr>
          <w:lang w:val="cs-CZ"/>
        </w:rPr>
        <w:t xml:space="preserve"> a </w:t>
      </w:r>
      <w:r w:rsidR="00244C91" w:rsidRPr="008B1755">
        <w:rPr>
          <w:lang w:val="cs-CZ"/>
        </w:rPr>
        <w:t>specializované služby</w:t>
      </w:r>
      <w:r w:rsidR="00FF7B62" w:rsidRPr="008B1755">
        <w:rPr>
          <w:lang w:val="cs-CZ"/>
        </w:rPr>
        <w:t xml:space="preserve"> </w:t>
      </w:r>
      <w:r w:rsidR="00A86922" w:rsidRPr="008B1755">
        <w:rPr>
          <w:lang w:val="cs-CZ"/>
        </w:rPr>
        <w:t>přímo soutěží o vyhrazenou část kapacity koncového uživatele</w:t>
      </w:r>
      <w:r w:rsidR="00AF6681" w:rsidRPr="008B1755">
        <w:rPr>
          <w:lang w:val="cs-CZ"/>
        </w:rPr>
        <w:t>,</w:t>
      </w:r>
      <w:r w:rsidR="00FF7B62" w:rsidRPr="008B1755">
        <w:rPr>
          <w:lang w:val="cs-CZ"/>
        </w:rPr>
        <w:t xml:space="preserve"> </w:t>
      </w:r>
      <w:r w:rsidR="00A86922" w:rsidRPr="008B1755">
        <w:rPr>
          <w:lang w:val="cs-CZ"/>
        </w:rPr>
        <w:t xml:space="preserve">může sám </w:t>
      </w:r>
      <w:r w:rsidR="00DD272F" w:rsidRPr="008B1755">
        <w:rPr>
          <w:lang w:val="cs-CZ"/>
        </w:rPr>
        <w:t xml:space="preserve">koncový uživatel </w:t>
      </w:r>
      <w:r w:rsidR="00A86922" w:rsidRPr="008B1755">
        <w:rPr>
          <w:lang w:val="cs-CZ"/>
        </w:rPr>
        <w:t>určit, jak ji používat</w:t>
      </w:r>
      <w:r w:rsidR="00FF7B62" w:rsidRPr="008B1755">
        <w:rPr>
          <w:lang w:val="cs-CZ"/>
        </w:rPr>
        <w:t xml:space="preserve">. </w:t>
      </w:r>
      <w:r w:rsidR="00A67145">
        <w:rPr>
          <w:lang w:val="cs-CZ"/>
        </w:rPr>
        <w:t xml:space="preserve">Pokud není </w:t>
      </w:r>
      <w:r w:rsidR="00A86922" w:rsidRPr="008B1755">
        <w:rPr>
          <w:lang w:val="cs-CZ"/>
        </w:rPr>
        <w:t xml:space="preserve">technicky možné poskytovat </w:t>
      </w:r>
      <w:r w:rsidR="00244C91" w:rsidRPr="008B1755">
        <w:rPr>
          <w:lang w:val="cs-CZ"/>
        </w:rPr>
        <w:t>specializovan</w:t>
      </w:r>
      <w:r w:rsidR="00A86922" w:rsidRPr="008B1755">
        <w:rPr>
          <w:lang w:val="cs-CZ"/>
        </w:rPr>
        <w:t>ou</w:t>
      </w:r>
      <w:r w:rsidR="00244C91" w:rsidRPr="008B1755">
        <w:rPr>
          <w:lang w:val="cs-CZ"/>
        </w:rPr>
        <w:t xml:space="preserve"> služb</w:t>
      </w:r>
      <w:r w:rsidR="00A86922" w:rsidRPr="008B1755">
        <w:rPr>
          <w:lang w:val="cs-CZ"/>
        </w:rPr>
        <w:t xml:space="preserve">u paralelně se </w:t>
      </w:r>
      <w:r w:rsidR="00DD272F" w:rsidRPr="008B1755">
        <w:rPr>
          <w:lang w:val="cs-CZ"/>
        </w:rPr>
        <w:t>služb</w:t>
      </w:r>
      <w:r w:rsidR="00A86922" w:rsidRPr="008B1755">
        <w:rPr>
          <w:lang w:val="cs-CZ"/>
        </w:rPr>
        <w:t>ou</w:t>
      </w:r>
      <w:r w:rsidR="00DD272F" w:rsidRPr="008B1755">
        <w:rPr>
          <w:lang w:val="cs-CZ"/>
        </w:rPr>
        <w:t xml:space="preserve"> přístupu k</w:t>
      </w:r>
      <w:r w:rsidR="00A86922" w:rsidRPr="008B1755">
        <w:rPr>
          <w:lang w:val="cs-CZ"/>
        </w:rPr>
        <w:t> </w:t>
      </w:r>
      <w:r w:rsidR="00DD272F" w:rsidRPr="008B1755">
        <w:rPr>
          <w:lang w:val="cs-CZ"/>
        </w:rPr>
        <w:t>internetu</w:t>
      </w:r>
      <w:r w:rsidR="00A86922" w:rsidRPr="008B1755">
        <w:rPr>
          <w:lang w:val="cs-CZ"/>
        </w:rPr>
        <w:t xml:space="preserve">, aniž by to bylo na úkor kvality </w:t>
      </w:r>
      <w:r w:rsidR="00DD272F" w:rsidRPr="008B1755">
        <w:rPr>
          <w:lang w:val="cs-CZ"/>
        </w:rPr>
        <w:t>služb</w:t>
      </w:r>
      <w:r w:rsidR="00A86922" w:rsidRPr="008B1755">
        <w:rPr>
          <w:lang w:val="cs-CZ"/>
        </w:rPr>
        <w:t>y</w:t>
      </w:r>
      <w:r w:rsidR="00DD272F" w:rsidRPr="008B1755">
        <w:rPr>
          <w:lang w:val="cs-CZ"/>
        </w:rPr>
        <w:t xml:space="preserve"> přístupu k internetu</w:t>
      </w:r>
      <w:r w:rsidR="009C497D" w:rsidRPr="008B1755">
        <w:rPr>
          <w:lang w:val="cs-CZ"/>
        </w:rPr>
        <w:t xml:space="preserve"> </w:t>
      </w:r>
      <w:r w:rsidR="00A67145">
        <w:rPr>
          <w:lang w:val="cs-CZ"/>
        </w:rPr>
        <w:t xml:space="preserve">pro </w:t>
      </w:r>
      <w:r w:rsidR="00A86922" w:rsidRPr="008B1755">
        <w:rPr>
          <w:lang w:val="cs-CZ"/>
        </w:rPr>
        <w:t>koncového uživatele</w:t>
      </w:r>
      <w:r w:rsidR="00E8719A" w:rsidRPr="008B1755">
        <w:rPr>
          <w:lang w:val="cs-CZ"/>
        </w:rPr>
        <w:t xml:space="preserve">, </w:t>
      </w:r>
      <w:r w:rsidR="003F7EF4">
        <w:rPr>
          <w:lang w:val="cs-CZ"/>
        </w:rPr>
        <w:t>ne</w:t>
      </w:r>
      <w:r w:rsidR="00A86922" w:rsidRPr="008B1755">
        <w:rPr>
          <w:lang w:val="cs-CZ"/>
        </w:rPr>
        <w:t xml:space="preserve">měly by </w:t>
      </w:r>
      <w:r w:rsidR="00926BAE" w:rsidRPr="008B1755">
        <w:rPr>
          <w:lang w:val="cs-CZ"/>
        </w:rPr>
        <w:t>vnitrostátní regulační orgány</w:t>
      </w:r>
      <w:r w:rsidR="00FF7B62" w:rsidRPr="008B1755">
        <w:rPr>
          <w:lang w:val="cs-CZ"/>
        </w:rPr>
        <w:t xml:space="preserve"> </w:t>
      </w:r>
      <w:r w:rsidR="00A86922" w:rsidRPr="008B1755">
        <w:rPr>
          <w:lang w:val="cs-CZ"/>
        </w:rPr>
        <w:t xml:space="preserve">tuto </w:t>
      </w:r>
      <w:r w:rsidR="00A86922" w:rsidRPr="002E277A">
        <w:rPr>
          <w:lang w:val="cs-CZ"/>
        </w:rPr>
        <w:t>soutěž o kapacitu</w:t>
      </w:r>
      <w:r w:rsidR="00A86922" w:rsidRPr="008B1755">
        <w:rPr>
          <w:lang w:val="cs-CZ"/>
        </w:rPr>
        <w:t xml:space="preserve"> považovat za porušení </w:t>
      </w:r>
      <w:r w:rsidR="002E5214" w:rsidRPr="008B1755">
        <w:rPr>
          <w:lang w:val="cs-CZ"/>
        </w:rPr>
        <w:t>článku</w:t>
      </w:r>
      <w:r w:rsidR="00DD272F" w:rsidRPr="008B1755">
        <w:rPr>
          <w:lang w:val="cs-CZ"/>
        </w:rPr>
        <w:t xml:space="preserve"> 3 odst. </w:t>
      </w:r>
      <w:r w:rsidR="00FF7B62" w:rsidRPr="008B1755">
        <w:rPr>
          <w:lang w:val="cs-CZ"/>
        </w:rPr>
        <w:t>5</w:t>
      </w:r>
      <w:r w:rsidR="00A86922" w:rsidRPr="008B1755">
        <w:rPr>
          <w:lang w:val="cs-CZ"/>
        </w:rPr>
        <w:t>,</w:t>
      </w:r>
      <w:r w:rsidR="00FF7B62" w:rsidRPr="008B1755">
        <w:rPr>
          <w:lang w:val="cs-CZ"/>
        </w:rPr>
        <w:t xml:space="preserve"> </w:t>
      </w:r>
      <w:r w:rsidR="001D70F8" w:rsidRPr="008B1755">
        <w:rPr>
          <w:lang w:val="cs-CZ"/>
        </w:rPr>
        <w:t>druhý pododstavec</w:t>
      </w:r>
      <w:r w:rsidR="0024635B" w:rsidRPr="008B1755">
        <w:rPr>
          <w:lang w:val="cs-CZ"/>
        </w:rPr>
        <w:t xml:space="preserve">, </w:t>
      </w:r>
      <w:r w:rsidR="00A86922" w:rsidRPr="008B1755">
        <w:rPr>
          <w:lang w:val="cs-CZ"/>
        </w:rPr>
        <w:t xml:space="preserve">pokud je </w:t>
      </w:r>
      <w:r w:rsidR="00DD272F" w:rsidRPr="008B1755">
        <w:rPr>
          <w:lang w:val="cs-CZ"/>
        </w:rPr>
        <w:t xml:space="preserve">koncový uživatel </w:t>
      </w:r>
      <w:r w:rsidR="00A86922" w:rsidRPr="008B1755">
        <w:rPr>
          <w:lang w:val="cs-CZ"/>
        </w:rPr>
        <w:t xml:space="preserve">informován podle čl. </w:t>
      </w:r>
      <w:r w:rsidR="00B6431A" w:rsidRPr="008B1755">
        <w:rPr>
          <w:lang w:val="cs-CZ"/>
        </w:rPr>
        <w:t>4</w:t>
      </w:r>
      <w:r w:rsidR="00A86922" w:rsidRPr="008B1755">
        <w:rPr>
          <w:lang w:val="cs-CZ"/>
        </w:rPr>
        <w:t xml:space="preserve"> odst. </w:t>
      </w:r>
      <w:r w:rsidR="00B6431A" w:rsidRPr="008B1755">
        <w:rPr>
          <w:lang w:val="cs-CZ"/>
        </w:rPr>
        <w:t>1</w:t>
      </w:r>
      <w:r w:rsidR="00A86922" w:rsidRPr="008B1755">
        <w:rPr>
          <w:lang w:val="cs-CZ"/>
        </w:rPr>
        <w:t xml:space="preserve"> písm. </w:t>
      </w:r>
      <w:r w:rsidR="00B6431A" w:rsidRPr="008B1755">
        <w:rPr>
          <w:lang w:val="cs-CZ"/>
        </w:rPr>
        <w:t xml:space="preserve">c) </w:t>
      </w:r>
      <w:r w:rsidR="00A86922" w:rsidRPr="008B1755">
        <w:rPr>
          <w:lang w:val="cs-CZ"/>
        </w:rPr>
        <w:t xml:space="preserve">o dopadu na jeho </w:t>
      </w:r>
      <w:r w:rsidR="00DD272F" w:rsidRPr="008B1755">
        <w:rPr>
          <w:lang w:val="cs-CZ"/>
        </w:rPr>
        <w:t>služb</w:t>
      </w:r>
      <w:r w:rsidR="00A86922" w:rsidRPr="008B1755">
        <w:rPr>
          <w:lang w:val="cs-CZ"/>
        </w:rPr>
        <w:t>u</w:t>
      </w:r>
      <w:r w:rsidR="00DD272F" w:rsidRPr="008B1755">
        <w:rPr>
          <w:lang w:val="cs-CZ"/>
        </w:rPr>
        <w:t xml:space="preserve"> přístupu k internetu</w:t>
      </w:r>
      <w:r w:rsidR="00B6431A" w:rsidRPr="008B1755">
        <w:rPr>
          <w:lang w:val="cs-CZ"/>
        </w:rPr>
        <w:t xml:space="preserve"> a</w:t>
      </w:r>
      <w:r w:rsidR="00A86922" w:rsidRPr="008B1755">
        <w:rPr>
          <w:lang w:val="cs-CZ"/>
        </w:rPr>
        <w:t xml:space="preserve"> může </w:t>
      </w:r>
      <w:r w:rsidR="00A67145">
        <w:rPr>
          <w:lang w:val="cs-CZ"/>
        </w:rPr>
        <w:t xml:space="preserve">čerpat </w:t>
      </w:r>
      <w:r w:rsidR="00A86922" w:rsidRPr="008B1755">
        <w:rPr>
          <w:lang w:val="cs-CZ"/>
        </w:rPr>
        <w:t>smluvně dohodnuté rychlosti</w:t>
      </w:r>
      <w:r w:rsidR="00B6431A" w:rsidRPr="008B1755">
        <w:rPr>
          <w:rStyle w:val="Znakapoznpodarou"/>
          <w:lang w:val="cs-CZ"/>
        </w:rPr>
        <w:footnoteReference w:id="29"/>
      </w:r>
      <w:r w:rsidR="00B6431A" w:rsidRPr="008B1755">
        <w:rPr>
          <w:lang w:val="cs-CZ"/>
        </w:rPr>
        <w:t xml:space="preserve"> </w:t>
      </w:r>
      <w:r w:rsidR="00A86922" w:rsidRPr="008B1755">
        <w:rPr>
          <w:lang w:val="cs-CZ"/>
        </w:rPr>
        <w:t xml:space="preserve">pro jakoukoli </w:t>
      </w:r>
      <w:r w:rsidR="00DD272F" w:rsidRPr="008B1755">
        <w:rPr>
          <w:lang w:val="cs-CZ"/>
        </w:rPr>
        <w:t>služb</w:t>
      </w:r>
      <w:r w:rsidR="00A86922" w:rsidRPr="008B1755">
        <w:rPr>
          <w:lang w:val="cs-CZ"/>
        </w:rPr>
        <w:t>u</w:t>
      </w:r>
      <w:r w:rsidR="00DD272F" w:rsidRPr="008B1755">
        <w:rPr>
          <w:lang w:val="cs-CZ"/>
        </w:rPr>
        <w:t xml:space="preserve"> přístupu k internetu</w:t>
      </w:r>
      <w:r w:rsidR="00F2486C" w:rsidRPr="008B1755">
        <w:rPr>
          <w:lang w:val="cs-CZ"/>
        </w:rPr>
        <w:t xml:space="preserve"> </w:t>
      </w:r>
      <w:r w:rsidR="00FC0421" w:rsidRPr="008B1755">
        <w:rPr>
          <w:lang w:val="cs-CZ"/>
        </w:rPr>
        <w:t>odebíranou paralelně. Vnitrostátní</w:t>
      </w:r>
      <w:r w:rsidR="00926BAE" w:rsidRPr="008B1755">
        <w:rPr>
          <w:lang w:val="cs-CZ"/>
        </w:rPr>
        <w:t xml:space="preserve"> regulační orgány</w:t>
      </w:r>
      <w:r w:rsidR="00B6431A" w:rsidRPr="008B1755">
        <w:rPr>
          <w:lang w:val="cs-CZ"/>
        </w:rPr>
        <w:t xml:space="preserve"> </w:t>
      </w:r>
      <w:r w:rsidR="00FC0421" w:rsidRPr="008B1755">
        <w:rPr>
          <w:lang w:val="cs-CZ"/>
        </w:rPr>
        <w:t>by to</w:t>
      </w:r>
      <w:r w:rsidR="00A67145">
        <w:rPr>
          <w:lang w:val="cs-CZ"/>
        </w:rPr>
        <w:t>to</w:t>
      </w:r>
      <w:r w:rsidR="00FC0421" w:rsidRPr="008B1755">
        <w:rPr>
          <w:lang w:val="cs-CZ"/>
        </w:rPr>
        <w:t xml:space="preserve"> neměly považovat za </w:t>
      </w:r>
      <w:r w:rsidR="00A67145">
        <w:rPr>
          <w:lang w:val="cs-CZ"/>
        </w:rPr>
        <w:t xml:space="preserve">omezení </w:t>
      </w:r>
      <w:r w:rsidR="00FC0421" w:rsidRPr="008B1755">
        <w:rPr>
          <w:lang w:val="cs-CZ"/>
        </w:rPr>
        <w:t xml:space="preserve">obecné kvality </w:t>
      </w:r>
      <w:r w:rsidR="007D7F64" w:rsidRPr="008B1755">
        <w:rPr>
          <w:lang w:val="cs-CZ"/>
        </w:rPr>
        <w:t>služby přístupu k</w:t>
      </w:r>
      <w:r w:rsidR="00FC0421" w:rsidRPr="008B1755">
        <w:rPr>
          <w:lang w:val="cs-CZ"/>
        </w:rPr>
        <w:t> </w:t>
      </w:r>
      <w:r w:rsidR="007D7F64" w:rsidRPr="008B1755">
        <w:rPr>
          <w:lang w:val="cs-CZ"/>
        </w:rPr>
        <w:t>internetu</w:t>
      </w:r>
      <w:r w:rsidR="00FC0421" w:rsidRPr="008B1755">
        <w:rPr>
          <w:lang w:val="cs-CZ"/>
        </w:rPr>
        <w:t xml:space="preserve">, když aktivace </w:t>
      </w:r>
      <w:r w:rsidR="00244C91" w:rsidRPr="008B1755">
        <w:rPr>
          <w:lang w:val="cs-CZ"/>
        </w:rPr>
        <w:t>specializovan</w:t>
      </w:r>
      <w:r w:rsidR="00FC0421" w:rsidRPr="008B1755">
        <w:rPr>
          <w:lang w:val="cs-CZ"/>
        </w:rPr>
        <w:t>é</w:t>
      </w:r>
      <w:r w:rsidR="00244C91" w:rsidRPr="008B1755">
        <w:rPr>
          <w:lang w:val="cs-CZ"/>
        </w:rPr>
        <w:t xml:space="preserve"> služb</w:t>
      </w:r>
      <w:r w:rsidR="00FC0421" w:rsidRPr="008B1755">
        <w:rPr>
          <w:lang w:val="cs-CZ"/>
        </w:rPr>
        <w:t xml:space="preserve">y ze strany jednotlivého </w:t>
      </w:r>
      <w:r w:rsidR="00DD272F" w:rsidRPr="008B1755">
        <w:rPr>
          <w:lang w:val="cs-CZ"/>
        </w:rPr>
        <w:t>koncov</w:t>
      </w:r>
      <w:r w:rsidR="00FC0421" w:rsidRPr="008B1755">
        <w:rPr>
          <w:lang w:val="cs-CZ"/>
        </w:rPr>
        <w:t>ého</w:t>
      </w:r>
      <w:r w:rsidR="00DD272F" w:rsidRPr="008B1755">
        <w:rPr>
          <w:lang w:val="cs-CZ"/>
        </w:rPr>
        <w:t xml:space="preserve"> uživatel</w:t>
      </w:r>
      <w:r w:rsidR="00FC0421" w:rsidRPr="008B1755">
        <w:rPr>
          <w:lang w:val="cs-CZ"/>
        </w:rPr>
        <w:t xml:space="preserve">e postihne pouze jeho vlastní </w:t>
      </w:r>
      <w:r w:rsidR="00DD272F" w:rsidRPr="008B1755">
        <w:rPr>
          <w:lang w:val="cs-CZ"/>
        </w:rPr>
        <w:t>služb</w:t>
      </w:r>
      <w:r w:rsidR="00FC0421" w:rsidRPr="008B1755">
        <w:rPr>
          <w:lang w:val="cs-CZ"/>
        </w:rPr>
        <w:t>u</w:t>
      </w:r>
      <w:r w:rsidR="00DD272F" w:rsidRPr="008B1755">
        <w:rPr>
          <w:lang w:val="cs-CZ"/>
        </w:rPr>
        <w:t xml:space="preserve"> přístupu k internetu</w:t>
      </w:r>
      <w:r w:rsidR="000550B7" w:rsidRPr="008B1755">
        <w:rPr>
          <w:lang w:val="cs-CZ"/>
        </w:rPr>
        <w:t xml:space="preserve">. </w:t>
      </w:r>
      <w:r w:rsidR="00FC0421" w:rsidRPr="008B1755">
        <w:rPr>
          <w:lang w:val="cs-CZ"/>
        </w:rPr>
        <w:t xml:space="preserve">Nicméně by nemělo docházet k rušivým účinkům v částech sítě, kde je kapacita sdílena mezi různými </w:t>
      </w:r>
      <w:r w:rsidR="00C44AED" w:rsidRPr="008B1755">
        <w:rPr>
          <w:lang w:val="cs-CZ"/>
        </w:rPr>
        <w:t>koncov</w:t>
      </w:r>
      <w:r w:rsidR="00FC0421" w:rsidRPr="008B1755">
        <w:rPr>
          <w:lang w:val="cs-CZ"/>
        </w:rPr>
        <w:t>ými</w:t>
      </w:r>
      <w:r w:rsidR="00C44AED" w:rsidRPr="008B1755">
        <w:rPr>
          <w:lang w:val="cs-CZ"/>
        </w:rPr>
        <w:t xml:space="preserve"> uživatel</w:t>
      </w:r>
      <w:r w:rsidR="00FC0421" w:rsidRPr="008B1755">
        <w:rPr>
          <w:lang w:val="cs-CZ"/>
        </w:rPr>
        <w:t>i</w:t>
      </w:r>
      <w:r w:rsidR="004D5B9B" w:rsidRPr="008B1755">
        <w:rPr>
          <w:lang w:val="cs-CZ"/>
        </w:rPr>
        <w:t>.</w:t>
      </w:r>
      <w:bookmarkEnd w:id="48"/>
      <w:r w:rsidR="004D5B9B" w:rsidRPr="008B1755">
        <w:rPr>
          <w:lang w:val="cs-CZ"/>
        </w:rPr>
        <w:t xml:space="preserve"> </w:t>
      </w:r>
    </w:p>
    <w:p w:rsidR="000275FF" w:rsidRPr="008B1755" w:rsidRDefault="000E3789" w:rsidP="0038751B">
      <w:pPr>
        <w:numPr>
          <w:ilvl w:val="0"/>
          <w:numId w:val="2"/>
        </w:numPr>
        <w:spacing w:after="120"/>
        <w:rPr>
          <w:lang w:val="cs-CZ"/>
        </w:rPr>
      </w:pPr>
      <w:r w:rsidRPr="008B1755">
        <w:rPr>
          <w:lang w:val="cs-CZ"/>
        </w:rPr>
        <w:t xml:space="preserve">Navíc, jak je uvedeno </w:t>
      </w:r>
      <w:r w:rsidR="000D1E2C" w:rsidRPr="008B1755">
        <w:rPr>
          <w:lang w:val="cs-CZ"/>
        </w:rPr>
        <w:t xml:space="preserve">v </w:t>
      </w:r>
      <w:r w:rsidR="00D2652F">
        <w:rPr>
          <w:lang w:val="cs-CZ"/>
        </w:rPr>
        <w:t>bodu</w:t>
      </w:r>
      <w:r w:rsidR="000D1E2C" w:rsidRPr="008B1755">
        <w:rPr>
          <w:lang w:val="cs-CZ"/>
        </w:rPr>
        <w:t xml:space="preserve"> 17 úvodní části Nařízení</w:t>
      </w:r>
      <w:r w:rsidR="000275FF" w:rsidRPr="008B1755">
        <w:rPr>
          <w:lang w:val="cs-CZ"/>
        </w:rPr>
        <w:t xml:space="preserve">, </w:t>
      </w:r>
      <w:r w:rsidRPr="008B1755">
        <w:rPr>
          <w:lang w:val="cs-CZ"/>
        </w:rPr>
        <w:t>u mobilních sítí –</w:t>
      </w:r>
      <w:r w:rsidR="00AF6681" w:rsidRPr="008B1755">
        <w:rPr>
          <w:lang w:val="cs-CZ"/>
        </w:rPr>
        <w:t xml:space="preserve"> </w:t>
      </w:r>
      <w:r w:rsidRPr="008B1755">
        <w:rPr>
          <w:lang w:val="cs-CZ"/>
        </w:rPr>
        <w:t>kde počet aktivních uživatelů v dané buňce</w:t>
      </w:r>
      <w:r w:rsidR="00F54F29" w:rsidRPr="008B1755">
        <w:rPr>
          <w:lang w:val="cs-CZ"/>
        </w:rPr>
        <w:t xml:space="preserve">, </w:t>
      </w:r>
      <w:r w:rsidR="00EC751D" w:rsidRPr="008B1755">
        <w:rPr>
          <w:lang w:val="cs-CZ"/>
        </w:rPr>
        <w:t>a tedy i objem provozu</w:t>
      </w:r>
      <w:r w:rsidR="00A67145">
        <w:rPr>
          <w:lang w:val="cs-CZ"/>
        </w:rPr>
        <w:t>,</w:t>
      </w:r>
      <w:r w:rsidR="00EC751D" w:rsidRPr="008B1755">
        <w:rPr>
          <w:lang w:val="cs-CZ"/>
        </w:rPr>
        <w:t xml:space="preserve"> je obtížnější odhadnout než u pevných sítí –</w:t>
      </w:r>
      <w:r w:rsidR="00AF6681" w:rsidRPr="008B1755">
        <w:rPr>
          <w:lang w:val="cs-CZ"/>
        </w:rPr>
        <w:t xml:space="preserve"> </w:t>
      </w:r>
      <w:r w:rsidR="00A67145">
        <w:rPr>
          <w:lang w:val="cs-CZ"/>
        </w:rPr>
        <w:t xml:space="preserve">by </w:t>
      </w:r>
      <w:r w:rsidR="00EC751D" w:rsidRPr="008B1755">
        <w:rPr>
          <w:lang w:val="cs-CZ"/>
        </w:rPr>
        <w:t xml:space="preserve">neměla </w:t>
      </w:r>
      <w:r w:rsidR="00A67145">
        <w:rPr>
          <w:lang w:val="cs-CZ"/>
        </w:rPr>
        <w:t xml:space="preserve">být za </w:t>
      </w:r>
      <w:r w:rsidR="00EC751D" w:rsidRPr="008B1755">
        <w:rPr>
          <w:lang w:val="cs-CZ"/>
        </w:rPr>
        <w:t xml:space="preserve">zhoršení obecné kvality </w:t>
      </w:r>
      <w:r w:rsidR="007D7F64" w:rsidRPr="008B1755">
        <w:rPr>
          <w:lang w:val="cs-CZ"/>
        </w:rPr>
        <w:t>služby přístupu k internetu</w:t>
      </w:r>
      <w:r w:rsidR="00AE0453" w:rsidRPr="008B1755">
        <w:rPr>
          <w:lang w:val="cs-CZ"/>
        </w:rPr>
        <w:t xml:space="preserve"> </w:t>
      </w:r>
      <w:r w:rsidRPr="008B1755">
        <w:rPr>
          <w:lang w:val="cs-CZ"/>
        </w:rPr>
        <w:t>pro koncové uživatele</w:t>
      </w:r>
      <w:r w:rsidR="00AE0453" w:rsidRPr="008B1755">
        <w:rPr>
          <w:lang w:val="cs-CZ"/>
        </w:rPr>
        <w:t xml:space="preserve"> </w:t>
      </w:r>
      <w:r w:rsidR="00EC751D" w:rsidRPr="008B1755">
        <w:rPr>
          <w:lang w:val="cs-CZ"/>
        </w:rPr>
        <w:t xml:space="preserve">považována situace, kdy </w:t>
      </w:r>
      <w:r w:rsidR="00A67145">
        <w:rPr>
          <w:lang w:val="cs-CZ"/>
        </w:rPr>
        <w:t xml:space="preserve">je </w:t>
      </w:r>
      <w:r w:rsidR="00EC751D" w:rsidRPr="008B1755">
        <w:rPr>
          <w:lang w:val="cs-CZ"/>
        </w:rPr>
        <w:t xml:space="preserve">celkový nepříznivý dopad </w:t>
      </w:r>
      <w:r w:rsidR="00A82AD1" w:rsidRPr="008B1755">
        <w:rPr>
          <w:lang w:val="cs-CZ"/>
        </w:rPr>
        <w:t>specializovaných služeb</w:t>
      </w:r>
      <w:r w:rsidR="00AE0453" w:rsidRPr="008B1755">
        <w:rPr>
          <w:lang w:val="cs-CZ"/>
        </w:rPr>
        <w:t xml:space="preserve"> </w:t>
      </w:r>
      <w:r w:rsidR="00EC751D" w:rsidRPr="008B1755">
        <w:rPr>
          <w:rStyle w:val="BERECChar"/>
          <w:lang w:val="cs-CZ"/>
        </w:rPr>
        <w:t>nevyhnutelný, minimální a omezený na krátkou dobu</w:t>
      </w:r>
      <w:r w:rsidR="00AE0453" w:rsidRPr="008B1755">
        <w:rPr>
          <w:lang w:val="cs-CZ"/>
        </w:rPr>
        <w:t>.</w:t>
      </w:r>
      <w:r w:rsidR="00F54F29" w:rsidRPr="008B1755">
        <w:rPr>
          <w:lang w:val="cs-CZ"/>
        </w:rPr>
        <w:t xml:space="preserve"> </w:t>
      </w:r>
      <w:r w:rsidR="00EC751D" w:rsidRPr="008B1755">
        <w:rPr>
          <w:lang w:val="cs-CZ"/>
        </w:rPr>
        <w:t>Na druhou stranu by tyto nepředvídatelné okolnosti související s počtem uživatelů a objemy provozu neměly nastávat u pevných sítí</w:t>
      </w:r>
      <w:r w:rsidR="00F54F29" w:rsidRPr="008B1755">
        <w:rPr>
          <w:lang w:val="cs-CZ"/>
        </w:rPr>
        <w:t>.</w:t>
      </w:r>
    </w:p>
    <w:p w:rsidR="00B35884" w:rsidRPr="008B1755" w:rsidRDefault="00EC751D" w:rsidP="0038751B">
      <w:pPr>
        <w:numPr>
          <w:ilvl w:val="0"/>
          <w:numId w:val="2"/>
        </w:numPr>
        <w:spacing w:after="120"/>
        <w:rPr>
          <w:lang w:val="cs-CZ"/>
        </w:rPr>
      </w:pPr>
      <w:r w:rsidRPr="008B1755">
        <w:rPr>
          <w:lang w:val="cs-CZ"/>
        </w:rPr>
        <w:t xml:space="preserve">Vnitrostátní </w:t>
      </w:r>
      <w:r w:rsidR="00926BAE" w:rsidRPr="008B1755">
        <w:rPr>
          <w:lang w:val="cs-CZ"/>
        </w:rPr>
        <w:t>regulační orgány</w:t>
      </w:r>
      <w:r w:rsidR="00B35884" w:rsidRPr="008B1755">
        <w:rPr>
          <w:lang w:val="cs-CZ"/>
        </w:rPr>
        <w:t xml:space="preserve"> </w:t>
      </w:r>
      <w:r w:rsidR="004E4F9E">
        <w:rPr>
          <w:lang w:val="cs-CZ"/>
        </w:rPr>
        <w:t>mohou</w:t>
      </w:r>
      <w:r w:rsidRPr="008B1755">
        <w:rPr>
          <w:lang w:val="cs-CZ"/>
        </w:rPr>
        <w:t xml:space="preserve"> </w:t>
      </w:r>
      <w:r w:rsidR="00904FED" w:rsidRPr="008B1755">
        <w:rPr>
          <w:lang w:val="cs-CZ"/>
        </w:rPr>
        <w:t>posoudit, zda</w:t>
      </w:r>
      <w:r w:rsidR="00AF6681" w:rsidRPr="008B1755">
        <w:rPr>
          <w:lang w:val="cs-CZ"/>
        </w:rPr>
        <w:t xml:space="preserve"> </w:t>
      </w:r>
      <w:r w:rsidRPr="008B1755">
        <w:rPr>
          <w:lang w:val="cs-CZ"/>
        </w:rPr>
        <w:t xml:space="preserve">poskytování </w:t>
      </w:r>
      <w:r w:rsidR="00A82AD1" w:rsidRPr="008B1755">
        <w:rPr>
          <w:lang w:val="cs-CZ"/>
        </w:rPr>
        <w:t>specializovaných služeb</w:t>
      </w:r>
      <w:r w:rsidR="00B35884" w:rsidRPr="008B1755">
        <w:rPr>
          <w:lang w:val="cs-CZ"/>
        </w:rPr>
        <w:t xml:space="preserve"> </w:t>
      </w:r>
      <w:r w:rsidRPr="008B1755">
        <w:rPr>
          <w:lang w:val="cs-CZ"/>
        </w:rPr>
        <w:t xml:space="preserve">snižuje obecnou kvalitu </w:t>
      </w:r>
      <w:r w:rsidR="00DD272F" w:rsidRPr="008B1755">
        <w:rPr>
          <w:lang w:val="cs-CZ"/>
        </w:rPr>
        <w:t>služb</w:t>
      </w:r>
      <w:r w:rsidRPr="008B1755">
        <w:rPr>
          <w:lang w:val="cs-CZ"/>
        </w:rPr>
        <w:t>y</w:t>
      </w:r>
      <w:r w:rsidR="00DD272F" w:rsidRPr="008B1755">
        <w:rPr>
          <w:lang w:val="cs-CZ"/>
        </w:rPr>
        <w:t xml:space="preserve"> přístupu k internetu</w:t>
      </w:r>
      <w:r w:rsidR="00B35884" w:rsidRPr="008B1755">
        <w:rPr>
          <w:lang w:val="cs-CZ"/>
        </w:rPr>
        <w:t xml:space="preserve"> </w:t>
      </w:r>
      <w:r w:rsidRPr="008B1755">
        <w:rPr>
          <w:lang w:val="cs-CZ"/>
        </w:rPr>
        <w:t xml:space="preserve">snížením měřitelné rychlosti stahování a nahrávání nebo například zvýšením </w:t>
      </w:r>
      <w:r w:rsidR="007973F5">
        <w:rPr>
          <w:lang w:val="cs-CZ"/>
        </w:rPr>
        <w:t>latence</w:t>
      </w:r>
      <w:r w:rsidR="00B35884" w:rsidRPr="008B1755">
        <w:rPr>
          <w:lang w:val="cs-CZ"/>
        </w:rPr>
        <w:t xml:space="preserve">, </w:t>
      </w:r>
      <w:r w:rsidRPr="008B1755">
        <w:rPr>
          <w:lang w:val="cs-CZ"/>
        </w:rPr>
        <w:t xml:space="preserve">proměnlivosti </w:t>
      </w:r>
      <w:r w:rsidR="007973F5">
        <w:rPr>
          <w:lang w:val="cs-CZ"/>
        </w:rPr>
        <w:t xml:space="preserve">latence </w:t>
      </w:r>
      <w:r w:rsidRPr="008B1755">
        <w:rPr>
          <w:lang w:val="cs-CZ"/>
        </w:rPr>
        <w:t>a ztrátovosti paketů</w:t>
      </w:r>
      <w:r w:rsidR="00B35884" w:rsidRPr="008B1755">
        <w:rPr>
          <w:lang w:val="cs-CZ"/>
        </w:rPr>
        <w:t xml:space="preserve">. </w:t>
      </w:r>
      <w:r w:rsidR="00A67145">
        <w:rPr>
          <w:lang w:val="cs-CZ"/>
        </w:rPr>
        <w:t xml:space="preserve">Běžné </w:t>
      </w:r>
      <w:r w:rsidR="00E777E0" w:rsidRPr="008B1755">
        <w:rPr>
          <w:lang w:val="cs-CZ"/>
        </w:rPr>
        <w:t>menší dočasné kolísání sítě by nemělo být považováno za zhoršení obecné kvality</w:t>
      </w:r>
      <w:r w:rsidR="00B35884" w:rsidRPr="008B1755">
        <w:rPr>
          <w:lang w:val="cs-CZ"/>
        </w:rPr>
        <w:t xml:space="preserve">. </w:t>
      </w:r>
      <w:r w:rsidR="00E777E0" w:rsidRPr="008B1755">
        <w:rPr>
          <w:lang w:val="cs-CZ"/>
        </w:rPr>
        <w:t>Například výpadky sítě a jiné dočasné problémy způsobené poruchami sítě by měly být řešeny samostatně</w:t>
      </w:r>
      <w:r w:rsidR="00B35884" w:rsidRPr="008B1755">
        <w:rPr>
          <w:lang w:val="cs-CZ"/>
        </w:rPr>
        <w:t>.</w:t>
      </w:r>
    </w:p>
    <w:p w:rsidR="00B35884" w:rsidRPr="008B1755" w:rsidRDefault="00EC751D" w:rsidP="0038751B">
      <w:pPr>
        <w:numPr>
          <w:ilvl w:val="0"/>
          <w:numId w:val="2"/>
        </w:numPr>
        <w:spacing w:after="120"/>
        <w:rPr>
          <w:lang w:val="cs-CZ"/>
        </w:rPr>
      </w:pPr>
      <w:r w:rsidRPr="008B1755">
        <w:rPr>
          <w:lang w:val="cs-CZ"/>
        </w:rPr>
        <w:t xml:space="preserve">Vnitrostátní </w:t>
      </w:r>
      <w:r w:rsidR="00926BAE" w:rsidRPr="008B1755">
        <w:rPr>
          <w:lang w:val="cs-CZ"/>
        </w:rPr>
        <w:t>regulační orgány</w:t>
      </w:r>
      <w:r w:rsidR="00B35884" w:rsidRPr="008B1755">
        <w:rPr>
          <w:lang w:val="cs-CZ"/>
        </w:rPr>
        <w:t xml:space="preserve"> </w:t>
      </w:r>
      <w:r w:rsidR="00E777E0" w:rsidRPr="008B1755">
        <w:rPr>
          <w:lang w:val="cs-CZ"/>
        </w:rPr>
        <w:t>by měly zasáhnout, pokud je u služby přístupu k internetu zjištěno trvalé snižování výkonu</w:t>
      </w:r>
      <w:r w:rsidR="00B35884" w:rsidRPr="008B1755">
        <w:rPr>
          <w:lang w:val="cs-CZ"/>
        </w:rPr>
        <w:t xml:space="preserve">. </w:t>
      </w:r>
      <w:r w:rsidR="00E777E0" w:rsidRPr="008B1755">
        <w:rPr>
          <w:lang w:val="cs-CZ"/>
        </w:rPr>
        <w:t xml:space="preserve">To lze </w:t>
      </w:r>
      <w:r w:rsidR="007973F5">
        <w:rPr>
          <w:lang w:val="cs-CZ"/>
        </w:rPr>
        <w:t>identifikovat</w:t>
      </w:r>
      <w:r w:rsidR="00E777E0" w:rsidRPr="008B1755">
        <w:rPr>
          <w:lang w:val="cs-CZ"/>
        </w:rPr>
        <w:t xml:space="preserve">, pokud je měřený výkon konzistentně nad </w:t>
      </w:r>
      <w:r w:rsidR="00B35884" w:rsidRPr="008B1755">
        <w:rPr>
          <w:lang w:val="cs-CZ"/>
        </w:rPr>
        <w:t>(</w:t>
      </w:r>
      <w:r w:rsidR="00E777E0" w:rsidRPr="008B1755">
        <w:rPr>
          <w:lang w:val="cs-CZ"/>
        </w:rPr>
        <w:t xml:space="preserve">v případě ukazatelů, jako je </w:t>
      </w:r>
      <w:r w:rsidR="007973F5">
        <w:rPr>
          <w:lang w:val="cs-CZ"/>
        </w:rPr>
        <w:t>latence</w:t>
      </w:r>
      <w:r w:rsidR="009C78C8" w:rsidRPr="008B1755">
        <w:rPr>
          <w:lang w:val="cs-CZ"/>
        </w:rPr>
        <w:t>, jitter</w:t>
      </w:r>
      <w:r w:rsidR="00B35884" w:rsidRPr="008B1755">
        <w:rPr>
          <w:lang w:val="cs-CZ"/>
        </w:rPr>
        <w:t xml:space="preserve"> </w:t>
      </w:r>
      <w:r w:rsidR="00E777E0" w:rsidRPr="008B1755">
        <w:rPr>
          <w:lang w:val="cs-CZ"/>
        </w:rPr>
        <w:t>nebo ztrátovost paketů</w:t>
      </w:r>
      <w:r w:rsidR="00B35884" w:rsidRPr="008B1755">
        <w:rPr>
          <w:lang w:val="cs-CZ"/>
        </w:rPr>
        <w:t xml:space="preserve">) </w:t>
      </w:r>
      <w:r w:rsidR="00E777E0" w:rsidRPr="008B1755">
        <w:rPr>
          <w:lang w:val="cs-CZ"/>
        </w:rPr>
        <w:t xml:space="preserve">nebo pod </w:t>
      </w:r>
      <w:r w:rsidR="00B35884" w:rsidRPr="008B1755">
        <w:rPr>
          <w:lang w:val="cs-CZ"/>
        </w:rPr>
        <w:t>(</w:t>
      </w:r>
      <w:r w:rsidR="00E777E0" w:rsidRPr="008B1755">
        <w:rPr>
          <w:lang w:val="cs-CZ"/>
        </w:rPr>
        <w:t>v případě ukazatelů, jako je rychlost</w:t>
      </w:r>
      <w:r w:rsidR="00B35884" w:rsidRPr="008B1755">
        <w:rPr>
          <w:lang w:val="cs-CZ"/>
        </w:rPr>
        <w:t xml:space="preserve">) </w:t>
      </w:r>
      <w:r w:rsidR="00E777E0" w:rsidRPr="008B1755">
        <w:rPr>
          <w:lang w:val="cs-CZ"/>
        </w:rPr>
        <w:t>dříve zjištěnou průměrnou hodnotou po relativně dlouhou dobu, například v řádu hodin nebo dnů</w:t>
      </w:r>
      <w:r w:rsidR="003F7EF4">
        <w:rPr>
          <w:lang w:val="cs-CZ"/>
        </w:rPr>
        <w:t>,</w:t>
      </w:r>
      <w:r w:rsidR="005D228C" w:rsidRPr="008B1755">
        <w:rPr>
          <w:lang w:val="cs-CZ"/>
        </w:rPr>
        <w:t xml:space="preserve"> nebo pokud je rozdíl mezi výsledky měření před a po zavedení </w:t>
      </w:r>
      <w:r w:rsidR="00244C91" w:rsidRPr="008B1755">
        <w:rPr>
          <w:lang w:val="cs-CZ"/>
        </w:rPr>
        <w:t>specializovan</w:t>
      </w:r>
      <w:r w:rsidR="005D228C" w:rsidRPr="008B1755">
        <w:rPr>
          <w:lang w:val="cs-CZ"/>
        </w:rPr>
        <w:t>é</w:t>
      </w:r>
      <w:r w:rsidR="00244C91" w:rsidRPr="008B1755">
        <w:rPr>
          <w:lang w:val="cs-CZ"/>
        </w:rPr>
        <w:t xml:space="preserve"> služb</w:t>
      </w:r>
      <w:r w:rsidR="005D228C" w:rsidRPr="008B1755">
        <w:rPr>
          <w:lang w:val="cs-CZ"/>
        </w:rPr>
        <w:t>y</w:t>
      </w:r>
      <w:r w:rsidR="00AF415C" w:rsidRPr="008B1755">
        <w:rPr>
          <w:lang w:val="cs-CZ"/>
        </w:rPr>
        <w:t xml:space="preserve"> </w:t>
      </w:r>
      <w:r w:rsidR="005D228C" w:rsidRPr="008B1755">
        <w:rPr>
          <w:lang w:val="cs-CZ"/>
        </w:rPr>
        <w:t>statisticky významný</w:t>
      </w:r>
      <w:r w:rsidR="00B35884" w:rsidRPr="008B1755">
        <w:rPr>
          <w:lang w:val="cs-CZ"/>
        </w:rPr>
        <w:t xml:space="preserve">. </w:t>
      </w:r>
      <w:r w:rsidR="008C5661" w:rsidRPr="008B1755">
        <w:rPr>
          <w:lang w:val="cs-CZ"/>
        </w:rPr>
        <w:t xml:space="preserve">V případě krátkodobých posouzení by rozdíl mezi výsledky měření se specializovanou službou a bez ní měl být posuzován </w:t>
      </w:r>
      <w:r w:rsidR="007973F5">
        <w:rPr>
          <w:lang w:val="cs-CZ"/>
        </w:rPr>
        <w:t>ob</w:t>
      </w:r>
      <w:r w:rsidR="008C5661" w:rsidRPr="008B1755">
        <w:rPr>
          <w:lang w:val="cs-CZ"/>
        </w:rPr>
        <w:t>dobně</w:t>
      </w:r>
      <w:r w:rsidR="00B35884" w:rsidRPr="008B1755">
        <w:rPr>
          <w:lang w:val="cs-CZ"/>
        </w:rPr>
        <w:t>.</w:t>
      </w:r>
    </w:p>
    <w:p w:rsidR="00FF7B62" w:rsidRPr="008B1755" w:rsidRDefault="008C5661" w:rsidP="00FF7B62">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w:t>
      </w:r>
      <w:r w:rsidR="00FF7B62" w:rsidRPr="008B1755">
        <w:rPr>
          <w:rFonts w:eastAsia="SimSun"/>
          <w:bCs/>
          <w:i/>
          <w:iCs/>
          <w:sz w:val="24"/>
          <w:szCs w:val="24"/>
          <w:u w:val="single"/>
          <w:lang w:val="cs-CZ"/>
        </w:rPr>
        <w:t>N</w:t>
      </w:r>
      <w:r w:rsidRPr="008B1755">
        <w:rPr>
          <w:rFonts w:eastAsia="SimSun"/>
          <w:bCs/>
          <w:i/>
          <w:iCs/>
          <w:sz w:val="24"/>
          <w:szCs w:val="24"/>
          <w:u w:val="single"/>
          <w:lang w:val="cs-CZ"/>
        </w:rPr>
        <w:t xml:space="preserve">e </w:t>
      </w:r>
      <w:r w:rsidRPr="008B1755">
        <w:rPr>
          <w:rStyle w:val="BERECcitaceChar"/>
          <w:sz w:val="24"/>
          <w:u w:val="single"/>
          <w:lang w:val="cs-CZ"/>
        </w:rPr>
        <w:t>využitelné či nabízené jako náhrada za službu přístupu k internetu</w:t>
      </w:r>
      <w:r w:rsidRPr="008B1755">
        <w:rPr>
          <w:rFonts w:eastAsia="SimSun"/>
          <w:bCs/>
          <w:i/>
          <w:iCs/>
          <w:sz w:val="24"/>
          <w:szCs w:val="24"/>
          <w:u w:val="single"/>
          <w:lang w:val="cs-CZ"/>
        </w:rPr>
        <w:t>“</w:t>
      </w:r>
    </w:p>
    <w:p w:rsidR="000A532B" w:rsidRPr="008B1755" w:rsidRDefault="008C5661" w:rsidP="0038751B">
      <w:pPr>
        <w:numPr>
          <w:ilvl w:val="0"/>
          <w:numId w:val="2"/>
        </w:numPr>
        <w:spacing w:after="120"/>
        <w:rPr>
          <w:lang w:val="cs-CZ"/>
        </w:rPr>
      </w:pPr>
      <w:r w:rsidRPr="008B1755">
        <w:rPr>
          <w:lang w:val="cs-CZ"/>
        </w:rPr>
        <w:t xml:space="preserve">Je nesmírně důležité, aby ustanovení týkající se </w:t>
      </w:r>
      <w:r w:rsidR="00244C91" w:rsidRPr="008B1755">
        <w:rPr>
          <w:lang w:val="cs-CZ"/>
        </w:rPr>
        <w:t>specializované služby</w:t>
      </w:r>
      <w:r w:rsidR="000A532B" w:rsidRPr="008B1755">
        <w:rPr>
          <w:lang w:val="cs-CZ"/>
        </w:rPr>
        <w:t xml:space="preserve"> </w:t>
      </w:r>
      <w:r w:rsidRPr="008B1755">
        <w:rPr>
          <w:lang w:val="cs-CZ"/>
        </w:rPr>
        <w:t xml:space="preserve">nesloužila jako potenciální možnost obcházení </w:t>
      </w:r>
      <w:r w:rsidR="001D46DD" w:rsidRPr="008B1755">
        <w:rPr>
          <w:lang w:val="cs-CZ"/>
        </w:rPr>
        <w:t>Nařízení</w:t>
      </w:r>
      <w:r w:rsidR="000A532B" w:rsidRPr="008B1755">
        <w:rPr>
          <w:lang w:val="cs-CZ"/>
        </w:rPr>
        <w:t xml:space="preserve">. </w:t>
      </w:r>
      <w:r w:rsidRPr="008B1755">
        <w:rPr>
          <w:lang w:val="cs-CZ"/>
        </w:rPr>
        <w:t xml:space="preserve">Proto by </w:t>
      </w:r>
      <w:r w:rsidR="00926BAE" w:rsidRPr="008B1755">
        <w:rPr>
          <w:lang w:val="cs-CZ"/>
        </w:rPr>
        <w:t>vnitrostátní regulační orgány</w:t>
      </w:r>
      <w:r w:rsidR="000A532B" w:rsidRPr="008B1755">
        <w:rPr>
          <w:lang w:val="cs-CZ"/>
        </w:rPr>
        <w:t xml:space="preserve"> </w:t>
      </w:r>
      <w:r w:rsidRPr="008B1755">
        <w:rPr>
          <w:lang w:val="cs-CZ"/>
        </w:rPr>
        <w:t xml:space="preserve">měly </w:t>
      </w:r>
      <w:r w:rsidR="00904FED" w:rsidRPr="008B1755">
        <w:rPr>
          <w:lang w:val="cs-CZ"/>
        </w:rPr>
        <w:t>posoudit, zda</w:t>
      </w:r>
      <w:r w:rsidR="000A532B" w:rsidRPr="008B1755">
        <w:rPr>
          <w:lang w:val="cs-CZ"/>
        </w:rPr>
        <w:t xml:space="preserve"> </w:t>
      </w:r>
      <w:r w:rsidRPr="008B1755">
        <w:rPr>
          <w:lang w:val="cs-CZ"/>
        </w:rPr>
        <w:t xml:space="preserve">je </w:t>
      </w:r>
      <w:r w:rsidR="00244C91" w:rsidRPr="008B1755">
        <w:rPr>
          <w:lang w:val="cs-CZ"/>
        </w:rPr>
        <w:t>specializovaná služba</w:t>
      </w:r>
      <w:r w:rsidR="000A532B" w:rsidRPr="008B1755">
        <w:rPr>
          <w:lang w:val="cs-CZ"/>
        </w:rPr>
        <w:t xml:space="preserve"> </w:t>
      </w:r>
      <w:r w:rsidRPr="008B1755">
        <w:rPr>
          <w:lang w:val="cs-CZ"/>
        </w:rPr>
        <w:t xml:space="preserve">potenciální náhrada </w:t>
      </w:r>
      <w:r w:rsidR="00DD272F" w:rsidRPr="008B1755">
        <w:rPr>
          <w:lang w:val="cs-CZ"/>
        </w:rPr>
        <w:t>služb</w:t>
      </w:r>
      <w:r w:rsidRPr="008B1755">
        <w:rPr>
          <w:lang w:val="cs-CZ"/>
        </w:rPr>
        <w:t>y</w:t>
      </w:r>
      <w:r w:rsidR="00DD272F" w:rsidRPr="008B1755">
        <w:rPr>
          <w:lang w:val="cs-CZ"/>
        </w:rPr>
        <w:t xml:space="preserve"> přístupu k internetu</w:t>
      </w:r>
      <w:r w:rsidR="000A532B" w:rsidRPr="008B1755">
        <w:rPr>
          <w:lang w:val="cs-CZ"/>
        </w:rPr>
        <w:t xml:space="preserve"> </w:t>
      </w:r>
      <w:r w:rsidRPr="008B1755">
        <w:rPr>
          <w:lang w:val="cs-CZ"/>
        </w:rPr>
        <w:t xml:space="preserve">a zda je kapacita potřebná k jejich poskytování na úkor kapacity dostupné pro </w:t>
      </w:r>
      <w:r w:rsidR="00DD272F" w:rsidRPr="008B1755">
        <w:rPr>
          <w:lang w:val="cs-CZ"/>
        </w:rPr>
        <w:t>služb</w:t>
      </w:r>
      <w:r w:rsidRPr="008B1755">
        <w:rPr>
          <w:lang w:val="cs-CZ"/>
        </w:rPr>
        <w:t>u</w:t>
      </w:r>
      <w:r w:rsidR="00DD272F" w:rsidRPr="008B1755">
        <w:rPr>
          <w:lang w:val="cs-CZ"/>
        </w:rPr>
        <w:t xml:space="preserve"> přístupu k internetu</w:t>
      </w:r>
      <w:r w:rsidR="000A532B" w:rsidRPr="008B1755">
        <w:rPr>
          <w:lang w:val="cs-CZ"/>
        </w:rPr>
        <w:t xml:space="preserve">. </w:t>
      </w:r>
    </w:p>
    <w:p w:rsidR="0093143C" w:rsidRPr="008B1755" w:rsidRDefault="008C5661" w:rsidP="0038751B">
      <w:pPr>
        <w:numPr>
          <w:ilvl w:val="0"/>
          <w:numId w:val="2"/>
        </w:numPr>
        <w:spacing w:after="120"/>
        <w:rPr>
          <w:lang w:val="cs-CZ"/>
        </w:rPr>
      </w:pPr>
      <w:bookmarkStart w:id="49" w:name="_Ref449699207"/>
      <w:bookmarkStart w:id="50" w:name="_Ref449464271"/>
      <w:r w:rsidRPr="008B1755">
        <w:rPr>
          <w:lang w:val="cs-CZ"/>
        </w:rPr>
        <w:t xml:space="preserve">Při rozhodování, zda je </w:t>
      </w:r>
      <w:r w:rsidR="00244C91" w:rsidRPr="008B1755">
        <w:rPr>
          <w:lang w:val="cs-CZ"/>
        </w:rPr>
        <w:t>specializovaná služba</w:t>
      </w:r>
      <w:r w:rsidR="00AA0A14" w:rsidRPr="008B1755">
        <w:rPr>
          <w:lang w:val="cs-CZ"/>
        </w:rPr>
        <w:t xml:space="preserve"> </w:t>
      </w:r>
      <w:r w:rsidRPr="008B1755">
        <w:rPr>
          <w:lang w:val="cs-CZ"/>
        </w:rPr>
        <w:t xml:space="preserve">považována za náhradu </w:t>
      </w:r>
      <w:r w:rsidR="007D7F64" w:rsidRPr="008B1755">
        <w:rPr>
          <w:lang w:val="cs-CZ"/>
        </w:rPr>
        <w:t>služb</w:t>
      </w:r>
      <w:r w:rsidRPr="008B1755">
        <w:rPr>
          <w:lang w:val="cs-CZ"/>
        </w:rPr>
        <w:t>y</w:t>
      </w:r>
      <w:r w:rsidR="007D7F64" w:rsidRPr="008B1755">
        <w:rPr>
          <w:lang w:val="cs-CZ"/>
        </w:rPr>
        <w:t xml:space="preserve"> přístupu k</w:t>
      </w:r>
      <w:r w:rsidRPr="008B1755">
        <w:rPr>
          <w:lang w:val="cs-CZ"/>
        </w:rPr>
        <w:t> </w:t>
      </w:r>
      <w:r w:rsidR="007D7F64" w:rsidRPr="008B1755">
        <w:rPr>
          <w:lang w:val="cs-CZ"/>
        </w:rPr>
        <w:t>internetu</w:t>
      </w:r>
      <w:r w:rsidR="00AA0A14" w:rsidRPr="008B1755">
        <w:rPr>
          <w:lang w:val="cs-CZ"/>
        </w:rPr>
        <w:t xml:space="preserve">, </w:t>
      </w:r>
      <w:r w:rsidRPr="008B1755">
        <w:rPr>
          <w:lang w:val="cs-CZ"/>
        </w:rPr>
        <w:t>je jedním z důležitých aspektů, kter</w:t>
      </w:r>
      <w:r w:rsidR="003F7EF4">
        <w:rPr>
          <w:lang w:val="cs-CZ"/>
        </w:rPr>
        <w:t>ý</w:t>
      </w:r>
      <w:r w:rsidRPr="008B1755">
        <w:rPr>
          <w:lang w:val="cs-CZ"/>
        </w:rPr>
        <w:t xml:space="preserve"> by </w:t>
      </w:r>
      <w:r w:rsidR="00926BAE" w:rsidRPr="008B1755">
        <w:rPr>
          <w:lang w:val="cs-CZ"/>
        </w:rPr>
        <w:t>vnitrostátní regulační orgány</w:t>
      </w:r>
      <w:r w:rsidR="00AA0A14" w:rsidRPr="008B1755">
        <w:rPr>
          <w:lang w:val="cs-CZ"/>
        </w:rPr>
        <w:t xml:space="preserve"> </w:t>
      </w:r>
      <w:r w:rsidRPr="008B1755">
        <w:rPr>
          <w:lang w:val="cs-CZ"/>
        </w:rPr>
        <w:t>měly posoudit, zda daná služba skutečně zajišťuje přístup k </w:t>
      </w:r>
      <w:r w:rsidR="0093143C" w:rsidRPr="008B1755">
        <w:rPr>
          <w:lang w:val="cs-CZ"/>
        </w:rPr>
        <w:t>internet</w:t>
      </w:r>
      <w:r w:rsidRPr="008B1755">
        <w:rPr>
          <w:lang w:val="cs-CZ"/>
        </w:rPr>
        <w:t>u, ale omezeně</w:t>
      </w:r>
      <w:r w:rsidR="00BA351D" w:rsidRPr="008B1755">
        <w:rPr>
          <w:lang w:val="cs-CZ"/>
        </w:rPr>
        <w:t xml:space="preserve">, </w:t>
      </w:r>
      <w:r w:rsidRPr="008B1755">
        <w:rPr>
          <w:lang w:val="cs-CZ"/>
        </w:rPr>
        <w:t xml:space="preserve">ve vyšší kvalitě, nebo s odlišným řízením </w:t>
      </w:r>
      <w:r w:rsidR="00350081" w:rsidRPr="008B1755">
        <w:rPr>
          <w:lang w:val="cs-CZ"/>
        </w:rPr>
        <w:t>provozu</w:t>
      </w:r>
      <w:r w:rsidR="0093143C" w:rsidRPr="008B1755">
        <w:rPr>
          <w:lang w:val="cs-CZ"/>
        </w:rPr>
        <w:t xml:space="preserve">. </w:t>
      </w:r>
      <w:r w:rsidRPr="008B1755">
        <w:rPr>
          <w:lang w:val="cs-CZ"/>
        </w:rPr>
        <w:t xml:space="preserve">Pokud ano, bylo by to považováno za obcházení </w:t>
      </w:r>
      <w:r w:rsidR="001D46DD" w:rsidRPr="008B1755">
        <w:rPr>
          <w:lang w:val="cs-CZ"/>
        </w:rPr>
        <w:t>Nařízení</w:t>
      </w:r>
      <w:r w:rsidR="0093143C" w:rsidRPr="008B1755">
        <w:rPr>
          <w:lang w:val="cs-CZ"/>
        </w:rPr>
        <w:t>.</w:t>
      </w:r>
      <w:bookmarkEnd w:id="49"/>
      <w:r w:rsidR="0093143C" w:rsidRPr="008B1755">
        <w:rPr>
          <w:lang w:val="cs-CZ"/>
        </w:rPr>
        <w:t xml:space="preserve"> </w:t>
      </w:r>
    </w:p>
    <w:p w:rsidR="00D61C28" w:rsidRPr="008B1755" w:rsidRDefault="003E7168" w:rsidP="00D61C28">
      <w:pPr>
        <w:keepNext/>
        <w:keepLines/>
        <w:spacing w:before="480" w:after="480"/>
        <w:jc w:val="left"/>
        <w:outlineLvl w:val="0"/>
        <w:rPr>
          <w:rFonts w:eastAsia="SimSun"/>
          <w:b/>
          <w:bCs/>
          <w:sz w:val="32"/>
          <w:szCs w:val="28"/>
          <w:lang w:val="cs-CZ"/>
        </w:rPr>
      </w:pPr>
      <w:bookmarkStart w:id="51" w:name="_Toc461400167"/>
      <w:bookmarkEnd w:id="50"/>
      <w:r w:rsidRPr="008B1755">
        <w:rPr>
          <w:rFonts w:eastAsia="SimSun"/>
          <w:b/>
          <w:bCs/>
          <w:sz w:val="32"/>
          <w:szCs w:val="28"/>
          <w:u w:val="single"/>
          <w:lang w:val="cs-CZ"/>
        </w:rPr>
        <w:t xml:space="preserve">Článek </w:t>
      </w:r>
      <w:r w:rsidR="00D61C28" w:rsidRPr="008B1755">
        <w:rPr>
          <w:rFonts w:eastAsia="SimSun"/>
          <w:b/>
          <w:bCs/>
          <w:sz w:val="32"/>
          <w:szCs w:val="28"/>
          <w:u w:val="single"/>
          <w:lang w:val="cs-CZ"/>
        </w:rPr>
        <w:t>4</w:t>
      </w:r>
      <w:r w:rsidR="00D61C28" w:rsidRPr="008B1755">
        <w:rPr>
          <w:rFonts w:eastAsia="SimSun"/>
          <w:b/>
          <w:bCs/>
          <w:sz w:val="32"/>
          <w:szCs w:val="28"/>
          <w:u w:val="single"/>
          <w:lang w:val="cs-CZ"/>
        </w:rPr>
        <w:br/>
      </w:r>
      <w:r w:rsidR="0039660F" w:rsidRPr="008B1755">
        <w:rPr>
          <w:rStyle w:val="BERECChar"/>
          <w:b/>
          <w:sz w:val="32"/>
          <w:lang w:val="cs-CZ"/>
        </w:rPr>
        <w:t>Opatření ke zvýšení transparentnosti pro zajištění přístupu k otevřenému internetu</w:t>
      </w:r>
      <w:bookmarkEnd w:id="51"/>
    </w:p>
    <w:p w:rsidR="00D61C28" w:rsidRPr="008B1755" w:rsidRDefault="003E7168" w:rsidP="001B38FB">
      <w:pPr>
        <w:keepNext/>
        <w:keepLines/>
        <w:spacing w:before="360" w:after="120"/>
        <w:outlineLvl w:val="1"/>
        <w:rPr>
          <w:rFonts w:eastAsia="SimSun" w:cs="Arial"/>
          <w:b/>
          <w:bCs/>
          <w:sz w:val="24"/>
          <w:szCs w:val="24"/>
          <w:lang w:val="cs-CZ"/>
        </w:rPr>
      </w:pPr>
      <w:bookmarkStart w:id="52" w:name="_Toc461400168"/>
      <w:r w:rsidRPr="008B1755">
        <w:rPr>
          <w:rFonts w:eastAsia="SimSun" w:cs="Arial"/>
          <w:b/>
          <w:bCs/>
          <w:sz w:val="24"/>
          <w:szCs w:val="24"/>
          <w:lang w:val="cs-CZ"/>
        </w:rPr>
        <w:t xml:space="preserve">Článek </w:t>
      </w:r>
      <w:r w:rsidR="00D61C28" w:rsidRPr="008B1755">
        <w:rPr>
          <w:rFonts w:eastAsia="SimSun" w:cs="Arial"/>
          <w:b/>
          <w:bCs/>
          <w:sz w:val="24"/>
          <w:szCs w:val="24"/>
          <w:lang w:val="cs-CZ"/>
        </w:rPr>
        <w:t>4</w:t>
      </w:r>
      <w:r w:rsidR="00BE6053" w:rsidRPr="008B1755">
        <w:rPr>
          <w:rFonts w:eastAsia="SimSun" w:cs="Arial"/>
          <w:b/>
          <w:bCs/>
          <w:sz w:val="24"/>
          <w:szCs w:val="24"/>
          <w:lang w:val="cs-CZ"/>
        </w:rPr>
        <w:t xml:space="preserve"> odst. </w:t>
      </w:r>
      <w:r w:rsidR="00D61C28" w:rsidRPr="008B1755">
        <w:rPr>
          <w:rFonts w:eastAsia="SimSun" w:cs="Arial"/>
          <w:b/>
          <w:bCs/>
          <w:sz w:val="24"/>
          <w:szCs w:val="24"/>
          <w:lang w:val="cs-CZ"/>
        </w:rPr>
        <w:t>1</w:t>
      </w:r>
      <w:bookmarkEnd w:id="52"/>
    </w:p>
    <w:p w:rsidR="00D61C28" w:rsidRPr="008B1755" w:rsidRDefault="009B7C0D"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Poskytovatelé služeb přístupu k internetu zajistí, aby smlouva, která zahrnuje služby přístupu k internetu, obsahovala alespoň</w:t>
      </w:r>
      <w:r w:rsidR="00D61C28" w:rsidRPr="008B1755">
        <w:rPr>
          <w:rFonts w:ascii="Times New Roman" w:hAnsi="Times New Roman"/>
          <w:lang w:val="cs-CZ"/>
        </w:rPr>
        <w:t>:</w:t>
      </w:r>
    </w:p>
    <w:p w:rsidR="00D61C28" w:rsidRPr="008B1755" w:rsidRDefault="00D61C28" w:rsidP="006F0EC7">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i/>
          <w:color w:val="7F7F7F"/>
          <w:lang w:val="cs-CZ"/>
        </w:rPr>
      </w:pPr>
      <w:r w:rsidRPr="008B1755">
        <w:rPr>
          <w:rFonts w:ascii="Times New Roman" w:hAnsi="Times New Roman"/>
          <w:i/>
          <w:color w:val="7F7F7F"/>
          <w:lang w:val="cs-CZ"/>
        </w:rPr>
        <w:t>[…</w:t>
      </w:r>
      <w:r w:rsidR="009B7C0D" w:rsidRPr="008B1755">
        <w:rPr>
          <w:rFonts w:ascii="Times New Roman" w:hAnsi="Times New Roman"/>
          <w:i/>
          <w:color w:val="7F7F7F"/>
          <w:lang w:val="cs-CZ"/>
        </w:rPr>
        <w:t>písm.</w:t>
      </w:r>
      <w:r w:rsidRPr="008B1755">
        <w:rPr>
          <w:rFonts w:ascii="Times New Roman" w:hAnsi="Times New Roman"/>
          <w:i/>
          <w:color w:val="7F7F7F"/>
          <w:lang w:val="cs-CZ"/>
        </w:rPr>
        <w:t xml:space="preserve"> (a) – (b) – (c) – (d) – (e)…]</w:t>
      </w:r>
    </w:p>
    <w:p w:rsidR="00D61C28" w:rsidRPr="008B1755" w:rsidRDefault="009B7C0D"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Poskytovatelé služeb přístupu k internetu zveřejní informace uvedené v prvním pododstavci</w:t>
      </w:r>
      <w:r w:rsidR="00D61C28" w:rsidRPr="008B1755">
        <w:rPr>
          <w:rFonts w:ascii="Times New Roman" w:hAnsi="Times New Roman"/>
          <w:lang w:val="cs-CZ"/>
        </w:rPr>
        <w:t>.</w:t>
      </w:r>
    </w:p>
    <w:p w:rsidR="00D61C28" w:rsidRPr="008B1755" w:rsidRDefault="00946CEA" w:rsidP="006F0EC7">
      <w:pPr>
        <w:keepNext/>
        <w:shd w:val="clear" w:color="auto" w:fill="D9D9D9"/>
        <w:spacing w:after="0"/>
        <w:rPr>
          <w:rFonts w:ascii="Times New Roman" w:hAnsi="Times New Roman"/>
          <w:sz w:val="20"/>
          <w:u w:val="single"/>
          <w:lang w:val="cs-CZ"/>
        </w:rPr>
      </w:pPr>
      <w:r w:rsidRPr="008B1755">
        <w:rPr>
          <w:rFonts w:ascii="Times New Roman" w:hAnsi="Times New Roman"/>
          <w:sz w:val="20"/>
          <w:u w:val="single"/>
          <w:lang w:val="cs-CZ"/>
        </w:rPr>
        <w:t xml:space="preserve">Úvodní část Nařízení, bod </w:t>
      </w:r>
      <w:r w:rsidR="00D61C28" w:rsidRPr="008B1755">
        <w:rPr>
          <w:rFonts w:ascii="Times New Roman" w:hAnsi="Times New Roman"/>
          <w:sz w:val="20"/>
          <w:u w:val="single"/>
          <w:lang w:val="cs-CZ"/>
        </w:rPr>
        <w:t>18</w:t>
      </w:r>
    </w:p>
    <w:p w:rsidR="00D61C28" w:rsidRPr="008B1755" w:rsidRDefault="00946CEA" w:rsidP="006F0EC7">
      <w:pPr>
        <w:shd w:val="clear" w:color="auto" w:fill="D9D9D9"/>
        <w:rPr>
          <w:rFonts w:ascii="Times New Roman" w:hAnsi="Times New Roman"/>
          <w:sz w:val="20"/>
          <w:lang w:val="cs-CZ"/>
        </w:rPr>
      </w:pPr>
      <w:r w:rsidRPr="008B1755">
        <w:rPr>
          <w:rStyle w:val="Style3Char"/>
          <w:sz w:val="20"/>
          <w:lang w:val="cs-CZ"/>
        </w:rPr>
        <w:t>Ustanovení o zajištění přístupu k otevřenému internetu by měla být doplněna účinnými ustanoveními týkajícími se koncových uživatelů, která se týkají otázek souvisejících zejména se službami přístupu k internetu a dají koncovým uživatelům možnost informovaného výběru. Tato ustanovení by se měla uplatňovat spolu s příslušnými ustanoveními směrnice Evropského parlamentu a Rady 2002/22/ES (1) a členské státy by měly mít možnost ponechat v platnosti či přijmout rozsáhlejší opatření. Poskytovatelé služeb přístupu k internetu by měli koncové uživatele jasně informovat o možném dopadu zavedení postupů řízení provozu na kvalitu služeb přístupu k internetu, soukromí koncových uživatelů a ochranu osobních údajů, jakož i o možném dopadu služeb jiných než služeb přístupu k internetu, jež si objednají, na kvalitu a dostupnost služeb přístupu k internetu každého z nich. Za účelem posílení postavení koncových uživatelů v takovýchto situacích by tedy poskytovatelé služeb přístupu k internetu měli koncové uživatele informovat ve smlouvě o rychlosti, kterou mohou skutečně poskytovat. Za běžně dostupnou rychlost se považuje rychlost, kterou by mohl koncový uživatel očekávat většinu času využívání služby. Poskytovatelé služeb přístupu k internetu by rovněž měli spotřebitele informovat o prostředcích nápravy, které má podle vnitrostátního práva k dispozici pro případ nesplnění požadavků na výkon. Za účelem stanovení prostředků nápravy, které má koncový uživatel k dispozici podle vnitrostátního práva, by se za nesplnění požadavků na výkon měla považovat jakákoli velká a trvající či pravidelně se opakující odchylka skutečného výkonu služby od výkonu uvedeného ve smlouvě, pokud byla zjištěna za pomoci mechanismu sledování ověřeného vnitrostátním regulačním orgánem. Metodika by měla být stanovena v pokynech Sdružení evropských regulačních orgánů v oblasti elektronických komunikací (dále jen „BEREC“ nebo „sdružení BEREC“) a podle potřeby revidována a aktualizována, aby odrážela vývoj technologií a infrastruktury. Vnitrostátní regulační orgány by měly vymáhat dodržování ustanovení tohoto nařízení o opatřeních ke zvýšení transparentnosti pro zajištění přístupu k otevřenému internetu</w:t>
      </w:r>
      <w:r w:rsidR="00D61C28" w:rsidRPr="008B1755">
        <w:rPr>
          <w:rFonts w:ascii="Times New Roman" w:hAnsi="Times New Roman"/>
          <w:sz w:val="20"/>
          <w:lang w:val="cs-CZ"/>
        </w:rPr>
        <w:t>.</w:t>
      </w:r>
    </w:p>
    <w:p w:rsidR="00035DDA" w:rsidRPr="008B1755" w:rsidRDefault="0039660F" w:rsidP="00035DDA">
      <w:pPr>
        <w:numPr>
          <w:ilvl w:val="0"/>
          <w:numId w:val="2"/>
        </w:numPr>
        <w:spacing w:after="120"/>
        <w:rPr>
          <w:lang w:val="cs-CZ"/>
        </w:rPr>
      </w:pPr>
      <w:r w:rsidRPr="008B1755">
        <w:rPr>
          <w:lang w:val="cs-CZ"/>
        </w:rPr>
        <w:t xml:space="preserve">Vnitrostátní </w:t>
      </w:r>
      <w:r w:rsidR="00926BAE" w:rsidRPr="008B1755">
        <w:rPr>
          <w:lang w:val="cs-CZ"/>
        </w:rPr>
        <w:t>regulační orgány</w:t>
      </w:r>
      <w:r w:rsidR="00D61C28" w:rsidRPr="008B1755">
        <w:rPr>
          <w:lang w:val="cs-CZ"/>
        </w:rPr>
        <w:t xml:space="preserve"> </w:t>
      </w:r>
      <w:r w:rsidRPr="008B1755">
        <w:rPr>
          <w:lang w:val="cs-CZ"/>
        </w:rPr>
        <w:t xml:space="preserve">by měly zajistit, aby </w:t>
      </w:r>
      <w:r w:rsidR="007D7F64" w:rsidRPr="008B1755">
        <w:rPr>
          <w:lang w:val="cs-CZ"/>
        </w:rPr>
        <w:t>poskytovatelé internetových služeb</w:t>
      </w:r>
      <w:r w:rsidR="00D61C28" w:rsidRPr="008B1755">
        <w:rPr>
          <w:lang w:val="cs-CZ"/>
        </w:rPr>
        <w:t xml:space="preserve"> </w:t>
      </w:r>
      <w:r w:rsidRPr="008B1755">
        <w:rPr>
          <w:lang w:val="cs-CZ"/>
        </w:rPr>
        <w:t>ve smlouvách o</w:t>
      </w:r>
      <w:r w:rsidR="007973F5">
        <w:rPr>
          <w:lang w:val="cs-CZ"/>
        </w:rPr>
        <w:t xml:space="preserve"> poskytování </w:t>
      </w:r>
      <w:r w:rsidRPr="008B1755">
        <w:rPr>
          <w:lang w:val="cs-CZ"/>
        </w:rPr>
        <w:t xml:space="preserve">službu přístupu k internetu uváděli příslušné informace uvedené </w:t>
      </w:r>
      <w:r w:rsidR="00F064F8" w:rsidRPr="008B1755">
        <w:rPr>
          <w:lang w:val="cs-CZ"/>
        </w:rPr>
        <w:t>v článku</w:t>
      </w:r>
      <w:r w:rsidR="001D201B" w:rsidRPr="008B1755">
        <w:rPr>
          <w:lang w:val="cs-CZ"/>
        </w:rPr>
        <w:t xml:space="preserve"> 4</w:t>
      </w:r>
      <w:r w:rsidRPr="008B1755">
        <w:rPr>
          <w:lang w:val="cs-CZ"/>
        </w:rPr>
        <w:t xml:space="preserve"> odst. </w:t>
      </w:r>
      <w:r w:rsidR="001D201B" w:rsidRPr="008B1755">
        <w:rPr>
          <w:lang w:val="cs-CZ"/>
        </w:rPr>
        <w:t xml:space="preserve">1 </w:t>
      </w:r>
      <w:r w:rsidRPr="008B1755">
        <w:rPr>
          <w:lang w:val="cs-CZ"/>
        </w:rPr>
        <w:t xml:space="preserve">písm. </w:t>
      </w:r>
      <w:r w:rsidR="001D201B" w:rsidRPr="008B1755">
        <w:rPr>
          <w:lang w:val="cs-CZ"/>
        </w:rPr>
        <w:t xml:space="preserve">a) </w:t>
      </w:r>
      <w:r w:rsidRPr="008B1755">
        <w:rPr>
          <w:lang w:val="cs-CZ"/>
        </w:rPr>
        <w:t xml:space="preserve">až </w:t>
      </w:r>
      <w:r w:rsidR="001D201B" w:rsidRPr="008B1755">
        <w:rPr>
          <w:lang w:val="cs-CZ"/>
        </w:rPr>
        <w:t xml:space="preserve">e) </w:t>
      </w:r>
      <w:r w:rsidRPr="008B1755">
        <w:rPr>
          <w:lang w:val="cs-CZ"/>
        </w:rPr>
        <w:t>jasným a</w:t>
      </w:r>
      <w:r w:rsidR="00547DDD" w:rsidRPr="008B1755">
        <w:rPr>
          <w:lang w:val="cs-CZ"/>
        </w:rPr>
        <w:t xml:space="preserve"> </w:t>
      </w:r>
      <w:r w:rsidRPr="008B1755">
        <w:rPr>
          <w:lang w:val="cs-CZ"/>
        </w:rPr>
        <w:t xml:space="preserve">srozumitelným způsobem a zveřejňovali tyto informace například na </w:t>
      </w:r>
      <w:r w:rsidR="007973F5">
        <w:rPr>
          <w:lang w:val="cs-CZ"/>
        </w:rPr>
        <w:t xml:space="preserve">svých </w:t>
      </w:r>
      <w:r w:rsidRPr="008B1755">
        <w:rPr>
          <w:lang w:val="cs-CZ"/>
        </w:rPr>
        <w:t>webových stránkách</w:t>
      </w:r>
      <w:r w:rsidR="00D61C28" w:rsidRPr="008B1755">
        <w:rPr>
          <w:lang w:val="cs-CZ"/>
        </w:rPr>
        <w:t xml:space="preserve">. </w:t>
      </w:r>
    </w:p>
    <w:p w:rsidR="00035DDA" w:rsidRPr="008B1755" w:rsidRDefault="0039660F" w:rsidP="00035DDA">
      <w:pPr>
        <w:numPr>
          <w:ilvl w:val="0"/>
          <w:numId w:val="2"/>
        </w:numPr>
        <w:spacing w:after="120"/>
        <w:rPr>
          <w:lang w:val="cs-CZ"/>
        </w:rPr>
      </w:pPr>
      <w:r w:rsidRPr="008B1755">
        <w:rPr>
          <w:lang w:val="cs-CZ"/>
        </w:rPr>
        <w:t xml:space="preserve">Vnitrostátní </w:t>
      </w:r>
      <w:r w:rsidR="00926BAE" w:rsidRPr="008B1755">
        <w:rPr>
          <w:lang w:val="cs-CZ"/>
        </w:rPr>
        <w:t>regulační orgány</w:t>
      </w:r>
      <w:r w:rsidR="00035DDA" w:rsidRPr="008B1755">
        <w:rPr>
          <w:lang w:val="cs-CZ"/>
        </w:rPr>
        <w:t xml:space="preserve"> </w:t>
      </w:r>
      <w:r w:rsidR="00BE6053" w:rsidRPr="008B1755">
        <w:rPr>
          <w:lang w:val="cs-CZ"/>
        </w:rPr>
        <w:t xml:space="preserve">by rovněž měly vědět, že požadavky na </w:t>
      </w:r>
      <w:r w:rsidR="00035DDA" w:rsidRPr="008B1755">
        <w:rPr>
          <w:lang w:val="cs-CZ"/>
        </w:rPr>
        <w:t>transparen</w:t>
      </w:r>
      <w:r w:rsidR="00BE6053" w:rsidRPr="008B1755">
        <w:rPr>
          <w:lang w:val="cs-CZ"/>
        </w:rPr>
        <w:t xml:space="preserve">tnost stanovené </w:t>
      </w:r>
      <w:r w:rsidR="00F064F8" w:rsidRPr="008B1755">
        <w:rPr>
          <w:lang w:val="cs-CZ"/>
        </w:rPr>
        <w:t>v</w:t>
      </w:r>
      <w:r w:rsidR="00BE6053" w:rsidRPr="008B1755">
        <w:rPr>
          <w:lang w:val="cs-CZ"/>
        </w:rPr>
        <w:t> čl. 4 odst. 1</w:t>
      </w:r>
      <w:r w:rsidR="00035DDA" w:rsidRPr="008B1755">
        <w:rPr>
          <w:lang w:val="cs-CZ"/>
        </w:rPr>
        <w:t xml:space="preserve"> a </w:t>
      </w:r>
      <w:r w:rsidR="00BE6053" w:rsidRPr="008B1755">
        <w:rPr>
          <w:lang w:val="cs-CZ"/>
        </w:rPr>
        <w:t>čl. 4 odst. 2</w:t>
      </w:r>
      <w:r w:rsidR="003F7EF4">
        <w:rPr>
          <w:lang w:val="cs-CZ"/>
        </w:rPr>
        <w:t>,</w:t>
      </w:r>
      <w:r w:rsidR="00035DDA" w:rsidRPr="008B1755">
        <w:rPr>
          <w:lang w:val="cs-CZ"/>
        </w:rPr>
        <w:t xml:space="preserve"> </w:t>
      </w:r>
      <w:r w:rsidR="00BE6053" w:rsidRPr="008B1755">
        <w:rPr>
          <w:lang w:val="cs-CZ"/>
        </w:rPr>
        <w:t xml:space="preserve">jsou </w:t>
      </w:r>
      <w:r w:rsidR="007973F5">
        <w:rPr>
          <w:lang w:val="cs-CZ"/>
        </w:rPr>
        <w:t xml:space="preserve">nad rámec </w:t>
      </w:r>
      <w:r w:rsidR="00BE6053" w:rsidRPr="008B1755">
        <w:rPr>
          <w:lang w:val="cs-CZ"/>
        </w:rPr>
        <w:t>opatření stanovený</w:t>
      </w:r>
      <w:r w:rsidR="007973F5">
        <w:rPr>
          <w:lang w:val="cs-CZ"/>
        </w:rPr>
        <w:t>ch</w:t>
      </w:r>
      <w:r w:rsidR="00BE6053" w:rsidRPr="008B1755">
        <w:rPr>
          <w:lang w:val="cs-CZ"/>
        </w:rPr>
        <w:t xml:space="preserve"> ve směrnici </w:t>
      </w:r>
      <w:r w:rsidR="00035DDA" w:rsidRPr="008B1755">
        <w:rPr>
          <w:lang w:val="cs-CZ"/>
        </w:rPr>
        <w:t>2002/22</w:t>
      </w:r>
      <w:r w:rsidR="002E5214" w:rsidRPr="008B1755">
        <w:rPr>
          <w:lang w:val="cs-CZ"/>
        </w:rPr>
        <w:t>/ES</w:t>
      </w:r>
      <w:r w:rsidR="00035DDA" w:rsidRPr="008B1755">
        <w:rPr>
          <w:lang w:val="cs-CZ"/>
        </w:rPr>
        <w:t xml:space="preserve"> (</w:t>
      </w:r>
      <w:r w:rsidR="00BE6053" w:rsidRPr="008B1755">
        <w:rPr>
          <w:lang w:val="cs-CZ"/>
        </w:rPr>
        <w:t>směrnice o univerzální službě</w:t>
      </w:r>
      <w:r w:rsidR="00035DDA" w:rsidRPr="008B1755">
        <w:rPr>
          <w:lang w:val="cs-CZ"/>
        </w:rPr>
        <w:t xml:space="preserve">), </w:t>
      </w:r>
      <w:r w:rsidR="00BE6053" w:rsidRPr="008B1755">
        <w:rPr>
          <w:lang w:val="cs-CZ"/>
        </w:rPr>
        <w:t xml:space="preserve">zejména v její kapitole </w:t>
      </w:r>
      <w:r w:rsidR="00035DDA" w:rsidRPr="008B1755">
        <w:rPr>
          <w:lang w:val="cs-CZ"/>
        </w:rPr>
        <w:t xml:space="preserve">IV. </w:t>
      </w:r>
      <w:r w:rsidR="00BE6053" w:rsidRPr="008B1755">
        <w:rPr>
          <w:lang w:val="cs-CZ"/>
        </w:rPr>
        <w:t>Vnitrostátní právo může také stanovit další požadavky na sledování</w:t>
      </w:r>
      <w:r w:rsidR="00035DDA" w:rsidRPr="008B1755">
        <w:rPr>
          <w:lang w:val="cs-CZ"/>
        </w:rPr>
        <w:t xml:space="preserve">, </w:t>
      </w:r>
      <w:r w:rsidR="00BE6053" w:rsidRPr="008B1755">
        <w:rPr>
          <w:lang w:val="cs-CZ"/>
        </w:rPr>
        <w:t xml:space="preserve">informace a </w:t>
      </w:r>
      <w:r w:rsidR="00035DDA" w:rsidRPr="008B1755">
        <w:rPr>
          <w:lang w:val="cs-CZ"/>
        </w:rPr>
        <w:t>transparen</w:t>
      </w:r>
      <w:r w:rsidR="00BE6053" w:rsidRPr="008B1755">
        <w:rPr>
          <w:lang w:val="cs-CZ"/>
        </w:rPr>
        <w:t>tnost</w:t>
      </w:r>
      <w:r w:rsidR="00035DDA" w:rsidRPr="008B1755">
        <w:rPr>
          <w:lang w:val="cs-CZ"/>
        </w:rPr>
        <w:t xml:space="preserve">, </w:t>
      </w:r>
      <w:r w:rsidR="00BE6053" w:rsidRPr="008B1755">
        <w:rPr>
          <w:lang w:val="cs-CZ"/>
        </w:rPr>
        <w:t>včetně požadavků týkajících se obsahu</w:t>
      </w:r>
      <w:r w:rsidR="00035DDA" w:rsidRPr="008B1755">
        <w:rPr>
          <w:lang w:val="cs-CZ"/>
        </w:rPr>
        <w:t>, form</w:t>
      </w:r>
      <w:r w:rsidR="00BE6053" w:rsidRPr="008B1755">
        <w:rPr>
          <w:lang w:val="cs-CZ"/>
        </w:rPr>
        <w:t>y a způsobu zveřejňovaných informací</w:t>
      </w:r>
      <w:r w:rsidR="00035DDA" w:rsidRPr="008B1755">
        <w:rPr>
          <w:lang w:val="cs-CZ"/>
        </w:rPr>
        <w:t>.</w:t>
      </w:r>
    </w:p>
    <w:p w:rsidR="00D61C28" w:rsidRPr="008B1755" w:rsidRDefault="00BE6053" w:rsidP="0038751B">
      <w:pPr>
        <w:numPr>
          <w:ilvl w:val="0"/>
          <w:numId w:val="2"/>
        </w:numPr>
        <w:spacing w:after="120"/>
        <w:rPr>
          <w:lang w:val="cs-CZ"/>
        </w:rPr>
      </w:pPr>
      <w:r w:rsidRPr="008B1755">
        <w:rPr>
          <w:lang w:val="cs-CZ"/>
        </w:rPr>
        <w:t xml:space="preserve">Vnitrostátní </w:t>
      </w:r>
      <w:r w:rsidR="00926BAE" w:rsidRPr="008B1755">
        <w:rPr>
          <w:lang w:val="cs-CZ"/>
        </w:rPr>
        <w:t>regulační orgány</w:t>
      </w:r>
      <w:r w:rsidR="00D61C28" w:rsidRPr="008B1755">
        <w:rPr>
          <w:lang w:val="cs-CZ"/>
        </w:rPr>
        <w:t xml:space="preserve"> </w:t>
      </w:r>
      <w:r w:rsidRPr="008B1755">
        <w:rPr>
          <w:lang w:val="cs-CZ"/>
        </w:rPr>
        <w:t xml:space="preserve">by se měly snažit zajistit, aby </w:t>
      </w:r>
      <w:r w:rsidR="007D7F64" w:rsidRPr="008B1755">
        <w:rPr>
          <w:lang w:val="cs-CZ"/>
        </w:rPr>
        <w:t>poskytovatelé internetových služeb</w:t>
      </w:r>
      <w:r w:rsidR="00D61C28" w:rsidRPr="008B1755">
        <w:rPr>
          <w:lang w:val="cs-CZ"/>
        </w:rPr>
        <w:t xml:space="preserve"> </w:t>
      </w:r>
      <w:r w:rsidRPr="008B1755">
        <w:rPr>
          <w:lang w:val="cs-CZ"/>
        </w:rPr>
        <w:t>dodržovali následující postupy</w:t>
      </w:r>
      <w:r w:rsidR="0099478E">
        <w:rPr>
          <w:lang w:val="cs-CZ"/>
        </w:rPr>
        <w:t xml:space="preserve"> tak</w:t>
      </w:r>
      <w:r w:rsidRPr="008B1755">
        <w:rPr>
          <w:lang w:val="cs-CZ"/>
        </w:rPr>
        <w:t>, aby bylo zajištěno, že informace budou jasné a srozumitelné</w:t>
      </w:r>
      <w:r w:rsidR="00D61C28" w:rsidRPr="008B1755">
        <w:rPr>
          <w:lang w:val="cs-CZ"/>
        </w:rPr>
        <w:t>:</w:t>
      </w:r>
    </w:p>
    <w:p w:rsidR="00D61C28" w:rsidRPr="008B1755" w:rsidRDefault="008F1DC4" w:rsidP="0038751B">
      <w:pPr>
        <w:pStyle w:val="Odstavecseseznamem"/>
        <w:numPr>
          <w:ilvl w:val="0"/>
          <w:numId w:val="18"/>
        </w:numPr>
        <w:spacing w:after="120"/>
        <w:ind w:left="1077" w:hanging="357"/>
        <w:rPr>
          <w:lang w:val="cs-CZ"/>
        </w:rPr>
      </w:pPr>
      <w:r w:rsidRPr="008B1755">
        <w:rPr>
          <w:lang w:val="cs-CZ"/>
        </w:rPr>
        <w:t>měly by být snadno přístupné a měl</w:t>
      </w:r>
      <w:r w:rsidR="0099478E">
        <w:rPr>
          <w:lang w:val="cs-CZ"/>
        </w:rPr>
        <w:t xml:space="preserve"> by být zřejmý jejich účel</w:t>
      </w:r>
      <w:r w:rsidR="00573DA1" w:rsidRPr="008B1755">
        <w:rPr>
          <w:lang w:val="cs-CZ"/>
        </w:rPr>
        <w:t>;</w:t>
      </w:r>
      <w:r w:rsidR="00D61C28" w:rsidRPr="008B1755">
        <w:rPr>
          <w:lang w:val="cs-CZ"/>
        </w:rPr>
        <w:t xml:space="preserve"> </w:t>
      </w:r>
    </w:p>
    <w:p w:rsidR="00D61C28" w:rsidRPr="008B1755" w:rsidRDefault="008F1DC4" w:rsidP="0038751B">
      <w:pPr>
        <w:pStyle w:val="Odstavecseseznamem"/>
        <w:numPr>
          <w:ilvl w:val="0"/>
          <w:numId w:val="18"/>
        </w:numPr>
        <w:spacing w:after="120"/>
        <w:ind w:left="1077" w:hanging="357"/>
        <w:rPr>
          <w:lang w:val="cs-CZ"/>
        </w:rPr>
      </w:pPr>
      <w:r w:rsidRPr="008B1755">
        <w:rPr>
          <w:lang w:val="cs-CZ"/>
        </w:rPr>
        <w:t>měly by být přesné a aktuální</w:t>
      </w:r>
      <w:r w:rsidR="00573DA1" w:rsidRPr="008B1755">
        <w:rPr>
          <w:lang w:val="cs-CZ"/>
        </w:rPr>
        <w:t>;</w:t>
      </w:r>
      <w:r w:rsidR="00D61C28" w:rsidRPr="008B1755">
        <w:rPr>
          <w:lang w:val="cs-CZ"/>
        </w:rPr>
        <w:t xml:space="preserve"> </w:t>
      </w:r>
    </w:p>
    <w:p w:rsidR="00D61C28" w:rsidRPr="008B1755" w:rsidRDefault="00E014B8" w:rsidP="0038751B">
      <w:pPr>
        <w:pStyle w:val="Odstavecseseznamem"/>
        <w:numPr>
          <w:ilvl w:val="0"/>
          <w:numId w:val="18"/>
        </w:numPr>
        <w:spacing w:after="120"/>
        <w:ind w:left="1077" w:hanging="357"/>
        <w:rPr>
          <w:lang w:val="cs-CZ"/>
        </w:rPr>
      </w:pPr>
      <w:r w:rsidRPr="008B1755">
        <w:rPr>
          <w:lang w:val="cs-CZ"/>
        </w:rPr>
        <w:t xml:space="preserve">měly by </w:t>
      </w:r>
      <w:r w:rsidR="00035413" w:rsidRPr="008B1755">
        <w:rPr>
          <w:lang w:val="cs-CZ"/>
        </w:rPr>
        <w:t>koncovým uživatelům</w:t>
      </w:r>
      <w:r w:rsidRPr="008B1755">
        <w:rPr>
          <w:lang w:val="cs-CZ"/>
        </w:rPr>
        <w:t xml:space="preserve"> dávat smysl</w:t>
      </w:r>
      <w:r w:rsidR="00D61C28" w:rsidRPr="008B1755">
        <w:rPr>
          <w:lang w:val="cs-CZ"/>
        </w:rPr>
        <w:t xml:space="preserve">, </w:t>
      </w:r>
      <w:r w:rsidR="00007189" w:rsidRPr="008B1755">
        <w:rPr>
          <w:lang w:val="cs-CZ"/>
        </w:rPr>
        <w:t>tj.</w:t>
      </w:r>
      <w:r w:rsidR="00D61C28" w:rsidRPr="008B1755">
        <w:rPr>
          <w:lang w:val="cs-CZ"/>
        </w:rPr>
        <w:t xml:space="preserve"> relevant</w:t>
      </w:r>
      <w:r w:rsidRPr="008B1755">
        <w:rPr>
          <w:lang w:val="cs-CZ"/>
        </w:rPr>
        <w:t>ní</w:t>
      </w:r>
      <w:r w:rsidR="00D61C28" w:rsidRPr="008B1755">
        <w:rPr>
          <w:lang w:val="cs-CZ"/>
        </w:rPr>
        <w:t xml:space="preserve">, </w:t>
      </w:r>
      <w:r w:rsidRPr="008B1755">
        <w:rPr>
          <w:lang w:val="cs-CZ"/>
        </w:rPr>
        <w:t>jednoznačné a prezentované užitečným způsobem</w:t>
      </w:r>
      <w:r w:rsidR="00573DA1" w:rsidRPr="008B1755">
        <w:rPr>
          <w:lang w:val="cs-CZ"/>
        </w:rPr>
        <w:t>;</w:t>
      </w:r>
    </w:p>
    <w:p w:rsidR="00D61C28" w:rsidRPr="008B1755" w:rsidRDefault="00E014B8" w:rsidP="0038751B">
      <w:pPr>
        <w:pStyle w:val="Odstavecseseznamem"/>
        <w:numPr>
          <w:ilvl w:val="0"/>
          <w:numId w:val="18"/>
        </w:numPr>
        <w:spacing w:after="120"/>
        <w:ind w:left="1077" w:hanging="357"/>
        <w:rPr>
          <w:lang w:val="cs-CZ"/>
        </w:rPr>
      </w:pPr>
      <w:r w:rsidRPr="008B1755">
        <w:rPr>
          <w:lang w:val="cs-CZ"/>
        </w:rPr>
        <w:t>neměly by vytvářet nesprávný dojem služby poskytované koncovému uživateli</w:t>
      </w:r>
      <w:r w:rsidR="00573DA1" w:rsidRPr="008B1755">
        <w:rPr>
          <w:lang w:val="cs-CZ"/>
        </w:rPr>
        <w:t>;</w:t>
      </w:r>
      <w:r w:rsidR="00D61C28" w:rsidRPr="008B1755">
        <w:rPr>
          <w:lang w:val="cs-CZ"/>
        </w:rPr>
        <w:t xml:space="preserve"> </w:t>
      </w:r>
    </w:p>
    <w:p w:rsidR="00D61C28" w:rsidRPr="008B1755" w:rsidRDefault="00E014B8" w:rsidP="0038751B">
      <w:pPr>
        <w:pStyle w:val="Odstavecseseznamem"/>
        <w:numPr>
          <w:ilvl w:val="0"/>
          <w:numId w:val="18"/>
        </w:numPr>
        <w:spacing w:after="120"/>
        <w:ind w:left="1077" w:hanging="357"/>
        <w:rPr>
          <w:lang w:val="cs-CZ"/>
        </w:rPr>
      </w:pPr>
      <w:r w:rsidRPr="008B1755">
        <w:rPr>
          <w:lang w:val="cs-CZ"/>
        </w:rPr>
        <w:t>měly by být srovnatelné minimálně mezi jednotlivými nabídkami</w:t>
      </w:r>
      <w:r w:rsidR="00D475A9" w:rsidRPr="008B1755">
        <w:rPr>
          <w:lang w:val="cs-CZ"/>
        </w:rPr>
        <w:t>,</w:t>
      </w:r>
      <w:r w:rsidR="00D61C28" w:rsidRPr="008B1755">
        <w:rPr>
          <w:lang w:val="cs-CZ"/>
        </w:rPr>
        <w:t xml:space="preserve"> </w:t>
      </w:r>
      <w:r w:rsidRPr="008B1755">
        <w:rPr>
          <w:lang w:val="cs-CZ"/>
        </w:rPr>
        <w:t xml:space="preserve">ale ideálně rovněž mezi jednotlivými </w:t>
      </w:r>
      <w:r w:rsidR="007D7F64" w:rsidRPr="008B1755">
        <w:rPr>
          <w:lang w:val="cs-CZ"/>
        </w:rPr>
        <w:t>poskytovatel</w:t>
      </w:r>
      <w:r w:rsidRPr="008B1755">
        <w:rPr>
          <w:lang w:val="cs-CZ"/>
        </w:rPr>
        <w:t>i</w:t>
      </w:r>
      <w:r w:rsidR="007D7F64" w:rsidRPr="008B1755">
        <w:rPr>
          <w:lang w:val="cs-CZ"/>
        </w:rPr>
        <w:t xml:space="preserve"> internetových služeb</w:t>
      </w:r>
      <w:r w:rsidR="00D475A9" w:rsidRPr="008B1755">
        <w:rPr>
          <w:lang w:val="cs-CZ"/>
        </w:rPr>
        <w:t>,</w:t>
      </w:r>
      <w:r w:rsidR="00D61C28" w:rsidRPr="008B1755">
        <w:rPr>
          <w:lang w:val="cs-CZ"/>
        </w:rPr>
        <w:t xml:space="preserve"> </w:t>
      </w:r>
      <w:r w:rsidRPr="008B1755">
        <w:rPr>
          <w:lang w:val="cs-CZ"/>
        </w:rPr>
        <w:t xml:space="preserve">aby </w:t>
      </w:r>
      <w:r w:rsidR="00C44AED" w:rsidRPr="008B1755">
        <w:rPr>
          <w:lang w:val="cs-CZ"/>
        </w:rPr>
        <w:t>koncoví uživatelé</w:t>
      </w:r>
      <w:r w:rsidR="00D61C28" w:rsidRPr="008B1755">
        <w:rPr>
          <w:lang w:val="cs-CZ"/>
        </w:rPr>
        <w:t xml:space="preserve"> </w:t>
      </w:r>
      <w:r w:rsidRPr="008B1755">
        <w:rPr>
          <w:lang w:val="cs-CZ"/>
        </w:rPr>
        <w:t xml:space="preserve">mohli porovnat nabídky </w:t>
      </w:r>
      <w:r w:rsidR="002A344F" w:rsidRPr="008B1755">
        <w:rPr>
          <w:lang w:val="cs-CZ"/>
        </w:rPr>
        <w:t>(</w:t>
      </w:r>
      <w:r w:rsidRPr="008B1755">
        <w:rPr>
          <w:lang w:val="cs-CZ"/>
        </w:rPr>
        <w:t xml:space="preserve">včetně smluvních podmínek používaných různými </w:t>
      </w:r>
      <w:r w:rsidR="007D7F64" w:rsidRPr="008B1755">
        <w:rPr>
          <w:lang w:val="cs-CZ"/>
        </w:rPr>
        <w:t>poskytovatel</w:t>
      </w:r>
      <w:r w:rsidRPr="008B1755">
        <w:rPr>
          <w:lang w:val="cs-CZ"/>
        </w:rPr>
        <w:t>i</w:t>
      </w:r>
      <w:r w:rsidR="007D7F64" w:rsidRPr="008B1755">
        <w:rPr>
          <w:lang w:val="cs-CZ"/>
        </w:rPr>
        <w:t xml:space="preserve"> internetových služeb</w:t>
      </w:r>
      <w:r w:rsidR="002A344F" w:rsidRPr="008B1755">
        <w:rPr>
          <w:lang w:val="cs-CZ"/>
        </w:rPr>
        <w:t xml:space="preserve">) </w:t>
      </w:r>
      <w:r w:rsidR="00D61C28" w:rsidRPr="008B1755">
        <w:rPr>
          <w:lang w:val="cs-CZ"/>
        </w:rPr>
        <w:t xml:space="preserve">a </w:t>
      </w:r>
      <w:r w:rsidR="007D7F64" w:rsidRPr="008B1755">
        <w:rPr>
          <w:lang w:val="cs-CZ"/>
        </w:rPr>
        <w:t>poskytovatel</w:t>
      </w:r>
      <w:r w:rsidRPr="008B1755">
        <w:rPr>
          <w:lang w:val="cs-CZ"/>
        </w:rPr>
        <w:t>e</w:t>
      </w:r>
      <w:r w:rsidR="007D7F64" w:rsidRPr="008B1755">
        <w:rPr>
          <w:lang w:val="cs-CZ"/>
        </w:rPr>
        <w:t xml:space="preserve"> internetových služeb</w:t>
      </w:r>
      <w:r w:rsidR="00D61C28" w:rsidRPr="008B1755">
        <w:rPr>
          <w:lang w:val="cs-CZ"/>
        </w:rPr>
        <w:t xml:space="preserve"> </w:t>
      </w:r>
      <w:r w:rsidRPr="008B1755">
        <w:rPr>
          <w:lang w:val="cs-CZ"/>
        </w:rPr>
        <w:t>tak, že toto srovnání ukáže rozdíly a podobnosti</w:t>
      </w:r>
      <w:r w:rsidR="00D61C28" w:rsidRPr="008B1755">
        <w:rPr>
          <w:lang w:val="cs-CZ"/>
        </w:rPr>
        <w:t>.</w:t>
      </w:r>
    </w:p>
    <w:p w:rsidR="00D61C28" w:rsidRPr="008B1755" w:rsidRDefault="00BE6053" w:rsidP="0038751B">
      <w:pPr>
        <w:numPr>
          <w:ilvl w:val="0"/>
          <w:numId w:val="2"/>
        </w:numPr>
        <w:spacing w:after="120"/>
        <w:rPr>
          <w:lang w:val="cs-CZ"/>
        </w:rPr>
      </w:pPr>
      <w:r w:rsidRPr="008B1755">
        <w:rPr>
          <w:lang w:val="cs-CZ"/>
        </w:rPr>
        <w:t xml:space="preserve">Vnitrostátní </w:t>
      </w:r>
      <w:r w:rsidR="00926BAE" w:rsidRPr="008B1755">
        <w:rPr>
          <w:lang w:val="cs-CZ"/>
        </w:rPr>
        <w:t>regulační orgány</w:t>
      </w:r>
      <w:r w:rsidR="00D61C28" w:rsidRPr="008B1755">
        <w:rPr>
          <w:lang w:val="cs-CZ"/>
        </w:rPr>
        <w:t xml:space="preserve"> </w:t>
      </w:r>
      <w:r w:rsidR="00F8228A" w:rsidRPr="008B1755">
        <w:rPr>
          <w:lang w:val="cs-CZ"/>
        </w:rPr>
        <w:t xml:space="preserve">by měly zajistit, aby </w:t>
      </w:r>
      <w:r w:rsidR="007D7F64" w:rsidRPr="008B1755">
        <w:rPr>
          <w:lang w:val="cs-CZ"/>
        </w:rPr>
        <w:t>poskytovatelé internetových služeb</w:t>
      </w:r>
      <w:r w:rsidR="00D61C28" w:rsidRPr="008B1755">
        <w:rPr>
          <w:lang w:val="cs-CZ"/>
        </w:rPr>
        <w:t xml:space="preserve"> </w:t>
      </w:r>
      <w:r w:rsidR="00F8228A" w:rsidRPr="008B1755">
        <w:rPr>
          <w:lang w:val="cs-CZ"/>
        </w:rPr>
        <w:t xml:space="preserve">ve smlouvě uváděli a zveřejňovali informace </w:t>
      </w:r>
      <w:r w:rsidR="0099478E">
        <w:rPr>
          <w:lang w:val="cs-CZ"/>
        </w:rPr>
        <w:t xml:space="preserve">podle </w:t>
      </w:r>
      <w:r w:rsidR="00F064F8" w:rsidRPr="008B1755">
        <w:rPr>
          <w:lang w:val="cs-CZ"/>
        </w:rPr>
        <w:t>článku</w:t>
      </w:r>
      <w:r w:rsidR="00AF6681" w:rsidRPr="008B1755">
        <w:rPr>
          <w:lang w:val="cs-CZ"/>
        </w:rPr>
        <w:t xml:space="preserve"> </w:t>
      </w:r>
      <w:r w:rsidRPr="008B1755">
        <w:rPr>
          <w:lang w:val="cs-CZ"/>
        </w:rPr>
        <w:t>4 odst. 1</w:t>
      </w:r>
      <w:r w:rsidR="00AF6681" w:rsidRPr="008B1755">
        <w:rPr>
          <w:lang w:val="cs-CZ"/>
        </w:rPr>
        <w:t xml:space="preserve"> </w:t>
      </w:r>
      <w:r w:rsidR="00AC529F" w:rsidRPr="008B1755">
        <w:rPr>
          <w:lang w:val="cs-CZ"/>
        </w:rPr>
        <w:t>písm. a)</w:t>
      </w:r>
      <w:r w:rsidR="00AF6681" w:rsidRPr="008B1755">
        <w:rPr>
          <w:lang w:val="cs-CZ"/>
        </w:rPr>
        <w:t xml:space="preserve"> </w:t>
      </w:r>
      <w:r w:rsidR="00F8228A" w:rsidRPr="008B1755">
        <w:rPr>
          <w:lang w:val="cs-CZ"/>
        </w:rPr>
        <w:t xml:space="preserve">až </w:t>
      </w:r>
      <w:r w:rsidR="00AF6681" w:rsidRPr="008B1755">
        <w:rPr>
          <w:lang w:val="cs-CZ"/>
        </w:rPr>
        <w:t>e)</w:t>
      </w:r>
      <w:r w:rsidR="002C59D1" w:rsidRPr="008B1755">
        <w:rPr>
          <w:lang w:val="cs-CZ"/>
        </w:rPr>
        <w:t xml:space="preserve">. </w:t>
      </w:r>
      <w:r w:rsidR="00F8228A" w:rsidRPr="008B1755">
        <w:rPr>
          <w:lang w:val="cs-CZ"/>
        </w:rPr>
        <w:t xml:space="preserve">Tyto informace by mohly být uváděny ve dvou částech </w:t>
      </w:r>
      <w:r w:rsidR="00D61C28" w:rsidRPr="008B1755">
        <w:rPr>
          <w:lang w:val="cs-CZ"/>
        </w:rPr>
        <w:t>(</w:t>
      </w:r>
      <w:r w:rsidR="00F8228A" w:rsidRPr="008B1755">
        <w:rPr>
          <w:lang w:val="cs-CZ"/>
        </w:rPr>
        <w:t>úrovních detailu</w:t>
      </w:r>
      <w:r w:rsidR="00D61C28" w:rsidRPr="008B1755">
        <w:rPr>
          <w:lang w:val="cs-CZ"/>
        </w:rPr>
        <w:t>)</w:t>
      </w:r>
      <w:r w:rsidR="00C315D7" w:rsidRPr="008B1755">
        <w:rPr>
          <w:lang w:val="cs-CZ"/>
        </w:rPr>
        <w:t>:</w:t>
      </w:r>
      <w:r w:rsidR="004A643D" w:rsidRPr="008B1755">
        <w:rPr>
          <w:rStyle w:val="Znakapoznpodarou"/>
          <w:lang w:val="cs-CZ"/>
        </w:rPr>
        <w:footnoteReference w:id="30"/>
      </w:r>
    </w:p>
    <w:p w:rsidR="00D61C28" w:rsidRPr="008B1755" w:rsidRDefault="00091C62" w:rsidP="0038751B">
      <w:pPr>
        <w:pStyle w:val="Odstavecseseznamem"/>
        <w:numPr>
          <w:ilvl w:val="0"/>
          <w:numId w:val="18"/>
        </w:numPr>
        <w:spacing w:after="120"/>
        <w:ind w:left="1077" w:hanging="357"/>
        <w:rPr>
          <w:lang w:val="cs-CZ"/>
        </w:rPr>
      </w:pPr>
      <w:r w:rsidRPr="008B1755">
        <w:rPr>
          <w:lang w:val="cs-CZ"/>
        </w:rPr>
        <w:t xml:space="preserve">První část by měla obsahovat </w:t>
      </w:r>
      <w:r w:rsidR="0099478E">
        <w:rPr>
          <w:lang w:val="cs-CZ"/>
        </w:rPr>
        <w:t xml:space="preserve">základní </w:t>
      </w:r>
      <w:r w:rsidR="00D61C28" w:rsidRPr="008B1755">
        <w:rPr>
          <w:lang w:val="cs-CZ"/>
        </w:rPr>
        <w:t>(</w:t>
      </w:r>
      <w:r w:rsidRPr="008B1755">
        <w:rPr>
          <w:lang w:val="cs-CZ"/>
        </w:rPr>
        <w:t>obecné</w:t>
      </w:r>
      <w:r w:rsidR="00D61C28" w:rsidRPr="008B1755">
        <w:rPr>
          <w:lang w:val="cs-CZ"/>
        </w:rPr>
        <w:t xml:space="preserve">) </w:t>
      </w:r>
      <w:r w:rsidRPr="008B1755">
        <w:rPr>
          <w:lang w:val="cs-CZ"/>
        </w:rPr>
        <w:t>informace</w:t>
      </w:r>
      <w:r w:rsidR="00D61C28" w:rsidRPr="008B1755">
        <w:rPr>
          <w:lang w:val="cs-CZ"/>
        </w:rPr>
        <w:t xml:space="preserve">. </w:t>
      </w:r>
      <w:r w:rsidRPr="008B1755">
        <w:rPr>
          <w:lang w:val="cs-CZ"/>
        </w:rPr>
        <w:t xml:space="preserve">Poskytované informace o </w:t>
      </w:r>
      <w:r w:rsidR="00DD272F" w:rsidRPr="008B1755">
        <w:rPr>
          <w:lang w:val="cs-CZ"/>
        </w:rPr>
        <w:t>služb</w:t>
      </w:r>
      <w:r w:rsidRPr="008B1755">
        <w:rPr>
          <w:lang w:val="cs-CZ"/>
        </w:rPr>
        <w:t>ě</w:t>
      </w:r>
      <w:r w:rsidR="00DD272F" w:rsidRPr="008B1755">
        <w:rPr>
          <w:lang w:val="cs-CZ"/>
        </w:rPr>
        <w:t xml:space="preserve"> přístupu k internetu</w:t>
      </w:r>
      <w:r w:rsidR="003276C2" w:rsidRPr="008B1755">
        <w:rPr>
          <w:lang w:val="cs-CZ"/>
        </w:rPr>
        <w:t xml:space="preserve"> </w:t>
      </w:r>
      <w:r w:rsidRPr="008B1755">
        <w:rPr>
          <w:lang w:val="cs-CZ"/>
        </w:rPr>
        <w:t>by měly obsahovat například vysvětlení rychlostí</w:t>
      </w:r>
      <w:r w:rsidR="003276C2" w:rsidRPr="008B1755">
        <w:rPr>
          <w:lang w:val="cs-CZ"/>
        </w:rPr>
        <w:t>,</w:t>
      </w:r>
      <w:r w:rsidR="00D61C28" w:rsidRPr="008B1755">
        <w:rPr>
          <w:lang w:val="cs-CZ"/>
        </w:rPr>
        <w:t xml:space="preserve"> </w:t>
      </w:r>
      <w:r w:rsidRPr="008B1755">
        <w:rPr>
          <w:lang w:val="cs-CZ"/>
        </w:rPr>
        <w:t>příklady populárních aplikací, které lze používat v dostatečné kvalitě</w:t>
      </w:r>
      <w:r w:rsidR="003276C2" w:rsidRPr="008B1755">
        <w:rPr>
          <w:lang w:val="cs-CZ"/>
        </w:rPr>
        <w:t xml:space="preserve">, </w:t>
      </w:r>
      <w:r w:rsidRPr="008B1755">
        <w:rPr>
          <w:lang w:val="cs-CZ"/>
        </w:rPr>
        <w:t xml:space="preserve">a vysvětlení toho, jak jsou tyto aplikace ovlivňovány omezeními poskytované </w:t>
      </w:r>
      <w:r w:rsidR="00DD272F" w:rsidRPr="008B1755">
        <w:rPr>
          <w:lang w:val="cs-CZ"/>
        </w:rPr>
        <w:t>služb</w:t>
      </w:r>
      <w:r w:rsidRPr="008B1755">
        <w:rPr>
          <w:lang w:val="cs-CZ"/>
        </w:rPr>
        <w:t>y</w:t>
      </w:r>
      <w:r w:rsidR="00DD272F" w:rsidRPr="008B1755">
        <w:rPr>
          <w:lang w:val="cs-CZ"/>
        </w:rPr>
        <w:t xml:space="preserve"> přístupu k internetu</w:t>
      </w:r>
      <w:r w:rsidR="00D61C28" w:rsidRPr="008B1755">
        <w:rPr>
          <w:lang w:val="cs-CZ"/>
        </w:rPr>
        <w:t xml:space="preserve">. </w:t>
      </w:r>
      <w:r w:rsidRPr="008B1755">
        <w:rPr>
          <w:lang w:val="cs-CZ"/>
        </w:rPr>
        <w:t xml:space="preserve">Tato část by měla obsahovat odkaz na druhou část, kde jsou informace požadované čl. </w:t>
      </w:r>
      <w:r w:rsidR="00BE6053" w:rsidRPr="008B1755">
        <w:rPr>
          <w:lang w:val="cs-CZ"/>
        </w:rPr>
        <w:t>4 odst. 1</w:t>
      </w:r>
      <w:r w:rsidR="00D61C28" w:rsidRPr="008B1755">
        <w:rPr>
          <w:lang w:val="cs-CZ"/>
        </w:rPr>
        <w:t xml:space="preserve"> </w:t>
      </w:r>
      <w:r w:rsidR="001D46DD" w:rsidRPr="008B1755">
        <w:rPr>
          <w:lang w:val="cs-CZ"/>
        </w:rPr>
        <w:t>Nařízení</w:t>
      </w:r>
      <w:r w:rsidR="00D61C28" w:rsidRPr="008B1755">
        <w:rPr>
          <w:lang w:val="cs-CZ"/>
        </w:rPr>
        <w:t xml:space="preserve"> </w:t>
      </w:r>
      <w:r w:rsidRPr="008B1755">
        <w:rPr>
          <w:lang w:val="cs-CZ"/>
        </w:rPr>
        <w:t>uvedeny podrobněji</w:t>
      </w:r>
      <w:r w:rsidR="00D61C28" w:rsidRPr="008B1755">
        <w:rPr>
          <w:lang w:val="cs-CZ"/>
        </w:rPr>
        <w:t xml:space="preserve">. </w:t>
      </w:r>
    </w:p>
    <w:p w:rsidR="00D61C28" w:rsidRPr="008B1755" w:rsidRDefault="00091C62" w:rsidP="0038751B">
      <w:pPr>
        <w:pStyle w:val="Odstavecseseznamem"/>
        <w:numPr>
          <w:ilvl w:val="0"/>
          <w:numId w:val="18"/>
        </w:numPr>
        <w:spacing w:after="120"/>
        <w:ind w:left="1077" w:hanging="357"/>
        <w:rPr>
          <w:lang w:val="cs-CZ"/>
        </w:rPr>
      </w:pPr>
      <w:r w:rsidRPr="008B1755">
        <w:rPr>
          <w:lang w:val="cs-CZ"/>
        </w:rPr>
        <w:t xml:space="preserve">Druhá část by obsahovala podrobnější technické </w:t>
      </w:r>
      <w:r w:rsidR="00D61C28" w:rsidRPr="008B1755">
        <w:rPr>
          <w:lang w:val="cs-CZ"/>
        </w:rPr>
        <w:t>paramet</w:t>
      </w:r>
      <w:r w:rsidRPr="008B1755">
        <w:rPr>
          <w:lang w:val="cs-CZ"/>
        </w:rPr>
        <w:t xml:space="preserve">ry a jejich hodnoty a další </w:t>
      </w:r>
      <w:r w:rsidR="00D61C28" w:rsidRPr="008B1755">
        <w:rPr>
          <w:lang w:val="cs-CZ"/>
        </w:rPr>
        <w:t>relevant</w:t>
      </w:r>
      <w:r w:rsidRPr="008B1755">
        <w:rPr>
          <w:lang w:val="cs-CZ"/>
        </w:rPr>
        <w:t xml:space="preserve">ní informace požadované čl. </w:t>
      </w:r>
      <w:r w:rsidR="00BE6053" w:rsidRPr="008B1755">
        <w:rPr>
          <w:lang w:val="cs-CZ"/>
        </w:rPr>
        <w:t>4 odst. 1</w:t>
      </w:r>
      <w:r w:rsidR="00D61C28" w:rsidRPr="008B1755">
        <w:rPr>
          <w:lang w:val="cs-CZ"/>
        </w:rPr>
        <w:t xml:space="preserve"> </w:t>
      </w:r>
      <w:r w:rsidR="001D46DD" w:rsidRPr="008B1755">
        <w:rPr>
          <w:lang w:val="cs-CZ"/>
        </w:rPr>
        <w:t>Nařízení</w:t>
      </w:r>
      <w:r w:rsidR="00D61C28" w:rsidRPr="008B1755">
        <w:rPr>
          <w:lang w:val="cs-CZ"/>
        </w:rPr>
        <w:t xml:space="preserve"> a</w:t>
      </w:r>
      <w:r w:rsidRPr="008B1755">
        <w:rPr>
          <w:lang w:val="cs-CZ"/>
        </w:rPr>
        <w:t xml:space="preserve"> těmito </w:t>
      </w:r>
      <w:r w:rsidR="0099478E">
        <w:rPr>
          <w:lang w:val="cs-CZ"/>
        </w:rPr>
        <w:t>P</w:t>
      </w:r>
      <w:r w:rsidRPr="008B1755">
        <w:rPr>
          <w:lang w:val="cs-CZ"/>
        </w:rPr>
        <w:t>okyny</w:t>
      </w:r>
      <w:r w:rsidR="00D61C28" w:rsidRPr="008B1755">
        <w:rPr>
          <w:lang w:val="cs-CZ"/>
        </w:rPr>
        <w:t xml:space="preserve">. </w:t>
      </w:r>
    </w:p>
    <w:p w:rsidR="00D61C28" w:rsidRPr="008B1755" w:rsidRDefault="00E116E9" w:rsidP="0038751B">
      <w:pPr>
        <w:numPr>
          <w:ilvl w:val="0"/>
          <w:numId w:val="2"/>
        </w:numPr>
        <w:spacing w:after="120"/>
        <w:rPr>
          <w:lang w:val="cs-CZ"/>
        </w:rPr>
      </w:pPr>
      <w:r w:rsidRPr="008B1755">
        <w:rPr>
          <w:lang w:val="cs-CZ"/>
        </w:rPr>
        <w:t xml:space="preserve">Příklady, jak zveřejňovat informace </w:t>
      </w:r>
      <w:r w:rsidR="00D61C28" w:rsidRPr="008B1755">
        <w:rPr>
          <w:lang w:val="cs-CZ"/>
        </w:rPr>
        <w:t>transparent</w:t>
      </w:r>
      <w:r w:rsidRPr="008B1755">
        <w:rPr>
          <w:lang w:val="cs-CZ"/>
        </w:rPr>
        <w:t>ně, jsou uvedeny v</w:t>
      </w:r>
      <w:r w:rsidR="00D61C28" w:rsidRPr="008B1755">
        <w:rPr>
          <w:lang w:val="cs-CZ"/>
        </w:rPr>
        <w:t xml:space="preserve"> </w:t>
      </w:r>
      <w:r w:rsidRPr="008B1755">
        <w:rPr>
          <w:rFonts w:cs="Arial"/>
          <w:lang w:val="cs-CZ"/>
        </w:rPr>
        <w:t xml:space="preserve">Pokynech sdružení BEREC </w:t>
      </w:r>
      <w:r w:rsidR="0099478E">
        <w:rPr>
          <w:rFonts w:cs="Arial"/>
          <w:lang w:val="cs-CZ"/>
        </w:rPr>
        <w:t xml:space="preserve">týkajících se </w:t>
      </w:r>
      <w:r w:rsidRPr="008B1755">
        <w:rPr>
          <w:rFonts w:cs="Arial"/>
          <w:lang w:val="cs-CZ"/>
        </w:rPr>
        <w:t>transparentnosti v</w:t>
      </w:r>
      <w:r w:rsidR="0099478E">
        <w:rPr>
          <w:rFonts w:cs="Arial"/>
          <w:lang w:val="cs-CZ"/>
        </w:rPr>
        <w:t xml:space="preserve">e vztahu k </w:t>
      </w:r>
      <w:r w:rsidRPr="008B1755">
        <w:rPr>
          <w:rFonts w:cs="Arial"/>
          <w:lang w:val="cs-CZ"/>
        </w:rPr>
        <w:t>síťové neutralit</w:t>
      </w:r>
      <w:r w:rsidR="0099478E">
        <w:rPr>
          <w:rFonts w:cs="Arial"/>
          <w:lang w:val="cs-CZ"/>
        </w:rPr>
        <w:t>ě</w:t>
      </w:r>
      <w:r w:rsidRPr="008B1755">
        <w:rPr>
          <w:lang w:val="cs-CZ"/>
        </w:rPr>
        <w:t xml:space="preserve"> (</w:t>
      </w:r>
      <w:r w:rsidR="00D475A9" w:rsidRPr="008B1755">
        <w:rPr>
          <w:lang w:val="cs-CZ"/>
        </w:rPr>
        <w:t xml:space="preserve">Net Neutrality </w:t>
      </w:r>
      <w:r w:rsidR="00D61C28" w:rsidRPr="008B1755">
        <w:rPr>
          <w:lang w:val="cs-CZ"/>
        </w:rPr>
        <w:t>Transparency Guidelines</w:t>
      </w:r>
      <w:r w:rsidRPr="008B1755">
        <w:rPr>
          <w:lang w:val="cs-CZ"/>
        </w:rPr>
        <w:t>) z rok</w:t>
      </w:r>
      <w:r w:rsidR="0099478E">
        <w:rPr>
          <w:lang w:val="cs-CZ"/>
        </w:rPr>
        <w:t>u</w:t>
      </w:r>
      <w:r w:rsidRPr="008B1755">
        <w:rPr>
          <w:lang w:val="cs-CZ"/>
        </w:rPr>
        <w:t xml:space="preserve"> 2011</w:t>
      </w:r>
      <w:r w:rsidR="00C315D7" w:rsidRPr="008B1755">
        <w:rPr>
          <w:lang w:val="cs-CZ"/>
        </w:rPr>
        <w:t>.</w:t>
      </w:r>
      <w:r w:rsidR="00D61C28" w:rsidRPr="008B1755">
        <w:rPr>
          <w:vertAlign w:val="superscript"/>
          <w:lang w:val="cs-CZ"/>
        </w:rPr>
        <w:footnoteReference w:id="31"/>
      </w:r>
    </w:p>
    <w:p w:rsidR="00AB39CC" w:rsidRPr="008B1755" w:rsidRDefault="00E116E9" w:rsidP="00AB39CC">
      <w:pPr>
        <w:numPr>
          <w:ilvl w:val="0"/>
          <w:numId w:val="2"/>
        </w:numPr>
        <w:spacing w:after="120"/>
        <w:rPr>
          <w:lang w:val="cs-CZ"/>
        </w:rPr>
      </w:pPr>
      <w:bookmarkStart w:id="53" w:name="_Ref447608227"/>
      <w:r w:rsidRPr="008B1755">
        <w:rPr>
          <w:lang w:val="cs-CZ"/>
        </w:rPr>
        <w:t xml:space="preserve">Smluvní podmínky, které by nepatřičně vylučovaly nebo omezovaly výkon zákonných práv </w:t>
      </w:r>
      <w:r w:rsidR="00DD272F" w:rsidRPr="008B1755">
        <w:rPr>
          <w:lang w:val="cs-CZ"/>
        </w:rPr>
        <w:t>koncov</w:t>
      </w:r>
      <w:r w:rsidRPr="008B1755">
        <w:rPr>
          <w:lang w:val="cs-CZ"/>
        </w:rPr>
        <w:t>ého</w:t>
      </w:r>
      <w:r w:rsidR="00DD272F" w:rsidRPr="008B1755">
        <w:rPr>
          <w:lang w:val="cs-CZ"/>
        </w:rPr>
        <w:t xml:space="preserve"> uživatel</w:t>
      </w:r>
      <w:r w:rsidRPr="008B1755">
        <w:rPr>
          <w:lang w:val="cs-CZ"/>
        </w:rPr>
        <w:t xml:space="preserve">e vůči </w:t>
      </w:r>
      <w:r w:rsidR="00DD272F" w:rsidRPr="008B1755">
        <w:rPr>
          <w:lang w:val="cs-CZ"/>
        </w:rPr>
        <w:t>poskytovatel</w:t>
      </w:r>
      <w:r w:rsidRPr="008B1755">
        <w:rPr>
          <w:lang w:val="cs-CZ"/>
        </w:rPr>
        <w:t>i</w:t>
      </w:r>
      <w:r w:rsidR="00DD272F" w:rsidRPr="008B1755">
        <w:rPr>
          <w:lang w:val="cs-CZ"/>
        </w:rPr>
        <w:t xml:space="preserve"> internetových služeb</w:t>
      </w:r>
      <w:r w:rsidR="00AB39CC" w:rsidRPr="008B1755">
        <w:rPr>
          <w:lang w:val="cs-CZ"/>
        </w:rPr>
        <w:t xml:space="preserve"> </w:t>
      </w:r>
      <w:r w:rsidRPr="008B1755">
        <w:rPr>
          <w:lang w:val="cs-CZ"/>
        </w:rPr>
        <w:t xml:space="preserve">v případě úplného nebo částečného neplnění nebo nedostatečného plnění jakýchkoli smluvních podmínek ze strany </w:t>
      </w:r>
      <w:r w:rsidR="00DD272F" w:rsidRPr="008B1755">
        <w:rPr>
          <w:lang w:val="cs-CZ"/>
        </w:rPr>
        <w:t>poskytovatel</w:t>
      </w:r>
      <w:r w:rsidRPr="008B1755">
        <w:rPr>
          <w:lang w:val="cs-CZ"/>
        </w:rPr>
        <w:t>e</w:t>
      </w:r>
      <w:r w:rsidR="00DD272F" w:rsidRPr="008B1755">
        <w:rPr>
          <w:lang w:val="cs-CZ"/>
        </w:rPr>
        <w:t xml:space="preserve"> internetových služeb</w:t>
      </w:r>
      <w:r w:rsidRPr="008B1755">
        <w:rPr>
          <w:lang w:val="cs-CZ"/>
        </w:rPr>
        <w:t>, by mohly být považovány za nepřiměřené podle vnitrostátních předpisů</w:t>
      </w:r>
      <w:r w:rsidR="00AB39CC" w:rsidRPr="008B1755">
        <w:rPr>
          <w:lang w:val="cs-CZ"/>
        </w:rPr>
        <w:t xml:space="preserve">, </w:t>
      </w:r>
      <w:r w:rsidRPr="008B1755">
        <w:rPr>
          <w:lang w:val="cs-CZ"/>
        </w:rPr>
        <w:t xml:space="preserve">včetně implementace směrnice </w:t>
      </w:r>
      <w:r w:rsidR="00AB39CC" w:rsidRPr="008B1755">
        <w:rPr>
          <w:lang w:val="cs-CZ"/>
        </w:rPr>
        <w:t>93/13/E</w:t>
      </w:r>
      <w:r w:rsidRPr="008B1755">
        <w:rPr>
          <w:lang w:val="cs-CZ"/>
        </w:rPr>
        <w:t xml:space="preserve">HS </w:t>
      </w:r>
      <w:r w:rsidRPr="008B1755">
        <w:rPr>
          <w:rFonts w:cs="Arial"/>
          <w:szCs w:val="18"/>
          <w:lang w:val="cs-CZ"/>
        </w:rPr>
        <w:t>o nepřiměřených podmínkách ve spotřebitelských smlouvách</w:t>
      </w:r>
      <w:r w:rsidR="00AB39CC" w:rsidRPr="008B1755">
        <w:rPr>
          <w:lang w:val="cs-CZ"/>
        </w:rPr>
        <w:t>.</w:t>
      </w:r>
      <w:r w:rsidR="00AB39CC" w:rsidRPr="008B1755">
        <w:rPr>
          <w:vertAlign w:val="superscript"/>
          <w:lang w:val="cs-CZ"/>
        </w:rPr>
        <w:footnoteReference w:id="32"/>
      </w:r>
    </w:p>
    <w:p w:rsidR="00D61C28" w:rsidRPr="008B1755" w:rsidRDefault="00E116E9" w:rsidP="0038751B">
      <w:pPr>
        <w:numPr>
          <w:ilvl w:val="0"/>
          <w:numId w:val="2"/>
        </w:numPr>
        <w:spacing w:after="120"/>
        <w:rPr>
          <w:lang w:val="cs-CZ"/>
        </w:rPr>
      </w:pPr>
      <w:bookmarkStart w:id="54" w:name="_Ref451442773"/>
      <w:r w:rsidRPr="008B1755">
        <w:rPr>
          <w:lang w:val="cs-CZ"/>
        </w:rPr>
        <w:t xml:space="preserve">Čl. </w:t>
      </w:r>
      <w:r w:rsidR="00BE6053" w:rsidRPr="008B1755">
        <w:rPr>
          <w:lang w:val="cs-CZ"/>
        </w:rPr>
        <w:t>4 odst. 1</w:t>
      </w:r>
      <w:r w:rsidR="004E3BFF" w:rsidRPr="008B1755">
        <w:rPr>
          <w:lang w:val="cs-CZ"/>
        </w:rPr>
        <w:t xml:space="preserve">, </w:t>
      </w:r>
      <w:r w:rsidRPr="008B1755">
        <w:rPr>
          <w:lang w:val="cs-CZ"/>
        </w:rPr>
        <w:t xml:space="preserve">čl. </w:t>
      </w:r>
      <w:r w:rsidR="00BE6053" w:rsidRPr="008B1755">
        <w:rPr>
          <w:lang w:val="cs-CZ"/>
        </w:rPr>
        <w:t>4 odst. 2</w:t>
      </w:r>
      <w:r w:rsidR="004E3BFF" w:rsidRPr="008B1755">
        <w:rPr>
          <w:lang w:val="cs-CZ"/>
        </w:rPr>
        <w:t xml:space="preserve"> a</w:t>
      </w:r>
      <w:r w:rsidRPr="008B1755">
        <w:rPr>
          <w:lang w:val="cs-CZ"/>
        </w:rPr>
        <w:t xml:space="preserve"> čl. </w:t>
      </w:r>
      <w:r w:rsidR="00BE6053" w:rsidRPr="008B1755">
        <w:rPr>
          <w:lang w:val="cs-CZ"/>
        </w:rPr>
        <w:t>4 odst. 3</w:t>
      </w:r>
      <w:r w:rsidR="00D61C28" w:rsidRPr="008B1755">
        <w:rPr>
          <w:lang w:val="cs-CZ"/>
        </w:rPr>
        <w:t xml:space="preserve"> </w:t>
      </w:r>
      <w:r w:rsidRPr="008B1755">
        <w:rPr>
          <w:lang w:val="cs-CZ"/>
        </w:rPr>
        <w:t>se vztahují na všechny smlouvy bez ohledu na datum uzavření nebo prodloužení smlouvy</w:t>
      </w:r>
      <w:r w:rsidR="00D61C28" w:rsidRPr="008B1755">
        <w:rPr>
          <w:lang w:val="cs-CZ"/>
        </w:rPr>
        <w:t>.</w:t>
      </w:r>
      <w:bookmarkEnd w:id="53"/>
      <w:r w:rsidR="004E3BFF" w:rsidRPr="008B1755">
        <w:rPr>
          <w:lang w:val="cs-CZ"/>
        </w:rPr>
        <w:t xml:space="preserve"> </w:t>
      </w:r>
      <w:r w:rsidRPr="008B1755">
        <w:rPr>
          <w:rFonts w:cs="Arial"/>
          <w:lang w:val="cs-CZ"/>
        </w:rPr>
        <w:t xml:space="preserve">Čl. </w:t>
      </w:r>
      <w:r w:rsidR="00BE6053" w:rsidRPr="008B1755">
        <w:rPr>
          <w:rFonts w:cs="Arial"/>
          <w:lang w:val="cs-CZ"/>
        </w:rPr>
        <w:t>4 odst. 4</w:t>
      </w:r>
      <w:r w:rsidR="004E3BFF" w:rsidRPr="008B1755">
        <w:rPr>
          <w:rFonts w:cs="Arial"/>
          <w:lang w:val="cs-CZ"/>
        </w:rPr>
        <w:t xml:space="preserve"> </w:t>
      </w:r>
      <w:r w:rsidRPr="008B1755">
        <w:rPr>
          <w:rFonts w:cs="Arial"/>
          <w:lang w:val="cs-CZ"/>
        </w:rPr>
        <w:t xml:space="preserve">se vztahuje pouze na smlouvy uzavřené nebo prodloužené v období od </w:t>
      </w:r>
      <w:r w:rsidR="004E3BFF" w:rsidRPr="008B1755">
        <w:rPr>
          <w:rFonts w:cs="Arial"/>
          <w:lang w:val="cs-CZ"/>
        </w:rPr>
        <w:t>29</w:t>
      </w:r>
      <w:r w:rsidRPr="008B1755">
        <w:rPr>
          <w:rFonts w:cs="Arial"/>
          <w:lang w:val="cs-CZ"/>
        </w:rPr>
        <w:t>. listopadu</w:t>
      </w:r>
      <w:r w:rsidR="004E3BFF" w:rsidRPr="008B1755">
        <w:rPr>
          <w:rFonts w:cs="Arial"/>
          <w:lang w:val="cs-CZ"/>
        </w:rPr>
        <w:t xml:space="preserve"> 2015.</w:t>
      </w:r>
      <w:bookmarkEnd w:id="54"/>
      <w:r w:rsidR="00461BDF" w:rsidRPr="008B1755">
        <w:rPr>
          <w:rFonts w:cs="Arial"/>
          <w:lang w:val="cs-CZ"/>
        </w:rPr>
        <w:t xml:space="preserve"> </w:t>
      </w:r>
      <w:r w:rsidRPr="008B1755">
        <w:rPr>
          <w:lang w:val="cs-CZ"/>
        </w:rPr>
        <w:t xml:space="preserve">Na změny smluv se vztahují vnitrostátní právní předpisy implementující čl. </w:t>
      </w:r>
      <w:r w:rsidR="003510D5" w:rsidRPr="008B1755" w:rsidDel="00461BDF">
        <w:rPr>
          <w:lang w:val="cs-CZ"/>
        </w:rPr>
        <w:t>20</w:t>
      </w:r>
      <w:r w:rsidRPr="008B1755">
        <w:rPr>
          <w:lang w:val="cs-CZ"/>
        </w:rPr>
        <w:t xml:space="preserve"> odst. </w:t>
      </w:r>
      <w:r w:rsidR="003510D5" w:rsidRPr="008B1755" w:rsidDel="00461BDF">
        <w:rPr>
          <w:lang w:val="cs-CZ"/>
        </w:rPr>
        <w:t xml:space="preserve">2 </w:t>
      </w:r>
      <w:r w:rsidRPr="008B1755">
        <w:rPr>
          <w:lang w:val="cs-CZ"/>
        </w:rPr>
        <w:t>směrnice o univerzální službě</w:t>
      </w:r>
      <w:r w:rsidR="003510D5" w:rsidRPr="008B1755" w:rsidDel="00461BDF">
        <w:rPr>
          <w:rFonts w:cs="Arial"/>
          <w:lang w:val="cs-CZ"/>
        </w:rPr>
        <w:t>.</w:t>
      </w:r>
    </w:p>
    <w:p w:rsidR="00D61C28" w:rsidRPr="008B1755" w:rsidRDefault="003E7168" w:rsidP="001B38FB">
      <w:pPr>
        <w:keepNext/>
        <w:keepLines/>
        <w:spacing w:before="360" w:after="120"/>
        <w:outlineLvl w:val="1"/>
        <w:rPr>
          <w:rFonts w:eastAsia="SimSun" w:cs="Arial"/>
          <w:b/>
          <w:bCs/>
          <w:sz w:val="24"/>
          <w:szCs w:val="24"/>
          <w:lang w:val="cs-CZ"/>
        </w:rPr>
      </w:pPr>
      <w:bookmarkStart w:id="55" w:name="_Toc461400169"/>
      <w:r w:rsidRPr="008B1755">
        <w:rPr>
          <w:rFonts w:eastAsia="SimSun" w:cs="Arial"/>
          <w:b/>
          <w:bCs/>
          <w:sz w:val="24"/>
          <w:szCs w:val="24"/>
          <w:lang w:val="cs-CZ"/>
        </w:rPr>
        <w:t xml:space="preserve">Článek </w:t>
      </w:r>
      <w:r w:rsidR="00BE6053" w:rsidRPr="008B1755">
        <w:rPr>
          <w:rFonts w:eastAsia="SimSun" w:cs="Arial"/>
          <w:b/>
          <w:bCs/>
          <w:sz w:val="24"/>
          <w:szCs w:val="24"/>
          <w:lang w:val="cs-CZ"/>
        </w:rPr>
        <w:t>4 odst. 1</w:t>
      </w:r>
      <w:r w:rsidR="00D61C28" w:rsidRPr="008B1755">
        <w:rPr>
          <w:rFonts w:eastAsia="SimSun" w:cs="Arial"/>
          <w:b/>
          <w:bCs/>
          <w:sz w:val="24"/>
          <w:szCs w:val="24"/>
          <w:lang w:val="cs-CZ"/>
        </w:rPr>
        <w:t xml:space="preserve"> </w:t>
      </w:r>
      <w:r w:rsidR="00AC529F" w:rsidRPr="008B1755">
        <w:rPr>
          <w:rFonts w:eastAsia="SimSun" w:cs="Arial"/>
          <w:b/>
          <w:bCs/>
          <w:sz w:val="24"/>
          <w:szCs w:val="24"/>
          <w:lang w:val="cs-CZ"/>
        </w:rPr>
        <w:t>písm. a)</w:t>
      </w:r>
      <w:bookmarkEnd w:id="55"/>
    </w:p>
    <w:p w:rsidR="00D61C28" w:rsidRPr="008B1755" w:rsidRDefault="00940CEC"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Fonts w:ascii="Times New Roman" w:hAnsi="Times New Roman"/>
          <w:lang w:val="cs-CZ"/>
        </w:rPr>
        <w:t xml:space="preserve">(a) </w:t>
      </w:r>
      <w:r w:rsidR="009B7C0D" w:rsidRPr="008B1755">
        <w:rPr>
          <w:rStyle w:val="Style2Char"/>
          <w:lang w:val="cs-CZ"/>
        </w:rPr>
        <w:t>údaje o tom, jaký dopad by mohla mít opatření řízení provozu uplatňovaná daným poskytovatelem na kvalitu služeb přístupu k internetu, soukromí koncových uživatelů a ochranu jejich osobních údajů</w:t>
      </w:r>
      <w:r w:rsidR="00D61C28" w:rsidRPr="008B1755">
        <w:rPr>
          <w:rFonts w:ascii="Times New Roman" w:hAnsi="Times New Roman"/>
          <w:lang w:val="cs-CZ"/>
        </w:rPr>
        <w:t>;</w:t>
      </w:r>
    </w:p>
    <w:p w:rsidR="00D61C28" w:rsidRPr="008B1755" w:rsidRDefault="0022172B" w:rsidP="0038751B">
      <w:pPr>
        <w:numPr>
          <w:ilvl w:val="0"/>
          <w:numId w:val="2"/>
        </w:numPr>
        <w:spacing w:after="120"/>
        <w:rPr>
          <w:lang w:val="cs-CZ"/>
        </w:rPr>
      </w:pPr>
      <w:r w:rsidRPr="008B1755">
        <w:rPr>
          <w:lang w:val="cs-CZ"/>
        </w:rPr>
        <w:t xml:space="preserve">Vnitrostátní </w:t>
      </w:r>
      <w:r w:rsidR="00926BAE" w:rsidRPr="008B1755">
        <w:rPr>
          <w:lang w:val="cs-CZ"/>
        </w:rPr>
        <w:t>regulační orgány</w:t>
      </w:r>
      <w:r w:rsidR="00D61C28" w:rsidRPr="008B1755">
        <w:rPr>
          <w:lang w:val="cs-CZ"/>
        </w:rPr>
        <w:t xml:space="preserve"> </w:t>
      </w:r>
      <w:r w:rsidRPr="008B1755">
        <w:rPr>
          <w:lang w:val="cs-CZ"/>
        </w:rPr>
        <w:t xml:space="preserve">by měly zajistit, aby </w:t>
      </w:r>
      <w:r w:rsidR="007D7F64" w:rsidRPr="008B1755">
        <w:rPr>
          <w:lang w:val="cs-CZ"/>
        </w:rPr>
        <w:t>poskytovatelé internetových služeb</w:t>
      </w:r>
      <w:r w:rsidR="00D61C28" w:rsidRPr="008B1755">
        <w:rPr>
          <w:lang w:val="cs-CZ"/>
        </w:rPr>
        <w:t xml:space="preserve"> </w:t>
      </w:r>
      <w:r w:rsidRPr="008B1755">
        <w:rPr>
          <w:lang w:val="cs-CZ"/>
        </w:rPr>
        <w:t xml:space="preserve">uváděli ve smlouvách a zveřejňovali jasné a srozumitelné vysvětlení </w:t>
      </w:r>
      <w:r w:rsidR="00466D10" w:rsidRPr="008B1755">
        <w:rPr>
          <w:lang w:val="cs-CZ"/>
        </w:rPr>
        <w:t>opatření řízení provozu</w:t>
      </w:r>
      <w:r w:rsidR="00BA4425" w:rsidRPr="008B1755">
        <w:rPr>
          <w:lang w:val="cs-CZ"/>
        </w:rPr>
        <w:t xml:space="preserve"> </w:t>
      </w:r>
      <w:r w:rsidRPr="008B1755">
        <w:rPr>
          <w:lang w:val="cs-CZ"/>
        </w:rPr>
        <w:t xml:space="preserve">uplatňovaných v souladu s druhým a </w:t>
      </w:r>
      <w:r w:rsidR="001D70F8" w:rsidRPr="008B1755">
        <w:rPr>
          <w:lang w:val="cs-CZ"/>
        </w:rPr>
        <w:t>třetí</w:t>
      </w:r>
      <w:r w:rsidR="00D038A2">
        <w:rPr>
          <w:lang w:val="cs-CZ"/>
        </w:rPr>
        <w:t>m</w:t>
      </w:r>
      <w:r w:rsidR="001D70F8" w:rsidRPr="008B1755">
        <w:rPr>
          <w:lang w:val="cs-CZ"/>
        </w:rPr>
        <w:t xml:space="preserve"> pododstav</w:t>
      </w:r>
      <w:r w:rsidRPr="008B1755">
        <w:rPr>
          <w:lang w:val="cs-CZ"/>
        </w:rPr>
        <w:t xml:space="preserve">cem </w:t>
      </w:r>
      <w:r w:rsidR="002E5214" w:rsidRPr="008B1755">
        <w:rPr>
          <w:lang w:val="cs-CZ"/>
        </w:rPr>
        <w:t>článku</w:t>
      </w:r>
      <w:r w:rsidR="00DD272F" w:rsidRPr="008B1755">
        <w:rPr>
          <w:lang w:val="cs-CZ"/>
        </w:rPr>
        <w:t xml:space="preserve"> 3 </w:t>
      </w:r>
      <w:r w:rsidR="00585BD7" w:rsidRPr="008B1755">
        <w:rPr>
          <w:lang w:val="cs-CZ"/>
        </w:rPr>
        <w:t>odst. 3</w:t>
      </w:r>
      <w:r w:rsidR="004E3BFF" w:rsidRPr="008B1755">
        <w:rPr>
          <w:lang w:val="cs-CZ"/>
        </w:rPr>
        <w:t xml:space="preserve">, </w:t>
      </w:r>
      <w:r w:rsidRPr="008B1755">
        <w:rPr>
          <w:lang w:val="cs-CZ"/>
        </w:rPr>
        <w:t>včetně následujících informací</w:t>
      </w:r>
      <w:r w:rsidR="00D61C28" w:rsidRPr="008B1755">
        <w:rPr>
          <w:lang w:val="cs-CZ"/>
        </w:rPr>
        <w:t>:</w:t>
      </w:r>
    </w:p>
    <w:p w:rsidR="00D61C28" w:rsidRPr="008B1755" w:rsidRDefault="0022172B" w:rsidP="005D7948">
      <w:pPr>
        <w:pStyle w:val="Odstavecseseznamem"/>
        <w:numPr>
          <w:ilvl w:val="0"/>
          <w:numId w:val="18"/>
        </w:numPr>
        <w:spacing w:after="120"/>
        <w:ind w:left="1077" w:hanging="357"/>
        <w:rPr>
          <w:lang w:val="cs-CZ"/>
        </w:rPr>
      </w:pPr>
      <w:r w:rsidRPr="008B1755">
        <w:rPr>
          <w:lang w:val="cs-CZ"/>
        </w:rPr>
        <w:t xml:space="preserve">jaký dopad by tato opatření mohla mít na celkovou zkušenost </w:t>
      </w:r>
      <w:r w:rsidR="00DD272F" w:rsidRPr="008B1755">
        <w:rPr>
          <w:lang w:val="cs-CZ"/>
        </w:rPr>
        <w:t>koncov</w:t>
      </w:r>
      <w:r w:rsidRPr="008B1755">
        <w:rPr>
          <w:lang w:val="cs-CZ"/>
        </w:rPr>
        <w:t>ého</w:t>
      </w:r>
      <w:r w:rsidR="00DD272F" w:rsidRPr="008B1755">
        <w:rPr>
          <w:lang w:val="cs-CZ"/>
        </w:rPr>
        <w:t xml:space="preserve"> uživatel</w:t>
      </w:r>
      <w:r w:rsidRPr="008B1755">
        <w:rPr>
          <w:lang w:val="cs-CZ"/>
        </w:rPr>
        <w:t>e</w:t>
      </w:r>
      <w:r w:rsidR="00DD272F" w:rsidRPr="008B1755">
        <w:rPr>
          <w:lang w:val="cs-CZ"/>
        </w:rPr>
        <w:t xml:space="preserve"> </w:t>
      </w:r>
      <w:r w:rsidRPr="008B1755">
        <w:rPr>
          <w:lang w:val="cs-CZ"/>
        </w:rPr>
        <w:t xml:space="preserve">obecně a ve vztahu ke konkrétním aplikacím </w:t>
      </w:r>
      <w:r w:rsidR="00D61C28" w:rsidRPr="008B1755">
        <w:rPr>
          <w:lang w:val="cs-CZ"/>
        </w:rPr>
        <w:t>(</w:t>
      </w:r>
      <w:r w:rsidR="00BE001A" w:rsidRPr="008B1755">
        <w:rPr>
          <w:lang w:val="cs-CZ"/>
        </w:rPr>
        <w:t>např.</w:t>
      </w:r>
      <w:r w:rsidR="00D61C28" w:rsidRPr="008B1755">
        <w:rPr>
          <w:lang w:val="cs-CZ"/>
        </w:rPr>
        <w:t xml:space="preserve"> </w:t>
      </w:r>
      <w:r w:rsidRPr="008B1755">
        <w:rPr>
          <w:lang w:val="cs-CZ"/>
        </w:rPr>
        <w:t xml:space="preserve">v případech, kdy je s určitými kategoriemi </w:t>
      </w:r>
      <w:r w:rsidR="00792C4F" w:rsidRPr="008B1755">
        <w:rPr>
          <w:lang w:val="cs-CZ"/>
        </w:rPr>
        <w:t>provozu</w:t>
      </w:r>
      <w:r w:rsidR="00D61C28" w:rsidRPr="008B1755">
        <w:rPr>
          <w:lang w:val="cs-CZ"/>
        </w:rPr>
        <w:t xml:space="preserve"> </w:t>
      </w:r>
      <w:r w:rsidRPr="008B1755">
        <w:rPr>
          <w:lang w:val="cs-CZ"/>
        </w:rPr>
        <w:t xml:space="preserve">nakládáno odlišně v souladu s čl. </w:t>
      </w:r>
      <w:r w:rsidR="00D61C28" w:rsidRPr="008B1755">
        <w:rPr>
          <w:lang w:val="cs-CZ"/>
        </w:rPr>
        <w:t xml:space="preserve">3). </w:t>
      </w:r>
      <w:r w:rsidRPr="008B1755">
        <w:rPr>
          <w:lang w:val="cs-CZ"/>
        </w:rPr>
        <w:t xml:space="preserve">Za tímto </w:t>
      </w:r>
      <w:r w:rsidR="00A24D52">
        <w:rPr>
          <w:lang w:val="cs-CZ"/>
        </w:rPr>
        <w:t xml:space="preserve">účelem </w:t>
      </w:r>
      <w:r w:rsidRPr="008B1755">
        <w:rPr>
          <w:lang w:val="cs-CZ"/>
        </w:rPr>
        <w:t>by měly být použity praktické příklady</w:t>
      </w:r>
      <w:r w:rsidR="001D201B" w:rsidRPr="008B1755">
        <w:rPr>
          <w:lang w:val="cs-CZ"/>
        </w:rPr>
        <w:t>;</w:t>
      </w:r>
    </w:p>
    <w:p w:rsidR="004E3BFF" w:rsidRPr="008B1755" w:rsidRDefault="0022172B" w:rsidP="005D7948">
      <w:pPr>
        <w:pStyle w:val="Odstavecseseznamem"/>
        <w:numPr>
          <w:ilvl w:val="0"/>
          <w:numId w:val="18"/>
        </w:numPr>
        <w:spacing w:after="120"/>
        <w:ind w:left="1077" w:hanging="357"/>
        <w:rPr>
          <w:lang w:val="cs-CZ"/>
        </w:rPr>
      </w:pPr>
      <w:r w:rsidRPr="008B1755">
        <w:rPr>
          <w:lang w:val="cs-CZ"/>
        </w:rPr>
        <w:t xml:space="preserve">okolnosti a způsob, za jakých jsou uplatňována </w:t>
      </w:r>
      <w:r w:rsidR="00466D10" w:rsidRPr="008B1755">
        <w:rPr>
          <w:lang w:val="cs-CZ"/>
        </w:rPr>
        <w:t>opatření řízení provozu</w:t>
      </w:r>
      <w:r w:rsidRPr="008B1755">
        <w:rPr>
          <w:lang w:val="cs-CZ"/>
        </w:rPr>
        <w:t xml:space="preserve">, která mají případně dopad popsaný </w:t>
      </w:r>
      <w:r w:rsidR="00F064F8" w:rsidRPr="008B1755">
        <w:rPr>
          <w:lang w:val="cs-CZ"/>
        </w:rPr>
        <w:t>v článku</w:t>
      </w:r>
      <w:r w:rsidR="00D475A9" w:rsidRPr="008B1755">
        <w:rPr>
          <w:lang w:val="cs-CZ"/>
        </w:rPr>
        <w:t xml:space="preserve"> </w:t>
      </w:r>
      <w:r w:rsidR="00BE6053" w:rsidRPr="008B1755">
        <w:rPr>
          <w:lang w:val="cs-CZ"/>
        </w:rPr>
        <w:t>4 odst. 1</w:t>
      </w:r>
      <w:r w:rsidR="00D475A9" w:rsidRPr="008B1755">
        <w:rPr>
          <w:lang w:val="cs-CZ"/>
        </w:rPr>
        <w:t xml:space="preserve"> </w:t>
      </w:r>
      <w:r w:rsidR="00AC529F" w:rsidRPr="008B1755">
        <w:rPr>
          <w:lang w:val="cs-CZ"/>
        </w:rPr>
        <w:t>písm. a)</w:t>
      </w:r>
      <w:r w:rsidR="00C315D7" w:rsidRPr="008B1755">
        <w:rPr>
          <w:lang w:val="cs-CZ"/>
        </w:rPr>
        <w:t>;</w:t>
      </w:r>
      <w:r w:rsidR="005D7948" w:rsidRPr="008B1755">
        <w:rPr>
          <w:rStyle w:val="Znakapoznpodarou"/>
          <w:lang w:val="cs-CZ"/>
        </w:rPr>
        <w:footnoteReference w:id="33"/>
      </w:r>
    </w:p>
    <w:p w:rsidR="001D201B" w:rsidRPr="008B1755" w:rsidRDefault="0022172B" w:rsidP="005D7948">
      <w:pPr>
        <w:pStyle w:val="Odstavecseseznamem"/>
        <w:numPr>
          <w:ilvl w:val="0"/>
          <w:numId w:val="18"/>
        </w:numPr>
        <w:spacing w:after="120"/>
        <w:ind w:left="1077" w:hanging="357"/>
        <w:rPr>
          <w:lang w:val="cs-CZ"/>
        </w:rPr>
      </w:pPr>
      <w:r w:rsidRPr="008B1755">
        <w:rPr>
          <w:lang w:val="cs-CZ"/>
        </w:rPr>
        <w:t xml:space="preserve">jakákoli opatření uplatňovaná při řízení provozu, která používají </w:t>
      </w:r>
      <w:r w:rsidR="00466D10" w:rsidRPr="008B1755">
        <w:rPr>
          <w:lang w:val="cs-CZ"/>
        </w:rPr>
        <w:t>osobní údaj</w:t>
      </w:r>
      <w:r w:rsidRPr="008B1755">
        <w:rPr>
          <w:lang w:val="cs-CZ"/>
        </w:rPr>
        <w:t>e</w:t>
      </w:r>
      <w:r w:rsidR="002F2992" w:rsidRPr="008B1755">
        <w:rPr>
          <w:lang w:val="cs-CZ"/>
        </w:rPr>
        <w:t xml:space="preserve">, </w:t>
      </w:r>
      <w:r w:rsidRPr="008B1755">
        <w:rPr>
          <w:lang w:val="cs-CZ"/>
        </w:rPr>
        <w:t xml:space="preserve">typy používaných </w:t>
      </w:r>
      <w:r w:rsidR="00466D10" w:rsidRPr="008B1755">
        <w:rPr>
          <w:lang w:val="cs-CZ"/>
        </w:rPr>
        <w:t>osobních údajů</w:t>
      </w:r>
      <w:r w:rsidR="002F2992" w:rsidRPr="008B1755">
        <w:rPr>
          <w:lang w:val="cs-CZ"/>
        </w:rPr>
        <w:t>, a</w:t>
      </w:r>
      <w:r w:rsidRPr="008B1755">
        <w:rPr>
          <w:lang w:val="cs-CZ"/>
        </w:rPr>
        <w:t xml:space="preserve"> způsob, jak</w:t>
      </w:r>
      <w:r w:rsidR="001D201B" w:rsidRPr="008B1755">
        <w:rPr>
          <w:lang w:val="cs-CZ"/>
        </w:rPr>
        <w:t xml:space="preserve"> </w:t>
      </w:r>
      <w:r w:rsidR="007D7F64" w:rsidRPr="008B1755">
        <w:rPr>
          <w:lang w:val="cs-CZ"/>
        </w:rPr>
        <w:t>poskytovatelé internetových služeb</w:t>
      </w:r>
      <w:r w:rsidR="001D201B" w:rsidRPr="008B1755">
        <w:rPr>
          <w:lang w:val="cs-CZ"/>
        </w:rPr>
        <w:t xml:space="preserve"> </w:t>
      </w:r>
      <w:r w:rsidRPr="008B1755">
        <w:rPr>
          <w:lang w:val="cs-CZ"/>
        </w:rPr>
        <w:t xml:space="preserve">zajišťují soukromí údajů </w:t>
      </w:r>
      <w:r w:rsidR="00080F70" w:rsidRPr="008B1755">
        <w:rPr>
          <w:lang w:val="cs-CZ"/>
        </w:rPr>
        <w:t>koncových uživatelů</w:t>
      </w:r>
      <w:r w:rsidR="001D201B" w:rsidRPr="008B1755">
        <w:rPr>
          <w:lang w:val="cs-CZ"/>
        </w:rPr>
        <w:t xml:space="preserve"> a</w:t>
      </w:r>
      <w:r w:rsidRPr="008B1755">
        <w:rPr>
          <w:lang w:val="cs-CZ"/>
        </w:rPr>
        <w:t xml:space="preserve"> chrání jejich </w:t>
      </w:r>
      <w:r w:rsidR="00466D10" w:rsidRPr="008B1755">
        <w:rPr>
          <w:lang w:val="cs-CZ"/>
        </w:rPr>
        <w:t>osobní údaj</w:t>
      </w:r>
      <w:r w:rsidRPr="008B1755">
        <w:rPr>
          <w:lang w:val="cs-CZ"/>
        </w:rPr>
        <w:t>e při řízení provozu</w:t>
      </w:r>
      <w:r w:rsidR="001D201B" w:rsidRPr="008B1755">
        <w:rPr>
          <w:lang w:val="cs-CZ"/>
        </w:rPr>
        <w:t>.</w:t>
      </w:r>
    </w:p>
    <w:p w:rsidR="003510D5" w:rsidRPr="008B1755" w:rsidRDefault="0022172B" w:rsidP="003510D5">
      <w:pPr>
        <w:numPr>
          <w:ilvl w:val="0"/>
          <w:numId w:val="2"/>
        </w:numPr>
        <w:spacing w:after="120"/>
        <w:rPr>
          <w:lang w:val="cs-CZ"/>
        </w:rPr>
      </w:pPr>
      <w:r w:rsidRPr="008B1755">
        <w:rPr>
          <w:lang w:val="cs-CZ"/>
        </w:rPr>
        <w:t>Informace by měly být jasné a srozumitelné</w:t>
      </w:r>
      <w:r w:rsidR="005E115C" w:rsidRPr="008B1755">
        <w:rPr>
          <w:lang w:val="cs-CZ"/>
        </w:rPr>
        <w:t>.</w:t>
      </w:r>
      <w:r w:rsidR="008F2A7C" w:rsidRPr="008B1755">
        <w:rPr>
          <w:lang w:val="cs-CZ"/>
        </w:rPr>
        <w:t xml:space="preserve"> </w:t>
      </w:r>
      <w:r w:rsidRPr="008B1755">
        <w:rPr>
          <w:lang w:val="cs-CZ"/>
        </w:rPr>
        <w:t xml:space="preserve">Informace by neměly </w:t>
      </w:r>
      <w:r w:rsidR="00A24D52">
        <w:rPr>
          <w:lang w:val="cs-CZ"/>
        </w:rPr>
        <w:t xml:space="preserve">být uváděny </w:t>
      </w:r>
      <w:r w:rsidRPr="008B1755">
        <w:rPr>
          <w:lang w:val="cs-CZ"/>
        </w:rPr>
        <w:t xml:space="preserve">pouze </w:t>
      </w:r>
      <w:r w:rsidR="00A24D52">
        <w:rPr>
          <w:lang w:val="cs-CZ"/>
        </w:rPr>
        <w:t xml:space="preserve">v </w:t>
      </w:r>
      <w:r w:rsidRPr="004E4F9E">
        <w:rPr>
          <w:lang w:val="cs-CZ"/>
        </w:rPr>
        <w:t>obecn</w:t>
      </w:r>
      <w:r w:rsidR="00A24D52" w:rsidRPr="004E4F9E">
        <w:rPr>
          <w:lang w:val="cs-CZ"/>
        </w:rPr>
        <w:t>é</w:t>
      </w:r>
      <w:r w:rsidRPr="004E4F9E">
        <w:rPr>
          <w:lang w:val="cs-CZ"/>
        </w:rPr>
        <w:t xml:space="preserve"> </w:t>
      </w:r>
      <w:r w:rsidR="00A24D52">
        <w:rPr>
          <w:lang w:val="cs-CZ"/>
        </w:rPr>
        <w:t xml:space="preserve">rovině konstatující </w:t>
      </w:r>
      <w:r w:rsidRPr="008B1755">
        <w:rPr>
          <w:lang w:val="cs-CZ"/>
        </w:rPr>
        <w:t xml:space="preserve">možné dopady </w:t>
      </w:r>
      <w:r w:rsidR="00466D10" w:rsidRPr="008B1755">
        <w:rPr>
          <w:lang w:val="cs-CZ"/>
        </w:rPr>
        <w:t>opatření řízení provozu</w:t>
      </w:r>
      <w:r w:rsidRPr="008B1755">
        <w:rPr>
          <w:lang w:val="cs-CZ"/>
        </w:rPr>
        <w:t xml:space="preserve">, která by mohla být uplatněna v souladu </w:t>
      </w:r>
      <w:r w:rsidR="00032BA4" w:rsidRPr="008B1755">
        <w:rPr>
          <w:lang w:val="cs-CZ"/>
        </w:rPr>
        <w:t>s Nařízením</w:t>
      </w:r>
      <w:r w:rsidR="00084DC0" w:rsidRPr="008B1755">
        <w:rPr>
          <w:lang w:val="cs-CZ"/>
        </w:rPr>
        <w:t xml:space="preserve">. </w:t>
      </w:r>
      <w:r w:rsidRPr="008B1755">
        <w:rPr>
          <w:lang w:val="cs-CZ"/>
        </w:rPr>
        <w:t xml:space="preserve">Informace by měly </w:t>
      </w:r>
      <w:r w:rsidR="0016337F" w:rsidRPr="008B1755">
        <w:rPr>
          <w:lang w:val="cs-CZ"/>
        </w:rPr>
        <w:t xml:space="preserve">rovněž obsahovat minimálně popis možných dopadů opatření </w:t>
      </w:r>
      <w:r w:rsidR="00350081" w:rsidRPr="008B1755">
        <w:rPr>
          <w:lang w:val="cs-CZ"/>
        </w:rPr>
        <w:t>řízení provozu</w:t>
      </w:r>
      <w:r w:rsidR="0016337F" w:rsidRPr="008B1755">
        <w:rPr>
          <w:lang w:val="cs-CZ"/>
        </w:rPr>
        <w:t xml:space="preserve">, která jsou </w:t>
      </w:r>
      <w:r w:rsidR="004422E2">
        <w:rPr>
          <w:lang w:val="cs-CZ"/>
        </w:rPr>
        <w:t>uplatněna</w:t>
      </w:r>
      <w:r w:rsidR="004422E2" w:rsidRPr="008B1755">
        <w:rPr>
          <w:lang w:val="cs-CZ"/>
        </w:rPr>
        <w:t xml:space="preserve"> </w:t>
      </w:r>
      <w:r w:rsidR="0016337F" w:rsidRPr="008B1755">
        <w:rPr>
          <w:lang w:val="cs-CZ"/>
        </w:rPr>
        <w:t xml:space="preserve">u </w:t>
      </w:r>
      <w:r w:rsidR="00DD272F" w:rsidRPr="008B1755">
        <w:rPr>
          <w:lang w:val="cs-CZ"/>
        </w:rPr>
        <w:t>služb</w:t>
      </w:r>
      <w:r w:rsidR="0016337F" w:rsidRPr="008B1755">
        <w:rPr>
          <w:lang w:val="cs-CZ"/>
        </w:rPr>
        <w:t>y</w:t>
      </w:r>
      <w:r w:rsidR="00DD272F" w:rsidRPr="008B1755">
        <w:rPr>
          <w:lang w:val="cs-CZ"/>
        </w:rPr>
        <w:t xml:space="preserve"> přístupu k internetu</w:t>
      </w:r>
      <w:r w:rsidR="00084DC0" w:rsidRPr="008B1755">
        <w:rPr>
          <w:lang w:val="cs-CZ"/>
        </w:rPr>
        <w:t xml:space="preserve">. </w:t>
      </w:r>
    </w:p>
    <w:p w:rsidR="00084DC0" w:rsidRPr="008B1755" w:rsidRDefault="00084DC0" w:rsidP="003510D5">
      <w:pPr>
        <w:spacing w:after="120"/>
        <w:ind w:left="482"/>
        <w:rPr>
          <w:lang w:val="cs-CZ"/>
        </w:rPr>
      </w:pPr>
    </w:p>
    <w:p w:rsidR="00D61C28" w:rsidRPr="008B1755" w:rsidRDefault="003E7168" w:rsidP="001B38FB">
      <w:pPr>
        <w:keepNext/>
        <w:keepLines/>
        <w:spacing w:before="360" w:after="120"/>
        <w:outlineLvl w:val="1"/>
        <w:rPr>
          <w:rFonts w:eastAsia="SimSun" w:cs="Arial"/>
          <w:b/>
          <w:bCs/>
          <w:sz w:val="24"/>
          <w:szCs w:val="24"/>
          <w:lang w:val="cs-CZ"/>
        </w:rPr>
      </w:pPr>
      <w:bookmarkStart w:id="56" w:name="_Toc461400170"/>
      <w:r w:rsidRPr="008B1755">
        <w:rPr>
          <w:rFonts w:eastAsia="SimSun" w:cs="Arial"/>
          <w:b/>
          <w:bCs/>
          <w:sz w:val="24"/>
          <w:szCs w:val="24"/>
          <w:lang w:val="cs-CZ"/>
        </w:rPr>
        <w:t xml:space="preserve">Článek </w:t>
      </w:r>
      <w:r w:rsidR="00BE6053" w:rsidRPr="008B1755">
        <w:rPr>
          <w:rFonts w:eastAsia="SimSun" w:cs="Arial"/>
          <w:b/>
          <w:bCs/>
          <w:sz w:val="24"/>
          <w:szCs w:val="24"/>
          <w:lang w:val="cs-CZ"/>
        </w:rPr>
        <w:t>4 odst. 1</w:t>
      </w:r>
      <w:r w:rsidR="00D61C28" w:rsidRPr="008B1755">
        <w:rPr>
          <w:rFonts w:eastAsia="SimSun" w:cs="Arial"/>
          <w:b/>
          <w:bCs/>
          <w:sz w:val="24"/>
          <w:szCs w:val="24"/>
          <w:lang w:val="cs-CZ"/>
        </w:rPr>
        <w:t xml:space="preserve"> </w:t>
      </w:r>
      <w:r w:rsidR="00AC529F" w:rsidRPr="008B1755">
        <w:rPr>
          <w:rFonts w:eastAsia="SimSun" w:cs="Arial"/>
          <w:b/>
          <w:bCs/>
          <w:sz w:val="24"/>
          <w:szCs w:val="24"/>
          <w:lang w:val="cs-CZ"/>
        </w:rPr>
        <w:t>písm. b)</w:t>
      </w:r>
      <w:bookmarkEnd w:id="56"/>
    </w:p>
    <w:p w:rsidR="00D61C28" w:rsidRPr="008B1755" w:rsidRDefault="00940CEC"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Fonts w:ascii="Times New Roman" w:hAnsi="Times New Roman"/>
          <w:lang w:val="cs-CZ"/>
        </w:rPr>
        <w:t xml:space="preserve">(b) </w:t>
      </w:r>
      <w:r w:rsidR="009B7C0D" w:rsidRPr="008B1755">
        <w:rPr>
          <w:rStyle w:val="Style2Char"/>
          <w:lang w:val="cs-CZ"/>
        </w:rPr>
        <w:t>jasné a srozumitelné vysvětlení toho, jaký praktický dopad mohou mít případná omezení objemu dat, rychlost či jiné parametry kvality služby na služby přístupu k internetu, a to zejména na využívání obsahu, aplikací a služeb</w:t>
      </w:r>
      <w:r w:rsidR="00D61C28" w:rsidRPr="008B1755">
        <w:rPr>
          <w:rFonts w:ascii="Times New Roman" w:hAnsi="Times New Roman"/>
          <w:lang w:val="cs-CZ"/>
        </w:rPr>
        <w:t>;</w:t>
      </w:r>
    </w:p>
    <w:p w:rsidR="00D61C28" w:rsidRPr="008B1755" w:rsidRDefault="00714676" w:rsidP="0038751B">
      <w:pPr>
        <w:numPr>
          <w:ilvl w:val="0"/>
          <w:numId w:val="2"/>
        </w:numPr>
        <w:spacing w:after="120"/>
        <w:rPr>
          <w:lang w:val="cs-CZ"/>
        </w:rPr>
      </w:pPr>
      <w:r w:rsidRPr="008B1755">
        <w:rPr>
          <w:lang w:val="cs-CZ"/>
        </w:rPr>
        <w:t>Kromě rychlosti</w:t>
      </w:r>
      <w:r w:rsidR="00D61C28" w:rsidRPr="008B1755">
        <w:rPr>
          <w:lang w:val="cs-CZ"/>
        </w:rPr>
        <w:t xml:space="preserve"> </w:t>
      </w:r>
      <w:r w:rsidRPr="008B1755">
        <w:rPr>
          <w:lang w:val="cs-CZ"/>
        </w:rPr>
        <w:t>jsou nejdůležitějšími parametry kvality služby</w:t>
      </w:r>
      <w:r w:rsidR="00D61C28" w:rsidRPr="008B1755">
        <w:rPr>
          <w:lang w:val="cs-CZ"/>
        </w:rPr>
        <w:t xml:space="preserve"> </w:t>
      </w:r>
      <w:r w:rsidR="00A24D52">
        <w:rPr>
          <w:lang w:val="cs-CZ"/>
        </w:rPr>
        <w:t>latence</w:t>
      </w:r>
      <w:r w:rsidR="00D61C28" w:rsidRPr="008B1755">
        <w:rPr>
          <w:lang w:val="cs-CZ"/>
        </w:rPr>
        <w:t xml:space="preserve">, </w:t>
      </w:r>
      <w:r w:rsidRPr="008B1755">
        <w:rPr>
          <w:lang w:val="cs-CZ"/>
        </w:rPr>
        <w:t xml:space="preserve">kolísání kvality přenosu </w:t>
      </w:r>
      <w:r w:rsidR="00D61C28" w:rsidRPr="008B1755">
        <w:rPr>
          <w:lang w:val="cs-CZ"/>
        </w:rPr>
        <w:t>(jitter) a</w:t>
      </w:r>
      <w:r w:rsidRPr="008B1755">
        <w:rPr>
          <w:lang w:val="cs-CZ"/>
        </w:rPr>
        <w:t xml:space="preserve"> ztrátovost paketů</w:t>
      </w:r>
      <w:r w:rsidR="00D61C28" w:rsidRPr="008B1755">
        <w:rPr>
          <w:lang w:val="cs-CZ"/>
        </w:rPr>
        <w:t>.</w:t>
      </w:r>
      <w:r w:rsidR="001A7A7D" w:rsidRPr="008B1755">
        <w:rPr>
          <w:lang w:val="cs-CZ"/>
        </w:rPr>
        <w:t xml:space="preserve"> </w:t>
      </w:r>
      <w:r w:rsidRPr="008B1755">
        <w:rPr>
          <w:lang w:val="cs-CZ"/>
        </w:rPr>
        <w:t>Tyto další parametry kvality služby</w:t>
      </w:r>
      <w:r w:rsidR="001A7A7D" w:rsidRPr="008B1755">
        <w:rPr>
          <w:lang w:val="cs-CZ"/>
        </w:rPr>
        <w:t xml:space="preserve"> </w:t>
      </w:r>
      <w:r w:rsidRPr="008B1755">
        <w:rPr>
          <w:lang w:val="cs-CZ"/>
        </w:rPr>
        <w:t xml:space="preserve">by měly být popsány, pokud by v praxi mohly mít dopad na </w:t>
      </w:r>
      <w:r w:rsidR="00DD272F" w:rsidRPr="008B1755">
        <w:rPr>
          <w:lang w:val="cs-CZ"/>
        </w:rPr>
        <w:t>služb</w:t>
      </w:r>
      <w:r w:rsidRPr="008B1755">
        <w:rPr>
          <w:lang w:val="cs-CZ"/>
        </w:rPr>
        <w:t>u</w:t>
      </w:r>
      <w:r w:rsidR="00DD272F" w:rsidRPr="008B1755">
        <w:rPr>
          <w:lang w:val="cs-CZ"/>
        </w:rPr>
        <w:t xml:space="preserve"> přístupu k internetu</w:t>
      </w:r>
      <w:r w:rsidR="001A7A7D" w:rsidRPr="008B1755">
        <w:rPr>
          <w:lang w:val="cs-CZ"/>
        </w:rPr>
        <w:t xml:space="preserve"> a</w:t>
      </w:r>
      <w:r w:rsidRPr="008B1755">
        <w:rPr>
          <w:lang w:val="cs-CZ"/>
        </w:rPr>
        <w:t xml:space="preserve"> používání aplikací</w:t>
      </w:r>
      <w:r w:rsidR="00FC0421" w:rsidRPr="008B1755">
        <w:rPr>
          <w:lang w:val="cs-CZ"/>
        </w:rPr>
        <w:t>. Vnitrostátní</w:t>
      </w:r>
      <w:r w:rsidR="00926BAE" w:rsidRPr="008B1755">
        <w:rPr>
          <w:lang w:val="cs-CZ"/>
        </w:rPr>
        <w:t xml:space="preserve"> regulační orgány</w:t>
      </w:r>
      <w:r w:rsidR="00D61C28" w:rsidRPr="008B1755">
        <w:rPr>
          <w:lang w:val="cs-CZ"/>
        </w:rPr>
        <w:t xml:space="preserve"> </w:t>
      </w:r>
      <w:r w:rsidRPr="008B1755">
        <w:rPr>
          <w:lang w:val="cs-CZ"/>
        </w:rPr>
        <w:t xml:space="preserve">by měly zajistit, aby </w:t>
      </w:r>
      <w:r w:rsidR="007D7F64" w:rsidRPr="008B1755">
        <w:rPr>
          <w:lang w:val="cs-CZ"/>
        </w:rPr>
        <w:t>poskytovatelé internetových služeb</w:t>
      </w:r>
      <w:r w:rsidR="00D61C28" w:rsidRPr="008B1755">
        <w:rPr>
          <w:lang w:val="cs-CZ"/>
        </w:rPr>
        <w:t xml:space="preserve"> </w:t>
      </w:r>
      <w:r w:rsidRPr="008B1755">
        <w:rPr>
          <w:lang w:val="cs-CZ"/>
        </w:rPr>
        <w:t xml:space="preserve">poskytovali </w:t>
      </w:r>
      <w:r w:rsidR="00C44AED" w:rsidRPr="008B1755">
        <w:rPr>
          <w:lang w:val="cs-CZ"/>
        </w:rPr>
        <w:t>koncov</w:t>
      </w:r>
      <w:r w:rsidRPr="008B1755">
        <w:rPr>
          <w:lang w:val="cs-CZ"/>
        </w:rPr>
        <w:t>ým</w:t>
      </w:r>
      <w:r w:rsidR="00C44AED" w:rsidRPr="008B1755">
        <w:rPr>
          <w:lang w:val="cs-CZ"/>
        </w:rPr>
        <w:t xml:space="preserve"> uživatel</w:t>
      </w:r>
      <w:r w:rsidRPr="008B1755">
        <w:rPr>
          <w:lang w:val="cs-CZ"/>
        </w:rPr>
        <w:t xml:space="preserve">ům informace, které </w:t>
      </w:r>
      <w:r w:rsidR="00A24D52">
        <w:rPr>
          <w:lang w:val="cs-CZ"/>
        </w:rPr>
        <w:t>souvisí s dopady</w:t>
      </w:r>
      <w:r w:rsidR="00D61C28" w:rsidRPr="008B1755">
        <w:rPr>
          <w:lang w:val="cs-CZ"/>
        </w:rPr>
        <w:t xml:space="preserve">. </w:t>
      </w:r>
      <w:r w:rsidRPr="008B1755">
        <w:rPr>
          <w:lang w:val="cs-CZ"/>
        </w:rPr>
        <w:t xml:space="preserve">Koncoví uživatelé by měli být schopni porozumět </w:t>
      </w:r>
      <w:r w:rsidR="00955B91">
        <w:rPr>
          <w:lang w:val="cs-CZ"/>
        </w:rPr>
        <w:t xml:space="preserve">vlivům </w:t>
      </w:r>
      <w:r w:rsidRPr="008B1755">
        <w:rPr>
          <w:lang w:val="cs-CZ"/>
        </w:rPr>
        <w:t xml:space="preserve">těchto </w:t>
      </w:r>
      <w:r w:rsidR="00D61C28" w:rsidRPr="008B1755">
        <w:rPr>
          <w:lang w:val="cs-CZ"/>
        </w:rPr>
        <w:t>paramet</w:t>
      </w:r>
      <w:r w:rsidRPr="008B1755">
        <w:rPr>
          <w:lang w:val="cs-CZ"/>
        </w:rPr>
        <w:t xml:space="preserve">rů </w:t>
      </w:r>
      <w:r w:rsidR="00955B91">
        <w:rPr>
          <w:lang w:val="cs-CZ"/>
        </w:rPr>
        <w:t xml:space="preserve">na </w:t>
      </w:r>
      <w:r w:rsidRPr="008B1755">
        <w:rPr>
          <w:lang w:val="cs-CZ"/>
        </w:rPr>
        <w:t>používání aplikací</w:t>
      </w:r>
      <w:r w:rsidR="00D61C28" w:rsidRPr="008B1755">
        <w:rPr>
          <w:lang w:val="cs-CZ"/>
        </w:rPr>
        <w:t xml:space="preserve"> </w:t>
      </w:r>
      <w:r w:rsidRPr="008B1755">
        <w:rPr>
          <w:lang w:val="cs-CZ"/>
        </w:rPr>
        <w:t xml:space="preserve">a tomu, </w:t>
      </w:r>
      <w:r w:rsidR="00367098">
        <w:rPr>
          <w:lang w:val="cs-CZ"/>
        </w:rPr>
        <w:t>proč</w:t>
      </w:r>
      <w:r w:rsidR="00367098" w:rsidRPr="008B1755">
        <w:rPr>
          <w:lang w:val="cs-CZ"/>
        </w:rPr>
        <w:t xml:space="preserve"> </w:t>
      </w:r>
      <w:r w:rsidRPr="008B1755">
        <w:rPr>
          <w:lang w:val="cs-CZ"/>
        </w:rPr>
        <w:t xml:space="preserve">určité aplikace </w:t>
      </w:r>
      <w:r w:rsidR="00D61C28" w:rsidRPr="008B1755">
        <w:rPr>
          <w:lang w:val="cs-CZ"/>
        </w:rPr>
        <w:t>(</w:t>
      </w:r>
      <w:r w:rsidR="00BE001A" w:rsidRPr="008B1755">
        <w:rPr>
          <w:lang w:val="cs-CZ"/>
        </w:rPr>
        <w:t>např.</w:t>
      </w:r>
      <w:r w:rsidR="00D61C28" w:rsidRPr="008B1755">
        <w:rPr>
          <w:lang w:val="cs-CZ"/>
        </w:rPr>
        <w:t xml:space="preserve"> </w:t>
      </w:r>
      <w:r w:rsidRPr="008B1755">
        <w:rPr>
          <w:lang w:val="cs-CZ"/>
        </w:rPr>
        <w:t>interaktivní řeč</w:t>
      </w:r>
      <w:r w:rsidR="00D61C28" w:rsidRPr="008B1755">
        <w:rPr>
          <w:lang w:val="cs-CZ"/>
        </w:rPr>
        <w:t xml:space="preserve">/video </w:t>
      </w:r>
      <w:r w:rsidRPr="008B1755">
        <w:rPr>
          <w:lang w:val="cs-CZ"/>
        </w:rPr>
        <w:t xml:space="preserve">nebo </w:t>
      </w:r>
      <w:r w:rsidR="00D61C28" w:rsidRPr="008B1755">
        <w:rPr>
          <w:lang w:val="cs-CZ"/>
        </w:rPr>
        <w:t xml:space="preserve">4K video streaming) </w:t>
      </w:r>
      <w:r w:rsidRPr="008B1755">
        <w:rPr>
          <w:lang w:val="cs-CZ"/>
        </w:rPr>
        <w:t xml:space="preserve">nemohou být ve skutečnosti používány kvůli dlouhé prodlevě nebo pomalé rychlosti </w:t>
      </w:r>
      <w:r w:rsidR="00747C71" w:rsidRPr="008B1755">
        <w:rPr>
          <w:lang w:val="cs-CZ"/>
        </w:rPr>
        <w:t>služby</w:t>
      </w:r>
      <w:r w:rsidR="00DD272F" w:rsidRPr="008B1755">
        <w:rPr>
          <w:lang w:val="cs-CZ"/>
        </w:rPr>
        <w:t xml:space="preserve"> přístupu k internetu</w:t>
      </w:r>
      <w:r w:rsidR="00D61C28" w:rsidRPr="008B1755">
        <w:rPr>
          <w:lang w:val="cs-CZ"/>
        </w:rPr>
        <w:t>.</w:t>
      </w:r>
      <w:r w:rsidR="0058048D" w:rsidRPr="008B1755">
        <w:rPr>
          <w:lang w:val="cs-CZ"/>
        </w:rPr>
        <w:t xml:space="preserve"> </w:t>
      </w:r>
      <w:r w:rsidRPr="008B1755">
        <w:rPr>
          <w:lang w:val="cs-CZ"/>
        </w:rPr>
        <w:t>Moh</w:t>
      </w:r>
      <w:r w:rsidR="00955B91">
        <w:rPr>
          <w:lang w:val="cs-CZ"/>
        </w:rPr>
        <w:t xml:space="preserve">ou </w:t>
      </w:r>
      <w:r w:rsidRPr="008B1755">
        <w:rPr>
          <w:lang w:val="cs-CZ"/>
        </w:rPr>
        <w:t>být uvedeny kategorie aplikací</w:t>
      </w:r>
      <w:r w:rsidR="00FD17D7" w:rsidRPr="008B1755">
        <w:rPr>
          <w:lang w:val="cs-CZ"/>
        </w:rPr>
        <w:t xml:space="preserve"> </w:t>
      </w:r>
      <w:r w:rsidRPr="008B1755">
        <w:rPr>
          <w:lang w:val="cs-CZ"/>
        </w:rPr>
        <w:t>nebo populární příklady těchto dotčených aplikací</w:t>
      </w:r>
      <w:r w:rsidR="00993404" w:rsidRPr="008B1755">
        <w:rPr>
          <w:lang w:val="cs-CZ"/>
        </w:rPr>
        <w:t>.</w:t>
      </w:r>
    </w:p>
    <w:p w:rsidR="0023063B" w:rsidRPr="008B1755" w:rsidRDefault="00D65FE8" w:rsidP="0038751B">
      <w:pPr>
        <w:numPr>
          <w:ilvl w:val="0"/>
          <w:numId w:val="2"/>
        </w:numPr>
        <w:spacing w:after="120"/>
        <w:rPr>
          <w:lang w:val="cs-CZ"/>
        </w:rPr>
      </w:pPr>
      <w:r w:rsidRPr="008B1755">
        <w:rPr>
          <w:lang w:val="cs-CZ"/>
        </w:rPr>
        <w:t>Co se týče omezení objemu</w:t>
      </w:r>
      <w:r w:rsidR="00D61C28" w:rsidRPr="008B1755">
        <w:rPr>
          <w:lang w:val="cs-CZ"/>
        </w:rPr>
        <w:t xml:space="preserve">, </w:t>
      </w:r>
      <w:r w:rsidRPr="008B1755">
        <w:rPr>
          <w:lang w:val="cs-CZ"/>
        </w:rPr>
        <w:t xml:space="preserve">měla by být ve smlouvách uvedena „velikost“ limitu </w:t>
      </w:r>
      <w:r w:rsidR="00D61C28" w:rsidRPr="008B1755">
        <w:rPr>
          <w:lang w:val="cs-CZ"/>
        </w:rPr>
        <w:t>(</w:t>
      </w:r>
      <w:r w:rsidRPr="008B1755">
        <w:rPr>
          <w:lang w:val="cs-CZ"/>
        </w:rPr>
        <w:t>kvantitativně</w:t>
      </w:r>
      <w:r w:rsidR="00461BDF" w:rsidRPr="008B1755">
        <w:rPr>
          <w:lang w:val="cs-CZ"/>
        </w:rPr>
        <w:t xml:space="preserve">, </w:t>
      </w:r>
      <w:r w:rsidR="00BE001A" w:rsidRPr="008B1755">
        <w:rPr>
          <w:lang w:val="cs-CZ"/>
        </w:rPr>
        <w:t>např.</w:t>
      </w:r>
      <w:r w:rsidR="00461BDF" w:rsidRPr="008B1755">
        <w:rPr>
          <w:lang w:val="cs-CZ"/>
        </w:rPr>
        <w:t xml:space="preserve"> </w:t>
      </w:r>
      <w:r w:rsidRPr="008B1755">
        <w:rPr>
          <w:lang w:val="cs-CZ"/>
        </w:rPr>
        <w:t xml:space="preserve">v </w:t>
      </w:r>
      <w:r w:rsidR="00461BDF" w:rsidRPr="008B1755">
        <w:rPr>
          <w:lang w:val="cs-CZ"/>
        </w:rPr>
        <w:t>GB</w:t>
      </w:r>
      <w:r w:rsidR="00D61C28" w:rsidRPr="008B1755">
        <w:rPr>
          <w:lang w:val="cs-CZ"/>
        </w:rPr>
        <w:t xml:space="preserve">), </w:t>
      </w:r>
      <w:r w:rsidRPr="008B1755">
        <w:rPr>
          <w:lang w:val="cs-CZ"/>
        </w:rPr>
        <w:t xml:space="preserve">co to v praxi znamená, a důsledky jeho překročení </w:t>
      </w:r>
      <w:r w:rsidR="00D61C28" w:rsidRPr="008B1755">
        <w:rPr>
          <w:lang w:val="cs-CZ"/>
        </w:rPr>
        <w:t>(</w:t>
      </w:r>
      <w:r w:rsidR="00BE001A" w:rsidRPr="008B1755">
        <w:rPr>
          <w:lang w:val="cs-CZ"/>
        </w:rPr>
        <w:t>např.</w:t>
      </w:r>
      <w:r w:rsidR="00D61C28" w:rsidRPr="008B1755">
        <w:rPr>
          <w:lang w:val="cs-CZ"/>
        </w:rPr>
        <w:t xml:space="preserve"> </w:t>
      </w:r>
      <w:r w:rsidRPr="008B1755">
        <w:rPr>
          <w:lang w:val="cs-CZ"/>
        </w:rPr>
        <w:t>další poplatky</w:t>
      </w:r>
      <w:r w:rsidR="00D61C28" w:rsidRPr="008B1755">
        <w:rPr>
          <w:lang w:val="cs-CZ"/>
        </w:rPr>
        <w:t xml:space="preserve">, </w:t>
      </w:r>
      <w:r w:rsidRPr="008B1755">
        <w:rPr>
          <w:lang w:val="cs-CZ"/>
        </w:rPr>
        <w:t>omezení rychlosti</w:t>
      </w:r>
      <w:r w:rsidR="00D61C28" w:rsidRPr="008B1755">
        <w:rPr>
          <w:lang w:val="cs-CZ"/>
        </w:rPr>
        <w:t xml:space="preserve">, </w:t>
      </w:r>
      <w:r w:rsidRPr="008B1755">
        <w:rPr>
          <w:lang w:val="cs-CZ"/>
        </w:rPr>
        <w:t>blokování veškerého provozu apod</w:t>
      </w:r>
      <w:r w:rsidR="00D61C28" w:rsidRPr="008B1755">
        <w:rPr>
          <w:lang w:val="cs-CZ"/>
        </w:rPr>
        <w:t xml:space="preserve">.). </w:t>
      </w:r>
      <w:r w:rsidRPr="008B1755">
        <w:rPr>
          <w:lang w:val="cs-CZ"/>
        </w:rPr>
        <w:t xml:space="preserve">Pokud dojde ke snížení rychlosti po dosažení </w:t>
      </w:r>
      <w:r w:rsidR="00D61C28" w:rsidRPr="008B1755">
        <w:rPr>
          <w:lang w:val="cs-CZ"/>
        </w:rPr>
        <w:t>dat</w:t>
      </w:r>
      <w:r w:rsidRPr="008B1755">
        <w:rPr>
          <w:lang w:val="cs-CZ"/>
        </w:rPr>
        <w:t>ového limitu</w:t>
      </w:r>
      <w:r w:rsidR="00D61C28" w:rsidRPr="008B1755">
        <w:rPr>
          <w:lang w:val="cs-CZ"/>
        </w:rPr>
        <w:t xml:space="preserve">, </w:t>
      </w:r>
      <w:r w:rsidRPr="008B1755">
        <w:rPr>
          <w:lang w:val="cs-CZ"/>
        </w:rPr>
        <w:t>mělo by to být zohledněno při uvádění rychlostí ve smlouvě a zveřejňování těchto informací</w:t>
      </w:r>
      <w:r w:rsidR="00D61C28" w:rsidRPr="008B1755">
        <w:rPr>
          <w:lang w:val="cs-CZ"/>
        </w:rPr>
        <w:t xml:space="preserve">. </w:t>
      </w:r>
      <w:r w:rsidRPr="008B1755">
        <w:rPr>
          <w:lang w:val="cs-CZ"/>
        </w:rPr>
        <w:t xml:space="preserve">Mohly by být též uvedeny příklady, jaké používání dat </w:t>
      </w:r>
      <w:r w:rsidR="00367098">
        <w:rPr>
          <w:lang w:val="cs-CZ"/>
        </w:rPr>
        <w:t xml:space="preserve">povede </w:t>
      </w:r>
      <w:r w:rsidRPr="008B1755">
        <w:rPr>
          <w:lang w:val="cs-CZ"/>
        </w:rPr>
        <w:t xml:space="preserve">k situaci, kdy dojde k překročení datového limitu </w:t>
      </w:r>
      <w:r w:rsidR="003845AE" w:rsidRPr="008B1755">
        <w:rPr>
          <w:lang w:val="cs-CZ"/>
        </w:rPr>
        <w:t>(</w:t>
      </w:r>
      <w:r w:rsidR="00BE001A" w:rsidRPr="008B1755">
        <w:rPr>
          <w:lang w:val="cs-CZ"/>
        </w:rPr>
        <w:t>např.</w:t>
      </w:r>
      <w:r w:rsidR="003845AE" w:rsidRPr="008B1755">
        <w:rPr>
          <w:lang w:val="cs-CZ"/>
        </w:rPr>
        <w:t xml:space="preserve"> </w:t>
      </w:r>
      <w:r w:rsidRPr="008B1755">
        <w:rPr>
          <w:lang w:val="cs-CZ"/>
        </w:rPr>
        <w:t xml:space="preserve">orientační doba používání populárních aplikací jako např. </w:t>
      </w:r>
      <w:r w:rsidR="003845AE" w:rsidRPr="008B1755">
        <w:rPr>
          <w:lang w:val="cs-CZ"/>
        </w:rPr>
        <w:t>SD video, HD video a streaming</w:t>
      </w:r>
      <w:r w:rsidRPr="008B1755">
        <w:rPr>
          <w:lang w:val="cs-CZ"/>
        </w:rPr>
        <w:t xml:space="preserve"> hudby</w:t>
      </w:r>
      <w:r w:rsidR="003845AE" w:rsidRPr="008B1755">
        <w:rPr>
          <w:lang w:val="cs-CZ"/>
        </w:rPr>
        <w:t>)</w:t>
      </w:r>
      <w:r w:rsidR="00C84F89" w:rsidRPr="008B1755">
        <w:rPr>
          <w:lang w:val="cs-CZ"/>
        </w:rPr>
        <w:t>.</w:t>
      </w:r>
    </w:p>
    <w:p w:rsidR="00D61C28" w:rsidRPr="008B1755" w:rsidRDefault="003E7168" w:rsidP="0023063B">
      <w:pPr>
        <w:keepNext/>
        <w:keepLines/>
        <w:tabs>
          <w:tab w:val="num" w:pos="360"/>
        </w:tabs>
        <w:spacing w:before="360" w:after="120"/>
        <w:outlineLvl w:val="1"/>
        <w:rPr>
          <w:rFonts w:eastAsia="SimSun" w:cs="Arial"/>
          <w:b/>
          <w:bCs/>
          <w:sz w:val="24"/>
          <w:szCs w:val="24"/>
          <w:lang w:val="cs-CZ"/>
        </w:rPr>
      </w:pPr>
      <w:bookmarkStart w:id="57" w:name="_Toc461400171"/>
      <w:r w:rsidRPr="008B1755">
        <w:rPr>
          <w:rFonts w:eastAsia="SimSun" w:cs="Arial"/>
          <w:b/>
          <w:bCs/>
          <w:sz w:val="24"/>
          <w:szCs w:val="24"/>
          <w:lang w:val="cs-CZ"/>
        </w:rPr>
        <w:t xml:space="preserve">Článek </w:t>
      </w:r>
      <w:r w:rsidR="00BE6053" w:rsidRPr="008B1755">
        <w:rPr>
          <w:rFonts w:eastAsia="SimSun" w:cs="Arial"/>
          <w:b/>
          <w:bCs/>
          <w:sz w:val="24"/>
          <w:szCs w:val="24"/>
          <w:lang w:val="cs-CZ"/>
        </w:rPr>
        <w:t>4 odst. 1</w:t>
      </w:r>
      <w:r w:rsidR="00D61C28" w:rsidRPr="008B1755">
        <w:rPr>
          <w:rFonts w:eastAsia="SimSun" w:cs="Arial"/>
          <w:b/>
          <w:bCs/>
          <w:sz w:val="24"/>
          <w:szCs w:val="24"/>
          <w:lang w:val="cs-CZ"/>
        </w:rPr>
        <w:t xml:space="preserve"> </w:t>
      </w:r>
      <w:r w:rsidR="00AC529F" w:rsidRPr="008B1755">
        <w:rPr>
          <w:rFonts w:eastAsia="SimSun" w:cs="Arial"/>
          <w:b/>
          <w:bCs/>
          <w:sz w:val="24"/>
          <w:szCs w:val="24"/>
          <w:lang w:val="cs-CZ"/>
        </w:rPr>
        <w:t>písm. c)</w:t>
      </w:r>
      <w:bookmarkEnd w:id="57"/>
    </w:p>
    <w:p w:rsidR="00D61C28" w:rsidRPr="008B1755" w:rsidRDefault="00940CEC"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Fonts w:ascii="Times New Roman" w:hAnsi="Times New Roman"/>
          <w:lang w:val="cs-CZ"/>
        </w:rPr>
        <w:t xml:space="preserve">(c) </w:t>
      </w:r>
      <w:r w:rsidR="009B7C0D" w:rsidRPr="008B1755">
        <w:rPr>
          <w:rStyle w:val="Style2Char"/>
          <w:lang w:val="cs-CZ"/>
        </w:rPr>
        <w:t>jasné a srozumitelné vysvětlení toho, jaký praktický dopad by mohly mít služby uvedené v čl. 3 odst. 5, které si koncový uživatel objedná, na služby přístupu k internetu poskytované témuž koncovému uživateli</w:t>
      </w:r>
      <w:r w:rsidR="00D61C28" w:rsidRPr="008B1755">
        <w:rPr>
          <w:rFonts w:ascii="Times New Roman" w:hAnsi="Times New Roman"/>
          <w:lang w:val="cs-CZ"/>
        </w:rPr>
        <w:t>;</w:t>
      </w:r>
    </w:p>
    <w:p w:rsidR="00DD1C5C" w:rsidRPr="008B1755" w:rsidRDefault="00714676" w:rsidP="0038751B">
      <w:pPr>
        <w:numPr>
          <w:ilvl w:val="0"/>
          <w:numId w:val="2"/>
        </w:numPr>
        <w:contextualSpacing/>
        <w:rPr>
          <w:lang w:val="cs-CZ"/>
        </w:rPr>
      </w:pPr>
      <w:r w:rsidRPr="008B1755">
        <w:rPr>
          <w:lang w:val="cs-CZ"/>
        </w:rPr>
        <w:t xml:space="preserve">Vnitrostátní </w:t>
      </w:r>
      <w:r w:rsidR="00926BAE" w:rsidRPr="008B1755">
        <w:rPr>
          <w:lang w:val="cs-CZ"/>
        </w:rPr>
        <w:t>regulační orgány</w:t>
      </w:r>
      <w:r w:rsidR="00702BB9" w:rsidRPr="008B1755">
        <w:rPr>
          <w:lang w:val="cs-CZ"/>
        </w:rPr>
        <w:t xml:space="preserve"> </w:t>
      </w:r>
      <w:r w:rsidR="002A2389" w:rsidRPr="008B1755">
        <w:rPr>
          <w:lang w:val="cs-CZ"/>
        </w:rPr>
        <w:t xml:space="preserve">by měly zajistit, aby </w:t>
      </w:r>
      <w:r w:rsidR="007D7F64" w:rsidRPr="008B1755">
        <w:rPr>
          <w:lang w:val="cs-CZ"/>
        </w:rPr>
        <w:t>poskytovatelé internetových služeb</w:t>
      </w:r>
      <w:r w:rsidR="00702BB9" w:rsidRPr="008B1755">
        <w:rPr>
          <w:lang w:val="cs-CZ"/>
        </w:rPr>
        <w:t xml:space="preserve"> </w:t>
      </w:r>
      <w:r w:rsidR="002A2389" w:rsidRPr="008B1755">
        <w:rPr>
          <w:lang w:val="cs-CZ"/>
        </w:rPr>
        <w:t xml:space="preserve">ve smlouvě uváděli a zveřejňovali jasné a srozumitelné informace o tom, jak </w:t>
      </w:r>
      <w:r w:rsidR="00244C91" w:rsidRPr="008B1755">
        <w:rPr>
          <w:lang w:val="cs-CZ"/>
        </w:rPr>
        <w:t>specializované služby</w:t>
      </w:r>
      <w:r w:rsidR="00702BB9" w:rsidRPr="008B1755">
        <w:rPr>
          <w:lang w:val="cs-CZ"/>
        </w:rPr>
        <w:t xml:space="preserve"> </w:t>
      </w:r>
      <w:r w:rsidR="00955B91">
        <w:rPr>
          <w:lang w:val="cs-CZ"/>
        </w:rPr>
        <w:t xml:space="preserve">odebírané </w:t>
      </w:r>
      <w:r w:rsidR="002A2389" w:rsidRPr="008B1755">
        <w:rPr>
          <w:lang w:val="cs-CZ"/>
        </w:rPr>
        <w:t>koncov</w:t>
      </w:r>
      <w:r w:rsidR="00955B91">
        <w:rPr>
          <w:lang w:val="cs-CZ"/>
        </w:rPr>
        <w:t>ým</w:t>
      </w:r>
      <w:r w:rsidR="002A2389" w:rsidRPr="008B1755">
        <w:rPr>
          <w:lang w:val="cs-CZ"/>
        </w:rPr>
        <w:t xml:space="preserve"> uživatele</w:t>
      </w:r>
      <w:r w:rsidR="00955B91">
        <w:rPr>
          <w:lang w:val="cs-CZ"/>
        </w:rPr>
        <w:t>m</w:t>
      </w:r>
      <w:r w:rsidR="00367098">
        <w:rPr>
          <w:lang w:val="cs-CZ"/>
        </w:rPr>
        <w:t>,</w:t>
      </w:r>
      <w:r w:rsidR="002A2389" w:rsidRPr="008B1755">
        <w:rPr>
          <w:lang w:val="cs-CZ"/>
        </w:rPr>
        <w:t xml:space="preserve"> mohou ovlivnit </w:t>
      </w:r>
      <w:r w:rsidR="00DD272F" w:rsidRPr="008B1755">
        <w:rPr>
          <w:lang w:val="cs-CZ"/>
        </w:rPr>
        <w:t>služb</w:t>
      </w:r>
      <w:r w:rsidR="002A2389" w:rsidRPr="008B1755">
        <w:rPr>
          <w:lang w:val="cs-CZ"/>
        </w:rPr>
        <w:t>u</w:t>
      </w:r>
      <w:r w:rsidR="00DD272F" w:rsidRPr="008B1755">
        <w:rPr>
          <w:lang w:val="cs-CZ"/>
        </w:rPr>
        <w:t xml:space="preserve"> přístupu k internetu</w:t>
      </w:r>
      <w:r w:rsidR="00702BB9" w:rsidRPr="008B1755">
        <w:rPr>
          <w:lang w:val="cs-CZ"/>
        </w:rPr>
        <w:t>.</w:t>
      </w:r>
      <w:r w:rsidR="00DD1C5C" w:rsidRPr="008B1755">
        <w:rPr>
          <w:lang w:val="cs-CZ"/>
        </w:rPr>
        <w:t xml:space="preserve"> </w:t>
      </w:r>
      <w:r w:rsidR="002A2389" w:rsidRPr="008B1755">
        <w:rPr>
          <w:lang w:val="cs-CZ"/>
        </w:rPr>
        <w:t xml:space="preserve">To je podrobněji řešeno </w:t>
      </w:r>
      <w:r w:rsidR="00DD272F" w:rsidRPr="008B1755">
        <w:rPr>
          <w:lang w:val="cs-CZ"/>
        </w:rPr>
        <w:t xml:space="preserve">v </w:t>
      </w:r>
      <w:r w:rsidR="00D2652F">
        <w:rPr>
          <w:lang w:val="cs-CZ"/>
        </w:rPr>
        <w:t>bodu</w:t>
      </w:r>
      <w:r w:rsidR="00A90101" w:rsidRPr="008B1755">
        <w:rPr>
          <w:lang w:val="cs-CZ"/>
        </w:rPr>
        <w:t xml:space="preserve"> </w:t>
      </w:r>
      <w:r w:rsidR="00CA269E" w:rsidRPr="008B1755">
        <w:rPr>
          <w:lang w:val="cs-CZ"/>
        </w:rPr>
        <w:fldChar w:fldCharType="begin"/>
      </w:r>
      <w:r w:rsidR="00A90101" w:rsidRPr="008B1755">
        <w:rPr>
          <w:lang w:val="cs-CZ"/>
        </w:rPr>
        <w:instrText xml:space="preserve"> REF _Ref458073205 \r \h </w:instrText>
      </w:r>
      <w:r w:rsidR="00CA269E" w:rsidRPr="008B1755">
        <w:rPr>
          <w:lang w:val="cs-CZ"/>
        </w:rPr>
      </w:r>
      <w:r w:rsidR="00CA269E" w:rsidRPr="008B1755">
        <w:rPr>
          <w:lang w:val="cs-CZ"/>
        </w:rPr>
        <w:fldChar w:fldCharType="separate"/>
      </w:r>
      <w:r w:rsidR="003B403B" w:rsidRPr="008B1755">
        <w:rPr>
          <w:lang w:val="cs-CZ"/>
        </w:rPr>
        <w:t>122</w:t>
      </w:r>
      <w:r w:rsidR="00CA269E" w:rsidRPr="008B1755">
        <w:rPr>
          <w:lang w:val="cs-CZ"/>
        </w:rPr>
        <w:fldChar w:fldCharType="end"/>
      </w:r>
      <w:r w:rsidR="00461BDF" w:rsidRPr="008B1755">
        <w:rPr>
          <w:lang w:val="cs-CZ"/>
        </w:rPr>
        <w:t>.</w:t>
      </w:r>
    </w:p>
    <w:p w:rsidR="00D61C28" w:rsidRPr="008B1755" w:rsidRDefault="003E7168" w:rsidP="001B38FB">
      <w:pPr>
        <w:keepNext/>
        <w:keepLines/>
        <w:tabs>
          <w:tab w:val="num" w:pos="360"/>
        </w:tabs>
        <w:spacing w:before="360" w:after="120"/>
        <w:outlineLvl w:val="1"/>
        <w:rPr>
          <w:rFonts w:eastAsia="SimSun" w:cs="Arial"/>
          <w:b/>
          <w:bCs/>
          <w:sz w:val="24"/>
          <w:szCs w:val="24"/>
          <w:lang w:val="cs-CZ"/>
        </w:rPr>
      </w:pPr>
      <w:bookmarkStart w:id="58" w:name="_Toc461400172"/>
      <w:r w:rsidRPr="008B1755">
        <w:rPr>
          <w:rFonts w:eastAsia="SimSun" w:cs="Arial"/>
          <w:b/>
          <w:bCs/>
          <w:sz w:val="24"/>
          <w:szCs w:val="24"/>
          <w:lang w:val="cs-CZ"/>
        </w:rPr>
        <w:t xml:space="preserve">Článek </w:t>
      </w:r>
      <w:r w:rsidR="00BE6053" w:rsidRPr="008B1755">
        <w:rPr>
          <w:rFonts w:eastAsia="SimSun" w:cs="Arial"/>
          <w:b/>
          <w:bCs/>
          <w:sz w:val="24"/>
          <w:szCs w:val="24"/>
          <w:lang w:val="cs-CZ"/>
        </w:rPr>
        <w:t>4 odst. 1</w:t>
      </w:r>
      <w:r w:rsidR="00D61C28" w:rsidRPr="008B1755">
        <w:rPr>
          <w:rFonts w:eastAsia="SimSun" w:cs="Arial"/>
          <w:b/>
          <w:bCs/>
          <w:sz w:val="24"/>
          <w:szCs w:val="24"/>
          <w:lang w:val="cs-CZ"/>
        </w:rPr>
        <w:t xml:space="preserve"> </w:t>
      </w:r>
      <w:r w:rsidR="00AC529F" w:rsidRPr="008B1755">
        <w:rPr>
          <w:rFonts w:eastAsia="SimSun" w:cs="Arial"/>
          <w:b/>
          <w:bCs/>
          <w:sz w:val="24"/>
          <w:szCs w:val="24"/>
          <w:lang w:val="cs-CZ"/>
        </w:rPr>
        <w:t>písm. d)</w:t>
      </w:r>
      <w:bookmarkEnd w:id="58"/>
    </w:p>
    <w:p w:rsidR="00D61C28" w:rsidRPr="008B1755" w:rsidRDefault="00940CEC" w:rsidP="006F0EC7">
      <w:pPr>
        <w:pBdr>
          <w:top w:val="single" w:sz="4" w:space="1" w:color="auto"/>
          <w:left w:val="single" w:sz="4" w:space="4" w:color="auto"/>
          <w:bottom w:val="single" w:sz="4" w:space="1" w:color="auto"/>
          <w:right w:val="single" w:sz="4" w:space="4" w:color="auto"/>
        </w:pBdr>
        <w:shd w:val="clear" w:color="auto" w:fill="D9D9D9"/>
        <w:ind w:left="60"/>
        <w:rPr>
          <w:rFonts w:ascii="Times New Roman" w:hAnsi="Times New Roman"/>
          <w:lang w:val="cs-CZ"/>
        </w:rPr>
      </w:pPr>
      <w:r w:rsidRPr="008B1755">
        <w:rPr>
          <w:rFonts w:ascii="Times New Roman" w:hAnsi="Times New Roman"/>
          <w:lang w:val="cs-CZ"/>
        </w:rPr>
        <w:t xml:space="preserve">(d) </w:t>
      </w:r>
      <w:r w:rsidR="009B7C0D" w:rsidRPr="008B1755">
        <w:rPr>
          <w:rStyle w:val="Style2Char"/>
          <w:lang w:val="cs-CZ"/>
        </w:rPr>
        <w:t>jasné a srozumitelné vysvětlení toho, jaká je minimální, běžně dostupná, maximální a inzerovaná rychlost stahování a vkládání u služeb přístupu k internetu v případě pevných sítí, nebo jaká je odhadovaná maximální a inzerovaná rychlost stahování a vkládání u služeb přístupu k internetu v případě mobilních sítí, a toho, jaký dopad by mohly mít velké odchylky od inzerované rychlosti stahování nebo vkládání na výkon práv koncových uživatelů stanovených v čl. 3 odst. 1</w:t>
      </w:r>
      <w:r w:rsidR="00D61C28" w:rsidRPr="008B1755">
        <w:rPr>
          <w:rFonts w:ascii="Times New Roman" w:hAnsi="Times New Roman"/>
          <w:lang w:val="cs-CZ"/>
        </w:rPr>
        <w:t>;</w:t>
      </w:r>
    </w:p>
    <w:p w:rsidR="00D61C28" w:rsidRPr="008B1755" w:rsidRDefault="009A701D" w:rsidP="0038751B">
      <w:pPr>
        <w:numPr>
          <w:ilvl w:val="0"/>
          <w:numId w:val="2"/>
        </w:numPr>
        <w:spacing w:after="120"/>
        <w:rPr>
          <w:lang w:val="cs-CZ"/>
        </w:rPr>
      </w:pPr>
      <w:r w:rsidRPr="008B1755">
        <w:rPr>
          <w:rStyle w:val="BERECChar"/>
          <w:lang w:val="cs-CZ"/>
        </w:rPr>
        <w:t xml:space="preserve">Za účelem posílení postavení koncových uživatelů by hodnoty rychlosti požadované </w:t>
      </w:r>
      <w:r w:rsidRPr="008B1755">
        <w:rPr>
          <w:lang w:val="cs-CZ"/>
        </w:rPr>
        <w:t xml:space="preserve">čl. </w:t>
      </w:r>
      <w:r w:rsidR="00BE6053" w:rsidRPr="008B1755">
        <w:rPr>
          <w:lang w:val="cs-CZ"/>
        </w:rPr>
        <w:t>4 odst. 1</w:t>
      </w:r>
      <w:r w:rsidR="003674F0" w:rsidRPr="008B1755">
        <w:rPr>
          <w:lang w:val="cs-CZ"/>
        </w:rPr>
        <w:t xml:space="preserve"> </w:t>
      </w:r>
      <w:r w:rsidR="00AC529F" w:rsidRPr="008B1755">
        <w:rPr>
          <w:lang w:val="cs-CZ"/>
        </w:rPr>
        <w:t>písm. d)</w:t>
      </w:r>
      <w:r w:rsidR="003674F0" w:rsidRPr="008B1755">
        <w:rPr>
          <w:lang w:val="cs-CZ"/>
        </w:rPr>
        <w:t xml:space="preserve"> </w:t>
      </w:r>
      <w:r w:rsidRPr="008B1755">
        <w:rPr>
          <w:lang w:val="cs-CZ"/>
        </w:rPr>
        <w:t>měly být uvedeny ve smlouvě</w:t>
      </w:r>
      <w:r w:rsidR="00D61C28" w:rsidRPr="008B1755">
        <w:rPr>
          <w:lang w:val="cs-CZ"/>
        </w:rPr>
        <w:t xml:space="preserve"> </w:t>
      </w:r>
      <w:r w:rsidRPr="008B1755">
        <w:rPr>
          <w:lang w:val="cs-CZ"/>
        </w:rPr>
        <w:t>a zveřejněny</w:t>
      </w:r>
      <w:r w:rsidR="00D61C28" w:rsidRPr="008B1755">
        <w:rPr>
          <w:lang w:val="cs-CZ"/>
        </w:rPr>
        <w:t xml:space="preserve"> </w:t>
      </w:r>
      <w:r w:rsidRPr="008B1755">
        <w:rPr>
          <w:lang w:val="cs-CZ"/>
        </w:rPr>
        <w:t xml:space="preserve">takovým způsobem, aby je bylo možno ověřit a použít ke zjištění jakéhokoli rozporu mezi skutečným výkonem </w:t>
      </w:r>
      <w:r w:rsidR="00955B91">
        <w:rPr>
          <w:lang w:val="cs-CZ"/>
        </w:rPr>
        <w:t xml:space="preserve">služby </w:t>
      </w:r>
      <w:r w:rsidRPr="008B1755">
        <w:rPr>
          <w:lang w:val="cs-CZ"/>
        </w:rPr>
        <w:t>a parametry dohodnutými ve smlouvě</w:t>
      </w:r>
      <w:r w:rsidR="00D61C28" w:rsidRPr="008B1755">
        <w:rPr>
          <w:lang w:val="cs-CZ"/>
        </w:rPr>
        <w:t xml:space="preserve">. </w:t>
      </w:r>
      <w:r w:rsidRPr="008B1755">
        <w:rPr>
          <w:lang w:val="cs-CZ"/>
        </w:rPr>
        <w:t xml:space="preserve">Rychlosti </w:t>
      </w:r>
      <w:r w:rsidR="002E277A">
        <w:rPr>
          <w:lang w:val="cs-CZ"/>
        </w:rPr>
        <w:t xml:space="preserve">pro </w:t>
      </w:r>
      <w:r w:rsidR="00955B91">
        <w:rPr>
          <w:lang w:val="cs-CZ"/>
        </w:rPr>
        <w:t xml:space="preserve">upload a download </w:t>
      </w:r>
      <w:r w:rsidRPr="008B1755">
        <w:rPr>
          <w:lang w:val="cs-CZ"/>
        </w:rPr>
        <w:t>by měly být uváděny jako jednotlivé numerické hodnoty v </w:t>
      </w:r>
      <w:r w:rsidR="00D61C28" w:rsidRPr="008B1755">
        <w:rPr>
          <w:lang w:val="cs-CZ"/>
        </w:rPr>
        <w:t>bit</w:t>
      </w:r>
      <w:r w:rsidRPr="008B1755">
        <w:rPr>
          <w:lang w:val="cs-CZ"/>
        </w:rPr>
        <w:t xml:space="preserve">ech za sekundu </w:t>
      </w:r>
      <w:r w:rsidR="00D61C28" w:rsidRPr="008B1755">
        <w:rPr>
          <w:lang w:val="cs-CZ"/>
        </w:rPr>
        <w:t>(</w:t>
      </w:r>
      <w:r w:rsidR="00BE001A" w:rsidRPr="008B1755">
        <w:rPr>
          <w:lang w:val="cs-CZ"/>
        </w:rPr>
        <w:t>např.</w:t>
      </w:r>
      <w:r w:rsidR="00D61C28" w:rsidRPr="008B1755">
        <w:rPr>
          <w:lang w:val="cs-CZ"/>
        </w:rPr>
        <w:t xml:space="preserve"> kbit/s </w:t>
      </w:r>
      <w:r w:rsidRPr="008B1755">
        <w:rPr>
          <w:lang w:val="cs-CZ"/>
        </w:rPr>
        <w:t xml:space="preserve">nebo </w:t>
      </w:r>
      <w:r w:rsidR="00D61C28" w:rsidRPr="008B1755">
        <w:rPr>
          <w:lang w:val="cs-CZ"/>
        </w:rPr>
        <w:t xml:space="preserve">Mbit/s). </w:t>
      </w:r>
      <w:r w:rsidRPr="008B1755">
        <w:rPr>
          <w:lang w:val="cs-CZ"/>
        </w:rPr>
        <w:t xml:space="preserve">Rychlosti by měly být uváděny na základě uživatelských dat </w:t>
      </w:r>
      <w:r w:rsidR="00494A11" w:rsidRPr="008B1755">
        <w:rPr>
          <w:lang w:val="cs-CZ"/>
        </w:rPr>
        <w:t xml:space="preserve">IP </w:t>
      </w:r>
      <w:r w:rsidRPr="008B1755">
        <w:rPr>
          <w:lang w:val="cs-CZ"/>
        </w:rPr>
        <w:t xml:space="preserve">paketů nebo uživatelských dat protokolu </w:t>
      </w:r>
      <w:r w:rsidR="00C42352" w:rsidRPr="008B1755">
        <w:rPr>
          <w:lang w:val="cs-CZ"/>
        </w:rPr>
        <w:t>transport</w:t>
      </w:r>
      <w:r w:rsidRPr="008B1755">
        <w:rPr>
          <w:lang w:val="cs-CZ"/>
        </w:rPr>
        <w:t>ní vrstvy</w:t>
      </w:r>
      <w:r w:rsidR="00494A11" w:rsidRPr="008B1755">
        <w:rPr>
          <w:lang w:val="cs-CZ"/>
        </w:rPr>
        <w:t>, a</w:t>
      </w:r>
      <w:r w:rsidRPr="008B1755">
        <w:rPr>
          <w:lang w:val="cs-CZ"/>
        </w:rPr>
        <w:t xml:space="preserve"> nikoli na základě protokolu nižší vrstvy</w:t>
      </w:r>
      <w:r w:rsidR="00494A11" w:rsidRPr="008B1755">
        <w:rPr>
          <w:lang w:val="cs-CZ"/>
        </w:rPr>
        <w:t>.</w:t>
      </w:r>
    </w:p>
    <w:p w:rsidR="00D61C28" w:rsidRPr="008B1755" w:rsidRDefault="009A701D" w:rsidP="00B51625">
      <w:pPr>
        <w:numPr>
          <w:ilvl w:val="0"/>
          <w:numId w:val="2"/>
        </w:numPr>
        <w:spacing w:after="120"/>
        <w:rPr>
          <w:lang w:val="cs-CZ"/>
        </w:rPr>
      </w:pPr>
      <w:r w:rsidRPr="008B1755">
        <w:rPr>
          <w:lang w:val="cs-CZ"/>
        </w:rPr>
        <w:t>Aby smluvní údaj</w:t>
      </w:r>
      <w:r w:rsidR="00955B91">
        <w:rPr>
          <w:lang w:val="cs-CZ"/>
        </w:rPr>
        <w:t>e</w:t>
      </w:r>
      <w:r w:rsidRPr="008B1755">
        <w:rPr>
          <w:lang w:val="cs-CZ"/>
        </w:rPr>
        <w:t xml:space="preserve"> o rychlosti byly srozumitelné</w:t>
      </w:r>
      <w:r w:rsidR="00D61C28" w:rsidRPr="008B1755">
        <w:rPr>
          <w:lang w:val="cs-CZ"/>
        </w:rPr>
        <w:t xml:space="preserve">, </w:t>
      </w:r>
      <w:r w:rsidRPr="008B1755">
        <w:rPr>
          <w:lang w:val="cs-CZ"/>
        </w:rPr>
        <w:t>měly by ve smlouvách být uvedeny faktory, které mohou mít dopad na rychlost</w:t>
      </w:r>
      <w:r w:rsidR="00724273" w:rsidRPr="008B1755">
        <w:rPr>
          <w:lang w:val="cs-CZ"/>
        </w:rPr>
        <w:t xml:space="preserve">, </w:t>
      </w:r>
      <w:r w:rsidRPr="008B1755">
        <w:rPr>
          <w:lang w:val="cs-CZ"/>
        </w:rPr>
        <w:t xml:space="preserve">a to jak faktory pod kontrolou </w:t>
      </w:r>
      <w:r w:rsidR="00792C4F" w:rsidRPr="008B1755">
        <w:rPr>
          <w:lang w:val="cs-CZ"/>
        </w:rPr>
        <w:t>poskytovatele internetových služeb</w:t>
      </w:r>
      <w:r w:rsidRPr="008B1755">
        <w:rPr>
          <w:lang w:val="cs-CZ"/>
        </w:rPr>
        <w:t>, tak mimo jeho kontrolu</w:t>
      </w:r>
      <w:r w:rsidR="00724273" w:rsidRPr="008B1755">
        <w:rPr>
          <w:lang w:val="cs-CZ"/>
        </w:rPr>
        <w:t xml:space="preserve">. </w:t>
      </w:r>
    </w:p>
    <w:p w:rsidR="00D61C28" w:rsidRPr="008B1755" w:rsidRDefault="009A701D" w:rsidP="0038751B">
      <w:pPr>
        <w:numPr>
          <w:ilvl w:val="0"/>
          <w:numId w:val="2"/>
        </w:numPr>
        <w:spacing w:after="120"/>
        <w:rPr>
          <w:rFonts w:eastAsia="Times New Roman"/>
          <w:lang w:val="cs-CZ"/>
        </w:rPr>
      </w:pPr>
      <w:bookmarkStart w:id="59" w:name="_Ref448935588"/>
      <w:r w:rsidRPr="008B1755">
        <w:rPr>
          <w:lang w:val="cs-CZ"/>
        </w:rPr>
        <w:t xml:space="preserve">Sdružení </w:t>
      </w:r>
      <w:r w:rsidR="00D61C28" w:rsidRPr="008B1755">
        <w:rPr>
          <w:lang w:val="cs-CZ"/>
        </w:rPr>
        <w:t xml:space="preserve">BEREC </w:t>
      </w:r>
      <w:r w:rsidRPr="008B1755">
        <w:rPr>
          <w:lang w:val="cs-CZ"/>
        </w:rPr>
        <w:t xml:space="preserve">chápe, že požadavek, aby </w:t>
      </w:r>
      <w:r w:rsidR="007D7F64" w:rsidRPr="008B1755">
        <w:rPr>
          <w:lang w:val="cs-CZ"/>
        </w:rPr>
        <w:t>poskytovatelé internetových služeb</w:t>
      </w:r>
      <w:r w:rsidR="00D61C28" w:rsidRPr="008B1755">
        <w:rPr>
          <w:lang w:val="cs-CZ"/>
        </w:rPr>
        <w:t xml:space="preserve"> </w:t>
      </w:r>
      <w:r w:rsidRPr="008B1755">
        <w:rPr>
          <w:lang w:val="cs-CZ"/>
        </w:rPr>
        <w:t xml:space="preserve">uváděli ve smlouvě a zveřejňovali informace o </w:t>
      </w:r>
      <w:r w:rsidR="00D55F19" w:rsidRPr="008B1755">
        <w:rPr>
          <w:i/>
          <w:lang w:val="cs-CZ"/>
        </w:rPr>
        <w:t>inzerovaných rychlostech,</w:t>
      </w:r>
      <w:r w:rsidR="00D61C28" w:rsidRPr="008B1755">
        <w:rPr>
          <w:lang w:val="cs-CZ"/>
        </w:rPr>
        <w:t xml:space="preserve"> </w:t>
      </w:r>
      <w:r w:rsidR="00D55F19" w:rsidRPr="008B1755">
        <w:rPr>
          <w:lang w:val="cs-CZ"/>
        </w:rPr>
        <w:t>neznamená požadavek na inzerování rychlostí</w:t>
      </w:r>
      <w:r w:rsidR="008F46FF">
        <w:rPr>
          <w:lang w:val="cs-CZ"/>
        </w:rPr>
        <w:t xml:space="preserve"> jako takové</w:t>
      </w:r>
      <w:r w:rsidR="00D55F19" w:rsidRPr="008B1755">
        <w:rPr>
          <w:lang w:val="cs-CZ"/>
        </w:rPr>
        <w:t xml:space="preserve">. Spíše je omezen na uvedení </w:t>
      </w:r>
      <w:r w:rsidRPr="008B1755">
        <w:rPr>
          <w:lang w:val="cs-CZ"/>
        </w:rPr>
        <w:t>ve smlouvě</w:t>
      </w:r>
      <w:r w:rsidR="001847FC" w:rsidRPr="008B1755">
        <w:rPr>
          <w:lang w:val="cs-CZ"/>
        </w:rPr>
        <w:t xml:space="preserve"> a</w:t>
      </w:r>
      <w:r w:rsidR="00D55F19" w:rsidRPr="008B1755">
        <w:rPr>
          <w:lang w:val="cs-CZ"/>
        </w:rPr>
        <w:t xml:space="preserve"> zveřejnění informací o rychlostech, které jsou inzerovány </w:t>
      </w:r>
      <w:r w:rsidR="00DD272F" w:rsidRPr="008B1755">
        <w:rPr>
          <w:lang w:val="cs-CZ"/>
        </w:rPr>
        <w:t>poskytovatel</w:t>
      </w:r>
      <w:r w:rsidR="00D55F19" w:rsidRPr="008B1755">
        <w:rPr>
          <w:lang w:val="cs-CZ"/>
        </w:rPr>
        <w:t>em</w:t>
      </w:r>
      <w:r w:rsidR="00DD272F" w:rsidRPr="008B1755">
        <w:rPr>
          <w:lang w:val="cs-CZ"/>
        </w:rPr>
        <w:t xml:space="preserve"> internetových služeb</w:t>
      </w:r>
      <w:r w:rsidR="00D61C28" w:rsidRPr="008B1755">
        <w:rPr>
          <w:lang w:val="cs-CZ"/>
        </w:rPr>
        <w:t xml:space="preserve">. </w:t>
      </w:r>
      <w:r w:rsidR="00D55F19" w:rsidRPr="008B1755">
        <w:rPr>
          <w:lang w:val="cs-CZ"/>
        </w:rPr>
        <w:t xml:space="preserve">Požadavek na uvedení inzerované rychlosti vyžaduje, aby </w:t>
      </w:r>
      <w:r w:rsidR="00DD272F" w:rsidRPr="008B1755">
        <w:rPr>
          <w:lang w:val="cs-CZ"/>
        </w:rPr>
        <w:t>poskytovatel internetových služeb</w:t>
      </w:r>
      <w:r w:rsidR="00C057E3" w:rsidRPr="008B1755">
        <w:rPr>
          <w:lang w:val="cs-CZ"/>
        </w:rPr>
        <w:t xml:space="preserve"> </w:t>
      </w:r>
      <w:r w:rsidR="00D55F19" w:rsidRPr="008B1755">
        <w:rPr>
          <w:lang w:val="cs-CZ"/>
        </w:rPr>
        <w:t xml:space="preserve">vysvětlil inzerovanou rychlost konkrétní nabídky </w:t>
      </w:r>
      <w:r w:rsidR="00DD272F" w:rsidRPr="008B1755">
        <w:rPr>
          <w:lang w:val="cs-CZ"/>
        </w:rPr>
        <w:t>služb</w:t>
      </w:r>
      <w:r w:rsidR="00D55F19" w:rsidRPr="008B1755">
        <w:rPr>
          <w:lang w:val="cs-CZ"/>
        </w:rPr>
        <w:t>y</w:t>
      </w:r>
      <w:r w:rsidR="00DD272F" w:rsidRPr="008B1755">
        <w:rPr>
          <w:lang w:val="cs-CZ"/>
        </w:rPr>
        <w:t xml:space="preserve"> přístupu k internetu</w:t>
      </w:r>
      <w:r w:rsidR="00C057E3" w:rsidRPr="008B1755">
        <w:rPr>
          <w:lang w:val="cs-CZ"/>
        </w:rPr>
        <w:t xml:space="preserve"> </w:t>
      </w:r>
      <w:r w:rsidR="00D55F19" w:rsidRPr="008B1755">
        <w:rPr>
          <w:lang w:val="cs-CZ"/>
        </w:rPr>
        <w:t xml:space="preserve">uvedenou </w:t>
      </w:r>
      <w:r w:rsidRPr="008B1755">
        <w:rPr>
          <w:lang w:val="cs-CZ"/>
        </w:rPr>
        <w:t>ve smlouvě</w:t>
      </w:r>
      <w:r w:rsidR="00C057E3" w:rsidRPr="008B1755">
        <w:rPr>
          <w:lang w:val="cs-CZ"/>
        </w:rPr>
        <w:t xml:space="preserve">, </w:t>
      </w:r>
      <w:r w:rsidR="00D55F19" w:rsidRPr="008B1755">
        <w:rPr>
          <w:lang w:val="cs-CZ"/>
        </w:rPr>
        <w:t>pokud rychlost byla inzerována</w:t>
      </w:r>
      <w:r w:rsidR="00C057E3" w:rsidRPr="008B1755">
        <w:rPr>
          <w:lang w:val="cs-CZ"/>
        </w:rPr>
        <w:t xml:space="preserve">. </w:t>
      </w:r>
      <w:r w:rsidR="00D55F19" w:rsidRPr="008B1755">
        <w:rPr>
          <w:lang w:val="cs-CZ"/>
        </w:rPr>
        <w:t xml:space="preserve">Poskytovatel </w:t>
      </w:r>
      <w:r w:rsidR="00DD272F" w:rsidRPr="008B1755">
        <w:rPr>
          <w:lang w:val="cs-CZ"/>
        </w:rPr>
        <w:t>internetových služeb</w:t>
      </w:r>
      <w:r w:rsidR="00C057E3" w:rsidRPr="008B1755">
        <w:rPr>
          <w:lang w:val="cs-CZ"/>
        </w:rPr>
        <w:t xml:space="preserve"> </w:t>
      </w:r>
      <w:r w:rsidR="00D55F19" w:rsidRPr="008B1755">
        <w:rPr>
          <w:lang w:val="cs-CZ"/>
        </w:rPr>
        <w:t xml:space="preserve">může samozřejmě rovněž inzerovat jiné nabídky </w:t>
      </w:r>
      <w:r w:rsidR="00DD272F" w:rsidRPr="008B1755">
        <w:rPr>
          <w:lang w:val="cs-CZ"/>
        </w:rPr>
        <w:t>služb</w:t>
      </w:r>
      <w:r w:rsidR="00D55F19" w:rsidRPr="008B1755">
        <w:rPr>
          <w:lang w:val="cs-CZ"/>
        </w:rPr>
        <w:t>y</w:t>
      </w:r>
      <w:r w:rsidR="00DD272F" w:rsidRPr="008B1755">
        <w:rPr>
          <w:lang w:val="cs-CZ"/>
        </w:rPr>
        <w:t xml:space="preserve"> přístupu k internetu</w:t>
      </w:r>
      <w:r w:rsidR="00C057E3" w:rsidRPr="008B1755">
        <w:rPr>
          <w:lang w:val="cs-CZ"/>
        </w:rPr>
        <w:t xml:space="preserve"> </w:t>
      </w:r>
      <w:r w:rsidR="00D55F19" w:rsidRPr="008B1755">
        <w:rPr>
          <w:lang w:val="cs-CZ"/>
        </w:rPr>
        <w:t xml:space="preserve">s vyšší nebo nižší rychlostí, které nejsou </w:t>
      </w:r>
      <w:r w:rsidR="00D07E1D">
        <w:rPr>
          <w:lang w:val="cs-CZ"/>
        </w:rPr>
        <w:t xml:space="preserve">předmětem konkrétního </w:t>
      </w:r>
      <w:r w:rsidRPr="008B1755">
        <w:rPr>
          <w:lang w:val="cs-CZ"/>
        </w:rPr>
        <w:t>smluv</w:t>
      </w:r>
      <w:r w:rsidR="00D07E1D">
        <w:rPr>
          <w:lang w:val="cs-CZ"/>
        </w:rPr>
        <w:t>ního vztahu dotčeného</w:t>
      </w:r>
      <w:r w:rsidR="00D55F19" w:rsidRPr="008B1755">
        <w:rPr>
          <w:lang w:val="cs-CZ"/>
        </w:rPr>
        <w:t xml:space="preserve"> účastník</w:t>
      </w:r>
      <w:r w:rsidR="00677A90">
        <w:rPr>
          <w:lang w:val="cs-CZ"/>
        </w:rPr>
        <w:t>a</w:t>
      </w:r>
      <w:r w:rsidR="00D55F19" w:rsidRPr="008B1755">
        <w:rPr>
          <w:lang w:val="cs-CZ"/>
        </w:rPr>
        <w:t xml:space="preserve"> </w:t>
      </w:r>
      <w:r w:rsidR="00C057E3" w:rsidRPr="008B1755">
        <w:rPr>
          <w:lang w:val="cs-CZ"/>
        </w:rPr>
        <w:t>(</w:t>
      </w:r>
      <w:r w:rsidR="00D55F19" w:rsidRPr="008B1755">
        <w:rPr>
          <w:lang w:val="cs-CZ"/>
        </w:rPr>
        <w:t>ať již z vlastního rozhodnutí, nebo kvůli nedostupnosti služby v dané lokalitě</w:t>
      </w:r>
      <w:r w:rsidR="00C057E3" w:rsidRPr="008B1755">
        <w:rPr>
          <w:lang w:val="cs-CZ"/>
        </w:rPr>
        <w:t xml:space="preserve">), </w:t>
      </w:r>
      <w:bookmarkEnd w:id="59"/>
      <w:r w:rsidR="008B04CC" w:rsidRPr="008B1755">
        <w:rPr>
          <w:lang w:val="cs-CZ"/>
        </w:rPr>
        <w:t>v </w:t>
      </w:r>
      <w:r w:rsidR="008B04CC" w:rsidRPr="00C213BA">
        <w:rPr>
          <w:lang w:val="cs-CZ"/>
        </w:rPr>
        <w:t>souladu s právní úpravou týkající se propagace a nabídky služeb</w:t>
      </w:r>
      <w:r w:rsidR="008B04CC" w:rsidRPr="008B1755">
        <w:rPr>
          <w:lang w:val="cs-CZ"/>
        </w:rPr>
        <w:t>.</w:t>
      </w:r>
    </w:p>
    <w:p w:rsidR="00D61C28" w:rsidRPr="008B1755" w:rsidRDefault="00D61C28" w:rsidP="00262769">
      <w:pPr>
        <w:keepNext/>
        <w:keepLines/>
        <w:spacing w:before="120" w:after="120"/>
        <w:outlineLvl w:val="3"/>
        <w:rPr>
          <w:rFonts w:eastAsia="SimSun"/>
          <w:bCs/>
          <w:i/>
          <w:iCs/>
          <w:sz w:val="24"/>
          <w:szCs w:val="24"/>
          <w:u w:val="single"/>
          <w:lang w:val="cs-CZ"/>
        </w:rPr>
      </w:pPr>
      <w:bookmarkStart w:id="60" w:name="_Toc438548574"/>
      <w:r w:rsidRPr="008B1755">
        <w:rPr>
          <w:rFonts w:eastAsia="SimSun"/>
          <w:bCs/>
          <w:i/>
          <w:iCs/>
          <w:sz w:val="24"/>
          <w:szCs w:val="24"/>
          <w:u w:val="single"/>
          <w:lang w:val="cs-CZ"/>
        </w:rPr>
        <w:t>Specif</w:t>
      </w:r>
      <w:r w:rsidR="009A701D" w:rsidRPr="008B1755">
        <w:rPr>
          <w:rFonts w:eastAsia="SimSun"/>
          <w:bCs/>
          <w:i/>
          <w:iCs/>
          <w:sz w:val="24"/>
          <w:szCs w:val="24"/>
          <w:u w:val="single"/>
          <w:lang w:val="cs-CZ"/>
        </w:rPr>
        <w:t xml:space="preserve">ikace rychlostí pro </w:t>
      </w:r>
      <w:r w:rsidR="007D7F64" w:rsidRPr="008B1755">
        <w:rPr>
          <w:rFonts w:eastAsia="SimSun"/>
          <w:bCs/>
          <w:i/>
          <w:iCs/>
          <w:sz w:val="24"/>
          <w:szCs w:val="24"/>
          <w:u w:val="single"/>
          <w:lang w:val="cs-CZ"/>
        </w:rPr>
        <w:t>služb</w:t>
      </w:r>
      <w:r w:rsidR="009A701D" w:rsidRPr="008B1755">
        <w:rPr>
          <w:rFonts w:eastAsia="SimSun"/>
          <w:bCs/>
          <w:i/>
          <w:iCs/>
          <w:sz w:val="24"/>
          <w:szCs w:val="24"/>
          <w:u w:val="single"/>
          <w:lang w:val="cs-CZ"/>
        </w:rPr>
        <w:t>u</w:t>
      </w:r>
      <w:r w:rsidR="007D7F64" w:rsidRPr="008B1755">
        <w:rPr>
          <w:rFonts w:eastAsia="SimSun"/>
          <w:bCs/>
          <w:i/>
          <w:iCs/>
          <w:sz w:val="24"/>
          <w:szCs w:val="24"/>
          <w:u w:val="single"/>
          <w:lang w:val="cs-CZ"/>
        </w:rPr>
        <w:t xml:space="preserve"> přístupu k internetu</w:t>
      </w:r>
      <w:r w:rsidR="002E0C29" w:rsidRPr="008B1755">
        <w:rPr>
          <w:rFonts w:eastAsia="SimSun"/>
          <w:bCs/>
          <w:i/>
          <w:iCs/>
          <w:sz w:val="24"/>
          <w:szCs w:val="24"/>
          <w:u w:val="single"/>
          <w:lang w:val="cs-CZ"/>
        </w:rPr>
        <w:t xml:space="preserve"> </w:t>
      </w:r>
      <w:r w:rsidR="009A701D" w:rsidRPr="008B1755">
        <w:rPr>
          <w:rFonts w:eastAsia="SimSun"/>
          <w:bCs/>
          <w:i/>
          <w:iCs/>
          <w:sz w:val="24"/>
          <w:szCs w:val="24"/>
          <w:u w:val="single"/>
          <w:lang w:val="cs-CZ"/>
        </w:rPr>
        <w:t>v pevných sítí</w:t>
      </w:r>
      <w:bookmarkEnd w:id="60"/>
      <w:r w:rsidR="00D07E1D">
        <w:rPr>
          <w:rFonts w:eastAsia="SimSun"/>
          <w:bCs/>
          <w:i/>
          <w:iCs/>
          <w:sz w:val="24"/>
          <w:szCs w:val="24"/>
          <w:u w:val="single"/>
          <w:lang w:val="cs-CZ"/>
        </w:rPr>
        <w:t>ch</w:t>
      </w:r>
    </w:p>
    <w:p w:rsidR="00D61C28" w:rsidRPr="008B1755" w:rsidRDefault="00D61C28" w:rsidP="00D61C28">
      <w:pPr>
        <w:keepNext/>
        <w:keepLines/>
        <w:spacing w:before="200" w:after="60"/>
        <w:outlineLvl w:val="3"/>
        <w:rPr>
          <w:rFonts w:eastAsia="SimSun"/>
          <w:bCs/>
          <w:i/>
          <w:iCs/>
          <w:lang w:val="cs-CZ"/>
        </w:rPr>
      </w:pPr>
      <w:r w:rsidRPr="008B1755">
        <w:rPr>
          <w:rFonts w:eastAsia="SimSun"/>
          <w:bCs/>
          <w:i/>
          <w:iCs/>
          <w:lang w:val="cs-CZ"/>
        </w:rPr>
        <w:t>Minim</w:t>
      </w:r>
      <w:r w:rsidR="00953221" w:rsidRPr="008B1755">
        <w:rPr>
          <w:rFonts w:eastAsia="SimSun"/>
          <w:bCs/>
          <w:i/>
          <w:iCs/>
          <w:lang w:val="cs-CZ"/>
        </w:rPr>
        <w:t>ální rychlost</w:t>
      </w:r>
    </w:p>
    <w:p w:rsidR="00B010C0" w:rsidRPr="00B9625E" w:rsidRDefault="00953221" w:rsidP="00B9625E">
      <w:pPr>
        <w:numPr>
          <w:ilvl w:val="0"/>
          <w:numId w:val="2"/>
        </w:numPr>
        <w:spacing w:after="120"/>
        <w:rPr>
          <w:lang w:val="cs-CZ"/>
        </w:rPr>
      </w:pPr>
      <w:r w:rsidRPr="008B1755">
        <w:rPr>
          <w:lang w:val="cs-CZ"/>
        </w:rPr>
        <w:t xml:space="preserve">Minimální rychlost je nejnižší rychlost, jakou se </w:t>
      </w:r>
      <w:r w:rsidR="00DD272F" w:rsidRPr="008B1755">
        <w:rPr>
          <w:lang w:val="cs-CZ"/>
        </w:rPr>
        <w:t>poskytovatel internetových služeb</w:t>
      </w:r>
      <w:r w:rsidR="00D61C28" w:rsidRPr="008B1755">
        <w:rPr>
          <w:lang w:val="cs-CZ"/>
        </w:rPr>
        <w:t xml:space="preserve"> </w:t>
      </w:r>
      <w:r w:rsidR="00D07E1D">
        <w:rPr>
          <w:lang w:val="cs-CZ"/>
        </w:rPr>
        <w:t xml:space="preserve"> </w:t>
      </w:r>
      <w:r w:rsidRPr="008B1755">
        <w:rPr>
          <w:lang w:val="cs-CZ"/>
        </w:rPr>
        <w:t>zavazuje poskytovat koncovému uživateli podle smlouvy</w:t>
      </w:r>
      <w:r w:rsidR="00D07E1D">
        <w:rPr>
          <w:lang w:val="cs-CZ"/>
        </w:rPr>
        <w:t xml:space="preserve"> o poskytování </w:t>
      </w:r>
      <w:r w:rsidR="00DD272F" w:rsidRPr="008B1755">
        <w:rPr>
          <w:lang w:val="cs-CZ"/>
        </w:rPr>
        <w:t>služb</w:t>
      </w:r>
      <w:r w:rsidR="00D07E1D">
        <w:rPr>
          <w:lang w:val="cs-CZ"/>
        </w:rPr>
        <w:t>y</w:t>
      </w:r>
      <w:r w:rsidR="00DD272F" w:rsidRPr="008B1755">
        <w:rPr>
          <w:lang w:val="cs-CZ"/>
        </w:rPr>
        <w:t xml:space="preserve"> přístupu k internetu</w:t>
      </w:r>
      <w:r w:rsidR="00D61C28" w:rsidRPr="008B1755">
        <w:rPr>
          <w:lang w:val="cs-CZ"/>
        </w:rPr>
        <w:t>.</w:t>
      </w:r>
      <w:r w:rsidR="001A1A62" w:rsidRPr="008B1755">
        <w:rPr>
          <w:lang w:val="cs-CZ"/>
        </w:rPr>
        <w:t xml:space="preserve"> </w:t>
      </w:r>
      <w:r w:rsidRPr="008B1755">
        <w:rPr>
          <w:lang w:val="cs-CZ"/>
        </w:rPr>
        <w:t xml:space="preserve">V zásadě by </w:t>
      </w:r>
      <w:r w:rsidR="00D07E1D">
        <w:rPr>
          <w:lang w:val="cs-CZ"/>
        </w:rPr>
        <w:t xml:space="preserve">aktuální </w:t>
      </w:r>
      <w:r w:rsidRPr="008B1755">
        <w:rPr>
          <w:lang w:val="cs-CZ"/>
        </w:rPr>
        <w:t>rychlost neměla být nižší než minimální rychlost</w:t>
      </w:r>
      <w:r w:rsidR="00BD3C37" w:rsidRPr="008B1755">
        <w:rPr>
          <w:lang w:val="cs-CZ"/>
        </w:rPr>
        <w:t xml:space="preserve">, </w:t>
      </w:r>
      <w:r w:rsidRPr="008B1755">
        <w:rPr>
          <w:lang w:val="cs-CZ"/>
        </w:rPr>
        <w:t xml:space="preserve">s výjimkou případů přerušení </w:t>
      </w:r>
      <w:r w:rsidR="00D07E1D">
        <w:rPr>
          <w:lang w:val="cs-CZ"/>
        </w:rPr>
        <w:t xml:space="preserve">(výpadku) </w:t>
      </w:r>
      <w:r w:rsidR="00747C71" w:rsidRPr="008B1755">
        <w:rPr>
          <w:lang w:val="cs-CZ"/>
        </w:rPr>
        <w:t>služby</w:t>
      </w:r>
      <w:r w:rsidR="00DD272F" w:rsidRPr="008B1755">
        <w:rPr>
          <w:lang w:val="cs-CZ"/>
        </w:rPr>
        <w:t xml:space="preserve"> přístupu k internetu</w:t>
      </w:r>
      <w:r w:rsidR="00BD3C37" w:rsidRPr="008B1755">
        <w:rPr>
          <w:lang w:val="cs-CZ"/>
        </w:rPr>
        <w:t xml:space="preserve">. </w:t>
      </w:r>
      <w:r w:rsidRPr="008B1755">
        <w:rPr>
          <w:lang w:val="cs-CZ"/>
        </w:rPr>
        <w:t xml:space="preserve">Pokud je </w:t>
      </w:r>
      <w:r w:rsidR="00D07E1D">
        <w:rPr>
          <w:lang w:val="cs-CZ"/>
        </w:rPr>
        <w:t xml:space="preserve">odchylka aktuální </w:t>
      </w:r>
      <w:r w:rsidRPr="008B1755">
        <w:rPr>
          <w:lang w:val="cs-CZ"/>
        </w:rPr>
        <w:t>rychlost</w:t>
      </w:r>
      <w:r w:rsidR="00D07E1D">
        <w:rPr>
          <w:lang w:val="cs-CZ"/>
        </w:rPr>
        <w:t xml:space="preserve">i oproti </w:t>
      </w:r>
      <w:r w:rsidR="00B9625E">
        <w:rPr>
          <w:lang w:val="cs-CZ"/>
        </w:rPr>
        <w:t xml:space="preserve">rychlosti </w:t>
      </w:r>
      <w:r w:rsidR="00D07E1D">
        <w:rPr>
          <w:lang w:val="cs-CZ"/>
        </w:rPr>
        <w:t xml:space="preserve">minimální </w:t>
      </w:r>
      <w:r w:rsidR="007D7F64" w:rsidRPr="008B1755">
        <w:rPr>
          <w:lang w:val="cs-CZ"/>
        </w:rPr>
        <w:t>služb</w:t>
      </w:r>
      <w:r w:rsidRPr="008B1755">
        <w:rPr>
          <w:lang w:val="cs-CZ"/>
        </w:rPr>
        <w:t>y</w:t>
      </w:r>
      <w:r w:rsidR="007D7F64" w:rsidRPr="008B1755">
        <w:rPr>
          <w:lang w:val="cs-CZ"/>
        </w:rPr>
        <w:t xml:space="preserve"> přístupu k internetu</w:t>
      </w:r>
      <w:r w:rsidR="00D61C28" w:rsidRPr="008B1755">
        <w:rPr>
          <w:lang w:val="cs-CZ"/>
        </w:rPr>
        <w:t xml:space="preserve"> </w:t>
      </w:r>
      <w:r w:rsidR="00B9625E" w:rsidRPr="00B90AAF">
        <w:rPr>
          <w:lang w:val="cs-CZ"/>
        </w:rPr>
        <w:t>v</w:t>
      </w:r>
      <w:r w:rsidR="00D07E1D" w:rsidRPr="00B90AAF">
        <w:rPr>
          <w:rStyle w:val="hps"/>
        </w:rPr>
        <w:t>elká</w:t>
      </w:r>
      <w:r w:rsidR="00B9625E" w:rsidRPr="00B90AAF">
        <w:rPr>
          <w:rStyle w:val="hps"/>
        </w:rPr>
        <w:t>,</w:t>
      </w:r>
      <w:r w:rsidR="00D07E1D" w:rsidRPr="00B90AAF">
        <w:rPr>
          <w:rStyle w:val="hps"/>
        </w:rPr>
        <w:t xml:space="preserve"> trvající či pravidelně se opakující</w:t>
      </w:r>
      <w:r w:rsidR="00D61C28" w:rsidRPr="008B1755">
        <w:rPr>
          <w:lang w:val="cs-CZ"/>
        </w:rPr>
        <w:t xml:space="preserve">, </w:t>
      </w:r>
      <w:r w:rsidR="00B639EF" w:rsidRPr="008B1755">
        <w:rPr>
          <w:lang w:val="cs-CZ"/>
        </w:rPr>
        <w:t xml:space="preserve">znamenalo by to neplnění </w:t>
      </w:r>
      <w:r w:rsidR="00B9625E">
        <w:rPr>
          <w:lang w:val="cs-CZ"/>
        </w:rPr>
        <w:t xml:space="preserve">parametru </w:t>
      </w:r>
      <w:r w:rsidR="00B639EF" w:rsidRPr="008B1755">
        <w:rPr>
          <w:lang w:val="cs-CZ"/>
        </w:rPr>
        <w:t xml:space="preserve">dohodnuté </w:t>
      </w:r>
      <w:r w:rsidRPr="008B1755">
        <w:rPr>
          <w:lang w:val="cs-CZ"/>
        </w:rPr>
        <w:t>minimální rychlost</w:t>
      </w:r>
      <w:r w:rsidR="00B639EF" w:rsidRPr="008B1755">
        <w:rPr>
          <w:lang w:val="cs-CZ"/>
        </w:rPr>
        <w:t>i</w:t>
      </w:r>
      <w:r w:rsidR="00D61C28" w:rsidRPr="008B1755">
        <w:rPr>
          <w:lang w:val="cs-CZ"/>
        </w:rPr>
        <w:t>.</w:t>
      </w:r>
    </w:p>
    <w:p w:rsidR="00D61C28" w:rsidRPr="008B1755" w:rsidRDefault="00B639EF" w:rsidP="0038751B">
      <w:pPr>
        <w:numPr>
          <w:ilvl w:val="0"/>
          <w:numId w:val="2"/>
        </w:numPr>
        <w:spacing w:after="120"/>
        <w:rPr>
          <w:lang w:val="cs-CZ"/>
        </w:rPr>
      </w:pPr>
      <w:r w:rsidRPr="008B1755">
        <w:rPr>
          <w:lang w:val="cs-CZ"/>
        </w:rPr>
        <w:t xml:space="preserve">Vnitrostátní </w:t>
      </w:r>
      <w:r w:rsidR="00926BAE" w:rsidRPr="008B1755">
        <w:rPr>
          <w:lang w:val="cs-CZ"/>
        </w:rPr>
        <w:t>regulační orgány</w:t>
      </w:r>
      <w:r w:rsidR="001847FC" w:rsidRPr="008B1755">
        <w:rPr>
          <w:rStyle w:val="Znakapoznpodarou"/>
          <w:lang w:val="cs-CZ"/>
        </w:rPr>
        <w:footnoteReference w:id="34"/>
      </w:r>
      <w:r w:rsidR="00F1534F" w:rsidRPr="008B1755">
        <w:rPr>
          <w:lang w:val="cs-CZ"/>
        </w:rPr>
        <w:t xml:space="preserve"> </w:t>
      </w:r>
      <w:r w:rsidRPr="008B1755">
        <w:rPr>
          <w:lang w:val="cs-CZ"/>
        </w:rPr>
        <w:t>moh</w:t>
      </w:r>
      <w:r w:rsidR="00B9625E">
        <w:rPr>
          <w:lang w:val="cs-CZ"/>
        </w:rPr>
        <w:t>ou</w:t>
      </w:r>
      <w:r w:rsidRPr="008B1755">
        <w:rPr>
          <w:lang w:val="cs-CZ"/>
        </w:rPr>
        <w:t xml:space="preserve"> stanovit požadavky na definování </w:t>
      </w:r>
      <w:r w:rsidR="00953221" w:rsidRPr="008B1755">
        <w:rPr>
          <w:lang w:val="cs-CZ"/>
        </w:rPr>
        <w:t>minimální rychlost</w:t>
      </w:r>
      <w:r w:rsidRPr="008B1755">
        <w:rPr>
          <w:lang w:val="cs-CZ"/>
        </w:rPr>
        <w:t>i podle čl. 5 odst. 1</w:t>
      </w:r>
      <w:r w:rsidR="00B010C0" w:rsidRPr="008B1755">
        <w:rPr>
          <w:lang w:val="cs-CZ"/>
        </w:rPr>
        <w:t xml:space="preserve">, </w:t>
      </w:r>
      <w:r w:rsidRPr="008B1755">
        <w:rPr>
          <w:lang w:val="cs-CZ"/>
        </w:rPr>
        <w:t xml:space="preserve">například, že by </w:t>
      </w:r>
      <w:r w:rsidR="00953221" w:rsidRPr="008B1755">
        <w:rPr>
          <w:lang w:val="cs-CZ"/>
        </w:rPr>
        <w:t>minimální rychlost</w:t>
      </w:r>
      <w:r w:rsidR="00F1534F" w:rsidRPr="008B1755">
        <w:rPr>
          <w:lang w:val="cs-CZ"/>
        </w:rPr>
        <w:t xml:space="preserve"> </w:t>
      </w:r>
      <w:r w:rsidRPr="008B1755">
        <w:rPr>
          <w:lang w:val="cs-CZ"/>
        </w:rPr>
        <w:t>mohla být v přiměřeném poměru k maximální rychlosti</w:t>
      </w:r>
      <w:r w:rsidR="00B010C0" w:rsidRPr="008B1755">
        <w:rPr>
          <w:lang w:val="cs-CZ"/>
        </w:rPr>
        <w:t>.</w:t>
      </w:r>
    </w:p>
    <w:p w:rsidR="00D61C28" w:rsidRPr="008B1755" w:rsidRDefault="00D61C28" w:rsidP="0023063B">
      <w:pPr>
        <w:keepNext/>
        <w:keepLines/>
        <w:spacing w:after="120"/>
        <w:outlineLvl w:val="3"/>
        <w:rPr>
          <w:rFonts w:eastAsia="SimSun"/>
          <w:bCs/>
          <w:i/>
          <w:iCs/>
          <w:lang w:val="cs-CZ"/>
        </w:rPr>
      </w:pPr>
      <w:r w:rsidRPr="008B1755">
        <w:rPr>
          <w:rFonts w:eastAsia="SimSun"/>
          <w:bCs/>
          <w:i/>
          <w:iCs/>
          <w:lang w:val="cs-CZ"/>
        </w:rPr>
        <w:t>Maxim</w:t>
      </w:r>
      <w:r w:rsidR="00953221" w:rsidRPr="008B1755">
        <w:rPr>
          <w:rFonts w:eastAsia="SimSun"/>
          <w:bCs/>
          <w:i/>
          <w:iCs/>
          <w:lang w:val="cs-CZ"/>
        </w:rPr>
        <w:t>ální rychlost</w:t>
      </w:r>
    </w:p>
    <w:p w:rsidR="00A54741" w:rsidRPr="008B1755" w:rsidRDefault="00B639EF" w:rsidP="00212867">
      <w:pPr>
        <w:numPr>
          <w:ilvl w:val="0"/>
          <w:numId w:val="2"/>
        </w:numPr>
        <w:spacing w:after="120"/>
        <w:rPr>
          <w:i/>
          <w:lang w:val="cs-CZ"/>
        </w:rPr>
      </w:pPr>
      <w:r w:rsidRPr="008B1755">
        <w:rPr>
          <w:lang w:val="cs-CZ"/>
        </w:rPr>
        <w:t>Maximální rychlost</w:t>
      </w:r>
      <w:r w:rsidR="00D61C28" w:rsidRPr="008B1755">
        <w:rPr>
          <w:lang w:val="cs-CZ"/>
        </w:rPr>
        <w:t xml:space="preserve"> </w:t>
      </w:r>
      <w:r w:rsidRPr="008B1755">
        <w:rPr>
          <w:lang w:val="cs-CZ"/>
        </w:rPr>
        <w:t>je rychlost, j</w:t>
      </w:r>
      <w:r w:rsidR="00B9625E">
        <w:rPr>
          <w:lang w:val="cs-CZ"/>
        </w:rPr>
        <w:t xml:space="preserve">ejíž dosažení může </w:t>
      </w:r>
      <w:r w:rsidR="00DD272F" w:rsidRPr="008B1755">
        <w:rPr>
          <w:lang w:val="cs-CZ"/>
        </w:rPr>
        <w:t xml:space="preserve">koncový uživatel </w:t>
      </w:r>
      <w:r w:rsidRPr="008B1755">
        <w:rPr>
          <w:lang w:val="cs-CZ"/>
        </w:rPr>
        <w:t xml:space="preserve">očekávat alespoň někdy </w:t>
      </w:r>
      <w:r w:rsidR="00A54741" w:rsidRPr="008B1755">
        <w:rPr>
          <w:lang w:val="cs-CZ"/>
        </w:rPr>
        <w:t>(</w:t>
      </w:r>
      <w:r w:rsidR="00B90AAF">
        <w:rPr>
          <w:lang w:val="cs-CZ"/>
        </w:rPr>
        <w:t>např.</w:t>
      </w:r>
      <w:r w:rsidR="00A54741" w:rsidRPr="008B1755">
        <w:rPr>
          <w:lang w:val="cs-CZ"/>
        </w:rPr>
        <w:t xml:space="preserve"> </w:t>
      </w:r>
      <w:r w:rsidRPr="008B1755">
        <w:rPr>
          <w:lang w:val="cs-CZ"/>
        </w:rPr>
        <w:t>alespoň jednou denně</w:t>
      </w:r>
      <w:r w:rsidR="00A54741" w:rsidRPr="008B1755">
        <w:rPr>
          <w:lang w:val="cs-CZ"/>
        </w:rPr>
        <w:t>)</w:t>
      </w:r>
      <w:r w:rsidR="00D61C28" w:rsidRPr="008B1755">
        <w:rPr>
          <w:lang w:val="cs-CZ"/>
        </w:rPr>
        <w:t xml:space="preserve">. </w:t>
      </w:r>
      <w:r w:rsidRPr="008B1755">
        <w:rPr>
          <w:lang w:val="cs-CZ"/>
        </w:rPr>
        <w:t xml:space="preserve">Poskytovatel </w:t>
      </w:r>
      <w:r w:rsidR="00DD272F" w:rsidRPr="008B1755">
        <w:rPr>
          <w:lang w:val="cs-CZ"/>
        </w:rPr>
        <w:t>internetových služeb</w:t>
      </w:r>
      <w:r w:rsidR="00455FF5" w:rsidRPr="008B1755">
        <w:rPr>
          <w:lang w:val="cs-CZ"/>
        </w:rPr>
        <w:t xml:space="preserve"> </w:t>
      </w:r>
      <w:r w:rsidR="00905B70">
        <w:rPr>
          <w:lang w:val="cs-CZ"/>
        </w:rPr>
        <w:t xml:space="preserve"> </w:t>
      </w:r>
      <w:r w:rsidRPr="008B1755">
        <w:rPr>
          <w:lang w:val="cs-CZ"/>
        </w:rPr>
        <w:t xml:space="preserve">není povinen </w:t>
      </w:r>
      <w:r w:rsidR="00455FF5" w:rsidRPr="008B1755">
        <w:rPr>
          <w:lang w:val="cs-CZ"/>
        </w:rPr>
        <w:t>technic</w:t>
      </w:r>
      <w:r w:rsidRPr="008B1755">
        <w:rPr>
          <w:lang w:val="cs-CZ"/>
        </w:rPr>
        <w:t xml:space="preserve">ky </w:t>
      </w:r>
      <w:r w:rsidR="00E264BE">
        <w:rPr>
          <w:lang w:val="cs-CZ"/>
        </w:rPr>
        <w:t>limitovat</w:t>
      </w:r>
      <w:r w:rsidR="00E264BE" w:rsidRPr="008B1755">
        <w:rPr>
          <w:lang w:val="cs-CZ"/>
        </w:rPr>
        <w:t xml:space="preserve"> </w:t>
      </w:r>
      <w:r w:rsidRPr="008B1755">
        <w:rPr>
          <w:lang w:val="cs-CZ"/>
        </w:rPr>
        <w:t>rychlost na maximální rychlost</w:t>
      </w:r>
      <w:r w:rsidR="00455FF5" w:rsidRPr="008B1755">
        <w:rPr>
          <w:lang w:val="cs-CZ"/>
        </w:rPr>
        <w:t xml:space="preserve"> </w:t>
      </w:r>
      <w:r w:rsidRPr="008B1755">
        <w:rPr>
          <w:lang w:val="cs-CZ"/>
        </w:rPr>
        <w:t xml:space="preserve">stanovenou </w:t>
      </w:r>
      <w:r w:rsidR="009A701D" w:rsidRPr="008B1755">
        <w:rPr>
          <w:lang w:val="cs-CZ"/>
        </w:rPr>
        <w:t>ve smlouvě</w:t>
      </w:r>
      <w:r w:rsidR="00455FF5" w:rsidRPr="008B1755">
        <w:rPr>
          <w:lang w:val="cs-CZ"/>
        </w:rPr>
        <w:t>.</w:t>
      </w:r>
      <w:r w:rsidR="00212867" w:rsidRPr="008B1755">
        <w:rPr>
          <w:lang w:val="cs-CZ"/>
        </w:rPr>
        <w:t xml:space="preserve"> </w:t>
      </w:r>
    </w:p>
    <w:p w:rsidR="00212867" w:rsidRPr="008B1755" w:rsidRDefault="002432A0" w:rsidP="00212867">
      <w:pPr>
        <w:numPr>
          <w:ilvl w:val="0"/>
          <w:numId w:val="2"/>
        </w:numPr>
        <w:spacing w:after="120"/>
        <w:rPr>
          <w:i/>
          <w:lang w:val="cs-CZ"/>
        </w:rPr>
      </w:pPr>
      <w:r w:rsidRPr="008B1755">
        <w:rPr>
          <w:lang w:val="cs-CZ"/>
        </w:rPr>
        <w:t xml:space="preserve">Vnitrostátní </w:t>
      </w:r>
      <w:r w:rsidR="00926BAE" w:rsidRPr="008B1755">
        <w:rPr>
          <w:lang w:val="cs-CZ"/>
        </w:rPr>
        <w:t>regulační orgány</w:t>
      </w:r>
      <w:r w:rsidR="00212867" w:rsidRPr="008B1755">
        <w:rPr>
          <w:lang w:val="cs-CZ"/>
        </w:rPr>
        <w:t xml:space="preserve"> </w:t>
      </w:r>
      <w:r w:rsidRPr="008B1755">
        <w:rPr>
          <w:lang w:val="cs-CZ"/>
        </w:rPr>
        <w:t>moh</w:t>
      </w:r>
      <w:r w:rsidR="00B9625E">
        <w:rPr>
          <w:lang w:val="cs-CZ"/>
        </w:rPr>
        <w:t>ou</w:t>
      </w:r>
      <w:r w:rsidRPr="008B1755">
        <w:rPr>
          <w:lang w:val="cs-CZ"/>
        </w:rPr>
        <w:t xml:space="preserve"> stanovit požadavky na definování </w:t>
      </w:r>
      <w:r w:rsidR="00B639EF" w:rsidRPr="008B1755">
        <w:rPr>
          <w:lang w:val="cs-CZ"/>
        </w:rPr>
        <w:t>maximální</w:t>
      </w:r>
      <w:r w:rsidRPr="008B1755">
        <w:rPr>
          <w:lang w:val="cs-CZ"/>
        </w:rPr>
        <w:t>ch</w:t>
      </w:r>
      <w:r w:rsidR="00B639EF" w:rsidRPr="008B1755">
        <w:rPr>
          <w:lang w:val="cs-CZ"/>
        </w:rPr>
        <w:t xml:space="preserve"> rychlost</w:t>
      </w:r>
      <w:r w:rsidRPr="008B1755">
        <w:rPr>
          <w:lang w:val="cs-CZ"/>
        </w:rPr>
        <w:t xml:space="preserve">í podle čl. </w:t>
      </w:r>
      <w:r w:rsidR="00B639EF" w:rsidRPr="008B1755">
        <w:rPr>
          <w:lang w:val="cs-CZ"/>
        </w:rPr>
        <w:t>5 odst. 1</w:t>
      </w:r>
      <w:r w:rsidR="00A54741" w:rsidRPr="008B1755">
        <w:rPr>
          <w:lang w:val="cs-CZ"/>
        </w:rPr>
        <w:t xml:space="preserve">, </w:t>
      </w:r>
      <w:r w:rsidRPr="008B1755">
        <w:rPr>
          <w:lang w:val="cs-CZ"/>
        </w:rPr>
        <w:t>například</w:t>
      </w:r>
      <w:r w:rsidR="00C61DF2">
        <w:rPr>
          <w:lang w:val="cs-CZ"/>
        </w:rPr>
        <w:t xml:space="preserve"> tak,</w:t>
      </w:r>
      <w:r w:rsidRPr="008B1755">
        <w:rPr>
          <w:lang w:val="cs-CZ"/>
        </w:rPr>
        <w:t xml:space="preserve"> aby byla dosažitelná ve specifikovaném počtu případů během specifikovaného období</w:t>
      </w:r>
      <w:r w:rsidR="00212867" w:rsidRPr="008B1755">
        <w:rPr>
          <w:lang w:val="cs-CZ"/>
        </w:rPr>
        <w:t>.</w:t>
      </w:r>
    </w:p>
    <w:p w:rsidR="00D61C28" w:rsidRPr="008B1755" w:rsidRDefault="002432A0" w:rsidP="0023063B">
      <w:pPr>
        <w:keepNext/>
        <w:keepLines/>
        <w:spacing w:after="120"/>
        <w:outlineLvl w:val="3"/>
        <w:rPr>
          <w:rFonts w:eastAsia="SimSun"/>
          <w:bCs/>
          <w:i/>
          <w:iCs/>
          <w:lang w:val="cs-CZ"/>
        </w:rPr>
      </w:pPr>
      <w:r w:rsidRPr="008B1755">
        <w:rPr>
          <w:rFonts w:eastAsia="SimSun"/>
          <w:bCs/>
          <w:i/>
          <w:iCs/>
          <w:lang w:val="cs-CZ"/>
        </w:rPr>
        <w:t>Běžně dostupná rychlost</w:t>
      </w:r>
    </w:p>
    <w:p w:rsidR="00D61C28" w:rsidRPr="008B1755" w:rsidRDefault="002432A0" w:rsidP="0038751B">
      <w:pPr>
        <w:numPr>
          <w:ilvl w:val="0"/>
          <w:numId w:val="2"/>
        </w:numPr>
        <w:spacing w:after="120"/>
        <w:rPr>
          <w:lang w:val="cs-CZ"/>
        </w:rPr>
      </w:pPr>
      <w:r w:rsidRPr="008B1755">
        <w:rPr>
          <w:rFonts w:eastAsia="SimSun"/>
          <w:bCs/>
          <w:iCs/>
          <w:lang w:val="cs-CZ"/>
        </w:rPr>
        <w:t>Běžně dostupná rychlost</w:t>
      </w:r>
      <w:r w:rsidRPr="008B1755">
        <w:rPr>
          <w:lang w:val="cs-CZ"/>
        </w:rPr>
        <w:t xml:space="preserve"> je rychlost, j</w:t>
      </w:r>
      <w:r w:rsidR="00B9625E">
        <w:rPr>
          <w:lang w:val="cs-CZ"/>
        </w:rPr>
        <w:t xml:space="preserve">ejíž dosažení může </w:t>
      </w:r>
      <w:r w:rsidRPr="008B1755">
        <w:rPr>
          <w:lang w:val="cs-CZ"/>
        </w:rPr>
        <w:t xml:space="preserve">koncový uživatel očekávat </w:t>
      </w:r>
      <w:r w:rsidR="00B9625E">
        <w:rPr>
          <w:lang w:val="cs-CZ"/>
        </w:rPr>
        <w:t xml:space="preserve">po </w:t>
      </w:r>
      <w:r w:rsidRPr="008B1755">
        <w:rPr>
          <w:lang w:val="cs-CZ"/>
        </w:rPr>
        <w:t xml:space="preserve">většinu času během </w:t>
      </w:r>
      <w:r w:rsidR="00B9625E">
        <w:rPr>
          <w:lang w:val="cs-CZ"/>
        </w:rPr>
        <w:t xml:space="preserve">využívání </w:t>
      </w:r>
      <w:r w:rsidRPr="008B1755">
        <w:rPr>
          <w:lang w:val="cs-CZ"/>
        </w:rPr>
        <w:t>služb</w:t>
      </w:r>
      <w:r w:rsidR="00B9625E">
        <w:rPr>
          <w:lang w:val="cs-CZ"/>
        </w:rPr>
        <w:t>y</w:t>
      </w:r>
      <w:r w:rsidR="00D61C28" w:rsidRPr="008B1755">
        <w:rPr>
          <w:lang w:val="cs-CZ"/>
        </w:rPr>
        <w:t xml:space="preserve">. </w:t>
      </w:r>
      <w:r w:rsidRPr="008B1755">
        <w:rPr>
          <w:lang w:val="cs-CZ"/>
        </w:rPr>
        <w:t xml:space="preserve">Sdružení </w:t>
      </w:r>
      <w:r w:rsidR="00D61C28" w:rsidRPr="008B1755">
        <w:rPr>
          <w:lang w:val="cs-CZ"/>
        </w:rPr>
        <w:t xml:space="preserve">BEREC </w:t>
      </w:r>
      <w:r w:rsidRPr="008B1755">
        <w:rPr>
          <w:lang w:val="cs-CZ"/>
        </w:rPr>
        <w:t>má za to, že běžně dostupná rychlost má dvě dimenze</w:t>
      </w:r>
      <w:r w:rsidR="00D61C28" w:rsidRPr="008B1755">
        <w:rPr>
          <w:lang w:val="cs-CZ"/>
        </w:rPr>
        <w:t xml:space="preserve">: </w:t>
      </w:r>
      <w:r w:rsidR="00B9625E">
        <w:rPr>
          <w:lang w:val="cs-CZ"/>
        </w:rPr>
        <w:t xml:space="preserve">číselné vyjádření </w:t>
      </w:r>
      <w:r w:rsidRPr="008B1755">
        <w:rPr>
          <w:lang w:val="cs-CZ"/>
        </w:rPr>
        <w:t>rychlosti a dostupnost rychlosti během stanoveného období</w:t>
      </w:r>
      <w:r w:rsidR="002560C3">
        <w:rPr>
          <w:lang w:val="cs-CZ"/>
        </w:rPr>
        <w:t xml:space="preserve"> </w:t>
      </w:r>
      <w:r w:rsidR="002560C3" w:rsidRPr="008B1755">
        <w:rPr>
          <w:lang w:val="cs-CZ"/>
        </w:rPr>
        <w:t>(jako procento)</w:t>
      </w:r>
      <w:r w:rsidR="005B03CA" w:rsidRPr="008B1755">
        <w:rPr>
          <w:lang w:val="cs-CZ"/>
        </w:rPr>
        <w:t xml:space="preserve">, </w:t>
      </w:r>
      <w:r w:rsidRPr="008B1755">
        <w:rPr>
          <w:lang w:val="cs-CZ"/>
        </w:rPr>
        <w:t>jako jsou např. špičky nebo celý den</w:t>
      </w:r>
      <w:r w:rsidR="00D61C28" w:rsidRPr="008B1755">
        <w:rPr>
          <w:lang w:val="cs-CZ"/>
        </w:rPr>
        <w:t>.</w:t>
      </w:r>
    </w:p>
    <w:p w:rsidR="00E37C73" w:rsidRPr="008B1755" w:rsidRDefault="002432A0" w:rsidP="004E00A3">
      <w:pPr>
        <w:numPr>
          <w:ilvl w:val="0"/>
          <w:numId w:val="2"/>
        </w:numPr>
        <w:spacing w:after="120"/>
        <w:rPr>
          <w:lang w:val="cs-CZ"/>
        </w:rPr>
      </w:pPr>
      <w:r w:rsidRPr="008B1755">
        <w:rPr>
          <w:rFonts w:eastAsia="SimSun"/>
          <w:bCs/>
          <w:iCs/>
          <w:lang w:val="cs-CZ"/>
        </w:rPr>
        <w:t>Běžně dostupná rychlost</w:t>
      </w:r>
      <w:r w:rsidRPr="008B1755">
        <w:rPr>
          <w:lang w:val="cs-CZ"/>
        </w:rPr>
        <w:t xml:space="preserve"> </w:t>
      </w:r>
      <w:r w:rsidR="0041112D" w:rsidRPr="008B1755">
        <w:rPr>
          <w:lang w:val="cs-CZ"/>
        </w:rPr>
        <w:t xml:space="preserve">by měla být dostupná během stanoveného denního časového </w:t>
      </w:r>
      <w:r w:rsidR="002560C3">
        <w:rPr>
          <w:lang w:val="cs-CZ"/>
        </w:rPr>
        <w:t>období</w:t>
      </w:r>
      <w:r w:rsidR="00FC0421" w:rsidRPr="008B1755">
        <w:rPr>
          <w:lang w:val="cs-CZ"/>
        </w:rPr>
        <w:t>. Vnitrostátní</w:t>
      </w:r>
      <w:r w:rsidR="00926BAE" w:rsidRPr="008B1755">
        <w:rPr>
          <w:lang w:val="cs-CZ"/>
        </w:rPr>
        <w:t xml:space="preserve"> regulační orgány</w:t>
      </w:r>
      <w:r w:rsidR="00E37C73" w:rsidRPr="008B1755">
        <w:rPr>
          <w:lang w:val="cs-CZ"/>
        </w:rPr>
        <w:t xml:space="preserve"> </w:t>
      </w:r>
      <w:r w:rsidR="0041112D" w:rsidRPr="008B1755">
        <w:rPr>
          <w:lang w:val="cs-CZ"/>
        </w:rPr>
        <w:t>moh</w:t>
      </w:r>
      <w:r w:rsidR="002560C3">
        <w:rPr>
          <w:lang w:val="cs-CZ"/>
        </w:rPr>
        <w:t>ou</w:t>
      </w:r>
      <w:r w:rsidR="0041112D" w:rsidRPr="008B1755">
        <w:rPr>
          <w:lang w:val="cs-CZ"/>
        </w:rPr>
        <w:t xml:space="preserve"> stanovit požadavky na definování </w:t>
      </w:r>
      <w:r w:rsidRPr="008B1755">
        <w:rPr>
          <w:lang w:val="cs-CZ"/>
        </w:rPr>
        <w:t>běžně dostupn</w:t>
      </w:r>
      <w:r w:rsidR="0041112D" w:rsidRPr="008B1755">
        <w:rPr>
          <w:lang w:val="cs-CZ"/>
        </w:rPr>
        <w:t>ých</w:t>
      </w:r>
      <w:r w:rsidRPr="008B1755">
        <w:rPr>
          <w:lang w:val="cs-CZ"/>
        </w:rPr>
        <w:t xml:space="preserve"> rychlost</w:t>
      </w:r>
      <w:r w:rsidR="0041112D" w:rsidRPr="008B1755">
        <w:rPr>
          <w:lang w:val="cs-CZ"/>
        </w:rPr>
        <w:t>í</w:t>
      </w:r>
      <w:r w:rsidRPr="008B1755">
        <w:rPr>
          <w:lang w:val="cs-CZ"/>
        </w:rPr>
        <w:t xml:space="preserve"> podle čl. </w:t>
      </w:r>
      <w:r w:rsidR="00B639EF" w:rsidRPr="008B1755">
        <w:rPr>
          <w:lang w:val="cs-CZ"/>
        </w:rPr>
        <w:t>5 odst. 1</w:t>
      </w:r>
      <w:r w:rsidR="00F62F70" w:rsidRPr="008B1755">
        <w:rPr>
          <w:lang w:val="cs-CZ"/>
        </w:rPr>
        <w:t>.</w:t>
      </w:r>
      <w:r w:rsidR="005B03CA" w:rsidRPr="008B1755">
        <w:rPr>
          <w:lang w:val="cs-CZ"/>
        </w:rPr>
        <w:t xml:space="preserve"> </w:t>
      </w:r>
      <w:r w:rsidR="0041112D" w:rsidRPr="008B1755">
        <w:rPr>
          <w:lang w:val="cs-CZ"/>
        </w:rPr>
        <w:t>Příklady jsou</w:t>
      </w:r>
      <w:r w:rsidR="00E37C73" w:rsidRPr="008B1755">
        <w:rPr>
          <w:lang w:val="cs-CZ"/>
        </w:rPr>
        <w:t>:</w:t>
      </w:r>
    </w:p>
    <w:p w:rsidR="00E37C73" w:rsidRPr="008B1755" w:rsidRDefault="00C61DF2" w:rsidP="004E00A3">
      <w:pPr>
        <w:pStyle w:val="Odstavecseseznamem"/>
        <w:numPr>
          <w:ilvl w:val="0"/>
          <w:numId w:val="28"/>
        </w:numPr>
        <w:spacing w:after="120"/>
        <w:rPr>
          <w:lang w:val="cs-CZ"/>
        </w:rPr>
      </w:pPr>
      <w:r>
        <w:rPr>
          <w:lang w:val="cs-CZ"/>
        </w:rPr>
        <w:t xml:space="preserve">Vymezení </w:t>
      </w:r>
      <w:r w:rsidR="0041112D" w:rsidRPr="008B1755">
        <w:rPr>
          <w:lang w:val="cs-CZ"/>
        </w:rPr>
        <w:t xml:space="preserve">, že </w:t>
      </w:r>
      <w:r w:rsidR="002432A0" w:rsidRPr="008B1755">
        <w:rPr>
          <w:lang w:val="cs-CZ"/>
        </w:rPr>
        <w:t xml:space="preserve">běžně dostupné rychlosti </w:t>
      </w:r>
      <w:r w:rsidR="0041112D" w:rsidRPr="008B1755">
        <w:rPr>
          <w:lang w:val="cs-CZ"/>
        </w:rPr>
        <w:t xml:space="preserve">by měly být k dispozici alespoň v době mimo špičku a </w:t>
      </w:r>
      <w:r w:rsidR="005B03CA" w:rsidRPr="008B1755">
        <w:rPr>
          <w:lang w:val="cs-CZ"/>
        </w:rPr>
        <w:t>90</w:t>
      </w:r>
      <w:r w:rsidR="0041112D" w:rsidRPr="008B1755">
        <w:rPr>
          <w:lang w:val="cs-CZ"/>
        </w:rPr>
        <w:t xml:space="preserve"> </w:t>
      </w:r>
      <w:r w:rsidR="005B03CA" w:rsidRPr="008B1755">
        <w:rPr>
          <w:lang w:val="cs-CZ"/>
        </w:rPr>
        <w:t xml:space="preserve">% </w:t>
      </w:r>
      <w:r w:rsidR="0041112D" w:rsidRPr="008B1755">
        <w:rPr>
          <w:lang w:val="cs-CZ"/>
        </w:rPr>
        <w:t>doby ve špičce</w:t>
      </w:r>
      <w:r w:rsidR="00E37C73" w:rsidRPr="008B1755">
        <w:rPr>
          <w:lang w:val="cs-CZ"/>
        </w:rPr>
        <w:t>,</w:t>
      </w:r>
      <w:r w:rsidR="005B03CA" w:rsidRPr="008B1755">
        <w:rPr>
          <w:lang w:val="cs-CZ"/>
        </w:rPr>
        <w:t xml:space="preserve"> </w:t>
      </w:r>
      <w:r w:rsidR="0041112D" w:rsidRPr="008B1755">
        <w:rPr>
          <w:lang w:val="cs-CZ"/>
        </w:rPr>
        <w:t xml:space="preserve">nebo </w:t>
      </w:r>
      <w:r w:rsidR="005B03CA" w:rsidRPr="008B1755">
        <w:rPr>
          <w:lang w:val="cs-CZ"/>
        </w:rPr>
        <w:t>95</w:t>
      </w:r>
      <w:r w:rsidR="0041112D" w:rsidRPr="008B1755">
        <w:rPr>
          <w:lang w:val="cs-CZ"/>
        </w:rPr>
        <w:t xml:space="preserve"> </w:t>
      </w:r>
      <w:r w:rsidR="005B03CA" w:rsidRPr="008B1755">
        <w:rPr>
          <w:lang w:val="cs-CZ"/>
        </w:rPr>
        <w:t xml:space="preserve">% </w:t>
      </w:r>
      <w:r w:rsidR="0041112D" w:rsidRPr="008B1755">
        <w:rPr>
          <w:lang w:val="cs-CZ"/>
        </w:rPr>
        <w:t>času po celý den</w:t>
      </w:r>
      <w:r w:rsidR="00E37C73" w:rsidRPr="008B1755">
        <w:rPr>
          <w:lang w:val="cs-CZ"/>
        </w:rPr>
        <w:t>;</w:t>
      </w:r>
    </w:p>
    <w:p w:rsidR="00D61C28" w:rsidRPr="008B1755" w:rsidRDefault="0041112D" w:rsidP="004E00A3">
      <w:pPr>
        <w:pStyle w:val="Odstavecseseznamem"/>
        <w:numPr>
          <w:ilvl w:val="0"/>
          <w:numId w:val="28"/>
        </w:numPr>
        <w:spacing w:after="120"/>
        <w:rPr>
          <w:lang w:val="cs-CZ"/>
        </w:rPr>
      </w:pPr>
      <w:r w:rsidRPr="008B1755">
        <w:rPr>
          <w:lang w:val="cs-CZ"/>
        </w:rPr>
        <w:t xml:space="preserve">Požadavek, aby </w:t>
      </w:r>
      <w:r w:rsidR="002432A0" w:rsidRPr="008B1755">
        <w:rPr>
          <w:lang w:val="cs-CZ"/>
        </w:rPr>
        <w:t xml:space="preserve">běžně dostupná rychlost </w:t>
      </w:r>
      <w:r w:rsidRPr="008B1755">
        <w:rPr>
          <w:lang w:val="cs-CZ"/>
        </w:rPr>
        <w:t xml:space="preserve">byla v přiměřeném poměru k </w:t>
      </w:r>
      <w:r w:rsidR="00B639EF" w:rsidRPr="008B1755">
        <w:rPr>
          <w:lang w:val="cs-CZ"/>
        </w:rPr>
        <w:t>maximální rychlost</w:t>
      </w:r>
      <w:r w:rsidRPr="008B1755">
        <w:rPr>
          <w:lang w:val="cs-CZ"/>
        </w:rPr>
        <w:t>i</w:t>
      </w:r>
      <w:r w:rsidR="00E37C73" w:rsidRPr="008B1755">
        <w:rPr>
          <w:lang w:val="cs-CZ"/>
        </w:rPr>
        <w:t>.</w:t>
      </w:r>
    </w:p>
    <w:p w:rsidR="00E37C73" w:rsidRPr="008B1755" w:rsidRDefault="00D45ED6" w:rsidP="004E00A3">
      <w:pPr>
        <w:numPr>
          <w:ilvl w:val="0"/>
          <w:numId w:val="2"/>
        </w:numPr>
        <w:spacing w:after="120"/>
        <w:rPr>
          <w:lang w:val="cs-CZ"/>
        </w:rPr>
      </w:pPr>
      <w:r w:rsidRPr="008B1755">
        <w:rPr>
          <w:lang w:val="cs-CZ"/>
        </w:rPr>
        <w:t xml:space="preserve">Aby </w:t>
      </w:r>
      <w:r w:rsidR="002560C3">
        <w:rPr>
          <w:lang w:val="cs-CZ"/>
        </w:rPr>
        <w:t>bylo ustanovení účelné</w:t>
      </w:r>
      <w:r w:rsidRPr="008B1755">
        <w:rPr>
          <w:lang w:val="cs-CZ"/>
        </w:rPr>
        <w:t xml:space="preserve">, měl by </w:t>
      </w:r>
      <w:r w:rsidR="00DD272F" w:rsidRPr="008B1755">
        <w:rPr>
          <w:lang w:val="cs-CZ"/>
        </w:rPr>
        <w:t xml:space="preserve">koncový uživatel </w:t>
      </w:r>
      <w:r w:rsidRPr="008B1755">
        <w:rPr>
          <w:lang w:val="cs-CZ"/>
        </w:rPr>
        <w:t xml:space="preserve">mít možnost </w:t>
      </w:r>
      <w:r w:rsidR="002560C3" w:rsidRPr="008B1755">
        <w:rPr>
          <w:lang w:val="cs-CZ"/>
        </w:rPr>
        <w:t xml:space="preserve">na základě poskytnutých informací </w:t>
      </w:r>
      <w:r w:rsidRPr="008B1755">
        <w:rPr>
          <w:lang w:val="cs-CZ"/>
        </w:rPr>
        <w:t xml:space="preserve">vyhodnotit </w:t>
      </w:r>
      <w:r w:rsidR="00905B70">
        <w:rPr>
          <w:lang w:val="cs-CZ"/>
        </w:rPr>
        <w:t>údaj o</w:t>
      </w:r>
      <w:r w:rsidRPr="008B1755">
        <w:rPr>
          <w:lang w:val="cs-CZ"/>
        </w:rPr>
        <w:t xml:space="preserve"> </w:t>
      </w:r>
      <w:r w:rsidR="0041112D" w:rsidRPr="008B1755">
        <w:rPr>
          <w:lang w:val="cs-CZ"/>
        </w:rPr>
        <w:t xml:space="preserve">běžně dostupné rychlosti </w:t>
      </w:r>
      <w:r w:rsidRPr="008B1755">
        <w:rPr>
          <w:lang w:val="cs-CZ"/>
        </w:rPr>
        <w:t xml:space="preserve">oproti skutečnému výkonu </w:t>
      </w:r>
      <w:r w:rsidR="00747C71" w:rsidRPr="008B1755">
        <w:rPr>
          <w:lang w:val="cs-CZ"/>
        </w:rPr>
        <w:t>služby</w:t>
      </w:r>
      <w:r w:rsidR="00DD272F" w:rsidRPr="008B1755">
        <w:rPr>
          <w:lang w:val="cs-CZ"/>
        </w:rPr>
        <w:t xml:space="preserve"> přístupu k internetu</w:t>
      </w:r>
      <w:r w:rsidR="00E37C73" w:rsidRPr="008B1755">
        <w:rPr>
          <w:lang w:val="cs-CZ"/>
        </w:rPr>
        <w:t>.</w:t>
      </w:r>
    </w:p>
    <w:p w:rsidR="00D61C28" w:rsidRPr="008B1755" w:rsidRDefault="00953221" w:rsidP="0023063B">
      <w:pPr>
        <w:keepNext/>
        <w:keepLines/>
        <w:spacing w:after="120"/>
        <w:outlineLvl w:val="3"/>
        <w:rPr>
          <w:rFonts w:eastAsia="SimSun"/>
          <w:bCs/>
          <w:i/>
          <w:iCs/>
          <w:lang w:val="cs-CZ"/>
        </w:rPr>
      </w:pPr>
      <w:r w:rsidRPr="008B1755">
        <w:rPr>
          <w:rFonts w:eastAsia="SimSun"/>
          <w:bCs/>
          <w:i/>
          <w:iCs/>
          <w:lang w:val="cs-CZ"/>
        </w:rPr>
        <w:t>Inzerovaná rychlost</w:t>
      </w:r>
    </w:p>
    <w:p w:rsidR="00D61C28" w:rsidRPr="008B1755" w:rsidRDefault="00953221" w:rsidP="0038751B">
      <w:pPr>
        <w:numPr>
          <w:ilvl w:val="0"/>
          <w:numId w:val="2"/>
        </w:numPr>
        <w:spacing w:after="120"/>
        <w:rPr>
          <w:lang w:val="cs-CZ"/>
        </w:rPr>
      </w:pPr>
      <w:r w:rsidRPr="008B1755">
        <w:rPr>
          <w:rFonts w:eastAsia="SimSun"/>
          <w:bCs/>
          <w:iCs/>
          <w:lang w:val="cs-CZ"/>
        </w:rPr>
        <w:t>Inzerovaná rychlost</w:t>
      </w:r>
      <w:r w:rsidRPr="008B1755">
        <w:rPr>
          <w:lang w:val="cs-CZ"/>
        </w:rPr>
        <w:t xml:space="preserve"> </w:t>
      </w:r>
      <w:r w:rsidR="00D45ED6" w:rsidRPr="008B1755">
        <w:rPr>
          <w:lang w:val="cs-CZ"/>
        </w:rPr>
        <w:t xml:space="preserve">je rychlost, jakou </w:t>
      </w:r>
      <w:r w:rsidR="00DD272F" w:rsidRPr="008B1755">
        <w:rPr>
          <w:lang w:val="cs-CZ"/>
        </w:rPr>
        <w:t>poskytovatel internetových služeb</w:t>
      </w:r>
      <w:r w:rsidR="00D61C28" w:rsidRPr="008B1755">
        <w:rPr>
          <w:lang w:val="cs-CZ"/>
        </w:rPr>
        <w:t xml:space="preserve"> </w:t>
      </w:r>
      <w:r w:rsidR="002560C3">
        <w:rPr>
          <w:lang w:val="cs-CZ"/>
        </w:rPr>
        <w:t xml:space="preserve"> uvádí </w:t>
      </w:r>
      <w:r w:rsidR="004A728A" w:rsidRPr="008B1755">
        <w:rPr>
          <w:lang w:val="cs-CZ"/>
        </w:rPr>
        <w:t>ve své obchodní komunikaci</w:t>
      </w:r>
      <w:r w:rsidR="001E3318" w:rsidRPr="008B1755">
        <w:rPr>
          <w:lang w:val="cs-CZ"/>
        </w:rPr>
        <w:t>,</w:t>
      </w:r>
      <w:r w:rsidR="00D61C28" w:rsidRPr="008B1755">
        <w:rPr>
          <w:lang w:val="cs-CZ"/>
        </w:rPr>
        <w:t xml:space="preserve"> </w:t>
      </w:r>
      <w:r w:rsidR="004A728A" w:rsidRPr="008B1755">
        <w:rPr>
          <w:lang w:val="cs-CZ"/>
        </w:rPr>
        <w:t xml:space="preserve">včetně reklamy a </w:t>
      </w:r>
      <w:r w:rsidR="00D61C28" w:rsidRPr="008B1755">
        <w:rPr>
          <w:lang w:val="cs-CZ"/>
        </w:rPr>
        <w:t>marketing</w:t>
      </w:r>
      <w:r w:rsidR="004A728A" w:rsidRPr="008B1755">
        <w:rPr>
          <w:lang w:val="cs-CZ"/>
        </w:rPr>
        <w:t>u</w:t>
      </w:r>
      <w:r w:rsidR="001E3318" w:rsidRPr="008B1755">
        <w:rPr>
          <w:lang w:val="cs-CZ"/>
        </w:rPr>
        <w:t>,</w:t>
      </w:r>
      <w:r w:rsidR="00D61C28" w:rsidRPr="008B1755">
        <w:rPr>
          <w:lang w:val="cs-CZ"/>
        </w:rPr>
        <w:t xml:space="preserve"> </w:t>
      </w:r>
      <w:r w:rsidR="004A728A" w:rsidRPr="008B1755">
        <w:rPr>
          <w:lang w:val="cs-CZ"/>
        </w:rPr>
        <w:t xml:space="preserve">v souvislosti s propagací nabídek </w:t>
      </w:r>
      <w:r w:rsidR="007D7F64" w:rsidRPr="008B1755">
        <w:rPr>
          <w:lang w:val="cs-CZ"/>
        </w:rPr>
        <w:t>služby přístupu k internetu</w:t>
      </w:r>
      <w:r w:rsidR="00D61C28" w:rsidRPr="008B1755">
        <w:rPr>
          <w:lang w:val="cs-CZ"/>
        </w:rPr>
        <w:t xml:space="preserve">. </w:t>
      </w:r>
      <w:r w:rsidR="004A728A" w:rsidRPr="008B1755">
        <w:rPr>
          <w:lang w:val="cs-CZ"/>
        </w:rPr>
        <w:t xml:space="preserve">V případě, že jsou rychlosti uvedeny v reklamě nabídky </w:t>
      </w:r>
      <w:r w:rsidR="00792C4F" w:rsidRPr="008B1755">
        <w:rPr>
          <w:lang w:val="cs-CZ"/>
        </w:rPr>
        <w:t xml:space="preserve">poskytovatele internetových služeb </w:t>
      </w:r>
      <w:r w:rsidR="00E14BF6" w:rsidRPr="008B1755">
        <w:rPr>
          <w:lang w:val="cs-CZ"/>
        </w:rPr>
        <w:t>(</w:t>
      </w:r>
      <w:r w:rsidR="004A728A" w:rsidRPr="008B1755">
        <w:rPr>
          <w:lang w:val="cs-CZ"/>
        </w:rPr>
        <w:t xml:space="preserve">viz také </w:t>
      </w:r>
      <w:r w:rsidR="00D2652F">
        <w:rPr>
          <w:lang w:val="cs-CZ"/>
        </w:rPr>
        <w:t>b</w:t>
      </w:r>
      <w:r w:rsidR="004A728A" w:rsidRPr="008B1755">
        <w:rPr>
          <w:lang w:val="cs-CZ"/>
        </w:rPr>
        <w:t xml:space="preserve">od </w:t>
      </w:r>
      <w:r w:rsidR="00CA269E" w:rsidRPr="008B1755">
        <w:rPr>
          <w:lang w:val="cs-CZ"/>
        </w:rPr>
        <w:fldChar w:fldCharType="begin"/>
      </w:r>
      <w:r w:rsidR="00E14BF6" w:rsidRPr="008B1755">
        <w:rPr>
          <w:lang w:val="cs-CZ"/>
        </w:rPr>
        <w:instrText xml:space="preserve"> REF _Ref448935588 \r \h </w:instrText>
      </w:r>
      <w:r w:rsidR="00CA269E" w:rsidRPr="008B1755">
        <w:rPr>
          <w:lang w:val="cs-CZ"/>
        </w:rPr>
      </w:r>
      <w:r w:rsidR="00CA269E" w:rsidRPr="008B1755">
        <w:rPr>
          <w:lang w:val="cs-CZ"/>
        </w:rPr>
        <w:fldChar w:fldCharType="separate"/>
      </w:r>
      <w:r w:rsidR="003B403B" w:rsidRPr="008B1755">
        <w:rPr>
          <w:lang w:val="cs-CZ"/>
        </w:rPr>
        <w:t>142</w:t>
      </w:r>
      <w:r w:rsidR="00CA269E" w:rsidRPr="008B1755">
        <w:rPr>
          <w:lang w:val="cs-CZ"/>
        </w:rPr>
        <w:fldChar w:fldCharType="end"/>
      </w:r>
      <w:r w:rsidR="00E14BF6" w:rsidRPr="008B1755">
        <w:rPr>
          <w:lang w:val="cs-CZ"/>
        </w:rPr>
        <w:t xml:space="preserve">), </w:t>
      </w:r>
      <w:r w:rsidR="004A728A" w:rsidRPr="008B1755">
        <w:rPr>
          <w:lang w:val="cs-CZ"/>
        </w:rPr>
        <w:t xml:space="preserve">měla by inzerovaná rychlost být uvedena ve zveřejněných informacích a </w:t>
      </w:r>
      <w:r w:rsidR="009A701D" w:rsidRPr="008B1755">
        <w:rPr>
          <w:lang w:val="cs-CZ"/>
        </w:rPr>
        <w:t>ve smlouvě</w:t>
      </w:r>
      <w:r w:rsidR="007313E5" w:rsidRPr="008B1755">
        <w:rPr>
          <w:lang w:val="cs-CZ"/>
        </w:rPr>
        <w:t xml:space="preserve"> </w:t>
      </w:r>
      <w:r w:rsidR="004A728A" w:rsidRPr="008B1755">
        <w:rPr>
          <w:lang w:val="cs-CZ"/>
        </w:rPr>
        <w:t xml:space="preserve">pro každou nabídku </w:t>
      </w:r>
      <w:r w:rsidR="00DD272F" w:rsidRPr="008B1755">
        <w:rPr>
          <w:lang w:val="cs-CZ"/>
        </w:rPr>
        <w:t>služb</w:t>
      </w:r>
      <w:r w:rsidR="004A728A" w:rsidRPr="008B1755">
        <w:rPr>
          <w:lang w:val="cs-CZ"/>
        </w:rPr>
        <w:t>y</w:t>
      </w:r>
      <w:r w:rsidR="00DD272F" w:rsidRPr="008B1755">
        <w:rPr>
          <w:lang w:val="cs-CZ"/>
        </w:rPr>
        <w:t xml:space="preserve"> přístupu k internetu</w:t>
      </w:r>
      <w:r w:rsidR="00D61C28" w:rsidRPr="008B1755">
        <w:rPr>
          <w:lang w:val="cs-CZ"/>
        </w:rPr>
        <w:t>.</w:t>
      </w:r>
    </w:p>
    <w:p w:rsidR="00D61C28" w:rsidRPr="008B1755" w:rsidRDefault="004A728A" w:rsidP="0038751B">
      <w:pPr>
        <w:numPr>
          <w:ilvl w:val="0"/>
          <w:numId w:val="2"/>
        </w:numPr>
        <w:spacing w:after="120"/>
        <w:rPr>
          <w:lang w:val="cs-CZ"/>
        </w:rPr>
      </w:pPr>
      <w:r w:rsidRPr="008B1755">
        <w:rPr>
          <w:lang w:val="cs-CZ"/>
        </w:rPr>
        <w:t xml:space="preserve">Vnitrostátní </w:t>
      </w:r>
      <w:r w:rsidR="00926BAE" w:rsidRPr="008B1755">
        <w:rPr>
          <w:lang w:val="cs-CZ"/>
        </w:rPr>
        <w:t>regulační orgány</w:t>
      </w:r>
      <w:r w:rsidR="00550B8D" w:rsidRPr="008B1755">
        <w:rPr>
          <w:lang w:val="cs-CZ"/>
        </w:rPr>
        <w:t xml:space="preserve"> </w:t>
      </w:r>
      <w:r w:rsidRPr="008B1755">
        <w:rPr>
          <w:lang w:val="cs-CZ"/>
        </w:rPr>
        <w:t>moh</w:t>
      </w:r>
      <w:r w:rsidR="002560C3">
        <w:rPr>
          <w:lang w:val="cs-CZ"/>
        </w:rPr>
        <w:t>ou</w:t>
      </w:r>
      <w:r w:rsidRPr="008B1755">
        <w:rPr>
          <w:lang w:val="cs-CZ"/>
        </w:rPr>
        <w:t xml:space="preserve"> v souladu s čl. </w:t>
      </w:r>
      <w:r w:rsidR="00B639EF" w:rsidRPr="008B1755">
        <w:rPr>
          <w:lang w:val="cs-CZ"/>
        </w:rPr>
        <w:t>5 odst. 1</w:t>
      </w:r>
      <w:r w:rsidR="00550B8D" w:rsidRPr="008B1755">
        <w:rPr>
          <w:lang w:val="cs-CZ"/>
        </w:rPr>
        <w:t xml:space="preserve"> </w:t>
      </w:r>
      <w:r w:rsidRPr="008B1755">
        <w:rPr>
          <w:lang w:val="cs-CZ"/>
        </w:rPr>
        <w:t xml:space="preserve">stanovit požadavky na to, jak se rychlosti definované </w:t>
      </w:r>
      <w:r w:rsidR="009A701D" w:rsidRPr="008B1755">
        <w:rPr>
          <w:lang w:val="cs-CZ"/>
        </w:rPr>
        <w:t>ve smlouvě</w:t>
      </w:r>
      <w:r w:rsidR="00F75DE1" w:rsidRPr="008B1755">
        <w:rPr>
          <w:lang w:val="cs-CZ"/>
        </w:rPr>
        <w:t xml:space="preserve"> </w:t>
      </w:r>
      <w:r w:rsidRPr="008B1755">
        <w:rPr>
          <w:lang w:val="cs-CZ"/>
        </w:rPr>
        <w:t>vztahují k inzerovaným rychlostem</w:t>
      </w:r>
      <w:r w:rsidR="00E14BF6" w:rsidRPr="008B1755">
        <w:rPr>
          <w:lang w:val="cs-CZ"/>
        </w:rPr>
        <w:t xml:space="preserve">, </w:t>
      </w:r>
      <w:r w:rsidRPr="008B1755">
        <w:rPr>
          <w:lang w:val="cs-CZ"/>
        </w:rPr>
        <w:t xml:space="preserve">například, že by inzerovaná rychlost neměla přesáhnout </w:t>
      </w:r>
      <w:r w:rsidR="00B639EF" w:rsidRPr="008B1755">
        <w:rPr>
          <w:lang w:val="cs-CZ"/>
        </w:rPr>
        <w:t>maximální rychlost</w:t>
      </w:r>
      <w:r w:rsidR="00E14BF6" w:rsidRPr="008B1755">
        <w:rPr>
          <w:lang w:val="cs-CZ"/>
        </w:rPr>
        <w:t xml:space="preserve"> </w:t>
      </w:r>
      <w:r w:rsidRPr="008B1755">
        <w:rPr>
          <w:lang w:val="cs-CZ"/>
        </w:rPr>
        <w:t xml:space="preserve">definovanou </w:t>
      </w:r>
      <w:r w:rsidR="009A701D" w:rsidRPr="008B1755">
        <w:rPr>
          <w:lang w:val="cs-CZ"/>
        </w:rPr>
        <w:t>ve smlouvě</w:t>
      </w:r>
      <w:r w:rsidR="00F62F70" w:rsidRPr="008B1755">
        <w:rPr>
          <w:lang w:val="cs-CZ"/>
        </w:rPr>
        <w:t>.</w:t>
      </w:r>
    </w:p>
    <w:p w:rsidR="00D61C28" w:rsidRPr="008B1755" w:rsidRDefault="009A701D" w:rsidP="00262769">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Specifikace rychlostí pro službu přístupu k internetu v případě mobilních sítí</w:t>
      </w:r>
    </w:p>
    <w:p w:rsidR="00C00BED" w:rsidRPr="008B1755" w:rsidRDefault="004A728A" w:rsidP="0038751B">
      <w:pPr>
        <w:numPr>
          <w:ilvl w:val="0"/>
          <w:numId w:val="2"/>
        </w:numPr>
        <w:spacing w:after="120"/>
        <w:rPr>
          <w:lang w:val="cs-CZ"/>
        </w:rPr>
      </w:pPr>
      <w:r w:rsidRPr="008B1755">
        <w:rPr>
          <w:lang w:val="cs-CZ"/>
        </w:rPr>
        <w:t xml:space="preserve">Odhadovaná maximální a inzerovaná rychlost </w:t>
      </w:r>
      <w:r w:rsidR="004E4F9E">
        <w:rPr>
          <w:lang w:val="cs-CZ"/>
        </w:rPr>
        <w:t>download a upload</w:t>
      </w:r>
      <w:r w:rsidR="002560C3">
        <w:rPr>
          <w:lang w:val="cs-CZ"/>
        </w:rPr>
        <w:t xml:space="preserve"> </w:t>
      </w:r>
      <w:r w:rsidRPr="008B1755">
        <w:rPr>
          <w:lang w:val="cs-CZ"/>
        </w:rPr>
        <w:t xml:space="preserve">by měla být </w:t>
      </w:r>
      <w:r w:rsidR="009A701D" w:rsidRPr="008B1755">
        <w:rPr>
          <w:lang w:val="cs-CZ"/>
        </w:rPr>
        <w:t>ve smlouvě</w:t>
      </w:r>
      <w:r w:rsidRPr="008B1755">
        <w:rPr>
          <w:lang w:val="cs-CZ"/>
        </w:rPr>
        <w:t xml:space="preserve"> popsána v souladu s </w:t>
      </w:r>
      <w:r w:rsidR="00D2652F">
        <w:rPr>
          <w:lang w:val="cs-CZ"/>
        </w:rPr>
        <w:t>body</w:t>
      </w:r>
      <w:r w:rsidRPr="008B1755">
        <w:rPr>
          <w:lang w:val="cs-CZ"/>
        </w:rPr>
        <w:t xml:space="preserve"> </w:t>
      </w:r>
      <w:r w:rsidR="00CA269E" w:rsidRPr="008B1755">
        <w:rPr>
          <w:lang w:val="cs-CZ"/>
        </w:rPr>
        <w:fldChar w:fldCharType="begin"/>
      </w:r>
      <w:r w:rsidR="00C070C0" w:rsidRPr="008B1755">
        <w:rPr>
          <w:lang w:val="cs-CZ"/>
        </w:rPr>
        <w:instrText xml:space="preserve"> REF _Ref448832197 \r \h </w:instrText>
      </w:r>
      <w:r w:rsidR="00CA269E" w:rsidRPr="008B1755">
        <w:rPr>
          <w:lang w:val="cs-CZ"/>
        </w:rPr>
      </w:r>
      <w:r w:rsidR="00CA269E" w:rsidRPr="008B1755">
        <w:rPr>
          <w:lang w:val="cs-CZ"/>
        </w:rPr>
        <w:fldChar w:fldCharType="separate"/>
      </w:r>
      <w:r w:rsidR="003B403B" w:rsidRPr="008B1755">
        <w:rPr>
          <w:lang w:val="cs-CZ"/>
        </w:rPr>
        <w:t>153</w:t>
      </w:r>
      <w:r w:rsidR="00CA269E" w:rsidRPr="008B1755">
        <w:rPr>
          <w:lang w:val="cs-CZ"/>
        </w:rPr>
        <w:fldChar w:fldCharType="end"/>
      </w:r>
      <w:r w:rsidR="000C3CE2" w:rsidRPr="008B1755">
        <w:rPr>
          <w:lang w:val="cs-CZ"/>
        </w:rPr>
        <w:t xml:space="preserve"> </w:t>
      </w:r>
      <w:r w:rsidR="00C070C0" w:rsidRPr="008B1755">
        <w:rPr>
          <w:lang w:val="cs-CZ"/>
        </w:rPr>
        <w:t>-</w:t>
      </w:r>
      <w:r w:rsidR="000C3CE2" w:rsidRPr="008B1755">
        <w:rPr>
          <w:lang w:val="cs-CZ"/>
        </w:rPr>
        <w:t xml:space="preserve"> </w:t>
      </w:r>
      <w:r w:rsidR="00CA269E" w:rsidRPr="008B1755">
        <w:rPr>
          <w:lang w:val="cs-CZ"/>
        </w:rPr>
        <w:fldChar w:fldCharType="begin"/>
      </w:r>
      <w:r w:rsidR="00C070C0" w:rsidRPr="008B1755">
        <w:rPr>
          <w:lang w:val="cs-CZ"/>
        </w:rPr>
        <w:instrText xml:space="preserve"> REF _Ref448832199 \r \h </w:instrText>
      </w:r>
      <w:r w:rsidR="00CA269E" w:rsidRPr="008B1755">
        <w:rPr>
          <w:lang w:val="cs-CZ"/>
        </w:rPr>
      </w:r>
      <w:r w:rsidR="00CA269E" w:rsidRPr="008B1755">
        <w:rPr>
          <w:lang w:val="cs-CZ"/>
        </w:rPr>
        <w:fldChar w:fldCharType="separate"/>
      </w:r>
      <w:r w:rsidR="003B403B" w:rsidRPr="008B1755">
        <w:rPr>
          <w:lang w:val="cs-CZ"/>
        </w:rPr>
        <w:t>157</w:t>
      </w:r>
      <w:r w:rsidR="00CA269E" w:rsidRPr="008B1755">
        <w:rPr>
          <w:lang w:val="cs-CZ"/>
        </w:rPr>
        <w:fldChar w:fldCharType="end"/>
      </w:r>
      <w:r w:rsidR="00C00BED" w:rsidRPr="008B1755">
        <w:rPr>
          <w:lang w:val="cs-CZ"/>
        </w:rPr>
        <w:t>.</w:t>
      </w:r>
    </w:p>
    <w:p w:rsidR="00D61C28" w:rsidRPr="008B1755" w:rsidRDefault="002432A0" w:rsidP="001074DD">
      <w:pPr>
        <w:keepNext/>
        <w:keepLines/>
        <w:spacing w:after="120"/>
        <w:outlineLvl w:val="3"/>
        <w:rPr>
          <w:rFonts w:eastAsia="SimSun"/>
          <w:bCs/>
          <w:i/>
          <w:iCs/>
          <w:lang w:val="cs-CZ"/>
        </w:rPr>
      </w:pPr>
      <w:r w:rsidRPr="008B1755">
        <w:rPr>
          <w:rFonts w:eastAsia="SimSun"/>
          <w:bCs/>
          <w:i/>
          <w:iCs/>
          <w:lang w:val="cs-CZ"/>
        </w:rPr>
        <w:t>Odhadovaná</w:t>
      </w:r>
      <w:r w:rsidR="00353CF2" w:rsidRPr="008B1755">
        <w:rPr>
          <w:rFonts w:eastAsia="SimSun"/>
          <w:bCs/>
          <w:i/>
          <w:iCs/>
          <w:lang w:val="cs-CZ"/>
        </w:rPr>
        <w:t xml:space="preserve"> </w:t>
      </w:r>
      <w:r w:rsidR="00B639EF" w:rsidRPr="008B1755">
        <w:rPr>
          <w:rFonts w:eastAsia="SimSun"/>
          <w:bCs/>
          <w:i/>
          <w:iCs/>
          <w:lang w:val="cs-CZ"/>
        </w:rPr>
        <w:t>maximální rychlost</w:t>
      </w:r>
    </w:p>
    <w:p w:rsidR="00B47DC8" w:rsidRPr="008B1755" w:rsidRDefault="004A728A" w:rsidP="0038751B">
      <w:pPr>
        <w:numPr>
          <w:ilvl w:val="0"/>
          <w:numId w:val="2"/>
        </w:numPr>
        <w:spacing w:after="120"/>
        <w:rPr>
          <w:lang w:val="cs-CZ"/>
        </w:rPr>
      </w:pPr>
      <w:bookmarkStart w:id="61" w:name="_Ref448832197"/>
      <w:r w:rsidRPr="008B1755">
        <w:rPr>
          <w:lang w:val="cs-CZ"/>
        </w:rPr>
        <w:t xml:space="preserve">Odhadovaná </w:t>
      </w:r>
      <w:r w:rsidR="00B639EF" w:rsidRPr="008B1755">
        <w:rPr>
          <w:lang w:val="cs-CZ"/>
        </w:rPr>
        <w:t>maximální rychlost</w:t>
      </w:r>
      <w:r w:rsidR="00D61C28" w:rsidRPr="008B1755">
        <w:rPr>
          <w:lang w:val="cs-CZ"/>
        </w:rPr>
        <w:t xml:space="preserve"> </w:t>
      </w:r>
      <w:r w:rsidRPr="008B1755">
        <w:rPr>
          <w:lang w:val="cs-CZ"/>
        </w:rPr>
        <w:t xml:space="preserve">pro </w:t>
      </w:r>
      <w:r w:rsidR="003B6CB7" w:rsidRPr="008B1755">
        <w:rPr>
          <w:lang w:val="cs-CZ"/>
        </w:rPr>
        <w:t>mobil</w:t>
      </w:r>
      <w:r w:rsidRPr="008B1755">
        <w:rPr>
          <w:lang w:val="cs-CZ"/>
        </w:rPr>
        <w:t>ní</w:t>
      </w:r>
      <w:r w:rsidR="003B6CB7" w:rsidRPr="008B1755">
        <w:rPr>
          <w:lang w:val="cs-CZ"/>
        </w:rPr>
        <w:t xml:space="preserve"> </w:t>
      </w:r>
      <w:r w:rsidR="00DD272F" w:rsidRPr="008B1755">
        <w:rPr>
          <w:lang w:val="cs-CZ"/>
        </w:rPr>
        <w:t>služb</w:t>
      </w:r>
      <w:r w:rsidRPr="008B1755">
        <w:rPr>
          <w:lang w:val="cs-CZ"/>
        </w:rPr>
        <w:t>u</w:t>
      </w:r>
      <w:r w:rsidR="00DD272F" w:rsidRPr="008B1755">
        <w:rPr>
          <w:lang w:val="cs-CZ"/>
        </w:rPr>
        <w:t xml:space="preserve"> přístupu k internetu</w:t>
      </w:r>
      <w:r w:rsidR="00D61C28" w:rsidRPr="008B1755">
        <w:rPr>
          <w:lang w:val="cs-CZ"/>
        </w:rPr>
        <w:t xml:space="preserve"> </w:t>
      </w:r>
      <w:r w:rsidRPr="008B1755">
        <w:rPr>
          <w:lang w:val="cs-CZ"/>
        </w:rPr>
        <w:t xml:space="preserve">by měla být uváděna tak, aby </w:t>
      </w:r>
      <w:r w:rsidR="00DD272F" w:rsidRPr="008B1755">
        <w:rPr>
          <w:lang w:val="cs-CZ"/>
        </w:rPr>
        <w:t xml:space="preserve">koncový uživatel </w:t>
      </w:r>
      <w:r w:rsidRPr="008B1755">
        <w:rPr>
          <w:lang w:val="cs-CZ"/>
        </w:rPr>
        <w:t>porozumě</w:t>
      </w:r>
      <w:r w:rsidR="004214E7">
        <w:rPr>
          <w:lang w:val="cs-CZ"/>
        </w:rPr>
        <w:t>l</w:t>
      </w:r>
      <w:r w:rsidRPr="008B1755">
        <w:rPr>
          <w:lang w:val="cs-CZ"/>
        </w:rPr>
        <w:t xml:space="preserve"> realisticky dosažitelné </w:t>
      </w:r>
      <w:r w:rsidR="00B639EF" w:rsidRPr="008B1755">
        <w:rPr>
          <w:lang w:val="cs-CZ"/>
        </w:rPr>
        <w:t>maximální rychlost</w:t>
      </w:r>
      <w:r w:rsidRPr="008B1755">
        <w:rPr>
          <w:lang w:val="cs-CZ"/>
        </w:rPr>
        <w:t xml:space="preserve">i u své služby v různých místech za </w:t>
      </w:r>
      <w:r w:rsidR="00D61C28" w:rsidRPr="008B1755">
        <w:rPr>
          <w:lang w:val="cs-CZ"/>
        </w:rPr>
        <w:t>realistic</w:t>
      </w:r>
      <w:r w:rsidRPr="008B1755">
        <w:rPr>
          <w:lang w:val="cs-CZ"/>
        </w:rPr>
        <w:t>kých podmínek používání</w:t>
      </w:r>
      <w:r w:rsidR="00D61C28" w:rsidRPr="008B1755">
        <w:rPr>
          <w:lang w:val="cs-CZ"/>
        </w:rPr>
        <w:t xml:space="preserve">. </w:t>
      </w:r>
      <w:r w:rsidRPr="008B1755">
        <w:rPr>
          <w:lang w:val="cs-CZ"/>
        </w:rPr>
        <w:t xml:space="preserve">Odhadovaná </w:t>
      </w:r>
      <w:r w:rsidR="00B639EF" w:rsidRPr="008B1755">
        <w:rPr>
          <w:lang w:val="cs-CZ"/>
        </w:rPr>
        <w:t>maximální rychlost</w:t>
      </w:r>
      <w:r w:rsidR="00D61C28" w:rsidRPr="008B1755">
        <w:rPr>
          <w:lang w:val="cs-CZ"/>
        </w:rPr>
        <w:t xml:space="preserve"> </w:t>
      </w:r>
      <w:r w:rsidRPr="008B1755">
        <w:rPr>
          <w:lang w:val="cs-CZ"/>
        </w:rPr>
        <w:t xml:space="preserve">by mohla být uváděna samostatně pro různé síťové </w:t>
      </w:r>
      <w:r w:rsidR="00D61C28" w:rsidRPr="008B1755">
        <w:rPr>
          <w:lang w:val="cs-CZ"/>
        </w:rPr>
        <w:t>technologie</w:t>
      </w:r>
      <w:r w:rsidRPr="008B1755">
        <w:rPr>
          <w:lang w:val="cs-CZ"/>
        </w:rPr>
        <w:t xml:space="preserve">, které mají vliv na </w:t>
      </w:r>
      <w:r w:rsidR="00B639EF" w:rsidRPr="008B1755">
        <w:rPr>
          <w:lang w:val="cs-CZ"/>
        </w:rPr>
        <w:t>maximální rychlost</w:t>
      </w:r>
      <w:r w:rsidR="00D61C28" w:rsidRPr="008B1755">
        <w:rPr>
          <w:lang w:val="cs-CZ"/>
        </w:rPr>
        <w:t xml:space="preserve"> </w:t>
      </w:r>
      <w:r w:rsidR="00AF415C" w:rsidRPr="008B1755">
        <w:rPr>
          <w:lang w:val="cs-CZ"/>
        </w:rPr>
        <w:t>dostupnou</w:t>
      </w:r>
      <w:r w:rsidRPr="008B1755">
        <w:rPr>
          <w:lang w:val="cs-CZ"/>
        </w:rPr>
        <w:t xml:space="preserve"> pro koncového uživatele</w:t>
      </w:r>
      <w:r w:rsidR="00D61C28" w:rsidRPr="008B1755">
        <w:rPr>
          <w:lang w:val="cs-CZ"/>
        </w:rPr>
        <w:t xml:space="preserve">. </w:t>
      </w:r>
      <w:r w:rsidRPr="008B1755">
        <w:rPr>
          <w:lang w:val="cs-CZ"/>
        </w:rPr>
        <w:t xml:space="preserve">Koncoví uživatelé by měli být schopni porozumět tomu, že nemusí být schopni dosáhnout </w:t>
      </w:r>
      <w:r w:rsidR="00B639EF" w:rsidRPr="008B1755">
        <w:rPr>
          <w:lang w:val="cs-CZ"/>
        </w:rPr>
        <w:t>maximální rychlost</w:t>
      </w:r>
      <w:r w:rsidRPr="008B1755">
        <w:rPr>
          <w:lang w:val="cs-CZ"/>
        </w:rPr>
        <w:t>i, pokud jejich mobilní koncové zařízení danou rychlost nepodporuje</w:t>
      </w:r>
      <w:r w:rsidR="00D61C28" w:rsidRPr="008B1755">
        <w:rPr>
          <w:lang w:val="cs-CZ"/>
        </w:rPr>
        <w:t>.</w:t>
      </w:r>
      <w:bookmarkEnd w:id="61"/>
      <w:r w:rsidR="00D61C28" w:rsidRPr="008B1755">
        <w:rPr>
          <w:lang w:val="cs-CZ"/>
        </w:rPr>
        <w:t xml:space="preserve"> </w:t>
      </w:r>
    </w:p>
    <w:p w:rsidR="00B47DC8" w:rsidRPr="008B1755" w:rsidRDefault="004A728A" w:rsidP="00B47DC8">
      <w:pPr>
        <w:numPr>
          <w:ilvl w:val="0"/>
          <w:numId w:val="2"/>
        </w:numPr>
        <w:spacing w:after="120"/>
        <w:rPr>
          <w:i/>
          <w:lang w:val="cs-CZ"/>
        </w:rPr>
      </w:pPr>
      <w:r w:rsidRPr="008B1755">
        <w:rPr>
          <w:lang w:val="cs-CZ"/>
        </w:rPr>
        <w:t xml:space="preserve">Vnitrostátní </w:t>
      </w:r>
      <w:r w:rsidR="00926BAE" w:rsidRPr="008B1755">
        <w:rPr>
          <w:lang w:val="cs-CZ"/>
        </w:rPr>
        <w:t>regulační orgány</w:t>
      </w:r>
      <w:r w:rsidR="00B47DC8" w:rsidRPr="008B1755">
        <w:rPr>
          <w:lang w:val="cs-CZ"/>
        </w:rPr>
        <w:t xml:space="preserve"> </w:t>
      </w:r>
      <w:r w:rsidR="00A403C6" w:rsidRPr="008B1755">
        <w:rPr>
          <w:lang w:val="cs-CZ"/>
        </w:rPr>
        <w:t>moh</w:t>
      </w:r>
      <w:r w:rsidR="004214E7">
        <w:rPr>
          <w:lang w:val="cs-CZ"/>
        </w:rPr>
        <w:t>ou</w:t>
      </w:r>
      <w:r w:rsidR="00A403C6" w:rsidRPr="008B1755">
        <w:rPr>
          <w:lang w:val="cs-CZ"/>
        </w:rPr>
        <w:t xml:space="preserve"> v souladu s čl. 5 odst. 1 stanovit požadavky na definování odhadované </w:t>
      </w:r>
      <w:r w:rsidR="00B639EF" w:rsidRPr="008B1755">
        <w:rPr>
          <w:lang w:val="cs-CZ"/>
        </w:rPr>
        <w:t>maximální rychlost</w:t>
      </w:r>
      <w:r w:rsidR="00A403C6" w:rsidRPr="008B1755">
        <w:rPr>
          <w:lang w:val="cs-CZ"/>
        </w:rPr>
        <w:t xml:space="preserve">i podle čl. </w:t>
      </w:r>
      <w:r w:rsidR="00B47DC8" w:rsidRPr="008B1755">
        <w:rPr>
          <w:lang w:val="cs-CZ"/>
        </w:rPr>
        <w:t>5</w:t>
      </w:r>
      <w:r w:rsidR="00A403C6" w:rsidRPr="008B1755">
        <w:rPr>
          <w:lang w:val="cs-CZ"/>
        </w:rPr>
        <w:t xml:space="preserve"> odst. </w:t>
      </w:r>
      <w:r w:rsidR="00B47DC8" w:rsidRPr="008B1755">
        <w:rPr>
          <w:lang w:val="cs-CZ"/>
        </w:rPr>
        <w:t>1.</w:t>
      </w:r>
    </w:p>
    <w:p w:rsidR="00D61C28" w:rsidRPr="008B1755" w:rsidRDefault="00A403C6" w:rsidP="0038751B">
      <w:pPr>
        <w:numPr>
          <w:ilvl w:val="0"/>
          <w:numId w:val="2"/>
        </w:numPr>
        <w:spacing w:after="120"/>
        <w:rPr>
          <w:lang w:val="cs-CZ"/>
        </w:rPr>
      </w:pPr>
      <w:r w:rsidRPr="008B1755">
        <w:rPr>
          <w:lang w:val="cs-CZ"/>
        </w:rPr>
        <w:t xml:space="preserve">Odhadovaná maximální a inzerovaná rychlost </w:t>
      </w:r>
      <w:r w:rsidR="004214E7">
        <w:rPr>
          <w:lang w:val="cs-CZ"/>
        </w:rPr>
        <w:t>download a upload</w:t>
      </w:r>
      <w:r w:rsidR="00B90AAF">
        <w:rPr>
          <w:lang w:val="cs-CZ"/>
        </w:rPr>
        <w:t xml:space="preserve"> </w:t>
      </w:r>
      <w:r w:rsidR="00DA4C86">
        <w:rPr>
          <w:lang w:val="cs-CZ"/>
        </w:rPr>
        <w:t>může</w:t>
      </w:r>
      <w:r w:rsidRPr="008B1755">
        <w:rPr>
          <w:lang w:val="cs-CZ"/>
        </w:rPr>
        <w:t xml:space="preserve"> být </w:t>
      </w:r>
      <w:r w:rsidR="004214E7">
        <w:rPr>
          <w:lang w:val="cs-CZ"/>
        </w:rPr>
        <w:t xml:space="preserve">uváděna v </w:t>
      </w:r>
      <w:r w:rsidRPr="008B1755">
        <w:rPr>
          <w:lang w:val="cs-CZ"/>
        </w:rPr>
        <w:t>geografick</w:t>
      </w:r>
      <w:r w:rsidR="004214E7">
        <w:rPr>
          <w:lang w:val="cs-CZ"/>
        </w:rPr>
        <w:t>ém zpracování</w:t>
      </w:r>
      <w:r w:rsidRPr="008B1755">
        <w:rPr>
          <w:lang w:val="cs-CZ"/>
        </w:rPr>
        <w:t xml:space="preserve"> </w:t>
      </w:r>
      <w:r w:rsidR="004214E7">
        <w:rPr>
          <w:lang w:val="cs-CZ"/>
        </w:rPr>
        <w:t xml:space="preserve">prostřednictvím </w:t>
      </w:r>
      <w:r w:rsidR="00002F26" w:rsidRPr="008B1755">
        <w:rPr>
          <w:lang w:val="cs-CZ"/>
        </w:rPr>
        <w:t>map s odhadovanými</w:t>
      </w:r>
      <w:r w:rsidR="00B47DC8" w:rsidRPr="008B1755">
        <w:rPr>
          <w:lang w:val="cs-CZ"/>
        </w:rPr>
        <w:t>/</w:t>
      </w:r>
      <w:r w:rsidR="00002F26" w:rsidRPr="008B1755">
        <w:rPr>
          <w:lang w:val="cs-CZ"/>
        </w:rPr>
        <w:t xml:space="preserve">naměřenými hodnotami rychlosti </w:t>
      </w:r>
      <w:r w:rsidR="004214E7">
        <w:rPr>
          <w:lang w:val="cs-CZ"/>
        </w:rPr>
        <w:t xml:space="preserve">pro </w:t>
      </w:r>
      <w:r w:rsidR="00BC57A3" w:rsidRPr="008B1755">
        <w:rPr>
          <w:lang w:val="cs-CZ"/>
        </w:rPr>
        <w:t>všech</w:t>
      </w:r>
      <w:r w:rsidR="00BC57A3">
        <w:rPr>
          <w:lang w:val="cs-CZ"/>
        </w:rPr>
        <w:t>na</w:t>
      </w:r>
      <w:r w:rsidR="00BC57A3" w:rsidRPr="008B1755">
        <w:rPr>
          <w:lang w:val="cs-CZ"/>
        </w:rPr>
        <w:t xml:space="preserve"> míst</w:t>
      </w:r>
      <w:r w:rsidR="00BC57A3">
        <w:rPr>
          <w:lang w:val="cs-CZ"/>
        </w:rPr>
        <w:t>a</w:t>
      </w:r>
      <w:r w:rsidR="00BC57A3" w:rsidRPr="008B1755">
        <w:rPr>
          <w:lang w:val="cs-CZ"/>
        </w:rPr>
        <w:t xml:space="preserve"> </w:t>
      </w:r>
      <w:r w:rsidR="00002F26" w:rsidRPr="008B1755">
        <w:rPr>
          <w:lang w:val="cs-CZ"/>
        </w:rPr>
        <w:t>pokryt</w:t>
      </w:r>
      <w:r w:rsidR="00BC57A3">
        <w:rPr>
          <w:lang w:val="cs-CZ"/>
        </w:rPr>
        <w:t>á</w:t>
      </w:r>
      <w:r w:rsidR="00002F26" w:rsidRPr="008B1755">
        <w:rPr>
          <w:lang w:val="cs-CZ"/>
        </w:rPr>
        <w:t xml:space="preserve"> </w:t>
      </w:r>
      <w:r w:rsidR="00BC57A3">
        <w:rPr>
          <w:lang w:val="cs-CZ"/>
        </w:rPr>
        <w:t>sítí</w:t>
      </w:r>
      <w:r w:rsidR="00B47DC8" w:rsidRPr="008B1755">
        <w:rPr>
          <w:lang w:val="cs-CZ"/>
        </w:rPr>
        <w:t>.</w:t>
      </w:r>
    </w:p>
    <w:p w:rsidR="00D61C28" w:rsidRPr="008B1755" w:rsidRDefault="00B639EF" w:rsidP="001074DD">
      <w:pPr>
        <w:keepNext/>
        <w:keepLines/>
        <w:spacing w:after="120"/>
        <w:outlineLvl w:val="3"/>
        <w:rPr>
          <w:rFonts w:eastAsia="SimSun"/>
          <w:i/>
          <w:lang w:val="cs-CZ"/>
        </w:rPr>
      </w:pPr>
      <w:r w:rsidRPr="008B1755">
        <w:rPr>
          <w:rFonts w:eastAsia="SimSun"/>
          <w:bCs/>
          <w:i/>
          <w:iCs/>
          <w:lang w:val="cs-CZ"/>
        </w:rPr>
        <w:t>Inzerovaná rychlost</w:t>
      </w:r>
    </w:p>
    <w:p w:rsidR="00D61C28" w:rsidRPr="008B1755" w:rsidRDefault="00002F26" w:rsidP="0038751B">
      <w:pPr>
        <w:numPr>
          <w:ilvl w:val="0"/>
          <w:numId w:val="2"/>
        </w:numPr>
        <w:spacing w:after="120"/>
        <w:rPr>
          <w:lang w:val="cs-CZ"/>
        </w:rPr>
      </w:pPr>
      <w:r w:rsidRPr="008B1755">
        <w:rPr>
          <w:lang w:val="cs-CZ"/>
        </w:rPr>
        <w:t xml:space="preserve">Inzerovaná rychlost pro nabídku mobilní </w:t>
      </w:r>
      <w:r w:rsidR="00DD272F" w:rsidRPr="008B1755">
        <w:rPr>
          <w:lang w:val="cs-CZ"/>
        </w:rPr>
        <w:t>služb</w:t>
      </w:r>
      <w:r w:rsidRPr="008B1755">
        <w:rPr>
          <w:lang w:val="cs-CZ"/>
        </w:rPr>
        <w:t>y</w:t>
      </w:r>
      <w:r w:rsidR="00DD272F" w:rsidRPr="008B1755">
        <w:rPr>
          <w:lang w:val="cs-CZ"/>
        </w:rPr>
        <w:t xml:space="preserve"> přístupu k internetu</w:t>
      </w:r>
      <w:r w:rsidR="00D61C28" w:rsidRPr="008B1755">
        <w:rPr>
          <w:lang w:val="cs-CZ"/>
        </w:rPr>
        <w:t xml:space="preserve"> </w:t>
      </w:r>
      <w:r w:rsidRPr="008B1755">
        <w:rPr>
          <w:lang w:val="cs-CZ"/>
        </w:rPr>
        <w:t xml:space="preserve">by měla odrážet rychlost, </w:t>
      </w:r>
      <w:r w:rsidR="009807BE">
        <w:rPr>
          <w:lang w:val="cs-CZ"/>
        </w:rPr>
        <w:t>kterou</w:t>
      </w:r>
      <w:r w:rsidR="009807BE" w:rsidRPr="008B1755">
        <w:rPr>
          <w:lang w:val="cs-CZ"/>
        </w:rPr>
        <w:t xml:space="preserve"> </w:t>
      </w:r>
      <w:r w:rsidRPr="008B1755">
        <w:rPr>
          <w:lang w:val="cs-CZ"/>
        </w:rPr>
        <w:t xml:space="preserve">může realisticky zajistit </w:t>
      </w:r>
      <w:r w:rsidR="00035413" w:rsidRPr="008B1755">
        <w:rPr>
          <w:lang w:val="cs-CZ"/>
        </w:rPr>
        <w:t>koncovým uživatelům</w:t>
      </w:r>
      <w:r w:rsidR="00D61C28" w:rsidRPr="008B1755">
        <w:rPr>
          <w:lang w:val="cs-CZ"/>
        </w:rPr>
        <w:t xml:space="preserve">. </w:t>
      </w:r>
      <w:r w:rsidRPr="008B1755">
        <w:rPr>
          <w:lang w:val="cs-CZ"/>
        </w:rPr>
        <w:t xml:space="preserve">I když </w:t>
      </w:r>
      <w:r w:rsidR="009807BE" w:rsidRPr="008B1755">
        <w:rPr>
          <w:lang w:val="cs-CZ"/>
        </w:rPr>
        <w:t xml:space="preserve">jsou </w:t>
      </w:r>
      <w:r w:rsidRPr="008B1755">
        <w:rPr>
          <w:lang w:val="cs-CZ"/>
        </w:rPr>
        <w:t xml:space="preserve">požadavky na </w:t>
      </w:r>
      <w:r w:rsidR="00D61C28" w:rsidRPr="008B1755">
        <w:rPr>
          <w:lang w:val="cs-CZ"/>
        </w:rPr>
        <w:t>transparen</w:t>
      </w:r>
      <w:r w:rsidRPr="008B1755">
        <w:rPr>
          <w:lang w:val="cs-CZ"/>
        </w:rPr>
        <w:t xml:space="preserve">tnost ohledně rychlosti </w:t>
      </w:r>
      <w:r w:rsidR="00DD272F" w:rsidRPr="008B1755">
        <w:rPr>
          <w:lang w:val="cs-CZ"/>
        </w:rPr>
        <w:t>služb</w:t>
      </w:r>
      <w:r w:rsidRPr="008B1755">
        <w:rPr>
          <w:lang w:val="cs-CZ"/>
        </w:rPr>
        <w:t>y</w:t>
      </w:r>
      <w:r w:rsidR="00DD272F" w:rsidRPr="008B1755">
        <w:rPr>
          <w:lang w:val="cs-CZ"/>
        </w:rPr>
        <w:t xml:space="preserve"> přístupu k internetu</w:t>
      </w:r>
      <w:r w:rsidR="00D61C28" w:rsidRPr="008B1755">
        <w:rPr>
          <w:lang w:val="cs-CZ"/>
        </w:rPr>
        <w:t xml:space="preserve"> </w:t>
      </w:r>
      <w:r w:rsidRPr="008B1755">
        <w:rPr>
          <w:lang w:val="cs-CZ"/>
        </w:rPr>
        <w:t xml:space="preserve">pro mobilní </w:t>
      </w:r>
      <w:r w:rsidR="00DD272F" w:rsidRPr="008B1755">
        <w:rPr>
          <w:lang w:val="cs-CZ"/>
        </w:rPr>
        <w:t>služb</w:t>
      </w:r>
      <w:r w:rsidRPr="008B1755">
        <w:rPr>
          <w:lang w:val="cs-CZ"/>
        </w:rPr>
        <w:t>u</w:t>
      </w:r>
      <w:r w:rsidR="00DD272F" w:rsidRPr="008B1755">
        <w:rPr>
          <w:lang w:val="cs-CZ"/>
        </w:rPr>
        <w:t xml:space="preserve"> přístupu k internetu</w:t>
      </w:r>
      <w:r w:rsidR="00D61C28" w:rsidRPr="008B1755">
        <w:rPr>
          <w:lang w:val="cs-CZ"/>
        </w:rPr>
        <w:t xml:space="preserve"> </w:t>
      </w:r>
      <w:r w:rsidRPr="008B1755">
        <w:rPr>
          <w:lang w:val="cs-CZ"/>
        </w:rPr>
        <w:t xml:space="preserve">méně podrobné než pro </w:t>
      </w:r>
      <w:r w:rsidR="00DD272F" w:rsidRPr="008B1755">
        <w:rPr>
          <w:lang w:val="cs-CZ"/>
        </w:rPr>
        <w:t>služb</w:t>
      </w:r>
      <w:r w:rsidRPr="008B1755">
        <w:rPr>
          <w:lang w:val="cs-CZ"/>
        </w:rPr>
        <w:t>u</w:t>
      </w:r>
      <w:r w:rsidR="00DD272F" w:rsidRPr="008B1755">
        <w:rPr>
          <w:lang w:val="cs-CZ"/>
        </w:rPr>
        <w:t xml:space="preserve"> přístupu k</w:t>
      </w:r>
      <w:r w:rsidR="00BC57A3">
        <w:rPr>
          <w:lang w:val="cs-CZ"/>
        </w:rPr>
        <w:t> </w:t>
      </w:r>
      <w:r w:rsidR="00DD272F" w:rsidRPr="008B1755">
        <w:rPr>
          <w:lang w:val="cs-CZ"/>
        </w:rPr>
        <w:t>internetu</w:t>
      </w:r>
      <w:r w:rsidR="00BC57A3">
        <w:rPr>
          <w:lang w:val="cs-CZ"/>
        </w:rPr>
        <w:t xml:space="preserve"> poskytovanou v pevném místě</w:t>
      </w:r>
      <w:r w:rsidR="00D61C28" w:rsidRPr="008B1755">
        <w:rPr>
          <w:lang w:val="cs-CZ"/>
        </w:rPr>
        <w:t xml:space="preserve">, </w:t>
      </w:r>
      <w:r w:rsidRPr="008B1755">
        <w:rPr>
          <w:lang w:val="cs-CZ"/>
        </w:rPr>
        <w:t xml:space="preserve">měla by inzerovaná rychlost umožnit </w:t>
      </w:r>
      <w:r w:rsidR="00C44AED" w:rsidRPr="008B1755">
        <w:rPr>
          <w:lang w:val="cs-CZ"/>
        </w:rPr>
        <w:t>koncov</w:t>
      </w:r>
      <w:r w:rsidRPr="008B1755">
        <w:rPr>
          <w:lang w:val="cs-CZ"/>
        </w:rPr>
        <w:t>ým</w:t>
      </w:r>
      <w:r w:rsidR="00C44AED" w:rsidRPr="008B1755">
        <w:rPr>
          <w:lang w:val="cs-CZ"/>
        </w:rPr>
        <w:t xml:space="preserve"> uživatel</w:t>
      </w:r>
      <w:r w:rsidRPr="008B1755">
        <w:rPr>
          <w:lang w:val="cs-CZ"/>
        </w:rPr>
        <w:t>ům činit informovaná rozhodnutí</w:t>
      </w:r>
      <w:r w:rsidR="00F6272E" w:rsidRPr="008B1755">
        <w:rPr>
          <w:lang w:val="cs-CZ"/>
        </w:rPr>
        <w:t xml:space="preserve">, </w:t>
      </w:r>
      <w:r w:rsidRPr="008B1755">
        <w:rPr>
          <w:lang w:val="cs-CZ"/>
        </w:rPr>
        <w:t xml:space="preserve">například aby byli schopni posoudit hodnotu inzerované rychlosti oproti skutečnému výkonu </w:t>
      </w:r>
      <w:r w:rsidR="00747C71" w:rsidRPr="008B1755">
        <w:rPr>
          <w:lang w:val="cs-CZ"/>
        </w:rPr>
        <w:t>služby</w:t>
      </w:r>
      <w:r w:rsidR="00DD272F" w:rsidRPr="008B1755">
        <w:rPr>
          <w:lang w:val="cs-CZ"/>
        </w:rPr>
        <w:t xml:space="preserve"> přístupu k internetu</w:t>
      </w:r>
      <w:r w:rsidR="00D61C28" w:rsidRPr="008B1755">
        <w:rPr>
          <w:lang w:val="cs-CZ"/>
        </w:rPr>
        <w:t xml:space="preserve">. </w:t>
      </w:r>
      <w:r w:rsidRPr="008B1755">
        <w:rPr>
          <w:lang w:val="cs-CZ"/>
        </w:rPr>
        <w:t xml:space="preserve">Měly by být uvedeny významné faktory omezující rychlosti dosahované </w:t>
      </w:r>
      <w:r w:rsidR="00C44AED" w:rsidRPr="008B1755">
        <w:rPr>
          <w:lang w:val="cs-CZ"/>
        </w:rPr>
        <w:t>koncov</w:t>
      </w:r>
      <w:r w:rsidRPr="008B1755">
        <w:rPr>
          <w:lang w:val="cs-CZ"/>
        </w:rPr>
        <w:t>ými</w:t>
      </w:r>
      <w:r w:rsidR="00C44AED" w:rsidRPr="008B1755">
        <w:rPr>
          <w:lang w:val="cs-CZ"/>
        </w:rPr>
        <w:t xml:space="preserve"> uživatel</w:t>
      </w:r>
      <w:r w:rsidRPr="008B1755">
        <w:rPr>
          <w:lang w:val="cs-CZ"/>
        </w:rPr>
        <w:t>i</w:t>
      </w:r>
      <w:r w:rsidR="00D61C28" w:rsidRPr="008B1755">
        <w:rPr>
          <w:lang w:val="cs-CZ"/>
        </w:rPr>
        <w:t>.</w:t>
      </w:r>
    </w:p>
    <w:p w:rsidR="00D61C28" w:rsidRPr="008B1755" w:rsidRDefault="005C24B4" w:rsidP="003C2836">
      <w:pPr>
        <w:numPr>
          <w:ilvl w:val="0"/>
          <w:numId w:val="2"/>
        </w:numPr>
        <w:spacing w:after="120"/>
        <w:rPr>
          <w:i/>
          <w:lang w:val="cs-CZ"/>
        </w:rPr>
      </w:pPr>
      <w:bookmarkStart w:id="62" w:name="_Ref448832199"/>
      <w:r w:rsidRPr="008B1755">
        <w:rPr>
          <w:lang w:val="cs-CZ"/>
        </w:rPr>
        <w:t xml:space="preserve">Vnitrostátní regulační orgány </w:t>
      </w:r>
      <w:r w:rsidR="00BC57A3">
        <w:rPr>
          <w:lang w:val="cs-CZ"/>
        </w:rPr>
        <w:t>m</w:t>
      </w:r>
      <w:r w:rsidRPr="008B1755">
        <w:rPr>
          <w:lang w:val="cs-CZ"/>
        </w:rPr>
        <w:t>oh</w:t>
      </w:r>
      <w:r w:rsidR="00BC57A3">
        <w:rPr>
          <w:lang w:val="cs-CZ"/>
        </w:rPr>
        <w:t>ou</w:t>
      </w:r>
      <w:r w:rsidRPr="008B1755">
        <w:rPr>
          <w:lang w:val="cs-CZ"/>
        </w:rPr>
        <w:t xml:space="preserve"> v souladu s čl. 5 odst. 1 stanovit požadavky na to, jak se rychlosti definované ve smlouvě vztahují k inzerovaným rychlostem, například, že by inzerovaná rychlost pro </w:t>
      </w:r>
      <w:r w:rsidR="007D7F64" w:rsidRPr="008B1755">
        <w:rPr>
          <w:lang w:val="cs-CZ"/>
        </w:rPr>
        <w:t>služb</w:t>
      </w:r>
      <w:r w:rsidRPr="008B1755">
        <w:rPr>
          <w:lang w:val="cs-CZ"/>
        </w:rPr>
        <w:t>u</w:t>
      </w:r>
      <w:r w:rsidR="007D7F64" w:rsidRPr="008B1755">
        <w:rPr>
          <w:lang w:val="cs-CZ"/>
        </w:rPr>
        <w:t xml:space="preserve"> přístupu k internetu</w:t>
      </w:r>
      <w:r w:rsidR="00C070C0" w:rsidRPr="008B1755">
        <w:rPr>
          <w:lang w:val="cs-CZ"/>
        </w:rPr>
        <w:t xml:space="preserve"> </w:t>
      </w:r>
      <w:r w:rsidRPr="008B1755">
        <w:rPr>
          <w:lang w:val="cs-CZ"/>
        </w:rPr>
        <w:t>uvedená ve smlouvě neměla přesáhnout odhadovanou maximální rychlost definovanou v téže smlouvě</w:t>
      </w:r>
      <w:r w:rsidR="00C070C0" w:rsidRPr="008B1755">
        <w:rPr>
          <w:lang w:val="cs-CZ"/>
        </w:rPr>
        <w:t xml:space="preserve">. </w:t>
      </w:r>
      <w:r w:rsidR="00B639EF" w:rsidRPr="008B1755">
        <w:rPr>
          <w:lang w:val="cs-CZ"/>
        </w:rPr>
        <w:t xml:space="preserve">Viz také </w:t>
      </w:r>
      <w:r w:rsidR="00D2652F">
        <w:rPr>
          <w:lang w:val="cs-CZ"/>
        </w:rPr>
        <w:t>bod</w:t>
      </w:r>
      <w:r w:rsidR="00B639EF" w:rsidRPr="008B1755">
        <w:rPr>
          <w:lang w:val="cs-CZ"/>
        </w:rPr>
        <w:t xml:space="preserve"> </w:t>
      </w:r>
      <w:r w:rsidR="00CA269E" w:rsidRPr="008B1755">
        <w:rPr>
          <w:lang w:val="cs-CZ"/>
        </w:rPr>
        <w:fldChar w:fldCharType="begin"/>
      </w:r>
      <w:r w:rsidR="00C057E3" w:rsidRPr="008B1755">
        <w:rPr>
          <w:lang w:val="cs-CZ"/>
        </w:rPr>
        <w:instrText xml:space="preserve"> REF _Ref448935588 \r \h </w:instrText>
      </w:r>
      <w:r w:rsidR="00CA269E" w:rsidRPr="008B1755">
        <w:rPr>
          <w:lang w:val="cs-CZ"/>
        </w:rPr>
      </w:r>
      <w:r w:rsidR="00CA269E" w:rsidRPr="008B1755">
        <w:rPr>
          <w:lang w:val="cs-CZ"/>
        </w:rPr>
        <w:fldChar w:fldCharType="separate"/>
      </w:r>
      <w:r w:rsidR="003B403B" w:rsidRPr="008B1755">
        <w:rPr>
          <w:lang w:val="cs-CZ"/>
        </w:rPr>
        <w:t>142</w:t>
      </w:r>
      <w:r w:rsidR="00CA269E" w:rsidRPr="008B1755">
        <w:rPr>
          <w:lang w:val="cs-CZ"/>
        </w:rPr>
        <w:fldChar w:fldCharType="end"/>
      </w:r>
      <w:r w:rsidR="00C057E3" w:rsidRPr="008B1755">
        <w:rPr>
          <w:lang w:val="cs-CZ"/>
        </w:rPr>
        <w:t>.</w:t>
      </w:r>
      <w:bookmarkEnd w:id="62"/>
    </w:p>
    <w:p w:rsidR="00D61C28" w:rsidRPr="008B1755" w:rsidRDefault="003E7168" w:rsidP="001B38FB">
      <w:pPr>
        <w:keepNext/>
        <w:keepLines/>
        <w:tabs>
          <w:tab w:val="num" w:pos="360"/>
        </w:tabs>
        <w:spacing w:before="360" w:after="120"/>
        <w:outlineLvl w:val="1"/>
        <w:rPr>
          <w:rFonts w:eastAsia="SimSun" w:cs="Arial"/>
          <w:b/>
          <w:bCs/>
          <w:sz w:val="24"/>
          <w:szCs w:val="24"/>
          <w:lang w:val="cs-CZ"/>
        </w:rPr>
      </w:pPr>
      <w:bookmarkStart w:id="63" w:name="_Toc461400173"/>
      <w:r w:rsidRPr="008B1755">
        <w:rPr>
          <w:rFonts w:eastAsia="SimSun" w:cs="Arial"/>
          <w:b/>
          <w:bCs/>
          <w:sz w:val="24"/>
          <w:szCs w:val="24"/>
          <w:lang w:val="cs-CZ"/>
        </w:rPr>
        <w:t xml:space="preserve">Článek </w:t>
      </w:r>
      <w:r w:rsidR="00BE6053" w:rsidRPr="008B1755">
        <w:rPr>
          <w:rFonts w:eastAsia="SimSun" w:cs="Arial"/>
          <w:b/>
          <w:bCs/>
          <w:sz w:val="24"/>
          <w:szCs w:val="24"/>
          <w:lang w:val="cs-CZ"/>
        </w:rPr>
        <w:t>4 odst. 1</w:t>
      </w:r>
      <w:r w:rsidR="00D61C28" w:rsidRPr="008B1755">
        <w:rPr>
          <w:rFonts w:eastAsia="SimSun" w:cs="Arial"/>
          <w:b/>
          <w:bCs/>
          <w:sz w:val="24"/>
          <w:szCs w:val="24"/>
          <w:lang w:val="cs-CZ"/>
        </w:rPr>
        <w:t xml:space="preserve"> </w:t>
      </w:r>
      <w:r w:rsidR="00AC529F" w:rsidRPr="008B1755">
        <w:rPr>
          <w:rFonts w:eastAsia="SimSun" w:cs="Arial"/>
          <w:b/>
          <w:bCs/>
          <w:sz w:val="24"/>
          <w:szCs w:val="24"/>
          <w:lang w:val="cs-CZ"/>
        </w:rPr>
        <w:t>písm. e)</w:t>
      </w:r>
      <w:bookmarkEnd w:id="63"/>
    </w:p>
    <w:p w:rsidR="00D61C28" w:rsidRPr="008B1755" w:rsidRDefault="00940CEC" w:rsidP="006F0EC7">
      <w:pPr>
        <w:pBdr>
          <w:top w:val="single" w:sz="4" w:space="1" w:color="auto"/>
          <w:left w:val="single" w:sz="4" w:space="4" w:color="auto"/>
          <w:bottom w:val="single" w:sz="4" w:space="1" w:color="auto"/>
          <w:right w:val="single" w:sz="4" w:space="4" w:color="auto"/>
        </w:pBdr>
        <w:shd w:val="clear" w:color="auto" w:fill="D9D9D9"/>
        <w:ind w:left="60"/>
        <w:rPr>
          <w:rFonts w:ascii="Times New Roman" w:hAnsi="Times New Roman"/>
          <w:lang w:val="cs-CZ"/>
        </w:rPr>
      </w:pPr>
      <w:r w:rsidRPr="008B1755">
        <w:rPr>
          <w:rFonts w:ascii="Times New Roman" w:hAnsi="Times New Roman"/>
          <w:lang w:val="cs-CZ"/>
        </w:rPr>
        <w:t xml:space="preserve">(e) </w:t>
      </w:r>
      <w:r w:rsidR="009B7C0D" w:rsidRPr="008B1755">
        <w:rPr>
          <w:rStyle w:val="Style2Char"/>
          <w:lang w:val="cs-CZ"/>
        </w:rPr>
        <w:t>jasné a srozumitelné vysvětlení toho, jaké prostředky nápravy má spotřebitel k dispozici podle vnitrostátního práva v případě trvalé nebo pravidelně se opakující odchylky skutečného výkonu služby přístupu k internetu, pokud jde o rychlost nebo jiné parametry kvality služby, od výkonu uvedeného podle písmen a) až d)</w:t>
      </w:r>
      <w:r w:rsidR="00D61C28" w:rsidRPr="008B1755">
        <w:rPr>
          <w:rFonts w:ascii="Times New Roman" w:hAnsi="Times New Roman"/>
          <w:lang w:val="cs-CZ"/>
        </w:rPr>
        <w:t>.</w:t>
      </w:r>
    </w:p>
    <w:p w:rsidR="00D61C28" w:rsidRPr="008B1755" w:rsidRDefault="00FF0516" w:rsidP="0038751B">
      <w:pPr>
        <w:numPr>
          <w:ilvl w:val="0"/>
          <w:numId w:val="2"/>
        </w:numPr>
        <w:contextualSpacing/>
        <w:rPr>
          <w:lang w:val="cs-CZ"/>
        </w:rPr>
      </w:pPr>
      <w:r w:rsidRPr="008B1755">
        <w:rPr>
          <w:rStyle w:val="BERECChar"/>
          <w:lang w:val="cs-CZ"/>
        </w:rPr>
        <w:t>Prostředky nápravy</w:t>
      </w:r>
      <w:r w:rsidR="00BC57A3">
        <w:rPr>
          <w:rStyle w:val="BERECChar"/>
          <w:lang w:val="cs-CZ"/>
        </w:rPr>
        <w:t xml:space="preserve"> </w:t>
      </w:r>
      <w:r w:rsidRPr="008B1755">
        <w:rPr>
          <w:rStyle w:val="BERECChar"/>
          <w:lang w:val="cs-CZ"/>
        </w:rPr>
        <w:t xml:space="preserve">podle </w:t>
      </w:r>
      <w:r w:rsidR="00F064F8" w:rsidRPr="008B1755">
        <w:rPr>
          <w:lang w:val="cs-CZ"/>
        </w:rPr>
        <w:t>článku</w:t>
      </w:r>
      <w:r w:rsidR="00D61C28" w:rsidRPr="008B1755">
        <w:rPr>
          <w:lang w:val="cs-CZ"/>
        </w:rPr>
        <w:t xml:space="preserve"> </w:t>
      </w:r>
      <w:r w:rsidR="00BE6053" w:rsidRPr="008B1755">
        <w:rPr>
          <w:lang w:val="cs-CZ"/>
        </w:rPr>
        <w:t>4 odst. 1</w:t>
      </w:r>
      <w:r w:rsidR="001E3318" w:rsidRPr="008B1755">
        <w:rPr>
          <w:lang w:val="cs-CZ"/>
        </w:rPr>
        <w:t xml:space="preserve"> </w:t>
      </w:r>
      <w:r w:rsidR="00AC529F" w:rsidRPr="008B1755">
        <w:rPr>
          <w:lang w:val="cs-CZ"/>
        </w:rPr>
        <w:t>písm. e)</w:t>
      </w:r>
      <w:r w:rsidR="00BC57A3">
        <w:rPr>
          <w:lang w:val="cs-CZ"/>
        </w:rPr>
        <w:t xml:space="preserve">, </w:t>
      </w:r>
      <w:r w:rsidR="00BC57A3">
        <w:rPr>
          <w:rStyle w:val="BERECChar"/>
          <w:lang w:val="cs-CZ"/>
        </w:rPr>
        <w:t xml:space="preserve">které </w:t>
      </w:r>
      <w:r w:rsidR="00BC57A3" w:rsidRPr="008B1755">
        <w:rPr>
          <w:rStyle w:val="BERECChar"/>
          <w:lang w:val="cs-CZ"/>
        </w:rPr>
        <w:t>má spotřebitel k</w:t>
      </w:r>
      <w:r w:rsidR="00BC57A3">
        <w:rPr>
          <w:rStyle w:val="BERECChar"/>
          <w:lang w:val="cs-CZ"/>
        </w:rPr>
        <w:t> </w:t>
      </w:r>
      <w:r w:rsidR="00BC57A3" w:rsidRPr="008B1755">
        <w:rPr>
          <w:rStyle w:val="BERECChar"/>
          <w:lang w:val="cs-CZ"/>
        </w:rPr>
        <w:t>dispozici</w:t>
      </w:r>
      <w:r w:rsidR="00BC57A3">
        <w:rPr>
          <w:rStyle w:val="BERECChar"/>
          <w:lang w:val="cs-CZ"/>
        </w:rPr>
        <w:t>,</w:t>
      </w:r>
      <w:r w:rsidR="00BC57A3" w:rsidRPr="008B1755">
        <w:rPr>
          <w:rStyle w:val="BERECChar"/>
          <w:lang w:val="cs-CZ"/>
        </w:rPr>
        <w:t xml:space="preserve"> </w:t>
      </w:r>
      <w:r w:rsidRPr="008B1755">
        <w:rPr>
          <w:lang w:val="cs-CZ"/>
        </w:rPr>
        <w:t>jsou definovány vnitrostátním právem</w:t>
      </w:r>
      <w:r w:rsidR="00D61C28" w:rsidRPr="008B1755">
        <w:rPr>
          <w:lang w:val="cs-CZ"/>
        </w:rPr>
        <w:t xml:space="preserve">. </w:t>
      </w:r>
      <w:r w:rsidRPr="008B1755">
        <w:rPr>
          <w:lang w:val="cs-CZ"/>
        </w:rPr>
        <w:t>Příklady možných prostředků nápravy v případě nesrovnalostí jsou snížení ceny</w:t>
      </w:r>
      <w:r w:rsidR="003B6CB7" w:rsidRPr="008B1755">
        <w:rPr>
          <w:lang w:val="cs-CZ"/>
        </w:rPr>
        <w:t xml:space="preserve">, </w:t>
      </w:r>
      <w:r w:rsidRPr="008B1755">
        <w:rPr>
          <w:lang w:val="cs-CZ"/>
        </w:rPr>
        <w:t>předčasné ukončení smlouvy</w:t>
      </w:r>
      <w:r w:rsidR="003B6CB7" w:rsidRPr="008B1755">
        <w:rPr>
          <w:lang w:val="cs-CZ"/>
        </w:rPr>
        <w:t xml:space="preserve">, </w:t>
      </w:r>
      <w:r w:rsidRPr="008B1755">
        <w:rPr>
          <w:lang w:val="cs-CZ"/>
        </w:rPr>
        <w:t>náhrada škod nebo náprava neshody výkonu nebo kombinace uvedených prostředků nápravy</w:t>
      </w:r>
      <w:r w:rsidR="00FC0421" w:rsidRPr="008B1755">
        <w:rPr>
          <w:lang w:val="cs-CZ"/>
        </w:rPr>
        <w:t>. Vnitrostátní</w:t>
      </w:r>
      <w:r w:rsidR="00926BAE" w:rsidRPr="008B1755">
        <w:rPr>
          <w:lang w:val="cs-CZ"/>
        </w:rPr>
        <w:t xml:space="preserve"> regulační orgány</w:t>
      </w:r>
      <w:r w:rsidR="00D61C28" w:rsidRPr="008B1755">
        <w:rPr>
          <w:lang w:val="cs-CZ"/>
        </w:rPr>
        <w:t xml:space="preserve"> </w:t>
      </w:r>
      <w:r w:rsidRPr="008B1755">
        <w:rPr>
          <w:lang w:val="cs-CZ"/>
        </w:rPr>
        <w:t xml:space="preserve">by měly zajistit, aby </w:t>
      </w:r>
      <w:r w:rsidR="007D7F64" w:rsidRPr="008B1755">
        <w:rPr>
          <w:lang w:val="cs-CZ"/>
        </w:rPr>
        <w:t>poskytovatelé internetových služeb</w:t>
      </w:r>
      <w:r w:rsidR="000C0BFB" w:rsidRPr="008B1755">
        <w:rPr>
          <w:lang w:val="cs-CZ"/>
        </w:rPr>
        <w:t xml:space="preserve"> </w:t>
      </w:r>
      <w:r w:rsidR="00AF415C" w:rsidRPr="008B1755">
        <w:rPr>
          <w:lang w:val="cs-CZ"/>
        </w:rPr>
        <w:t>poskytli</w:t>
      </w:r>
      <w:r w:rsidRPr="008B1755">
        <w:rPr>
          <w:lang w:val="cs-CZ"/>
        </w:rPr>
        <w:t xml:space="preserve"> spotřebitelům informace o těchto prostředcích nápravy</w:t>
      </w:r>
      <w:r w:rsidR="00D61C28" w:rsidRPr="008B1755">
        <w:rPr>
          <w:lang w:val="cs-CZ"/>
        </w:rPr>
        <w:t>.</w:t>
      </w:r>
    </w:p>
    <w:p w:rsidR="00D61C28" w:rsidRPr="008B1755" w:rsidRDefault="003E7168" w:rsidP="001B38FB">
      <w:pPr>
        <w:keepNext/>
        <w:keepLines/>
        <w:tabs>
          <w:tab w:val="num" w:pos="360"/>
        </w:tabs>
        <w:spacing w:before="360" w:after="120"/>
        <w:outlineLvl w:val="1"/>
        <w:rPr>
          <w:rFonts w:eastAsia="SimSun" w:cs="Arial"/>
          <w:b/>
          <w:bCs/>
          <w:sz w:val="24"/>
          <w:szCs w:val="24"/>
          <w:lang w:val="cs-CZ"/>
        </w:rPr>
      </w:pPr>
      <w:bookmarkStart w:id="64" w:name="_Toc461400174"/>
      <w:r w:rsidRPr="008B1755">
        <w:rPr>
          <w:rFonts w:eastAsia="SimSun" w:cs="Arial"/>
          <w:b/>
          <w:bCs/>
          <w:sz w:val="24"/>
          <w:szCs w:val="24"/>
          <w:lang w:val="cs-CZ"/>
        </w:rPr>
        <w:t xml:space="preserve">Článek </w:t>
      </w:r>
      <w:r w:rsidR="00BE6053" w:rsidRPr="008B1755">
        <w:rPr>
          <w:rFonts w:eastAsia="SimSun" w:cs="Arial"/>
          <w:b/>
          <w:bCs/>
          <w:sz w:val="24"/>
          <w:szCs w:val="24"/>
          <w:lang w:val="cs-CZ"/>
        </w:rPr>
        <w:t>4 odst. 2</w:t>
      </w:r>
      <w:bookmarkEnd w:id="64"/>
    </w:p>
    <w:p w:rsidR="00D61C28" w:rsidRPr="008B1755" w:rsidRDefault="009B7C0D"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Poskytovatelé služeb přístupu k internetu zavedou transparentní, jednoduché a účinné postupy pro vyřizování stížností koncových uživatelů týkajících se práv a povinností stanovených v článku 3 a v odstavci 1 tohoto článku</w:t>
      </w:r>
      <w:r w:rsidR="00D61C28" w:rsidRPr="008B1755">
        <w:rPr>
          <w:rFonts w:ascii="Times New Roman" w:hAnsi="Times New Roman"/>
          <w:lang w:val="cs-CZ"/>
        </w:rPr>
        <w:t>.</w:t>
      </w:r>
    </w:p>
    <w:p w:rsidR="00D61C28" w:rsidRPr="008B1755" w:rsidRDefault="00D45ED6" w:rsidP="0038751B">
      <w:pPr>
        <w:numPr>
          <w:ilvl w:val="0"/>
          <w:numId w:val="2"/>
        </w:numPr>
        <w:contextualSpacing/>
        <w:rPr>
          <w:lang w:val="cs-CZ"/>
        </w:rPr>
      </w:pPr>
      <w:r w:rsidRPr="008B1755">
        <w:rPr>
          <w:lang w:val="cs-CZ"/>
        </w:rPr>
        <w:t xml:space="preserve">Vnitrostátní </w:t>
      </w:r>
      <w:r w:rsidR="00926BAE" w:rsidRPr="008B1755">
        <w:rPr>
          <w:lang w:val="cs-CZ"/>
        </w:rPr>
        <w:t>regulační orgány</w:t>
      </w:r>
      <w:r w:rsidR="00D61C28" w:rsidRPr="008B1755">
        <w:rPr>
          <w:lang w:val="cs-CZ"/>
        </w:rPr>
        <w:t xml:space="preserve"> </w:t>
      </w:r>
      <w:r w:rsidR="00A573CB" w:rsidRPr="008B1755">
        <w:rPr>
          <w:lang w:val="cs-CZ"/>
        </w:rPr>
        <w:t xml:space="preserve">by měly zajistit, aby </w:t>
      </w:r>
      <w:r w:rsidR="007D7F64" w:rsidRPr="008B1755">
        <w:rPr>
          <w:lang w:val="cs-CZ"/>
        </w:rPr>
        <w:t>poskytovatelé internetových služeb</w:t>
      </w:r>
      <w:r w:rsidR="00D61C28" w:rsidRPr="008B1755">
        <w:rPr>
          <w:lang w:val="cs-CZ"/>
        </w:rPr>
        <w:t xml:space="preserve"> </w:t>
      </w:r>
      <w:r w:rsidR="00A573CB" w:rsidRPr="008B1755">
        <w:rPr>
          <w:lang w:val="cs-CZ"/>
        </w:rPr>
        <w:t>dodržovali určité správné postupy pro řešení reklamací</w:t>
      </w:r>
      <w:r w:rsidR="001074DD" w:rsidRPr="008B1755">
        <w:rPr>
          <w:lang w:val="cs-CZ"/>
        </w:rPr>
        <w:t xml:space="preserve">, </w:t>
      </w:r>
      <w:r w:rsidR="00A573CB" w:rsidRPr="008B1755">
        <w:rPr>
          <w:lang w:val="cs-CZ"/>
        </w:rPr>
        <w:t>například</w:t>
      </w:r>
      <w:r w:rsidR="00D61C28" w:rsidRPr="008B1755">
        <w:rPr>
          <w:lang w:val="cs-CZ"/>
        </w:rPr>
        <w:t xml:space="preserve">: </w:t>
      </w:r>
    </w:p>
    <w:p w:rsidR="00A87819" w:rsidRPr="008B1755" w:rsidRDefault="00A573CB" w:rsidP="005D7948">
      <w:pPr>
        <w:pStyle w:val="Odstavecseseznamem"/>
        <w:numPr>
          <w:ilvl w:val="0"/>
          <w:numId w:val="18"/>
        </w:numPr>
        <w:spacing w:after="120"/>
        <w:ind w:left="1077" w:hanging="357"/>
        <w:rPr>
          <w:lang w:val="cs-CZ"/>
        </w:rPr>
      </w:pPr>
      <w:r w:rsidRPr="008B1755">
        <w:rPr>
          <w:lang w:val="cs-CZ"/>
        </w:rPr>
        <w:t xml:space="preserve">Informování </w:t>
      </w:r>
      <w:r w:rsidR="00C44AED" w:rsidRPr="008B1755">
        <w:rPr>
          <w:lang w:val="cs-CZ"/>
        </w:rPr>
        <w:t>koncov</w:t>
      </w:r>
      <w:r w:rsidRPr="008B1755">
        <w:rPr>
          <w:lang w:val="cs-CZ"/>
        </w:rPr>
        <w:t>ých</w:t>
      </w:r>
      <w:r w:rsidR="00C44AED" w:rsidRPr="008B1755">
        <w:rPr>
          <w:lang w:val="cs-CZ"/>
        </w:rPr>
        <w:t xml:space="preserve"> uživatel</w:t>
      </w:r>
      <w:r w:rsidRPr="008B1755">
        <w:rPr>
          <w:lang w:val="cs-CZ"/>
        </w:rPr>
        <w:t>ů</w:t>
      </w:r>
      <w:r w:rsidR="00D61C28" w:rsidRPr="008B1755">
        <w:rPr>
          <w:lang w:val="cs-CZ"/>
        </w:rPr>
        <w:t xml:space="preserve"> </w:t>
      </w:r>
      <w:r w:rsidR="009A701D" w:rsidRPr="008B1755">
        <w:rPr>
          <w:lang w:val="cs-CZ"/>
        </w:rPr>
        <w:t>ve smlouvě</w:t>
      </w:r>
      <w:r w:rsidR="00D61C28" w:rsidRPr="008B1755">
        <w:rPr>
          <w:lang w:val="cs-CZ"/>
        </w:rPr>
        <w:t xml:space="preserve"> </w:t>
      </w:r>
      <w:r w:rsidRPr="008B1755">
        <w:rPr>
          <w:lang w:val="cs-CZ"/>
        </w:rPr>
        <w:t>a rovněž na svých webových stránkách o zavedených postupech</w:t>
      </w:r>
      <w:r w:rsidR="00D61C28" w:rsidRPr="008B1755">
        <w:rPr>
          <w:lang w:val="cs-CZ"/>
        </w:rPr>
        <w:t xml:space="preserve">, </w:t>
      </w:r>
      <w:r w:rsidRPr="008B1755">
        <w:rPr>
          <w:lang w:val="cs-CZ"/>
        </w:rPr>
        <w:t>včetně obvyklé nebo maximální dob</w:t>
      </w:r>
      <w:r w:rsidR="00BC57A3">
        <w:rPr>
          <w:lang w:val="cs-CZ"/>
        </w:rPr>
        <w:t>y</w:t>
      </w:r>
      <w:r w:rsidRPr="008B1755">
        <w:rPr>
          <w:lang w:val="cs-CZ"/>
        </w:rPr>
        <w:t xml:space="preserve"> vyřízení reklamace</w:t>
      </w:r>
      <w:r w:rsidR="00D732F9">
        <w:rPr>
          <w:lang w:val="cs-CZ"/>
        </w:rPr>
        <w:t>, a to</w:t>
      </w:r>
      <w:r w:rsidR="001124C3" w:rsidRPr="001124C3">
        <w:rPr>
          <w:lang w:val="cs-CZ"/>
        </w:rPr>
        <w:t xml:space="preserve"> </w:t>
      </w:r>
      <w:r w:rsidR="001124C3" w:rsidRPr="008B1755">
        <w:rPr>
          <w:lang w:val="cs-CZ"/>
        </w:rPr>
        <w:t>jasným způsobem</w:t>
      </w:r>
      <w:r w:rsidR="00573DA1" w:rsidRPr="008B1755">
        <w:rPr>
          <w:lang w:val="cs-CZ"/>
        </w:rPr>
        <w:t>;</w:t>
      </w:r>
    </w:p>
    <w:p w:rsidR="00D61C28" w:rsidRPr="008B1755" w:rsidRDefault="00A573CB" w:rsidP="005D7948">
      <w:pPr>
        <w:pStyle w:val="Odstavecseseznamem"/>
        <w:numPr>
          <w:ilvl w:val="0"/>
          <w:numId w:val="18"/>
        </w:numPr>
        <w:spacing w:after="120"/>
        <w:ind w:left="1077" w:hanging="357"/>
        <w:rPr>
          <w:lang w:val="cs-CZ"/>
        </w:rPr>
      </w:pPr>
      <w:r w:rsidRPr="008B1755">
        <w:rPr>
          <w:lang w:val="cs-CZ"/>
        </w:rPr>
        <w:t xml:space="preserve">Uvedení popisu </w:t>
      </w:r>
      <w:r w:rsidR="00BC57A3">
        <w:rPr>
          <w:lang w:val="cs-CZ"/>
        </w:rPr>
        <w:t xml:space="preserve">způsobu </w:t>
      </w:r>
      <w:r w:rsidRPr="008B1755">
        <w:rPr>
          <w:lang w:val="cs-CZ"/>
        </w:rPr>
        <w:t>řešení reklamace</w:t>
      </w:r>
      <w:r w:rsidR="00D61C28" w:rsidRPr="008B1755">
        <w:rPr>
          <w:lang w:val="cs-CZ"/>
        </w:rPr>
        <w:t xml:space="preserve">, </w:t>
      </w:r>
      <w:r w:rsidRPr="008B1755">
        <w:rPr>
          <w:lang w:val="cs-CZ"/>
        </w:rPr>
        <w:t xml:space="preserve">včetně kroků, jaké </w:t>
      </w:r>
      <w:r w:rsidR="00DD272F" w:rsidRPr="008B1755">
        <w:rPr>
          <w:lang w:val="cs-CZ"/>
        </w:rPr>
        <w:t>poskytovatel internetových služeb</w:t>
      </w:r>
      <w:r w:rsidR="00D61C28" w:rsidRPr="008B1755">
        <w:rPr>
          <w:lang w:val="cs-CZ"/>
        </w:rPr>
        <w:t xml:space="preserve"> </w:t>
      </w:r>
      <w:r w:rsidRPr="008B1755">
        <w:rPr>
          <w:lang w:val="cs-CZ"/>
        </w:rPr>
        <w:t xml:space="preserve">podnikne k vyšetření reklamace, a způsobu, jakým bude </w:t>
      </w:r>
      <w:r w:rsidR="00DD272F" w:rsidRPr="008B1755">
        <w:rPr>
          <w:lang w:val="cs-CZ"/>
        </w:rPr>
        <w:t xml:space="preserve">koncový uživatel </w:t>
      </w:r>
      <w:r w:rsidRPr="008B1755">
        <w:rPr>
          <w:lang w:val="cs-CZ"/>
        </w:rPr>
        <w:t>informován o postupu řešení reklamace</w:t>
      </w:r>
      <w:r w:rsidR="00573DA1" w:rsidRPr="008B1755">
        <w:rPr>
          <w:lang w:val="cs-CZ"/>
        </w:rPr>
        <w:t>;</w:t>
      </w:r>
    </w:p>
    <w:p w:rsidR="00D61C28" w:rsidRPr="008B1755" w:rsidRDefault="00A573CB" w:rsidP="005D7948">
      <w:pPr>
        <w:pStyle w:val="Odstavecseseznamem"/>
        <w:numPr>
          <w:ilvl w:val="0"/>
          <w:numId w:val="18"/>
        </w:numPr>
        <w:spacing w:after="120"/>
        <w:ind w:left="1077" w:hanging="357"/>
        <w:rPr>
          <w:lang w:val="cs-CZ"/>
        </w:rPr>
      </w:pPr>
      <w:r w:rsidRPr="008B1755">
        <w:rPr>
          <w:lang w:val="cs-CZ"/>
        </w:rPr>
        <w:t xml:space="preserve">Umožnění </w:t>
      </w:r>
      <w:r w:rsidR="00C44AED" w:rsidRPr="008B1755">
        <w:rPr>
          <w:lang w:val="cs-CZ"/>
        </w:rPr>
        <w:t>koncov</w:t>
      </w:r>
      <w:r w:rsidRPr="008B1755">
        <w:rPr>
          <w:lang w:val="cs-CZ"/>
        </w:rPr>
        <w:t>ým</w:t>
      </w:r>
      <w:r w:rsidR="00C44AED" w:rsidRPr="008B1755">
        <w:rPr>
          <w:lang w:val="cs-CZ"/>
        </w:rPr>
        <w:t xml:space="preserve"> uživatel</w:t>
      </w:r>
      <w:r w:rsidRPr="008B1755">
        <w:rPr>
          <w:lang w:val="cs-CZ"/>
        </w:rPr>
        <w:t xml:space="preserve">ům snadno podávat reklamace různými způsoby, minimálně </w:t>
      </w:r>
      <w:r w:rsidR="001074DD" w:rsidRPr="008B1755">
        <w:rPr>
          <w:lang w:val="cs-CZ"/>
        </w:rPr>
        <w:t>online (</w:t>
      </w:r>
      <w:r w:rsidR="00BE001A" w:rsidRPr="008B1755">
        <w:rPr>
          <w:lang w:val="cs-CZ"/>
        </w:rPr>
        <w:t>např.</w:t>
      </w:r>
      <w:r w:rsidR="001074DD" w:rsidRPr="008B1755">
        <w:rPr>
          <w:lang w:val="cs-CZ"/>
        </w:rPr>
        <w:t xml:space="preserve"> </w:t>
      </w:r>
      <w:r w:rsidRPr="008B1755">
        <w:rPr>
          <w:lang w:val="cs-CZ"/>
        </w:rPr>
        <w:t xml:space="preserve">pomocí </w:t>
      </w:r>
      <w:r w:rsidR="00D61C28" w:rsidRPr="008B1755">
        <w:rPr>
          <w:lang w:val="cs-CZ"/>
        </w:rPr>
        <w:t>web</w:t>
      </w:r>
      <w:r w:rsidRPr="008B1755">
        <w:rPr>
          <w:lang w:val="cs-CZ"/>
        </w:rPr>
        <w:t xml:space="preserve">ového formuláře nebo </w:t>
      </w:r>
      <w:r w:rsidR="00D61C28" w:rsidRPr="008B1755">
        <w:rPr>
          <w:lang w:val="cs-CZ"/>
        </w:rPr>
        <w:t>e</w:t>
      </w:r>
      <w:r w:rsidRPr="008B1755">
        <w:rPr>
          <w:lang w:val="cs-CZ"/>
        </w:rPr>
        <w:t>-</w:t>
      </w:r>
      <w:r w:rsidR="00D61C28" w:rsidRPr="008B1755">
        <w:rPr>
          <w:lang w:val="cs-CZ"/>
        </w:rPr>
        <w:t>mail</w:t>
      </w:r>
      <w:r w:rsidRPr="008B1755">
        <w:rPr>
          <w:lang w:val="cs-CZ"/>
        </w:rPr>
        <w:t>em</w:t>
      </w:r>
      <w:r w:rsidR="00D61C28" w:rsidRPr="008B1755">
        <w:rPr>
          <w:lang w:val="cs-CZ"/>
        </w:rPr>
        <w:t>) a</w:t>
      </w:r>
      <w:r w:rsidRPr="008B1755">
        <w:rPr>
          <w:lang w:val="cs-CZ"/>
        </w:rPr>
        <w:t xml:space="preserve"> v prodejně</w:t>
      </w:r>
      <w:r w:rsidR="00D61C28" w:rsidRPr="008B1755">
        <w:rPr>
          <w:lang w:val="cs-CZ"/>
        </w:rPr>
        <w:t xml:space="preserve">, </w:t>
      </w:r>
      <w:r w:rsidRPr="008B1755">
        <w:rPr>
          <w:lang w:val="cs-CZ"/>
        </w:rPr>
        <w:t>ale eventuálně i jinými způsoby, jako např. telefonicky či poštou</w:t>
      </w:r>
      <w:r w:rsidR="00573DA1" w:rsidRPr="008B1755">
        <w:rPr>
          <w:lang w:val="cs-CZ"/>
        </w:rPr>
        <w:t>;</w:t>
      </w:r>
    </w:p>
    <w:p w:rsidR="00D15936" w:rsidRPr="008B1755" w:rsidRDefault="00A573CB" w:rsidP="00D15936">
      <w:pPr>
        <w:pStyle w:val="Odstavecseseznamem"/>
        <w:numPr>
          <w:ilvl w:val="0"/>
          <w:numId w:val="18"/>
        </w:numPr>
        <w:spacing w:after="120"/>
        <w:ind w:left="1077" w:hanging="357"/>
        <w:rPr>
          <w:lang w:val="cs-CZ"/>
        </w:rPr>
      </w:pPr>
      <w:r w:rsidRPr="008B1755">
        <w:rPr>
          <w:lang w:val="cs-CZ"/>
        </w:rPr>
        <w:t xml:space="preserve">Poskytnutí jednotného kontaktního místa pro všechny reklamace týkající se ustanovení </w:t>
      </w:r>
      <w:r w:rsidR="00F064F8" w:rsidRPr="008B1755">
        <w:rPr>
          <w:lang w:val="cs-CZ"/>
        </w:rPr>
        <w:t>čl</w:t>
      </w:r>
      <w:r w:rsidRPr="008B1755">
        <w:rPr>
          <w:lang w:val="cs-CZ"/>
        </w:rPr>
        <w:t>.</w:t>
      </w:r>
      <w:r w:rsidR="00D61C28" w:rsidRPr="008B1755">
        <w:rPr>
          <w:lang w:val="cs-CZ"/>
        </w:rPr>
        <w:t xml:space="preserve"> 3 a</w:t>
      </w:r>
      <w:r w:rsidRPr="008B1755">
        <w:rPr>
          <w:lang w:val="cs-CZ"/>
        </w:rPr>
        <w:t xml:space="preserve"> čl. </w:t>
      </w:r>
      <w:r w:rsidR="00BE6053" w:rsidRPr="008B1755">
        <w:rPr>
          <w:lang w:val="cs-CZ"/>
        </w:rPr>
        <w:t>4 odst. 1</w:t>
      </w:r>
      <w:r w:rsidR="00D61C28" w:rsidRPr="008B1755">
        <w:rPr>
          <w:lang w:val="cs-CZ"/>
        </w:rPr>
        <w:t xml:space="preserve">, </w:t>
      </w:r>
      <w:r w:rsidRPr="008B1755">
        <w:rPr>
          <w:lang w:val="cs-CZ"/>
        </w:rPr>
        <w:t xml:space="preserve">bez ohledu na </w:t>
      </w:r>
      <w:r w:rsidR="00BC57A3">
        <w:rPr>
          <w:lang w:val="cs-CZ"/>
        </w:rPr>
        <w:t xml:space="preserve">předmět </w:t>
      </w:r>
      <w:r w:rsidRPr="008B1755">
        <w:rPr>
          <w:lang w:val="cs-CZ"/>
        </w:rPr>
        <w:t>reklamace</w:t>
      </w:r>
      <w:r w:rsidR="00573DA1" w:rsidRPr="008B1755">
        <w:rPr>
          <w:lang w:val="cs-CZ"/>
        </w:rPr>
        <w:t>;</w:t>
      </w:r>
      <w:r w:rsidR="00D61C28" w:rsidRPr="008B1755">
        <w:rPr>
          <w:lang w:val="cs-CZ"/>
        </w:rPr>
        <w:t xml:space="preserve"> </w:t>
      </w:r>
    </w:p>
    <w:p w:rsidR="00D15936" w:rsidRPr="008B1755" w:rsidRDefault="00A573CB" w:rsidP="005D7948">
      <w:pPr>
        <w:pStyle w:val="Odstavecseseznamem"/>
        <w:numPr>
          <w:ilvl w:val="0"/>
          <w:numId w:val="18"/>
        </w:numPr>
        <w:spacing w:after="120"/>
        <w:ind w:left="1077" w:hanging="357"/>
        <w:rPr>
          <w:lang w:val="cs-CZ"/>
        </w:rPr>
      </w:pPr>
      <w:r w:rsidRPr="008B1755">
        <w:rPr>
          <w:lang w:val="cs-CZ"/>
        </w:rPr>
        <w:t xml:space="preserve">Umožnění </w:t>
      </w:r>
      <w:r w:rsidR="00DD272F" w:rsidRPr="008B1755">
        <w:rPr>
          <w:lang w:val="cs-CZ"/>
        </w:rPr>
        <w:t>koncov</w:t>
      </w:r>
      <w:r w:rsidRPr="008B1755">
        <w:rPr>
          <w:lang w:val="cs-CZ"/>
        </w:rPr>
        <w:t>ému</w:t>
      </w:r>
      <w:r w:rsidR="00DD272F" w:rsidRPr="008B1755">
        <w:rPr>
          <w:lang w:val="cs-CZ"/>
        </w:rPr>
        <w:t xml:space="preserve"> uživatel</w:t>
      </w:r>
      <w:r w:rsidRPr="008B1755">
        <w:rPr>
          <w:lang w:val="cs-CZ"/>
        </w:rPr>
        <w:t>i</w:t>
      </w:r>
      <w:r w:rsidR="00DD272F" w:rsidRPr="008B1755">
        <w:rPr>
          <w:lang w:val="cs-CZ"/>
        </w:rPr>
        <w:t xml:space="preserve"> </w:t>
      </w:r>
      <w:r w:rsidRPr="008B1755">
        <w:rPr>
          <w:lang w:val="cs-CZ"/>
        </w:rPr>
        <w:t>dotázat se na stav vyřízení reklamace stejným způsobem, jakým byla reklamace podána</w:t>
      </w:r>
      <w:r w:rsidR="00573DA1" w:rsidRPr="008B1755">
        <w:rPr>
          <w:lang w:val="cs-CZ"/>
        </w:rPr>
        <w:t>;</w:t>
      </w:r>
    </w:p>
    <w:p w:rsidR="00D61C28" w:rsidRPr="008B1755" w:rsidRDefault="00A573CB" w:rsidP="005D7948">
      <w:pPr>
        <w:pStyle w:val="Odstavecseseznamem"/>
        <w:numPr>
          <w:ilvl w:val="0"/>
          <w:numId w:val="18"/>
        </w:numPr>
        <w:spacing w:after="120"/>
        <w:ind w:left="1077" w:hanging="357"/>
        <w:rPr>
          <w:lang w:val="cs-CZ"/>
        </w:rPr>
      </w:pPr>
      <w:r w:rsidRPr="008B1755">
        <w:rPr>
          <w:lang w:val="cs-CZ"/>
        </w:rPr>
        <w:t xml:space="preserve">Informování </w:t>
      </w:r>
      <w:r w:rsidR="00C44AED" w:rsidRPr="008B1755">
        <w:rPr>
          <w:lang w:val="cs-CZ"/>
        </w:rPr>
        <w:t>koncov</w:t>
      </w:r>
      <w:r w:rsidRPr="008B1755">
        <w:rPr>
          <w:lang w:val="cs-CZ"/>
        </w:rPr>
        <w:t>ých</w:t>
      </w:r>
      <w:r w:rsidR="00C44AED" w:rsidRPr="008B1755">
        <w:rPr>
          <w:lang w:val="cs-CZ"/>
        </w:rPr>
        <w:t xml:space="preserve"> uživatel</w:t>
      </w:r>
      <w:r w:rsidRPr="008B1755">
        <w:rPr>
          <w:lang w:val="cs-CZ"/>
        </w:rPr>
        <w:t>ů o výsledku reklamace v relativně krátké době</w:t>
      </w:r>
      <w:r w:rsidR="00D61C28" w:rsidRPr="008B1755">
        <w:rPr>
          <w:lang w:val="cs-CZ"/>
        </w:rPr>
        <w:t xml:space="preserve">, </w:t>
      </w:r>
      <w:r w:rsidRPr="008B1755">
        <w:rPr>
          <w:lang w:val="cs-CZ"/>
        </w:rPr>
        <w:t>s přihlédnutím ke složitosti problému</w:t>
      </w:r>
      <w:r w:rsidR="00573DA1" w:rsidRPr="008B1755">
        <w:rPr>
          <w:lang w:val="cs-CZ"/>
        </w:rPr>
        <w:t>;</w:t>
      </w:r>
      <w:r w:rsidR="00D61C28" w:rsidRPr="008B1755">
        <w:rPr>
          <w:lang w:val="cs-CZ"/>
        </w:rPr>
        <w:t xml:space="preserve"> </w:t>
      </w:r>
    </w:p>
    <w:p w:rsidR="00D61C28" w:rsidRPr="008B1755" w:rsidRDefault="00A573CB" w:rsidP="005D7948">
      <w:pPr>
        <w:pStyle w:val="Odstavecseseznamem"/>
        <w:numPr>
          <w:ilvl w:val="0"/>
          <w:numId w:val="18"/>
        </w:numPr>
        <w:spacing w:after="120"/>
        <w:ind w:left="1077" w:hanging="357"/>
        <w:rPr>
          <w:lang w:val="cs-CZ"/>
        </w:rPr>
      </w:pPr>
      <w:r w:rsidRPr="008B1755">
        <w:rPr>
          <w:lang w:val="cs-CZ"/>
        </w:rPr>
        <w:t xml:space="preserve">Informování koncových uživatelů o způsobech urovnání nevyřešených sporů podle vnitrostátního práva, pokud se </w:t>
      </w:r>
      <w:r w:rsidR="00DD272F" w:rsidRPr="008B1755">
        <w:rPr>
          <w:lang w:val="cs-CZ"/>
        </w:rPr>
        <w:t xml:space="preserve">koncový uživatel </w:t>
      </w:r>
      <w:r w:rsidRPr="008B1755">
        <w:rPr>
          <w:lang w:val="cs-CZ"/>
        </w:rPr>
        <w:t xml:space="preserve">domnívá, že reklamace nebyla vyřízena </w:t>
      </w:r>
      <w:r w:rsidR="00DD272F" w:rsidRPr="008B1755">
        <w:rPr>
          <w:lang w:val="cs-CZ"/>
        </w:rPr>
        <w:t>poskytovatel</w:t>
      </w:r>
      <w:r w:rsidRPr="008B1755">
        <w:rPr>
          <w:lang w:val="cs-CZ"/>
        </w:rPr>
        <w:t>em</w:t>
      </w:r>
      <w:r w:rsidR="00DD272F" w:rsidRPr="008B1755">
        <w:rPr>
          <w:lang w:val="cs-CZ"/>
        </w:rPr>
        <w:t xml:space="preserve"> internetových služeb</w:t>
      </w:r>
      <w:r w:rsidR="003B6CB7" w:rsidRPr="008B1755">
        <w:rPr>
          <w:lang w:val="cs-CZ"/>
        </w:rPr>
        <w:t xml:space="preserve"> </w:t>
      </w:r>
      <w:r w:rsidRPr="008B1755">
        <w:rPr>
          <w:lang w:val="cs-CZ"/>
        </w:rPr>
        <w:t xml:space="preserve">úspěšně </w:t>
      </w:r>
      <w:r w:rsidR="003B6CB7" w:rsidRPr="008B1755">
        <w:rPr>
          <w:lang w:val="cs-CZ"/>
        </w:rPr>
        <w:t>(</w:t>
      </w:r>
      <w:r w:rsidRPr="008B1755">
        <w:rPr>
          <w:lang w:val="cs-CZ"/>
        </w:rPr>
        <w:t xml:space="preserve">v závislosti na příčině reklamace může být příslušným orgánem podle vnitrostátního práva </w:t>
      </w:r>
      <w:r w:rsidR="000955EC" w:rsidRPr="008B1755">
        <w:rPr>
          <w:lang w:val="cs-CZ"/>
        </w:rPr>
        <w:t>vnitrostátní regulační orgán</w:t>
      </w:r>
      <w:r w:rsidR="003B6CB7" w:rsidRPr="008B1755">
        <w:rPr>
          <w:lang w:val="cs-CZ"/>
        </w:rPr>
        <w:t xml:space="preserve">, </w:t>
      </w:r>
      <w:r w:rsidRPr="008B1755">
        <w:rPr>
          <w:lang w:val="cs-CZ"/>
        </w:rPr>
        <w:t xml:space="preserve">soud nebo </w:t>
      </w:r>
      <w:r w:rsidR="003B6CB7" w:rsidRPr="008B1755">
        <w:rPr>
          <w:lang w:val="cs-CZ"/>
        </w:rPr>
        <w:t>alternativ</w:t>
      </w:r>
      <w:r w:rsidRPr="008B1755">
        <w:rPr>
          <w:lang w:val="cs-CZ"/>
        </w:rPr>
        <w:t>ní subjekt pro urovnávání sporů apod</w:t>
      </w:r>
      <w:r w:rsidR="003B6CB7" w:rsidRPr="008B1755">
        <w:rPr>
          <w:lang w:val="cs-CZ"/>
        </w:rPr>
        <w:t>.)</w:t>
      </w:r>
      <w:r w:rsidR="00D61C28" w:rsidRPr="008B1755">
        <w:rPr>
          <w:lang w:val="cs-CZ"/>
        </w:rPr>
        <w:t>.</w:t>
      </w:r>
    </w:p>
    <w:p w:rsidR="004241B5" w:rsidRPr="008B1755" w:rsidRDefault="004241B5" w:rsidP="001B38FB">
      <w:pPr>
        <w:keepNext/>
        <w:keepLines/>
        <w:tabs>
          <w:tab w:val="num" w:pos="360"/>
        </w:tabs>
        <w:spacing w:before="360" w:after="120"/>
        <w:outlineLvl w:val="1"/>
        <w:rPr>
          <w:rFonts w:eastAsia="SimSun" w:cs="Arial"/>
          <w:b/>
          <w:bCs/>
          <w:sz w:val="24"/>
          <w:szCs w:val="24"/>
          <w:lang w:val="cs-CZ"/>
        </w:rPr>
      </w:pPr>
    </w:p>
    <w:p w:rsidR="004241B5" w:rsidRPr="008B1755" w:rsidRDefault="004241B5">
      <w:pPr>
        <w:jc w:val="left"/>
        <w:rPr>
          <w:rFonts w:eastAsia="SimSun" w:cs="Arial"/>
          <w:b/>
          <w:bCs/>
          <w:sz w:val="24"/>
          <w:szCs w:val="24"/>
          <w:lang w:val="cs-CZ"/>
        </w:rPr>
      </w:pPr>
      <w:r w:rsidRPr="008B1755">
        <w:rPr>
          <w:rFonts w:eastAsia="SimSun" w:cs="Arial"/>
          <w:b/>
          <w:bCs/>
          <w:sz w:val="24"/>
          <w:szCs w:val="24"/>
          <w:lang w:val="cs-CZ"/>
        </w:rPr>
        <w:br w:type="page"/>
      </w:r>
    </w:p>
    <w:p w:rsidR="00D61C28" w:rsidRPr="008B1755" w:rsidRDefault="003E7168" w:rsidP="001B38FB">
      <w:pPr>
        <w:keepNext/>
        <w:keepLines/>
        <w:tabs>
          <w:tab w:val="num" w:pos="360"/>
        </w:tabs>
        <w:spacing w:before="360" w:after="120"/>
        <w:outlineLvl w:val="1"/>
        <w:rPr>
          <w:rFonts w:eastAsia="SimSun" w:cs="Arial"/>
          <w:b/>
          <w:bCs/>
          <w:sz w:val="24"/>
          <w:szCs w:val="24"/>
          <w:lang w:val="cs-CZ"/>
        </w:rPr>
      </w:pPr>
      <w:bookmarkStart w:id="65" w:name="_Toc461400175"/>
      <w:r w:rsidRPr="008B1755">
        <w:rPr>
          <w:rFonts w:eastAsia="SimSun" w:cs="Arial"/>
          <w:b/>
          <w:bCs/>
          <w:sz w:val="24"/>
          <w:szCs w:val="24"/>
          <w:lang w:val="cs-CZ"/>
        </w:rPr>
        <w:t xml:space="preserve">Článek </w:t>
      </w:r>
      <w:r w:rsidR="00BE6053" w:rsidRPr="008B1755">
        <w:rPr>
          <w:rFonts w:eastAsia="SimSun" w:cs="Arial"/>
          <w:b/>
          <w:bCs/>
          <w:sz w:val="24"/>
          <w:szCs w:val="24"/>
          <w:lang w:val="cs-CZ"/>
        </w:rPr>
        <w:t>4 odst. 3</w:t>
      </w:r>
      <w:bookmarkEnd w:id="65"/>
    </w:p>
    <w:p w:rsidR="00D61C28" w:rsidRPr="008B1755" w:rsidRDefault="009B7C0D"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Požadavky stanovené v odstavcích 1 a 2 doplňují požadavky stanovené ve směrnici 2002/22/ES a nebrání členským státům v tom, aby zachovaly nebo zavedly další požadavky na sledování, informace a transparentnost, včetně požadavků na obsah, formu a úpravu informací, jež mají být zveřejňovány. Tyto požadavky musí být v souladu s tímto nařízením a příslušnými ustanoveními směrnic 2002/21/ES a 2002/22/ES</w:t>
      </w:r>
      <w:r w:rsidR="00D61C28" w:rsidRPr="008B1755">
        <w:rPr>
          <w:rFonts w:ascii="Times New Roman" w:hAnsi="Times New Roman"/>
          <w:lang w:val="cs-CZ"/>
        </w:rPr>
        <w:t>.</w:t>
      </w:r>
    </w:p>
    <w:p w:rsidR="00D61C28" w:rsidRPr="008B1755" w:rsidRDefault="003B403B" w:rsidP="0038751B">
      <w:pPr>
        <w:numPr>
          <w:ilvl w:val="0"/>
          <w:numId w:val="2"/>
        </w:numPr>
        <w:contextualSpacing/>
        <w:rPr>
          <w:lang w:val="cs-CZ"/>
        </w:rPr>
      </w:pPr>
      <w:r w:rsidRPr="008B1755">
        <w:rPr>
          <w:lang w:val="cs-CZ"/>
        </w:rPr>
        <w:t xml:space="preserve">Toto ustanovení je určeno členským státům a nejsou nutné žádné pokyny pro </w:t>
      </w:r>
      <w:r w:rsidR="00926BAE" w:rsidRPr="008B1755">
        <w:rPr>
          <w:lang w:val="cs-CZ"/>
        </w:rPr>
        <w:t>vnitrostátní regulační orgány</w:t>
      </w:r>
      <w:r w:rsidR="00D61C28" w:rsidRPr="008B1755">
        <w:rPr>
          <w:lang w:val="cs-CZ"/>
        </w:rPr>
        <w:t xml:space="preserve">. </w:t>
      </w:r>
    </w:p>
    <w:p w:rsidR="00D61C28" w:rsidRPr="008B1755" w:rsidRDefault="003E7168" w:rsidP="001B38FB">
      <w:pPr>
        <w:keepNext/>
        <w:keepLines/>
        <w:tabs>
          <w:tab w:val="num" w:pos="360"/>
        </w:tabs>
        <w:spacing w:before="360" w:after="120"/>
        <w:outlineLvl w:val="1"/>
        <w:rPr>
          <w:rFonts w:eastAsia="SimSun" w:cs="Arial"/>
          <w:b/>
          <w:bCs/>
          <w:sz w:val="24"/>
          <w:szCs w:val="24"/>
          <w:lang w:val="cs-CZ"/>
        </w:rPr>
      </w:pPr>
      <w:bookmarkStart w:id="66" w:name="_Toc461400176"/>
      <w:r w:rsidRPr="008B1755">
        <w:rPr>
          <w:rFonts w:eastAsia="SimSun" w:cs="Arial"/>
          <w:b/>
          <w:bCs/>
          <w:sz w:val="24"/>
          <w:szCs w:val="24"/>
          <w:lang w:val="cs-CZ"/>
        </w:rPr>
        <w:t xml:space="preserve">Článek </w:t>
      </w:r>
      <w:r w:rsidR="00BE6053" w:rsidRPr="008B1755">
        <w:rPr>
          <w:rFonts w:eastAsia="SimSun" w:cs="Arial"/>
          <w:b/>
          <w:bCs/>
          <w:sz w:val="24"/>
          <w:szCs w:val="24"/>
          <w:lang w:val="cs-CZ"/>
        </w:rPr>
        <w:t>4 odst. 4</w:t>
      </w:r>
      <w:bookmarkEnd w:id="66"/>
    </w:p>
    <w:p w:rsidR="00D61C28" w:rsidRPr="008B1755" w:rsidRDefault="009B7C0D"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Za nedodržení výkonu pro účely aktivace prostředků nápravy, které má spotřebitel k dispozici podle vnitrostátního práva, se považuje jakákoli velká a trvající či pravidelně se opakující odchylka skutečného výkonu služby přístupu k internetu, pokud jde o rychlost nebo jiné parametry kvality služby, od výkonu, který poskytovatel služeb přístupu k internetu uvedl v souladu s odst. 1 písm. a) až d), pokud byly příslušné skutečnosti zjištěny za pomoci mechanismu sledování ověřeného vnitrostátním regulačním orgánem</w:t>
      </w:r>
      <w:r w:rsidR="00D61C28" w:rsidRPr="008B1755">
        <w:rPr>
          <w:rFonts w:ascii="Times New Roman" w:hAnsi="Times New Roman"/>
          <w:lang w:val="cs-CZ"/>
        </w:rPr>
        <w:t>.</w:t>
      </w:r>
    </w:p>
    <w:p w:rsidR="00D61C28" w:rsidRPr="008B1755" w:rsidRDefault="009B7C0D"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 xml:space="preserve">Tento odstavec se použije pouze na smlouvy, jež byly uzavřeny nebo jejichž platnost byla prodloužena ke dni 29. listopadu </w:t>
      </w:r>
      <w:r w:rsidR="00D61C28" w:rsidRPr="008B1755">
        <w:rPr>
          <w:rFonts w:ascii="Times New Roman" w:hAnsi="Times New Roman"/>
          <w:lang w:val="cs-CZ"/>
        </w:rPr>
        <w:t>2015.</w:t>
      </w:r>
    </w:p>
    <w:p w:rsidR="00D61C28" w:rsidRPr="008B1755" w:rsidRDefault="00D804B7" w:rsidP="0038751B">
      <w:pPr>
        <w:numPr>
          <w:ilvl w:val="0"/>
          <w:numId w:val="2"/>
        </w:numPr>
        <w:spacing w:after="120"/>
        <w:rPr>
          <w:lang w:val="cs-CZ"/>
        </w:rPr>
      </w:pPr>
      <w:r>
        <w:rPr>
          <w:lang w:val="cs-CZ"/>
        </w:rPr>
        <w:t xml:space="preserve">Relevantní </w:t>
      </w:r>
      <w:r w:rsidR="004B2D0B" w:rsidRPr="008B1755">
        <w:rPr>
          <w:lang w:val="cs-CZ"/>
        </w:rPr>
        <w:t xml:space="preserve">skutečnosti prokazující velkou odchylku mohou být zjištěny pomocí jakéhokoli mechanismu </w:t>
      </w:r>
      <w:r>
        <w:rPr>
          <w:lang w:val="cs-CZ"/>
        </w:rPr>
        <w:t xml:space="preserve">monitorování </w:t>
      </w:r>
      <w:r w:rsidR="004B2D0B" w:rsidRPr="008B1755">
        <w:rPr>
          <w:lang w:val="cs-CZ"/>
        </w:rPr>
        <w:t xml:space="preserve">ověřeného </w:t>
      </w:r>
      <w:r w:rsidR="000955EC" w:rsidRPr="008B1755">
        <w:rPr>
          <w:lang w:val="cs-CZ"/>
        </w:rPr>
        <w:t>vnitrostátní</w:t>
      </w:r>
      <w:r w:rsidR="004B2D0B" w:rsidRPr="008B1755">
        <w:rPr>
          <w:lang w:val="cs-CZ"/>
        </w:rPr>
        <w:t>m</w:t>
      </w:r>
      <w:r w:rsidR="000955EC" w:rsidRPr="008B1755">
        <w:rPr>
          <w:lang w:val="cs-CZ"/>
        </w:rPr>
        <w:t xml:space="preserve"> regulační</w:t>
      </w:r>
      <w:r w:rsidR="004B2D0B" w:rsidRPr="008B1755">
        <w:rPr>
          <w:lang w:val="cs-CZ"/>
        </w:rPr>
        <w:t>m</w:t>
      </w:r>
      <w:r w:rsidR="000955EC" w:rsidRPr="008B1755">
        <w:rPr>
          <w:lang w:val="cs-CZ"/>
        </w:rPr>
        <w:t xml:space="preserve"> orgán</w:t>
      </w:r>
      <w:r w:rsidR="004B2D0B" w:rsidRPr="008B1755">
        <w:rPr>
          <w:lang w:val="cs-CZ"/>
        </w:rPr>
        <w:t>em</w:t>
      </w:r>
      <w:r w:rsidR="00D61C28" w:rsidRPr="008B1755">
        <w:rPr>
          <w:lang w:val="cs-CZ"/>
        </w:rPr>
        <w:t xml:space="preserve">, </w:t>
      </w:r>
      <w:r w:rsidR="004B2D0B" w:rsidRPr="008B1755">
        <w:rPr>
          <w:lang w:val="cs-CZ"/>
        </w:rPr>
        <w:t>až již provozovaného vnitrostátním regulačním orgánem, nebo třetí osobou</w:t>
      </w:r>
      <w:r w:rsidR="00D61C28" w:rsidRPr="008B1755">
        <w:rPr>
          <w:lang w:val="cs-CZ"/>
        </w:rPr>
        <w:t xml:space="preserve">. </w:t>
      </w:r>
      <w:r w:rsidR="004B2D0B" w:rsidRPr="008B1755">
        <w:rPr>
          <w:lang w:val="cs-CZ"/>
        </w:rPr>
        <w:t xml:space="preserve">Nařízení nevyžaduje, aby členské státy nebo </w:t>
      </w:r>
      <w:r w:rsidR="000955EC" w:rsidRPr="008B1755">
        <w:rPr>
          <w:lang w:val="cs-CZ"/>
        </w:rPr>
        <w:t>vnitrostátní regulační orgán</w:t>
      </w:r>
      <w:r w:rsidR="00D61C28" w:rsidRPr="008B1755">
        <w:rPr>
          <w:lang w:val="cs-CZ"/>
        </w:rPr>
        <w:t xml:space="preserve"> </w:t>
      </w:r>
      <w:r w:rsidR="004B2D0B" w:rsidRPr="008B1755">
        <w:rPr>
          <w:lang w:val="cs-CZ"/>
        </w:rPr>
        <w:t>vytvářel</w:t>
      </w:r>
      <w:r>
        <w:rPr>
          <w:lang w:val="cs-CZ"/>
        </w:rPr>
        <w:t>y</w:t>
      </w:r>
      <w:r w:rsidR="004B2D0B" w:rsidRPr="008B1755">
        <w:rPr>
          <w:lang w:val="cs-CZ"/>
        </w:rPr>
        <w:t xml:space="preserve"> nebo </w:t>
      </w:r>
      <w:r>
        <w:rPr>
          <w:lang w:val="cs-CZ"/>
        </w:rPr>
        <w:t xml:space="preserve">certifikovaly </w:t>
      </w:r>
      <w:r w:rsidR="00D61C28" w:rsidRPr="008B1755">
        <w:rPr>
          <w:lang w:val="cs-CZ"/>
        </w:rPr>
        <w:t>mechanism</w:t>
      </w:r>
      <w:r w:rsidR="004B2D0B" w:rsidRPr="008B1755">
        <w:rPr>
          <w:lang w:val="cs-CZ"/>
        </w:rPr>
        <w:t xml:space="preserve">us </w:t>
      </w:r>
      <w:r>
        <w:rPr>
          <w:lang w:val="cs-CZ"/>
        </w:rPr>
        <w:t>monitorování</w:t>
      </w:r>
      <w:r w:rsidR="00D61C28" w:rsidRPr="008B1755">
        <w:rPr>
          <w:lang w:val="cs-CZ"/>
        </w:rPr>
        <w:t xml:space="preserve">. </w:t>
      </w:r>
      <w:r w:rsidR="004B2D0B" w:rsidRPr="008B1755">
        <w:rPr>
          <w:lang w:val="cs-CZ"/>
        </w:rPr>
        <w:t xml:space="preserve">Nařízení nestanoví, jak musí být </w:t>
      </w:r>
      <w:r>
        <w:rPr>
          <w:lang w:val="cs-CZ"/>
        </w:rPr>
        <w:t xml:space="preserve">certifikace </w:t>
      </w:r>
      <w:r w:rsidRPr="008B1755">
        <w:rPr>
          <w:lang w:val="cs-CZ"/>
        </w:rPr>
        <w:t>prov</w:t>
      </w:r>
      <w:r>
        <w:rPr>
          <w:lang w:val="cs-CZ"/>
        </w:rPr>
        <w:t>edena</w:t>
      </w:r>
      <w:r w:rsidR="00D61C28" w:rsidRPr="008B1755">
        <w:rPr>
          <w:lang w:val="cs-CZ"/>
        </w:rPr>
        <w:t xml:space="preserve">. </w:t>
      </w:r>
      <w:r w:rsidR="004B2D0B" w:rsidRPr="008B1755">
        <w:rPr>
          <w:lang w:val="cs-CZ"/>
        </w:rPr>
        <w:t xml:space="preserve">Pokud </w:t>
      </w:r>
      <w:r w:rsidR="000955EC" w:rsidRPr="008B1755">
        <w:rPr>
          <w:lang w:val="cs-CZ"/>
        </w:rPr>
        <w:t>vnitrostátní regulační orgán</w:t>
      </w:r>
      <w:r w:rsidR="00D61C28" w:rsidRPr="008B1755">
        <w:rPr>
          <w:lang w:val="cs-CZ"/>
        </w:rPr>
        <w:t xml:space="preserve"> </w:t>
      </w:r>
      <w:r>
        <w:rPr>
          <w:lang w:val="cs-CZ"/>
        </w:rPr>
        <w:t xml:space="preserve">má k dispozici </w:t>
      </w:r>
      <w:r w:rsidR="00D61C28" w:rsidRPr="008B1755">
        <w:rPr>
          <w:lang w:val="cs-CZ"/>
        </w:rPr>
        <w:t>mechanism</w:t>
      </w:r>
      <w:r w:rsidR="004B2D0B" w:rsidRPr="008B1755">
        <w:rPr>
          <w:lang w:val="cs-CZ"/>
        </w:rPr>
        <w:t xml:space="preserve">us </w:t>
      </w:r>
      <w:r>
        <w:rPr>
          <w:lang w:val="cs-CZ"/>
        </w:rPr>
        <w:t xml:space="preserve">monitorování zavedený </w:t>
      </w:r>
      <w:r w:rsidR="004B2D0B" w:rsidRPr="008B1755">
        <w:rPr>
          <w:lang w:val="cs-CZ"/>
        </w:rPr>
        <w:t xml:space="preserve">za tímto účelem, měl by být </w:t>
      </w:r>
      <w:r>
        <w:rPr>
          <w:lang w:val="cs-CZ"/>
        </w:rPr>
        <w:t xml:space="preserve">tento </w:t>
      </w:r>
      <w:r w:rsidR="004B2D0B" w:rsidRPr="008B1755">
        <w:rPr>
          <w:lang w:val="cs-CZ"/>
        </w:rPr>
        <w:t xml:space="preserve">považován za </w:t>
      </w:r>
      <w:r>
        <w:rPr>
          <w:lang w:val="cs-CZ"/>
        </w:rPr>
        <w:t xml:space="preserve">certifikovaný </w:t>
      </w:r>
      <w:r w:rsidR="004B2D0B" w:rsidRPr="008B1755">
        <w:rPr>
          <w:lang w:val="cs-CZ"/>
        </w:rPr>
        <w:t xml:space="preserve">mechanismus </w:t>
      </w:r>
      <w:r>
        <w:rPr>
          <w:lang w:val="cs-CZ"/>
        </w:rPr>
        <w:t xml:space="preserve">monitorování </w:t>
      </w:r>
      <w:r w:rsidR="004B2D0B" w:rsidRPr="008B1755">
        <w:rPr>
          <w:lang w:val="cs-CZ"/>
        </w:rPr>
        <w:t xml:space="preserve">podle čl. </w:t>
      </w:r>
      <w:r w:rsidR="00BE6053" w:rsidRPr="008B1755">
        <w:rPr>
          <w:lang w:val="cs-CZ"/>
        </w:rPr>
        <w:t>4 odst. 4</w:t>
      </w:r>
      <w:r w:rsidR="00D61C28" w:rsidRPr="008B1755">
        <w:rPr>
          <w:lang w:val="cs-CZ"/>
        </w:rPr>
        <w:t xml:space="preserve">. </w:t>
      </w:r>
    </w:p>
    <w:p w:rsidR="00D61C28" w:rsidRPr="008B1755" w:rsidRDefault="00FD0DF9" w:rsidP="0038751B">
      <w:pPr>
        <w:numPr>
          <w:ilvl w:val="0"/>
          <w:numId w:val="2"/>
        </w:numPr>
        <w:spacing w:after="120"/>
        <w:rPr>
          <w:lang w:val="cs-CZ"/>
        </w:rPr>
      </w:pPr>
      <w:r w:rsidRPr="008B1755">
        <w:rPr>
          <w:lang w:val="cs-CZ"/>
        </w:rPr>
        <w:t xml:space="preserve">Práva zakotvená </w:t>
      </w:r>
      <w:r w:rsidR="0093524D" w:rsidRPr="008B1755">
        <w:rPr>
          <w:lang w:val="cs-CZ"/>
        </w:rPr>
        <w:t>v Nařízení</w:t>
      </w:r>
      <w:r w:rsidR="00760759" w:rsidRPr="008B1755">
        <w:rPr>
          <w:lang w:val="cs-CZ"/>
        </w:rPr>
        <w:t xml:space="preserve"> </w:t>
      </w:r>
      <w:r w:rsidRPr="008B1755">
        <w:rPr>
          <w:lang w:val="cs-CZ"/>
        </w:rPr>
        <w:t xml:space="preserve">by byla účinnější, kdyby </w:t>
      </w:r>
      <w:r w:rsidR="00926BAE" w:rsidRPr="008B1755">
        <w:rPr>
          <w:lang w:val="cs-CZ"/>
        </w:rPr>
        <w:t>vnitrostátní regulační orgány</w:t>
      </w:r>
      <w:r w:rsidR="00D61C28" w:rsidRPr="008B1755">
        <w:rPr>
          <w:lang w:val="cs-CZ"/>
        </w:rPr>
        <w:t xml:space="preserve"> </w:t>
      </w:r>
      <w:r w:rsidRPr="008B1755">
        <w:rPr>
          <w:lang w:val="cs-CZ"/>
        </w:rPr>
        <w:t xml:space="preserve">vytvořily nebo </w:t>
      </w:r>
      <w:r w:rsidR="00D804B7">
        <w:rPr>
          <w:lang w:val="cs-CZ"/>
        </w:rPr>
        <w:t xml:space="preserve">certifikovaly </w:t>
      </w:r>
      <w:r w:rsidRPr="008B1755">
        <w:rPr>
          <w:lang w:val="cs-CZ"/>
        </w:rPr>
        <w:t xml:space="preserve">jeden nebo více </w:t>
      </w:r>
      <w:r w:rsidR="004B2D0B" w:rsidRPr="008B1755">
        <w:rPr>
          <w:lang w:val="cs-CZ"/>
        </w:rPr>
        <w:t>mechanism</w:t>
      </w:r>
      <w:r w:rsidRPr="008B1755">
        <w:rPr>
          <w:lang w:val="cs-CZ"/>
        </w:rPr>
        <w:t>ů</w:t>
      </w:r>
      <w:r w:rsidR="004B2D0B" w:rsidRPr="008B1755">
        <w:rPr>
          <w:lang w:val="cs-CZ"/>
        </w:rPr>
        <w:t xml:space="preserve"> </w:t>
      </w:r>
      <w:r w:rsidR="00D804B7">
        <w:rPr>
          <w:lang w:val="cs-CZ"/>
        </w:rPr>
        <w:t>monitorování</w:t>
      </w:r>
      <w:r w:rsidRPr="008B1755">
        <w:rPr>
          <w:lang w:val="cs-CZ"/>
        </w:rPr>
        <w:t>, které by umožnily</w:t>
      </w:r>
      <w:r w:rsidR="00D61C28" w:rsidRPr="008B1755">
        <w:rPr>
          <w:lang w:val="cs-CZ"/>
        </w:rPr>
        <w:t xml:space="preserve"> </w:t>
      </w:r>
      <w:r w:rsidR="00C44AED" w:rsidRPr="008B1755">
        <w:rPr>
          <w:lang w:val="cs-CZ"/>
        </w:rPr>
        <w:t>koncov</w:t>
      </w:r>
      <w:r w:rsidRPr="008B1755">
        <w:rPr>
          <w:lang w:val="cs-CZ"/>
        </w:rPr>
        <w:t>ým</w:t>
      </w:r>
      <w:r w:rsidR="00C44AED" w:rsidRPr="008B1755">
        <w:rPr>
          <w:lang w:val="cs-CZ"/>
        </w:rPr>
        <w:t xml:space="preserve"> uživatel</w:t>
      </w:r>
      <w:r w:rsidRPr="008B1755">
        <w:rPr>
          <w:lang w:val="cs-CZ"/>
        </w:rPr>
        <w:t xml:space="preserve">ům zjistit, zda </w:t>
      </w:r>
      <w:r w:rsidR="00D804B7">
        <w:rPr>
          <w:lang w:val="cs-CZ"/>
        </w:rPr>
        <w:t xml:space="preserve">dochází k </w:t>
      </w:r>
      <w:r w:rsidR="004F088A" w:rsidRPr="008B1755">
        <w:rPr>
          <w:lang w:val="cs-CZ"/>
        </w:rPr>
        <w:t>nesoulad</w:t>
      </w:r>
      <w:r w:rsidR="00D804B7">
        <w:rPr>
          <w:lang w:val="cs-CZ"/>
        </w:rPr>
        <w:t>u</w:t>
      </w:r>
      <w:r w:rsidR="004F088A" w:rsidRPr="008B1755">
        <w:rPr>
          <w:lang w:val="cs-CZ"/>
        </w:rPr>
        <w:t xml:space="preserve"> výkonu</w:t>
      </w:r>
      <w:r w:rsidR="00D804B7">
        <w:rPr>
          <w:lang w:val="cs-CZ"/>
        </w:rPr>
        <w:t xml:space="preserve"> služby</w:t>
      </w:r>
      <w:r w:rsidR="004F088A" w:rsidRPr="008B1755">
        <w:rPr>
          <w:lang w:val="cs-CZ"/>
        </w:rPr>
        <w:t xml:space="preserve">, a získat související výsledky měření pro </w:t>
      </w:r>
      <w:r w:rsidR="00D804B7">
        <w:rPr>
          <w:lang w:val="cs-CZ"/>
        </w:rPr>
        <w:t>vy</w:t>
      </w:r>
      <w:r w:rsidR="004F088A" w:rsidRPr="008B1755">
        <w:rPr>
          <w:lang w:val="cs-CZ"/>
        </w:rPr>
        <w:t xml:space="preserve">užití při prokazování nesouladu výkonu jejich </w:t>
      </w:r>
      <w:r w:rsidR="00DD272F" w:rsidRPr="008B1755">
        <w:rPr>
          <w:lang w:val="cs-CZ"/>
        </w:rPr>
        <w:t>služb</w:t>
      </w:r>
      <w:r w:rsidR="004F088A" w:rsidRPr="008B1755">
        <w:rPr>
          <w:lang w:val="cs-CZ"/>
        </w:rPr>
        <w:t>y</w:t>
      </w:r>
      <w:r w:rsidR="00DD272F" w:rsidRPr="008B1755">
        <w:rPr>
          <w:lang w:val="cs-CZ"/>
        </w:rPr>
        <w:t xml:space="preserve"> přístupu k internetu</w:t>
      </w:r>
      <w:r w:rsidR="00D61C28" w:rsidRPr="008B1755">
        <w:rPr>
          <w:lang w:val="cs-CZ"/>
        </w:rPr>
        <w:t xml:space="preserve">. </w:t>
      </w:r>
      <w:r w:rsidR="004F088A" w:rsidRPr="008B1755">
        <w:rPr>
          <w:lang w:val="cs-CZ"/>
        </w:rPr>
        <w:t xml:space="preserve">Použití jakéhokoli </w:t>
      </w:r>
      <w:r w:rsidR="00D804B7">
        <w:rPr>
          <w:lang w:val="cs-CZ"/>
        </w:rPr>
        <w:t xml:space="preserve">certifikovaného </w:t>
      </w:r>
      <w:r w:rsidR="00D61C28" w:rsidRPr="008B1755">
        <w:rPr>
          <w:lang w:val="cs-CZ"/>
        </w:rPr>
        <w:t>mechanism</w:t>
      </w:r>
      <w:r w:rsidR="004F088A" w:rsidRPr="008B1755">
        <w:rPr>
          <w:lang w:val="cs-CZ"/>
        </w:rPr>
        <w:t xml:space="preserve">u by nemělo pro koncového uživatele představovat dodatečné náklady a mělo být dostupné rovněž pro </w:t>
      </w:r>
      <w:r w:rsidR="00C44AED" w:rsidRPr="008B1755">
        <w:rPr>
          <w:lang w:val="cs-CZ"/>
        </w:rPr>
        <w:t>koncov</w:t>
      </w:r>
      <w:r w:rsidR="004F088A" w:rsidRPr="008B1755">
        <w:rPr>
          <w:lang w:val="cs-CZ"/>
        </w:rPr>
        <w:t>é</w:t>
      </w:r>
      <w:r w:rsidR="00C44AED" w:rsidRPr="008B1755">
        <w:rPr>
          <w:lang w:val="cs-CZ"/>
        </w:rPr>
        <w:t xml:space="preserve"> uživatel</w:t>
      </w:r>
      <w:r w:rsidR="004F088A" w:rsidRPr="008B1755">
        <w:rPr>
          <w:lang w:val="cs-CZ"/>
        </w:rPr>
        <w:t>e</w:t>
      </w:r>
      <w:r w:rsidR="00DA4C86">
        <w:rPr>
          <w:lang w:val="cs-CZ"/>
        </w:rPr>
        <w:t xml:space="preserve"> se zvláštními potřebami</w:t>
      </w:r>
      <w:r w:rsidR="00D61C28" w:rsidRPr="008B1755">
        <w:rPr>
          <w:lang w:val="cs-CZ"/>
        </w:rPr>
        <w:t>.</w:t>
      </w:r>
    </w:p>
    <w:p w:rsidR="00D61C28" w:rsidRPr="008B1755" w:rsidRDefault="004F088A" w:rsidP="0038751B">
      <w:pPr>
        <w:numPr>
          <w:ilvl w:val="0"/>
          <w:numId w:val="2"/>
        </w:numPr>
        <w:spacing w:after="120"/>
        <w:rPr>
          <w:lang w:val="cs-CZ"/>
        </w:rPr>
      </w:pPr>
      <w:r w:rsidRPr="008B1755">
        <w:rPr>
          <w:lang w:val="cs-CZ"/>
        </w:rPr>
        <w:t xml:space="preserve">Metodiky, které by </w:t>
      </w:r>
      <w:r w:rsidR="00D804B7">
        <w:rPr>
          <w:lang w:val="cs-CZ"/>
        </w:rPr>
        <w:t xml:space="preserve">certifikované </w:t>
      </w:r>
      <w:r w:rsidR="004B2D0B" w:rsidRPr="008B1755">
        <w:rPr>
          <w:lang w:val="cs-CZ"/>
        </w:rPr>
        <w:t>mechanism</w:t>
      </w:r>
      <w:r w:rsidRPr="008B1755">
        <w:rPr>
          <w:lang w:val="cs-CZ"/>
        </w:rPr>
        <w:t>y</w:t>
      </w:r>
      <w:r w:rsidR="004B2D0B" w:rsidRPr="008B1755">
        <w:rPr>
          <w:lang w:val="cs-CZ"/>
        </w:rPr>
        <w:t xml:space="preserve"> </w:t>
      </w:r>
      <w:r w:rsidR="00D804B7">
        <w:rPr>
          <w:lang w:val="cs-CZ"/>
        </w:rPr>
        <w:t xml:space="preserve">monitorování </w:t>
      </w:r>
      <w:r w:rsidRPr="008B1755">
        <w:rPr>
          <w:lang w:val="cs-CZ"/>
        </w:rPr>
        <w:t>mohly používat, jsou dále popsány v</w:t>
      </w:r>
      <w:r w:rsidR="00D804B7">
        <w:rPr>
          <w:lang w:val="cs-CZ"/>
        </w:rPr>
        <w:t xml:space="preserve"> následující </w:t>
      </w:r>
      <w:r w:rsidRPr="008B1755">
        <w:rPr>
          <w:lang w:val="cs-CZ"/>
        </w:rPr>
        <w:t xml:space="preserve">části nazvané </w:t>
      </w:r>
      <w:r w:rsidR="003B403B" w:rsidRPr="008B1755">
        <w:rPr>
          <w:i/>
          <w:lang w:val="cs-CZ"/>
        </w:rPr>
        <w:t xml:space="preserve">Metodika pro </w:t>
      </w:r>
      <w:r w:rsidR="004B2D0B" w:rsidRPr="008B1755">
        <w:rPr>
          <w:i/>
          <w:lang w:val="cs-CZ"/>
        </w:rPr>
        <w:t>sledování</w:t>
      </w:r>
      <w:r w:rsidR="003B403B" w:rsidRPr="008B1755">
        <w:rPr>
          <w:i/>
          <w:lang w:val="cs-CZ"/>
        </w:rPr>
        <w:t xml:space="preserve"> výkonu služby přístupu k internetu</w:t>
      </w:r>
      <w:r w:rsidR="00D61C28" w:rsidRPr="008B1755">
        <w:rPr>
          <w:lang w:val="cs-CZ"/>
        </w:rPr>
        <w:t xml:space="preserve">. </w:t>
      </w:r>
      <w:r w:rsidRPr="008B1755">
        <w:rPr>
          <w:lang w:val="cs-CZ"/>
        </w:rPr>
        <w:t xml:space="preserve">Účelem těchto pokynů ohledně metodik je přispět ke konzistentnímu uplatňování </w:t>
      </w:r>
      <w:r w:rsidR="001D46DD" w:rsidRPr="008B1755">
        <w:rPr>
          <w:lang w:val="cs-CZ"/>
        </w:rPr>
        <w:t>Nařízení</w:t>
      </w:r>
      <w:r w:rsidR="00A95613" w:rsidRPr="008B1755">
        <w:rPr>
          <w:lang w:val="cs-CZ"/>
        </w:rPr>
        <w:t xml:space="preserve">. </w:t>
      </w:r>
      <w:r w:rsidRPr="008B1755">
        <w:rPr>
          <w:lang w:val="cs-CZ"/>
        </w:rPr>
        <w:t>V</w:t>
      </w:r>
      <w:r w:rsidR="00926BAE" w:rsidRPr="008B1755">
        <w:rPr>
          <w:lang w:val="cs-CZ"/>
        </w:rPr>
        <w:t>nitrostátní regulační orgány</w:t>
      </w:r>
      <w:r w:rsidR="00D61C28" w:rsidRPr="008B1755">
        <w:rPr>
          <w:lang w:val="cs-CZ"/>
        </w:rPr>
        <w:t xml:space="preserve"> </w:t>
      </w:r>
      <w:r w:rsidRPr="008B1755">
        <w:rPr>
          <w:lang w:val="cs-CZ"/>
        </w:rPr>
        <w:t xml:space="preserve">by však měly být schopny používat své stávající nástroje měření a tyto pokyny nevyžadují, aby je </w:t>
      </w:r>
      <w:r w:rsidR="00926BAE" w:rsidRPr="008B1755">
        <w:rPr>
          <w:lang w:val="cs-CZ"/>
        </w:rPr>
        <w:t>vnitrostátní regulační orgány</w:t>
      </w:r>
      <w:r w:rsidR="00D61C28" w:rsidRPr="008B1755">
        <w:rPr>
          <w:lang w:val="cs-CZ"/>
        </w:rPr>
        <w:t xml:space="preserve"> </w:t>
      </w:r>
      <w:r w:rsidRPr="008B1755">
        <w:rPr>
          <w:lang w:val="cs-CZ"/>
        </w:rPr>
        <w:t>změnily</w:t>
      </w:r>
      <w:r w:rsidR="00D61C28" w:rsidRPr="008B1755">
        <w:rPr>
          <w:lang w:val="cs-CZ"/>
        </w:rPr>
        <w:t>.</w:t>
      </w:r>
    </w:p>
    <w:p w:rsidR="00776F01" w:rsidRPr="008B1755" w:rsidRDefault="003B403B" w:rsidP="00262769">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 xml:space="preserve">Metodika pro </w:t>
      </w:r>
      <w:r w:rsidR="004B2D0B" w:rsidRPr="008B1755">
        <w:rPr>
          <w:rFonts w:eastAsia="SimSun"/>
          <w:bCs/>
          <w:i/>
          <w:iCs/>
          <w:sz w:val="24"/>
          <w:szCs w:val="24"/>
          <w:u w:val="single"/>
          <w:lang w:val="cs-CZ"/>
        </w:rPr>
        <w:t>sledování</w:t>
      </w:r>
      <w:r w:rsidRPr="008B1755">
        <w:rPr>
          <w:rFonts w:eastAsia="SimSun"/>
          <w:bCs/>
          <w:i/>
          <w:iCs/>
          <w:sz w:val="24"/>
          <w:szCs w:val="24"/>
          <w:u w:val="single"/>
          <w:lang w:val="cs-CZ"/>
        </w:rPr>
        <w:t xml:space="preserve"> výkonu služby přístupu k internetu</w:t>
      </w:r>
    </w:p>
    <w:p w:rsidR="003C56C4" w:rsidRPr="008B1755" w:rsidRDefault="003C56C4" w:rsidP="003C56C4">
      <w:pPr>
        <w:numPr>
          <w:ilvl w:val="0"/>
          <w:numId w:val="2"/>
        </w:numPr>
        <w:spacing w:after="120"/>
        <w:rPr>
          <w:lang w:val="cs-CZ"/>
        </w:rPr>
      </w:pPr>
      <w:bookmarkStart w:id="67" w:name="_Toc461400177"/>
      <w:r w:rsidRPr="008B1755">
        <w:rPr>
          <w:lang w:val="cs-CZ"/>
        </w:rPr>
        <w:t>Vnitrostátní regulační orgány by měly při zavádění metodiky měření přihlédnout k dokumentu BoR (14) 117</w:t>
      </w:r>
      <w:r w:rsidRPr="008B1755">
        <w:rPr>
          <w:rStyle w:val="Znakapoznpodarou"/>
          <w:lang w:val="cs-CZ"/>
        </w:rPr>
        <w:footnoteReference w:id="35"/>
      </w:r>
      <w:r w:rsidRPr="008B1755">
        <w:rPr>
          <w:lang w:val="cs-CZ"/>
        </w:rPr>
        <w:t xml:space="preserve">. Měření by měla </w:t>
      </w:r>
      <w:r>
        <w:rPr>
          <w:lang w:val="cs-CZ"/>
        </w:rPr>
        <w:t xml:space="preserve">v maximálním možném rozsahu </w:t>
      </w:r>
      <w:r w:rsidRPr="008B1755">
        <w:rPr>
          <w:lang w:val="cs-CZ"/>
        </w:rPr>
        <w:t xml:space="preserve">zmírnit </w:t>
      </w:r>
      <w:r>
        <w:rPr>
          <w:lang w:val="cs-CZ"/>
        </w:rPr>
        <w:t xml:space="preserve">vliv </w:t>
      </w:r>
      <w:r w:rsidRPr="008B1755">
        <w:rPr>
          <w:lang w:val="cs-CZ"/>
        </w:rPr>
        <w:t>matoucí</w:t>
      </w:r>
      <w:r>
        <w:rPr>
          <w:lang w:val="cs-CZ"/>
        </w:rPr>
        <w:t>ch</w:t>
      </w:r>
      <w:r w:rsidRPr="008B1755">
        <w:rPr>
          <w:lang w:val="cs-CZ"/>
        </w:rPr>
        <w:t xml:space="preserve"> faktor</w:t>
      </w:r>
      <w:r>
        <w:rPr>
          <w:lang w:val="cs-CZ"/>
        </w:rPr>
        <w:t>ů</w:t>
      </w:r>
      <w:r w:rsidRPr="008B1755">
        <w:rPr>
          <w:lang w:val="cs-CZ"/>
        </w:rPr>
        <w:t>, které jsou vlastní uživatelskému prostředí, jako například stávající křížový provoz a rozhraní bezdrátové/drátové sítě.</w:t>
      </w:r>
    </w:p>
    <w:p w:rsidR="003C56C4" w:rsidRDefault="003C56C4" w:rsidP="003C56C4">
      <w:pPr>
        <w:numPr>
          <w:ilvl w:val="0"/>
          <w:numId w:val="2"/>
        </w:numPr>
        <w:spacing w:after="120"/>
        <w:rPr>
          <w:lang w:val="cs-CZ"/>
        </w:rPr>
      </w:pPr>
      <w:r w:rsidRPr="008B1755">
        <w:rPr>
          <w:lang w:val="cs-CZ"/>
        </w:rPr>
        <w:t>Při realizaci metodik měření by vnitrostátní regulační orgány měly vzít v úvahu pokyny</w:t>
      </w:r>
      <w:r>
        <w:rPr>
          <w:lang w:val="cs-CZ"/>
        </w:rPr>
        <w:t xml:space="preserve"> vypracované sdružením BEREC</w:t>
      </w:r>
      <w:r w:rsidRPr="008B1755">
        <w:rPr>
          <w:lang w:val="cs-CZ"/>
        </w:rPr>
        <w:t xml:space="preserve"> </w:t>
      </w:r>
      <w:r>
        <w:rPr>
          <w:lang w:val="cs-CZ"/>
        </w:rPr>
        <w:t>v dokumentech zabývajících se QoS (kvalita služby)</w:t>
      </w:r>
      <w:r w:rsidRPr="008B1755">
        <w:rPr>
          <w:lang w:val="cs-CZ"/>
        </w:rPr>
        <w:t xml:space="preserve"> v kontextu síťové neutrality, zejména pak pokyny uvedené v:</w:t>
      </w:r>
    </w:p>
    <w:p w:rsidR="003C56C4" w:rsidRPr="008B1755" w:rsidRDefault="003C56C4" w:rsidP="003C56C4">
      <w:pPr>
        <w:pStyle w:val="Odstavecseseznamem"/>
        <w:numPr>
          <w:ilvl w:val="0"/>
          <w:numId w:val="18"/>
        </w:numPr>
        <w:spacing w:after="120"/>
        <w:ind w:left="1077" w:hanging="357"/>
        <w:rPr>
          <w:lang w:val="cs-CZ"/>
        </w:rPr>
      </w:pPr>
      <w:r w:rsidRPr="008B1755">
        <w:rPr>
          <w:lang w:val="cs-CZ"/>
        </w:rPr>
        <w:t xml:space="preserve">Rámec pro kvalitu služby </w:t>
      </w:r>
      <w:r>
        <w:rPr>
          <w:lang w:val="cs-CZ"/>
        </w:rPr>
        <w:t> ve vztahu k</w:t>
      </w:r>
      <w:r w:rsidRPr="008B1755">
        <w:rPr>
          <w:lang w:val="cs-CZ"/>
        </w:rPr>
        <w:t xml:space="preserve"> síťové neutralit</w:t>
      </w:r>
      <w:r>
        <w:rPr>
          <w:lang w:val="cs-CZ"/>
        </w:rPr>
        <w:t xml:space="preserve">ě </w:t>
      </w:r>
      <w:r w:rsidRPr="008B1755">
        <w:rPr>
          <w:lang w:val="cs-CZ"/>
        </w:rPr>
        <w:t>z roku 2012 ;</w:t>
      </w:r>
      <w:r w:rsidRPr="008B1755">
        <w:rPr>
          <w:rStyle w:val="Znakapoznpodarou"/>
          <w:lang w:val="cs-CZ"/>
        </w:rPr>
        <w:footnoteReference w:id="36"/>
      </w:r>
      <w:r w:rsidRPr="008B1755">
        <w:rPr>
          <w:lang w:val="cs-CZ"/>
        </w:rPr>
        <w:t xml:space="preserve"> </w:t>
      </w:r>
    </w:p>
    <w:p w:rsidR="003C56C4" w:rsidRPr="008B1755" w:rsidRDefault="003C56C4" w:rsidP="003C56C4">
      <w:pPr>
        <w:pStyle w:val="Odstavecseseznamem"/>
        <w:numPr>
          <w:ilvl w:val="0"/>
          <w:numId w:val="18"/>
        </w:numPr>
        <w:spacing w:after="120"/>
        <w:ind w:left="1077" w:hanging="357"/>
        <w:rPr>
          <w:lang w:val="cs-CZ"/>
        </w:rPr>
      </w:pPr>
      <w:r w:rsidRPr="008B1755">
        <w:rPr>
          <w:lang w:val="cs-CZ"/>
        </w:rPr>
        <w:t xml:space="preserve">Zpráva sdružení BEREC z roku 2014, </w:t>
      </w:r>
      <w:r w:rsidRPr="008B1755">
        <w:rPr>
          <w:rFonts w:cs="Arial"/>
          <w:lang w:val="cs-CZ"/>
        </w:rPr>
        <w:t>Sledování kvality služeb přístupu k internetu v kontextu síťové neutrality</w:t>
      </w:r>
      <w:r w:rsidRPr="008B1755">
        <w:rPr>
          <w:lang w:val="cs-CZ"/>
        </w:rPr>
        <w:t>;</w:t>
      </w:r>
      <w:r w:rsidRPr="008B1755">
        <w:rPr>
          <w:rStyle w:val="Znakapoznpodarou"/>
          <w:lang w:val="cs-CZ"/>
        </w:rPr>
        <w:footnoteReference w:id="37"/>
      </w:r>
    </w:p>
    <w:p w:rsidR="003C56C4" w:rsidRPr="003C56C4" w:rsidRDefault="003C56C4" w:rsidP="003C56C4">
      <w:pPr>
        <w:pStyle w:val="Odstavecseseznamem"/>
        <w:numPr>
          <w:ilvl w:val="0"/>
          <w:numId w:val="18"/>
        </w:numPr>
        <w:spacing w:after="120"/>
        <w:ind w:left="1077" w:hanging="357"/>
        <w:rPr>
          <w:lang w:val="cs-CZ"/>
        </w:rPr>
      </w:pPr>
      <w:r w:rsidRPr="008B1755">
        <w:rPr>
          <w:lang w:val="cs-CZ"/>
        </w:rPr>
        <w:t xml:space="preserve">Studie proveditelnosti </w:t>
      </w:r>
      <w:r w:rsidRPr="003C56C4">
        <w:rPr>
          <w:lang w:val="cs-CZ"/>
        </w:rPr>
        <w:t xml:space="preserve">sledování kvality </w:t>
      </w:r>
      <w:r w:rsidRPr="003C56C4">
        <w:rPr>
          <w:rFonts w:cs="Arial"/>
          <w:lang w:val="cs-CZ"/>
        </w:rPr>
        <w:t>v kontextu síťové neutrality</w:t>
      </w:r>
      <w:r w:rsidRPr="003C56C4">
        <w:rPr>
          <w:lang w:val="cs-CZ"/>
        </w:rPr>
        <w:t>;</w:t>
      </w:r>
      <w:r w:rsidRPr="003C56C4">
        <w:rPr>
          <w:rStyle w:val="Znakapoznpodarou"/>
          <w:lang w:val="cs-CZ"/>
        </w:rPr>
        <w:footnoteReference w:id="38"/>
      </w:r>
      <w:r w:rsidRPr="003C56C4">
        <w:rPr>
          <w:lang w:val="cs-CZ"/>
        </w:rPr>
        <w:t xml:space="preserve"> a</w:t>
      </w:r>
    </w:p>
    <w:p w:rsidR="003C56C4" w:rsidRPr="003C56C4" w:rsidRDefault="003C56C4" w:rsidP="003C56C4">
      <w:pPr>
        <w:pStyle w:val="Odstavecseseznamem"/>
        <w:numPr>
          <w:ilvl w:val="0"/>
          <w:numId w:val="18"/>
        </w:numPr>
        <w:spacing w:after="120"/>
        <w:ind w:left="1077" w:hanging="357"/>
        <w:contextualSpacing w:val="0"/>
        <w:rPr>
          <w:lang w:val="cs-CZ"/>
        </w:rPr>
      </w:pPr>
      <w:r w:rsidRPr="003C56C4">
        <w:rPr>
          <w:lang w:val="cs-CZ"/>
        </w:rPr>
        <w:t xml:space="preserve">Plánovaný projekt BEREC na období 2016-2017 týkající se k posouzení kvality služby </w:t>
      </w:r>
      <w:r w:rsidRPr="003C56C4">
        <w:rPr>
          <w:rFonts w:cs="Arial"/>
          <w:lang w:val="cs-CZ"/>
        </w:rPr>
        <w:t>v kontextu síťové neutrality z pohledu regulace (</w:t>
      </w:r>
      <w:r w:rsidRPr="003C56C4">
        <w:rPr>
          <w:lang w:val="cs-CZ"/>
        </w:rPr>
        <w:t>Regulatory Assessment of QoS in the context of Net Neutrality).</w:t>
      </w:r>
      <w:r w:rsidRPr="003C56C4">
        <w:rPr>
          <w:rStyle w:val="Znakapoznpodarou"/>
          <w:lang w:val="cs-CZ"/>
        </w:rPr>
        <w:footnoteReference w:id="39"/>
      </w:r>
    </w:p>
    <w:p w:rsidR="003C56C4" w:rsidRDefault="003C56C4" w:rsidP="003C56C4">
      <w:pPr>
        <w:pStyle w:val="Odstavecseseznamem"/>
        <w:numPr>
          <w:ilvl w:val="0"/>
          <w:numId w:val="2"/>
        </w:numPr>
        <w:spacing w:after="120"/>
        <w:rPr>
          <w:lang w:val="cs-CZ"/>
        </w:rPr>
      </w:pPr>
      <w:r w:rsidRPr="003C56C4">
        <w:rPr>
          <w:lang w:val="cs-CZ"/>
        </w:rPr>
        <w:t>Podle stávajících pokynů se rychlost vypočítává podle objemu dat za určité časové období. Tato měření rychlosti by měla být prováděna pro download i upload. Kromě toho by rychlost měla být vypočítána na základě uživatelských dat v IP paketu, např. pomocí TCP jako protokolu transportní vrstvy. Měření by se neměla provádět pouze v rámci úseku zajišťovaného poskytovatelem internetových služeb. Podrobnosti metodiky</w:t>
      </w:r>
      <w:r w:rsidRPr="008B1755">
        <w:rPr>
          <w:lang w:val="cs-CZ"/>
        </w:rPr>
        <w:t xml:space="preserve"> měření by měly být transparentní.</w:t>
      </w:r>
    </w:p>
    <w:p w:rsidR="00D61C28" w:rsidRPr="008B1755" w:rsidRDefault="003E7168" w:rsidP="00D61C28">
      <w:pPr>
        <w:keepNext/>
        <w:keepLines/>
        <w:spacing w:before="720" w:after="120"/>
        <w:jc w:val="left"/>
        <w:outlineLvl w:val="0"/>
        <w:rPr>
          <w:rFonts w:eastAsia="SimSun"/>
          <w:b/>
          <w:bCs/>
          <w:sz w:val="32"/>
          <w:szCs w:val="28"/>
          <w:lang w:val="cs-CZ"/>
        </w:rPr>
      </w:pPr>
      <w:r w:rsidRPr="008B1755">
        <w:rPr>
          <w:rFonts w:eastAsia="SimSun"/>
          <w:b/>
          <w:bCs/>
          <w:sz w:val="32"/>
          <w:szCs w:val="28"/>
          <w:u w:val="single"/>
          <w:lang w:val="cs-CZ"/>
        </w:rPr>
        <w:t xml:space="preserve">Článek </w:t>
      </w:r>
      <w:r w:rsidR="00D61C28" w:rsidRPr="008B1755">
        <w:rPr>
          <w:rFonts w:eastAsia="SimSun"/>
          <w:b/>
          <w:bCs/>
          <w:sz w:val="32"/>
          <w:szCs w:val="28"/>
          <w:u w:val="single"/>
          <w:lang w:val="cs-CZ"/>
        </w:rPr>
        <w:t>5</w:t>
      </w:r>
      <w:r w:rsidR="00D61C28" w:rsidRPr="008B1755">
        <w:rPr>
          <w:rFonts w:eastAsia="SimSun"/>
          <w:b/>
          <w:bCs/>
          <w:sz w:val="32"/>
          <w:szCs w:val="28"/>
          <w:u w:val="single"/>
          <w:lang w:val="cs-CZ"/>
        </w:rPr>
        <w:br/>
      </w:r>
      <w:r w:rsidR="002C28DA" w:rsidRPr="008B1755">
        <w:rPr>
          <w:rFonts w:eastAsia="SimSun"/>
          <w:b/>
          <w:bCs/>
          <w:sz w:val="32"/>
          <w:szCs w:val="28"/>
          <w:lang w:val="cs-CZ"/>
        </w:rPr>
        <w:t>Dohled a vymáhání</w:t>
      </w:r>
      <w:bookmarkEnd w:id="67"/>
    </w:p>
    <w:p w:rsidR="00D61C28" w:rsidRPr="008B1755" w:rsidRDefault="003E7168" w:rsidP="001B38FB">
      <w:pPr>
        <w:keepNext/>
        <w:keepLines/>
        <w:tabs>
          <w:tab w:val="num" w:pos="360"/>
        </w:tabs>
        <w:spacing w:before="360" w:after="120"/>
        <w:outlineLvl w:val="1"/>
        <w:rPr>
          <w:rFonts w:eastAsia="SimSun" w:cs="Arial"/>
          <w:b/>
          <w:bCs/>
          <w:sz w:val="24"/>
          <w:szCs w:val="24"/>
          <w:lang w:val="cs-CZ"/>
        </w:rPr>
      </w:pPr>
      <w:bookmarkStart w:id="68" w:name="_Toc461400178"/>
      <w:r w:rsidRPr="008B1755">
        <w:rPr>
          <w:rFonts w:eastAsia="SimSun" w:cs="Arial"/>
          <w:b/>
          <w:bCs/>
          <w:sz w:val="24"/>
          <w:szCs w:val="24"/>
          <w:lang w:val="cs-CZ"/>
        </w:rPr>
        <w:t xml:space="preserve">Článek </w:t>
      </w:r>
      <w:r w:rsidR="00B639EF" w:rsidRPr="008B1755">
        <w:rPr>
          <w:rFonts w:eastAsia="SimSun" w:cs="Arial"/>
          <w:b/>
          <w:bCs/>
          <w:sz w:val="24"/>
          <w:szCs w:val="24"/>
          <w:lang w:val="cs-CZ"/>
        </w:rPr>
        <w:t>5 odst. 1</w:t>
      </w:r>
      <w:bookmarkEnd w:id="68"/>
    </w:p>
    <w:p w:rsidR="00D61C28" w:rsidRPr="008B1755" w:rsidRDefault="009B7C0D"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Vnitrostátní regulační orgány podrobně sledují a zajišťují dodržování článků 3 a 4 a podporují neustálou dostupnost nediskriminačních služeb přístupu k internetu na úrovni kvality, která dostatečně odráží technický pokrok. Pro tyto účely mohou vnitrostátní regulační orgány stanovit požadavky na technické vlastnosti, minimální požadavky na kvalitu služeb a další vhodná a nezbytná opatření pro jednoho nebo více poskytovatelů služeb elektronických komunikací pro veřejnost, včetně poskytovatelů služeb přístupu k internetu</w:t>
      </w:r>
      <w:r w:rsidR="00D61C28" w:rsidRPr="008B1755">
        <w:rPr>
          <w:rFonts w:ascii="Times New Roman" w:hAnsi="Times New Roman"/>
          <w:lang w:val="cs-CZ"/>
        </w:rPr>
        <w:t>.</w:t>
      </w:r>
    </w:p>
    <w:p w:rsidR="00D61C28" w:rsidRPr="008B1755" w:rsidRDefault="009B7C0D"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Vnitrostátní regulační orgány každý rok zveřejňují zprávy o výsledcích sledování a svá zjištění a poskytují je Komisi a sdružení BEREC</w:t>
      </w:r>
      <w:r w:rsidR="00D61C28" w:rsidRPr="008B1755">
        <w:rPr>
          <w:rFonts w:ascii="Times New Roman" w:hAnsi="Times New Roman"/>
          <w:lang w:val="cs-CZ"/>
        </w:rPr>
        <w:t>.</w:t>
      </w:r>
    </w:p>
    <w:p w:rsidR="00D61C28" w:rsidRPr="008B1755" w:rsidRDefault="00946CEA" w:rsidP="006F0EC7">
      <w:pPr>
        <w:keepNext/>
        <w:shd w:val="clear" w:color="auto" w:fill="D9D9D9"/>
        <w:spacing w:after="0"/>
        <w:rPr>
          <w:rFonts w:ascii="Times New Roman" w:hAnsi="Times New Roman"/>
          <w:sz w:val="20"/>
          <w:u w:val="single"/>
          <w:lang w:val="cs-CZ"/>
        </w:rPr>
      </w:pPr>
      <w:r w:rsidRPr="008B1755">
        <w:rPr>
          <w:rFonts w:ascii="Times New Roman" w:hAnsi="Times New Roman"/>
          <w:sz w:val="20"/>
          <w:u w:val="single"/>
          <w:lang w:val="cs-CZ"/>
        </w:rPr>
        <w:t xml:space="preserve">Úvodní část Nařízení, bod </w:t>
      </w:r>
      <w:r w:rsidR="00D61C28" w:rsidRPr="008B1755">
        <w:rPr>
          <w:rFonts w:ascii="Times New Roman" w:hAnsi="Times New Roman"/>
          <w:sz w:val="20"/>
          <w:u w:val="single"/>
          <w:lang w:val="cs-CZ"/>
        </w:rPr>
        <w:t>19</w:t>
      </w:r>
    </w:p>
    <w:p w:rsidR="00D61C28" w:rsidRPr="008B1755" w:rsidRDefault="00946CEA" w:rsidP="006F0EC7">
      <w:pPr>
        <w:shd w:val="clear" w:color="auto" w:fill="D9D9D9"/>
        <w:rPr>
          <w:rFonts w:ascii="Times New Roman" w:hAnsi="Times New Roman"/>
          <w:sz w:val="20"/>
          <w:lang w:val="cs-CZ"/>
        </w:rPr>
      </w:pPr>
      <w:r w:rsidRPr="008B1755">
        <w:rPr>
          <w:rStyle w:val="Style3Char"/>
          <w:sz w:val="20"/>
          <w:lang w:val="cs-CZ"/>
        </w:rPr>
        <w:t>Vnitrostátní regulační orgány plní zásadní úlohu při zajišťování toho, aby mohli koncoví uživatelé skutečně vykonávat svá práva podle tohoto nařízení a aby byla dodržována ustanovení o zajištění přístupu k otevřenému internetu. Za tímto účelem by vnitrostátní regulační orgány měly mít povinnost dohledu a podávání zpráv a měly by zajišťovat, a</w:t>
      </w:r>
      <w:r w:rsidR="002C28DA" w:rsidRPr="008B1755">
        <w:rPr>
          <w:rStyle w:val="Style3Char"/>
          <w:sz w:val="20"/>
          <w:lang w:val="cs-CZ"/>
        </w:rPr>
        <w:t xml:space="preserve">by </w:t>
      </w:r>
      <w:r w:rsidR="00080F70" w:rsidRPr="008B1755">
        <w:rPr>
          <w:rStyle w:val="Style3Char"/>
          <w:sz w:val="20"/>
          <w:lang w:val="cs-CZ"/>
        </w:rPr>
        <w:t>poskytovatel</w:t>
      </w:r>
      <w:r w:rsidR="002C28DA" w:rsidRPr="008B1755">
        <w:rPr>
          <w:rStyle w:val="Style3Char"/>
          <w:sz w:val="20"/>
          <w:lang w:val="cs-CZ"/>
        </w:rPr>
        <w:t>é</w:t>
      </w:r>
      <w:r w:rsidRPr="008B1755">
        <w:rPr>
          <w:rStyle w:val="Style3Char"/>
          <w:sz w:val="20"/>
          <w:lang w:val="cs-CZ"/>
        </w:rPr>
        <w:t xml:space="preserve"> služeb elektronických komunikací pro veřejnost, včetně poskytovatelů služeb přístupu k internetu, dodržovali své povinnosti týkající se zajištění přístupu k otevřenému internetu. Patří mezi ně povinnost zajistit dostatečnou kapacitu sítě pro poskytování nediskriminačních a vysoce kvalitních služeb přístupu k internetu, jejichž obecná kvalita by neměla být zhoršována z důvodu poskytování služeb určité úrovně kvality jiných než služeb přístupu k internetu. Vnitrostátní regulační orgány by rovněž měly mít pravomoc stanovit požadavky týkající se technických vlastností, minimální požadavky na kvalitu služeb a přijmout jiná vhodná opatření vůči všem nebo jednotlivým poskytovatelům služeb elektronických komunikací pro veřejnost, je-li to nezbytné k zajištění souladu s ustanoveními tohoto nařízení o zajištění přístupu k otevřenému internetu či k zamezení zhoršení obecné kvality služeb přístupu k internetu pro koncové uživatele. Vnitrostátní regulační orgány by se při tom měly co nejvíce řídit příslušnými pokyny sdružení BEREC</w:t>
      </w:r>
      <w:r w:rsidR="00D61C28" w:rsidRPr="008B1755">
        <w:rPr>
          <w:rFonts w:ascii="Times New Roman" w:hAnsi="Times New Roman"/>
          <w:sz w:val="20"/>
          <w:lang w:val="cs-CZ"/>
        </w:rPr>
        <w:t>.</w:t>
      </w:r>
      <w:r w:rsidR="00CF2844" w:rsidRPr="008B1755">
        <w:rPr>
          <w:rFonts w:ascii="Times New Roman" w:hAnsi="Times New Roman"/>
          <w:sz w:val="20"/>
          <w:lang w:val="cs-CZ"/>
        </w:rPr>
        <w:t xml:space="preserve"> </w:t>
      </w:r>
    </w:p>
    <w:p w:rsidR="00D61C28" w:rsidRPr="008B1755" w:rsidRDefault="00067710" w:rsidP="00262769">
      <w:pPr>
        <w:keepNext/>
        <w:keepLines/>
        <w:spacing w:before="120" w:after="120"/>
        <w:outlineLvl w:val="3"/>
        <w:rPr>
          <w:rFonts w:eastAsia="SimSun"/>
          <w:bCs/>
          <w:i/>
          <w:iCs/>
          <w:sz w:val="24"/>
          <w:szCs w:val="24"/>
          <w:u w:val="single"/>
          <w:lang w:val="cs-CZ"/>
        </w:rPr>
      </w:pPr>
      <w:bookmarkStart w:id="69" w:name="_Toc438548584"/>
      <w:r w:rsidRPr="008B1755">
        <w:rPr>
          <w:rFonts w:eastAsia="SimSun"/>
          <w:bCs/>
          <w:i/>
          <w:iCs/>
          <w:sz w:val="24"/>
          <w:szCs w:val="24"/>
          <w:u w:val="single"/>
          <w:lang w:val="cs-CZ"/>
        </w:rPr>
        <w:t>Obecný přístup k dohledu</w:t>
      </w:r>
      <w:bookmarkEnd w:id="69"/>
    </w:p>
    <w:p w:rsidR="005A78B3" w:rsidRPr="008B1755" w:rsidRDefault="00067710" w:rsidP="0038751B">
      <w:pPr>
        <w:numPr>
          <w:ilvl w:val="0"/>
          <w:numId w:val="2"/>
        </w:numPr>
        <w:spacing w:after="120"/>
        <w:rPr>
          <w:lang w:val="cs-CZ"/>
        </w:rPr>
      </w:pPr>
      <w:r w:rsidRPr="008B1755">
        <w:rPr>
          <w:rFonts w:eastAsia="SimSun"/>
          <w:bCs/>
          <w:lang w:val="cs-CZ"/>
        </w:rPr>
        <w:t xml:space="preserve">Co se týče povinností a pravomocí </w:t>
      </w:r>
      <w:r w:rsidR="00926BAE" w:rsidRPr="008B1755">
        <w:rPr>
          <w:rFonts w:eastAsia="SimSun"/>
          <w:bCs/>
          <w:lang w:val="cs-CZ"/>
        </w:rPr>
        <w:t>vnitrostátní</w:t>
      </w:r>
      <w:r w:rsidRPr="008B1755">
        <w:rPr>
          <w:rFonts w:eastAsia="SimSun"/>
          <w:bCs/>
          <w:lang w:val="cs-CZ"/>
        </w:rPr>
        <w:t>ch</w:t>
      </w:r>
      <w:r w:rsidR="00926BAE" w:rsidRPr="008B1755">
        <w:rPr>
          <w:rFonts w:eastAsia="SimSun"/>
          <w:bCs/>
          <w:lang w:val="cs-CZ"/>
        </w:rPr>
        <w:t xml:space="preserve"> regulační</w:t>
      </w:r>
      <w:r w:rsidRPr="008B1755">
        <w:rPr>
          <w:rFonts w:eastAsia="SimSun"/>
          <w:bCs/>
          <w:lang w:val="cs-CZ"/>
        </w:rPr>
        <w:t>ch</w:t>
      </w:r>
      <w:r w:rsidR="00926BAE" w:rsidRPr="008B1755">
        <w:rPr>
          <w:rFonts w:eastAsia="SimSun"/>
          <w:bCs/>
          <w:lang w:val="cs-CZ"/>
        </w:rPr>
        <w:t xml:space="preserve"> orgán</w:t>
      </w:r>
      <w:r w:rsidRPr="008B1755">
        <w:rPr>
          <w:rFonts w:eastAsia="SimSun"/>
          <w:bCs/>
          <w:lang w:val="cs-CZ"/>
        </w:rPr>
        <w:t xml:space="preserve">ů stanovených </w:t>
      </w:r>
      <w:r w:rsidR="00F064F8" w:rsidRPr="008B1755">
        <w:rPr>
          <w:rFonts w:eastAsia="SimSun"/>
          <w:bCs/>
          <w:lang w:val="cs-CZ"/>
        </w:rPr>
        <w:t>v článku</w:t>
      </w:r>
      <w:r w:rsidR="005A78B3" w:rsidRPr="008B1755">
        <w:rPr>
          <w:rFonts w:eastAsia="SimSun"/>
          <w:bCs/>
          <w:lang w:val="cs-CZ"/>
        </w:rPr>
        <w:t xml:space="preserve"> 5, </w:t>
      </w:r>
      <w:r w:rsidRPr="008B1755">
        <w:rPr>
          <w:rFonts w:eastAsia="SimSun"/>
          <w:bCs/>
          <w:lang w:val="cs-CZ"/>
        </w:rPr>
        <w:t xml:space="preserve">existují tři typy </w:t>
      </w:r>
      <w:r w:rsidR="00A96493">
        <w:rPr>
          <w:rFonts w:eastAsia="SimSun"/>
          <w:bCs/>
          <w:lang w:val="cs-CZ"/>
        </w:rPr>
        <w:t xml:space="preserve">aktivit </w:t>
      </w:r>
      <w:r w:rsidRPr="008B1755">
        <w:rPr>
          <w:rFonts w:eastAsia="SimSun"/>
          <w:bCs/>
          <w:lang w:val="cs-CZ"/>
        </w:rPr>
        <w:t xml:space="preserve">vnitrostátních regulačních orgánů na sledování a zajištění dodržování článků </w:t>
      </w:r>
      <w:r w:rsidR="005A78B3" w:rsidRPr="008B1755">
        <w:rPr>
          <w:rFonts w:eastAsia="SimSun"/>
          <w:bCs/>
          <w:lang w:val="cs-CZ"/>
        </w:rPr>
        <w:t xml:space="preserve">3 a 4. </w:t>
      </w:r>
    </w:p>
    <w:p w:rsidR="005A78B3" w:rsidRPr="008B1755" w:rsidRDefault="00067710" w:rsidP="005D7948">
      <w:pPr>
        <w:pStyle w:val="Odstavecseseznamem"/>
        <w:numPr>
          <w:ilvl w:val="0"/>
          <w:numId w:val="18"/>
        </w:numPr>
        <w:spacing w:after="120"/>
        <w:ind w:left="1077" w:hanging="357"/>
        <w:rPr>
          <w:lang w:val="cs-CZ"/>
        </w:rPr>
      </w:pPr>
      <w:r w:rsidRPr="008B1755">
        <w:rPr>
          <w:lang w:val="cs-CZ"/>
        </w:rPr>
        <w:t>Dohled</w:t>
      </w:r>
      <w:r w:rsidR="005A78B3" w:rsidRPr="008B1755">
        <w:rPr>
          <w:lang w:val="cs-CZ"/>
        </w:rPr>
        <w:t xml:space="preserve">, </w:t>
      </w:r>
      <w:r w:rsidRPr="008B1755">
        <w:rPr>
          <w:lang w:val="cs-CZ"/>
        </w:rPr>
        <w:t>který zahrnuje sledován</w:t>
      </w:r>
      <w:r w:rsidR="00D9343B">
        <w:rPr>
          <w:lang w:val="cs-CZ"/>
        </w:rPr>
        <w:t>í</w:t>
      </w:r>
      <w:r w:rsidRPr="008B1755">
        <w:rPr>
          <w:lang w:val="cs-CZ"/>
        </w:rPr>
        <w:t xml:space="preserve"> ze strany </w:t>
      </w:r>
      <w:r w:rsidRPr="008B1755">
        <w:rPr>
          <w:rFonts w:eastAsia="SimSun"/>
          <w:bCs/>
          <w:lang w:val="cs-CZ"/>
        </w:rPr>
        <w:t xml:space="preserve">vnitrostátních regulačních orgánů, jak je uvedeno </w:t>
      </w:r>
      <w:r w:rsidR="00F064F8" w:rsidRPr="008B1755">
        <w:rPr>
          <w:lang w:val="cs-CZ"/>
        </w:rPr>
        <w:t>v článku</w:t>
      </w:r>
      <w:r w:rsidR="005A78B3" w:rsidRPr="008B1755">
        <w:rPr>
          <w:lang w:val="cs-CZ"/>
        </w:rPr>
        <w:t xml:space="preserve"> </w:t>
      </w:r>
      <w:r w:rsidR="00B639EF" w:rsidRPr="008B1755">
        <w:rPr>
          <w:lang w:val="cs-CZ"/>
        </w:rPr>
        <w:t>5 odst. 1</w:t>
      </w:r>
      <w:r w:rsidRPr="008B1755">
        <w:rPr>
          <w:lang w:val="cs-CZ"/>
        </w:rPr>
        <w:t xml:space="preserve"> a</w:t>
      </w:r>
      <w:r w:rsidR="00D9343B">
        <w:rPr>
          <w:lang w:val="cs-CZ"/>
        </w:rPr>
        <w:t xml:space="preserve"> je</w:t>
      </w:r>
      <w:r w:rsidRPr="008B1755">
        <w:rPr>
          <w:lang w:val="cs-CZ"/>
        </w:rPr>
        <w:t xml:space="preserve"> zajištěno pravomocemi k získávání informací od </w:t>
      </w:r>
      <w:r w:rsidR="007D7F64" w:rsidRPr="008B1755">
        <w:rPr>
          <w:lang w:val="cs-CZ"/>
        </w:rPr>
        <w:t>poskytovatel</w:t>
      </w:r>
      <w:r w:rsidRPr="008B1755">
        <w:rPr>
          <w:lang w:val="cs-CZ"/>
        </w:rPr>
        <w:t>ů</w:t>
      </w:r>
      <w:r w:rsidR="007D7F64" w:rsidRPr="008B1755">
        <w:rPr>
          <w:lang w:val="cs-CZ"/>
        </w:rPr>
        <w:t xml:space="preserve"> internetových služeb</w:t>
      </w:r>
      <w:r w:rsidR="005A78B3" w:rsidRPr="008B1755">
        <w:rPr>
          <w:lang w:val="cs-CZ"/>
        </w:rPr>
        <w:t xml:space="preserve"> </w:t>
      </w:r>
      <w:r w:rsidR="00F064F8" w:rsidRPr="008B1755">
        <w:rPr>
          <w:lang w:val="cs-CZ"/>
        </w:rPr>
        <w:t>v článku</w:t>
      </w:r>
      <w:r w:rsidR="005A78B3" w:rsidRPr="008B1755">
        <w:rPr>
          <w:lang w:val="cs-CZ"/>
        </w:rPr>
        <w:t xml:space="preserve"> </w:t>
      </w:r>
      <w:r w:rsidRPr="008B1755">
        <w:rPr>
          <w:lang w:val="cs-CZ"/>
        </w:rPr>
        <w:t>5 odst. 2</w:t>
      </w:r>
      <w:r w:rsidR="005A78B3" w:rsidRPr="008B1755">
        <w:rPr>
          <w:lang w:val="cs-CZ"/>
        </w:rPr>
        <w:t xml:space="preserve"> </w:t>
      </w:r>
      <w:r w:rsidRPr="008B1755">
        <w:rPr>
          <w:lang w:val="cs-CZ"/>
        </w:rPr>
        <w:t>o</w:t>
      </w:r>
      <w:r w:rsidR="005A78B3" w:rsidRPr="008B1755">
        <w:rPr>
          <w:lang w:val="cs-CZ"/>
        </w:rPr>
        <w:t>:</w:t>
      </w:r>
    </w:p>
    <w:p w:rsidR="008017C0" w:rsidRPr="008B1755" w:rsidRDefault="00067710" w:rsidP="005D7948">
      <w:pPr>
        <w:numPr>
          <w:ilvl w:val="1"/>
          <w:numId w:val="24"/>
        </w:numPr>
        <w:spacing w:after="120"/>
        <w:contextualSpacing/>
        <w:rPr>
          <w:bCs/>
          <w:lang w:val="cs-CZ"/>
        </w:rPr>
      </w:pPr>
      <w:r w:rsidRPr="008B1755">
        <w:rPr>
          <w:bCs/>
          <w:lang w:val="cs-CZ"/>
        </w:rPr>
        <w:t xml:space="preserve">Sledování omezování </w:t>
      </w:r>
      <w:r w:rsidR="004C4F26" w:rsidRPr="008B1755">
        <w:rPr>
          <w:bCs/>
          <w:lang w:val="cs-CZ"/>
        </w:rPr>
        <w:t>práv</w:t>
      </w:r>
      <w:r w:rsidR="001D70F8" w:rsidRPr="008B1755">
        <w:rPr>
          <w:bCs/>
          <w:lang w:val="cs-CZ"/>
        </w:rPr>
        <w:t xml:space="preserve"> koncových uživatelů</w:t>
      </w:r>
      <w:r w:rsidR="008017C0" w:rsidRPr="008B1755">
        <w:rPr>
          <w:bCs/>
          <w:lang w:val="cs-CZ"/>
        </w:rPr>
        <w:t xml:space="preserve"> (</w:t>
      </w:r>
      <w:r w:rsidR="00DD272F" w:rsidRPr="008B1755">
        <w:rPr>
          <w:bCs/>
          <w:lang w:val="cs-CZ"/>
        </w:rPr>
        <w:t xml:space="preserve">článek 3 odst. </w:t>
      </w:r>
      <w:r w:rsidR="008017C0" w:rsidRPr="008B1755">
        <w:rPr>
          <w:bCs/>
          <w:lang w:val="cs-CZ"/>
        </w:rPr>
        <w:t>1)</w:t>
      </w:r>
    </w:p>
    <w:p w:rsidR="004C7309" w:rsidRPr="008B1755" w:rsidRDefault="00067710" w:rsidP="005D7948">
      <w:pPr>
        <w:numPr>
          <w:ilvl w:val="1"/>
          <w:numId w:val="24"/>
        </w:numPr>
        <w:spacing w:after="120"/>
        <w:contextualSpacing/>
        <w:rPr>
          <w:bCs/>
          <w:lang w:val="cs-CZ"/>
        </w:rPr>
      </w:pPr>
      <w:r w:rsidRPr="008B1755">
        <w:rPr>
          <w:bCs/>
          <w:lang w:val="cs-CZ"/>
        </w:rPr>
        <w:t xml:space="preserve">Sledování smluvních podmínek a </w:t>
      </w:r>
      <w:r w:rsidR="0042163B" w:rsidRPr="008B1755">
        <w:rPr>
          <w:bCs/>
          <w:lang w:val="cs-CZ"/>
        </w:rPr>
        <w:t>obchodní</w:t>
      </w:r>
      <w:r w:rsidRPr="008B1755">
        <w:rPr>
          <w:bCs/>
          <w:lang w:val="cs-CZ"/>
        </w:rPr>
        <w:t>ch</w:t>
      </w:r>
      <w:r w:rsidR="0042163B" w:rsidRPr="008B1755">
        <w:rPr>
          <w:bCs/>
          <w:lang w:val="cs-CZ"/>
        </w:rPr>
        <w:t xml:space="preserve"> praktik</w:t>
      </w:r>
      <w:r w:rsidR="004C7309" w:rsidRPr="008B1755">
        <w:rPr>
          <w:bCs/>
          <w:lang w:val="cs-CZ"/>
        </w:rPr>
        <w:t xml:space="preserve"> (</w:t>
      </w:r>
      <w:r w:rsidR="00DD272F" w:rsidRPr="008B1755">
        <w:rPr>
          <w:bCs/>
          <w:lang w:val="cs-CZ"/>
        </w:rPr>
        <w:t xml:space="preserve">článek 3 odst. </w:t>
      </w:r>
      <w:r w:rsidR="004C7309" w:rsidRPr="008B1755">
        <w:rPr>
          <w:bCs/>
          <w:lang w:val="cs-CZ"/>
        </w:rPr>
        <w:t>2))</w:t>
      </w:r>
    </w:p>
    <w:p w:rsidR="00573DA1" w:rsidRPr="008B1755" w:rsidRDefault="00067710" w:rsidP="005D7948">
      <w:pPr>
        <w:numPr>
          <w:ilvl w:val="1"/>
          <w:numId w:val="24"/>
        </w:numPr>
        <w:spacing w:after="120"/>
        <w:contextualSpacing/>
        <w:rPr>
          <w:bCs/>
          <w:lang w:val="cs-CZ"/>
        </w:rPr>
      </w:pPr>
      <w:r w:rsidRPr="008B1755">
        <w:rPr>
          <w:bCs/>
          <w:lang w:val="cs-CZ"/>
        </w:rPr>
        <w:t xml:space="preserve">Sledování </w:t>
      </w:r>
      <w:r w:rsidR="00350081" w:rsidRPr="008B1755">
        <w:rPr>
          <w:bCs/>
          <w:lang w:val="cs-CZ"/>
        </w:rPr>
        <w:t>řízení provozu</w:t>
      </w:r>
      <w:r w:rsidR="005A78B3" w:rsidRPr="008B1755">
        <w:rPr>
          <w:bCs/>
          <w:lang w:val="cs-CZ"/>
        </w:rPr>
        <w:t xml:space="preserve"> (</w:t>
      </w:r>
      <w:r w:rsidR="00DD272F" w:rsidRPr="008B1755">
        <w:rPr>
          <w:bCs/>
          <w:lang w:val="cs-CZ"/>
        </w:rPr>
        <w:t xml:space="preserve">článek 3 </w:t>
      </w:r>
      <w:r w:rsidR="00585BD7" w:rsidRPr="008B1755">
        <w:rPr>
          <w:bCs/>
          <w:lang w:val="cs-CZ"/>
        </w:rPr>
        <w:t>odst. 3</w:t>
      </w:r>
      <w:r w:rsidR="005A78B3" w:rsidRPr="008B1755">
        <w:rPr>
          <w:bCs/>
          <w:lang w:val="cs-CZ"/>
        </w:rPr>
        <w:t>)</w:t>
      </w:r>
    </w:p>
    <w:p w:rsidR="00573DA1" w:rsidRPr="008B1755" w:rsidRDefault="00067710" w:rsidP="005D7948">
      <w:pPr>
        <w:numPr>
          <w:ilvl w:val="1"/>
          <w:numId w:val="24"/>
        </w:numPr>
        <w:spacing w:after="120"/>
        <w:contextualSpacing/>
        <w:rPr>
          <w:bCs/>
          <w:lang w:val="cs-CZ"/>
        </w:rPr>
      </w:pPr>
      <w:r w:rsidRPr="008B1755">
        <w:rPr>
          <w:bCs/>
          <w:lang w:val="cs-CZ"/>
        </w:rPr>
        <w:t xml:space="preserve">Sledování a posouzení výkonu </w:t>
      </w:r>
      <w:r w:rsidR="007D7F64" w:rsidRPr="008B1755">
        <w:rPr>
          <w:bCs/>
          <w:lang w:val="cs-CZ"/>
        </w:rPr>
        <w:t>služby přístupu k internetu</w:t>
      </w:r>
      <w:r w:rsidR="005A78B3" w:rsidRPr="008B1755">
        <w:rPr>
          <w:bCs/>
          <w:lang w:val="cs-CZ"/>
        </w:rPr>
        <w:t xml:space="preserve"> </w:t>
      </w:r>
      <w:r w:rsidRPr="008B1755">
        <w:rPr>
          <w:bCs/>
          <w:lang w:val="cs-CZ"/>
        </w:rPr>
        <w:t xml:space="preserve">a dopadu </w:t>
      </w:r>
      <w:r w:rsidR="00A82AD1" w:rsidRPr="008B1755">
        <w:rPr>
          <w:bCs/>
          <w:lang w:val="cs-CZ"/>
        </w:rPr>
        <w:t>specializovaných služeb</w:t>
      </w:r>
      <w:r w:rsidR="008017C0" w:rsidRPr="008B1755">
        <w:rPr>
          <w:bCs/>
          <w:lang w:val="cs-CZ"/>
        </w:rPr>
        <w:t xml:space="preserve"> </w:t>
      </w:r>
      <w:r w:rsidRPr="008B1755">
        <w:rPr>
          <w:bCs/>
          <w:lang w:val="cs-CZ"/>
        </w:rPr>
        <w:t xml:space="preserve">na obecnou kvalitu </w:t>
      </w:r>
      <w:r w:rsidR="007D7F64" w:rsidRPr="008B1755">
        <w:rPr>
          <w:bCs/>
          <w:lang w:val="cs-CZ"/>
        </w:rPr>
        <w:t>služby přístupu k internetu</w:t>
      </w:r>
      <w:r w:rsidR="008017C0" w:rsidRPr="008B1755">
        <w:rPr>
          <w:bCs/>
          <w:lang w:val="cs-CZ"/>
        </w:rPr>
        <w:t xml:space="preserve"> </w:t>
      </w:r>
      <w:r w:rsidR="005A78B3" w:rsidRPr="008B1755">
        <w:rPr>
          <w:bCs/>
          <w:lang w:val="cs-CZ"/>
        </w:rPr>
        <w:t>(</w:t>
      </w:r>
      <w:r w:rsidR="00DD272F" w:rsidRPr="008B1755">
        <w:rPr>
          <w:bCs/>
          <w:lang w:val="cs-CZ"/>
        </w:rPr>
        <w:t xml:space="preserve">článek 3 odst. </w:t>
      </w:r>
      <w:r w:rsidR="005A78B3" w:rsidRPr="008B1755">
        <w:rPr>
          <w:bCs/>
          <w:lang w:val="cs-CZ"/>
        </w:rPr>
        <w:t>5</w:t>
      </w:r>
      <w:r w:rsidRPr="008B1755">
        <w:rPr>
          <w:bCs/>
          <w:lang w:val="cs-CZ"/>
        </w:rPr>
        <w:t xml:space="preserve"> a čl. </w:t>
      </w:r>
      <w:r w:rsidR="005A78B3" w:rsidRPr="008B1755">
        <w:rPr>
          <w:bCs/>
          <w:lang w:val="cs-CZ"/>
        </w:rPr>
        <w:t>4)</w:t>
      </w:r>
    </w:p>
    <w:p w:rsidR="005A78B3" w:rsidRPr="008B1755" w:rsidRDefault="00067710" w:rsidP="005D7948">
      <w:pPr>
        <w:numPr>
          <w:ilvl w:val="1"/>
          <w:numId w:val="24"/>
        </w:numPr>
        <w:spacing w:after="120"/>
        <w:contextualSpacing/>
        <w:rPr>
          <w:bCs/>
          <w:lang w:val="cs-CZ"/>
        </w:rPr>
      </w:pPr>
      <w:r w:rsidRPr="008B1755">
        <w:rPr>
          <w:bCs/>
          <w:lang w:val="cs-CZ"/>
        </w:rPr>
        <w:t xml:space="preserve">Sledování požadavků na </w:t>
      </w:r>
      <w:r w:rsidR="005A78B3" w:rsidRPr="008B1755">
        <w:rPr>
          <w:bCs/>
          <w:lang w:val="cs-CZ"/>
        </w:rPr>
        <w:t>transparen</w:t>
      </w:r>
      <w:r w:rsidRPr="008B1755">
        <w:rPr>
          <w:bCs/>
          <w:lang w:val="cs-CZ"/>
        </w:rPr>
        <w:t xml:space="preserve">tnost u </w:t>
      </w:r>
      <w:r w:rsidR="007D7F64" w:rsidRPr="008B1755">
        <w:rPr>
          <w:bCs/>
          <w:lang w:val="cs-CZ"/>
        </w:rPr>
        <w:t>poskytovatel</w:t>
      </w:r>
      <w:r w:rsidRPr="008B1755">
        <w:rPr>
          <w:bCs/>
          <w:lang w:val="cs-CZ"/>
        </w:rPr>
        <w:t>ů</w:t>
      </w:r>
      <w:r w:rsidR="007D7F64" w:rsidRPr="008B1755">
        <w:rPr>
          <w:bCs/>
          <w:lang w:val="cs-CZ"/>
        </w:rPr>
        <w:t xml:space="preserve"> internetových služeb</w:t>
      </w:r>
      <w:r w:rsidR="005A78B3" w:rsidRPr="008B1755">
        <w:rPr>
          <w:bCs/>
          <w:lang w:val="cs-CZ"/>
        </w:rPr>
        <w:t xml:space="preserve"> (</w:t>
      </w:r>
      <w:r w:rsidRPr="008B1755">
        <w:rPr>
          <w:bCs/>
          <w:lang w:val="cs-CZ"/>
        </w:rPr>
        <w:t xml:space="preserve">čl. </w:t>
      </w:r>
      <w:r w:rsidR="005A78B3" w:rsidRPr="008B1755">
        <w:rPr>
          <w:bCs/>
          <w:lang w:val="cs-CZ"/>
        </w:rPr>
        <w:t xml:space="preserve">4); </w:t>
      </w:r>
    </w:p>
    <w:p w:rsidR="005A78B3" w:rsidRPr="008B1755" w:rsidRDefault="00067710" w:rsidP="005D7948">
      <w:pPr>
        <w:pStyle w:val="Odstavecseseznamem"/>
        <w:numPr>
          <w:ilvl w:val="0"/>
          <w:numId w:val="18"/>
        </w:numPr>
        <w:spacing w:after="120"/>
        <w:ind w:left="1077" w:hanging="357"/>
        <w:rPr>
          <w:lang w:val="cs-CZ"/>
        </w:rPr>
      </w:pPr>
      <w:r w:rsidRPr="008B1755">
        <w:rPr>
          <w:lang w:val="cs-CZ"/>
        </w:rPr>
        <w:t>Vymáhání</w:t>
      </w:r>
      <w:r w:rsidR="005A78B3" w:rsidRPr="008B1755">
        <w:rPr>
          <w:lang w:val="cs-CZ"/>
        </w:rPr>
        <w:t xml:space="preserve">, </w:t>
      </w:r>
      <w:r w:rsidRPr="008B1755">
        <w:rPr>
          <w:lang w:val="cs-CZ"/>
        </w:rPr>
        <w:t xml:space="preserve">které může zahrnovat řadu různých zásahů a měření podle </w:t>
      </w:r>
      <w:r w:rsidR="00F064F8" w:rsidRPr="008B1755">
        <w:rPr>
          <w:lang w:val="cs-CZ"/>
        </w:rPr>
        <w:t>článku</w:t>
      </w:r>
      <w:r w:rsidR="005A78B3" w:rsidRPr="008B1755">
        <w:rPr>
          <w:lang w:val="cs-CZ"/>
        </w:rPr>
        <w:t xml:space="preserve"> </w:t>
      </w:r>
      <w:r w:rsidR="00B639EF" w:rsidRPr="008B1755">
        <w:rPr>
          <w:lang w:val="cs-CZ"/>
        </w:rPr>
        <w:t>5 odst. 1</w:t>
      </w:r>
      <w:r w:rsidR="005A78B3" w:rsidRPr="008B1755">
        <w:rPr>
          <w:lang w:val="cs-CZ"/>
        </w:rPr>
        <w:t>;</w:t>
      </w:r>
    </w:p>
    <w:p w:rsidR="005A78B3" w:rsidRPr="008B1755" w:rsidRDefault="00067710" w:rsidP="005D7948">
      <w:pPr>
        <w:pStyle w:val="Odstavecseseznamem"/>
        <w:numPr>
          <w:ilvl w:val="0"/>
          <w:numId w:val="18"/>
        </w:numPr>
        <w:spacing w:after="120"/>
        <w:ind w:left="1077" w:hanging="357"/>
        <w:rPr>
          <w:lang w:val="cs-CZ"/>
        </w:rPr>
      </w:pPr>
      <w:r w:rsidRPr="008B1755">
        <w:rPr>
          <w:lang w:val="cs-CZ"/>
        </w:rPr>
        <w:t xml:space="preserve">Hlášení </w:t>
      </w:r>
      <w:r w:rsidR="00A96493" w:rsidRPr="008B1755">
        <w:rPr>
          <w:lang w:val="cs-CZ"/>
        </w:rPr>
        <w:t xml:space="preserve">vnitrostátních regulačních orgánů </w:t>
      </w:r>
      <w:r w:rsidR="00D9343B">
        <w:rPr>
          <w:lang w:val="cs-CZ"/>
        </w:rPr>
        <w:t xml:space="preserve">o </w:t>
      </w:r>
      <w:r w:rsidRPr="008B1755">
        <w:rPr>
          <w:lang w:val="cs-CZ"/>
        </w:rPr>
        <w:t>zjištění</w:t>
      </w:r>
      <w:r w:rsidR="00A96493">
        <w:rPr>
          <w:lang w:val="cs-CZ"/>
        </w:rPr>
        <w:t xml:space="preserve">ch </w:t>
      </w:r>
      <w:r w:rsidRPr="008B1755">
        <w:rPr>
          <w:lang w:val="cs-CZ"/>
        </w:rPr>
        <w:t xml:space="preserve">ze sledování podle </w:t>
      </w:r>
      <w:r w:rsidR="00F064F8" w:rsidRPr="008B1755">
        <w:rPr>
          <w:lang w:val="cs-CZ"/>
        </w:rPr>
        <w:t>článku</w:t>
      </w:r>
      <w:r w:rsidR="005A78B3" w:rsidRPr="008B1755">
        <w:rPr>
          <w:lang w:val="cs-CZ"/>
        </w:rPr>
        <w:t xml:space="preserve"> </w:t>
      </w:r>
      <w:r w:rsidR="00B639EF" w:rsidRPr="008B1755">
        <w:rPr>
          <w:lang w:val="cs-CZ"/>
        </w:rPr>
        <w:t>5 odst. 1</w:t>
      </w:r>
      <w:r w:rsidR="005A78B3" w:rsidRPr="008B1755">
        <w:rPr>
          <w:lang w:val="cs-CZ"/>
        </w:rPr>
        <w:t xml:space="preserve">. </w:t>
      </w:r>
    </w:p>
    <w:p w:rsidR="00A90101" w:rsidRPr="008B1755" w:rsidRDefault="00067710" w:rsidP="005D7948">
      <w:pPr>
        <w:numPr>
          <w:ilvl w:val="0"/>
          <w:numId w:val="2"/>
        </w:numPr>
        <w:spacing w:after="120"/>
        <w:rPr>
          <w:lang w:val="cs-CZ"/>
        </w:rPr>
      </w:pPr>
      <w:r w:rsidRPr="008B1755">
        <w:rPr>
          <w:lang w:val="cs-CZ"/>
        </w:rPr>
        <w:t xml:space="preserve">Sdružení </w:t>
      </w:r>
      <w:r w:rsidR="00A90101" w:rsidRPr="008B1755">
        <w:rPr>
          <w:lang w:val="cs-CZ"/>
        </w:rPr>
        <w:t xml:space="preserve">BEREC </w:t>
      </w:r>
      <w:r w:rsidRPr="008B1755">
        <w:rPr>
          <w:lang w:val="cs-CZ"/>
        </w:rPr>
        <w:t xml:space="preserve">by mělo podporovat </w:t>
      </w:r>
      <w:r w:rsidR="003F05DE" w:rsidRPr="008B1755">
        <w:rPr>
          <w:lang w:val="cs-CZ"/>
        </w:rPr>
        <w:t xml:space="preserve">trvalou </w:t>
      </w:r>
      <w:r w:rsidRPr="008B1755">
        <w:rPr>
          <w:lang w:val="cs-CZ"/>
        </w:rPr>
        <w:t xml:space="preserve">výměnu zkušeností </w:t>
      </w:r>
      <w:r w:rsidR="003F05DE" w:rsidRPr="008B1755">
        <w:rPr>
          <w:lang w:val="cs-CZ"/>
        </w:rPr>
        <w:t xml:space="preserve">ze strany vnitrostátních regulačních orgánů z implementace </w:t>
      </w:r>
      <w:r w:rsidR="001D46DD" w:rsidRPr="008B1755">
        <w:rPr>
          <w:lang w:val="cs-CZ"/>
        </w:rPr>
        <w:t>Nařízení</w:t>
      </w:r>
      <w:r w:rsidR="00A90101" w:rsidRPr="008B1755">
        <w:rPr>
          <w:lang w:val="cs-CZ"/>
        </w:rPr>
        <w:t>.</w:t>
      </w:r>
    </w:p>
    <w:p w:rsidR="00D61C28" w:rsidRPr="008B1755" w:rsidRDefault="003F05DE" w:rsidP="005D7948">
      <w:pPr>
        <w:numPr>
          <w:ilvl w:val="0"/>
          <w:numId w:val="2"/>
        </w:numPr>
        <w:spacing w:after="120"/>
        <w:rPr>
          <w:lang w:val="cs-CZ"/>
        </w:rPr>
      </w:pPr>
      <w:r w:rsidRPr="008B1755">
        <w:rPr>
          <w:lang w:val="cs-CZ"/>
        </w:rPr>
        <w:t xml:space="preserve">Za účelem sledování dodržování </w:t>
      </w:r>
      <w:r w:rsidR="00A96493">
        <w:rPr>
          <w:lang w:val="cs-CZ"/>
        </w:rPr>
        <w:t xml:space="preserve">Nařízení </w:t>
      </w:r>
      <w:r w:rsidRPr="008B1755">
        <w:rPr>
          <w:lang w:val="cs-CZ"/>
        </w:rPr>
        <w:t xml:space="preserve">mohou </w:t>
      </w:r>
      <w:r w:rsidR="00926BAE" w:rsidRPr="008B1755">
        <w:rPr>
          <w:lang w:val="cs-CZ"/>
        </w:rPr>
        <w:t>vnitrostátní regulační orgány</w:t>
      </w:r>
      <w:r w:rsidR="00C440AF" w:rsidRPr="008B1755">
        <w:rPr>
          <w:lang w:val="cs-CZ"/>
        </w:rPr>
        <w:t xml:space="preserve"> </w:t>
      </w:r>
      <w:r w:rsidRPr="008B1755">
        <w:rPr>
          <w:lang w:val="cs-CZ"/>
        </w:rPr>
        <w:t xml:space="preserve">požádat, aby </w:t>
      </w:r>
      <w:r w:rsidR="007D7F64" w:rsidRPr="008B1755">
        <w:rPr>
          <w:lang w:val="cs-CZ"/>
        </w:rPr>
        <w:t>poskytovatelé internetových služeb</w:t>
      </w:r>
      <w:r w:rsidR="00C440AF" w:rsidRPr="008B1755">
        <w:rPr>
          <w:lang w:val="cs-CZ"/>
        </w:rPr>
        <w:t xml:space="preserve"> a </w:t>
      </w:r>
      <w:r w:rsidR="00C44AED" w:rsidRPr="008B1755">
        <w:rPr>
          <w:lang w:val="cs-CZ"/>
        </w:rPr>
        <w:t>koncoví uživatelé</w:t>
      </w:r>
      <w:r w:rsidR="00C440AF" w:rsidRPr="008B1755">
        <w:rPr>
          <w:lang w:val="cs-CZ"/>
        </w:rPr>
        <w:t xml:space="preserve"> </w:t>
      </w:r>
      <w:r w:rsidRPr="008B1755">
        <w:rPr>
          <w:lang w:val="cs-CZ"/>
        </w:rPr>
        <w:t>poskytl</w:t>
      </w:r>
      <w:r w:rsidR="00454FCD" w:rsidRPr="008B1755">
        <w:rPr>
          <w:lang w:val="cs-CZ"/>
        </w:rPr>
        <w:t>i</w:t>
      </w:r>
      <w:r w:rsidRPr="008B1755">
        <w:rPr>
          <w:lang w:val="cs-CZ"/>
        </w:rPr>
        <w:t xml:space="preserve"> příslušné informace</w:t>
      </w:r>
      <w:r w:rsidR="00B82218" w:rsidRPr="008B1755">
        <w:rPr>
          <w:lang w:val="cs-CZ"/>
        </w:rPr>
        <w:t xml:space="preserve">. </w:t>
      </w:r>
      <w:r w:rsidRPr="008B1755">
        <w:rPr>
          <w:lang w:val="cs-CZ"/>
        </w:rPr>
        <w:t xml:space="preserve">Informace, které </w:t>
      </w:r>
      <w:r w:rsidR="00454FCD" w:rsidRPr="008B1755">
        <w:rPr>
          <w:lang w:val="cs-CZ"/>
        </w:rPr>
        <w:t xml:space="preserve">si </w:t>
      </w:r>
      <w:r w:rsidRPr="008B1755">
        <w:rPr>
          <w:lang w:val="cs-CZ"/>
        </w:rPr>
        <w:t xml:space="preserve">lze </w:t>
      </w:r>
      <w:r w:rsidR="00454FCD" w:rsidRPr="008B1755">
        <w:rPr>
          <w:lang w:val="cs-CZ"/>
        </w:rPr>
        <w:t xml:space="preserve">vyžádat od </w:t>
      </w:r>
      <w:r w:rsidR="007D7F64" w:rsidRPr="008B1755">
        <w:rPr>
          <w:lang w:val="cs-CZ"/>
        </w:rPr>
        <w:t>poskytovatel</w:t>
      </w:r>
      <w:r w:rsidR="00454FCD" w:rsidRPr="008B1755">
        <w:rPr>
          <w:lang w:val="cs-CZ"/>
        </w:rPr>
        <w:t>ů</w:t>
      </w:r>
      <w:r w:rsidR="007D7F64" w:rsidRPr="008B1755">
        <w:rPr>
          <w:lang w:val="cs-CZ"/>
        </w:rPr>
        <w:t xml:space="preserve"> internetových služeb</w:t>
      </w:r>
      <w:r w:rsidR="00454FCD" w:rsidRPr="008B1755">
        <w:rPr>
          <w:lang w:val="cs-CZ"/>
        </w:rPr>
        <w:t xml:space="preserve">, jsou uvedeny v čl. </w:t>
      </w:r>
      <w:r w:rsidR="00067710" w:rsidRPr="008B1755">
        <w:rPr>
          <w:lang w:val="cs-CZ"/>
        </w:rPr>
        <w:t>5 odst. 2</w:t>
      </w:r>
      <w:r w:rsidR="00454FCD" w:rsidRPr="008B1755">
        <w:rPr>
          <w:lang w:val="cs-CZ"/>
        </w:rPr>
        <w:t xml:space="preserve">, přičemž </w:t>
      </w:r>
      <w:r w:rsidR="00926BAE" w:rsidRPr="008B1755">
        <w:rPr>
          <w:lang w:val="cs-CZ"/>
        </w:rPr>
        <w:t>vnitrostátní regulační orgány</w:t>
      </w:r>
      <w:r w:rsidR="00B82218" w:rsidRPr="008B1755">
        <w:rPr>
          <w:lang w:val="cs-CZ"/>
        </w:rPr>
        <w:t xml:space="preserve"> </w:t>
      </w:r>
      <w:r w:rsidR="00454FCD" w:rsidRPr="008B1755">
        <w:rPr>
          <w:lang w:val="cs-CZ"/>
        </w:rPr>
        <w:t xml:space="preserve">mohou shromažďovat stížnosti </w:t>
      </w:r>
      <w:r w:rsidR="00DD272F" w:rsidRPr="008B1755">
        <w:rPr>
          <w:lang w:val="cs-CZ"/>
        </w:rPr>
        <w:t>koncový</w:t>
      </w:r>
      <w:r w:rsidR="00454FCD" w:rsidRPr="008B1755">
        <w:rPr>
          <w:lang w:val="cs-CZ"/>
        </w:rPr>
        <w:t>ch</w:t>
      </w:r>
      <w:r w:rsidR="00DD272F" w:rsidRPr="008B1755">
        <w:rPr>
          <w:lang w:val="cs-CZ"/>
        </w:rPr>
        <w:t xml:space="preserve"> uživatel</w:t>
      </w:r>
      <w:r w:rsidR="00454FCD" w:rsidRPr="008B1755">
        <w:rPr>
          <w:lang w:val="cs-CZ"/>
        </w:rPr>
        <w:t xml:space="preserve">ů a požádat </w:t>
      </w:r>
      <w:r w:rsidR="00C44AED" w:rsidRPr="008B1755">
        <w:rPr>
          <w:lang w:val="cs-CZ"/>
        </w:rPr>
        <w:t>koncov</w:t>
      </w:r>
      <w:r w:rsidR="00454FCD" w:rsidRPr="008B1755">
        <w:rPr>
          <w:lang w:val="cs-CZ"/>
        </w:rPr>
        <w:t>é</w:t>
      </w:r>
      <w:r w:rsidR="00C44AED" w:rsidRPr="008B1755">
        <w:rPr>
          <w:lang w:val="cs-CZ"/>
        </w:rPr>
        <w:t xml:space="preserve"> uživatel</w:t>
      </w:r>
      <w:r w:rsidR="00454FCD" w:rsidRPr="008B1755">
        <w:rPr>
          <w:lang w:val="cs-CZ"/>
        </w:rPr>
        <w:t>e o vyplnění dotazníků a průzkumů</w:t>
      </w:r>
      <w:r w:rsidR="005D7948" w:rsidRPr="008B1755">
        <w:rPr>
          <w:lang w:val="cs-CZ"/>
        </w:rPr>
        <w:t>.</w:t>
      </w:r>
    </w:p>
    <w:p w:rsidR="00D61C28" w:rsidRPr="008B1755" w:rsidRDefault="00454FCD" w:rsidP="0038751B">
      <w:pPr>
        <w:numPr>
          <w:ilvl w:val="0"/>
          <w:numId w:val="2"/>
        </w:numPr>
        <w:spacing w:after="120"/>
        <w:rPr>
          <w:lang w:val="cs-CZ"/>
        </w:rPr>
      </w:pPr>
      <w:r w:rsidRPr="008B1755">
        <w:rPr>
          <w:lang w:val="cs-CZ"/>
        </w:rPr>
        <w:t xml:space="preserve">Další pokyny ohledně konkrétních článků </w:t>
      </w:r>
      <w:r w:rsidR="001D46DD" w:rsidRPr="008B1755">
        <w:rPr>
          <w:lang w:val="cs-CZ"/>
        </w:rPr>
        <w:t>Nařízení</w:t>
      </w:r>
      <w:r w:rsidR="00D61C28" w:rsidRPr="008B1755">
        <w:rPr>
          <w:lang w:val="cs-CZ"/>
        </w:rPr>
        <w:t xml:space="preserve"> </w:t>
      </w:r>
      <w:r w:rsidRPr="008B1755">
        <w:rPr>
          <w:lang w:val="cs-CZ"/>
        </w:rPr>
        <w:t xml:space="preserve">jsou uvedeny </w:t>
      </w:r>
      <w:r w:rsidR="000D06E5" w:rsidRPr="008B1755">
        <w:rPr>
          <w:lang w:val="cs-CZ"/>
        </w:rPr>
        <w:t xml:space="preserve">v </w:t>
      </w:r>
      <w:r w:rsidR="00D2652F">
        <w:rPr>
          <w:lang w:val="cs-CZ"/>
        </w:rPr>
        <w:t>b</w:t>
      </w:r>
      <w:r w:rsidR="000D06E5" w:rsidRPr="008B1755">
        <w:rPr>
          <w:lang w:val="cs-CZ"/>
        </w:rPr>
        <w:t>od</w:t>
      </w:r>
      <w:r w:rsidR="00D2652F">
        <w:rPr>
          <w:lang w:val="cs-CZ"/>
        </w:rPr>
        <w:t>e</w:t>
      </w:r>
      <w:r w:rsidR="000D06E5" w:rsidRPr="008B1755">
        <w:rPr>
          <w:lang w:val="cs-CZ"/>
        </w:rPr>
        <w:t>ch</w:t>
      </w:r>
      <w:r w:rsidR="00BF2E8C" w:rsidRPr="008B1755">
        <w:rPr>
          <w:lang w:val="cs-CZ"/>
        </w:rPr>
        <w:t xml:space="preserve"> </w:t>
      </w:r>
      <w:r w:rsidR="00CA269E" w:rsidRPr="008B1755">
        <w:rPr>
          <w:lang w:val="cs-CZ"/>
        </w:rPr>
        <w:fldChar w:fldCharType="begin"/>
      </w:r>
      <w:r w:rsidR="00BF2E8C" w:rsidRPr="008B1755">
        <w:rPr>
          <w:lang w:val="cs-CZ"/>
        </w:rPr>
        <w:instrText xml:space="preserve"> REF _Ref449702747 \r \h </w:instrText>
      </w:r>
      <w:r w:rsidR="00CA269E" w:rsidRPr="008B1755">
        <w:rPr>
          <w:lang w:val="cs-CZ"/>
        </w:rPr>
      </w:r>
      <w:r w:rsidR="00CA269E" w:rsidRPr="008B1755">
        <w:rPr>
          <w:lang w:val="cs-CZ"/>
        </w:rPr>
        <w:fldChar w:fldCharType="separate"/>
      </w:r>
      <w:r w:rsidR="003B403B" w:rsidRPr="008B1755">
        <w:rPr>
          <w:lang w:val="cs-CZ"/>
        </w:rPr>
        <w:t>171</w:t>
      </w:r>
      <w:r w:rsidR="00CA269E" w:rsidRPr="008B1755">
        <w:rPr>
          <w:lang w:val="cs-CZ"/>
        </w:rPr>
        <w:fldChar w:fldCharType="end"/>
      </w:r>
      <w:r w:rsidR="00BF2E8C" w:rsidRPr="008B1755">
        <w:rPr>
          <w:lang w:val="cs-CZ"/>
        </w:rPr>
        <w:t>-</w:t>
      </w:r>
      <w:r w:rsidR="00CA269E" w:rsidRPr="008B1755">
        <w:rPr>
          <w:lang w:val="cs-CZ"/>
        </w:rPr>
        <w:fldChar w:fldCharType="begin"/>
      </w:r>
      <w:r w:rsidR="00BF2E8C" w:rsidRPr="008B1755">
        <w:rPr>
          <w:lang w:val="cs-CZ"/>
        </w:rPr>
        <w:instrText xml:space="preserve"> REF _Ref449702758 \r \h </w:instrText>
      </w:r>
      <w:r w:rsidR="00CA269E" w:rsidRPr="008B1755">
        <w:rPr>
          <w:lang w:val="cs-CZ"/>
        </w:rPr>
      </w:r>
      <w:r w:rsidR="00CA269E" w:rsidRPr="008B1755">
        <w:rPr>
          <w:lang w:val="cs-CZ"/>
        </w:rPr>
        <w:fldChar w:fldCharType="separate"/>
      </w:r>
      <w:r w:rsidR="003B403B" w:rsidRPr="008B1755">
        <w:rPr>
          <w:lang w:val="cs-CZ"/>
        </w:rPr>
        <w:t>183</w:t>
      </w:r>
      <w:r w:rsidR="00CA269E" w:rsidRPr="008B1755">
        <w:rPr>
          <w:lang w:val="cs-CZ"/>
        </w:rPr>
        <w:fldChar w:fldCharType="end"/>
      </w:r>
      <w:r w:rsidRPr="008B1755">
        <w:rPr>
          <w:lang w:val="cs-CZ"/>
        </w:rPr>
        <w:t xml:space="preserve"> a dále v čl. </w:t>
      </w:r>
      <w:r w:rsidR="00D61C28" w:rsidRPr="008B1755">
        <w:rPr>
          <w:lang w:val="cs-CZ"/>
        </w:rPr>
        <w:t>3</w:t>
      </w:r>
      <w:r w:rsidRPr="008B1755">
        <w:rPr>
          <w:lang w:val="cs-CZ"/>
        </w:rPr>
        <w:t xml:space="preserve"> odst. </w:t>
      </w:r>
      <w:r w:rsidR="00D61C28" w:rsidRPr="008B1755">
        <w:rPr>
          <w:lang w:val="cs-CZ"/>
        </w:rPr>
        <w:t xml:space="preserve">2 </w:t>
      </w:r>
      <w:r w:rsidRPr="008B1755">
        <w:rPr>
          <w:lang w:val="cs-CZ"/>
        </w:rPr>
        <w:t xml:space="preserve">a čl. </w:t>
      </w:r>
      <w:r w:rsidR="003D7133" w:rsidRPr="008B1755">
        <w:rPr>
          <w:lang w:val="cs-CZ"/>
        </w:rPr>
        <w:t>3 odst. 5</w:t>
      </w:r>
      <w:r w:rsidR="00D61C28" w:rsidRPr="008B1755">
        <w:rPr>
          <w:lang w:val="cs-CZ"/>
        </w:rPr>
        <w:t>.</w:t>
      </w:r>
    </w:p>
    <w:p w:rsidR="00D61C28" w:rsidRPr="008B1755" w:rsidRDefault="00067710" w:rsidP="00262769">
      <w:pPr>
        <w:keepNext/>
        <w:keepLines/>
        <w:spacing w:before="120" w:after="120"/>
        <w:outlineLvl w:val="3"/>
        <w:rPr>
          <w:rFonts w:eastAsia="SimSun"/>
          <w:bCs/>
          <w:i/>
          <w:iCs/>
          <w:sz w:val="24"/>
          <w:szCs w:val="24"/>
          <w:u w:val="single"/>
          <w:lang w:val="cs-CZ"/>
        </w:rPr>
      </w:pPr>
      <w:bookmarkStart w:id="70" w:name="_Toc438548587"/>
      <w:r w:rsidRPr="008B1755">
        <w:rPr>
          <w:rFonts w:eastAsia="SimSun"/>
          <w:bCs/>
          <w:i/>
          <w:iCs/>
          <w:sz w:val="24"/>
          <w:szCs w:val="24"/>
          <w:u w:val="single"/>
          <w:lang w:val="cs-CZ"/>
        </w:rPr>
        <w:t xml:space="preserve">Sledování opatření </w:t>
      </w:r>
      <w:r w:rsidR="00350081" w:rsidRPr="008B1755">
        <w:rPr>
          <w:rFonts w:eastAsia="SimSun"/>
          <w:bCs/>
          <w:i/>
          <w:iCs/>
          <w:sz w:val="24"/>
          <w:szCs w:val="24"/>
          <w:u w:val="single"/>
          <w:lang w:val="cs-CZ"/>
        </w:rPr>
        <w:t>řízení provozu</w:t>
      </w:r>
      <w:bookmarkEnd w:id="70"/>
    </w:p>
    <w:p w:rsidR="00A32CD2" w:rsidRPr="008B1755" w:rsidRDefault="00454FCD" w:rsidP="0038751B">
      <w:pPr>
        <w:numPr>
          <w:ilvl w:val="0"/>
          <w:numId w:val="2"/>
        </w:numPr>
        <w:contextualSpacing/>
        <w:rPr>
          <w:lang w:val="cs-CZ"/>
        </w:rPr>
      </w:pPr>
      <w:bookmarkStart w:id="71" w:name="_Ref449702747"/>
      <w:r w:rsidRPr="008B1755">
        <w:rPr>
          <w:rFonts w:eastAsia="Times New Roman" w:cs="Calibri"/>
          <w:szCs w:val="24"/>
          <w:lang w:val="cs-CZ"/>
        </w:rPr>
        <w:t xml:space="preserve">Vnitrostátní </w:t>
      </w:r>
      <w:r w:rsidR="00926BAE" w:rsidRPr="008B1755">
        <w:rPr>
          <w:rFonts w:eastAsia="Times New Roman" w:cs="Calibri"/>
          <w:szCs w:val="24"/>
          <w:lang w:val="cs-CZ"/>
        </w:rPr>
        <w:t>regulační orgány</w:t>
      </w:r>
      <w:r w:rsidR="00A32CD2" w:rsidRPr="008B1755">
        <w:rPr>
          <w:rFonts w:eastAsia="Times New Roman" w:cs="Calibri"/>
          <w:szCs w:val="24"/>
          <w:lang w:val="cs-CZ"/>
        </w:rPr>
        <w:t xml:space="preserve"> </w:t>
      </w:r>
      <w:r w:rsidRPr="008B1755">
        <w:rPr>
          <w:rFonts w:eastAsia="Times New Roman" w:cs="Calibri"/>
          <w:szCs w:val="24"/>
          <w:lang w:val="cs-CZ"/>
        </w:rPr>
        <w:t xml:space="preserve">mají pravomoc shromažďovat informace o </w:t>
      </w:r>
      <w:r w:rsidR="00350081" w:rsidRPr="008B1755">
        <w:rPr>
          <w:rFonts w:eastAsia="Times New Roman" w:cs="Calibri"/>
          <w:szCs w:val="24"/>
          <w:lang w:val="cs-CZ"/>
        </w:rPr>
        <w:t>řízení provozu</w:t>
      </w:r>
      <w:r w:rsidR="00EA75E4" w:rsidRPr="008B1755">
        <w:rPr>
          <w:rFonts w:eastAsia="Times New Roman" w:cs="Calibri"/>
          <w:szCs w:val="24"/>
          <w:lang w:val="cs-CZ"/>
        </w:rPr>
        <w:t xml:space="preserve">, </w:t>
      </w:r>
      <w:r w:rsidRPr="008B1755">
        <w:rPr>
          <w:rFonts w:eastAsia="Times New Roman" w:cs="Calibri"/>
          <w:szCs w:val="24"/>
          <w:lang w:val="cs-CZ"/>
        </w:rPr>
        <w:t>a to například pomocí</w:t>
      </w:r>
      <w:r w:rsidR="00A32CD2" w:rsidRPr="008B1755">
        <w:rPr>
          <w:lang w:val="cs-CZ"/>
        </w:rPr>
        <w:t>:</w:t>
      </w:r>
      <w:bookmarkEnd w:id="71"/>
    </w:p>
    <w:p w:rsidR="00A32CD2" w:rsidRPr="008B1755" w:rsidRDefault="00454FCD" w:rsidP="005D7948">
      <w:pPr>
        <w:pStyle w:val="Odstavecseseznamem"/>
        <w:numPr>
          <w:ilvl w:val="0"/>
          <w:numId w:val="18"/>
        </w:numPr>
        <w:spacing w:after="120"/>
        <w:ind w:left="1077" w:hanging="357"/>
        <w:rPr>
          <w:lang w:val="cs-CZ"/>
        </w:rPr>
      </w:pPr>
      <w:r w:rsidRPr="008B1755">
        <w:rPr>
          <w:lang w:val="cs-CZ"/>
        </w:rPr>
        <w:t xml:space="preserve">vyhodnocování opatření </w:t>
      </w:r>
      <w:r w:rsidR="00350081" w:rsidRPr="008B1755">
        <w:rPr>
          <w:lang w:val="cs-CZ"/>
        </w:rPr>
        <w:t>řízení provozu</w:t>
      </w:r>
      <w:r w:rsidR="00A32CD2" w:rsidRPr="008B1755">
        <w:rPr>
          <w:lang w:val="cs-CZ"/>
        </w:rPr>
        <w:t xml:space="preserve"> </w:t>
      </w:r>
      <w:r w:rsidRPr="008B1755">
        <w:rPr>
          <w:lang w:val="cs-CZ"/>
        </w:rPr>
        <w:t xml:space="preserve">uplatňovaných </w:t>
      </w:r>
      <w:r w:rsidR="00080F70" w:rsidRPr="008B1755">
        <w:rPr>
          <w:lang w:val="cs-CZ"/>
        </w:rPr>
        <w:t>poskytovateli</w:t>
      </w:r>
      <w:r w:rsidR="007D7F64" w:rsidRPr="008B1755">
        <w:rPr>
          <w:lang w:val="cs-CZ"/>
        </w:rPr>
        <w:t xml:space="preserve"> internetových služeb</w:t>
      </w:r>
      <w:r w:rsidR="00DE54A3" w:rsidRPr="008B1755">
        <w:rPr>
          <w:lang w:val="cs-CZ"/>
        </w:rPr>
        <w:t xml:space="preserve">, </w:t>
      </w:r>
      <w:r w:rsidRPr="008B1755">
        <w:rPr>
          <w:lang w:val="cs-CZ"/>
        </w:rPr>
        <w:t xml:space="preserve">včetně výjimek </w:t>
      </w:r>
      <w:r w:rsidR="00DE54A3" w:rsidRPr="008B1755">
        <w:rPr>
          <w:lang w:val="cs-CZ"/>
        </w:rPr>
        <w:t>(</w:t>
      </w:r>
      <w:r w:rsidRPr="008B1755">
        <w:rPr>
          <w:lang w:val="cs-CZ"/>
        </w:rPr>
        <w:t xml:space="preserve">povolených podle čl. </w:t>
      </w:r>
      <w:r w:rsidR="00DD272F" w:rsidRPr="008B1755">
        <w:rPr>
          <w:lang w:val="cs-CZ"/>
        </w:rPr>
        <w:t xml:space="preserve">3 </w:t>
      </w:r>
      <w:r w:rsidR="00585BD7" w:rsidRPr="008B1755">
        <w:rPr>
          <w:lang w:val="cs-CZ"/>
        </w:rPr>
        <w:t>odst. 3</w:t>
      </w:r>
      <w:r w:rsidRPr="008B1755">
        <w:rPr>
          <w:lang w:val="cs-CZ"/>
        </w:rPr>
        <w:t>,</w:t>
      </w:r>
      <w:r w:rsidR="00DE54A3" w:rsidRPr="008B1755">
        <w:rPr>
          <w:lang w:val="cs-CZ"/>
        </w:rPr>
        <w:t xml:space="preserve"> </w:t>
      </w:r>
      <w:r w:rsidR="001D70F8" w:rsidRPr="008B1755">
        <w:rPr>
          <w:lang w:val="cs-CZ"/>
        </w:rPr>
        <w:t>třetí pododstavec</w:t>
      </w:r>
      <w:r w:rsidR="00DE54A3" w:rsidRPr="008B1755">
        <w:rPr>
          <w:lang w:val="cs-CZ"/>
        </w:rPr>
        <w:t>)</w:t>
      </w:r>
      <w:r w:rsidR="00573DA1" w:rsidRPr="008B1755">
        <w:rPr>
          <w:lang w:val="cs-CZ"/>
        </w:rPr>
        <w:t>;</w:t>
      </w:r>
    </w:p>
    <w:p w:rsidR="00DE54A3" w:rsidRPr="008B1755" w:rsidRDefault="00454FCD" w:rsidP="005D7948">
      <w:pPr>
        <w:pStyle w:val="Odstavecseseznamem"/>
        <w:numPr>
          <w:ilvl w:val="0"/>
          <w:numId w:val="18"/>
        </w:numPr>
        <w:spacing w:after="120"/>
        <w:ind w:left="1077" w:hanging="357"/>
        <w:rPr>
          <w:lang w:val="cs-CZ"/>
        </w:rPr>
      </w:pPr>
      <w:r w:rsidRPr="008B1755">
        <w:rPr>
          <w:lang w:val="cs-CZ"/>
        </w:rPr>
        <w:t xml:space="preserve">vyžádání komplexnějších informací od </w:t>
      </w:r>
      <w:r w:rsidR="007D7F64" w:rsidRPr="008B1755">
        <w:rPr>
          <w:lang w:val="cs-CZ"/>
        </w:rPr>
        <w:t>poskytovatel</w:t>
      </w:r>
      <w:r w:rsidRPr="008B1755">
        <w:rPr>
          <w:lang w:val="cs-CZ"/>
        </w:rPr>
        <w:t>ů</w:t>
      </w:r>
      <w:r w:rsidR="007D7F64" w:rsidRPr="008B1755">
        <w:rPr>
          <w:lang w:val="cs-CZ"/>
        </w:rPr>
        <w:t xml:space="preserve"> internetových služeb</w:t>
      </w:r>
      <w:r w:rsidR="00DE54A3" w:rsidRPr="008B1755">
        <w:rPr>
          <w:lang w:val="cs-CZ"/>
        </w:rPr>
        <w:t xml:space="preserve"> </w:t>
      </w:r>
      <w:r w:rsidRPr="008B1755">
        <w:rPr>
          <w:lang w:val="cs-CZ"/>
        </w:rPr>
        <w:t xml:space="preserve">o zavedených opatřeních </w:t>
      </w:r>
      <w:r w:rsidR="00350081" w:rsidRPr="008B1755">
        <w:rPr>
          <w:lang w:val="cs-CZ"/>
        </w:rPr>
        <w:t>řízení provozu</w:t>
      </w:r>
      <w:r w:rsidR="00DE54A3" w:rsidRPr="008B1755">
        <w:rPr>
          <w:lang w:val="cs-CZ"/>
        </w:rPr>
        <w:t xml:space="preserve">, </w:t>
      </w:r>
      <w:r w:rsidRPr="008B1755">
        <w:rPr>
          <w:lang w:val="cs-CZ"/>
        </w:rPr>
        <w:t>včetně</w:t>
      </w:r>
      <w:r w:rsidR="00573DA1" w:rsidRPr="008B1755">
        <w:rPr>
          <w:lang w:val="cs-CZ"/>
        </w:rPr>
        <w:t>:</w:t>
      </w:r>
    </w:p>
    <w:p w:rsidR="00754303" w:rsidRPr="008B1755" w:rsidRDefault="00454FCD" w:rsidP="0038751B">
      <w:pPr>
        <w:numPr>
          <w:ilvl w:val="1"/>
          <w:numId w:val="21"/>
        </w:numPr>
        <w:contextualSpacing/>
        <w:rPr>
          <w:bCs/>
          <w:lang w:val="cs-CZ"/>
        </w:rPr>
      </w:pPr>
      <w:r w:rsidRPr="008B1755">
        <w:rPr>
          <w:bCs/>
          <w:lang w:val="cs-CZ"/>
        </w:rPr>
        <w:t>popisu a technických detailů o dotčených sítích</w:t>
      </w:r>
      <w:r w:rsidR="00DE54A3" w:rsidRPr="008B1755">
        <w:rPr>
          <w:bCs/>
          <w:lang w:val="cs-CZ"/>
        </w:rPr>
        <w:t xml:space="preserve">, </w:t>
      </w:r>
      <w:r w:rsidRPr="008B1755">
        <w:rPr>
          <w:bCs/>
          <w:lang w:val="cs-CZ"/>
        </w:rPr>
        <w:t>aplikacích nebo službách</w:t>
      </w:r>
      <w:r w:rsidR="0038751B" w:rsidRPr="008B1755">
        <w:rPr>
          <w:bCs/>
          <w:lang w:val="cs-CZ"/>
        </w:rPr>
        <w:t>;</w:t>
      </w:r>
    </w:p>
    <w:p w:rsidR="00754303" w:rsidRPr="008B1755" w:rsidRDefault="00DA4C86" w:rsidP="0038751B">
      <w:pPr>
        <w:numPr>
          <w:ilvl w:val="1"/>
          <w:numId w:val="21"/>
        </w:numPr>
        <w:contextualSpacing/>
        <w:rPr>
          <w:bCs/>
          <w:lang w:val="cs-CZ"/>
        </w:rPr>
      </w:pPr>
      <w:r>
        <w:rPr>
          <w:bCs/>
          <w:lang w:val="cs-CZ"/>
        </w:rPr>
        <w:t xml:space="preserve">informací, </w:t>
      </w:r>
      <w:r w:rsidR="00454FCD" w:rsidRPr="008B1755">
        <w:rPr>
          <w:bCs/>
          <w:lang w:val="cs-CZ"/>
        </w:rPr>
        <w:t xml:space="preserve">jak jsou </w:t>
      </w:r>
      <w:r w:rsidR="000134BE">
        <w:rPr>
          <w:bCs/>
          <w:lang w:val="cs-CZ"/>
        </w:rPr>
        <w:t xml:space="preserve">tyto sítě, aplikace a služby danými opatřeními </w:t>
      </w:r>
      <w:r w:rsidR="00454FCD" w:rsidRPr="008B1755">
        <w:rPr>
          <w:bCs/>
          <w:lang w:val="cs-CZ"/>
        </w:rPr>
        <w:t xml:space="preserve">dotčeny </w:t>
      </w:r>
      <w:r w:rsidR="000134BE">
        <w:rPr>
          <w:bCs/>
          <w:lang w:val="cs-CZ"/>
        </w:rPr>
        <w:t xml:space="preserve">a o způsobu uplatňování </w:t>
      </w:r>
      <w:r w:rsidR="00E960DD" w:rsidRPr="008B1755">
        <w:rPr>
          <w:bCs/>
          <w:lang w:val="cs-CZ"/>
        </w:rPr>
        <w:t xml:space="preserve">daného opatření </w:t>
      </w:r>
      <w:r w:rsidR="00DE54A3" w:rsidRPr="008B1755">
        <w:rPr>
          <w:bCs/>
          <w:lang w:val="cs-CZ"/>
        </w:rPr>
        <w:t>(</w:t>
      </w:r>
      <w:r w:rsidR="00E960DD" w:rsidRPr="008B1755">
        <w:rPr>
          <w:bCs/>
          <w:lang w:val="cs-CZ"/>
        </w:rPr>
        <w:t>např. jestli je opatření uplatňováno pouze v konkrétní denní dobu nebo v konkrétní oblasti</w:t>
      </w:r>
      <w:r w:rsidR="00DE54A3" w:rsidRPr="008B1755">
        <w:rPr>
          <w:bCs/>
          <w:lang w:val="cs-CZ"/>
        </w:rPr>
        <w:t>)</w:t>
      </w:r>
      <w:r w:rsidR="0038751B" w:rsidRPr="008B1755">
        <w:rPr>
          <w:bCs/>
          <w:lang w:val="cs-CZ"/>
        </w:rPr>
        <w:t>;</w:t>
      </w:r>
    </w:p>
    <w:p w:rsidR="00DE54A3" w:rsidRPr="008B1755" w:rsidRDefault="00E960DD" w:rsidP="0038751B">
      <w:pPr>
        <w:numPr>
          <w:ilvl w:val="1"/>
          <w:numId w:val="21"/>
        </w:numPr>
        <w:contextualSpacing/>
        <w:rPr>
          <w:bCs/>
          <w:lang w:val="cs-CZ"/>
        </w:rPr>
      </w:pPr>
      <w:r w:rsidRPr="008B1755">
        <w:rPr>
          <w:bCs/>
          <w:lang w:val="cs-CZ"/>
        </w:rPr>
        <w:t xml:space="preserve">v případě výjimečných opatření </w:t>
      </w:r>
      <w:r w:rsidR="00350081" w:rsidRPr="008B1755">
        <w:rPr>
          <w:bCs/>
          <w:lang w:val="cs-CZ"/>
        </w:rPr>
        <w:t>řízení provozu</w:t>
      </w:r>
      <w:r w:rsidR="00DE54A3" w:rsidRPr="008B1755">
        <w:rPr>
          <w:bCs/>
          <w:lang w:val="cs-CZ"/>
        </w:rPr>
        <w:t xml:space="preserve"> </w:t>
      </w:r>
      <w:r w:rsidRPr="008B1755">
        <w:rPr>
          <w:bCs/>
          <w:lang w:val="cs-CZ"/>
        </w:rPr>
        <w:t xml:space="preserve">jdoucích nad rámec opatření stanovených ve </w:t>
      </w:r>
      <w:r w:rsidR="001D70F8" w:rsidRPr="008B1755">
        <w:rPr>
          <w:bCs/>
          <w:lang w:val="cs-CZ"/>
        </w:rPr>
        <w:t>druh</w:t>
      </w:r>
      <w:r w:rsidRPr="008B1755">
        <w:rPr>
          <w:bCs/>
          <w:lang w:val="cs-CZ"/>
        </w:rPr>
        <w:t>ém</w:t>
      </w:r>
      <w:r w:rsidR="001D70F8" w:rsidRPr="008B1755">
        <w:rPr>
          <w:bCs/>
          <w:lang w:val="cs-CZ"/>
        </w:rPr>
        <w:t xml:space="preserve"> pododstav</w:t>
      </w:r>
      <w:r w:rsidRPr="008B1755">
        <w:rPr>
          <w:bCs/>
          <w:lang w:val="cs-CZ"/>
        </w:rPr>
        <w:t xml:space="preserve">ci </w:t>
      </w:r>
      <w:r w:rsidR="00EA75E4" w:rsidRPr="008B1755">
        <w:rPr>
          <w:bCs/>
          <w:lang w:val="cs-CZ"/>
        </w:rPr>
        <w:t>(</w:t>
      </w:r>
      <w:r w:rsidR="00DD272F" w:rsidRPr="008B1755">
        <w:rPr>
          <w:bCs/>
          <w:lang w:val="cs-CZ"/>
        </w:rPr>
        <w:t xml:space="preserve">článek 3 </w:t>
      </w:r>
      <w:r w:rsidR="00585BD7" w:rsidRPr="008B1755">
        <w:rPr>
          <w:bCs/>
          <w:lang w:val="cs-CZ"/>
        </w:rPr>
        <w:t>odst. 3</w:t>
      </w:r>
      <w:r w:rsidR="004F0CD5" w:rsidRPr="008B1755">
        <w:rPr>
          <w:bCs/>
          <w:lang w:val="cs-CZ"/>
        </w:rPr>
        <w:t>),</w:t>
      </w:r>
      <w:r w:rsidR="00EA75E4" w:rsidRPr="008B1755">
        <w:rPr>
          <w:bCs/>
          <w:lang w:val="cs-CZ"/>
        </w:rPr>
        <w:t xml:space="preserve"> </w:t>
      </w:r>
      <w:r w:rsidRPr="008B1755">
        <w:rPr>
          <w:bCs/>
          <w:lang w:val="cs-CZ"/>
        </w:rPr>
        <w:t>včetně podrobného odůvodnění, proč je opatření uplatňováno, a dobu, po kterou je uplatňováno</w:t>
      </w:r>
      <w:r w:rsidR="0038751B" w:rsidRPr="008B1755">
        <w:rPr>
          <w:bCs/>
          <w:lang w:val="cs-CZ"/>
        </w:rPr>
        <w:t>.</w:t>
      </w:r>
    </w:p>
    <w:p w:rsidR="00EA75E4" w:rsidRPr="008B1755" w:rsidRDefault="00454FCD" w:rsidP="005D7948">
      <w:pPr>
        <w:pStyle w:val="Odstavecseseznamem"/>
        <w:numPr>
          <w:ilvl w:val="0"/>
          <w:numId w:val="18"/>
        </w:numPr>
        <w:spacing w:after="120"/>
        <w:ind w:left="1077" w:hanging="357"/>
        <w:rPr>
          <w:lang w:val="cs-CZ"/>
        </w:rPr>
      </w:pPr>
      <w:r w:rsidRPr="008B1755">
        <w:rPr>
          <w:lang w:val="cs-CZ"/>
        </w:rPr>
        <w:t xml:space="preserve">vyžádání záznamů o použitých </w:t>
      </w:r>
      <w:r w:rsidR="00466D10" w:rsidRPr="008B1755">
        <w:rPr>
          <w:lang w:val="cs-CZ"/>
        </w:rPr>
        <w:t>opatření</w:t>
      </w:r>
      <w:r w:rsidRPr="008B1755">
        <w:rPr>
          <w:lang w:val="cs-CZ"/>
        </w:rPr>
        <w:t xml:space="preserve">ch/postupech </w:t>
      </w:r>
      <w:r w:rsidR="00466D10" w:rsidRPr="008B1755">
        <w:rPr>
          <w:lang w:val="cs-CZ"/>
        </w:rPr>
        <w:t>řízení provozu</w:t>
      </w:r>
      <w:r w:rsidR="005D7948" w:rsidRPr="008B1755">
        <w:rPr>
          <w:lang w:val="cs-CZ"/>
        </w:rPr>
        <w:t>;</w:t>
      </w:r>
    </w:p>
    <w:p w:rsidR="00EA75E4" w:rsidRPr="008B1755" w:rsidRDefault="00E960DD" w:rsidP="005D7948">
      <w:pPr>
        <w:pStyle w:val="Odstavecseseznamem"/>
        <w:numPr>
          <w:ilvl w:val="0"/>
          <w:numId w:val="18"/>
        </w:numPr>
        <w:spacing w:after="120"/>
        <w:ind w:left="1077" w:hanging="357"/>
        <w:rPr>
          <w:lang w:val="cs-CZ"/>
        </w:rPr>
      </w:pPr>
      <w:r w:rsidRPr="008B1755">
        <w:rPr>
          <w:lang w:val="cs-CZ"/>
        </w:rPr>
        <w:t xml:space="preserve">vyžádání </w:t>
      </w:r>
      <w:r w:rsidR="00147DA2">
        <w:rPr>
          <w:lang w:val="cs-CZ"/>
        </w:rPr>
        <w:t xml:space="preserve">relevantních </w:t>
      </w:r>
      <w:r w:rsidRPr="008B1755">
        <w:rPr>
          <w:lang w:val="cs-CZ"/>
        </w:rPr>
        <w:t>informací od poskytovatelů</w:t>
      </w:r>
      <w:r w:rsidR="007D7F64" w:rsidRPr="008B1755">
        <w:rPr>
          <w:lang w:val="cs-CZ"/>
        </w:rPr>
        <w:t xml:space="preserve"> internetových služeb</w:t>
      </w:r>
      <w:r w:rsidR="00A72416" w:rsidRPr="008B1755">
        <w:rPr>
          <w:lang w:val="cs-CZ"/>
        </w:rPr>
        <w:t xml:space="preserve"> </w:t>
      </w:r>
      <w:r w:rsidR="00147DA2">
        <w:rPr>
          <w:lang w:val="cs-CZ"/>
        </w:rPr>
        <w:t xml:space="preserve">pro účely </w:t>
      </w:r>
      <w:r w:rsidR="00E00CA4">
        <w:rPr>
          <w:lang w:val="cs-CZ"/>
        </w:rPr>
        <w:t>šetření</w:t>
      </w:r>
      <w:r w:rsidR="00147DA2">
        <w:rPr>
          <w:lang w:val="cs-CZ"/>
        </w:rPr>
        <w:t xml:space="preserve"> </w:t>
      </w:r>
      <w:r w:rsidR="00147DA2" w:rsidRPr="008B1755">
        <w:rPr>
          <w:lang w:val="cs-CZ"/>
        </w:rPr>
        <w:t xml:space="preserve">obdržených </w:t>
      </w:r>
      <w:r w:rsidRPr="008B1755">
        <w:rPr>
          <w:lang w:val="cs-CZ"/>
        </w:rPr>
        <w:t xml:space="preserve">stížností </w:t>
      </w:r>
      <w:r w:rsidR="00926BAE" w:rsidRPr="008B1755">
        <w:rPr>
          <w:lang w:val="cs-CZ"/>
        </w:rPr>
        <w:t>vnitrostátní</w:t>
      </w:r>
      <w:r w:rsidRPr="008B1755">
        <w:rPr>
          <w:lang w:val="cs-CZ"/>
        </w:rPr>
        <w:t>mi</w:t>
      </w:r>
      <w:r w:rsidR="00926BAE" w:rsidRPr="008B1755">
        <w:rPr>
          <w:lang w:val="cs-CZ"/>
        </w:rPr>
        <w:t xml:space="preserve"> regulační</w:t>
      </w:r>
      <w:r w:rsidRPr="008B1755">
        <w:rPr>
          <w:lang w:val="cs-CZ"/>
        </w:rPr>
        <w:t>mi</w:t>
      </w:r>
      <w:r w:rsidR="00926BAE" w:rsidRPr="008B1755">
        <w:rPr>
          <w:lang w:val="cs-CZ"/>
        </w:rPr>
        <w:t xml:space="preserve"> orgány</w:t>
      </w:r>
      <w:r w:rsidR="005D7948" w:rsidRPr="008B1755">
        <w:rPr>
          <w:lang w:val="cs-CZ"/>
        </w:rPr>
        <w:t>;</w:t>
      </w:r>
    </w:p>
    <w:p w:rsidR="00A32CD2" w:rsidRPr="008B1755" w:rsidRDefault="00E960DD" w:rsidP="005D7948">
      <w:pPr>
        <w:pStyle w:val="Odstavecseseznamem"/>
        <w:numPr>
          <w:ilvl w:val="0"/>
          <w:numId w:val="18"/>
        </w:numPr>
        <w:spacing w:after="120"/>
        <w:ind w:left="1077" w:hanging="357"/>
        <w:rPr>
          <w:lang w:val="cs-CZ"/>
        </w:rPr>
      </w:pPr>
      <w:r w:rsidRPr="008B1755">
        <w:rPr>
          <w:lang w:val="cs-CZ"/>
        </w:rPr>
        <w:t xml:space="preserve">provádění vnitrostátních šetření </w:t>
      </w:r>
      <w:r w:rsidR="00147DA2">
        <w:rPr>
          <w:lang w:val="cs-CZ"/>
        </w:rPr>
        <w:t>po</w:t>
      </w:r>
      <w:r w:rsidR="00D7633A">
        <w:rPr>
          <w:lang w:val="cs-CZ"/>
        </w:rPr>
        <w:t xml:space="preserve">dle </w:t>
      </w:r>
      <w:r w:rsidR="00147DA2">
        <w:rPr>
          <w:lang w:val="cs-CZ"/>
        </w:rPr>
        <w:t xml:space="preserve">dokumentu </w:t>
      </w:r>
      <w:r w:rsidRPr="008B1755">
        <w:rPr>
          <w:lang w:val="cs-CZ"/>
        </w:rPr>
        <w:t xml:space="preserve">sdružení </w:t>
      </w:r>
      <w:r w:rsidR="00A32CD2" w:rsidRPr="008B1755">
        <w:rPr>
          <w:lang w:val="cs-CZ"/>
        </w:rPr>
        <w:t>BEREC</w:t>
      </w:r>
      <w:r w:rsidRPr="008B1755">
        <w:rPr>
          <w:lang w:val="cs-CZ"/>
        </w:rPr>
        <w:t xml:space="preserve"> </w:t>
      </w:r>
      <w:r w:rsidR="00E00CA4">
        <w:rPr>
          <w:lang w:val="cs-CZ"/>
        </w:rPr>
        <w:t>„</w:t>
      </w:r>
      <w:r w:rsidR="00147DA2">
        <w:rPr>
          <w:lang w:val="cs-CZ"/>
        </w:rPr>
        <w:t xml:space="preserve">Traffic Management Investigation“ </w:t>
      </w:r>
      <w:r w:rsidRPr="008B1755">
        <w:rPr>
          <w:lang w:val="cs-CZ"/>
        </w:rPr>
        <w:t xml:space="preserve">z roku </w:t>
      </w:r>
      <w:r w:rsidR="00A32CD2" w:rsidRPr="008B1755">
        <w:rPr>
          <w:lang w:val="cs-CZ"/>
        </w:rPr>
        <w:t>2012</w:t>
      </w:r>
      <w:r w:rsidR="00C315D7" w:rsidRPr="008B1755">
        <w:rPr>
          <w:lang w:val="cs-CZ"/>
        </w:rPr>
        <w:t>;</w:t>
      </w:r>
      <w:r w:rsidR="006F1BE2" w:rsidRPr="008B1755">
        <w:rPr>
          <w:rStyle w:val="Znakapoznpodarou"/>
          <w:lang w:val="cs-CZ"/>
        </w:rPr>
        <w:footnoteReference w:id="40"/>
      </w:r>
    </w:p>
    <w:p w:rsidR="00A32CD2" w:rsidRPr="008B1755" w:rsidRDefault="00E960DD" w:rsidP="005D7948">
      <w:pPr>
        <w:pStyle w:val="Odstavecseseznamem"/>
        <w:numPr>
          <w:ilvl w:val="0"/>
          <w:numId w:val="18"/>
        </w:numPr>
        <w:spacing w:after="120"/>
        <w:ind w:left="1077" w:hanging="357"/>
        <w:rPr>
          <w:lang w:val="cs-CZ"/>
        </w:rPr>
      </w:pPr>
      <w:r w:rsidRPr="008B1755">
        <w:rPr>
          <w:lang w:val="cs-CZ"/>
        </w:rPr>
        <w:t xml:space="preserve">shromažďování informací a stížností obdržených přímo od </w:t>
      </w:r>
      <w:r w:rsidR="00C44AED" w:rsidRPr="008B1755">
        <w:rPr>
          <w:lang w:val="cs-CZ"/>
        </w:rPr>
        <w:t>koncov</w:t>
      </w:r>
      <w:r w:rsidRPr="008B1755">
        <w:rPr>
          <w:lang w:val="cs-CZ"/>
        </w:rPr>
        <w:t>ých</w:t>
      </w:r>
      <w:r w:rsidR="00C44AED" w:rsidRPr="008B1755">
        <w:rPr>
          <w:lang w:val="cs-CZ"/>
        </w:rPr>
        <w:t xml:space="preserve"> uživatel</w:t>
      </w:r>
      <w:r w:rsidRPr="008B1755">
        <w:rPr>
          <w:lang w:val="cs-CZ"/>
        </w:rPr>
        <w:t>ů nebo jiných zdrojů informací, jako jsou například zprávy</w:t>
      </w:r>
      <w:r w:rsidR="00A32CD2" w:rsidRPr="008B1755">
        <w:rPr>
          <w:lang w:val="cs-CZ"/>
        </w:rPr>
        <w:t>, blog</w:t>
      </w:r>
      <w:r w:rsidRPr="008B1755">
        <w:rPr>
          <w:lang w:val="cs-CZ"/>
        </w:rPr>
        <w:t>y</w:t>
      </w:r>
      <w:r w:rsidR="00A32CD2" w:rsidRPr="008B1755">
        <w:rPr>
          <w:lang w:val="cs-CZ"/>
        </w:rPr>
        <w:t>, f</w:t>
      </w:r>
      <w:r w:rsidRPr="008B1755">
        <w:rPr>
          <w:lang w:val="cs-CZ"/>
        </w:rPr>
        <w:t>óra a jiné diskusní skupiny</w:t>
      </w:r>
      <w:r w:rsidR="00573DA1" w:rsidRPr="008B1755">
        <w:rPr>
          <w:lang w:val="cs-CZ"/>
        </w:rPr>
        <w:t>.</w:t>
      </w:r>
    </w:p>
    <w:p w:rsidR="00E872E2" w:rsidRPr="008B1755" w:rsidRDefault="00E960DD" w:rsidP="0038751B">
      <w:pPr>
        <w:numPr>
          <w:ilvl w:val="0"/>
          <w:numId w:val="2"/>
        </w:numPr>
        <w:spacing w:after="120"/>
        <w:rPr>
          <w:rFonts w:eastAsia="Times New Roman" w:cs="Calibri"/>
          <w:szCs w:val="24"/>
          <w:lang w:val="cs-CZ"/>
        </w:rPr>
      </w:pPr>
      <w:r w:rsidRPr="008B1755">
        <w:rPr>
          <w:rFonts w:eastAsia="Times New Roman" w:cs="Calibri"/>
          <w:szCs w:val="24"/>
          <w:lang w:val="cs-CZ"/>
        </w:rPr>
        <w:t xml:space="preserve">Opatření </w:t>
      </w:r>
      <w:r w:rsidR="000955EC" w:rsidRPr="008B1755">
        <w:rPr>
          <w:rFonts w:eastAsia="Times New Roman" w:cs="Calibri"/>
          <w:szCs w:val="24"/>
          <w:lang w:val="cs-CZ"/>
        </w:rPr>
        <w:t>vnitrostátní</w:t>
      </w:r>
      <w:r w:rsidRPr="008B1755">
        <w:rPr>
          <w:rFonts w:eastAsia="Times New Roman" w:cs="Calibri"/>
          <w:szCs w:val="24"/>
          <w:lang w:val="cs-CZ"/>
        </w:rPr>
        <w:t>ch</w:t>
      </w:r>
      <w:r w:rsidR="000955EC" w:rsidRPr="008B1755">
        <w:rPr>
          <w:rFonts w:eastAsia="Times New Roman" w:cs="Calibri"/>
          <w:szCs w:val="24"/>
          <w:lang w:val="cs-CZ"/>
        </w:rPr>
        <w:t xml:space="preserve"> regulační</w:t>
      </w:r>
      <w:r w:rsidRPr="008B1755">
        <w:rPr>
          <w:rFonts w:eastAsia="Times New Roman" w:cs="Calibri"/>
          <w:szCs w:val="24"/>
          <w:lang w:val="cs-CZ"/>
        </w:rPr>
        <w:t>ch</w:t>
      </w:r>
      <w:r w:rsidR="000955EC" w:rsidRPr="008B1755">
        <w:rPr>
          <w:rFonts w:eastAsia="Times New Roman" w:cs="Calibri"/>
          <w:szCs w:val="24"/>
          <w:lang w:val="cs-CZ"/>
        </w:rPr>
        <w:t xml:space="preserve"> orgán</w:t>
      </w:r>
      <w:r w:rsidRPr="008B1755">
        <w:rPr>
          <w:rFonts w:eastAsia="Times New Roman" w:cs="Calibri"/>
          <w:szCs w:val="24"/>
          <w:lang w:val="cs-CZ"/>
        </w:rPr>
        <w:t xml:space="preserve">ů </w:t>
      </w:r>
      <w:r w:rsidR="00147DA2">
        <w:rPr>
          <w:rFonts w:eastAsia="Times New Roman" w:cs="Calibri"/>
          <w:szCs w:val="24"/>
          <w:lang w:val="cs-CZ"/>
        </w:rPr>
        <w:t xml:space="preserve">mohou </w:t>
      </w:r>
      <w:r w:rsidRPr="008B1755">
        <w:rPr>
          <w:rFonts w:eastAsia="Times New Roman" w:cs="Calibri"/>
          <w:szCs w:val="24"/>
          <w:lang w:val="cs-CZ"/>
        </w:rPr>
        <w:t xml:space="preserve">zahrnovat </w:t>
      </w:r>
      <w:r w:rsidR="00D61C28" w:rsidRPr="008B1755">
        <w:rPr>
          <w:rFonts w:eastAsia="Times New Roman" w:cs="Calibri"/>
          <w:szCs w:val="24"/>
          <w:lang w:val="cs-CZ"/>
        </w:rPr>
        <w:t>technic</w:t>
      </w:r>
      <w:r w:rsidRPr="008B1755">
        <w:rPr>
          <w:rFonts w:eastAsia="Times New Roman" w:cs="Calibri"/>
          <w:szCs w:val="24"/>
          <w:lang w:val="cs-CZ"/>
        </w:rPr>
        <w:t xml:space="preserve">ká měření </w:t>
      </w:r>
      <w:r w:rsidR="003132BE" w:rsidRPr="008B1755">
        <w:rPr>
          <w:rFonts w:eastAsia="Times New Roman" w:cs="Calibri"/>
          <w:szCs w:val="24"/>
          <w:lang w:val="cs-CZ"/>
        </w:rPr>
        <w:t>řízení provozu</w:t>
      </w:r>
      <w:r w:rsidR="00D61C28" w:rsidRPr="008B1755">
        <w:rPr>
          <w:rFonts w:eastAsia="Times New Roman" w:cs="Calibri"/>
          <w:szCs w:val="24"/>
          <w:lang w:val="cs-CZ"/>
        </w:rPr>
        <w:t xml:space="preserve">, </w:t>
      </w:r>
      <w:r w:rsidR="00BE001A" w:rsidRPr="008B1755">
        <w:rPr>
          <w:rFonts w:eastAsia="Times New Roman" w:cs="Calibri"/>
          <w:szCs w:val="24"/>
          <w:lang w:val="cs-CZ"/>
        </w:rPr>
        <w:t>např.</w:t>
      </w:r>
      <w:r w:rsidR="00D61C28" w:rsidRPr="008B1755">
        <w:rPr>
          <w:rFonts w:eastAsia="Times New Roman" w:cs="Calibri"/>
          <w:szCs w:val="24"/>
          <w:lang w:val="cs-CZ"/>
        </w:rPr>
        <w:t xml:space="preserve"> </w:t>
      </w:r>
      <w:r w:rsidRPr="008B1755">
        <w:rPr>
          <w:rFonts w:eastAsia="Times New Roman" w:cs="Calibri"/>
          <w:szCs w:val="24"/>
          <w:lang w:val="cs-CZ"/>
        </w:rPr>
        <w:t>za účelem zjištění porušení jako např. blokování nebo zpomalování provozu</w:t>
      </w:r>
      <w:r w:rsidR="00FC0421" w:rsidRPr="008B1755">
        <w:rPr>
          <w:rFonts w:eastAsia="Times New Roman" w:cs="Calibri"/>
          <w:szCs w:val="24"/>
          <w:lang w:val="cs-CZ"/>
        </w:rPr>
        <w:t>. Vnitrostátní</w:t>
      </w:r>
      <w:r w:rsidR="00926BAE" w:rsidRPr="008B1755">
        <w:rPr>
          <w:rFonts w:eastAsia="Times New Roman" w:cs="Calibri"/>
          <w:szCs w:val="24"/>
          <w:lang w:val="cs-CZ"/>
        </w:rPr>
        <w:t xml:space="preserve"> regulační orgány</w:t>
      </w:r>
      <w:r w:rsidR="00757F43" w:rsidRPr="008B1755">
        <w:rPr>
          <w:rFonts w:eastAsia="Times New Roman" w:cs="Calibri"/>
          <w:szCs w:val="24"/>
          <w:lang w:val="cs-CZ"/>
        </w:rPr>
        <w:t xml:space="preserve"> </w:t>
      </w:r>
      <w:r w:rsidR="00670C14" w:rsidRPr="008B1755">
        <w:rPr>
          <w:rFonts w:eastAsia="Times New Roman" w:cs="Calibri"/>
          <w:szCs w:val="24"/>
          <w:lang w:val="cs-CZ"/>
        </w:rPr>
        <w:t>mohou využívat dostupné nástroje</w:t>
      </w:r>
      <w:r w:rsidR="00C315D7" w:rsidRPr="008B1755">
        <w:rPr>
          <w:rFonts w:eastAsia="Times New Roman" w:cs="Calibri"/>
          <w:szCs w:val="24"/>
          <w:lang w:val="cs-CZ"/>
        </w:rPr>
        <w:t>,</w:t>
      </w:r>
      <w:r w:rsidR="00757F43" w:rsidRPr="008B1755">
        <w:rPr>
          <w:rStyle w:val="Znakapoznpodarou"/>
          <w:rFonts w:eastAsia="Times New Roman"/>
          <w:szCs w:val="24"/>
          <w:lang w:val="cs-CZ"/>
        </w:rPr>
        <w:footnoteReference w:id="41"/>
      </w:r>
      <w:r w:rsidR="00757F43" w:rsidRPr="008B1755">
        <w:rPr>
          <w:rFonts w:eastAsia="Times New Roman" w:cs="Calibri"/>
          <w:szCs w:val="24"/>
          <w:lang w:val="cs-CZ"/>
        </w:rPr>
        <w:t xml:space="preserve"> </w:t>
      </w:r>
      <w:r w:rsidR="00670C14" w:rsidRPr="008B1755">
        <w:rPr>
          <w:rFonts w:eastAsia="Times New Roman" w:cs="Calibri"/>
          <w:szCs w:val="24"/>
          <w:lang w:val="cs-CZ"/>
        </w:rPr>
        <w:t xml:space="preserve">ale musí přizpůsobit načasování měření a </w:t>
      </w:r>
      <w:r w:rsidR="00D61C28" w:rsidRPr="008B1755">
        <w:rPr>
          <w:rFonts w:eastAsia="Times New Roman" w:cs="Calibri"/>
          <w:szCs w:val="24"/>
          <w:lang w:val="cs-CZ"/>
        </w:rPr>
        <w:t>technic</w:t>
      </w:r>
      <w:r w:rsidR="00670C14" w:rsidRPr="008B1755">
        <w:rPr>
          <w:rFonts w:eastAsia="Times New Roman" w:cs="Calibri"/>
          <w:szCs w:val="24"/>
          <w:lang w:val="cs-CZ"/>
        </w:rPr>
        <w:t>ká nastavení konkrétním případům měření</w:t>
      </w:r>
      <w:r w:rsidR="00D61C28" w:rsidRPr="008B1755">
        <w:rPr>
          <w:rFonts w:eastAsia="Times New Roman" w:cs="Calibri"/>
          <w:szCs w:val="24"/>
          <w:lang w:val="cs-CZ"/>
        </w:rPr>
        <w:t xml:space="preserve">. </w:t>
      </w:r>
      <w:r w:rsidR="00670C14" w:rsidRPr="008B1755">
        <w:rPr>
          <w:rFonts w:eastAsia="Times New Roman" w:cs="Calibri"/>
          <w:szCs w:val="24"/>
          <w:lang w:val="cs-CZ"/>
        </w:rPr>
        <w:t xml:space="preserve">Výsledky měření musí být </w:t>
      </w:r>
      <w:r w:rsidR="00147DA2">
        <w:rPr>
          <w:rFonts w:eastAsia="Times New Roman" w:cs="Calibri"/>
          <w:szCs w:val="24"/>
          <w:lang w:val="cs-CZ"/>
        </w:rPr>
        <w:t xml:space="preserve">důkladně </w:t>
      </w:r>
      <w:r w:rsidR="00670C14" w:rsidRPr="008B1755">
        <w:rPr>
          <w:rFonts w:eastAsia="Times New Roman" w:cs="Calibri"/>
          <w:szCs w:val="24"/>
          <w:lang w:val="cs-CZ"/>
        </w:rPr>
        <w:t>vyhodnoceny</w:t>
      </w:r>
      <w:r w:rsidR="00D61C28" w:rsidRPr="008B1755">
        <w:rPr>
          <w:rFonts w:eastAsia="Times New Roman" w:cs="Calibri"/>
          <w:szCs w:val="24"/>
          <w:lang w:val="cs-CZ"/>
        </w:rPr>
        <w:t>.</w:t>
      </w:r>
    </w:p>
    <w:p w:rsidR="00D61C28" w:rsidRPr="008B1755" w:rsidRDefault="00670C14" w:rsidP="0038751B">
      <w:pPr>
        <w:numPr>
          <w:ilvl w:val="0"/>
          <w:numId w:val="2"/>
        </w:numPr>
        <w:spacing w:after="120"/>
        <w:rPr>
          <w:rFonts w:eastAsia="Times New Roman" w:cs="Calibri"/>
          <w:szCs w:val="24"/>
          <w:lang w:val="cs-CZ"/>
        </w:rPr>
      </w:pPr>
      <w:r w:rsidRPr="008B1755">
        <w:rPr>
          <w:rFonts w:eastAsia="Times New Roman" w:cs="Calibri"/>
          <w:szCs w:val="24"/>
          <w:lang w:val="cs-CZ"/>
        </w:rPr>
        <w:t xml:space="preserve">Vnitrostátní </w:t>
      </w:r>
      <w:r w:rsidR="00926BAE" w:rsidRPr="008B1755">
        <w:rPr>
          <w:rFonts w:eastAsia="Times New Roman" w:cs="Calibri"/>
          <w:szCs w:val="24"/>
          <w:lang w:val="cs-CZ"/>
        </w:rPr>
        <w:t>regulační orgány</w:t>
      </w:r>
      <w:r w:rsidR="00E872E2" w:rsidRPr="008B1755">
        <w:rPr>
          <w:rFonts w:eastAsia="Times New Roman" w:cs="Calibri"/>
          <w:szCs w:val="24"/>
          <w:lang w:val="cs-CZ"/>
        </w:rPr>
        <w:t xml:space="preserve"> </w:t>
      </w:r>
      <w:r w:rsidRPr="008B1755">
        <w:rPr>
          <w:rFonts w:eastAsia="Times New Roman" w:cs="Calibri"/>
          <w:szCs w:val="24"/>
          <w:lang w:val="cs-CZ"/>
        </w:rPr>
        <w:t xml:space="preserve">by měly vypracovat vhodná pravidla pro zjišťování porušování </w:t>
      </w:r>
      <w:r w:rsidR="001D46DD" w:rsidRPr="008B1755">
        <w:rPr>
          <w:rFonts w:eastAsia="Times New Roman" w:cs="Calibri"/>
          <w:szCs w:val="24"/>
          <w:lang w:val="cs-CZ"/>
        </w:rPr>
        <w:t>Nařízení</w:t>
      </w:r>
      <w:r w:rsidR="00E872E2" w:rsidRPr="008B1755">
        <w:rPr>
          <w:rFonts w:eastAsia="Times New Roman" w:cs="Calibri"/>
          <w:szCs w:val="24"/>
          <w:lang w:val="cs-CZ"/>
        </w:rPr>
        <w:t xml:space="preserve"> a</w:t>
      </w:r>
      <w:r w:rsidRPr="008B1755">
        <w:rPr>
          <w:rFonts w:eastAsia="Times New Roman" w:cs="Calibri"/>
          <w:szCs w:val="24"/>
          <w:lang w:val="cs-CZ"/>
        </w:rPr>
        <w:t xml:space="preserve"> stanovení nezbytných opatření pro zajištění plnění práv a povinností </w:t>
      </w:r>
      <w:r w:rsidR="0012274E">
        <w:rPr>
          <w:rFonts w:eastAsia="Times New Roman" w:cs="Calibri"/>
          <w:szCs w:val="24"/>
          <w:lang w:val="cs-CZ"/>
        </w:rPr>
        <w:t xml:space="preserve">stanovených </w:t>
      </w:r>
      <w:r w:rsidR="0093524D" w:rsidRPr="008B1755">
        <w:rPr>
          <w:rFonts w:eastAsia="Times New Roman" w:cs="Calibri"/>
          <w:szCs w:val="24"/>
          <w:lang w:val="cs-CZ"/>
        </w:rPr>
        <w:t>v Nařízení</w:t>
      </w:r>
      <w:r w:rsidR="00E872E2" w:rsidRPr="008B1755">
        <w:rPr>
          <w:rFonts w:eastAsia="Times New Roman" w:cs="Calibri"/>
          <w:szCs w:val="24"/>
          <w:lang w:val="cs-CZ"/>
        </w:rPr>
        <w:t xml:space="preserve">. </w:t>
      </w:r>
    </w:p>
    <w:p w:rsidR="00D61C28" w:rsidRPr="008B1755" w:rsidRDefault="00067710" w:rsidP="00262769">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 xml:space="preserve">Sledování a posuzování výkonu </w:t>
      </w:r>
      <w:r w:rsidR="007D7F64" w:rsidRPr="008B1755">
        <w:rPr>
          <w:rFonts w:eastAsia="SimSun"/>
          <w:bCs/>
          <w:i/>
          <w:iCs/>
          <w:sz w:val="24"/>
          <w:szCs w:val="24"/>
          <w:u w:val="single"/>
          <w:lang w:val="cs-CZ"/>
        </w:rPr>
        <w:t>služ</w:t>
      </w:r>
      <w:r w:rsidRPr="008B1755">
        <w:rPr>
          <w:rFonts w:eastAsia="SimSun"/>
          <w:bCs/>
          <w:i/>
          <w:iCs/>
          <w:sz w:val="24"/>
          <w:szCs w:val="24"/>
          <w:u w:val="single"/>
          <w:lang w:val="cs-CZ"/>
        </w:rPr>
        <w:t>e</w:t>
      </w:r>
      <w:r w:rsidR="007D7F64" w:rsidRPr="008B1755">
        <w:rPr>
          <w:rFonts w:eastAsia="SimSun"/>
          <w:bCs/>
          <w:i/>
          <w:iCs/>
          <w:sz w:val="24"/>
          <w:szCs w:val="24"/>
          <w:u w:val="single"/>
          <w:lang w:val="cs-CZ"/>
        </w:rPr>
        <w:t>b přístupu k internetu</w:t>
      </w:r>
    </w:p>
    <w:p w:rsidR="00E872E2" w:rsidRPr="008B1755" w:rsidRDefault="00670C14" w:rsidP="0038751B">
      <w:pPr>
        <w:numPr>
          <w:ilvl w:val="0"/>
          <w:numId w:val="2"/>
        </w:numPr>
        <w:contextualSpacing/>
        <w:rPr>
          <w:lang w:val="cs-CZ"/>
        </w:rPr>
      </w:pPr>
      <w:bookmarkStart w:id="72" w:name="_Ref449703264"/>
      <w:r w:rsidRPr="008B1755">
        <w:rPr>
          <w:lang w:val="cs-CZ"/>
        </w:rPr>
        <w:t xml:space="preserve">Posouzení výkonu </w:t>
      </w:r>
      <w:r w:rsidR="00DD272F" w:rsidRPr="008B1755">
        <w:rPr>
          <w:lang w:val="cs-CZ"/>
        </w:rPr>
        <w:t>služb</w:t>
      </w:r>
      <w:r w:rsidRPr="008B1755">
        <w:rPr>
          <w:lang w:val="cs-CZ"/>
        </w:rPr>
        <w:t>y</w:t>
      </w:r>
      <w:r w:rsidR="00DD272F" w:rsidRPr="008B1755">
        <w:rPr>
          <w:lang w:val="cs-CZ"/>
        </w:rPr>
        <w:t xml:space="preserve"> přístupu k internetu</w:t>
      </w:r>
      <w:r w:rsidR="007C704B" w:rsidRPr="008B1755">
        <w:rPr>
          <w:lang w:val="cs-CZ"/>
        </w:rPr>
        <w:t xml:space="preserve"> </w:t>
      </w:r>
      <w:r w:rsidRPr="008B1755">
        <w:rPr>
          <w:lang w:val="cs-CZ"/>
        </w:rPr>
        <w:t>lze provádět na úrovni uživatele nebo na úrovni trhu</w:t>
      </w:r>
      <w:r w:rsidR="00BB206F" w:rsidRPr="008B1755">
        <w:rPr>
          <w:lang w:val="cs-CZ"/>
        </w:rPr>
        <w:t>:</w:t>
      </w:r>
      <w:bookmarkEnd w:id="72"/>
    </w:p>
    <w:p w:rsidR="00E872E2" w:rsidRPr="008B1755" w:rsidRDefault="00186EA0" w:rsidP="005D7948">
      <w:pPr>
        <w:pStyle w:val="Odstavecseseznamem"/>
        <w:numPr>
          <w:ilvl w:val="0"/>
          <w:numId w:val="18"/>
        </w:numPr>
        <w:spacing w:after="120"/>
        <w:ind w:left="1077" w:hanging="357"/>
        <w:rPr>
          <w:lang w:val="cs-CZ"/>
        </w:rPr>
      </w:pPr>
      <w:r w:rsidRPr="008B1755">
        <w:rPr>
          <w:lang w:val="cs-CZ"/>
        </w:rPr>
        <w:t>Posouzení na úrovni uživatele</w:t>
      </w:r>
      <w:r w:rsidR="00E872E2" w:rsidRPr="008B1755">
        <w:rPr>
          <w:lang w:val="cs-CZ"/>
        </w:rPr>
        <w:t xml:space="preserve">: </w:t>
      </w:r>
      <w:r w:rsidRPr="008B1755">
        <w:rPr>
          <w:lang w:val="cs-CZ"/>
        </w:rPr>
        <w:t xml:space="preserve">měření výkonu nabídek služby přístupu k internetu u </w:t>
      </w:r>
      <w:r w:rsidR="00DD272F" w:rsidRPr="008B1755">
        <w:rPr>
          <w:lang w:val="cs-CZ"/>
        </w:rPr>
        <w:t>koncov</w:t>
      </w:r>
      <w:r w:rsidRPr="008B1755">
        <w:rPr>
          <w:lang w:val="cs-CZ"/>
        </w:rPr>
        <w:t>ého</w:t>
      </w:r>
      <w:r w:rsidR="00DD272F" w:rsidRPr="008B1755">
        <w:rPr>
          <w:lang w:val="cs-CZ"/>
        </w:rPr>
        <w:t xml:space="preserve"> uživatel</w:t>
      </w:r>
      <w:r w:rsidRPr="008B1755">
        <w:rPr>
          <w:lang w:val="cs-CZ"/>
        </w:rPr>
        <w:t>e</w:t>
      </w:r>
      <w:r w:rsidR="00DD272F" w:rsidRPr="008B1755">
        <w:rPr>
          <w:lang w:val="cs-CZ"/>
        </w:rPr>
        <w:t xml:space="preserve"> </w:t>
      </w:r>
      <w:r w:rsidRPr="008B1755">
        <w:rPr>
          <w:lang w:val="cs-CZ"/>
        </w:rPr>
        <w:t xml:space="preserve">lze provést za účelem kontroly, zda </w:t>
      </w:r>
      <w:r w:rsidR="00DD272F" w:rsidRPr="008B1755">
        <w:rPr>
          <w:lang w:val="cs-CZ"/>
        </w:rPr>
        <w:t>poskytovatel internetových služeb</w:t>
      </w:r>
      <w:r w:rsidR="00BB206F" w:rsidRPr="008B1755">
        <w:rPr>
          <w:lang w:val="cs-CZ"/>
        </w:rPr>
        <w:t xml:space="preserve"> </w:t>
      </w:r>
      <w:r w:rsidRPr="008B1755">
        <w:rPr>
          <w:lang w:val="cs-CZ"/>
        </w:rPr>
        <w:t>plní smlouvu</w:t>
      </w:r>
      <w:r w:rsidR="00BB206F" w:rsidRPr="008B1755">
        <w:rPr>
          <w:lang w:val="cs-CZ"/>
        </w:rPr>
        <w:t xml:space="preserve">.  </w:t>
      </w:r>
      <w:r w:rsidRPr="008B1755">
        <w:rPr>
          <w:lang w:val="cs-CZ"/>
        </w:rPr>
        <w:t xml:space="preserve">Výsledky měření jsou porovnány s nasmlouvaným výkonem nabídky </w:t>
      </w:r>
      <w:r w:rsidR="00747C71" w:rsidRPr="008B1755">
        <w:rPr>
          <w:lang w:val="cs-CZ"/>
        </w:rPr>
        <w:t>služby</w:t>
      </w:r>
      <w:r w:rsidR="00DD272F" w:rsidRPr="008B1755">
        <w:rPr>
          <w:lang w:val="cs-CZ"/>
        </w:rPr>
        <w:t xml:space="preserve"> přístupu k internetu</w:t>
      </w:r>
      <w:r w:rsidR="00573DA1" w:rsidRPr="008B1755">
        <w:rPr>
          <w:lang w:val="cs-CZ"/>
        </w:rPr>
        <w:t>.</w:t>
      </w:r>
    </w:p>
    <w:p w:rsidR="00BB206F" w:rsidRPr="008B1755" w:rsidRDefault="00186EA0" w:rsidP="005D7948">
      <w:pPr>
        <w:pStyle w:val="Odstavecseseznamem"/>
        <w:numPr>
          <w:ilvl w:val="0"/>
          <w:numId w:val="18"/>
        </w:numPr>
        <w:spacing w:after="120"/>
        <w:ind w:left="1077" w:hanging="357"/>
        <w:rPr>
          <w:lang w:val="cs-CZ"/>
        </w:rPr>
      </w:pPr>
      <w:r w:rsidRPr="008B1755">
        <w:rPr>
          <w:lang w:val="cs-CZ"/>
        </w:rPr>
        <w:t>Posouzení na úrovni trhu</w:t>
      </w:r>
      <w:r w:rsidR="00BB206F" w:rsidRPr="008B1755">
        <w:rPr>
          <w:lang w:val="cs-CZ"/>
        </w:rPr>
        <w:t xml:space="preserve">: </w:t>
      </w:r>
      <w:r w:rsidRPr="008B1755">
        <w:rPr>
          <w:lang w:val="cs-CZ"/>
        </w:rPr>
        <w:t xml:space="preserve">výsledky měření na úrovni uživatele jsou shrnuta do úhrnných hodnot pro různé kategorie, jako jsou nabídky </w:t>
      </w:r>
      <w:r w:rsidR="00DD272F" w:rsidRPr="008B1755">
        <w:rPr>
          <w:lang w:val="cs-CZ"/>
        </w:rPr>
        <w:t>služ</w:t>
      </w:r>
      <w:r w:rsidRPr="008B1755">
        <w:rPr>
          <w:lang w:val="cs-CZ"/>
        </w:rPr>
        <w:t>eb</w:t>
      </w:r>
      <w:r w:rsidR="00DD272F" w:rsidRPr="008B1755">
        <w:rPr>
          <w:lang w:val="cs-CZ"/>
        </w:rPr>
        <w:t xml:space="preserve"> přístupu k internetu</w:t>
      </w:r>
      <w:r w:rsidR="00BB206F" w:rsidRPr="008B1755">
        <w:rPr>
          <w:lang w:val="cs-CZ"/>
        </w:rPr>
        <w:t xml:space="preserve">, </w:t>
      </w:r>
      <w:r w:rsidR="007D7F64" w:rsidRPr="008B1755">
        <w:rPr>
          <w:lang w:val="cs-CZ"/>
        </w:rPr>
        <w:t>poskytovatelé internetových služeb</w:t>
      </w:r>
      <w:r w:rsidR="00BB206F" w:rsidRPr="008B1755">
        <w:rPr>
          <w:lang w:val="cs-CZ"/>
        </w:rPr>
        <w:t xml:space="preserve">, </w:t>
      </w:r>
      <w:r w:rsidRPr="008B1755">
        <w:rPr>
          <w:lang w:val="cs-CZ"/>
        </w:rPr>
        <w:t xml:space="preserve">přístupové </w:t>
      </w:r>
      <w:r w:rsidR="00BB206F" w:rsidRPr="008B1755">
        <w:rPr>
          <w:lang w:val="cs-CZ"/>
        </w:rPr>
        <w:t xml:space="preserve">technologie (DSL, </w:t>
      </w:r>
      <w:r w:rsidRPr="008B1755">
        <w:rPr>
          <w:lang w:val="cs-CZ"/>
        </w:rPr>
        <w:t>kabel</w:t>
      </w:r>
      <w:r w:rsidR="00BB206F" w:rsidRPr="008B1755">
        <w:rPr>
          <w:lang w:val="cs-CZ"/>
        </w:rPr>
        <w:t xml:space="preserve">, </w:t>
      </w:r>
      <w:r w:rsidR="007C3D78" w:rsidRPr="008B1755">
        <w:rPr>
          <w:lang w:val="cs-CZ"/>
        </w:rPr>
        <w:t xml:space="preserve">optické vlákno </w:t>
      </w:r>
      <w:r w:rsidRPr="008B1755">
        <w:rPr>
          <w:lang w:val="cs-CZ"/>
        </w:rPr>
        <w:t>atd</w:t>
      </w:r>
      <w:r w:rsidR="00BB206F" w:rsidRPr="008B1755">
        <w:rPr>
          <w:lang w:val="cs-CZ"/>
        </w:rPr>
        <w:t xml:space="preserve">.), </w:t>
      </w:r>
      <w:r w:rsidRPr="008B1755">
        <w:rPr>
          <w:lang w:val="cs-CZ"/>
        </w:rPr>
        <w:t>zeměpisná oblast atd</w:t>
      </w:r>
      <w:r w:rsidR="00BB206F" w:rsidRPr="008B1755">
        <w:rPr>
          <w:lang w:val="cs-CZ"/>
        </w:rPr>
        <w:t xml:space="preserve">. </w:t>
      </w:r>
      <w:r w:rsidR="00561D91">
        <w:rPr>
          <w:lang w:val="cs-CZ"/>
        </w:rPr>
        <w:t>A</w:t>
      </w:r>
      <w:r w:rsidRPr="008B1755">
        <w:rPr>
          <w:lang w:val="cs-CZ"/>
        </w:rPr>
        <w:t>gregované výsledky měření lze použít pro posouzení úrovn</w:t>
      </w:r>
      <w:r w:rsidR="00A20888">
        <w:rPr>
          <w:lang w:val="cs-CZ"/>
        </w:rPr>
        <w:t>ě</w:t>
      </w:r>
      <w:r w:rsidRPr="008B1755">
        <w:rPr>
          <w:lang w:val="cs-CZ"/>
        </w:rPr>
        <w:t xml:space="preserve"> trhu</w:t>
      </w:r>
      <w:r w:rsidR="00BB206F" w:rsidRPr="008B1755">
        <w:rPr>
          <w:lang w:val="cs-CZ"/>
        </w:rPr>
        <w:t>.</w:t>
      </w:r>
    </w:p>
    <w:p w:rsidR="00BB206F" w:rsidRPr="008B1755" w:rsidRDefault="00E960DD" w:rsidP="0038751B">
      <w:pPr>
        <w:numPr>
          <w:ilvl w:val="0"/>
          <w:numId w:val="2"/>
        </w:numPr>
        <w:contextualSpacing/>
        <w:rPr>
          <w:lang w:val="cs-CZ"/>
        </w:rPr>
      </w:pPr>
      <w:bookmarkStart w:id="73" w:name="_Ref447616542"/>
      <w:r w:rsidRPr="008B1755">
        <w:rPr>
          <w:lang w:val="cs-CZ"/>
        </w:rPr>
        <w:t xml:space="preserve">Vnitrostátní </w:t>
      </w:r>
      <w:r w:rsidR="00926BAE" w:rsidRPr="008B1755">
        <w:rPr>
          <w:lang w:val="cs-CZ"/>
        </w:rPr>
        <w:t>regulační orgány</w:t>
      </w:r>
      <w:r w:rsidR="00D61C28" w:rsidRPr="008B1755">
        <w:rPr>
          <w:lang w:val="cs-CZ"/>
        </w:rPr>
        <w:t xml:space="preserve"> </w:t>
      </w:r>
      <w:r w:rsidRPr="008B1755">
        <w:rPr>
          <w:lang w:val="cs-CZ"/>
        </w:rPr>
        <w:t xml:space="preserve">mohou používat posouzení </w:t>
      </w:r>
      <w:r w:rsidR="006649E2">
        <w:rPr>
          <w:lang w:val="cs-CZ"/>
        </w:rPr>
        <w:t xml:space="preserve">na </w:t>
      </w:r>
      <w:r w:rsidRPr="008B1755">
        <w:rPr>
          <w:lang w:val="cs-CZ"/>
        </w:rPr>
        <w:t>úrovn</w:t>
      </w:r>
      <w:r w:rsidR="006649E2">
        <w:rPr>
          <w:lang w:val="cs-CZ"/>
        </w:rPr>
        <w:t>i</w:t>
      </w:r>
      <w:r w:rsidRPr="008B1755">
        <w:rPr>
          <w:lang w:val="cs-CZ"/>
        </w:rPr>
        <w:t xml:space="preserve"> trhu k regulačnímu dohledu</w:t>
      </w:r>
      <w:r w:rsidR="006649E2">
        <w:rPr>
          <w:lang w:val="cs-CZ"/>
        </w:rPr>
        <w:t xml:space="preserve">, který </w:t>
      </w:r>
      <w:r w:rsidRPr="008B1755">
        <w:rPr>
          <w:lang w:val="cs-CZ"/>
        </w:rPr>
        <w:t xml:space="preserve"> předpoklád</w:t>
      </w:r>
      <w:r w:rsidR="006649E2">
        <w:rPr>
          <w:lang w:val="cs-CZ"/>
        </w:rPr>
        <w:t>á</w:t>
      </w:r>
      <w:r w:rsidRPr="008B1755">
        <w:rPr>
          <w:lang w:val="cs-CZ"/>
        </w:rPr>
        <w:t xml:space="preserve"> čl. </w:t>
      </w:r>
      <w:r w:rsidR="00B639EF" w:rsidRPr="008B1755">
        <w:rPr>
          <w:lang w:val="cs-CZ"/>
        </w:rPr>
        <w:t>5 odst. 1</w:t>
      </w:r>
      <w:r w:rsidR="006649E2">
        <w:rPr>
          <w:lang w:val="cs-CZ"/>
        </w:rPr>
        <w:t>,</w:t>
      </w:r>
      <w:r w:rsidR="00D61C28" w:rsidRPr="008B1755">
        <w:rPr>
          <w:lang w:val="cs-CZ"/>
        </w:rPr>
        <w:t xml:space="preserve"> </w:t>
      </w:r>
      <w:bookmarkEnd w:id="73"/>
      <w:r w:rsidRPr="008B1755">
        <w:rPr>
          <w:lang w:val="cs-CZ"/>
        </w:rPr>
        <w:t>za účelem</w:t>
      </w:r>
      <w:r w:rsidR="00573DA1" w:rsidRPr="008B1755">
        <w:rPr>
          <w:lang w:val="cs-CZ"/>
        </w:rPr>
        <w:t>:</w:t>
      </w:r>
    </w:p>
    <w:p w:rsidR="00BB206F" w:rsidRPr="008B1755" w:rsidRDefault="00186EA0" w:rsidP="005D7948">
      <w:pPr>
        <w:pStyle w:val="Odstavecseseznamem"/>
        <w:numPr>
          <w:ilvl w:val="0"/>
          <w:numId w:val="18"/>
        </w:numPr>
        <w:spacing w:after="120"/>
        <w:ind w:left="1077" w:hanging="357"/>
        <w:rPr>
          <w:lang w:val="cs-CZ"/>
        </w:rPr>
      </w:pPr>
      <w:r w:rsidRPr="008B1755">
        <w:rPr>
          <w:lang w:val="cs-CZ"/>
        </w:rPr>
        <w:t xml:space="preserve">prověření, zda jsou zveřejněné informace v souladu s výsledky sledování </w:t>
      </w:r>
      <w:r w:rsidR="00BB206F" w:rsidRPr="008B1755">
        <w:rPr>
          <w:lang w:val="cs-CZ"/>
        </w:rPr>
        <w:t>(</w:t>
      </w:r>
      <w:r w:rsidR="002E5214" w:rsidRPr="008B1755">
        <w:rPr>
          <w:lang w:val="cs-CZ"/>
        </w:rPr>
        <w:t xml:space="preserve">viz </w:t>
      </w:r>
      <w:r w:rsidR="00D2652F">
        <w:rPr>
          <w:lang w:val="cs-CZ"/>
        </w:rPr>
        <w:t>bod</w:t>
      </w:r>
      <w:r w:rsidR="001B1FF8" w:rsidRPr="008B1755">
        <w:rPr>
          <w:lang w:val="cs-CZ"/>
        </w:rPr>
        <w:t xml:space="preserve"> </w:t>
      </w:r>
      <w:r w:rsidR="00CA269E" w:rsidRPr="008B1755">
        <w:rPr>
          <w:lang w:val="cs-CZ"/>
        </w:rPr>
        <w:fldChar w:fldCharType="begin"/>
      </w:r>
      <w:r w:rsidR="001B1FF8" w:rsidRPr="008B1755">
        <w:rPr>
          <w:lang w:val="cs-CZ"/>
        </w:rPr>
        <w:instrText xml:space="preserve"> REF _Ref447616564 \r \h </w:instrText>
      </w:r>
      <w:r w:rsidR="00CA269E" w:rsidRPr="008B1755">
        <w:rPr>
          <w:lang w:val="cs-CZ"/>
        </w:rPr>
      </w:r>
      <w:r w:rsidR="00CA269E" w:rsidRPr="008B1755">
        <w:rPr>
          <w:lang w:val="cs-CZ"/>
        </w:rPr>
        <w:fldChar w:fldCharType="separate"/>
      </w:r>
      <w:r w:rsidR="003B403B" w:rsidRPr="008B1755">
        <w:rPr>
          <w:lang w:val="cs-CZ"/>
        </w:rPr>
        <w:t>177</w:t>
      </w:r>
      <w:r w:rsidR="00CA269E" w:rsidRPr="008B1755">
        <w:rPr>
          <w:lang w:val="cs-CZ"/>
        </w:rPr>
        <w:fldChar w:fldCharType="end"/>
      </w:r>
      <w:r w:rsidR="00BB206F" w:rsidRPr="008B1755">
        <w:rPr>
          <w:lang w:val="cs-CZ"/>
        </w:rPr>
        <w:t>)</w:t>
      </w:r>
      <w:r w:rsidR="00573DA1" w:rsidRPr="008B1755">
        <w:rPr>
          <w:lang w:val="cs-CZ"/>
        </w:rPr>
        <w:t>;</w:t>
      </w:r>
    </w:p>
    <w:p w:rsidR="00BB206F" w:rsidRPr="008B1755" w:rsidRDefault="00186EA0" w:rsidP="005D7948">
      <w:pPr>
        <w:pStyle w:val="Odstavecseseznamem"/>
        <w:numPr>
          <w:ilvl w:val="0"/>
          <w:numId w:val="18"/>
        </w:numPr>
        <w:spacing w:after="120"/>
        <w:ind w:left="1077" w:hanging="357"/>
        <w:rPr>
          <w:lang w:val="cs-CZ"/>
        </w:rPr>
      </w:pPr>
      <w:r w:rsidRPr="008B1755">
        <w:rPr>
          <w:lang w:val="cs-CZ"/>
        </w:rPr>
        <w:t xml:space="preserve">ověření, zda </w:t>
      </w:r>
      <w:r w:rsidR="00244C91" w:rsidRPr="008B1755">
        <w:rPr>
          <w:lang w:val="cs-CZ"/>
        </w:rPr>
        <w:t>specializované služby</w:t>
      </w:r>
      <w:r w:rsidR="00BB206F" w:rsidRPr="008B1755">
        <w:rPr>
          <w:lang w:val="cs-CZ"/>
        </w:rPr>
        <w:t xml:space="preserve"> </w:t>
      </w:r>
      <w:r w:rsidRPr="008B1755">
        <w:rPr>
          <w:lang w:val="cs-CZ"/>
        </w:rPr>
        <w:t xml:space="preserve">nejsou poskytovány na </w:t>
      </w:r>
      <w:r w:rsidR="00A20888">
        <w:rPr>
          <w:lang w:val="cs-CZ"/>
        </w:rPr>
        <w:t xml:space="preserve">úkor </w:t>
      </w:r>
      <w:r w:rsidR="007D7F64" w:rsidRPr="008B1755">
        <w:rPr>
          <w:lang w:val="cs-CZ"/>
        </w:rPr>
        <w:t>služby přístupu k internetu</w:t>
      </w:r>
      <w:r w:rsidR="00573DA1" w:rsidRPr="008B1755">
        <w:rPr>
          <w:lang w:val="cs-CZ"/>
        </w:rPr>
        <w:t>;</w:t>
      </w:r>
    </w:p>
    <w:p w:rsidR="00BB206F" w:rsidRPr="008B1755" w:rsidRDefault="00186EA0" w:rsidP="005D7948">
      <w:pPr>
        <w:pStyle w:val="Odstavecseseznamem"/>
        <w:numPr>
          <w:ilvl w:val="0"/>
          <w:numId w:val="18"/>
        </w:numPr>
        <w:spacing w:after="120"/>
        <w:ind w:left="1077" w:hanging="357"/>
        <w:rPr>
          <w:lang w:val="cs-CZ"/>
        </w:rPr>
      </w:pPr>
      <w:r w:rsidRPr="008B1755">
        <w:rPr>
          <w:lang w:val="cs-CZ"/>
        </w:rPr>
        <w:t xml:space="preserve">ověření, zda se výkon </w:t>
      </w:r>
      <w:r w:rsidR="007D7F64" w:rsidRPr="008B1755">
        <w:rPr>
          <w:lang w:val="cs-CZ"/>
        </w:rPr>
        <w:t>služby přístupu k internetu</w:t>
      </w:r>
      <w:r w:rsidR="00BB206F" w:rsidRPr="008B1755">
        <w:rPr>
          <w:lang w:val="cs-CZ"/>
        </w:rPr>
        <w:t xml:space="preserve"> </w:t>
      </w:r>
      <w:r w:rsidRPr="008B1755">
        <w:rPr>
          <w:lang w:val="cs-CZ"/>
        </w:rPr>
        <w:t xml:space="preserve">v čase dostatečně vyvíjí a zohledňuje </w:t>
      </w:r>
      <w:r w:rsidR="00BB206F" w:rsidRPr="008B1755">
        <w:rPr>
          <w:lang w:val="cs-CZ"/>
        </w:rPr>
        <w:t>technolog</w:t>
      </w:r>
      <w:r w:rsidRPr="008B1755">
        <w:rPr>
          <w:lang w:val="cs-CZ"/>
        </w:rPr>
        <w:t>ický pokrok</w:t>
      </w:r>
      <w:r w:rsidR="00573DA1" w:rsidRPr="008B1755">
        <w:rPr>
          <w:lang w:val="cs-CZ"/>
        </w:rPr>
        <w:t>.</w:t>
      </w:r>
    </w:p>
    <w:p w:rsidR="00126F4B" w:rsidRPr="008B1755" w:rsidRDefault="00186EA0" w:rsidP="0038751B">
      <w:pPr>
        <w:numPr>
          <w:ilvl w:val="0"/>
          <w:numId w:val="2"/>
        </w:numPr>
        <w:contextualSpacing/>
        <w:rPr>
          <w:lang w:val="cs-CZ"/>
        </w:rPr>
      </w:pPr>
      <w:bookmarkStart w:id="74" w:name="_Ref449703274"/>
      <w:r w:rsidRPr="008B1755">
        <w:rPr>
          <w:lang w:val="cs-CZ"/>
        </w:rPr>
        <w:t>Data z posouzení na úrovni trhu lze rovněž použít pro</w:t>
      </w:r>
      <w:r w:rsidR="00573DA1" w:rsidRPr="008B1755">
        <w:rPr>
          <w:lang w:val="cs-CZ"/>
        </w:rPr>
        <w:t>:</w:t>
      </w:r>
      <w:bookmarkEnd w:id="74"/>
    </w:p>
    <w:p w:rsidR="00EE729C" w:rsidRPr="008B1755" w:rsidRDefault="007C3D78" w:rsidP="005D7948">
      <w:pPr>
        <w:pStyle w:val="Odstavecseseznamem"/>
        <w:numPr>
          <w:ilvl w:val="0"/>
          <w:numId w:val="18"/>
        </w:numPr>
        <w:spacing w:after="120"/>
        <w:ind w:left="1077" w:hanging="357"/>
        <w:rPr>
          <w:lang w:val="cs-CZ"/>
        </w:rPr>
      </w:pPr>
      <w:r w:rsidRPr="008B1755">
        <w:rPr>
          <w:lang w:val="cs-CZ"/>
        </w:rPr>
        <w:t xml:space="preserve">potřeby </w:t>
      </w:r>
      <w:r w:rsidR="00126F4B" w:rsidRPr="008B1755">
        <w:rPr>
          <w:lang w:val="cs-CZ"/>
        </w:rPr>
        <w:t>transparen</w:t>
      </w:r>
      <w:r w:rsidRPr="008B1755">
        <w:rPr>
          <w:lang w:val="cs-CZ"/>
        </w:rPr>
        <w:t>tnosti</w:t>
      </w:r>
      <w:r w:rsidR="007E0001" w:rsidRPr="008B1755">
        <w:rPr>
          <w:lang w:val="cs-CZ"/>
        </w:rPr>
        <w:t>,</w:t>
      </w:r>
      <w:r w:rsidR="00126F4B" w:rsidRPr="008B1755">
        <w:rPr>
          <w:lang w:val="cs-CZ"/>
        </w:rPr>
        <w:t xml:space="preserve"> </w:t>
      </w:r>
      <w:r w:rsidRPr="008B1755">
        <w:rPr>
          <w:lang w:val="cs-CZ"/>
        </w:rPr>
        <w:t xml:space="preserve">zveřejňováním statistických údajů a rovněž interaktivních map zobrazujících pokrytí mobilních sítí nebo průměrný výkon v určité </w:t>
      </w:r>
      <w:r w:rsidR="006649E2">
        <w:rPr>
          <w:lang w:val="cs-CZ"/>
        </w:rPr>
        <w:t xml:space="preserve">zeměpisné </w:t>
      </w:r>
      <w:r w:rsidRPr="008B1755">
        <w:rPr>
          <w:lang w:val="cs-CZ"/>
        </w:rPr>
        <w:t>oblasti u pevných sítí</w:t>
      </w:r>
      <w:r w:rsidR="00573DA1" w:rsidRPr="008B1755">
        <w:rPr>
          <w:lang w:val="cs-CZ"/>
        </w:rPr>
        <w:t>;</w:t>
      </w:r>
    </w:p>
    <w:p w:rsidR="00EE729C" w:rsidRPr="008B1755" w:rsidRDefault="007C3D78" w:rsidP="005D7948">
      <w:pPr>
        <w:pStyle w:val="Odstavecseseznamem"/>
        <w:numPr>
          <w:ilvl w:val="0"/>
          <w:numId w:val="18"/>
        </w:numPr>
        <w:spacing w:after="120"/>
        <w:ind w:left="1077" w:hanging="357"/>
        <w:rPr>
          <w:lang w:val="cs-CZ"/>
        </w:rPr>
      </w:pPr>
      <w:r w:rsidRPr="008B1755">
        <w:rPr>
          <w:lang w:val="cs-CZ"/>
        </w:rPr>
        <w:t xml:space="preserve">zvážení dostupnosti různých nabídek </w:t>
      </w:r>
      <w:r w:rsidR="00DD272F" w:rsidRPr="008B1755">
        <w:rPr>
          <w:lang w:val="cs-CZ"/>
        </w:rPr>
        <w:t>služb</w:t>
      </w:r>
      <w:r w:rsidRPr="008B1755">
        <w:rPr>
          <w:lang w:val="cs-CZ"/>
        </w:rPr>
        <w:t>y</w:t>
      </w:r>
      <w:r w:rsidR="00DD272F" w:rsidRPr="008B1755">
        <w:rPr>
          <w:lang w:val="cs-CZ"/>
        </w:rPr>
        <w:t xml:space="preserve"> přístupu k internetu</w:t>
      </w:r>
      <w:r w:rsidR="00EE729C" w:rsidRPr="008B1755">
        <w:rPr>
          <w:lang w:val="cs-CZ"/>
        </w:rPr>
        <w:t xml:space="preserve"> </w:t>
      </w:r>
      <w:r w:rsidRPr="008B1755">
        <w:rPr>
          <w:lang w:val="cs-CZ"/>
        </w:rPr>
        <w:t xml:space="preserve">nebo </w:t>
      </w:r>
      <w:r w:rsidR="006649E2">
        <w:rPr>
          <w:lang w:val="cs-CZ"/>
        </w:rPr>
        <w:t xml:space="preserve">rozsahů </w:t>
      </w:r>
      <w:r w:rsidRPr="008B1755">
        <w:rPr>
          <w:lang w:val="cs-CZ"/>
        </w:rPr>
        <w:t xml:space="preserve">nabídek </w:t>
      </w:r>
      <w:r w:rsidR="00080F70" w:rsidRPr="008B1755">
        <w:rPr>
          <w:lang w:val="cs-CZ"/>
        </w:rPr>
        <w:t>poskytovateli</w:t>
      </w:r>
      <w:r w:rsidR="007D7F64" w:rsidRPr="008B1755">
        <w:rPr>
          <w:lang w:val="cs-CZ"/>
        </w:rPr>
        <w:t xml:space="preserve"> internetových služeb</w:t>
      </w:r>
      <w:r w:rsidRPr="008B1755">
        <w:rPr>
          <w:lang w:val="cs-CZ"/>
        </w:rPr>
        <w:t xml:space="preserve"> a rovněž jejich rozšíření mezi </w:t>
      </w:r>
      <w:r w:rsidR="00C44AED" w:rsidRPr="008B1755">
        <w:rPr>
          <w:lang w:val="cs-CZ"/>
        </w:rPr>
        <w:t>koncov</w:t>
      </w:r>
      <w:r w:rsidRPr="008B1755">
        <w:rPr>
          <w:lang w:val="cs-CZ"/>
        </w:rPr>
        <w:t>ými</w:t>
      </w:r>
      <w:r w:rsidR="00C44AED" w:rsidRPr="008B1755">
        <w:rPr>
          <w:lang w:val="cs-CZ"/>
        </w:rPr>
        <w:t xml:space="preserve"> uživatel</w:t>
      </w:r>
      <w:r w:rsidRPr="008B1755">
        <w:rPr>
          <w:lang w:val="cs-CZ"/>
        </w:rPr>
        <w:t>i</w:t>
      </w:r>
      <w:r w:rsidR="00573DA1" w:rsidRPr="008B1755">
        <w:rPr>
          <w:lang w:val="cs-CZ"/>
        </w:rPr>
        <w:t>;</w:t>
      </w:r>
    </w:p>
    <w:p w:rsidR="00EE729C" w:rsidRPr="008B1755" w:rsidRDefault="007C3D78" w:rsidP="005D7948">
      <w:pPr>
        <w:pStyle w:val="Odstavecseseznamem"/>
        <w:numPr>
          <w:ilvl w:val="0"/>
          <w:numId w:val="18"/>
        </w:numPr>
        <w:spacing w:after="120"/>
        <w:ind w:left="1077" w:hanging="357"/>
        <w:rPr>
          <w:lang w:val="cs-CZ"/>
        </w:rPr>
      </w:pPr>
      <w:r w:rsidRPr="008B1755">
        <w:rPr>
          <w:lang w:val="cs-CZ"/>
        </w:rPr>
        <w:t xml:space="preserve">posouzení kvality u konkrétního typu </w:t>
      </w:r>
      <w:r w:rsidR="007D7F64" w:rsidRPr="008B1755">
        <w:rPr>
          <w:lang w:val="cs-CZ"/>
        </w:rPr>
        <w:t>služby přístupu k internetu</w:t>
      </w:r>
      <w:r w:rsidR="00EE729C" w:rsidRPr="008B1755">
        <w:rPr>
          <w:lang w:val="cs-CZ"/>
        </w:rPr>
        <w:t xml:space="preserve">, </w:t>
      </w:r>
      <w:r w:rsidR="00BE001A" w:rsidRPr="008B1755">
        <w:rPr>
          <w:lang w:val="cs-CZ"/>
        </w:rPr>
        <w:t>např.</w:t>
      </w:r>
      <w:r w:rsidR="00EE729C" w:rsidRPr="008B1755">
        <w:rPr>
          <w:lang w:val="cs-CZ"/>
        </w:rPr>
        <w:t xml:space="preserve"> </w:t>
      </w:r>
      <w:r w:rsidR="006649E2">
        <w:rPr>
          <w:lang w:val="cs-CZ"/>
        </w:rPr>
        <w:t xml:space="preserve">podle </w:t>
      </w:r>
      <w:r w:rsidRPr="008B1755">
        <w:rPr>
          <w:lang w:val="cs-CZ"/>
        </w:rPr>
        <w:t xml:space="preserve">přístupové </w:t>
      </w:r>
      <w:r w:rsidR="00EE729C" w:rsidRPr="008B1755">
        <w:rPr>
          <w:lang w:val="cs-CZ"/>
        </w:rPr>
        <w:t>technolog</w:t>
      </w:r>
      <w:r w:rsidRPr="008B1755">
        <w:rPr>
          <w:lang w:val="cs-CZ"/>
        </w:rPr>
        <w:t>ie</w:t>
      </w:r>
      <w:r w:rsidR="00EE729C" w:rsidRPr="008B1755">
        <w:rPr>
          <w:lang w:val="cs-CZ"/>
        </w:rPr>
        <w:t xml:space="preserve"> (</w:t>
      </w:r>
      <w:r w:rsidRPr="008B1755">
        <w:rPr>
          <w:lang w:val="cs-CZ"/>
        </w:rPr>
        <w:t xml:space="preserve">např. </w:t>
      </w:r>
      <w:r w:rsidR="00EE729C" w:rsidRPr="008B1755">
        <w:rPr>
          <w:lang w:val="cs-CZ"/>
        </w:rPr>
        <w:t xml:space="preserve">DSL, </w:t>
      </w:r>
      <w:r w:rsidRPr="008B1755">
        <w:rPr>
          <w:lang w:val="cs-CZ"/>
        </w:rPr>
        <w:t>kabel nebo optické vlákno</w:t>
      </w:r>
      <w:r w:rsidR="00EE729C" w:rsidRPr="008B1755">
        <w:rPr>
          <w:lang w:val="cs-CZ"/>
        </w:rPr>
        <w:t>)</w:t>
      </w:r>
      <w:r w:rsidR="00573DA1" w:rsidRPr="008B1755">
        <w:rPr>
          <w:lang w:val="cs-CZ"/>
        </w:rPr>
        <w:t>;</w:t>
      </w:r>
    </w:p>
    <w:p w:rsidR="00126F4B" w:rsidRPr="008B1755" w:rsidRDefault="006649E2" w:rsidP="005D7948">
      <w:pPr>
        <w:pStyle w:val="Odstavecseseznamem"/>
        <w:numPr>
          <w:ilvl w:val="0"/>
          <w:numId w:val="18"/>
        </w:numPr>
        <w:spacing w:after="120"/>
        <w:ind w:left="1077" w:hanging="357"/>
        <w:rPr>
          <w:lang w:val="cs-CZ"/>
        </w:rPr>
      </w:pPr>
      <w:r>
        <w:rPr>
          <w:lang w:val="cs-CZ"/>
        </w:rPr>
        <w:t>po</w:t>
      </w:r>
      <w:r w:rsidR="007C3D78" w:rsidRPr="008B1755">
        <w:rPr>
          <w:lang w:val="cs-CZ"/>
        </w:rPr>
        <w:t>rovnání nabídek</w:t>
      </w:r>
      <w:r w:rsidR="00EE729C" w:rsidRPr="008B1755">
        <w:rPr>
          <w:lang w:val="cs-CZ"/>
        </w:rPr>
        <w:t xml:space="preserve"> </w:t>
      </w:r>
      <w:r w:rsidR="007D7F64" w:rsidRPr="008B1755">
        <w:rPr>
          <w:lang w:val="cs-CZ"/>
        </w:rPr>
        <w:t>služby přístupu k internetu</w:t>
      </w:r>
      <w:r w:rsidR="00EE729C" w:rsidRPr="008B1755">
        <w:rPr>
          <w:lang w:val="cs-CZ"/>
        </w:rPr>
        <w:t xml:space="preserve"> </w:t>
      </w:r>
      <w:r w:rsidR="007C3D78" w:rsidRPr="008B1755">
        <w:rPr>
          <w:lang w:val="cs-CZ"/>
        </w:rPr>
        <w:t>na trhu</w:t>
      </w:r>
      <w:r w:rsidR="00573DA1" w:rsidRPr="008B1755">
        <w:rPr>
          <w:lang w:val="cs-CZ"/>
        </w:rPr>
        <w:t>;</w:t>
      </w:r>
    </w:p>
    <w:p w:rsidR="00EE729C" w:rsidRPr="008B1755" w:rsidRDefault="006649E2" w:rsidP="005D7948">
      <w:pPr>
        <w:pStyle w:val="Odstavecseseznamem"/>
        <w:numPr>
          <w:ilvl w:val="0"/>
          <w:numId w:val="18"/>
        </w:numPr>
        <w:spacing w:after="120"/>
        <w:ind w:left="1077" w:hanging="357"/>
        <w:rPr>
          <w:lang w:val="cs-CZ"/>
        </w:rPr>
      </w:pPr>
      <w:r>
        <w:rPr>
          <w:lang w:val="cs-CZ"/>
        </w:rPr>
        <w:t xml:space="preserve">prověřování </w:t>
      </w:r>
      <w:r w:rsidR="007C3D78" w:rsidRPr="008B1755">
        <w:rPr>
          <w:lang w:val="cs-CZ"/>
        </w:rPr>
        <w:t xml:space="preserve">možného zhoršení způsobeného </w:t>
      </w:r>
      <w:r w:rsidR="00244C91" w:rsidRPr="008B1755">
        <w:rPr>
          <w:lang w:val="cs-CZ"/>
        </w:rPr>
        <w:t>specializovan</w:t>
      </w:r>
      <w:r w:rsidR="007C3D78" w:rsidRPr="008B1755">
        <w:rPr>
          <w:lang w:val="cs-CZ"/>
        </w:rPr>
        <w:t xml:space="preserve">ými </w:t>
      </w:r>
      <w:r w:rsidR="00244C91" w:rsidRPr="008B1755">
        <w:rPr>
          <w:lang w:val="cs-CZ"/>
        </w:rPr>
        <w:t>služb</w:t>
      </w:r>
      <w:r w:rsidR="007C3D78" w:rsidRPr="008B1755">
        <w:rPr>
          <w:lang w:val="cs-CZ"/>
        </w:rPr>
        <w:t>ami</w:t>
      </w:r>
      <w:r w:rsidR="00573DA1" w:rsidRPr="008B1755">
        <w:rPr>
          <w:lang w:val="cs-CZ"/>
        </w:rPr>
        <w:t>.</w:t>
      </w:r>
    </w:p>
    <w:p w:rsidR="00D61C28" w:rsidRPr="008B1755" w:rsidRDefault="000506B9" w:rsidP="00262769">
      <w:pPr>
        <w:keepNext/>
        <w:keepLines/>
        <w:spacing w:before="120" w:after="120"/>
        <w:outlineLvl w:val="3"/>
        <w:rPr>
          <w:rFonts w:eastAsia="SimSun"/>
          <w:bCs/>
          <w:i/>
          <w:iCs/>
          <w:sz w:val="24"/>
          <w:szCs w:val="24"/>
          <w:u w:val="single"/>
          <w:lang w:val="cs-CZ"/>
        </w:rPr>
      </w:pPr>
      <w:bookmarkStart w:id="75" w:name="_Toc438548591"/>
      <w:r w:rsidRPr="008B1755">
        <w:rPr>
          <w:rFonts w:eastAsia="SimSun"/>
          <w:bCs/>
          <w:i/>
          <w:iCs/>
          <w:sz w:val="24"/>
          <w:szCs w:val="24"/>
          <w:u w:val="single"/>
          <w:lang w:val="cs-CZ"/>
        </w:rPr>
        <w:t xml:space="preserve">Sledování požadavků na </w:t>
      </w:r>
      <w:r w:rsidR="006E2CDA" w:rsidRPr="008B1755">
        <w:rPr>
          <w:rFonts w:eastAsia="SimSun"/>
          <w:bCs/>
          <w:i/>
          <w:iCs/>
          <w:sz w:val="24"/>
          <w:szCs w:val="24"/>
          <w:u w:val="single"/>
          <w:lang w:val="cs-CZ"/>
        </w:rPr>
        <w:t>transparen</w:t>
      </w:r>
      <w:r w:rsidRPr="008B1755">
        <w:rPr>
          <w:rFonts w:eastAsia="SimSun"/>
          <w:bCs/>
          <w:i/>
          <w:iCs/>
          <w:sz w:val="24"/>
          <w:szCs w:val="24"/>
          <w:u w:val="single"/>
          <w:lang w:val="cs-CZ"/>
        </w:rPr>
        <w:t xml:space="preserve">tnost </w:t>
      </w:r>
      <w:bookmarkEnd w:id="75"/>
      <w:r w:rsidRPr="008B1755">
        <w:rPr>
          <w:rFonts w:eastAsia="SimSun"/>
          <w:bCs/>
          <w:i/>
          <w:iCs/>
          <w:sz w:val="24"/>
          <w:szCs w:val="24"/>
          <w:u w:val="single"/>
          <w:lang w:val="cs-CZ"/>
        </w:rPr>
        <w:t xml:space="preserve">u </w:t>
      </w:r>
      <w:r w:rsidR="007D7F64" w:rsidRPr="008B1755">
        <w:rPr>
          <w:rFonts w:eastAsia="SimSun"/>
          <w:bCs/>
          <w:i/>
          <w:iCs/>
          <w:sz w:val="24"/>
          <w:szCs w:val="24"/>
          <w:u w:val="single"/>
          <w:lang w:val="cs-CZ"/>
        </w:rPr>
        <w:t>poskytovatel</w:t>
      </w:r>
      <w:r w:rsidRPr="008B1755">
        <w:rPr>
          <w:rFonts w:eastAsia="SimSun"/>
          <w:bCs/>
          <w:i/>
          <w:iCs/>
          <w:sz w:val="24"/>
          <w:szCs w:val="24"/>
          <w:u w:val="single"/>
          <w:lang w:val="cs-CZ"/>
        </w:rPr>
        <w:t>ů</w:t>
      </w:r>
      <w:r w:rsidR="007D7F64" w:rsidRPr="008B1755">
        <w:rPr>
          <w:rFonts w:eastAsia="SimSun"/>
          <w:bCs/>
          <w:i/>
          <w:iCs/>
          <w:sz w:val="24"/>
          <w:szCs w:val="24"/>
          <w:u w:val="single"/>
          <w:lang w:val="cs-CZ"/>
        </w:rPr>
        <w:t xml:space="preserve"> internetových služeb</w:t>
      </w:r>
    </w:p>
    <w:p w:rsidR="00D61C28" w:rsidRPr="008B1755" w:rsidRDefault="000506B9" w:rsidP="0038751B">
      <w:pPr>
        <w:numPr>
          <w:ilvl w:val="0"/>
          <w:numId w:val="2"/>
        </w:numPr>
        <w:contextualSpacing/>
        <w:rPr>
          <w:lang w:val="cs-CZ"/>
        </w:rPr>
      </w:pPr>
      <w:bookmarkStart w:id="76" w:name="_Ref447616564"/>
      <w:r w:rsidRPr="008B1755">
        <w:rPr>
          <w:lang w:val="cs-CZ"/>
        </w:rPr>
        <w:t xml:space="preserve">Vnitrostátní </w:t>
      </w:r>
      <w:r w:rsidR="00926BAE" w:rsidRPr="008B1755">
        <w:rPr>
          <w:lang w:val="cs-CZ"/>
        </w:rPr>
        <w:t>regulační orgány</w:t>
      </w:r>
      <w:r w:rsidR="006D6D02" w:rsidRPr="008B1755">
        <w:rPr>
          <w:lang w:val="cs-CZ"/>
        </w:rPr>
        <w:t xml:space="preserve"> </w:t>
      </w:r>
      <w:bookmarkEnd w:id="76"/>
      <w:r w:rsidRPr="008B1755">
        <w:rPr>
          <w:lang w:val="cs-CZ"/>
        </w:rPr>
        <w:t xml:space="preserve">by měly sledovat </w:t>
      </w:r>
      <w:r w:rsidR="0042103D">
        <w:rPr>
          <w:lang w:val="cs-CZ"/>
        </w:rPr>
        <w:t xml:space="preserve">dodržování </w:t>
      </w:r>
      <w:r w:rsidRPr="008B1755">
        <w:rPr>
          <w:lang w:val="cs-CZ"/>
        </w:rPr>
        <w:t>požadavk</w:t>
      </w:r>
      <w:r w:rsidR="0042103D">
        <w:rPr>
          <w:lang w:val="cs-CZ"/>
        </w:rPr>
        <w:t>ů</w:t>
      </w:r>
      <w:r w:rsidRPr="008B1755">
        <w:rPr>
          <w:lang w:val="cs-CZ"/>
        </w:rPr>
        <w:t xml:space="preserve"> na </w:t>
      </w:r>
      <w:r w:rsidR="00F144A7" w:rsidRPr="008B1755">
        <w:rPr>
          <w:lang w:val="cs-CZ"/>
        </w:rPr>
        <w:t>transparen</w:t>
      </w:r>
      <w:r w:rsidRPr="008B1755">
        <w:rPr>
          <w:lang w:val="cs-CZ"/>
        </w:rPr>
        <w:t xml:space="preserve">tnost u </w:t>
      </w:r>
      <w:r w:rsidR="007D7F64" w:rsidRPr="008B1755">
        <w:rPr>
          <w:lang w:val="cs-CZ"/>
        </w:rPr>
        <w:t>poskytovatel</w:t>
      </w:r>
      <w:r w:rsidRPr="008B1755">
        <w:rPr>
          <w:lang w:val="cs-CZ"/>
        </w:rPr>
        <w:t>ů</w:t>
      </w:r>
      <w:r w:rsidR="007D7F64" w:rsidRPr="008B1755">
        <w:rPr>
          <w:lang w:val="cs-CZ"/>
        </w:rPr>
        <w:t xml:space="preserve"> internetových služeb</w:t>
      </w:r>
      <w:r w:rsidRPr="008B1755">
        <w:rPr>
          <w:lang w:val="cs-CZ"/>
        </w:rPr>
        <w:t xml:space="preserve">, a to </w:t>
      </w:r>
      <w:r w:rsidR="0042103D">
        <w:rPr>
          <w:lang w:val="cs-CZ"/>
        </w:rPr>
        <w:t>prostřednictvím</w:t>
      </w:r>
      <w:r w:rsidR="007F4AD7" w:rsidRPr="008B1755">
        <w:rPr>
          <w:lang w:val="cs-CZ"/>
        </w:rPr>
        <w:t>:</w:t>
      </w:r>
    </w:p>
    <w:p w:rsidR="00D61C28" w:rsidRPr="008B1755" w:rsidRDefault="000506B9" w:rsidP="005D7948">
      <w:pPr>
        <w:pStyle w:val="Odstavecseseznamem"/>
        <w:numPr>
          <w:ilvl w:val="0"/>
          <w:numId w:val="18"/>
        </w:numPr>
        <w:spacing w:after="120"/>
        <w:ind w:left="1077" w:hanging="357"/>
        <w:rPr>
          <w:lang w:val="cs-CZ"/>
        </w:rPr>
      </w:pPr>
      <w:r w:rsidRPr="008B1755">
        <w:rPr>
          <w:lang w:val="cs-CZ"/>
        </w:rPr>
        <w:t xml:space="preserve">sledování, zda </w:t>
      </w:r>
      <w:r w:rsidR="007D7F64" w:rsidRPr="008B1755">
        <w:rPr>
          <w:lang w:val="cs-CZ"/>
        </w:rPr>
        <w:t>poskytovatelé internetových služeb</w:t>
      </w:r>
      <w:r w:rsidR="00D61C28" w:rsidRPr="008B1755">
        <w:rPr>
          <w:lang w:val="cs-CZ"/>
        </w:rPr>
        <w:t xml:space="preserve"> </w:t>
      </w:r>
      <w:r w:rsidRPr="008B1755">
        <w:rPr>
          <w:lang w:val="cs-CZ"/>
        </w:rPr>
        <w:t xml:space="preserve">specifikovali a </w:t>
      </w:r>
      <w:r w:rsidR="009A701D" w:rsidRPr="008B1755">
        <w:rPr>
          <w:lang w:val="cs-CZ"/>
        </w:rPr>
        <w:t>zveřejn</w:t>
      </w:r>
      <w:r w:rsidRPr="008B1755">
        <w:rPr>
          <w:lang w:val="cs-CZ"/>
        </w:rPr>
        <w:t xml:space="preserve">ili požadované informace podle čl. </w:t>
      </w:r>
      <w:r w:rsidR="00BE6053" w:rsidRPr="008B1755">
        <w:rPr>
          <w:lang w:val="cs-CZ"/>
        </w:rPr>
        <w:t>4 odst. 1</w:t>
      </w:r>
      <w:r w:rsidR="00D61C28" w:rsidRPr="008B1755">
        <w:rPr>
          <w:lang w:val="cs-CZ"/>
        </w:rPr>
        <w:t xml:space="preserve">; </w:t>
      </w:r>
    </w:p>
    <w:p w:rsidR="00D61C28" w:rsidRPr="008B1755" w:rsidRDefault="000506B9" w:rsidP="005D7948">
      <w:pPr>
        <w:pStyle w:val="Odstavecseseznamem"/>
        <w:numPr>
          <w:ilvl w:val="0"/>
          <w:numId w:val="18"/>
        </w:numPr>
        <w:spacing w:after="120"/>
        <w:ind w:left="1077" w:hanging="357"/>
        <w:rPr>
          <w:lang w:val="cs-CZ"/>
        </w:rPr>
      </w:pPr>
      <w:r w:rsidRPr="008B1755">
        <w:rPr>
          <w:lang w:val="cs-CZ"/>
        </w:rPr>
        <w:t>ověření, zda jsou tyto informace jasné</w:t>
      </w:r>
      <w:r w:rsidR="00D61C28" w:rsidRPr="008B1755">
        <w:rPr>
          <w:lang w:val="cs-CZ"/>
        </w:rPr>
        <w:t xml:space="preserve">, </w:t>
      </w:r>
      <w:r w:rsidRPr="008B1755">
        <w:rPr>
          <w:lang w:val="cs-CZ"/>
        </w:rPr>
        <w:t>přesné</w:t>
      </w:r>
      <w:r w:rsidR="00D61C28" w:rsidRPr="008B1755">
        <w:rPr>
          <w:lang w:val="cs-CZ"/>
        </w:rPr>
        <w:t>, relevant</w:t>
      </w:r>
      <w:r w:rsidRPr="008B1755">
        <w:rPr>
          <w:lang w:val="cs-CZ"/>
        </w:rPr>
        <w:t>ní a srozumitelné</w:t>
      </w:r>
      <w:r w:rsidR="00D61C28" w:rsidRPr="008B1755">
        <w:rPr>
          <w:lang w:val="cs-CZ"/>
        </w:rPr>
        <w:t xml:space="preserve">; </w:t>
      </w:r>
    </w:p>
    <w:p w:rsidR="00D61C28" w:rsidRPr="008B1755" w:rsidRDefault="000506B9" w:rsidP="005D7948">
      <w:pPr>
        <w:pStyle w:val="Odstavecseseznamem"/>
        <w:numPr>
          <w:ilvl w:val="0"/>
          <w:numId w:val="18"/>
        </w:numPr>
        <w:spacing w:after="120"/>
        <w:ind w:left="1077" w:hanging="357"/>
        <w:rPr>
          <w:lang w:val="cs-CZ"/>
        </w:rPr>
      </w:pPr>
      <w:r w:rsidRPr="008B1755">
        <w:rPr>
          <w:lang w:val="cs-CZ"/>
        </w:rPr>
        <w:t xml:space="preserve">prověření, zda </w:t>
      </w:r>
      <w:r w:rsidR="0042103D">
        <w:rPr>
          <w:lang w:val="cs-CZ"/>
        </w:rPr>
        <w:t xml:space="preserve">jsou </w:t>
      </w:r>
      <w:r w:rsidRPr="008B1755">
        <w:rPr>
          <w:lang w:val="cs-CZ"/>
        </w:rPr>
        <w:t xml:space="preserve">zveřejněné informace v souladu s výsledky sledování </w:t>
      </w:r>
      <w:r w:rsidR="0042103D">
        <w:rPr>
          <w:lang w:val="cs-CZ"/>
        </w:rPr>
        <w:t xml:space="preserve">podle </w:t>
      </w:r>
      <w:r w:rsidRPr="008B1755">
        <w:rPr>
          <w:lang w:val="cs-CZ"/>
        </w:rPr>
        <w:t xml:space="preserve">čl. </w:t>
      </w:r>
      <w:r w:rsidR="00D61C28" w:rsidRPr="008B1755">
        <w:rPr>
          <w:lang w:val="cs-CZ"/>
        </w:rPr>
        <w:t xml:space="preserve">3, </w:t>
      </w:r>
      <w:r w:rsidRPr="008B1755">
        <w:rPr>
          <w:lang w:val="cs-CZ"/>
        </w:rPr>
        <w:t xml:space="preserve">například </w:t>
      </w:r>
      <w:r w:rsidR="0042103D">
        <w:rPr>
          <w:lang w:val="cs-CZ"/>
        </w:rPr>
        <w:t xml:space="preserve">ve vztahu k </w:t>
      </w:r>
      <w:r w:rsidRPr="008B1755">
        <w:rPr>
          <w:lang w:val="cs-CZ"/>
        </w:rPr>
        <w:t>opatření</w:t>
      </w:r>
      <w:r w:rsidR="0042103D">
        <w:rPr>
          <w:lang w:val="cs-CZ"/>
        </w:rPr>
        <w:t>m</w:t>
      </w:r>
      <w:r w:rsidRPr="008B1755">
        <w:rPr>
          <w:lang w:val="cs-CZ"/>
        </w:rPr>
        <w:t xml:space="preserve"> </w:t>
      </w:r>
      <w:r w:rsidR="00350081" w:rsidRPr="008B1755">
        <w:rPr>
          <w:lang w:val="cs-CZ"/>
        </w:rPr>
        <w:t>řízení provozu</w:t>
      </w:r>
      <w:r w:rsidR="00D61C28" w:rsidRPr="008B1755">
        <w:rPr>
          <w:lang w:val="cs-CZ"/>
        </w:rPr>
        <w:t xml:space="preserve">, </w:t>
      </w:r>
      <w:r w:rsidRPr="008B1755">
        <w:rPr>
          <w:lang w:val="cs-CZ"/>
        </w:rPr>
        <w:t>výkon</w:t>
      </w:r>
      <w:r w:rsidR="0042103D">
        <w:rPr>
          <w:lang w:val="cs-CZ"/>
        </w:rPr>
        <w:t>u</w:t>
      </w:r>
      <w:r w:rsidRPr="008B1755">
        <w:rPr>
          <w:lang w:val="cs-CZ"/>
        </w:rPr>
        <w:t xml:space="preserve"> </w:t>
      </w:r>
      <w:r w:rsidR="00DD272F" w:rsidRPr="008B1755">
        <w:rPr>
          <w:lang w:val="cs-CZ"/>
        </w:rPr>
        <w:t>služb</w:t>
      </w:r>
      <w:r w:rsidRPr="008B1755">
        <w:rPr>
          <w:lang w:val="cs-CZ"/>
        </w:rPr>
        <w:t>y</w:t>
      </w:r>
      <w:r w:rsidR="00DD272F" w:rsidRPr="008B1755">
        <w:rPr>
          <w:lang w:val="cs-CZ"/>
        </w:rPr>
        <w:t xml:space="preserve"> přístupu k internetu</w:t>
      </w:r>
      <w:r w:rsidR="00D61C28" w:rsidRPr="008B1755">
        <w:rPr>
          <w:lang w:val="cs-CZ"/>
        </w:rPr>
        <w:t xml:space="preserve"> </w:t>
      </w:r>
      <w:r w:rsidRPr="008B1755">
        <w:rPr>
          <w:lang w:val="cs-CZ"/>
        </w:rPr>
        <w:t xml:space="preserve">a </w:t>
      </w:r>
      <w:r w:rsidR="00244C91" w:rsidRPr="008B1755">
        <w:rPr>
          <w:lang w:val="cs-CZ"/>
        </w:rPr>
        <w:t>specializovan</w:t>
      </w:r>
      <w:r w:rsidR="0042103D">
        <w:rPr>
          <w:lang w:val="cs-CZ"/>
        </w:rPr>
        <w:t>ým</w:t>
      </w:r>
      <w:r w:rsidR="00244C91" w:rsidRPr="008B1755">
        <w:rPr>
          <w:lang w:val="cs-CZ"/>
        </w:rPr>
        <w:t xml:space="preserve"> služby</w:t>
      </w:r>
      <w:r w:rsidR="00D61C28" w:rsidRPr="008B1755">
        <w:rPr>
          <w:lang w:val="cs-CZ"/>
        </w:rPr>
        <w:t xml:space="preserve">; </w:t>
      </w:r>
    </w:p>
    <w:p w:rsidR="00D61C28" w:rsidRPr="008B1755" w:rsidRDefault="000506B9" w:rsidP="005D7948">
      <w:pPr>
        <w:pStyle w:val="Odstavecseseznamem"/>
        <w:numPr>
          <w:ilvl w:val="0"/>
          <w:numId w:val="18"/>
        </w:numPr>
        <w:spacing w:after="120"/>
        <w:ind w:left="1077" w:hanging="357"/>
        <w:rPr>
          <w:lang w:val="cs-CZ"/>
        </w:rPr>
      </w:pPr>
      <w:r w:rsidRPr="008B1755">
        <w:rPr>
          <w:lang w:val="cs-CZ"/>
        </w:rPr>
        <w:t xml:space="preserve">sledování, zda </w:t>
      </w:r>
      <w:r w:rsidR="007D7F64" w:rsidRPr="008B1755">
        <w:rPr>
          <w:lang w:val="cs-CZ"/>
        </w:rPr>
        <w:t>poskytovatelé internetových služeb</w:t>
      </w:r>
      <w:r w:rsidR="00D61C28" w:rsidRPr="008B1755">
        <w:rPr>
          <w:lang w:val="cs-CZ"/>
        </w:rPr>
        <w:t xml:space="preserve"> </w:t>
      </w:r>
      <w:r w:rsidRPr="008B1755">
        <w:rPr>
          <w:lang w:val="cs-CZ"/>
        </w:rPr>
        <w:t xml:space="preserve">mají zavedeny </w:t>
      </w:r>
      <w:r w:rsidR="00D61C28" w:rsidRPr="008B1755">
        <w:rPr>
          <w:lang w:val="cs-CZ"/>
        </w:rPr>
        <w:t>transparent</w:t>
      </w:r>
      <w:r w:rsidRPr="008B1755">
        <w:rPr>
          <w:lang w:val="cs-CZ"/>
        </w:rPr>
        <w:t>ní</w:t>
      </w:r>
      <w:r w:rsidR="00D61C28" w:rsidRPr="008B1755">
        <w:rPr>
          <w:lang w:val="cs-CZ"/>
        </w:rPr>
        <w:t xml:space="preserve">, </w:t>
      </w:r>
      <w:r w:rsidRPr="008B1755">
        <w:rPr>
          <w:lang w:val="cs-CZ"/>
        </w:rPr>
        <w:t xml:space="preserve">jednoduché a účinné postupy pro vyřizování reklamací podle požadavků uvedených v čl. </w:t>
      </w:r>
      <w:r w:rsidR="00BE6053" w:rsidRPr="008B1755">
        <w:rPr>
          <w:lang w:val="cs-CZ"/>
        </w:rPr>
        <w:t>4 odst. 2</w:t>
      </w:r>
      <w:r w:rsidR="00D61C28" w:rsidRPr="008B1755">
        <w:rPr>
          <w:lang w:val="cs-CZ"/>
        </w:rPr>
        <w:t xml:space="preserve">; </w:t>
      </w:r>
    </w:p>
    <w:p w:rsidR="00D61C28" w:rsidRPr="008B1755" w:rsidRDefault="000506B9" w:rsidP="005D7948">
      <w:pPr>
        <w:pStyle w:val="Odstavecseseznamem"/>
        <w:numPr>
          <w:ilvl w:val="0"/>
          <w:numId w:val="18"/>
        </w:numPr>
        <w:spacing w:after="120"/>
        <w:ind w:left="1077" w:hanging="357"/>
        <w:rPr>
          <w:lang w:val="cs-CZ"/>
        </w:rPr>
      </w:pPr>
      <w:r w:rsidRPr="008B1755">
        <w:rPr>
          <w:lang w:val="cs-CZ"/>
        </w:rPr>
        <w:t xml:space="preserve">shromažďování informací o stížnostech na porušování </w:t>
      </w:r>
      <w:r w:rsidR="001D46DD" w:rsidRPr="008B1755">
        <w:rPr>
          <w:lang w:val="cs-CZ"/>
        </w:rPr>
        <w:t>Nařízení</w:t>
      </w:r>
      <w:r w:rsidR="00D61C28" w:rsidRPr="008B1755">
        <w:rPr>
          <w:lang w:val="cs-CZ"/>
        </w:rPr>
        <w:t>.</w:t>
      </w:r>
    </w:p>
    <w:p w:rsidR="00D61C28" w:rsidRPr="008B1755" w:rsidRDefault="000506B9" w:rsidP="00262769">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Vymáhání</w:t>
      </w:r>
    </w:p>
    <w:p w:rsidR="006D6D02" w:rsidRPr="008B1755" w:rsidRDefault="000506B9" w:rsidP="0038751B">
      <w:pPr>
        <w:numPr>
          <w:ilvl w:val="0"/>
          <w:numId w:val="2"/>
        </w:numPr>
        <w:contextualSpacing/>
        <w:rPr>
          <w:rFonts w:eastAsia="Times New Roman"/>
          <w:lang w:val="cs-CZ"/>
        </w:rPr>
      </w:pPr>
      <w:r w:rsidRPr="008B1755">
        <w:rPr>
          <w:rFonts w:eastAsia="Times New Roman"/>
          <w:lang w:val="cs-CZ"/>
        </w:rPr>
        <w:t xml:space="preserve">Za účelem zajištění dodržování </w:t>
      </w:r>
      <w:r w:rsidR="00032BA4" w:rsidRPr="008B1755">
        <w:rPr>
          <w:rFonts w:eastAsia="Times New Roman"/>
          <w:lang w:val="cs-CZ"/>
        </w:rPr>
        <w:t>Nařízení</w:t>
      </w:r>
      <w:r w:rsidRPr="008B1755">
        <w:rPr>
          <w:rFonts w:eastAsia="Times New Roman"/>
          <w:lang w:val="cs-CZ"/>
        </w:rPr>
        <w:t xml:space="preserve"> a podpory </w:t>
      </w:r>
      <w:r w:rsidR="0042103D">
        <w:rPr>
          <w:rFonts w:eastAsia="Times New Roman"/>
          <w:lang w:val="cs-CZ"/>
        </w:rPr>
        <w:t xml:space="preserve">trvalé </w:t>
      </w:r>
      <w:r w:rsidRPr="008B1755">
        <w:rPr>
          <w:rFonts w:eastAsia="Times New Roman"/>
          <w:lang w:val="cs-CZ"/>
        </w:rPr>
        <w:t xml:space="preserve">dostupnosti </w:t>
      </w:r>
      <w:r w:rsidR="00BD0770" w:rsidRPr="008B1755">
        <w:rPr>
          <w:rFonts w:eastAsia="Times New Roman"/>
          <w:lang w:val="cs-CZ"/>
        </w:rPr>
        <w:t>nediskrimin</w:t>
      </w:r>
      <w:r w:rsidR="0042103D">
        <w:rPr>
          <w:rFonts w:eastAsia="Times New Roman"/>
          <w:lang w:val="cs-CZ"/>
        </w:rPr>
        <w:t xml:space="preserve">ujících </w:t>
      </w:r>
      <w:r w:rsidR="00DD272F" w:rsidRPr="008B1755">
        <w:rPr>
          <w:rFonts w:eastAsia="Times New Roman"/>
          <w:lang w:val="cs-CZ"/>
        </w:rPr>
        <w:t>služ</w:t>
      </w:r>
      <w:r w:rsidRPr="008B1755">
        <w:rPr>
          <w:rFonts w:eastAsia="Times New Roman"/>
          <w:lang w:val="cs-CZ"/>
        </w:rPr>
        <w:t>e</w:t>
      </w:r>
      <w:r w:rsidR="00DD272F" w:rsidRPr="008B1755">
        <w:rPr>
          <w:rFonts w:eastAsia="Times New Roman"/>
          <w:lang w:val="cs-CZ"/>
        </w:rPr>
        <w:t>b přístupu k internetu</w:t>
      </w:r>
      <w:r w:rsidR="00CA1C43" w:rsidRPr="008B1755">
        <w:rPr>
          <w:rFonts w:eastAsia="Times New Roman"/>
          <w:lang w:val="cs-CZ"/>
        </w:rPr>
        <w:t xml:space="preserve"> </w:t>
      </w:r>
      <w:r w:rsidR="0042103D">
        <w:rPr>
          <w:rFonts w:eastAsia="Times New Roman"/>
          <w:lang w:val="cs-CZ"/>
        </w:rPr>
        <w:t xml:space="preserve">s </w:t>
      </w:r>
      <w:r w:rsidRPr="008B1755">
        <w:rPr>
          <w:rFonts w:eastAsia="Times New Roman"/>
          <w:lang w:val="cs-CZ"/>
        </w:rPr>
        <w:t>kvalit</w:t>
      </w:r>
      <w:r w:rsidR="00853045">
        <w:rPr>
          <w:rFonts w:eastAsia="Times New Roman"/>
          <w:lang w:val="cs-CZ"/>
        </w:rPr>
        <w:t>ou</w:t>
      </w:r>
      <w:r w:rsidRPr="008B1755">
        <w:rPr>
          <w:rFonts w:eastAsia="Times New Roman"/>
          <w:lang w:val="cs-CZ"/>
        </w:rPr>
        <w:t>, která odráží technický pokrok</w:t>
      </w:r>
      <w:r w:rsidR="00EE580F" w:rsidRPr="008B1755">
        <w:rPr>
          <w:rFonts w:eastAsia="Times New Roman"/>
          <w:lang w:val="cs-CZ"/>
        </w:rPr>
        <w:t>,</w:t>
      </w:r>
      <w:r w:rsidRPr="008B1755">
        <w:rPr>
          <w:rFonts w:eastAsia="Times New Roman"/>
          <w:lang w:val="cs-CZ"/>
        </w:rPr>
        <w:t xml:space="preserve"> </w:t>
      </w:r>
      <w:r w:rsidR="00EE580F" w:rsidRPr="008B1755">
        <w:rPr>
          <w:rFonts w:eastAsia="Times New Roman"/>
          <w:lang w:val="cs-CZ"/>
        </w:rPr>
        <w:t xml:space="preserve">mohou </w:t>
      </w:r>
      <w:r w:rsidR="00926BAE" w:rsidRPr="008B1755">
        <w:rPr>
          <w:rFonts w:eastAsia="Times New Roman"/>
          <w:lang w:val="cs-CZ"/>
        </w:rPr>
        <w:t>vnitrostátní regulační orgány</w:t>
      </w:r>
      <w:r w:rsidR="006D6D02" w:rsidRPr="008B1755">
        <w:rPr>
          <w:rFonts w:eastAsia="Times New Roman"/>
          <w:lang w:val="cs-CZ"/>
        </w:rPr>
        <w:t xml:space="preserve"> </w:t>
      </w:r>
      <w:r w:rsidR="00EE580F" w:rsidRPr="008B1755">
        <w:rPr>
          <w:rFonts w:eastAsia="Times New Roman"/>
          <w:lang w:val="cs-CZ"/>
        </w:rPr>
        <w:t>přistoupit k následujícím opatřením</w:t>
      </w:r>
      <w:r w:rsidR="007F4AD7" w:rsidRPr="008B1755">
        <w:rPr>
          <w:rFonts w:eastAsia="Times New Roman"/>
          <w:lang w:val="cs-CZ"/>
        </w:rPr>
        <w:t>:</w:t>
      </w:r>
    </w:p>
    <w:p w:rsidR="006D6D02" w:rsidRPr="008B1755" w:rsidRDefault="00EE580F" w:rsidP="005D7948">
      <w:pPr>
        <w:pStyle w:val="Odstavecseseznamem"/>
        <w:numPr>
          <w:ilvl w:val="0"/>
          <w:numId w:val="18"/>
        </w:numPr>
        <w:spacing w:after="120"/>
        <w:ind w:left="1077" w:hanging="357"/>
        <w:rPr>
          <w:lang w:val="cs-CZ"/>
        </w:rPr>
      </w:pPr>
      <w:r w:rsidRPr="008B1755">
        <w:rPr>
          <w:lang w:val="cs-CZ"/>
        </w:rPr>
        <w:t xml:space="preserve">požádat, aby </w:t>
      </w:r>
      <w:r w:rsidR="00DD272F" w:rsidRPr="008B1755">
        <w:rPr>
          <w:lang w:val="cs-CZ"/>
        </w:rPr>
        <w:t>poskytovatel internetových služeb</w:t>
      </w:r>
      <w:r w:rsidR="006D6D02" w:rsidRPr="008B1755">
        <w:rPr>
          <w:lang w:val="cs-CZ"/>
        </w:rPr>
        <w:t xml:space="preserve"> </w:t>
      </w:r>
      <w:r w:rsidRPr="008B1755">
        <w:rPr>
          <w:lang w:val="cs-CZ"/>
        </w:rPr>
        <w:t>podnikl opatření na eliminaci nebo odstranění faktoru způsobujícího zhoršení</w:t>
      </w:r>
      <w:r w:rsidR="0091492B" w:rsidRPr="008B1755">
        <w:rPr>
          <w:lang w:val="cs-CZ"/>
        </w:rPr>
        <w:t>;</w:t>
      </w:r>
    </w:p>
    <w:p w:rsidR="006D6D02" w:rsidRPr="008B1755" w:rsidRDefault="0014230E" w:rsidP="005D7948">
      <w:pPr>
        <w:pStyle w:val="Odstavecseseznamem"/>
        <w:numPr>
          <w:ilvl w:val="0"/>
          <w:numId w:val="18"/>
        </w:numPr>
        <w:spacing w:after="120"/>
        <w:ind w:left="1077" w:hanging="357"/>
        <w:rPr>
          <w:lang w:val="cs-CZ"/>
        </w:rPr>
      </w:pPr>
      <w:r w:rsidRPr="008B1755">
        <w:rPr>
          <w:lang w:val="cs-CZ"/>
        </w:rPr>
        <w:t>stanovit požadavky na technické vlastnosti za účelem vyřeš</w:t>
      </w:r>
      <w:r w:rsidR="003521F7">
        <w:rPr>
          <w:lang w:val="cs-CZ"/>
        </w:rPr>
        <w:t xml:space="preserve">it </w:t>
      </w:r>
      <w:r w:rsidRPr="008B1755">
        <w:rPr>
          <w:lang w:val="cs-CZ"/>
        </w:rPr>
        <w:t xml:space="preserve">í porušení </w:t>
      </w:r>
      <w:r w:rsidR="001D46DD" w:rsidRPr="008B1755">
        <w:rPr>
          <w:lang w:val="cs-CZ"/>
        </w:rPr>
        <w:t>Nařízení</w:t>
      </w:r>
      <w:r w:rsidR="006D6D02" w:rsidRPr="008B1755">
        <w:rPr>
          <w:lang w:val="cs-CZ"/>
        </w:rPr>
        <w:t xml:space="preserve">, </w:t>
      </w:r>
      <w:r w:rsidRPr="008B1755">
        <w:rPr>
          <w:lang w:val="cs-CZ"/>
        </w:rPr>
        <w:t xml:space="preserve">například nařídit odstranění nebo revizi určitého opatření </w:t>
      </w:r>
      <w:r w:rsidR="00350081" w:rsidRPr="008B1755">
        <w:rPr>
          <w:lang w:val="cs-CZ"/>
        </w:rPr>
        <w:t>řízení provozu</w:t>
      </w:r>
      <w:r w:rsidR="0091492B" w:rsidRPr="008B1755">
        <w:rPr>
          <w:lang w:val="cs-CZ"/>
        </w:rPr>
        <w:t>;</w:t>
      </w:r>
    </w:p>
    <w:p w:rsidR="0091492B" w:rsidRPr="008B1755" w:rsidRDefault="0014230E" w:rsidP="005D7948">
      <w:pPr>
        <w:pStyle w:val="Odstavecseseznamem"/>
        <w:numPr>
          <w:ilvl w:val="0"/>
          <w:numId w:val="18"/>
        </w:numPr>
        <w:spacing w:after="120"/>
        <w:ind w:left="1077" w:hanging="357"/>
        <w:rPr>
          <w:lang w:val="cs-CZ"/>
        </w:rPr>
      </w:pPr>
      <w:r w:rsidRPr="008B1755">
        <w:rPr>
          <w:lang w:val="cs-CZ"/>
        </w:rPr>
        <w:t xml:space="preserve">stanovit minimální </w:t>
      </w:r>
      <w:r w:rsidR="000955EC" w:rsidRPr="008B1755">
        <w:rPr>
          <w:lang w:val="cs-CZ"/>
        </w:rPr>
        <w:t>požadavky na kvalitu služby</w:t>
      </w:r>
      <w:r w:rsidR="0091492B" w:rsidRPr="008B1755">
        <w:rPr>
          <w:lang w:val="cs-CZ"/>
        </w:rPr>
        <w:t>;</w:t>
      </w:r>
    </w:p>
    <w:p w:rsidR="006D6D02" w:rsidRPr="008B1755" w:rsidRDefault="0014230E" w:rsidP="005D7948">
      <w:pPr>
        <w:pStyle w:val="Odstavecseseznamem"/>
        <w:numPr>
          <w:ilvl w:val="0"/>
          <w:numId w:val="18"/>
        </w:numPr>
        <w:spacing w:after="120"/>
        <w:ind w:left="1077" w:hanging="357"/>
        <w:rPr>
          <w:lang w:val="cs-CZ"/>
        </w:rPr>
      </w:pPr>
      <w:r w:rsidRPr="008B1755">
        <w:rPr>
          <w:lang w:val="cs-CZ"/>
        </w:rPr>
        <w:t>nařídit jiná vhodná a nezbytná opatření</w:t>
      </w:r>
      <w:r w:rsidR="00190C04" w:rsidRPr="008B1755">
        <w:rPr>
          <w:lang w:val="cs-CZ"/>
        </w:rPr>
        <w:t xml:space="preserve">, </w:t>
      </w:r>
      <w:r w:rsidRPr="008B1755">
        <w:rPr>
          <w:lang w:val="cs-CZ"/>
        </w:rPr>
        <w:t xml:space="preserve">například ohledně povinnosti </w:t>
      </w:r>
      <w:r w:rsidR="007D7F64" w:rsidRPr="008B1755">
        <w:rPr>
          <w:lang w:val="cs-CZ"/>
        </w:rPr>
        <w:t>poskytovatel</w:t>
      </w:r>
      <w:r w:rsidRPr="008B1755">
        <w:rPr>
          <w:lang w:val="cs-CZ"/>
        </w:rPr>
        <w:t>ů</w:t>
      </w:r>
      <w:r w:rsidR="007D7F64" w:rsidRPr="008B1755">
        <w:rPr>
          <w:lang w:val="cs-CZ"/>
        </w:rPr>
        <w:t xml:space="preserve"> internetových služeb</w:t>
      </w:r>
      <w:r w:rsidRPr="008B1755">
        <w:rPr>
          <w:lang w:val="cs-CZ"/>
        </w:rPr>
        <w:t xml:space="preserve"> zajistit dostatečnou kapacitu </w:t>
      </w:r>
      <w:r w:rsidR="00904FED" w:rsidRPr="008B1755">
        <w:rPr>
          <w:lang w:val="cs-CZ"/>
        </w:rPr>
        <w:t>sítě</w:t>
      </w:r>
      <w:r w:rsidR="00190C04" w:rsidRPr="008B1755">
        <w:rPr>
          <w:lang w:val="cs-CZ"/>
        </w:rPr>
        <w:t xml:space="preserve"> </w:t>
      </w:r>
      <w:r w:rsidR="00853045">
        <w:rPr>
          <w:lang w:val="cs-CZ"/>
        </w:rPr>
        <w:t xml:space="preserve">pro </w:t>
      </w:r>
      <w:r w:rsidRPr="008B1755">
        <w:rPr>
          <w:lang w:val="cs-CZ"/>
        </w:rPr>
        <w:t xml:space="preserve">poskytování </w:t>
      </w:r>
      <w:r w:rsidR="00853045">
        <w:rPr>
          <w:lang w:val="cs-CZ"/>
        </w:rPr>
        <w:t xml:space="preserve">vysoce </w:t>
      </w:r>
      <w:r w:rsidRPr="008B1755">
        <w:rPr>
          <w:lang w:val="cs-CZ"/>
        </w:rPr>
        <w:t xml:space="preserve">kvalitní </w:t>
      </w:r>
      <w:r w:rsidR="00BD0770" w:rsidRPr="008B1755">
        <w:rPr>
          <w:lang w:val="cs-CZ"/>
        </w:rPr>
        <w:t>nediskrimin</w:t>
      </w:r>
      <w:r w:rsidR="00853045">
        <w:rPr>
          <w:lang w:val="cs-CZ"/>
        </w:rPr>
        <w:t>ující</w:t>
      </w:r>
      <w:r w:rsidR="00190C04" w:rsidRPr="008B1755">
        <w:rPr>
          <w:lang w:val="cs-CZ"/>
        </w:rPr>
        <w:t xml:space="preserve"> </w:t>
      </w:r>
      <w:r w:rsidR="00DD272F" w:rsidRPr="008B1755">
        <w:rPr>
          <w:lang w:val="cs-CZ"/>
        </w:rPr>
        <w:t>služb</w:t>
      </w:r>
      <w:r w:rsidRPr="008B1755">
        <w:rPr>
          <w:lang w:val="cs-CZ"/>
        </w:rPr>
        <w:t>y</w:t>
      </w:r>
      <w:r w:rsidR="00DD272F" w:rsidRPr="008B1755">
        <w:rPr>
          <w:lang w:val="cs-CZ"/>
        </w:rPr>
        <w:t xml:space="preserve"> přístupu k internetu</w:t>
      </w:r>
      <w:r w:rsidR="00190C04" w:rsidRPr="008B1755">
        <w:rPr>
          <w:lang w:val="cs-CZ"/>
        </w:rPr>
        <w:t xml:space="preserve"> (</w:t>
      </w:r>
      <w:r w:rsidR="00946CEA" w:rsidRPr="008B1755">
        <w:rPr>
          <w:lang w:val="cs-CZ"/>
        </w:rPr>
        <w:t xml:space="preserve">Úvodní část Nařízení, bod </w:t>
      </w:r>
      <w:r w:rsidR="00190C04" w:rsidRPr="008B1755">
        <w:rPr>
          <w:lang w:val="cs-CZ"/>
        </w:rPr>
        <w:t>19)</w:t>
      </w:r>
      <w:r w:rsidR="008B5FF1" w:rsidRPr="008B1755">
        <w:rPr>
          <w:lang w:val="cs-CZ"/>
        </w:rPr>
        <w:t>;</w:t>
      </w:r>
    </w:p>
    <w:p w:rsidR="00792361" w:rsidRPr="008B1755" w:rsidRDefault="0014230E" w:rsidP="005D7948">
      <w:pPr>
        <w:pStyle w:val="Odstavecseseznamem"/>
        <w:numPr>
          <w:ilvl w:val="0"/>
          <w:numId w:val="18"/>
        </w:numPr>
        <w:spacing w:after="120"/>
        <w:ind w:left="1077" w:hanging="357"/>
        <w:rPr>
          <w:lang w:val="cs-CZ"/>
        </w:rPr>
      </w:pPr>
      <w:r w:rsidRPr="008B1755">
        <w:rPr>
          <w:lang w:val="cs-CZ"/>
        </w:rPr>
        <w:t>vydávat příkazy k zastavení činnosti v případě porušení</w:t>
      </w:r>
      <w:r w:rsidR="00792361" w:rsidRPr="008B1755">
        <w:rPr>
          <w:lang w:val="cs-CZ"/>
        </w:rPr>
        <w:t xml:space="preserve">, </w:t>
      </w:r>
      <w:r w:rsidRPr="008B1755">
        <w:rPr>
          <w:lang w:val="cs-CZ"/>
        </w:rPr>
        <w:t xml:space="preserve">případně v kombinaci s pravidelnými </w:t>
      </w:r>
      <w:r w:rsidR="00792361" w:rsidRPr="008B1755">
        <w:rPr>
          <w:lang w:val="cs-CZ"/>
        </w:rPr>
        <w:t>(</w:t>
      </w:r>
      <w:r w:rsidRPr="008B1755">
        <w:rPr>
          <w:lang w:val="cs-CZ"/>
        </w:rPr>
        <w:t>denními</w:t>
      </w:r>
      <w:r w:rsidR="00792361" w:rsidRPr="008B1755">
        <w:rPr>
          <w:lang w:val="cs-CZ"/>
        </w:rPr>
        <w:t>/</w:t>
      </w:r>
      <w:r w:rsidRPr="008B1755">
        <w:rPr>
          <w:lang w:val="cs-CZ"/>
        </w:rPr>
        <w:t>týdenními</w:t>
      </w:r>
      <w:r w:rsidR="00792361" w:rsidRPr="008B1755">
        <w:rPr>
          <w:lang w:val="cs-CZ"/>
        </w:rPr>
        <w:t xml:space="preserve">) </w:t>
      </w:r>
      <w:r w:rsidRPr="008B1755">
        <w:rPr>
          <w:lang w:val="cs-CZ"/>
        </w:rPr>
        <w:t>sankcemi, v souladu s vnitrostátním právem</w:t>
      </w:r>
      <w:r w:rsidR="008B5FF1" w:rsidRPr="008B1755">
        <w:rPr>
          <w:lang w:val="cs-CZ"/>
        </w:rPr>
        <w:t>;</w:t>
      </w:r>
    </w:p>
    <w:p w:rsidR="00792361" w:rsidRPr="008B1755" w:rsidRDefault="0014230E" w:rsidP="005D7948">
      <w:pPr>
        <w:pStyle w:val="Odstavecseseznamem"/>
        <w:numPr>
          <w:ilvl w:val="0"/>
          <w:numId w:val="18"/>
        </w:numPr>
        <w:spacing w:after="120"/>
        <w:ind w:left="1077" w:hanging="357"/>
        <w:rPr>
          <w:lang w:val="cs-CZ"/>
        </w:rPr>
      </w:pPr>
      <w:r w:rsidRPr="008B1755">
        <w:rPr>
          <w:lang w:val="cs-CZ"/>
        </w:rPr>
        <w:t xml:space="preserve">vydávat příkazy k zastavení poskytování určitých </w:t>
      </w:r>
      <w:r w:rsidR="00244C91" w:rsidRPr="008B1755">
        <w:rPr>
          <w:lang w:val="cs-CZ"/>
        </w:rPr>
        <w:t>specializovan</w:t>
      </w:r>
      <w:r w:rsidRPr="008B1755">
        <w:rPr>
          <w:lang w:val="cs-CZ"/>
        </w:rPr>
        <w:t>ých</w:t>
      </w:r>
      <w:r w:rsidR="00244C91" w:rsidRPr="008B1755">
        <w:rPr>
          <w:lang w:val="cs-CZ"/>
        </w:rPr>
        <w:t xml:space="preserve"> služ</w:t>
      </w:r>
      <w:r w:rsidRPr="008B1755">
        <w:rPr>
          <w:lang w:val="cs-CZ"/>
        </w:rPr>
        <w:t>e</w:t>
      </w:r>
      <w:r w:rsidR="00244C91" w:rsidRPr="008B1755">
        <w:rPr>
          <w:lang w:val="cs-CZ"/>
        </w:rPr>
        <w:t>b</w:t>
      </w:r>
      <w:r w:rsidRPr="008B1755">
        <w:rPr>
          <w:lang w:val="cs-CZ"/>
        </w:rPr>
        <w:t xml:space="preserve">, pokud nebude zajištěna dostatečná kapacita pro </w:t>
      </w:r>
      <w:r w:rsidR="00DD272F" w:rsidRPr="008B1755">
        <w:rPr>
          <w:lang w:val="cs-CZ"/>
        </w:rPr>
        <w:t>služb</w:t>
      </w:r>
      <w:r w:rsidRPr="008B1755">
        <w:rPr>
          <w:lang w:val="cs-CZ"/>
        </w:rPr>
        <w:t>u</w:t>
      </w:r>
      <w:r w:rsidR="00DD272F" w:rsidRPr="008B1755">
        <w:rPr>
          <w:lang w:val="cs-CZ"/>
        </w:rPr>
        <w:t xml:space="preserve"> přístupu k internetu</w:t>
      </w:r>
      <w:r w:rsidR="00792361" w:rsidRPr="008B1755">
        <w:rPr>
          <w:lang w:val="cs-CZ"/>
        </w:rPr>
        <w:t xml:space="preserve"> </w:t>
      </w:r>
      <w:r w:rsidRPr="008B1755">
        <w:rPr>
          <w:lang w:val="cs-CZ"/>
        </w:rPr>
        <w:t xml:space="preserve">v přiměřené a účinné lhůtě stanovené </w:t>
      </w:r>
      <w:r w:rsidR="000955EC" w:rsidRPr="008B1755">
        <w:rPr>
          <w:lang w:val="cs-CZ"/>
        </w:rPr>
        <w:t>vnitrostátní</w:t>
      </w:r>
      <w:r w:rsidRPr="008B1755">
        <w:rPr>
          <w:lang w:val="cs-CZ"/>
        </w:rPr>
        <w:t>m</w:t>
      </w:r>
      <w:r w:rsidR="000955EC" w:rsidRPr="008B1755">
        <w:rPr>
          <w:lang w:val="cs-CZ"/>
        </w:rPr>
        <w:t xml:space="preserve"> regulační</w:t>
      </w:r>
      <w:r w:rsidRPr="008B1755">
        <w:rPr>
          <w:lang w:val="cs-CZ"/>
        </w:rPr>
        <w:t>m</w:t>
      </w:r>
      <w:r w:rsidR="000955EC" w:rsidRPr="008B1755">
        <w:rPr>
          <w:lang w:val="cs-CZ"/>
        </w:rPr>
        <w:t xml:space="preserve"> orgán</w:t>
      </w:r>
      <w:r w:rsidRPr="008B1755">
        <w:rPr>
          <w:lang w:val="cs-CZ"/>
        </w:rPr>
        <w:t>em</w:t>
      </w:r>
      <w:r w:rsidR="007F4AD7" w:rsidRPr="008B1755">
        <w:rPr>
          <w:lang w:val="cs-CZ"/>
        </w:rPr>
        <w:t>,</w:t>
      </w:r>
      <w:r w:rsidR="00792361" w:rsidRPr="008B1755">
        <w:rPr>
          <w:lang w:val="cs-CZ"/>
        </w:rPr>
        <w:t xml:space="preserve"> </w:t>
      </w:r>
      <w:r w:rsidRPr="008B1755">
        <w:rPr>
          <w:lang w:val="cs-CZ"/>
        </w:rPr>
        <w:t>případně v kombinaci s pravidelnými (denními/týdenními) sankcemi, v souladu s vnitrostátním právem</w:t>
      </w:r>
      <w:r w:rsidR="008B5FF1" w:rsidRPr="008B1755">
        <w:rPr>
          <w:lang w:val="cs-CZ"/>
        </w:rPr>
        <w:t>;</w:t>
      </w:r>
    </w:p>
    <w:p w:rsidR="00792361" w:rsidRPr="008B1755" w:rsidRDefault="0014230E" w:rsidP="005D7948">
      <w:pPr>
        <w:pStyle w:val="Odstavecseseznamem"/>
        <w:numPr>
          <w:ilvl w:val="0"/>
          <w:numId w:val="18"/>
        </w:numPr>
        <w:spacing w:after="120"/>
        <w:ind w:left="1077" w:hanging="357"/>
        <w:rPr>
          <w:lang w:val="cs-CZ"/>
        </w:rPr>
      </w:pPr>
      <w:r w:rsidRPr="008B1755">
        <w:rPr>
          <w:lang w:val="cs-CZ"/>
        </w:rPr>
        <w:t>ukládat pokuty za porušování v souladu s vnitrostátním právem</w:t>
      </w:r>
      <w:r w:rsidR="00792361" w:rsidRPr="008B1755">
        <w:rPr>
          <w:lang w:val="cs-CZ"/>
        </w:rPr>
        <w:t>.</w:t>
      </w:r>
    </w:p>
    <w:p w:rsidR="00D61C28" w:rsidRPr="008B1755" w:rsidRDefault="0014230E" w:rsidP="0038751B">
      <w:pPr>
        <w:numPr>
          <w:ilvl w:val="0"/>
          <w:numId w:val="2"/>
        </w:numPr>
        <w:contextualSpacing/>
        <w:rPr>
          <w:rFonts w:eastAsia="Times New Roman"/>
          <w:lang w:val="cs-CZ"/>
        </w:rPr>
      </w:pPr>
      <w:r w:rsidRPr="008B1755">
        <w:rPr>
          <w:rFonts w:eastAsia="Times New Roman"/>
          <w:lang w:val="cs-CZ"/>
        </w:rPr>
        <w:t xml:space="preserve">V případě blokování </w:t>
      </w:r>
      <w:r w:rsidR="00BE001A" w:rsidRPr="008B1755">
        <w:rPr>
          <w:rFonts w:eastAsia="Times New Roman"/>
          <w:lang w:val="cs-CZ"/>
        </w:rPr>
        <w:t>a/nebo</w:t>
      </w:r>
      <w:r w:rsidR="00D61C28" w:rsidRPr="008B1755">
        <w:rPr>
          <w:rFonts w:eastAsia="Times New Roman"/>
          <w:lang w:val="cs-CZ"/>
        </w:rPr>
        <w:t xml:space="preserve"> </w:t>
      </w:r>
      <w:r w:rsidRPr="008B1755">
        <w:rPr>
          <w:rFonts w:eastAsia="Times New Roman"/>
          <w:lang w:val="cs-CZ"/>
        </w:rPr>
        <w:t>zpomalování</w:t>
      </w:r>
      <w:r w:rsidR="001D383B" w:rsidRPr="008B1755">
        <w:rPr>
          <w:rFonts w:eastAsia="Times New Roman"/>
          <w:lang w:val="cs-CZ"/>
        </w:rPr>
        <w:t xml:space="preserve">, </w:t>
      </w:r>
      <w:r w:rsidRPr="008B1755">
        <w:rPr>
          <w:rFonts w:eastAsia="Times New Roman"/>
          <w:lang w:val="cs-CZ"/>
        </w:rPr>
        <w:t>diskriminace atd</w:t>
      </w:r>
      <w:r w:rsidR="001D383B" w:rsidRPr="008B1755">
        <w:rPr>
          <w:rFonts w:eastAsia="Times New Roman"/>
          <w:lang w:val="cs-CZ"/>
        </w:rPr>
        <w:t>.</w:t>
      </w:r>
      <w:r w:rsidR="00D61C28" w:rsidRPr="008B1755">
        <w:rPr>
          <w:rFonts w:eastAsia="Times New Roman"/>
          <w:lang w:val="cs-CZ"/>
        </w:rPr>
        <w:t xml:space="preserve"> </w:t>
      </w:r>
      <w:r w:rsidRPr="008B1755">
        <w:rPr>
          <w:rFonts w:eastAsia="Times New Roman"/>
          <w:lang w:val="cs-CZ"/>
        </w:rPr>
        <w:t xml:space="preserve">jednotlivých aplikací nebo kategorií </w:t>
      </w:r>
      <w:r w:rsidR="00714676" w:rsidRPr="008B1755">
        <w:rPr>
          <w:rFonts w:eastAsia="Times New Roman"/>
          <w:lang w:val="cs-CZ"/>
        </w:rPr>
        <w:t>aplikací</w:t>
      </w:r>
      <w:r w:rsidRPr="008B1755">
        <w:rPr>
          <w:rFonts w:eastAsia="Times New Roman"/>
          <w:lang w:val="cs-CZ"/>
        </w:rPr>
        <w:t xml:space="preserve"> mohou</w:t>
      </w:r>
      <w:r w:rsidR="00D61C28" w:rsidRPr="008B1755">
        <w:rPr>
          <w:rFonts w:eastAsia="Times New Roman"/>
          <w:lang w:val="cs-CZ"/>
        </w:rPr>
        <w:t xml:space="preserve"> </w:t>
      </w:r>
      <w:r w:rsidR="00926BAE" w:rsidRPr="008B1755">
        <w:rPr>
          <w:rFonts w:eastAsia="Times New Roman"/>
          <w:lang w:val="cs-CZ"/>
        </w:rPr>
        <w:t>vnitrostátní regulační orgány</w:t>
      </w:r>
      <w:r w:rsidR="00D61C28" w:rsidRPr="008B1755">
        <w:rPr>
          <w:rFonts w:eastAsia="Times New Roman"/>
          <w:lang w:val="cs-CZ"/>
        </w:rPr>
        <w:t xml:space="preserve"> </w:t>
      </w:r>
      <w:r w:rsidR="0020276C" w:rsidRPr="008B1755">
        <w:rPr>
          <w:rFonts w:eastAsia="Times New Roman"/>
          <w:lang w:val="cs-CZ"/>
        </w:rPr>
        <w:t xml:space="preserve">zakázat </w:t>
      </w:r>
      <w:r w:rsidRPr="008B1755">
        <w:rPr>
          <w:rFonts w:eastAsia="Times New Roman"/>
          <w:lang w:val="cs-CZ"/>
        </w:rPr>
        <w:t xml:space="preserve">omezování příslušných portů nebo omezení aplikace </w:t>
      </w:r>
      <w:r w:rsidR="00D61C28" w:rsidRPr="008B1755">
        <w:rPr>
          <w:rFonts w:eastAsia="Times New Roman"/>
          <w:lang w:val="cs-CZ"/>
        </w:rPr>
        <w:t>(</w:t>
      </w:r>
      <w:r w:rsidRPr="008B1755">
        <w:rPr>
          <w:rFonts w:eastAsia="Times New Roman"/>
          <w:lang w:val="cs-CZ"/>
        </w:rPr>
        <w:t>aplikací</w:t>
      </w:r>
      <w:r w:rsidR="00D61C28" w:rsidRPr="008B1755">
        <w:rPr>
          <w:rFonts w:eastAsia="Times New Roman"/>
          <w:lang w:val="cs-CZ"/>
        </w:rPr>
        <w:t>)</w:t>
      </w:r>
      <w:r w:rsidR="0020276C" w:rsidRPr="008B1755">
        <w:rPr>
          <w:rFonts w:eastAsia="Times New Roman"/>
          <w:lang w:val="cs-CZ"/>
        </w:rPr>
        <w:t xml:space="preserve">, pokud </w:t>
      </w:r>
      <w:r w:rsidR="00EF345C">
        <w:rPr>
          <w:rFonts w:eastAsia="Times New Roman"/>
          <w:lang w:val="cs-CZ"/>
        </w:rPr>
        <w:t xml:space="preserve">není </w:t>
      </w:r>
      <w:r w:rsidR="0020276C" w:rsidRPr="008B1755">
        <w:rPr>
          <w:rFonts w:eastAsia="Times New Roman"/>
          <w:lang w:val="cs-CZ"/>
        </w:rPr>
        <w:t>nesoulad s</w:t>
      </w:r>
      <w:r w:rsidR="00EF345C">
        <w:rPr>
          <w:rFonts w:eastAsia="Times New Roman"/>
          <w:lang w:val="cs-CZ"/>
        </w:rPr>
        <w:t> </w:t>
      </w:r>
      <w:r w:rsidR="00032BA4" w:rsidRPr="008B1755">
        <w:rPr>
          <w:rFonts w:eastAsia="Times New Roman"/>
          <w:lang w:val="cs-CZ"/>
        </w:rPr>
        <w:t>Nařízením</w:t>
      </w:r>
      <w:r w:rsidR="00D61C28" w:rsidRPr="008B1755">
        <w:rPr>
          <w:rFonts w:eastAsia="Times New Roman"/>
          <w:lang w:val="cs-CZ"/>
        </w:rPr>
        <w:t xml:space="preserve">, </w:t>
      </w:r>
      <w:r w:rsidR="0020276C" w:rsidRPr="008B1755">
        <w:rPr>
          <w:rFonts w:eastAsia="Times New Roman"/>
          <w:lang w:val="cs-CZ"/>
        </w:rPr>
        <w:t xml:space="preserve">zejména čl. </w:t>
      </w:r>
      <w:r w:rsidR="00DD272F" w:rsidRPr="008B1755">
        <w:rPr>
          <w:rFonts w:eastAsia="Times New Roman"/>
          <w:lang w:val="cs-CZ"/>
        </w:rPr>
        <w:t xml:space="preserve">3 </w:t>
      </w:r>
      <w:r w:rsidR="00585BD7" w:rsidRPr="008B1755">
        <w:rPr>
          <w:rFonts w:eastAsia="Times New Roman"/>
          <w:lang w:val="cs-CZ"/>
        </w:rPr>
        <w:t>odst. 3</w:t>
      </w:r>
      <w:r w:rsidR="00EE580F" w:rsidRPr="008B1755">
        <w:rPr>
          <w:rFonts w:eastAsia="Times New Roman"/>
          <w:lang w:val="cs-CZ"/>
        </w:rPr>
        <w:t>,</w:t>
      </w:r>
      <w:r w:rsidR="00D61C28" w:rsidRPr="008B1755">
        <w:rPr>
          <w:rFonts w:eastAsia="Times New Roman"/>
          <w:lang w:val="cs-CZ"/>
        </w:rPr>
        <w:t xml:space="preserve"> </w:t>
      </w:r>
      <w:r w:rsidR="001D70F8" w:rsidRPr="008B1755">
        <w:rPr>
          <w:rFonts w:eastAsia="Times New Roman"/>
          <w:lang w:val="cs-CZ"/>
        </w:rPr>
        <w:t>třetí pododstavec</w:t>
      </w:r>
      <w:r w:rsidR="0020276C" w:rsidRPr="008B1755">
        <w:rPr>
          <w:rFonts w:eastAsia="Times New Roman"/>
          <w:lang w:val="cs-CZ"/>
        </w:rPr>
        <w:t>, řádně odůvodněn</w:t>
      </w:r>
      <w:r w:rsidR="00D61C28" w:rsidRPr="008B1755">
        <w:rPr>
          <w:rFonts w:eastAsia="Times New Roman"/>
          <w:lang w:val="cs-CZ"/>
        </w:rPr>
        <w:t xml:space="preserve">. </w:t>
      </w:r>
      <w:r w:rsidR="0020276C" w:rsidRPr="008B1755">
        <w:rPr>
          <w:rFonts w:eastAsia="Times New Roman"/>
          <w:lang w:val="cs-CZ"/>
        </w:rPr>
        <w:t xml:space="preserve">Opatření podle čl. </w:t>
      </w:r>
      <w:r w:rsidR="00B639EF" w:rsidRPr="008B1755">
        <w:rPr>
          <w:rFonts w:eastAsia="Times New Roman"/>
          <w:lang w:val="cs-CZ"/>
        </w:rPr>
        <w:t>5 odst. 1</w:t>
      </w:r>
      <w:r w:rsidR="00D61C28" w:rsidRPr="008B1755">
        <w:rPr>
          <w:rFonts w:eastAsia="Times New Roman"/>
          <w:lang w:val="cs-CZ"/>
        </w:rPr>
        <w:t xml:space="preserve"> </w:t>
      </w:r>
      <w:r w:rsidR="0020276C" w:rsidRPr="008B1755">
        <w:rPr>
          <w:rFonts w:eastAsia="Times New Roman"/>
          <w:lang w:val="cs-CZ"/>
        </w:rPr>
        <w:t xml:space="preserve">mohou být užitečná zejména při zakazování praktik, které zjevně představují porušení </w:t>
      </w:r>
      <w:r w:rsidR="00D44301" w:rsidRPr="008B1755">
        <w:rPr>
          <w:rFonts w:eastAsia="Times New Roman"/>
          <w:lang w:val="cs-CZ"/>
        </w:rPr>
        <w:t>Nařízení</w:t>
      </w:r>
      <w:r w:rsidR="00D61C28" w:rsidRPr="008B1755">
        <w:rPr>
          <w:rFonts w:eastAsia="Times New Roman"/>
          <w:lang w:val="cs-CZ"/>
        </w:rPr>
        <w:t xml:space="preserve">. </w:t>
      </w:r>
      <w:r w:rsidR="0020276C" w:rsidRPr="008B1755">
        <w:rPr>
          <w:rFonts w:eastAsia="Times New Roman"/>
          <w:lang w:val="cs-CZ"/>
        </w:rPr>
        <w:t>Mezi tato opatření může patřit</w:t>
      </w:r>
      <w:r w:rsidR="00D61C28" w:rsidRPr="008B1755">
        <w:rPr>
          <w:rFonts w:eastAsia="Times New Roman"/>
          <w:lang w:val="cs-CZ"/>
        </w:rPr>
        <w:t>:</w:t>
      </w:r>
    </w:p>
    <w:p w:rsidR="00D61C28" w:rsidRPr="008B1755" w:rsidRDefault="0020276C" w:rsidP="005D7948">
      <w:pPr>
        <w:pStyle w:val="Odstavecseseznamem"/>
        <w:numPr>
          <w:ilvl w:val="0"/>
          <w:numId w:val="18"/>
        </w:numPr>
        <w:spacing w:after="120"/>
        <w:ind w:left="1077" w:hanging="357"/>
        <w:rPr>
          <w:lang w:val="cs-CZ"/>
        </w:rPr>
      </w:pPr>
      <w:r w:rsidRPr="008B1755">
        <w:rPr>
          <w:lang w:val="cs-CZ"/>
        </w:rPr>
        <w:t xml:space="preserve">zákaz blokování </w:t>
      </w:r>
      <w:r w:rsidR="00BE001A" w:rsidRPr="008B1755">
        <w:rPr>
          <w:lang w:val="cs-CZ"/>
        </w:rPr>
        <w:t>a/nebo</w:t>
      </w:r>
      <w:r w:rsidR="00D61C28" w:rsidRPr="008B1755">
        <w:rPr>
          <w:lang w:val="cs-CZ"/>
        </w:rPr>
        <w:t xml:space="preserve"> </w:t>
      </w:r>
      <w:r w:rsidRPr="008B1755">
        <w:rPr>
          <w:lang w:val="cs-CZ"/>
        </w:rPr>
        <w:t>zpomalování</w:t>
      </w:r>
      <w:r w:rsidR="00D61C28" w:rsidRPr="008B1755">
        <w:rPr>
          <w:lang w:val="cs-CZ"/>
        </w:rPr>
        <w:t xml:space="preserve"> </w:t>
      </w:r>
      <w:r w:rsidRPr="008B1755">
        <w:rPr>
          <w:lang w:val="cs-CZ"/>
        </w:rPr>
        <w:t>konkrétních aplikací</w:t>
      </w:r>
      <w:r w:rsidR="00D61C28" w:rsidRPr="008B1755">
        <w:rPr>
          <w:lang w:val="cs-CZ"/>
        </w:rPr>
        <w:t>;</w:t>
      </w:r>
    </w:p>
    <w:p w:rsidR="00D61C28" w:rsidRPr="008B1755" w:rsidRDefault="0020276C" w:rsidP="005D7948">
      <w:pPr>
        <w:pStyle w:val="Odstavecseseznamem"/>
        <w:numPr>
          <w:ilvl w:val="0"/>
          <w:numId w:val="18"/>
        </w:numPr>
        <w:spacing w:after="120"/>
        <w:ind w:left="1077" w:hanging="357"/>
        <w:rPr>
          <w:lang w:val="cs-CZ"/>
        </w:rPr>
      </w:pPr>
      <w:r w:rsidRPr="008B1755">
        <w:rPr>
          <w:lang w:val="cs-CZ"/>
        </w:rPr>
        <w:t xml:space="preserve">zákaz určitého </w:t>
      </w:r>
      <w:r w:rsidR="00792C4F" w:rsidRPr="008B1755">
        <w:rPr>
          <w:lang w:val="cs-CZ"/>
        </w:rPr>
        <w:t>opatření řízení provozu na řešení přetížení</w:t>
      </w:r>
      <w:r w:rsidRPr="008B1755">
        <w:rPr>
          <w:lang w:val="cs-CZ"/>
        </w:rPr>
        <w:t>, které je uplatňováno na jednotlivé konkrétní aplikace</w:t>
      </w:r>
      <w:r w:rsidR="00D61C28" w:rsidRPr="008B1755">
        <w:rPr>
          <w:lang w:val="cs-CZ"/>
        </w:rPr>
        <w:t>;</w:t>
      </w:r>
    </w:p>
    <w:p w:rsidR="00D61C28" w:rsidRPr="008B1755" w:rsidRDefault="002C6A5A" w:rsidP="005D7948">
      <w:pPr>
        <w:pStyle w:val="Odstavecseseznamem"/>
        <w:numPr>
          <w:ilvl w:val="0"/>
          <w:numId w:val="18"/>
        </w:numPr>
        <w:spacing w:after="120"/>
        <w:ind w:left="1077" w:hanging="357"/>
        <w:rPr>
          <w:lang w:val="cs-CZ"/>
        </w:rPr>
      </w:pPr>
      <w:r w:rsidRPr="008B1755">
        <w:rPr>
          <w:lang w:val="cs-CZ"/>
        </w:rPr>
        <w:t xml:space="preserve">požadování, aby </w:t>
      </w:r>
      <w:r w:rsidR="00AF59E3">
        <w:rPr>
          <w:lang w:val="cs-CZ"/>
        </w:rPr>
        <w:t xml:space="preserve">parametry </w:t>
      </w:r>
      <w:r w:rsidRPr="008B1755">
        <w:rPr>
          <w:lang w:val="cs-CZ"/>
        </w:rPr>
        <w:t>přístupu</w:t>
      </w:r>
      <w:r w:rsidR="00D61C28" w:rsidRPr="008B1755">
        <w:rPr>
          <w:lang w:val="cs-CZ"/>
        </w:rPr>
        <w:t xml:space="preserve">, </w:t>
      </w:r>
      <w:r w:rsidRPr="008B1755">
        <w:rPr>
          <w:lang w:val="cs-CZ"/>
        </w:rPr>
        <w:t>například minimální nebo běžně dostupné rychlosti</w:t>
      </w:r>
      <w:r w:rsidR="00D61C28" w:rsidRPr="008B1755">
        <w:rPr>
          <w:lang w:val="cs-CZ"/>
        </w:rPr>
        <w:t xml:space="preserve">, </w:t>
      </w:r>
      <w:r w:rsidRPr="008B1755">
        <w:rPr>
          <w:lang w:val="cs-CZ"/>
        </w:rPr>
        <w:t>byl</w:t>
      </w:r>
      <w:r w:rsidR="00AF59E3">
        <w:rPr>
          <w:lang w:val="cs-CZ"/>
        </w:rPr>
        <w:t>y</w:t>
      </w:r>
      <w:r w:rsidRPr="008B1755">
        <w:rPr>
          <w:lang w:val="cs-CZ"/>
        </w:rPr>
        <w:t xml:space="preserve"> srovnatelný s inzerovanými</w:t>
      </w:r>
      <w:r w:rsidR="00D61C28" w:rsidRPr="008B1755">
        <w:rPr>
          <w:lang w:val="cs-CZ"/>
        </w:rPr>
        <w:t>/</w:t>
      </w:r>
      <w:r w:rsidR="00B639EF" w:rsidRPr="008B1755">
        <w:rPr>
          <w:lang w:val="cs-CZ"/>
        </w:rPr>
        <w:t>maximální</w:t>
      </w:r>
      <w:r w:rsidRPr="008B1755">
        <w:rPr>
          <w:lang w:val="cs-CZ"/>
        </w:rPr>
        <w:t>mi</w:t>
      </w:r>
      <w:r w:rsidR="00B639EF" w:rsidRPr="008B1755">
        <w:rPr>
          <w:lang w:val="cs-CZ"/>
        </w:rPr>
        <w:t xml:space="preserve"> rychlost</w:t>
      </w:r>
      <w:r w:rsidRPr="008B1755">
        <w:rPr>
          <w:lang w:val="cs-CZ"/>
        </w:rPr>
        <w:t>mi</w:t>
      </w:r>
      <w:r w:rsidR="00D61C28" w:rsidRPr="008B1755">
        <w:rPr>
          <w:lang w:val="cs-CZ"/>
        </w:rPr>
        <w:t>;</w:t>
      </w:r>
    </w:p>
    <w:p w:rsidR="00D61C28" w:rsidRPr="008B1755" w:rsidRDefault="002C6A5A" w:rsidP="005D7948">
      <w:pPr>
        <w:pStyle w:val="Odstavecseseznamem"/>
        <w:numPr>
          <w:ilvl w:val="0"/>
          <w:numId w:val="18"/>
        </w:numPr>
        <w:spacing w:after="120"/>
        <w:ind w:left="1077" w:hanging="357"/>
        <w:rPr>
          <w:lang w:val="cs-CZ"/>
        </w:rPr>
      </w:pPr>
      <w:r w:rsidRPr="008B1755">
        <w:rPr>
          <w:lang w:val="cs-CZ"/>
        </w:rPr>
        <w:t>stanovení kvalitativních požadavků na výkon provozu u konkrétních aplikací</w:t>
      </w:r>
      <w:r w:rsidR="00D61C28" w:rsidRPr="008B1755">
        <w:rPr>
          <w:lang w:val="cs-CZ"/>
        </w:rPr>
        <w:t>.</w:t>
      </w:r>
    </w:p>
    <w:p w:rsidR="00243031" w:rsidRPr="008B1755" w:rsidRDefault="002C6A5A" w:rsidP="0038751B">
      <w:pPr>
        <w:numPr>
          <w:ilvl w:val="0"/>
          <w:numId w:val="2"/>
        </w:numPr>
        <w:spacing w:after="120"/>
        <w:rPr>
          <w:rFonts w:eastAsia="Times New Roman"/>
          <w:lang w:val="cs-CZ"/>
        </w:rPr>
      </w:pPr>
      <w:r w:rsidRPr="008B1755">
        <w:rPr>
          <w:rFonts w:eastAsia="Times New Roman"/>
          <w:lang w:val="cs-CZ"/>
        </w:rPr>
        <w:t xml:space="preserve">Požadavky a opatření lze stanovit pro jednoho nebo více </w:t>
      </w:r>
      <w:r w:rsidR="007D7F64" w:rsidRPr="008B1755">
        <w:rPr>
          <w:rFonts w:eastAsia="Times New Roman"/>
          <w:lang w:val="cs-CZ"/>
        </w:rPr>
        <w:t>poskytovatel</w:t>
      </w:r>
      <w:r w:rsidRPr="008B1755">
        <w:rPr>
          <w:rFonts w:eastAsia="Times New Roman"/>
          <w:lang w:val="cs-CZ"/>
        </w:rPr>
        <w:t>ů</w:t>
      </w:r>
      <w:r w:rsidR="007D7F64" w:rsidRPr="008B1755">
        <w:rPr>
          <w:rFonts w:eastAsia="Times New Roman"/>
          <w:lang w:val="cs-CZ"/>
        </w:rPr>
        <w:t xml:space="preserve"> internetových služeb</w:t>
      </w:r>
      <w:r w:rsidRPr="008B1755">
        <w:rPr>
          <w:rFonts w:eastAsia="Times New Roman"/>
          <w:lang w:val="cs-CZ"/>
        </w:rPr>
        <w:t xml:space="preserve"> a ve výjimečných případech může být rovněž rozumné stanovit tyto požadavky obecně pro všechny </w:t>
      </w:r>
      <w:r w:rsidR="007D7F64" w:rsidRPr="008B1755">
        <w:rPr>
          <w:rFonts w:eastAsia="Times New Roman"/>
          <w:lang w:val="cs-CZ"/>
        </w:rPr>
        <w:t>poskytovatel</w:t>
      </w:r>
      <w:r w:rsidRPr="008B1755">
        <w:rPr>
          <w:rFonts w:eastAsia="Times New Roman"/>
          <w:lang w:val="cs-CZ"/>
        </w:rPr>
        <w:t>e</w:t>
      </w:r>
      <w:r w:rsidR="007D7F64" w:rsidRPr="008B1755">
        <w:rPr>
          <w:rFonts w:eastAsia="Times New Roman"/>
          <w:lang w:val="cs-CZ"/>
        </w:rPr>
        <w:t xml:space="preserve"> internetových služeb</w:t>
      </w:r>
      <w:r w:rsidR="00243031" w:rsidRPr="008B1755">
        <w:rPr>
          <w:rFonts w:eastAsia="Times New Roman"/>
          <w:lang w:val="cs-CZ"/>
        </w:rPr>
        <w:t xml:space="preserve"> </w:t>
      </w:r>
      <w:r w:rsidRPr="008B1755">
        <w:rPr>
          <w:rFonts w:eastAsia="Times New Roman"/>
          <w:lang w:val="cs-CZ"/>
        </w:rPr>
        <w:t>na trhu</w:t>
      </w:r>
      <w:r w:rsidR="00243031" w:rsidRPr="008B1755">
        <w:rPr>
          <w:rFonts w:eastAsia="Times New Roman"/>
          <w:lang w:val="cs-CZ"/>
        </w:rPr>
        <w:t xml:space="preserve">. </w:t>
      </w:r>
    </w:p>
    <w:p w:rsidR="00D61C28" w:rsidRPr="008B1755" w:rsidRDefault="002C6A5A" w:rsidP="0038751B">
      <w:pPr>
        <w:numPr>
          <w:ilvl w:val="0"/>
          <w:numId w:val="2"/>
        </w:numPr>
        <w:contextualSpacing/>
        <w:rPr>
          <w:rFonts w:eastAsia="Times New Roman"/>
          <w:lang w:val="cs-CZ"/>
        </w:rPr>
      </w:pPr>
      <w:r w:rsidRPr="008B1755">
        <w:rPr>
          <w:rFonts w:eastAsia="Times New Roman"/>
          <w:lang w:val="cs-CZ"/>
        </w:rPr>
        <w:t>Stanovení jakýchkoli z těchto požadavků a opatření by mělo vycházet z</w:t>
      </w:r>
      <w:r w:rsidR="00A25CE5">
        <w:rPr>
          <w:rFonts w:eastAsia="Times New Roman"/>
          <w:lang w:val="cs-CZ"/>
        </w:rPr>
        <w:t xml:space="preserve"> principu </w:t>
      </w:r>
      <w:r w:rsidRPr="008B1755">
        <w:rPr>
          <w:rFonts w:eastAsia="Times New Roman"/>
          <w:lang w:val="cs-CZ"/>
        </w:rPr>
        <w:t>účinnosti</w:t>
      </w:r>
      <w:r w:rsidR="00D61C28" w:rsidRPr="008B1755">
        <w:rPr>
          <w:rFonts w:eastAsia="Times New Roman"/>
          <w:lang w:val="cs-CZ"/>
        </w:rPr>
        <w:t xml:space="preserve">, </w:t>
      </w:r>
      <w:r w:rsidRPr="008B1755">
        <w:rPr>
          <w:rFonts w:eastAsia="Times New Roman"/>
          <w:lang w:val="cs-CZ"/>
        </w:rPr>
        <w:t xml:space="preserve">nezbytnosti a </w:t>
      </w:r>
      <w:r w:rsidR="003D7133" w:rsidRPr="008B1755">
        <w:rPr>
          <w:rFonts w:eastAsia="Times New Roman"/>
          <w:lang w:val="cs-CZ"/>
        </w:rPr>
        <w:t>proporcionality</w:t>
      </w:r>
      <w:r w:rsidR="00D61C28" w:rsidRPr="008B1755">
        <w:rPr>
          <w:rFonts w:eastAsia="Times New Roman"/>
          <w:lang w:val="cs-CZ"/>
        </w:rPr>
        <w:t>:</w:t>
      </w:r>
    </w:p>
    <w:p w:rsidR="00D61C28" w:rsidRPr="008B1755" w:rsidRDefault="009F610C" w:rsidP="005D7948">
      <w:pPr>
        <w:pStyle w:val="Odstavecseseznamem"/>
        <w:numPr>
          <w:ilvl w:val="0"/>
          <w:numId w:val="18"/>
        </w:numPr>
        <w:spacing w:after="120"/>
        <w:ind w:left="1077" w:hanging="357"/>
        <w:rPr>
          <w:lang w:val="cs-CZ"/>
        </w:rPr>
      </w:pPr>
      <w:r>
        <w:rPr>
          <w:lang w:val="cs-CZ"/>
        </w:rPr>
        <w:t>Princip ú</w:t>
      </w:r>
      <w:r w:rsidR="002C6A5A" w:rsidRPr="008B1755">
        <w:rPr>
          <w:lang w:val="cs-CZ"/>
        </w:rPr>
        <w:t>činnost</w:t>
      </w:r>
      <w:r>
        <w:rPr>
          <w:lang w:val="cs-CZ"/>
        </w:rPr>
        <w:t>i</w:t>
      </w:r>
      <w:r w:rsidR="002C6A5A" w:rsidRPr="008B1755">
        <w:rPr>
          <w:lang w:val="cs-CZ"/>
        </w:rPr>
        <w:t xml:space="preserve"> vyžaduje, aby tyto požadavky mohly být implementovány </w:t>
      </w:r>
      <w:r>
        <w:rPr>
          <w:lang w:val="cs-CZ"/>
        </w:rPr>
        <w:t xml:space="preserve">dotčenými subjekty (podnikateli) </w:t>
      </w:r>
      <w:r w:rsidR="002C6A5A" w:rsidRPr="008B1755">
        <w:rPr>
          <w:lang w:val="cs-CZ"/>
        </w:rPr>
        <w:t xml:space="preserve">a byly schopny rychle zabránit nebo odstranit zhoršení nabídky </w:t>
      </w:r>
      <w:r w:rsidR="007D7F64" w:rsidRPr="008B1755">
        <w:rPr>
          <w:lang w:val="cs-CZ"/>
        </w:rPr>
        <w:t>služby přístupu k internetu</w:t>
      </w:r>
      <w:r w:rsidR="00D61C28" w:rsidRPr="008B1755">
        <w:rPr>
          <w:lang w:val="cs-CZ"/>
        </w:rPr>
        <w:t xml:space="preserve"> </w:t>
      </w:r>
      <w:r w:rsidR="002C6A5A" w:rsidRPr="008B1755">
        <w:rPr>
          <w:lang w:val="cs-CZ"/>
        </w:rPr>
        <w:t xml:space="preserve">pro </w:t>
      </w:r>
      <w:r w:rsidR="00035413" w:rsidRPr="008B1755">
        <w:rPr>
          <w:lang w:val="cs-CZ"/>
        </w:rPr>
        <w:t>koncov</w:t>
      </w:r>
      <w:r w:rsidR="002C6A5A" w:rsidRPr="008B1755">
        <w:rPr>
          <w:lang w:val="cs-CZ"/>
        </w:rPr>
        <w:t>é</w:t>
      </w:r>
      <w:r w:rsidR="00035413" w:rsidRPr="008B1755">
        <w:rPr>
          <w:lang w:val="cs-CZ"/>
        </w:rPr>
        <w:t xml:space="preserve"> uživatel</w:t>
      </w:r>
      <w:r w:rsidR="002C6A5A" w:rsidRPr="008B1755">
        <w:rPr>
          <w:lang w:val="cs-CZ"/>
        </w:rPr>
        <w:t xml:space="preserve">e nebo jiná porušení </w:t>
      </w:r>
      <w:r w:rsidR="001D46DD" w:rsidRPr="008B1755">
        <w:rPr>
          <w:lang w:val="cs-CZ"/>
        </w:rPr>
        <w:t>Nařízení</w:t>
      </w:r>
      <w:r w:rsidR="00D61C28" w:rsidRPr="008B1755">
        <w:rPr>
          <w:lang w:val="cs-CZ"/>
        </w:rPr>
        <w:t xml:space="preserve">. </w:t>
      </w:r>
    </w:p>
    <w:p w:rsidR="00D61C28" w:rsidRPr="008B1755" w:rsidRDefault="009F610C" w:rsidP="005D7948">
      <w:pPr>
        <w:pStyle w:val="Odstavecseseznamem"/>
        <w:numPr>
          <w:ilvl w:val="0"/>
          <w:numId w:val="18"/>
        </w:numPr>
        <w:spacing w:after="120"/>
        <w:ind w:left="1077" w:hanging="357"/>
        <w:rPr>
          <w:lang w:val="cs-CZ"/>
        </w:rPr>
      </w:pPr>
      <w:r>
        <w:rPr>
          <w:lang w:val="cs-CZ"/>
        </w:rPr>
        <w:t>Princip n</w:t>
      </w:r>
      <w:r w:rsidR="002C6A5A" w:rsidRPr="008B1755">
        <w:rPr>
          <w:lang w:val="cs-CZ"/>
        </w:rPr>
        <w:t>ezbytnost</w:t>
      </w:r>
      <w:r>
        <w:rPr>
          <w:lang w:val="cs-CZ"/>
        </w:rPr>
        <w:t>i</w:t>
      </w:r>
      <w:r w:rsidR="002C6A5A" w:rsidRPr="008B1755">
        <w:rPr>
          <w:lang w:val="cs-CZ"/>
        </w:rPr>
        <w:t xml:space="preserve"> vyžaduje</w:t>
      </w:r>
      <w:r w:rsidR="00E54A13" w:rsidRPr="008B1755">
        <w:rPr>
          <w:lang w:val="cs-CZ"/>
        </w:rPr>
        <w:t>,</w:t>
      </w:r>
      <w:r w:rsidR="00D61C28" w:rsidRPr="008B1755">
        <w:rPr>
          <w:lang w:val="cs-CZ"/>
        </w:rPr>
        <w:t xml:space="preserve"> </w:t>
      </w:r>
      <w:r w:rsidR="002C6A5A" w:rsidRPr="008B1755">
        <w:rPr>
          <w:lang w:val="cs-CZ"/>
        </w:rPr>
        <w:t>aby z účinných požadavků nebo opatření byly vybrány ty nejméně zatěžující</w:t>
      </w:r>
      <w:r w:rsidR="006E24F2" w:rsidRPr="008B1755">
        <w:rPr>
          <w:lang w:val="cs-CZ"/>
        </w:rPr>
        <w:t>,</w:t>
      </w:r>
      <w:r w:rsidR="00D61C28" w:rsidRPr="008B1755">
        <w:rPr>
          <w:lang w:val="cs-CZ"/>
        </w:rPr>
        <w:t xml:space="preserve"> </w:t>
      </w:r>
      <w:r w:rsidR="00007189" w:rsidRPr="008B1755">
        <w:rPr>
          <w:lang w:val="cs-CZ"/>
        </w:rPr>
        <w:t>tj.</w:t>
      </w:r>
      <w:r w:rsidR="006E24F2" w:rsidRPr="008B1755">
        <w:rPr>
          <w:lang w:val="cs-CZ"/>
        </w:rPr>
        <w:t xml:space="preserve"> </w:t>
      </w:r>
      <w:r w:rsidR="002C6A5A" w:rsidRPr="008B1755">
        <w:rPr>
          <w:lang w:val="cs-CZ"/>
        </w:rPr>
        <w:t xml:space="preserve">je nutné zvážit </w:t>
      </w:r>
      <w:r>
        <w:rPr>
          <w:lang w:val="cs-CZ"/>
        </w:rPr>
        <w:t xml:space="preserve">i </w:t>
      </w:r>
      <w:r w:rsidR="002C6A5A" w:rsidRPr="008B1755">
        <w:rPr>
          <w:lang w:val="cs-CZ"/>
        </w:rPr>
        <w:t xml:space="preserve">jiné </w:t>
      </w:r>
      <w:r w:rsidR="00D61C28" w:rsidRPr="008B1755">
        <w:rPr>
          <w:lang w:val="cs-CZ"/>
        </w:rPr>
        <w:t>regula</w:t>
      </w:r>
      <w:r w:rsidR="002C6A5A" w:rsidRPr="008B1755">
        <w:rPr>
          <w:lang w:val="cs-CZ"/>
        </w:rPr>
        <w:t xml:space="preserve">ční nástroje </w:t>
      </w:r>
      <w:r w:rsidR="00E7638F" w:rsidRPr="008B1755">
        <w:rPr>
          <w:lang w:val="cs-CZ"/>
        </w:rPr>
        <w:t xml:space="preserve">a </w:t>
      </w:r>
      <w:r>
        <w:rPr>
          <w:lang w:val="cs-CZ"/>
        </w:rPr>
        <w:t xml:space="preserve">u těchto </w:t>
      </w:r>
      <w:r w:rsidR="00E7638F" w:rsidRPr="008B1755">
        <w:rPr>
          <w:lang w:val="cs-CZ"/>
        </w:rPr>
        <w:t>shledat</w:t>
      </w:r>
      <w:r>
        <w:rPr>
          <w:lang w:val="cs-CZ"/>
        </w:rPr>
        <w:t xml:space="preserve">, že jsou </w:t>
      </w:r>
      <w:r w:rsidR="00E7638F" w:rsidRPr="008B1755">
        <w:rPr>
          <w:lang w:val="cs-CZ"/>
        </w:rPr>
        <w:t>nedostatečn</w:t>
      </w:r>
      <w:r>
        <w:rPr>
          <w:lang w:val="cs-CZ"/>
        </w:rPr>
        <w:t>á</w:t>
      </w:r>
      <w:r w:rsidR="006E24F2" w:rsidRPr="008B1755">
        <w:rPr>
          <w:lang w:val="cs-CZ"/>
        </w:rPr>
        <w:t xml:space="preserve">, </w:t>
      </w:r>
      <w:r w:rsidR="00E7638F" w:rsidRPr="008B1755">
        <w:rPr>
          <w:lang w:val="cs-CZ"/>
        </w:rPr>
        <w:t>neúčinn</w:t>
      </w:r>
      <w:r>
        <w:rPr>
          <w:lang w:val="cs-CZ"/>
        </w:rPr>
        <w:t>á</w:t>
      </w:r>
      <w:r w:rsidR="00E7638F" w:rsidRPr="008B1755">
        <w:rPr>
          <w:lang w:val="cs-CZ"/>
        </w:rPr>
        <w:t xml:space="preserve"> nebo </w:t>
      </w:r>
      <w:r w:rsidRPr="008B1755">
        <w:rPr>
          <w:lang w:val="cs-CZ"/>
        </w:rPr>
        <w:t>ne</w:t>
      </w:r>
      <w:r>
        <w:rPr>
          <w:lang w:val="cs-CZ"/>
        </w:rPr>
        <w:t xml:space="preserve">realizovatelná </w:t>
      </w:r>
      <w:r w:rsidR="00E7638F" w:rsidRPr="008B1755">
        <w:rPr>
          <w:lang w:val="cs-CZ"/>
        </w:rPr>
        <w:t xml:space="preserve">dostatečně rychle </w:t>
      </w:r>
      <w:r>
        <w:rPr>
          <w:lang w:val="cs-CZ"/>
        </w:rPr>
        <w:t xml:space="preserve">za účelem </w:t>
      </w:r>
      <w:r w:rsidR="00E7638F" w:rsidRPr="008B1755">
        <w:rPr>
          <w:lang w:val="cs-CZ"/>
        </w:rPr>
        <w:t>náprav</w:t>
      </w:r>
      <w:r>
        <w:rPr>
          <w:lang w:val="cs-CZ"/>
        </w:rPr>
        <w:t>y</w:t>
      </w:r>
      <w:r w:rsidR="00E7638F" w:rsidRPr="008B1755">
        <w:rPr>
          <w:lang w:val="cs-CZ"/>
        </w:rPr>
        <w:t xml:space="preserve"> situace</w:t>
      </w:r>
      <w:r w:rsidR="00D61C28" w:rsidRPr="008B1755">
        <w:rPr>
          <w:lang w:val="cs-CZ"/>
        </w:rPr>
        <w:t xml:space="preserve">. </w:t>
      </w:r>
    </w:p>
    <w:p w:rsidR="00D61C28" w:rsidRPr="008B1755" w:rsidRDefault="009F610C" w:rsidP="001C25BC">
      <w:pPr>
        <w:pStyle w:val="Odstavecseseznamem"/>
        <w:numPr>
          <w:ilvl w:val="0"/>
          <w:numId w:val="18"/>
        </w:numPr>
        <w:spacing w:after="120"/>
        <w:rPr>
          <w:lang w:val="cs-CZ"/>
        </w:rPr>
      </w:pPr>
      <w:r>
        <w:rPr>
          <w:lang w:val="cs-CZ"/>
        </w:rPr>
        <w:t>Princip p</w:t>
      </w:r>
      <w:r w:rsidR="00E7638F" w:rsidRPr="008B1755">
        <w:rPr>
          <w:lang w:val="cs-CZ"/>
        </w:rPr>
        <w:t>roporcionalit</w:t>
      </w:r>
      <w:r>
        <w:rPr>
          <w:lang w:val="cs-CZ"/>
        </w:rPr>
        <w:t>y</w:t>
      </w:r>
      <w:r w:rsidR="00E7638F" w:rsidRPr="008B1755">
        <w:rPr>
          <w:lang w:val="cs-CZ"/>
        </w:rPr>
        <w:t xml:space="preserve"> znamená omezení požadavků </w:t>
      </w:r>
      <w:r>
        <w:rPr>
          <w:lang w:val="cs-CZ"/>
        </w:rPr>
        <w:t xml:space="preserve">pouze </w:t>
      </w:r>
      <w:r w:rsidR="00E7638F" w:rsidRPr="008B1755">
        <w:rPr>
          <w:lang w:val="cs-CZ"/>
        </w:rPr>
        <w:t xml:space="preserve">na </w:t>
      </w:r>
      <w:r>
        <w:rPr>
          <w:lang w:val="cs-CZ"/>
        </w:rPr>
        <w:t xml:space="preserve">potřebný </w:t>
      </w:r>
      <w:r w:rsidR="00E7638F" w:rsidRPr="008B1755">
        <w:rPr>
          <w:lang w:val="cs-CZ"/>
        </w:rPr>
        <w:t>rozsah a to, aby povinnost stanovená tímto požadavkem sledovala legitimní cíl</w:t>
      </w:r>
      <w:r w:rsidR="001C25BC" w:rsidRPr="008B1755">
        <w:rPr>
          <w:lang w:val="cs-CZ"/>
        </w:rPr>
        <w:t xml:space="preserve">, </w:t>
      </w:r>
      <w:r w:rsidR="00E7638F" w:rsidRPr="008B1755">
        <w:rPr>
          <w:lang w:val="cs-CZ"/>
        </w:rPr>
        <w:t xml:space="preserve">byla vhodná pro sledovaný cíl a </w:t>
      </w:r>
      <w:r>
        <w:rPr>
          <w:lang w:val="cs-CZ"/>
        </w:rPr>
        <w:t>současně aby ne</w:t>
      </w:r>
      <w:r w:rsidR="00E7638F" w:rsidRPr="008B1755">
        <w:rPr>
          <w:lang w:val="cs-CZ"/>
        </w:rPr>
        <w:t>existova</w:t>
      </w:r>
      <w:r>
        <w:rPr>
          <w:lang w:val="cs-CZ"/>
        </w:rPr>
        <w:t>la</w:t>
      </w:r>
      <w:r w:rsidR="00E7638F" w:rsidRPr="008B1755">
        <w:rPr>
          <w:lang w:val="cs-CZ"/>
        </w:rPr>
        <w:t xml:space="preserve"> méně rušivá a stejně účinná </w:t>
      </w:r>
      <w:r w:rsidR="001C25BC" w:rsidRPr="008B1755">
        <w:rPr>
          <w:lang w:val="cs-CZ"/>
        </w:rPr>
        <w:t>alternativ</w:t>
      </w:r>
      <w:r w:rsidR="00E7638F" w:rsidRPr="008B1755">
        <w:rPr>
          <w:lang w:val="cs-CZ"/>
        </w:rPr>
        <w:t>a pro dosažení tohoto cíle</w:t>
      </w:r>
      <w:r w:rsidR="00D61C28" w:rsidRPr="008B1755">
        <w:rPr>
          <w:lang w:val="cs-CZ"/>
        </w:rPr>
        <w:t xml:space="preserve">. </w:t>
      </w:r>
      <w:r w:rsidR="00E7638F" w:rsidRPr="008B1755">
        <w:rPr>
          <w:lang w:val="cs-CZ"/>
        </w:rPr>
        <w:t xml:space="preserve">Například pokud určití </w:t>
      </w:r>
      <w:r w:rsidR="007D7F64" w:rsidRPr="008B1755">
        <w:rPr>
          <w:lang w:val="cs-CZ"/>
        </w:rPr>
        <w:t>poskytovatelé internetových služeb</w:t>
      </w:r>
      <w:r w:rsidR="00D61C28" w:rsidRPr="008B1755">
        <w:rPr>
          <w:lang w:val="cs-CZ"/>
        </w:rPr>
        <w:t xml:space="preserve"> </w:t>
      </w:r>
      <w:r w:rsidR="00E7638F" w:rsidRPr="008B1755">
        <w:rPr>
          <w:lang w:val="cs-CZ"/>
        </w:rPr>
        <w:t xml:space="preserve">nabízejí zhoršené </w:t>
      </w:r>
      <w:r w:rsidR="00DD272F" w:rsidRPr="008B1755">
        <w:rPr>
          <w:lang w:val="cs-CZ"/>
        </w:rPr>
        <w:t>služb</w:t>
      </w:r>
      <w:r w:rsidR="00E7638F" w:rsidRPr="008B1755">
        <w:rPr>
          <w:lang w:val="cs-CZ"/>
        </w:rPr>
        <w:t>y</w:t>
      </w:r>
      <w:r w:rsidR="00DD272F" w:rsidRPr="008B1755">
        <w:rPr>
          <w:lang w:val="cs-CZ"/>
        </w:rPr>
        <w:t xml:space="preserve"> přístupu k internetu</w:t>
      </w:r>
      <w:r w:rsidR="00D61C28" w:rsidRPr="008B1755">
        <w:rPr>
          <w:lang w:val="cs-CZ"/>
        </w:rPr>
        <w:t xml:space="preserve"> </w:t>
      </w:r>
      <w:r w:rsidR="00E7638F" w:rsidRPr="008B1755">
        <w:rPr>
          <w:lang w:val="cs-CZ"/>
        </w:rPr>
        <w:t xml:space="preserve">nebo porušují pravidla </w:t>
      </w:r>
      <w:r w:rsidR="001D46DD" w:rsidRPr="008B1755">
        <w:rPr>
          <w:lang w:val="cs-CZ"/>
        </w:rPr>
        <w:t>Nařízení</w:t>
      </w:r>
      <w:r w:rsidR="00E7638F" w:rsidRPr="008B1755">
        <w:rPr>
          <w:lang w:val="cs-CZ"/>
        </w:rPr>
        <w:t xml:space="preserve"> pro řízení provozu</w:t>
      </w:r>
      <w:r w:rsidR="00D61C28" w:rsidRPr="008B1755">
        <w:rPr>
          <w:lang w:val="cs-CZ"/>
        </w:rPr>
        <w:t xml:space="preserve">, </w:t>
      </w:r>
      <w:r w:rsidR="00E7638F" w:rsidRPr="008B1755">
        <w:rPr>
          <w:lang w:val="cs-CZ"/>
        </w:rPr>
        <w:t xml:space="preserve">mohou se </w:t>
      </w:r>
      <w:r>
        <w:rPr>
          <w:lang w:val="cs-CZ"/>
        </w:rPr>
        <w:t xml:space="preserve">přiměřené </w:t>
      </w:r>
      <w:r w:rsidR="00E7638F" w:rsidRPr="008B1755">
        <w:rPr>
          <w:lang w:val="cs-CZ"/>
        </w:rPr>
        <w:t xml:space="preserve">požadavky zaměřit zejména na tyto </w:t>
      </w:r>
      <w:r w:rsidR="007D7F64" w:rsidRPr="008B1755">
        <w:rPr>
          <w:lang w:val="cs-CZ"/>
        </w:rPr>
        <w:t>poskytovatel</w:t>
      </w:r>
      <w:r w:rsidR="00E7638F" w:rsidRPr="008B1755">
        <w:rPr>
          <w:lang w:val="cs-CZ"/>
        </w:rPr>
        <w:t>e</w:t>
      </w:r>
      <w:r w:rsidR="007D7F64" w:rsidRPr="008B1755">
        <w:rPr>
          <w:lang w:val="cs-CZ"/>
        </w:rPr>
        <w:t xml:space="preserve"> internetových služeb</w:t>
      </w:r>
      <w:r w:rsidR="00D61C28" w:rsidRPr="008B1755">
        <w:rPr>
          <w:lang w:val="cs-CZ"/>
        </w:rPr>
        <w:t>.</w:t>
      </w:r>
    </w:p>
    <w:p w:rsidR="00776F01" w:rsidRPr="008B1755" w:rsidRDefault="00EE580F" w:rsidP="00262769">
      <w:pPr>
        <w:keepNext/>
        <w:keepLines/>
        <w:spacing w:before="120" w:after="120"/>
        <w:outlineLvl w:val="3"/>
        <w:rPr>
          <w:rFonts w:eastAsia="SimSun"/>
          <w:bCs/>
          <w:i/>
          <w:iCs/>
          <w:sz w:val="24"/>
          <w:szCs w:val="24"/>
          <w:u w:val="single"/>
          <w:lang w:val="cs-CZ"/>
        </w:rPr>
      </w:pPr>
      <w:r w:rsidRPr="008B1755">
        <w:rPr>
          <w:rFonts w:eastAsia="SimSun"/>
          <w:bCs/>
          <w:i/>
          <w:iCs/>
          <w:sz w:val="24"/>
          <w:szCs w:val="24"/>
          <w:u w:val="single"/>
          <w:lang w:val="cs-CZ"/>
        </w:rPr>
        <w:t xml:space="preserve">Každoroční podávání zpráv </w:t>
      </w:r>
      <w:r w:rsidR="00926BAE" w:rsidRPr="008B1755">
        <w:rPr>
          <w:rFonts w:eastAsia="SimSun"/>
          <w:bCs/>
          <w:i/>
          <w:iCs/>
          <w:sz w:val="24"/>
          <w:szCs w:val="24"/>
          <w:u w:val="single"/>
          <w:lang w:val="cs-CZ"/>
        </w:rPr>
        <w:t>vnitrostátní</w:t>
      </w:r>
      <w:r w:rsidRPr="008B1755">
        <w:rPr>
          <w:rFonts w:eastAsia="SimSun"/>
          <w:bCs/>
          <w:i/>
          <w:iCs/>
          <w:sz w:val="24"/>
          <w:szCs w:val="24"/>
          <w:u w:val="single"/>
          <w:lang w:val="cs-CZ"/>
        </w:rPr>
        <w:t>ch</w:t>
      </w:r>
      <w:r w:rsidR="00926BAE" w:rsidRPr="008B1755">
        <w:rPr>
          <w:rFonts w:eastAsia="SimSun"/>
          <w:bCs/>
          <w:i/>
          <w:iCs/>
          <w:sz w:val="24"/>
          <w:szCs w:val="24"/>
          <w:u w:val="single"/>
          <w:lang w:val="cs-CZ"/>
        </w:rPr>
        <w:t xml:space="preserve"> regulační</w:t>
      </w:r>
      <w:r w:rsidRPr="008B1755">
        <w:rPr>
          <w:rFonts w:eastAsia="SimSun"/>
          <w:bCs/>
          <w:i/>
          <w:iCs/>
          <w:sz w:val="24"/>
          <w:szCs w:val="24"/>
          <w:u w:val="single"/>
          <w:lang w:val="cs-CZ"/>
        </w:rPr>
        <w:t>ch</w:t>
      </w:r>
      <w:r w:rsidR="00926BAE" w:rsidRPr="008B1755">
        <w:rPr>
          <w:rFonts w:eastAsia="SimSun"/>
          <w:bCs/>
          <w:i/>
          <w:iCs/>
          <w:sz w:val="24"/>
          <w:szCs w:val="24"/>
          <w:u w:val="single"/>
          <w:lang w:val="cs-CZ"/>
        </w:rPr>
        <w:t xml:space="preserve"> orgán</w:t>
      </w:r>
      <w:r w:rsidRPr="008B1755">
        <w:rPr>
          <w:rFonts w:eastAsia="SimSun"/>
          <w:bCs/>
          <w:i/>
          <w:iCs/>
          <w:sz w:val="24"/>
          <w:szCs w:val="24"/>
          <w:u w:val="single"/>
          <w:lang w:val="cs-CZ"/>
        </w:rPr>
        <w:t>ů</w:t>
      </w:r>
    </w:p>
    <w:p w:rsidR="00776F01" w:rsidRPr="008B1755" w:rsidRDefault="0026232F" w:rsidP="0038751B">
      <w:pPr>
        <w:numPr>
          <w:ilvl w:val="0"/>
          <w:numId w:val="2"/>
        </w:numPr>
        <w:spacing w:after="120"/>
        <w:rPr>
          <w:lang w:val="cs-CZ"/>
        </w:rPr>
      </w:pPr>
      <w:r w:rsidRPr="008B1755">
        <w:rPr>
          <w:lang w:val="cs-CZ"/>
        </w:rPr>
        <w:t xml:space="preserve">Zprávy musí být zveřejňovány každý rok a </w:t>
      </w:r>
      <w:r w:rsidR="00926BAE" w:rsidRPr="008B1755">
        <w:rPr>
          <w:lang w:val="cs-CZ"/>
        </w:rPr>
        <w:t>vnitrostátní regulační orgány</w:t>
      </w:r>
      <w:r w:rsidR="00776F01" w:rsidRPr="008B1755">
        <w:rPr>
          <w:lang w:val="cs-CZ"/>
        </w:rPr>
        <w:t xml:space="preserve"> </w:t>
      </w:r>
      <w:r w:rsidRPr="008B1755">
        <w:rPr>
          <w:lang w:val="cs-CZ"/>
        </w:rPr>
        <w:t xml:space="preserve">by měly své výroční zprávy zveřejňovat do </w:t>
      </w:r>
      <w:r w:rsidR="00E54A13" w:rsidRPr="008B1755">
        <w:rPr>
          <w:lang w:val="cs-CZ"/>
        </w:rPr>
        <w:t>30</w:t>
      </w:r>
      <w:r w:rsidRPr="008B1755">
        <w:rPr>
          <w:lang w:val="cs-CZ"/>
        </w:rPr>
        <w:t>. června za období od</w:t>
      </w:r>
      <w:r w:rsidRPr="008B1755">
        <w:rPr>
          <w:vertAlign w:val="superscript"/>
          <w:lang w:val="cs-CZ"/>
        </w:rPr>
        <w:t xml:space="preserve"> </w:t>
      </w:r>
      <w:r w:rsidR="00776F01" w:rsidRPr="008B1755">
        <w:rPr>
          <w:lang w:val="cs-CZ"/>
        </w:rPr>
        <w:t>1</w:t>
      </w:r>
      <w:r w:rsidRPr="008B1755">
        <w:rPr>
          <w:lang w:val="cs-CZ"/>
        </w:rPr>
        <w:t>. května do</w:t>
      </w:r>
      <w:r w:rsidRPr="008B1755">
        <w:rPr>
          <w:vertAlign w:val="superscript"/>
          <w:lang w:val="cs-CZ"/>
        </w:rPr>
        <w:t xml:space="preserve"> </w:t>
      </w:r>
      <w:r w:rsidR="00776F01" w:rsidRPr="008B1755">
        <w:rPr>
          <w:lang w:val="cs-CZ"/>
        </w:rPr>
        <w:t>30</w:t>
      </w:r>
      <w:r w:rsidRPr="008B1755">
        <w:rPr>
          <w:lang w:val="cs-CZ"/>
        </w:rPr>
        <w:t>. dubna</w:t>
      </w:r>
      <w:r w:rsidR="00776F01" w:rsidRPr="008B1755">
        <w:rPr>
          <w:lang w:val="cs-CZ"/>
        </w:rPr>
        <w:t xml:space="preserve">. </w:t>
      </w:r>
      <w:r w:rsidRPr="008B1755">
        <w:rPr>
          <w:lang w:val="cs-CZ"/>
        </w:rPr>
        <w:t xml:space="preserve">První zpráva má být </w:t>
      </w:r>
      <w:r w:rsidR="009C6DB2">
        <w:rPr>
          <w:lang w:val="cs-CZ"/>
        </w:rPr>
        <w:t xml:space="preserve">zveřejněna </w:t>
      </w:r>
      <w:r w:rsidRPr="008B1755">
        <w:rPr>
          <w:lang w:val="cs-CZ"/>
        </w:rPr>
        <w:t xml:space="preserve">do 30. června </w:t>
      </w:r>
      <w:r w:rsidR="006E24F2" w:rsidRPr="008B1755">
        <w:rPr>
          <w:lang w:val="cs-CZ"/>
        </w:rPr>
        <w:t>2017</w:t>
      </w:r>
      <w:r w:rsidR="00E54A13" w:rsidRPr="008B1755">
        <w:rPr>
          <w:lang w:val="cs-CZ"/>
        </w:rPr>
        <w:t xml:space="preserve">, </w:t>
      </w:r>
      <w:r w:rsidRPr="008B1755">
        <w:rPr>
          <w:lang w:val="cs-CZ"/>
        </w:rPr>
        <w:t xml:space="preserve">a to za období od 30. dubna </w:t>
      </w:r>
      <w:r w:rsidR="00E54A13" w:rsidRPr="008B1755">
        <w:rPr>
          <w:lang w:val="cs-CZ"/>
        </w:rPr>
        <w:t>2016</w:t>
      </w:r>
      <w:r w:rsidR="00BB58C8" w:rsidRPr="008B1755">
        <w:rPr>
          <w:lang w:val="cs-CZ"/>
        </w:rPr>
        <w:t xml:space="preserve"> </w:t>
      </w:r>
      <w:r w:rsidRPr="008B1755">
        <w:rPr>
          <w:lang w:val="cs-CZ"/>
        </w:rPr>
        <w:t xml:space="preserve">do 30. dubna </w:t>
      </w:r>
      <w:r w:rsidR="00BB58C8" w:rsidRPr="008B1755">
        <w:rPr>
          <w:lang w:val="cs-CZ"/>
        </w:rPr>
        <w:t>2017 (</w:t>
      </w:r>
      <w:r w:rsidRPr="008B1755">
        <w:rPr>
          <w:lang w:val="cs-CZ"/>
        </w:rPr>
        <w:t xml:space="preserve">prvních </w:t>
      </w:r>
      <w:r w:rsidR="00BB58C8" w:rsidRPr="008B1755">
        <w:rPr>
          <w:lang w:val="cs-CZ"/>
        </w:rPr>
        <w:t xml:space="preserve">12 </w:t>
      </w:r>
      <w:r w:rsidRPr="008B1755">
        <w:rPr>
          <w:lang w:val="cs-CZ"/>
        </w:rPr>
        <w:t xml:space="preserve">měsíců po </w:t>
      </w:r>
      <w:r w:rsidR="009C6DB2">
        <w:rPr>
          <w:lang w:val="cs-CZ"/>
        </w:rPr>
        <w:t xml:space="preserve">nabytí účinnosti </w:t>
      </w:r>
      <w:r w:rsidRPr="008B1755">
        <w:rPr>
          <w:lang w:val="cs-CZ"/>
        </w:rPr>
        <w:t>ustanovení</w:t>
      </w:r>
      <w:r w:rsidR="00BB58C8" w:rsidRPr="008B1755">
        <w:rPr>
          <w:lang w:val="cs-CZ"/>
        </w:rPr>
        <w:t>)</w:t>
      </w:r>
      <w:r w:rsidR="00776F01" w:rsidRPr="008B1755">
        <w:rPr>
          <w:lang w:val="cs-CZ"/>
        </w:rPr>
        <w:t>.</w:t>
      </w:r>
    </w:p>
    <w:p w:rsidR="00776F01" w:rsidRPr="008B1755" w:rsidRDefault="0026232F" w:rsidP="004241B5">
      <w:pPr>
        <w:numPr>
          <w:ilvl w:val="0"/>
          <w:numId w:val="2"/>
        </w:numPr>
        <w:spacing w:after="120"/>
        <w:contextualSpacing/>
        <w:rPr>
          <w:lang w:val="cs-CZ"/>
        </w:rPr>
      </w:pPr>
      <w:bookmarkStart w:id="77" w:name="_Ref449702758"/>
      <w:r w:rsidRPr="008B1755">
        <w:rPr>
          <w:lang w:val="cs-CZ"/>
        </w:rPr>
        <w:t xml:space="preserve">Kromě zveřejnění </w:t>
      </w:r>
      <w:r w:rsidR="009C6DB2">
        <w:rPr>
          <w:lang w:val="cs-CZ"/>
        </w:rPr>
        <w:t xml:space="preserve">mají být </w:t>
      </w:r>
      <w:r w:rsidRPr="008B1755">
        <w:rPr>
          <w:lang w:val="cs-CZ"/>
        </w:rPr>
        <w:t xml:space="preserve">tyto zprávy poskytnuty Komisi a sdružení </w:t>
      </w:r>
      <w:r w:rsidR="00776F01" w:rsidRPr="008B1755">
        <w:rPr>
          <w:lang w:val="cs-CZ"/>
        </w:rPr>
        <w:t xml:space="preserve">BEREC. </w:t>
      </w:r>
      <w:r w:rsidRPr="008B1755">
        <w:rPr>
          <w:lang w:val="cs-CZ"/>
        </w:rPr>
        <w:t xml:space="preserve">Aby Komise a sdružení </w:t>
      </w:r>
      <w:r w:rsidR="00776F01" w:rsidRPr="008B1755">
        <w:rPr>
          <w:lang w:val="cs-CZ"/>
        </w:rPr>
        <w:t xml:space="preserve">BEREC </w:t>
      </w:r>
      <w:r w:rsidRPr="008B1755">
        <w:rPr>
          <w:lang w:val="cs-CZ"/>
        </w:rPr>
        <w:t>mohly zprávy snadněji porovnat</w:t>
      </w:r>
      <w:r w:rsidR="00776F01" w:rsidRPr="008B1755">
        <w:rPr>
          <w:lang w:val="cs-CZ"/>
        </w:rPr>
        <w:t xml:space="preserve">, </w:t>
      </w:r>
      <w:r w:rsidRPr="008B1755">
        <w:rPr>
          <w:lang w:val="cs-CZ"/>
        </w:rPr>
        <w:t xml:space="preserve">doporučuje sdružení </w:t>
      </w:r>
      <w:r w:rsidR="00776F01" w:rsidRPr="008B1755">
        <w:rPr>
          <w:lang w:val="cs-CZ"/>
        </w:rPr>
        <w:t>BEREC</w:t>
      </w:r>
      <w:r w:rsidRPr="008B1755">
        <w:rPr>
          <w:lang w:val="cs-CZ"/>
        </w:rPr>
        <w:t xml:space="preserve">, aby </w:t>
      </w:r>
      <w:r w:rsidR="00926BAE" w:rsidRPr="008B1755">
        <w:rPr>
          <w:lang w:val="cs-CZ"/>
        </w:rPr>
        <w:t>vnitrostátní regulační orgány</w:t>
      </w:r>
      <w:r w:rsidR="00776F01" w:rsidRPr="008B1755">
        <w:rPr>
          <w:lang w:val="cs-CZ"/>
        </w:rPr>
        <w:t xml:space="preserve"> </w:t>
      </w:r>
      <w:r w:rsidRPr="008B1755">
        <w:rPr>
          <w:lang w:val="cs-CZ"/>
        </w:rPr>
        <w:t>do svých výročních zpráv zahrnuly minimálně tyto části</w:t>
      </w:r>
      <w:r w:rsidR="00776F01" w:rsidRPr="008B1755">
        <w:rPr>
          <w:lang w:val="cs-CZ"/>
        </w:rPr>
        <w:t>:</w:t>
      </w:r>
      <w:bookmarkEnd w:id="77"/>
    </w:p>
    <w:p w:rsidR="00776F01" w:rsidRPr="008B1755" w:rsidRDefault="0026232F" w:rsidP="005D7948">
      <w:pPr>
        <w:pStyle w:val="Odstavecseseznamem"/>
        <w:numPr>
          <w:ilvl w:val="0"/>
          <w:numId w:val="18"/>
        </w:numPr>
        <w:spacing w:after="120"/>
        <w:ind w:left="1077" w:hanging="357"/>
        <w:rPr>
          <w:lang w:val="cs-CZ"/>
        </w:rPr>
      </w:pPr>
      <w:r w:rsidRPr="008B1755">
        <w:rPr>
          <w:lang w:val="cs-CZ"/>
        </w:rPr>
        <w:t xml:space="preserve">celkový popis vnitrostátní situace s plněním </w:t>
      </w:r>
      <w:r w:rsidR="00032BA4" w:rsidRPr="008B1755">
        <w:rPr>
          <w:lang w:val="cs-CZ"/>
        </w:rPr>
        <w:t>Nařízením</w:t>
      </w:r>
      <w:r w:rsidR="00776F01" w:rsidRPr="008B1755">
        <w:rPr>
          <w:lang w:val="cs-CZ"/>
        </w:rPr>
        <w:t>;</w:t>
      </w:r>
    </w:p>
    <w:p w:rsidR="00776F01" w:rsidRPr="008B1755" w:rsidRDefault="0026232F" w:rsidP="005D7948">
      <w:pPr>
        <w:pStyle w:val="Odstavecseseznamem"/>
        <w:numPr>
          <w:ilvl w:val="0"/>
          <w:numId w:val="18"/>
        </w:numPr>
        <w:spacing w:after="120"/>
        <w:ind w:left="1077" w:hanging="357"/>
        <w:rPr>
          <w:lang w:val="cs-CZ"/>
        </w:rPr>
      </w:pPr>
      <w:r w:rsidRPr="008B1755">
        <w:rPr>
          <w:lang w:val="cs-CZ"/>
        </w:rPr>
        <w:t xml:space="preserve">popis činností </w:t>
      </w:r>
      <w:r w:rsidR="000955EC" w:rsidRPr="008B1755">
        <w:rPr>
          <w:lang w:val="cs-CZ"/>
        </w:rPr>
        <w:t>vnitrostátní</w:t>
      </w:r>
      <w:r w:rsidRPr="008B1755">
        <w:rPr>
          <w:lang w:val="cs-CZ"/>
        </w:rPr>
        <w:t>ho</w:t>
      </w:r>
      <w:r w:rsidR="000955EC" w:rsidRPr="008B1755">
        <w:rPr>
          <w:lang w:val="cs-CZ"/>
        </w:rPr>
        <w:t xml:space="preserve"> regulační</w:t>
      </w:r>
      <w:r w:rsidRPr="008B1755">
        <w:rPr>
          <w:lang w:val="cs-CZ"/>
        </w:rPr>
        <w:t>ho</w:t>
      </w:r>
      <w:r w:rsidR="000955EC" w:rsidRPr="008B1755">
        <w:rPr>
          <w:lang w:val="cs-CZ"/>
        </w:rPr>
        <w:t xml:space="preserve"> orgán</w:t>
      </w:r>
      <w:r w:rsidRPr="008B1755">
        <w:rPr>
          <w:lang w:val="cs-CZ"/>
        </w:rPr>
        <w:t>u</w:t>
      </w:r>
      <w:r w:rsidR="009C6DB2">
        <w:rPr>
          <w:lang w:val="cs-CZ"/>
        </w:rPr>
        <w:t xml:space="preserve"> při monitoringu dodržování</w:t>
      </w:r>
      <w:r w:rsidR="00776F01" w:rsidRPr="008B1755">
        <w:rPr>
          <w:lang w:val="cs-CZ"/>
        </w:rPr>
        <w:t>;</w:t>
      </w:r>
    </w:p>
    <w:p w:rsidR="00776F01" w:rsidRPr="008B1755" w:rsidRDefault="0026232F" w:rsidP="005D7948">
      <w:pPr>
        <w:pStyle w:val="Odstavecseseznamem"/>
        <w:numPr>
          <w:ilvl w:val="0"/>
          <w:numId w:val="18"/>
        </w:numPr>
        <w:spacing w:after="120"/>
        <w:ind w:left="1077" w:hanging="357"/>
        <w:rPr>
          <w:lang w:val="cs-CZ"/>
        </w:rPr>
      </w:pPr>
      <w:r w:rsidRPr="008B1755">
        <w:rPr>
          <w:lang w:val="cs-CZ"/>
        </w:rPr>
        <w:t xml:space="preserve">počet a typ stížností a porušení týkajících se </w:t>
      </w:r>
      <w:r w:rsidR="00D44301" w:rsidRPr="008B1755">
        <w:rPr>
          <w:lang w:val="cs-CZ"/>
        </w:rPr>
        <w:t>Nařízení</w:t>
      </w:r>
      <w:r w:rsidR="00776F01" w:rsidRPr="008B1755">
        <w:rPr>
          <w:lang w:val="cs-CZ"/>
        </w:rPr>
        <w:t xml:space="preserve">; </w:t>
      </w:r>
    </w:p>
    <w:p w:rsidR="00776F01" w:rsidRPr="008B1755" w:rsidRDefault="0026232F" w:rsidP="005D7948">
      <w:pPr>
        <w:pStyle w:val="Odstavecseseznamem"/>
        <w:numPr>
          <w:ilvl w:val="0"/>
          <w:numId w:val="18"/>
        </w:numPr>
        <w:spacing w:after="120"/>
        <w:ind w:left="1077" w:hanging="357"/>
        <w:rPr>
          <w:lang w:val="cs-CZ"/>
        </w:rPr>
      </w:pPr>
      <w:r w:rsidRPr="008B1755">
        <w:rPr>
          <w:lang w:val="cs-CZ"/>
        </w:rPr>
        <w:t xml:space="preserve">hlavní výsledky průzkumů provedených </w:t>
      </w:r>
      <w:r w:rsidR="006E5AD0" w:rsidRPr="008B1755">
        <w:rPr>
          <w:lang w:val="cs-CZ"/>
        </w:rPr>
        <w:t xml:space="preserve">v souvislosti s dohledem a vymáháním </w:t>
      </w:r>
      <w:r w:rsidR="00D44301" w:rsidRPr="008B1755">
        <w:rPr>
          <w:lang w:val="cs-CZ"/>
        </w:rPr>
        <w:t>Nařízení</w:t>
      </w:r>
      <w:r w:rsidR="00776F01" w:rsidRPr="008B1755">
        <w:rPr>
          <w:lang w:val="cs-CZ"/>
        </w:rPr>
        <w:t>;</w:t>
      </w:r>
    </w:p>
    <w:p w:rsidR="00776F01" w:rsidRPr="008B1755" w:rsidRDefault="006E5AD0" w:rsidP="005D7948">
      <w:pPr>
        <w:pStyle w:val="Odstavecseseznamem"/>
        <w:numPr>
          <w:ilvl w:val="0"/>
          <w:numId w:val="18"/>
        </w:numPr>
        <w:spacing w:after="120"/>
        <w:ind w:left="1077" w:hanging="357"/>
        <w:rPr>
          <w:lang w:val="cs-CZ"/>
        </w:rPr>
      </w:pPr>
      <w:r w:rsidRPr="008B1755">
        <w:rPr>
          <w:lang w:val="cs-CZ"/>
        </w:rPr>
        <w:t>hlavní výsledky a hodnoty získané z technických měření a hodnocení provedených v souvislosti s dohledem a vymáháním Nařízení</w:t>
      </w:r>
      <w:r w:rsidR="00776F01" w:rsidRPr="008B1755">
        <w:rPr>
          <w:lang w:val="cs-CZ"/>
        </w:rPr>
        <w:t>;</w:t>
      </w:r>
    </w:p>
    <w:p w:rsidR="00243D07" w:rsidRPr="008B1755" w:rsidRDefault="006E5AD0" w:rsidP="005D7948">
      <w:pPr>
        <w:pStyle w:val="Odstavecseseznamem"/>
        <w:numPr>
          <w:ilvl w:val="0"/>
          <w:numId w:val="18"/>
        </w:numPr>
        <w:spacing w:after="120"/>
        <w:ind w:left="1077" w:hanging="357"/>
        <w:rPr>
          <w:lang w:val="cs-CZ"/>
        </w:rPr>
      </w:pPr>
      <w:r w:rsidRPr="008B1755">
        <w:rPr>
          <w:lang w:val="cs-CZ"/>
        </w:rPr>
        <w:t xml:space="preserve">posouzení </w:t>
      </w:r>
      <w:r w:rsidR="009C6DB2">
        <w:rPr>
          <w:rFonts w:eastAsia="Times New Roman"/>
          <w:lang w:val="cs-CZ"/>
        </w:rPr>
        <w:t xml:space="preserve">trvalé </w:t>
      </w:r>
      <w:r w:rsidRPr="008B1755">
        <w:rPr>
          <w:rFonts w:eastAsia="Times New Roman"/>
          <w:lang w:val="cs-CZ"/>
        </w:rPr>
        <w:t>dostupnosti nediskrimin</w:t>
      </w:r>
      <w:r w:rsidR="009C6DB2">
        <w:rPr>
          <w:rFonts w:eastAsia="Times New Roman"/>
          <w:lang w:val="cs-CZ"/>
        </w:rPr>
        <w:t xml:space="preserve">ujících </w:t>
      </w:r>
      <w:r w:rsidRPr="008B1755">
        <w:rPr>
          <w:rFonts w:eastAsia="Times New Roman"/>
          <w:lang w:val="cs-CZ"/>
        </w:rPr>
        <w:t xml:space="preserve">služeb přístupu k internetu </w:t>
      </w:r>
      <w:r w:rsidR="009C6DB2">
        <w:rPr>
          <w:rFonts w:eastAsia="Times New Roman"/>
          <w:lang w:val="cs-CZ"/>
        </w:rPr>
        <w:t xml:space="preserve">s takovou </w:t>
      </w:r>
      <w:r w:rsidRPr="008B1755">
        <w:rPr>
          <w:rFonts w:eastAsia="Times New Roman"/>
          <w:lang w:val="cs-CZ"/>
        </w:rPr>
        <w:t>kvalit</w:t>
      </w:r>
      <w:r w:rsidR="009C6DB2">
        <w:rPr>
          <w:rFonts w:eastAsia="Times New Roman"/>
          <w:lang w:val="cs-CZ"/>
        </w:rPr>
        <w:t>ou</w:t>
      </w:r>
      <w:r w:rsidRPr="008B1755">
        <w:rPr>
          <w:rFonts w:eastAsia="Times New Roman"/>
          <w:lang w:val="cs-CZ"/>
        </w:rPr>
        <w:t>, která dostatečně odráží technický pokrok</w:t>
      </w:r>
      <w:r w:rsidR="00F8097F" w:rsidRPr="008B1755">
        <w:rPr>
          <w:lang w:val="cs-CZ"/>
        </w:rPr>
        <w:t>;</w:t>
      </w:r>
    </w:p>
    <w:p w:rsidR="00776F01" w:rsidRPr="008B1755" w:rsidRDefault="006E5AD0" w:rsidP="005D7948">
      <w:pPr>
        <w:pStyle w:val="Odstavecseseznamem"/>
        <w:numPr>
          <w:ilvl w:val="0"/>
          <w:numId w:val="18"/>
        </w:numPr>
        <w:spacing w:after="120"/>
        <w:ind w:left="1077" w:hanging="357"/>
        <w:rPr>
          <w:lang w:val="cs-CZ"/>
        </w:rPr>
      </w:pPr>
      <w:r w:rsidRPr="008B1755">
        <w:rPr>
          <w:lang w:val="cs-CZ"/>
        </w:rPr>
        <w:t>opatření přijatá</w:t>
      </w:r>
      <w:r w:rsidR="00243D07" w:rsidRPr="008B1755">
        <w:rPr>
          <w:lang w:val="cs-CZ"/>
        </w:rPr>
        <w:t>/</w:t>
      </w:r>
      <w:r w:rsidRPr="008B1755">
        <w:rPr>
          <w:lang w:val="cs-CZ"/>
        </w:rPr>
        <w:t xml:space="preserve">uplatňovaná </w:t>
      </w:r>
      <w:r w:rsidR="00926BAE" w:rsidRPr="008B1755">
        <w:rPr>
          <w:lang w:val="cs-CZ"/>
        </w:rPr>
        <w:t>vnitrostátní</w:t>
      </w:r>
      <w:r w:rsidRPr="008B1755">
        <w:rPr>
          <w:lang w:val="cs-CZ"/>
        </w:rPr>
        <w:t>mi</w:t>
      </w:r>
      <w:r w:rsidR="00926BAE" w:rsidRPr="008B1755">
        <w:rPr>
          <w:lang w:val="cs-CZ"/>
        </w:rPr>
        <w:t xml:space="preserve"> regulační</w:t>
      </w:r>
      <w:r w:rsidRPr="008B1755">
        <w:rPr>
          <w:lang w:val="cs-CZ"/>
        </w:rPr>
        <w:t>mi</w:t>
      </w:r>
      <w:r w:rsidR="00926BAE" w:rsidRPr="008B1755">
        <w:rPr>
          <w:lang w:val="cs-CZ"/>
        </w:rPr>
        <w:t xml:space="preserve"> orgány</w:t>
      </w:r>
      <w:r w:rsidR="00243D07" w:rsidRPr="008B1755">
        <w:rPr>
          <w:lang w:val="cs-CZ"/>
        </w:rPr>
        <w:t xml:space="preserve"> </w:t>
      </w:r>
      <w:r w:rsidRPr="008B1755">
        <w:rPr>
          <w:lang w:val="cs-CZ"/>
        </w:rPr>
        <w:t xml:space="preserve">podle čl. </w:t>
      </w:r>
      <w:r w:rsidR="00B639EF" w:rsidRPr="008B1755">
        <w:rPr>
          <w:lang w:val="cs-CZ"/>
        </w:rPr>
        <w:t>5 odst. 1</w:t>
      </w:r>
      <w:r w:rsidR="00243D07" w:rsidRPr="008B1755">
        <w:rPr>
          <w:lang w:val="cs-CZ"/>
        </w:rPr>
        <w:t xml:space="preserve">. </w:t>
      </w:r>
      <w:r w:rsidR="00776F01" w:rsidRPr="008B1755">
        <w:rPr>
          <w:lang w:val="cs-CZ"/>
        </w:rPr>
        <w:t xml:space="preserve"> </w:t>
      </w:r>
    </w:p>
    <w:p w:rsidR="00D61C28" w:rsidRPr="008B1755" w:rsidRDefault="003E7168" w:rsidP="001B38FB">
      <w:pPr>
        <w:keepNext/>
        <w:keepLines/>
        <w:tabs>
          <w:tab w:val="num" w:pos="360"/>
        </w:tabs>
        <w:spacing w:before="360" w:after="120"/>
        <w:outlineLvl w:val="1"/>
        <w:rPr>
          <w:rFonts w:eastAsia="SimSun" w:cs="Arial"/>
          <w:b/>
          <w:bCs/>
          <w:sz w:val="24"/>
          <w:szCs w:val="24"/>
          <w:lang w:val="cs-CZ"/>
        </w:rPr>
      </w:pPr>
      <w:bookmarkStart w:id="78" w:name="_Toc461400179"/>
      <w:r w:rsidRPr="008B1755">
        <w:rPr>
          <w:rFonts w:eastAsia="SimSun" w:cs="Arial"/>
          <w:b/>
          <w:bCs/>
          <w:sz w:val="24"/>
          <w:szCs w:val="24"/>
          <w:lang w:val="cs-CZ"/>
        </w:rPr>
        <w:t xml:space="preserve">Článek </w:t>
      </w:r>
      <w:r w:rsidR="00067710" w:rsidRPr="008B1755">
        <w:rPr>
          <w:rFonts w:eastAsia="SimSun" w:cs="Arial"/>
          <w:b/>
          <w:bCs/>
          <w:sz w:val="24"/>
          <w:szCs w:val="24"/>
          <w:lang w:val="cs-CZ"/>
        </w:rPr>
        <w:t>5 odst. 2</w:t>
      </w:r>
      <w:bookmarkEnd w:id="78"/>
    </w:p>
    <w:p w:rsidR="00D61C28" w:rsidRPr="008B1755" w:rsidRDefault="002F7BFB"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Poskytovatelé služeb elektronických komunikací pro veřejnost, včetně poskytovatelů služeb přístupu k internetu, zpřístupní vnitrostátnímu regulačnímu orgánu na jeho žádost příslušné informace týkající se povinností stanovených v článcích 3 a 4, zejména informace týkající se řízení provozu a kapacity jejich sítě, jakož i odůvodnění případných uplatňovaných opatření řízení provozu. Uvedení poskytovatelé poskytují vyžádané informace ve lhůtách a s úrovní podrobnosti údajů, jaké vnitrostátní regulační orgán požaduje</w:t>
      </w:r>
      <w:r w:rsidR="00D61C28" w:rsidRPr="008B1755">
        <w:rPr>
          <w:rFonts w:ascii="Times New Roman" w:hAnsi="Times New Roman"/>
          <w:lang w:val="cs-CZ"/>
        </w:rPr>
        <w:t>.</w:t>
      </w:r>
    </w:p>
    <w:p w:rsidR="00D61C28" w:rsidRPr="008B1755" w:rsidRDefault="00EE580F" w:rsidP="0038751B">
      <w:pPr>
        <w:numPr>
          <w:ilvl w:val="0"/>
          <w:numId w:val="2"/>
        </w:numPr>
        <w:contextualSpacing/>
        <w:rPr>
          <w:lang w:val="cs-CZ"/>
        </w:rPr>
      </w:pPr>
      <w:r w:rsidRPr="008B1755">
        <w:rPr>
          <w:lang w:val="cs-CZ"/>
        </w:rPr>
        <w:t xml:space="preserve">Vnitrostátní </w:t>
      </w:r>
      <w:r w:rsidR="00926BAE" w:rsidRPr="008B1755">
        <w:rPr>
          <w:lang w:val="cs-CZ"/>
        </w:rPr>
        <w:t>regulační orgány</w:t>
      </w:r>
      <w:r w:rsidR="00D61C28" w:rsidRPr="008B1755">
        <w:rPr>
          <w:lang w:val="cs-CZ"/>
        </w:rPr>
        <w:t xml:space="preserve"> </w:t>
      </w:r>
      <w:r w:rsidR="00985FD5" w:rsidRPr="008B1755">
        <w:rPr>
          <w:lang w:val="cs-CZ"/>
        </w:rPr>
        <w:t xml:space="preserve">si mohou </w:t>
      </w:r>
      <w:r w:rsidR="009C6DB2">
        <w:rPr>
          <w:lang w:val="cs-CZ"/>
        </w:rPr>
        <w:t xml:space="preserve">nad rámec </w:t>
      </w:r>
      <w:r w:rsidR="009C6DB2" w:rsidRPr="008B1755">
        <w:rPr>
          <w:lang w:val="cs-CZ"/>
        </w:rPr>
        <w:t xml:space="preserve">informací </w:t>
      </w:r>
      <w:r w:rsidR="00E00CA4">
        <w:rPr>
          <w:lang w:val="cs-CZ"/>
        </w:rPr>
        <w:t>uvedených</w:t>
      </w:r>
      <w:r w:rsidR="009C6DB2" w:rsidRPr="008B1755">
        <w:rPr>
          <w:lang w:val="cs-CZ"/>
        </w:rPr>
        <w:t xml:space="preserve"> ve smlouvách nebo zveřejňovaných </w:t>
      </w:r>
      <w:r w:rsidR="00E960DD" w:rsidRPr="008B1755">
        <w:rPr>
          <w:lang w:val="cs-CZ"/>
        </w:rPr>
        <w:t>poskytovatel</w:t>
      </w:r>
      <w:r w:rsidR="00E00CA4">
        <w:rPr>
          <w:lang w:val="cs-CZ"/>
        </w:rPr>
        <w:t>i</w:t>
      </w:r>
      <w:r w:rsidR="007D7F64" w:rsidRPr="008B1755">
        <w:rPr>
          <w:lang w:val="cs-CZ"/>
        </w:rPr>
        <w:t xml:space="preserve"> internetových služeb</w:t>
      </w:r>
      <w:r w:rsidR="00BB58C8" w:rsidRPr="008B1755">
        <w:rPr>
          <w:lang w:val="cs-CZ"/>
        </w:rPr>
        <w:t xml:space="preserve"> </w:t>
      </w:r>
      <w:r w:rsidR="00985FD5" w:rsidRPr="008B1755">
        <w:rPr>
          <w:lang w:val="cs-CZ"/>
        </w:rPr>
        <w:t xml:space="preserve">vyžádat informace týkající se povinností stanovených </w:t>
      </w:r>
      <w:r w:rsidR="00F064F8" w:rsidRPr="008B1755">
        <w:rPr>
          <w:lang w:val="cs-CZ"/>
        </w:rPr>
        <w:t>v</w:t>
      </w:r>
      <w:r w:rsidR="00985FD5" w:rsidRPr="008B1755">
        <w:rPr>
          <w:lang w:val="cs-CZ"/>
        </w:rPr>
        <w:t> </w:t>
      </w:r>
      <w:r w:rsidR="00F064F8" w:rsidRPr="008B1755">
        <w:rPr>
          <w:lang w:val="cs-CZ"/>
        </w:rPr>
        <w:t>člán</w:t>
      </w:r>
      <w:r w:rsidR="00985FD5" w:rsidRPr="008B1755">
        <w:rPr>
          <w:lang w:val="cs-CZ"/>
        </w:rPr>
        <w:t xml:space="preserve">cích </w:t>
      </w:r>
      <w:r w:rsidR="00D61C28" w:rsidRPr="008B1755">
        <w:rPr>
          <w:lang w:val="cs-CZ"/>
        </w:rPr>
        <w:t xml:space="preserve">3 a 4. </w:t>
      </w:r>
      <w:r w:rsidR="00985FD5" w:rsidRPr="008B1755">
        <w:rPr>
          <w:lang w:val="cs-CZ"/>
        </w:rPr>
        <w:t>Požadované informace mohou obsahovat</w:t>
      </w:r>
      <w:r w:rsidR="009C6DB2">
        <w:rPr>
          <w:lang w:val="cs-CZ"/>
        </w:rPr>
        <w:t xml:space="preserve"> např.</w:t>
      </w:r>
      <w:r w:rsidR="00D61C28" w:rsidRPr="008B1755">
        <w:rPr>
          <w:lang w:val="cs-CZ"/>
        </w:rPr>
        <w:t>:</w:t>
      </w:r>
    </w:p>
    <w:p w:rsidR="00D61C28" w:rsidRPr="008B1755" w:rsidRDefault="00985FD5" w:rsidP="005D7948">
      <w:pPr>
        <w:pStyle w:val="Odstavecseseznamem"/>
        <w:numPr>
          <w:ilvl w:val="0"/>
          <w:numId w:val="18"/>
        </w:numPr>
        <w:spacing w:after="120"/>
        <w:ind w:left="1077" w:hanging="357"/>
        <w:rPr>
          <w:lang w:val="cs-CZ"/>
        </w:rPr>
      </w:pPr>
      <w:r w:rsidRPr="008B1755">
        <w:rPr>
          <w:lang w:val="cs-CZ"/>
        </w:rPr>
        <w:t>další podrobnosti a vysvětlení o tom, kdy</w:t>
      </w:r>
      <w:r w:rsidR="00D61C28" w:rsidRPr="008B1755">
        <w:rPr>
          <w:lang w:val="cs-CZ"/>
        </w:rPr>
        <w:t xml:space="preserve">, </w:t>
      </w:r>
      <w:r w:rsidRPr="008B1755">
        <w:rPr>
          <w:lang w:val="cs-CZ"/>
        </w:rPr>
        <w:t xml:space="preserve">jak a na které </w:t>
      </w:r>
      <w:r w:rsidR="00C44AED" w:rsidRPr="008B1755">
        <w:rPr>
          <w:lang w:val="cs-CZ"/>
        </w:rPr>
        <w:t>koncov</w:t>
      </w:r>
      <w:r w:rsidRPr="008B1755">
        <w:rPr>
          <w:lang w:val="cs-CZ"/>
        </w:rPr>
        <w:t>é uživatele</w:t>
      </w:r>
      <w:r w:rsidR="00D61C28" w:rsidRPr="008B1755">
        <w:rPr>
          <w:lang w:val="cs-CZ"/>
        </w:rPr>
        <w:t xml:space="preserve"> </w:t>
      </w:r>
      <w:r w:rsidRPr="008B1755">
        <w:rPr>
          <w:lang w:val="cs-CZ"/>
        </w:rPr>
        <w:t xml:space="preserve">je určité opatření </w:t>
      </w:r>
      <w:r w:rsidR="00350081" w:rsidRPr="008B1755">
        <w:rPr>
          <w:lang w:val="cs-CZ"/>
        </w:rPr>
        <w:t>řízení provozu</w:t>
      </w:r>
      <w:r w:rsidR="00D61C28" w:rsidRPr="008B1755">
        <w:rPr>
          <w:lang w:val="cs-CZ"/>
        </w:rPr>
        <w:t xml:space="preserve"> </w:t>
      </w:r>
      <w:r w:rsidRPr="008B1755">
        <w:rPr>
          <w:lang w:val="cs-CZ"/>
        </w:rPr>
        <w:t>uplatňováno</w:t>
      </w:r>
      <w:r w:rsidR="00D61C28" w:rsidRPr="008B1755">
        <w:rPr>
          <w:lang w:val="cs-CZ"/>
        </w:rPr>
        <w:t>;</w:t>
      </w:r>
    </w:p>
    <w:p w:rsidR="00D61C28" w:rsidRPr="008B1755" w:rsidRDefault="00985FD5" w:rsidP="005D7948">
      <w:pPr>
        <w:pStyle w:val="Odstavecseseznamem"/>
        <w:numPr>
          <w:ilvl w:val="0"/>
          <w:numId w:val="18"/>
        </w:numPr>
        <w:spacing w:after="120"/>
        <w:ind w:left="1077" w:hanging="357"/>
        <w:rPr>
          <w:lang w:val="cs-CZ"/>
        </w:rPr>
      </w:pPr>
      <w:r w:rsidRPr="008B1755">
        <w:rPr>
          <w:lang w:val="cs-CZ"/>
        </w:rPr>
        <w:t xml:space="preserve">odůvodnění jakéhokoli </w:t>
      </w:r>
      <w:r w:rsidR="009C6DB2">
        <w:rPr>
          <w:lang w:val="cs-CZ"/>
        </w:rPr>
        <w:t xml:space="preserve">uplatněného </w:t>
      </w:r>
      <w:r w:rsidRPr="008B1755">
        <w:rPr>
          <w:lang w:val="cs-CZ"/>
        </w:rPr>
        <w:t xml:space="preserve">opatření </w:t>
      </w:r>
      <w:r w:rsidR="00350081" w:rsidRPr="008B1755">
        <w:rPr>
          <w:lang w:val="cs-CZ"/>
        </w:rPr>
        <w:t>řízení provozu</w:t>
      </w:r>
      <w:r w:rsidR="00243D07" w:rsidRPr="008B1755">
        <w:rPr>
          <w:lang w:val="cs-CZ"/>
        </w:rPr>
        <w:t xml:space="preserve">, </w:t>
      </w:r>
      <w:r w:rsidRPr="008B1755">
        <w:rPr>
          <w:lang w:val="cs-CZ"/>
        </w:rPr>
        <w:t xml:space="preserve">včetně toho, zda tato opatření splňují výjimky </w:t>
      </w:r>
      <w:r w:rsidR="002E5214" w:rsidRPr="008B1755">
        <w:rPr>
          <w:lang w:val="cs-CZ"/>
        </w:rPr>
        <w:t>článku</w:t>
      </w:r>
      <w:r w:rsidR="00DD272F" w:rsidRPr="008B1755">
        <w:rPr>
          <w:lang w:val="cs-CZ"/>
        </w:rPr>
        <w:t xml:space="preserve"> 3 </w:t>
      </w:r>
      <w:r w:rsidR="00585BD7" w:rsidRPr="008B1755">
        <w:rPr>
          <w:lang w:val="cs-CZ"/>
        </w:rPr>
        <w:t>odst. 3</w:t>
      </w:r>
      <w:r w:rsidR="00D61C28" w:rsidRPr="008B1755">
        <w:rPr>
          <w:lang w:val="cs-CZ"/>
        </w:rPr>
        <w:t xml:space="preserve"> </w:t>
      </w:r>
      <w:r w:rsidR="00AC529F" w:rsidRPr="008B1755">
        <w:rPr>
          <w:lang w:val="cs-CZ"/>
        </w:rPr>
        <w:t>písm. a)</w:t>
      </w:r>
      <w:r w:rsidRPr="008B1755">
        <w:rPr>
          <w:lang w:val="cs-CZ"/>
        </w:rPr>
        <w:t xml:space="preserve"> </w:t>
      </w:r>
      <w:r w:rsidR="00D61C28" w:rsidRPr="008B1755">
        <w:rPr>
          <w:lang w:val="cs-CZ"/>
        </w:rPr>
        <w:t>-</w:t>
      </w:r>
      <w:r w:rsidRPr="008B1755">
        <w:rPr>
          <w:lang w:val="cs-CZ"/>
        </w:rPr>
        <w:t xml:space="preserve"> </w:t>
      </w:r>
      <w:r w:rsidR="00D61C28" w:rsidRPr="008B1755">
        <w:rPr>
          <w:lang w:val="cs-CZ"/>
        </w:rPr>
        <w:t xml:space="preserve">c). </w:t>
      </w:r>
      <w:r w:rsidRPr="008B1755">
        <w:rPr>
          <w:lang w:val="cs-CZ"/>
        </w:rPr>
        <w:t>Zejména</w:t>
      </w:r>
      <w:r w:rsidR="00D61C28" w:rsidRPr="008B1755">
        <w:rPr>
          <w:lang w:val="cs-CZ"/>
        </w:rPr>
        <w:t>,</w:t>
      </w:r>
    </w:p>
    <w:p w:rsidR="00D61C28" w:rsidRPr="008B1755" w:rsidRDefault="00985FD5" w:rsidP="005D7948">
      <w:pPr>
        <w:numPr>
          <w:ilvl w:val="1"/>
          <w:numId w:val="25"/>
        </w:numPr>
        <w:spacing w:after="120"/>
        <w:contextualSpacing/>
        <w:rPr>
          <w:lang w:val="cs-CZ"/>
        </w:rPr>
      </w:pPr>
      <w:r w:rsidRPr="008B1755">
        <w:rPr>
          <w:lang w:val="cs-CZ"/>
        </w:rPr>
        <w:t xml:space="preserve">ohledně </w:t>
      </w:r>
      <w:r w:rsidR="00DD272F" w:rsidRPr="008B1755">
        <w:rPr>
          <w:lang w:val="cs-CZ"/>
        </w:rPr>
        <w:t>článk</w:t>
      </w:r>
      <w:r w:rsidRPr="008B1755">
        <w:rPr>
          <w:lang w:val="cs-CZ"/>
        </w:rPr>
        <w:t>u</w:t>
      </w:r>
      <w:r w:rsidR="00DD272F" w:rsidRPr="008B1755">
        <w:rPr>
          <w:lang w:val="cs-CZ"/>
        </w:rPr>
        <w:t xml:space="preserve"> 3 </w:t>
      </w:r>
      <w:r w:rsidR="00585BD7" w:rsidRPr="008B1755">
        <w:rPr>
          <w:lang w:val="cs-CZ"/>
        </w:rPr>
        <w:t>odst. 3</w:t>
      </w:r>
      <w:r w:rsidR="00BB58C8" w:rsidRPr="008B1755">
        <w:rPr>
          <w:lang w:val="cs-CZ"/>
        </w:rPr>
        <w:t xml:space="preserve"> </w:t>
      </w:r>
      <w:r w:rsidR="00AC529F" w:rsidRPr="008B1755">
        <w:rPr>
          <w:lang w:val="cs-CZ"/>
        </w:rPr>
        <w:t>písm. a)</w:t>
      </w:r>
      <w:r w:rsidR="00D61C28" w:rsidRPr="008B1755">
        <w:rPr>
          <w:lang w:val="cs-CZ"/>
        </w:rPr>
        <w:t xml:space="preserve">, </w:t>
      </w:r>
      <w:r w:rsidRPr="008B1755">
        <w:rPr>
          <w:lang w:val="cs-CZ"/>
        </w:rPr>
        <w:t xml:space="preserve">přesný </w:t>
      </w:r>
      <w:r w:rsidR="00D61C28" w:rsidRPr="008B1755">
        <w:rPr>
          <w:lang w:val="cs-CZ"/>
        </w:rPr>
        <w:t>legislativ</w:t>
      </w:r>
      <w:r w:rsidRPr="008B1755">
        <w:rPr>
          <w:lang w:val="cs-CZ"/>
        </w:rPr>
        <w:t>ní akt</w:t>
      </w:r>
      <w:r w:rsidR="00D61C28" w:rsidRPr="008B1755">
        <w:rPr>
          <w:lang w:val="cs-CZ"/>
        </w:rPr>
        <w:t xml:space="preserve">, </w:t>
      </w:r>
      <w:r w:rsidRPr="008B1755">
        <w:rPr>
          <w:lang w:val="cs-CZ"/>
        </w:rPr>
        <w:t>zákon nebo nařízení, na jehož základě je opatření uplatňováno</w:t>
      </w:r>
      <w:r w:rsidR="005D7948" w:rsidRPr="008B1755">
        <w:rPr>
          <w:lang w:val="cs-CZ"/>
        </w:rPr>
        <w:t>;</w:t>
      </w:r>
    </w:p>
    <w:p w:rsidR="00D61C28" w:rsidRPr="008B1755" w:rsidRDefault="00985FD5" w:rsidP="005D7948">
      <w:pPr>
        <w:numPr>
          <w:ilvl w:val="1"/>
          <w:numId w:val="25"/>
        </w:numPr>
        <w:spacing w:after="120"/>
        <w:contextualSpacing/>
        <w:rPr>
          <w:lang w:val="cs-CZ"/>
        </w:rPr>
      </w:pPr>
      <w:r w:rsidRPr="008B1755">
        <w:rPr>
          <w:lang w:val="cs-CZ"/>
        </w:rPr>
        <w:t xml:space="preserve">ohledně článku </w:t>
      </w:r>
      <w:r w:rsidR="00DD272F" w:rsidRPr="008B1755">
        <w:rPr>
          <w:lang w:val="cs-CZ"/>
        </w:rPr>
        <w:t xml:space="preserve">3 </w:t>
      </w:r>
      <w:r w:rsidR="00585BD7" w:rsidRPr="008B1755">
        <w:rPr>
          <w:lang w:val="cs-CZ"/>
        </w:rPr>
        <w:t>odst. 3</w:t>
      </w:r>
      <w:r w:rsidR="00BB58C8" w:rsidRPr="008B1755">
        <w:rPr>
          <w:lang w:val="cs-CZ"/>
        </w:rPr>
        <w:t xml:space="preserve"> </w:t>
      </w:r>
      <w:r w:rsidR="00AC529F" w:rsidRPr="008B1755">
        <w:rPr>
          <w:lang w:val="cs-CZ"/>
        </w:rPr>
        <w:t>písm. b)</w:t>
      </w:r>
      <w:r w:rsidR="00D61C28" w:rsidRPr="008B1755">
        <w:rPr>
          <w:lang w:val="cs-CZ"/>
        </w:rPr>
        <w:t xml:space="preserve">, </w:t>
      </w:r>
      <w:r w:rsidRPr="008B1755">
        <w:rPr>
          <w:lang w:val="cs-CZ"/>
        </w:rPr>
        <w:t xml:space="preserve">posouzení rizika pro bezpečnost a </w:t>
      </w:r>
      <w:r w:rsidR="00D61C28" w:rsidRPr="008B1755">
        <w:rPr>
          <w:lang w:val="cs-CZ"/>
        </w:rPr>
        <w:t>integrit</w:t>
      </w:r>
      <w:r w:rsidRPr="008B1755">
        <w:rPr>
          <w:lang w:val="cs-CZ"/>
        </w:rPr>
        <w:t>u sítě</w:t>
      </w:r>
      <w:r w:rsidR="005D7948" w:rsidRPr="008B1755">
        <w:rPr>
          <w:lang w:val="cs-CZ"/>
        </w:rPr>
        <w:t>;</w:t>
      </w:r>
    </w:p>
    <w:p w:rsidR="00D61C28" w:rsidRPr="008B1755" w:rsidRDefault="00985FD5" w:rsidP="001C25BC">
      <w:pPr>
        <w:numPr>
          <w:ilvl w:val="1"/>
          <w:numId w:val="25"/>
        </w:numPr>
        <w:spacing w:after="120"/>
        <w:contextualSpacing/>
        <w:rPr>
          <w:lang w:val="cs-CZ"/>
        </w:rPr>
      </w:pPr>
      <w:r w:rsidRPr="008B1755">
        <w:rPr>
          <w:lang w:val="cs-CZ"/>
        </w:rPr>
        <w:t xml:space="preserve">ohledně článku </w:t>
      </w:r>
      <w:r w:rsidR="00DD272F" w:rsidRPr="008B1755">
        <w:rPr>
          <w:lang w:val="cs-CZ"/>
        </w:rPr>
        <w:t xml:space="preserve">3 </w:t>
      </w:r>
      <w:r w:rsidR="00585BD7" w:rsidRPr="008B1755">
        <w:rPr>
          <w:lang w:val="cs-CZ"/>
        </w:rPr>
        <w:t>odst. 3</w:t>
      </w:r>
      <w:r w:rsidR="00BB58C8" w:rsidRPr="008B1755">
        <w:rPr>
          <w:lang w:val="cs-CZ"/>
        </w:rPr>
        <w:t xml:space="preserve"> </w:t>
      </w:r>
      <w:r w:rsidR="00AC529F" w:rsidRPr="008B1755">
        <w:rPr>
          <w:lang w:val="cs-CZ"/>
        </w:rPr>
        <w:t>písm. c)</w:t>
      </w:r>
      <w:r w:rsidR="00D61C28" w:rsidRPr="008B1755">
        <w:rPr>
          <w:lang w:val="cs-CZ"/>
        </w:rPr>
        <w:t xml:space="preserve">, </w:t>
      </w:r>
      <w:r w:rsidRPr="008B1755">
        <w:rPr>
          <w:lang w:val="cs-CZ"/>
        </w:rPr>
        <w:t>odůvodnění, proč je přetížení charakterizováno jako hrozící</w:t>
      </w:r>
      <w:r w:rsidR="00D61C28" w:rsidRPr="008B1755">
        <w:rPr>
          <w:lang w:val="cs-CZ"/>
        </w:rPr>
        <w:t xml:space="preserve">, </w:t>
      </w:r>
      <w:r w:rsidRPr="008B1755">
        <w:rPr>
          <w:lang w:val="cs-CZ"/>
        </w:rPr>
        <w:t>výjimečné nebo dočasné</w:t>
      </w:r>
      <w:r w:rsidR="00D61C28" w:rsidRPr="008B1755">
        <w:rPr>
          <w:lang w:val="cs-CZ"/>
        </w:rPr>
        <w:t xml:space="preserve">, </w:t>
      </w:r>
      <w:r w:rsidRPr="008B1755">
        <w:rPr>
          <w:lang w:val="cs-CZ"/>
        </w:rPr>
        <w:t>společně s minulými daty o přetížení potvrzujícími toto označení</w:t>
      </w:r>
      <w:r w:rsidR="00D61C28" w:rsidRPr="008B1755">
        <w:rPr>
          <w:lang w:val="cs-CZ"/>
        </w:rPr>
        <w:t>, a</w:t>
      </w:r>
      <w:r w:rsidRPr="008B1755">
        <w:rPr>
          <w:lang w:val="cs-CZ"/>
        </w:rPr>
        <w:t xml:space="preserve"> proč nestačí méně rušivé a stejně účinné </w:t>
      </w:r>
      <w:r w:rsidR="00792C4F" w:rsidRPr="008B1755">
        <w:rPr>
          <w:lang w:val="cs-CZ"/>
        </w:rPr>
        <w:t>opatření řízení provozu na řešení přetížení</w:t>
      </w:r>
      <w:r w:rsidR="005D7948" w:rsidRPr="008B1755">
        <w:rPr>
          <w:lang w:val="cs-CZ"/>
        </w:rPr>
        <w:t>.</w:t>
      </w:r>
    </w:p>
    <w:p w:rsidR="00D61C28" w:rsidRPr="008B1755" w:rsidRDefault="00985FD5" w:rsidP="005D7948">
      <w:pPr>
        <w:pStyle w:val="Odstavecseseznamem"/>
        <w:numPr>
          <w:ilvl w:val="0"/>
          <w:numId w:val="18"/>
        </w:numPr>
        <w:spacing w:after="120"/>
        <w:ind w:left="1077" w:hanging="357"/>
        <w:rPr>
          <w:lang w:val="cs-CZ"/>
        </w:rPr>
      </w:pPr>
      <w:r w:rsidRPr="008B1755">
        <w:rPr>
          <w:lang w:val="cs-CZ"/>
        </w:rPr>
        <w:t xml:space="preserve">požadavky na konkrétní služby nebo aplikace, které jsou nezbytné pro provoz aplikace na </w:t>
      </w:r>
      <w:r w:rsidR="000955EC" w:rsidRPr="008B1755">
        <w:rPr>
          <w:lang w:val="cs-CZ"/>
        </w:rPr>
        <w:t>určit</w:t>
      </w:r>
      <w:r w:rsidRPr="008B1755">
        <w:rPr>
          <w:lang w:val="cs-CZ"/>
        </w:rPr>
        <w:t>é</w:t>
      </w:r>
      <w:r w:rsidR="000955EC" w:rsidRPr="008B1755">
        <w:rPr>
          <w:lang w:val="cs-CZ"/>
        </w:rPr>
        <w:t xml:space="preserve"> úrov</w:t>
      </w:r>
      <w:r w:rsidRPr="008B1755">
        <w:rPr>
          <w:lang w:val="cs-CZ"/>
        </w:rPr>
        <w:t xml:space="preserve">ni </w:t>
      </w:r>
      <w:r w:rsidR="000955EC" w:rsidRPr="008B1755">
        <w:rPr>
          <w:lang w:val="cs-CZ"/>
        </w:rPr>
        <w:t>kvality</w:t>
      </w:r>
      <w:r w:rsidR="00D61C28" w:rsidRPr="008B1755">
        <w:rPr>
          <w:lang w:val="cs-CZ"/>
        </w:rPr>
        <w:t>;</w:t>
      </w:r>
    </w:p>
    <w:p w:rsidR="004424C3" w:rsidRPr="008B1755" w:rsidRDefault="00D61C28" w:rsidP="005D7948">
      <w:pPr>
        <w:pStyle w:val="Odstavecseseznamem"/>
        <w:numPr>
          <w:ilvl w:val="0"/>
          <w:numId w:val="18"/>
        </w:numPr>
        <w:spacing w:after="120"/>
        <w:ind w:left="1077" w:hanging="357"/>
        <w:rPr>
          <w:lang w:val="cs-CZ"/>
        </w:rPr>
      </w:pPr>
      <w:r w:rsidRPr="008B1755">
        <w:rPr>
          <w:lang w:val="cs-CZ"/>
        </w:rPr>
        <w:t>informa</w:t>
      </w:r>
      <w:r w:rsidR="00985FD5" w:rsidRPr="008B1755">
        <w:rPr>
          <w:lang w:val="cs-CZ"/>
        </w:rPr>
        <w:t xml:space="preserve">ce umožňující </w:t>
      </w:r>
      <w:r w:rsidR="00926BAE" w:rsidRPr="008B1755">
        <w:rPr>
          <w:lang w:val="cs-CZ"/>
        </w:rPr>
        <w:t>vnitrostátní</w:t>
      </w:r>
      <w:r w:rsidR="00985FD5" w:rsidRPr="008B1755">
        <w:rPr>
          <w:lang w:val="cs-CZ"/>
        </w:rPr>
        <w:t>m</w:t>
      </w:r>
      <w:r w:rsidR="00926BAE" w:rsidRPr="008B1755">
        <w:rPr>
          <w:lang w:val="cs-CZ"/>
        </w:rPr>
        <w:t xml:space="preserve"> regulační</w:t>
      </w:r>
      <w:r w:rsidR="00985FD5" w:rsidRPr="008B1755">
        <w:rPr>
          <w:lang w:val="cs-CZ"/>
        </w:rPr>
        <w:t>m</w:t>
      </w:r>
      <w:r w:rsidR="00926BAE" w:rsidRPr="008B1755">
        <w:rPr>
          <w:lang w:val="cs-CZ"/>
        </w:rPr>
        <w:t xml:space="preserve"> orgán</w:t>
      </w:r>
      <w:r w:rsidR="00985FD5" w:rsidRPr="008B1755">
        <w:rPr>
          <w:lang w:val="cs-CZ"/>
        </w:rPr>
        <w:t xml:space="preserve">ům ověřit, zda a do jaké míry je </w:t>
      </w:r>
      <w:r w:rsidR="00035413" w:rsidRPr="008B1755">
        <w:rPr>
          <w:lang w:val="cs-CZ"/>
        </w:rPr>
        <w:t>optimalizace</w:t>
      </w:r>
      <w:r w:rsidR="004424C3" w:rsidRPr="008B1755">
        <w:rPr>
          <w:lang w:val="cs-CZ"/>
        </w:rPr>
        <w:t xml:space="preserve"> </w:t>
      </w:r>
      <w:r w:rsidR="00A82AD1" w:rsidRPr="008B1755">
        <w:rPr>
          <w:lang w:val="cs-CZ"/>
        </w:rPr>
        <w:t>specializovaných služeb</w:t>
      </w:r>
      <w:r w:rsidR="004424C3" w:rsidRPr="008B1755">
        <w:rPr>
          <w:lang w:val="cs-CZ"/>
        </w:rPr>
        <w:t xml:space="preserve"> </w:t>
      </w:r>
      <w:r w:rsidR="000955EC" w:rsidRPr="008B1755">
        <w:rPr>
          <w:lang w:val="cs-CZ"/>
        </w:rPr>
        <w:t>objektivně nezbytn</w:t>
      </w:r>
      <w:r w:rsidR="00985FD5" w:rsidRPr="008B1755">
        <w:rPr>
          <w:lang w:val="cs-CZ"/>
        </w:rPr>
        <w:t>á</w:t>
      </w:r>
      <w:r w:rsidR="004424C3" w:rsidRPr="008B1755">
        <w:rPr>
          <w:lang w:val="cs-CZ"/>
        </w:rPr>
        <w:t xml:space="preserve">; </w:t>
      </w:r>
    </w:p>
    <w:p w:rsidR="00D61C28" w:rsidRPr="008B1755" w:rsidRDefault="00B94C62" w:rsidP="005D7948">
      <w:pPr>
        <w:pStyle w:val="Odstavecseseznamem"/>
        <w:numPr>
          <w:ilvl w:val="0"/>
          <w:numId w:val="18"/>
        </w:numPr>
        <w:spacing w:after="120"/>
        <w:ind w:left="1077" w:hanging="357"/>
        <w:rPr>
          <w:lang w:val="cs-CZ"/>
        </w:rPr>
      </w:pPr>
      <w:r w:rsidRPr="008B1755">
        <w:rPr>
          <w:lang w:val="cs-CZ"/>
        </w:rPr>
        <w:t xml:space="preserve">informace o kapacitních požadavcích </w:t>
      </w:r>
      <w:r w:rsidR="00A82AD1" w:rsidRPr="008B1755">
        <w:rPr>
          <w:lang w:val="cs-CZ"/>
        </w:rPr>
        <w:t>specializovaných služeb</w:t>
      </w:r>
      <w:r w:rsidR="00D61C28" w:rsidRPr="008B1755">
        <w:rPr>
          <w:lang w:val="cs-CZ"/>
        </w:rPr>
        <w:t xml:space="preserve"> a</w:t>
      </w:r>
      <w:r w:rsidRPr="008B1755">
        <w:rPr>
          <w:lang w:val="cs-CZ"/>
        </w:rPr>
        <w:t xml:space="preserve"> další informace, které jsou nezbytné ke zjištění, zda je dostupná dostatečná kapacita pro specializované služby jako doplnění poskytovaných </w:t>
      </w:r>
      <w:r w:rsidR="00DD272F" w:rsidRPr="008B1755">
        <w:rPr>
          <w:lang w:val="cs-CZ"/>
        </w:rPr>
        <w:t>služ</w:t>
      </w:r>
      <w:r w:rsidRPr="008B1755">
        <w:rPr>
          <w:lang w:val="cs-CZ"/>
        </w:rPr>
        <w:t>e</w:t>
      </w:r>
      <w:r w:rsidR="00DD272F" w:rsidRPr="008B1755">
        <w:rPr>
          <w:lang w:val="cs-CZ"/>
        </w:rPr>
        <w:t>b přístupu k internetu</w:t>
      </w:r>
      <w:r w:rsidR="00D61C28" w:rsidRPr="008B1755">
        <w:rPr>
          <w:lang w:val="cs-CZ"/>
        </w:rPr>
        <w:t>, a</w:t>
      </w:r>
      <w:r w:rsidRPr="008B1755">
        <w:rPr>
          <w:lang w:val="cs-CZ"/>
        </w:rPr>
        <w:t xml:space="preserve"> opatření </w:t>
      </w:r>
      <w:r w:rsidR="00DD272F" w:rsidRPr="008B1755">
        <w:rPr>
          <w:lang w:val="cs-CZ"/>
        </w:rPr>
        <w:t>poskytovatel</w:t>
      </w:r>
      <w:r w:rsidRPr="008B1755">
        <w:rPr>
          <w:lang w:val="cs-CZ"/>
        </w:rPr>
        <w:t>e</w:t>
      </w:r>
      <w:r w:rsidR="00DD272F" w:rsidRPr="008B1755">
        <w:rPr>
          <w:lang w:val="cs-CZ"/>
        </w:rPr>
        <w:t xml:space="preserve"> internetových služeb</w:t>
      </w:r>
      <w:r w:rsidR="00D61C28" w:rsidRPr="008B1755">
        <w:rPr>
          <w:lang w:val="cs-CZ"/>
        </w:rPr>
        <w:t xml:space="preserve"> </w:t>
      </w:r>
      <w:r w:rsidRPr="008B1755">
        <w:rPr>
          <w:lang w:val="cs-CZ"/>
        </w:rPr>
        <w:t>na její zajištění</w:t>
      </w:r>
      <w:r w:rsidR="00D61C28" w:rsidRPr="008B1755">
        <w:rPr>
          <w:lang w:val="cs-CZ"/>
        </w:rPr>
        <w:t>;</w:t>
      </w:r>
    </w:p>
    <w:p w:rsidR="004424C3" w:rsidRPr="008B1755" w:rsidRDefault="00B94C62" w:rsidP="005D7948">
      <w:pPr>
        <w:pStyle w:val="Odstavecseseznamem"/>
        <w:numPr>
          <w:ilvl w:val="0"/>
          <w:numId w:val="18"/>
        </w:numPr>
        <w:spacing w:after="120"/>
        <w:ind w:left="1077" w:hanging="357"/>
        <w:rPr>
          <w:lang w:val="cs-CZ"/>
        </w:rPr>
      </w:pPr>
      <w:r w:rsidRPr="008B1755">
        <w:rPr>
          <w:lang w:val="cs-CZ"/>
        </w:rPr>
        <w:t xml:space="preserve">informace prokazující, že poskytování jedné nebo všech </w:t>
      </w:r>
      <w:r w:rsidR="00244C91" w:rsidRPr="008B1755">
        <w:rPr>
          <w:lang w:val="cs-CZ"/>
        </w:rPr>
        <w:t>specializovan</w:t>
      </w:r>
      <w:r w:rsidRPr="008B1755">
        <w:rPr>
          <w:lang w:val="cs-CZ"/>
        </w:rPr>
        <w:t>ých</w:t>
      </w:r>
      <w:r w:rsidR="00244C91" w:rsidRPr="008B1755">
        <w:rPr>
          <w:lang w:val="cs-CZ"/>
        </w:rPr>
        <w:t xml:space="preserve"> služ</w:t>
      </w:r>
      <w:r w:rsidRPr="008B1755">
        <w:rPr>
          <w:lang w:val="cs-CZ"/>
        </w:rPr>
        <w:t>e</w:t>
      </w:r>
      <w:r w:rsidR="00244C91" w:rsidRPr="008B1755">
        <w:rPr>
          <w:lang w:val="cs-CZ"/>
        </w:rPr>
        <w:t>b</w:t>
      </w:r>
      <w:r w:rsidR="004424C3" w:rsidRPr="008B1755">
        <w:rPr>
          <w:lang w:val="cs-CZ"/>
        </w:rPr>
        <w:t xml:space="preserve"> </w:t>
      </w:r>
      <w:r w:rsidRPr="008B1755">
        <w:rPr>
          <w:lang w:val="cs-CZ"/>
        </w:rPr>
        <w:t xml:space="preserve">poskytovaných nebo zajišťovaných </w:t>
      </w:r>
      <w:r w:rsidR="00DD272F" w:rsidRPr="008B1755">
        <w:rPr>
          <w:lang w:val="cs-CZ"/>
        </w:rPr>
        <w:t>poskytovatel</w:t>
      </w:r>
      <w:r w:rsidRPr="008B1755">
        <w:rPr>
          <w:lang w:val="cs-CZ"/>
        </w:rPr>
        <w:t>em</w:t>
      </w:r>
      <w:r w:rsidR="00DD272F" w:rsidRPr="008B1755">
        <w:rPr>
          <w:lang w:val="cs-CZ"/>
        </w:rPr>
        <w:t xml:space="preserve"> internetových služeb</w:t>
      </w:r>
      <w:r w:rsidR="004424C3" w:rsidRPr="008B1755">
        <w:rPr>
          <w:lang w:val="cs-CZ"/>
        </w:rPr>
        <w:t xml:space="preserve"> </w:t>
      </w:r>
      <w:r w:rsidRPr="008B1755">
        <w:rPr>
          <w:lang w:val="cs-CZ"/>
        </w:rPr>
        <w:t xml:space="preserve">není na úkor dostupnosti obecné kvality </w:t>
      </w:r>
      <w:r w:rsidR="007D7F64" w:rsidRPr="008B1755">
        <w:rPr>
          <w:lang w:val="cs-CZ"/>
        </w:rPr>
        <w:t>služby přístupu k internetu</w:t>
      </w:r>
      <w:r w:rsidR="005D7948" w:rsidRPr="008B1755">
        <w:rPr>
          <w:lang w:val="cs-CZ"/>
        </w:rPr>
        <w:t xml:space="preserve"> </w:t>
      </w:r>
      <w:r w:rsidR="000E3789" w:rsidRPr="008B1755">
        <w:rPr>
          <w:lang w:val="cs-CZ"/>
        </w:rPr>
        <w:t>pro koncové uživatele</w:t>
      </w:r>
      <w:r w:rsidR="005D7948" w:rsidRPr="008B1755">
        <w:rPr>
          <w:lang w:val="cs-CZ"/>
        </w:rPr>
        <w:t>;</w:t>
      </w:r>
    </w:p>
    <w:p w:rsidR="00D61C28" w:rsidRPr="008B1755" w:rsidRDefault="00B94C62" w:rsidP="005D7948">
      <w:pPr>
        <w:pStyle w:val="Odstavecseseznamem"/>
        <w:numPr>
          <w:ilvl w:val="0"/>
          <w:numId w:val="18"/>
        </w:numPr>
        <w:spacing w:after="120"/>
        <w:ind w:left="1077" w:hanging="357"/>
        <w:rPr>
          <w:lang w:val="cs-CZ"/>
        </w:rPr>
      </w:pPr>
      <w:r w:rsidRPr="008B1755">
        <w:rPr>
          <w:lang w:val="cs-CZ"/>
        </w:rPr>
        <w:t xml:space="preserve">podrobnosti o metodice, podle které jsou odvozovány rychlosti nebo jiné </w:t>
      </w:r>
      <w:r w:rsidR="00714676" w:rsidRPr="008B1755">
        <w:rPr>
          <w:lang w:val="cs-CZ"/>
        </w:rPr>
        <w:t>parametry kvality služby</w:t>
      </w:r>
      <w:r w:rsidR="00D61C28" w:rsidRPr="008B1755">
        <w:rPr>
          <w:lang w:val="cs-CZ"/>
        </w:rPr>
        <w:t xml:space="preserve"> </w:t>
      </w:r>
      <w:r w:rsidRPr="008B1755">
        <w:rPr>
          <w:lang w:val="cs-CZ"/>
        </w:rPr>
        <w:t xml:space="preserve">definované </w:t>
      </w:r>
      <w:r w:rsidR="009A701D" w:rsidRPr="008B1755">
        <w:rPr>
          <w:lang w:val="cs-CZ"/>
        </w:rPr>
        <w:t>ve smlouvě</w:t>
      </w:r>
      <w:r w:rsidRPr="008B1755">
        <w:rPr>
          <w:lang w:val="cs-CZ"/>
        </w:rPr>
        <w:t xml:space="preserve"> nebo zveřejněné </w:t>
      </w:r>
      <w:r w:rsidR="00DD272F" w:rsidRPr="008B1755">
        <w:rPr>
          <w:lang w:val="cs-CZ"/>
        </w:rPr>
        <w:t>poskytovatel</w:t>
      </w:r>
      <w:r w:rsidRPr="008B1755">
        <w:rPr>
          <w:lang w:val="cs-CZ"/>
        </w:rPr>
        <w:t>em</w:t>
      </w:r>
      <w:r w:rsidR="00DD272F" w:rsidRPr="008B1755">
        <w:rPr>
          <w:lang w:val="cs-CZ"/>
        </w:rPr>
        <w:t xml:space="preserve"> internetových služeb</w:t>
      </w:r>
      <w:r w:rsidR="00D61C28" w:rsidRPr="008B1755">
        <w:rPr>
          <w:lang w:val="cs-CZ"/>
        </w:rPr>
        <w:t>;</w:t>
      </w:r>
    </w:p>
    <w:p w:rsidR="00D61C28" w:rsidRPr="008B1755" w:rsidRDefault="00B94C62" w:rsidP="005D7948">
      <w:pPr>
        <w:pStyle w:val="Odstavecseseznamem"/>
        <w:numPr>
          <w:ilvl w:val="0"/>
          <w:numId w:val="18"/>
        </w:numPr>
        <w:spacing w:after="120"/>
        <w:ind w:left="1077" w:hanging="357"/>
        <w:rPr>
          <w:lang w:val="cs-CZ"/>
        </w:rPr>
      </w:pPr>
      <w:r w:rsidRPr="008B1755">
        <w:rPr>
          <w:lang w:val="cs-CZ"/>
        </w:rPr>
        <w:t xml:space="preserve">podrobnosti o veškerých obchodních dohodách a praktikách, které mohou omezovat výkon práv </w:t>
      </w:r>
      <w:r w:rsidR="00080F70" w:rsidRPr="008B1755">
        <w:rPr>
          <w:lang w:val="cs-CZ"/>
        </w:rPr>
        <w:t>koncových uživatelů</w:t>
      </w:r>
      <w:r w:rsidR="00D61C28" w:rsidRPr="008B1755">
        <w:rPr>
          <w:lang w:val="cs-CZ"/>
        </w:rPr>
        <w:t xml:space="preserve"> </w:t>
      </w:r>
      <w:r w:rsidRPr="008B1755">
        <w:rPr>
          <w:lang w:val="cs-CZ"/>
        </w:rPr>
        <w:t xml:space="preserve">podle čl. </w:t>
      </w:r>
      <w:r w:rsidR="00DD272F" w:rsidRPr="008B1755">
        <w:rPr>
          <w:lang w:val="cs-CZ"/>
        </w:rPr>
        <w:t xml:space="preserve">3 odst. </w:t>
      </w:r>
      <w:r w:rsidR="00D61C28" w:rsidRPr="008B1755">
        <w:rPr>
          <w:lang w:val="cs-CZ"/>
        </w:rPr>
        <w:t xml:space="preserve">1), </w:t>
      </w:r>
      <w:r w:rsidRPr="008B1755">
        <w:rPr>
          <w:lang w:val="cs-CZ"/>
        </w:rPr>
        <w:t xml:space="preserve">včetně podrobností o obchodních dohodách mezi </w:t>
      </w:r>
      <w:r w:rsidR="00C44AED" w:rsidRPr="008B1755">
        <w:rPr>
          <w:lang w:val="cs-CZ"/>
        </w:rPr>
        <w:t>poskytovatel</w:t>
      </w:r>
      <w:r w:rsidRPr="008B1755">
        <w:rPr>
          <w:lang w:val="cs-CZ"/>
        </w:rPr>
        <w:t>i</w:t>
      </w:r>
      <w:r w:rsidR="00C44AED" w:rsidRPr="008B1755">
        <w:rPr>
          <w:lang w:val="cs-CZ"/>
        </w:rPr>
        <w:t xml:space="preserve"> obsahu a aplikací</w:t>
      </w:r>
      <w:r w:rsidR="00D61C28" w:rsidRPr="008B1755">
        <w:rPr>
          <w:lang w:val="cs-CZ"/>
        </w:rPr>
        <w:t xml:space="preserve"> a </w:t>
      </w:r>
      <w:r w:rsidR="007D7F64" w:rsidRPr="008B1755">
        <w:rPr>
          <w:lang w:val="cs-CZ"/>
        </w:rPr>
        <w:t>poskytovatel</w:t>
      </w:r>
      <w:r w:rsidRPr="008B1755">
        <w:rPr>
          <w:lang w:val="cs-CZ"/>
        </w:rPr>
        <w:t>i</w:t>
      </w:r>
      <w:r w:rsidR="007D7F64" w:rsidRPr="008B1755">
        <w:rPr>
          <w:lang w:val="cs-CZ"/>
        </w:rPr>
        <w:t xml:space="preserve"> internetových služeb</w:t>
      </w:r>
      <w:r w:rsidR="00D61C28" w:rsidRPr="008B1755">
        <w:rPr>
          <w:lang w:val="cs-CZ"/>
        </w:rPr>
        <w:t>;</w:t>
      </w:r>
    </w:p>
    <w:p w:rsidR="00D61C28" w:rsidRPr="008B1755" w:rsidRDefault="00B94C62" w:rsidP="005D7948">
      <w:pPr>
        <w:pStyle w:val="Odstavecseseznamem"/>
        <w:numPr>
          <w:ilvl w:val="0"/>
          <w:numId w:val="18"/>
        </w:numPr>
        <w:spacing w:after="120"/>
        <w:ind w:left="1077" w:hanging="357"/>
        <w:rPr>
          <w:lang w:val="cs-CZ"/>
        </w:rPr>
      </w:pPr>
      <w:r w:rsidRPr="008B1755">
        <w:rPr>
          <w:lang w:val="cs-CZ"/>
        </w:rPr>
        <w:t xml:space="preserve">podrobnosti o zpracování </w:t>
      </w:r>
      <w:r w:rsidR="00466D10" w:rsidRPr="008B1755">
        <w:rPr>
          <w:lang w:val="cs-CZ"/>
        </w:rPr>
        <w:t>osobních údajů</w:t>
      </w:r>
      <w:r w:rsidR="00D61C28" w:rsidRPr="008B1755">
        <w:rPr>
          <w:lang w:val="cs-CZ"/>
        </w:rPr>
        <w:t xml:space="preserve"> </w:t>
      </w:r>
      <w:r w:rsidR="00080F70" w:rsidRPr="008B1755">
        <w:rPr>
          <w:lang w:val="cs-CZ"/>
        </w:rPr>
        <w:t>poskytovateli</w:t>
      </w:r>
      <w:r w:rsidR="007D7F64" w:rsidRPr="008B1755">
        <w:rPr>
          <w:lang w:val="cs-CZ"/>
        </w:rPr>
        <w:t xml:space="preserve"> internetových služeb</w:t>
      </w:r>
      <w:r w:rsidR="00D61C28" w:rsidRPr="008B1755">
        <w:rPr>
          <w:lang w:val="cs-CZ"/>
        </w:rPr>
        <w:t xml:space="preserve">; </w:t>
      </w:r>
    </w:p>
    <w:p w:rsidR="00D61C28" w:rsidRPr="008B1755" w:rsidRDefault="00B94C62" w:rsidP="005D7948">
      <w:pPr>
        <w:pStyle w:val="Odstavecseseznamem"/>
        <w:numPr>
          <w:ilvl w:val="0"/>
          <w:numId w:val="18"/>
        </w:numPr>
        <w:spacing w:after="120"/>
        <w:ind w:left="1077" w:hanging="357"/>
        <w:rPr>
          <w:lang w:val="cs-CZ"/>
        </w:rPr>
      </w:pPr>
      <w:r w:rsidRPr="008B1755">
        <w:rPr>
          <w:lang w:val="cs-CZ"/>
        </w:rPr>
        <w:t xml:space="preserve">podrobnosti o druhu informací poskytovaných </w:t>
      </w:r>
      <w:r w:rsidR="00C44AED" w:rsidRPr="008B1755">
        <w:rPr>
          <w:lang w:val="cs-CZ"/>
        </w:rPr>
        <w:t>koncov</w:t>
      </w:r>
      <w:r w:rsidRPr="008B1755">
        <w:rPr>
          <w:lang w:val="cs-CZ"/>
        </w:rPr>
        <w:t>ým</w:t>
      </w:r>
      <w:r w:rsidR="00C44AED" w:rsidRPr="008B1755">
        <w:rPr>
          <w:lang w:val="cs-CZ"/>
        </w:rPr>
        <w:t xml:space="preserve"> uživatel</w:t>
      </w:r>
      <w:r w:rsidRPr="008B1755">
        <w:rPr>
          <w:lang w:val="cs-CZ"/>
        </w:rPr>
        <w:t xml:space="preserve">ům ze strany </w:t>
      </w:r>
      <w:r w:rsidR="00E960DD" w:rsidRPr="008B1755">
        <w:rPr>
          <w:lang w:val="cs-CZ"/>
        </w:rPr>
        <w:t>poskytovatelů</w:t>
      </w:r>
      <w:r w:rsidR="007D7F64" w:rsidRPr="008B1755">
        <w:rPr>
          <w:lang w:val="cs-CZ"/>
        </w:rPr>
        <w:t xml:space="preserve"> internetových služeb</w:t>
      </w:r>
      <w:r w:rsidR="00D61C28" w:rsidRPr="008B1755">
        <w:rPr>
          <w:lang w:val="cs-CZ"/>
        </w:rPr>
        <w:t xml:space="preserve"> </w:t>
      </w:r>
      <w:r w:rsidRPr="008B1755">
        <w:rPr>
          <w:lang w:val="cs-CZ"/>
        </w:rPr>
        <w:t>v zákaznických centrech</w:t>
      </w:r>
      <w:r w:rsidR="00D61C28" w:rsidRPr="008B1755">
        <w:rPr>
          <w:lang w:val="cs-CZ"/>
        </w:rPr>
        <w:t xml:space="preserve">, </w:t>
      </w:r>
      <w:r w:rsidR="00064D7A">
        <w:rPr>
          <w:lang w:val="cs-CZ"/>
        </w:rPr>
        <w:t xml:space="preserve">prostřednictvím </w:t>
      </w:r>
      <w:r w:rsidRPr="008B1755">
        <w:rPr>
          <w:lang w:val="cs-CZ"/>
        </w:rPr>
        <w:t>služb</w:t>
      </w:r>
      <w:r w:rsidR="00064D7A">
        <w:rPr>
          <w:lang w:val="cs-CZ"/>
        </w:rPr>
        <w:t>y</w:t>
      </w:r>
      <w:r w:rsidRPr="008B1755">
        <w:rPr>
          <w:lang w:val="cs-CZ"/>
        </w:rPr>
        <w:t xml:space="preserve"> </w:t>
      </w:r>
      <w:r w:rsidR="00D61C28" w:rsidRPr="008B1755">
        <w:rPr>
          <w:lang w:val="cs-CZ"/>
        </w:rPr>
        <w:t>helpdesk</w:t>
      </w:r>
      <w:r w:rsidRPr="008B1755">
        <w:rPr>
          <w:lang w:val="cs-CZ"/>
        </w:rPr>
        <w:t xml:space="preserve"> nebo na webových stránkách ohledně jejich </w:t>
      </w:r>
      <w:r w:rsidR="00DD272F" w:rsidRPr="008B1755">
        <w:rPr>
          <w:lang w:val="cs-CZ"/>
        </w:rPr>
        <w:t>služb</w:t>
      </w:r>
      <w:r w:rsidRPr="008B1755">
        <w:rPr>
          <w:lang w:val="cs-CZ"/>
        </w:rPr>
        <w:t>y</w:t>
      </w:r>
      <w:r w:rsidR="00DD272F" w:rsidRPr="008B1755">
        <w:rPr>
          <w:lang w:val="cs-CZ"/>
        </w:rPr>
        <w:t xml:space="preserve"> přístupu k internetu</w:t>
      </w:r>
      <w:r w:rsidR="00D61C28" w:rsidRPr="008B1755">
        <w:rPr>
          <w:lang w:val="cs-CZ"/>
        </w:rPr>
        <w:t>;</w:t>
      </w:r>
    </w:p>
    <w:p w:rsidR="00B82218" w:rsidRPr="008B1755" w:rsidRDefault="00B94C62" w:rsidP="005D7948">
      <w:pPr>
        <w:pStyle w:val="Odstavecseseznamem"/>
        <w:numPr>
          <w:ilvl w:val="0"/>
          <w:numId w:val="18"/>
        </w:numPr>
        <w:spacing w:after="120"/>
        <w:ind w:left="1077" w:hanging="357"/>
        <w:rPr>
          <w:lang w:val="cs-CZ"/>
        </w:rPr>
      </w:pPr>
      <w:r w:rsidRPr="008B1755">
        <w:rPr>
          <w:lang w:val="cs-CZ"/>
        </w:rPr>
        <w:t xml:space="preserve">počet a typ stížností </w:t>
      </w:r>
      <w:r w:rsidR="00DD272F" w:rsidRPr="008B1755">
        <w:rPr>
          <w:lang w:val="cs-CZ"/>
        </w:rPr>
        <w:t>koncov</w:t>
      </w:r>
      <w:r w:rsidR="00064D7A">
        <w:rPr>
          <w:lang w:val="cs-CZ"/>
        </w:rPr>
        <w:t>ých</w:t>
      </w:r>
      <w:r w:rsidR="00DD272F" w:rsidRPr="008B1755">
        <w:rPr>
          <w:lang w:val="cs-CZ"/>
        </w:rPr>
        <w:t xml:space="preserve"> uživatel</w:t>
      </w:r>
      <w:r w:rsidR="00064D7A">
        <w:rPr>
          <w:lang w:val="cs-CZ"/>
        </w:rPr>
        <w:t>ů</w:t>
      </w:r>
      <w:r w:rsidRPr="008B1755">
        <w:rPr>
          <w:lang w:val="cs-CZ"/>
        </w:rPr>
        <w:t xml:space="preserve"> za určité období</w:t>
      </w:r>
      <w:r w:rsidR="008B5FF1" w:rsidRPr="008B1755">
        <w:rPr>
          <w:lang w:val="cs-CZ"/>
        </w:rPr>
        <w:t>;</w:t>
      </w:r>
    </w:p>
    <w:p w:rsidR="00D61C28" w:rsidRPr="008B1755" w:rsidRDefault="00B94C62" w:rsidP="005D7948">
      <w:pPr>
        <w:pStyle w:val="Odstavecseseznamem"/>
        <w:numPr>
          <w:ilvl w:val="0"/>
          <w:numId w:val="18"/>
        </w:numPr>
        <w:spacing w:after="120"/>
        <w:ind w:left="1077" w:hanging="357"/>
        <w:rPr>
          <w:lang w:val="cs-CZ"/>
        </w:rPr>
      </w:pPr>
      <w:r w:rsidRPr="008B1755">
        <w:rPr>
          <w:lang w:val="cs-CZ"/>
        </w:rPr>
        <w:t>podrobnosti o stížnostech obdržených od konkrétního koncového uživatele a krocích podniknutých při jejich vyřazování</w:t>
      </w:r>
      <w:r w:rsidR="00D61C28" w:rsidRPr="008B1755">
        <w:rPr>
          <w:lang w:val="cs-CZ"/>
        </w:rPr>
        <w:t>.</w:t>
      </w:r>
    </w:p>
    <w:p w:rsidR="00D61C28" w:rsidRPr="008B1755" w:rsidRDefault="003E7168" w:rsidP="001B38FB">
      <w:pPr>
        <w:keepNext/>
        <w:keepLines/>
        <w:tabs>
          <w:tab w:val="num" w:pos="360"/>
        </w:tabs>
        <w:spacing w:before="360" w:after="120"/>
        <w:outlineLvl w:val="1"/>
        <w:rPr>
          <w:rFonts w:eastAsia="SimSun" w:cs="Arial"/>
          <w:b/>
          <w:bCs/>
          <w:sz w:val="24"/>
          <w:szCs w:val="24"/>
          <w:lang w:val="cs-CZ"/>
        </w:rPr>
      </w:pPr>
      <w:bookmarkStart w:id="79" w:name="_Toc461400180"/>
      <w:r w:rsidRPr="008B1755">
        <w:rPr>
          <w:rFonts w:eastAsia="SimSun" w:cs="Arial"/>
          <w:b/>
          <w:bCs/>
          <w:sz w:val="24"/>
          <w:szCs w:val="24"/>
          <w:lang w:val="cs-CZ"/>
        </w:rPr>
        <w:t xml:space="preserve">Článek </w:t>
      </w:r>
      <w:r w:rsidR="00067710" w:rsidRPr="008B1755">
        <w:rPr>
          <w:rFonts w:eastAsia="SimSun" w:cs="Arial"/>
          <w:b/>
          <w:bCs/>
          <w:sz w:val="24"/>
          <w:szCs w:val="24"/>
          <w:lang w:val="cs-CZ"/>
        </w:rPr>
        <w:t>5 odst. 3</w:t>
      </w:r>
      <w:bookmarkEnd w:id="79"/>
    </w:p>
    <w:p w:rsidR="00D61C28" w:rsidRPr="008B1755" w:rsidRDefault="002F7BFB"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Do 30. srpna 2016 vydá sdružení BEREC, s cílem přispět k jednotnému uplatňování tohoto nařízení, po konzultaci se zúčastněnými stranami a v úzké spolupráci s Komisí pokyny pro provádění povinností vnitrostátních regulačních orgánů podle tohoto článku</w:t>
      </w:r>
      <w:r w:rsidR="00D61C28" w:rsidRPr="008B1755">
        <w:rPr>
          <w:rFonts w:ascii="Times New Roman" w:hAnsi="Times New Roman"/>
          <w:lang w:val="cs-CZ"/>
        </w:rPr>
        <w:t>.</w:t>
      </w:r>
    </w:p>
    <w:p w:rsidR="00D61C28" w:rsidRPr="008B1755" w:rsidRDefault="00B3671F" w:rsidP="0038751B">
      <w:pPr>
        <w:numPr>
          <w:ilvl w:val="0"/>
          <w:numId w:val="2"/>
        </w:numPr>
        <w:contextualSpacing/>
        <w:rPr>
          <w:lang w:val="cs-CZ"/>
        </w:rPr>
      </w:pPr>
      <w:r w:rsidRPr="008B1755">
        <w:rPr>
          <w:lang w:val="cs-CZ"/>
        </w:rPr>
        <w:t xml:space="preserve">Tyto </w:t>
      </w:r>
      <w:r w:rsidR="00B47F7A" w:rsidRPr="008B1755">
        <w:rPr>
          <w:lang w:val="cs-CZ"/>
        </w:rPr>
        <w:t>po</w:t>
      </w:r>
      <w:r w:rsidRPr="008B1755">
        <w:rPr>
          <w:lang w:val="cs-CZ"/>
        </w:rPr>
        <w:t>kyny</w:t>
      </w:r>
      <w:r w:rsidR="00D61C28" w:rsidRPr="008B1755">
        <w:rPr>
          <w:lang w:val="cs-CZ"/>
        </w:rPr>
        <w:t xml:space="preserve"> </w:t>
      </w:r>
      <w:r w:rsidR="00B47F7A" w:rsidRPr="008B1755">
        <w:rPr>
          <w:lang w:val="cs-CZ"/>
        </w:rPr>
        <w:t>představují splnění tohoto ustanovení</w:t>
      </w:r>
      <w:r w:rsidR="00D61C28" w:rsidRPr="008B1755">
        <w:rPr>
          <w:lang w:val="cs-CZ"/>
        </w:rPr>
        <w:t>.</w:t>
      </w:r>
      <w:r w:rsidR="00613E30" w:rsidRPr="008B1755">
        <w:rPr>
          <w:lang w:val="cs-CZ"/>
        </w:rPr>
        <w:t xml:space="preserve"> </w:t>
      </w:r>
      <w:r w:rsidR="00B47F7A" w:rsidRPr="008B1755">
        <w:rPr>
          <w:lang w:val="cs-CZ"/>
        </w:rPr>
        <w:t xml:space="preserve">Sdružení </w:t>
      </w:r>
      <w:r w:rsidR="00613E30" w:rsidRPr="008B1755">
        <w:rPr>
          <w:lang w:val="cs-CZ"/>
        </w:rPr>
        <w:t xml:space="preserve">BEREC </w:t>
      </w:r>
      <w:r w:rsidR="00B47F7A" w:rsidRPr="008B1755">
        <w:rPr>
          <w:lang w:val="cs-CZ"/>
        </w:rPr>
        <w:t>bude tyto pokyny podle potřeby revidovat a aktualizovat</w:t>
      </w:r>
      <w:r w:rsidR="00613E30" w:rsidRPr="008B1755">
        <w:rPr>
          <w:lang w:val="cs-CZ"/>
        </w:rPr>
        <w:t>.</w:t>
      </w:r>
    </w:p>
    <w:p w:rsidR="00D61C28" w:rsidRPr="008B1755" w:rsidRDefault="003E7168" w:rsidP="001B38FB">
      <w:pPr>
        <w:keepNext/>
        <w:keepLines/>
        <w:tabs>
          <w:tab w:val="num" w:pos="360"/>
        </w:tabs>
        <w:spacing w:before="360" w:after="120"/>
        <w:outlineLvl w:val="1"/>
        <w:rPr>
          <w:rFonts w:eastAsia="SimSun" w:cs="Arial"/>
          <w:b/>
          <w:bCs/>
          <w:sz w:val="24"/>
          <w:szCs w:val="24"/>
          <w:lang w:val="cs-CZ"/>
        </w:rPr>
      </w:pPr>
      <w:bookmarkStart w:id="80" w:name="_Toc461400181"/>
      <w:r w:rsidRPr="008B1755">
        <w:rPr>
          <w:rFonts w:eastAsia="SimSun" w:cs="Arial"/>
          <w:b/>
          <w:bCs/>
          <w:sz w:val="24"/>
          <w:szCs w:val="24"/>
          <w:lang w:val="cs-CZ"/>
        </w:rPr>
        <w:t xml:space="preserve">Článek </w:t>
      </w:r>
      <w:r w:rsidR="00067710" w:rsidRPr="008B1755">
        <w:rPr>
          <w:rFonts w:eastAsia="SimSun" w:cs="Arial"/>
          <w:b/>
          <w:bCs/>
          <w:sz w:val="24"/>
          <w:szCs w:val="24"/>
          <w:lang w:val="cs-CZ"/>
        </w:rPr>
        <w:t>5 odst. 4</w:t>
      </w:r>
      <w:bookmarkEnd w:id="80"/>
    </w:p>
    <w:p w:rsidR="00D61C28" w:rsidRPr="008B1755" w:rsidRDefault="002F7BFB"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Tímto článkem nejsou dotčeny úkoly svěřené členskými státy vnitrostátním regulačním orgánům nebo jiným příslušným orgánům v souladu s právem Unie</w:t>
      </w:r>
      <w:r w:rsidR="00D61C28" w:rsidRPr="008B1755">
        <w:rPr>
          <w:rFonts w:ascii="Times New Roman" w:hAnsi="Times New Roman"/>
          <w:lang w:val="cs-CZ"/>
        </w:rPr>
        <w:t>.</w:t>
      </w:r>
    </w:p>
    <w:p w:rsidR="00D61C28" w:rsidRPr="008B1755" w:rsidRDefault="00B47F7A" w:rsidP="0038751B">
      <w:pPr>
        <w:numPr>
          <w:ilvl w:val="0"/>
          <w:numId w:val="2"/>
        </w:numPr>
        <w:contextualSpacing/>
        <w:rPr>
          <w:lang w:val="cs-CZ"/>
        </w:rPr>
      </w:pPr>
      <w:r w:rsidRPr="008B1755">
        <w:rPr>
          <w:lang w:val="cs-CZ"/>
        </w:rPr>
        <w:t xml:space="preserve">Vnitrostátní </w:t>
      </w:r>
      <w:r w:rsidR="00926BAE" w:rsidRPr="008B1755">
        <w:rPr>
          <w:lang w:val="cs-CZ"/>
        </w:rPr>
        <w:t>regulační orgány</w:t>
      </w:r>
      <w:r w:rsidR="00D61C28" w:rsidRPr="008B1755">
        <w:rPr>
          <w:lang w:val="cs-CZ"/>
        </w:rPr>
        <w:t xml:space="preserve"> </w:t>
      </w:r>
      <w:r w:rsidR="0095719A" w:rsidRPr="008B1755">
        <w:rPr>
          <w:lang w:val="cs-CZ"/>
        </w:rPr>
        <w:t>a</w:t>
      </w:r>
      <w:r w:rsidRPr="008B1755">
        <w:rPr>
          <w:lang w:val="cs-CZ"/>
        </w:rPr>
        <w:t xml:space="preserve"> jiné příslušné orgány mohou mít rovněž jiné úkoly dohledu a vymáhání, které jsou jim svěřeny členskými státy v souladu s právem Unie</w:t>
      </w:r>
      <w:r w:rsidR="00D61C28" w:rsidRPr="008B1755">
        <w:rPr>
          <w:lang w:val="cs-CZ"/>
        </w:rPr>
        <w:t xml:space="preserve">. </w:t>
      </w:r>
      <w:r w:rsidRPr="008B1755">
        <w:rPr>
          <w:lang w:val="cs-CZ"/>
        </w:rPr>
        <w:t xml:space="preserve">Tyto povinnosti mohou </w:t>
      </w:r>
      <w:r w:rsidR="00DB2A16" w:rsidRPr="008B1755">
        <w:rPr>
          <w:lang w:val="cs-CZ"/>
        </w:rPr>
        <w:t xml:space="preserve">kromě rámce pro elektronické komunikace </w:t>
      </w:r>
      <w:r w:rsidRPr="008B1755">
        <w:rPr>
          <w:lang w:val="cs-CZ"/>
        </w:rPr>
        <w:t>vyplývat například ze soutěžního a spotřebitelského práva</w:t>
      </w:r>
      <w:r w:rsidR="00D61C28" w:rsidRPr="008B1755">
        <w:rPr>
          <w:lang w:val="cs-CZ"/>
        </w:rPr>
        <w:t xml:space="preserve">. </w:t>
      </w:r>
      <w:r w:rsidR="00DB2A16" w:rsidRPr="008B1755">
        <w:rPr>
          <w:lang w:val="cs-CZ"/>
        </w:rPr>
        <w:t xml:space="preserve">Článkem 5 nejsou dotčeny úkoly </w:t>
      </w:r>
      <w:r w:rsidR="00926BAE" w:rsidRPr="008B1755">
        <w:rPr>
          <w:lang w:val="cs-CZ"/>
        </w:rPr>
        <w:t>vnitrostátní</w:t>
      </w:r>
      <w:r w:rsidR="00DB2A16" w:rsidRPr="008B1755">
        <w:rPr>
          <w:lang w:val="cs-CZ"/>
        </w:rPr>
        <w:t>ch</w:t>
      </w:r>
      <w:r w:rsidR="00926BAE" w:rsidRPr="008B1755">
        <w:rPr>
          <w:lang w:val="cs-CZ"/>
        </w:rPr>
        <w:t xml:space="preserve"> regulační</w:t>
      </w:r>
      <w:r w:rsidR="00DB2A16" w:rsidRPr="008B1755">
        <w:rPr>
          <w:lang w:val="cs-CZ"/>
        </w:rPr>
        <w:t>ch</w:t>
      </w:r>
      <w:r w:rsidR="00926BAE" w:rsidRPr="008B1755">
        <w:rPr>
          <w:lang w:val="cs-CZ"/>
        </w:rPr>
        <w:t xml:space="preserve"> orgán</w:t>
      </w:r>
      <w:r w:rsidR="00DB2A16" w:rsidRPr="008B1755">
        <w:rPr>
          <w:lang w:val="cs-CZ"/>
        </w:rPr>
        <w:t xml:space="preserve">ů nebo jiných příslušných vnitrostátních nebo evropských orgánů vyplývající z těchto zákonů, bez ohledu na to, zda se tyto úkoly překrývají s povinnostmi vnitrostátních regulačních orgánů </w:t>
      </w:r>
      <w:r w:rsidR="0095719A" w:rsidRPr="008B1755">
        <w:rPr>
          <w:lang w:val="cs-CZ"/>
        </w:rPr>
        <w:t>(</w:t>
      </w:r>
      <w:r w:rsidR="00DB2A16" w:rsidRPr="008B1755">
        <w:rPr>
          <w:lang w:val="cs-CZ"/>
        </w:rPr>
        <w:t>nebo jiných příslušných orgánů</w:t>
      </w:r>
      <w:r w:rsidR="0095719A" w:rsidRPr="008B1755">
        <w:rPr>
          <w:lang w:val="cs-CZ"/>
        </w:rPr>
        <w:t>)</w:t>
      </w:r>
      <w:r w:rsidR="00D61C28" w:rsidRPr="008B1755">
        <w:rPr>
          <w:lang w:val="cs-CZ"/>
        </w:rPr>
        <w:t xml:space="preserve"> </w:t>
      </w:r>
      <w:r w:rsidR="00DB2A16" w:rsidRPr="008B1755">
        <w:rPr>
          <w:lang w:val="cs-CZ"/>
        </w:rPr>
        <w:t>stanovenými v článku</w:t>
      </w:r>
      <w:r w:rsidR="00D61C28" w:rsidRPr="008B1755">
        <w:rPr>
          <w:lang w:val="cs-CZ"/>
        </w:rPr>
        <w:t xml:space="preserve">. </w:t>
      </w:r>
      <w:r w:rsidR="00DB2A16" w:rsidRPr="008B1755">
        <w:rPr>
          <w:lang w:val="cs-CZ"/>
        </w:rPr>
        <w:t xml:space="preserve">Nařízením nejsou dotčeny kompetence vnitrostátních regulačních orgánů nebo jiných vnitrostátních orgánů při dohledu a vymáhání směrnice </w:t>
      </w:r>
      <w:r w:rsidR="00D61C28" w:rsidRPr="008B1755">
        <w:rPr>
          <w:lang w:val="cs-CZ"/>
        </w:rPr>
        <w:t>95/46</w:t>
      </w:r>
      <w:r w:rsidR="002E5214" w:rsidRPr="008B1755">
        <w:rPr>
          <w:lang w:val="cs-CZ"/>
        </w:rPr>
        <w:t>/ES</w:t>
      </w:r>
      <w:r w:rsidR="00D61C28" w:rsidRPr="008B1755">
        <w:rPr>
          <w:lang w:val="cs-CZ"/>
        </w:rPr>
        <w:t xml:space="preserve"> </w:t>
      </w:r>
      <w:r w:rsidR="00DB2A16" w:rsidRPr="008B1755">
        <w:rPr>
          <w:lang w:val="cs-CZ"/>
        </w:rPr>
        <w:t xml:space="preserve">nebo směrnice </w:t>
      </w:r>
      <w:r w:rsidR="00D61C28" w:rsidRPr="008B1755">
        <w:rPr>
          <w:lang w:val="cs-CZ"/>
        </w:rPr>
        <w:t>2002/58</w:t>
      </w:r>
      <w:r w:rsidR="002E5214" w:rsidRPr="008B1755">
        <w:rPr>
          <w:lang w:val="cs-CZ"/>
        </w:rPr>
        <w:t>/ES</w:t>
      </w:r>
      <w:r w:rsidR="00D61C28" w:rsidRPr="008B1755">
        <w:rPr>
          <w:lang w:val="cs-CZ"/>
        </w:rPr>
        <w:t xml:space="preserve"> </w:t>
      </w:r>
      <w:r w:rsidR="00DB2A16" w:rsidRPr="008B1755">
        <w:rPr>
          <w:lang w:val="cs-CZ"/>
        </w:rPr>
        <w:t xml:space="preserve">uvedené </w:t>
      </w:r>
      <w:r w:rsidR="00F064F8" w:rsidRPr="008B1755">
        <w:rPr>
          <w:lang w:val="cs-CZ"/>
        </w:rPr>
        <w:t>v článku</w:t>
      </w:r>
      <w:r w:rsidR="00BB58C8" w:rsidRPr="008B1755">
        <w:rPr>
          <w:lang w:val="cs-CZ"/>
        </w:rPr>
        <w:t xml:space="preserve"> </w:t>
      </w:r>
      <w:r w:rsidR="006C5B3A" w:rsidRPr="008B1755">
        <w:rPr>
          <w:lang w:val="cs-CZ"/>
        </w:rPr>
        <w:t>3 odst. 4</w:t>
      </w:r>
      <w:r w:rsidR="00D61C28" w:rsidRPr="008B1755">
        <w:rPr>
          <w:lang w:val="cs-CZ"/>
        </w:rPr>
        <w:t xml:space="preserve">, </w:t>
      </w:r>
      <w:r w:rsidR="00DB2A16" w:rsidRPr="008B1755">
        <w:rPr>
          <w:lang w:val="cs-CZ"/>
        </w:rPr>
        <w:t>protože tyto úkoly jsou nadále svěřeny podle vnitrostátního práva</w:t>
      </w:r>
      <w:r w:rsidR="00D61C28" w:rsidRPr="008B1755">
        <w:rPr>
          <w:lang w:val="cs-CZ"/>
        </w:rPr>
        <w:t>.</w:t>
      </w:r>
      <w:r w:rsidR="00D61C28" w:rsidRPr="008B1755" w:rsidDel="005364B5">
        <w:rPr>
          <w:vertAlign w:val="superscript"/>
          <w:lang w:val="cs-CZ"/>
        </w:rPr>
        <w:t xml:space="preserve"> </w:t>
      </w:r>
    </w:p>
    <w:p w:rsidR="00D61C28" w:rsidRPr="008B1755" w:rsidRDefault="003E7168" w:rsidP="00D61C28">
      <w:pPr>
        <w:keepNext/>
        <w:keepLines/>
        <w:spacing w:before="600" w:after="120"/>
        <w:jc w:val="left"/>
        <w:outlineLvl w:val="0"/>
        <w:rPr>
          <w:rFonts w:eastAsia="SimSun"/>
          <w:b/>
          <w:bCs/>
          <w:sz w:val="32"/>
          <w:szCs w:val="28"/>
          <w:lang w:val="cs-CZ"/>
        </w:rPr>
      </w:pPr>
      <w:bookmarkStart w:id="81" w:name="_Toc461400182"/>
      <w:r w:rsidRPr="008B1755">
        <w:rPr>
          <w:rFonts w:eastAsia="SimSun"/>
          <w:b/>
          <w:bCs/>
          <w:sz w:val="32"/>
          <w:szCs w:val="28"/>
          <w:u w:val="single"/>
          <w:lang w:val="cs-CZ"/>
        </w:rPr>
        <w:t xml:space="preserve">Článek </w:t>
      </w:r>
      <w:r w:rsidR="00D61C28" w:rsidRPr="008B1755">
        <w:rPr>
          <w:rFonts w:eastAsia="SimSun"/>
          <w:b/>
          <w:bCs/>
          <w:sz w:val="32"/>
          <w:szCs w:val="28"/>
          <w:u w:val="single"/>
          <w:lang w:val="cs-CZ"/>
        </w:rPr>
        <w:t>6</w:t>
      </w:r>
      <w:r w:rsidR="00D61C28" w:rsidRPr="008B1755">
        <w:rPr>
          <w:rFonts w:eastAsia="SimSun"/>
          <w:b/>
          <w:bCs/>
          <w:sz w:val="32"/>
          <w:szCs w:val="28"/>
          <w:u w:val="single"/>
          <w:lang w:val="cs-CZ"/>
        </w:rPr>
        <w:br/>
      </w:r>
      <w:r w:rsidR="00DB2A16" w:rsidRPr="008B1755">
        <w:rPr>
          <w:rFonts w:eastAsia="SimSun"/>
          <w:b/>
          <w:bCs/>
          <w:sz w:val="32"/>
          <w:szCs w:val="28"/>
          <w:lang w:val="cs-CZ"/>
        </w:rPr>
        <w:t>Sankce</w:t>
      </w:r>
      <w:bookmarkEnd w:id="81"/>
    </w:p>
    <w:p w:rsidR="00D61C28" w:rsidRPr="008B1755" w:rsidRDefault="002F7BFB"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Členské státy stanoví sankce za porušení ustanovení článků 3, 4 a 5 a přijmou veškerá nezbytná opatření k zajištění jejich uplatňování. Stanovené sankce musí být účinné, přiměřené a odrazující. Členské státy tyto sankce a opatření oznámí Komisi nejpozději do 30. dubna 2016 a neprodleně Komisi oznámí všechny jejich následné změny</w:t>
      </w:r>
      <w:r w:rsidR="00D61C28" w:rsidRPr="008B1755">
        <w:rPr>
          <w:rFonts w:ascii="Times New Roman" w:hAnsi="Times New Roman"/>
          <w:lang w:val="cs-CZ"/>
        </w:rPr>
        <w:t>.</w:t>
      </w:r>
    </w:p>
    <w:p w:rsidR="00D61C28" w:rsidRPr="008B1755" w:rsidRDefault="001D5422" w:rsidP="0038751B">
      <w:pPr>
        <w:numPr>
          <w:ilvl w:val="0"/>
          <w:numId w:val="2"/>
        </w:numPr>
        <w:contextualSpacing/>
        <w:rPr>
          <w:lang w:val="cs-CZ"/>
        </w:rPr>
      </w:pPr>
      <w:r w:rsidRPr="008B1755">
        <w:rPr>
          <w:lang w:val="cs-CZ"/>
        </w:rPr>
        <w:t>Toto ustanovení je určeno členským státům a nejsou nutné žádné pokyny pro vnitrostátní regulační orgány</w:t>
      </w:r>
      <w:r w:rsidR="00D61C28" w:rsidRPr="008B1755">
        <w:rPr>
          <w:lang w:val="cs-CZ"/>
        </w:rPr>
        <w:t xml:space="preserve">. </w:t>
      </w:r>
    </w:p>
    <w:p w:rsidR="00D90B50" w:rsidRPr="008B1755" w:rsidRDefault="003E7168" w:rsidP="00D90B50">
      <w:pPr>
        <w:pStyle w:val="Nadpis1"/>
        <w:spacing w:before="600" w:after="120"/>
        <w:jc w:val="left"/>
        <w:rPr>
          <w:lang w:val="cs-CZ"/>
        </w:rPr>
      </w:pPr>
      <w:bookmarkStart w:id="82" w:name="_Toc461400183"/>
      <w:r w:rsidRPr="008B1755">
        <w:rPr>
          <w:u w:val="single"/>
          <w:lang w:val="cs-CZ"/>
        </w:rPr>
        <w:t xml:space="preserve">Článek </w:t>
      </w:r>
      <w:r w:rsidR="00D90B50" w:rsidRPr="008B1755">
        <w:rPr>
          <w:u w:val="single"/>
          <w:lang w:val="cs-CZ"/>
        </w:rPr>
        <w:t xml:space="preserve">10 </w:t>
      </w:r>
      <w:r w:rsidR="00D90B50" w:rsidRPr="008B1755">
        <w:rPr>
          <w:u w:val="single"/>
          <w:lang w:val="cs-CZ"/>
        </w:rPr>
        <w:br/>
      </w:r>
      <w:r w:rsidR="001D5422" w:rsidRPr="008B1755">
        <w:rPr>
          <w:lang w:val="cs-CZ"/>
        </w:rPr>
        <w:t>Vstup v platnost a přechodná ustanovení</w:t>
      </w:r>
      <w:bookmarkEnd w:id="82"/>
    </w:p>
    <w:p w:rsidR="009D6916" w:rsidRPr="008B1755" w:rsidRDefault="003E7168" w:rsidP="001B38FB">
      <w:pPr>
        <w:keepNext/>
        <w:keepLines/>
        <w:tabs>
          <w:tab w:val="num" w:pos="360"/>
        </w:tabs>
        <w:spacing w:before="360" w:after="120"/>
        <w:outlineLvl w:val="1"/>
        <w:rPr>
          <w:rFonts w:eastAsia="SimSun" w:cs="Arial"/>
          <w:b/>
          <w:bCs/>
          <w:sz w:val="24"/>
          <w:szCs w:val="24"/>
          <w:lang w:val="cs-CZ"/>
        </w:rPr>
      </w:pPr>
      <w:bookmarkStart w:id="83" w:name="_Toc461400184"/>
      <w:r w:rsidRPr="008B1755">
        <w:rPr>
          <w:rFonts w:eastAsia="SimSun" w:cs="Arial"/>
          <w:b/>
          <w:bCs/>
          <w:sz w:val="24"/>
          <w:szCs w:val="24"/>
          <w:lang w:val="cs-CZ"/>
        </w:rPr>
        <w:t xml:space="preserve">Článek </w:t>
      </w:r>
      <w:r w:rsidR="009D6916" w:rsidRPr="008B1755">
        <w:rPr>
          <w:rFonts w:eastAsia="SimSun" w:cs="Arial"/>
          <w:b/>
          <w:bCs/>
          <w:sz w:val="24"/>
          <w:szCs w:val="24"/>
          <w:lang w:val="cs-CZ"/>
        </w:rPr>
        <w:t>10</w:t>
      </w:r>
      <w:r w:rsidR="001D5422" w:rsidRPr="008B1755">
        <w:rPr>
          <w:rFonts w:eastAsia="SimSun" w:cs="Arial"/>
          <w:b/>
          <w:bCs/>
          <w:sz w:val="24"/>
          <w:szCs w:val="24"/>
          <w:lang w:val="cs-CZ"/>
        </w:rPr>
        <w:t xml:space="preserve"> odst. </w:t>
      </w:r>
      <w:r w:rsidR="009D6916" w:rsidRPr="008B1755">
        <w:rPr>
          <w:rFonts w:eastAsia="SimSun" w:cs="Arial"/>
          <w:b/>
          <w:bCs/>
          <w:sz w:val="24"/>
          <w:szCs w:val="24"/>
          <w:lang w:val="cs-CZ"/>
        </w:rPr>
        <w:t>1</w:t>
      </w:r>
      <w:bookmarkEnd w:id="83"/>
    </w:p>
    <w:p w:rsidR="009D6916" w:rsidRPr="008B1755" w:rsidRDefault="002F7BFB"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Toto nařízení vstupuje v platnost třetím dnem po vyhlášení v Úředním věstníku Evropské unie</w:t>
      </w:r>
      <w:r w:rsidR="009D6916" w:rsidRPr="008B1755">
        <w:rPr>
          <w:rFonts w:ascii="Times New Roman" w:hAnsi="Times New Roman"/>
          <w:lang w:val="cs-CZ"/>
        </w:rPr>
        <w:t>.</w:t>
      </w:r>
    </w:p>
    <w:p w:rsidR="009D6916" w:rsidRPr="008B1755" w:rsidRDefault="001D5422" w:rsidP="0038751B">
      <w:pPr>
        <w:numPr>
          <w:ilvl w:val="0"/>
          <w:numId w:val="2"/>
        </w:numPr>
        <w:contextualSpacing/>
        <w:rPr>
          <w:lang w:val="cs-CZ"/>
        </w:rPr>
      </w:pPr>
      <w:r w:rsidRPr="008B1755">
        <w:rPr>
          <w:lang w:val="cs-CZ"/>
        </w:rPr>
        <w:t xml:space="preserve">Nařízení vstoupilo v platnost </w:t>
      </w:r>
      <w:r w:rsidR="009D6916" w:rsidRPr="008B1755">
        <w:rPr>
          <w:lang w:val="cs-CZ"/>
        </w:rPr>
        <w:t>29</w:t>
      </w:r>
      <w:r w:rsidRPr="008B1755">
        <w:rPr>
          <w:lang w:val="cs-CZ"/>
        </w:rPr>
        <w:t>. listopadu</w:t>
      </w:r>
      <w:r w:rsidR="009D6916" w:rsidRPr="008B1755">
        <w:rPr>
          <w:lang w:val="cs-CZ"/>
        </w:rPr>
        <w:t xml:space="preserve"> 2015</w:t>
      </w:r>
      <w:r w:rsidR="0091492B" w:rsidRPr="008B1755">
        <w:rPr>
          <w:lang w:val="cs-CZ"/>
        </w:rPr>
        <w:t>.</w:t>
      </w:r>
    </w:p>
    <w:p w:rsidR="009D6916" w:rsidRPr="008B1755" w:rsidRDefault="003E7168" w:rsidP="001B38FB">
      <w:pPr>
        <w:keepNext/>
        <w:keepLines/>
        <w:tabs>
          <w:tab w:val="num" w:pos="360"/>
        </w:tabs>
        <w:spacing w:before="360" w:after="120"/>
        <w:outlineLvl w:val="1"/>
        <w:rPr>
          <w:rFonts w:eastAsia="SimSun" w:cs="Arial"/>
          <w:b/>
          <w:bCs/>
          <w:sz w:val="24"/>
          <w:szCs w:val="24"/>
          <w:lang w:val="cs-CZ"/>
        </w:rPr>
      </w:pPr>
      <w:bookmarkStart w:id="84" w:name="_Toc461400185"/>
      <w:r w:rsidRPr="008B1755">
        <w:rPr>
          <w:rFonts w:eastAsia="SimSun" w:cs="Arial"/>
          <w:b/>
          <w:bCs/>
          <w:sz w:val="24"/>
          <w:szCs w:val="24"/>
          <w:lang w:val="cs-CZ"/>
        </w:rPr>
        <w:t xml:space="preserve">Článek </w:t>
      </w:r>
      <w:r w:rsidR="001D5422" w:rsidRPr="008B1755">
        <w:rPr>
          <w:rFonts w:eastAsia="SimSun" w:cs="Arial"/>
          <w:b/>
          <w:bCs/>
          <w:sz w:val="24"/>
          <w:szCs w:val="24"/>
          <w:lang w:val="cs-CZ"/>
        </w:rPr>
        <w:t xml:space="preserve">10 odst. </w:t>
      </w:r>
      <w:r w:rsidR="009D6916" w:rsidRPr="008B1755">
        <w:rPr>
          <w:rFonts w:eastAsia="SimSun" w:cs="Arial"/>
          <w:b/>
          <w:bCs/>
          <w:sz w:val="24"/>
          <w:szCs w:val="24"/>
          <w:lang w:val="cs-CZ"/>
        </w:rPr>
        <w:t>2</w:t>
      </w:r>
      <w:bookmarkEnd w:id="84"/>
    </w:p>
    <w:p w:rsidR="009D6916" w:rsidRPr="008B1755" w:rsidRDefault="00AF3E63"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Použije se ode dne 30. dubna 2016, s výjimkou těchto případů</w:t>
      </w:r>
      <w:r w:rsidR="009D6916" w:rsidRPr="008B1755">
        <w:rPr>
          <w:rFonts w:ascii="Times New Roman" w:hAnsi="Times New Roman"/>
          <w:lang w:val="cs-CZ"/>
        </w:rPr>
        <w:t xml:space="preserve">: </w:t>
      </w:r>
    </w:p>
    <w:p w:rsidR="009D6916" w:rsidRPr="008B1755" w:rsidRDefault="009D6916"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Fonts w:ascii="Times New Roman" w:hAnsi="Times New Roman"/>
          <w:lang w:val="cs-CZ"/>
        </w:rPr>
        <w:t>[…]</w:t>
      </w:r>
    </w:p>
    <w:p w:rsidR="009D6916" w:rsidRPr="008B1755" w:rsidRDefault="009D6916"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Fonts w:ascii="Times New Roman" w:hAnsi="Times New Roman"/>
          <w:lang w:val="cs-CZ"/>
        </w:rPr>
        <w:t xml:space="preserve">(c) </w:t>
      </w:r>
      <w:r w:rsidR="00AF3E63" w:rsidRPr="008B1755">
        <w:rPr>
          <w:rStyle w:val="Style2Char"/>
          <w:lang w:val="cs-CZ"/>
        </w:rPr>
        <w:t>čl. 5 odst. 3 se použije ode dne 29. listopadu 2015</w:t>
      </w:r>
      <w:r w:rsidRPr="008B1755">
        <w:rPr>
          <w:rFonts w:ascii="Times New Roman" w:hAnsi="Times New Roman"/>
          <w:lang w:val="cs-CZ"/>
        </w:rPr>
        <w:t>;</w:t>
      </w:r>
    </w:p>
    <w:p w:rsidR="009D6916" w:rsidRPr="008B1755" w:rsidRDefault="009D6916"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Fonts w:ascii="Times New Roman" w:hAnsi="Times New Roman"/>
          <w:lang w:val="cs-CZ"/>
        </w:rPr>
        <w:t>[…]</w:t>
      </w:r>
    </w:p>
    <w:p w:rsidR="009D6916" w:rsidRPr="008B1755" w:rsidRDefault="006E7082" w:rsidP="0038751B">
      <w:pPr>
        <w:numPr>
          <w:ilvl w:val="0"/>
          <w:numId w:val="2"/>
        </w:numPr>
        <w:spacing w:after="120"/>
        <w:rPr>
          <w:lang w:val="cs-CZ"/>
        </w:rPr>
      </w:pPr>
      <w:r w:rsidRPr="008B1755">
        <w:rPr>
          <w:lang w:val="cs-CZ"/>
        </w:rPr>
        <w:t xml:space="preserve">Nařízení </w:t>
      </w:r>
      <w:r w:rsidR="00E00CA4">
        <w:rPr>
          <w:lang w:val="cs-CZ"/>
        </w:rPr>
        <w:t xml:space="preserve">je účinné </w:t>
      </w:r>
      <w:r w:rsidRPr="008B1755">
        <w:rPr>
          <w:lang w:val="cs-CZ"/>
        </w:rPr>
        <w:t xml:space="preserve">se použije od </w:t>
      </w:r>
      <w:r w:rsidR="009D6916" w:rsidRPr="008B1755">
        <w:rPr>
          <w:lang w:val="cs-CZ"/>
        </w:rPr>
        <w:t>30</w:t>
      </w:r>
      <w:r w:rsidRPr="008B1755">
        <w:rPr>
          <w:lang w:val="cs-CZ"/>
        </w:rPr>
        <w:t>. dubna</w:t>
      </w:r>
      <w:r w:rsidR="009D6916" w:rsidRPr="008B1755">
        <w:rPr>
          <w:lang w:val="cs-CZ"/>
        </w:rPr>
        <w:t xml:space="preserve"> 2016, </w:t>
      </w:r>
      <w:r w:rsidRPr="008B1755">
        <w:rPr>
          <w:lang w:val="cs-CZ"/>
        </w:rPr>
        <w:t xml:space="preserve">s výjimkou čl. </w:t>
      </w:r>
      <w:r w:rsidR="00067710" w:rsidRPr="008B1755">
        <w:rPr>
          <w:lang w:val="cs-CZ"/>
        </w:rPr>
        <w:t>5 odst. 3</w:t>
      </w:r>
      <w:r w:rsidRPr="008B1755">
        <w:rPr>
          <w:lang w:val="cs-CZ"/>
        </w:rPr>
        <w:t xml:space="preserve">, který nařizuje sdružení </w:t>
      </w:r>
      <w:r w:rsidR="009D6916" w:rsidRPr="008B1755">
        <w:rPr>
          <w:lang w:val="cs-CZ"/>
        </w:rPr>
        <w:t xml:space="preserve">BEREC </w:t>
      </w:r>
      <w:r w:rsidRPr="008B1755">
        <w:rPr>
          <w:lang w:val="cs-CZ"/>
        </w:rPr>
        <w:t xml:space="preserve">vydat tyto pokyny a který se použije od </w:t>
      </w:r>
      <w:r w:rsidR="009D6916" w:rsidRPr="008B1755">
        <w:rPr>
          <w:lang w:val="cs-CZ"/>
        </w:rPr>
        <w:t>29</w:t>
      </w:r>
      <w:r w:rsidRPr="008B1755">
        <w:rPr>
          <w:lang w:val="cs-CZ"/>
        </w:rPr>
        <w:t>. listopadu</w:t>
      </w:r>
      <w:r w:rsidR="009D6916" w:rsidRPr="008B1755">
        <w:rPr>
          <w:lang w:val="cs-CZ"/>
        </w:rPr>
        <w:t xml:space="preserve"> 2015.</w:t>
      </w:r>
    </w:p>
    <w:p w:rsidR="009D6916" w:rsidRPr="008B1755" w:rsidRDefault="006E7082" w:rsidP="0038751B">
      <w:pPr>
        <w:numPr>
          <w:ilvl w:val="0"/>
          <w:numId w:val="2"/>
        </w:numPr>
        <w:spacing w:after="120"/>
        <w:rPr>
          <w:lang w:val="cs-CZ"/>
        </w:rPr>
      </w:pPr>
      <w:r w:rsidRPr="008B1755">
        <w:rPr>
          <w:lang w:val="cs-CZ"/>
        </w:rPr>
        <w:t xml:space="preserve">Při sledování a zajišťování dodržování čl. </w:t>
      </w:r>
      <w:r w:rsidR="009D6916" w:rsidRPr="008B1755">
        <w:rPr>
          <w:lang w:val="cs-CZ"/>
        </w:rPr>
        <w:t>3 a 4</w:t>
      </w:r>
      <w:r w:rsidRPr="008B1755">
        <w:rPr>
          <w:lang w:val="cs-CZ"/>
        </w:rPr>
        <w:t xml:space="preserve"> </w:t>
      </w:r>
      <w:r w:rsidR="00926BAE" w:rsidRPr="008B1755">
        <w:rPr>
          <w:lang w:val="cs-CZ"/>
        </w:rPr>
        <w:t>vnitrostátní regulační orgány</w:t>
      </w:r>
      <w:r w:rsidR="009D6916" w:rsidRPr="008B1755">
        <w:rPr>
          <w:lang w:val="cs-CZ"/>
        </w:rPr>
        <w:t xml:space="preserve"> </w:t>
      </w:r>
      <w:r w:rsidRPr="008B1755">
        <w:rPr>
          <w:lang w:val="cs-CZ"/>
        </w:rPr>
        <w:t xml:space="preserve">přihlédnou k tomu, že se ustanovení </w:t>
      </w:r>
      <w:r w:rsidR="001D46DD" w:rsidRPr="008B1755">
        <w:rPr>
          <w:lang w:val="cs-CZ"/>
        </w:rPr>
        <w:t>Nařízení</w:t>
      </w:r>
      <w:r w:rsidR="009D6916" w:rsidRPr="008B1755">
        <w:rPr>
          <w:lang w:val="cs-CZ"/>
        </w:rPr>
        <w:t xml:space="preserve"> </w:t>
      </w:r>
      <w:r w:rsidRPr="008B1755">
        <w:rPr>
          <w:lang w:val="cs-CZ"/>
        </w:rPr>
        <w:t xml:space="preserve">vztahují na všechny stávající a nové smlouvy s výjimkou čl. </w:t>
      </w:r>
      <w:r w:rsidR="00BE6053" w:rsidRPr="008B1755">
        <w:rPr>
          <w:lang w:val="cs-CZ"/>
        </w:rPr>
        <w:t>4 odst. 4</w:t>
      </w:r>
      <w:r w:rsidR="00DD3111" w:rsidRPr="008B1755">
        <w:rPr>
          <w:lang w:val="cs-CZ"/>
        </w:rPr>
        <w:t>,</w:t>
      </w:r>
      <w:r w:rsidR="009D6916" w:rsidRPr="008B1755">
        <w:rPr>
          <w:lang w:val="cs-CZ"/>
        </w:rPr>
        <w:t xml:space="preserve"> </w:t>
      </w:r>
      <w:r w:rsidRPr="008B1755">
        <w:rPr>
          <w:lang w:val="cs-CZ"/>
        </w:rPr>
        <w:t xml:space="preserve">který se vztahuje pouze na smlouvy uzavřené nebo prodloužené v době od 29. listopadu </w:t>
      </w:r>
      <w:r w:rsidR="009D6916" w:rsidRPr="008B1755">
        <w:rPr>
          <w:lang w:val="cs-CZ"/>
        </w:rPr>
        <w:t>2015.</w:t>
      </w:r>
      <w:r w:rsidR="007E0001" w:rsidRPr="008B1755">
        <w:rPr>
          <w:rStyle w:val="Znakapoznpodarou"/>
          <w:lang w:val="cs-CZ"/>
        </w:rPr>
        <w:footnoteReference w:id="42"/>
      </w:r>
      <w:r w:rsidR="009D6916" w:rsidRPr="008B1755">
        <w:rPr>
          <w:lang w:val="cs-CZ"/>
        </w:rPr>
        <w:t xml:space="preserve"> </w:t>
      </w:r>
      <w:r w:rsidRPr="008B1755">
        <w:rPr>
          <w:lang w:val="cs-CZ"/>
        </w:rPr>
        <w:t xml:space="preserve">Naopak to znamená, že po přechodnou dobu se článek </w:t>
      </w:r>
      <w:r w:rsidR="00BE6053" w:rsidRPr="008B1755">
        <w:rPr>
          <w:lang w:val="cs-CZ"/>
        </w:rPr>
        <w:t>4 odst. 4</w:t>
      </w:r>
      <w:r w:rsidR="009D6916" w:rsidRPr="008B1755">
        <w:rPr>
          <w:lang w:val="cs-CZ"/>
        </w:rPr>
        <w:t xml:space="preserve"> </w:t>
      </w:r>
      <w:r w:rsidRPr="008B1755">
        <w:rPr>
          <w:lang w:val="cs-CZ"/>
        </w:rPr>
        <w:t>nevztahuje na určitý počet smluv</w:t>
      </w:r>
      <w:r w:rsidR="009D6916" w:rsidRPr="008B1755">
        <w:rPr>
          <w:lang w:val="cs-CZ"/>
        </w:rPr>
        <w:t xml:space="preserve">. </w:t>
      </w:r>
      <w:r w:rsidRPr="008B1755">
        <w:rPr>
          <w:lang w:val="cs-CZ"/>
        </w:rPr>
        <w:t xml:space="preserve">Nicméně článek </w:t>
      </w:r>
      <w:r w:rsidR="00BE6053" w:rsidRPr="008B1755">
        <w:rPr>
          <w:lang w:val="cs-CZ"/>
        </w:rPr>
        <w:t>4 odst. 4</w:t>
      </w:r>
      <w:r w:rsidR="009D6916" w:rsidRPr="008B1755">
        <w:rPr>
          <w:lang w:val="cs-CZ"/>
        </w:rPr>
        <w:t xml:space="preserve"> </w:t>
      </w:r>
      <w:r w:rsidR="00295063" w:rsidRPr="008B1755">
        <w:rPr>
          <w:lang w:val="cs-CZ"/>
        </w:rPr>
        <w:t>se postupně bude vztahovat na stále větší počet smluv, jak budou prodlužovány nebo nově uzavírány</w:t>
      </w:r>
      <w:r w:rsidR="00747770" w:rsidRPr="008B1755">
        <w:rPr>
          <w:lang w:val="cs-CZ"/>
        </w:rPr>
        <w:t>.</w:t>
      </w:r>
    </w:p>
    <w:p w:rsidR="009D6916" w:rsidRPr="008B1755" w:rsidRDefault="003E7168" w:rsidP="001B38FB">
      <w:pPr>
        <w:keepNext/>
        <w:keepLines/>
        <w:tabs>
          <w:tab w:val="num" w:pos="360"/>
        </w:tabs>
        <w:spacing w:before="360" w:after="120"/>
        <w:outlineLvl w:val="1"/>
        <w:rPr>
          <w:rFonts w:eastAsia="SimSun" w:cs="Arial"/>
          <w:b/>
          <w:bCs/>
          <w:sz w:val="24"/>
          <w:szCs w:val="24"/>
          <w:lang w:val="cs-CZ"/>
        </w:rPr>
      </w:pPr>
      <w:bookmarkStart w:id="85" w:name="_Toc461400186"/>
      <w:r w:rsidRPr="008B1755">
        <w:rPr>
          <w:rFonts w:eastAsia="SimSun" w:cs="Arial"/>
          <w:b/>
          <w:bCs/>
          <w:sz w:val="24"/>
          <w:szCs w:val="24"/>
          <w:lang w:val="cs-CZ"/>
        </w:rPr>
        <w:t xml:space="preserve">Článek </w:t>
      </w:r>
      <w:r w:rsidR="009D6916" w:rsidRPr="008B1755">
        <w:rPr>
          <w:rFonts w:eastAsia="SimSun" w:cs="Arial"/>
          <w:b/>
          <w:bCs/>
          <w:sz w:val="24"/>
          <w:szCs w:val="24"/>
          <w:lang w:val="cs-CZ"/>
        </w:rPr>
        <w:t>10</w:t>
      </w:r>
      <w:r w:rsidR="00B47F7A" w:rsidRPr="008B1755">
        <w:rPr>
          <w:rFonts w:eastAsia="SimSun" w:cs="Arial"/>
          <w:b/>
          <w:bCs/>
          <w:sz w:val="24"/>
          <w:szCs w:val="24"/>
          <w:lang w:val="cs-CZ"/>
        </w:rPr>
        <w:t xml:space="preserve"> odst. </w:t>
      </w:r>
      <w:r w:rsidR="009D6916" w:rsidRPr="008B1755">
        <w:rPr>
          <w:rFonts w:eastAsia="SimSun" w:cs="Arial"/>
          <w:b/>
          <w:bCs/>
          <w:sz w:val="24"/>
          <w:szCs w:val="24"/>
          <w:lang w:val="cs-CZ"/>
        </w:rPr>
        <w:t>3</w:t>
      </w:r>
      <w:bookmarkEnd w:id="85"/>
    </w:p>
    <w:p w:rsidR="009D6916" w:rsidRPr="008B1755" w:rsidRDefault="00AF3E63" w:rsidP="006F0EC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lang w:val="cs-CZ"/>
        </w:rPr>
      </w:pPr>
      <w:r w:rsidRPr="008B1755">
        <w:rPr>
          <w:rStyle w:val="Style2Char"/>
          <w:lang w:val="cs-CZ"/>
        </w:rPr>
        <w:t>Členské státy mohou do 31. prosince 2016 ponechat v platnosti vnitrostátní opatření, včetně samoregulačních systémů zavedených před 29. listopadem 2015</w:t>
      </w:r>
      <w:r w:rsidR="00B47F7A" w:rsidRPr="008B1755">
        <w:rPr>
          <w:rStyle w:val="Style2Char"/>
          <w:lang w:val="cs-CZ"/>
        </w:rPr>
        <w:t>,</w:t>
      </w:r>
      <w:r w:rsidRPr="008B1755">
        <w:rPr>
          <w:rStyle w:val="Style2Char"/>
          <w:lang w:val="cs-CZ"/>
        </w:rPr>
        <w:t xml:space="preserve"> jež nejsou v souladu s čl. 3 odst. 2 nebo 3. Dotčené členské státy tato opatření oznámí Komisi do 30. dubna </w:t>
      </w:r>
      <w:r w:rsidR="009D6916" w:rsidRPr="008B1755">
        <w:rPr>
          <w:rFonts w:ascii="Times New Roman" w:hAnsi="Times New Roman"/>
          <w:lang w:val="cs-CZ"/>
        </w:rPr>
        <w:t>2016.</w:t>
      </w:r>
    </w:p>
    <w:p w:rsidR="008C03D3" w:rsidRPr="008B1755" w:rsidRDefault="00295063" w:rsidP="0038751B">
      <w:pPr>
        <w:numPr>
          <w:ilvl w:val="0"/>
          <w:numId w:val="2"/>
        </w:numPr>
        <w:contextualSpacing/>
        <w:rPr>
          <w:lang w:val="cs-CZ"/>
        </w:rPr>
      </w:pPr>
      <w:r w:rsidRPr="008B1755">
        <w:rPr>
          <w:lang w:val="cs-CZ"/>
        </w:rPr>
        <w:t xml:space="preserve">Článek </w:t>
      </w:r>
      <w:r w:rsidR="008B5FF1" w:rsidRPr="008B1755">
        <w:rPr>
          <w:lang w:val="cs-CZ"/>
        </w:rPr>
        <w:t>10</w:t>
      </w:r>
      <w:r w:rsidRPr="008B1755">
        <w:rPr>
          <w:lang w:val="cs-CZ"/>
        </w:rPr>
        <w:t xml:space="preserve"> odst. </w:t>
      </w:r>
      <w:r w:rsidR="008B5FF1" w:rsidRPr="008B1755">
        <w:rPr>
          <w:lang w:val="cs-CZ"/>
        </w:rPr>
        <w:t>3</w:t>
      </w:r>
      <w:r w:rsidRPr="008B1755">
        <w:rPr>
          <w:lang w:val="cs-CZ"/>
        </w:rPr>
        <w:t xml:space="preserve"> je určený členským státům</w:t>
      </w:r>
      <w:r w:rsidR="008B5FF1" w:rsidRPr="008B1755">
        <w:rPr>
          <w:lang w:val="cs-CZ"/>
        </w:rPr>
        <w:t xml:space="preserve">. </w:t>
      </w:r>
      <w:r w:rsidRPr="008B1755">
        <w:rPr>
          <w:lang w:val="cs-CZ"/>
        </w:rPr>
        <w:t xml:space="preserve">Nicméně při posuzování souladu s </w:t>
      </w:r>
      <w:r w:rsidR="00C974DA" w:rsidRPr="008B1755">
        <w:rPr>
          <w:lang w:val="cs-CZ"/>
        </w:rPr>
        <w:t>článkem</w:t>
      </w:r>
      <w:r w:rsidR="00DD272F" w:rsidRPr="008B1755">
        <w:rPr>
          <w:lang w:val="cs-CZ"/>
        </w:rPr>
        <w:t xml:space="preserve"> 3 odst. </w:t>
      </w:r>
      <w:r w:rsidR="008B5FF1" w:rsidRPr="008B1755">
        <w:rPr>
          <w:lang w:val="cs-CZ"/>
        </w:rPr>
        <w:t>2 a 3</w:t>
      </w:r>
      <w:r w:rsidRPr="008B1755">
        <w:rPr>
          <w:lang w:val="cs-CZ"/>
        </w:rPr>
        <w:t xml:space="preserve"> vnitrostátní regulační orgány přihlédnou k tomu, </w:t>
      </w:r>
      <w:r w:rsidR="00C27E49" w:rsidRPr="008B1755">
        <w:rPr>
          <w:lang w:val="cs-CZ"/>
        </w:rPr>
        <w:t>zda by</w:t>
      </w:r>
      <w:r w:rsidRPr="008B1755">
        <w:rPr>
          <w:lang w:val="cs-CZ"/>
        </w:rPr>
        <w:t xml:space="preserve"> </w:t>
      </w:r>
      <w:r w:rsidRPr="008B1755">
        <w:rPr>
          <w:rStyle w:val="BERECChar"/>
          <w:lang w:val="cs-CZ"/>
        </w:rPr>
        <w:t>vnitrostátní opatření, včetně samoregulačních systémů</w:t>
      </w:r>
      <w:r w:rsidR="008B5FF1" w:rsidRPr="008B1755">
        <w:rPr>
          <w:lang w:val="cs-CZ"/>
        </w:rPr>
        <w:t xml:space="preserve">, </w:t>
      </w:r>
      <w:r w:rsidRPr="008B1755">
        <w:rPr>
          <w:lang w:val="cs-CZ"/>
        </w:rPr>
        <w:t xml:space="preserve">mohla </w:t>
      </w:r>
      <w:r w:rsidR="00C27E49" w:rsidRPr="008B1755">
        <w:rPr>
          <w:lang w:val="cs-CZ"/>
        </w:rPr>
        <w:t xml:space="preserve">využít </w:t>
      </w:r>
      <w:r w:rsidRPr="008B1755">
        <w:rPr>
          <w:lang w:val="cs-CZ"/>
        </w:rPr>
        <w:t xml:space="preserve">přechodného období do </w:t>
      </w:r>
      <w:r w:rsidR="008B5FF1" w:rsidRPr="008B1755">
        <w:rPr>
          <w:lang w:val="cs-CZ"/>
        </w:rPr>
        <w:t>31</w:t>
      </w:r>
      <w:r w:rsidRPr="008B1755">
        <w:rPr>
          <w:lang w:val="cs-CZ"/>
        </w:rPr>
        <w:t>. prosince</w:t>
      </w:r>
      <w:r w:rsidR="008B5FF1" w:rsidRPr="008B1755">
        <w:rPr>
          <w:lang w:val="cs-CZ"/>
        </w:rPr>
        <w:t xml:space="preserve"> 2016</w:t>
      </w:r>
      <w:r w:rsidRPr="008B1755">
        <w:rPr>
          <w:lang w:val="cs-CZ"/>
        </w:rPr>
        <w:t>, kdy mohou být ponechána</w:t>
      </w:r>
      <w:r w:rsidR="008B5FF1" w:rsidRPr="008B1755">
        <w:rPr>
          <w:lang w:val="cs-CZ"/>
        </w:rPr>
        <w:t xml:space="preserve">, </w:t>
      </w:r>
      <w:r w:rsidRPr="008B1755">
        <w:rPr>
          <w:lang w:val="cs-CZ"/>
        </w:rPr>
        <w:t xml:space="preserve">pokud byla zavedena před </w:t>
      </w:r>
      <w:r w:rsidR="005C2C7D" w:rsidRPr="008B1755">
        <w:rPr>
          <w:lang w:val="cs-CZ"/>
        </w:rPr>
        <w:t>29</w:t>
      </w:r>
      <w:r w:rsidRPr="008B1755">
        <w:rPr>
          <w:lang w:val="cs-CZ"/>
        </w:rPr>
        <w:t>. listopadem</w:t>
      </w:r>
      <w:r w:rsidR="005C2C7D" w:rsidRPr="008B1755">
        <w:rPr>
          <w:lang w:val="cs-CZ"/>
        </w:rPr>
        <w:t xml:space="preserve"> 2015 </w:t>
      </w:r>
      <w:r w:rsidRPr="008B1755">
        <w:rPr>
          <w:lang w:val="cs-CZ"/>
        </w:rPr>
        <w:t xml:space="preserve">a byla příslušnými členskými státy </w:t>
      </w:r>
      <w:r w:rsidR="00C27E49" w:rsidRPr="008B1755">
        <w:rPr>
          <w:lang w:val="cs-CZ"/>
        </w:rPr>
        <w:t xml:space="preserve">oznámena </w:t>
      </w:r>
      <w:r w:rsidRPr="008B1755">
        <w:rPr>
          <w:lang w:val="cs-CZ"/>
        </w:rPr>
        <w:t xml:space="preserve">Komisi do </w:t>
      </w:r>
      <w:r w:rsidR="008B5FF1" w:rsidRPr="008B1755">
        <w:rPr>
          <w:lang w:val="cs-CZ"/>
        </w:rPr>
        <w:t>30</w:t>
      </w:r>
      <w:r w:rsidRPr="008B1755">
        <w:rPr>
          <w:lang w:val="cs-CZ"/>
        </w:rPr>
        <w:t>. dubna</w:t>
      </w:r>
      <w:r w:rsidR="008B5FF1" w:rsidRPr="008B1755">
        <w:rPr>
          <w:lang w:val="cs-CZ"/>
        </w:rPr>
        <w:t xml:space="preserve"> 2016. </w:t>
      </w:r>
      <w:r w:rsidRPr="008B1755">
        <w:rPr>
          <w:lang w:val="cs-CZ"/>
        </w:rPr>
        <w:t xml:space="preserve">V takovém případě by během tohoto přechodného období nedošlo k žádnému porušení </w:t>
      </w:r>
      <w:r w:rsidR="002E5214" w:rsidRPr="008B1755">
        <w:rPr>
          <w:lang w:val="cs-CZ"/>
        </w:rPr>
        <w:t>článku</w:t>
      </w:r>
      <w:r w:rsidR="00DD272F" w:rsidRPr="008B1755">
        <w:rPr>
          <w:lang w:val="cs-CZ"/>
        </w:rPr>
        <w:t xml:space="preserve"> 3 odst. </w:t>
      </w:r>
      <w:r w:rsidR="008B5FF1" w:rsidRPr="008B1755">
        <w:rPr>
          <w:lang w:val="cs-CZ"/>
        </w:rPr>
        <w:t>2</w:t>
      </w:r>
      <w:r w:rsidRPr="008B1755">
        <w:rPr>
          <w:lang w:val="cs-CZ"/>
        </w:rPr>
        <w:t xml:space="preserve"> a článku </w:t>
      </w:r>
      <w:r w:rsidR="00DD272F" w:rsidRPr="008B1755">
        <w:rPr>
          <w:lang w:val="cs-CZ"/>
        </w:rPr>
        <w:t xml:space="preserve">3 </w:t>
      </w:r>
      <w:r w:rsidR="00585BD7" w:rsidRPr="008B1755">
        <w:rPr>
          <w:lang w:val="cs-CZ"/>
        </w:rPr>
        <w:t>odst. 3</w:t>
      </w:r>
      <w:r w:rsidR="008B5FF1" w:rsidRPr="008B1755">
        <w:rPr>
          <w:lang w:val="cs-CZ"/>
        </w:rPr>
        <w:t>.</w:t>
      </w:r>
    </w:p>
    <w:p w:rsidR="008E4F77" w:rsidRPr="008B1755" w:rsidRDefault="008E4F77" w:rsidP="0091492B">
      <w:pPr>
        <w:rPr>
          <w:lang w:val="cs-CZ"/>
        </w:rPr>
      </w:pPr>
    </w:p>
    <w:sectPr w:rsidR="008E4F77" w:rsidRPr="008B1755" w:rsidSect="003C648D">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B5" w:rsidRDefault="00CB67B5" w:rsidP="00195829">
      <w:pPr>
        <w:spacing w:after="0" w:line="240" w:lineRule="auto"/>
      </w:pPr>
      <w:r>
        <w:separator/>
      </w:r>
    </w:p>
  </w:endnote>
  <w:endnote w:type="continuationSeparator" w:id="0">
    <w:p w:rsidR="00CB67B5" w:rsidRDefault="00CB67B5" w:rsidP="00195829">
      <w:pPr>
        <w:spacing w:after="0" w:line="240" w:lineRule="auto"/>
      </w:pPr>
      <w:r>
        <w:continuationSeparator/>
      </w:r>
    </w:p>
  </w:endnote>
  <w:endnote w:type="continuationNotice" w:id="1">
    <w:p w:rsidR="00CB67B5" w:rsidRDefault="00CB6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44" w:rsidRDefault="00210144">
    <w:pPr>
      <w:pStyle w:val="Zpat"/>
      <w:jc w:val="center"/>
    </w:pPr>
    <w:r>
      <w:fldChar w:fldCharType="begin"/>
    </w:r>
    <w:r>
      <w:instrText xml:space="preserve"> PAGE   \* MERGEFORMAT </w:instrText>
    </w:r>
    <w:r>
      <w:fldChar w:fldCharType="separate"/>
    </w:r>
    <w:r w:rsidR="00C547ED">
      <w:rPr>
        <w:noProof/>
      </w:rPr>
      <w:t>21</w:t>
    </w:r>
    <w:r>
      <w:rPr>
        <w:noProof/>
      </w:rPr>
      <w:fldChar w:fldCharType="end"/>
    </w:r>
  </w:p>
  <w:p w:rsidR="00210144" w:rsidRDefault="002101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44" w:rsidRPr="001D46DD" w:rsidRDefault="00210144" w:rsidP="000C5D86">
    <w:pPr>
      <w:pStyle w:val="Zpat"/>
      <w:jc w:val="center"/>
      <w:rPr>
        <w:color w:val="18276E"/>
        <w:sz w:val="32"/>
        <w:szCs w:val="32"/>
        <w:lang w:val="cs-CZ"/>
      </w:rPr>
    </w:pPr>
    <w:r w:rsidRPr="001D46DD">
      <w:rPr>
        <w:color w:val="18276E"/>
        <w:sz w:val="32"/>
        <w:szCs w:val="32"/>
        <w:lang w:val="cs-CZ"/>
      </w:rPr>
      <w:t>Srpen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B5" w:rsidRDefault="00CB67B5" w:rsidP="00195829">
      <w:pPr>
        <w:spacing w:after="0" w:line="240" w:lineRule="auto"/>
      </w:pPr>
      <w:r>
        <w:separator/>
      </w:r>
    </w:p>
  </w:footnote>
  <w:footnote w:type="continuationSeparator" w:id="0">
    <w:p w:rsidR="00CB67B5" w:rsidRDefault="00CB67B5" w:rsidP="00195829">
      <w:pPr>
        <w:spacing w:after="0" w:line="240" w:lineRule="auto"/>
      </w:pPr>
      <w:r>
        <w:continuationSeparator/>
      </w:r>
    </w:p>
  </w:footnote>
  <w:footnote w:type="continuationNotice" w:id="1">
    <w:p w:rsidR="00CB67B5" w:rsidRDefault="00CB67B5">
      <w:pPr>
        <w:spacing w:after="0" w:line="240" w:lineRule="auto"/>
      </w:pPr>
    </w:p>
  </w:footnote>
  <w:footnote w:id="2">
    <w:p w:rsidR="00210144" w:rsidRPr="00977D1B" w:rsidRDefault="00210144">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w:t>
      </w:r>
      <w:r w:rsidRPr="00977D1B">
        <w:rPr>
          <w:rStyle w:val="Siln"/>
          <w:rFonts w:ascii="Arial" w:eastAsia="SimSun" w:hAnsi="Arial" w:cs="Arial"/>
          <w:b w:val="0"/>
          <w:color w:val="000000"/>
          <w:bdr w:val="none" w:sz="0" w:space="0" w:color="auto" w:frame="1"/>
          <w:shd w:val="clear" w:color="auto" w:fill="FFFFFF"/>
          <w:lang w:val="cs-CZ"/>
        </w:rPr>
        <w:t xml:space="preserve">Nařízení Evropského parlamentu a Rady (EU) 2015/2120 ze dne 25. listopadu 2015, </w:t>
      </w:r>
      <w:r w:rsidRPr="00977D1B">
        <w:rPr>
          <w:rFonts w:ascii="Arial" w:hAnsi="Arial" w:cs="Arial"/>
          <w:szCs w:val="19"/>
          <w:lang w:val="cs-CZ"/>
        </w:rPr>
        <w:t>kterým se stanoví opatření týkající se přístupu k otevřenému internetu a mění směrnice 2002/22/ES o univerzální službě a právech uživatelů týkajících se sítí a služeb elektronických komunikací a nařízení (EU) č. 531/2012 o roamingu ve veřejných mobilních komunikačních sítích v Unii</w:t>
      </w:r>
      <w:r w:rsidRPr="00977D1B">
        <w:rPr>
          <w:rStyle w:val="Siln"/>
          <w:rFonts w:ascii="Arial" w:eastAsia="SimSun" w:hAnsi="Arial" w:cs="Arial"/>
          <w:b w:val="0"/>
          <w:color w:val="000000"/>
          <w:bdr w:val="none" w:sz="0" w:space="0" w:color="auto" w:frame="1"/>
          <w:shd w:val="clear" w:color="auto" w:fill="FFFFFF"/>
          <w:lang w:val="cs-CZ"/>
        </w:rPr>
        <w:t xml:space="preserve">, </w:t>
      </w:r>
      <w:hyperlink r:id="rId1" w:history="1">
        <w:r w:rsidRPr="00977D1B">
          <w:rPr>
            <w:rStyle w:val="Hypertextovodkaz"/>
            <w:rFonts w:ascii="Arial" w:eastAsia="SimSun" w:hAnsi="Arial" w:cs="Arial"/>
            <w:bdr w:val="none" w:sz="0" w:space="0" w:color="auto" w:frame="1"/>
            <w:shd w:val="clear" w:color="auto" w:fill="FFFFFF"/>
            <w:lang w:val="cs-CZ"/>
          </w:rPr>
          <w:t>http://eur-lex.europa.eu/legal-content/EN/TXT/PDF/?uri=CELEX:32015R2120&amp;from=EN</w:t>
        </w:r>
      </w:hyperlink>
      <w:r w:rsidRPr="00977D1B">
        <w:rPr>
          <w:rStyle w:val="Siln"/>
          <w:rFonts w:ascii="Arial" w:eastAsia="SimSun" w:hAnsi="Arial" w:cs="Arial"/>
          <w:b w:val="0"/>
          <w:color w:val="000000"/>
          <w:bdr w:val="none" w:sz="0" w:space="0" w:color="auto" w:frame="1"/>
          <w:shd w:val="clear" w:color="auto" w:fill="FFFFFF"/>
          <w:lang w:val="cs-CZ"/>
        </w:rPr>
        <w:t xml:space="preserve">  </w:t>
      </w:r>
    </w:p>
  </w:footnote>
  <w:footnote w:id="3">
    <w:p w:rsidR="00210144" w:rsidRPr="00977D1B" w:rsidRDefault="00210144" w:rsidP="009D65B7">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Podle čl. 3 odst. 3 </w:t>
      </w:r>
      <w:r w:rsidRPr="00977D1B">
        <w:rPr>
          <w:rStyle w:val="Siln"/>
          <w:rFonts w:ascii="Arial" w:hAnsi="Arial" w:cs="Arial"/>
          <w:b w:val="0"/>
          <w:szCs w:val="19"/>
          <w:lang w:val="cs-CZ"/>
        </w:rPr>
        <w:t>Nařízení (ES) č. 1211/2009 o zřízení Sdružení evropských regulačních orgánů v oblasti elektronických komunikací (BEREC) a Úřadu</w:t>
      </w:r>
      <w:r w:rsidRPr="00977D1B">
        <w:rPr>
          <w:rFonts w:ascii="Arial" w:hAnsi="Arial" w:cs="Arial"/>
          <w:lang w:val="cs-CZ"/>
        </w:rPr>
        <w:t xml:space="preserve">, </w:t>
      </w:r>
      <w:hyperlink r:id="rId2" w:history="1">
        <w:r w:rsidRPr="00977D1B">
          <w:rPr>
            <w:rStyle w:val="Hypertextovodkaz"/>
            <w:rFonts w:ascii="Arial" w:hAnsi="Arial" w:cs="Arial"/>
            <w:lang w:val="cs-CZ"/>
          </w:rPr>
          <w:t>http://eur-lex.europa.eu/LexUriServ/LexUriServ.do?uri=OJ:L:2009:337:0001:0010:EN:PDF</w:t>
        </w:r>
      </w:hyperlink>
      <w:r w:rsidRPr="00977D1B">
        <w:rPr>
          <w:rFonts w:ascii="Arial" w:hAnsi="Arial" w:cs="Arial"/>
          <w:lang w:val="cs-CZ"/>
        </w:rPr>
        <w:t xml:space="preserve"> a bodu 19 úvodní části Nařízení </w:t>
      </w:r>
      <w:r w:rsidRPr="00977D1B">
        <w:rPr>
          <w:rStyle w:val="Siln"/>
          <w:rFonts w:ascii="Arial" w:eastAsia="SimSun" w:hAnsi="Arial" w:cs="Arial"/>
          <w:b w:val="0"/>
          <w:color w:val="000000"/>
          <w:bdr w:val="none" w:sz="0" w:space="0" w:color="auto" w:frame="1"/>
          <w:shd w:val="clear" w:color="auto" w:fill="FFFFFF"/>
          <w:lang w:val="cs-CZ"/>
        </w:rPr>
        <w:t>(EU) 2015/2120</w:t>
      </w:r>
    </w:p>
  </w:footnote>
  <w:footnote w:id="4">
    <w:p w:rsidR="00210144" w:rsidRPr="00977D1B" w:rsidRDefault="00210144">
      <w:pPr>
        <w:pStyle w:val="Textpoznpodarou"/>
        <w:rPr>
          <w:lang w:val="cs-CZ"/>
        </w:rPr>
      </w:pPr>
      <w:r w:rsidRPr="00977D1B">
        <w:rPr>
          <w:rStyle w:val="Znakapoznpodarou"/>
          <w:rFonts w:ascii="Arial" w:hAnsi="Arial" w:cs="Arial"/>
          <w:lang w:val="cs-CZ"/>
        </w:rPr>
        <w:footnoteRef/>
      </w:r>
      <w:r w:rsidRPr="00977D1B">
        <w:rPr>
          <w:rFonts w:ascii="Arial" w:hAnsi="Arial" w:cs="Arial"/>
          <w:lang w:val="cs-CZ"/>
        </w:rPr>
        <w:t xml:space="preserve"> Definice pojmů použité v Nařízení jsou uvedeny v příslušných částech Pokynů</w:t>
      </w:r>
    </w:p>
  </w:footnote>
  <w:footnote w:id="5">
    <w:p w:rsidR="00210144" w:rsidRPr="00977D1B" w:rsidRDefault="00210144" w:rsidP="00F21BC4">
      <w:pPr>
        <w:pStyle w:val="Textpoznpodarou"/>
        <w:rPr>
          <w:rFonts w:ascii="Arial" w:hAnsi="Arial" w:cs="Arial"/>
          <w:color w:val="0000FF"/>
          <w:u w:val="single"/>
          <w:lang w:val="cs-CZ"/>
        </w:rPr>
      </w:pPr>
      <w:r w:rsidRPr="00977D1B">
        <w:rPr>
          <w:rStyle w:val="Znakapoznpodarou"/>
          <w:rFonts w:ascii="Arial" w:hAnsi="Arial" w:cs="Arial"/>
          <w:lang w:val="cs-CZ"/>
        </w:rPr>
        <w:footnoteRef/>
      </w:r>
      <w:r w:rsidRPr="00977D1B">
        <w:rPr>
          <w:rFonts w:ascii="Arial" w:hAnsi="Arial" w:cs="Arial"/>
          <w:lang w:val="cs-CZ"/>
        </w:rPr>
        <w:t xml:space="preserve"> Článek 2 rámcové směrnice (2002/21/ES)</w:t>
      </w:r>
      <w:r w:rsidRPr="00977D1B">
        <w:rPr>
          <w:lang w:val="cs-CZ"/>
        </w:rPr>
        <w:t xml:space="preserve"> </w:t>
      </w:r>
      <w:r w:rsidRPr="00977D1B">
        <w:rPr>
          <w:rFonts w:ascii="Arial" w:hAnsi="Arial" w:cs="Arial"/>
          <w:lang w:val="cs-CZ"/>
        </w:rPr>
        <w:t>ref. lit. (n) a lit. (h). Tato směrnice byla změněna nařízením 717/2007/ES, nařízením 544/2009/ES a směrnicí 2009/140/ES (</w:t>
      </w:r>
      <w:hyperlink r:id="rId3" w:history="1">
        <w:r w:rsidRPr="00977D1B">
          <w:rPr>
            <w:rStyle w:val="Hypertextovodkaz"/>
            <w:rFonts w:ascii="Arial" w:hAnsi="Arial" w:cs="Arial"/>
            <w:lang w:val="cs-CZ"/>
          </w:rPr>
          <w:t>http://eur-lex.europa.eu/LexUriServ/LexUriServ.do?uri=CONSLEG:2002L0021:20091219:EN:PDF</w:t>
        </w:r>
      </w:hyperlink>
      <w:r w:rsidRPr="00977D1B">
        <w:rPr>
          <w:rStyle w:val="Hypertextovodkaz"/>
          <w:rFonts w:ascii="Arial" w:hAnsi="Arial" w:cs="Arial"/>
          <w:lang w:val="cs-CZ"/>
        </w:rPr>
        <w:t>)</w:t>
      </w:r>
    </w:p>
  </w:footnote>
  <w:footnote w:id="6">
    <w:p w:rsidR="00210144" w:rsidRPr="00977D1B" w:rsidRDefault="00210144" w:rsidP="000262BF">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Úvodní část Nařízení, bod 7: „</w:t>
      </w:r>
      <w:r w:rsidRPr="00977D1B">
        <w:rPr>
          <w:rFonts w:ascii="Arial" w:hAnsi="Arial" w:cs="Arial"/>
          <w:i/>
          <w:szCs w:val="19"/>
          <w:lang w:val="cs-CZ"/>
        </w:rPr>
        <w:t>Tyto dohody, jakož i jakékoli obchodní praktiky poskytovatelů služeb přístupu k internetu, by neměly omezovat výkon těchto práv a obcházet tak ustanovení tohoto nařízení týkající se zajištění přístupu k otevřenému internetu</w:t>
      </w:r>
      <w:r w:rsidRPr="00977D1B">
        <w:rPr>
          <w:rFonts w:ascii="Arial" w:hAnsi="Arial" w:cs="Arial"/>
          <w:i/>
          <w:lang w:val="cs-CZ"/>
        </w:rPr>
        <w:t>“</w:t>
      </w:r>
    </w:p>
  </w:footnote>
  <w:footnote w:id="7">
    <w:p w:rsidR="00210144" w:rsidRPr="00CA4B6A" w:rsidRDefault="00210144">
      <w:pPr>
        <w:pStyle w:val="Textpoznpodarou"/>
        <w:rPr>
          <w:lang w:val="cs-CZ"/>
        </w:rPr>
      </w:pPr>
      <w:r>
        <w:rPr>
          <w:rStyle w:val="Znakapoznpodarou"/>
        </w:rPr>
        <w:footnoteRef/>
      </w:r>
      <w:r>
        <w:t xml:space="preserve"> </w:t>
      </w:r>
      <w:r>
        <w:rPr>
          <w:lang w:val="cs-CZ"/>
        </w:rPr>
        <w:t>Pozn.ČTÚ: s ohledem na definici v Nařízení se jedná o veřejně dostupnou službu elektronických komunikací</w:t>
      </w:r>
    </w:p>
  </w:footnote>
  <w:footnote w:id="8">
    <w:p w:rsidR="00210144" w:rsidRPr="00977D1B" w:rsidRDefault="00210144">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lang w:val="cs-CZ"/>
        </w:rPr>
        <w:t xml:space="preserve">Pro pojem </w:t>
      </w:r>
      <w:r>
        <w:rPr>
          <w:rFonts w:ascii="Arial" w:hAnsi="Arial" w:cs="Arial"/>
          <w:i/>
          <w:lang w:val="cs-CZ"/>
        </w:rPr>
        <w:t>„veřejná komunikační síť“</w:t>
      </w:r>
      <w:r w:rsidRPr="00977D1B">
        <w:rPr>
          <w:rFonts w:ascii="Arial" w:hAnsi="Arial" w:cs="Arial"/>
          <w:lang w:val="cs-CZ"/>
        </w:rPr>
        <w:t xml:space="preserve"> </w:t>
      </w:r>
      <w:r>
        <w:rPr>
          <w:rFonts w:ascii="Arial" w:hAnsi="Arial" w:cs="Arial"/>
          <w:lang w:val="cs-CZ"/>
        </w:rPr>
        <w:t xml:space="preserve">viz čl. </w:t>
      </w:r>
      <w:r w:rsidRPr="00977D1B">
        <w:rPr>
          <w:rFonts w:ascii="Arial" w:hAnsi="Arial" w:cs="Arial"/>
          <w:lang w:val="cs-CZ"/>
        </w:rPr>
        <w:t xml:space="preserve">2 d) a </w:t>
      </w:r>
      <w:r>
        <w:rPr>
          <w:rFonts w:ascii="Arial" w:hAnsi="Arial" w:cs="Arial"/>
          <w:lang w:val="cs-CZ"/>
        </w:rPr>
        <w:t xml:space="preserve">pro pojem </w:t>
      </w:r>
      <w:r>
        <w:rPr>
          <w:rFonts w:ascii="Arial" w:hAnsi="Arial" w:cs="Arial"/>
          <w:i/>
          <w:lang w:val="cs-CZ"/>
        </w:rPr>
        <w:t xml:space="preserve">„služba elektronických komunikací“ </w:t>
      </w:r>
      <w:r>
        <w:rPr>
          <w:rFonts w:ascii="Arial" w:hAnsi="Arial" w:cs="Arial"/>
          <w:lang w:val="cs-CZ"/>
        </w:rPr>
        <w:t xml:space="preserve">čl. </w:t>
      </w:r>
      <w:r w:rsidRPr="00977D1B">
        <w:rPr>
          <w:rFonts w:ascii="Arial" w:hAnsi="Arial" w:cs="Arial"/>
          <w:lang w:val="cs-CZ"/>
        </w:rPr>
        <w:t>2 (c)</w:t>
      </w:r>
    </w:p>
  </w:footnote>
  <w:footnote w:id="9">
    <w:p w:rsidR="00210144" w:rsidRPr="00977D1B" w:rsidRDefault="00210144" w:rsidP="00AF6113">
      <w:pPr>
        <w:pStyle w:val="Textpoznpodarou"/>
        <w:rPr>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lang w:val="cs-CZ"/>
        </w:rPr>
        <w:t xml:space="preserve">Nicméně některé služby automatické komunikace mezi zařízeními (tzv. </w:t>
      </w:r>
      <w:r w:rsidRPr="00977D1B">
        <w:rPr>
          <w:rFonts w:ascii="Arial" w:hAnsi="Arial" w:cs="Arial"/>
          <w:lang w:val="cs-CZ"/>
        </w:rPr>
        <w:t>M2M</w:t>
      </w:r>
      <w:r>
        <w:rPr>
          <w:rFonts w:ascii="Arial" w:hAnsi="Arial" w:cs="Arial"/>
          <w:lang w:val="cs-CZ"/>
        </w:rPr>
        <w:t>)</w:t>
      </w:r>
      <w:r w:rsidRPr="00977D1B">
        <w:rPr>
          <w:rFonts w:ascii="Arial" w:hAnsi="Arial" w:cs="Arial"/>
          <w:lang w:val="cs-CZ"/>
        </w:rPr>
        <w:t xml:space="preserve"> </w:t>
      </w:r>
      <w:r>
        <w:rPr>
          <w:rFonts w:ascii="Arial" w:hAnsi="Arial" w:cs="Arial"/>
          <w:lang w:val="cs-CZ"/>
        </w:rPr>
        <w:t xml:space="preserve">mohou rovněž představovat specializovanou službu podle čl. 3 odst. </w:t>
      </w:r>
      <w:r w:rsidRPr="00977D1B">
        <w:rPr>
          <w:rFonts w:ascii="Arial" w:hAnsi="Arial" w:cs="Arial"/>
          <w:lang w:val="cs-CZ"/>
        </w:rPr>
        <w:t>5 Nařízení (</w:t>
      </w:r>
      <w:r>
        <w:rPr>
          <w:rFonts w:ascii="Arial" w:hAnsi="Arial" w:cs="Arial"/>
          <w:lang w:val="cs-CZ"/>
        </w:rPr>
        <w:t xml:space="preserve">viz </w:t>
      </w:r>
      <w:r w:rsidRPr="00977D1B">
        <w:rPr>
          <w:rFonts w:ascii="Arial" w:hAnsi="Arial" w:cs="Arial"/>
          <w:lang w:val="cs-CZ"/>
        </w:rPr>
        <w:t>Úvodní část Nařízení, bod 16 a</w:t>
      </w:r>
      <w:r>
        <w:rPr>
          <w:rFonts w:ascii="Arial" w:hAnsi="Arial" w:cs="Arial"/>
          <w:lang w:val="cs-CZ"/>
        </w:rPr>
        <w:t xml:space="preserve"> bod </w:t>
      </w:r>
      <w:r w:rsidRPr="00977D1B">
        <w:rPr>
          <w:rFonts w:ascii="Arial" w:hAnsi="Arial" w:cs="Arial"/>
          <w:lang w:val="cs-CZ"/>
        </w:rPr>
        <w:fldChar w:fldCharType="begin"/>
      </w:r>
      <w:r w:rsidRPr="00977D1B">
        <w:rPr>
          <w:rFonts w:ascii="Arial" w:hAnsi="Arial" w:cs="Arial"/>
          <w:lang w:val="cs-CZ"/>
        </w:rPr>
        <w:instrText xml:space="preserve"> REF _Ref449699050 \r \h </w:instrText>
      </w:r>
      <w:r w:rsidRPr="00977D1B">
        <w:rPr>
          <w:rFonts w:ascii="Arial" w:hAnsi="Arial" w:cs="Arial"/>
          <w:lang w:val="cs-CZ"/>
        </w:rPr>
      </w:r>
      <w:r w:rsidRPr="00977D1B">
        <w:rPr>
          <w:rFonts w:ascii="Arial" w:hAnsi="Arial" w:cs="Arial"/>
          <w:lang w:val="cs-CZ"/>
        </w:rPr>
        <w:fldChar w:fldCharType="separate"/>
      </w:r>
      <w:r>
        <w:rPr>
          <w:rFonts w:ascii="Arial" w:hAnsi="Arial" w:cs="Arial"/>
          <w:lang w:val="cs-CZ"/>
        </w:rPr>
        <w:t>113</w:t>
      </w:r>
      <w:r w:rsidRPr="00977D1B">
        <w:rPr>
          <w:rFonts w:ascii="Arial" w:hAnsi="Arial" w:cs="Arial"/>
          <w:lang w:val="cs-CZ"/>
        </w:rPr>
        <w:fldChar w:fldCharType="end"/>
      </w:r>
      <w:r w:rsidRPr="00977D1B">
        <w:rPr>
          <w:rFonts w:ascii="Arial" w:hAnsi="Arial" w:cs="Arial"/>
          <w:lang w:val="cs-CZ"/>
        </w:rPr>
        <w:t xml:space="preserve"> těchto Pokynů). </w:t>
      </w:r>
      <w:r>
        <w:rPr>
          <w:rFonts w:ascii="Arial" w:hAnsi="Arial" w:cs="Arial"/>
          <w:lang w:val="cs-CZ"/>
        </w:rPr>
        <w:t xml:space="preserve">Navíc poskytovatel zařízení </w:t>
      </w:r>
      <w:r w:rsidRPr="00977D1B">
        <w:rPr>
          <w:rFonts w:ascii="Arial" w:hAnsi="Arial" w:cs="Arial"/>
          <w:lang w:val="cs-CZ"/>
        </w:rPr>
        <w:t xml:space="preserve">M2M </w:t>
      </w:r>
      <w:r>
        <w:rPr>
          <w:rFonts w:ascii="Arial" w:hAnsi="Arial" w:cs="Arial"/>
          <w:lang w:val="cs-CZ"/>
        </w:rPr>
        <w:t xml:space="preserve">nebo služby </w:t>
      </w:r>
      <w:r w:rsidRPr="00977D1B">
        <w:rPr>
          <w:rFonts w:ascii="Arial" w:hAnsi="Arial" w:cs="Arial"/>
          <w:lang w:val="cs-CZ"/>
        </w:rPr>
        <w:t xml:space="preserve">M2M (např. </w:t>
      </w:r>
      <w:r>
        <w:rPr>
          <w:rFonts w:ascii="Arial" w:hAnsi="Arial" w:cs="Arial"/>
          <w:lang w:val="cs-CZ"/>
        </w:rPr>
        <w:t>výrobce motorových vozidel</w:t>
      </w:r>
      <w:r w:rsidRPr="00977D1B">
        <w:rPr>
          <w:rFonts w:ascii="Arial" w:hAnsi="Arial" w:cs="Arial"/>
          <w:lang w:val="cs-CZ"/>
        </w:rPr>
        <w:t xml:space="preserve">, </w:t>
      </w:r>
      <w:r>
        <w:rPr>
          <w:rFonts w:ascii="Arial" w:hAnsi="Arial" w:cs="Arial"/>
          <w:lang w:val="cs-CZ"/>
        </w:rPr>
        <w:t>poskytovatel energie včetně tzv. chytrých měřičů</w:t>
      </w:r>
      <w:r w:rsidRPr="00977D1B">
        <w:rPr>
          <w:rFonts w:ascii="Arial" w:hAnsi="Arial" w:cs="Arial"/>
          <w:lang w:val="cs-CZ"/>
        </w:rPr>
        <w:t xml:space="preserve">) </w:t>
      </w:r>
      <w:r>
        <w:rPr>
          <w:rFonts w:ascii="Arial" w:hAnsi="Arial" w:cs="Arial"/>
          <w:lang w:val="cs-CZ"/>
        </w:rPr>
        <w:t>zpravidla neposkytuje službu elektronických komunikací</w:t>
      </w:r>
      <w:r w:rsidRPr="00977D1B">
        <w:rPr>
          <w:rFonts w:ascii="Arial" w:hAnsi="Arial" w:cs="Arial"/>
          <w:lang w:val="cs-CZ"/>
        </w:rPr>
        <w:t xml:space="preserve"> </w:t>
      </w:r>
      <w:r>
        <w:rPr>
          <w:rFonts w:ascii="Arial" w:hAnsi="Arial" w:cs="Arial"/>
          <w:lang w:val="cs-CZ"/>
        </w:rPr>
        <w:t>na základě současného regulačního rámce</w:t>
      </w:r>
      <w:r w:rsidRPr="00977D1B">
        <w:rPr>
          <w:rFonts w:ascii="Arial" w:hAnsi="Arial" w:cs="Arial"/>
          <w:lang w:val="cs-CZ"/>
        </w:rPr>
        <w:t xml:space="preserve">, </w:t>
      </w:r>
      <w:r>
        <w:rPr>
          <w:rFonts w:ascii="Arial" w:hAnsi="Arial" w:cs="Arial"/>
          <w:lang w:val="cs-CZ"/>
        </w:rPr>
        <w:t>zatímco poskytovatel služby propojení poskytující připojení prostřednictvím veřejné sítě za úplatu je obecně poskytovatelem služby elektronických komunikací</w:t>
      </w:r>
      <w:r w:rsidRPr="00977D1B">
        <w:rPr>
          <w:rFonts w:ascii="Arial" w:hAnsi="Arial" w:cs="Arial"/>
          <w:lang w:val="cs-CZ"/>
        </w:rPr>
        <w:t xml:space="preserve"> </w:t>
      </w:r>
      <w:r>
        <w:rPr>
          <w:rFonts w:ascii="Arial" w:hAnsi="Arial" w:cs="Arial"/>
          <w:lang w:val="cs-CZ"/>
        </w:rPr>
        <w:t>v hodnotovém řetězci Internetu věcí (</w:t>
      </w:r>
      <w:r w:rsidRPr="00977D1B">
        <w:rPr>
          <w:rFonts w:ascii="Arial" w:hAnsi="Arial" w:cs="Arial"/>
          <w:lang w:val="cs-CZ"/>
        </w:rPr>
        <w:t>IoT</w:t>
      </w:r>
      <w:r>
        <w:rPr>
          <w:rFonts w:ascii="Arial" w:hAnsi="Arial" w:cs="Arial"/>
          <w:lang w:val="cs-CZ"/>
        </w:rPr>
        <w:t>)</w:t>
      </w:r>
      <w:r w:rsidRPr="00977D1B">
        <w:rPr>
          <w:rFonts w:ascii="Arial" w:hAnsi="Arial" w:cs="Arial"/>
          <w:lang w:val="cs-CZ"/>
        </w:rPr>
        <w:t xml:space="preserve"> (</w:t>
      </w:r>
      <w:r>
        <w:rPr>
          <w:rFonts w:ascii="Arial" w:hAnsi="Arial" w:cs="Arial"/>
          <w:lang w:val="cs-CZ"/>
        </w:rPr>
        <w:t xml:space="preserve">viz Zprávu sdružení </w:t>
      </w:r>
      <w:r w:rsidRPr="00977D1B">
        <w:rPr>
          <w:rFonts w:ascii="Arial" w:hAnsi="Arial" w:cs="Arial"/>
          <w:lang w:val="cs-CZ"/>
        </w:rPr>
        <w:t xml:space="preserve">BEREC </w:t>
      </w:r>
      <w:r>
        <w:rPr>
          <w:rFonts w:ascii="Arial" w:hAnsi="Arial" w:cs="Arial"/>
          <w:lang w:val="cs-CZ"/>
        </w:rPr>
        <w:t>o umožnění internetu věcí</w:t>
      </w:r>
      <w:r w:rsidRPr="00977D1B">
        <w:rPr>
          <w:rFonts w:ascii="Arial" w:hAnsi="Arial" w:cs="Arial"/>
          <w:lang w:val="cs-CZ"/>
        </w:rPr>
        <w:t xml:space="preserve">, BoR (16) 39, </w:t>
      </w:r>
      <w:r>
        <w:rPr>
          <w:rFonts w:ascii="Arial" w:hAnsi="Arial" w:cs="Arial"/>
          <w:lang w:val="cs-CZ"/>
        </w:rPr>
        <w:t>str.</w:t>
      </w:r>
      <w:r w:rsidRPr="00977D1B">
        <w:rPr>
          <w:rFonts w:ascii="Arial" w:hAnsi="Arial" w:cs="Arial"/>
          <w:lang w:val="cs-CZ"/>
        </w:rPr>
        <w:t xml:space="preserve"> 21</w:t>
      </w:r>
      <w:r>
        <w:rPr>
          <w:rFonts w:ascii="Arial" w:hAnsi="Arial" w:cs="Arial"/>
          <w:lang w:val="cs-CZ"/>
        </w:rPr>
        <w:t xml:space="preserve"> </w:t>
      </w:r>
      <w:r w:rsidRPr="00977D1B">
        <w:rPr>
          <w:rFonts w:ascii="Arial" w:hAnsi="Arial" w:cs="Arial"/>
          <w:lang w:val="cs-CZ"/>
        </w:rPr>
        <w:t>-</w:t>
      </w:r>
      <w:r>
        <w:rPr>
          <w:rFonts w:ascii="Arial" w:hAnsi="Arial" w:cs="Arial"/>
          <w:lang w:val="cs-CZ"/>
        </w:rPr>
        <w:t xml:space="preserve"> </w:t>
      </w:r>
      <w:r w:rsidRPr="00977D1B">
        <w:rPr>
          <w:rFonts w:ascii="Arial" w:hAnsi="Arial" w:cs="Arial"/>
          <w:lang w:val="cs-CZ"/>
        </w:rPr>
        <w:t>23).</w:t>
      </w:r>
    </w:p>
  </w:footnote>
  <w:footnote w:id="10">
    <w:p w:rsidR="00210144" w:rsidRPr="00977D1B" w:rsidRDefault="00210144">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lang w:val="cs-CZ"/>
        </w:rPr>
        <w:t xml:space="preserve">Nicméně platí ustanovení týkající se specializovaných služeb </w:t>
      </w:r>
      <w:r w:rsidRPr="00977D1B">
        <w:rPr>
          <w:rFonts w:ascii="Arial" w:hAnsi="Arial" w:cs="Arial"/>
          <w:lang w:val="cs-CZ"/>
        </w:rPr>
        <w:t xml:space="preserve">– </w:t>
      </w:r>
      <w:r>
        <w:rPr>
          <w:rFonts w:ascii="Arial" w:hAnsi="Arial" w:cs="Arial"/>
          <w:lang w:val="cs-CZ"/>
        </w:rPr>
        <w:t>viz odstavce</w:t>
      </w:r>
      <w:r w:rsidRPr="00977D1B">
        <w:rPr>
          <w:rFonts w:ascii="Arial" w:hAnsi="Arial" w:cs="Arial"/>
          <w:lang w:val="cs-CZ"/>
        </w:rPr>
        <w:t xml:space="preserve"> </w:t>
      </w:r>
      <w:r w:rsidRPr="00977D1B">
        <w:rPr>
          <w:rFonts w:ascii="Arial" w:hAnsi="Arial" w:cs="Arial"/>
          <w:lang w:val="cs-CZ"/>
        </w:rPr>
        <w:fldChar w:fldCharType="begin"/>
      </w:r>
      <w:r w:rsidRPr="00977D1B">
        <w:rPr>
          <w:rFonts w:ascii="Arial" w:hAnsi="Arial" w:cs="Arial"/>
          <w:lang w:val="cs-CZ"/>
        </w:rPr>
        <w:instrText xml:space="preserve"> REF _Ref449464254 \r \h </w:instrText>
      </w:r>
      <w:r w:rsidRPr="00977D1B">
        <w:rPr>
          <w:rFonts w:ascii="Arial" w:hAnsi="Arial" w:cs="Arial"/>
          <w:lang w:val="cs-CZ"/>
        </w:rPr>
      </w:r>
      <w:r w:rsidRPr="00977D1B">
        <w:rPr>
          <w:rFonts w:ascii="Arial" w:hAnsi="Arial" w:cs="Arial"/>
          <w:lang w:val="cs-CZ"/>
        </w:rPr>
        <w:fldChar w:fldCharType="separate"/>
      </w:r>
      <w:r>
        <w:rPr>
          <w:rFonts w:ascii="Arial" w:hAnsi="Arial" w:cs="Arial"/>
          <w:lang w:val="cs-CZ"/>
        </w:rPr>
        <w:t>99</w:t>
      </w:r>
      <w:r w:rsidRPr="00977D1B">
        <w:rPr>
          <w:rFonts w:ascii="Arial" w:hAnsi="Arial" w:cs="Arial"/>
          <w:lang w:val="cs-CZ"/>
        </w:rPr>
        <w:fldChar w:fldCharType="end"/>
      </w:r>
      <w:r>
        <w:rPr>
          <w:rFonts w:ascii="Arial" w:hAnsi="Arial" w:cs="Arial"/>
          <w:lang w:val="cs-CZ"/>
        </w:rPr>
        <w:t xml:space="preserve"> </w:t>
      </w:r>
      <w:r w:rsidRPr="00977D1B">
        <w:rPr>
          <w:rFonts w:ascii="Arial" w:hAnsi="Arial" w:cs="Arial"/>
          <w:lang w:val="cs-CZ"/>
        </w:rPr>
        <w:t>-</w:t>
      </w:r>
      <w:r>
        <w:rPr>
          <w:rFonts w:ascii="Arial" w:hAnsi="Arial" w:cs="Arial"/>
          <w:lang w:val="cs-CZ"/>
        </w:rPr>
        <w:t xml:space="preserve"> </w:t>
      </w:r>
      <w:r w:rsidRPr="00977D1B">
        <w:rPr>
          <w:rFonts w:ascii="Arial" w:hAnsi="Arial" w:cs="Arial"/>
          <w:lang w:val="cs-CZ"/>
        </w:rPr>
        <w:fldChar w:fldCharType="begin"/>
      </w:r>
      <w:r w:rsidRPr="00977D1B">
        <w:rPr>
          <w:rFonts w:ascii="Arial" w:hAnsi="Arial" w:cs="Arial"/>
          <w:lang w:val="cs-CZ"/>
        </w:rPr>
        <w:instrText xml:space="preserve"> REF _Ref449699207 \r \h </w:instrText>
      </w:r>
      <w:r w:rsidRPr="00977D1B">
        <w:rPr>
          <w:rFonts w:ascii="Arial" w:hAnsi="Arial" w:cs="Arial"/>
          <w:lang w:val="cs-CZ"/>
        </w:rPr>
      </w:r>
      <w:r w:rsidRPr="00977D1B">
        <w:rPr>
          <w:rFonts w:ascii="Arial" w:hAnsi="Arial" w:cs="Arial"/>
          <w:lang w:val="cs-CZ"/>
        </w:rPr>
        <w:fldChar w:fldCharType="separate"/>
      </w:r>
      <w:r>
        <w:rPr>
          <w:rFonts w:ascii="Arial" w:hAnsi="Arial" w:cs="Arial"/>
          <w:lang w:val="cs-CZ"/>
        </w:rPr>
        <w:t>127</w:t>
      </w:r>
      <w:r w:rsidRPr="00977D1B">
        <w:rPr>
          <w:rFonts w:ascii="Arial" w:hAnsi="Arial" w:cs="Arial"/>
          <w:lang w:val="cs-CZ"/>
        </w:rPr>
        <w:fldChar w:fldCharType="end"/>
      </w:r>
    </w:p>
  </w:footnote>
  <w:footnote w:id="11">
    <w:p w:rsidR="00210144" w:rsidRPr="00977D1B" w:rsidRDefault="00210144" w:rsidP="00FD15CD">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w:t>
      </w:r>
      <w:r w:rsidRPr="00977D1B">
        <w:rPr>
          <w:rFonts w:ascii="Arial" w:hAnsi="Arial" w:cs="Arial"/>
          <w:bCs/>
          <w:color w:val="252525"/>
          <w:shd w:val="clear" w:color="auto" w:fill="FFFFFF"/>
          <w:lang w:val="cs-CZ"/>
        </w:rPr>
        <w:t>Tethering</w:t>
      </w:r>
      <w:r w:rsidRPr="00977D1B">
        <w:rPr>
          <w:rFonts w:ascii="Arial" w:hAnsi="Arial" w:cs="Arial"/>
          <w:color w:val="252525"/>
          <w:shd w:val="clear" w:color="auto" w:fill="FFFFFF"/>
          <w:lang w:val="cs-CZ"/>
        </w:rPr>
        <w:t xml:space="preserve"> </w:t>
      </w:r>
      <w:r>
        <w:rPr>
          <w:rFonts w:ascii="Arial" w:hAnsi="Arial" w:cs="Arial"/>
          <w:color w:val="252525"/>
          <w:shd w:val="clear" w:color="auto" w:fill="FFFFFF"/>
          <w:lang w:val="cs-CZ"/>
        </w:rPr>
        <w:t xml:space="preserve">umožňuje koncovému uživateli sdílet </w:t>
      </w:r>
      <w:r w:rsidRPr="00977D1B">
        <w:rPr>
          <w:rFonts w:ascii="Arial" w:hAnsi="Arial" w:cs="Arial"/>
          <w:color w:val="252525"/>
          <w:shd w:val="clear" w:color="auto" w:fill="FFFFFF"/>
          <w:lang w:val="cs-CZ"/>
        </w:rPr>
        <w:t>internet</w:t>
      </w:r>
      <w:r>
        <w:rPr>
          <w:rFonts w:ascii="Arial" w:hAnsi="Arial" w:cs="Arial"/>
          <w:color w:val="252525"/>
          <w:shd w:val="clear" w:color="auto" w:fill="FFFFFF"/>
          <w:lang w:val="cs-CZ"/>
        </w:rPr>
        <w:t xml:space="preserve">ové připojení telefonu nebo </w:t>
      </w:r>
      <w:r w:rsidRPr="00977D1B">
        <w:rPr>
          <w:rFonts w:ascii="Arial" w:hAnsi="Arial" w:cs="Arial"/>
          <w:color w:val="252525"/>
          <w:shd w:val="clear" w:color="auto" w:fill="FFFFFF"/>
          <w:lang w:val="cs-CZ"/>
        </w:rPr>
        <w:t>tablet</w:t>
      </w:r>
      <w:r>
        <w:rPr>
          <w:rFonts w:ascii="Arial" w:hAnsi="Arial" w:cs="Arial"/>
          <w:color w:val="252525"/>
          <w:shd w:val="clear" w:color="auto" w:fill="FFFFFF"/>
          <w:lang w:val="cs-CZ"/>
        </w:rPr>
        <w:t>u s jinými zařízeními, například notebooky</w:t>
      </w:r>
      <w:r w:rsidRPr="00977D1B">
        <w:rPr>
          <w:rFonts w:ascii="Arial" w:hAnsi="Arial" w:cs="Arial"/>
          <w:color w:val="252525"/>
          <w:shd w:val="clear" w:color="auto" w:fill="FFFFFF"/>
          <w:lang w:val="cs-CZ"/>
        </w:rPr>
        <w:t>.</w:t>
      </w:r>
    </w:p>
  </w:footnote>
  <w:footnote w:id="12">
    <w:p w:rsidR="00210144" w:rsidRPr="00977D1B" w:rsidRDefault="00210144">
      <w:pPr>
        <w:pStyle w:val="Textpoznpodarou"/>
        <w:rPr>
          <w:lang w:val="cs-CZ"/>
        </w:rPr>
      </w:pPr>
      <w:r w:rsidRPr="00977D1B">
        <w:rPr>
          <w:rStyle w:val="Znakapoznpodarou"/>
          <w:rFonts w:ascii="Arial" w:hAnsi="Arial" w:cs="Arial"/>
          <w:lang w:val="cs-CZ"/>
        </w:rPr>
        <w:footnoteRef/>
      </w:r>
      <w:r>
        <w:rPr>
          <w:rFonts w:ascii="Arial" w:hAnsi="Arial" w:cs="Arial"/>
          <w:lang w:val="cs-CZ"/>
        </w:rPr>
        <w:t xml:space="preserve"> Vnitrostátní </w:t>
      </w:r>
      <w:r w:rsidRPr="00977D1B">
        <w:rPr>
          <w:rFonts w:ascii="Arial" w:hAnsi="Arial" w:cs="Arial"/>
          <w:lang w:val="cs-CZ"/>
        </w:rPr>
        <w:t xml:space="preserve">regulační orgány </w:t>
      </w:r>
      <w:r>
        <w:rPr>
          <w:rFonts w:ascii="Arial" w:hAnsi="Arial" w:cs="Arial"/>
          <w:lang w:val="cs-CZ"/>
        </w:rPr>
        <w:t>by rovněž měly přihlédnout k tomu, zda by definice „obchodních praktik“ uvedená</w:t>
      </w:r>
      <w:r w:rsidRPr="00977D1B">
        <w:rPr>
          <w:rFonts w:ascii="Arial" w:hAnsi="Arial" w:cs="Arial"/>
          <w:lang w:val="cs-CZ"/>
        </w:rPr>
        <w:t xml:space="preserve"> </w:t>
      </w:r>
      <w:r>
        <w:rPr>
          <w:rFonts w:ascii="Arial" w:hAnsi="Arial" w:cs="Arial"/>
          <w:lang w:val="cs-CZ"/>
        </w:rPr>
        <w:t>v článku</w:t>
      </w:r>
      <w:r w:rsidRPr="00977D1B">
        <w:rPr>
          <w:rFonts w:ascii="Arial" w:hAnsi="Arial" w:cs="Arial"/>
          <w:lang w:val="cs-CZ"/>
        </w:rPr>
        <w:t xml:space="preserve"> 2</w:t>
      </w:r>
      <w:r>
        <w:rPr>
          <w:rFonts w:ascii="Arial" w:hAnsi="Arial" w:cs="Arial"/>
          <w:lang w:val="cs-CZ"/>
        </w:rPr>
        <w:t xml:space="preserve"> písm. </w:t>
      </w:r>
      <w:r w:rsidRPr="00977D1B">
        <w:rPr>
          <w:rFonts w:ascii="Arial" w:hAnsi="Arial" w:cs="Arial"/>
          <w:lang w:val="cs-CZ"/>
        </w:rPr>
        <w:t xml:space="preserve">d) </w:t>
      </w:r>
      <w:r>
        <w:rPr>
          <w:rFonts w:ascii="Arial" w:hAnsi="Arial" w:cs="Arial"/>
          <w:lang w:val="cs-CZ"/>
        </w:rPr>
        <w:t>směrnice o nekalých obchodních praktikách nemohla poskytnout určité vodítko při chápání tohoto pojmu</w:t>
      </w:r>
      <w:r w:rsidRPr="00977D1B">
        <w:rPr>
          <w:rFonts w:ascii="Arial" w:hAnsi="Arial" w:cs="Arial"/>
          <w:lang w:val="cs-CZ"/>
        </w:rPr>
        <w:t xml:space="preserve">, </w:t>
      </w:r>
      <w:r>
        <w:rPr>
          <w:rFonts w:ascii="Arial" w:hAnsi="Arial" w:cs="Arial"/>
          <w:lang w:val="cs-CZ"/>
        </w:rPr>
        <w:t>viz „</w:t>
      </w:r>
      <w:r w:rsidRPr="00DE3F1B">
        <w:rPr>
          <w:rStyle w:val="BERECChar"/>
          <w:rFonts w:eastAsia="EUAlbertina-Regular-Identity-H"/>
          <w:i/>
          <w:sz w:val="20"/>
          <w:lang w:val="cs-CZ"/>
        </w:rPr>
        <w:t>jednání, opomenutí, chování nebo prohlášení, obchodní komunikace včetně reklamy a uvedení</w:t>
      </w:r>
      <w:r>
        <w:rPr>
          <w:rStyle w:val="BERECChar"/>
          <w:rFonts w:eastAsia="EUAlbertina-Regular-Identity-H"/>
          <w:i/>
          <w:sz w:val="20"/>
          <w:lang w:val="cs-CZ"/>
        </w:rPr>
        <w:t xml:space="preserve"> se </w:t>
      </w:r>
      <w:r w:rsidRPr="00DE3F1B">
        <w:rPr>
          <w:rStyle w:val="BERECChar"/>
          <w:rFonts w:eastAsia="EUAlbertina-Regular-Identity-H"/>
          <w:i/>
          <w:sz w:val="20"/>
          <w:lang w:val="cs-CZ"/>
        </w:rPr>
        <w:t xml:space="preserve"> na</w:t>
      </w:r>
      <w:r w:rsidRPr="00DE3F1B">
        <w:rPr>
          <w:rStyle w:val="BERECChar"/>
          <w:i/>
          <w:sz w:val="20"/>
          <w:lang w:val="cs-CZ"/>
        </w:rPr>
        <w:t xml:space="preserve"> </w:t>
      </w:r>
      <w:r w:rsidRPr="00DE3F1B">
        <w:rPr>
          <w:rStyle w:val="BERECChar"/>
          <w:rFonts w:eastAsia="EUAlbertina-Regular-Identity-H"/>
          <w:i/>
          <w:sz w:val="20"/>
          <w:lang w:val="cs-CZ"/>
        </w:rPr>
        <w:t>trh ze strany obchodníka přímo související s propagací, prodejem nebo dodáním produktu spotřebiteli</w:t>
      </w:r>
      <w:r>
        <w:rPr>
          <w:rFonts w:ascii="Arial" w:hAnsi="Arial" w:cs="Arial"/>
          <w:i/>
          <w:lang w:val="cs-CZ"/>
        </w:rPr>
        <w:t>“</w:t>
      </w:r>
      <w:r w:rsidRPr="00977D1B">
        <w:rPr>
          <w:rFonts w:ascii="Arial" w:hAnsi="Arial" w:cs="Arial"/>
          <w:lang w:val="cs-CZ"/>
        </w:rPr>
        <w:t xml:space="preserve">, </w:t>
      </w:r>
      <w:hyperlink r:id="rId4" w:history="1">
        <w:r w:rsidRPr="00977D1B">
          <w:rPr>
            <w:rStyle w:val="Hypertextovodkaz"/>
            <w:rFonts w:ascii="Arial" w:hAnsi="Arial" w:cs="Arial"/>
            <w:lang w:val="cs-CZ"/>
          </w:rPr>
          <w:t>http://eur-lex.europa.eu/LexUriServ/LexUriServ.do?uri=OJ:L:2005:149:0022:0039:EN:PDF</w:t>
        </w:r>
      </w:hyperlink>
      <w:r w:rsidRPr="00977D1B">
        <w:rPr>
          <w:rFonts w:ascii="Arial" w:hAnsi="Arial" w:cs="Arial"/>
          <w:lang w:val="cs-CZ"/>
        </w:rPr>
        <w:t xml:space="preserve">. </w:t>
      </w:r>
      <w:r>
        <w:rPr>
          <w:rFonts w:ascii="Arial" w:hAnsi="Arial" w:cs="Arial"/>
          <w:lang w:val="cs-CZ"/>
        </w:rPr>
        <w:t>Nicméně upozorňujeme, že cíl</w:t>
      </w:r>
      <w:r w:rsidRPr="00DE3F1B">
        <w:rPr>
          <w:rFonts w:ascii="Arial" w:hAnsi="Arial" w:cs="Arial"/>
          <w:lang w:val="cs-CZ"/>
        </w:rPr>
        <w:t xml:space="preserve"> </w:t>
      </w:r>
      <w:r>
        <w:rPr>
          <w:rFonts w:ascii="Arial" w:hAnsi="Arial" w:cs="Arial"/>
          <w:lang w:val="cs-CZ"/>
        </w:rPr>
        <w:t xml:space="preserve">směrnice o nekalých obchodních praktikách je odlišný od cíle Nařízení </w:t>
      </w:r>
      <w:r w:rsidRPr="00977D1B">
        <w:rPr>
          <w:rFonts w:ascii="Arial" w:hAnsi="Arial" w:cs="Arial"/>
          <w:lang w:val="cs-CZ"/>
        </w:rPr>
        <w:t>2015/2120</w:t>
      </w:r>
      <w:r>
        <w:rPr>
          <w:rFonts w:ascii="Arial" w:hAnsi="Arial" w:cs="Arial"/>
          <w:lang w:val="cs-CZ"/>
        </w:rPr>
        <w:t xml:space="preserve">, protože dříve jmenovaná směrnice řeší hlavně obchodní praktiky, které se přímo týkají propagace, prodeje nebo dodání výrobku </w:t>
      </w:r>
      <w:r w:rsidRPr="00977D1B">
        <w:rPr>
          <w:rFonts w:ascii="Arial" w:hAnsi="Arial" w:cs="Arial"/>
          <w:lang w:val="cs-CZ"/>
        </w:rPr>
        <w:t>(</w:t>
      </w:r>
      <w:r>
        <w:rPr>
          <w:rFonts w:ascii="Arial" w:hAnsi="Arial" w:cs="Arial"/>
          <w:lang w:val="cs-CZ"/>
        </w:rPr>
        <w:t>tj.</w:t>
      </w:r>
      <w:r w:rsidRPr="00977D1B">
        <w:rPr>
          <w:rFonts w:ascii="Arial" w:hAnsi="Arial" w:cs="Arial"/>
          <w:lang w:val="cs-CZ"/>
        </w:rPr>
        <w:t xml:space="preserve"> </w:t>
      </w:r>
      <w:r>
        <w:rPr>
          <w:rFonts w:ascii="Arial" w:hAnsi="Arial" w:cs="Arial"/>
          <w:lang w:val="cs-CZ"/>
        </w:rPr>
        <w:t xml:space="preserve">zejména reklamu a </w:t>
      </w:r>
      <w:r w:rsidRPr="00977D1B">
        <w:rPr>
          <w:rFonts w:ascii="Arial" w:hAnsi="Arial" w:cs="Arial"/>
          <w:lang w:val="cs-CZ"/>
        </w:rPr>
        <w:t>marketing)</w:t>
      </w:r>
      <w:r>
        <w:rPr>
          <w:rFonts w:ascii="Arial" w:hAnsi="Arial" w:cs="Arial"/>
          <w:lang w:val="cs-CZ"/>
        </w:rPr>
        <w:t>, zatímco posledně jmenované nařízení stanoví společná pravidla pro zajištění rovného a nediskriminačního nakládání s provozem při poskytování služeb přístupu k internetu a souvisejících práv koncových uživatelů</w:t>
      </w:r>
      <w:r w:rsidRPr="00977D1B">
        <w:rPr>
          <w:rFonts w:ascii="Arial" w:hAnsi="Arial" w:cs="Arial"/>
          <w:lang w:val="cs-CZ"/>
        </w:rPr>
        <w:t xml:space="preserve">. </w:t>
      </w:r>
    </w:p>
  </w:footnote>
  <w:footnote w:id="13">
    <w:p w:rsidR="00210144" w:rsidRPr="00977D1B" w:rsidRDefault="00210144">
      <w:pPr>
        <w:pStyle w:val="Textpoznpodarou"/>
        <w:rPr>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lang w:val="cs-CZ"/>
        </w:rPr>
        <w:t>tj.</w:t>
      </w:r>
      <w:r w:rsidRPr="00977D1B">
        <w:rPr>
          <w:rFonts w:ascii="Arial" w:hAnsi="Arial" w:cs="Arial"/>
          <w:lang w:val="cs-CZ"/>
        </w:rPr>
        <w:t xml:space="preserve"> </w:t>
      </w:r>
      <w:r>
        <w:rPr>
          <w:rFonts w:ascii="Arial" w:hAnsi="Arial" w:cs="Arial"/>
          <w:lang w:val="cs-CZ"/>
        </w:rPr>
        <w:t>který se nezapočítává do datového limitu</w:t>
      </w:r>
    </w:p>
  </w:footnote>
  <w:footnote w:id="14">
    <w:p w:rsidR="00210144" w:rsidRPr="00977D1B" w:rsidRDefault="00210144">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lang w:val="cs-CZ"/>
        </w:rPr>
        <w:t>To se může týkat rovněž účinku na svobodu projevu a informací</w:t>
      </w:r>
      <w:r w:rsidRPr="00977D1B">
        <w:rPr>
          <w:rFonts w:ascii="Arial" w:hAnsi="Arial" w:cs="Arial"/>
          <w:lang w:val="cs-CZ"/>
        </w:rPr>
        <w:t xml:space="preserve">, </w:t>
      </w:r>
      <w:r>
        <w:rPr>
          <w:rFonts w:ascii="Arial" w:hAnsi="Arial" w:cs="Arial"/>
          <w:lang w:val="cs-CZ"/>
        </w:rPr>
        <w:t xml:space="preserve">včetně </w:t>
      </w:r>
      <w:r w:rsidRPr="00977D1B">
        <w:rPr>
          <w:rFonts w:ascii="Arial" w:hAnsi="Arial" w:cs="Arial"/>
          <w:lang w:val="cs-CZ"/>
        </w:rPr>
        <w:t>plurali</w:t>
      </w:r>
      <w:r>
        <w:rPr>
          <w:rFonts w:ascii="Arial" w:hAnsi="Arial" w:cs="Arial"/>
          <w:lang w:val="cs-CZ"/>
        </w:rPr>
        <w:t>ty médií</w:t>
      </w:r>
    </w:p>
  </w:footnote>
  <w:footnote w:id="15">
    <w:p w:rsidR="00210144" w:rsidRPr="00977D1B" w:rsidRDefault="00210144" w:rsidP="00631D71">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lang w:val="cs-CZ"/>
        </w:rPr>
        <w:t xml:space="preserve">To se může týkat rovněž účinku na svobodu a </w:t>
      </w:r>
      <w:r w:rsidRPr="00977D1B">
        <w:rPr>
          <w:rFonts w:ascii="Arial" w:hAnsi="Arial" w:cs="Arial"/>
          <w:lang w:val="cs-CZ"/>
        </w:rPr>
        <w:t>plurali</w:t>
      </w:r>
      <w:r>
        <w:rPr>
          <w:rFonts w:ascii="Arial" w:hAnsi="Arial" w:cs="Arial"/>
          <w:lang w:val="cs-CZ"/>
        </w:rPr>
        <w:t>tu médií</w:t>
      </w:r>
      <w:r w:rsidRPr="00977D1B">
        <w:rPr>
          <w:rFonts w:ascii="Arial" w:hAnsi="Arial" w:cs="Arial"/>
          <w:lang w:val="cs-CZ"/>
        </w:rPr>
        <w:t xml:space="preserve"> </w:t>
      </w:r>
    </w:p>
  </w:footnote>
  <w:footnote w:id="16">
    <w:p w:rsidR="00210144" w:rsidRPr="005B4DA7" w:rsidRDefault="00210144">
      <w:pPr>
        <w:pStyle w:val="Textpoznpodarou"/>
        <w:rPr>
          <w:lang w:val="cs-CZ"/>
        </w:rPr>
      </w:pPr>
      <w:r>
        <w:rPr>
          <w:rStyle w:val="Znakapoznpodarou"/>
        </w:rPr>
        <w:footnoteRef/>
      </w:r>
      <w:r>
        <w:t xml:space="preserve"> </w:t>
      </w:r>
      <w:r w:rsidRPr="005B4DA7">
        <w:rPr>
          <w:rFonts w:ascii="Arial" w:hAnsi="Arial" w:cs="Arial"/>
          <w:lang w:val="cs-CZ"/>
        </w:rPr>
        <w:t>Nemělo by být zaměňováno se způsobem předcházení zahlcení uvnitř sítě, tak jak je popisováno v článku 3 odst. 3 písm. c). IETF, RFC 5783, Congestion Control in the RFC Series</w:t>
      </w:r>
    </w:p>
  </w:footnote>
  <w:footnote w:id="17">
    <w:p w:rsidR="00210144" w:rsidRPr="00977D1B" w:rsidRDefault="00210144">
      <w:pPr>
        <w:pStyle w:val="Textpoznpodarou"/>
        <w:rPr>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lang w:val="cs-CZ"/>
        </w:rPr>
        <w:t>Definice</w:t>
      </w:r>
      <w:r w:rsidRPr="00977D1B">
        <w:rPr>
          <w:rFonts w:ascii="Arial" w:hAnsi="Arial" w:cs="Arial"/>
          <w:lang w:val="cs-CZ"/>
        </w:rPr>
        <w:t xml:space="preserve"> </w:t>
      </w:r>
      <w:r>
        <w:rPr>
          <w:rFonts w:ascii="Arial" w:hAnsi="Arial" w:cs="Arial"/>
          <w:lang w:val="cs-CZ"/>
        </w:rPr>
        <w:t>opatření řízení provozu</w:t>
      </w:r>
      <w:r w:rsidRPr="00977D1B">
        <w:rPr>
          <w:rFonts w:ascii="Arial" w:hAnsi="Arial" w:cs="Arial"/>
          <w:lang w:val="cs-CZ"/>
        </w:rPr>
        <w:t xml:space="preserve"> </w:t>
      </w:r>
      <w:r>
        <w:rPr>
          <w:rFonts w:ascii="Arial" w:hAnsi="Arial" w:cs="Arial"/>
          <w:lang w:val="cs-CZ"/>
        </w:rPr>
        <w:t xml:space="preserve">je uvedena na straně </w:t>
      </w:r>
      <w:r w:rsidRPr="00977D1B">
        <w:rPr>
          <w:rFonts w:ascii="Arial" w:hAnsi="Arial" w:cs="Arial"/>
          <w:lang w:val="cs-CZ"/>
        </w:rPr>
        <w:t xml:space="preserve">18 </w:t>
      </w:r>
      <w:r>
        <w:rPr>
          <w:rFonts w:ascii="Arial" w:hAnsi="Arial" w:cs="Arial"/>
          <w:lang w:val="cs-CZ"/>
        </w:rPr>
        <w:t xml:space="preserve">dokumentu </w:t>
      </w:r>
      <w:r w:rsidRPr="00977D1B">
        <w:rPr>
          <w:rFonts w:ascii="Arial" w:hAnsi="Arial" w:cs="Arial"/>
          <w:lang w:val="cs-CZ"/>
        </w:rPr>
        <w:t>BEREC 2011 Net Neutrality QoS Framework (BoR (11) 53)</w:t>
      </w:r>
    </w:p>
  </w:footnote>
  <w:footnote w:id="18">
    <w:p w:rsidR="00210144" w:rsidRPr="00977D1B" w:rsidRDefault="00210144">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lang w:val="cs-CZ"/>
        </w:rPr>
        <w:t xml:space="preserve"> </w:t>
      </w:r>
      <w:r w:rsidRPr="00977D1B">
        <w:rPr>
          <w:rFonts w:ascii="Arial" w:hAnsi="Arial" w:cs="Arial"/>
          <w:lang w:val="cs-CZ"/>
        </w:rPr>
        <w:t>IETF, RFC 7657, Differentiated Services and Real-Time Communication</w:t>
      </w:r>
    </w:p>
  </w:footnote>
  <w:footnote w:id="19">
    <w:p w:rsidR="00210144" w:rsidRPr="00977D1B" w:rsidRDefault="00210144">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lang w:val="cs-CZ"/>
        </w:rPr>
        <w:t xml:space="preserve">Viz část </w:t>
      </w:r>
      <w:r w:rsidRPr="00977D1B">
        <w:rPr>
          <w:rFonts w:ascii="Arial" w:hAnsi="Arial" w:cs="Arial"/>
          <w:lang w:val="cs-CZ"/>
        </w:rPr>
        <w:t xml:space="preserve">2.1 “AQM and Multiple Queues” </w:t>
      </w:r>
      <w:r>
        <w:rPr>
          <w:rFonts w:ascii="Arial" w:hAnsi="Arial" w:cs="Arial"/>
          <w:lang w:val="cs-CZ"/>
        </w:rPr>
        <w:t xml:space="preserve">v dokumentu </w:t>
      </w:r>
      <w:r w:rsidRPr="00977D1B">
        <w:rPr>
          <w:rFonts w:ascii="Arial" w:hAnsi="Arial" w:cs="Arial"/>
          <w:lang w:val="cs-CZ"/>
        </w:rPr>
        <w:t>IETF RFC 7567</w:t>
      </w:r>
    </w:p>
  </w:footnote>
  <w:footnote w:id="20">
    <w:p w:rsidR="00210144" w:rsidRPr="00977D1B" w:rsidRDefault="00210144">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Viz úvodní část Nařízení, bod 11 </w:t>
      </w:r>
    </w:p>
  </w:footnote>
  <w:footnote w:id="21">
    <w:p w:rsidR="00210144" w:rsidRPr="00977D1B" w:rsidRDefault="00210144">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Viz úvodní část Nařízení, bod 11 </w:t>
      </w:r>
    </w:p>
  </w:footnote>
  <w:footnote w:id="22">
    <w:p w:rsidR="00210144" w:rsidRPr="00977D1B" w:rsidRDefault="00210144" w:rsidP="009036A9">
      <w:pPr>
        <w:rPr>
          <w:rFonts w:cs="Arial"/>
          <w:sz w:val="20"/>
          <w:szCs w:val="20"/>
          <w:lang w:val="cs-CZ"/>
        </w:rPr>
      </w:pPr>
      <w:r w:rsidRPr="00977D1B">
        <w:rPr>
          <w:rStyle w:val="Znakapoznpodarou"/>
          <w:rFonts w:cs="Arial"/>
          <w:sz w:val="20"/>
          <w:szCs w:val="20"/>
          <w:lang w:val="cs-CZ"/>
        </w:rPr>
        <w:footnoteRef/>
      </w:r>
      <w:r w:rsidRPr="00977D1B">
        <w:rPr>
          <w:rFonts w:cs="Arial"/>
          <w:sz w:val="20"/>
          <w:szCs w:val="20"/>
          <w:lang w:val="cs-CZ"/>
        </w:rPr>
        <w:t xml:space="preserve"> </w:t>
      </w:r>
      <w:r>
        <w:rPr>
          <w:sz w:val="20"/>
          <w:szCs w:val="20"/>
          <w:lang w:val="cs-CZ"/>
        </w:rPr>
        <w:t xml:space="preserve">Toto sledování by mělo být vykládáno restriktivně a podle požadavků </w:t>
      </w:r>
      <w:r w:rsidRPr="00977D1B">
        <w:rPr>
          <w:sz w:val="20"/>
          <w:szCs w:val="20"/>
          <w:lang w:val="cs-CZ"/>
        </w:rPr>
        <w:t>propor</w:t>
      </w:r>
      <w:r>
        <w:rPr>
          <w:sz w:val="20"/>
          <w:szCs w:val="20"/>
          <w:lang w:val="cs-CZ"/>
        </w:rPr>
        <w:t>c</w:t>
      </w:r>
      <w:r w:rsidRPr="00977D1B">
        <w:rPr>
          <w:sz w:val="20"/>
          <w:szCs w:val="20"/>
          <w:lang w:val="cs-CZ"/>
        </w:rPr>
        <w:t>ionality</w:t>
      </w:r>
      <w:r>
        <w:rPr>
          <w:sz w:val="20"/>
          <w:szCs w:val="20"/>
          <w:lang w:val="cs-CZ"/>
        </w:rPr>
        <w:t xml:space="preserve"> a mělo by být </w:t>
      </w:r>
      <w:r w:rsidRPr="00977D1B">
        <w:rPr>
          <w:sz w:val="20"/>
          <w:szCs w:val="20"/>
          <w:lang w:val="cs-CZ"/>
        </w:rPr>
        <w:t>vnitrostátní</w:t>
      </w:r>
      <w:r>
        <w:rPr>
          <w:sz w:val="20"/>
          <w:szCs w:val="20"/>
          <w:lang w:val="cs-CZ"/>
        </w:rPr>
        <w:t>mi</w:t>
      </w:r>
      <w:r w:rsidRPr="00977D1B">
        <w:rPr>
          <w:sz w:val="20"/>
          <w:szCs w:val="20"/>
          <w:lang w:val="cs-CZ"/>
        </w:rPr>
        <w:t xml:space="preserve"> regulační</w:t>
      </w:r>
      <w:r>
        <w:rPr>
          <w:sz w:val="20"/>
          <w:szCs w:val="20"/>
          <w:lang w:val="cs-CZ"/>
        </w:rPr>
        <w:t>mi</w:t>
      </w:r>
      <w:r w:rsidRPr="00977D1B">
        <w:rPr>
          <w:sz w:val="20"/>
          <w:szCs w:val="20"/>
          <w:lang w:val="cs-CZ"/>
        </w:rPr>
        <w:t xml:space="preserve"> orgány </w:t>
      </w:r>
      <w:r>
        <w:rPr>
          <w:sz w:val="20"/>
          <w:szCs w:val="20"/>
          <w:lang w:val="cs-CZ"/>
        </w:rPr>
        <w:t xml:space="preserve">posuzováno v souladu s odstavcem </w:t>
      </w:r>
      <w:r w:rsidRPr="00977D1B">
        <w:rPr>
          <w:sz w:val="20"/>
          <w:szCs w:val="20"/>
          <w:lang w:val="cs-CZ"/>
        </w:rPr>
        <w:t>87.</w:t>
      </w:r>
    </w:p>
  </w:footnote>
  <w:footnote w:id="23">
    <w:p w:rsidR="00210144" w:rsidRPr="00977D1B" w:rsidRDefault="00210144" w:rsidP="009C2101">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lang w:val="cs-CZ"/>
        </w:rPr>
        <w:t xml:space="preserve">Tato odůvodnění by měla být rovněž v souladu s čl. </w:t>
      </w:r>
      <w:r w:rsidRPr="00977D1B">
        <w:rPr>
          <w:rFonts w:ascii="Arial" w:hAnsi="Arial" w:cs="Arial"/>
          <w:lang w:val="cs-CZ"/>
        </w:rPr>
        <w:t xml:space="preserve">13a) a 13b) </w:t>
      </w:r>
      <w:r>
        <w:rPr>
          <w:rFonts w:ascii="Arial" w:hAnsi="Arial" w:cs="Arial"/>
          <w:lang w:val="cs-CZ"/>
        </w:rPr>
        <w:t>rámcové směrnice</w:t>
      </w:r>
      <w:r w:rsidRPr="00977D1B">
        <w:rPr>
          <w:rFonts w:ascii="Arial" w:hAnsi="Arial" w:cs="Arial"/>
          <w:lang w:val="cs-CZ"/>
        </w:rPr>
        <w:t xml:space="preserve"> </w:t>
      </w:r>
    </w:p>
  </w:footnote>
  <w:footnote w:id="24">
    <w:p w:rsidR="00210144" w:rsidRPr="00977D1B" w:rsidRDefault="00210144" w:rsidP="008A7801">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IETF, RFC 6057, Comcast’s Protocol-Agnostic Congestion Management a IETF, RFC 6789, Congestion Exposure (Conex) Concepts and Use Cases</w:t>
      </w:r>
    </w:p>
  </w:footnote>
  <w:footnote w:id="25">
    <w:p w:rsidR="00210144" w:rsidRPr="00977D1B" w:rsidRDefault="00210144" w:rsidP="002E65F4">
      <w:pPr>
        <w:pStyle w:val="Textpoznpodarou"/>
        <w:jc w:val="left"/>
        <w:rPr>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lang w:val="cs-CZ"/>
        </w:rPr>
        <w:t>Přičemž</w:t>
      </w:r>
      <w:r w:rsidRPr="00977D1B">
        <w:rPr>
          <w:rFonts w:ascii="Arial" w:hAnsi="Arial" w:cs="Arial"/>
          <w:lang w:val="cs-CZ"/>
        </w:rPr>
        <w:t xml:space="preserve"> vnitrostátní regulační orgány </w:t>
      </w:r>
      <w:r>
        <w:rPr>
          <w:rFonts w:ascii="Arial" w:hAnsi="Arial" w:cs="Arial"/>
          <w:lang w:val="cs-CZ"/>
        </w:rPr>
        <w:t xml:space="preserve">nejsou příslušné k vymáhání směrnice o ochraně osobních údajů </w:t>
      </w:r>
      <w:r w:rsidRPr="00977D1B">
        <w:rPr>
          <w:rFonts w:ascii="Arial" w:hAnsi="Arial" w:cs="Arial"/>
          <w:lang w:val="cs-CZ"/>
        </w:rPr>
        <w:br/>
        <w:t>(</w:t>
      </w:r>
      <w:r>
        <w:rPr>
          <w:rFonts w:ascii="Arial" w:hAnsi="Arial" w:cs="Arial"/>
          <w:lang w:val="cs-CZ"/>
        </w:rPr>
        <w:t xml:space="preserve">Směrnice </w:t>
      </w:r>
      <w:r w:rsidRPr="00977D1B">
        <w:rPr>
          <w:rFonts w:ascii="Arial" w:hAnsi="Arial" w:cs="Arial"/>
          <w:lang w:val="cs-CZ"/>
        </w:rPr>
        <w:t>95/46</w:t>
      </w:r>
      <w:r>
        <w:rPr>
          <w:rFonts w:ascii="Arial" w:hAnsi="Arial" w:cs="Arial"/>
          <w:lang w:val="cs-CZ"/>
        </w:rPr>
        <w:t>/ES</w:t>
      </w:r>
      <w:r w:rsidRPr="00977D1B">
        <w:rPr>
          <w:rFonts w:ascii="Arial" w:hAnsi="Arial" w:cs="Arial"/>
          <w:lang w:val="cs-CZ"/>
        </w:rPr>
        <w:t xml:space="preserve"> </w:t>
      </w:r>
      <w:r>
        <w:rPr>
          <w:rFonts w:ascii="Arial" w:hAnsi="Arial" w:cs="Arial"/>
          <w:lang w:val="cs-CZ"/>
        </w:rPr>
        <w:t xml:space="preserve">ve znění Nařízení </w:t>
      </w:r>
      <w:r w:rsidRPr="00977D1B">
        <w:rPr>
          <w:rFonts w:ascii="Arial" w:hAnsi="Arial" w:cs="Arial"/>
          <w:color w:val="000000"/>
          <w:shd w:val="clear" w:color="auto" w:fill="F9F9F9"/>
          <w:lang w:val="cs-CZ"/>
        </w:rPr>
        <w:t>(E</w:t>
      </w:r>
      <w:r>
        <w:rPr>
          <w:rFonts w:ascii="Arial" w:hAnsi="Arial" w:cs="Arial"/>
          <w:color w:val="000000"/>
          <w:shd w:val="clear" w:color="auto" w:fill="F9F9F9"/>
          <w:lang w:val="cs-CZ"/>
        </w:rPr>
        <w:t>S</w:t>
      </w:r>
      <w:r w:rsidRPr="00977D1B">
        <w:rPr>
          <w:rFonts w:ascii="Arial" w:hAnsi="Arial" w:cs="Arial"/>
          <w:color w:val="000000"/>
          <w:shd w:val="clear" w:color="auto" w:fill="F9F9F9"/>
          <w:lang w:val="cs-CZ"/>
        </w:rPr>
        <w:t xml:space="preserve">) 1882/2003 </w:t>
      </w:r>
      <w:r w:rsidRPr="00977D1B">
        <w:rPr>
          <w:rFonts w:ascii="Arial" w:hAnsi="Arial" w:cs="Arial"/>
          <w:color w:val="000000"/>
          <w:shd w:val="clear" w:color="auto" w:fill="F9F9F9"/>
          <w:lang w:val="cs-CZ"/>
        </w:rPr>
        <w:br/>
        <w:t>(</w:t>
      </w:r>
      <w:hyperlink r:id="rId5" w:history="1">
        <w:r w:rsidRPr="00977D1B">
          <w:rPr>
            <w:rStyle w:val="Hypertextovodkaz"/>
            <w:rFonts w:ascii="Arial" w:hAnsi="Arial" w:cs="Arial"/>
            <w:shd w:val="clear" w:color="auto" w:fill="F9F9F9"/>
            <w:lang w:val="cs-CZ"/>
          </w:rPr>
          <w:t>http://eur-lex.europa.eu/legal-content/EN/TXT/HTML/?uri=URISERV:l14012&amp;from=EN</w:t>
        </w:r>
      </w:hyperlink>
      <w:r w:rsidRPr="00977D1B">
        <w:rPr>
          <w:rFonts w:ascii="Arial" w:hAnsi="Arial" w:cs="Arial"/>
          <w:lang w:val="cs-CZ"/>
        </w:rPr>
        <w:t xml:space="preserve">), </w:t>
      </w:r>
      <w:r>
        <w:rPr>
          <w:rFonts w:ascii="Arial" w:hAnsi="Arial" w:cs="Arial"/>
          <w:lang w:val="cs-CZ"/>
        </w:rPr>
        <w:t xml:space="preserve">v mnoha zemích jsou zmocněny k vymáhání směrnice o ochraně elektronických osobních údajů </w:t>
      </w:r>
      <w:r w:rsidRPr="00977D1B">
        <w:rPr>
          <w:rFonts w:ascii="Arial" w:hAnsi="Arial" w:cs="Arial"/>
          <w:lang w:val="cs-CZ"/>
        </w:rPr>
        <w:br/>
        <w:t>(</w:t>
      </w:r>
      <w:r>
        <w:rPr>
          <w:rFonts w:ascii="Arial" w:hAnsi="Arial" w:cs="Arial"/>
          <w:lang w:val="cs-CZ"/>
        </w:rPr>
        <w:t xml:space="preserve">Směrnice </w:t>
      </w:r>
      <w:r w:rsidRPr="00977D1B">
        <w:rPr>
          <w:rFonts w:ascii="Arial" w:hAnsi="Arial" w:cs="Arial"/>
          <w:lang w:val="cs-CZ"/>
        </w:rPr>
        <w:t>2002/58</w:t>
      </w:r>
      <w:r>
        <w:rPr>
          <w:rFonts w:ascii="Arial" w:hAnsi="Arial" w:cs="Arial"/>
          <w:lang w:val="cs-CZ"/>
        </w:rPr>
        <w:t>/ES</w:t>
      </w:r>
      <w:r w:rsidRPr="00977D1B">
        <w:rPr>
          <w:rFonts w:ascii="Arial" w:hAnsi="Arial" w:cs="Arial"/>
          <w:lang w:val="cs-CZ"/>
        </w:rPr>
        <w:t xml:space="preserve">, </w:t>
      </w:r>
      <w:r>
        <w:rPr>
          <w:rFonts w:ascii="Arial" w:hAnsi="Arial" w:cs="Arial"/>
          <w:lang w:val="cs-CZ"/>
        </w:rPr>
        <w:t xml:space="preserve">ve znění Směrnice </w:t>
      </w:r>
      <w:r w:rsidRPr="00977D1B">
        <w:rPr>
          <w:rFonts w:ascii="Arial" w:hAnsi="Arial" w:cs="Arial"/>
          <w:lang w:val="cs-CZ"/>
        </w:rPr>
        <w:t>2006/24</w:t>
      </w:r>
      <w:r>
        <w:rPr>
          <w:rFonts w:ascii="Arial" w:hAnsi="Arial" w:cs="Arial"/>
          <w:lang w:val="cs-CZ"/>
        </w:rPr>
        <w:t>/ES</w:t>
      </w:r>
      <w:r w:rsidRPr="00977D1B">
        <w:rPr>
          <w:rFonts w:ascii="Arial" w:hAnsi="Arial" w:cs="Arial"/>
          <w:lang w:val="cs-CZ"/>
        </w:rPr>
        <w:t xml:space="preserve"> a</w:t>
      </w:r>
      <w:r>
        <w:rPr>
          <w:rFonts w:ascii="Arial" w:hAnsi="Arial" w:cs="Arial"/>
          <w:lang w:val="cs-CZ"/>
        </w:rPr>
        <w:t xml:space="preserve"> Směrnice </w:t>
      </w:r>
      <w:r w:rsidRPr="00977D1B">
        <w:rPr>
          <w:rFonts w:ascii="Arial" w:hAnsi="Arial" w:cs="Arial"/>
          <w:lang w:val="cs-CZ"/>
        </w:rPr>
        <w:t>2009/136</w:t>
      </w:r>
      <w:r>
        <w:rPr>
          <w:rFonts w:ascii="Arial" w:hAnsi="Arial" w:cs="Arial"/>
          <w:lang w:val="cs-CZ"/>
        </w:rPr>
        <w:t>/ES</w:t>
      </w:r>
      <w:r w:rsidRPr="00977D1B">
        <w:rPr>
          <w:rFonts w:ascii="Arial" w:hAnsi="Arial" w:cs="Arial"/>
          <w:lang w:val="cs-CZ"/>
        </w:rPr>
        <w:t xml:space="preserve"> </w:t>
      </w:r>
      <w:r w:rsidRPr="00977D1B">
        <w:rPr>
          <w:rFonts w:ascii="Arial" w:hAnsi="Arial" w:cs="Arial"/>
          <w:lang w:val="cs-CZ"/>
        </w:rPr>
        <w:br/>
        <w:t>(</w:t>
      </w:r>
      <w:hyperlink r:id="rId6" w:history="1">
        <w:r w:rsidRPr="00977D1B">
          <w:rPr>
            <w:rFonts w:ascii="Arial" w:hAnsi="Arial" w:cs="Arial"/>
            <w:color w:val="0000FF"/>
            <w:u w:val="single"/>
            <w:lang w:val="cs-CZ"/>
          </w:rPr>
          <w:t>http://eur-lex.europa.eu/LexUriServ/LexUriServ.do?uri=CONSLEG:2002L0058:20091219:EN:PDF</w:t>
        </w:r>
      </w:hyperlink>
      <w:r w:rsidRPr="00977D1B">
        <w:rPr>
          <w:rFonts w:ascii="Arial" w:hAnsi="Arial" w:cs="Arial"/>
          <w:color w:val="0000FF"/>
          <w:lang w:val="cs-CZ"/>
        </w:rPr>
        <w:t>)</w:t>
      </w:r>
    </w:p>
  </w:footnote>
  <w:footnote w:id="26">
    <w:p w:rsidR="00210144" w:rsidRPr="00977D1B" w:rsidRDefault="00210144" w:rsidP="006834B2">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lang w:val="cs-CZ"/>
        </w:rPr>
        <w:t>Na poskytování specializovaných služeb lze používat i tzv. n</w:t>
      </w:r>
      <w:r w:rsidRPr="00977D1B">
        <w:rPr>
          <w:rFonts w:ascii="Arial" w:hAnsi="Arial" w:cs="Arial"/>
          <w:lang w:val="cs-CZ"/>
        </w:rPr>
        <w:t xml:space="preserve">etwork-slicing </w:t>
      </w:r>
      <w:r>
        <w:rPr>
          <w:rFonts w:ascii="Arial" w:hAnsi="Arial" w:cs="Arial"/>
          <w:lang w:val="cs-CZ"/>
        </w:rPr>
        <w:t xml:space="preserve">v sítích </w:t>
      </w:r>
      <w:r w:rsidRPr="00977D1B">
        <w:rPr>
          <w:rFonts w:ascii="Arial" w:hAnsi="Arial" w:cs="Arial"/>
          <w:lang w:val="cs-CZ"/>
        </w:rPr>
        <w:t>5G</w:t>
      </w:r>
      <w:r>
        <w:rPr>
          <w:rFonts w:ascii="Arial" w:hAnsi="Arial" w:cs="Arial"/>
          <w:lang w:val="cs-CZ"/>
        </w:rPr>
        <w:t>.</w:t>
      </w:r>
      <w:r w:rsidRPr="00977D1B">
        <w:rPr>
          <w:rFonts w:ascii="Arial" w:hAnsi="Arial" w:cs="Arial"/>
          <w:lang w:val="cs-CZ"/>
        </w:rPr>
        <w:t xml:space="preserve"> </w:t>
      </w:r>
    </w:p>
  </w:footnote>
  <w:footnote w:id="27">
    <w:p w:rsidR="00210144" w:rsidRPr="00977D1B" w:rsidRDefault="00210144">
      <w:pPr>
        <w:pStyle w:val="Textpoznpodarou"/>
        <w:rPr>
          <w:lang w:val="cs-CZ"/>
        </w:rPr>
      </w:pPr>
      <w:r w:rsidRPr="00977D1B">
        <w:rPr>
          <w:rStyle w:val="Znakapoznpodarou"/>
          <w:rFonts w:ascii="Arial" w:hAnsi="Arial" w:cs="Arial"/>
          <w:lang w:val="cs-CZ"/>
        </w:rPr>
        <w:footnoteRef/>
      </w:r>
      <w:r w:rsidRPr="00977D1B">
        <w:rPr>
          <w:rFonts w:ascii="Arial" w:hAnsi="Arial" w:cs="Arial"/>
          <w:lang w:val="cs-CZ"/>
        </w:rPr>
        <w:t xml:space="preserve"> Jak je vysvětleno v</w:t>
      </w:r>
      <w:r>
        <w:rPr>
          <w:rFonts w:ascii="Arial" w:hAnsi="Arial" w:cs="Arial"/>
          <w:lang w:val="cs-CZ"/>
        </w:rPr>
        <w:t> bodu 16 ú</w:t>
      </w:r>
      <w:r w:rsidRPr="00977D1B">
        <w:rPr>
          <w:rFonts w:ascii="Arial" w:hAnsi="Arial" w:cs="Arial"/>
          <w:lang w:val="cs-CZ"/>
        </w:rPr>
        <w:t>vodní části Nařízení,</w:t>
      </w:r>
      <w:r w:rsidRPr="00977D1B">
        <w:rPr>
          <w:lang w:val="cs-CZ"/>
        </w:rPr>
        <w:t xml:space="preserve"> </w:t>
      </w:r>
      <w:r>
        <w:rPr>
          <w:rFonts w:ascii="Arial" w:hAnsi="Arial" w:cs="Arial"/>
          <w:lang w:val="cs-CZ"/>
        </w:rPr>
        <w:t>v</w:t>
      </w:r>
      <w:r w:rsidRPr="00977D1B">
        <w:rPr>
          <w:rFonts w:ascii="Arial" w:hAnsi="Arial" w:cs="Arial"/>
          <w:lang w:val="cs-CZ"/>
        </w:rPr>
        <w:t xml:space="preserve">nitrostátní regulační orgány </w:t>
      </w:r>
      <w:r w:rsidRPr="00977D1B">
        <w:rPr>
          <w:rFonts w:ascii="Arial" w:hAnsi="Arial" w:cs="Arial"/>
          <w:i/>
          <w:lang w:val="cs-CZ"/>
        </w:rPr>
        <w:t>„</w:t>
      </w:r>
      <w:r w:rsidRPr="00977D1B">
        <w:rPr>
          <w:rFonts w:ascii="Arial" w:hAnsi="Arial" w:cs="Arial"/>
          <w:i/>
          <w:szCs w:val="19"/>
          <w:lang w:val="cs-CZ"/>
        </w:rPr>
        <w:t>by měly spíše ověřovat, zda a do jaké míry je tato optimalizace objektivně nutná k zajištění jedné či více konkrétních klíčových charakteristik obsahu, aplikací či služeb a k umožnění poskytnutí záruky odpovídající kvality služeb poskytovaných koncovým uživatelům, než pouze udělovat obecnou prioritu pro srovnatelný obsah, aplikace či služby dostupné přes službu přístupu k internetu, a tedy obcházet ustanovení o opatřeních řízení provozu ve vztahu ke službám přístupu k internetu</w:t>
      </w:r>
      <w:r w:rsidRPr="00977D1B">
        <w:rPr>
          <w:rFonts w:ascii="Arial" w:hAnsi="Arial" w:cs="Arial"/>
          <w:i/>
          <w:lang w:val="cs-CZ"/>
        </w:rPr>
        <w:t>“</w:t>
      </w:r>
    </w:p>
  </w:footnote>
  <w:footnote w:id="28">
    <w:p w:rsidR="00210144" w:rsidRPr="00977D1B" w:rsidRDefault="00210144">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Viz odstavce </w:t>
      </w:r>
      <w:r w:rsidRPr="00977D1B">
        <w:rPr>
          <w:rFonts w:ascii="Arial" w:hAnsi="Arial" w:cs="Arial"/>
          <w:lang w:val="cs-CZ"/>
        </w:rPr>
        <w:fldChar w:fldCharType="begin"/>
      </w:r>
      <w:r w:rsidRPr="00977D1B">
        <w:rPr>
          <w:rFonts w:ascii="Arial" w:hAnsi="Arial" w:cs="Arial"/>
          <w:lang w:val="cs-CZ"/>
        </w:rPr>
        <w:instrText xml:space="preserve"> REF _Ref449703264 \r \h </w:instrText>
      </w:r>
      <w:r w:rsidRPr="00977D1B">
        <w:rPr>
          <w:rFonts w:ascii="Arial" w:hAnsi="Arial" w:cs="Arial"/>
          <w:lang w:val="cs-CZ"/>
        </w:rPr>
      </w:r>
      <w:r w:rsidRPr="00977D1B">
        <w:rPr>
          <w:rFonts w:ascii="Arial" w:hAnsi="Arial" w:cs="Arial"/>
          <w:lang w:val="cs-CZ"/>
        </w:rPr>
        <w:fldChar w:fldCharType="separate"/>
      </w:r>
      <w:r>
        <w:rPr>
          <w:rFonts w:ascii="Arial" w:hAnsi="Arial" w:cs="Arial"/>
          <w:lang w:val="cs-CZ"/>
        </w:rPr>
        <w:t>174</w:t>
      </w:r>
      <w:r w:rsidRPr="00977D1B">
        <w:rPr>
          <w:rFonts w:ascii="Arial" w:hAnsi="Arial" w:cs="Arial"/>
          <w:lang w:val="cs-CZ"/>
        </w:rPr>
        <w:fldChar w:fldCharType="end"/>
      </w:r>
      <w:r w:rsidRPr="00977D1B">
        <w:rPr>
          <w:rFonts w:ascii="Arial" w:hAnsi="Arial" w:cs="Arial"/>
          <w:lang w:val="cs-CZ"/>
        </w:rPr>
        <w:t>-</w:t>
      </w:r>
      <w:r w:rsidRPr="00977D1B">
        <w:rPr>
          <w:rFonts w:ascii="Arial" w:hAnsi="Arial" w:cs="Arial"/>
          <w:lang w:val="cs-CZ"/>
        </w:rPr>
        <w:fldChar w:fldCharType="begin"/>
      </w:r>
      <w:r w:rsidRPr="00977D1B">
        <w:rPr>
          <w:rFonts w:ascii="Arial" w:hAnsi="Arial" w:cs="Arial"/>
          <w:lang w:val="cs-CZ"/>
        </w:rPr>
        <w:instrText xml:space="preserve"> REF _Ref449703274 \r \h </w:instrText>
      </w:r>
      <w:r w:rsidRPr="00977D1B">
        <w:rPr>
          <w:rFonts w:ascii="Arial" w:hAnsi="Arial" w:cs="Arial"/>
          <w:lang w:val="cs-CZ"/>
        </w:rPr>
      </w:r>
      <w:r w:rsidRPr="00977D1B">
        <w:rPr>
          <w:rFonts w:ascii="Arial" w:hAnsi="Arial" w:cs="Arial"/>
          <w:lang w:val="cs-CZ"/>
        </w:rPr>
        <w:fldChar w:fldCharType="separate"/>
      </w:r>
      <w:r>
        <w:rPr>
          <w:rFonts w:ascii="Arial" w:hAnsi="Arial" w:cs="Arial"/>
          <w:lang w:val="cs-CZ"/>
        </w:rPr>
        <w:t>176</w:t>
      </w:r>
      <w:r w:rsidRPr="00977D1B">
        <w:rPr>
          <w:rFonts w:ascii="Arial" w:hAnsi="Arial" w:cs="Arial"/>
          <w:lang w:val="cs-CZ"/>
        </w:rPr>
        <w:fldChar w:fldCharType="end"/>
      </w:r>
    </w:p>
  </w:footnote>
  <w:footnote w:id="29">
    <w:p w:rsidR="00210144" w:rsidRPr="00977D1B" w:rsidRDefault="00210144">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lang w:val="cs-CZ"/>
        </w:rPr>
        <w:t>Jak je uvedeno</w:t>
      </w:r>
      <w:r w:rsidRPr="00977D1B">
        <w:rPr>
          <w:rFonts w:ascii="Arial" w:hAnsi="Arial" w:cs="Arial"/>
          <w:lang w:val="cs-CZ"/>
        </w:rPr>
        <w:t xml:space="preserve"> </w:t>
      </w:r>
      <w:r>
        <w:rPr>
          <w:rFonts w:ascii="Arial" w:hAnsi="Arial" w:cs="Arial"/>
          <w:lang w:val="cs-CZ"/>
        </w:rPr>
        <w:t>v článku</w:t>
      </w:r>
      <w:r w:rsidRPr="00977D1B">
        <w:rPr>
          <w:rFonts w:ascii="Arial" w:hAnsi="Arial" w:cs="Arial"/>
          <w:lang w:val="cs-CZ"/>
        </w:rPr>
        <w:t xml:space="preserve"> 4</w:t>
      </w:r>
      <w:r>
        <w:rPr>
          <w:rFonts w:ascii="Arial" w:hAnsi="Arial" w:cs="Arial"/>
          <w:lang w:val="cs-CZ"/>
        </w:rPr>
        <w:t xml:space="preserve"> odst. </w:t>
      </w:r>
      <w:r w:rsidRPr="00977D1B">
        <w:rPr>
          <w:rFonts w:ascii="Arial" w:hAnsi="Arial" w:cs="Arial"/>
          <w:lang w:val="cs-CZ"/>
        </w:rPr>
        <w:t>1</w:t>
      </w:r>
      <w:r>
        <w:rPr>
          <w:rFonts w:ascii="Arial" w:hAnsi="Arial" w:cs="Arial"/>
          <w:lang w:val="cs-CZ"/>
        </w:rPr>
        <w:t xml:space="preserve"> písm. </w:t>
      </w:r>
      <w:r w:rsidRPr="00977D1B">
        <w:rPr>
          <w:rFonts w:ascii="Arial" w:hAnsi="Arial" w:cs="Arial"/>
          <w:lang w:val="cs-CZ"/>
        </w:rPr>
        <w:t xml:space="preserve">d) </w:t>
      </w:r>
    </w:p>
  </w:footnote>
  <w:footnote w:id="30">
    <w:p w:rsidR="00210144" w:rsidRPr="00977D1B" w:rsidRDefault="00210144" w:rsidP="002E65F4">
      <w:pPr>
        <w:pStyle w:val="Textpoznpodarou"/>
        <w:jc w:val="left"/>
        <w:rPr>
          <w:lang w:val="cs-CZ"/>
        </w:rPr>
      </w:pPr>
      <w:r w:rsidRPr="00977D1B">
        <w:rPr>
          <w:rStyle w:val="Znakapoznpodarou"/>
          <w:rFonts w:ascii="Arial" w:hAnsi="Arial" w:cs="Arial"/>
          <w:lang w:val="cs-CZ"/>
        </w:rPr>
        <w:footnoteRef/>
      </w:r>
      <w:r w:rsidRPr="00977D1B">
        <w:rPr>
          <w:rFonts w:ascii="Arial" w:eastAsia="Calibri" w:hAnsi="Arial" w:cs="Arial"/>
          <w:lang w:val="cs-CZ" w:eastAsia="en-US"/>
        </w:rPr>
        <w:t xml:space="preserve"> </w:t>
      </w:r>
      <w:r>
        <w:rPr>
          <w:rFonts w:ascii="Arial" w:eastAsia="Calibri" w:hAnsi="Arial"/>
          <w:lang w:val="cs-CZ" w:eastAsia="en-US"/>
        </w:rPr>
        <w:t xml:space="preserve">Vnitrostátní </w:t>
      </w:r>
      <w:r w:rsidRPr="00977D1B">
        <w:rPr>
          <w:rFonts w:ascii="Arial" w:eastAsia="Calibri" w:hAnsi="Arial"/>
          <w:lang w:val="cs-CZ" w:eastAsia="en-US"/>
        </w:rPr>
        <w:t xml:space="preserve">regulační orgány </w:t>
      </w:r>
      <w:r>
        <w:rPr>
          <w:rFonts w:ascii="Arial" w:eastAsia="Calibri" w:hAnsi="Arial"/>
          <w:lang w:val="cs-CZ" w:eastAsia="en-US"/>
        </w:rPr>
        <w:t xml:space="preserve">by měly vědět, že </w:t>
      </w:r>
      <w:r w:rsidRPr="00977D1B">
        <w:rPr>
          <w:rFonts w:ascii="Arial" w:eastAsia="Calibri" w:hAnsi="Arial"/>
          <w:lang w:val="cs-CZ" w:eastAsia="en-US"/>
        </w:rPr>
        <w:t xml:space="preserve">poskytovatelé internetových služeb </w:t>
      </w:r>
      <w:r>
        <w:rPr>
          <w:rFonts w:ascii="Arial" w:eastAsia="Calibri" w:hAnsi="Arial"/>
          <w:lang w:val="cs-CZ" w:eastAsia="en-US"/>
        </w:rPr>
        <w:t>mají podle jiných předpisů EU rovněž povinnost poskytovat spotřebitelům informace předtím, než se zavážou smlouvou</w:t>
      </w:r>
      <w:r w:rsidRPr="00977D1B">
        <w:rPr>
          <w:rFonts w:ascii="Arial" w:eastAsia="Calibri" w:hAnsi="Arial"/>
          <w:lang w:val="cs-CZ" w:eastAsia="en-US"/>
        </w:rPr>
        <w:t xml:space="preserve">: </w:t>
      </w:r>
      <w:r>
        <w:rPr>
          <w:rFonts w:ascii="Arial" w:eastAsia="Calibri" w:hAnsi="Arial"/>
          <w:lang w:val="cs-CZ" w:eastAsia="en-US"/>
        </w:rPr>
        <w:t xml:space="preserve">směrnice o právech spotřebitelů </w:t>
      </w:r>
      <w:r w:rsidRPr="00977D1B">
        <w:rPr>
          <w:rFonts w:ascii="Arial" w:eastAsia="Calibri" w:hAnsi="Arial"/>
          <w:lang w:val="cs-CZ" w:eastAsia="en-US"/>
        </w:rPr>
        <w:t>(</w:t>
      </w:r>
      <w:hyperlink r:id="rId7" w:history="1">
        <w:r w:rsidRPr="00977D1B">
          <w:rPr>
            <w:rStyle w:val="Hypertextovodkaz"/>
            <w:rFonts w:ascii="Arial" w:eastAsia="Calibri" w:hAnsi="Arial"/>
            <w:lang w:val="cs-CZ" w:eastAsia="en-US"/>
          </w:rPr>
          <w:t>http://eur-lex.europa.eu/legal-content/EN/TXT/PDF/?uri=CELEX:32011L0083&amp;rid=1</w:t>
        </w:r>
      </w:hyperlink>
      <w:r w:rsidRPr="00977D1B">
        <w:rPr>
          <w:rFonts w:ascii="Arial" w:eastAsia="Calibri" w:hAnsi="Arial"/>
          <w:lang w:val="cs-CZ" w:eastAsia="en-US"/>
        </w:rPr>
        <w:t xml:space="preserve">), </w:t>
      </w:r>
      <w:r w:rsidRPr="00977D1B">
        <w:rPr>
          <w:rFonts w:ascii="Arial" w:eastAsia="Calibri" w:hAnsi="Arial"/>
          <w:lang w:val="cs-CZ" w:eastAsia="en-US"/>
        </w:rPr>
        <w:br/>
      </w:r>
      <w:r>
        <w:rPr>
          <w:rFonts w:ascii="Arial" w:eastAsia="Calibri" w:hAnsi="Arial"/>
          <w:lang w:val="cs-CZ" w:eastAsia="en-US"/>
        </w:rPr>
        <w:t xml:space="preserve">směrnice o nekalých obchodních praktikách </w:t>
      </w:r>
      <w:r w:rsidRPr="00977D1B">
        <w:rPr>
          <w:rFonts w:ascii="Arial" w:eastAsia="Calibri" w:hAnsi="Arial"/>
          <w:lang w:val="cs-CZ" w:eastAsia="en-US"/>
        </w:rPr>
        <w:br/>
        <w:t>(</w:t>
      </w:r>
      <w:hyperlink r:id="rId8" w:history="1">
        <w:r w:rsidRPr="00977D1B">
          <w:rPr>
            <w:rStyle w:val="Hypertextovodkaz"/>
            <w:rFonts w:ascii="Arial" w:eastAsia="Calibri" w:hAnsi="Arial"/>
            <w:lang w:val="cs-CZ" w:eastAsia="en-US"/>
          </w:rPr>
          <w:t>http://eur-lex.europa.eu/LexUriServ/LexUriServ.do?uri=OJ:L:2005:149:0022:0039:EN:PDF</w:t>
        </w:r>
      </w:hyperlink>
      <w:r w:rsidRPr="00977D1B">
        <w:rPr>
          <w:rFonts w:ascii="Arial" w:eastAsia="Calibri" w:hAnsi="Arial"/>
          <w:lang w:val="cs-CZ" w:eastAsia="en-US"/>
        </w:rPr>
        <w:t xml:space="preserve">) </w:t>
      </w:r>
      <w:r w:rsidRPr="00977D1B">
        <w:rPr>
          <w:rFonts w:ascii="Arial" w:eastAsia="Calibri" w:hAnsi="Arial"/>
          <w:lang w:val="cs-CZ" w:eastAsia="en-US"/>
        </w:rPr>
        <w:br/>
        <w:t>a</w:t>
      </w:r>
      <w:r>
        <w:rPr>
          <w:rFonts w:ascii="Arial" w:eastAsia="Calibri" w:hAnsi="Arial"/>
          <w:lang w:val="cs-CZ" w:eastAsia="en-US"/>
        </w:rPr>
        <w:t xml:space="preserve"> směrnice o elektronickém obchodě (</w:t>
      </w:r>
      <w:r w:rsidRPr="00977D1B">
        <w:rPr>
          <w:rFonts w:ascii="Arial" w:eastAsia="Calibri" w:hAnsi="Arial"/>
          <w:lang w:val="cs-CZ" w:eastAsia="en-US"/>
        </w:rPr>
        <w:t>e-Commerce</w:t>
      </w:r>
      <w:r>
        <w:rPr>
          <w:rFonts w:ascii="Arial" w:eastAsia="Calibri" w:hAnsi="Arial"/>
          <w:lang w:val="cs-CZ" w:eastAsia="en-US"/>
        </w:rPr>
        <w:t>)</w:t>
      </w:r>
      <w:r w:rsidRPr="00977D1B">
        <w:rPr>
          <w:rFonts w:ascii="Arial" w:eastAsia="Calibri" w:hAnsi="Arial"/>
          <w:lang w:val="cs-CZ" w:eastAsia="en-US"/>
        </w:rPr>
        <w:t xml:space="preserve"> </w:t>
      </w:r>
      <w:r w:rsidRPr="00977D1B">
        <w:rPr>
          <w:rFonts w:ascii="Arial" w:eastAsia="Calibri" w:hAnsi="Arial"/>
          <w:lang w:val="cs-CZ" w:eastAsia="en-US"/>
        </w:rPr>
        <w:br/>
        <w:t>(</w:t>
      </w:r>
      <w:hyperlink r:id="rId9" w:history="1">
        <w:r w:rsidRPr="00977D1B">
          <w:rPr>
            <w:rStyle w:val="Hypertextovodkaz"/>
            <w:rFonts w:ascii="Arial" w:eastAsia="Calibri" w:hAnsi="Arial"/>
            <w:lang w:val="cs-CZ" w:eastAsia="en-US"/>
          </w:rPr>
          <w:t>http://eur-lex.europa.eu/legal-content/EN/TXT/PDF/?uri=CELEX:32000L0031&amp;from=EN</w:t>
        </w:r>
      </w:hyperlink>
      <w:r w:rsidRPr="00977D1B">
        <w:rPr>
          <w:rFonts w:ascii="Arial" w:eastAsia="Calibri" w:hAnsi="Arial"/>
          <w:lang w:val="cs-CZ" w:eastAsia="en-US"/>
        </w:rPr>
        <w:t xml:space="preserve">) </w:t>
      </w:r>
    </w:p>
  </w:footnote>
  <w:footnote w:id="31">
    <w:p w:rsidR="00210144" w:rsidRPr="00977D1B" w:rsidRDefault="00210144" w:rsidP="002E65F4">
      <w:pPr>
        <w:pStyle w:val="Textpoznpodarou"/>
        <w:jc w:val="left"/>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lang w:val="cs-CZ"/>
        </w:rPr>
        <w:t xml:space="preserve">Pokyny sdružení </w:t>
      </w:r>
      <w:r w:rsidRPr="00977D1B">
        <w:rPr>
          <w:rFonts w:ascii="Arial" w:hAnsi="Arial" w:cs="Arial"/>
          <w:lang w:val="cs-CZ"/>
        </w:rPr>
        <w:t xml:space="preserve">BEREC </w:t>
      </w:r>
      <w:r>
        <w:rPr>
          <w:rFonts w:ascii="Arial" w:hAnsi="Arial" w:cs="Arial"/>
          <w:lang w:val="cs-CZ"/>
        </w:rPr>
        <w:t>o transparentnosti v rozsahu síťové n</w:t>
      </w:r>
      <w:r w:rsidRPr="00977D1B">
        <w:rPr>
          <w:rFonts w:ascii="Arial" w:hAnsi="Arial" w:cs="Arial"/>
          <w:lang w:val="cs-CZ"/>
        </w:rPr>
        <w:t xml:space="preserve">eutrality, BoR (11) 67), </w:t>
      </w:r>
      <w:hyperlink r:id="rId10" w:history="1">
        <w:r w:rsidRPr="00977D1B">
          <w:rPr>
            <w:rStyle w:val="Hypertextovodkaz"/>
            <w:rFonts w:ascii="Arial" w:hAnsi="Arial" w:cs="Arial"/>
            <w:lang w:val="cs-CZ"/>
          </w:rPr>
          <w:t>http://berec.europa.eu/doc/berec/bor/bor11_67_transparencyguide.pdf</w:t>
        </w:r>
      </w:hyperlink>
      <w:r w:rsidRPr="00977D1B">
        <w:rPr>
          <w:rFonts w:ascii="Arial" w:hAnsi="Arial" w:cs="Arial"/>
          <w:lang w:val="cs-CZ"/>
        </w:rPr>
        <w:t xml:space="preserve"> </w:t>
      </w:r>
    </w:p>
  </w:footnote>
  <w:footnote w:id="32">
    <w:p w:rsidR="00210144" w:rsidRPr="00977D1B" w:rsidRDefault="00210144" w:rsidP="002E65F4">
      <w:pPr>
        <w:pStyle w:val="Textpoznpodarou"/>
        <w:jc w:val="left"/>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lang w:val="cs-CZ"/>
        </w:rPr>
        <w:t>Viz přílohu</w:t>
      </w:r>
      <w:r w:rsidRPr="00977D1B">
        <w:rPr>
          <w:rFonts w:ascii="Arial" w:hAnsi="Arial" w:cs="Arial"/>
          <w:lang w:val="cs-CZ"/>
        </w:rPr>
        <w:t xml:space="preserve">, </w:t>
      </w:r>
      <w:r>
        <w:rPr>
          <w:rFonts w:ascii="Arial" w:hAnsi="Arial" w:cs="Arial"/>
          <w:lang w:val="cs-CZ"/>
        </w:rPr>
        <w:t xml:space="preserve">odstavec </w:t>
      </w:r>
      <w:r w:rsidRPr="00977D1B">
        <w:rPr>
          <w:rFonts w:ascii="Arial" w:hAnsi="Arial" w:cs="Arial"/>
          <w:lang w:val="cs-CZ"/>
        </w:rPr>
        <w:t>1</w:t>
      </w:r>
      <w:r>
        <w:rPr>
          <w:rFonts w:ascii="Arial" w:hAnsi="Arial" w:cs="Arial"/>
          <w:lang w:val="cs-CZ"/>
        </w:rPr>
        <w:t xml:space="preserve"> písm. </w:t>
      </w:r>
      <w:r w:rsidRPr="00977D1B">
        <w:rPr>
          <w:rFonts w:ascii="Arial" w:hAnsi="Arial" w:cs="Arial"/>
          <w:lang w:val="cs-CZ"/>
        </w:rPr>
        <w:t xml:space="preserve">b) </w:t>
      </w:r>
      <w:r>
        <w:rPr>
          <w:rFonts w:ascii="Arial" w:hAnsi="Arial" w:cs="Arial"/>
          <w:lang w:val="cs-CZ"/>
        </w:rPr>
        <w:t xml:space="preserve">směrnice rady č. </w:t>
      </w:r>
      <w:r w:rsidRPr="00977D1B">
        <w:rPr>
          <w:rFonts w:ascii="Arial" w:hAnsi="Arial" w:cs="Arial"/>
          <w:lang w:val="cs-CZ"/>
        </w:rPr>
        <w:t>93/13/E</w:t>
      </w:r>
      <w:r>
        <w:rPr>
          <w:rFonts w:ascii="Arial" w:hAnsi="Arial" w:cs="Arial"/>
          <w:lang w:val="cs-CZ"/>
        </w:rPr>
        <w:t xml:space="preserve">HS </w:t>
      </w:r>
      <w:r w:rsidRPr="00E014B8">
        <w:rPr>
          <w:rFonts w:ascii="Arial" w:hAnsi="Arial" w:cs="Arial"/>
          <w:szCs w:val="18"/>
          <w:lang w:val="cs-CZ"/>
        </w:rPr>
        <w:t>o nepřiměřených podmínkách ve spotřebitelských smlouvách</w:t>
      </w:r>
      <w:r w:rsidRPr="00977D1B">
        <w:rPr>
          <w:rFonts w:ascii="Arial" w:hAnsi="Arial" w:cs="Arial"/>
          <w:lang w:val="cs-CZ"/>
        </w:rPr>
        <w:t>, (</w:t>
      </w:r>
      <w:hyperlink r:id="rId11" w:history="1">
        <w:r w:rsidRPr="00977D1B">
          <w:rPr>
            <w:rStyle w:val="Hypertextovodkaz"/>
            <w:rFonts w:ascii="Arial" w:hAnsi="Arial" w:cs="Arial"/>
            <w:lang w:val="cs-CZ"/>
          </w:rPr>
          <w:t>http://eur-lex.europa.eu/LexUriServ/LexUriServ.do?uri=CELEX:31993L0013:en:HTML</w:t>
        </w:r>
      </w:hyperlink>
      <w:r w:rsidRPr="00977D1B">
        <w:rPr>
          <w:rFonts w:ascii="Arial" w:hAnsi="Arial" w:cs="Arial"/>
          <w:lang w:val="cs-CZ"/>
        </w:rPr>
        <w:t>)</w:t>
      </w:r>
      <w:r>
        <w:rPr>
          <w:rFonts w:ascii="Arial" w:hAnsi="Arial" w:cs="Arial"/>
          <w:lang w:val="cs-CZ"/>
        </w:rPr>
        <w:t>. Vnitrostátní</w:t>
      </w:r>
      <w:r w:rsidRPr="00977D1B">
        <w:rPr>
          <w:rFonts w:ascii="Arial" w:hAnsi="Arial" w:cs="Arial"/>
          <w:lang w:val="cs-CZ"/>
        </w:rPr>
        <w:t xml:space="preserve"> regulační orgány </w:t>
      </w:r>
      <w:r>
        <w:rPr>
          <w:rFonts w:ascii="Arial" w:hAnsi="Arial" w:cs="Arial"/>
          <w:lang w:val="cs-CZ"/>
        </w:rPr>
        <w:t>mohou nebo nemusí být zmocněny ke sledování plnění uvedené směrnice</w:t>
      </w:r>
      <w:r w:rsidRPr="00977D1B">
        <w:rPr>
          <w:rFonts w:ascii="Arial" w:hAnsi="Arial" w:cs="Arial"/>
          <w:lang w:val="cs-CZ"/>
        </w:rPr>
        <w:t>.</w:t>
      </w:r>
    </w:p>
  </w:footnote>
  <w:footnote w:id="33">
    <w:p w:rsidR="00210144" w:rsidRPr="00977D1B" w:rsidRDefault="00210144">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lang w:val="cs-CZ"/>
        </w:rPr>
        <w:t xml:space="preserve">Směrnice o univerzální službě </w:t>
      </w:r>
      <w:r w:rsidRPr="00977D1B">
        <w:rPr>
          <w:rFonts w:ascii="Arial" w:hAnsi="Arial" w:cs="Arial"/>
          <w:lang w:val="cs-CZ"/>
        </w:rPr>
        <w:t>(</w:t>
      </w:r>
      <w:r>
        <w:rPr>
          <w:rFonts w:ascii="Arial" w:hAnsi="Arial" w:cs="Arial"/>
          <w:lang w:val="cs-CZ"/>
        </w:rPr>
        <w:t xml:space="preserve">směrnice č. </w:t>
      </w:r>
      <w:r w:rsidRPr="00977D1B">
        <w:rPr>
          <w:rFonts w:ascii="Arial" w:hAnsi="Arial" w:cs="Arial"/>
          <w:lang w:val="cs-CZ"/>
        </w:rPr>
        <w:t>2002/22</w:t>
      </w:r>
      <w:r>
        <w:rPr>
          <w:rFonts w:ascii="Arial" w:hAnsi="Arial" w:cs="Arial"/>
          <w:lang w:val="cs-CZ"/>
        </w:rPr>
        <w:t>/ES</w:t>
      </w:r>
      <w:r w:rsidRPr="00977D1B">
        <w:rPr>
          <w:rFonts w:ascii="Arial" w:hAnsi="Arial" w:cs="Arial"/>
          <w:lang w:val="cs-CZ"/>
        </w:rPr>
        <w:t xml:space="preserve">, </w:t>
      </w:r>
      <w:r>
        <w:rPr>
          <w:rFonts w:ascii="Arial" w:hAnsi="Arial" w:cs="Arial"/>
          <w:lang w:val="cs-CZ"/>
        </w:rPr>
        <w:t xml:space="preserve">čl. </w:t>
      </w:r>
      <w:r w:rsidRPr="00977D1B">
        <w:rPr>
          <w:rFonts w:ascii="Arial" w:hAnsi="Arial" w:cs="Arial"/>
          <w:lang w:val="cs-CZ"/>
        </w:rPr>
        <w:t>20</w:t>
      </w:r>
      <w:r>
        <w:rPr>
          <w:rFonts w:ascii="Arial" w:hAnsi="Arial" w:cs="Arial"/>
          <w:lang w:val="cs-CZ"/>
        </w:rPr>
        <w:t xml:space="preserve"> odst. </w:t>
      </w:r>
      <w:r w:rsidRPr="00977D1B">
        <w:rPr>
          <w:rFonts w:ascii="Arial" w:hAnsi="Arial" w:cs="Arial"/>
          <w:lang w:val="cs-CZ"/>
        </w:rPr>
        <w:t>1</w:t>
      </w:r>
      <w:r>
        <w:rPr>
          <w:rFonts w:ascii="Arial" w:hAnsi="Arial" w:cs="Arial"/>
          <w:lang w:val="cs-CZ"/>
        </w:rPr>
        <w:t xml:space="preserve"> písm. b), 2. a </w:t>
      </w:r>
      <w:r w:rsidRPr="00977D1B">
        <w:rPr>
          <w:rFonts w:ascii="Arial" w:hAnsi="Arial" w:cs="Arial"/>
          <w:lang w:val="cs-CZ"/>
        </w:rPr>
        <w:t xml:space="preserve"> 4</w:t>
      </w:r>
      <w:r>
        <w:rPr>
          <w:rFonts w:ascii="Arial" w:hAnsi="Arial" w:cs="Arial"/>
          <w:lang w:val="cs-CZ"/>
        </w:rPr>
        <w:t>.</w:t>
      </w:r>
      <w:r w:rsidRPr="00977D1B">
        <w:rPr>
          <w:rFonts w:ascii="Arial" w:hAnsi="Arial" w:cs="Arial"/>
          <w:lang w:val="cs-CZ"/>
        </w:rPr>
        <w:t xml:space="preserve"> </w:t>
      </w:r>
      <w:r>
        <w:rPr>
          <w:rFonts w:ascii="Arial" w:hAnsi="Arial" w:cs="Arial"/>
          <w:lang w:val="cs-CZ"/>
        </w:rPr>
        <w:t>odrážka</w:t>
      </w:r>
      <w:r w:rsidRPr="00977D1B">
        <w:rPr>
          <w:rFonts w:ascii="Arial" w:hAnsi="Arial" w:cs="Arial"/>
          <w:lang w:val="cs-CZ"/>
        </w:rPr>
        <w:t xml:space="preserve">) </w:t>
      </w:r>
      <w:r>
        <w:rPr>
          <w:rFonts w:ascii="Arial" w:hAnsi="Arial" w:cs="Arial"/>
          <w:lang w:val="cs-CZ"/>
        </w:rPr>
        <w:t>může rovněž vyžadovat, aby tyto informace byly uvedeny ve smlouvách</w:t>
      </w:r>
      <w:r w:rsidRPr="00977D1B">
        <w:rPr>
          <w:rFonts w:ascii="Arial" w:hAnsi="Arial" w:cs="Arial"/>
          <w:lang w:val="cs-CZ"/>
        </w:rPr>
        <w:t xml:space="preserve">. </w:t>
      </w:r>
      <w:r>
        <w:rPr>
          <w:rFonts w:ascii="Arial" w:hAnsi="Arial" w:cs="Arial"/>
          <w:lang w:val="cs-CZ"/>
        </w:rPr>
        <w:t xml:space="preserve">Čl. </w:t>
      </w:r>
      <w:r w:rsidRPr="00977D1B">
        <w:rPr>
          <w:rFonts w:ascii="Arial" w:hAnsi="Arial" w:cs="Arial"/>
          <w:lang w:val="cs-CZ"/>
        </w:rPr>
        <w:t>20</w:t>
      </w:r>
      <w:r>
        <w:rPr>
          <w:rFonts w:ascii="Arial" w:hAnsi="Arial" w:cs="Arial"/>
          <w:lang w:val="cs-CZ"/>
        </w:rPr>
        <w:t xml:space="preserve"> odst. </w:t>
      </w:r>
      <w:r w:rsidRPr="00977D1B">
        <w:rPr>
          <w:rFonts w:ascii="Arial" w:hAnsi="Arial" w:cs="Arial"/>
          <w:lang w:val="cs-CZ"/>
        </w:rPr>
        <w:t>1</w:t>
      </w:r>
      <w:r>
        <w:rPr>
          <w:rFonts w:ascii="Arial" w:hAnsi="Arial" w:cs="Arial"/>
          <w:lang w:val="cs-CZ"/>
        </w:rPr>
        <w:t xml:space="preserve"> písm. b), 2. odrážka</w:t>
      </w:r>
      <w:r w:rsidRPr="00977D1B">
        <w:rPr>
          <w:rFonts w:ascii="Arial" w:hAnsi="Arial" w:cs="Arial"/>
          <w:lang w:val="cs-CZ"/>
        </w:rPr>
        <w:t xml:space="preserve"> </w:t>
      </w:r>
      <w:r>
        <w:rPr>
          <w:rFonts w:ascii="Arial" w:hAnsi="Arial" w:cs="Arial"/>
          <w:lang w:val="cs-CZ"/>
        </w:rPr>
        <w:t xml:space="preserve">požaduje, aby ve smlouvách byly uvedeny informace o podmínkách omezujících přístup k službám a aplikacím </w:t>
      </w:r>
      <w:r w:rsidRPr="00977D1B">
        <w:rPr>
          <w:rFonts w:ascii="Arial" w:hAnsi="Arial" w:cs="Arial"/>
          <w:lang w:val="cs-CZ"/>
        </w:rPr>
        <w:t xml:space="preserve">a/nebo </w:t>
      </w:r>
      <w:r>
        <w:rPr>
          <w:rFonts w:ascii="Arial" w:hAnsi="Arial" w:cs="Arial"/>
          <w:lang w:val="cs-CZ"/>
        </w:rPr>
        <w:t>jejich používání</w:t>
      </w:r>
      <w:r w:rsidRPr="00977D1B">
        <w:rPr>
          <w:rFonts w:ascii="Arial" w:hAnsi="Arial" w:cs="Arial"/>
          <w:lang w:val="cs-CZ"/>
        </w:rPr>
        <w:t xml:space="preserve">, </w:t>
      </w:r>
      <w:r>
        <w:rPr>
          <w:rFonts w:ascii="Arial" w:hAnsi="Arial" w:cs="Arial"/>
          <w:lang w:val="cs-CZ"/>
        </w:rPr>
        <w:t xml:space="preserve">pokud tyto podmínky jsou povoleny podle vnitrostátního práva v souladu s právem Společenství. </w:t>
      </w:r>
    </w:p>
  </w:footnote>
  <w:footnote w:id="34">
    <w:p w:rsidR="00210144" w:rsidRPr="00977D1B" w:rsidRDefault="00210144">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szCs w:val="22"/>
          <w:lang w:val="cs-CZ"/>
        </w:rPr>
        <w:t xml:space="preserve">Vnitrostátním regulačním orgánem, jak je uvedeno </w:t>
      </w:r>
      <w:r>
        <w:rPr>
          <w:rFonts w:ascii="Arial" w:hAnsi="Arial" w:cs="Arial"/>
          <w:szCs w:val="22"/>
          <w:lang w:val="cs-CZ" w:eastAsia="de-DE"/>
        </w:rPr>
        <w:t>v článku</w:t>
      </w:r>
      <w:r w:rsidRPr="00977D1B">
        <w:rPr>
          <w:rFonts w:ascii="Arial" w:hAnsi="Arial" w:cs="Arial"/>
          <w:szCs w:val="22"/>
          <w:lang w:val="cs-CZ" w:eastAsia="de-DE"/>
        </w:rPr>
        <w:t xml:space="preserve"> 2</w:t>
      </w:r>
      <w:r>
        <w:rPr>
          <w:rFonts w:ascii="Arial" w:hAnsi="Arial" w:cs="Arial"/>
          <w:szCs w:val="22"/>
          <w:lang w:val="cs-CZ" w:eastAsia="de-DE"/>
        </w:rPr>
        <w:t xml:space="preserve"> písm. </w:t>
      </w:r>
      <w:r w:rsidRPr="00977D1B">
        <w:rPr>
          <w:rFonts w:ascii="Arial" w:hAnsi="Arial" w:cs="Arial"/>
          <w:szCs w:val="22"/>
          <w:lang w:val="cs-CZ" w:eastAsia="de-DE"/>
        </w:rPr>
        <w:t xml:space="preserve">g) </w:t>
      </w:r>
      <w:r>
        <w:rPr>
          <w:rFonts w:ascii="Arial" w:hAnsi="Arial" w:cs="Arial"/>
          <w:szCs w:val="22"/>
          <w:lang w:val="cs-CZ" w:eastAsia="de-DE"/>
        </w:rPr>
        <w:t xml:space="preserve">rámcové směrnice, </w:t>
      </w:r>
      <w:r w:rsidRPr="00B329F7">
        <w:rPr>
          <w:rFonts w:ascii="Arial" w:hAnsi="Arial" w:cs="Arial"/>
          <w:lang w:val="cs-CZ" w:eastAsia="de-DE"/>
        </w:rPr>
        <w:t xml:space="preserve">se </w:t>
      </w:r>
      <w:r w:rsidRPr="00B329F7">
        <w:rPr>
          <w:rFonts w:ascii="Arial" w:hAnsi="Arial" w:cs="Arial"/>
          <w:lang w:val="cs-CZ"/>
        </w:rPr>
        <w:t>rozumí subjekt nebo subjekty, které pověřuje členský stát jakýmikoli regulačními úkoly</w:t>
      </w:r>
      <w:r w:rsidRPr="004E4F9E">
        <w:rPr>
          <w:rFonts w:ascii="Lucida Sans Unicode" w:hAnsi="Lucida Sans Unicode" w:cs="Lucida Sans Unicode"/>
          <w:color w:val="444444"/>
          <w:sz w:val="19"/>
          <w:szCs w:val="19"/>
          <w:lang w:val="cs-CZ"/>
        </w:rPr>
        <w:t xml:space="preserve"> </w:t>
      </w:r>
      <w:r>
        <w:rPr>
          <w:rFonts w:ascii="Arial" w:hAnsi="Arial" w:cs="Arial"/>
          <w:szCs w:val="22"/>
          <w:lang w:val="cs-CZ" w:eastAsia="de-DE"/>
        </w:rPr>
        <w:t>uloženými v rámci pro elektronické komunikace</w:t>
      </w:r>
    </w:p>
  </w:footnote>
  <w:footnote w:id="35">
    <w:p w:rsidR="00210144" w:rsidRPr="00977D1B" w:rsidRDefault="00210144" w:rsidP="003C56C4">
      <w:pPr>
        <w:pStyle w:val="Textpoznpodarou"/>
        <w:jc w:val="left"/>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Viz kapitolu 4.8 </w:t>
      </w:r>
      <w:r>
        <w:rPr>
          <w:rFonts w:ascii="Arial" w:hAnsi="Arial" w:cs="Arial"/>
          <w:i/>
          <w:lang w:val="cs-CZ"/>
        </w:rPr>
        <w:t xml:space="preserve">Závěry a doporučení </w:t>
      </w:r>
      <w:r w:rsidRPr="00D45ED6">
        <w:rPr>
          <w:rFonts w:ascii="Arial" w:hAnsi="Arial" w:cs="Arial"/>
          <w:lang w:val="cs-CZ"/>
        </w:rPr>
        <w:t>dokumentu</w:t>
      </w:r>
      <w:r>
        <w:rPr>
          <w:rFonts w:ascii="Arial" w:hAnsi="Arial" w:cs="Arial"/>
          <w:i/>
          <w:lang w:val="cs-CZ"/>
        </w:rPr>
        <w:t xml:space="preserve"> </w:t>
      </w:r>
      <w:r w:rsidRPr="00977D1B">
        <w:rPr>
          <w:rFonts w:ascii="Arial" w:hAnsi="Arial" w:cs="Arial"/>
          <w:lang w:val="cs-CZ"/>
        </w:rPr>
        <w:t xml:space="preserve">BoR (14) 117 </w:t>
      </w:r>
      <w:r>
        <w:rPr>
          <w:rFonts w:ascii="Arial" w:hAnsi="Arial" w:cs="Arial"/>
          <w:lang w:val="cs-CZ"/>
        </w:rPr>
        <w:t xml:space="preserve">„Sledování kvality služeb přístupu k internetu v kontextu síťové </w:t>
      </w:r>
      <w:r w:rsidRPr="00977D1B">
        <w:rPr>
          <w:rFonts w:ascii="Arial" w:hAnsi="Arial" w:cs="Arial"/>
          <w:lang w:val="cs-CZ"/>
        </w:rPr>
        <w:t>neutrality</w:t>
      </w:r>
      <w:r>
        <w:rPr>
          <w:rFonts w:ascii="Arial" w:hAnsi="Arial" w:cs="Arial"/>
          <w:lang w:val="cs-CZ"/>
        </w:rPr>
        <w:t>“</w:t>
      </w:r>
    </w:p>
  </w:footnote>
  <w:footnote w:id="36">
    <w:p w:rsidR="00210144" w:rsidRPr="00977D1B" w:rsidRDefault="00210144" w:rsidP="003C56C4">
      <w:pPr>
        <w:pStyle w:val="Textpoznpodarou"/>
        <w:jc w:val="left"/>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BoR (11) 53, </w:t>
      </w:r>
      <w:hyperlink r:id="rId12" w:history="1">
        <w:r w:rsidRPr="00977D1B">
          <w:rPr>
            <w:rStyle w:val="Hypertextovodkaz"/>
            <w:rFonts w:ascii="Arial" w:hAnsi="Arial" w:cs="Arial"/>
            <w:lang w:val="cs-CZ"/>
          </w:rPr>
          <w:t>http://berec.europa.eu/eng/document_register/subject_matter/berec/reports/117-a-framework-for-quality-of-srvice-in-the-scope-of-net-neutrality</w:t>
        </w:r>
      </w:hyperlink>
    </w:p>
  </w:footnote>
  <w:footnote w:id="37">
    <w:p w:rsidR="00210144" w:rsidRPr="00977D1B" w:rsidRDefault="00210144" w:rsidP="003C56C4">
      <w:pPr>
        <w:pStyle w:val="Textpoznpodarou"/>
        <w:jc w:val="left"/>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BoR (14) 117, </w:t>
      </w:r>
      <w:hyperlink r:id="rId13" w:history="1">
        <w:r w:rsidRPr="00977D1B">
          <w:rPr>
            <w:rStyle w:val="Hypertextovodkaz"/>
            <w:rFonts w:ascii="Arial" w:hAnsi="Arial" w:cs="Arial"/>
            <w:lang w:val="cs-CZ"/>
          </w:rPr>
          <w:t>http://berec.europa.eu/eng/document_register/subject_matter/berec/reports/4602-monitoring-quality-of-internet-access-services-in-the-context-of-net-neutrality-berec-report</w:t>
        </w:r>
      </w:hyperlink>
    </w:p>
  </w:footnote>
  <w:footnote w:id="38">
    <w:p w:rsidR="00210144" w:rsidRPr="00977D1B" w:rsidRDefault="00210144" w:rsidP="003C56C4">
      <w:pPr>
        <w:pStyle w:val="Textpoznpodarou"/>
        <w:jc w:val="left"/>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BoR (15) 207, </w:t>
      </w:r>
      <w:hyperlink r:id="rId14" w:history="1">
        <w:r w:rsidRPr="00977D1B">
          <w:rPr>
            <w:rStyle w:val="Hypertextovodkaz"/>
            <w:rFonts w:ascii="Arial" w:hAnsi="Arial" w:cs="Arial"/>
            <w:lang w:val="cs-CZ"/>
          </w:rPr>
          <w:t>http://berec.europa.eu/eng/document_register/subject_matter/berec/reports/5576-feasibility-study-of-quality-monitoring-in-the-context-of-net-neutrality</w:t>
        </w:r>
      </w:hyperlink>
    </w:p>
  </w:footnote>
  <w:footnote w:id="39">
    <w:p w:rsidR="00210144" w:rsidRPr="00977D1B" w:rsidRDefault="00210144" w:rsidP="003C56C4">
      <w:pPr>
        <w:pStyle w:val="Textpoznpodarou"/>
        <w:jc w:val="left"/>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BoR (15) 213, </w:t>
      </w:r>
      <w:r>
        <w:rPr>
          <w:rFonts w:ascii="Arial" w:hAnsi="Arial" w:cs="Arial"/>
          <w:lang w:val="cs-CZ"/>
        </w:rPr>
        <w:t xml:space="preserve">část </w:t>
      </w:r>
      <w:r w:rsidRPr="00977D1B">
        <w:rPr>
          <w:rFonts w:ascii="Arial" w:hAnsi="Arial" w:cs="Arial"/>
          <w:lang w:val="cs-CZ"/>
        </w:rPr>
        <w:t xml:space="preserve">11.2, </w:t>
      </w:r>
      <w:hyperlink r:id="rId15" w:history="1">
        <w:r w:rsidRPr="00977D1B">
          <w:rPr>
            <w:rStyle w:val="Hypertextovodkaz"/>
            <w:rFonts w:ascii="Arial" w:hAnsi="Arial" w:cs="Arial"/>
            <w:lang w:val="cs-CZ"/>
          </w:rPr>
          <w:t>http://berec.europa.eu/eng/document_register/subject_matter/berec/annual_work_programmes/5551-berec-work-programme-2016</w:t>
        </w:r>
      </w:hyperlink>
    </w:p>
  </w:footnote>
  <w:footnote w:id="40">
    <w:p w:rsidR="00210144" w:rsidRPr="00977D1B" w:rsidRDefault="00210144" w:rsidP="006F1BE2">
      <w:pPr>
        <w:pStyle w:val="Textpoznpodarou"/>
        <w:rPr>
          <w:rFonts w:ascii="Arial" w:hAnsi="Arial"/>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lang w:val="cs-CZ"/>
        </w:rPr>
        <w:t>Pohled na řízení provozu</w:t>
      </w:r>
      <w:r w:rsidRPr="00977D1B">
        <w:rPr>
          <w:rFonts w:ascii="Arial" w:hAnsi="Arial" w:cs="Arial"/>
          <w:lang w:val="cs-CZ"/>
        </w:rPr>
        <w:t xml:space="preserve"> a</w:t>
      </w:r>
      <w:r>
        <w:rPr>
          <w:rFonts w:ascii="Arial" w:hAnsi="Arial" w:cs="Arial"/>
          <w:lang w:val="cs-CZ"/>
        </w:rPr>
        <w:t xml:space="preserve"> jiné praktiky mající za následek omezení otevřeného i</w:t>
      </w:r>
      <w:r w:rsidRPr="00977D1B">
        <w:rPr>
          <w:rFonts w:ascii="Arial" w:hAnsi="Arial" w:cs="Arial"/>
          <w:lang w:val="cs-CZ"/>
        </w:rPr>
        <w:t>nternet</w:t>
      </w:r>
      <w:r>
        <w:rPr>
          <w:rFonts w:ascii="Arial" w:hAnsi="Arial" w:cs="Arial"/>
          <w:lang w:val="cs-CZ"/>
        </w:rPr>
        <w:t>u v Evropě</w:t>
      </w:r>
      <w:r w:rsidRPr="00977D1B">
        <w:rPr>
          <w:rFonts w:ascii="Arial" w:hAnsi="Arial"/>
          <w:lang w:val="cs-CZ"/>
        </w:rPr>
        <w:t xml:space="preserve"> (BoR (12) 30) </w:t>
      </w:r>
    </w:p>
    <w:p w:rsidR="00210144" w:rsidRPr="00977D1B" w:rsidRDefault="00210144" w:rsidP="006F1BE2">
      <w:pPr>
        <w:pStyle w:val="Textpoznpodarou"/>
        <w:rPr>
          <w:lang w:val="cs-CZ"/>
        </w:rPr>
      </w:pPr>
      <w:hyperlink r:id="rId16" w:history="1">
        <w:r w:rsidRPr="00977D1B">
          <w:rPr>
            <w:rStyle w:val="Hypertextovodkaz"/>
            <w:rFonts w:ascii="Arial" w:hAnsi="Arial" w:cs="Arial"/>
            <w:lang w:val="cs-CZ"/>
          </w:rPr>
          <w:t>http://berec.europa.eu/eng/document_register/subject_matter/berec/download/0/45-berec-findings-on-traffic-management-pra_0.pdf</w:t>
        </w:r>
      </w:hyperlink>
    </w:p>
  </w:footnote>
  <w:footnote w:id="41">
    <w:p w:rsidR="00210144" w:rsidRPr="00977D1B" w:rsidRDefault="00210144" w:rsidP="00757F43">
      <w:pPr>
        <w:pStyle w:val="Textpoznpodarou"/>
        <w:rPr>
          <w:lang w:val="cs-CZ"/>
        </w:rPr>
      </w:pPr>
      <w:r w:rsidRPr="00977D1B">
        <w:rPr>
          <w:rStyle w:val="Znakapoznpodarou"/>
          <w:rFonts w:ascii="Arial" w:hAnsi="Arial" w:cs="Arial"/>
          <w:lang w:val="cs-CZ"/>
        </w:rPr>
        <w:footnoteRef/>
      </w:r>
      <w:r w:rsidRPr="00977D1B">
        <w:rPr>
          <w:rFonts w:ascii="Arial" w:hAnsi="Arial" w:cs="Arial"/>
          <w:lang w:val="cs-CZ"/>
        </w:rPr>
        <w:t xml:space="preserve"> </w:t>
      </w:r>
      <w:r>
        <w:rPr>
          <w:rFonts w:ascii="Arial" w:hAnsi="Arial" w:cs="Arial"/>
          <w:lang w:val="cs-CZ"/>
        </w:rPr>
        <w:t>Na trhu je k dispozici celá řada nástrojů.</w:t>
      </w:r>
    </w:p>
  </w:footnote>
  <w:footnote w:id="42">
    <w:p w:rsidR="00210144" w:rsidRPr="00977D1B" w:rsidRDefault="00210144" w:rsidP="007E0001">
      <w:pPr>
        <w:pStyle w:val="Textpoznpodarou"/>
        <w:rPr>
          <w:rFonts w:ascii="Arial" w:hAnsi="Arial" w:cs="Arial"/>
          <w:lang w:val="cs-CZ"/>
        </w:rPr>
      </w:pPr>
      <w:r w:rsidRPr="00977D1B">
        <w:rPr>
          <w:rStyle w:val="Znakapoznpodarou"/>
          <w:rFonts w:ascii="Arial" w:hAnsi="Arial" w:cs="Arial"/>
          <w:lang w:val="cs-CZ"/>
        </w:rPr>
        <w:footnoteRef/>
      </w:r>
      <w:r w:rsidRPr="00977D1B">
        <w:rPr>
          <w:rFonts w:ascii="Arial" w:hAnsi="Arial" w:cs="Arial"/>
          <w:lang w:val="cs-CZ"/>
        </w:rPr>
        <w:t xml:space="preserve"> Viz </w:t>
      </w:r>
      <w:r>
        <w:rPr>
          <w:rFonts w:ascii="Arial" w:hAnsi="Arial" w:cs="Arial"/>
          <w:lang w:val="cs-CZ"/>
        </w:rPr>
        <w:t>bod</w:t>
      </w:r>
      <w:r w:rsidRPr="00977D1B">
        <w:rPr>
          <w:rFonts w:ascii="Arial" w:hAnsi="Arial" w:cs="Arial"/>
          <w:lang w:val="cs-CZ"/>
        </w:rPr>
        <w:t xml:space="preserve"> </w:t>
      </w:r>
      <w:r w:rsidRPr="00977D1B">
        <w:rPr>
          <w:rFonts w:ascii="Arial" w:hAnsi="Arial" w:cs="Arial"/>
          <w:lang w:val="cs-CZ"/>
        </w:rPr>
        <w:fldChar w:fldCharType="begin"/>
      </w:r>
      <w:r w:rsidRPr="00977D1B">
        <w:rPr>
          <w:rFonts w:ascii="Arial" w:hAnsi="Arial" w:cs="Arial"/>
          <w:lang w:val="cs-CZ"/>
        </w:rPr>
        <w:instrText xml:space="preserve"> REF _Ref451442773 \r \h </w:instrText>
      </w:r>
      <w:r w:rsidRPr="00977D1B">
        <w:rPr>
          <w:rFonts w:ascii="Arial" w:hAnsi="Arial" w:cs="Arial"/>
          <w:lang w:val="cs-CZ"/>
        </w:rPr>
      </w:r>
      <w:r w:rsidRPr="00977D1B">
        <w:rPr>
          <w:rFonts w:ascii="Arial" w:hAnsi="Arial" w:cs="Arial"/>
          <w:lang w:val="cs-CZ"/>
        </w:rPr>
        <w:fldChar w:fldCharType="separate"/>
      </w:r>
      <w:r>
        <w:rPr>
          <w:rFonts w:ascii="Arial" w:hAnsi="Arial" w:cs="Arial"/>
          <w:lang w:val="cs-CZ"/>
        </w:rPr>
        <w:t>134</w:t>
      </w:r>
      <w:r w:rsidRPr="00977D1B">
        <w:rPr>
          <w:rFonts w:ascii="Arial" w:hAnsi="Arial" w:cs="Arial"/>
          <w:lang w:val="cs-CZ"/>
        </w:rPr>
        <w:fldChar w:fldCharType="end"/>
      </w:r>
      <w:r w:rsidRPr="00977D1B">
        <w:rPr>
          <w:rFonts w:ascii="Arial" w:hAnsi="Arial" w:cs="Arial"/>
          <w:lang w:val="cs-CZ"/>
        </w:rPr>
        <w:t xml:space="preserve"> těchto Pokynů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44" w:rsidRPr="00D77CAC" w:rsidRDefault="00210144" w:rsidP="000C5D86">
    <w:pPr>
      <w:pStyle w:val="Zhlav"/>
      <w:jc w:val="right"/>
      <w:rPr>
        <w:sz w:val="24"/>
        <w:szCs w:val="24"/>
        <w:lang w:val="nb-NO"/>
      </w:rPr>
    </w:pPr>
    <w:r>
      <w:rPr>
        <w:sz w:val="24"/>
        <w:szCs w:val="24"/>
        <w:lang w:val="nb-NO"/>
      </w:rPr>
      <w:t>BoR (16) 127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44" w:rsidRDefault="00210144" w:rsidP="0036209F">
    <w:pPr>
      <w:pStyle w:val="Zhlav"/>
      <w:jc w:val="right"/>
    </w:pPr>
    <w:r>
      <w:rPr>
        <w:noProof/>
        <w:lang w:val="cs-CZ" w:eastAsia="cs-CZ"/>
      </w:rPr>
      <w:drawing>
        <wp:anchor distT="0" distB="0" distL="114300" distR="114300" simplePos="0" relativeHeight="251659264" behindDoc="0" locked="0" layoutInCell="1" allowOverlap="1" wp14:anchorId="5432EB70" wp14:editId="407F0739">
          <wp:simplePos x="0" y="0"/>
          <wp:positionH relativeFrom="column">
            <wp:posOffset>-343535</wp:posOffset>
          </wp:positionH>
          <wp:positionV relativeFrom="paragraph">
            <wp:posOffset>-241935</wp:posOffset>
          </wp:positionV>
          <wp:extent cx="2430145" cy="849630"/>
          <wp:effectExtent l="0" t="0" r="8255" b="762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145" cy="849630"/>
                  </a:xfrm>
                  <a:prstGeom prst="rect">
                    <a:avLst/>
                  </a:prstGeom>
                  <a:noFill/>
                </pic:spPr>
              </pic:pic>
            </a:graphicData>
          </a:graphic>
        </wp:anchor>
      </w:drawing>
    </w:r>
    <w:r>
      <w:rPr>
        <w:rFonts w:cs="Arial"/>
        <w:color w:val="18276E"/>
        <w:sz w:val="28"/>
        <w:szCs w:val="28"/>
      </w:rPr>
      <w:t>BoR (16) 127</w:t>
    </w:r>
  </w:p>
  <w:p w:rsidR="00210144" w:rsidRPr="0036209F" w:rsidRDefault="00210144" w:rsidP="003620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8F3"/>
    <w:multiLevelType w:val="hybridMultilevel"/>
    <w:tmpl w:val="914802FC"/>
    <w:lvl w:ilvl="0" w:tplc="0809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02ABC"/>
    <w:multiLevelType w:val="hybridMultilevel"/>
    <w:tmpl w:val="FA1EFB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4D45A62"/>
    <w:multiLevelType w:val="hybridMultilevel"/>
    <w:tmpl w:val="50E0342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 w15:restartNumberingAfterBreak="0">
    <w:nsid w:val="0FA553CB"/>
    <w:multiLevelType w:val="hybridMultilevel"/>
    <w:tmpl w:val="9ABCA7AC"/>
    <w:lvl w:ilvl="0" w:tplc="3F9238E8">
      <w:start w:val="1"/>
      <w:numFmt w:val="decimal"/>
      <w:lvlText w:val="%1."/>
      <w:lvlJc w:val="left"/>
      <w:pPr>
        <w:ind w:left="360" w:hanging="360"/>
      </w:pPr>
      <w:rPr>
        <w:rFonts w:ascii="Arial" w:hAnsi="Arial" w:cs="Arial" w:hint="default"/>
        <w:b w:val="0"/>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414000F">
      <w:start w:val="1"/>
      <w:numFmt w:val="decimal"/>
      <w:lvlText w:val="%4."/>
      <w:lvlJc w:val="left"/>
      <w:pPr>
        <w:ind w:left="2880" w:hanging="360"/>
      </w:pPr>
    </w:lvl>
    <w:lvl w:ilvl="4" w:tplc="BC4C297C">
      <w:numFmt w:val="bullet"/>
      <w:lvlText w:val="–"/>
      <w:lvlJc w:val="left"/>
      <w:pPr>
        <w:ind w:left="3600" w:hanging="360"/>
      </w:pPr>
      <w:rPr>
        <w:rFonts w:ascii="Arial" w:eastAsia="Calibri" w:hAnsi="Arial" w:cs="Arial"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17017D"/>
    <w:multiLevelType w:val="hybridMultilevel"/>
    <w:tmpl w:val="A5760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A06BAE"/>
    <w:multiLevelType w:val="hybridMultilevel"/>
    <w:tmpl w:val="F432AA50"/>
    <w:lvl w:ilvl="0" w:tplc="79F0862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D6658"/>
    <w:multiLevelType w:val="multilevel"/>
    <w:tmpl w:val="97028D36"/>
    <w:lvl w:ilvl="0">
      <w:start w:val="1"/>
      <w:numFmt w:val="none"/>
      <w:pStyle w:val="SectionNumber"/>
      <w:lvlText w:val="%1"/>
      <w:lvlJc w:val="left"/>
      <w:pPr>
        <w:tabs>
          <w:tab w:val="num" w:pos="0"/>
        </w:tabs>
      </w:pPr>
      <w:rPr>
        <w:rFonts w:cs="Times New Roman" w:hint="default"/>
        <w:color w:val="FFFFFF"/>
      </w:rPr>
    </w:lvl>
    <w:lvl w:ilvl="1">
      <w:start w:val="1"/>
      <w:numFmt w:val="decimal"/>
      <w:lvlRestart w:val="0"/>
      <w:pStyle w:val="Sectionlevel1"/>
      <w:lvlText w:val="%2"/>
      <w:lvlJc w:val="left"/>
      <w:pPr>
        <w:tabs>
          <w:tab w:val="num" w:pos="0"/>
        </w:tabs>
        <w:ind w:hanging="720"/>
      </w:pPr>
      <w:rPr>
        <w:rFonts w:cs="Times New Roman" w:hint="default"/>
        <w:color w:val="FFFFFF"/>
      </w:rPr>
    </w:lvl>
    <w:lvl w:ilvl="2">
      <w:start w:val="1"/>
      <w:numFmt w:val="none"/>
      <w:lvlRestart w:val="0"/>
      <w:pStyle w:val="SectionLevel2"/>
      <w:lvlText w:val=""/>
      <w:lvlJc w:val="left"/>
      <w:pPr>
        <w:tabs>
          <w:tab w:val="num" w:pos="0"/>
        </w:tabs>
      </w:pPr>
      <w:rPr>
        <w:rFonts w:cs="Times New Roman" w:hint="default"/>
      </w:rPr>
    </w:lvl>
    <w:lvl w:ilvl="3">
      <w:start w:val="1"/>
      <w:numFmt w:val="decimal"/>
      <w:pStyle w:val="SectionLevel3"/>
      <w:lvlText w:val="%4."/>
      <w:lvlJc w:val="left"/>
      <w:pPr>
        <w:tabs>
          <w:tab w:val="num" w:pos="284"/>
        </w:tabs>
        <w:ind w:left="1004" w:hanging="720"/>
      </w:pPr>
      <w:rPr>
        <w:rFonts w:cs="Times New Roman" w:hint="default"/>
      </w:rPr>
    </w:lvl>
    <w:lvl w:ilvl="4">
      <w:start w:val="1"/>
      <w:numFmt w:val="bullet"/>
      <w:pStyle w:val="SectionLevel4"/>
      <w:lvlText w:val=""/>
      <w:lvlJc w:val="left"/>
      <w:pPr>
        <w:tabs>
          <w:tab w:val="num" w:pos="1656"/>
        </w:tabs>
        <w:ind w:left="1656" w:hanging="936"/>
      </w:pPr>
      <w:rPr>
        <w:rFonts w:ascii="Symbol" w:hAnsi="Symbol" w:hint="default"/>
      </w:rPr>
    </w:lvl>
    <w:lvl w:ilvl="5">
      <w:start w:val="1"/>
      <w:numFmt w:val="lowerLetter"/>
      <w:lvlRestart w:val="0"/>
      <w:pStyle w:val="Sectionabullets"/>
      <w:lvlText w:val="%6)"/>
      <w:lvlJc w:val="left"/>
      <w:pPr>
        <w:tabs>
          <w:tab w:val="num" w:pos="1080"/>
        </w:tabs>
        <w:ind w:left="1080" w:hanging="360"/>
      </w:pPr>
      <w:rPr>
        <w:rFonts w:cs="Times New Roman" w:hint="default"/>
      </w:rPr>
    </w:lvl>
    <w:lvl w:ilvl="6">
      <w:start w:val="1"/>
      <w:numFmt w:val="lowerRoman"/>
      <w:lvlRestart w:val="0"/>
      <w:pStyle w:val="Sectionibullets"/>
      <w:lvlText w:val="%7)"/>
      <w:lvlJc w:val="left"/>
      <w:pPr>
        <w:tabs>
          <w:tab w:val="num" w:pos="1080"/>
        </w:tabs>
        <w:ind w:left="1080" w:hanging="360"/>
      </w:pPr>
      <w:rPr>
        <w:rFonts w:cs="Times New Roman" w:hint="default"/>
        <w:color w:val="auto"/>
      </w:rPr>
    </w:lvl>
    <w:lvl w:ilvl="7">
      <w:start w:val="1"/>
      <w:numFmt w:val="none"/>
      <w:lvlRestart w:val="0"/>
      <w:pStyle w:val="SectionBodyText"/>
      <w:lvlText w:val="%8"/>
      <w:lvlJc w:val="left"/>
      <w:pPr>
        <w:tabs>
          <w:tab w:val="num" w:pos="0"/>
        </w:tabs>
      </w:pPr>
      <w:rPr>
        <w:rFonts w:cs="Times New Roman" w:hint="default"/>
        <w:color w:val="auto"/>
      </w:rPr>
    </w:lvl>
    <w:lvl w:ilvl="8">
      <w:start w:val="1"/>
      <w:numFmt w:val="none"/>
      <w:lvlRestart w:val="0"/>
      <w:suff w:val="nothing"/>
      <w:lvlText w:val=""/>
      <w:lvlJc w:val="left"/>
      <w:rPr>
        <w:rFonts w:cs="Times New Roman" w:hint="default"/>
      </w:rPr>
    </w:lvl>
  </w:abstractNum>
  <w:abstractNum w:abstractNumId="7" w15:restartNumberingAfterBreak="0">
    <w:nsid w:val="23F118DC"/>
    <w:multiLevelType w:val="hybridMultilevel"/>
    <w:tmpl w:val="E0B64CDE"/>
    <w:lvl w:ilvl="0" w:tplc="3F9238E8">
      <w:start w:val="1"/>
      <w:numFmt w:val="decimal"/>
      <w:lvlText w:val="%1."/>
      <w:lvlJc w:val="left"/>
      <w:pPr>
        <w:ind w:left="360" w:hanging="360"/>
      </w:pPr>
      <w:rPr>
        <w:rFonts w:ascii="Arial" w:hAnsi="Arial" w:cs="Arial" w:hint="default"/>
        <w:b w:val="0"/>
      </w:rPr>
    </w:lvl>
    <w:lvl w:ilvl="1" w:tplc="0809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BC4C297C">
      <w:numFmt w:val="bullet"/>
      <w:lvlText w:val="–"/>
      <w:lvlJc w:val="left"/>
      <w:pPr>
        <w:ind w:left="3600" w:hanging="360"/>
      </w:pPr>
      <w:rPr>
        <w:rFonts w:ascii="Arial" w:eastAsia="Calibri" w:hAnsi="Arial" w:cs="Arial"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EE45FF"/>
    <w:multiLevelType w:val="hybridMultilevel"/>
    <w:tmpl w:val="9B941590"/>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26112069"/>
    <w:multiLevelType w:val="hybridMultilevel"/>
    <w:tmpl w:val="4E06B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67B24"/>
    <w:multiLevelType w:val="hybridMultilevel"/>
    <w:tmpl w:val="EE141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D3427"/>
    <w:multiLevelType w:val="hybridMultilevel"/>
    <w:tmpl w:val="0A86004C"/>
    <w:lvl w:ilvl="0" w:tplc="04140001">
      <w:start w:val="1"/>
      <w:numFmt w:val="bullet"/>
      <w:lvlText w:val=""/>
      <w:lvlJc w:val="left"/>
      <w:pPr>
        <w:ind w:left="1398" w:hanging="360"/>
      </w:pPr>
      <w:rPr>
        <w:rFonts w:ascii="Symbol" w:hAnsi="Symbol" w:hint="default"/>
      </w:rPr>
    </w:lvl>
    <w:lvl w:ilvl="1" w:tplc="04140003">
      <w:start w:val="1"/>
      <w:numFmt w:val="bullet"/>
      <w:lvlText w:val="o"/>
      <w:lvlJc w:val="left"/>
      <w:pPr>
        <w:ind w:left="2118" w:hanging="360"/>
      </w:pPr>
      <w:rPr>
        <w:rFonts w:ascii="Courier New" w:hAnsi="Courier New" w:cs="Courier New" w:hint="default"/>
      </w:rPr>
    </w:lvl>
    <w:lvl w:ilvl="2" w:tplc="04140005">
      <w:start w:val="1"/>
      <w:numFmt w:val="bullet"/>
      <w:lvlText w:val=""/>
      <w:lvlJc w:val="left"/>
      <w:pPr>
        <w:ind w:left="2838" w:hanging="360"/>
      </w:pPr>
      <w:rPr>
        <w:rFonts w:ascii="Wingdings" w:hAnsi="Wingdings" w:hint="default"/>
      </w:rPr>
    </w:lvl>
    <w:lvl w:ilvl="3" w:tplc="04140001">
      <w:start w:val="1"/>
      <w:numFmt w:val="bullet"/>
      <w:lvlText w:val=""/>
      <w:lvlJc w:val="left"/>
      <w:pPr>
        <w:ind w:left="3558" w:hanging="360"/>
      </w:pPr>
      <w:rPr>
        <w:rFonts w:ascii="Symbol" w:hAnsi="Symbol" w:hint="default"/>
      </w:rPr>
    </w:lvl>
    <w:lvl w:ilvl="4" w:tplc="04140003">
      <w:start w:val="1"/>
      <w:numFmt w:val="bullet"/>
      <w:lvlText w:val="o"/>
      <w:lvlJc w:val="left"/>
      <w:pPr>
        <w:ind w:left="4278" w:hanging="360"/>
      </w:pPr>
      <w:rPr>
        <w:rFonts w:ascii="Courier New" w:hAnsi="Courier New" w:cs="Courier New" w:hint="default"/>
      </w:rPr>
    </w:lvl>
    <w:lvl w:ilvl="5" w:tplc="04140005">
      <w:start w:val="1"/>
      <w:numFmt w:val="bullet"/>
      <w:lvlText w:val=""/>
      <w:lvlJc w:val="left"/>
      <w:pPr>
        <w:ind w:left="4998" w:hanging="360"/>
      </w:pPr>
      <w:rPr>
        <w:rFonts w:ascii="Wingdings" w:hAnsi="Wingdings" w:hint="default"/>
      </w:rPr>
    </w:lvl>
    <w:lvl w:ilvl="6" w:tplc="04140001">
      <w:start w:val="1"/>
      <w:numFmt w:val="bullet"/>
      <w:lvlText w:val=""/>
      <w:lvlJc w:val="left"/>
      <w:pPr>
        <w:ind w:left="5718" w:hanging="360"/>
      </w:pPr>
      <w:rPr>
        <w:rFonts w:ascii="Symbol" w:hAnsi="Symbol" w:hint="default"/>
      </w:rPr>
    </w:lvl>
    <w:lvl w:ilvl="7" w:tplc="04140003">
      <w:start w:val="1"/>
      <w:numFmt w:val="bullet"/>
      <w:lvlText w:val="o"/>
      <w:lvlJc w:val="left"/>
      <w:pPr>
        <w:ind w:left="6438" w:hanging="360"/>
      </w:pPr>
      <w:rPr>
        <w:rFonts w:ascii="Courier New" w:hAnsi="Courier New" w:cs="Courier New" w:hint="default"/>
      </w:rPr>
    </w:lvl>
    <w:lvl w:ilvl="8" w:tplc="04140005">
      <w:start w:val="1"/>
      <w:numFmt w:val="bullet"/>
      <w:lvlText w:val=""/>
      <w:lvlJc w:val="left"/>
      <w:pPr>
        <w:ind w:left="7158" w:hanging="360"/>
      </w:pPr>
      <w:rPr>
        <w:rFonts w:ascii="Wingdings" w:hAnsi="Wingdings" w:hint="default"/>
      </w:rPr>
    </w:lvl>
  </w:abstractNum>
  <w:abstractNum w:abstractNumId="12" w15:restartNumberingAfterBreak="0">
    <w:nsid w:val="2B5D4C05"/>
    <w:multiLevelType w:val="hybridMultilevel"/>
    <w:tmpl w:val="46080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142E6"/>
    <w:multiLevelType w:val="hybridMultilevel"/>
    <w:tmpl w:val="50BE1B28"/>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275887"/>
    <w:multiLevelType w:val="hybridMultilevel"/>
    <w:tmpl w:val="0FC8C6F6"/>
    <w:lvl w:ilvl="0" w:tplc="9B0809C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91BE9"/>
    <w:multiLevelType w:val="hybridMultilevel"/>
    <w:tmpl w:val="EF402816"/>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874C23"/>
    <w:multiLevelType w:val="hybridMultilevel"/>
    <w:tmpl w:val="1F6CC7FE"/>
    <w:lvl w:ilvl="0" w:tplc="08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56E0884"/>
    <w:multiLevelType w:val="hybridMultilevel"/>
    <w:tmpl w:val="C296735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91052EF"/>
    <w:multiLevelType w:val="hybridMultilevel"/>
    <w:tmpl w:val="32C4E1C6"/>
    <w:lvl w:ilvl="0" w:tplc="D6C843E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60A79"/>
    <w:multiLevelType w:val="hybridMultilevel"/>
    <w:tmpl w:val="FE9E86EC"/>
    <w:lvl w:ilvl="0" w:tplc="08090001">
      <w:start w:val="1"/>
      <w:numFmt w:val="bullet"/>
      <w:lvlText w:val=""/>
      <w:lvlJc w:val="left"/>
      <w:pPr>
        <w:ind w:left="720" w:hanging="360"/>
      </w:pPr>
      <w:rPr>
        <w:rFonts w:ascii="Symbol" w:hAnsi="Symbol" w:hint="default"/>
      </w:rPr>
    </w:lvl>
    <w:lvl w:ilvl="1" w:tplc="F366280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77733"/>
    <w:multiLevelType w:val="hybridMultilevel"/>
    <w:tmpl w:val="78362280"/>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8B65CD"/>
    <w:multiLevelType w:val="hybridMultilevel"/>
    <w:tmpl w:val="31888298"/>
    <w:lvl w:ilvl="0" w:tplc="163C4A98">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5E6291"/>
    <w:multiLevelType w:val="hybridMultilevel"/>
    <w:tmpl w:val="4FA2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015E5"/>
    <w:multiLevelType w:val="hybridMultilevel"/>
    <w:tmpl w:val="4C48BA58"/>
    <w:lvl w:ilvl="0" w:tplc="3F9238E8">
      <w:start w:val="1"/>
      <w:numFmt w:val="decimal"/>
      <w:lvlText w:val="%1."/>
      <w:lvlJc w:val="left"/>
      <w:pPr>
        <w:ind w:left="360" w:hanging="360"/>
      </w:pPr>
      <w:rPr>
        <w:rFonts w:ascii="Arial" w:hAnsi="Arial" w:cs="Arial" w:hint="default"/>
        <w:b w:val="0"/>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414000F">
      <w:start w:val="1"/>
      <w:numFmt w:val="decimal"/>
      <w:lvlText w:val="%4."/>
      <w:lvlJc w:val="left"/>
      <w:pPr>
        <w:ind w:left="2880" w:hanging="360"/>
      </w:pPr>
    </w:lvl>
    <w:lvl w:ilvl="4" w:tplc="BC4C297C">
      <w:numFmt w:val="bullet"/>
      <w:lvlText w:val="–"/>
      <w:lvlJc w:val="left"/>
      <w:pPr>
        <w:ind w:left="3600" w:hanging="360"/>
      </w:pPr>
      <w:rPr>
        <w:rFonts w:ascii="Arial" w:eastAsia="Calibri" w:hAnsi="Arial" w:cs="Arial"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C2A2F44"/>
    <w:multiLevelType w:val="hybridMultilevel"/>
    <w:tmpl w:val="0790587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5" w15:restartNumberingAfterBreak="0">
    <w:nsid w:val="4CCA1384"/>
    <w:multiLevelType w:val="hybridMultilevel"/>
    <w:tmpl w:val="AF9466F8"/>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6" w15:restartNumberingAfterBreak="0">
    <w:nsid w:val="4DE92706"/>
    <w:multiLevelType w:val="hybridMultilevel"/>
    <w:tmpl w:val="30020D46"/>
    <w:lvl w:ilvl="0" w:tplc="9934F7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701C87"/>
    <w:multiLevelType w:val="hybridMultilevel"/>
    <w:tmpl w:val="2C94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8A031D"/>
    <w:multiLevelType w:val="hybridMultilevel"/>
    <w:tmpl w:val="3EA82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55111"/>
    <w:multiLevelType w:val="hybridMultilevel"/>
    <w:tmpl w:val="70644B00"/>
    <w:lvl w:ilvl="0" w:tplc="08090001">
      <w:start w:val="1"/>
      <w:numFmt w:val="bullet"/>
      <w:lvlText w:val=""/>
      <w:lvlJc w:val="left"/>
      <w:pPr>
        <w:ind w:left="720" w:hanging="360"/>
      </w:pPr>
      <w:rPr>
        <w:rFonts w:ascii="Symbol" w:hAnsi="Symbol" w:hint="default"/>
      </w:rPr>
    </w:lvl>
    <w:lvl w:ilvl="1" w:tplc="F366280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D66CDC"/>
    <w:multiLevelType w:val="multilevel"/>
    <w:tmpl w:val="07164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742FD2"/>
    <w:multiLevelType w:val="hybridMultilevel"/>
    <w:tmpl w:val="0212C4DA"/>
    <w:lvl w:ilvl="0" w:tplc="08090001">
      <w:start w:val="1"/>
      <w:numFmt w:val="bullet"/>
      <w:lvlText w:val=""/>
      <w:lvlJc w:val="left"/>
      <w:pPr>
        <w:ind w:left="720" w:hanging="360"/>
      </w:pPr>
      <w:rPr>
        <w:rFonts w:ascii="Symbol" w:hAnsi="Symbol" w:hint="default"/>
      </w:rPr>
    </w:lvl>
    <w:lvl w:ilvl="1" w:tplc="F3662804">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4C7D36"/>
    <w:multiLevelType w:val="hybridMultilevel"/>
    <w:tmpl w:val="BC1C1164"/>
    <w:lvl w:ilvl="0" w:tplc="08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952666F"/>
    <w:multiLevelType w:val="hybridMultilevel"/>
    <w:tmpl w:val="F7B69E5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4" w15:restartNumberingAfterBreak="0">
    <w:nsid w:val="5E971749"/>
    <w:multiLevelType w:val="hybridMultilevel"/>
    <w:tmpl w:val="256AA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313F97"/>
    <w:multiLevelType w:val="hybridMultilevel"/>
    <w:tmpl w:val="7752F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DD84B62"/>
    <w:multiLevelType w:val="hybridMultilevel"/>
    <w:tmpl w:val="B7D85788"/>
    <w:lvl w:ilvl="0" w:tplc="70305766">
      <w:start w:val="1"/>
      <w:numFmt w:val="decimal"/>
      <w:pStyle w:val="BERECcitace"/>
      <w:lvlText w:val="%1."/>
      <w:lvlJc w:val="left"/>
      <w:pPr>
        <w:ind w:left="482" w:hanging="482"/>
      </w:pPr>
      <w:rPr>
        <w:rFonts w:ascii="Arial" w:hAnsi="Arial" w:cs="Arial" w:hint="default"/>
        <w:b w:val="0"/>
        <w:i w:val="0"/>
      </w:rPr>
    </w:lvl>
    <w:lvl w:ilvl="1" w:tplc="0809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BC4C297C">
      <w:numFmt w:val="bullet"/>
      <w:lvlText w:val="–"/>
      <w:lvlJc w:val="left"/>
      <w:pPr>
        <w:ind w:left="3600" w:hanging="360"/>
      </w:pPr>
      <w:rPr>
        <w:rFonts w:ascii="Arial" w:eastAsia="Calibri" w:hAnsi="Arial" w:cs="Arial"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83D0F60"/>
    <w:multiLevelType w:val="hybridMultilevel"/>
    <w:tmpl w:val="139CA4BA"/>
    <w:lvl w:ilvl="0" w:tplc="08090001">
      <w:start w:val="1"/>
      <w:numFmt w:val="bullet"/>
      <w:lvlText w:val=""/>
      <w:lvlJc w:val="left"/>
      <w:pPr>
        <w:ind w:left="482" w:hanging="482"/>
      </w:pPr>
      <w:rPr>
        <w:rFonts w:ascii="Symbol" w:hAnsi="Symbol" w:hint="default"/>
        <w:b w:val="0"/>
        <w:i w:val="0"/>
      </w:rPr>
    </w:lvl>
    <w:lvl w:ilvl="1" w:tplc="0809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BC4C297C">
      <w:numFmt w:val="bullet"/>
      <w:lvlText w:val="–"/>
      <w:lvlJc w:val="left"/>
      <w:pPr>
        <w:ind w:left="3600" w:hanging="360"/>
      </w:pPr>
      <w:rPr>
        <w:rFonts w:ascii="Arial" w:eastAsia="Calibri" w:hAnsi="Arial" w:cs="Arial"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8E5472D"/>
    <w:multiLevelType w:val="hybridMultilevel"/>
    <w:tmpl w:val="0790587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9" w15:restartNumberingAfterBreak="0">
    <w:nsid w:val="7B8A377E"/>
    <w:multiLevelType w:val="hybridMultilevel"/>
    <w:tmpl w:val="1C12635E"/>
    <w:lvl w:ilvl="0" w:tplc="A2C4C960">
      <w:start w:val="1"/>
      <w:numFmt w:val="bullet"/>
      <w:lvlText w:val="-"/>
      <w:lvlJc w:val="left"/>
      <w:pPr>
        <w:ind w:left="842" w:hanging="360"/>
      </w:pPr>
      <w:rPr>
        <w:rFonts w:ascii="Arial" w:eastAsia="Calibri" w:hAnsi="Arial" w:cs="Aria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num w:numId="1">
    <w:abstractNumId w:val="6"/>
  </w:num>
  <w:num w:numId="2">
    <w:abstractNumId w:val="36"/>
  </w:num>
  <w:num w:numId="3">
    <w:abstractNumId w:val="0"/>
  </w:num>
  <w:num w:numId="4">
    <w:abstractNumId w:val="12"/>
  </w:num>
  <w:num w:numId="5">
    <w:abstractNumId w:val="7"/>
  </w:num>
  <w:num w:numId="6">
    <w:abstractNumId w:val="15"/>
  </w:num>
  <w:num w:numId="7">
    <w:abstractNumId w:val="20"/>
  </w:num>
  <w:num w:numId="8">
    <w:abstractNumId w:val="13"/>
  </w:num>
  <w:num w:numId="9">
    <w:abstractNumId w:val="8"/>
  </w:num>
  <w:num w:numId="10">
    <w:abstractNumId w:val="2"/>
  </w:num>
  <w:num w:numId="11">
    <w:abstractNumId w:val="31"/>
  </w:num>
  <w:num w:numId="12">
    <w:abstractNumId w:val="29"/>
  </w:num>
  <w:num w:numId="13">
    <w:abstractNumId w:val="16"/>
  </w:num>
  <w:num w:numId="14">
    <w:abstractNumId w:val="33"/>
  </w:num>
  <w:num w:numId="15">
    <w:abstractNumId w:val="32"/>
  </w:num>
  <w:num w:numId="16">
    <w:abstractNumId w:val="10"/>
  </w:num>
  <w:num w:numId="17">
    <w:abstractNumId w:val="19"/>
  </w:num>
  <w:num w:numId="18">
    <w:abstractNumId w:val="4"/>
  </w:num>
  <w:num w:numId="19">
    <w:abstractNumId w:val="17"/>
  </w:num>
  <w:num w:numId="20">
    <w:abstractNumId w:val="11"/>
  </w:num>
  <w:num w:numId="21">
    <w:abstractNumId w:val="9"/>
  </w:num>
  <w:num w:numId="22">
    <w:abstractNumId w:val="23"/>
  </w:num>
  <w:num w:numId="23">
    <w:abstractNumId w:val="3"/>
  </w:num>
  <w:num w:numId="24">
    <w:abstractNumId w:val="35"/>
  </w:num>
  <w:num w:numId="25">
    <w:abstractNumId w:val="28"/>
  </w:num>
  <w:num w:numId="26">
    <w:abstractNumId w:val="37"/>
  </w:num>
  <w:num w:numId="27">
    <w:abstractNumId w:val="25"/>
  </w:num>
  <w:num w:numId="28">
    <w:abstractNumId w:val="22"/>
  </w:num>
  <w:num w:numId="29">
    <w:abstractNumId w:val="27"/>
  </w:num>
  <w:num w:numId="30">
    <w:abstractNumId w:val="18"/>
  </w:num>
  <w:num w:numId="31">
    <w:abstractNumId w:val="5"/>
  </w:num>
  <w:num w:numId="32">
    <w:abstractNumId w:val="26"/>
  </w:num>
  <w:num w:numId="33">
    <w:abstractNumId w:val="34"/>
  </w:num>
  <w:num w:numId="34">
    <w:abstractNumId w:val="14"/>
  </w:num>
  <w:num w:numId="35">
    <w:abstractNumId w:val="21"/>
  </w:num>
  <w:num w:numId="36">
    <w:abstractNumId w:val="39"/>
  </w:num>
  <w:num w:numId="37">
    <w:abstractNumId w:val="3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42"/>
    <w:rsid w:val="0000069A"/>
    <w:rsid w:val="0000071B"/>
    <w:rsid w:val="0000157F"/>
    <w:rsid w:val="00001EC5"/>
    <w:rsid w:val="00002F26"/>
    <w:rsid w:val="00003637"/>
    <w:rsid w:val="00003956"/>
    <w:rsid w:val="00003985"/>
    <w:rsid w:val="000047E4"/>
    <w:rsid w:val="00005564"/>
    <w:rsid w:val="0000596D"/>
    <w:rsid w:val="00005F59"/>
    <w:rsid w:val="000064FF"/>
    <w:rsid w:val="00006BAD"/>
    <w:rsid w:val="00007189"/>
    <w:rsid w:val="00007BBE"/>
    <w:rsid w:val="00007FC3"/>
    <w:rsid w:val="000108A1"/>
    <w:rsid w:val="00012BA0"/>
    <w:rsid w:val="00013409"/>
    <w:rsid w:val="000134BE"/>
    <w:rsid w:val="000147FD"/>
    <w:rsid w:val="0001661B"/>
    <w:rsid w:val="00017466"/>
    <w:rsid w:val="00020858"/>
    <w:rsid w:val="00020D94"/>
    <w:rsid w:val="000212D7"/>
    <w:rsid w:val="0002139F"/>
    <w:rsid w:val="0002204E"/>
    <w:rsid w:val="000224E6"/>
    <w:rsid w:val="00022726"/>
    <w:rsid w:val="00022ED3"/>
    <w:rsid w:val="000240B8"/>
    <w:rsid w:val="0002572C"/>
    <w:rsid w:val="000262BF"/>
    <w:rsid w:val="000275FF"/>
    <w:rsid w:val="00027805"/>
    <w:rsid w:val="0003064A"/>
    <w:rsid w:val="00030858"/>
    <w:rsid w:val="00030F14"/>
    <w:rsid w:val="000315F9"/>
    <w:rsid w:val="00031DE6"/>
    <w:rsid w:val="00032429"/>
    <w:rsid w:val="00032BA4"/>
    <w:rsid w:val="0003514E"/>
    <w:rsid w:val="00035413"/>
    <w:rsid w:val="000355B6"/>
    <w:rsid w:val="00035880"/>
    <w:rsid w:val="00035DDA"/>
    <w:rsid w:val="00036814"/>
    <w:rsid w:val="0004116D"/>
    <w:rsid w:val="00042993"/>
    <w:rsid w:val="00042B83"/>
    <w:rsid w:val="00042E52"/>
    <w:rsid w:val="00042EB2"/>
    <w:rsid w:val="000437A4"/>
    <w:rsid w:val="00043E6A"/>
    <w:rsid w:val="0004428B"/>
    <w:rsid w:val="00046621"/>
    <w:rsid w:val="00047836"/>
    <w:rsid w:val="00047F43"/>
    <w:rsid w:val="00050114"/>
    <w:rsid w:val="000506B9"/>
    <w:rsid w:val="00050D3E"/>
    <w:rsid w:val="00051213"/>
    <w:rsid w:val="00051B9D"/>
    <w:rsid w:val="00052FFD"/>
    <w:rsid w:val="0005467D"/>
    <w:rsid w:val="000550B7"/>
    <w:rsid w:val="00057B87"/>
    <w:rsid w:val="00057BA8"/>
    <w:rsid w:val="00057CBE"/>
    <w:rsid w:val="00061A89"/>
    <w:rsid w:val="00061FC0"/>
    <w:rsid w:val="00063808"/>
    <w:rsid w:val="00064D7A"/>
    <w:rsid w:val="000654FF"/>
    <w:rsid w:val="00065823"/>
    <w:rsid w:val="0006710C"/>
    <w:rsid w:val="00067192"/>
    <w:rsid w:val="00067710"/>
    <w:rsid w:val="00067C47"/>
    <w:rsid w:val="00067CF0"/>
    <w:rsid w:val="00067DD7"/>
    <w:rsid w:val="00070686"/>
    <w:rsid w:val="0007090D"/>
    <w:rsid w:val="0007132C"/>
    <w:rsid w:val="000722C6"/>
    <w:rsid w:val="000727DF"/>
    <w:rsid w:val="0007332D"/>
    <w:rsid w:val="0007359E"/>
    <w:rsid w:val="000748F3"/>
    <w:rsid w:val="000757A0"/>
    <w:rsid w:val="00077E8C"/>
    <w:rsid w:val="00080220"/>
    <w:rsid w:val="00080228"/>
    <w:rsid w:val="000804AA"/>
    <w:rsid w:val="00080F70"/>
    <w:rsid w:val="00083036"/>
    <w:rsid w:val="00084CF0"/>
    <w:rsid w:val="00084DC0"/>
    <w:rsid w:val="000853EE"/>
    <w:rsid w:val="000864DD"/>
    <w:rsid w:val="00086514"/>
    <w:rsid w:val="0008726B"/>
    <w:rsid w:val="0008795C"/>
    <w:rsid w:val="0009050D"/>
    <w:rsid w:val="000913FE"/>
    <w:rsid w:val="0009170F"/>
    <w:rsid w:val="00091C62"/>
    <w:rsid w:val="00092236"/>
    <w:rsid w:val="00092589"/>
    <w:rsid w:val="00092652"/>
    <w:rsid w:val="000955EC"/>
    <w:rsid w:val="00095AC0"/>
    <w:rsid w:val="00097510"/>
    <w:rsid w:val="00097820"/>
    <w:rsid w:val="000A098E"/>
    <w:rsid w:val="000A1974"/>
    <w:rsid w:val="000A33D7"/>
    <w:rsid w:val="000A4040"/>
    <w:rsid w:val="000A532B"/>
    <w:rsid w:val="000A5AAF"/>
    <w:rsid w:val="000A5EFE"/>
    <w:rsid w:val="000B09E0"/>
    <w:rsid w:val="000B14FC"/>
    <w:rsid w:val="000B2334"/>
    <w:rsid w:val="000B36A5"/>
    <w:rsid w:val="000B4744"/>
    <w:rsid w:val="000B54E6"/>
    <w:rsid w:val="000B5FF3"/>
    <w:rsid w:val="000B610F"/>
    <w:rsid w:val="000B6CBB"/>
    <w:rsid w:val="000B78BA"/>
    <w:rsid w:val="000C0BFB"/>
    <w:rsid w:val="000C0F62"/>
    <w:rsid w:val="000C2621"/>
    <w:rsid w:val="000C2953"/>
    <w:rsid w:val="000C3CE2"/>
    <w:rsid w:val="000C564C"/>
    <w:rsid w:val="000C5D86"/>
    <w:rsid w:val="000C7A1F"/>
    <w:rsid w:val="000D06E5"/>
    <w:rsid w:val="000D1E2C"/>
    <w:rsid w:val="000D4241"/>
    <w:rsid w:val="000D44FE"/>
    <w:rsid w:val="000D50B7"/>
    <w:rsid w:val="000E0D87"/>
    <w:rsid w:val="000E1E52"/>
    <w:rsid w:val="000E220B"/>
    <w:rsid w:val="000E2955"/>
    <w:rsid w:val="000E337C"/>
    <w:rsid w:val="000E3789"/>
    <w:rsid w:val="000E43E3"/>
    <w:rsid w:val="000E486A"/>
    <w:rsid w:val="000E490E"/>
    <w:rsid w:val="000E665C"/>
    <w:rsid w:val="000E66D0"/>
    <w:rsid w:val="000E754B"/>
    <w:rsid w:val="000E7736"/>
    <w:rsid w:val="000E7B08"/>
    <w:rsid w:val="000F2AFE"/>
    <w:rsid w:val="000F30F3"/>
    <w:rsid w:val="000F3313"/>
    <w:rsid w:val="000F5885"/>
    <w:rsid w:val="000F62E4"/>
    <w:rsid w:val="000F6DBF"/>
    <w:rsid w:val="00101334"/>
    <w:rsid w:val="00101416"/>
    <w:rsid w:val="00101B40"/>
    <w:rsid w:val="00101CFC"/>
    <w:rsid w:val="001035BB"/>
    <w:rsid w:val="001038EF"/>
    <w:rsid w:val="001054FF"/>
    <w:rsid w:val="001072B6"/>
    <w:rsid w:val="00107342"/>
    <w:rsid w:val="001074DD"/>
    <w:rsid w:val="001079B1"/>
    <w:rsid w:val="0011091B"/>
    <w:rsid w:val="00110DB8"/>
    <w:rsid w:val="001112C7"/>
    <w:rsid w:val="001112F7"/>
    <w:rsid w:val="001124C3"/>
    <w:rsid w:val="00112C80"/>
    <w:rsid w:val="00112FEA"/>
    <w:rsid w:val="00113EBF"/>
    <w:rsid w:val="0011423F"/>
    <w:rsid w:val="00114F83"/>
    <w:rsid w:val="00115507"/>
    <w:rsid w:val="0011603B"/>
    <w:rsid w:val="001163FD"/>
    <w:rsid w:val="0011774E"/>
    <w:rsid w:val="00121A13"/>
    <w:rsid w:val="00121D74"/>
    <w:rsid w:val="0012274E"/>
    <w:rsid w:val="001228C1"/>
    <w:rsid w:val="00122A9A"/>
    <w:rsid w:val="00122B9E"/>
    <w:rsid w:val="00123336"/>
    <w:rsid w:val="001265A6"/>
    <w:rsid w:val="001266FB"/>
    <w:rsid w:val="00126F4B"/>
    <w:rsid w:val="001270E7"/>
    <w:rsid w:val="00127182"/>
    <w:rsid w:val="001300D5"/>
    <w:rsid w:val="00130AF7"/>
    <w:rsid w:val="00130D8C"/>
    <w:rsid w:val="00130DAF"/>
    <w:rsid w:val="001352D7"/>
    <w:rsid w:val="001362DC"/>
    <w:rsid w:val="001364BE"/>
    <w:rsid w:val="001366EA"/>
    <w:rsid w:val="00137AAE"/>
    <w:rsid w:val="00140560"/>
    <w:rsid w:val="0014063D"/>
    <w:rsid w:val="00140767"/>
    <w:rsid w:val="00141D83"/>
    <w:rsid w:val="0014230E"/>
    <w:rsid w:val="0014248E"/>
    <w:rsid w:val="001424BD"/>
    <w:rsid w:val="0014287E"/>
    <w:rsid w:val="00142DA8"/>
    <w:rsid w:val="00143256"/>
    <w:rsid w:val="00143CE5"/>
    <w:rsid w:val="00144A4D"/>
    <w:rsid w:val="001455F6"/>
    <w:rsid w:val="00145E18"/>
    <w:rsid w:val="001474BF"/>
    <w:rsid w:val="0014754B"/>
    <w:rsid w:val="0014767C"/>
    <w:rsid w:val="00147DA2"/>
    <w:rsid w:val="00147F0D"/>
    <w:rsid w:val="0015216A"/>
    <w:rsid w:val="00154138"/>
    <w:rsid w:val="00154C42"/>
    <w:rsid w:val="00155503"/>
    <w:rsid w:val="00155607"/>
    <w:rsid w:val="001562DD"/>
    <w:rsid w:val="00156499"/>
    <w:rsid w:val="00156DA9"/>
    <w:rsid w:val="00161DCC"/>
    <w:rsid w:val="00163266"/>
    <w:rsid w:val="0016337F"/>
    <w:rsid w:val="00164003"/>
    <w:rsid w:val="00164D23"/>
    <w:rsid w:val="00165485"/>
    <w:rsid w:val="00165A10"/>
    <w:rsid w:val="00165AE3"/>
    <w:rsid w:val="001675DE"/>
    <w:rsid w:val="00167DC4"/>
    <w:rsid w:val="00167FF9"/>
    <w:rsid w:val="0017230D"/>
    <w:rsid w:val="00172BAF"/>
    <w:rsid w:val="00173756"/>
    <w:rsid w:val="001749D9"/>
    <w:rsid w:val="00176584"/>
    <w:rsid w:val="0017672D"/>
    <w:rsid w:val="001768B8"/>
    <w:rsid w:val="00176B13"/>
    <w:rsid w:val="001771EA"/>
    <w:rsid w:val="0018100D"/>
    <w:rsid w:val="001823AE"/>
    <w:rsid w:val="00182B6E"/>
    <w:rsid w:val="00183074"/>
    <w:rsid w:val="001843DB"/>
    <w:rsid w:val="001847FC"/>
    <w:rsid w:val="0018486F"/>
    <w:rsid w:val="001849C2"/>
    <w:rsid w:val="001851A5"/>
    <w:rsid w:val="001854FC"/>
    <w:rsid w:val="00185BB6"/>
    <w:rsid w:val="00186302"/>
    <w:rsid w:val="00186EA0"/>
    <w:rsid w:val="00187EB0"/>
    <w:rsid w:val="00187EEB"/>
    <w:rsid w:val="001905ED"/>
    <w:rsid w:val="0019081B"/>
    <w:rsid w:val="00190B38"/>
    <w:rsid w:val="00190C04"/>
    <w:rsid w:val="00190F16"/>
    <w:rsid w:val="0019171D"/>
    <w:rsid w:val="00191F24"/>
    <w:rsid w:val="001927D8"/>
    <w:rsid w:val="00193467"/>
    <w:rsid w:val="001941C3"/>
    <w:rsid w:val="00195829"/>
    <w:rsid w:val="00195A5B"/>
    <w:rsid w:val="00195A82"/>
    <w:rsid w:val="001969A5"/>
    <w:rsid w:val="00196F26"/>
    <w:rsid w:val="00196F29"/>
    <w:rsid w:val="00196F51"/>
    <w:rsid w:val="001972A3"/>
    <w:rsid w:val="001974D5"/>
    <w:rsid w:val="001A0890"/>
    <w:rsid w:val="001A14F5"/>
    <w:rsid w:val="001A1A62"/>
    <w:rsid w:val="001A1BC9"/>
    <w:rsid w:val="001A1FA9"/>
    <w:rsid w:val="001A2F34"/>
    <w:rsid w:val="001A310A"/>
    <w:rsid w:val="001A3571"/>
    <w:rsid w:val="001A38BE"/>
    <w:rsid w:val="001A4C73"/>
    <w:rsid w:val="001A53DB"/>
    <w:rsid w:val="001A5964"/>
    <w:rsid w:val="001A5C8E"/>
    <w:rsid w:val="001A5CFB"/>
    <w:rsid w:val="001A69BE"/>
    <w:rsid w:val="001A738A"/>
    <w:rsid w:val="001A7A7D"/>
    <w:rsid w:val="001B0360"/>
    <w:rsid w:val="001B0726"/>
    <w:rsid w:val="001B1CC8"/>
    <w:rsid w:val="001B1FF8"/>
    <w:rsid w:val="001B2898"/>
    <w:rsid w:val="001B30A2"/>
    <w:rsid w:val="001B3533"/>
    <w:rsid w:val="001B3775"/>
    <w:rsid w:val="001B38FB"/>
    <w:rsid w:val="001B4A67"/>
    <w:rsid w:val="001B6C05"/>
    <w:rsid w:val="001B76BF"/>
    <w:rsid w:val="001C037A"/>
    <w:rsid w:val="001C0528"/>
    <w:rsid w:val="001C0785"/>
    <w:rsid w:val="001C091B"/>
    <w:rsid w:val="001C22AF"/>
    <w:rsid w:val="001C25BC"/>
    <w:rsid w:val="001C2FF0"/>
    <w:rsid w:val="001C3C1F"/>
    <w:rsid w:val="001C4174"/>
    <w:rsid w:val="001C52D8"/>
    <w:rsid w:val="001C53E1"/>
    <w:rsid w:val="001C6FB5"/>
    <w:rsid w:val="001C795E"/>
    <w:rsid w:val="001D0BBB"/>
    <w:rsid w:val="001D1908"/>
    <w:rsid w:val="001D1EED"/>
    <w:rsid w:val="001D201B"/>
    <w:rsid w:val="001D22B2"/>
    <w:rsid w:val="001D2B42"/>
    <w:rsid w:val="001D2DB8"/>
    <w:rsid w:val="001D3059"/>
    <w:rsid w:val="001D383B"/>
    <w:rsid w:val="001D3CE6"/>
    <w:rsid w:val="001D46DD"/>
    <w:rsid w:val="001D4E78"/>
    <w:rsid w:val="001D5422"/>
    <w:rsid w:val="001D5CF3"/>
    <w:rsid w:val="001D6FF0"/>
    <w:rsid w:val="001D70F8"/>
    <w:rsid w:val="001E04F2"/>
    <w:rsid w:val="001E1D1E"/>
    <w:rsid w:val="001E1EA4"/>
    <w:rsid w:val="001E3318"/>
    <w:rsid w:val="001E3822"/>
    <w:rsid w:val="001E43C0"/>
    <w:rsid w:val="001E563D"/>
    <w:rsid w:val="001E5D32"/>
    <w:rsid w:val="001E7C12"/>
    <w:rsid w:val="001F0CB5"/>
    <w:rsid w:val="001F0F7E"/>
    <w:rsid w:val="001F38A5"/>
    <w:rsid w:val="001F49EE"/>
    <w:rsid w:val="001F5AEC"/>
    <w:rsid w:val="001F698E"/>
    <w:rsid w:val="00200A7D"/>
    <w:rsid w:val="00200CD4"/>
    <w:rsid w:val="00200E7F"/>
    <w:rsid w:val="0020147F"/>
    <w:rsid w:val="00202636"/>
    <w:rsid w:val="0020276C"/>
    <w:rsid w:val="00202904"/>
    <w:rsid w:val="002045ED"/>
    <w:rsid w:val="00204C9E"/>
    <w:rsid w:val="00206612"/>
    <w:rsid w:val="00207754"/>
    <w:rsid w:val="00207776"/>
    <w:rsid w:val="00207ADA"/>
    <w:rsid w:val="00210144"/>
    <w:rsid w:val="0021022E"/>
    <w:rsid w:val="00210375"/>
    <w:rsid w:val="00210E41"/>
    <w:rsid w:val="00211CA1"/>
    <w:rsid w:val="00211D7B"/>
    <w:rsid w:val="00212194"/>
    <w:rsid w:val="00212844"/>
    <w:rsid w:val="00212867"/>
    <w:rsid w:val="00213953"/>
    <w:rsid w:val="00213F4A"/>
    <w:rsid w:val="00214AFA"/>
    <w:rsid w:val="002173F2"/>
    <w:rsid w:val="0022172B"/>
    <w:rsid w:val="00221A9E"/>
    <w:rsid w:val="00221E3E"/>
    <w:rsid w:val="00222766"/>
    <w:rsid w:val="00222943"/>
    <w:rsid w:val="00222F73"/>
    <w:rsid w:val="00223064"/>
    <w:rsid w:val="00223291"/>
    <w:rsid w:val="00224D69"/>
    <w:rsid w:val="00225427"/>
    <w:rsid w:val="00225BD9"/>
    <w:rsid w:val="00226B40"/>
    <w:rsid w:val="0022775A"/>
    <w:rsid w:val="00227964"/>
    <w:rsid w:val="00227A86"/>
    <w:rsid w:val="00227F32"/>
    <w:rsid w:val="0023063B"/>
    <w:rsid w:val="00230733"/>
    <w:rsid w:val="00234732"/>
    <w:rsid w:val="00234BF4"/>
    <w:rsid w:val="002358CC"/>
    <w:rsid w:val="002369D3"/>
    <w:rsid w:val="00236AAA"/>
    <w:rsid w:val="002376D6"/>
    <w:rsid w:val="00240EFB"/>
    <w:rsid w:val="00241AD9"/>
    <w:rsid w:val="00242DE5"/>
    <w:rsid w:val="00243031"/>
    <w:rsid w:val="002432A0"/>
    <w:rsid w:val="00243D07"/>
    <w:rsid w:val="002440CE"/>
    <w:rsid w:val="00244C91"/>
    <w:rsid w:val="0024635B"/>
    <w:rsid w:val="00247724"/>
    <w:rsid w:val="0025089E"/>
    <w:rsid w:val="00251CF1"/>
    <w:rsid w:val="002521D4"/>
    <w:rsid w:val="00252C61"/>
    <w:rsid w:val="00253D44"/>
    <w:rsid w:val="002560C3"/>
    <w:rsid w:val="00256B5D"/>
    <w:rsid w:val="0025747C"/>
    <w:rsid w:val="00257C55"/>
    <w:rsid w:val="002606F7"/>
    <w:rsid w:val="002609AA"/>
    <w:rsid w:val="002611ED"/>
    <w:rsid w:val="0026232F"/>
    <w:rsid w:val="00262769"/>
    <w:rsid w:val="00263434"/>
    <w:rsid w:val="0026432D"/>
    <w:rsid w:val="002655F4"/>
    <w:rsid w:val="00265EAA"/>
    <w:rsid w:val="0026620F"/>
    <w:rsid w:val="0026648D"/>
    <w:rsid w:val="00270415"/>
    <w:rsid w:val="00270527"/>
    <w:rsid w:val="002715B6"/>
    <w:rsid w:val="00271A30"/>
    <w:rsid w:val="0027258B"/>
    <w:rsid w:val="00272EEE"/>
    <w:rsid w:val="00273A8B"/>
    <w:rsid w:val="00274455"/>
    <w:rsid w:val="0027446D"/>
    <w:rsid w:val="00276138"/>
    <w:rsid w:val="00277590"/>
    <w:rsid w:val="00277957"/>
    <w:rsid w:val="00281050"/>
    <w:rsid w:val="002819B1"/>
    <w:rsid w:val="00281C34"/>
    <w:rsid w:val="00282F01"/>
    <w:rsid w:val="0028306F"/>
    <w:rsid w:val="00284CC5"/>
    <w:rsid w:val="00284E46"/>
    <w:rsid w:val="00285D3A"/>
    <w:rsid w:val="00285D96"/>
    <w:rsid w:val="00286704"/>
    <w:rsid w:val="00287451"/>
    <w:rsid w:val="002918CA"/>
    <w:rsid w:val="00291C03"/>
    <w:rsid w:val="00291F1E"/>
    <w:rsid w:val="002925F4"/>
    <w:rsid w:val="00292ABB"/>
    <w:rsid w:val="00293C13"/>
    <w:rsid w:val="00294AA7"/>
    <w:rsid w:val="00295063"/>
    <w:rsid w:val="00295D6D"/>
    <w:rsid w:val="00296479"/>
    <w:rsid w:val="002964BB"/>
    <w:rsid w:val="00296F33"/>
    <w:rsid w:val="002975BA"/>
    <w:rsid w:val="002975DE"/>
    <w:rsid w:val="002978F9"/>
    <w:rsid w:val="002A0D49"/>
    <w:rsid w:val="002A1456"/>
    <w:rsid w:val="002A2389"/>
    <w:rsid w:val="002A2DE8"/>
    <w:rsid w:val="002A344F"/>
    <w:rsid w:val="002A3DA7"/>
    <w:rsid w:val="002A4555"/>
    <w:rsid w:val="002A55A8"/>
    <w:rsid w:val="002A724C"/>
    <w:rsid w:val="002A72E6"/>
    <w:rsid w:val="002A772B"/>
    <w:rsid w:val="002A79DA"/>
    <w:rsid w:val="002B0496"/>
    <w:rsid w:val="002B1718"/>
    <w:rsid w:val="002B1A6B"/>
    <w:rsid w:val="002B225F"/>
    <w:rsid w:val="002B3D72"/>
    <w:rsid w:val="002B4033"/>
    <w:rsid w:val="002B463C"/>
    <w:rsid w:val="002B4D58"/>
    <w:rsid w:val="002B5142"/>
    <w:rsid w:val="002B531A"/>
    <w:rsid w:val="002B57F9"/>
    <w:rsid w:val="002B5C73"/>
    <w:rsid w:val="002B5E6F"/>
    <w:rsid w:val="002B68C1"/>
    <w:rsid w:val="002B6A8D"/>
    <w:rsid w:val="002B728D"/>
    <w:rsid w:val="002C1AAB"/>
    <w:rsid w:val="002C1AF8"/>
    <w:rsid w:val="002C28D0"/>
    <w:rsid w:val="002C28DA"/>
    <w:rsid w:val="002C3190"/>
    <w:rsid w:val="002C31C3"/>
    <w:rsid w:val="002C3703"/>
    <w:rsid w:val="002C4F1F"/>
    <w:rsid w:val="002C5826"/>
    <w:rsid w:val="002C59D1"/>
    <w:rsid w:val="002C5E9D"/>
    <w:rsid w:val="002C63BF"/>
    <w:rsid w:val="002C6A5A"/>
    <w:rsid w:val="002C7800"/>
    <w:rsid w:val="002D0A21"/>
    <w:rsid w:val="002D0B37"/>
    <w:rsid w:val="002D2010"/>
    <w:rsid w:val="002D238D"/>
    <w:rsid w:val="002D316A"/>
    <w:rsid w:val="002D4456"/>
    <w:rsid w:val="002D65C2"/>
    <w:rsid w:val="002D6A59"/>
    <w:rsid w:val="002D6D80"/>
    <w:rsid w:val="002D6E77"/>
    <w:rsid w:val="002D7E90"/>
    <w:rsid w:val="002E07EB"/>
    <w:rsid w:val="002E0C29"/>
    <w:rsid w:val="002E1040"/>
    <w:rsid w:val="002E1A51"/>
    <w:rsid w:val="002E1DF5"/>
    <w:rsid w:val="002E277A"/>
    <w:rsid w:val="002E299D"/>
    <w:rsid w:val="002E4AD7"/>
    <w:rsid w:val="002E4E0E"/>
    <w:rsid w:val="002E4EEF"/>
    <w:rsid w:val="002E4F9E"/>
    <w:rsid w:val="002E5214"/>
    <w:rsid w:val="002E52AE"/>
    <w:rsid w:val="002E65F4"/>
    <w:rsid w:val="002E6F7F"/>
    <w:rsid w:val="002E77BD"/>
    <w:rsid w:val="002F0017"/>
    <w:rsid w:val="002F01F6"/>
    <w:rsid w:val="002F0205"/>
    <w:rsid w:val="002F0A47"/>
    <w:rsid w:val="002F153A"/>
    <w:rsid w:val="002F2992"/>
    <w:rsid w:val="002F2AC6"/>
    <w:rsid w:val="002F2E4F"/>
    <w:rsid w:val="002F34C3"/>
    <w:rsid w:val="002F4573"/>
    <w:rsid w:val="002F482F"/>
    <w:rsid w:val="002F5791"/>
    <w:rsid w:val="002F71F8"/>
    <w:rsid w:val="002F793A"/>
    <w:rsid w:val="002F7BFB"/>
    <w:rsid w:val="003010EB"/>
    <w:rsid w:val="00301A95"/>
    <w:rsid w:val="003024AA"/>
    <w:rsid w:val="00302779"/>
    <w:rsid w:val="00302B57"/>
    <w:rsid w:val="00304A37"/>
    <w:rsid w:val="003061F5"/>
    <w:rsid w:val="00306520"/>
    <w:rsid w:val="003073ED"/>
    <w:rsid w:val="0030784B"/>
    <w:rsid w:val="00311260"/>
    <w:rsid w:val="0031139A"/>
    <w:rsid w:val="00311873"/>
    <w:rsid w:val="00311BDC"/>
    <w:rsid w:val="00312C4B"/>
    <w:rsid w:val="003132BE"/>
    <w:rsid w:val="003132CF"/>
    <w:rsid w:val="00313A20"/>
    <w:rsid w:val="00313E56"/>
    <w:rsid w:val="003145C7"/>
    <w:rsid w:val="00314794"/>
    <w:rsid w:val="00314894"/>
    <w:rsid w:val="00315368"/>
    <w:rsid w:val="00315434"/>
    <w:rsid w:val="0031543C"/>
    <w:rsid w:val="00315AA0"/>
    <w:rsid w:val="00315E1B"/>
    <w:rsid w:val="003166A7"/>
    <w:rsid w:val="00317CC3"/>
    <w:rsid w:val="003200D7"/>
    <w:rsid w:val="003217FD"/>
    <w:rsid w:val="003218C3"/>
    <w:rsid w:val="00322912"/>
    <w:rsid w:val="00322B6F"/>
    <w:rsid w:val="003247DB"/>
    <w:rsid w:val="00324809"/>
    <w:rsid w:val="0032482D"/>
    <w:rsid w:val="00326A3F"/>
    <w:rsid w:val="003276C2"/>
    <w:rsid w:val="003277FF"/>
    <w:rsid w:val="003306E9"/>
    <w:rsid w:val="00330838"/>
    <w:rsid w:val="00330C9A"/>
    <w:rsid w:val="00331D9B"/>
    <w:rsid w:val="00332537"/>
    <w:rsid w:val="00332EED"/>
    <w:rsid w:val="00333101"/>
    <w:rsid w:val="00333537"/>
    <w:rsid w:val="003343C5"/>
    <w:rsid w:val="00334681"/>
    <w:rsid w:val="00334A96"/>
    <w:rsid w:val="00334CE8"/>
    <w:rsid w:val="0033569B"/>
    <w:rsid w:val="003356A3"/>
    <w:rsid w:val="00337E4D"/>
    <w:rsid w:val="00340219"/>
    <w:rsid w:val="00340F46"/>
    <w:rsid w:val="00341055"/>
    <w:rsid w:val="0034117F"/>
    <w:rsid w:val="003412E7"/>
    <w:rsid w:val="00341576"/>
    <w:rsid w:val="00342DF4"/>
    <w:rsid w:val="00343817"/>
    <w:rsid w:val="00343902"/>
    <w:rsid w:val="00345F05"/>
    <w:rsid w:val="00350081"/>
    <w:rsid w:val="00350C39"/>
    <w:rsid w:val="00350DD9"/>
    <w:rsid w:val="003510D5"/>
    <w:rsid w:val="003512A9"/>
    <w:rsid w:val="00351A08"/>
    <w:rsid w:val="00351EDD"/>
    <w:rsid w:val="003521F7"/>
    <w:rsid w:val="003532D1"/>
    <w:rsid w:val="00353CF2"/>
    <w:rsid w:val="00354BC1"/>
    <w:rsid w:val="00355588"/>
    <w:rsid w:val="003561BF"/>
    <w:rsid w:val="00356734"/>
    <w:rsid w:val="003574B2"/>
    <w:rsid w:val="003578D3"/>
    <w:rsid w:val="00360002"/>
    <w:rsid w:val="003605F8"/>
    <w:rsid w:val="003619C0"/>
    <w:rsid w:val="0036209F"/>
    <w:rsid w:val="003627EC"/>
    <w:rsid w:val="003636FB"/>
    <w:rsid w:val="00363FB4"/>
    <w:rsid w:val="003645AC"/>
    <w:rsid w:val="00365B97"/>
    <w:rsid w:val="00366764"/>
    <w:rsid w:val="00366D1C"/>
    <w:rsid w:val="00367098"/>
    <w:rsid w:val="003674F0"/>
    <w:rsid w:val="003676A7"/>
    <w:rsid w:val="003677C6"/>
    <w:rsid w:val="0037084B"/>
    <w:rsid w:val="00370896"/>
    <w:rsid w:val="003709D0"/>
    <w:rsid w:val="003721BD"/>
    <w:rsid w:val="003722C5"/>
    <w:rsid w:val="00372DFB"/>
    <w:rsid w:val="003748A2"/>
    <w:rsid w:val="0037639A"/>
    <w:rsid w:val="003764AE"/>
    <w:rsid w:val="003769D6"/>
    <w:rsid w:val="003804E8"/>
    <w:rsid w:val="003805B4"/>
    <w:rsid w:val="00381990"/>
    <w:rsid w:val="0038420D"/>
    <w:rsid w:val="00384216"/>
    <w:rsid w:val="003845AE"/>
    <w:rsid w:val="003847A0"/>
    <w:rsid w:val="00384A23"/>
    <w:rsid w:val="00384FD5"/>
    <w:rsid w:val="00386029"/>
    <w:rsid w:val="0038751B"/>
    <w:rsid w:val="003920D8"/>
    <w:rsid w:val="003926FF"/>
    <w:rsid w:val="003928E0"/>
    <w:rsid w:val="00392C96"/>
    <w:rsid w:val="0039311F"/>
    <w:rsid w:val="003932A3"/>
    <w:rsid w:val="00393C13"/>
    <w:rsid w:val="00394A4B"/>
    <w:rsid w:val="00394FA4"/>
    <w:rsid w:val="0039511A"/>
    <w:rsid w:val="0039583E"/>
    <w:rsid w:val="0039653F"/>
    <w:rsid w:val="0039660F"/>
    <w:rsid w:val="0039681C"/>
    <w:rsid w:val="00396CAE"/>
    <w:rsid w:val="00397789"/>
    <w:rsid w:val="003978F1"/>
    <w:rsid w:val="00397999"/>
    <w:rsid w:val="003A11A2"/>
    <w:rsid w:val="003A23BF"/>
    <w:rsid w:val="003A26CB"/>
    <w:rsid w:val="003A2808"/>
    <w:rsid w:val="003A2D18"/>
    <w:rsid w:val="003A2D30"/>
    <w:rsid w:val="003A2DBF"/>
    <w:rsid w:val="003B059D"/>
    <w:rsid w:val="003B08F3"/>
    <w:rsid w:val="003B0DF2"/>
    <w:rsid w:val="003B0FA7"/>
    <w:rsid w:val="003B2CBE"/>
    <w:rsid w:val="003B3840"/>
    <w:rsid w:val="003B403B"/>
    <w:rsid w:val="003B4430"/>
    <w:rsid w:val="003B5125"/>
    <w:rsid w:val="003B5235"/>
    <w:rsid w:val="003B54CA"/>
    <w:rsid w:val="003B6CB7"/>
    <w:rsid w:val="003B6CDF"/>
    <w:rsid w:val="003B726C"/>
    <w:rsid w:val="003B7688"/>
    <w:rsid w:val="003C0A35"/>
    <w:rsid w:val="003C15D0"/>
    <w:rsid w:val="003C2836"/>
    <w:rsid w:val="003C30EF"/>
    <w:rsid w:val="003C4183"/>
    <w:rsid w:val="003C56C4"/>
    <w:rsid w:val="003C648D"/>
    <w:rsid w:val="003C6594"/>
    <w:rsid w:val="003C7A9E"/>
    <w:rsid w:val="003D075A"/>
    <w:rsid w:val="003D20A9"/>
    <w:rsid w:val="003D2754"/>
    <w:rsid w:val="003D2CD2"/>
    <w:rsid w:val="003D4C6A"/>
    <w:rsid w:val="003D4F55"/>
    <w:rsid w:val="003D573C"/>
    <w:rsid w:val="003D59E2"/>
    <w:rsid w:val="003D5EBE"/>
    <w:rsid w:val="003D7133"/>
    <w:rsid w:val="003D7D5B"/>
    <w:rsid w:val="003D7E0C"/>
    <w:rsid w:val="003E0A77"/>
    <w:rsid w:val="003E1266"/>
    <w:rsid w:val="003E4795"/>
    <w:rsid w:val="003E5A4D"/>
    <w:rsid w:val="003E5EBE"/>
    <w:rsid w:val="003E6E62"/>
    <w:rsid w:val="003E7168"/>
    <w:rsid w:val="003E76A5"/>
    <w:rsid w:val="003E7963"/>
    <w:rsid w:val="003E7D39"/>
    <w:rsid w:val="003F05DE"/>
    <w:rsid w:val="003F0728"/>
    <w:rsid w:val="003F1CCD"/>
    <w:rsid w:val="003F2057"/>
    <w:rsid w:val="003F24BA"/>
    <w:rsid w:val="003F2620"/>
    <w:rsid w:val="003F2AF1"/>
    <w:rsid w:val="003F3113"/>
    <w:rsid w:val="003F3C5A"/>
    <w:rsid w:val="003F4B65"/>
    <w:rsid w:val="003F5100"/>
    <w:rsid w:val="003F52FE"/>
    <w:rsid w:val="003F683B"/>
    <w:rsid w:val="003F74BA"/>
    <w:rsid w:val="003F7893"/>
    <w:rsid w:val="003F7EF4"/>
    <w:rsid w:val="00401084"/>
    <w:rsid w:val="00402978"/>
    <w:rsid w:val="00402FD1"/>
    <w:rsid w:val="004034D1"/>
    <w:rsid w:val="00403EA7"/>
    <w:rsid w:val="0040511A"/>
    <w:rsid w:val="00405175"/>
    <w:rsid w:val="004068A8"/>
    <w:rsid w:val="00407557"/>
    <w:rsid w:val="004100AE"/>
    <w:rsid w:val="0041112D"/>
    <w:rsid w:val="00411797"/>
    <w:rsid w:val="00412D71"/>
    <w:rsid w:val="00413003"/>
    <w:rsid w:val="00413CEA"/>
    <w:rsid w:val="00416B37"/>
    <w:rsid w:val="00417BFA"/>
    <w:rsid w:val="00420776"/>
    <w:rsid w:val="00420EE5"/>
    <w:rsid w:val="0042103D"/>
    <w:rsid w:val="004214E7"/>
    <w:rsid w:val="0042163B"/>
    <w:rsid w:val="00421B3E"/>
    <w:rsid w:val="00421B56"/>
    <w:rsid w:val="00422B19"/>
    <w:rsid w:val="00422F02"/>
    <w:rsid w:val="00422F53"/>
    <w:rsid w:val="00423F10"/>
    <w:rsid w:val="004241B5"/>
    <w:rsid w:val="00424F61"/>
    <w:rsid w:val="00425FF4"/>
    <w:rsid w:val="00426571"/>
    <w:rsid w:val="00426A24"/>
    <w:rsid w:val="00426C8C"/>
    <w:rsid w:val="004277C3"/>
    <w:rsid w:val="00427EE1"/>
    <w:rsid w:val="0043065E"/>
    <w:rsid w:val="004313C2"/>
    <w:rsid w:val="00431BA9"/>
    <w:rsid w:val="00432FCC"/>
    <w:rsid w:val="00435168"/>
    <w:rsid w:val="0043527E"/>
    <w:rsid w:val="00435750"/>
    <w:rsid w:val="00436FC6"/>
    <w:rsid w:val="00437062"/>
    <w:rsid w:val="00437ECE"/>
    <w:rsid w:val="00441981"/>
    <w:rsid w:val="004422E2"/>
    <w:rsid w:val="0044248F"/>
    <w:rsid w:val="004424C3"/>
    <w:rsid w:val="004426DE"/>
    <w:rsid w:val="004434A1"/>
    <w:rsid w:val="00443548"/>
    <w:rsid w:val="00443867"/>
    <w:rsid w:val="00443AB6"/>
    <w:rsid w:val="004462D1"/>
    <w:rsid w:val="00447880"/>
    <w:rsid w:val="00450D49"/>
    <w:rsid w:val="0045109C"/>
    <w:rsid w:val="00451852"/>
    <w:rsid w:val="00451C93"/>
    <w:rsid w:val="00453CBA"/>
    <w:rsid w:val="00453FD2"/>
    <w:rsid w:val="00454030"/>
    <w:rsid w:val="00454E27"/>
    <w:rsid w:val="00454ED3"/>
    <w:rsid w:val="00454FCD"/>
    <w:rsid w:val="00455F2D"/>
    <w:rsid w:val="00455FF5"/>
    <w:rsid w:val="004562DB"/>
    <w:rsid w:val="004563DA"/>
    <w:rsid w:val="0045775D"/>
    <w:rsid w:val="004577C9"/>
    <w:rsid w:val="00461BDF"/>
    <w:rsid w:val="00462662"/>
    <w:rsid w:val="004632E2"/>
    <w:rsid w:val="00464E84"/>
    <w:rsid w:val="00466D10"/>
    <w:rsid w:val="00466EC0"/>
    <w:rsid w:val="00470B03"/>
    <w:rsid w:val="00470C3C"/>
    <w:rsid w:val="00471B55"/>
    <w:rsid w:val="004721FE"/>
    <w:rsid w:val="00472674"/>
    <w:rsid w:val="00472C89"/>
    <w:rsid w:val="00472E2C"/>
    <w:rsid w:val="00472ED1"/>
    <w:rsid w:val="004730B3"/>
    <w:rsid w:val="0047327D"/>
    <w:rsid w:val="00474DCA"/>
    <w:rsid w:val="004769F4"/>
    <w:rsid w:val="00476A0F"/>
    <w:rsid w:val="00476C91"/>
    <w:rsid w:val="0048005C"/>
    <w:rsid w:val="00482B98"/>
    <w:rsid w:val="00482C0A"/>
    <w:rsid w:val="0048502D"/>
    <w:rsid w:val="00485D30"/>
    <w:rsid w:val="004862A3"/>
    <w:rsid w:val="00486D5A"/>
    <w:rsid w:val="00486D85"/>
    <w:rsid w:val="00490272"/>
    <w:rsid w:val="004904F8"/>
    <w:rsid w:val="004908E9"/>
    <w:rsid w:val="00491F0A"/>
    <w:rsid w:val="00493D1F"/>
    <w:rsid w:val="0049458B"/>
    <w:rsid w:val="00494A11"/>
    <w:rsid w:val="0049511E"/>
    <w:rsid w:val="00495DC7"/>
    <w:rsid w:val="00495DEC"/>
    <w:rsid w:val="00495EBE"/>
    <w:rsid w:val="004961AC"/>
    <w:rsid w:val="00496DE0"/>
    <w:rsid w:val="004A0399"/>
    <w:rsid w:val="004A074B"/>
    <w:rsid w:val="004A2D1E"/>
    <w:rsid w:val="004A42FF"/>
    <w:rsid w:val="004A4C0A"/>
    <w:rsid w:val="004A5161"/>
    <w:rsid w:val="004A59F6"/>
    <w:rsid w:val="004A5DCC"/>
    <w:rsid w:val="004A643D"/>
    <w:rsid w:val="004A67C5"/>
    <w:rsid w:val="004A717D"/>
    <w:rsid w:val="004A728A"/>
    <w:rsid w:val="004A7F85"/>
    <w:rsid w:val="004B0578"/>
    <w:rsid w:val="004B05C2"/>
    <w:rsid w:val="004B0EAC"/>
    <w:rsid w:val="004B1C9E"/>
    <w:rsid w:val="004B1FE0"/>
    <w:rsid w:val="004B2D0B"/>
    <w:rsid w:val="004B2E3A"/>
    <w:rsid w:val="004B3D17"/>
    <w:rsid w:val="004B4BE7"/>
    <w:rsid w:val="004B62BE"/>
    <w:rsid w:val="004B65CB"/>
    <w:rsid w:val="004C1597"/>
    <w:rsid w:val="004C15E4"/>
    <w:rsid w:val="004C1D7B"/>
    <w:rsid w:val="004C228F"/>
    <w:rsid w:val="004C2340"/>
    <w:rsid w:val="004C4F26"/>
    <w:rsid w:val="004C4F9B"/>
    <w:rsid w:val="004C5ACF"/>
    <w:rsid w:val="004C7309"/>
    <w:rsid w:val="004D0556"/>
    <w:rsid w:val="004D0F6A"/>
    <w:rsid w:val="004D3528"/>
    <w:rsid w:val="004D3BAB"/>
    <w:rsid w:val="004D4929"/>
    <w:rsid w:val="004D4D8E"/>
    <w:rsid w:val="004D5B9B"/>
    <w:rsid w:val="004D5C9C"/>
    <w:rsid w:val="004D76D4"/>
    <w:rsid w:val="004D7C79"/>
    <w:rsid w:val="004E00A3"/>
    <w:rsid w:val="004E0589"/>
    <w:rsid w:val="004E1A18"/>
    <w:rsid w:val="004E29D2"/>
    <w:rsid w:val="004E3100"/>
    <w:rsid w:val="004E32E2"/>
    <w:rsid w:val="004E3BFF"/>
    <w:rsid w:val="004E4F9E"/>
    <w:rsid w:val="004E6E2E"/>
    <w:rsid w:val="004E7AC2"/>
    <w:rsid w:val="004F088A"/>
    <w:rsid w:val="004F0CD5"/>
    <w:rsid w:val="004F0D20"/>
    <w:rsid w:val="004F2BF5"/>
    <w:rsid w:val="004F47D4"/>
    <w:rsid w:val="004F47DD"/>
    <w:rsid w:val="004F640E"/>
    <w:rsid w:val="00502857"/>
    <w:rsid w:val="00502CB4"/>
    <w:rsid w:val="00505362"/>
    <w:rsid w:val="00505D83"/>
    <w:rsid w:val="005061C8"/>
    <w:rsid w:val="0050706D"/>
    <w:rsid w:val="005078DB"/>
    <w:rsid w:val="005105A7"/>
    <w:rsid w:val="0051082F"/>
    <w:rsid w:val="005113D5"/>
    <w:rsid w:val="00511BA0"/>
    <w:rsid w:val="00511F74"/>
    <w:rsid w:val="00512EBF"/>
    <w:rsid w:val="005130F7"/>
    <w:rsid w:val="00514BD9"/>
    <w:rsid w:val="00515455"/>
    <w:rsid w:val="00515FB1"/>
    <w:rsid w:val="0051658B"/>
    <w:rsid w:val="00520C4F"/>
    <w:rsid w:val="005212EC"/>
    <w:rsid w:val="00522E15"/>
    <w:rsid w:val="005239A8"/>
    <w:rsid w:val="00524A1D"/>
    <w:rsid w:val="0052559D"/>
    <w:rsid w:val="00525608"/>
    <w:rsid w:val="00525EC5"/>
    <w:rsid w:val="00526000"/>
    <w:rsid w:val="005269E3"/>
    <w:rsid w:val="005302E6"/>
    <w:rsid w:val="00530CC4"/>
    <w:rsid w:val="00532517"/>
    <w:rsid w:val="00532AD8"/>
    <w:rsid w:val="00533324"/>
    <w:rsid w:val="00534B48"/>
    <w:rsid w:val="00541E01"/>
    <w:rsid w:val="00543A23"/>
    <w:rsid w:val="005450EF"/>
    <w:rsid w:val="005452BA"/>
    <w:rsid w:val="00545A59"/>
    <w:rsid w:val="00546301"/>
    <w:rsid w:val="00546ED6"/>
    <w:rsid w:val="005475B3"/>
    <w:rsid w:val="00547DDD"/>
    <w:rsid w:val="005505DC"/>
    <w:rsid w:val="00550732"/>
    <w:rsid w:val="00550972"/>
    <w:rsid w:val="00550B8D"/>
    <w:rsid w:val="00550BD4"/>
    <w:rsid w:val="00550FA6"/>
    <w:rsid w:val="00552B74"/>
    <w:rsid w:val="005530A6"/>
    <w:rsid w:val="005530DC"/>
    <w:rsid w:val="005536E9"/>
    <w:rsid w:val="00554C8B"/>
    <w:rsid w:val="00554F1F"/>
    <w:rsid w:val="005566E3"/>
    <w:rsid w:val="0055677F"/>
    <w:rsid w:val="0056001F"/>
    <w:rsid w:val="005619DE"/>
    <w:rsid w:val="00561D91"/>
    <w:rsid w:val="00561FDF"/>
    <w:rsid w:val="005620CC"/>
    <w:rsid w:val="00562134"/>
    <w:rsid w:val="00562EF3"/>
    <w:rsid w:val="00565D7E"/>
    <w:rsid w:val="00566970"/>
    <w:rsid w:val="00566A32"/>
    <w:rsid w:val="00566B6A"/>
    <w:rsid w:val="00567059"/>
    <w:rsid w:val="00567516"/>
    <w:rsid w:val="0056783E"/>
    <w:rsid w:val="00572950"/>
    <w:rsid w:val="00572E89"/>
    <w:rsid w:val="00573DA1"/>
    <w:rsid w:val="00573FEB"/>
    <w:rsid w:val="00574A73"/>
    <w:rsid w:val="0057592F"/>
    <w:rsid w:val="0057667F"/>
    <w:rsid w:val="005803CA"/>
    <w:rsid w:val="0058048D"/>
    <w:rsid w:val="00583043"/>
    <w:rsid w:val="0058382A"/>
    <w:rsid w:val="00583BD1"/>
    <w:rsid w:val="005854B2"/>
    <w:rsid w:val="00585655"/>
    <w:rsid w:val="00585BD7"/>
    <w:rsid w:val="00585D2D"/>
    <w:rsid w:val="0058626F"/>
    <w:rsid w:val="00590243"/>
    <w:rsid w:val="00591A33"/>
    <w:rsid w:val="00591B5B"/>
    <w:rsid w:val="0059258D"/>
    <w:rsid w:val="00593935"/>
    <w:rsid w:val="0059486A"/>
    <w:rsid w:val="00595405"/>
    <w:rsid w:val="00595BCB"/>
    <w:rsid w:val="00596285"/>
    <w:rsid w:val="005965B6"/>
    <w:rsid w:val="00596E3E"/>
    <w:rsid w:val="00597C53"/>
    <w:rsid w:val="005A258A"/>
    <w:rsid w:val="005A3316"/>
    <w:rsid w:val="005A46FA"/>
    <w:rsid w:val="005A5AA0"/>
    <w:rsid w:val="005A6D5E"/>
    <w:rsid w:val="005A6F88"/>
    <w:rsid w:val="005A78B3"/>
    <w:rsid w:val="005A7C1B"/>
    <w:rsid w:val="005B03CA"/>
    <w:rsid w:val="005B1C1C"/>
    <w:rsid w:val="005B2053"/>
    <w:rsid w:val="005B27B7"/>
    <w:rsid w:val="005B359F"/>
    <w:rsid w:val="005B40A4"/>
    <w:rsid w:val="005B44D2"/>
    <w:rsid w:val="005B4DA7"/>
    <w:rsid w:val="005B51C0"/>
    <w:rsid w:val="005B759A"/>
    <w:rsid w:val="005C077F"/>
    <w:rsid w:val="005C0DE4"/>
    <w:rsid w:val="005C24B4"/>
    <w:rsid w:val="005C2C7D"/>
    <w:rsid w:val="005C3565"/>
    <w:rsid w:val="005C381E"/>
    <w:rsid w:val="005C3BF0"/>
    <w:rsid w:val="005C40B7"/>
    <w:rsid w:val="005C4D1C"/>
    <w:rsid w:val="005C5F8D"/>
    <w:rsid w:val="005C6B75"/>
    <w:rsid w:val="005C7D76"/>
    <w:rsid w:val="005C7D8F"/>
    <w:rsid w:val="005D01FC"/>
    <w:rsid w:val="005D0533"/>
    <w:rsid w:val="005D085C"/>
    <w:rsid w:val="005D0868"/>
    <w:rsid w:val="005D0A34"/>
    <w:rsid w:val="005D228C"/>
    <w:rsid w:val="005D26EC"/>
    <w:rsid w:val="005D2B9D"/>
    <w:rsid w:val="005D3DAD"/>
    <w:rsid w:val="005D4923"/>
    <w:rsid w:val="005D49CA"/>
    <w:rsid w:val="005D50D5"/>
    <w:rsid w:val="005D53ED"/>
    <w:rsid w:val="005D5769"/>
    <w:rsid w:val="005D5779"/>
    <w:rsid w:val="005D675E"/>
    <w:rsid w:val="005D760E"/>
    <w:rsid w:val="005D7948"/>
    <w:rsid w:val="005E0BDD"/>
    <w:rsid w:val="005E115C"/>
    <w:rsid w:val="005E2F38"/>
    <w:rsid w:val="005E2F76"/>
    <w:rsid w:val="005E38D9"/>
    <w:rsid w:val="005E46E7"/>
    <w:rsid w:val="005E4C9C"/>
    <w:rsid w:val="005E5223"/>
    <w:rsid w:val="005E58E4"/>
    <w:rsid w:val="005E5923"/>
    <w:rsid w:val="005E6A64"/>
    <w:rsid w:val="005E6AC9"/>
    <w:rsid w:val="005E7966"/>
    <w:rsid w:val="005F24F6"/>
    <w:rsid w:val="005F2CF6"/>
    <w:rsid w:val="005F3154"/>
    <w:rsid w:val="005F36FB"/>
    <w:rsid w:val="005F4960"/>
    <w:rsid w:val="005F5F59"/>
    <w:rsid w:val="005F67C9"/>
    <w:rsid w:val="005F6B82"/>
    <w:rsid w:val="005F71D7"/>
    <w:rsid w:val="0060023E"/>
    <w:rsid w:val="00600E3D"/>
    <w:rsid w:val="00601496"/>
    <w:rsid w:val="00604827"/>
    <w:rsid w:val="00604F05"/>
    <w:rsid w:val="00605B7D"/>
    <w:rsid w:val="006112DF"/>
    <w:rsid w:val="00611623"/>
    <w:rsid w:val="00612684"/>
    <w:rsid w:val="0061288B"/>
    <w:rsid w:val="00613517"/>
    <w:rsid w:val="00613E30"/>
    <w:rsid w:val="006158A0"/>
    <w:rsid w:val="0061688B"/>
    <w:rsid w:val="00616F85"/>
    <w:rsid w:val="00620A52"/>
    <w:rsid w:val="00621AFC"/>
    <w:rsid w:val="00622181"/>
    <w:rsid w:val="006221AF"/>
    <w:rsid w:val="00622FE6"/>
    <w:rsid w:val="006233C9"/>
    <w:rsid w:val="00624B2F"/>
    <w:rsid w:val="006253BE"/>
    <w:rsid w:val="006262B2"/>
    <w:rsid w:val="00627907"/>
    <w:rsid w:val="00627CBE"/>
    <w:rsid w:val="006300EB"/>
    <w:rsid w:val="00631527"/>
    <w:rsid w:val="00631D71"/>
    <w:rsid w:val="00632D4D"/>
    <w:rsid w:val="00633813"/>
    <w:rsid w:val="00634866"/>
    <w:rsid w:val="006353FC"/>
    <w:rsid w:val="0063605D"/>
    <w:rsid w:val="00636FA5"/>
    <w:rsid w:val="00637075"/>
    <w:rsid w:val="00637B1E"/>
    <w:rsid w:val="006418AD"/>
    <w:rsid w:val="00643B00"/>
    <w:rsid w:val="00643CAB"/>
    <w:rsid w:val="00644058"/>
    <w:rsid w:val="00644C9C"/>
    <w:rsid w:val="00644F0C"/>
    <w:rsid w:val="0064547B"/>
    <w:rsid w:val="00646510"/>
    <w:rsid w:val="00646D4E"/>
    <w:rsid w:val="006477B4"/>
    <w:rsid w:val="00647E86"/>
    <w:rsid w:val="0065009D"/>
    <w:rsid w:val="0065017C"/>
    <w:rsid w:val="0065090F"/>
    <w:rsid w:val="00650C39"/>
    <w:rsid w:val="00650DB5"/>
    <w:rsid w:val="006516F1"/>
    <w:rsid w:val="00652BD3"/>
    <w:rsid w:val="00655001"/>
    <w:rsid w:val="00655161"/>
    <w:rsid w:val="00655EC7"/>
    <w:rsid w:val="00656796"/>
    <w:rsid w:val="00656CFE"/>
    <w:rsid w:val="00656E43"/>
    <w:rsid w:val="00660F9B"/>
    <w:rsid w:val="00661E17"/>
    <w:rsid w:val="00662A4B"/>
    <w:rsid w:val="00663751"/>
    <w:rsid w:val="006649E2"/>
    <w:rsid w:val="00664CAD"/>
    <w:rsid w:val="00664D7F"/>
    <w:rsid w:val="0066590D"/>
    <w:rsid w:val="00666D33"/>
    <w:rsid w:val="0066756F"/>
    <w:rsid w:val="00667722"/>
    <w:rsid w:val="00670C14"/>
    <w:rsid w:val="00671842"/>
    <w:rsid w:val="00671E33"/>
    <w:rsid w:val="00672C47"/>
    <w:rsid w:val="00673025"/>
    <w:rsid w:val="0067459A"/>
    <w:rsid w:val="00675A8F"/>
    <w:rsid w:val="00675AA4"/>
    <w:rsid w:val="006769AC"/>
    <w:rsid w:val="00676E6D"/>
    <w:rsid w:val="00676EB9"/>
    <w:rsid w:val="00677031"/>
    <w:rsid w:val="006773F2"/>
    <w:rsid w:val="00677805"/>
    <w:rsid w:val="00677A90"/>
    <w:rsid w:val="006820D2"/>
    <w:rsid w:val="006834B2"/>
    <w:rsid w:val="00685558"/>
    <w:rsid w:val="006856BE"/>
    <w:rsid w:val="00686B52"/>
    <w:rsid w:val="00687DBE"/>
    <w:rsid w:val="006905CA"/>
    <w:rsid w:val="00690AA6"/>
    <w:rsid w:val="006919E1"/>
    <w:rsid w:val="00693A3A"/>
    <w:rsid w:val="00694B31"/>
    <w:rsid w:val="006954AA"/>
    <w:rsid w:val="00695CF3"/>
    <w:rsid w:val="00697303"/>
    <w:rsid w:val="006A0012"/>
    <w:rsid w:val="006A03AE"/>
    <w:rsid w:val="006A0908"/>
    <w:rsid w:val="006A0EEC"/>
    <w:rsid w:val="006A1047"/>
    <w:rsid w:val="006A1155"/>
    <w:rsid w:val="006A193B"/>
    <w:rsid w:val="006A2454"/>
    <w:rsid w:val="006A33F8"/>
    <w:rsid w:val="006A41A7"/>
    <w:rsid w:val="006A518D"/>
    <w:rsid w:val="006A5964"/>
    <w:rsid w:val="006A60C6"/>
    <w:rsid w:val="006B1B78"/>
    <w:rsid w:val="006B2B04"/>
    <w:rsid w:val="006B2E8D"/>
    <w:rsid w:val="006B2F82"/>
    <w:rsid w:val="006B3307"/>
    <w:rsid w:val="006B3570"/>
    <w:rsid w:val="006B3735"/>
    <w:rsid w:val="006B3ADF"/>
    <w:rsid w:val="006B4AA7"/>
    <w:rsid w:val="006B5088"/>
    <w:rsid w:val="006B5B49"/>
    <w:rsid w:val="006B60A2"/>
    <w:rsid w:val="006B750D"/>
    <w:rsid w:val="006B7AF3"/>
    <w:rsid w:val="006B7CDA"/>
    <w:rsid w:val="006C089D"/>
    <w:rsid w:val="006C286C"/>
    <w:rsid w:val="006C2D11"/>
    <w:rsid w:val="006C2D73"/>
    <w:rsid w:val="006C3E35"/>
    <w:rsid w:val="006C4F1F"/>
    <w:rsid w:val="006C564B"/>
    <w:rsid w:val="006C5B3A"/>
    <w:rsid w:val="006D0AC7"/>
    <w:rsid w:val="006D1475"/>
    <w:rsid w:val="006D4235"/>
    <w:rsid w:val="006D437F"/>
    <w:rsid w:val="006D6D02"/>
    <w:rsid w:val="006D7F7B"/>
    <w:rsid w:val="006E1411"/>
    <w:rsid w:val="006E156D"/>
    <w:rsid w:val="006E1B83"/>
    <w:rsid w:val="006E24F2"/>
    <w:rsid w:val="006E2CDA"/>
    <w:rsid w:val="006E497B"/>
    <w:rsid w:val="006E5AD0"/>
    <w:rsid w:val="006E603F"/>
    <w:rsid w:val="006E6888"/>
    <w:rsid w:val="006E7082"/>
    <w:rsid w:val="006E7987"/>
    <w:rsid w:val="006E7C59"/>
    <w:rsid w:val="006F0EC7"/>
    <w:rsid w:val="006F1BE2"/>
    <w:rsid w:val="006F1BFF"/>
    <w:rsid w:val="006F1DFB"/>
    <w:rsid w:val="006F3308"/>
    <w:rsid w:val="006F35B8"/>
    <w:rsid w:val="006F3FA8"/>
    <w:rsid w:val="006F4040"/>
    <w:rsid w:val="006F629D"/>
    <w:rsid w:val="006F658E"/>
    <w:rsid w:val="006F79DD"/>
    <w:rsid w:val="00700A72"/>
    <w:rsid w:val="00700EC6"/>
    <w:rsid w:val="007012C9"/>
    <w:rsid w:val="00701F8C"/>
    <w:rsid w:val="00702BB9"/>
    <w:rsid w:val="00702BE1"/>
    <w:rsid w:val="00702F30"/>
    <w:rsid w:val="00704841"/>
    <w:rsid w:val="00704C5E"/>
    <w:rsid w:val="00705073"/>
    <w:rsid w:val="0070537B"/>
    <w:rsid w:val="0070789E"/>
    <w:rsid w:val="00707F43"/>
    <w:rsid w:val="00710D4A"/>
    <w:rsid w:val="00710E14"/>
    <w:rsid w:val="007118BD"/>
    <w:rsid w:val="00711E0C"/>
    <w:rsid w:val="00712114"/>
    <w:rsid w:val="0071238F"/>
    <w:rsid w:val="0071362D"/>
    <w:rsid w:val="00714518"/>
    <w:rsid w:val="00714676"/>
    <w:rsid w:val="00715429"/>
    <w:rsid w:val="007154E8"/>
    <w:rsid w:val="00715F5C"/>
    <w:rsid w:val="00716ECA"/>
    <w:rsid w:val="00716FE3"/>
    <w:rsid w:val="0071710F"/>
    <w:rsid w:val="007204F1"/>
    <w:rsid w:val="00720C8D"/>
    <w:rsid w:val="007211D6"/>
    <w:rsid w:val="007215E7"/>
    <w:rsid w:val="00722120"/>
    <w:rsid w:val="00722EEC"/>
    <w:rsid w:val="007239FB"/>
    <w:rsid w:val="00724273"/>
    <w:rsid w:val="00724723"/>
    <w:rsid w:val="00726D56"/>
    <w:rsid w:val="007274BF"/>
    <w:rsid w:val="007304AA"/>
    <w:rsid w:val="00730C18"/>
    <w:rsid w:val="007313E5"/>
    <w:rsid w:val="007317A7"/>
    <w:rsid w:val="00731AC8"/>
    <w:rsid w:val="00731CB0"/>
    <w:rsid w:val="00731FA9"/>
    <w:rsid w:val="00733323"/>
    <w:rsid w:val="00733401"/>
    <w:rsid w:val="007338B9"/>
    <w:rsid w:val="0073458B"/>
    <w:rsid w:val="007352A3"/>
    <w:rsid w:val="007352BB"/>
    <w:rsid w:val="007357B3"/>
    <w:rsid w:val="00735A0F"/>
    <w:rsid w:val="00735D43"/>
    <w:rsid w:val="007371AD"/>
    <w:rsid w:val="0074003D"/>
    <w:rsid w:val="00740192"/>
    <w:rsid w:val="007411A2"/>
    <w:rsid w:val="007411E8"/>
    <w:rsid w:val="007434B7"/>
    <w:rsid w:val="00745DD0"/>
    <w:rsid w:val="00746081"/>
    <w:rsid w:val="00746B49"/>
    <w:rsid w:val="00747598"/>
    <w:rsid w:val="00747770"/>
    <w:rsid w:val="00747C71"/>
    <w:rsid w:val="00747FE6"/>
    <w:rsid w:val="0075048F"/>
    <w:rsid w:val="00750963"/>
    <w:rsid w:val="00750A99"/>
    <w:rsid w:val="00751F10"/>
    <w:rsid w:val="00751F60"/>
    <w:rsid w:val="00754303"/>
    <w:rsid w:val="00756E72"/>
    <w:rsid w:val="00757458"/>
    <w:rsid w:val="00757F43"/>
    <w:rsid w:val="00760759"/>
    <w:rsid w:val="0076160D"/>
    <w:rsid w:val="007616EB"/>
    <w:rsid w:val="0076189E"/>
    <w:rsid w:val="00761D2C"/>
    <w:rsid w:val="00761D2D"/>
    <w:rsid w:val="00762479"/>
    <w:rsid w:val="00762F63"/>
    <w:rsid w:val="00763224"/>
    <w:rsid w:val="00764314"/>
    <w:rsid w:val="007644A4"/>
    <w:rsid w:val="00764997"/>
    <w:rsid w:val="007651FC"/>
    <w:rsid w:val="007705ED"/>
    <w:rsid w:val="007708DA"/>
    <w:rsid w:val="00771506"/>
    <w:rsid w:val="0077177C"/>
    <w:rsid w:val="0077222D"/>
    <w:rsid w:val="00772E02"/>
    <w:rsid w:val="0077577C"/>
    <w:rsid w:val="00775865"/>
    <w:rsid w:val="00775946"/>
    <w:rsid w:val="00775E01"/>
    <w:rsid w:val="00776F01"/>
    <w:rsid w:val="00776F3A"/>
    <w:rsid w:val="0077703B"/>
    <w:rsid w:val="007812E7"/>
    <w:rsid w:val="00781352"/>
    <w:rsid w:val="007814E5"/>
    <w:rsid w:val="0078520B"/>
    <w:rsid w:val="00785B99"/>
    <w:rsid w:val="00786151"/>
    <w:rsid w:val="00786340"/>
    <w:rsid w:val="007863EF"/>
    <w:rsid w:val="007873DF"/>
    <w:rsid w:val="007909C8"/>
    <w:rsid w:val="007919F5"/>
    <w:rsid w:val="00792361"/>
    <w:rsid w:val="00792C4F"/>
    <w:rsid w:val="0079368C"/>
    <w:rsid w:val="00794190"/>
    <w:rsid w:val="007963FB"/>
    <w:rsid w:val="00796C92"/>
    <w:rsid w:val="007973A1"/>
    <w:rsid w:val="007973F5"/>
    <w:rsid w:val="007977B6"/>
    <w:rsid w:val="007A2B99"/>
    <w:rsid w:val="007A6C60"/>
    <w:rsid w:val="007A72B4"/>
    <w:rsid w:val="007B1757"/>
    <w:rsid w:val="007B1D66"/>
    <w:rsid w:val="007B2DE4"/>
    <w:rsid w:val="007B40D0"/>
    <w:rsid w:val="007B44DF"/>
    <w:rsid w:val="007B4BD1"/>
    <w:rsid w:val="007B5E2F"/>
    <w:rsid w:val="007B61E8"/>
    <w:rsid w:val="007B626C"/>
    <w:rsid w:val="007B6F05"/>
    <w:rsid w:val="007C1100"/>
    <w:rsid w:val="007C26E9"/>
    <w:rsid w:val="007C3581"/>
    <w:rsid w:val="007C39ED"/>
    <w:rsid w:val="007C3D78"/>
    <w:rsid w:val="007C43AE"/>
    <w:rsid w:val="007C47C4"/>
    <w:rsid w:val="007C47DE"/>
    <w:rsid w:val="007C6558"/>
    <w:rsid w:val="007C66B5"/>
    <w:rsid w:val="007C66CB"/>
    <w:rsid w:val="007C7048"/>
    <w:rsid w:val="007C704B"/>
    <w:rsid w:val="007C7050"/>
    <w:rsid w:val="007D0929"/>
    <w:rsid w:val="007D18D4"/>
    <w:rsid w:val="007D1F75"/>
    <w:rsid w:val="007D22E2"/>
    <w:rsid w:val="007D246C"/>
    <w:rsid w:val="007D30BD"/>
    <w:rsid w:val="007D3BD7"/>
    <w:rsid w:val="007D4123"/>
    <w:rsid w:val="007D4337"/>
    <w:rsid w:val="007D65F4"/>
    <w:rsid w:val="007D6661"/>
    <w:rsid w:val="007D6F51"/>
    <w:rsid w:val="007D7F64"/>
    <w:rsid w:val="007E0001"/>
    <w:rsid w:val="007E07BB"/>
    <w:rsid w:val="007E1E70"/>
    <w:rsid w:val="007E27A9"/>
    <w:rsid w:val="007E3CE4"/>
    <w:rsid w:val="007E4497"/>
    <w:rsid w:val="007E4C1A"/>
    <w:rsid w:val="007E6BBB"/>
    <w:rsid w:val="007E722D"/>
    <w:rsid w:val="007F0126"/>
    <w:rsid w:val="007F0696"/>
    <w:rsid w:val="007F0D8F"/>
    <w:rsid w:val="007F14E9"/>
    <w:rsid w:val="007F25F5"/>
    <w:rsid w:val="007F31ED"/>
    <w:rsid w:val="007F3A17"/>
    <w:rsid w:val="007F4210"/>
    <w:rsid w:val="007F4AD7"/>
    <w:rsid w:val="007F53B6"/>
    <w:rsid w:val="007F6EEE"/>
    <w:rsid w:val="007F6EF1"/>
    <w:rsid w:val="007F7195"/>
    <w:rsid w:val="008017C0"/>
    <w:rsid w:val="008017F3"/>
    <w:rsid w:val="008034C2"/>
    <w:rsid w:val="008037D3"/>
    <w:rsid w:val="0080581D"/>
    <w:rsid w:val="00805AD4"/>
    <w:rsid w:val="00805FBC"/>
    <w:rsid w:val="0080686C"/>
    <w:rsid w:val="00813182"/>
    <w:rsid w:val="00814447"/>
    <w:rsid w:val="008144AB"/>
    <w:rsid w:val="008155CF"/>
    <w:rsid w:val="00815ABC"/>
    <w:rsid w:val="0081714A"/>
    <w:rsid w:val="00817421"/>
    <w:rsid w:val="00817B2A"/>
    <w:rsid w:val="008207C5"/>
    <w:rsid w:val="00820CD2"/>
    <w:rsid w:val="00821456"/>
    <w:rsid w:val="0082159A"/>
    <w:rsid w:val="00821B04"/>
    <w:rsid w:val="00822947"/>
    <w:rsid w:val="00823AAC"/>
    <w:rsid w:val="00825508"/>
    <w:rsid w:val="00825732"/>
    <w:rsid w:val="00826B2D"/>
    <w:rsid w:val="00826BDA"/>
    <w:rsid w:val="00830250"/>
    <w:rsid w:val="00830331"/>
    <w:rsid w:val="0083059F"/>
    <w:rsid w:val="00830C38"/>
    <w:rsid w:val="008322FB"/>
    <w:rsid w:val="00832E88"/>
    <w:rsid w:val="0083340E"/>
    <w:rsid w:val="00833FB9"/>
    <w:rsid w:val="008345BD"/>
    <w:rsid w:val="00835087"/>
    <w:rsid w:val="00835760"/>
    <w:rsid w:val="00836428"/>
    <w:rsid w:val="008377D1"/>
    <w:rsid w:val="00837EA1"/>
    <w:rsid w:val="00840AC3"/>
    <w:rsid w:val="00840E3F"/>
    <w:rsid w:val="00842B19"/>
    <w:rsid w:val="008430E1"/>
    <w:rsid w:val="008433F9"/>
    <w:rsid w:val="00844092"/>
    <w:rsid w:val="0084517A"/>
    <w:rsid w:val="00846A9A"/>
    <w:rsid w:val="00847447"/>
    <w:rsid w:val="00847CE1"/>
    <w:rsid w:val="008502AA"/>
    <w:rsid w:val="00852BEF"/>
    <w:rsid w:val="00853045"/>
    <w:rsid w:val="0085380D"/>
    <w:rsid w:val="00854478"/>
    <w:rsid w:val="008568D8"/>
    <w:rsid w:val="008569B4"/>
    <w:rsid w:val="0085764E"/>
    <w:rsid w:val="008615C1"/>
    <w:rsid w:val="00861AE0"/>
    <w:rsid w:val="00861E11"/>
    <w:rsid w:val="00862F65"/>
    <w:rsid w:val="00863AE7"/>
    <w:rsid w:val="00864405"/>
    <w:rsid w:val="008646AE"/>
    <w:rsid w:val="00864B02"/>
    <w:rsid w:val="00867FA6"/>
    <w:rsid w:val="008708A5"/>
    <w:rsid w:val="00870AE7"/>
    <w:rsid w:val="008723A5"/>
    <w:rsid w:val="008729B6"/>
    <w:rsid w:val="008740E8"/>
    <w:rsid w:val="00874789"/>
    <w:rsid w:val="00874D94"/>
    <w:rsid w:val="008764BA"/>
    <w:rsid w:val="00880DE6"/>
    <w:rsid w:val="00880E90"/>
    <w:rsid w:val="008820D2"/>
    <w:rsid w:val="008825FE"/>
    <w:rsid w:val="00883DE5"/>
    <w:rsid w:val="0088527A"/>
    <w:rsid w:val="00885617"/>
    <w:rsid w:val="00886258"/>
    <w:rsid w:val="00886629"/>
    <w:rsid w:val="00886DC9"/>
    <w:rsid w:val="00887639"/>
    <w:rsid w:val="008879E7"/>
    <w:rsid w:val="008903F2"/>
    <w:rsid w:val="008906D8"/>
    <w:rsid w:val="00892F70"/>
    <w:rsid w:val="008931C2"/>
    <w:rsid w:val="0089324D"/>
    <w:rsid w:val="00893B2F"/>
    <w:rsid w:val="00893E61"/>
    <w:rsid w:val="008948D0"/>
    <w:rsid w:val="00894935"/>
    <w:rsid w:val="00894A5F"/>
    <w:rsid w:val="00894FBD"/>
    <w:rsid w:val="00895896"/>
    <w:rsid w:val="00896770"/>
    <w:rsid w:val="008A070B"/>
    <w:rsid w:val="008A080A"/>
    <w:rsid w:val="008A0D75"/>
    <w:rsid w:val="008A22E9"/>
    <w:rsid w:val="008A2CF5"/>
    <w:rsid w:val="008A3379"/>
    <w:rsid w:val="008A4C2D"/>
    <w:rsid w:val="008A565D"/>
    <w:rsid w:val="008A5677"/>
    <w:rsid w:val="008A60D4"/>
    <w:rsid w:val="008A61D3"/>
    <w:rsid w:val="008A729B"/>
    <w:rsid w:val="008A7801"/>
    <w:rsid w:val="008B04CC"/>
    <w:rsid w:val="008B1063"/>
    <w:rsid w:val="008B1755"/>
    <w:rsid w:val="008B194D"/>
    <w:rsid w:val="008B2601"/>
    <w:rsid w:val="008B3EEC"/>
    <w:rsid w:val="008B4B7E"/>
    <w:rsid w:val="008B5AF2"/>
    <w:rsid w:val="008B5FF1"/>
    <w:rsid w:val="008B6249"/>
    <w:rsid w:val="008B654F"/>
    <w:rsid w:val="008B6643"/>
    <w:rsid w:val="008B7358"/>
    <w:rsid w:val="008C03D3"/>
    <w:rsid w:val="008C118C"/>
    <w:rsid w:val="008C18CF"/>
    <w:rsid w:val="008C280B"/>
    <w:rsid w:val="008C2DC8"/>
    <w:rsid w:val="008C30FC"/>
    <w:rsid w:val="008C3DDE"/>
    <w:rsid w:val="008C47EB"/>
    <w:rsid w:val="008C4D16"/>
    <w:rsid w:val="008C547A"/>
    <w:rsid w:val="008C5661"/>
    <w:rsid w:val="008C5AB0"/>
    <w:rsid w:val="008C5ACF"/>
    <w:rsid w:val="008C7339"/>
    <w:rsid w:val="008C7556"/>
    <w:rsid w:val="008C78F9"/>
    <w:rsid w:val="008C7D18"/>
    <w:rsid w:val="008C7D2E"/>
    <w:rsid w:val="008D00B6"/>
    <w:rsid w:val="008D02FA"/>
    <w:rsid w:val="008D0426"/>
    <w:rsid w:val="008D14D1"/>
    <w:rsid w:val="008D1CBB"/>
    <w:rsid w:val="008D1F2F"/>
    <w:rsid w:val="008D35B9"/>
    <w:rsid w:val="008D3BBA"/>
    <w:rsid w:val="008D5092"/>
    <w:rsid w:val="008D57A1"/>
    <w:rsid w:val="008D5A18"/>
    <w:rsid w:val="008D6F10"/>
    <w:rsid w:val="008D78A4"/>
    <w:rsid w:val="008D7A8C"/>
    <w:rsid w:val="008E0DAC"/>
    <w:rsid w:val="008E11DA"/>
    <w:rsid w:val="008E17EC"/>
    <w:rsid w:val="008E22DE"/>
    <w:rsid w:val="008E245C"/>
    <w:rsid w:val="008E4CE2"/>
    <w:rsid w:val="008E4F77"/>
    <w:rsid w:val="008E5839"/>
    <w:rsid w:val="008E6E1D"/>
    <w:rsid w:val="008E7232"/>
    <w:rsid w:val="008E736B"/>
    <w:rsid w:val="008F19C4"/>
    <w:rsid w:val="008F1DC4"/>
    <w:rsid w:val="008F2654"/>
    <w:rsid w:val="008F2A7C"/>
    <w:rsid w:val="008F46FF"/>
    <w:rsid w:val="008F511C"/>
    <w:rsid w:val="008F5E1B"/>
    <w:rsid w:val="008F6AC8"/>
    <w:rsid w:val="008F7339"/>
    <w:rsid w:val="00900378"/>
    <w:rsid w:val="0090166F"/>
    <w:rsid w:val="0090177D"/>
    <w:rsid w:val="009026DD"/>
    <w:rsid w:val="00902A95"/>
    <w:rsid w:val="009036A9"/>
    <w:rsid w:val="00904FED"/>
    <w:rsid w:val="009058CF"/>
    <w:rsid w:val="00905B70"/>
    <w:rsid w:val="00906E0C"/>
    <w:rsid w:val="009070C4"/>
    <w:rsid w:val="00907161"/>
    <w:rsid w:val="00907E14"/>
    <w:rsid w:val="00910AE9"/>
    <w:rsid w:val="00910F87"/>
    <w:rsid w:val="009110F0"/>
    <w:rsid w:val="00911704"/>
    <w:rsid w:val="00911A0F"/>
    <w:rsid w:val="00912448"/>
    <w:rsid w:val="009127FA"/>
    <w:rsid w:val="00912DD9"/>
    <w:rsid w:val="00912FE0"/>
    <w:rsid w:val="009131C0"/>
    <w:rsid w:val="0091492B"/>
    <w:rsid w:val="00915C97"/>
    <w:rsid w:val="00916758"/>
    <w:rsid w:val="00916B53"/>
    <w:rsid w:val="00920622"/>
    <w:rsid w:val="009206FD"/>
    <w:rsid w:val="009215E2"/>
    <w:rsid w:val="009229DB"/>
    <w:rsid w:val="00922D35"/>
    <w:rsid w:val="00923BF1"/>
    <w:rsid w:val="009252F6"/>
    <w:rsid w:val="00926BAE"/>
    <w:rsid w:val="00927AF1"/>
    <w:rsid w:val="00930F06"/>
    <w:rsid w:val="0093143C"/>
    <w:rsid w:val="00931DAE"/>
    <w:rsid w:val="00933BC4"/>
    <w:rsid w:val="009345F6"/>
    <w:rsid w:val="0093524D"/>
    <w:rsid w:val="00935E15"/>
    <w:rsid w:val="00935EF8"/>
    <w:rsid w:val="009360AD"/>
    <w:rsid w:val="00936972"/>
    <w:rsid w:val="00937CE6"/>
    <w:rsid w:val="00940CEC"/>
    <w:rsid w:val="009414EE"/>
    <w:rsid w:val="00943295"/>
    <w:rsid w:val="00944D44"/>
    <w:rsid w:val="009465A5"/>
    <w:rsid w:val="00946CEA"/>
    <w:rsid w:val="0094748E"/>
    <w:rsid w:val="00950304"/>
    <w:rsid w:val="00951887"/>
    <w:rsid w:val="00951A69"/>
    <w:rsid w:val="00952361"/>
    <w:rsid w:val="0095264F"/>
    <w:rsid w:val="0095299B"/>
    <w:rsid w:val="00952B76"/>
    <w:rsid w:val="00953221"/>
    <w:rsid w:val="00953267"/>
    <w:rsid w:val="0095367E"/>
    <w:rsid w:val="00953693"/>
    <w:rsid w:val="0095509D"/>
    <w:rsid w:val="00955B91"/>
    <w:rsid w:val="00956D6B"/>
    <w:rsid w:val="00956FCE"/>
    <w:rsid w:val="0095719A"/>
    <w:rsid w:val="00957729"/>
    <w:rsid w:val="009610D9"/>
    <w:rsid w:val="00962C91"/>
    <w:rsid w:val="00962CEE"/>
    <w:rsid w:val="00962EE2"/>
    <w:rsid w:val="00963C36"/>
    <w:rsid w:val="0096410E"/>
    <w:rsid w:val="009648F4"/>
    <w:rsid w:val="009653DE"/>
    <w:rsid w:val="00966E09"/>
    <w:rsid w:val="00967441"/>
    <w:rsid w:val="0096772D"/>
    <w:rsid w:val="0097056B"/>
    <w:rsid w:val="00973F8D"/>
    <w:rsid w:val="0097490B"/>
    <w:rsid w:val="00974A73"/>
    <w:rsid w:val="00975D54"/>
    <w:rsid w:val="0097741A"/>
    <w:rsid w:val="00977478"/>
    <w:rsid w:val="0097774C"/>
    <w:rsid w:val="00977D1B"/>
    <w:rsid w:val="00977DF3"/>
    <w:rsid w:val="009807BE"/>
    <w:rsid w:val="009818CB"/>
    <w:rsid w:val="009830D8"/>
    <w:rsid w:val="0098334A"/>
    <w:rsid w:val="00983D66"/>
    <w:rsid w:val="009847D5"/>
    <w:rsid w:val="00985342"/>
    <w:rsid w:val="00985FD5"/>
    <w:rsid w:val="00986AA1"/>
    <w:rsid w:val="0098713E"/>
    <w:rsid w:val="0098747A"/>
    <w:rsid w:val="0098752B"/>
    <w:rsid w:val="00987F78"/>
    <w:rsid w:val="009901DE"/>
    <w:rsid w:val="009919A0"/>
    <w:rsid w:val="009922C2"/>
    <w:rsid w:val="00993404"/>
    <w:rsid w:val="0099478E"/>
    <w:rsid w:val="009948A0"/>
    <w:rsid w:val="00994C66"/>
    <w:rsid w:val="00995EC9"/>
    <w:rsid w:val="009961CF"/>
    <w:rsid w:val="00996C6C"/>
    <w:rsid w:val="00997419"/>
    <w:rsid w:val="009A0068"/>
    <w:rsid w:val="009A078F"/>
    <w:rsid w:val="009A0843"/>
    <w:rsid w:val="009A11F6"/>
    <w:rsid w:val="009A2DF2"/>
    <w:rsid w:val="009A3018"/>
    <w:rsid w:val="009A3AF6"/>
    <w:rsid w:val="009A60C5"/>
    <w:rsid w:val="009A701D"/>
    <w:rsid w:val="009A7A26"/>
    <w:rsid w:val="009B0BBA"/>
    <w:rsid w:val="009B1004"/>
    <w:rsid w:val="009B3283"/>
    <w:rsid w:val="009B373D"/>
    <w:rsid w:val="009B4361"/>
    <w:rsid w:val="009B5366"/>
    <w:rsid w:val="009B538A"/>
    <w:rsid w:val="009B54E4"/>
    <w:rsid w:val="009B69EB"/>
    <w:rsid w:val="009B6C7B"/>
    <w:rsid w:val="009B6E33"/>
    <w:rsid w:val="009B7A7D"/>
    <w:rsid w:val="009B7C0D"/>
    <w:rsid w:val="009C0B8B"/>
    <w:rsid w:val="009C0E11"/>
    <w:rsid w:val="009C110A"/>
    <w:rsid w:val="009C1AB8"/>
    <w:rsid w:val="009C2101"/>
    <w:rsid w:val="009C46A3"/>
    <w:rsid w:val="009C497D"/>
    <w:rsid w:val="009C49B6"/>
    <w:rsid w:val="009C6572"/>
    <w:rsid w:val="009C66FF"/>
    <w:rsid w:val="009C6DB2"/>
    <w:rsid w:val="009C7711"/>
    <w:rsid w:val="009C78C8"/>
    <w:rsid w:val="009D0004"/>
    <w:rsid w:val="009D1A67"/>
    <w:rsid w:val="009D21DB"/>
    <w:rsid w:val="009D262B"/>
    <w:rsid w:val="009D2A76"/>
    <w:rsid w:val="009D2F92"/>
    <w:rsid w:val="009D3933"/>
    <w:rsid w:val="009D3A42"/>
    <w:rsid w:val="009D3B2F"/>
    <w:rsid w:val="009D4782"/>
    <w:rsid w:val="009D5C19"/>
    <w:rsid w:val="009D5CDD"/>
    <w:rsid w:val="009D6360"/>
    <w:rsid w:val="009D65B7"/>
    <w:rsid w:val="009D6916"/>
    <w:rsid w:val="009D75E4"/>
    <w:rsid w:val="009D7ACD"/>
    <w:rsid w:val="009E1A63"/>
    <w:rsid w:val="009E2DC6"/>
    <w:rsid w:val="009E35DB"/>
    <w:rsid w:val="009E47E1"/>
    <w:rsid w:val="009E61F6"/>
    <w:rsid w:val="009E7F2A"/>
    <w:rsid w:val="009F10BA"/>
    <w:rsid w:val="009F2064"/>
    <w:rsid w:val="009F2566"/>
    <w:rsid w:val="009F30A0"/>
    <w:rsid w:val="009F340D"/>
    <w:rsid w:val="009F49B4"/>
    <w:rsid w:val="009F5B1B"/>
    <w:rsid w:val="009F5E97"/>
    <w:rsid w:val="009F610C"/>
    <w:rsid w:val="009F7B5C"/>
    <w:rsid w:val="00A005D6"/>
    <w:rsid w:val="00A01D9E"/>
    <w:rsid w:val="00A022B4"/>
    <w:rsid w:val="00A04EA6"/>
    <w:rsid w:val="00A0530B"/>
    <w:rsid w:val="00A0591C"/>
    <w:rsid w:val="00A06895"/>
    <w:rsid w:val="00A07E1A"/>
    <w:rsid w:val="00A104E6"/>
    <w:rsid w:val="00A109DD"/>
    <w:rsid w:val="00A12716"/>
    <w:rsid w:val="00A138F6"/>
    <w:rsid w:val="00A15A87"/>
    <w:rsid w:val="00A16E46"/>
    <w:rsid w:val="00A17DB0"/>
    <w:rsid w:val="00A20888"/>
    <w:rsid w:val="00A21994"/>
    <w:rsid w:val="00A22260"/>
    <w:rsid w:val="00A23CAE"/>
    <w:rsid w:val="00A24D52"/>
    <w:rsid w:val="00A25CE5"/>
    <w:rsid w:val="00A2702B"/>
    <w:rsid w:val="00A27632"/>
    <w:rsid w:val="00A27930"/>
    <w:rsid w:val="00A32CD2"/>
    <w:rsid w:val="00A333B0"/>
    <w:rsid w:val="00A33416"/>
    <w:rsid w:val="00A33867"/>
    <w:rsid w:val="00A338CC"/>
    <w:rsid w:val="00A3451E"/>
    <w:rsid w:val="00A36777"/>
    <w:rsid w:val="00A37624"/>
    <w:rsid w:val="00A403C6"/>
    <w:rsid w:val="00A4049D"/>
    <w:rsid w:val="00A40C9C"/>
    <w:rsid w:val="00A40F09"/>
    <w:rsid w:val="00A42D85"/>
    <w:rsid w:val="00A42E56"/>
    <w:rsid w:val="00A444EA"/>
    <w:rsid w:val="00A44EAF"/>
    <w:rsid w:val="00A4591E"/>
    <w:rsid w:val="00A46FEF"/>
    <w:rsid w:val="00A507BF"/>
    <w:rsid w:val="00A51F1D"/>
    <w:rsid w:val="00A533F9"/>
    <w:rsid w:val="00A53F7D"/>
    <w:rsid w:val="00A54741"/>
    <w:rsid w:val="00A54AE3"/>
    <w:rsid w:val="00A55D04"/>
    <w:rsid w:val="00A5676E"/>
    <w:rsid w:val="00A569E1"/>
    <w:rsid w:val="00A56F39"/>
    <w:rsid w:val="00A56F4C"/>
    <w:rsid w:val="00A573CB"/>
    <w:rsid w:val="00A578D8"/>
    <w:rsid w:val="00A57F41"/>
    <w:rsid w:val="00A606AC"/>
    <w:rsid w:val="00A61268"/>
    <w:rsid w:val="00A6178E"/>
    <w:rsid w:val="00A6340E"/>
    <w:rsid w:val="00A6344D"/>
    <w:rsid w:val="00A6468E"/>
    <w:rsid w:val="00A65005"/>
    <w:rsid w:val="00A655AC"/>
    <w:rsid w:val="00A657A1"/>
    <w:rsid w:val="00A67145"/>
    <w:rsid w:val="00A67400"/>
    <w:rsid w:val="00A70772"/>
    <w:rsid w:val="00A716D3"/>
    <w:rsid w:val="00A72416"/>
    <w:rsid w:val="00A73A0E"/>
    <w:rsid w:val="00A75750"/>
    <w:rsid w:val="00A75C94"/>
    <w:rsid w:val="00A762D6"/>
    <w:rsid w:val="00A76C0C"/>
    <w:rsid w:val="00A77469"/>
    <w:rsid w:val="00A80667"/>
    <w:rsid w:val="00A80C97"/>
    <w:rsid w:val="00A8135E"/>
    <w:rsid w:val="00A81ED9"/>
    <w:rsid w:val="00A82AD1"/>
    <w:rsid w:val="00A83042"/>
    <w:rsid w:val="00A83590"/>
    <w:rsid w:val="00A83909"/>
    <w:rsid w:val="00A8478C"/>
    <w:rsid w:val="00A8564B"/>
    <w:rsid w:val="00A86922"/>
    <w:rsid w:val="00A87819"/>
    <w:rsid w:val="00A900D6"/>
    <w:rsid w:val="00A90101"/>
    <w:rsid w:val="00A90C71"/>
    <w:rsid w:val="00A929CB"/>
    <w:rsid w:val="00A92C7B"/>
    <w:rsid w:val="00A93589"/>
    <w:rsid w:val="00A93F6F"/>
    <w:rsid w:val="00A941F8"/>
    <w:rsid w:val="00A95517"/>
    <w:rsid w:val="00A95613"/>
    <w:rsid w:val="00A96493"/>
    <w:rsid w:val="00A96AAF"/>
    <w:rsid w:val="00AA0A14"/>
    <w:rsid w:val="00AA1766"/>
    <w:rsid w:val="00AA4AFE"/>
    <w:rsid w:val="00AA4B14"/>
    <w:rsid w:val="00AA4C19"/>
    <w:rsid w:val="00AA5578"/>
    <w:rsid w:val="00AA614C"/>
    <w:rsid w:val="00AA7768"/>
    <w:rsid w:val="00AB0C5E"/>
    <w:rsid w:val="00AB13A1"/>
    <w:rsid w:val="00AB39CC"/>
    <w:rsid w:val="00AB3B01"/>
    <w:rsid w:val="00AB3B91"/>
    <w:rsid w:val="00AB4823"/>
    <w:rsid w:val="00AB4DBB"/>
    <w:rsid w:val="00AB4E70"/>
    <w:rsid w:val="00AB6B5D"/>
    <w:rsid w:val="00AB6D12"/>
    <w:rsid w:val="00AB7A03"/>
    <w:rsid w:val="00AC0AC9"/>
    <w:rsid w:val="00AC13E3"/>
    <w:rsid w:val="00AC470B"/>
    <w:rsid w:val="00AC4BD3"/>
    <w:rsid w:val="00AC4FEC"/>
    <w:rsid w:val="00AC529F"/>
    <w:rsid w:val="00AC54D4"/>
    <w:rsid w:val="00AC5D49"/>
    <w:rsid w:val="00AC7734"/>
    <w:rsid w:val="00AD04D7"/>
    <w:rsid w:val="00AD1651"/>
    <w:rsid w:val="00AD1722"/>
    <w:rsid w:val="00AD2F53"/>
    <w:rsid w:val="00AD306B"/>
    <w:rsid w:val="00AD30F3"/>
    <w:rsid w:val="00AD3221"/>
    <w:rsid w:val="00AD39F1"/>
    <w:rsid w:val="00AD495B"/>
    <w:rsid w:val="00AD5847"/>
    <w:rsid w:val="00AD5A82"/>
    <w:rsid w:val="00AD6311"/>
    <w:rsid w:val="00AD6914"/>
    <w:rsid w:val="00AD6E86"/>
    <w:rsid w:val="00AD7B19"/>
    <w:rsid w:val="00AE0453"/>
    <w:rsid w:val="00AE0D7F"/>
    <w:rsid w:val="00AE0E85"/>
    <w:rsid w:val="00AE12C7"/>
    <w:rsid w:val="00AE283B"/>
    <w:rsid w:val="00AE28C5"/>
    <w:rsid w:val="00AE360C"/>
    <w:rsid w:val="00AE4021"/>
    <w:rsid w:val="00AE4265"/>
    <w:rsid w:val="00AE4AE1"/>
    <w:rsid w:val="00AE5E3C"/>
    <w:rsid w:val="00AF1357"/>
    <w:rsid w:val="00AF1C70"/>
    <w:rsid w:val="00AF28A2"/>
    <w:rsid w:val="00AF2F74"/>
    <w:rsid w:val="00AF33E5"/>
    <w:rsid w:val="00AF3ACF"/>
    <w:rsid w:val="00AF3E63"/>
    <w:rsid w:val="00AF415C"/>
    <w:rsid w:val="00AF4CD5"/>
    <w:rsid w:val="00AF4DFC"/>
    <w:rsid w:val="00AF59E3"/>
    <w:rsid w:val="00AF6113"/>
    <w:rsid w:val="00AF6681"/>
    <w:rsid w:val="00B010C0"/>
    <w:rsid w:val="00B01D82"/>
    <w:rsid w:val="00B01DFF"/>
    <w:rsid w:val="00B0297D"/>
    <w:rsid w:val="00B02F1A"/>
    <w:rsid w:val="00B02FC2"/>
    <w:rsid w:val="00B04515"/>
    <w:rsid w:val="00B047B0"/>
    <w:rsid w:val="00B04AEB"/>
    <w:rsid w:val="00B04AFB"/>
    <w:rsid w:val="00B06FCA"/>
    <w:rsid w:val="00B07253"/>
    <w:rsid w:val="00B072FC"/>
    <w:rsid w:val="00B104A2"/>
    <w:rsid w:val="00B11BAD"/>
    <w:rsid w:val="00B127B9"/>
    <w:rsid w:val="00B16069"/>
    <w:rsid w:val="00B167D6"/>
    <w:rsid w:val="00B16BA4"/>
    <w:rsid w:val="00B16BCC"/>
    <w:rsid w:val="00B17390"/>
    <w:rsid w:val="00B17B03"/>
    <w:rsid w:val="00B207BF"/>
    <w:rsid w:val="00B207F8"/>
    <w:rsid w:val="00B20B9B"/>
    <w:rsid w:val="00B2159E"/>
    <w:rsid w:val="00B21861"/>
    <w:rsid w:val="00B22210"/>
    <w:rsid w:val="00B22AEB"/>
    <w:rsid w:val="00B24B49"/>
    <w:rsid w:val="00B259E1"/>
    <w:rsid w:val="00B2667B"/>
    <w:rsid w:val="00B27F11"/>
    <w:rsid w:val="00B31FC7"/>
    <w:rsid w:val="00B324B1"/>
    <w:rsid w:val="00B32792"/>
    <w:rsid w:val="00B328D2"/>
    <w:rsid w:val="00B329F7"/>
    <w:rsid w:val="00B32F13"/>
    <w:rsid w:val="00B34067"/>
    <w:rsid w:val="00B3482B"/>
    <w:rsid w:val="00B35326"/>
    <w:rsid w:val="00B35884"/>
    <w:rsid w:val="00B35AE8"/>
    <w:rsid w:val="00B363CF"/>
    <w:rsid w:val="00B3671F"/>
    <w:rsid w:val="00B36828"/>
    <w:rsid w:val="00B41249"/>
    <w:rsid w:val="00B41253"/>
    <w:rsid w:val="00B4164F"/>
    <w:rsid w:val="00B41C86"/>
    <w:rsid w:val="00B42A13"/>
    <w:rsid w:val="00B42A95"/>
    <w:rsid w:val="00B439E9"/>
    <w:rsid w:val="00B43CF7"/>
    <w:rsid w:val="00B44459"/>
    <w:rsid w:val="00B45D34"/>
    <w:rsid w:val="00B45F86"/>
    <w:rsid w:val="00B4650E"/>
    <w:rsid w:val="00B47DC8"/>
    <w:rsid w:val="00B47F7A"/>
    <w:rsid w:val="00B50620"/>
    <w:rsid w:val="00B50701"/>
    <w:rsid w:val="00B50BB7"/>
    <w:rsid w:val="00B51625"/>
    <w:rsid w:val="00B51C86"/>
    <w:rsid w:val="00B51E0D"/>
    <w:rsid w:val="00B52D0D"/>
    <w:rsid w:val="00B535C2"/>
    <w:rsid w:val="00B5382E"/>
    <w:rsid w:val="00B5389E"/>
    <w:rsid w:val="00B54A61"/>
    <w:rsid w:val="00B553A0"/>
    <w:rsid w:val="00B55EF9"/>
    <w:rsid w:val="00B56DC3"/>
    <w:rsid w:val="00B56E26"/>
    <w:rsid w:val="00B572AD"/>
    <w:rsid w:val="00B609FC"/>
    <w:rsid w:val="00B616A5"/>
    <w:rsid w:val="00B62A6E"/>
    <w:rsid w:val="00B62A7B"/>
    <w:rsid w:val="00B62B5F"/>
    <w:rsid w:val="00B639EF"/>
    <w:rsid w:val="00B6431A"/>
    <w:rsid w:val="00B6494B"/>
    <w:rsid w:val="00B658CA"/>
    <w:rsid w:val="00B65DEE"/>
    <w:rsid w:val="00B66155"/>
    <w:rsid w:val="00B67BA7"/>
    <w:rsid w:val="00B7038B"/>
    <w:rsid w:val="00B732D7"/>
    <w:rsid w:val="00B73CB1"/>
    <w:rsid w:val="00B748EF"/>
    <w:rsid w:val="00B774B1"/>
    <w:rsid w:val="00B776D7"/>
    <w:rsid w:val="00B81A2D"/>
    <w:rsid w:val="00B82218"/>
    <w:rsid w:val="00B82BE5"/>
    <w:rsid w:val="00B832B6"/>
    <w:rsid w:val="00B839ED"/>
    <w:rsid w:val="00B83E39"/>
    <w:rsid w:val="00B83F11"/>
    <w:rsid w:val="00B84B96"/>
    <w:rsid w:val="00B85CDC"/>
    <w:rsid w:val="00B86025"/>
    <w:rsid w:val="00B86F31"/>
    <w:rsid w:val="00B907E5"/>
    <w:rsid w:val="00B90AAF"/>
    <w:rsid w:val="00B90B26"/>
    <w:rsid w:val="00B918B5"/>
    <w:rsid w:val="00B9289C"/>
    <w:rsid w:val="00B93101"/>
    <w:rsid w:val="00B9310F"/>
    <w:rsid w:val="00B941C5"/>
    <w:rsid w:val="00B94C62"/>
    <w:rsid w:val="00B95B85"/>
    <w:rsid w:val="00B95FE0"/>
    <w:rsid w:val="00B9625E"/>
    <w:rsid w:val="00B96625"/>
    <w:rsid w:val="00B96719"/>
    <w:rsid w:val="00B97D09"/>
    <w:rsid w:val="00BA0907"/>
    <w:rsid w:val="00BA0914"/>
    <w:rsid w:val="00BA09EA"/>
    <w:rsid w:val="00BA10EA"/>
    <w:rsid w:val="00BA123A"/>
    <w:rsid w:val="00BA14E9"/>
    <w:rsid w:val="00BA1EEF"/>
    <w:rsid w:val="00BA2927"/>
    <w:rsid w:val="00BA351D"/>
    <w:rsid w:val="00BA4425"/>
    <w:rsid w:val="00BA484A"/>
    <w:rsid w:val="00BA6371"/>
    <w:rsid w:val="00BA6460"/>
    <w:rsid w:val="00BA6D3B"/>
    <w:rsid w:val="00BA6EBD"/>
    <w:rsid w:val="00BA7063"/>
    <w:rsid w:val="00BB0D29"/>
    <w:rsid w:val="00BB1F4B"/>
    <w:rsid w:val="00BB206F"/>
    <w:rsid w:val="00BB25AE"/>
    <w:rsid w:val="00BB291E"/>
    <w:rsid w:val="00BB455B"/>
    <w:rsid w:val="00BB58C8"/>
    <w:rsid w:val="00BB5EAE"/>
    <w:rsid w:val="00BB5EF2"/>
    <w:rsid w:val="00BB6A59"/>
    <w:rsid w:val="00BB6DFF"/>
    <w:rsid w:val="00BB7E7C"/>
    <w:rsid w:val="00BC01D2"/>
    <w:rsid w:val="00BC25DD"/>
    <w:rsid w:val="00BC3A5E"/>
    <w:rsid w:val="00BC3AF9"/>
    <w:rsid w:val="00BC3B35"/>
    <w:rsid w:val="00BC4484"/>
    <w:rsid w:val="00BC5064"/>
    <w:rsid w:val="00BC57A3"/>
    <w:rsid w:val="00BC5EEB"/>
    <w:rsid w:val="00BC6093"/>
    <w:rsid w:val="00BC62B0"/>
    <w:rsid w:val="00BC6468"/>
    <w:rsid w:val="00BC7598"/>
    <w:rsid w:val="00BD0770"/>
    <w:rsid w:val="00BD1AFF"/>
    <w:rsid w:val="00BD305A"/>
    <w:rsid w:val="00BD3C37"/>
    <w:rsid w:val="00BD4DC8"/>
    <w:rsid w:val="00BD5167"/>
    <w:rsid w:val="00BD6237"/>
    <w:rsid w:val="00BD623C"/>
    <w:rsid w:val="00BD79FC"/>
    <w:rsid w:val="00BE001A"/>
    <w:rsid w:val="00BE0925"/>
    <w:rsid w:val="00BE0CA0"/>
    <w:rsid w:val="00BE0EC3"/>
    <w:rsid w:val="00BE1214"/>
    <w:rsid w:val="00BE1665"/>
    <w:rsid w:val="00BE2D16"/>
    <w:rsid w:val="00BE350E"/>
    <w:rsid w:val="00BE3EBB"/>
    <w:rsid w:val="00BE534A"/>
    <w:rsid w:val="00BE5363"/>
    <w:rsid w:val="00BE6053"/>
    <w:rsid w:val="00BE6291"/>
    <w:rsid w:val="00BF05BF"/>
    <w:rsid w:val="00BF2E8C"/>
    <w:rsid w:val="00BF3125"/>
    <w:rsid w:val="00BF471C"/>
    <w:rsid w:val="00BF48BA"/>
    <w:rsid w:val="00BF4AAA"/>
    <w:rsid w:val="00BF65C4"/>
    <w:rsid w:val="00C00674"/>
    <w:rsid w:val="00C00BED"/>
    <w:rsid w:val="00C01436"/>
    <w:rsid w:val="00C01588"/>
    <w:rsid w:val="00C01FE3"/>
    <w:rsid w:val="00C0220D"/>
    <w:rsid w:val="00C03695"/>
    <w:rsid w:val="00C04649"/>
    <w:rsid w:val="00C0505B"/>
    <w:rsid w:val="00C051C0"/>
    <w:rsid w:val="00C053BE"/>
    <w:rsid w:val="00C057CD"/>
    <w:rsid w:val="00C057E3"/>
    <w:rsid w:val="00C070C0"/>
    <w:rsid w:val="00C1072A"/>
    <w:rsid w:val="00C10A72"/>
    <w:rsid w:val="00C13125"/>
    <w:rsid w:val="00C13249"/>
    <w:rsid w:val="00C14256"/>
    <w:rsid w:val="00C14A1C"/>
    <w:rsid w:val="00C14E29"/>
    <w:rsid w:val="00C1595E"/>
    <w:rsid w:val="00C15C3E"/>
    <w:rsid w:val="00C16533"/>
    <w:rsid w:val="00C16837"/>
    <w:rsid w:val="00C16B56"/>
    <w:rsid w:val="00C16DE7"/>
    <w:rsid w:val="00C173B4"/>
    <w:rsid w:val="00C2064F"/>
    <w:rsid w:val="00C21137"/>
    <w:rsid w:val="00C21D2A"/>
    <w:rsid w:val="00C22068"/>
    <w:rsid w:val="00C235BF"/>
    <w:rsid w:val="00C23A7E"/>
    <w:rsid w:val="00C23D6B"/>
    <w:rsid w:val="00C24D4C"/>
    <w:rsid w:val="00C250BB"/>
    <w:rsid w:val="00C257BE"/>
    <w:rsid w:val="00C27CF7"/>
    <w:rsid w:val="00C27E49"/>
    <w:rsid w:val="00C30BFC"/>
    <w:rsid w:val="00C315D7"/>
    <w:rsid w:val="00C32D50"/>
    <w:rsid w:val="00C32EF0"/>
    <w:rsid w:val="00C33CC2"/>
    <w:rsid w:val="00C33D2F"/>
    <w:rsid w:val="00C3471A"/>
    <w:rsid w:val="00C34F0C"/>
    <w:rsid w:val="00C3507A"/>
    <w:rsid w:val="00C352EF"/>
    <w:rsid w:val="00C35A2D"/>
    <w:rsid w:val="00C35E9F"/>
    <w:rsid w:val="00C36129"/>
    <w:rsid w:val="00C366BC"/>
    <w:rsid w:val="00C367FA"/>
    <w:rsid w:val="00C40BAB"/>
    <w:rsid w:val="00C4135D"/>
    <w:rsid w:val="00C418A9"/>
    <w:rsid w:val="00C42352"/>
    <w:rsid w:val="00C42907"/>
    <w:rsid w:val="00C43D98"/>
    <w:rsid w:val="00C440AF"/>
    <w:rsid w:val="00C449AA"/>
    <w:rsid w:val="00C44AED"/>
    <w:rsid w:val="00C44DB2"/>
    <w:rsid w:val="00C44FDA"/>
    <w:rsid w:val="00C45834"/>
    <w:rsid w:val="00C45A5D"/>
    <w:rsid w:val="00C45B46"/>
    <w:rsid w:val="00C46C44"/>
    <w:rsid w:val="00C4737D"/>
    <w:rsid w:val="00C47C7A"/>
    <w:rsid w:val="00C50C49"/>
    <w:rsid w:val="00C52B7B"/>
    <w:rsid w:val="00C530D7"/>
    <w:rsid w:val="00C535A9"/>
    <w:rsid w:val="00C53EE3"/>
    <w:rsid w:val="00C547ED"/>
    <w:rsid w:val="00C54A8A"/>
    <w:rsid w:val="00C55C86"/>
    <w:rsid w:val="00C6112B"/>
    <w:rsid w:val="00C6145B"/>
    <w:rsid w:val="00C61DF2"/>
    <w:rsid w:val="00C6203E"/>
    <w:rsid w:val="00C6205D"/>
    <w:rsid w:val="00C621DE"/>
    <w:rsid w:val="00C62DD9"/>
    <w:rsid w:val="00C63F54"/>
    <w:rsid w:val="00C64DEE"/>
    <w:rsid w:val="00C64F57"/>
    <w:rsid w:val="00C65490"/>
    <w:rsid w:val="00C65EF7"/>
    <w:rsid w:val="00C66BE1"/>
    <w:rsid w:val="00C66E48"/>
    <w:rsid w:val="00C671D6"/>
    <w:rsid w:val="00C701F1"/>
    <w:rsid w:val="00C70B83"/>
    <w:rsid w:val="00C71FDD"/>
    <w:rsid w:val="00C73AF6"/>
    <w:rsid w:val="00C74938"/>
    <w:rsid w:val="00C766EA"/>
    <w:rsid w:val="00C7697C"/>
    <w:rsid w:val="00C8151D"/>
    <w:rsid w:val="00C81A66"/>
    <w:rsid w:val="00C82EB3"/>
    <w:rsid w:val="00C833CA"/>
    <w:rsid w:val="00C83944"/>
    <w:rsid w:val="00C83BFC"/>
    <w:rsid w:val="00C841F6"/>
    <w:rsid w:val="00C845BF"/>
    <w:rsid w:val="00C84F89"/>
    <w:rsid w:val="00C86CD3"/>
    <w:rsid w:val="00C905AB"/>
    <w:rsid w:val="00C907C2"/>
    <w:rsid w:val="00C90D36"/>
    <w:rsid w:val="00C90D86"/>
    <w:rsid w:val="00C92029"/>
    <w:rsid w:val="00C92F63"/>
    <w:rsid w:val="00C93B24"/>
    <w:rsid w:val="00C94485"/>
    <w:rsid w:val="00C946EA"/>
    <w:rsid w:val="00C94CE6"/>
    <w:rsid w:val="00C95B65"/>
    <w:rsid w:val="00C9636D"/>
    <w:rsid w:val="00C96AD0"/>
    <w:rsid w:val="00C971D8"/>
    <w:rsid w:val="00C974DA"/>
    <w:rsid w:val="00C97A93"/>
    <w:rsid w:val="00CA08F0"/>
    <w:rsid w:val="00CA0E5B"/>
    <w:rsid w:val="00CA1C43"/>
    <w:rsid w:val="00CA269E"/>
    <w:rsid w:val="00CA2B96"/>
    <w:rsid w:val="00CA4197"/>
    <w:rsid w:val="00CA41D2"/>
    <w:rsid w:val="00CA4B6A"/>
    <w:rsid w:val="00CA4D5A"/>
    <w:rsid w:val="00CA6715"/>
    <w:rsid w:val="00CA7BF2"/>
    <w:rsid w:val="00CB0188"/>
    <w:rsid w:val="00CB0974"/>
    <w:rsid w:val="00CB13FD"/>
    <w:rsid w:val="00CB288A"/>
    <w:rsid w:val="00CB2990"/>
    <w:rsid w:val="00CB29F4"/>
    <w:rsid w:val="00CB343C"/>
    <w:rsid w:val="00CB3BD9"/>
    <w:rsid w:val="00CB3C5E"/>
    <w:rsid w:val="00CB42BD"/>
    <w:rsid w:val="00CB67B5"/>
    <w:rsid w:val="00CB7722"/>
    <w:rsid w:val="00CC01F5"/>
    <w:rsid w:val="00CC0A64"/>
    <w:rsid w:val="00CC1403"/>
    <w:rsid w:val="00CC1FE0"/>
    <w:rsid w:val="00CC2B5C"/>
    <w:rsid w:val="00CC4047"/>
    <w:rsid w:val="00CC495A"/>
    <w:rsid w:val="00CC62D8"/>
    <w:rsid w:val="00CC7829"/>
    <w:rsid w:val="00CC7C8F"/>
    <w:rsid w:val="00CD1CFB"/>
    <w:rsid w:val="00CD20D4"/>
    <w:rsid w:val="00CD4953"/>
    <w:rsid w:val="00CE0038"/>
    <w:rsid w:val="00CE0D12"/>
    <w:rsid w:val="00CE3990"/>
    <w:rsid w:val="00CE3BDA"/>
    <w:rsid w:val="00CE4401"/>
    <w:rsid w:val="00CE46ED"/>
    <w:rsid w:val="00CE4D2E"/>
    <w:rsid w:val="00CE4E65"/>
    <w:rsid w:val="00CE50F1"/>
    <w:rsid w:val="00CE63C6"/>
    <w:rsid w:val="00CE6475"/>
    <w:rsid w:val="00CE716E"/>
    <w:rsid w:val="00CE75E9"/>
    <w:rsid w:val="00CF09D4"/>
    <w:rsid w:val="00CF0ED3"/>
    <w:rsid w:val="00CF0F28"/>
    <w:rsid w:val="00CF1929"/>
    <w:rsid w:val="00CF2844"/>
    <w:rsid w:val="00CF30F5"/>
    <w:rsid w:val="00CF35A0"/>
    <w:rsid w:val="00CF3A3B"/>
    <w:rsid w:val="00CF4272"/>
    <w:rsid w:val="00CF55B9"/>
    <w:rsid w:val="00CF5F20"/>
    <w:rsid w:val="00CF623E"/>
    <w:rsid w:val="00D00445"/>
    <w:rsid w:val="00D0180F"/>
    <w:rsid w:val="00D02C67"/>
    <w:rsid w:val="00D038A2"/>
    <w:rsid w:val="00D046D0"/>
    <w:rsid w:val="00D049E3"/>
    <w:rsid w:val="00D04E7B"/>
    <w:rsid w:val="00D07E1D"/>
    <w:rsid w:val="00D07EB8"/>
    <w:rsid w:val="00D10457"/>
    <w:rsid w:val="00D10A54"/>
    <w:rsid w:val="00D10D42"/>
    <w:rsid w:val="00D11B73"/>
    <w:rsid w:val="00D11E85"/>
    <w:rsid w:val="00D1226E"/>
    <w:rsid w:val="00D125B1"/>
    <w:rsid w:val="00D12A89"/>
    <w:rsid w:val="00D13CC1"/>
    <w:rsid w:val="00D14883"/>
    <w:rsid w:val="00D15936"/>
    <w:rsid w:val="00D16612"/>
    <w:rsid w:val="00D23530"/>
    <w:rsid w:val="00D240A8"/>
    <w:rsid w:val="00D243D0"/>
    <w:rsid w:val="00D24628"/>
    <w:rsid w:val="00D261B9"/>
    <w:rsid w:val="00D26247"/>
    <w:rsid w:val="00D2652F"/>
    <w:rsid w:val="00D3145F"/>
    <w:rsid w:val="00D31AD2"/>
    <w:rsid w:val="00D31B67"/>
    <w:rsid w:val="00D325CE"/>
    <w:rsid w:val="00D32A5C"/>
    <w:rsid w:val="00D32C6B"/>
    <w:rsid w:val="00D334C4"/>
    <w:rsid w:val="00D33C12"/>
    <w:rsid w:val="00D345CB"/>
    <w:rsid w:val="00D34A24"/>
    <w:rsid w:val="00D35514"/>
    <w:rsid w:val="00D37FB6"/>
    <w:rsid w:val="00D4028E"/>
    <w:rsid w:val="00D40FFF"/>
    <w:rsid w:val="00D41791"/>
    <w:rsid w:val="00D420C8"/>
    <w:rsid w:val="00D424E9"/>
    <w:rsid w:val="00D42579"/>
    <w:rsid w:val="00D43B58"/>
    <w:rsid w:val="00D44301"/>
    <w:rsid w:val="00D44C42"/>
    <w:rsid w:val="00D45ED6"/>
    <w:rsid w:val="00D4617A"/>
    <w:rsid w:val="00D46787"/>
    <w:rsid w:val="00D475A9"/>
    <w:rsid w:val="00D47DE9"/>
    <w:rsid w:val="00D50045"/>
    <w:rsid w:val="00D503DC"/>
    <w:rsid w:val="00D50BC2"/>
    <w:rsid w:val="00D51347"/>
    <w:rsid w:val="00D51688"/>
    <w:rsid w:val="00D51786"/>
    <w:rsid w:val="00D519AF"/>
    <w:rsid w:val="00D524F7"/>
    <w:rsid w:val="00D525F8"/>
    <w:rsid w:val="00D53A36"/>
    <w:rsid w:val="00D54073"/>
    <w:rsid w:val="00D54431"/>
    <w:rsid w:val="00D5498B"/>
    <w:rsid w:val="00D54E7A"/>
    <w:rsid w:val="00D55F19"/>
    <w:rsid w:val="00D5611F"/>
    <w:rsid w:val="00D56247"/>
    <w:rsid w:val="00D56722"/>
    <w:rsid w:val="00D56FBC"/>
    <w:rsid w:val="00D575E8"/>
    <w:rsid w:val="00D60963"/>
    <w:rsid w:val="00D60A4C"/>
    <w:rsid w:val="00D616A6"/>
    <w:rsid w:val="00D61C28"/>
    <w:rsid w:val="00D62EC3"/>
    <w:rsid w:val="00D64703"/>
    <w:rsid w:val="00D64706"/>
    <w:rsid w:val="00D652FB"/>
    <w:rsid w:val="00D65F55"/>
    <w:rsid w:val="00D65FE8"/>
    <w:rsid w:val="00D66241"/>
    <w:rsid w:val="00D66A98"/>
    <w:rsid w:val="00D66A99"/>
    <w:rsid w:val="00D70079"/>
    <w:rsid w:val="00D70138"/>
    <w:rsid w:val="00D706D9"/>
    <w:rsid w:val="00D710A2"/>
    <w:rsid w:val="00D710B2"/>
    <w:rsid w:val="00D7283E"/>
    <w:rsid w:val="00D72A70"/>
    <w:rsid w:val="00D732F9"/>
    <w:rsid w:val="00D7339C"/>
    <w:rsid w:val="00D7439E"/>
    <w:rsid w:val="00D7633A"/>
    <w:rsid w:val="00D765D8"/>
    <w:rsid w:val="00D76D34"/>
    <w:rsid w:val="00D77CAC"/>
    <w:rsid w:val="00D804B7"/>
    <w:rsid w:val="00D81C57"/>
    <w:rsid w:val="00D828B8"/>
    <w:rsid w:val="00D84228"/>
    <w:rsid w:val="00D85041"/>
    <w:rsid w:val="00D85084"/>
    <w:rsid w:val="00D85C6A"/>
    <w:rsid w:val="00D8626F"/>
    <w:rsid w:val="00D878EE"/>
    <w:rsid w:val="00D9040F"/>
    <w:rsid w:val="00D90B50"/>
    <w:rsid w:val="00D913F6"/>
    <w:rsid w:val="00D91953"/>
    <w:rsid w:val="00D9343B"/>
    <w:rsid w:val="00D93EE8"/>
    <w:rsid w:val="00D956D3"/>
    <w:rsid w:val="00D95A42"/>
    <w:rsid w:val="00D97837"/>
    <w:rsid w:val="00DA12D8"/>
    <w:rsid w:val="00DA1486"/>
    <w:rsid w:val="00DA17C9"/>
    <w:rsid w:val="00DA2EE3"/>
    <w:rsid w:val="00DA3645"/>
    <w:rsid w:val="00DA4C86"/>
    <w:rsid w:val="00DA604D"/>
    <w:rsid w:val="00DA7B24"/>
    <w:rsid w:val="00DB039A"/>
    <w:rsid w:val="00DB1B05"/>
    <w:rsid w:val="00DB2A16"/>
    <w:rsid w:val="00DB3052"/>
    <w:rsid w:val="00DB4B8E"/>
    <w:rsid w:val="00DB4CFB"/>
    <w:rsid w:val="00DB79FC"/>
    <w:rsid w:val="00DC1A7D"/>
    <w:rsid w:val="00DC1B02"/>
    <w:rsid w:val="00DC1C7B"/>
    <w:rsid w:val="00DC22E0"/>
    <w:rsid w:val="00DC2AD8"/>
    <w:rsid w:val="00DC567C"/>
    <w:rsid w:val="00DC59C5"/>
    <w:rsid w:val="00DC6F02"/>
    <w:rsid w:val="00DC6FD1"/>
    <w:rsid w:val="00DC7522"/>
    <w:rsid w:val="00DD1503"/>
    <w:rsid w:val="00DD186C"/>
    <w:rsid w:val="00DD1A28"/>
    <w:rsid w:val="00DD1C5C"/>
    <w:rsid w:val="00DD2088"/>
    <w:rsid w:val="00DD221A"/>
    <w:rsid w:val="00DD272F"/>
    <w:rsid w:val="00DD2E7D"/>
    <w:rsid w:val="00DD2F54"/>
    <w:rsid w:val="00DD3111"/>
    <w:rsid w:val="00DD492F"/>
    <w:rsid w:val="00DD49F5"/>
    <w:rsid w:val="00DD6090"/>
    <w:rsid w:val="00DD6A24"/>
    <w:rsid w:val="00DD6B31"/>
    <w:rsid w:val="00DD75BD"/>
    <w:rsid w:val="00DE08D6"/>
    <w:rsid w:val="00DE1350"/>
    <w:rsid w:val="00DE1A53"/>
    <w:rsid w:val="00DE2943"/>
    <w:rsid w:val="00DE2B5C"/>
    <w:rsid w:val="00DE2B78"/>
    <w:rsid w:val="00DE3F1B"/>
    <w:rsid w:val="00DE54A3"/>
    <w:rsid w:val="00DE5B90"/>
    <w:rsid w:val="00DE64D5"/>
    <w:rsid w:val="00DE68FB"/>
    <w:rsid w:val="00DE6C45"/>
    <w:rsid w:val="00DE7D0B"/>
    <w:rsid w:val="00DF0490"/>
    <w:rsid w:val="00DF17FE"/>
    <w:rsid w:val="00DF3D67"/>
    <w:rsid w:val="00DF5368"/>
    <w:rsid w:val="00DF55DE"/>
    <w:rsid w:val="00DF6F62"/>
    <w:rsid w:val="00E00014"/>
    <w:rsid w:val="00E00CA4"/>
    <w:rsid w:val="00E00D12"/>
    <w:rsid w:val="00E014B8"/>
    <w:rsid w:val="00E01BAC"/>
    <w:rsid w:val="00E02911"/>
    <w:rsid w:val="00E02C91"/>
    <w:rsid w:val="00E02D68"/>
    <w:rsid w:val="00E02E35"/>
    <w:rsid w:val="00E0372E"/>
    <w:rsid w:val="00E03D7C"/>
    <w:rsid w:val="00E03FFE"/>
    <w:rsid w:val="00E04C41"/>
    <w:rsid w:val="00E058C8"/>
    <w:rsid w:val="00E06C4B"/>
    <w:rsid w:val="00E07461"/>
    <w:rsid w:val="00E07EC1"/>
    <w:rsid w:val="00E10AE1"/>
    <w:rsid w:val="00E10F4D"/>
    <w:rsid w:val="00E116E9"/>
    <w:rsid w:val="00E11B6A"/>
    <w:rsid w:val="00E12005"/>
    <w:rsid w:val="00E12CDA"/>
    <w:rsid w:val="00E12ECF"/>
    <w:rsid w:val="00E14668"/>
    <w:rsid w:val="00E14707"/>
    <w:rsid w:val="00E14BF6"/>
    <w:rsid w:val="00E14D9A"/>
    <w:rsid w:val="00E150F5"/>
    <w:rsid w:val="00E15BF9"/>
    <w:rsid w:val="00E17E0D"/>
    <w:rsid w:val="00E203EE"/>
    <w:rsid w:val="00E20D90"/>
    <w:rsid w:val="00E2336E"/>
    <w:rsid w:val="00E235E4"/>
    <w:rsid w:val="00E23921"/>
    <w:rsid w:val="00E25490"/>
    <w:rsid w:val="00E25937"/>
    <w:rsid w:val="00E25AEA"/>
    <w:rsid w:val="00E264BE"/>
    <w:rsid w:val="00E2677D"/>
    <w:rsid w:val="00E26AB8"/>
    <w:rsid w:val="00E26C0D"/>
    <w:rsid w:val="00E278F5"/>
    <w:rsid w:val="00E27AB5"/>
    <w:rsid w:val="00E27E60"/>
    <w:rsid w:val="00E301EA"/>
    <w:rsid w:val="00E305DE"/>
    <w:rsid w:val="00E30780"/>
    <w:rsid w:val="00E3158A"/>
    <w:rsid w:val="00E32AC2"/>
    <w:rsid w:val="00E35026"/>
    <w:rsid w:val="00E352F2"/>
    <w:rsid w:val="00E37AD0"/>
    <w:rsid w:val="00E37C73"/>
    <w:rsid w:val="00E40D57"/>
    <w:rsid w:val="00E40F37"/>
    <w:rsid w:val="00E412EF"/>
    <w:rsid w:val="00E41515"/>
    <w:rsid w:val="00E41CCF"/>
    <w:rsid w:val="00E4215C"/>
    <w:rsid w:val="00E4255F"/>
    <w:rsid w:val="00E42C4E"/>
    <w:rsid w:val="00E43D58"/>
    <w:rsid w:val="00E459FF"/>
    <w:rsid w:val="00E463CC"/>
    <w:rsid w:val="00E46842"/>
    <w:rsid w:val="00E47327"/>
    <w:rsid w:val="00E473CB"/>
    <w:rsid w:val="00E476B5"/>
    <w:rsid w:val="00E477E4"/>
    <w:rsid w:val="00E504A4"/>
    <w:rsid w:val="00E51832"/>
    <w:rsid w:val="00E52340"/>
    <w:rsid w:val="00E53251"/>
    <w:rsid w:val="00E540CA"/>
    <w:rsid w:val="00E54A13"/>
    <w:rsid w:val="00E560EE"/>
    <w:rsid w:val="00E56B4B"/>
    <w:rsid w:val="00E57317"/>
    <w:rsid w:val="00E57537"/>
    <w:rsid w:val="00E57655"/>
    <w:rsid w:val="00E57A03"/>
    <w:rsid w:val="00E6104B"/>
    <w:rsid w:val="00E62B4E"/>
    <w:rsid w:val="00E63161"/>
    <w:rsid w:val="00E635CB"/>
    <w:rsid w:val="00E63F6C"/>
    <w:rsid w:val="00E64A19"/>
    <w:rsid w:val="00E653FD"/>
    <w:rsid w:val="00E65C3B"/>
    <w:rsid w:val="00E660A8"/>
    <w:rsid w:val="00E66227"/>
    <w:rsid w:val="00E66BDE"/>
    <w:rsid w:val="00E709F1"/>
    <w:rsid w:val="00E713C8"/>
    <w:rsid w:val="00E71DD4"/>
    <w:rsid w:val="00E723B7"/>
    <w:rsid w:val="00E727B6"/>
    <w:rsid w:val="00E74B5F"/>
    <w:rsid w:val="00E76055"/>
    <w:rsid w:val="00E7638F"/>
    <w:rsid w:val="00E777E0"/>
    <w:rsid w:val="00E77CFD"/>
    <w:rsid w:val="00E77F23"/>
    <w:rsid w:val="00E81591"/>
    <w:rsid w:val="00E81FD8"/>
    <w:rsid w:val="00E82E73"/>
    <w:rsid w:val="00E83872"/>
    <w:rsid w:val="00E85E4A"/>
    <w:rsid w:val="00E8719A"/>
    <w:rsid w:val="00E872E2"/>
    <w:rsid w:val="00E8749E"/>
    <w:rsid w:val="00E87A15"/>
    <w:rsid w:val="00E91486"/>
    <w:rsid w:val="00E917B1"/>
    <w:rsid w:val="00E9243B"/>
    <w:rsid w:val="00E93B88"/>
    <w:rsid w:val="00E94DCE"/>
    <w:rsid w:val="00E9515C"/>
    <w:rsid w:val="00E960DD"/>
    <w:rsid w:val="00E96359"/>
    <w:rsid w:val="00E96CD5"/>
    <w:rsid w:val="00E96F82"/>
    <w:rsid w:val="00E971DB"/>
    <w:rsid w:val="00E97641"/>
    <w:rsid w:val="00E97FD2"/>
    <w:rsid w:val="00EA11F8"/>
    <w:rsid w:val="00EA1A64"/>
    <w:rsid w:val="00EA2B3A"/>
    <w:rsid w:val="00EA4078"/>
    <w:rsid w:val="00EA43A2"/>
    <w:rsid w:val="00EA5762"/>
    <w:rsid w:val="00EA5C22"/>
    <w:rsid w:val="00EA7137"/>
    <w:rsid w:val="00EA75E4"/>
    <w:rsid w:val="00EA7AE0"/>
    <w:rsid w:val="00EB04A4"/>
    <w:rsid w:val="00EB04CA"/>
    <w:rsid w:val="00EB174C"/>
    <w:rsid w:val="00EB2B4B"/>
    <w:rsid w:val="00EB73CB"/>
    <w:rsid w:val="00EC16FA"/>
    <w:rsid w:val="00EC1DA8"/>
    <w:rsid w:val="00EC3DB9"/>
    <w:rsid w:val="00EC408F"/>
    <w:rsid w:val="00EC41C2"/>
    <w:rsid w:val="00EC47E5"/>
    <w:rsid w:val="00EC4F6B"/>
    <w:rsid w:val="00EC528B"/>
    <w:rsid w:val="00EC5CE8"/>
    <w:rsid w:val="00EC751D"/>
    <w:rsid w:val="00EC78B5"/>
    <w:rsid w:val="00EC7988"/>
    <w:rsid w:val="00EC7A36"/>
    <w:rsid w:val="00ED043E"/>
    <w:rsid w:val="00ED5232"/>
    <w:rsid w:val="00ED5597"/>
    <w:rsid w:val="00ED6995"/>
    <w:rsid w:val="00ED7254"/>
    <w:rsid w:val="00ED7AAD"/>
    <w:rsid w:val="00ED7C8E"/>
    <w:rsid w:val="00ED7DB3"/>
    <w:rsid w:val="00ED7F16"/>
    <w:rsid w:val="00EE1592"/>
    <w:rsid w:val="00EE1660"/>
    <w:rsid w:val="00EE252E"/>
    <w:rsid w:val="00EE345D"/>
    <w:rsid w:val="00EE412D"/>
    <w:rsid w:val="00EE4891"/>
    <w:rsid w:val="00EE5214"/>
    <w:rsid w:val="00EE5537"/>
    <w:rsid w:val="00EE580F"/>
    <w:rsid w:val="00EE6644"/>
    <w:rsid w:val="00EE6F61"/>
    <w:rsid w:val="00EE729C"/>
    <w:rsid w:val="00EF345C"/>
    <w:rsid w:val="00EF3775"/>
    <w:rsid w:val="00EF3983"/>
    <w:rsid w:val="00EF4A9D"/>
    <w:rsid w:val="00EF5BA7"/>
    <w:rsid w:val="00EF7CC4"/>
    <w:rsid w:val="00F001B3"/>
    <w:rsid w:val="00F015B1"/>
    <w:rsid w:val="00F04B35"/>
    <w:rsid w:val="00F055C4"/>
    <w:rsid w:val="00F05EFD"/>
    <w:rsid w:val="00F06318"/>
    <w:rsid w:val="00F064F7"/>
    <w:rsid w:val="00F064F8"/>
    <w:rsid w:val="00F10D05"/>
    <w:rsid w:val="00F11668"/>
    <w:rsid w:val="00F121A6"/>
    <w:rsid w:val="00F144A7"/>
    <w:rsid w:val="00F1534F"/>
    <w:rsid w:val="00F156CB"/>
    <w:rsid w:val="00F15F7D"/>
    <w:rsid w:val="00F21735"/>
    <w:rsid w:val="00F2179E"/>
    <w:rsid w:val="00F21BC4"/>
    <w:rsid w:val="00F2272B"/>
    <w:rsid w:val="00F22C7B"/>
    <w:rsid w:val="00F24806"/>
    <w:rsid w:val="00F2486C"/>
    <w:rsid w:val="00F24C0C"/>
    <w:rsid w:val="00F274BC"/>
    <w:rsid w:val="00F27D27"/>
    <w:rsid w:val="00F300F4"/>
    <w:rsid w:val="00F30260"/>
    <w:rsid w:val="00F3179C"/>
    <w:rsid w:val="00F320C5"/>
    <w:rsid w:val="00F3236B"/>
    <w:rsid w:val="00F326D7"/>
    <w:rsid w:val="00F34597"/>
    <w:rsid w:val="00F34789"/>
    <w:rsid w:val="00F34FB4"/>
    <w:rsid w:val="00F34FD3"/>
    <w:rsid w:val="00F3531F"/>
    <w:rsid w:val="00F36E4D"/>
    <w:rsid w:val="00F372A7"/>
    <w:rsid w:val="00F40995"/>
    <w:rsid w:val="00F40B67"/>
    <w:rsid w:val="00F41D9E"/>
    <w:rsid w:val="00F42989"/>
    <w:rsid w:val="00F44092"/>
    <w:rsid w:val="00F447BC"/>
    <w:rsid w:val="00F45688"/>
    <w:rsid w:val="00F45786"/>
    <w:rsid w:val="00F464AA"/>
    <w:rsid w:val="00F465AE"/>
    <w:rsid w:val="00F4739C"/>
    <w:rsid w:val="00F50AF7"/>
    <w:rsid w:val="00F53CB9"/>
    <w:rsid w:val="00F54C11"/>
    <w:rsid w:val="00F54F29"/>
    <w:rsid w:val="00F553FD"/>
    <w:rsid w:val="00F5546C"/>
    <w:rsid w:val="00F556D0"/>
    <w:rsid w:val="00F558A4"/>
    <w:rsid w:val="00F56040"/>
    <w:rsid w:val="00F56AE4"/>
    <w:rsid w:val="00F56DA3"/>
    <w:rsid w:val="00F57F2D"/>
    <w:rsid w:val="00F6209C"/>
    <w:rsid w:val="00F624AD"/>
    <w:rsid w:val="00F6272E"/>
    <w:rsid w:val="00F62F70"/>
    <w:rsid w:val="00F63024"/>
    <w:rsid w:val="00F6505A"/>
    <w:rsid w:val="00F65AB6"/>
    <w:rsid w:val="00F67D29"/>
    <w:rsid w:val="00F7017E"/>
    <w:rsid w:val="00F715CE"/>
    <w:rsid w:val="00F71F17"/>
    <w:rsid w:val="00F73D6E"/>
    <w:rsid w:val="00F75DE1"/>
    <w:rsid w:val="00F7619A"/>
    <w:rsid w:val="00F7731E"/>
    <w:rsid w:val="00F77710"/>
    <w:rsid w:val="00F77C26"/>
    <w:rsid w:val="00F77E22"/>
    <w:rsid w:val="00F77F01"/>
    <w:rsid w:val="00F8097F"/>
    <w:rsid w:val="00F81448"/>
    <w:rsid w:val="00F81922"/>
    <w:rsid w:val="00F8228A"/>
    <w:rsid w:val="00F83309"/>
    <w:rsid w:val="00F84330"/>
    <w:rsid w:val="00F859EB"/>
    <w:rsid w:val="00F86321"/>
    <w:rsid w:val="00F86677"/>
    <w:rsid w:val="00F87D73"/>
    <w:rsid w:val="00F87FBE"/>
    <w:rsid w:val="00F9065F"/>
    <w:rsid w:val="00F909B6"/>
    <w:rsid w:val="00F91473"/>
    <w:rsid w:val="00F92747"/>
    <w:rsid w:val="00F929C0"/>
    <w:rsid w:val="00F92E3D"/>
    <w:rsid w:val="00F93E10"/>
    <w:rsid w:val="00F94404"/>
    <w:rsid w:val="00F96184"/>
    <w:rsid w:val="00F9629E"/>
    <w:rsid w:val="00F965C9"/>
    <w:rsid w:val="00F96DB4"/>
    <w:rsid w:val="00F97A80"/>
    <w:rsid w:val="00FA1715"/>
    <w:rsid w:val="00FA1A06"/>
    <w:rsid w:val="00FA2B86"/>
    <w:rsid w:val="00FA3475"/>
    <w:rsid w:val="00FA42BE"/>
    <w:rsid w:val="00FA4AC1"/>
    <w:rsid w:val="00FA4BBC"/>
    <w:rsid w:val="00FA600B"/>
    <w:rsid w:val="00FA6F8C"/>
    <w:rsid w:val="00FB04EA"/>
    <w:rsid w:val="00FB2D7A"/>
    <w:rsid w:val="00FB2DFB"/>
    <w:rsid w:val="00FB4081"/>
    <w:rsid w:val="00FB4C30"/>
    <w:rsid w:val="00FB51F6"/>
    <w:rsid w:val="00FB6FAC"/>
    <w:rsid w:val="00FB79B2"/>
    <w:rsid w:val="00FC032B"/>
    <w:rsid w:val="00FC0421"/>
    <w:rsid w:val="00FC1581"/>
    <w:rsid w:val="00FC258F"/>
    <w:rsid w:val="00FC29FE"/>
    <w:rsid w:val="00FC339D"/>
    <w:rsid w:val="00FC3976"/>
    <w:rsid w:val="00FC4D62"/>
    <w:rsid w:val="00FC53E1"/>
    <w:rsid w:val="00FC55BB"/>
    <w:rsid w:val="00FC57F8"/>
    <w:rsid w:val="00FC5C76"/>
    <w:rsid w:val="00FC5DA4"/>
    <w:rsid w:val="00FC60B4"/>
    <w:rsid w:val="00FC6DFC"/>
    <w:rsid w:val="00FD003C"/>
    <w:rsid w:val="00FD01B3"/>
    <w:rsid w:val="00FD04F2"/>
    <w:rsid w:val="00FD0DF9"/>
    <w:rsid w:val="00FD10DA"/>
    <w:rsid w:val="00FD15CD"/>
    <w:rsid w:val="00FD16D4"/>
    <w:rsid w:val="00FD17D7"/>
    <w:rsid w:val="00FD18EA"/>
    <w:rsid w:val="00FD197D"/>
    <w:rsid w:val="00FD1C71"/>
    <w:rsid w:val="00FD41E0"/>
    <w:rsid w:val="00FD77F8"/>
    <w:rsid w:val="00FE050B"/>
    <w:rsid w:val="00FE149F"/>
    <w:rsid w:val="00FE240A"/>
    <w:rsid w:val="00FE2FD4"/>
    <w:rsid w:val="00FE375F"/>
    <w:rsid w:val="00FE657B"/>
    <w:rsid w:val="00FE73D5"/>
    <w:rsid w:val="00FF0516"/>
    <w:rsid w:val="00FF0856"/>
    <w:rsid w:val="00FF1294"/>
    <w:rsid w:val="00FF15C2"/>
    <w:rsid w:val="00FF1C30"/>
    <w:rsid w:val="00FF25D4"/>
    <w:rsid w:val="00FF344A"/>
    <w:rsid w:val="00FF37B9"/>
    <w:rsid w:val="00FF38E8"/>
    <w:rsid w:val="00FF4FAD"/>
    <w:rsid w:val="00FF513A"/>
    <w:rsid w:val="00FF568B"/>
    <w:rsid w:val="00FF6D7E"/>
    <w:rsid w:val="00FF6FBE"/>
    <w:rsid w:val="00FF722B"/>
    <w:rsid w:val="00FF78FF"/>
    <w:rsid w:val="00FF7964"/>
    <w:rsid w:val="00FF7B6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196CD"/>
  <w15:docId w15:val="{50BC3E90-AD04-4424-8080-12785A0C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212194"/>
    <w:pPr>
      <w:spacing w:after="200" w:line="276" w:lineRule="auto"/>
      <w:jc w:val="both"/>
    </w:pPr>
    <w:rPr>
      <w:rFonts w:ascii="Arial" w:hAnsi="Arial"/>
      <w:sz w:val="22"/>
      <w:szCs w:val="22"/>
      <w:lang w:val="en-GB" w:eastAsia="en-US"/>
    </w:rPr>
  </w:style>
  <w:style w:type="paragraph" w:styleId="Nadpis1">
    <w:name w:val="heading 1"/>
    <w:basedOn w:val="Normln"/>
    <w:next w:val="Normln"/>
    <w:link w:val="Nadpis1Char"/>
    <w:qFormat/>
    <w:rsid w:val="00DC6FD1"/>
    <w:pPr>
      <w:keepNext/>
      <w:keepLines/>
      <w:spacing w:before="480" w:after="480"/>
      <w:outlineLvl w:val="0"/>
    </w:pPr>
    <w:rPr>
      <w:rFonts w:eastAsia="SimSun"/>
      <w:b/>
      <w:bCs/>
      <w:sz w:val="32"/>
      <w:szCs w:val="28"/>
    </w:rPr>
  </w:style>
  <w:style w:type="paragraph" w:styleId="Nadpis2">
    <w:name w:val="heading 2"/>
    <w:basedOn w:val="Normln"/>
    <w:next w:val="Normln"/>
    <w:link w:val="Nadpis2Char"/>
    <w:autoRedefine/>
    <w:unhideWhenUsed/>
    <w:qFormat/>
    <w:rsid w:val="001B38FB"/>
    <w:pPr>
      <w:keepNext/>
      <w:keepLines/>
      <w:spacing w:before="360" w:after="120"/>
      <w:ind w:left="720" w:hanging="360"/>
      <w:outlineLvl w:val="1"/>
    </w:pPr>
    <w:rPr>
      <w:rFonts w:eastAsia="SimSun" w:cs="Arial"/>
      <w:b/>
      <w:bCs/>
      <w:i/>
    </w:rPr>
  </w:style>
  <w:style w:type="paragraph" w:styleId="Nadpis3">
    <w:name w:val="heading 3"/>
    <w:basedOn w:val="Normln"/>
    <w:next w:val="Normln"/>
    <w:link w:val="Nadpis3Char"/>
    <w:unhideWhenUsed/>
    <w:qFormat/>
    <w:rsid w:val="0098752B"/>
    <w:pPr>
      <w:keepNext/>
      <w:keepLines/>
      <w:spacing w:before="200" w:after="0"/>
      <w:outlineLvl w:val="2"/>
    </w:pPr>
    <w:rPr>
      <w:rFonts w:eastAsia="SimSun"/>
      <w:b/>
      <w:bCs/>
      <w:sz w:val="24"/>
    </w:rPr>
  </w:style>
  <w:style w:type="paragraph" w:styleId="Nadpis4">
    <w:name w:val="heading 4"/>
    <w:basedOn w:val="Normln"/>
    <w:next w:val="Normln"/>
    <w:link w:val="Nadpis4Char"/>
    <w:unhideWhenUsed/>
    <w:qFormat/>
    <w:rsid w:val="00874789"/>
    <w:pPr>
      <w:keepNext/>
      <w:keepLines/>
      <w:spacing w:before="200" w:after="0"/>
      <w:outlineLvl w:val="3"/>
    </w:pPr>
    <w:rPr>
      <w:rFonts w:eastAsia="SimSun"/>
      <w:bCs/>
      <w:iCs/>
      <w:sz w:val="24"/>
    </w:rPr>
  </w:style>
  <w:style w:type="paragraph" w:styleId="Nadpis5">
    <w:name w:val="heading 5"/>
    <w:basedOn w:val="Normln"/>
    <w:next w:val="Normln"/>
    <w:link w:val="Nadpis5Char"/>
    <w:unhideWhenUsed/>
    <w:qFormat/>
    <w:rsid w:val="00B50BB7"/>
    <w:pPr>
      <w:keepNext/>
      <w:keepLines/>
      <w:spacing w:before="200" w:after="0"/>
      <w:outlineLvl w:val="4"/>
    </w:pPr>
    <w:rPr>
      <w:rFonts w:ascii="Cambria" w:eastAsia="SimSun" w:hAnsi="Cambria"/>
      <w:color w:val="243F60"/>
    </w:rPr>
  </w:style>
  <w:style w:type="paragraph" w:styleId="Nadpis6">
    <w:name w:val="heading 6"/>
    <w:basedOn w:val="Normln"/>
    <w:next w:val="Normln"/>
    <w:link w:val="Nadpis6Char"/>
    <w:qFormat/>
    <w:rsid w:val="008A070B"/>
    <w:pPr>
      <w:widowControl w:val="0"/>
      <w:tabs>
        <w:tab w:val="num" w:pos="1152"/>
      </w:tabs>
      <w:spacing w:before="240" w:after="60" w:line="300" w:lineRule="atLeast"/>
      <w:ind w:left="1152" w:hanging="1152"/>
      <w:jc w:val="left"/>
      <w:outlineLvl w:val="5"/>
    </w:pPr>
    <w:rPr>
      <w:rFonts w:eastAsia="Times New Roman"/>
      <w:i/>
      <w:sz w:val="19"/>
      <w:szCs w:val="20"/>
      <w:lang w:val="nl-NL" w:eastAsia="nl-NL"/>
    </w:rPr>
  </w:style>
  <w:style w:type="paragraph" w:styleId="Nadpis9">
    <w:name w:val="heading 9"/>
    <w:basedOn w:val="Normln"/>
    <w:next w:val="Normln"/>
    <w:link w:val="Nadpis9Char"/>
    <w:qFormat/>
    <w:rsid w:val="008A070B"/>
    <w:pPr>
      <w:widowControl w:val="0"/>
      <w:tabs>
        <w:tab w:val="num" w:pos="1584"/>
      </w:tabs>
      <w:spacing w:before="240" w:after="60" w:line="300" w:lineRule="atLeast"/>
      <w:ind w:left="1584" w:hanging="1584"/>
      <w:jc w:val="left"/>
      <w:outlineLvl w:val="8"/>
    </w:pPr>
    <w:rPr>
      <w:rFonts w:eastAsia="Times New Roman"/>
      <w:bCs/>
      <w:sz w:val="18"/>
      <w:szCs w:val="20"/>
      <w:lang w:val="nl-NL"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C6FD1"/>
    <w:rPr>
      <w:rFonts w:ascii="Arial" w:eastAsia="SimSun" w:hAnsi="Arial" w:cs="Times New Roman"/>
      <w:b/>
      <w:bCs/>
      <w:sz w:val="32"/>
      <w:szCs w:val="28"/>
    </w:rPr>
  </w:style>
  <w:style w:type="character" w:customStyle="1" w:styleId="Nadpis2Char">
    <w:name w:val="Nadpis 2 Char"/>
    <w:link w:val="Nadpis2"/>
    <w:rsid w:val="001B38FB"/>
    <w:rPr>
      <w:rFonts w:ascii="Arial" w:eastAsia="SimSun" w:hAnsi="Arial" w:cs="Arial"/>
      <w:b/>
      <w:bCs/>
      <w:i/>
      <w:lang w:val="en-GB"/>
    </w:rPr>
  </w:style>
  <w:style w:type="character" w:styleId="Hypertextovodkaz">
    <w:name w:val="Hyperlink"/>
    <w:uiPriority w:val="99"/>
    <w:unhideWhenUsed/>
    <w:rsid w:val="00196F51"/>
    <w:rPr>
      <w:color w:val="0000FF"/>
      <w:u w:val="single"/>
    </w:rPr>
  </w:style>
  <w:style w:type="paragraph" w:styleId="Odstavecseseznamem">
    <w:name w:val="List Paragraph"/>
    <w:basedOn w:val="Normln"/>
    <w:link w:val="OdstavecseseznamemChar"/>
    <w:uiPriority w:val="34"/>
    <w:qFormat/>
    <w:rsid w:val="00196F51"/>
    <w:pPr>
      <w:ind w:left="720"/>
      <w:contextualSpacing/>
    </w:pPr>
  </w:style>
  <w:style w:type="paragraph" w:styleId="Zhlav">
    <w:name w:val="header"/>
    <w:basedOn w:val="Normln"/>
    <w:link w:val="ZhlavChar"/>
    <w:uiPriority w:val="99"/>
    <w:unhideWhenUsed/>
    <w:rsid w:val="00195829"/>
    <w:pPr>
      <w:tabs>
        <w:tab w:val="center" w:pos="4513"/>
        <w:tab w:val="right" w:pos="9026"/>
      </w:tabs>
      <w:spacing w:after="0" w:line="240" w:lineRule="auto"/>
    </w:pPr>
  </w:style>
  <w:style w:type="character" w:customStyle="1" w:styleId="ZhlavChar">
    <w:name w:val="Záhlaví Char"/>
    <w:link w:val="Zhlav"/>
    <w:uiPriority w:val="99"/>
    <w:rsid w:val="00195829"/>
    <w:rPr>
      <w:rFonts w:ascii="Arial" w:hAnsi="Arial"/>
      <w:color w:val="18276E"/>
    </w:rPr>
  </w:style>
  <w:style w:type="paragraph" w:styleId="Zpat">
    <w:name w:val="footer"/>
    <w:basedOn w:val="Normln"/>
    <w:link w:val="ZpatChar"/>
    <w:uiPriority w:val="99"/>
    <w:unhideWhenUsed/>
    <w:rsid w:val="00195829"/>
    <w:pPr>
      <w:tabs>
        <w:tab w:val="center" w:pos="4513"/>
        <w:tab w:val="right" w:pos="9026"/>
      </w:tabs>
      <w:spacing w:after="0" w:line="240" w:lineRule="auto"/>
    </w:pPr>
  </w:style>
  <w:style w:type="character" w:customStyle="1" w:styleId="ZpatChar">
    <w:name w:val="Zápatí Char"/>
    <w:link w:val="Zpat"/>
    <w:uiPriority w:val="99"/>
    <w:rsid w:val="00195829"/>
    <w:rPr>
      <w:rFonts w:ascii="Arial" w:hAnsi="Arial"/>
      <w:color w:val="18276E"/>
    </w:rPr>
  </w:style>
  <w:style w:type="paragraph" w:styleId="Textbubliny">
    <w:name w:val="Balloon Text"/>
    <w:basedOn w:val="Normln"/>
    <w:link w:val="TextbublinyChar"/>
    <w:uiPriority w:val="99"/>
    <w:semiHidden/>
    <w:unhideWhenUsed/>
    <w:rsid w:val="00764314"/>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64314"/>
    <w:rPr>
      <w:rFonts w:ascii="Tahoma" w:hAnsi="Tahoma" w:cs="Tahoma"/>
      <w:color w:val="18276E"/>
      <w:sz w:val="16"/>
      <w:szCs w:val="16"/>
    </w:rPr>
  </w:style>
  <w:style w:type="character" w:styleId="Znakapoznpodarou">
    <w:name w:val="footnote reference"/>
    <w:aliases w:val="Ref,de nota al pie,Voetnootmarkering1,Footnote Reference Superscript,Footnote symbol,Times 10 Point,Exposant 3 Point,Appel note de bas de p,PBO Footnote Reference,FR + (Complex) Arial,(Latin) 9 pt,(Complex) 10 pt + (Compl...,Nota"/>
    <w:uiPriority w:val="99"/>
    <w:qFormat/>
    <w:rsid w:val="00922D35"/>
    <w:rPr>
      <w:rFonts w:cs="Times New Roman"/>
      <w:vertAlign w:val="superscript"/>
    </w:rPr>
  </w:style>
  <w:style w:type="paragraph" w:styleId="Textpoznpodarou">
    <w:name w:val="footnote text"/>
    <w:aliases w:val="FA Fußnotentext,Fußnotentext Char1,Fußnotentext Char Char,Fußnotentext Char1 Char,Fußnotentext Char Char Char Char Char,Fußnotentext Char Char Char Char,Fußnotentext Char Char Char Char1,Footnote Text2,Footnote Text11,Char"/>
    <w:basedOn w:val="Normln"/>
    <w:link w:val="TextpoznpodarouChar"/>
    <w:uiPriority w:val="99"/>
    <w:qFormat/>
    <w:rsid w:val="00922D35"/>
    <w:pPr>
      <w:suppressAutoHyphens/>
      <w:spacing w:after="0" w:line="240" w:lineRule="auto"/>
    </w:pPr>
    <w:rPr>
      <w:rFonts w:ascii="Times New Roman" w:eastAsia="Times New Roman" w:hAnsi="Times New Roman"/>
      <w:sz w:val="20"/>
      <w:szCs w:val="20"/>
      <w:lang w:val="de-DE" w:eastAsia="ar-SA"/>
    </w:rPr>
  </w:style>
  <w:style w:type="character" w:customStyle="1" w:styleId="TextpoznpodarouChar">
    <w:name w:val="Text pozn. pod čarou Char"/>
    <w:aliases w:val="FA Fußnotentext Char,Fußnotentext Char1 Char1,Fußnotentext Char Char Char,Fußnotentext Char1 Char Char,Fußnotentext Char Char Char Char Char Char,Fußnotentext Char Char Char Char Char1,Fußnotentext Char Char Char Char1 Char"/>
    <w:link w:val="Textpoznpodarou"/>
    <w:uiPriority w:val="99"/>
    <w:rsid w:val="00922D35"/>
    <w:rPr>
      <w:rFonts w:ascii="Times New Roman" w:eastAsia="Times New Roman" w:hAnsi="Times New Roman" w:cs="Times New Roman"/>
      <w:sz w:val="20"/>
      <w:szCs w:val="20"/>
      <w:lang w:val="de-DE" w:eastAsia="ar-SA"/>
    </w:rPr>
  </w:style>
  <w:style w:type="character" w:customStyle="1" w:styleId="Heading3Char">
    <w:name w:val="Heading 3 Char"/>
    <w:uiPriority w:val="9"/>
    <w:rsid w:val="0098752B"/>
    <w:rPr>
      <w:rFonts w:ascii="Arial" w:eastAsia="SimSun" w:hAnsi="Arial" w:cs="Times New Roman"/>
      <w:b/>
      <w:bCs/>
      <w:sz w:val="24"/>
      <w:szCs w:val="24"/>
      <w:lang w:val="en-US"/>
    </w:rPr>
  </w:style>
  <w:style w:type="paragraph" w:styleId="Nadpisobsahu">
    <w:name w:val="TOC Heading"/>
    <w:basedOn w:val="Nadpis1"/>
    <w:next w:val="Normln"/>
    <w:uiPriority w:val="39"/>
    <w:unhideWhenUsed/>
    <w:qFormat/>
    <w:rsid w:val="00AE0E85"/>
    <w:pPr>
      <w:jc w:val="left"/>
      <w:outlineLvl w:val="9"/>
    </w:pPr>
    <w:rPr>
      <w:rFonts w:ascii="Cambria" w:hAnsi="Cambria"/>
      <w:color w:val="365F91"/>
      <w:lang w:val="en-US" w:eastAsia="ja-JP"/>
    </w:rPr>
  </w:style>
  <w:style w:type="paragraph" w:styleId="Obsah1">
    <w:name w:val="toc 1"/>
    <w:basedOn w:val="Normln"/>
    <w:next w:val="Normln"/>
    <w:autoRedefine/>
    <w:uiPriority w:val="39"/>
    <w:unhideWhenUsed/>
    <w:qFormat/>
    <w:rsid w:val="00CC495A"/>
    <w:pPr>
      <w:tabs>
        <w:tab w:val="right" w:leader="dot" w:pos="9016"/>
      </w:tabs>
      <w:spacing w:after="60"/>
    </w:pPr>
    <w:rPr>
      <w:b/>
      <w:noProof/>
    </w:rPr>
  </w:style>
  <w:style w:type="paragraph" w:styleId="Obsah3">
    <w:name w:val="toc 3"/>
    <w:basedOn w:val="Normln"/>
    <w:next w:val="Normln"/>
    <w:autoRedefine/>
    <w:uiPriority w:val="39"/>
    <w:unhideWhenUsed/>
    <w:qFormat/>
    <w:rsid w:val="00554F1F"/>
    <w:pPr>
      <w:tabs>
        <w:tab w:val="right" w:leader="dot" w:pos="9016"/>
      </w:tabs>
      <w:spacing w:after="100"/>
      <w:ind w:left="284"/>
    </w:pPr>
  </w:style>
  <w:style w:type="paragraph" w:styleId="Obsah2">
    <w:name w:val="toc 2"/>
    <w:basedOn w:val="Normln"/>
    <w:next w:val="Normln"/>
    <w:autoRedefine/>
    <w:uiPriority w:val="39"/>
    <w:unhideWhenUsed/>
    <w:qFormat/>
    <w:rsid w:val="00426571"/>
    <w:pPr>
      <w:tabs>
        <w:tab w:val="right" w:leader="dot" w:pos="9016"/>
      </w:tabs>
      <w:spacing w:after="100" w:line="240" w:lineRule="auto"/>
      <w:ind w:left="220"/>
    </w:pPr>
    <w:rPr>
      <w:noProof/>
    </w:rPr>
  </w:style>
  <w:style w:type="character" w:customStyle="1" w:styleId="Nadpis4Char">
    <w:name w:val="Nadpis 4 Char"/>
    <w:link w:val="Nadpis4"/>
    <w:rsid w:val="00874789"/>
    <w:rPr>
      <w:rFonts w:ascii="Arial" w:eastAsia="SimSun" w:hAnsi="Arial" w:cs="Times New Roman"/>
      <w:bCs/>
      <w:iCs/>
      <w:sz w:val="24"/>
    </w:rPr>
  </w:style>
  <w:style w:type="paragraph" w:styleId="Normlnweb">
    <w:name w:val="Normal (Web)"/>
    <w:basedOn w:val="Normln"/>
    <w:uiPriority w:val="99"/>
    <w:semiHidden/>
    <w:unhideWhenUsed/>
    <w:rsid w:val="009948A0"/>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Sectionabullets">
    <w:name w:val="Section a bullets"/>
    <w:uiPriority w:val="99"/>
    <w:rsid w:val="00E4255F"/>
    <w:pPr>
      <w:numPr>
        <w:ilvl w:val="5"/>
        <w:numId w:val="1"/>
      </w:numPr>
      <w:spacing w:after="240"/>
    </w:pPr>
    <w:rPr>
      <w:rFonts w:ascii="Arial" w:eastAsia="Times New Roman" w:hAnsi="Arial"/>
      <w:color w:val="000000"/>
      <w:sz w:val="22"/>
      <w:szCs w:val="48"/>
      <w:lang w:val="en-IE" w:eastAsia="en-GB"/>
    </w:rPr>
  </w:style>
  <w:style w:type="paragraph" w:customStyle="1" w:styleId="SectionBodyText">
    <w:name w:val="Section Body Text"/>
    <w:uiPriority w:val="99"/>
    <w:rsid w:val="00E4255F"/>
    <w:pPr>
      <w:numPr>
        <w:ilvl w:val="7"/>
        <w:numId w:val="1"/>
      </w:numPr>
      <w:spacing w:after="240"/>
    </w:pPr>
    <w:rPr>
      <w:rFonts w:ascii="Arial" w:eastAsia="Times New Roman" w:hAnsi="Arial"/>
      <w:color w:val="000000"/>
      <w:sz w:val="22"/>
      <w:szCs w:val="22"/>
      <w:lang w:val="en-IE" w:eastAsia="en-GB"/>
    </w:rPr>
  </w:style>
  <w:style w:type="paragraph" w:customStyle="1" w:styleId="Sectionibullets">
    <w:name w:val="Section i bullets"/>
    <w:uiPriority w:val="99"/>
    <w:rsid w:val="00E4255F"/>
    <w:pPr>
      <w:numPr>
        <w:ilvl w:val="6"/>
        <w:numId w:val="1"/>
      </w:numPr>
      <w:spacing w:after="240"/>
    </w:pPr>
    <w:rPr>
      <w:rFonts w:ascii="Arial" w:eastAsia="Times New Roman" w:hAnsi="Arial"/>
      <w:color w:val="000000"/>
      <w:sz w:val="22"/>
      <w:szCs w:val="48"/>
      <w:lang w:val="en-IE" w:eastAsia="en-GB"/>
    </w:rPr>
  </w:style>
  <w:style w:type="paragraph" w:customStyle="1" w:styleId="Sectionlevel1">
    <w:name w:val="Section level 1"/>
    <w:next w:val="SectionLevel2"/>
    <w:uiPriority w:val="99"/>
    <w:rsid w:val="00E4255F"/>
    <w:pPr>
      <w:numPr>
        <w:ilvl w:val="1"/>
        <w:numId w:val="1"/>
      </w:numPr>
      <w:spacing w:before="240" w:after="240"/>
    </w:pPr>
    <w:rPr>
      <w:rFonts w:ascii="Arial" w:eastAsia="Times New Roman" w:hAnsi="Arial"/>
      <w:color w:val="CC0033"/>
      <w:sz w:val="48"/>
      <w:szCs w:val="48"/>
      <w:lang w:val="en-IE" w:eastAsia="en-GB"/>
    </w:rPr>
  </w:style>
  <w:style w:type="paragraph" w:customStyle="1" w:styleId="SectionLevel2">
    <w:name w:val="Section Level 2"/>
    <w:next w:val="SectionLevel3"/>
    <w:uiPriority w:val="99"/>
    <w:rsid w:val="00E4255F"/>
    <w:pPr>
      <w:keepNext/>
      <w:keepLines/>
      <w:numPr>
        <w:ilvl w:val="2"/>
        <w:numId w:val="1"/>
      </w:numPr>
      <w:spacing w:after="240"/>
      <w:jc w:val="both"/>
    </w:pPr>
    <w:rPr>
      <w:rFonts w:ascii="Arial" w:eastAsia="Times New Roman" w:hAnsi="Arial"/>
      <w:b/>
      <w:color w:val="1F497D"/>
      <w:sz w:val="28"/>
      <w:szCs w:val="48"/>
      <w:lang w:val="en-IE" w:eastAsia="en-GB"/>
    </w:rPr>
  </w:style>
  <w:style w:type="paragraph" w:customStyle="1" w:styleId="SectionLevel3">
    <w:name w:val="Section Level 3"/>
    <w:uiPriority w:val="99"/>
    <w:rsid w:val="00E4255F"/>
    <w:pPr>
      <w:numPr>
        <w:ilvl w:val="3"/>
        <w:numId w:val="1"/>
      </w:numPr>
      <w:spacing w:after="240"/>
    </w:pPr>
    <w:rPr>
      <w:rFonts w:ascii="Arial" w:eastAsia="Times New Roman" w:hAnsi="Arial"/>
      <w:color w:val="000000"/>
      <w:sz w:val="22"/>
      <w:szCs w:val="48"/>
      <w:lang w:val="en-IE" w:eastAsia="en-GB"/>
    </w:rPr>
  </w:style>
  <w:style w:type="paragraph" w:customStyle="1" w:styleId="SectionLevel4">
    <w:name w:val="Section Level 4"/>
    <w:uiPriority w:val="99"/>
    <w:rsid w:val="00E4255F"/>
    <w:pPr>
      <w:numPr>
        <w:ilvl w:val="4"/>
        <w:numId w:val="1"/>
      </w:numPr>
      <w:spacing w:after="240"/>
    </w:pPr>
    <w:rPr>
      <w:rFonts w:ascii="Arial" w:eastAsia="Times New Roman" w:hAnsi="Arial"/>
      <w:color w:val="000000"/>
      <w:sz w:val="22"/>
      <w:szCs w:val="48"/>
      <w:lang w:val="en-IE" w:eastAsia="en-GB"/>
    </w:rPr>
  </w:style>
  <w:style w:type="paragraph" w:customStyle="1" w:styleId="SectionNumber">
    <w:name w:val="Section Number"/>
    <w:next w:val="Sectionlevel1"/>
    <w:uiPriority w:val="99"/>
    <w:rsid w:val="00E4255F"/>
    <w:pPr>
      <w:pageBreakBefore/>
      <w:numPr>
        <w:numId w:val="1"/>
      </w:numPr>
      <w:spacing w:after="240"/>
    </w:pPr>
    <w:rPr>
      <w:rFonts w:ascii="Arial" w:eastAsia="Times New Roman" w:hAnsi="Arial"/>
      <w:b/>
      <w:color w:val="CC0033"/>
      <w:sz w:val="24"/>
      <w:szCs w:val="48"/>
      <w:lang w:val="en-IE" w:eastAsia="en-GB"/>
    </w:rPr>
  </w:style>
  <w:style w:type="paragraph" w:styleId="Bezmezer">
    <w:name w:val="No Spacing"/>
    <w:link w:val="BezmezerChar"/>
    <w:uiPriority w:val="1"/>
    <w:qFormat/>
    <w:rsid w:val="003C648D"/>
    <w:rPr>
      <w:rFonts w:eastAsia="SimSun"/>
      <w:sz w:val="22"/>
      <w:szCs w:val="22"/>
      <w:lang w:val="en-US" w:eastAsia="ja-JP"/>
    </w:rPr>
  </w:style>
  <w:style w:type="character" w:customStyle="1" w:styleId="BezmezerChar">
    <w:name w:val="Bez mezer Char"/>
    <w:link w:val="Bezmezer"/>
    <w:uiPriority w:val="1"/>
    <w:rsid w:val="003C648D"/>
    <w:rPr>
      <w:rFonts w:eastAsia="SimSun"/>
      <w:lang w:val="en-US" w:eastAsia="ja-JP"/>
    </w:rPr>
  </w:style>
  <w:style w:type="paragraph" w:customStyle="1" w:styleId="alinea">
    <w:name w:val="alinea"/>
    <w:basedOn w:val="Normln"/>
    <w:autoRedefine/>
    <w:rsid w:val="00A04EA6"/>
    <w:pPr>
      <w:tabs>
        <w:tab w:val="left" w:pos="567"/>
      </w:tabs>
      <w:spacing w:after="300" w:line="300" w:lineRule="atLeast"/>
      <w:jc w:val="left"/>
    </w:pPr>
    <w:rPr>
      <w:rFonts w:eastAsia="Times New Roman"/>
      <w:b/>
      <w:color w:val="000000"/>
      <w:lang w:eastAsia="nl-NL"/>
    </w:rPr>
  </w:style>
  <w:style w:type="paragraph" w:styleId="Titulek">
    <w:name w:val="caption"/>
    <w:basedOn w:val="Normln"/>
    <w:next w:val="Normln"/>
    <w:autoRedefine/>
    <w:qFormat/>
    <w:rsid w:val="007919F5"/>
    <w:pPr>
      <w:spacing w:after="120" w:line="300" w:lineRule="atLeast"/>
      <w:jc w:val="left"/>
    </w:pPr>
    <w:rPr>
      <w:rFonts w:eastAsia="Times New Roman"/>
      <w:color w:val="000000"/>
      <w:sz w:val="20"/>
      <w:szCs w:val="20"/>
      <w:lang w:eastAsia="nl-NL"/>
    </w:rPr>
  </w:style>
  <w:style w:type="table" w:styleId="Mkatabulky">
    <w:name w:val="Table Grid"/>
    <w:basedOn w:val="Normlntabulka"/>
    <w:uiPriority w:val="59"/>
    <w:rsid w:val="006A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874789"/>
    <w:pPr>
      <w:spacing w:after="100"/>
      <w:ind w:left="660"/>
    </w:pPr>
  </w:style>
  <w:style w:type="character" w:customStyle="1" w:styleId="Nadpis5Char">
    <w:name w:val="Nadpis 5 Char"/>
    <w:link w:val="Nadpis5"/>
    <w:uiPriority w:val="9"/>
    <w:semiHidden/>
    <w:rsid w:val="00B50BB7"/>
    <w:rPr>
      <w:rFonts w:ascii="Cambria" w:eastAsia="SimSun" w:hAnsi="Cambria" w:cs="Times New Roman"/>
      <w:color w:val="243F60"/>
    </w:rPr>
  </w:style>
  <w:style w:type="paragraph" w:customStyle="1" w:styleId="bottom0">
    <w:name w:val="bottom_0"/>
    <w:basedOn w:val="Normln"/>
    <w:rsid w:val="00B50BB7"/>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Zdraznn">
    <w:name w:val="Emphasis"/>
    <w:uiPriority w:val="20"/>
    <w:qFormat/>
    <w:rsid w:val="00B50BB7"/>
    <w:rPr>
      <w:i/>
      <w:iCs/>
    </w:rPr>
  </w:style>
  <w:style w:type="character" w:customStyle="1" w:styleId="update">
    <w:name w:val="update"/>
    <w:basedOn w:val="Standardnpsmoodstavce"/>
    <w:rsid w:val="00B50BB7"/>
  </w:style>
  <w:style w:type="character" w:styleId="Sledovanodkaz">
    <w:name w:val="FollowedHyperlink"/>
    <w:uiPriority w:val="99"/>
    <w:semiHidden/>
    <w:unhideWhenUsed/>
    <w:rsid w:val="00CC2B5C"/>
    <w:rPr>
      <w:color w:val="800080"/>
      <w:u w:val="single"/>
    </w:rPr>
  </w:style>
  <w:style w:type="paragraph" w:customStyle="1" w:styleId="Default">
    <w:name w:val="Default"/>
    <w:rsid w:val="00E301EA"/>
    <w:pPr>
      <w:autoSpaceDE w:val="0"/>
      <w:autoSpaceDN w:val="0"/>
      <w:adjustRightInd w:val="0"/>
    </w:pPr>
    <w:rPr>
      <w:rFonts w:ascii="Symbol" w:hAnsi="Symbol" w:cs="Symbol"/>
      <w:color w:val="000000"/>
      <w:sz w:val="24"/>
      <w:szCs w:val="24"/>
      <w:lang w:val="en-IE" w:eastAsia="en-US"/>
    </w:rPr>
  </w:style>
  <w:style w:type="character" w:styleId="Odkaznakoment">
    <w:name w:val="annotation reference"/>
    <w:uiPriority w:val="99"/>
    <w:unhideWhenUsed/>
    <w:rsid w:val="00867FA6"/>
    <w:rPr>
      <w:sz w:val="16"/>
      <w:szCs w:val="16"/>
    </w:rPr>
  </w:style>
  <w:style w:type="paragraph" w:styleId="Textkomente">
    <w:name w:val="annotation text"/>
    <w:basedOn w:val="Normln"/>
    <w:link w:val="TextkomenteChar"/>
    <w:uiPriority w:val="99"/>
    <w:unhideWhenUsed/>
    <w:qFormat/>
    <w:rsid w:val="00867FA6"/>
    <w:pPr>
      <w:spacing w:line="240" w:lineRule="auto"/>
    </w:pPr>
    <w:rPr>
      <w:sz w:val="20"/>
      <w:szCs w:val="20"/>
    </w:rPr>
  </w:style>
  <w:style w:type="character" w:customStyle="1" w:styleId="TextkomenteChar">
    <w:name w:val="Text komentáře Char"/>
    <w:link w:val="Textkomente"/>
    <w:uiPriority w:val="99"/>
    <w:qFormat/>
    <w:rsid w:val="00867FA6"/>
    <w:rPr>
      <w:rFonts w:ascii="Arial" w:hAnsi="Arial"/>
      <w:sz w:val="20"/>
      <w:szCs w:val="20"/>
    </w:rPr>
  </w:style>
  <w:style w:type="paragraph" w:styleId="Pedmtkomente">
    <w:name w:val="annotation subject"/>
    <w:basedOn w:val="Textkomente"/>
    <w:next w:val="Textkomente"/>
    <w:link w:val="PedmtkomenteChar"/>
    <w:uiPriority w:val="99"/>
    <w:semiHidden/>
    <w:unhideWhenUsed/>
    <w:rsid w:val="00867FA6"/>
    <w:rPr>
      <w:b/>
      <w:bCs/>
    </w:rPr>
  </w:style>
  <w:style w:type="character" w:customStyle="1" w:styleId="PedmtkomenteChar">
    <w:name w:val="Předmět komentáře Char"/>
    <w:link w:val="Pedmtkomente"/>
    <w:uiPriority w:val="99"/>
    <w:semiHidden/>
    <w:rsid w:val="00867FA6"/>
    <w:rPr>
      <w:rFonts w:ascii="Arial" w:hAnsi="Arial"/>
      <w:b/>
      <w:bCs/>
      <w:sz w:val="20"/>
      <w:szCs w:val="20"/>
    </w:rPr>
  </w:style>
  <w:style w:type="character" w:customStyle="1" w:styleId="Nadpis3Char">
    <w:name w:val="Nadpis 3 Char"/>
    <w:link w:val="Nadpis3"/>
    <w:rsid w:val="0098752B"/>
    <w:rPr>
      <w:rFonts w:ascii="Arial" w:eastAsia="SimSun" w:hAnsi="Arial" w:cs="Times New Roman"/>
      <w:b/>
      <w:bCs/>
      <w:sz w:val="24"/>
    </w:rPr>
  </w:style>
  <w:style w:type="paragraph" w:styleId="Prosttext">
    <w:name w:val="Plain Text"/>
    <w:basedOn w:val="Normln"/>
    <w:link w:val="ProsttextChar"/>
    <w:uiPriority w:val="99"/>
    <w:unhideWhenUsed/>
    <w:rsid w:val="00D44C42"/>
    <w:pPr>
      <w:spacing w:after="0" w:line="240" w:lineRule="auto"/>
      <w:jc w:val="left"/>
    </w:pPr>
    <w:rPr>
      <w:rFonts w:ascii="Calibri" w:hAnsi="Calibri"/>
      <w:szCs w:val="21"/>
      <w:lang w:val="de-DE"/>
    </w:rPr>
  </w:style>
  <w:style w:type="character" w:customStyle="1" w:styleId="ProsttextChar">
    <w:name w:val="Prostý text Char"/>
    <w:link w:val="Prosttext"/>
    <w:uiPriority w:val="99"/>
    <w:rsid w:val="00D44C42"/>
    <w:rPr>
      <w:rFonts w:ascii="Calibri" w:hAnsi="Calibri"/>
      <w:szCs w:val="21"/>
      <w:lang w:val="de-DE"/>
    </w:rPr>
  </w:style>
  <w:style w:type="character" w:styleId="Siln">
    <w:name w:val="Strong"/>
    <w:uiPriority w:val="22"/>
    <w:qFormat/>
    <w:rsid w:val="007D6F51"/>
    <w:rPr>
      <w:b/>
      <w:bCs/>
    </w:rPr>
  </w:style>
  <w:style w:type="paragraph" w:styleId="Revize">
    <w:name w:val="Revision"/>
    <w:hidden/>
    <w:uiPriority w:val="99"/>
    <w:semiHidden/>
    <w:rsid w:val="0095509D"/>
    <w:rPr>
      <w:rFonts w:ascii="Arial" w:hAnsi="Arial"/>
      <w:sz w:val="22"/>
      <w:szCs w:val="22"/>
      <w:lang w:val="en-IE" w:eastAsia="en-US"/>
    </w:rPr>
  </w:style>
  <w:style w:type="table" w:customStyle="1" w:styleId="Tabellenraster1">
    <w:name w:val="Tabellenraster1"/>
    <w:basedOn w:val="Normlntabulka"/>
    <w:next w:val="Mkatabulky"/>
    <w:uiPriority w:val="59"/>
    <w:rsid w:val="00E4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543A23"/>
    <w:pPr>
      <w:suppressAutoHyphens/>
      <w:autoSpaceDN w:val="0"/>
      <w:spacing w:after="360" w:line="276" w:lineRule="auto"/>
      <w:jc w:val="both"/>
      <w:textAlignment w:val="baseline"/>
    </w:pPr>
    <w:rPr>
      <w:rFonts w:ascii="Arial" w:hAnsi="Arial"/>
      <w:kern w:val="3"/>
      <w:sz w:val="22"/>
      <w:szCs w:val="22"/>
      <w:lang w:val="en-GB" w:eastAsia="en-US"/>
    </w:rPr>
  </w:style>
  <w:style w:type="paragraph" w:customStyle="1" w:styleId="Textbody">
    <w:name w:val="Text body"/>
    <w:basedOn w:val="Normln"/>
    <w:rsid w:val="00543A23"/>
    <w:pPr>
      <w:suppressAutoHyphens/>
      <w:autoSpaceDN w:val="0"/>
      <w:spacing w:after="120" w:line="240" w:lineRule="auto"/>
      <w:jc w:val="left"/>
    </w:pPr>
    <w:rPr>
      <w:rFonts w:ascii="Calibri" w:hAnsi="Calibri" w:cs="Calibri"/>
      <w:kern w:val="3"/>
    </w:rPr>
  </w:style>
  <w:style w:type="character" w:customStyle="1" w:styleId="hps">
    <w:name w:val="hps"/>
    <w:basedOn w:val="Standardnpsmoodstavce"/>
    <w:rsid w:val="00952B76"/>
  </w:style>
  <w:style w:type="character" w:customStyle="1" w:styleId="Nadpis6Char">
    <w:name w:val="Nadpis 6 Char"/>
    <w:link w:val="Nadpis6"/>
    <w:rsid w:val="008A070B"/>
    <w:rPr>
      <w:rFonts w:ascii="Arial" w:eastAsia="Times New Roman" w:hAnsi="Arial" w:cs="Times New Roman"/>
      <w:i/>
      <w:sz w:val="19"/>
      <w:szCs w:val="20"/>
      <w:lang w:val="nl-NL" w:eastAsia="nl-NL"/>
    </w:rPr>
  </w:style>
  <w:style w:type="character" w:customStyle="1" w:styleId="Nadpis9Char">
    <w:name w:val="Nadpis 9 Char"/>
    <w:link w:val="Nadpis9"/>
    <w:rsid w:val="008A070B"/>
    <w:rPr>
      <w:rFonts w:ascii="Arial" w:eastAsia="Times New Roman" w:hAnsi="Arial" w:cs="Times New Roman"/>
      <w:bCs/>
      <w:sz w:val="18"/>
      <w:szCs w:val="20"/>
      <w:lang w:val="nl-NL" w:eastAsia="nl-NL"/>
    </w:rPr>
  </w:style>
  <w:style w:type="character" w:customStyle="1" w:styleId="OdstavecseseznamemChar">
    <w:name w:val="Odstavec se seznamem Char"/>
    <w:link w:val="Odstavecseseznamem"/>
    <w:uiPriority w:val="34"/>
    <w:rsid w:val="00534B48"/>
    <w:rPr>
      <w:rFonts w:ascii="Arial" w:hAnsi="Arial"/>
      <w:lang w:val="en-GB"/>
    </w:rPr>
  </w:style>
  <w:style w:type="paragraph" w:customStyle="1" w:styleId="CM3">
    <w:name w:val="CM3"/>
    <w:basedOn w:val="Default"/>
    <w:next w:val="Default"/>
    <w:uiPriority w:val="99"/>
    <w:rsid w:val="009D6916"/>
    <w:rPr>
      <w:rFonts w:ascii="EUAlbertina" w:hAnsi="EUAlbertina" w:cs="Times New Roman"/>
      <w:color w:val="auto"/>
      <w:lang w:val="de-DE"/>
    </w:rPr>
  </w:style>
  <w:style w:type="character" w:customStyle="1" w:styleId="apple-converted-space">
    <w:name w:val="apple-converted-space"/>
    <w:basedOn w:val="Standardnpsmoodstavce"/>
    <w:rsid w:val="008D7A8C"/>
  </w:style>
  <w:style w:type="paragraph" w:customStyle="1" w:styleId="Style1">
    <w:name w:val="Style1"/>
    <w:basedOn w:val="Normln"/>
    <w:link w:val="Style1Char"/>
    <w:qFormat/>
    <w:rsid w:val="00BE001A"/>
    <w:pPr>
      <w:spacing w:after="120" w:line="240" w:lineRule="auto"/>
    </w:pPr>
    <w:rPr>
      <w:lang w:val="cs-CZ"/>
    </w:rPr>
  </w:style>
  <w:style w:type="paragraph" w:customStyle="1" w:styleId="BEREC">
    <w:name w:val="BEREC"/>
    <w:basedOn w:val="Odstavecseseznamem"/>
    <w:link w:val="BERECChar"/>
    <w:qFormat/>
    <w:rsid w:val="00BE001A"/>
    <w:pPr>
      <w:spacing w:after="120"/>
      <w:ind w:left="357" w:hanging="357"/>
      <w:contextualSpacing w:val="0"/>
    </w:pPr>
    <w:rPr>
      <w:lang w:val="cs-CZ"/>
    </w:rPr>
  </w:style>
  <w:style w:type="character" w:customStyle="1" w:styleId="Style1Char">
    <w:name w:val="Style1 Char"/>
    <w:basedOn w:val="Standardnpsmoodstavce"/>
    <w:link w:val="Style1"/>
    <w:rsid w:val="00BE001A"/>
    <w:rPr>
      <w:rFonts w:ascii="Arial" w:hAnsi="Arial"/>
      <w:sz w:val="22"/>
      <w:szCs w:val="22"/>
      <w:lang w:eastAsia="en-US"/>
    </w:rPr>
  </w:style>
  <w:style w:type="paragraph" w:customStyle="1" w:styleId="Style2">
    <w:name w:val="Style2"/>
    <w:basedOn w:val="Normln"/>
    <w:link w:val="Style2Char"/>
    <w:qFormat/>
    <w:rsid w:val="000F62E4"/>
    <w:pPr>
      <w:pBdr>
        <w:top w:val="single" w:sz="4" w:space="1" w:color="auto"/>
        <w:left w:val="single" w:sz="4" w:space="4" w:color="auto"/>
        <w:bottom w:val="single" w:sz="4" w:space="1" w:color="auto"/>
        <w:right w:val="single" w:sz="4" w:space="4" w:color="auto"/>
      </w:pBdr>
      <w:shd w:val="clear" w:color="auto" w:fill="D9D9D9"/>
    </w:pPr>
    <w:rPr>
      <w:rFonts w:ascii="Times New Roman" w:hAnsi="Times New Roman"/>
      <w:szCs w:val="19"/>
      <w:lang w:val="cs-CZ"/>
    </w:rPr>
  </w:style>
  <w:style w:type="character" w:customStyle="1" w:styleId="BERECChar">
    <w:name w:val="BEREC Char"/>
    <w:basedOn w:val="OdstavecseseznamemChar"/>
    <w:link w:val="BEREC"/>
    <w:rsid w:val="00BE001A"/>
    <w:rPr>
      <w:rFonts w:ascii="Arial" w:hAnsi="Arial"/>
      <w:sz w:val="22"/>
      <w:szCs w:val="22"/>
      <w:lang w:val="en-GB" w:eastAsia="en-US"/>
    </w:rPr>
  </w:style>
  <w:style w:type="paragraph" w:customStyle="1" w:styleId="Style3">
    <w:name w:val="Style3"/>
    <w:basedOn w:val="Normln"/>
    <w:link w:val="Style3Char"/>
    <w:qFormat/>
    <w:rsid w:val="000F62E4"/>
    <w:pPr>
      <w:shd w:val="clear" w:color="auto" w:fill="D9D9D9"/>
    </w:pPr>
    <w:rPr>
      <w:rFonts w:ascii="Times New Roman" w:hAnsi="Times New Roman"/>
      <w:sz w:val="20"/>
      <w:lang w:val="cs-CZ"/>
    </w:rPr>
  </w:style>
  <w:style w:type="character" w:customStyle="1" w:styleId="Style2Char">
    <w:name w:val="Style2 Char"/>
    <w:basedOn w:val="Standardnpsmoodstavce"/>
    <w:link w:val="Style2"/>
    <w:rsid w:val="000F62E4"/>
    <w:rPr>
      <w:rFonts w:ascii="Times New Roman" w:hAnsi="Times New Roman"/>
      <w:sz w:val="22"/>
      <w:szCs w:val="19"/>
      <w:shd w:val="clear" w:color="auto" w:fill="D9D9D9"/>
      <w:lang w:eastAsia="en-US"/>
    </w:rPr>
  </w:style>
  <w:style w:type="paragraph" w:customStyle="1" w:styleId="BERECcitace">
    <w:name w:val="BEREC citace"/>
    <w:basedOn w:val="Odstavecseseznamem"/>
    <w:link w:val="BERECcitaceChar"/>
    <w:qFormat/>
    <w:rsid w:val="003B2CBE"/>
    <w:pPr>
      <w:numPr>
        <w:numId w:val="2"/>
      </w:numPr>
      <w:spacing w:after="120"/>
      <w:contextualSpacing w:val="0"/>
    </w:pPr>
    <w:rPr>
      <w:i/>
      <w:lang w:val="cs-CZ"/>
    </w:rPr>
  </w:style>
  <w:style w:type="character" w:customStyle="1" w:styleId="Style3Char">
    <w:name w:val="Style3 Char"/>
    <w:basedOn w:val="Standardnpsmoodstavce"/>
    <w:link w:val="Style3"/>
    <w:rsid w:val="000F62E4"/>
    <w:rPr>
      <w:rFonts w:ascii="Times New Roman" w:hAnsi="Times New Roman"/>
      <w:szCs w:val="22"/>
      <w:shd w:val="clear" w:color="auto" w:fill="D9D9D9"/>
      <w:lang w:eastAsia="en-US"/>
    </w:rPr>
  </w:style>
  <w:style w:type="character" w:customStyle="1" w:styleId="BERECcitaceChar">
    <w:name w:val="BEREC citace Char"/>
    <w:basedOn w:val="OdstavecseseznamemChar"/>
    <w:link w:val="BERECcitace"/>
    <w:rsid w:val="003B2CBE"/>
    <w:rPr>
      <w:rFonts w:ascii="Arial" w:hAnsi="Arial"/>
      <w:i/>
      <w:sz w:val="22"/>
      <w:szCs w:val="22"/>
      <w:lang w:val="en-GB" w:eastAsia="en-US"/>
    </w:rPr>
  </w:style>
  <w:style w:type="paragraph" w:customStyle="1" w:styleId="Style4">
    <w:name w:val="Style4"/>
    <w:basedOn w:val="Normln"/>
    <w:link w:val="Style4Char"/>
    <w:qFormat/>
    <w:rsid w:val="00D46787"/>
    <w:pPr>
      <w:keepNext/>
      <w:keepLines/>
      <w:spacing w:before="120" w:after="120"/>
      <w:outlineLvl w:val="3"/>
    </w:pPr>
    <w:rPr>
      <w:sz w:val="24"/>
      <w:szCs w:val="24"/>
      <w:u w:val="single"/>
      <w:lang w:val="cs-CZ"/>
    </w:rPr>
  </w:style>
  <w:style w:type="character" w:customStyle="1" w:styleId="Style4Char">
    <w:name w:val="Style4 Char"/>
    <w:basedOn w:val="Standardnpsmoodstavce"/>
    <w:link w:val="Style4"/>
    <w:rsid w:val="00D46787"/>
    <w:rPr>
      <w:rFonts w:ascii="Arial" w:hAnsi="Arial"/>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970">
      <w:bodyDiv w:val="1"/>
      <w:marLeft w:val="0"/>
      <w:marRight w:val="0"/>
      <w:marTop w:val="0"/>
      <w:marBottom w:val="0"/>
      <w:divBdr>
        <w:top w:val="none" w:sz="0" w:space="0" w:color="auto"/>
        <w:left w:val="none" w:sz="0" w:space="0" w:color="auto"/>
        <w:bottom w:val="none" w:sz="0" w:space="0" w:color="auto"/>
        <w:right w:val="none" w:sz="0" w:space="0" w:color="auto"/>
      </w:divBdr>
    </w:div>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45877737">
      <w:bodyDiv w:val="1"/>
      <w:marLeft w:val="0"/>
      <w:marRight w:val="0"/>
      <w:marTop w:val="0"/>
      <w:marBottom w:val="0"/>
      <w:divBdr>
        <w:top w:val="none" w:sz="0" w:space="0" w:color="auto"/>
        <w:left w:val="none" w:sz="0" w:space="0" w:color="auto"/>
        <w:bottom w:val="none" w:sz="0" w:space="0" w:color="auto"/>
        <w:right w:val="none" w:sz="0" w:space="0" w:color="auto"/>
      </w:divBdr>
    </w:div>
    <w:div w:id="71201753">
      <w:bodyDiv w:val="1"/>
      <w:marLeft w:val="0"/>
      <w:marRight w:val="0"/>
      <w:marTop w:val="0"/>
      <w:marBottom w:val="0"/>
      <w:divBdr>
        <w:top w:val="none" w:sz="0" w:space="0" w:color="auto"/>
        <w:left w:val="none" w:sz="0" w:space="0" w:color="auto"/>
        <w:bottom w:val="none" w:sz="0" w:space="0" w:color="auto"/>
        <w:right w:val="none" w:sz="0" w:space="0" w:color="auto"/>
      </w:divBdr>
    </w:div>
    <w:div w:id="85614045">
      <w:bodyDiv w:val="1"/>
      <w:marLeft w:val="0"/>
      <w:marRight w:val="0"/>
      <w:marTop w:val="0"/>
      <w:marBottom w:val="0"/>
      <w:divBdr>
        <w:top w:val="none" w:sz="0" w:space="0" w:color="auto"/>
        <w:left w:val="none" w:sz="0" w:space="0" w:color="auto"/>
        <w:bottom w:val="none" w:sz="0" w:space="0" w:color="auto"/>
        <w:right w:val="none" w:sz="0" w:space="0" w:color="auto"/>
      </w:divBdr>
    </w:div>
    <w:div w:id="121118288">
      <w:bodyDiv w:val="1"/>
      <w:marLeft w:val="0"/>
      <w:marRight w:val="0"/>
      <w:marTop w:val="0"/>
      <w:marBottom w:val="0"/>
      <w:divBdr>
        <w:top w:val="none" w:sz="0" w:space="0" w:color="auto"/>
        <w:left w:val="none" w:sz="0" w:space="0" w:color="auto"/>
        <w:bottom w:val="none" w:sz="0" w:space="0" w:color="auto"/>
        <w:right w:val="none" w:sz="0" w:space="0" w:color="auto"/>
      </w:divBdr>
    </w:div>
    <w:div w:id="124543105">
      <w:bodyDiv w:val="1"/>
      <w:marLeft w:val="0"/>
      <w:marRight w:val="0"/>
      <w:marTop w:val="0"/>
      <w:marBottom w:val="0"/>
      <w:divBdr>
        <w:top w:val="none" w:sz="0" w:space="0" w:color="auto"/>
        <w:left w:val="none" w:sz="0" w:space="0" w:color="auto"/>
        <w:bottom w:val="none" w:sz="0" w:space="0" w:color="auto"/>
        <w:right w:val="none" w:sz="0" w:space="0" w:color="auto"/>
      </w:divBdr>
    </w:div>
    <w:div w:id="192572054">
      <w:bodyDiv w:val="1"/>
      <w:marLeft w:val="0"/>
      <w:marRight w:val="0"/>
      <w:marTop w:val="0"/>
      <w:marBottom w:val="0"/>
      <w:divBdr>
        <w:top w:val="none" w:sz="0" w:space="0" w:color="auto"/>
        <w:left w:val="none" w:sz="0" w:space="0" w:color="auto"/>
        <w:bottom w:val="none" w:sz="0" w:space="0" w:color="auto"/>
        <w:right w:val="none" w:sz="0" w:space="0" w:color="auto"/>
      </w:divBdr>
    </w:div>
    <w:div w:id="226964750">
      <w:bodyDiv w:val="1"/>
      <w:marLeft w:val="0"/>
      <w:marRight w:val="0"/>
      <w:marTop w:val="0"/>
      <w:marBottom w:val="0"/>
      <w:divBdr>
        <w:top w:val="none" w:sz="0" w:space="0" w:color="auto"/>
        <w:left w:val="none" w:sz="0" w:space="0" w:color="auto"/>
        <w:bottom w:val="none" w:sz="0" w:space="0" w:color="auto"/>
        <w:right w:val="none" w:sz="0" w:space="0" w:color="auto"/>
      </w:divBdr>
    </w:div>
    <w:div w:id="245310710">
      <w:bodyDiv w:val="1"/>
      <w:marLeft w:val="0"/>
      <w:marRight w:val="0"/>
      <w:marTop w:val="0"/>
      <w:marBottom w:val="0"/>
      <w:divBdr>
        <w:top w:val="none" w:sz="0" w:space="0" w:color="auto"/>
        <w:left w:val="none" w:sz="0" w:space="0" w:color="auto"/>
        <w:bottom w:val="none" w:sz="0" w:space="0" w:color="auto"/>
        <w:right w:val="none" w:sz="0" w:space="0" w:color="auto"/>
      </w:divBdr>
    </w:div>
    <w:div w:id="439767141">
      <w:bodyDiv w:val="1"/>
      <w:marLeft w:val="0"/>
      <w:marRight w:val="0"/>
      <w:marTop w:val="0"/>
      <w:marBottom w:val="0"/>
      <w:divBdr>
        <w:top w:val="none" w:sz="0" w:space="0" w:color="auto"/>
        <w:left w:val="none" w:sz="0" w:space="0" w:color="auto"/>
        <w:bottom w:val="none" w:sz="0" w:space="0" w:color="auto"/>
        <w:right w:val="none" w:sz="0" w:space="0" w:color="auto"/>
      </w:divBdr>
    </w:div>
    <w:div w:id="454376826">
      <w:bodyDiv w:val="1"/>
      <w:marLeft w:val="0"/>
      <w:marRight w:val="0"/>
      <w:marTop w:val="0"/>
      <w:marBottom w:val="0"/>
      <w:divBdr>
        <w:top w:val="none" w:sz="0" w:space="0" w:color="auto"/>
        <w:left w:val="none" w:sz="0" w:space="0" w:color="auto"/>
        <w:bottom w:val="none" w:sz="0" w:space="0" w:color="auto"/>
        <w:right w:val="none" w:sz="0" w:space="0" w:color="auto"/>
      </w:divBdr>
    </w:div>
    <w:div w:id="479538824">
      <w:bodyDiv w:val="1"/>
      <w:marLeft w:val="0"/>
      <w:marRight w:val="0"/>
      <w:marTop w:val="0"/>
      <w:marBottom w:val="0"/>
      <w:divBdr>
        <w:top w:val="none" w:sz="0" w:space="0" w:color="auto"/>
        <w:left w:val="none" w:sz="0" w:space="0" w:color="auto"/>
        <w:bottom w:val="none" w:sz="0" w:space="0" w:color="auto"/>
        <w:right w:val="none" w:sz="0" w:space="0" w:color="auto"/>
      </w:divBdr>
      <w:divsChild>
        <w:div w:id="1985354661">
          <w:marLeft w:val="1950"/>
          <w:marRight w:val="150"/>
          <w:marTop w:val="0"/>
          <w:marBottom w:val="0"/>
          <w:divBdr>
            <w:top w:val="none" w:sz="0" w:space="0" w:color="auto"/>
            <w:left w:val="none" w:sz="0" w:space="0" w:color="auto"/>
            <w:bottom w:val="none" w:sz="0" w:space="0" w:color="auto"/>
            <w:right w:val="none" w:sz="0" w:space="0" w:color="auto"/>
          </w:divBdr>
          <w:divsChild>
            <w:div w:id="196242542">
              <w:marLeft w:val="0"/>
              <w:marRight w:val="0"/>
              <w:marTop w:val="144"/>
              <w:marBottom w:val="0"/>
              <w:divBdr>
                <w:top w:val="none" w:sz="0" w:space="0" w:color="auto"/>
                <w:left w:val="none" w:sz="0" w:space="0" w:color="auto"/>
                <w:bottom w:val="none" w:sz="0" w:space="0" w:color="auto"/>
                <w:right w:val="none" w:sz="0" w:space="0" w:color="auto"/>
              </w:divBdr>
              <w:divsChild>
                <w:div w:id="127163141">
                  <w:marLeft w:val="0"/>
                  <w:marRight w:val="0"/>
                  <w:marTop w:val="0"/>
                  <w:marBottom w:val="0"/>
                  <w:divBdr>
                    <w:top w:val="none" w:sz="0" w:space="0" w:color="auto"/>
                    <w:left w:val="none" w:sz="0" w:space="0" w:color="auto"/>
                    <w:bottom w:val="none" w:sz="0" w:space="0" w:color="auto"/>
                    <w:right w:val="none" w:sz="0" w:space="0" w:color="auto"/>
                  </w:divBdr>
                </w:div>
                <w:div w:id="199129145">
                  <w:marLeft w:val="0"/>
                  <w:marRight w:val="0"/>
                  <w:marTop w:val="0"/>
                  <w:marBottom w:val="0"/>
                  <w:divBdr>
                    <w:top w:val="none" w:sz="0" w:space="0" w:color="auto"/>
                    <w:left w:val="none" w:sz="0" w:space="0" w:color="auto"/>
                    <w:bottom w:val="none" w:sz="0" w:space="0" w:color="auto"/>
                    <w:right w:val="none" w:sz="0" w:space="0" w:color="auto"/>
                  </w:divBdr>
                </w:div>
                <w:div w:id="1269853969">
                  <w:marLeft w:val="0"/>
                  <w:marRight w:val="0"/>
                  <w:marTop w:val="0"/>
                  <w:marBottom w:val="240"/>
                  <w:divBdr>
                    <w:top w:val="none" w:sz="0" w:space="0" w:color="auto"/>
                    <w:left w:val="none" w:sz="0" w:space="0" w:color="auto"/>
                    <w:bottom w:val="none" w:sz="0" w:space="0" w:color="auto"/>
                    <w:right w:val="none" w:sz="0" w:space="0" w:color="auto"/>
                  </w:divBdr>
                  <w:divsChild>
                    <w:div w:id="230386290">
                      <w:marLeft w:val="0"/>
                      <w:marRight w:val="0"/>
                      <w:marTop w:val="0"/>
                      <w:marBottom w:val="0"/>
                      <w:divBdr>
                        <w:top w:val="none" w:sz="0" w:space="0" w:color="auto"/>
                        <w:left w:val="none" w:sz="0" w:space="0" w:color="auto"/>
                        <w:bottom w:val="none" w:sz="0" w:space="0" w:color="auto"/>
                        <w:right w:val="none" w:sz="0" w:space="0" w:color="auto"/>
                      </w:divBdr>
                      <w:divsChild>
                        <w:div w:id="353308617">
                          <w:marLeft w:val="0"/>
                          <w:marRight w:val="0"/>
                          <w:marTop w:val="192"/>
                          <w:marBottom w:val="0"/>
                          <w:divBdr>
                            <w:top w:val="none" w:sz="0" w:space="0" w:color="auto"/>
                            <w:left w:val="none" w:sz="0" w:space="0" w:color="auto"/>
                            <w:bottom w:val="none" w:sz="0" w:space="0" w:color="auto"/>
                            <w:right w:val="none" w:sz="0" w:space="0" w:color="auto"/>
                          </w:divBdr>
                        </w:div>
                        <w:div w:id="1058670075">
                          <w:marLeft w:val="0"/>
                          <w:marRight w:val="0"/>
                          <w:marTop w:val="192"/>
                          <w:marBottom w:val="0"/>
                          <w:divBdr>
                            <w:top w:val="none" w:sz="0" w:space="0" w:color="auto"/>
                            <w:left w:val="none" w:sz="0" w:space="0" w:color="auto"/>
                            <w:bottom w:val="none" w:sz="0" w:space="0" w:color="auto"/>
                            <w:right w:val="none" w:sz="0" w:space="0" w:color="auto"/>
                          </w:divBdr>
                        </w:div>
                        <w:div w:id="1262373639">
                          <w:marLeft w:val="0"/>
                          <w:marRight w:val="0"/>
                          <w:marTop w:val="192"/>
                          <w:marBottom w:val="0"/>
                          <w:divBdr>
                            <w:top w:val="none" w:sz="0" w:space="0" w:color="auto"/>
                            <w:left w:val="none" w:sz="0" w:space="0" w:color="auto"/>
                            <w:bottom w:val="none" w:sz="0" w:space="0" w:color="auto"/>
                            <w:right w:val="none" w:sz="0" w:space="0" w:color="auto"/>
                          </w:divBdr>
                          <w:divsChild>
                            <w:div w:id="944115611">
                              <w:marLeft w:val="0"/>
                              <w:marRight w:val="0"/>
                              <w:marTop w:val="0"/>
                              <w:marBottom w:val="0"/>
                              <w:divBdr>
                                <w:top w:val="none" w:sz="0" w:space="0" w:color="auto"/>
                                <w:left w:val="none" w:sz="0" w:space="0" w:color="auto"/>
                                <w:bottom w:val="none" w:sz="0" w:space="0" w:color="auto"/>
                                <w:right w:val="none" w:sz="0" w:space="0" w:color="auto"/>
                              </w:divBdr>
                              <w:divsChild>
                                <w:div w:id="119299301">
                                  <w:marLeft w:val="0"/>
                                  <w:marRight w:val="0"/>
                                  <w:marTop w:val="144"/>
                                  <w:marBottom w:val="0"/>
                                  <w:divBdr>
                                    <w:top w:val="none" w:sz="0" w:space="0" w:color="auto"/>
                                    <w:left w:val="none" w:sz="0" w:space="0" w:color="auto"/>
                                    <w:bottom w:val="none" w:sz="0" w:space="0" w:color="auto"/>
                                    <w:right w:val="none" w:sz="0" w:space="0" w:color="auto"/>
                                  </w:divBdr>
                                </w:div>
                                <w:div w:id="850492456">
                                  <w:marLeft w:val="0"/>
                                  <w:marRight w:val="0"/>
                                  <w:marTop w:val="144"/>
                                  <w:marBottom w:val="0"/>
                                  <w:divBdr>
                                    <w:top w:val="none" w:sz="0" w:space="0" w:color="auto"/>
                                    <w:left w:val="none" w:sz="0" w:space="0" w:color="auto"/>
                                    <w:bottom w:val="none" w:sz="0" w:space="0" w:color="auto"/>
                                    <w:right w:val="none" w:sz="0" w:space="0" w:color="auto"/>
                                  </w:divBdr>
                                  <w:divsChild>
                                    <w:div w:id="1825123142">
                                      <w:marLeft w:val="0"/>
                                      <w:marRight w:val="0"/>
                                      <w:marTop w:val="0"/>
                                      <w:marBottom w:val="0"/>
                                      <w:divBdr>
                                        <w:top w:val="none" w:sz="0" w:space="0" w:color="auto"/>
                                        <w:left w:val="none" w:sz="0" w:space="0" w:color="auto"/>
                                        <w:bottom w:val="none" w:sz="0" w:space="0" w:color="auto"/>
                                        <w:right w:val="none" w:sz="0" w:space="0" w:color="auto"/>
                                      </w:divBdr>
                                      <w:divsChild>
                                        <w:div w:id="989023506">
                                          <w:marLeft w:val="0"/>
                                          <w:marRight w:val="0"/>
                                          <w:marTop w:val="96"/>
                                          <w:marBottom w:val="0"/>
                                          <w:divBdr>
                                            <w:top w:val="none" w:sz="0" w:space="0" w:color="auto"/>
                                            <w:left w:val="none" w:sz="0" w:space="0" w:color="auto"/>
                                            <w:bottom w:val="none" w:sz="0" w:space="0" w:color="auto"/>
                                            <w:right w:val="none" w:sz="0" w:space="0" w:color="auto"/>
                                          </w:divBdr>
                                        </w:div>
                                        <w:div w:id="1054500804">
                                          <w:marLeft w:val="0"/>
                                          <w:marRight w:val="0"/>
                                          <w:marTop w:val="96"/>
                                          <w:marBottom w:val="0"/>
                                          <w:divBdr>
                                            <w:top w:val="none" w:sz="0" w:space="0" w:color="auto"/>
                                            <w:left w:val="none" w:sz="0" w:space="0" w:color="auto"/>
                                            <w:bottom w:val="none" w:sz="0" w:space="0" w:color="auto"/>
                                            <w:right w:val="none" w:sz="0" w:space="0" w:color="auto"/>
                                          </w:divBdr>
                                        </w:div>
                                        <w:div w:id="1296569328">
                                          <w:marLeft w:val="0"/>
                                          <w:marRight w:val="0"/>
                                          <w:marTop w:val="96"/>
                                          <w:marBottom w:val="0"/>
                                          <w:divBdr>
                                            <w:top w:val="none" w:sz="0" w:space="0" w:color="auto"/>
                                            <w:left w:val="none" w:sz="0" w:space="0" w:color="auto"/>
                                            <w:bottom w:val="none" w:sz="0" w:space="0" w:color="auto"/>
                                            <w:right w:val="none" w:sz="0" w:space="0" w:color="auto"/>
                                          </w:divBdr>
                                        </w:div>
                                        <w:div w:id="151946815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420443901">
                                  <w:marLeft w:val="0"/>
                                  <w:marRight w:val="0"/>
                                  <w:marTop w:val="144"/>
                                  <w:marBottom w:val="0"/>
                                  <w:divBdr>
                                    <w:top w:val="none" w:sz="0" w:space="0" w:color="auto"/>
                                    <w:left w:val="none" w:sz="0" w:space="0" w:color="auto"/>
                                    <w:bottom w:val="none" w:sz="0" w:space="0" w:color="auto"/>
                                    <w:right w:val="none" w:sz="0" w:space="0" w:color="auto"/>
                                  </w:divBdr>
                                </w:div>
                                <w:div w:id="178226588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040126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73654330">
                  <w:marLeft w:val="0"/>
                  <w:marRight w:val="0"/>
                  <w:marTop w:val="0"/>
                  <w:marBottom w:val="240"/>
                  <w:divBdr>
                    <w:top w:val="none" w:sz="0" w:space="0" w:color="auto"/>
                    <w:left w:val="none" w:sz="0" w:space="0" w:color="auto"/>
                    <w:bottom w:val="none" w:sz="0" w:space="0" w:color="auto"/>
                    <w:right w:val="none" w:sz="0" w:space="0" w:color="auto"/>
                  </w:divBdr>
                </w:div>
              </w:divsChild>
            </w:div>
            <w:div w:id="894698770">
              <w:marLeft w:val="0"/>
              <w:marRight w:val="0"/>
              <w:marTop w:val="144"/>
              <w:marBottom w:val="0"/>
              <w:divBdr>
                <w:top w:val="none" w:sz="0" w:space="0" w:color="auto"/>
                <w:left w:val="none" w:sz="0" w:space="0" w:color="auto"/>
                <w:bottom w:val="none" w:sz="0" w:space="0" w:color="auto"/>
                <w:right w:val="none" w:sz="0" w:space="0" w:color="auto"/>
              </w:divBdr>
              <w:divsChild>
                <w:div w:id="69353087">
                  <w:marLeft w:val="0"/>
                  <w:marRight w:val="0"/>
                  <w:marTop w:val="0"/>
                  <w:marBottom w:val="240"/>
                  <w:divBdr>
                    <w:top w:val="none" w:sz="0" w:space="0" w:color="auto"/>
                    <w:left w:val="none" w:sz="0" w:space="0" w:color="auto"/>
                    <w:bottom w:val="none" w:sz="0" w:space="0" w:color="auto"/>
                    <w:right w:val="none" w:sz="0" w:space="0" w:color="auto"/>
                  </w:divBdr>
                </w:div>
                <w:div w:id="88814817">
                  <w:marLeft w:val="0"/>
                  <w:marRight w:val="0"/>
                  <w:marTop w:val="0"/>
                  <w:marBottom w:val="0"/>
                  <w:divBdr>
                    <w:top w:val="none" w:sz="0" w:space="0" w:color="auto"/>
                    <w:left w:val="none" w:sz="0" w:space="0" w:color="auto"/>
                    <w:bottom w:val="none" w:sz="0" w:space="0" w:color="auto"/>
                    <w:right w:val="none" w:sz="0" w:space="0" w:color="auto"/>
                  </w:divBdr>
                </w:div>
                <w:div w:id="643194580">
                  <w:marLeft w:val="0"/>
                  <w:marRight w:val="0"/>
                  <w:marTop w:val="0"/>
                  <w:marBottom w:val="0"/>
                  <w:divBdr>
                    <w:top w:val="none" w:sz="0" w:space="0" w:color="auto"/>
                    <w:left w:val="none" w:sz="0" w:space="0" w:color="auto"/>
                    <w:bottom w:val="none" w:sz="0" w:space="0" w:color="auto"/>
                    <w:right w:val="none" w:sz="0" w:space="0" w:color="auto"/>
                  </w:divBdr>
                </w:div>
                <w:div w:id="815949408">
                  <w:marLeft w:val="0"/>
                  <w:marRight w:val="0"/>
                  <w:marTop w:val="0"/>
                  <w:marBottom w:val="240"/>
                  <w:divBdr>
                    <w:top w:val="none" w:sz="0" w:space="0" w:color="auto"/>
                    <w:left w:val="none" w:sz="0" w:space="0" w:color="auto"/>
                    <w:bottom w:val="none" w:sz="0" w:space="0" w:color="auto"/>
                    <w:right w:val="none" w:sz="0" w:space="0" w:color="auto"/>
                  </w:divBdr>
                  <w:divsChild>
                    <w:div w:id="1086345453">
                      <w:marLeft w:val="0"/>
                      <w:marRight w:val="0"/>
                      <w:marTop w:val="0"/>
                      <w:marBottom w:val="0"/>
                      <w:divBdr>
                        <w:top w:val="none" w:sz="0" w:space="0" w:color="auto"/>
                        <w:left w:val="none" w:sz="0" w:space="0" w:color="auto"/>
                        <w:bottom w:val="none" w:sz="0" w:space="0" w:color="auto"/>
                        <w:right w:val="none" w:sz="0" w:space="0" w:color="auto"/>
                      </w:divBdr>
                      <w:divsChild>
                        <w:div w:id="452407507">
                          <w:marLeft w:val="0"/>
                          <w:marRight w:val="0"/>
                          <w:marTop w:val="192"/>
                          <w:marBottom w:val="0"/>
                          <w:divBdr>
                            <w:top w:val="none" w:sz="0" w:space="0" w:color="auto"/>
                            <w:left w:val="none" w:sz="0" w:space="0" w:color="auto"/>
                            <w:bottom w:val="none" w:sz="0" w:space="0" w:color="auto"/>
                            <w:right w:val="none" w:sz="0" w:space="0" w:color="auto"/>
                          </w:divBdr>
                        </w:div>
                        <w:div w:id="632754845">
                          <w:marLeft w:val="0"/>
                          <w:marRight w:val="0"/>
                          <w:marTop w:val="192"/>
                          <w:marBottom w:val="0"/>
                          <w:divBdr>
                            <w:top w:val="none" w:sz="0" w:space="0" w:color="auto"/>
                            <w:left w:val="none" w:sz="0" w:space="0" w:color="auto"/>
                            <w:bottom w:val="none" w:sz="0" w:space="0" w:color="auto"/>
                            <w:right w:val="none" w:sz="0" w:space="0" w:color="auto"/>
                          </w:divBdr>
                        </w:div>
                        <w:div w:id="771974133">
                          <w:marLeft w:val="0"/>
                          <w:marRight w:val="0"/>
                          <w:marTop w:val="192"/>
                          <w:marBottom w:val="0"/>
                          <w:divBdr>
                            <w:top w:val="none" w:sz="0" w:space="0" w:color="auto"/>
                            <w:left w:val="none" w:sz="0" w:space="0" w:color="auto"/>
                            <w:bottom w:val="none" w:sz="0" w:space="0" w:color="auto"/>
                            <w:right w:val="none" w:sz="0" w:space="0" w:color="auto"/>
                          </w:divBdr>
                        </w:div>
                        <w:div w:id="1410811362">
                          <w:marLeft w:val="0"/>
                          <w:marRight w:val="0"/>
                          <w:marTop w:val="192"/>
                          <w:marBottom w:val="0"/>
                          <w:divBdr>
                            <w:top w:val="none" w:sz="0" w:space="0" w:color="auto"/>
                            <w:left w:val="none" w:sz="0" w:space="0" w:color="auto"/>
                            <w:bottom w:val="none" w:sz="0" w:space="0" w:color="auto"/>
                            <w:right w:val="none" w:sz="0" w:space="0" w:color="auto"/>
                          </w:divBdr>
                          <w:divsChild>
                            <w:div w:id="1471049167">
                              <w:marLeft w:val="0"/>
                              <w:marRight w:val="0"/>
                              <w:marTop w:val="0"/>
                              <w:marBottom w:val="0"/>
                              <w:divBdr>
                                <w:top w:val="none" w:sz="0" w:space="0" w:color="auto"/>
                                <w:left w:val="none" w:sz="0" w:space="0" w:color="auto"/>
                                <w:bottom w:val="none" w:sz="0" w:space="0" w:color="auto"/>
                                <w:right w:val="none" w:sz="0" w:space="0" w:color="auto"/>
                              </w:divBdr>
                              <w:divsChild>
                                <w:div w:id="518667817">
                                  <w:marLeft w:val="0"/>
                                  <w:marRight w:val="0"/>
                                  <w:marTop w:val="144"/>
                                  <w:marBottom w:val="0"/>
                                  <w:divBdr>
                                    <w:top w:val="none" w:sz="0" w:space="0" w:color="auto"/>
                                    <w:left w:val="none" w:sz="0" w:space="0" w:color="auto"/>
                                    <w:bottom w:val="none" w:sz="0" w:space="0" w:color="auto"/>
                                    <w:right w:val="none" w:sz="0" w:space="0" w:color="auto"/>
                                  </w:divBdr>
                                </w:div>
                                <w:div w:id="588319544">
                                  <w:marLeft w:val="0"/>
                                  <w:marRight w:val="0"/>
                                  <w:marTop w:val="144"/>
                                  <w:marBottom w:val="0"/>
                                  <w:divBdr>
                                    <w:top w:val="none" w:sz="0" w:space="0" w:color="auto"/>
                                    <w:left w:val="none" w:sz="0" w:space="0" w:color="auto"/>
                                    <w:bottom w:val="none" w:sz="0" w:space="0" w:color="auto"/>
                                    <w:right w:val="none" w:sz="0" w:space="0" w:color="auto"/>
                                  </w:divBdr>
                                </w:div>
                                <w:div w:id="1902865579">
                                  <w:marLeft w:val="0"/>
                                  <w:marRight w:val="0"/>
                                  <w:marTop w:val="144"/>
                                  <w:marBottom w:val="0"/>
                                  <w:divBdr>
                                    <w:top w:val="none" w:sz="0" w:space="0" w:color="auto"/>
                                    <w:left w:val="none" w:sz="0" w:space="0" w:color="auto"/>
                                    <w:bottom w:val="none" w:sz="0" w:space="0" w:color="auto"/>
                                    <w:right w:val="none" w:sz="0" w:space="0" w:color="auto"/>
                                  </w:divBdr>
                                </w:div>
                                <w:div w:id="211597548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05727">
              <w:marLeft w:val="0"/>
              <w:marRight w:val="0"/>
              <w:marTop w:val="144"/>
              <w:marBottom w:val="0"/>
              <w:divBdr>
                <w:top w:val="none" w:sz="0" w:space="0" w:color="auto"/>
                <w:left w:val="none" w:sz="0" w:space="0" w:color="auto"/>
                <w:bottom w:val="none" w:sz="0" w:space="0" w:color="auto"/>
                <w:right w:val="none" w:sz="0" w:space="0" w:color="auto"/>
              </w:divBdr>
              <w:divsChild>
                <w:div w:id="103428245">
                  <w:marLeft w:val="0"/>
                  <w:marRight w:val="0"/>
                  <w:marTop w:val="0"/>
                  <w:marBottom w:val="240"/>
                  <w:divBdr>
                    <w:top w:val="none" w:sz="0" w:space="0" w:color="auto"/>
                    <w:left w:val="none" w:sz="0" w:space="0" w:color="auto"/>
                    <w:bottom w:val="none" w:sz="0" w:space="0" w:color="auto"/>
                    <w:right w:val="none" w:sz="0" w:space="0" w:color="auto"/>
                  </w:divBdr>
                  <w:divsChild>
                    <w:div w:id="561409926">
                      <w:marLeft w:val="0"/>
                      <w:marRight w:val="0"/>
                      <w:marTop w:val="0"/>
                      <w:marBottom w:val="0"/>
                      <w:divBdr>
                        <w:top w:val="none" w:sz="0" w:space="0" w:color="auto"/>
                        <w:left w:val="none" w:sz="0" w:space="0" w:color="auto"/>
                        <w:bottom w:val="none" w:sz="0" w:space="0" w:color="auto"/>
                        <w:right w:val="none" w:sz="0" w:space="0" w:color="auto"/>
                      </w:divBdr>
                      <w:divsChild>
                        <w:div w:id="53236307">
                          <w:marLeft w:val="0"/>
                          <w:marRight w:val="0"/>
                          <w:marTop w:val="192"/>
                          <w:marBottom w:val="0"/>
                          <w:divBdr>
                            <w:top w:val="none" w:sz="0" w:space="0" w:color="auto"/>
                            <w:left w:val="none" w:sz="0" w:space="0" w:color="auto"/>
                            <w:bottom w:val="none" w:sz="0" w:space="0" w:color="auto"/>
                            <w:right w:val="none" w:sz="0" w:space="0" w:color="auto"/>
                          </w:divBdr>
                        </w:div>
                        <w:div w:id="457333745">
                          <w:marLeft w:val="0"/>
                          <w:marRight w:val="0"/>
                          <w:marTop w:val="192"/>
                          <w:marBottom w:val="0"/>
                          <w:divBdr>
                            <w:top w:val="none" w:sz="0" w:space="0" w:color="auto"/>
                            <w:left w:val="none" w:sz="0" w:space="0" w:color="auto"/>
                            <w:bottom w:val="none" w:sz="0" w:space="0" w:color="auto"/>
                            <w:right w:val="none" w:sz="0" w:space="0" w:color="auto"/>
                          </w:divBdr>
                        </w:div>
                        <w:div w:id="840854653">
                          <w:marLeft w:val="0"/>
                          <w:marRight w:val="0"/>
                          <w:marTop w:val="192"/>
                          <w:marBottom w:val="0"/>
                          <w:divBdr>
                            <w:top w:val="none" w:sz="0" w:space="0" w:color="auto"/>
                            <w:left w:val="none" w:sz="0" w:space="0" w:color="auto"/>
                            <w:bottom w:val="none" w:sz="0" w:space="0" w:color="auto"/>
                            <w:right w:val="none" w:sz="0" w:space="0" w:color="auto"/>
                          </w:divBdr>
                        </w:div>
                        <w:div w:id="1295990281">
                          <w:marLeft w:val="0"/>
                          <w:marRight w:val="0"/>
                          <w:marTop w:val="192"/>
                          <w:marBottom w:val="0"/>
                          <w:divBdr>
                            <w:top w:val="none" w:sz="0" w:space="0" w:color="auto"/>
                            <w:left w:val="none" w:sz="0" w:space="0" w:color="auto"/>
                            <w:bottom w:val="none" w:sz="0" w:space="0" w:color="auto"/>
                            <w:right w:val="none" w:sz="0" w:space="0" w:color="auto"/>
                          </w:divBdr>
                        </w:div>
                        <w:div w:id="1477645471">
                          <w:marLeft w:val="0"/>
                          <w:marRight w:val="0"/>
                          <w:marTop w:val="192"/>
                          <w:marBottom w:val="0"/>
                          <w:divBdr>
                            <w:top w:val="none" w:sz="0" w:space="0" w:color="auto"/>
                            <w:left w:val="none" w:sz="0" w:space="0" w:color="auto"/>
                            <w:bottom w:val="none" w:sz="0" w:space="0" w:color="auto"/>
                            <w:right w:val="none" w:sz="0" w:space="0" w:color="auto"/>
                          </w:divBdr>
                        </w:div>
                        <w:div w:id="15159986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96845868">
                  <w:marLeft w:val="0"/>
                  <w:marRight w:val="0"/>
                  <w:marTop w:val="0"/>
                  <w:marBottom w:val="240"/>
                  <w:divBdr>
                    <w:top w:val="none" w:sz="0" w:space="0" w:color="auto"/>
                    <w:left w:val="none" w:sz="0" w:space="0" w:color="auto"/>
                    <w:bottom w:val="none" w:sz="0" w:space="0" w:color="auto"/>
                    <w:right w:val="none" w:sz="0" w:space="0" w:color="auto"/>
                  </w:divBdr>
                </w:div>
                <w:div w:id="1068305660">
                  <w:marLeft w:val="0"/>
                  <w:marRight w:val="0"/>
                  <w:marTop w:val="0"/>
                  <w:marBottom w:val="0"/>
                  <w:divBdr>
                    <w:top w:val="none" w:sz="0" w:space="0" w:color="auto"/>
                    <w:left w:val="none" w:sz="0" w:space="0" w:color="auto"/>
                    <w:bottom w:val="none" w:sz="0" w:space="0" w:color="auto"/>
                    <w:right w:val="none" w:sz="0" w:space="0" w:color="auto"/>
                  </w:divBdr>
                </w:div>
                <w:div w:id="14786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2986">
      <w:bodyDiv w:val="1"/>
      <w:marLeft w:val="0"/>
      <w:marRight w:val="0"/>
      <w:marTop w:val="0"/>
      <w:marBottom w:val="0"/>
      <w:divBdr>
        <w:top w:val="none" w:sz="0" w:space="0" w:color="auto"/>
        <w:left w:val="none" w:sz="0" w:space="0" w:color="auto"/>
        <w:bottom w:val="none" w:sz="0" w:space="0" w:color="auto"/>
        <w:right w:val="none" w:sz="0" w:space="0" w:color="auto"/>
      </w:divBdr>
    </w:div>
    <w:div w:id="525338850">
      <w:bodyDiv w:val="1"/>
      <w:marLeft w:val="0"/>
      <w:marRight w:val="0"/>
      <w:marTop w:val="0"/>
      <w:marBottom w:val="0"/>
      <w:divBdr>
        <w:top w:val="none" w:sz="0" w:space="0" w:color="auto"/>
        <w:left w:val="none" w:sz="0" w:space="0" w:color="auto"/>
        <w:bottom w:val="none" w:sz="0" w:space="0" w:color="auto"/>
        <w:right w:val="none" w:sz="0" w:space="0" w:color="auto"/>
      </w:divBdr>
    </w:div>
    <w:div w:id="529072195">
      <w:bodyDiv w:val="1"/>
      <w:marLeft w:val="0"/>
      <w:marRight w:val="0"/>
      <w:marTop w:val="0"/>
      <w:marBottom w:val="0"/>
      <w:divBdr>
        <w:top w:val="none" w:sz="0" w:space="0" w:color="auto"/>
        <w:left w:val="none" w:sz="0" w:space="0" w:color="auto"/>
        <w:bottom w:val="none" w:sz="0" w:space="0" w:color="auto"/>
        <w:right w:val="none" w:sz="0" w:space="0" w:color="auto"/>
      </w:divBdr>
    </w:div>
    <w:div w:id="534343941">
      <w:bodyDiv w:val="1"/>
      <w:marLeft w:val="0"/>
      <w:marRight w:val="0"/>
      <w:marTop w:val="0"/>
      <w:marBottom w:val="0"/>
      <w:divBdr>
        <w:top w:val="none" w:sz="0" w:space="0" w:color="auto"/>
        <w:left w:val="none" w:sz="0" w:space="0" w:color="auto"/>
        <w:bottom w:val="none" w:sz="0" w:space="0" w:color="auto"/>
        <w:right w:val="none" w:sz="0" w:space="0" w:color="auto"/>
      </w:divBdr>
    </w:div>
    <w:div w:id="621963598">
      <w:bodyDiv w:val="1"/>
      <w:marLeft w:val="0"/>
      <w:marRight w:val="0"/>
      <w:marTop w:val="0"/>
      <w:marBottom w:val="0"/>
      <w:divBdr>
        <w:top w:val="none" w:sz="0" w:space="0" w:color="auto"/>
        <w:left w:val="none" w:sz="0" w:space="0" w:color="auto"/>
        <w:bottom w:val="none" w:sz="0" w:space="0" w:color="auto"/>
        <w:right w:val="none" w:sz="0" w:space="0" w:color="auto"/>
      </w:divBdr>
      <w:divsChild>
        <w:div w:id="2133480201">
          <w:marLeft w:val="1950"/>
          <w:marRight w:val="150"/>
          <w:marTop w:val="0"/>
          <w:marBottom w:val="0"/>
          <w:divBdr>
            <w:top w:val="none" w:sz="0" w:space="0" w:color="auto"/>
            <w:left w:val="none" w:sz="0" w:space="0" w:color="auto"/>
            <w:bottom w:val="none" w:sz="0" w:space="0" w:color="auto"/>
            <w:right w:val="none" w:sz="0" w:space="0" w:color="auto"/>
          </w:divBdr>
          <w:divsChild>
            <w:div w:id="303195324">
              <w:marLeft w:val="0"/>
              <w:marRight w:val="0"/>
              <w:marTop w:val="144"/>
              <w:marBottom w:val="0"/>
              <w:divBdr>
                <w:top w:val="none" w:sz="0" w:space="0" w:color="auto"/>
                <w:left w:val="none" w:sz="0" w:space="0" w:color="auto"/>
                <w:bottom w:val="none" w:sz="0" w:space="0" w:color="auto"/>
                <w:right w:val="none" w:sz="0" w:space="0" w:color="auto"/>
              </w:divBdr>
              <w:divsChild>
                <w:div w:id="485169085">
                  <w:marLeft w:val="0"/>
                  <w:marRight w:val="0"/>
                  <w:marTop w:val="0"/>
                  <w:marBottom w:val="0"/>
                  <w:divBdr>
                    <w:top w:val="none" w:sz="0" w:space="0" w:color="auto"/>
                    <w:left w:val="none" w:sz="0" w:space="0" w:color="auto"/>
                    <w:bottom w:val="none" w:sz="0" w:space="0" w:color="auto"/>
                    <w:right w:val="none" w:sz="0" w:space="0" w:color="auto"/>
                  </w:divBdr>
                </w:div>
                <w:div w:id="1080521116">
                  <w:marLeft w:val="0"/>
                  <w:marRight w:val="0"/>
                  <w:marTop w:val="0"/>
                  <w:marBottom w:val="0"/>
                  <w:divBdr>
                    <w:top w:val="none" w:sz="0" w:space="0" w:color="auto"/>
                    <w:left w:val="none" w:sz="0" w:space="0" w:color="auto"/>
                    <w:bottom w:val="none" w:sz="0" w:space="0" w:color="auto"/>
                    <w:right w:val="none" w:sz="0" w:space="0" w:color="auto"/>
                  </w:divBdr>
                </w:div>
                <w:div w:id="1202667662">
                  <w:marLeft w:val="0"/>
                  <w:marRight w:val="0"/>
                  <w:marTop w:val="0"/>
                  <w:marBottom w:val="240"/>
                  <w:divBdr>
                    <w:top w:val="none" w:sz="0" w:space="0" w:color="auto"/>
                    <w:left w:val="none" w:sz="0" w:space="0" w:color="auto"/>
                    <w:bottom w:val="none" w:sz="0" w:space="0" w:color="auto"/>
                    <w:right w:val="none" w:sz="0" w:space="0" w:color="auto"/>
                  </w:divBdr>
                </w:div>
                <w:div w:id="1418012962">
                  <w:marLeft w:val="0"/>
                  <w:marRight w:val="0"/>
                  <w:marTop w:val="0"/>
                  <w:marBottom w:val="240"/>
                  <w:divBdr>
                    <w:top w:val="none" w:sz="0" w:space="0" w:color="auto"/>
                    <w:left w:val="none" w:sz="0" w:space="0" w:color="auto"/>
                    <w:bottom w:val="none" w:sz="0" w:space="0" w:color="auto"/>
                    <w:right w:val="none" w:sz="0" w:space="0" w:color="auto"/>
                  </w:divBdr>
                  <w:divsChild>
                    <w:div w:id="1148395511">
                      <w:marLeft w:val="0"/>
                      <w:marRight w:val="0"/>
                      <w:marTop w:val="0"/>
                      <w:marBottom w:val="0"/>
                      <w:divBdr>
                        <w:top w:val="none" w:sz="0" w:space="0" w:color="auto"/>
                        <w:left w:val="none" w:sz="0" w:space="0" w:color="auto"/>
                        <w:bottom w:val="none" w:sz="0" w:space="0" w:color="auto"/>
                        <w:right w:val="none" w:sz="0" w:space="0" w:color="auto"/>
                      </w:divBdr>
                      <w:divsChild>
                        <w:div w:id="287204020">
                          <w:marLeft w:val="0"/>
                          <w:marRight w:val="0"/>
                          <w:marTop w:val="192"/>
                          <w:marBottom w:val="0"/>
                          <w:divBdr>
                            <w:top w:val="none" w:sz="0" w:space="0" w:color="auto"/>
                            <w:left w:val="none" w:sz="0" w:space="0" w:color="auto"/>
                            <w:bottom w:val="none" w:sz="0" w:space="0" w:color="auto"/>
                            <w:right w:val="none" w:sz="0" w:space="0" w:color="auto"/>
                          </w:divBdr>
                        </w:div>
                        <w:div w:id="406148101">
                          <w:marLeft w:val="0"/>
                          <w:marRight w:val="0"/>
                          <w:marTop w:val="192"/>
                          <w:marBottom w:val="0"/>
                          <w:divBdr>
                            <w:top w:val="none" w:sz="0" w:space="0" w:color="auto"/>
                            <w:left w:val="none" w:sz="0" w:space="0" w:color="auto"/>
                            <w:bottom w:val="none" w:sz="0" w:space="0" w:color="auto"/>
                            <w:right w:val="none" w:sz="0" w:space="0" w:color="auto"/>
                          </w:divBdr>
                          <w:divsChild>
                            <w:div w:id="2086684941">
                              <w:marLeft w:val="0"/>
                              <w:marRight w:val="0"/>
                              <w:marTop w:val="0"/>
                              <w:marBottom w:val="0"/>
                              <w:divBdr>
                                <w:top w:val="none" w:sz="0" w:space="0" w:color="auto"/>
                                <w:left w:val="none" w:sz="0" w:space="0" w:color="auto"/>
                                <w:bottom w:val="none" w:sz="0" w:space="0" w:color="auto"/>
                                <w:right w:val="none" w:sz="0" w:space="0" w:color="auto"/>
                              </w:divBdr>
                              <w:divsChild>
                                <w:div w:id="205140056">
                                  <w:marLeft w:val="0"/>
                                  <w:marRight w:val="0"/>
                                  <w:marTop w:val="144"/>
                                  <w:marBottom w:val="0"/>
                                  <w:divBdr>
                                    <w:top w:val="none" w:sz="0" w:space="0" w:color="auto"/>
                                    <w:left w:val="none" w:sz="0" w:space="0" w:color="auto"/>
                                    <w:bottom w:val="none" w:sz="0" w:space="0" w:color="auto"/>
                                    <w:right w:val="none" w:sz="0" w:space="0" w:color="auto"/>
                                  </w:divBdr>
                                </w:div>
                                <w:div w:id="934485853">
                                  <w:marLeft w:val="0"/>
                                  <w:marRight w:val="0"/>
                                  <w:marTop w:val="144"/>
                                  <w:marBottom w:val="0"/>
                                  <w:divBdr>
                                    <w:top w:val="none" w:sz="0" w:space="0" w:color="auto"/>
                                    <w:left w:val="none" w:sz="0" w:space="0" w:color="auto"/>
                                    <w:bottom w:val="none" w:sz="0" w:space="0" w:color="auto"/>
                                    <w:right w:val="none" w:sz="0" w:space="0" w:color="auto"/>
                                  </w:divBdr>
                                </w:div>
                                <w:div w:id="1098524465">
                                  <w:marLeft w:val="0"/>
                                  <w:marRight w:val="0"/>
                                  <w:marTop w:val="144"/>
                                  <w:marBottom w:val="0"/>
                                  <w:divBdr>
                                    <w:top w:val="none" w:sz="0" w:space="0" w:color="auto"/>
                                    <w:left w:val="none" w:sz="0" w:space="0" w:color="auto"/>
                                    <w:bottom w:val="none" w:sz="0" w:space="0" w:color="auto"/>
                                    <w:right w:val="none" w:sz="0" w:space="0" w:color="auto"/>
                                  </w:divBdr>
                                </w:div>
                                <w:div w:id="1831948987">
                                  <w:marLeft w:val="0"/>
                                  <w:marRight w:val="0"/>
                                  <w:marTop w:val="144"/>
                                  <w:marBottom w:val="0"/>
                                  <w:divBdr>
                                    <w:top w:val="none" w:sz="0" w:space="0" w:color="auto"/>
                                    <w:left w:val="none" w:sz="0" w:space="0" w:color="auto"/>
                                    <w:bottom w:val="none" w:sz="0" w:space="0" w:color="auto"/>
                                    <w:right w:val="none" w:sz="0" w:space="0" w:color="auto"/>
                                  </w:divBdr>
                                  <w:divsChild>
                                    <w:div w:id="677659158">
                                      <w:marLeft w:val="0"/>
                                      <w:marRight w:val="0"/>
                                      <w:marTop w:val="0"/>
                                      <w:marBottom w:val="0"/>
                                      <w:divBdr>
                                        <w:top w:val="none" w:sz="0" w:space="0" w:color="auto"/>
                                        <w:left w:val="none" w:sz="0" w:space="0" w:color="auto"/>
                                        <w:bottom w:val="none" w:sz="0" w:space="0" w:color="auto"/>
                                        <w:right w:val="none" w:sz="0" w:space="0" w:color="auto"/>
                                      </w:divBdr>
                                      <w:divsChild>
                                        <w:div w:id="340664583">
                                          <w:marLeft w:val="0"/>
                                          <w:marRight w:val="0"/>
                                          <w:marTop w:val="96"/>
                                          <w:marBottom w:val="0"/>
                                          <w:divBdr>
                                            <w:top w:val="none" w:sz="0" w:space="0" w:color="auto"/>
                                            <w:left w:val="none" w:sz="0" w:space="0" w:color="auto"/>
                                            <w:bottom w:val="none" w:sz="0" w:space="0" w:color="auto"/>
                                            <w:right w:val="none" w:sz="0" w:space="0" w:color="auto"/>
                                          </w:divBdr>
                                        </w:div>
                                        <w:div w:id="730999939">
                                          <w:marLeft w:val="0"/>
                                          <w:marRight w:val="0"/>
                                          <w:marTop w:val="96"/>
                                          <w:marBottom w:val="0"/>
                                          <w:divBdr>
                                            <w:top w:val="none" w:sz="0" w:space="0" w:color="auto"/>
                                            <w:left w:val="none" w:sz="0" w:space="0" w:color="auto"/>
                                            <w:bottom w:val="none" w:sz="0" w:space="0" w:color="auto"/>
                                            <w:right w:val="none" w:sz="0" w:space="0" w:color="auto"/>
                                          </w:divBdr>
                                        </w:div>
                                        <w:div w:id="1027608537">
                                          <w:marLeft w:val="0"/>
                                          <w:marRight w:val="0"/>
                                          <w:marTop w:val="96"/>
                                          <w:marBottom w:val="0"/>
                                          <w:divBdr>
                                            <w:top w:val="none" w:sz="0" w:space="0" w:color="auto"/>
                                            <w:left w:val="none" w:sz="0" w:space="0" w:color="auto"/>
                                            <w:bottom w:val="none" w:sz="0" w:space="0" w:color="auto"/>
                                            <w:right w:val="none" w:sz="0" w:space="0" w:color="auto"/>
                                          </w:divBdr>
                                        </w:div>
                                        <w:div w:id="118883664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436800547">
                          <w:marLeft w:val="0"/>
                          <w:marRight w:val="0"/>
                          <w:marTop w:val="192"/>
                          <w:marBottom w:val="0"/>
                          <w:divBdr>
                            <w:top w:val="none" w:sz="0" w:space="0" w:color="auto"/>
                            <w:left w:val="none" w:sz="0" w:space="0" w:color="auto"/>
                            <w:bottom w:val="none" w:sz="0" w:space="0" w:color="auto"/>
                            <w:right w:val="none" w:sz="0" w:space="0" w:color="auto"/>
                          </w:divBdr>
                        </w:div>
                        <w:div w:id="162137890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45086484">
              <w:marLeft w:val="0"/>
              <w:marRight w:val="0"/>
              <w:marTop w:val="144"/>
              <w:marBottom w:val="0"/>
              <w:divBdr>
                <w:top w:val="none" w:sz="0" w:space="0" w:color="auto"/>
                <w:left w:val="none" w:sz="0" w:space="0" w:color="auto"/>
                <w:bottom w:val="none" w:sz="0" w:space="0" w:color="auto"/>
                <w:right w:val="none" w:sz="0" w:space="0" w:color="auto"/>
              </w:divBdr>
              <w:divsChild>
                <w:div w:id="917137682">
                  <w:marLeft w:val="0"/>
                  <w:marRight w:val="0"/>
                  <w:marTop w:val="0"/>
                  <w:marBottom w:val="240"/>
                  <w:divBdr>
                    <w:top w:val="none" w:sz="0" w:space="0" w:color="auto"/>
                    <w:left w:val="none" w:sz="0" w:space="0" w:color="auto"/>
                    <w:bottom w:val="none" w:sz="0" w:space="0" w:color="auto"/>
                    <w:right w:val="none" w:sz="0" w:space="0" w:color="auto"/>
                  </w:divBdr>
                  <w:divsChild>
                    <w:div w:id="716928950">
                      <w:marLeft w:val="0"/>
                      <w:marRight w:val="0"/>
                      <w:marTop w:val="0"/>
                      <w:marBottom w:val="0"/>
                      <w:divBdr>
                        <w:top w:val="none" w:sz="0" w:space="0" w:color="auto"/>
                        <w:left w:val="none" w:sz="0" w:space="0" w:color="auto"/>
                        <w:bottom w:val="none" w:sz="0" w:space="0" w:color="auto"/>
                        <w:right w:val="none" w:sz="0" w:space="0" w:color="auto"/>
                      </w:divBdr>
                      <w:divsChild>
                        <w:div w:id="120149489">
                          <w:marLeft w:val="0"/>
                          <w:marRight w:val="0"/>
                          <w:marTop w:val="192"/>
                          <w:marBottom w:val="0"/>
                          <w:divBdr>
                            <w:top w:val="none" w:sz="0" w:space="0" w:color="auto"/>
                            <w:left w:val="none" w:sz="0" w:space="0" w:color="auto"/>
                            <w:bottom w:val="none" w:sz="0" w:space="0" w:color="auto"/>
                            <w:right w:val="none" w:sz="0" w:space="0" w:color="auto"/>
                          </w:divBdr>
                        </w:div>
                        <w:div w:id="354353715">
                          <w:marLeft w:val="0"/>
                          <w:marRight w:val="0"/>
                          <w:marTop w:val="192"/>
                          <w:marBottom w:val="0"/>
                          <w:divBdr>
                            <w:top w:val="none" w:sz="0" w:space="0" w:color="auto"/>
                            <w:left w:val="none" w:sz="0" w:space="0" w:color="auto"/>
                            <w:bottom w:val="none" w:sz="0" w:space="0" w:color="auto"/>
                            <w:right w:val="none" w:sz="0" w:space="0" w:color="auto"/>
                          </w:divBdr>
                        </w:div>
                        <w:div w:id="602154219">
                          <w:marLeft w:val="0"/>
                          <w:marRight w:val="0"/>
                          <w:marTop w:val="192"/>
                          <w:marBottom w:val="0"/>
                          <w:divBdr>
                            <w:top w:val="none" w:sz="0" w:space="0" w:color="auto"/>
                            <w:left w:val="none" w:sz="0" w:space="0" w:color="auto"/>
                            <w:bottom w:val="none" w:sz="0" w:space="0" w:color="auto"/>
                            <w:right w:val="none" w:sz="0" w:space="0" w:color="auto"/>
                          </w:divBdr>
                        </w:div>
                        <w:div w:id="1584757309">
                          <w:marLeft w:val="0"/>
                          <w:marRight w:val="0"/>
                          <w:marTop w:val="192"/>
                          <w:marBottom w:val="0"/>
                          <w:divBdr>
                            <w:top w:val="none" w:sz="0" w:space="0" w:color="auto"/>
                            <w:left w:val="none" w:sz="0" w:space="0" w:color="auto"/>
                            <w:bottom w:val="none" w:sz="0" w:space="0" w:color="auto"/>
                            <w:right w:val="none" w:sz="0" w:space="0" w:color="auto"/>
                          </w:divBdr>
                        </w:div>
                        <w:div w:id="1689137132">
                          <w:marLeft w:val="0"/>
                          <w:marRight w:val="0"/>
                          <w:marTop w:val="192"/>
                          <w:marBottom w:val="0"/>
                          <w:divBdr>
                            <w:top w:val="none" w:sz="0" w:space="0" w:color="auto"/>
                            <w:left w:val="none" w:sz="0" w:space="0" w:color="auto"/>
                            <w:bottom w:val="none" w:sz="0" w:space="0" w:color="auto"/>
                            <w:right w:val="none" w:sz="0" w:space="0" w:color="auto"/>
                          </w:divBdr>
                        </w:div>
                        <w:div w:id="174209638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35621884">
                  <w:marLeft w:val="0"/>
                  <w:marRight w:val="0"/>
                  <w:marTop w:val="0"/>
                  <w:marBottom w:val="0"/>
                  <w:divBdr>
                    <w:top w:val="none" w:sz="0" w:space="0" w:color="auto"/>
                    <w:left w:val="none" w:sz="0" w:space="0" w:color="auto"/>
                    <w:bottom w:val="none" w:sz="0" w:space="0" w:color="auto"/>
                    <w:right w:val="none" w:sz="0" w:space="0" w:color="auto"/>
                  </w:divBdr>
                </w:div>
                <w:div w:id="1919633953">
                  <w:marLeft w:val="0"/>
                  <w:marRight w:val="0"/>
                  <w:marTop w:val="0"/>
                  <w:marBottom w:val="0"/>
                  <w:divBdr>
                    <w:top w:val="none" w:sz="0" w:space="0" w:color="auto"/>
                    <w:left w:val="none" w:sz="0" w:space="0" w:color="auto"/>
                    <w:bottom w:val="none" w:sz="0" w:space="0" w:color="auto"/>
                    <w:right w:val="none" w:sz="0" w:space="0" w:color="auto"/>
                  </w:divBdr>
                </w:div>
                <w:div w:id="2006349177">
                  <w:marLeft w:val="0"/>
                  <w:marRight w:val="0"/>
                  <w:marTop w:val="0"/>
                  <w:marBottom w:val="240"/>
                  <w:divBdr>
                    <w:top w:val="none" w:sz="0" w:space="0" w:color="auto"/>
                    <w:left w:val="none" w:sz="0" w:space="0" w:color="auto"/>
                    <w:bottom w:val="none" w:sz="0" w:space="0" w:color="auto"/>
                    <w:right w:val="none" w:sz="0" w:space="0" w:color="auto"/>
                  </w:divBdr>
                </w:div>
              </w:divsChild>
            </w:div>
            <w:div w:id="1479030152">
              <w:marLeft w:val="0"/>
              <w:marRight w:val="0"/>
              <w:marTop w:val="144"/>
              <w:marBottom w:val="0"/>
              <w:divBdr>
                <w:top w:val="none" w:sz="0" w:space="0" w:color="auto"/>
                <w:left w:val="none" w:sz="0" w:space="0" w:color="auto"/>
                <w:bottom w:val="none" w:sz="0" w:space="0" w:color="auto"/>
                <w:right w:val="none" w:sz="0" w:space="0" w:color="auto"/>
              </w:divBdr>
              <w:divsChild>
                <w:div w:id="184901310">
                  <w:marLeft w:val="0"/>
                  <w:marRight w:val="0"/>
                  <w:marTop w:val="0"/>
                  <w:marBottom w:val="0"/>
                  <w:divBdr>
                    <w:top w:val="none" w:sz="0" w:space="0" w:color="auto"/>
                    <w:left w:val="none" w:sz="0" w:space="0" w:color="auto"/>
                    <w:bottom w:val="none" w:sz="0" w:space="0" w:color="auto"/>
                    <w:right w:val="none" w:sz="0" w:space="0" w:color="auto"/>
                  </w:divBdr>
                </w:div>
                <w:div w:id="557671169">
                  <w:marLeft w:val="0"/>
                  <w:marRight w:val="0"/>
                  <w:marTop w:val="0"/>
                  <w:marBottom w:val="240"/>
                  <w:divBdr>
                    <w:top w:val="none" w:sz="0" w:space="0" w:color="auto"/>
                    <w:left w:val="none" w:sz="0" w:space="0" w:color="auto"/>
                    <w:bottom w:val="none" w:sz="0" w:space="0" w:color="auto"/>
                    <w:right w:val="none" w:sz="0" w:space="0" w:color="auto"/>
                  </w:divBdr>
                  <w:divsChild>
                    <w:div w:id="858857308">
                      <w:marLeft w:val="0"/>
                      <w:marRight w:val="0"/>
                      <w:marTop w:val="0"/>
                      <w:marBottom w:val="0"/>
                      <w:divBdr>
                        <w:top w:val="none" w:sz="0" w:space="0" w:color="auto"/>
                        <w:left w:val="none" w:sz="0" w:space="0" w:color="auto"/>
                        <w:bottom w:val="none" w:sz="0" w:space="0" w:color="auto"/>
                        <w:right w:val="none" w:sz="0" w:space="0" w:color="auto"/>
                      </w:divBdr>
                      <w:divsChild>
                        <w:div w:id="168756326">
                          <w:marLeft w:val="0"/>
                          <w:marRight w:val="0"/>
                          <w:marTop w:val="192"/>
                          <w:marBottom w:val="0"/>
                          <w:divBdr>
                            <w:top w:val="none" w:sz="0" w:space="0" w:color="auto"/>
                            <w:left w:val="none" w:sz="0" w:space="0" w:color="auto"/>
                            <w:bottom w:val="none" w:sz="0" w:space="0" w:color="auto"/>
                            <w:right w:val="none" w:sz="0" w:space="0" w:color="auto"/>
                          </w:divBdr>
                          <w:divsChild>
                            <w:div w:id="973754714">
                              <w:marLeft w:val="0"/>
                              <w:marRight w:val="0"/>
                              <w:marTop w:val="0"/>
                              <w:marBottom w:val="0"/>
                              <w:divBdr>
                                <w:top w:val="none" w:sz="0" w:space="0" w:color="auto"/>
                                <w:left w:val="none" w:sz="0" w:space="0" w:color="auto"/>
                                <w:bottom w:val="none" w:sz="0" w:space="0" w:color="auto"/>
                                <w:right w:val="none" w:sz="0" w:space="0" w:color="auto"/>
                              </w:divBdr>
                              <w:divsChild>
                                <w:div w:id="9381039">
                                  <w:marLeft w:val="0"/>
                                  <w:marRight w:val="0"/>
                                  <w:marTop w:val="144"/>
                                  <w:marBottom w:val="0"/>
                                  <w:divBdr>
                                    <w:top w:val="none" w:sz="0" w:space="0" w:color="auto"/>
                                    <w:left w:val="none" w:sz="0" w:space="0" w:color="auto"/>
                                    <w:bottom w:val="none" w:sz="0" w:space="0" w:color="auto"/>
                                    <w:right w:val="none" w:sz="0" w:space="0" w:color="auto"/>
                                  </w:divBdr>
                                </w:div>
                                <w:div w:id="511258959">
                                  <w:marLeft w:val="0"/>
                                  <w:marRight w:val="0"/>
                                  <w:marTop w:val="144"/>
                                  <w:marBottom w:val="0"/>
                                  <w:divBdr>
                                    <w:top w:val="none" w:sz="0" w:space="0" w:color="auto"/>
                                    <w:left w:val="none" w:sz="0" w:space="0" w:color="auto"/>
                                    <w:bottom w:val="none" w:sz="0" w:space="0" w:color="auto"/>
                                    <w:right w:val="none" w:sz="0" w:space="0" w:color="auto"/>
                                  </w:divBdr>
                                </w:div>
                                <w:div w:id="1354453331">
                                  <w:marLeft w:val="0"/>
                                  <w:marRight w:val="0"/>
                                  <w:marTop w:val="144"/>
                                  <w:marBottom w:val="0"/>
                                  <w:divBdr>
                                    <w:top w:val="none" w:sz="0" w:space="0" w:color="auto"/>
                                    <w:left w:val="none" w:sz="0" w:space="0" w:color="auto"/>
                                    <w:bottom w:val="none" w:sz="0" w:space="0" w:color="auto"/>
                                    <w:right w:val="none" w:sz="0" w:space="0" w:color="auto"/>
                                  </w:divBdr>
                                </w:div>
                                <w:div w:id="181216553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14041500">
                          <w:marLeft w:val="0"/>
                          <w:marRight w:val="0"/>
                          <w:marTop w:val="192"/>
                          <w:marBottom w:val="0"/>
                          <w:divBdr>
                            <w:top w:val="none" w:sz="0" w:space="0" w:color="auto"/>
                            <w:left w:val="none" w:sz="0" w:space="0" w:color="auto"/>
                            <w:bottom w:val="none" w:sz="0" w:space="0" w:color="auto"/>
                            <w:right w:val="none" w:sz="0" w:space="0" w:color="auto"/>
                          </w:divBdr>
                        </w:div>
                        <w:div w:id="1234924087">
                          <w:marLeft w:val="0"/>
                          <w:marRight w:val="0"/>
                          <w:marTop w:val="192"/>
                          <w:marBottom w:val="0"/>
                          <w:divBdr>
                            <w:top w:val="none" w:sz="0" w:space="0" w:color="auto"/>
                            <w:left w:val="none" w:sz="0" w:space="0" w:color="auto"/>
                            <w:bottom w:val="none" w:sz="0" w:space="0" w:color="auto"/>
                            <w:right w:val="none" w:sz="0" w:space="0" w:color="auto"/>
                          </w:divBdr>
                        </w:div>
                        <w:div w:id="194904462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21624948">
                  <w:marLeft w:val="0"/>
                  <w:marRight w:val="0"/>
                  <w:marTop w:val="0"/>
                  <w:marBottom w:val="0"/>
                  <w:divBdr>
                    <w:top w:val="none" w:sz="0" w:space="0" w:color="auto"/>
                    <w:left w:val="none" w:sz="0" w:space="0" w:color="auto"/>
                    <w:bottom w:val="none" w:sz="0" w:space="0" w:color="auto"/>
                    <w:right w:val="none" w:sz="0" w:space="0" w:color="auto"/>
                  </w:divBdr>
                </w:div>
                <w:div w:id="2082099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6210134">
      <w:bodyDiv w:val="1"/>
      <w:marLeft w:val="0"/>
      <w:marRight w:val="0"/>
      <w:marTop w:val="0"/>
      <w:marBottom w:val="0"/>
      <w:divBdr>
        <w:top w:val="none" w:sz="0" w:space="0" w:color="auto"/>
        <w:left w:val="none" w:sz="0" w:space="0" w:color="auto"/>
        <w:bottom w:val="none" w:sz="0" w:space="0" w:color="auto"/>
        <w:right w:val="none" w:sz="0" w:space="0" w:color="auto"/>
      </w:divBdr>
    </w:div>
    <w:div w:id="711686159">
      <w:bodyDiv w:val="1"/>
      <w:marLeft w:val="0"/>
      <w:marRight w:val="0"/>
      <w:marTop w:val="0"/>
      <w:marBottom w:val="0"/>
      <w:divBdr>
        <w:top w:val="none" w:sz="0" w:space="0" w:color="auto"/>
        <w:left w:val="none" w:sz="0" w:space="0" w:color="auto"/>
        <w:bottom w:val="none" w:sz="0" w:space="0" w:color="auto"/>
        <w:right w:val="none" w:sz="0" w:space="0" w:color="auto"/>
      </w:divBdr>
    </w:div>
    <w:div w:id="719330072">
      <w:bodyDiv w:val="1"/>
      <w:marLeft w:val="0"/>
      <w:marRight w:val="0"/>
      <w:marTop w:val="0"/>
      <w:marBottom w:val="0"/>
      <w:divBdr>
        <w:top w:val="none" w:sz="0" w:space="0" w:color="auto"/>
        <w:left w:val="none" w:sz="0" w:space="0" w:color="auto"/>
        <w:bottom w:val="none" w:sz="0" w:space="0" w:color="auto"/>
        <w:right w:val="none" w:sz="0" w:space="0" w:color="auto"/>
      </w:divBdr>
    </w:div>
    <w:div w:id="776414651">
      <w:bodyDiv w:val="1"/>
      <w:marLeft w:val="0"/>
      <w:marRight w:val="0"/>
      <w:marTop w:val="0"/>
      <w:marBottom w:val="0"/>
      <w:divBdr>
        <w:top w:val="none" w:sz="0" w:space="0" w:color="auto"/>
        <w:left w:val="none" w:sz="0" w:space="0" w:color="auto"/>
        <w:bottom w:val="none" w:sz="0" w:space="0" w:color="auto"/>
        <w:right w:val="none" w:sz="0" w:space="0" w:color="auto"/>
      </w:divBdr>
    </w:div>
    <w:div w:id="806438882">
      <w:bodyDiv w:val="1"/>
      <w:marLeft w:val="0"/>
      <w:marRight w:val="0"/>
      <w:marTop w:val="0"/>
      <w:marBottom w:val="0"/>
      <w:divBdr>
        <w:top w:val="none" w:sz="0" w:space="0" w:color="auto"/>
        <w:left w:val="none" w:sz="0" w:space="0" w:color="auto"/>
        <w:bottom w:val="none" w:sz="0" w:space="0" w:color="auto"/>
        <w:right w:val="none" w:sz="0" w:space="0" w:color="auto"/>
      </w:divBdr>
      <w:divsChild>
        <w:div w:id="330187080">
          <w:marLeft w:val="0"/>
          <w:marRight w:val="0"/>
          <w:marTop w:val="0"/>
          <w:marBottom w:val="0"/>
          <w:divBdr>
            <w:top w:val="none" w:sz="0" w:space="0" w:color="auto"/>
            <w:left w:val="none" w:sz="0" w:space="0" w:color="auto"/>
            <w:bottom w:val="none" w:sz="0" w:space="0" w:color="auto"/>
            <w:right w:val="none" w:sz="0" w:space="0" w:color="auto"/>
          </w:divBdr>
          <w:divsChild>
            <w:div w:id="107433212">
              <w:marLeft w:val="0"/>
              <w:marRight w:val="0"/>
              <w:marTop w:val="0"/>
              <w:marBottom w:val="0"/>
              <w:divBdr>
                <w:top w:val="none" w:sz="0" w:space="0" w:color="auto"/>
                <w:left w:val="none" w:sz="0" w:space="0" w:color="auto"/>
                <w:bottom w:val="none" w:sz="0" w:space="0" w:color="auto"/>
                <w:right w:val="none" w:sz="0" w:space="0" w:color="auto"/>
              </w:divBdr>
            </w:div>
            <w:div w:id="481433710">
              <w:marLeft w:val="0"/>
              <w:marRight w:val="0"/>
              <w:marTop w:val="0"/>
              <w:marBottom w:val="0"/>
              <w:divBdr>
                <w:top w:val="none" w:sz="0" w:space="0" w:color="auto"/>
                <w:left w:val="none" w:sz="0" w:space="0" w:color="auto"/>
                <w:bottom w:val="none" w:sz="0" w:space="0" w:color="auto"/>
                <w:right w:val="none" w:sz="0" w:space="0" w:color="auto"/>
              </w:divBdr>
            </w:div>
            <w:div w:id="579600502">
              <w:marLeft w:val="0"/>
              <w:marRight w:val="0"/>
              <w:marTop w:val="0"/>
              <w:marBottom w:val="0"/>
              <w:divBdr>
                <w:top w:val="none" w:sz="0" w:space="0" w:color="auto"/>
                <w:left w:val="none" w:sz="0" w:space="0" w:color="auto"/>
                <w:bottom w:val="none" w:sz="0" w:space="0" w:color="auto"/>
                <w:right w:val="none" w:sz="0" w:space="0" w:color="auto"/>
              </w:divBdr>
            </w:div>
            <w:div w:id="1109353076">
              <w:marLeft w:val="0"/>
              <w:marRight w:val="0"/>
              <w:marTop w:val="0"/>
              <w:marBottom w:val="0"/>
              <w:divBdr>
                <w:top w:val="none" w:sz="0" w:space="0" w:color="auto"/>
                <w:left w:val="none" w:sz="0" w:space="0" w:color="auto"/>
                <w:bottom w:val="none" w:sz="0" w:space="0" w:color="auto"/>
                <w:right w:val="none" w:sz="0" w:space="0" w:color="auto"/>
              </w:divBdr>
            </w:div>
            <w:div w:id="1266768555">
              <w:marLeft w:val="0"/>
              <w:marRight w:val="0"/>
              <w:marTop w:val="0"/>
              <w:marBottom w:val="0"/>
              <w:divBdr>
                <w:top w:val="none" w:sz="0" w:space="0" w:color="auto"/>
                <w:left w:val="none" w:sz="0" w:space="0" w:color="auto"/>
                <w:bottom w:val="none" w:sz="0" w:space="0" w:color="auto"/>
                <w:right w:val="none" w:sz="0" w:space="0" w:color="auto"/>
              </w:divBdr>
            </w:div>
            <w:div w:id="1458068547">
              <w:marLeft w:val="0"/>
              <w:marRight w:val="0"/>
              <w:marTop w:val="0"/>
              <w:marBottom w:val="0"/>
              <w:divBdr>
                <w:top w:val="none" w:sz="0" w:space="0" w:color="auto"/>
                <w:left w:val="none" w:sz="0" w:space="0" w:color="auto"/>
                <w:bottom w:val="none" w:sz="0" w:space="0" w:color="auto"/>
                <w:right w:val="none" w:sz="0" w:space="0" w:color="auto"/>
              </w:divBdr>
            </w:div>
            <w:div w:id="1543786595">
              <w:marLeft w:val="0"/>
              <w:marRight w:val="0"/>
              <w:marTop w:val="0"/>
              <w:marBottom w:val="0"/>
              <w:divBdr>
                <w:top w:val="none" w:sz="0" w:space="0" w:color="auto"/>
                <w:left w:val="none" w:sz="0" w:space="0" w:color="auto"/>
                <w:bottom w:val="none" w:sz="0" w:space="0" w:color="auto"/>
                <w:right w:val="none" w:sz="0" w:space="0" w:color="auto"/>
              </w:divBdr>
              <w:divsChild>
                <w:div w:id="1151748404">
                  <w:marLeft w:val="0"/>
                  <w:marRight w:val="0"/>
                  <w:marTop w:val="0"/>
                  <w:marBottom w:val="0"/>
                  <w:divBdr>
                    <w:top w:val="none" w:sz="0" w:space="0" w:color="auto"/>
                    <w:left w:val="none" w:sz="0" w:space="0" w:color="auto"/>
                    <w:bottom w:val="none" w:sz="0" w:space="0" w:color="auto"/>
                    <w:right w:val="none" w:sz="0" w:space="0" w:color="auto"/>
                  </w:divBdr>
                  <w:divsChild>
                    <w:div w:id="219563270">
                      <w:marLeft w:val="0"/>
                      <w:marRight w:val="0"/>
                      <w:marTop w:val="0"/>
                      <w:marBottom w:val="0"/>
                      <w:divBdr>
                        <w:top w:val="none" w:sz="0" w:space="0" w:color="auto"/>
                        <w:left w:val="none" w:sz="0" w:space="0" w:color="auto"/>
                        <w:bottom w:val="none" w:sz="0" w:space="0" w:color="auto"/>
                        <w:right w:val="none" w:sz="0" w:space="0" w:color="auto"/>
                      </w:divBdr>
                    </w:div>
                    <w:div w:id="359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1915">
              <w:marLeft w:val="0"/>
              <w:marRight w:val="0"/>
              <w:marTop w:val="0"/>
              <w:marBottom w:val="0"/>
              <w:divBdr>
                <w:top w:val="none" w:sz="0" w:space="0" w:color="auto"/>
                <w:left w:val="none" w:sz="0" w:space="0" w:color="auto"/>
                <w:bottom w:val="none" w:sz="0" w:space="0" w:color="auto"/>
                <w:right w:val="none" w:sz="0" w:space="0" w:color="auto"/>
              </w:divBdr>
            </w:div>
          </w:divsChild>
        </w:div>
        <w:div w:id="1622689896">
          <w:marLeft w:val="0"/>
          <w:marRight w:val="0"/>
          <w:marTop w:val="0"/>
          <w:marBottom w:val="0"/>
          <w:divBdr>
            <w:top w:val="none" w:sz="0" w:space="0" w:color="auto"/>
            <w:left w:val="none" w:sz="0" w:space="0" w:color="auto"/>
            <w:bottom w:val="none" w:sz="0" w:space="0" w:color="auto"/>
            <w:right w:val="none" w:sz="0" w:space="0" w:color="auto"/>
          </w:divBdr>
          <w:divsChild>
            <w:div w:id="60105598">
              <w:marLeft w:val="0"/>
              <w:marRight w:val="0"/>
              <w:marTop w:val="0"/>
              <w:marBottom w:val="0"/>
              <w:divBdr>
                <w:top w:val="none" w:sz="0" w:space="0" w:color="auto"/>
                <w:left w:val="none" w:sz="0" w:space="0" w:color="auto"/>
                <w:bottom w:val="none" w:sz="0" w:space="0" w:color="auto"/>
                <w:right w:val="none" w:sz="0" w:space="0" w:color="auto"/>
              </w:divBdr>
            </w:div>
            <w:div w:id="277028035">
              <w:marLeft w:val="0"/>
              <w:marRight w:val="0"/>
              <w:marTop w:val="0"/>
              <w:marBottom w:val="0"/>
              <w:divBdr>
                <w:top w:val="none" w:sz="0" w:space="0" w:color="auto"/>
                <w:left w:val="none" w:sz="0" w:space="0" w:color="auto"/>
                <w:bottom w:val="none" w:sz="0" w:space="0" w:color="auto"/>
                <w:right w:val="none" w:sz="0" w:space="0" w:color="auto"/>
              </w:divBdr>
            </w:div>
            <w:div w:id="453409484">
              <w:marLeft w:val="0"/>
              <w:marRight w:val="0"/>
              <w:marTop w:val="0"/>
              <w:marBottom w:val="0"/>
              <w:divBdr>
                <w:top w:val="none" w:sz="0" w:space="0" w:color="auto"/>
                <w:left w:val="none" w:sz="0" w:space="0" w:color="auto"/>
                <w:bottom w:val="none" w:sz="0" w:space="0" w:color="auto"/>
                <w:right w:val="none" w:sz="0" w:space="0" w:color="auto"/>
              </w:divBdr>
            </w:div>
            <w:div w:id="576017126">
              <w:marLeft w:val="0"/>
              <w:marRight w:val="0"/>
              <w:marTop w:val="0"/>
              <w:marBottom w:val="0"/>
              <w:divBdr>
                <w:top w:val="none" w:sz="0" w:space="0" w:color="auto"/>
                <w:left w:val="none" w:sz="0" w:space="0" w:color="auto"/>
                <w:bottom w:val="none" w:sz="0" w:space="0" w:color="auto"/>
                <w:right w:val="none" w:sz="0" w:space="0" w:color="auto"/>
              </w:divBdr>
            </w:div>
            <w:div w:id="1485002504">
              <w:marLeft w:val="0"/>
              <w:marRight w:val="0"/>
              <w:marTop w:val="0"/>
              <w:marBottom w:val="0"/>
              <w:divBdr>
                <w:top w:val="none" w:sz="0" w:space="0" w:color="auto"/>
                <w:left w:val="none" w:sz="0" w:space="0" w:color="auto"/>
                <w:bottom w:val="none" w:sz="0" w:space="0" w:color="auto"/>
                <w:right w:val="none" w:sz="0" w:space="0" w:color="auto"/>
              </w:divBdr>
            </w:div>
            <w:div w:id="1782528447">
              <w:marLeft w:val="0"/>
              <w:marRight w:val="0"/>
              <w:marTop w:val="0"/>
              <w:marBottom w:val="0"/>
              <w:divBdr>
                <w:top w:val="none" w:sz="0" w:space="0" w:color="auto"/>
                <w:left w:val="none" w:sz="0" w:space="0" w:color="auto"/>
                <w:bottom w:val="none" w:sz="0" w:space="0" w:color="auto"/>
                <w:right w:val="none" w:sz="0" w:space="0" w:color="auto"/>
              </w:divBdr>
            </w:div>
            <w:div w:id="1829906202">
              <w:marLeft w:val="0"/>
              <w:marRight w:val="0"/>
              <w:marTop w:val="0"/>
              <w:marBottom w:val="0"/>
              <w:divBdr>
                <w:top w:val="none" w:sz="0" w:space="0" w:color="auto"/>
                <w:left w:val="none" w:sz="0" w:space="0" w:color="auto"/>
                <w:bottom w:val="none" w:sz="0" w:space="0" w:color="auto"/>
                <w:right w:val="none" w:sz="0" w:space="0" w:color="auto"/>
              </w:divBdr>
            </w:div>
            <w:div w:id="2051488324">
              <w:marLeft w:val="0"/>
              <w:marRight w:val="0"/>
              <w:marTop w:val="0"/>
              <w:marBottom w:val="0"/>
              <w:divBdr>
                <w:top w:val="none" w:sz="0" w:space="0" w:color="auto"/>
                <w:left w:val="none" w:sz="0" w:space="0" w:color="auto"/>
                <w:bottom w:val="none" w:sz="0" w:space="0" w:color="auto"/>
                <w:right w:val="none" w:sz="0" w:space="0" w:color="auto"/>
              </w:divBdr>
            </w:div>
          </w:divsChild>
        </w:div>
        <w:div w:id="1682464435">
          <w:marLeft w:val="0"/>
          <w:marRight w:val="0"/>
          <w:marTop w:val="0"/>
          <w:marBottom w:val="0"/>
          <w:divBdr>
            <w:top w:val="none" w:sz="0" w:space="0" w:color="auto"/>
            <w:left w:val="none" w:sz="0" w:space="0" w:color="auto"/>
            <w:bottom w:val="none" w:sz="0" w:space="0" w:color="auto"/>
            <w:right w:val="none" w:sz="0" w:space="0" w:color="auto"/>
          </w:divBdr>
          <w:divsChild>
            <w:div w:id="67383281">
              <w:marLeft w:val="0"/>
              <w:marRight w:val="0"/>
              <w:marTop w:val="0"/>
              <w:marBottom w:val="0"/>
              <w:divBdr>
                <w:top w:val="none" w:sz="0" w:space="0" w:color="auto"/>
                <w:left w:val="none" w:sz="0" w:space="0" w:color="auto"/>
                <w:bottom w:val="none" w:sz="0" w:space="0" w:color="auto"/>
                <w:right w:val="none" w:sz="0" w:space="0" w:color="auto"/>
              </w:divBdr>
            </w:div>
            <w:div w:id="404844423">
              <w:marLeft w:val="0"/>
              <w:marRight w:val="0"/>
              <w:marTop w:val="0"/>
              <w:marBottom w:val="0"/>
              <w:divBdr>
                <w:top w:val="none" w:sz="0" w:space="0" w:color="auto"/>
                <w:left w:val="none" w:sz="0" w:space="0" w:color="auto"/>
                <w:bottom w:val="none" w:sz="0" w:space="0" w:color="auto"/>
                <w:right w:val="none" w:sz="0" w:space="0" w:color="auto"/>
              </w:divBdr>
            </w:div>
            <w:div w:id="545995619">
              <w:marLeft w:val="0"/>
              <w:marRight w:val="0"/>
              <w:marTop w:val="0"/>
              <w:marBottom w:val="0"/>
              <w:divBdr>
                <w:top w:val="none" w:sz="0" w:space="0" w:color="auto"/>
                <w:left w:val="none" w:sz="0" w:space="0" w:color="auto"/>
                <w:bottom w:val="none" w:sz="0" w:space="0" w:color="auto"/>
                <w:right w:val="none" w:sz="0" w:space="0" w:color="auto"/>
              </w:divBdr>
            </w:div>
            <w:div w:id="553275000">
              <w:marLeft w:val="0"/>
              <w:marRight w:val="0"/>
              <w:marTop w:val="0"/>
              <w:marBottom w:val="0"/>
              <w:divBdr>
                <w:top w:val="none" w:sz="0" w:space="0" w:color="auto"/>
                <w:left w:val="none" w:sz="0" w:space="0" w:color="auto"/>
                <w:bottom w:val="none" w:sz="0" w:space="0" w:color="auto"/>
                <w:right w:val="none" w:sz="0" w:space="0" w:color="auto"/>
              </w:divBdr>
            </w:div>
            <w:div w:id="928201262">
              <w:marLeft w:val="0"/>
              <w:marRight w:val="0"/>
              <w:marTop w:val="0"/>
              <w:marBottom w:val="0"/>
              <w:divBdr>
                <w:top w:val="none" w:sz="0" w:space="0" w:color="auto"/>
                <w:left w:val="none" w:sz="0" w:space="0" w:color="auto"/>
                <w:bottom w:val="none" w:sz="0" w:space="0" w:color="auto"/>
                <w:right w:val="none" w:sz="0" w:space="0" w:color="auto"/>
              </w:divBdr>
            </w:div>
            <w:div w:id="1465385994">
              <w:marLeft w:val="0"/>
              <w:marRight w:val="0"/>
              <w:marTop w:val="0"/>
              <w:marBottom w:val="0"/>
              <w:divBdr>
                <w:top w:val="none" w:sz="0" w:space="0" w:color="auto"/>
                <w:left w:val="none" w:sz="0" w:space="0" w:color="auto"/>
                <w:bottom w:val="none" w:sz="0" w:space="0" w:color="auto"/>
                <w:right w:val="none" w:sz="0" w:space="0" w:color="auto"/>
              </w:divBdr>
            </w:div>
          </w:divsChild>
        </w:div>
        <w:div w:id="191208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183199">
      <w:bodyDiv w:val="1"/>
      <w:marLeft w:val="0"/>
      <w:marRight w:val="0"/>
      <w:marTop w:val="0"/>
      <w:marBottom w:val="0"/>
      <w:divBdr>
        <w:top w:val="none" w:sz="0" w:space="0" w:color="auto"/>
        <w:left w:val="none" w:sz="0" w:space="0" w:color="auto"/>
        <w:bottom w:val="none" w:sz="0" w:space="0" w:color="auto"/>
        <w:right w:val="none" w:sz="0" w:space="0" w:color="auto"/>
      </w:divBdr>
    </w:div>
    <w:div w:id="850414723">
      <w:bodyDiv w:val="1"/>
      <w:marLeft w:val="0"/>
      <w:marRight w:val="0"/>
      <w:marTop w:val="0"/>
      <w:marBottom w:val="0"/>
      <w:divBdr>
        <w:top w:val="none" w:sz="0" w:space="0" w:color="auto"/>
        <w:left w:val="none" w:sz="0" w:space="0" w:color="auto"/>
        <w:bottom w:val="none" w:sz="0" w:space="0" w:color="auto"/>
        <w:right w:val="none" w:sz="0" w:space="0" w:color="auto"/>
      </w:divBdr>
      <w:divsChild>
        <w:div w:id="244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542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1576">
          <w:marLeft w:val="0"/>
          <w:marRight w:val="0"/>
          <w:marTop w:val="0"/>
          <w:marBottom w:val="0"/>
          <w:divBdr>
            <w:top w:val="none" w:sz="0" w:space="0" w:color="auto"/>
            <w:left w:val="none" w:sz="0" w:space="0" w:color="auto"/>
            <w:bottom w:val="none" w:sz="0" w:space="0" w:color="auto"/>
            <w:right w:val="none" w:sz="0" w:space="0" w:color="auto"/>
          </w:divBdr>
          <w:divsChild>
            <w:div w:id="1563446962">
              <w:marLeft w:val="0"/>
              <w:marRight w:val="0"/>
              <w:marTop w:val="0"/>
              <w:marBottom w:val="0"/>
              <w:divBdr>
                <w:top w:val="none" w:sz="0" w:space="0" w:color="auto"/>
                <w:left w:val="none" w:sz="0" w:space="0" w:color="auto"/>
                <w:bottom w:val="none" w:sz="0" w:space="0" w:color="auto"/>
                <w:right w:val="none" w:sz="0" w:space="0" w:color="auto"/>
              </w:divBdr>
            </w:div>
            <w:div w:id="1626351882">
              <w:marLeft w:val="0"/>
              <w:marRight w:val="0"/>
              <w:marTop w:val="0"/>
              <w:marBottom w:val="0"/>
              <w:divBdr>
                <w:top w:val="none" w:sz="0" w:space="0" w:color="auto"/>
                <w:left w:val="none" w:sz="0" w:space="0" w:color="auto"/>
                <w:bottom w:val="none" w:sz="0" w:space="0" w:color="auto"/>
                <w:right w:val="none" w:sz="0" w:space="0" w:color="auto"/>
              </w:divBdr>
            </w:div>
            <w:div w:id="1787045449">
              <w:marLeft w:val="0"/>
              <w:marRight w:val="0"/>
              <w:marTop w:val="0"/>
              <w:marBottom w:val="0"/>
              <w:divBdr>
                <w:top w:val="none" w:sz="0" w:space="0" w:color="auto"/>
                <w:left w:val="none" w:sz="0" w:space="0" w:color="auto"/>
                <w:bottom w:val="none" w:sz="0" w:space="0" w:color="auto"/>
                <w:right w:val="none" w:sz="0" w:space="0" w:color="auto"/>
              </w:divBdr>
            </w:div>
            <w:div w:id="2079983642">
              <w:marLeft w:val="0"/>
              <w:marRight w:val="0"/>
              <w:marTop w:val="0"/>
              <w:marBottom w:val="0"/>
              <w:divBdr>
                <w:top w:val="none" w:sz="0" w:space="0" w:color="auto"/>
                <w:left w:val="none" w:sz="0" w:space="0" w:color="auto"/>
                <w:bottom w:val="none" w:sz="0" w:space="0" w:color="auto"/>
                <w:right w:val="none" w:sz="0" w:space="0" w:color="auto"/>
              </w:divBdr>
            </w:div>
          </w:divsChild>
        </w:div>
        <w:div w:id="85631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018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84245">
          <w:marLeft w:val="0"/>
          <w:marRight w:val="0"/>
          <w:marTop w:val="0"/>
          <w:marBottom w:val="0"/>
          <w:divBdr>
            <w:top w:val="none" w:sz="0" w:space="0" w:color="auto"/>
            <w:left w:val="none" w:sz="0" w:space="0" w:color="auto"/>
            <w:bottom w:val="none" w:sz="0" w:space="0" w:color="auto"/>
            <w:right w:val="none" w:sz="0" w:space="0" w:color="auto"/>
          </w:divBdr>
          <w:divsChild>
            <w:div w:id="355083559">
              <w:marLeft w:val="0"/>
              <w:marRight w:val="0"/>
              <w:marTop w:val="0"/>
              <w:marBottom w:val="0"/>
              <w:divBdr>
                <w:top w:val="none" w:sz="0" w:space="0" w:color="auto"/>
                <w:left w:val="none" w:sz="0" w:space="0" w:color="auto"/>
                <w:bottom w:val="none" w:sz="0" w:space="0" w:color="auto"/>
                <w:right w:val="none" w:sz="0" w:space="0" w:color="auto"/>
              </w:divBdr>
            </w:div>
            <w:div w:id="1358968885">
              <w:marLeft w:val="0"/>
              <w:marRight w:val="0"/>
              <w:marTop w:val="0"/>
              <w:marBottom w:val="0"/>
              <w:divBdr>
                <w:top w:val="none" w:sz="0" w:space="0" w:color="auto"/>
                <w:left w:val="none" w:sz="0" w:space="0" w:color="auto"/>
                <w:bottom w:val="none" w:sz="0" w:space="0" w:color="auto"/>
                <w:right w:val="none" w:sz="0" w:space="0" w:color="auto"/>
              </w:divBdr>
            </w:div>
            <w:div w:id="1559245182">
              <w:marLeft w:val="0"/>
              <w:marRight w:val="0"/>
              <w:marTop w:val="0"/>
              <w:marBottom w:val="0"/>
              <w:divBdr>
                <w:top w:val="none" w:sz="0" w:space="0" w:color="auto"/>
                <w:left w:val="none" w:sz="0" w:space="0" w:color="auto"/>
                <w:bottom w:val="none" w:sz="0" w:space="0" w:color="auto"/>
                <w:right w:val="none" w:sz="0" w:space="0" w:color="auto"/>
              </w:divBdr>
            </w:div>
            <w:div w:id="1636183314">
              <w:marLeft w:val="0"/>
              <w:marRight w:val="0"/>
              <w:marTop w:val="0"/>
              <w:marBottom w:val="0"/>
              <w:divBdr>
                <w:top w:val="none" w:sz="0" w:space="0" w:color="auto"/>
                <w:left w:val="none" w:sz="0" w:space="0" w:color="auto"/>
                <w:bottom w:val="none" w:sz="0" w:space="0" w:color="auto"/>
                <w:right w:val="none" w:sz="0" w:space="0" w:color="auto"/>
              </w:divBdr>
            </w:div>
          </w:divsChild>
        </w:div>
        <w:div w:id="1938053683">
          <w:marLeft w:val="0"/>
          <w:marRight w:val="0"/>
          <w:marTop w:val="0"/>
          <w:marBottom w:val="0"/>
          <w:divBdr>
            <w:top w:val="none" w:sz="0" w:space="0" w:color="auto"/>
            <w:left w:val="none" w:sz="0" w:space="0" w:color="auto"/>
            <w:bottom w:val="none" w:sz="0" w:space="0" w:color="auto"/>
            <w:right w:val="none" w:sz="0" w:space="0" w:color="auto"/>
          </w:divBdr>
          <w:divsChild>
            <w:div w:id="569778161">
              <w:marLeft w:val="0"/>
              <w:marRight w:val="0"/>
              <w:marTop w:val="0"/>
              <w:marBottom w:val="0"/>
              <w:divBdr>
                <w:top w:val="none" w:sz="0" w:space="0" w:color="auto"/>
                <w:left w:val="none" w:sz="0" w:space="0" w:color="auto"/>
                <w:bottom w:val="none" w:sz="0" w:space="0" w:color="auto"/>
                <w:right w:val="none" w:sz="0" w:space="0" w:color="auto"/>
              </w:divBdr>
            </w:div>
            <w:div w:id="185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8797">
      <w:bodyDiv w:val="1"/>
      <w:marLeft w:val="0"/>
      <w:marRight w:val="0"/>
      <w:marTop w:val="0"/>
      <w:marBottom w:val="0"/>
      <w:divBdr>
        <w:top w:val="none" w:sz="0" w:space="0" w:color="auto"/>
        <w:left w:val="none" w:sz="0" w:space="0" w:color="auto"/>
        <w:bottom w:val="none" w:sz="0" w:space="0" w:color="auto"/>
        <w:right w:val="none" w:sz="0" w:space="0" w:color="auto"/>
      </w:divBdr>
    </w:div>
    <w:div w:id="928806878">
      <w:bodyDiv w:val="1"/>
      <w:marLeft w:val="0"/>
      <w:marRight w:val="0"/>
      <w:marTop w:val="0"/>
      <w:marBottom w:val="0"/>
      <w:divBdr>
        <w:top w:val="none" w:sz="0" w:space="0" w:color="auto"/>
        <w:left w:val="none" w:sz="0" w:space="0" w:color="auto"/>
        <w:bottom w:val="none" w:sz="0" w:space="0" w:color="auto"/>
        <w:right w:val="none" w:sz="0" w:space="0" w:color="auto"/>
      </w:divBdr>
    </w:div>
    <w:div w:id="987978462">
      <w:bodyDiv w:val="1"/>
      <w:marLeft w:val="0"/>
      <w:marRight w:val="0"/>
      <w:marTop w:val="0"/>
      <w:marBottom w:val="0"/>
      <w:divBdr>
        <w:top w:val="none" w:sz="0" w:space="0" w:color="auto"/>
        <w:left w:val="none" w:sz="0" w:space="0" w:color="auto"/>
        <w:bottom w:val="none" w:sz="0" w:space="0" w:color="auto"/>
        <w:right w:val="none" w:sz="0" w:space="0" w:color="auto"/>
      </w:divBdr>
    </w:div>
    <w:div w:id="1022900123">
      <w:bodyDiv w:val="1"/>
      <w:marLeft w:val="0"/>
      <w:marRight w:val="0"/>
      <w:marTop w:val="0"/>
      <w:marBottom w:val="0"/>
      <w:divBdr>
        <w:top w:val="none" w:sz="0" w:space="0" w:color="auto"/>
        <w:left w:val="none" w:sz="0" w:space="0" w:color="auto"/>
        <w:bottom w:val="none" w:sz="0" w:space="0" w:color="auto"/>
        <w:right w:val="none" w:sz="0" w:space="0" w:color="auto"/>
      </w:divBdr>
    </w:div>
    <w:div w:id="1122840194">
      <w:bodyDiv w:val="1"/>
      <w:marLeft w:val="0"/>
      <w:marRight w:val="0"/>
      <w:marTop w:val="0"/>
      <w:marBottom w:val="0"/>
      <w:divBdr>
        <w:top w:val="none" w:sz="0" w:space="0" w:color="auto"/>
        <w:left w:val="none" w:sz="0" w:space="0" w:color="auto"/>
        <w:bottom w:val="none" w:sz="0" w:space="0" w:color="auto"/>
        <w:right w:val="none" w:sz="0" w:space="0" w:color="auto"/>
      </w:divBdr>
      <w:divsChild>
        <w:div w:id="904074884">
          <w:marLeft w:val="1950"/>
          <w:marRight w:val="150"/>
          <w:marTop w:val="0"/>
          <w:marBottom w:val="0"/>
          <w:divBdr>
            <w:top w:val="none" w:sz="0" w:space="0" w:color="auto"/>
            <w:left w:val="none" w:sz="0" w:space="0" w:color="auto"/>
            <w:bottom w:val="none" w:sz="0" w:space="0" w:color="auto"/>
            <w:right w:val="none" w:sz="0" w:space="0" w:color="auto"/>
          </w:divBdr>
          <w:divsChild>
            <w:div w:id="341013502">
              <w:marLeft w:val="0"/>
              <w:marRight w:val="0"/>
              <w:marTop w:val="144"/>
              <w:marBottom w:val="0"/>
              <w:divBdr>
                <w:top w:val="none" w:sz="0" w:space="0" w:color="auto"/>
                <w:left w:val="none" w:sz="0" w:space="0" w:color="auto"/>
                <w:bottom w:val="none" w:sz="0" w:space="0" w:color="auto"/>
                <w:right w:val="none" w:sz="0" w:space="0" w:color="auto"/>
              </w:divBdr>
              <w:divsChild>
                <w:div w:id="403647871">
                  <w:marLeft w:val="0"/>
                  <w:marRight w:val="0"/>
                  <w:marTop w:val="0"/>
                  <w:marBottom w:val="0"/>
                  <w:divBdr>
                    <w:top w:val="none" w:sz="0" w:space="0" w:color="auto"/>
                    <w:left w:val="none" w:sz="0" w:space="0" w:color="auto"/>
                    <w:bottom w:val="none" w:sz="0" w:space="0" w:color="auto"/>
                    <w:right w:val="none" w:sz="0" w:space="0" w:color="auto"/>
                  </w:divBdr>
                </w:div>
                <w:div w:id="1249147489">
                  <w:marLeft w:val="0"/>
                  <w:marRight w:val="0"/>
                  <w:marTop w:val="0"/>
                  <w:marBottom w:val="240"/>
                  <w:divBdr>
                    <w:top w:val="none" w:sz="0" w:space="0" w:color="auto"/>
                    <w:left w:val="none" w:sz="0" w:space="0" w:color="auto"/>
                    <w:bottom w:val="none" w:sz="0" w:space="0" w:color="auto"/>
                    <w:right w:val="none" w:sz="0" w:space="0" w:color="auto"/>
                  </w:divBdr>
                </w:div>
                <w:div w:id="1808736764">
                  <w:marLeft w:val="0"/>
                  <w:marRight w:val="0"/>
                  <w:marTop w:val="0"/>
                  <w:marBottom w:val="0"/>
                  <w:divBdr>
                    <w:top w:val="none" w:sz="0" w:space="0" w:color="auto"/>
                    <w:left w:val="none" w:sz="0" w:space="0" w:color="auto"/>
                    <w:bottom w:val="none" w:sz="0" w:space="0" w:color="auto"/>
                    <w:right w:val="none" w:sz="0" w:space="0" w:color="auto"/>
                  </w:divBdr>
                </w:div>
                <w:div w:id="1875461298">
                  <w:marLeft w:val="0"/>
                  <w:marRight w:val="0"/>
                  <w:marTop w:val="0"/>
                  <w:marBottom w:val="240"/>
                  <w:divBdr>
                    <w:top w:val="none" w:sz="0" w:space="0" w:color="auto"/>
                    <w:left w:val="none" w:sz="0" w:space="0" w:color="auto"/>
                    <w:bottom w:val="none" w:sz="0" w:space="0" w:color="auto"/>
                    <w:right w:val="none" w:sz="0" w:space="0" w:color="auto"/>
                  </w:divBdr>
                  <w:divsChild>
                    <w:div w:id="75639774">
                      <w:marLeft w:val="0"/>
                      <w:marRight w:val="0"/>
                      <w:marTop w:val="0"/>
                      <w:marBottom w:val="0"/>
                      <w:divBdr>
                        <w:top w:val="none" w:sz="0" w:space="0" w:color="auto"/>
                        <w:left w:val="none" w:sz="0" w:space="0" w:color="auto"/>
                        <w:bottom w:val="none" w:sz="0" w:space="0" w:color="auto"/>
                        <w:right w:val="none" w:sz="0" w:space="0" w:color="auto"/>
                      </w:divBdr>
                      <w:divsChild>
                        <w:div w:id="77603156">
                          <w:marLeft w:val="0"/>
                          <w:marRight w:val="0"/>
                          <w:marTop w:val="192"/>
                          <w:marBottom w:val="0"/>
                          <w:divBdr>
                            <w:top w:val="none" w:sz="0" w:space="0" w:color="auto"/>
                            <w:left w:val="none" w:sz="0" w:space="0" w:color="auto"/>
                            <w:bottom w:val="none" w:sz="0" w:space="0" w:color="auto"/>
                            <w:right w:val="none" w:sz="0" w:space="0" w:color="auto"/>
                          </w:divBdr>
                        </w:div>
                        <w:div w:id="621229041">
                          <w:marLeft w:val="0"/>
                          <w:marRight w:val="0"/>
                          <w:marTop w:val="192"/>
                          <w:marBottom w:val="0"/>
                          <w:divBdr>
                            <w:top w:val="none" w:sz="0" w:space="0" w:color="auto"/>
                            <w:left w:val="none" w:sz="0" w:space="0" w:color="auto"/>
                            <w:bottom w:val="none" w:sz="0" w:space="0" w:color="auto"/>
                            <w:right w:val="none" w:sz="0" w:space="0" w:color="auto"/>
                          </w:divBdr>
                        </w:div>
                        <w:div w:id="1306813871">
                          <w:marLeft w:val="0"/>
                          <w:marRight w:val="0"/>
                          <w:marTop w:val="192"/>
                          <w:marBottom w:val="0"/>
                          <w:divBdr>
                            <w:top w:val="none" w:sz="0" w:space="0" w:color="auto"/>
                            <w:left w:val="none" w:sz="0" w:space="0" w:color="auto"/>
                            <w:bottom w:val="none" w:sz="0" w:space="0" w:color="auto"/>
                            <w:right w:val="none" w:sz="0" w:space="0" w:color="auto"/>
                          </w:divBdr>
                        </w:div>
                        <w:div w:id="1316690248">
                          <w:marLeft w:val="0"/>
                          <w:marRight w:val="0"/>
                          <w:marTop w:val="192"/>
                          <w:marBottom w:val="0"/>
                          <w:divBdr>
                            <w:top w:val="none" w:sz="0" w:space="0" w:color="auto"/>
                            <w:left w:val="none" w:sz="0" w:space="0" w:color="auto"/>
                            <w:bottom w:val="none" w:sz="0" w:space="0" w:color="auto"/>
                            <w:right w:val="none" w:sz="0" w:space="0" w:color="auto"/>
                          </w:divBdr>
                        </w:div>
                        <w:div w:id="1728989364">
                          <w:marLeft w:val="0"/>
                          <w:marRight w:val="0"/>
                          <w:marTop w:val="192"/>
                          <w:marBottom w:val="0"/>
                          <w:divBdr>
                            <w:top w:val="none" w:sz="0" w:space="0" w:color="auto"/>
                            <w:left w:val="none" w:sz="0" w:space="0" w:color="auto"/>
                            <w:bottom w:val="none" w:sz="0" w:space="0" w:color="auto"/>
                            <w:right w:val="none" w:sz="0" w:space="0" w:color="auto"/>
                          </w:divBdr>
                        </w:div>
                        <w:div w:id="17816781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870920468">
              <w:marLeft w:val="0"/>
              <w:marRight w:val="0"/>
              <w:marTop w:val="144"/>
              <w:marBottom w:val="0"/>
              <w:divBdr>
                <w:top w:val="none" w:sz="0" w:space="0" w:color="auto"/>
                <w:left w:val="none" w:sz="0" w:space="0" w:color="auto"/>
                <w:bottom w:val="none" w:sz="0" w:space="0" w:color="auto"/>
                <w:right w:val="none" w:sz="0" w:space="0" w:color="auto"/>
              </w:divBdr>
              <w:divsChild>
                <w:div w:id="189421656">
                  <w:marLeft w:val="0"/>
                  <w:marRight w:val="0"/>
                  <w:marTop w:val="0"/>
                  <w:marBottom w:val="240"/>
                  <w:divBdr>
                    <w:top w:val="none" w:sz="0" w:space="0" w:color="auto"/>
                    <w:left w:val="none" w:sz="0" w:space="0" w:color="auto"/>
                    <w:bottom w:val="none" w:sz="0" w:space="0" w:color="auto"/>
                    <w:right w:val="none" w:sz="0" w:space="0" w:color="auto"/>
                  </w:divBdr>
                  <w:divsChild>
                    <w:div w:id="29958657">
                      <w:marLeft w:val="0"/>
                      <w:marRight w:val="0"/>
                      <w:marTop w:val="0"/>
                      <w:marBottom w:val="0"/>
                      <w:divBdr>
                        <w:top w:val="none" w:sz="0" w:space="0" w:color="auto"/>
                        <w:left w:val="none" w:sz="0" w:space="0" w:color="auto"/>
                        <w:bottom w:val="none" w:sz="0" w:space="0" w:color="auto"/>
                        <w:right w:val="none" w:sz="0" w:space="0" w:color="auto"/>
                      </w:divBdr>
                      <w:divsChild>
                        <w:div w:id="459887677">
                          <w:marLeft w:val="0"/>
                          <w:marRight w:val="0"/>
                          <w:marTop w:val="192"/>
                          <w:marBottom w:val="0"/>
                          <w:divBdr>
                            <w:top w:val="none" w:sz="0" w:space="0" w:color="auto"/>
                            <w:left w:val="none" w:sz="0" w:space="0" w:color="auto"/>
                            <w:bottom w:val="none" w:sz="0" w:space="0" w:color="auto"/>
                            <w:right w:val="none" w:sz="0" w:space="0" w:color="auto"/>
                          </w:divBdr>
                          <w:divsChild>
                            <w:div w:id="1712077058">
                              <w:marLeft w:val="0"/>
                              <w:marRight w:val="0"/>
                              <w:marTop w:val="0"/>
                              <w:marBottom w:val="0"/>
                              <w:divBdr>
                                <w:top w:val="none" w:sz="0" w:space="0" w:color="auto"/>
                                <w:left w:val="none" w:sz="0" w:space="0" w:color="auto"/>
                                <w:bottom w:val="none" w:sz="0" w:space="0" w:color="auto"/>
                                <w:right w:val="none" w:sz="0" w:space="0" w:color="auto"/>
                              </w:divBdr>
                              <w:divsChild>
                                <w:div w:id="78907881">
                                  <w:marLeft w:val="0"/>
                                  <w:marRight w:val="0"/>
                                  <w:marTop w:val="144"/>
                                  <w:marBottom w:val="0"/>
                                  <w:divBdr>
                                    <w:top w:val="none" w:sz="0" w:space="0" w:color="auto"/>
                                    <w:left w:val="none" w:sz="0" w:space="0" w:color="auto"/>
                                    <w:bottom w:val="none" w:sz="0" w:space="0" w:color="auto"/>
                                    <w:right w:val="none" w:sz="0" w:space="0" w:color="auto"/>
                                  </w:divBdr>
                                </w:div>
                                <w:div w:id="1062019822">
                                  <w:marLeft w:val="0"/>
                                  <w:marRight w:val="0"/>
                                  <w:marTop w:val="144"/>
                                  <w:marBottom w:val="0"/>
                                  <w:divBdr>
                                    <w:top w:val="none" w:sz="0" w:space="0" w:color="auto"/>
                                    <w:left w:val="none" w:sz="0" w:space="0" w:color="auto"/>
                                    <w:bottom w:val="none" w:sz="0" w:space="0" w:color="auto"/>
                                    <w:right w:val="none" w:sz="0" w:space="0" w:color="auto"/>
                                  </w:divBdr>
                                </w:div>
                                <w:div w:id="1287006761">
                                  <w:marLeft w:val="0"/>
                                  <w:marRight w:val="0"/>
                                  <w:marTop w:val="144"/>
                                  <w:marBottom w:val="0"/>
                                  <w:divBdr>
                                    <w:top w:val="none" w:sz="0" w:space="0" w:color="auto"/>
                                    <w:left w:val="none" w:sz="0" w:space="0" w:color="auto"/>
                                    <w:bottom w:val="none" w:sz="0" w:space="0" w:color="auto"/>
                                    <w:right w:val="none" w:sz="0" w:space="0" w:color="auto"/>
                                  </w:divBdr>
                                </w:div>
                                <w:div w:id="2128813444">
                                  <w:marLeft w:val="0"/>
                                  <w:marRight w:val="0"/>
                                  <w:marTop w:val="144"/>
                                  <w:marBottom w:val="0"/>
                                  <w:divBdr>
                                    <w:top w:val="none" w:sz="0" w:space="0" w:color="auto"/>
                                    <w:left w:val="none" w:sz="0" w:space="0" w:color="auto"/>
                                    <w:bottom w:val="none" w:sz="0" w:space="0" w:color="auto"/>
                                    <w:right w:val="none" w:sz="0" w:space="0" w:color="auto"/>
                                  </w:divBdr>
                                  <w:divsChild>
                                    <w:div w:id="2050258906">
                                      <w:marLeft w:val="0"/>
                                      <w:marRight w:val="0"/>
                                      <w:marTop w:val="0"/>
                                      <w:marBottom w:val="0"/>
                                      <w:divBdr>
                                        <w:top w:val="none" w:sz="0" w:space="0" w:color="auto"/>
                                        <w:left w:val="none" w:sz="0" w:space="0" w:color="auto"/>
                                        <w:bottom w:val="none" w:sz="0" w:space="0" w:color="auto"/>
                                        <w:right w:val="none" w:sz="0" w:space="0" w:color="auto"/>
                                      </w:divBdr>
                                      <w:divsChild>
                                        <w:div w:id="605700053">
                                          <w:marLeft w:val="0"/>
                                          <w:marRight w:val="0"/>
                                          <w:marTop w:val="96"/>
                                          <w:marBottom w:val="0"/>
                                          <w:divBdr>
                                            <w:top w:val="none" w:sz="0" w:space="0" w:color="auto"/>
                                            <w:left w:val="none" w:sz="0" w:space="0" w:color="auto"/>
                                            <w:bottom w:val="none" w:sz="0" w:space="0" w:color="auto"/>
                                            <w:right w:val="none" w:sz="0" w:space="0" w:color="auto"/>
                                          </w:divBdr>
                                        </w:div>
                                        <w:div w:id="691538610">
                                          <w:marLeft w:val="0"/>
                                          <w:marRight w:val="0"/>
                                          <w:marTop w:val="96"/>
                                          <w:marBottom w:val="0"/>
                                          <w:divBdr>
                                            <w:top w:val="none" w:sz="0" w:space="0" w:color="auto"/>
                                            <w:left w:val="none" w:sz="0" w:space="0" w:color="auto"/>
                                            <w:bottom w:val="none" w:sz="0" w:space="0" w:color="auto"/>
                                            <w:right w:val="none" w:sz="0" w:space="0" w:color="auto"/>
                                          </w:divBdr>
                                        </w:div>
                                        <w:div w:id="1447919339">
                                          <w:marLeft w:val="0"/>
                                          <w:marRight w:val="0"/>
                                          <w:marTop w:val="96"/>
                                          <w:marBottom w:val="0"/>
                                          <w:divBdr>
                                            <w:top w:val="none" w:sz="0" w:space="0" w:color="auto"/>
                                            <w:left w:val="none" w:sz="0" w:space="0" w:color="auto"/>
                                            <w:bottom w:val="none" w:sz="0" w:space="0" w:color="auto"/>
                                            <w:right w:val="none" w:sz="0" w:space="0" w:color="auto"/>
                                          </w:divBdr>
                                        </w:div>
                                        <w:div w:id="200312020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597641516">
                          <w:marLeft w:val="0"/>
                          <w:marRight w:val="0"/>
                          <w:marTop w:val="192"/>
                          <w:marBottom w:val="0"/>
                          <w:divBdr>
                            <w:top w:val="none" w:sz="0" w:space="0" w:color="auto"/>
                            <w:left w:val="none" w:sz="0" w:space="0" w:color="auto"/>
                            <w:bottom w:val="none" w:sz="0" w:space="0" w:color="auto"/>
                            <w:right w:val="none" w:sz="0" w:space="0" w:color="auto"/>
                          </w:divBdr>
                        </w:div>
                        <w:div w:id="806778291">
                          <w:marLeft w:val="0"/>
                          <w:marRight w:val="0"/>
                          <w:marTop w:val="192"/>
                          <w:marBottom w:val="0"/>
                          <w:divBdr>
                            <w:top w:val="none" w:sz="0" w:space="0" w:color="auto"/>
                            <w:left w:val="none" w:sz="0" w:space="0" w:color="auto"/>
                            <w:bottom w:val="none" w:sz="0" w:space="0" w:color="auto"/>
                            <w:right w:val="none" w:sz="0" w:space="0" w:color="auto"/>
                          </w:divBdr>
                        </w:div>
                        <w:div w:id="153927095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35941377">
                  <w:marLeft w:val="0"/>
                  <w:marRight w:val="0"/>
                  <w:marTop w:val="0"/>
                  <w:marBottom w:val="0"/>
                  <w:divBdr>
                    <w:top w:val="none" w:sz="0" w:space="0" w:color="auto"/>
                    <w:left w:val="none" w:sz="0" w:space="0" w:color="auto"/>
                    <w:bottom w:val="none" w:sz="0" w:space="0" w:color="auto"/>
                    <w:right w:val="none" w:sz="0" w:space="0" w:color="auto"/>
                  </w:divBdr>
                </w:div>
                <w:div w:id="1261641059">
                  <w:marLeft w:val="0"/>
                  <w:marRight w:val="0"/>
                  <w:marTop w:val="0"/>
                  <w:marBottom w:val="0"/>
                  <w:divBdr>
                    <w:top w:val="none" w:sz="0" w:space="0" w:color="auto"/>
                    <w:left w:val="none" w:sz="0" w:space="0" w:color="auto"/>
                    <w:bottom w:val="none" w:sz="0" w:space="0" w:color="auto"/>
                    <w:right w:val="none" w:sz="0" w:space="0" w:color="auto"/>
                  </w:divBdr>
                </w:div>
                <w:div w:id="1559627211">
                  <w:marLeft w:val="0"/>
                  <w:marRight w:val="0"/>
                  <w:marTop w:val="0"/>
                  <w:marBottom w:val="240"/>
                  <w:divBdr>
                    <w:top w:val="none" w:sz="0" w:space="0" w:color="auto"/>
                    <w:left w:val="none" w:sz="0" w:space="0" w:color="auto"/>
                    <w:bottom w:val="none" w:sz="0" w:space="0" w:color="auto"/>
                    <w:right w:val="none" w:sz="0" w:space="0" w:color="auto"/>
                  </w:divBdr>
                </w:div>
              </w:divsChild>
            </w:div>
            <w:div w:id="1444106137">
              <w:marLeft w:val="0"/>
              <w:marRight w:val="0"/>
              <w:marTop w:val="144"/>
              <w:marBottom w:val="0"/>
              <w:divBdr>
                <w:top w:val="none" w:sz="0" w:space="0" w:color="auto"/>
                <w:left w:val="none" w:sz="0" w:space="0" w:color="auto"/>
                <w:bottom w:val="none" w:sz="0" w:space="0" w:color="auto"/>
                <w:right w:val="none" w:sz="0" w:space="0" w:color="auto"/>
              </w:divBdr>
              <w:divsChild>
                <w:div w:id="86460295">
                  <w:marLeft w:val="0"/>
                  <w:marRight w:val="0"/>
                  <w:marTop w:val="0"/>
                  <w:marBottom w:val="0"/>
                  <w:divBdr>
                    <w:top w:val="none" w:sz="0" w:space="0" w:color="auto"/>
                    <w:left w:val="none" w:sz="0" w:space="0" w:color="auto"/>
                    <w:bottom w:val="none" w:sz="0" w:space="0" w:color="auto"/>
                    <w:right w:val="none" w:sz="0" w:space="0" w:color="auto"/>
                  </w:divBdr>
                </w:div>
                <w:div w:id="111633365">
                  <w:marLeft w:val="0"/>
                  <w:marRight w:val="0"/>
                  <w:marTop w:val="0"/>
                  <w:marBottom w:val="0"/>
                  <w:divBdr>
                    <w:top w:val="none" w:sz="0" w:space="0" w:color="auto"/>
                    <w:left w:val="none" w:sz="0" w:space="0" w:color="auto"/>
                    <w:bottom w:val="none" w:sz="0" w:space="0" w:color="auto"/>
                    <w:right w:val="none" w:sz="0" w:space="0" w:color="auto"/>
                  </w:divBdr>
                </w:div>
                <w:div w:id="703865050">
                  <w:marLeft w:val="0"/>
                  <w:marRight w:val="0"/>
                  <w:marTop w:val="0"/>
                  <w:marBottom w:val="240"/>
                  <w:divBdr>
                    <w:top w:val="none" w:sz="0" w:space="0" w:color="auto"/>
                    <w:left w:val="none" w:sz="0" w:space="0" w:color="auto"/>
                    <w:bottom w:val="none" w:sz="0" w:space="0" w:color="auto"/>
                    <w:right w:val="none" w:sz="0" w:space="0" w:color="auto"/>
                  </w:divBdr>
                </w:div>
                <w:div w:id="2095006284">
                  <w:marLeft w:val="0"/>
                  <w:marRight w:val="0"/>
                  <w:marTop w:val="0"/>
                  <w:marBottom w:val="240"/>
                  <w:divBdr>
                    <w:top w:val="none" w:sz="0" w:space="0" w:color="auto"/>
                    <w:left w:val="none" w:sz="0" w:space="0" w:color="auto"/>
                    <w:bottom w:val="none" w:sz="0" w:space="0" w:color="auto"/>
                    <w:right w:val="none" w:sz="0" w:space="0" w:color="auto"/>
                  </w:divBdr>
                  <w:divsChild>
                    <w:div w:id="1941256506">
                      <w:marLeft w:val="0"/>
                      <w:marRight w:val="0"/>
                      <w:marTop w:val="0"/>
                      <w:marBottom w:val="0"/>
                      <w:divBdr>
                        <w:top w:val="none" w:sz="0" w:space="0" w:color="auto"/>
                        <w:left w:val="none" w:sz="0" w:space="0" w:color="auto"/>
                        <w:bottom w:val="none" w:sz="0" w:space="0" w:color="auto"/>
                        <w:right w:val="none" w:sz="0" w:space="0" w:color="auto"/>
                      </w:divBdr>
                      <w:divsChild>
                        <w:div w:id="161164491">
                          <w:marLeft w:val="0"/>
                          <w:marRight w:val="0"/>
                          <w:marTop w:val="192"/>
                          <w:marBottom w:val="0"/>
                          <w:divBdr>
                            <w:top w:val="none" w:sz="0" w:space="0" w:color="auto"/>
                            <w:left w:val="none" w:sz="0" w:space="0" w:color="auto"/>
                            <w:bottom w:val="none" w:sz="0" w:space="0" w:color="auto"/>
                            <w:right w:val="none" w:sz="0" w:space="0" w:color="auto"/>
                          </w:divBdr>
                        </w:div>
                        <w:div w:id="280768038">
                          <w:marLeft w:val="0"/>
                          <w:marRight w:val="0"/>
                          <w:marTop w:val="192"/>
                          <w:marBottom w:val="0"/>
                          <w:divBdr>
                            <w:top w:val="none" w:sz="0" w:space="0" w:color="auto"/>
                            <w:left w:val="none" w:sz="0" w:space="0" w:color="auto"/>
                            <w:bottom w:val="none" w:sz="0" w:space="0" w:color="auto"/>
                            <w:right w:val="none" w:sz="0" w:space="0" w:color="auto"/>
                          </w:divBdr>
                        </w:div>
                        <w:div w:id="941573629">
                          <w:marLeft w:val="0"/>
                          <w:marRight w:val="0"/>
                          <w:marTop w:val="192"/>
                          <w:marBottom w:val="0"/>
                          <w:divBdr>
                            <w:top w:val="none" w:sz="0" w:space="0" w:color="auto"/>
                            <w:left w:val="none" w:sz="0" w:space="0" w:color="auto"/>
                            <w:bottom w:val="none" w:sz="0" w:space="0" w:color="auto"/>
                            <w:right w:val="none" w:sz="0" w:space="0" w:color="auto"/>
                          </w:divBdr>
                        </w:div>
                        <w:div w:id="1933202523">
                          <w:marLeft w:val="0"/>
                          <w:marRight w:val="0"/>
                          <w:marTop w:val="192"/>
                          <w:marBottom w:val="0"/>
                          <w:divBdr>
                            <w:top w:val="none" w:sz="0" w:space="0" w:color="auto"/>
                            <w:left w:val="none" w:sz="0" w:space="0" w:color="auto"/>
                            <w:bottom w:val="none" w:sz="0" w:space="0" w:color="auto"/>
                            <w:right w:val="none" w:sz="0" w:space="0" w:color="auto"/>
                          </w:divBdr>
                          <w:divsChild>
                            <w:div w:id="333414168">
                              <w:marLeft w:val="0"/>
                              <w:marRight w:val="0"/>
                              <w:marTop w:val="0"/>
                              <w:marBottom w:val="0"/>
                              <w:divBdr>
                                <w:top w:val="none" w:sz="0" w:space="0" w:color="auto"/>
                                <w:left w:val="none" w:sz="0" w:space="0" w:color="auto"/>
                                <w:bottom w:val="none" w:sz="0" w:space="0" w:color="auto"/>
                                <w:right w:val="none" w:sz="0" w:space="0" w:color="auto"/>
                              </w:divBdr>
                              <w:divsChild>
                                <w:div w:id="17239555">
                                  <w:marLeft w:val="0"/>
                                  <w:marRight w:val="0"/>
                                  <w:marTop w:val="144"/>
                                  <w:marBottom w:val="0"/>
                                  <w:divBdr>
                                    <w:top w:val="none" w:sz="0" w:space="0" w:color="auto"/>
                                    <w:left w:val="none" w:sz="0" w:space="0" w:color="auto"/>
                                    <w:bottom w:val="none" w:sz="0" w:space="0" w:color="auto"/>
                                    <w:right w:val="none" w:sz="0" w:space="0" w:color="auto"/>
                                  </w:divBdr>
                                </w:div>
                                <w:div w:id="268775445">
                                  <w:marLeft w:val="0"/>
                                  <w:marRight w:val="0"/>
                                  <w:marTop w:val="144"/>
                                  <w:marBottom w:val="0"/>
                                  <w:divBdr>
                                    <w:top w:val="none" w:sz="0" w:space="0" w:color="auto"/>
                                    <w:left w:val="none" w:sz="0" w:space="0" w:color="auto"/>
                                    <w:bottom w:val="none" w:sz="0" w:space="0" w:color="auto"/>
                                    <w:right w:val="none" w:sz="0" w:space="0" w:color="auto"/>
                                  </w:divBdr>
                                </w:div>
                                <w:div w:id="390495110">
                                  <w:marLeft w:val="0"/>
                                  <w:marRight w:val="0"/>
                                  <w:marTop w:val="144"/>
                                  <w:marBottom w:val="0"/>
                                  <w:divBdr>
                                    <w:top w:val="none" w:sz="0" w:space="0" w:color="auto"/>
                                    <w:left w:val="none" w:sz="0" w:space="0" w:color="auto"/>
                                    <w:bottom w:val="none" w:sz="0" w:space="0" w:color="auto"/>
                                    <w:right w:val="none" w:sz="0" w:space="0" w:color="auto"/>
                                  </w:divBdr>
                                </w:div>
                                <w:div w:id="91261868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72863">
      <w:bodyDiv w:val="1"/>
      <w:marLeft w:val="0"/>
      <w:marRight w:val="0"/>
      <w:marTop w:val="0"/>
      <w:marBottom w:val="0"/>
      <w:divBdr>
        <w:top w:val="none" w:sz="0" w:space="0" w:color="auto"/>
        <w:left w:val="none" w:sz="0" w:space="0" w:color="auto"/>
        <w:bottom w:val="none" w:sz="0" w:space="0" w:color="auto"/>
        <w:right w:val="none" w:sz="0" w:space="0" w:color="auto"/>
      </w:divBdr>
    </w:div>
    <w:div w:id="1265578935">
      <w:bodyDiv w:val="1"/>
      <w:marLeft w:val="0"/>
      <w:marRight w:val="0"/>
      <w:marTop w:val="0"/>
      <w:marBottom w:val="0"/>
      <w:divBdr>
        <w:top w:val="none" w:sz="0" w:space="0" w:color="auto"/>
        <w:left w:val="none" w:sz="0" w:space="0" w:color="auto"/>
        <w:bottom w:val="none" w:sz="0" w:space="0" w:color="auto"/>
        <w:right w:val="none" w:sz="0" w:space="0" w:color="auto"/>
      </w:divBdr>
    </w:div>
    <w:div w:id="1265771658">
      <w:bodyDiv w:val="1"/>
      <w:marLeft w:val="0"/>
      <w:marRight w:val="0"/>
      <w:marTop w:val="0"/>
      <w:marBottom w:val="0"/>
      <w:divBdr>
        <w:top w:val="none" w:sz="0" w:space="0" w:color="auto"/>
        <w:left w:val="none" w:sz="0" w:space="0" w:color="auto"/>
        <w:bottom w:val="none" w:sz="0" w:space="0" w:color="auto"/>
        <w:right w:val="none" w:sz="0" w:space="0" w:color="auto"/>
      </w:divBdr>
      <w:divsChild>
        <w:div w:id="23917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24910">
          <w:marLeft w:val="0"/>
          <w:marRight w:val="0"/>
          <w:marTop w:val="0"/>
          <w:marBottom w:val="0"/>
          <w:divBdr>
            <w:top w:val="none" w:sz="0" w:space="0" w:color="auto"/>
            <w:left w:val="none" w:sz="0" w:space="0" w:color="auto"/>
            <w:bottom w:val="none" w:sz="0" w:space="0" w:color="auto"/>
            <w:right w:val="none" w:sz="0" w:space="0" w:color="auto"/>
          </w:divBdr>
          <w:divsChild>
            <w:div w:id="639387611">
              <w:marLeft w:val="0"/>
              <w:marRight w:val="0"/>
              <w:marTop w:val="0"/>
              <w:marBottom w:val="0"/>
              <w:divBdr>
                <w:top w:val="none" w:sz="0" w:space="0" w:color="auto"/>
                <w:left w:val="none" w:sz="0" w:space="0" w:color="auto"/>
                <w:bottom w:val="none" w:sz="0" w:space="0" w:color="auto"/>
                <w:right w:val="none" w:sz="0" w:space="0" w:color="auto"/>
              </w:divBdr>
            </w:div>
            <w:div w:id="858928847">
              <w:marLeft w:val="0"/>
              <w:marRight w:val="0"/>
              <w:marTop w:val="0"/>
              <w:marBottom w:val="0"/>
              <w:divBdr>
                <w:top w:val="none" w:sz="0" w:space="0" w:color="auto"/>
                <w:left w:val="none" w:sz="0" w:space="0" w:color="auto"/>
                <w:bottom w:val="none" w:sz="0" w:space="0" w:color="auto"/>
                <w:right w:val="none" w:sz="0" w:space="0" w:color="auto"/>
              </w:divBdr>
            </w:div>
          </w:divsChild>
        </w:div>
        <w:div w:id="980885735">
          <w:marLeft w:val="0"/>
          <w:marRight w:val="0"/>
          <w:marTop w:val="0"/>
          <w:marBottom w:val="0"/>
          <w:divBdr>
            <w:top w:val="none" w:sz="0" w:space="0" w:color="auto"/>
            <w:left w:val="none" w:sz="0" w:space="0" w:color="auto"/>
            <w:bottom w:val="none" w:sz="0" w:space="0" w:color="auto"/>
            <w:right w:val="none" w:sz="0" w:space="0" w:color="auto"/>
          </w:divBdr>
          <w:divsChild>
            <w:div w:id="59445384">
              <w:marLeft w:val="0"/>
              <w:marRight w:val="0"/>
              <w:marTop w:val="0"/>
              <w:marBottom w:val="0"/>
              <w:divBdr>
                <w:top w:val="none" w:sz="0" w:space="0" w:color="auto"/>
                <w:left w:val="none" w:sz="0" w:space="0" w:color="auto"/>
                <w:bottom w:val="none" w:sz="0" w:space="0" w:color="auto"/>
                <w:right w:val="none" w:sz="0" w:space="0" w:color="auto"/>
              </w:divBdr>
            </w:div>
            <w:div w:id="73013523">
              <w:marLeft w:val="0"/>
              <w:marRight w:val="0"/>
              <w:marTop w:val="0"/>
              <w:marBottom w:val="0"/>
              <w:divBdr>
                <w:top w:val="none" w:sz="0" w:space="0" w:color="auto"/>
                <w:left w:val="none" w:sz="0" w:space="0" w:color="auto"/>
                <w:bottom w:val="none" w:sz="0" w:space="0" w:color="auto"/>
                <w:right w:val="none" w:sz="0" w:space="0" w:color="auto"/>
              </w:divBdr>
            </w:div>
            <w:div w:id="231477007">
              <w:marLeft w:val="0"/>
              <w:marRight w:val="0"/>
              <w:marTop w:val="0"/>
              <w:marBottom w:val="0"/>
              <w:divBdr>
                <w:top w:val="none" w:sz="0" w:space="0" w:color="auto"/>
                <w:left w:val="none" w:sz="0" w:space="0" w:color="auto"/>
                <w:bottom w:val="none" w:sz="0" w:space="0" w:color="auto"/>
                <w:right w:val="none" w:sz="0" w:space="0" w:color="auto"/>
              </w:divBdr>
            </w:div>
            <w:div w:id="1149008448">
              <w:marLeft w:val="0"/>
              <w:marRight w:val="0"/>
              <w:marTop w:val="0"/>
              <w:marBottom w:val="0"/>
              <w:divBdr>
                <w:top w:val="none" w:sz="0" w:space="0" w:color="auto"/>
                <w:left w:val="none" w:sz="0" w:space="0" w:color="auto"/>
                <w:bottom w:val="none" w:sz="0" w:space="0" w:color="auto"/>
                <w:right w:val="none" w:sz="0" w:space="0" w:color="auto"/>
              </w:divBdr>
            </w:div>
          </w:divsChild>
        </w:div>
        <w:div w:id="1161892865">
          <w:marLeft w:val="0"/>
          <w:marRight w:val="0"/>
          <w:marTop w:val="0"/>
          <w:marBottom w:val="0"/>
          <w:divBdr>
            <w:top w:val="none" w:sz="0" w:space="0" w:color="auto"/>
            <w:left w:val="none" w:sz="0" w:space="0" w:color="auto"/>
            <w:bottom w:val="none" w:sz="0" w:space="0" w:color="auto"/>
            <w:right w:val="none" w:sz="0" w:space="0" w:color="auto"/>
          </w:divBdr>
          <w:divsChild>
            <w:div w:id="56516912">
              <w:marLeft w:val="0"/>
              <w:marRight w:val="0"/>
              <w:marTop w:val="0"/>
              <w:marBottom w:val="0"/>
              <w:divBdr>
                <w:top w:val="none" w:sz="0" w:space="0" w:color="auto"/>
                <w:left w:val="none" w:sz="0" w:space="0" w:color="auto"/>
                <w:bottom w:val="none" w:sz="0" w:space="0" w:color="auto"/>
                <w:right w:val="none" w:sz="0" w:space="0" w:color="auto"/>
              </w:divBdr>
            </w:div>
            <w:div w:id="561598645">
              <w:marLeft w:val="0"/>
              <w:marRight w:val="0"/>
              <w:marTop w:val="0"/>
              <w:marBottom w:val="0"/>
              <w:divBdr>
                <w:top w:val="none" w:sz="0" w:space="0" w:color="auto"/>
                <w:left w:val="none" w:sz="0" w:space="0" w:color="auto"/>
                <w:bottom w:val="none" w:sz="0" w:space="0" w:color="auto"/>
                <w:right w:val="none" w:sz="0" w:space="0" w:color="auto"/>
              </w:divBdr>
            </w:div>
            <w:div w:id="1232421139">
              <w:marLeft w:val="0"/>
              <w:marRight w:val="0"/>
              <w:marTop w:val="0"/>
              <w:marBottom w:val="0"/>
              <w:divBdr>
                <w:top w:val="none" w:sz="0" w:space="0" w:color="auto"/>
                <w:left w:val="none" w:sz="0" w:space="0" w:color="auto"/>
                <w:bottom w:val="none" w:sz="0" w:space="0" w:color="auto"/>
                <w:right w:val="none" w:sz="0" w:space="0" w:color="auto"/>
              </w:divBdr>
            </w:div>
            <w:div w:id="1284578264">
              <w:marLeft w:val="0"/>
              <w:marRight w:val="0"/>
              <w:marTop w:val="0"/>
              <w:marBottom w:val="0"/>
              <w:divBdr>
                <w:top w:val="none" w:sz="0" w:space="0" w:color="auto"/>
                <w:left w:val="none" w:sz="0" w:space="0" w:color="auto"/>
                <w:bottom w:val="none" w:sz="0" w:space="0" w:color="auto"/>
                <w:right w:val="none" w:sz="0" w:space="0" w:color="auto"/>
              </w:divBdr>
            </w:div>
          </w:divsChild>
        </w:div>
        <w:div w:id="157971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28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379534">
      <w:bodyDiv w:val="1"/>
      <w:marLeft w:val="0"/>
      <w:marRight w:val="0"/>
      <w:marTop w:val="0"/>
      <w:marBottom w:val="0"/>
      <w:divBdr>
        <w:top w:val="none" w:sz="0" w:space="0" w:color="auto"/>
        <w:left w:val="none" w:sz="0" w:space="0" w:color="auto"/>
        <w:bottom w:val="none" w:sz="0" w:space="0" w:color="auto"/>
        <w:right w:val="none" w:sz="0" w:space="0" w:color="auto"/>
      </w:divBdr>
    </w:div>
    <w:div w:id="1382442000">
      <w:bodyDiv w:val="1"/>
      <w:marLeft w:val="0"/>
      <w:marRight w:val="0"/>
      <w:marTop w:val="0"/>
      <w:marBottom w:val="0"/>
      <w:divBdr>
        <w:top w:val="none" w:sz="0" w:space="0" w:color="auto"/>
        <w:left w:val="none" w:sz="0" w:space="0" w:color="auto"/>
        <w:bottom w:val="none" w:sz="0" w:space="0" w:color="auto"/>
        <w:right w:val="none" w:sz="0" w:space="0" w:color="auto"/>
      </w:divBdr>
      <w:divsChild>
        <w:div w:id="292060121">
          <w:marLeft w:val="1950"/>
          <w:marRight w:val="150"/>
          <w:marTop w:val="0"/>
          <w:marBottom w:val="0"/>
          <w:divBdr>
            <w:top w:val="none" w:sz="0" w:space="0" w:color="auto"/>
            <w:left w:val="none" w:sz="0" w:space="0" w:color="auto"/>
            <w:bottom w:val="none" w:sz="0" w:space="0" w:color="auto"/>
            <w:right w:val="none" w:sz="0" w:space="0" w:color="auto"/>
          </w:divBdr>
        </w:div>
      </w:divsChild>
    </w:div>
    <w:div w:id="1621299939">
      <w:bodyDiv w:val="1"/>
      <w:marLeft w:val="0"/>
      <w:marRight w:val="0"/>
      <w:marTop w:val="0"/>
      <w:marBottom w:val="0"/>
      <w:divBdr>
        <w:top w:val="none" w:sz="0" w:space="0" w:color="auto"/>
        <w:left w:val="none" w:sz="0" w:space="0" w:color="auto"/>
        <w:bottom w:val="none" w:sz="0" w:space="0" w:color="auto"/>
        <w:right w:val="none" w:sz="0" w:space="0" w:color="auto"/>
      </w:divBdr>
    </w:div>
    <w:div w:id="1700233119">
      <w:bodyDiv w:val="1"/>
      <w:marLeft w:val="0"/>
      <w:marRight w:val="0"/>
      <w:marTop w:val="0"/>
      <w:marBottom w:val="0"/>
      <w:divBdr>
        <w:top w:val="none" w:sz="0" w:space="0" w:color="auto"/>
        <w:left w:val="none" w:sz="0" w:space="0" w:color="auto"/>
        <w:bottom w:val="none" w:sz="0" w:space="0" w:color="auto"/>
        <w:right w:val="none" w:sz="0" w:space="0" w:color="auto"/>
      </w:divBdr>
    </w:div>
    <w:div w:id="1719670057">
      <w:bodyDiv w:val="1"/>
      <w:marLeft w:val="0"/>
      <w:marRight w:val="0"/>
      <w:marTop w:val="0"/>
      <w:marBottom w:val="0"/>
      <w:divBdr>
        <w:top w:val="none" w:sz="0" w:space="0" w:color="auto"/>
        <w:left w:val="none" w:sz="0" w:space="0" w:color="auto"/>
        <w:bottom w:val="none" w:sz="0" w:space="0" w:color="auto"/>
        <w:right w:val="none" w:sz="0" w:space="0" w:color="auto"/>
      </w:divBdr>
    </w:div>
    <w:div w:id="1747068950">
      <w:bodyDiv w:val="1"/>
      <w:marLeft w:val="0"/>
      <w:marRight w:val="0"/>
      <w:marTop w:val="0"/>
      <w:marBottom w:val="0"/>
      <w:divBdr>
        <w:top w:val="none" w:sz="0" w:space="0" w:color="auto"/>
        <w:left w:val="none" w:sz="0" w:space="0" w:color="auto"/>
        <w:bottom w:val="none" w:sz="0" w:space="0" w:color="auto"/>
        <w:right w:val="none" w:sz="0" w:space="0" w:color="auto"/>
      </w:divBdr>
    </w:div>
    <w:div w:id="1756055270">
      <w:bodyDiv w:val="1"/>
      <w:marLeft w:val="0"/>
      <w:marRight w:val="0"/>
      <w:marTop w:val="0"/>
      <w:marBottom w:val="0"/>
      <w:divBdr>
        <w:top w:val="none" w:sz="0" w:space="0" w:color="auto"/>
        <w:left w:val="none" w:sz="0" w:space="0" w:color="auto"/>
        <w:bottom w:val="none" w:sz="0" w:space="0" w:color="auto"/>
        <w:right w:val="none" w:sz="0" w:space="0" w:color="auto"/>
      </w:divBdr>
    </w:div>
    <w:div w:id="1834569197">
      <w:bodyDiv w:val="1"/>
      <w:marLeft w:val="0"/>
      <w:marRight w:val="0"/>
      <w:marTop w:val="0"/>
      <w:marBottom w:val="0"/>
      <w:divBdr>
        <w:top w:val="none" w:sz="0" w:space="0" w:color="auto"/>
        <w:left w:val="none" w:sz="0" w:space="0" w:color="auto"/>
        <w:bottom w:val="none" w:sz="0" w:space="0" w:color="auto"/>
        <w:right w:val="none" w:sz="0" w:space="0" w:color="auto"/>
      </w:divBdr>
    </w:div>
    <w:div w:id="1882399710">
      <w:bodyDiv w:val="1"/>
      <w:marLeft w:val="0"/>
      <w:marRight w:val="0"/>
      <w:marTop w:val="0"/>
      <w:marBottom w:val="0"/>
      <w:divBdr>
        <w:top w:val="none" w:sz="0" w:space="0" w:color="auto"/>
        <w:left w:val="none" w:sz="0" w:space="0" w:color="auto"/>
        <w:bottom w:val="none" w:sz="0" w:space="0" w:color="auto"/>
        <w:right w:val="none" w:sz="0" w:space="0" w:color="auto"/>
      </w:divBdr>
    </w:div>
    <w:div w:id="1898006971">
      <w:bodyDiv w:val="1"/>
      <w:marLeft w:val="0"/>
      <w:marRight w:val="0"/>
      <w:marTop w:val="0"/>
      <w:marBottom w:val="0"/>
      <w:divBdr>
        <w:top w:val="none" w:sz="0" w:space="0" w:color="auto"/>
        <w:left w:val="none" w:sz="0" w:space="0" w:color="auto"/>
        <w:bottom w:val="none" w:sz="0" w:space="0" w:color="auto"/>
        <w:right w:val="none" w:sz="0" w:space="0" w:color="auto"/>
      </w:divBdr>
      <w:divsChild>
        <w:div w:id="366220227">
          <w:marLeft w:val="0"/>
          <w:marRight w:val="0"/>
          <w:marTop w:val="0"/>
          <w:marBottom w:val="0"/>
          <w:divBdr>
            <w:top w:val="none" w:sz="0" w:space="0" w:color="auto"/>
            <w:left w:val="none" w:sz="0" w:space="0" w:color="auto"/>
            <w:bottom w:val="none" w:sz="0" w:space="0" w:color="auto"/>
            <w:right w:val="none" w:sz="0" w:space="0" w:color="auto"/>
          </w:divBdr>
        </w:div>
        <w:div w:id="850754685">
          <w:marLeft w:val="0"/>
          <w:marRight w:val="0"/>
          <w:marTop w:val="0"/>
          <w:marBottom w:val="0"/>
          <w:divBdr>
            <w:top w:val="none" w:sz="0" w:space="0" w:color="auto"/>
            <w:left w:val="none" w:sz="0" w:space="0" w:color="auto"/>
            <w:bottom w:val="none" w:sz="0" w:space="0" w:color="auto"/>
            <w:right w:val="none" w:sz="0" w:space="0" w:color="auto"/>
          </w:divBdr>
        </w:div>
        <w:div w:id="1005091981">
          <w:marLeft w:val="0"/>
          <w:marRight w:val="0"/>
          <w:marTop w:val="0"/>
          <w:marBottom w:val="0"/>
          <w:divBdr>
            <w:top w:val="none" w:sz="0" w:space="0" w:color="auto"/>
            <w:left w:val="none" w:sz="0" w:space="0" w:color="auto"/>
            <w:bottom w:val="none" w:sz="0" w:space="0" w:color="auto"/>
            <w:right w:val="none" w:sz="0" w:space="0" w:color="auto"/>
          </w:divBdr>
        </w:div>
        <w:div w:id="1558591115">
          <w:marLeft w:val="0"/>
          <w:marRight w:val="0"/>
          <w:marTop w:val="0"/>
          <w:marBottom w:val="0"/>
          <w:divBdr>
            <w:top w:val="none" w:sz="0" w:space="0" w:color="auto"/>
            <w:left w:val="none" w:sz="0" w:space="0" w:color="auto"/>
            <w:bottom w:val="none" w:sz="0" w:space="0" w:color="auto"/>
            <w:right w:val="none" w:sz="0" w:space="0" w:color="auto"/>
          </w:divBdr>
        </w:div>
      </w:divsChild>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93487599">
      <w:bodyDiv w:val="1"/>
      <w:marLeft w:val="0"/>
      <w:marRight w:val="0"/>
      <w:marTop w:val="0"/>
      <w:marBottom w:val="0"/>
      <w:divBdr>
        <w:top w:val="none" w:sz="0" w:space="0" w:color="auto"/>
        <w:left w:val="none" w:sz="0" w:space="0" w:color="auto"/>
        <w:bottom w:val="none" w:sz="0" w:space="0" w:color="auto"/>
        <w:right w:val="none" w:sz="0" w:space="0" w:color="auto"/>
      </w:divBdr>
    </w:div>
    <w:div w:id="1996101155">
      <w:bodyDiv w:val="1"/>
      <w:marLeft w:val="0"/>
      <w:marRight w:val="0"/>
      <w:marTop w:val="0"/>
      <w:marBottom w:val="0"/>
      <w:divBdr>
        <w:top w:val="none" w:sz="0" w:space="0" w:color="auto"/>
        <w:left w:val="none" w:sz="0" w:space="0" w:color="auto"/>
        <w:bottom w:val="none" w:sz="0" w:space="0" w:color="auto"/>
        <w:right w:val="none" w:sz="0" w:space="0" w:color="auto"/>
      </w:divBdr>
      <w:divsChild>
        <w:div w:id="1949920910">
          <w:marLeft w:val="1950"/>
          <w:marRight w:val="150"/>
          <w:marTop w:val="0"/>
          <w:marBottom w:val="0"/>
          <w:divBdr>
            <w:top w:val="none" w:sz="0" w:space="0" w:color="auto"/>
            <w:left w:val="none" w:sz="0" w:space="0" w:color="auto"/>
            <w:bottom w:val="none" w:sz="0" w:space="0" w:color="auto"/>
            <w:right w:val="none" w:sz="0" w:space="0" w:color="auto"/>
          </w:divBdr>
          <w:divsChild>
            <w:div w:id="1816988485">
              <w:blockQuote w:val="1"/>
              <w:marLeft w:val="1050"/>
              <w:marRight w:val="0"/>
              <w:marTop w:val="192"/>
              <w:marBottom w:val="192"/>
              <w:divBdr>
                <w:top w:val="none" w:sz="0" w:space="0" w:color="auto"/>
                <w:left w:val="none" w:sz="0" w:space="0" w:color="auto"/>
                <w:bottom w:val="none" w:sz="0" w:space="0" w:color="auto"/>
                <w:right w:val="none" w:sz="0" w:space="0" w:color="auto"/>
              </w:divBdr>
              <w:divsChild>
                <w:div w:id="2081905927">
                  <w:marLeft w:val="0"/>
                  <w:marRight w:val="0"/>
                  <w:marTop w:val="96"/>
                  <w:marBottom w:val="0"/>
                  <w:divBdr>
                    <w:top w:val="none" w:sz="0" w:space="0" w:color="auto"/>
                    <w:left w:val="none" w:sz="0" w:space="0" w:color="auto"/>
                    <w:bottom w:val="none" w:sz="0" w:space="0" w:color="auto"/>
                    <w:right w:val="none" w:sz="0" w:space="0" w:color="auto"/>
                  </w:divBdr>
                  <w:divsChild>
                    <w:div w:id="596906201">
                      <w:marLeft w:val="0"/>
                      <w:marRight w:val="0"/>
                      <w:marTop w:val="0"/>
                      <w:marBottom w:val="0"/>
                      <w:divBdr>
                        <w:top w:val="none" w:sz="0" w:space="0" w:color="auto"/>
                        <w:left w:val="none" w:sz="0" w:space="0" w:color="auto"/>
                        <w:bottom w:val="none" w:sz="0" w:space="0" w:color="auto"/>
                        <w:right w:val="none" w:sz="0" w:space="0" w:color="auto"/>
                      </w:divBdr>
                    </w:div>
                    <w:div w:id="777532708">
                      <w:marLeft w:val="0"/>
                      <w:marRight w:val="0"/>
                      <w:marTop w:val="0"/>
                      <w:marBottom w:val="120"/>
                      <w:divBdr>
                        <w:top w:val="none" w:sz="0" w:space="0" w:color="auto"/>
                        <w:left w:val="none" w:sz="0" w:space="0" w:color="auto"/>
                        <w:bottom w:val="none" w:sz="0" w:space="0" w:color="auto"/>
                        <w:right w:val="none" w:sz="0" w:space="0" w:color="auto"/>
                      </w:divBdr>
                      <w:divsChild>
                        <w:div w:id="1389105815">
                          <w:marLeft w:val="0"/>
                          <w:marRight w:val="0"/>
                          <w:marTop w:val="0"/>
                          <w:marBottom w:val="0"/>
                          <w:divBdr>
                            <w:top w:val="none" w:sz="0" w:space="0" w:color="auto"/>
                            <w:left w:val="none" w:sz="0" w:space="0" w:color="auto"/>
                            <w:bottom w:val="none" w:sz="0" w:space="0" w:color="auto"/>
                            <w:right w:val="none" w:sz="0" w:space="0" w:color="auto"/>
                          </w:divBdr>
                          <w:divsChild>
                            <w:div w:id="80152762">
                              <w:marLeft w:val="0"/>
                              <w:marRight w:val="0"/>
                              <w:marTop w:val="96"/>
                              <w:marBottom w:val="0"/>
                              <w:divBdr>
                                <w:top w:val="none" w:sz="0" w:space="0" w:color="auto"/>
                                <w:left w:val="none" w:sz="0" w:space="0" w:color="auto"/>
                                <w:bottom w:val="none" w:sz="0" w:space="0" w:color="auto"/>
                                <w:right w:val="none" w:sz="0" w:space="0" w:color="auto"/>
                              </w:divBdr>
                            </w:div>
                            <w:div w:id="727651906">
                              <w:marLeft w:val="0"/>
                              <w:marRight w:val="0"/>
                              <w:marTop w:val="96"/>
                              <w:marBottom w:val="0"/>
                              <w:divBdr>
                                <w:top w:val="none" w:sz="0" w:space="0" w:color="auto"/>
                                <w:left w:val="none" w:sz="0" w:space="0" w:color="auto"/>
                                <w:bottom w:val="none" w:sz="0" w:space="0" w:color="auto"/>
                                <w:right w:val="none" w:sz="0" w:space="0" w:color="auto"/>
                              </w:divBdr>
                            </w:div>
                            <w:div w:id="756050838">
                              <w:marLeft w:val="0"/>
                              <w:marRight w:val="0"/>
                              <w:marTop w:val="96"/>
                              <w:marBottom w:val="0"/>
                              <w:divBdr>
                                <w:top w:val="none" w:sz="0" w:space="0" w:color="auto"/>
                                <w:left w:val="none" w:sz="0" w:space="0" w:color="auto"/>
                                <w:bottom w:val="none" w:sz="0" w:space="0" w:color="auto"/>
                                <w:right w:val="none" w:sz="0" w:space="0" w:color="auto"/>
                              </w:divBdr>
                            </w:div>
                            <w:div w:id="945380106">
                              <w:marLeft w:val="0"/>
                              <w:marRight w:val="0"/>
                              <w:marTop w:val="96"/>
                              <w:marBottom w:val="0"/>
                              <w:divBdr>
                                <w:top w:val="none" w:sz="0" w:space="0" w:color="auto"/>
                                <w:left w:val="none" w:sz="0" w:space="0" w:color="auto"/>
                                <w:bottom w:val="none" w:sz="0" w:space="0" w:color="auto"/>
                                <w:right w:val="none" w:sz="0" w:space="0" w:color="auto"/>
                              </w:divBdr>
                            </w:div>
                            <w:div w:id="1165048943">
                              <w:marLeft w:val="0"/>
                              <w:marRight w:val="0"/>
                              <w:marTop w:val="96"/>
                              <w:marBottom w:val="0"/>
                              <w:divBdr>
                                <w:top w:val="none" w:sz="0" w:space="0" w:color="auto"/>
                                <w:left w:val="none" w:sz="0" w:space="0" w:color="auto"/>
                                <w:bottom w:val="none" w:sz="0" w:space="0" w:color="auto"/>
                                <w:right w:val="none" w:sz="0" w:space="0" w:color="auto"/>
                              </w:divBdr>
                            </w:div>
                            <w:div w:id="1617444323">
                              <w:marLeft w:val="0"/>
                              <w:marRight w:val="0"/>
                              <w:marTop w:val="96"/>
                              <w:marBottom w:val="0"/>
                              <w:divBdr>
                                <w:top w:val="none" w:sz="0" w:space="0" w:color="auto"/>
                                <w:left w:val="none" w:sz="0" w:space="0" w:color="auto"/>
                                <w:bottom w:val="none" w:sz="0" w:space="0" w:color="auto"/>
                                <w:right w:val="none" w:sz="0" w:space="0" w:color="auto"/>
                              </w:divBdr>
                            </w:div>
                            <w:div w:id="1745371435">
                              <w:marLeft w:val="0"/>
                              <w:marRight w:val="0"/>
                              <w:marTop w:val="96"/>
                              <w:marBottom w:val="0"/>
                              <w:divBdr>
                                <w:top w:val="none" w:sz="0" w:space="0" w:color="auto"/>
                                <w:left w:val="none" w:sz="0" w:space="0" w:color="auto"/>
                                <w:bottom w:val="none" w:sz="0" w:space="0" w:color="auto"/>
                                <w:right w:val="none" w:sz="0" w:space="0" w:color="auto"/>
                              </w:divBdr>
                            </w:div>
                            <w:div w:id="192598870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980615533">
                      <w:marLeft w:val="0"/>
                      <w:marRight w:val="0"/>
                      <w:marTop w:val="0"/>
                      <w:marBottom w:val="0"/>
                      <w:divBdr>
                        <w:top w:val="none" w:sz="0" w:space="0" w:color="auto"/>
                        <w:left w:val="none" w:sz="0" w:space="0" w:color="auto"/>
                        <w:bottom w:val="none" w:sz="0" w:space="0" w:color="auto"/>
                        <w:right w:val="none" w:sz="0" w:space="0" w:color="auto"/>
                      </w:divBdr>
                    </w:div>
                    <w:div w:id="1118337729">
                      <w:marLeft w:val="0"/>
                      <w:marRight w:val="0"/>
                      <w:marTop w:val="0"/>
                      <w:marBottom w:val="0"/>
                      <w:divBdr>
                        <w:top w:val="none" w:sz="0" w:space="0" w:color="auto"/>
                        <w:left w:val="none" w:sz="0" w:space="0" w:color="auto"/>
                        <w:bottom w:val="none" w:sz="0" w:space="0" w:color="auto"/>
                        <w:right w:val="none" w:sz="0" w:space="0" w:color="auto"/>
                      </w:divBdr>
                    </w:div>
                    <w:div w:id="1235310968">
                      <w:marLeft w:val="0"/>
                      <w:marRight w:val="0"/>
                      <w:marTop w:val="0"/>
                      <w:marBottom w:val="0"/>
                      <w:divBdr>
                        <w:top w:val="none" w:sz="0" w:space="0" w:color="auto"/>
                        <w:left w:val="none" w:sz="0" w:space="0" w:color="auto"/>
                        <w:bottom w:val="none" w:sz="0" w:space="0" w:color="auto"/>
                        <w:right w:val="none" w:sz="0" w:space="0" w:color="auto"/>
                      </w:divBdr>
                    </w:div>
                    <w:div w:id="1472017882">
                      <w:marLeft w:val="0"/>
                      <w:marRight w:val="0"/>
                      <w:marTop w:val="0"/>
                      <w:marBottom w:val="120"/>
                      <w:divBdr>
                        <w:top w:val="none" w:sz="0" w:space="0" w:color="auto"/>
                        <w:left w:val="none" w:sz="0" w:space="0" w:color="auto"/>
                        <w:bottom w:val="none" w:sz="0" w:space="0" w:color="auto"/>
                        <w:right w:val="none" w:sz="0" w:space="0" w:color="auto"/>
                      </w:divBdr>
                      <w:divsChild>
                        <w:div w:id="1784030032">
                          <w:marLeft w:val="0"/>
                          <w:marRight w:val="0"/>
                          <w:marTop w:val="0"/>
                          <w:marBottom w:val="0"/>
                          <w:divBdr>
                            <w:top w:val="none" w:sz="0" w:space="0" w:color="auto"/>
                            <w:left w:val="none" w:sz="0" w:space="0" w:color="auto"/>
                            <w:bottom w:val="none" w:sz="0" w:space="0" w:color="auto"/>
                            <w:right w:val="none" w:sz="0" w:space="0" w:color="auto"/>
                          </w:divBdr>
                          <w:divsChild>
                            <w:div w:id="77941446">
                              <w:marLeft w:val="0"/>
                              <w:marRight w:val="0"/>
                              <w:marTop w:val="96"/>
                              <w:marBottom w:val="0"/>
                              <w:divBdr>
                                <w:top w:val="none" w:sz="0" w:space="0" w:color="auto"/>
                                <w:left w:val="none" w:sz="0" w:space="0" w:color="auto"/>
                                <w:bottom w:val="none" w:sz="0" w:space="0" w:color="auto"/>
                                <w:right w:val="none" w:sz="0" w:space="0" w:color="auto"/>
                              </w:divBdr>
                            </w:div>
                            <w:div w:id="97989118">
                              <w:marLeft w:val="0"/>
                              <w:marRight w:val="0"/>
                              <w:marTop w:val="96"/>
                              <w:marBottom w:val="0"/>
                              <w:divBdr>
                                <w:top w:val="none" w:sz="0" w:space="0" w:color="auto"/>
                                <w:left w:val="none" w:sz="0" w:space="0" w:color="auto"/>
                                <w:bottom w:val="none" w:sz="0" w:space="0" w:color="auto"/>
                                <w:right w:val="none" w:sz="0" w:space="0" w:color="auto"/>
                              </w:divBdr>
                            </w:div>
                            <w:div w:id="776949956">
                              <w:marLeft w:val="0"/>
                              <w:marRight w:val="0"/>
                              <w:marTop w:val="96"/>
                              <w:marBottom w:val="0"/>
                              <w:divBdr>
                                <w:top w:val="none" w:sz="0" w:space="0" w:color="auto"/>
                                <w:left w:val="none" w:sz="0" w:space="0" w:color="auto"/>
                                <w:bottom w:val="none" w:sz="0" w:space="0" w:color="auto"/>
                                <w:right w:val="none" w:sz="0" w:space="0" w:color="auto"/>
                              </w:divBdr>
                            </w:div>
                            <w:div w:id="875192069">
                              <w:marLeft w:val="0"/>
                              <w:marRight w:val="0"/>
                              <w:marTop w:val="96"/>
                              <w:marBottom w:val="0"/>
                              <w:divBdr>
                                <w:top w:val="none" w:sz="0" w:space="0" w:color="auto"/>
                                <w:left w:val="none" w:sz="0" w:space="0" w:color="auto"/>
                                <w:bottom w:val="none" w:sz="0" w:space="0" w:color="auto"/>
                                <w:right w:val="none" w:sz="0" w:space="0" w:color="auto"/>
                              </w:divBdr>
                            </w:div>
                            <w:div w:id="937758133">
                              <w:marLeft w:val="0"/>
                              <w:marRight w:val="0"/>
                              <w:marTop w:val="96"/>
                              <w:marBottom w:val="0"/>
                              <w:divBdr>
                                <w:top w:val="none" w:sz="0" w:space="0" w:color="auto"/>
                                <w:left w:val="none" w:sz="0" w:space="0" w:color="auto"/>
                                <w:bottom w:val="none" w:sz="0" w:space="0" w:color="auto"/>
                                <w:right w:val="none" w:sz="0" w:space="0" w:color="auto"/>
                              </w:divBdr>
                            </w:div>
                            <w:div w:id="1660110821">
                              <w:marLeft w:val="0"/>
                              <w:marRight w:val="0"/>
                              <w:marTop w:val="96"/>
                              <w:marBottom w:val="0"/>
                              <w:divBdr>
                                <w:top w:val="none" w:sz="0" w:space="0" w:color="auto"/>
                                <w:left w:val="none" w:sz="0" w:space="0" w:color="auto"/>
                                <w:bottom w:val="none" w:sz="0" w:space="0" w:color="auto"/>
                                <w:right w:val="none" w:sz="0" w:space="0" w:color="auto"/>
                              </w:divBdr>
                            </w:div>
                            <w:div w:id="1690523779">
                              <w:marLeft w:val="0"/>
                              <w:marRight w:val="0"/>
                              <w:marTop w:val="96"/>
                              <w:marBottom w:val="0"/>
                              <w:divBdr>
                                <w:top w:val="none" w:sz="0" w:space="0" w:color="auto"/>
                                <w:left w:val="none" w:sz="0" w:space="0" w:color="auto"/>
                                <w:bottom w:val="none" w:sz="0" w:space="0" w:color="auto"/>
                                <w:right w:val="none" w:sz="0" w:space="0" w:color="auto"/>
                              </w:divBdr>
                            </w:div>
                            <w:div w:id="198688762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911695965">
                      <w:marLeft w:val="0"/>
                      <w:marRight w:val="0"/>
                      <w:marTop w:val="0"/>
                      <w:marBottom w:val="120"/>
                      <w:divBdr>
                        <w:top w:val="none" w:sz="0" w:space="0" w:color="auto"/>
                        <w:left w:val="none" w:sz="0" w:space="0" w:color="auto"/>
                        <w:bottom w:val="none" w:sz="0" w:space="0" w:color="auto"/>
                        <w:right w:val="none" w:sz="0" w:space="0" w:color="auto"/>
                      </w:divBdr>
                      <w:divsChild>
                        <w:div w:id="1387608401">
                          <w:marLeft w:val="0"/>
                          <w:marRight w:val="0"/>
                          <w:marTop w:val="0"/>
                          <w:marBottom w:val="0"/>
                          <w:divBdr>
                            <w:top w:val="none" w:sz="0" w:space="0" w:color="auto"/>
                            <w:left w:val="none" w:sz="0" w:space="0" w:color="auto"/>
                            <w:bottom w:val="none" w:sz="0" w:space="0" w:color="auto"/>
                            <w:right w:val="none" w:sz="0" w:space="0" w:color="auto"/>
                          </w:divBdr>
                          <w:divsChild>
                            <w:div w:id="196549546">
                              <w:marLeft w:val="0"/>
                              <w:marRight w:val="0"/>
                              <w:marTop w:val="96"/>
                              <w:marBottom w:val="0"/>
                              <w:divBdr>
                                <w:top w:val="none" w:sz="0" w:space="0" w:color="auto"/>
                                <w:left w:val="none" w:sz="0" w:space="0" w:color="auto"/>
                                <w:bottom w:val="none" w:sz="0" w:space="0" w:color="auto"/>
                                <w:right w:val="none" w:sz="0" w:space="0" w:color="auto"/>
                              </w:divBdr>
                            </w:div>
                            <w:div w:id="473723102">
                              <w:marLeft w:val="0"/>
                              <w:marRight w:val="0"/>
                              <w:marTop w:val="96"/>
                              <w:marBottom w:val="0"/>
                              <w:divBdr>
                                <w:top w:val="none" w:sz="0" w:space="0" w:color="auto"/>
                                <w:left w:val="none" w:sz="0" w:space="0" w:color="auto"/>
                                <w:bottom w:val="none" w:sz="0" w:space="0" w:color="auto"/>
                                <w:right w:val="none" w:sz="0" w:space="0" w:color="auto"/>
                              </w:divBdr>
                            </w:div>
                            <w:div w:id="759377922">
                              <w:marLeft w:val="0"/>
                              <w:marRight w:val="0"/>
                              <w:marTop w:val="96"/>
                              <w:marBottom w:val="0"/>
                              <w:divBdr>
                                <w:top w:val="none" w:sz="0" w:space="0" w:color="auto"/>
                                <w:left w:val="none" w:sz="0" w:space="0" w:color="auto"/>
                                <w:bottom w:val="none" w:sz="0" w:space="0" w:color="auto"/>
                                <w:right w:val="none" w:sz="0" w:space="0" w:color="auto"/>
                              </w:divBdr>
                            </w:div>
                            <w:div w:id="1031538880">
                              <w:marLeft w:val="0"/>
                              <w:marRight w:val="0"/>
                              <w:marTop w:val="96"/>
                              <w:marBottom w:val="0"/>
                              <w:divBdr>
                                <w:top w:val="none" w:sz="0" w:space="0" w:color="auto"/>
                                <w:left w:val="none" w:sz="0" w:space="0" w:color="auto"/>
                                <w:bottom w:val="none" w:sz="0" w:space="0" w:color="auto"/>
                                <w:right w:val="none" w:sz="0" w:space="0" w:color="auto"/>
                              </w:divBdr>
                            </w:div>
                            <w:div w:id="1063678471">
                              <w:marLeft w:val="0"/>
                              <w:marRight w:val="0"/>
                              <w:marTop w:val="96"/>
                              <w:marBottom w:val="0"/>
                              <w:divBdr>
                                <w:top w:val="none" w:sz="0" w:space="0" w:color="auto"/>
                                <w:left w:val="none" w:sz="0" w:space="0" w:color="auto"/>
                                <w:bottom w:val="none" w:sz="0" w:space="0" w:color="auto"/>
                                <w:right w:val="none" w:sz="0" w:space="0" w:color="auto"/>
                              </w:divBdr>
                            </w:div>
                            <w:div w:id="1263303254">
                              <w:marLeft w:val="0"/>
                              <w:marRight w:val="0"/>
                              <w:marTop w:val="96"/>
                              <w:marBottom w:val="0"/>
                              <w:divBdr>
                                <w:top w:val="none" w:sz="0" w:space="0" w:color="auto"/>
                                <w:left w:val="none" w:sz="0" w:space="0" w:color="auto"/>
                                <w:bottom w:val="none" w:sz="0" w:space="0" w:color="auto"/>
                                <w:right w:val="none" w:sz="0" w:space="0" w:color="auto"/>
                              </w:divBdr>
                            </w:div>
                            <w:div w:id="1547638613">
                              <w:marLeft w:val="0"/>
                              <w:marRight w:val="0"/>
                              <w:marTop w:val="96"/>
                              <w:marBottom w:val="0"/>
                              <w:divBdr>
                                <w:top w:val="none" w:sz="0" w:space="0" w:color="auto"/>
                                <w:left w:val="none" w:sz="0" w:space="0" w:color="auto"/>
                                <w:bottom w:val="none" w:sz="0" w:space="0" w:color="auto"/>
                                <w:right w:val="none" w:sz="0" w:space="0" w:color="auto"/>
                              </w:divBdr>
                            </w:div>
                            <w:div w:id="195103899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054038859">
                      <w:marLeft w:val="0"/>
                      <w:marRight w:val="0"/>
                      <w:marTop w:val="0"/>
                      <w:marBottom w:val="120"/>
                      <w:divBdr>
                        <w:top w:val="none" w:sz="0" w:space="0" w:color="auto"/>
                        <w:left w:val="none" w:sz="0" w:space="0" w:color="auto"/>
                        <w:bottom w:val="none" w:sz="0" w:space="0" w:color="auto"/>
                        <w:right w:val="none" w:sz="0" w:space="0" w:color="auto"/>
                      </w:divBdr>
                      <w:divsChild>
                        <w:div w:id="1514805666">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96"/>
                              <w:marBottom w:val="0"/>
                              <w:divBdr>
                                <w:top w:val="none" w:sz="0" w:space="0" w:color="auto"/>
                                <w:left w:val="none" w:sz="0" w:space="0" w:color="auto"/>
                                <w:bottom w:val="none" w:sz="0" w:space="0" w:color="auto"/>
                                <w:right w:val="none" w:sz="0" w:space="0" w:color="auto"/>
                              </w:divBdr>
                            </w:div>
                            <w:div w:id="29115563">
                              <w:marLeft w:val="0"/>
                              <w:marRight w:val="0"/>
                              <w:marTop w:val="96"/>
                              <w:marBottom w:val="0"/>
                              <w:divBdr>
                                <w:top w:val="none" w:sz="0" w:space="0" w:color="auto"/>
                                <w:left w:val="none" w:sz="0" w:space="0" w:color="auto"/>
                                <w:bottom w:val="none" w:sz="0" w:space="0" w:color="auto"/>
                                <w:right w:val="none" w:sz="0" w:space="0" w:color="auto"/>
                              </w:divBdr>
                            </w:div>
                            <w:div w:id="99837414">
                              <w:marLeft w:val="0"/>
                              <w:marRight w:val="0"/>
                              <w:marTop w:val="96"/>
                              <w:marBottom w:val="0"/>
                              <w:divBdr>
                                <w:top w:val="none" w:sz="0" w:space="0" w:color="auto"/>
                                <w:left w:val="none" w:sz="0" w:space="0" w:color="auto"/>
                                <w:bottom w:val="none" w:sz="0" w:space="0" w:color="auto"/>
                                <w:right w:val="none" w:sz="0" w:space="0" w:color="auto"/>
                              </w:divBdr>
                            </w:div>
                            <w:div w:id="863517005">
                              <w:marLeft w:val="0"/>
                              <w:marRight w:val="0"/>
                              <w:marTop w:val="96"/>
                              <w:marBottom w:val="0"/>
                              <w:divBdr>
                                <w:top w:val="none" w:sz="0" w:space="0" w:color="auto"/>
                                <w:left w:val="none" w:sz="0" w:space="0" w:color="auto"/>
                                <w:bottom w:val="none" w:sz="0" w:space="0" w:color="auto"/>
                                <w:right w:val="none" w:sz="0" w:space="0" w:color="auto"/>
                              </w:divBdr>
                            </w:div>
                            <w:div w:id="991298878">
                              <w:marLeft w:val="0"/>
                              <w:marRight w:val="0"/>
                              <w:marTop w:val="96"/>
                              <w:marBottom w:val="0"/>
                              <w:divBdr>
                                <w:top w:val="none" w:sz="0" w:space="0" w:color="auto"/>
                                <w:left w:val="none" w:sz="0" w:space="0" w:color="auto"/>
                                <w:bottom w:val="none" w:sz="0" w:space="0" w:color="auto"/>
                                <w:right w:val="none" w:sz="0" w:space="0" w:color="auto"/>
                              </w:divBdr>
                            </w:div>
                            <w:div w:id="1291402581">
                              <w:marLeft w:val="0"/>
                              <w:marRight w:val="0"/>
                              <w:marTop w:val="96"/>
                              <w:marBottom w:val="0"/>
                              <w:divBdr>
                                <w:top w:val="none" w:sz="0" w:space="0" w:color="auto"/>
                                <w:left w:val="none" w:sz="0" w:space="0" w:color="auto"/>
                                <w:bottom w:val="none" w:sz="0" w:space="0" w:color="auto"/>
                                <w:right w:val="none" w:sz="0" w:space="0" w:color="auto"/>
                              </w:divBdr>
                            </w:div>
                            <w:div w:id="1443956790">
                              <w:marLeft w:val="0"/>
                              <w:marRight w:val="0"/>
                              <w:marTop w:val="96"/>
                              <w:marBottom w:val="0"/>
                              <w:divBdr>
                                <w:top w:val="none" w:sz="0" w:space="0" w:color="auto"/>
                                <w:left w:val="none" w:sz="0" w:space="0" w:color="auto"/>
                                <w:bottom w:val="none" w:sz="0" w:space="0" w:color="auto"/>
                                <w:right w:val="none" w:sz="0" w:space="0" w:color="auto"/>
                              </w:divBdr>
                            </w:div>
                            <w:div w:id="1759208341">
                              <w:marLeft w:val="0"/>
                              <w:marRight w:val="0"/>
                              <w:marTop w:val="96"/>
                              <w:marBottom w:val="0"/>
                              <w:divBdr>
                                <w:top w:val="none" w:sz="0" w:space="0" w:color="auto"/>
                                <w:left w:val="none" w:sz="0" w:space="0" w:color="auto"/>
                                <w:bottom w:val="none" w:sz="0" w:space="0" w:color="auto"/>
                                <w:right w:val="none" w:sz="0" w:space="0" w:color="auto"/>
                              </w:divBdr>
                            </w:div>
                            <w:div w:id="1845584825">
                              <w:marLeft w:val="0"/>
                              <w:marRight w:val="0"/>
                              <w:marTop w:val="96"/>
                              <w:marBottom w:val="0"/>
                              <w:divBdr>
                                <w:top w:val="none" w:sz="0" w:space="0" w:color="auto"/>
                                <w:left w:val="none" w:sz="0" w:space="0" w:color="auto"/>
                                <w:bottom w:val="none" w:sz="0" w:space="0" w:color="auto"/>
                                <w:right w:val="none" w:sz="0" w:space="0" w:color="auto"/>
                              </w:divBdr>
                            </w:div>
                            <w:div w:id="191628438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20412">
      <w:bodyDiv w:val="1"/>
      <w:marLeft w:val="0"/>
      <w:marRight w:val="0"/>
      <w:marTop w:val="0"/>
      <w:marBottom w:val="0"/>
      <w:divBdr>
        <w:top w:val="none" w:sz="0" w:space="0" w:color="auto"/>
        <w:left w:val="none" w:sz="0" w:space="0" w:color="auto"/>
        <w:bottom w:val="none" w:sz="0" w:space="0" w:color="auto"/>
        <w:right w:val="none" w:sz="0" w:space="0" w:color="auto"/>
      </w:divBdr>
      <w:divsChild>
        <w:div w:id="272784357">
          <w:marLeft w:val="1950"/>
          <w:marRight w:val="150"/>
          <w:marTop w:val="0"/>
          <w:marBottom w:val="0"/>
          <w:divBdr>
            <w:top w:val="none" w:sz="0" w:space="0" w:color="auto"/>
            <w:left w:val="none" w:sz="0" w:space="0" w:color="auto"/>
            <w:bottom w:val="none" w:sz="0" w:space="0" w:color="auto"/>
            <w:right w:val="none" w:sz="0" w:space="0" w:color="auto"/>
          </w:divBdr>
          <w:divsChild>
            <w:div w:id="23020984">
              <w:marLeft w:val="0"/>
              <w:marRight w:val="0"/>
              <w:marTop w:val="144"/>
              <w:marBottom w:val="0"/>
              <w:divBdr>
                <w:top w:val="none" w:sz="0" w:space="0" w:color="auto"/>
                <w:left w:val="none" w:sz="0" w:space="0" w:color="auto"/>
                <w:bottom w:val="none" w:sz="0" w:space="0" w:color="auto"/>
                <w:right w:val="none" w:sz="0" w:space="0" w:color="auto"/>
              </w:divBdr>
              <w:divsChild>
                <w:div w:id="151263446">
                  <w:marLeft w:val="0"/>
                  <w:marRight w:val="0"/>
                  <w:marTop w:val="0"/>
                  <w:marBottom w:val="0"/>
                  <w:divBdr>
                    <w:top w:val="none" w:sz="0" w:space="0" w:color="auto"/>
                    <w:left w:val="none" w:sz="0" w:space="0" w:color="auto"/>
                    <w:bottom w:val="none" w:sz="0" w:space="0" w:color="auto"/>
                    <w:right w:val="none" w:sz="0" w:space="0" w:color="auto"/>
                  </w:divBdr>
                </w:div>
                <w:div w:id="243104063">
                  <w:marLeft w:val="0"/>
                  <w:marRight w:val="0"/>
                  <w:marTop w:val="0"/>
                  <w:marBottom w:val="240"/>
                  <w:divBdr>
                    <w:top w:val="none" w:sz="0" w:space="0" w:color="auto"/>
                    <w:left w:val="none" w:sz="0" w:space="0" w:color="auto"/>
                    <w:bottom w:val="none" w:sz="0" w:space="0" w:color="auto"/>
                    <w:right w:val="none" w:sz="0" w:space="0" w:color="auto"/>
                  </w:divBdr>
                  <w:divsChild>
                    <w:div w:id="1313560579">
                      <w:marLeft w:val="0"/>
                      <w:marRight w:val="0"/>
                      <w:marTop w:val="0"/>
                      <w:marBottom w:val="0"/>
                      <w:divBdr>
                        <w:top w:val="none" w:sz="0" w:space="0" w:color="auto"/>
                        <w:left w:val="none" w:sz="0" w:space="0" w:color="auto"/>
                        <w:bottom w:val="none" w:sz="0" w:space="0" w:color="auto"/>
                        <w:right w:val="none" w:sz="0" w:space="0" w:color="auto"/>
                      </w:divBdr>
                      <w:divsChild>
                        <w:div w:id="251280510">
                          <w:marLeft w:val="0"/>
                          <w:marRight w:val="0"/>
                          <w:marTop w:val="192"/>
                          <w:marBottom w:val="0"/>
                          <w:divBdr>
                            <w:top w:val="none" w:sz="0" w:space="0" w:color="auto"/>
                            <w:left w:val="none" w:sz="0" w:space="0" w:color="auto"/>
                            <w:bottom w:val="none" w:sz="0" w:space="0" w:color="auto"/>
                            <w:right w:val="none" w:sz="0" w:space="0" w:color="auto"/>
                          </w:divBdr>
                        </w:div>
                        <w:div w:id="493497908">
                          <w:marLeft w:val="0"/>
                          <w:marRight w:val="0"/>
                          <w:marTop w:val="192"/>
                          <w:marBottom w:val="0"/>
                          <w:divBdr>
                            <w:top w:val="none" w:sz="0" w:space="0" w:color="auto"/>
                            <w:left w:val="none" w:sz="0" w:space="0" w:color="auto"/>
                            <w:bottom w:val="none" w:sz="0" w:space="0" w:color="auto"/>
                            <w:right w:val="none" w:sz="0" w:space="0" w:color="auto"/>
                          </w:divBdr>
                        </w:div>
                        <w:div w:id="688336647">
                          <w:marLeft w:val="0"/>
                          <w:marRight w:val="0"/>
                          <w:marTop w:val="192"/>
                          <w:marBottom w:val="0"/>
                          <w:divBdr>
                            <w:top w:val="none" w:sz="0" w:space="0" w:color="auto"/>
                            <w:left w:val="none" w:sz="0" w:space="0" w:color="auto"/>
                            <w:bottom w:val="none" w:sz="0" w:space="0" w:color="auto"/>
                            <w:right w:val="none" w:sz="0" w:space="0" w:color="auto"/>
                          </w:divBdr>
                        </w:div>
                        <w:div w:id="728453670">
                          <w:marLeft w:val="0"/>
                          <w:marRight w:val="0"/>
                          <w:marTop w:val="192"/>
                          <w:marBottom w:val="0"/>
                          <w:divBdr>
                            <w:top w:val="none" w:sz="0" w:space="0" w:color="auto"/>
                            <w:left w:val="none" w:sz="0" w:space="0" w:color="auto"/>
                            <w:bottom w:val="none" w:sz="0" w:space="0" w:color="auto"/>
                            <w:right w:val="none" w:sz="0" w:space="0" w:color="auto"/>
                          </w:divBdr>
                        </w:div>
                        <w:div w:id="981813644">
                          <w:marLeft w:val="0"/>
                          <w:marRight w:val="0"/>
                          <w:marTop w:val="192"/>
                          <w:marBottom w:val="0"/>
                          <w:divBdr>
                            <w:top w:val="none" w:sz="0" w:space="0" w:color="auto"/>
                            <w:left w:val="none" w:sz="0" w:space="0" w:color="auto"/>
                            <w:bottom w:val="none" w:sz="0" w:space="0" w:color="auto"/>
                            <w:right w:val="none" w:sz="0" w:space="0" w:color="auto"/>
                          </w:divBdr>
                        </w:div>
                        <w:div w:id="15710396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12974558">
                  <w:marLeft w:val="0"/>
                  <w:marRight w:val="0"/>
                  <w:marTop w:val="0"/>
                  <w:marBottom w:val="0"/>
                  <w:divBdr>
                    <w:top w:val="none" w:sz="0" w:space="0" w:color="auto"/>
                    <w:left w:val="none" w:sz="0" w:space="0" w:color="auto"/>
                    <w:bottom w:val="none" w:sz="0" w:space="0" w:color="auto"/>
                    <w:right w:val="none" w:sz="0" w:space="0" w:color="auto"/>
                  </w:divBdr>
                </w:div>
                <w:div w:id="1188986285">
                  <w:marLeft w:val="0"/>
                  <w:marRight w:val="0"/>
                  <w:marTop w:val="0"/>
                  <w:marBottom w:val="240"/>
                  <w:divBdr>
                    <w:top w:val="none" w:sz="0" w:space="0" w:color="auto"/>
                    <w:left w:val="none" w:sz="0" w:space="0" w:color="auto"/>
                    <w:bottom w:val="none" w:sz="0" w:space="0" w:color="auto"/>
                    <w:right w:val="none" w:sz="0" w:space="0" w:color="auto"/>
                  </w:divBdr>
                </w:div>
              </w:divsChild>
            </w:div>
            <w:div w:id="394203700">
              <w:marLeft w:val="0"/>
              <w:marRight w:val="0"/>
              <w:marTop w:val="144"/>
              <w:marBottom w:val="0"/>
              <w:divBdr>
                <w:top w:val="none" w:sz="0" w:space="0" w:color="auto"/>
                <w:left w:val="none" w:sz="0" w:space="0" w:color="auto"/>
                <w:bottom w:val="none" w:sz="0" w:space="0" w:color="auto"/>
                <w:right w:val="none" w:sz="0" w:space="0" w:color="auto"/>
              </w:divBdr>
              <w:divsChild>
                <w:div w:id="705452058">
                  <w:marLeft w:val="0"/>
                  <w:marRight w:val="0"/>
                  <w:marTop w:val="0"/>
                  <w:marBottom w:val="0"/>
                  <w:divBdr>
                    <w:top w:val="none" w:sz="0" w:space="0" w:color="auto"/>
                    <w:left w:val="none" w:sz="0" w:space="0" w:color="auto"/>
                    <w:bottom w:val="none" w:sz="0" w:space="0" w:color="auto"/>
                    <w:right w:val="none" w:sz="0" w:space="0" w:color="auto"/>
                  </w:divBdr>
                </w:div>
                <w:div w:id="710810957">
                  <w:marLeft w:val="0"/>
                  <w:marRight w:val="0"/>
                  <w:marTop w:val="0"/>
                  <w:marBottom w:val="0"/>
                  <w:divBdr>
                    <w:top w:val="none" w:sz="0" w:space="0" w:color="auto"/>
                    <w:left w:val="none" w:sz="0" w:space="0" w:color="auto"/>
                    <w:bottom w:val="none" w:sz="0" w:space="0" w:color="auto"/>
                    <w:right w:val="none" w:sz="0" w:space="0" w:color="auto"/>
                  </w:divBdr>
                </w:div>
                <w:div w:id="759907383">
                  <w:marLeft w:val="0"/>
                  <w:marRight w:val="0"/>
                  <w:marTop w:val="0"/>
                  <w:marBottom w:val="240"/>
                  <w:divBdr>
                    <w:top w:val="none" w:sz="0" w:space="0" w:color="auto"/>
                    <w:left w:val="none" w:sz="0" w:space="0" w:color="auto"/>
                    <w:bottom w:val="none" w:sz="0" w:space="0" w:color="auto"/>
                    <w:right w:val="none" w:sz="0" w:space="0" w:color="auto"/>
                  </w:divBdr>
                </w:div>
                <w:div w:id="1852794248">
                  <w:marLeft w:val="0"/>
                  <w:marRight w:val="0"/>
                  <w:marTop w:val="0"/>
                  <w:marBottom w:val="240"/>
                  <w:divBdr>
                    <w:top w:val="none" w:sz="0" w:space="0" w:color="auto"/>
                    <w:left w:val="none" w:sz="0" w:space="0" w:color="auto"/>
                    <w:bottom w:val="none" w:sz="0" w:space="0" w:color="auto"/>
                    <w:right w:val="none" w:sz="0" w:space="0" w:color="auto"/>
                  </w:divBdr>
                  <w:divsChild>
                    <w:div w:id="1598631425">
                      <w:marLeft w:val="0"/>
                      <w:marRight w:val="0"/>
                      <w:marTop w:val="0"/>
                      <w:marBottom w:val="0"/>
                      <w:divBdr>
                        <w:top w:val="none" w:sz="0" w:space="0" w:color="auto"/>
                        <w:left w:val="none" w:sz="0" w:space="0" w:color="auto"/>
                        <w:bottom w:val="none" w:sz="0" w:space="0" w:color="auto"/>
                        <w:right w:val="none" w:sz="0" w:space="0" w:color="auto"/>
                      </w:divBdr>
                      <w:divsChild>
                        <w:div w:id="28145711">
                          <w:marLeft w:val="0"/>
                          <w:marRight w:val="0"/>
                          <w:marTop w:val="192"/>
                          <w:marBottom w:val="0"/>
                          <w:divBdr>
                            <w:top w:val="none" w:sz="0" w:space="0" w:color="auto"/>
                            <w:left w:val="none" w:sz="0" w:space="0" w:color="auto"/>
                            <w:bottom w:val="none" w:sz="0" w:space="0" w:color="auto"/>
                            <w:right w:val="none" w:sz="0" w:space="0" w:color="auto"/>
                          </w:divBdr>
                        </w:div>
                        <w:div w:id="358287843">
                          <w:marLeft w:val="0"/>
                          <w:marRight w:val="0"/>
                          <w:marTop w:val="192"/>
                          <w:marBottom w:val="0"/>
                          <w:divBdr>
                            <w:top w:val="none" w:sz="0" w:space="0" w:color="auto"/>
                            <w:left w:val="none" w:sz="0" w:space="0" w:color="auto"/>
                            <w:bottom w:val="none" w:sz="0" w:space="0" w:color="auto"/>
                            <w:right w:val="none" w:sz="0" w:space="0" w:color="auto"/>
                          </w:divBdr>
                          <w:divsChild>
                            <w:div w:id="1655527654">
                              <w:marLeft w:val="0"/>
                              <w:marRight w:val="0"/>
                              <w:marTop w:val="0"/>
                              <w:marBottom w:val="0"/>
                              <w:divBdr>
                                <w:top w:val="none" w:sz="0" w:space="0" w:color="auto"/>
                                <w:left w:val="none" w:sz="0" w:space="0" w:color="auto"/>
                                <w:bottom w:val="none" w:sz="0" w:space="0" w:color="auto"/>
                                <w:right w:val="none" w:sz="0" w:space="0" w:color="auto"/>
                              </w:divBdr>
                              <w:divsChild>
                                <w:div w:id="468548074">
                                  <w:marLeft w:val="0"/>
                                  <w:marRight w:val="0"/>
                                  <w:marTop w:val="144"/>
                                  <w:marBottom w:val="0"/>
                                  <w:divBdr>
                                    <w:top w:val="none" w:sz="0" w:space="0" w:color="auto"/>
                                    <w:left w:val="none" w:sz="0" w:space="0" w:color="auto"/>
                                    <w:bottom w:val="none" w:sz="0" w:space="0" w:color="auto"/>
                                    <w:right w:val="none" w:sz="0" w:space="0" w:color="auto"/>
                                  </w:divBdr>
                                </w:div>
                                <w:div w:id="1154837633">
                                  <w:marLeft w:val="0"/>
                                  <w:marRight w:val="0"/>
                                  <w:marTop w:val="144"/>
                                  <w:marBottom w:val="0"/>
                                  <w:divBdr>
                                    <w:top w:val="none" w:sz="0" w:space="0" w:color="auto"/>
                                    <w:left w:val="none" w:sz="0" w:space="0" w:color="auto"/>
                                    <w:bottom w:val="none" w:sz="0" w:space="0" w:color="auto"/>
                                    <w:right w:val="none" w:sz="0" w:space="0" w:color="auto"/>
                                  </w:divBdr>
                                </w:div>
                                <w:div w:id="1197347567">
                                  <w:marLeft w:val="0"/>
                                  <w:marRight w:val="0"/>
                                  <w:marTop w:val="144"/>
                                  <w:marBottom w:val="0"/>
                                  <w:divBdr>
                                    <w:top w:val="none" w:sz="0" w:space="0" w:color="auto"/>
                                    <w:left w:val="none" w:sz="0" w:space="0" w:color="auto"/>
                                    <w:bottom w:val="none" w:sz="0" w:space="0" w:color="auto"/>
                                    <w:right w:val="none" w:sz="0" w:space="0" w:color="auto"/>
                                  </w:divBdr>
                                  <w:divsChild>
                                    <w:div w:id="2049405905">
                                      <w:marLeft w:val="0"/>
                                      <w:marRight w:val="0"/>
                                      <w:marTop w:val="0"/>
                                      <w:marBottom w:val="0"/>
                                      <w:divBdr>
                                        <w:top w:val="none" w:sz="0" w:space="0" w:color="auto"/>
                                        <w:left w:val="none" w:sz="0" w:space="0" w:color="auto"/>
                                        <w:bottom w:val="none" w:sz="0" w:space="0" w:color="auto"/>
                                        <w:right w:val="none" w:sz="0" w:space="0" w:color="auto"/>
                                      </w:divBdr>
                                      <w:divsChild>
                                        <w:div w:id="642387288">
                                          <w:marLeft w:val="0"/>
                                          <w:marRight w:val="0"/>
                                          <w:marTop w:val="96"/>
                                          <w:marBottom w:val="0"/>
                                          <w:divBdr>
                                            <w:top w:val="none" w:sz="0" w:space="0" w:color="auto"/>
                                            <w:left w:val="none" w:sz="0" w:space="0" w:color="auto"/>
                                            <w:bottom w:val="none" w:sz="0" w:space="0" w:color="auto"/>
                                            <w:right w:val="none" w:sz="0" w:space="0" w:color="auto"/>
                                          </w:divBdr>
                                        </w:div>
                                        <w:div w:id="790905457">
                                          <w:marLeft w:val="0"/>
                                          <w:marRight w:val="0"/>
                                          <w:marTop w:val="96"/>
                                          <w:marBottom w:val="0"/>
                                          <w:divBdr>
                                            <w:top w:val="none" w:sz="0" w:space="0" w:color="auto"/>
                                            <w:left w:val="none" w:sz="0" w:space="0" w:color="auto"/>
                                            <w:bottom w:val="none" w:sz="0" w:space="0" w:color="auto"/>
                                            <w:right w:val="none" w:sz="0" w:space="0" w:color="auto"/>
                                          </w:divBdr>
                                        </w:div>
                                        <w:div w:id="942957900">
                                          <w:marLeft w:val="0"/>
                                          <w:marRight w:val="0"/>
                                          <w:marTop w:val="96"/>
                                          <w:marBottom w:val="0"/>
                                          <w:divBdr>
                                            <w:top w:val="none" w:sz="0" w:space="0" w:color="auto"/>
                                            <w:left w:val="none" w:sz="0" w:space="0" w:color="auto"/>
                                            <w:bottom w:val="none" w:sz="0" w:space="0" w:color="auto"/>
                                            <w:right w:val="none" w:sz="0" w:space="0" w:color="auto"/>
                                          </w:divBdr>
                                        </w:div>
                                        <w:div w:id="200169403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62538788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83611457">
                          <w:marLeft w:val="0"/>
                          <w:marRight w:val="0"/>
                          <w:marTop w:val="192"/>
                          <w:marBottom w:val="0"/>
                          <w:divBdr>
                            <w:top w:val="none" w:sz="0" w:space="0" w:color="auto"/>
                            <w:left w:val="none" w:sz="0" w:space="0" w:color="auto"/>
                            <w:bottom w:val="none" w:sz="0" w:space="0" w:color="auto"/>
                            <w:right w:val="none" w:sz="0" w:space="0" w:color="auto"/>
                          </w:divBdr>
                        </w:div>
                        <w:div w:id="18108990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724720774">
              <w:marLeft w:val="0"/>
              <w:marRight w:val="0"/>
              <w:marTop w:val="144"/>
              <w:marBottom w:val="0"/>
              <w:divBdr>
                <w:top w:val="none" w:sz="0" w:space="0" w:color="auto"/>
                <w:left w:val="none" w:sz="0" w:space="0" w:color="auto"/>
                <w:bottom w:val="none" w:sz="0" w:space="0" w:color="auto"/>
                <w:right w:val="none" w:sz="0" w:space="0" w:color="auto"/>
              </w:divBdr>
              <w:divsChild>
                <w:div w:id="1067458553">
                  <w:marLeft w:val="0"/>
                  <w:marRight w:val="0"/>
                  <w:marTop w:val="0"/>
                  <w:marBottom w:val="240"/>
                  <w:divBdr>
                    <w:top w:val="none" w:sz="0" w:space="0" w:color="auto"/>
                    <w:left w:val="none" w:sz="0" w:space="0" w:color="auto"/>
                    <w:bottom w:val="none" w:sz="0" w:space="0" w:color="auto"/>
                    <w:right w:val="none" w:sz="0" w:space="0" w:color="auto"/>
                  </w:divBdr>
                </w:div>
                <w:div w:id="1179849813">
                  <w:marLeft w:val="0"/>
                  <w:marRight w:val="0"/>
                  <w:marTop w:val="0"/>
                  <w:marBottom w:val="0"/>
                  <w:divBdr>
                    <w:top w:val="none" w:sz="0" w:space="0" w:color="auto"/>
                    <w:left w:val="none" w:sz="0" w:space="0" w:color="auto"/>
                    <w:bottom w:val="none" w:sz="0" w:space="0" w:color="auto"/>
                    <w:right w:val="none" w:sz="0" w:space="0" w:color="auto"/>
                  </w:divBdr>
                </w:div>
                <w:div w:id="1728265532">
                  <w:marLeft w:val="0"/>
                  <w:marRight w:val="0"/>
                  <w:marTop w:val="0"/>
                  <w:marBottom w:val="0"/>
                  <w:divBdr>
                    <w:top w:val="none" w:sz="0" w:space="0" w:color="auto"/>
                    <w:left w:val="none" w:sz="0" w:space="0" w:color="auto"/>
                    <w:bottom w:val="none" w:sz="0" w:space="0" w:color="auto"/>
                    <w:right w:val="none" w:sz="0" w:space="0" w:color="auto"/>
                  </w:divBdr>
                </w:div>
                <w:div w:id="1795907770">
                  <w:marLeft w:val="0"/>
                  <w:marRight w:val="0"/>
                  <w:marTop w:val="0"/>
                  <w:marBottom w:val="240"/>
                  <w:divBdr>
                    <w:top w:val="none" w:sz="0" w:space="0" w:color="auto"/>
                    <w:left w:val="none" w:sz="0" w:space="0" w:color="auto"/>
                    <w:bottom w:val="none" w:sz="0" w:space="0" w:color="auto"/>
                    <w:right w:val="none" w:sz="0" w:space="0" w:color="auto"/>
                  </w:divBdr>
                  <w:divsChild>
                    <w:div w:id="441999022">
                      <w:marLeft w:val="0"/>
                      <w:marRight w:val="0"/>
                      <w:marTop w:val="0"/>
                      <w:marBottom w:val="0"/>
                      <w:divBdr>
                        <w:top w:val="none" w:sz="0" w:space="0" w:color="auto"/>
                        <w:left w:val="none" w:sz="0" w:space="0" w:color="auto"/>
                        <w:bottom w:val="none" w:sz="0" w:space="0" w:color="auto"/>
                        <w:right w:val="none" w:sz="0" w:space="0" w:color="auto"/>
                      </w:divBdr>
                      <w:divsChild>
                        <w:div w:id="346910682">
                          <w:marLeft w:val="0"/>
                          <w:marRight w:val="0"/>
                          <w:marTop w:val="192"/>
                          <w:marBottom w:val="0"/>
                          <w:divBdr>
                            <w:top w:val="none" w:sz="0" w:space="0" w:color="auto"/>
                            <w:left w:val="none" w:sz="0" w:space="0" w:color="auto"/>
                            <w:bottom w:val="none" w:sz="0" w:space="0" w:color="auto"/>
                            <w:right w:val="none" w:sz="0" w:space="0" w:color="auto"/>
                          </w:divBdr>
                        </w:div>
                        <w:div w:id="718552959">
                          <w:marLeft w:val="0"/>
                          <w:marRight w:val="0"/>
                          <w:marTop w:val="192"/>
                          <w:marBottom w:val="0"/>
                          <w:divBdr>
                            <w:top w:val="none" w:sz="0" w:space="0" w:color="auto"/>
                            <w:left w:val="none" w:sz="0" w:space="0" w:color="auto"/>
                            <w:bottom w:val="none" w:sz="0" w:space="0" w:color="auto"/>
                            <w:right w:val="none" w:sz="0" w:space="0" w:color="auto"/>
                          </w:divBdr>
                        </w:div>
                        <w:div w:id="1830562770">
                          <w:marLeft w:val="0"/>
                          <w:marRight w:val="0"/>
                          <w:marTop w:val="192"/>
                          <w:marBottom w:val="0"/>
                          <w:divBdr>
                            <w:top w:val="none" w:sz="0" w:space="0" w:color="auto"/>
                            <w:left w:val="none" w:sz="0" w:space="0" w:color="auto"/>
                            <w:bottom w:val="none" w:sz="0" w:space="0" w:color="auto"/>
                            <w:right w:val="none" w:sz="0" w:space="0" w:color="auto"/>
                          </w:divBdr>
                          <w:divsChild>
                            <w:div w:id="713819756">
                              <w:marLeft w:val="0"/>
                              <w:marRight w:val="0"/>
                              <w:marTop w:val="0"/>
                              <w:marBottom w:val="0"/>
                              <w:divBdr>
                                <w:top w:val="none" w:sz="0" w:space="0" w:color="auto"/>
                                <w:left w:val="none" w:sz="0" w:space="0" w:color="auto"/>
                                <w:bottom w:val="none" w:sz="0" w:space="0" w:color="auto"/>
                                <w:right w:val="none" w:sz="0" w:space="0" w:color="auto"/>
                              </w:divBdr>
                              <w:divsChild>
                                <w:div w:id="135268003">
                                  <w:marLeft w:val="0"/>
                                  <w:marRight w:val="0"/>
                                  <w:marTop w:val="144"/>
                                  <w:marBottom w:val="0"/>
                                  <w:divBdr>
                                    <w:top w:val="none" w:sz="0" w:space="0" w:color="auto"/>
                                    <w:left w:val="none" w:sz="0" w:space="0" w:color="auto"/>
                                    <w:bottom w:val="none" w:sz="0" w:space="0" w:color="auto"/>
                                    <w:right w:val="none" w:sz="0" w:space="0" w:color="auto"/>
                                  </w:divBdr>
                                </w:div>
                                <w:div w:id="496656563">
                                  <w:marLeft w:val="0"/>
                                  <w:marRight w:val="0"/>
                                  <w:marTop w:val="144"/>
                                  <w:marBottom w:val="0"/>
                                  <w:divBdr>
                                    <w:top w:val="none" w:sz="0" w:space="0" w:color="auto"/>
                                    <w:left w:val="none" w:sz="0" w:space="0" w:color="auto"/>
                                    <w:bottom w:val="none" w:sz="0" w:space="0" w:color="auto"/>
                                    <w:right w:val="none" w:sz="0" w:space="0" w:color="auto"/>
                                  </w:divBdr>
                                </w:div>
                                <w:div w:id="1253122824">
                                  <w:marLeft w:val="0"/>
                                  <w:marRight w:val="0"/>
                                  <w:marTop w:val="144"/>
                                  <w:marBottom w:val="0"/>
                                  <w:divBdr>
                                    <w:top w:val="none" w:sz="0" w:space="0" w:color="auto"/>
                                    <w:left w:val="none" w:sz="0" w:space="0" w:color="auto"/>
                                    <w:bottom w:val="none" w:sz="0" w:space="0" w:color="auto"/>
                                    <w:right w:val="none" w:sz="0" w:space="0" w:color="auto"/>
                                  </w:divBdr>
                                </w:div>
                                <w:div w:id="177065819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134319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55357">
      <w:bodyDiv w:val="1"/>
      <w:marLeft w:val="0"/>
      <w:marRight w:val="0"/>
      <w:marTop w:val="0"/>
      <w:marBottom w:val="0"/>
      <w:divBdr>
        <w:top w:val="none" w:sz="0" w:space="0" w:color="auto"/>
        <w:left w:val="none" w:sz="0" w:space="0" w:color="auto"/>
        <w:bottom w:val="none" w:sz="0" w:space="0" w:color="auto"/>
        <w:right w:val="none" w:sz="0" w:space="0" w:color="auto"/>
      </w:divBdr>
    </w:div>
    <w:div w:id="2065175454">
      <w:bodyDiv w:val="1"/>
      <w:marLeft w:val="0"/>
      <w:marRight w:val="0"/>
      <w:marTop w:val="0"/>
      <w:marBottom w:val="0"/>
      <w:divBdr>
        <w:top w:val="none" w:sz="0" w:space="0" w:color="auto"/>
        <w:left w:val="none" w:sz="0" w:space="0" w:color="auto"/>
        <w:bottom w:val="none" w:sz="0" w:space="0" w:color="auto"/>
        <w:right w:val="none" w:sz="0" w:space="0" w:color="auto"/>
      </w:divBdr>
    </w:div>
    <w:div w:id="20944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L:2005:149:0022:0039:EN:PDF" TargetMode="External"/><Relationship Id="rId13" Type="http://schemas.openxmlformats.org/officeDocument/2006/relationships/hyperlink" Target="http://berec.europa.eu/eng/document_register/subject_matter/berec/reports/4602-monitoring-quality-of-internet-access-services-in-the-context-of-net-neutrality-berec-report" TargetMode="External"/><Relationship Id="rId3" Type="http://schemas.openxmlformats.org/officeDocument/2006/relationships/hyperlink" Target="http://eur-lex.europa.eu/LexUriServ/LexUriServ.do?uri=CONSLEG:2002L0021:20091219:EN:PDF" TargetMode="External"/><Relationship Id="rId7" Type="http://schemas.openxmlformats.org/officeDocument/2006/relationships/hyperlink" Target="http://eur-lex.europa.eu/legal-content/EN/TXT/PDF/?uri=CELEX:32011L0083&amp;rid=1" TargetMode="External"/><Relationship Id="rId12" Type="http://schemas.openxmlformats.org/officeDocument/2006/relationships/hyperlink" Target="http://berec.europa.eu/eng/document_register/subject_matter/berec/reports/117-a-framework-for-quality-of-srvice-in-the-scope-of-net-neutrality" TargetMode="External"/><Relationship Id="rId2" Type="http://schemas.openxmlformats.org/officeDocument/2006/relationships/hyperlink" Target="http://eur-lex.europa.eu/LexUriServ/LexUriServ.do?uri=OJ:L:2009:337:0001:0010:EN:PDF" TargetMode="External"/><Relationship Id="rId16" Type="http://schemas.openxmlformats.org/officeDocument/2006/relationships/hyperlink" Target="http://berec.europa.eu/eng/document_register/subject_matter/berec/download/0/45-berec-findings-on-traffic-management-pra_0.pdf" TargetMode="External"/><Relationship Id="rId1" Type="http://schemas.openxmlformats.org/officeDocument/2006/relationships/hyperlink" Target="http://eur-lex.europa.eu/legal-content/EN/TXT/PDF/?uri=CELEX:32015R2120&amp;from=EN" TargetMode="External"/><Relationship Id="rId6" Type="http://schemas.openxmlformats.org/officeDocument/2006/relationships/hyperlink" Target="http://eur-lex.europa.eu/LexUriServ/LexUriServ.do?uri=CONSLEG:2002L0058:20091219:EN:PDF" TargetMode="External"/><Relationship Id="rId11" Type="http://schemas.openxmlformats.org/officeDocument/2006/relationships/hyperlink" Target="http://eur-lex.europa.eu/LexUriServ/LexUriServ.do?uri=CELEX:31993L0013:en:HTML" TargetMode="External"/><Relationship Id="rId5" Type="http://schemas.openxmlformats.org/officeDocument/2006/relationships/hyperlink" Target="http://eur-lex.europa.eu/legal-content/EN/TXT/HTML/?uri=URISERV:l14012&amp;from=EN" TargetMode="External"/><Relationship Id="rId15" Type="http://schemas.openxmlformats.org/officeDocument/2006/relationships/hyperlink" Target="http://berec.europa.eu/eng/document_register/subject_matter/berec/annual_work_programmes/5551-berec-work-programme-2016" TargetMode="External"/><Relationship Id="rId10" Type="http://schemas.openxmlformats.org/officeDocument/2006/relationships/hyperlink" Target="http://berec.europa.eu/doc/berec/bor/bor11_67_transparencyguide.pdf" TargetMode="External"/><Relationship Id="rId4" Type="http://schemas.openxmlformats.org/officeDocument/2006/relationships/hyperlink" Target="http://eur-lex.europa.eu/LexUriServ/LexUriServ.do?uri=OJ:L:2005:149:0022:0039:EN:PDF" TargetMode="External"/><Relationship Id="rId9" Type="http://schemas.openxmlformats.org/officeDocument/2006/relationships/hyperlink" Target="http://eur-lex.europa.eu/legal-content/EN/TXT/PDF/?uri=CELEX:32000L0031&amp;from=EN" TargetMode="External"/><Relationship Id="rId14" Type="http://schemas.openxmlformats.org/officeDocument/2006/relationships/hyperlink" Target="http://berec.europa.eu/eng/document_register/subject_matter/berec/reports/5576-feasibility-study-of-quality-monitoring-in-the-context-of-net-neutral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A3C6D44121FC4AA187D9DD74E02B0B" ma:contentTypeVersion="8" ma:contentTypeDescription="Vytvoří nový dokument" ma:contentTypeScope="" ma:versionID="5afc46d80ebf973a6c02b09e6f27ca0c">
  <xsd:schema xmlns:xsd="http://www.w3.org/2001/XMLSchema" xmlns:xs="http://www.w3.org/2001/XMLSchema" xmlns:p="http://schemas.microsoft.com/office/2006/metadata/properties" xmlns:ns1="http://schemas.microsoft.com/sharepoint/v3" xmlns:ns2="9766b112-65b5-47d3-8868-35cc66ce7980" targetNamespace="http://schemas.microsoft.com/office/2006/metadata/properties" ma:root="true" ma:fieldsID="d148e1020e254aa1d4faf7cd5e3352aa" ns1:_="" ns2:_="">
    <xsd:import namespace="http://schemas.microsoft.com/sharepoint/v3"/>
    <xsd:import namespace="9766b112-65b5-47d3-8868-35cc66ce7980"/>
    <xsd:element name="properties">
      <xsd:complexType>
        <xsd:sequence>
          <xsd:element name="documentManagement">
            <xsd:complexType>
              <xsd:all>
                <xsd:element ref="ns2:Stav4RKS" minOccurs="0"/>
                <xsd:element ref="ns2:RKS" minOccurs="0"/>
                <xsd:element ref="ns2:Soubor_x0028_y_x0029_" minOccurs="0"/>
                <xsd:element ref="ns1:RoutingTargetFolder"/>
                <xsd:element ref="ns2:PLSrt" minOccurs="0"/>
                <xsd:element ref="ns2:Pop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1" ma:displayName="Cílová složka"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66b112-65b5-47d3-8868-35cc66ce7980" elementFormDefault="qualified">
    <xsd:import namespace="http://schemas.microsoft.com/office/2006/documentManagement/types"/>
    <xsd:import namespace="http://schemas.microsoft.com/office/infopath/2007/PartnerControls"/>
    <xsd:element name="Stav4RKS" ma:index="8" nillable="true" ma:displayName="Stav4RKS" ma:format="Dropdown" ma:internalName="Stav4RKS">
      <xsd:simpleType>
        <xsd:restriction base="dms:Choice">
          <xsd:enumeration value="Final"/>
          <xsd:enumeration value="Partly"/>
          <xsd:enumeration value="4Approval"/>
          <xsd:enumeration value="Working"/>
          <xsd:enumeration value="Prep"/>
        </xsd:restriction>
      </xsd:simpleType>
    </xsd:element>
    <xsd:element name="RKS" ma:index="9" nillable="true" ma:displayName="RKS" ma:format="Dropdown" ma:internalName="RKS">
      <xsd:simpleType>
        <xsd:restriction base="dms:Choice">
          <xsd:enumeration value="SCHV"/>
          <xsd:enumeration value="INFO"/>
          <xsd:enumeration value="NE"/>
        </xsd:restriction>
      </xsd:simpleType>
    </xsd:element>
    <xsd:element name="Soubor_x0028_y_x0029_" ma:index="10" nillable="true" ma:displayName="Soubor(y)" ma:format="Dropdown" ma:internalName="Soubor_x0028_y_x0029_">
      <xsd:simpleType>
        <xsd:restriction base="dms:Choice">
          <xsd:enumeration value="Ano"/>
          <xsd:enumeration value="Část"/>
          <xsd:enumeration value="Ještě ne"/>
          <xsd:enumeration value="Ne"/>
        </xsd:restriction>
      </xsd:simpleType>
    </xsd:element>
    <xsd:element name="PLSrt" ma:index="12" nillable="true" ma:displayName="PLSrt" ma:decimals="0" ma:internalName="PLSrt">
      <xsd:simpleType>
        <xsd:restriction base="dms:Number"/>
      </xsd:simpleType>
    </xsd:element>
    <xsd:element name="Popis" ma:index="13" nillable="true" ma:displayName="Popis" ma:internalName="Popi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KS xmlns="9766b112-65b5-47d3-8868-35cc66ce7980">INFO</RKS>
    <RoutingTargetFolder xmlns="http://schemas.microsoft.com/sharepoint/v3">a</RoutingTargetFolder>
    <Soubor_x0028_y_x0029_ xmlns="9766b112-65b5-47d3-8868-35cc66ce7980">Ano</Soubor_x0028_y_x0029_>
    <PLSrt xmlns="9766b112-65b5-47d3-8868-35cc66ce7980">3</PLSrt>
    <Popis xmlns="9766b112-65b5-47d3-8868-35cc66ce7980">NN Guidelines BEREC (čistá verze po konzultaci)</Popis>
    <Stav4RKS xmlns="9766b112-65b5-47d3-8868-35cc66ce7980">Final</Stav4RK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A349-3DF8-45DB-985E-AE1883E36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66b112-65b5-47d3-8868-35cc66ce7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D6D46-4C20-488D-9EAC-81F0004B40BA}">
  <ds:schemaRefs>
    <ds:schemaRef ds:uri="http://schemas.microsoft.com/sharepoint/v3/contenttype/forms"/>
  </ds:schemaRefs>
</ds:datastoreItem>
</file>

<file path=customXml/itemProps3.xml><?xml version="1.0" encoding="utf-8"?>
<ds:datastoreItem xmlns:ds="http://schemas.openxmlformats.org/officeDocument/2006/customXml" ds:itemID="{41AAE6EB-59AA-4826-8E32-8AAD9A25FD27}">
  <ds:schemaRefs>
    <ds:schemaRef ds:uri="http://schemas.microsoft.com/office/2006/metadata/properties"/>
    <ds:schemaRef ds:uri="http://schemas.microsoft.com/office/infopath/2007/PartnerControls"/>
    <ds:schemaRef ds:uri="9766b112-65b5-47d3-8868-35cc66ce7980"/>
    <ds:schemaRef ds:uri="http://schemas.microsoft.com/sharepoint/v3"/>
  </ds:schemaRefs>
</ds:datastoreItem>
</file>

<file path=customXml/itemProps4.xml><?xml version="1.0" encoding="utf-8"?>
<ds:datastoreItem xmlns:ds="http://schemas.openxmlformats.org/officeDocument/2006/customXml" ds:itemID="{3545A1C5-215B-41D5-8566-DDCC699B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CE802A38</Template>
  <TotalTime>4</TotalTime>
  <Pages>1</Pages>
  <Words>19291</Words>
  <Characters>113819</Characters>
  <Application>Microsoft Office Word</Application>
  <DocSecurity>0</DocSecurity>
  <Lines>948</Lines>
  <Paragraphs>265</Paragraphs>
  <ScaleCrop>false</ScaleCrop>
  <HeadingPairs>
    <vt:vector size="10" baseType="variant">
      <vt:variant>
        <vt:lpstr>Název</vt:lpstr>
      </vt:variant>
      <vt:variant>
        <vt:i4>1</vt:i4>
      </vt:variant>
      <vt:variant>
        <vt:lpstr>Title</vt:lpstr>
      </vt:variant>
      <vt:variant>
        <vt:i4>1</vt:i4>
      </vt:variant>
      <vt:variant>
        <vt:lpstr>Tittel</vt:lpstr>
      </vt:variant>
      <vt:variant>
        <vt:i4>1</vt:i4>
      </vt:variant>
      <vt:variant>
        <vt:lpstr>Titel</vt:lpstr>
      </vt:variant>
      <vt:variant>
        <vt:i4>1</vt:i4>
      </vt:variant>
      <vt:variant>
        <vt:lpstr>Titolo</vt:lpstr>
      </vt:variant>
      <vt:variant>
        <vt:i4>1</vt:i4>
      </vt:variant>
    </vt:vector>
  </HeadingPairs>
  <TitlesOfParts>
    <vt:vector size="5" baseType="lpstr">
      <vt:lpstr>Draft BEREC Net Neutrality Guidelines</vt:lpstr>
      <vt:lpstr>Draft BEREC Net Neutrality Guidelines</vt:lpstr>
      <vt:lpstr>Draft BEREC Net Neutrality Guidelines</vt:lpstr>
      <vt:lpstr>BEREC Net Neutrality Guidelines</vt:lpstr>
      <vt:lpstr>BEREC Net Neutrality Guidelines</vt:lpstr>
    </vt:vector>
  </TitlesOfParts>
  <Company>HP</Company>
  <LinksUpToDate>false</LinksUpToDate>
  <CharactersWithSpaces>132845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BEREC Net Neutrality Guidelines</dc:title>
  <dc:subject>BoR;GUIDE;16;BoR (16) 127;2016.05.19</dc:subject>
  <dc:creator>BEREC</dc:creator>
  <cp:keywords>Regulation (EU) 2015/2120 included new Net Neutrality rules to safeguard equal and non-discriminatory treatment of traffic in the provision of Internet Access Service. It specified that BEREC lay down guidelines on the implementation by NRAs of their obligations to monitor and ensure compliance with the rules. The Guidelines aim to contribute to the consistent application of the Regulation, thereby contributing to regulatory certainty for stakeholders.</cp:keywords>
  <cp:lastModifiedBy>ŠIFALDOVÁ Zuzana</cp:lastModifiedBy>
  <cp:revision>3</cp:revision>
  <cp:lastPrinted>2016-09-10T23:27:00Z</cp:lastPrinted>
  <dcterms:created xsi:type="dcterms:W3CDTF">2016-11-11T13:09:00Z</dcterms:created>
  <dcterms:modified xsi:type="dcterms:W3CDTF">2016-11-11T13:12:00Z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0x010100CAA3C6D44121FC4AA187D9DD74E02B0B</vt:lpwstr>
  </property>
</Properties>
</file>