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C9A35" w14:textId="77777777" w:rsidR="00507FD8" w:rsidRDefault="00507FD8" w:rsidP="00713561">
      <w:pPr>
        <w:jc w:val="center"/>
        <w:rPr>
          <w:rFonts w:cs="Arial"/>
          <w:b/>
          <w:sz w:val="32"/>
          <w:szCs w:val="32"/>
        </w:rPr>
      </w:pPr>
      <w:r w:rsidRPr="007F2682">
        <w:rPr>
          <w:rFonts w:cs="Arial"/>
          <w:b/>
          <w:sz w:val="32"/>
          <w:szCs w:val="32"/>
        </w:rPr>
        <w:t>Formulář pro uplatnění připomínek, stanovisek a názorů</w:t>
      </w:r>
    </w:p>
    <w:p w14:paraId="77BE5775" w14:textId="77777777" w:rsidR="0030353D" w:rsidRPr="007F2682" w:rsidRDefault="0030353D" w:rsidP="00713561">
      <w:pPr>
        <w:jc w:val="center"/>
        <w:rPr>
          <w:rFonts w:cs="Arial"/>
          <w:b/>
          <w:sz w:val="32"/>
          <w:szCs w:val="32"/>
        </w:rPr>
      </w:pPr>
    </w:p>
    <w:p w14:paraId="6FD594A0" w14:textId="4C71200D" w:rsidR="00507FD8" w:rsidRPr="007F2682" w:rsidRDefault="00507FD8" w:rsidP="00C11350">
      <w:pPr>
        <w:rPr>
          <w:rFonts w:cs="Arial"/>
          <w:szCs w:val="22"/>
        </w:rPr>
      </w:pPr>
      <w:r w:rsidRPr="007F2682">
        <w:rPr>
          <w:rFonts w:cs="Arial"/>
          <w:b/>
          <w:szCs w:val="22"/>
        </w:rPr>
        <w:t xml:space="preserve">NÁZEV </w:t>
      </w:r>
      <w:r w:rsidRPr="007F2682">
        <w:rPr>
          <w:rFonts w:cs="Arial"/>
          <w:b/>
          <w:caps/>
          <w:szCs w:val="22"/>
        </w:rPr>
        <w:t>návrhu opatření</w:t>
      </w:r>
      <w:r w:rsidRPr="007F2682">
        <w:rPr>
          <w:rFonts w:cs="Arial"/>
          <w:b/>
          <w:szCs w:val="22"/>
        </w:rPr>
        <w:t xml:space="preserve"> KE KONZULTACI:</w:t>
      </w:r>
      <w:r w:rsidR="00DA0D1C" w:rsidRPr="007F2682">
        <w:rPr>
          <w:rFonts w:cs="Arial"/>
          <w:b/>
          <w:szCs w:val="22"/>
        </w:rPr>
        <w:t xml:space="preserve"> </w:t>
      </w:r>
      <w:r w:rsidR="00056B46">
        <w:rPr>
          <w:rFonts w:cs="Arial"/>
          <w:szCs w:val="22"/>
        </w:rPr>
        <w:t>N</w:t>
      </w:r>
      <w:r w:rsidR="00056B46" w:rsidRPr="00056B46">
        <w:rPr>
          <w:rFonts w:cs="Arial"/>
          <w:szCs w:val="22"/>
        </w:rPr>
        <w:t>ávrh opatření obecné povahy analýzy trhu č. A/3/xx.</w:t>
      </w:r>
      <w:proofErr w:type="gramStart"/>
      <w:r w:rsidR="00056B46" w:rsidRPr="00056B46">
        <w:rPr>
          <w:rFonts w:cs="Arial"/>
          <w:szCs w:val="22"/>
        </w:rPr>
        <w:t>202</w:t>
      </w:r>
      <w:r w:rsidR="00096C6A">
        <w:rPr>
          <w:rFonts w:cs="Arial"/>
          <w:szCs w:val="22"/>
        </w:rPr>
        <w:t>2</w:t>
      </w:r>
      <w:r w:rsidR="00056B46" w:rsidRPr="00056B46">
        <w:rPr>
          <w:rFonts w:cs="Arial"/>
          <w:szCs w:val="22"/>
        </w:rPr>
        <w:t>-x</w:t>
      </w:r>
      <w:proofErr w:type="gramEnd"/>
      <w:r w:rsidR="00056B46" w:rsidRPr="00056B46">
        <w:rPr>
          <w:rFonts w:cs="Arial"/>
          <w:szCs w:val="22"/>
        </w:rPr>
        <w:t>, trhu č. 3 – velkoobchodní trh přístupu k mobilním službám</w:t>
      </w:r>
    </w:p>
    <w:p w14:paraId="6FB39E41" w14:textId="4C3CDCBF" w:rsidR="00507FD8" w:rsidRDefault="00AA73AF" w:rsidP="00507FD8">
      <w:pPr>
        <w:rPr>
          <w:rFonts w:cs="Arial"/>
          <w:szCs w:val="22"/>
        </w:rPr>
      </w:pPr>
      <w:r w:rsidRPr="007F2682">
        <w:rPr>
          <w:rFonts w:cs="Arial"/>
          <w:b/>
          <w:szCs w:val="22"/>
        </w:rPr>
        <w:t>Čj.:</w:t>
      </w:r>
      <w:r w:rsidR="00DA0D1C" w:rsidRPr="007F2682">
        <w:rPr>
          <w:rFonts w:cs="Arial"/>
          <w:b/>
          <w:szCs w:val="22"/>
        </w:rPr>
        <w:t xml:space="preserve"> </w:t>
      </w:r>
      <w:r w:rsidR="00EA108B" w:rsidRPr="00EA108B">
        <w:rPr>
          <w:rFonts w:cs="Arial"/>
          <w:szCs w:val="22"/>
        </w:rPr>
        <w:t>ČTÚ-25 085/2022-611</w:t>
      </w:r>
    </w:p>
    <w:p w14:paraId="34F2473C" w14:textId="77777777" w:rsidR="00096C6A" w:rsidRDefault="00096C6A" w:rsidP="00507FD8">
      <w:pPr>
        <w:rPr>
          <w:rFonts w:cs="Arial"/>
          <w:b/>
          <w:szCs w:val="22"/>
        </w:rPr>
      </w:pPr>
    </w:p>
    <w:p w14:paraId="046ED793" w14:textId="221C5B96" w:rsidR="00507FD8" w:rsidRPr="007F2682" w:rsidRDefault="00507FD8" w:rsidP="00507FD8">
      <w:pPr>
        <w:rPr>
          <w:rFonts w:cs="Arial"/>
          <w:b/>
          <w:szCs w:val="22"/>
        </w:rPr>
      </w:pPr>
      <w:r w:rsidRPr="007F2682">
        <w:rPr>
          <w:rFonts w:cs="Arial"/>
          <w:b/>
          <w:szCs w:val="22"/>
        </w:rPr>
        <w:t>IDENTIFIKAČNÍ ÚDAJE DOTČENÉHO SUBJEKTU:</w:t>
      </w:r>
    </w:p>
    <w:p w14:paraId="54D12570" w14:textId="77777777" w:rsidR="00507FD8" w:rsidRPr="007F2682" w:rsidRDefault="00507FD8" w:rsidP="00507FD8">
      <w:pPr>
        <w:rPr>
          <w:rFonts w:cs="Arial"/>
          <w:szCs w:val="22"/>
        </w:rPr>
      </w:pPr>
      <w:r w:rsidRPr="007F2682">
        <w:rPr>
          <w:rFonts w:cs="Arial"/>
          <w:b/>
          <w:szCs w:val="22"/>
        </w:rPr>
        <w:t>Obchodní firma / název / jméno a příjmení:</w:t>
      </w:r>
      <w:r w:rsidR="00DA0D1C" w:rsidRPr="007F2682">
        <w:rPr>
          <w:rFonts w:cs="Arial"/>
          <w:b/>
          <w:szCs w:val="22"/>
        </w:rPr>
        <w:t xml:space="preserve"> </w:t>
      </w:r>
      <w:r w:rsidR="00DA0D1C" w:rsidRPr="007F2682">
        <w:rPr>
          <w:rFonts w:cs="Arial"/>
          <w:szCs w:val="22"/>
        </w:rPr>
        <w:t>O2 Czech Republic a.s.</w:t>
      </w:r>
    </w:p>
    <w:p w14:paraId="78FEB69D" w14:textId="77777777" w:rsidR="00507FD8" w:rsidRPr="007F2682" w:rsidRDefault="00507FD8" w:rsidP="00507FD8">
      <w:pPr>
        <w:rPr>
          <w:rFonts w:cs="Arial"/>
          <w:b/>
          <w:szCs w:val="22"/>
        </w:rPr>
      </w:pPr>
      <w:r w:rsidRPr="007F2682">
        <w:rPr>
          <w:rFonts w:cs="Arial"/>
          <w:b/>
          <w:szCs w:val="22"/>
        </w:rPr>
        <w:t>IČ</w:t>
      </w:r>
      <w:r w:rsidR="00AB0CD0" w:rsidRPr="007F2682">
        <w:rPr>
          <w:rFonts w:cs="Arial"/>
          <w:b/>
          <w:szCs w:val="22"/>
        </w:rPr>
        <w:t>O</w:t>
      </w:r>
      <w:r w:rsidRPr="007F2682">
        <w:rPr>
          <w:rFonts w:cs="Arial"/>
          <w:b/>
          <w:szCs w:val="22"/>
        </w:rPr>
        <w:t xml:space="preserve"> (bylo-li přiděleno):</w:t>
      </w:r>
      <w:r w:rsidR="00DA0D1C" w:rsidRPr="007F2682">
        <w:t xml:space="preserve"> </w:t>
      </w:r>
      <w:r w:rsidR="00DA0D1C" w:rsidRPr="007F2682">
        <w:rPr>
          <w:rFonts w:cs="Arial"/>
          <w:szCs w:val="22"/>
        </w:rPr>
        <w:t>60193336</w:t>
      </w:r>
    </w:p>
    <w:p w14:paraId="38B772CE" w14:textId="77777777" w:rsidR="00DA0D1C" w:rsidRPr="007F2682" w:rsidRDefault="00507FD8" w:rsidP="00507FD8">
      <w:pPr>
        <w:rPr>
          <w:rFonts w:cs="Arial"/>
          <w:b/>
          <w:szCs w:val="22"/>
        </w:rPr>
      </w:pPr>
      <w:r w:rsidRPr="007F2682">
        <w:rPr>
          <w:rFonts w:cs="Arial"/>
          <w:b/>
          <w:szCs w:val="22"/>
        </w:rPr>
        <w:t>Kontaktní osoba (vč. telefonního čísla a adresy elektronické pošty):</w:t>
      </w:r>
      <w:r w:rsidR="00DA0D1C" w:rsidRPr="007F2682">
        <w:rPr>
          <w:rFonts w:cs="Arial"/>
          <w:b/>
          <w:szCs w:val="22"/>
        </w:rPr>
        <w:t xml:space="preserve"> </w:t>
      </w:r>
    </w:p>
    <w:p w14:paraId="70BC24B2" w14:textId="2E8C36B0" w:rsidR="00507FD8" w:rsidRPr="007F2682" w:rsidRDefault="005E56DC" w:rsidP="00507FD8">
      <w:pPr>
        <w:rPr>
          <w:rFonts w:cs="Arial"/>
          <w:szCs w:val="22"/>
        </w:rPr>
      </w:pPr>
      <w:r>
        <w:rPr>
          <w:rFonts w:cs="Arial"/>
          <w:szCs w:val="22"/>
        </w:rPr>
        <w:t>Ing</w:t>
      </w:r>
      <w:r w:rsidR="0030353D">
        <w:rPr>
          <w:rFonts w:cs="Arial"/>
          <w:szCs w:val="22"/>
        </w:rPr>
        <w:t xml:space="preserve">. </w:t>
      </w:r>
      <w:r>
        <w:rPr>
          <w:rFonts w:cs="Arial"/>
          <w:szCs w:val="22"/>
        </w:rPr>
        <w:t>Miloš Koděra</w:t>
      </w:r>
      <w:r w:rsidR="00DA0D1C" w:rsidRPr="007F2682">
        <w:rPr>
          <w:rFonts w:cs="Arial"/>
          <w:szCs w:val="22"/>
        </w:rPr>
        <w:t>, 271 46</w:t>
      </w:r>
      <w:r>
        <w:rPr>
          <w:rFonts w:cs="Arial"/>
          <w:szCs w:val="22"/>
        </w:rPr>
        <w:t>4</w:t>
      </w:r>
      <w:r w:rsidR="00DA0D1C" w:rsidRPr="007F2682">
        <w:rPr>
          <w:rFonts w:cs="Arial"/>
          <w:szCs w:val="22"/>
        </w:rPr>
        <w:t> </w:t>
      </w:r>
      <w:r>
        <w:rPr>
          <w:rFonts w:cs="Arial"/>
          <w:szCs w:val="22"/>
        </w:rPr>
        <w:t>631</w:t>
      </w:r>
      <w:r w:rsidR="00DA0D1C" w:rsidRPr="007F2682">
        <w:rPr>
          <w:rFonts w:cs="Arial"/>
          <w:szCs w:val="22"/>
        </w:rPr>
        <w:t xml:space="preserve">, </w:t>
      </w:r>
      <w:r>
        <w:rPr>
          <w:rFonts w:cs="Arial"/>
          <w:szCs w:val="22"/>
        </w:rPr>
        <w:t>milos</w:t>
      </w:r>
      <w:r w:rsidR="00846904" w:rsidRPr="007F2682">
        <w:rPr>
          <w:rFonts w:cs="Arial"/>
          <w:szCs w:val="22"/>
        </w:rPr>
        <w:t>.</w:t>
      </w:r>
      <w:r>
        <w:rPr>
          <w:rFonts w:cs="Arial"/>
          <w:szCs w:val="22"/>
        </w:rPr>
        <w:t>kodera</w:t>
      </w:r>
      <w:r w:rsidR="00DA0D1C" w:rsidRPr="007F2682">
        <w:rPr>
          <w:rFonts w:cs="Arial"/>
          <w:szCs w:val="22"/>
        </w:rPr>
        <w:t>@o2.cz</w:t>
      </w:r>
    </w:p>
    <w:p w14:paraId="7CD8B506" w14:textId="77777777" w:rsidR="004E04B6" w:rsidRPr="007F2682" w:rsidRDefault="004E04B6" w:rsidP="00507FD8">
      <w:pPr>
        <w:rPr>
          <w:rFonts w:cs="Arial"/>
          <w:b/>
          <w:szCs w:val="22"/>
        </w:rPr>
      </w:pPr>
    </w:p>
    <w:p w14:paraId="0E976667" w14:textId="77777777" w:rsidR="00507FD8" w:rsidRPr="007F2682" w:rsidRDefault="00507FD8" w:rsidP="00713561">
      <w:pPr>
        <w:rPr>
          <w:rFonts w:cs="Arial"/>
          <w:b/>
          <w:szCs w:val="22"/>
        </w:rPr>
      </w:pPr>
      <w:r w:rsidRPr="007F2682">
        <w:rPr>
          <w:rFonts w:cs="Arial"/>
          <w:b/>
          <w:szCs w:val="22"/>
        </w:rPr>
        <w:t>DŮVĚRNOST POSKYTNUTÝCH INFORMACÍ:</w:t>
      </w:r>
    </w:p>
    <w:p w14:paraId="614039A9" w14:textId="63F49D5D" w:rsidR="00050E29" w:rsidRPr="007F2682" w:rsidRDefault="00050E29" w:rsidP="00E6618D">
      <w:pPr>
        <w:pStyle w:val="Zkladntext"/>
        <w:tabs>
          <w:tab w:val="left" w:pos="540"/>
        </w:tabs>
        <w:spacing w:before="120"/>
        <w:rPr>
          <w:rFonts w:cs="Arial"/>
          <w:szCs w:val="22"/>
        </w:rPr>
      </w:pPr>
      <w:r w:rsidRPr="007F2682">
        <w:rPr>
          <w:rFonts w:cs="Arial"/>
          <w:szCs w:val="22"/>
        </w:rPr>
        <w:tab/>
      </w:r>
      <w:r w:rsidR="00507FD8" w:rsidRPr="007F2682">
        <w:rPr>
          <w:rFonts w:cs="Arial"/>
          <w:szCs w:val="22"/>
        </w:rPr>
        <w:t xml:space="preserve">Český telekomunikační úřad </w:t>
      </w:r>
      <w:r w:rsidR="009F3AA9">
        <w:rPr>
          <w:rFonts w:cs="Arial"/>
          <w:szCs w:val="22"/>
        </w:rPr>
        <w:t xml:space="preserve">(dále jen „ČTÚ“) </w:t>
      </w:r>
      <w:r w:rsidR="00507FD8" w:rsidRPr="007F2682">
        <w:rPr>
          <w:rFonts w:cs="Arial"/>
          <w:szCs w:val="22"/>
        </w:rPr>
        <w:t>bude považovat zde poskytnuté informace za důvěrné, pouze pokud je dotčený subjekt označí jako důvěrné nebo jako obchodní tajemství.</w:t>
      </w:r>
    </w:p>
    <w:p w14:paraId="77F0E3BB" w14:textId="77777777" w:rsidR="00507FD8" w:rsidRPr="007F2682" w:rsidRDefault="00507FD8" w:rsidP="00E6618D">
      <w:pPr>
        <w:pStyle w:val="Zkladntext"/>
        <w:tabs>
          <w:tab w:val="left" w:pos="540"/>
        </w:tabs>
        <w:spacing w:before="120"/>
        <w:rPr>
          <w:rFonts w:cs="Arial"/>
          <w:szCs w:val="22"/>
        </w:rPr>
      </w:pPr>
      <w:r w:rsidRPr="007F2682">
        <w:rPr>
          <w:rFonts w:cs="Arial"/>
          <w:szCs w:val="22"/>
        </w:rPr>
        <w:tab/>
        <w:t>Český telekomunikační úřad si vyhrazuje právo použít poskytnuté údaje, s výjimkou údajů označených jako důvěrné nebo jako obchodní tajemství, a tyto údaje též uveřejnit podle Pravidel Českého telekomunikačního úřadu pro vedení konzultací na diskusním místě.</w:t>
      </w:r>
    </w:p>
    <w:p w14:paraId="6F5D66E1" w14:textId="77777777" w:rsidR="00151122" w:rsidRPr="007F2682" w:rsidRDefault="001F587B" w:rsidP="001F587B">
      <w:pPr>
        <w:pStyle w:val="Zkladntext"/>
        <w:spacing w:before="120"/>
        <w:ind w:firstLine="540"/>
        <w:rPr>
          <w:rFonts w:cs="Arial"/>
          <w:szCs w:val="22"/>
        </w:rPr>
      </w:pPr>
      <w:r w:rsidRPr="007F2682">
        <w:rPr>
          <w:rFonts w:cs="Arial"/>
          <w:szCs w:val="22"/>
        </w:rPr>
        <w:t xml:space="preserve">Pokud dotčený subjekt označí připomínku, popřípadě její část, za důvěrnou nebo jako obchodní tajemství, pak taková připomínka nebude </w:t>
      </w:r>
      <w:r w:rsidR="00151122" w:rsidRPr="007F2682">
        <w:rPr>
          <w:rFonts w:cs="Arial"/>
          <w:szCs w:val="22"/>
        </w:rPr>
        <w:t>uveřejněna na diskusním místě. Obdobně se postupuje i v případě stanovisek a názorů.</w:t>
      </w:r>
    </w:p>
    <w:p w14:paraId="6D40BFF2" w14:textId="77777777" w:rsidR="001F587B" w:rsidRPr="007F2682" w:rsidRDefault="00151122" w:rsidP="001F587B">
      <w:pPr>
        <w:pStyle w:val="Zkladntext"/>
        <w:spacing w:before="120"/>
        <w:ind w:firstLine="540"/>
        <w:rPr>
          <w:rFonts w:cs="Arial"/>
          <w:szCs w:val="22"/>
        </w:rPr>
      </w:pPr>
      <w:r w:rsidRPr="007F2682">
        <w:rPr>
          <w:rFonts w:cs="Arial"/>
          <w:szCs w:val="22"/>
        </w:rPr>
        <w:t xml:space="preserve">Připomínky, které nebudou uveřejněny </w:t>
      </w:r>
      <w:r w:rsidR="00050E29" w:rsidRPr="007F2682">
        <w:rPr>
          <w:rFonts w:cs="Arial"/>
          <w:szCs w:val="22"/>
        </w:rPr>
        <w:t>na diskusním místě</w:t>
      </w:r>
      <w:r w:rsidR="00D055DC" w:rsidRPr="007F2682">
        <w:rPr>
          <w:rFonts w:cs="Arial"/>
          <w:szCs w:val="22"/>
        </w:rPr>
        <w:t>,</w:t>
      </w:r>
      <w:r w:rsidR="00050E29" w:rsidRPr="007F2682">
        <w:rPr>
          <w:rFonts w:cs="Arial"/>
          <w:szCs w:val="22"/>
        </w:rPr>
        <w:t xml:space="preserve"> </w:t>
      </w:r>
      <w:r w:rsidRPr="007F2682">
        <w:rPr>
          <w:rFonts w:cs="Arial"/>
          <w:szCs w:val="22"/>
        </w:rPr>
        <w:t xml:space="preserve">se </w:t>
      </w:r>
      <w:r w:rsidR="001F587B" w:rsidRPr="007F2682">
        <w:rPr>
          <w:rFonts w:cs="Arial"/>
          <w:szCs w:val="22"/>
        </w:rPr>
        <w:t>podle čl. 9 odst. 3 Pravidel</w:t>
      </w:r>
      <w:r w:rsidR="001F587B" w:rsidRPr="007F2682">
        <w:rPr>
          <w:rFonts w:cs="Arial"/>
          <w:b/>
          <w:szCs w:val="22"/>
        </w:rPr>
        <w:t xml:space="preserve"> </w:t>
      </w:r>
      <w:r w:rsidR="001F587B" w:rsidRPr="007F2682">
        <w:rPr>
          <w:rFonts w:cs="Arial"/>
          <w:szCs w:val="22"/>
        </w:rPr>
        <w:t>Českého telekomunikačního úřadu pro vedení konzultací na diskusním místě</w:t>
      </w:r>
      <w:r w:rsidR="00050E29" w:rsidRPr="007F2682">
        <w:rPr>
          <w:rFonts w:cs="Arial"/>
          <w:szCs w:val="22"/>
        </w:rPr>
        <w:t xml:space="preserve"> </w:t>
      </w:r>
      <w:r w:rsidR="006F1D78" w:rsidRPr="007F2682">
        <w:rPr>
          <w:rFonts w:cs="Arial"/>
          <w:szCs w:val="22"/>
        </w:rPr>
        <w:t>nevypořádávají</w:t>
      </w:r>
      <w:r w:rsidR="004752E6" w:rsidRPr="007F2682">
        <w:rPr>
          <w:rFonts w:cs="Arial"/>
          <w:szCs w:val="22"/>
        </w:rPr>
        <w:t>.</w:t>
      </w:r>
    </w:p>
    <w:p w14:paraId="68108AA4" w14:textId="77777777" w:rsidR="00507FD8" w:rsidRPr="007F2682" w:rsidRDefault="00507FD8" w:rsidP="00507FD8">
      <w:pPr>
        <w:pBdr>
          <w:bottom w:val="single" w:sz="4" w:space="1" w:color="auto"/>
        </w:pBdr>
        <w:rPr>
          <w:rFonts w:cs="Arial"/>
          <w:b/>
          <w:szCs w:val="22"/>
        </w:rPr>
      </w:pPr>
    </w:p>
    <w:p w14:paraId="44235C42" w14:textId="5FE3F788" w:rsidR="0076223B" w:rsidRPr="0076223B" w:rsidRDefault="00D27890" w:rsidP="0076223B">
      <w:pPr>
        <w:rPr>
          <w:rFonts w:cs="Arial"/>
          <w:b/>
          <w:szCs w:val="22"/>
        </w:rPr>
      </w:pPr>
      <w:r w:rsidRPr="007F2682">
        <w:rPr>
          <w:rFonts w:cs="Arial"/>
          <w:b/>
          <w:szCs w:val="22"/>
        </w:rPr>
        <w:br w:type="page"/>
      </w:r>
    </w:p>
    <w:p w14:paraId="12513B69" w14:textId="4F99D3A6" w:rsidR="0076223B" w:rsidRDefault="0076223B" w:rsidP="0076223B">
      <w:pPr>
        <w:pStyle w:val="Nadpis1"/>
      </w:pPr>
      <w:r>
        <w:lastRenderedPageBreak/>
        <w:t>Obecné připomínky</w:t>
      </w:r>
      <w:r w:rsidR="009F3AA9">
        <w:t xml:space="preserve"> ke třetím návrhu regulace velkoobchodního trhu mobilních služeb</w:t>
      </w:r>
    </w:p>
    <w:p w14:paraId="08F97FA6" w14:textId="6FD20AD8" w:rsidR="00FD23DB" w:rsidRDefault="009F3AA9" w:rsidP="0076223B">
      <w:r>
        <w:t xml:space="preserve">ČTÚ </w:t>
      </w:r>
      <w:r w:rsidR="00FB26D8">
        <w:t xml:space="preserve">dne 27. 5. 2022 zahájil </w:t>
      </w:r>
      <w:r w:rsidR="00FB26D8" w:rsidRPr="00CE174A">
        <w:rPr>
          <w:b/>
          <w:bCs/>
        </w:rPr>
        <w:t>již potřetí v posledních 8 měsících</w:t>
      </w:r>
      <w:r w:rsidR="00FB26D8">
        <w:t xml:space="preserve"> </w:t>
      </w:r>
      <w:r w:rsidR="00B52022">
        <w:t xml:space="preserve">veřejnou konzultaci </w:t>
      </w:r>
      <w:r w:rsidR="00CE58B2" w:rsidRPr="00CE58B2">
        <w:t>k uplatnění připomínek k návrhu opatření obecné povahy analýzy trhu č. A/3/XX.2022-X, trhu č. 3 – velkoobchodní trh přístupu k mobilním službám</w:t>
      </w:r>
      <w:r w:rsidR="00CE58B2">
        <w:t xml:space="preserve">, a to po rozhodnutí Evropské komise č. </w:t>
      </w:r>
      <w:r w:rsidR="00494093" w:rsidRPr="00494093">
        <w:t xml:space="preserve">C(2022) 888 </w:t>
      </w:r>
      <w:proofErr w:type="spellStart"/>
      <w:r w:rsidR="00494093" w:rsidRPr="00494093">
        <w:t>final</w:t>
      </w:r>
      <w:proofErr w:type="spellEnd"/>
      <w:r w:rsidR="00431411">
        <w:t xml:space="preserve"> o zpětvzetí návrhu opatření oznámeného Evropské komisi a následném pokusu o obejití evropských i českých právních předpisů</w:t>
      </w:r>
      <w:r w:rsidR="005F012C">
        <w:t>, kdy ČTÚ zcela v rozporu s faktickým stavem tvrdil, že</w:t>
      </w:r>
      <w:r w:rsidR="00431411">
        <w:t xml:space="preserve"> postup</w:t>
      </w:r>
      <w:r w:rsidR="005F012C">
        <w:t>uje</w:t>
      </w:r>
      <w:r w:rsidR="00431411">
        <w:t xml:space="preserve"> podle </w:t>
      </w:r>
      <w:r w:rsidR="00CE174A">
        <w:t xml:space="preserve">§ 131 odst. 5 </w:t>
      </w:r>
      <w:r w:rsidR="00CE174A" w:rsidRPr="00CE174A">
        <w:t>zákonem č. 127/2005 Sb., o elektronických komunikacích a o změně některých souvisejících zákonů (zákon o elektronických komunikacích), ve znění pozdějších předpisů (dále jen „zákon o elektronických komunikacích“)</w:t>
      </w:r>
      <w:r w:rsidR="00C830FE">
        <w:t xml:space="preserve">, </w:t>
      </w:r>
      <w:r w:rsidR="00D8061F">
        <w:t>jež byl</w:t>
      </w:r>
      <w:r w:rsidR="00C830FE">
        <w:t xml:space="preserve"> nakonec zastav</w:t>
      </w:r>
      <w:r w:rsidR="00D8061F">
        <w:t>en</w:t>
      </w:r>
      <w:r w:rsidR="00C830FE">
        <w:t xml:space="preserve"> </w:t>
      </w:r>
      <w:r w:rsidR="00D8061F">
        <w:t>j</w:t>
      </w:r>
      <w:r w:rsidR="00C830FE">
        <w:t>i</w:t>
      </w:r>
      <w:r w:rsidR="00D8061F">
        <w:t>ž</w:t>
      </w:r>
      <w:r w:rsidR="00C830FE">
        <w:t xml:space="preserve"> </w:t>
      </w:r>
      <w:r w:rsidR="00D8061F">
        <w:t>rozhodnutím</w:t>
      </w:r>
      <w:r w:rsidR="00C830FE">
        <w:t xml:space="preserve"> Rad</w:t>
      </w:r>
      <w:r w:rsidR="00D8061F">
        <w:t>y</w:t>
      </w:r>
      <w:r w:rsidR="00C830FE">
        <w:t xml:space="preserve"> ČTÚ</w:t>
      </w:r>
      <w:r w:rsidR="00CE174A">
        <w:t>.</w:t>
      </w:r>
      <w:r w:rsidR="00D55B06">
        <w:t xml:space="preserve"> </w:t>
      </w:r>
      <w:r w:rsidR="00274B47">
        <w:t xml:space="preserve">Ve stejném období jako stávající veřejná konzultace </w:t>
      </w:r>
      <w:r w:rsidR="00274B47" w:rsidRPr="00954F69">
        <w:rPr>
          <w:u w:val="single"/>
        </w:rPr>
        <w:t>probíhá či probíhalo</w:t>
      </w:r>
      <w:r w:rsidR="00274B47" w:rsidRPr="003573C6">
        <w:rPr>
          <w:u w:val="single"/>
        </w:rPr>
        <w:t xml:space="preserve"> </w:t>
      </w:r>
      <w:r w:rsidR="00FD23DB" w:rsidRPr="003573C6">
        <w:rPr>
          <w:u w:val="single"/>
        </w:rPr>
        <w:t>minimálně 13 dalších veřejných konzultací</w:t>
      </w:r>
      <w:r w:rsidR="00FD23DB">
        <w:t>, z nichž některé obsahují návrhy, které mohou mít zásadní dopad na trh elektronických komunikací.</w:t>
      </w:r>
      <w:r w:rsidR="00A24FC2">
        <w:t xml:space="preserve"> Kapacity tržních subjektů </w:t>
      </w:r>
      <w:r w:rsidR="0073665C">
        <w:t xml:space="preserve">opravdu </w:t>
      </w:r>
      <w:r w:rsidR="00A24FC2">
        <w:t xml:space="preserve">nejsou neomezené a je nutné si uvědomit, že </w:t>
      </w:r>
      <w:r w:rsidR="0041696A">
        <w:t xml:space="preserve">opakované zásobování tržních subjektů nesmyslnými návrhy ČTÚ, které si za peníze daňových poplatníků </w:t>
      </w:r>
      <w:r w:rsidR="0073665C">
        <w:t xml:space="preserve">na jejich zpracování </w:t>
      </w:r>
      <w:r w:rsidR="001E7E10">
        <w:t xml:space="preserve">najímá </w:t>
      </w:r>
      <w:r w:rsidR="0073665C">
        <w:t>externí poradenské společnosti a poradce,</w:t>
      </w:r>
      <w:r w:rsidR="0041696A">
        <w:t xml:space="preserve"> výrazně znesnadňuje podnikání v České republice.</w:t>
      </w:r>
    </w:p>
    <w:p w14:paraId="6008DBF5" w14:textId="7FD5D770" w:rsidR="00FD23DB" w:rsidRDefault="00FD23DB" w:rsidP="0076223B">
      <w:r>
        <w:t>ČTÚ tak postupuje nepřiměřeně, když se po jednoznačném vyjádření Evropské komise a relevantních nevypořádaných připomínkách společnosti O2 Czech Republic a.s. (dále jen „společnost O2“) snaží opětovně zahájit proces umožňující</w:t>
      </w:r>
      <w:r w:rsidR="001E7E10">
        <w:t xml:space="preserve"> </w:t>
      </w:r>
      <w:r>
        <w:t>mu regulovat velkoobchodní trh přístupu k mobilním službám. Analýza je opětovně zcela zřejmě připravena externími poradci, za které ČTÚ z veřejného rozpočtu vynaložil</w:t>
      </w:r>
      <w:r w:rsidR="00C13B21">
        <w:t xml:space="preserve"> již</w:t>
      </w:r>
      <w:r>
        <w:t xml:space="preserve"> desítky miliónů Kč, jak vyplývá z registru smluv či informací zveřejněných v médiích.</w:t>
      </w:r>
      <w:r w:rsidR="00C13B21">
        <w:rPr>
          <w:rStyle w:val="Znakapoznpodarou"/>
        </w:rPr>
        <w:footnoteReference w:id="1"/>
      </w:r>
      <w:r w:rsidR="00C13B21">
        <w:t xml:space="preserve"> Nové znění přitom nepřináší žádné nové relevantní poznatky</w:t>
      </w:r>
      <w:r w:rsidR="00E17593">
        <w:t>,</w:t>
      </w:r>
      <w:r w:rsidR="00C13B21">
        <w:t xml:space="preserve"> ani </w:t>
      </w:r>
      <w:r w:rsidR="00EB5F40">
        <w:t xml:space="preserve">nepředstavuje žádnou </w:t>
      </w:r>
      <w:r w:rsidR="00C13B21">
        <w:t xml:space="preserve">významnou </w:t>
      </w:r>
      <w:r w:rsidR="00EB5F40">
        <w:t xml:space="preserve">negativní </w:t>
      </w:r>
      <w:r w:rsidR="00C13B21">
        <w:t xml:space="preserve">změnu na trhu elektronických komunikací, která by odůvodňovala opětovnou snahu ČTÚ. Tímto </w:t>
      </w:r>
      <w:r w:rsidR="00617EC9">
        <w:t xml:space="preserve">bezprecedentním </w:t>
      </w:r>
      <w:r w:rsidR="00C13B21">
        <w:t>postupem neúměrně a nepřiměřeně zatěžuje podnikatele v elektronických komunikacích</w:t>
      </w:r>
      <w:r w:rsidR="00C605CA">
        <w:t xml:space="preserve"> a </w:t>
      </w:r>
      <w:r w:rsidR="00C605CA" w:rsidRPr="00FF38F3">
        <w:rPr>
          <w:u w:val="single"/>
        </w:rPr>
        <w:t xml:space="preserve">velmi </w:t>
      </w:r>
      <w:proofErr w:type="spellStart"/>
      <w:r w:rsidR="00C605CA" w:rsidRPr="00FF38F3">
        <w:rPr>
          <w:u w:val="single"/>
        </w:rPr>
        <w:t>zneatraktivňuje</w:t>
      </w:r>
      <w:proofErr w:type="spellEnd"/>
      <w:r w:rsidR="00C605CA" w:rsidRPr="00FF38F3">
        <w:rPr>
          <w:u w:val="single"/>
        </w:rPr>
        <w:t xml:space="preserve"> podnikatelské prostředí v České republice</w:t>
      </w:r>
      <w:r w:rsidR="00C605CA">
        <w:t>, což má mimo jiné vliv na objem investic</w:t>
      </w:r>
      <w:r w:rsidR="00617EC9">
        <w:t>, které jsou podnikatelé v elektronických komunikacích ochotni v České republice v</w:t>
      </w:r>
      <w:r w:rsidR="00643E1C">
        <w:t>y</w:t>
      </w:r>
      <w:r w:rsidR="00617EC9">
        <w:t>nakládat</w:t>
      </w:r>
      <w:r w:rsidR="00FF38F3">
        <w:t xml:space="preserve">, a to </w:t>
      </w:r>
      <w:r w:rsidR="00752D6F">
        <w:t xml:space="preserve">navíc v době, kdy </w:t>
      </w:r>
      <w:r w:rsidR="0088204D">
        <w:t xml:space="preserve">je více než dříve potřeba </w:t>
      </w:r>
      <w:r w:rsidR="00FF38F3">
        <w:t>digitalizace</w:t>
      </w:r>
      <w:r w:rsidR="0088204D">
        <w:t xml:space="preserve"> procesů a celé ekonomiky</w:t>
      </w:r>
      <w:r w:rsidR="00617EC9">
        <w:t>.</w:t>
      </w:r>
    </w:p>
    <w:p w14:paraId="42C865AC" w14:textId="05899619" w:rsidR="001C41D4" w:rsidRDefault="001E7E10" w:rsidP="0076223B">
      <w:r>
        <w:rPr>
          <w:b/>
          <w:bCs/>
        </w:rPr>
        <w:t>ČTÚ překotně předkládá j</w:t>
      </w:r>
      <w:r w:rsidR="004420C3" w:rsidRPr="000235DE">
        <w:rPr>
          <w:b/>
          <w:bCs/>
        </w:rPr>
        <w:t>iž čtvrt</w:t>
      </w:r>
      <w:r>
        <w:rPr>
          <w:b/>
          <w:bCs/>
        </w:rPr>
        <w:t>ou</w:t>
      </w:r>
      <w:r w:rsidR="004420C3" w:rsidRPr="000235DE">
        <w:rPr>
          <w:b/>
          <w:bCs/>
        </w:rPr>
        <w:t xml:space="preserve"> verz</w:t>
      </w:r>
      <w:r>
        <w:rPr>
          <w:b/>
          <w:bCs/>
        </w:rPr>
        <w:t>i</w:t>
      </w:r>
      <w:r w:rsidR="004420C3" w:rsidRPr="000235DE">
        <w:rPr>
          <w:b/>
          <w:bCs/>
        </w:rPr>
        <w:t xml:space="preserve"> analýzy relevantního trhu</w:t>
      </w:r>
      <w:r w:rsidR="00E04017">
        <w:rPr>
          <w:b/>
          <w:bCs/>
        </w:rPr>
        <w:t xml:space="preserve"> a</w:t>
      </w:r>
      <w:r w:rsidR="007B5A40" w:rsidRPr="000235DE">
        <w:rPr>
          <w:b/>
          <w:bCs/>
        </w:rPr>
        <w:t xml:space="preserve"> dochází k nelogickým </w:t>
      </w:r>
      <w:r w:rsidR="00FA45FD" w:rsidRPr="000235DE">
        <w:rPr>
          <w:b/>
          <w:bCs/>
        </w:rPr>
        <w:t>a vzájemně si odporujícím propojení</w:t>
      </w:r>
      <w:r>
        <w:rPr>
          <w:b/>
          <w:bCs/>
        </w:rPr>
        <w:t>m</w:t>
      </w:r>
      <w:r w:rsidR="00FA45FD" w:rsidRPr="000235DE">
        <w:rPr>
          <w:b/>
          <w:bCs/>
        </w:rPr>
        <w:t xml:space="preserve"> v dokumentu, když například Část C </w:t>
      </w:r>
      <w:r w:rsidR="00B4481D" w:rsidRPr="000235DE">
        <w:rPr>
          <w:b/>
          <w:bCs/>
        </w:rPr>
        <w:t>–</w:t>
      </w:r>
      <w:r w:rsidR="00FA45FD" w:rsidRPr="000235DE">
        <w:rPr>
          <w:b/>
          <w:bCs/>
        </w:rPr>
        <w:t xml:space="preserve"> </w:t>
      </w:r>
      <w:r w:rsidR="00B4481D" w:rsidRPr="000235DE">
        <w:rPr>
          <w:b/>
          <w:bCs/>
        </w:rPr>
        <w:t xml:space="preserve">Úvod k analýze relevantního trhu č. 3 </w:t>
      </w:r>
      <w:r w:rsidR="00EC142C">
        <w:rPr>
          <w:b/>
          <w:bCs/>
        </w:rPr>
        <w:t>(</w:t>
      </w:r>
      <w:r w:rsidR="007C1130">
        <w:rPr>
          <w:b/>
          <w:bCs/>
        </w:rPr>
        <w:t>s</w:t>
      </w:r>
      <w:r w:rsidR="00EC142C">
        <w:rPr>
          <w:b/>
          <w:bCs/>
        </w:rPr>
        <w:t xml:space="preserve">. 3-65) </w:t>
      </w:r>
      <w:r w:rsidR="002328F5" w:rsidRPr="000235DE">
        <w:rPr>
          <w:b/>
          <w:bCs/>
        </w:rPr>
        <w:t xml:space="preserve">je téměř stejně rozsáhlá jako samotná analýza relevantního trhu v Části D </w:t>
      </w:r>
      <w:r w:rsidR="00EC142C">
        <w:rPr>
          <w:b/>
          <w:bCs/>
        </w:rPr>
        <w:t>(s. 66-</w:t>
      </w:r>
      <w:r w:rsidR="007C1130">
        <w:rPr>
          <w:b/>
          <w:bCs/>
        </w:rPr>
        <w:t xml:space="preserve">146) </w:t>
      </w:r>
      <w:r w:rsidR="002458AA" w:rsidRPr="000235DE">
        <w:rPr>
          <w:b/>
          <w:bCs/>
        </w:rPr>
        <w:t xml:space="preserve">a z části shrnuje skutečnosti uvedené v analýze a z části obsahuje skutečnosti a z nich vyplývající závěry, které </w:t>
      </w:r>
      <w:r w:rsidR="00B32125">
        <w:rPr>
          <w:b/>
          <w:bCs/>
        </w:rPr>
        <w:t xml:space="preserve">samotná </w:t>
      </w:r>
      <w:r w:rsidR="00566D80" w:rsidRPr="000235DE">
        <w:rPr>
          <w:b/>
          <w:bCs/>
        </w:rPr>
        <w:t>analýza neobsahuje</w:t>
      </w:r>
      <w:r w:rsidR="00E04017">
        <w:rPr>
          <w:b/>
          <w:bCs/>
        </w:rPr>
        <w:t>.</w:t>
      </w:r>
      <w:r w:rsidR="00566D80">
        <w:t xml:space="preserve"> </w:t>
      </w:r>
      <w:r w:rsidR="00E04017">
        <w:t xml:space="preserve">Výsledkem je </w:t>
      </w:r>
      <w:r w:rsidR="00566D80">
        <w:t xml:space="preserve">absolutně nepřehledný a nevěrohodný dokument, který je zahlcen </w:t>
      </w:r>
      <w:r w:rsidR="00BB2042">
        <w:t xml:space="preserve">opakovanou </w:t>
      </w:r>
      <w:r w:rsidR="00566D80">
        <w:t xml:space="preserve">snahou ČTÚ vypořádat se s námitkami </w:t>
      </w:r>
      <w:r w:rsidR="00BB2042">
        <w:t xml:space="preserve">nejrůznějších subjektů a </w:t>
      </w:r>
      <w:r w:rsidR="006E67F7">
        <w:t xml:space="preserve">zoufalým </w:t>
      </w:r>
      <w:r w:rsidR="00BB2042">
        <w:t xml:space="preserve">vnášením </w:t>
      </w:r>
      <w:r w:rsidR="006E67F7">
        <w:t>nesmyslných myšlenek vlastních či myšlenek externích poradců.</w:t>
      </w:r>
    </w:p>
    <w:p w14:paraId="719E8A10" w14:textId="7C494F0C" w:rsidR="00CE174A" w:rsidRDefault="00D8061F" w:rsidP="0076223B">
      <w:r>
        <w:lastRenderedPageBreak/>
        <w:t xml:space="preserve">Společnost O2 odkazuje na připomínky uplatněné v mnoha předchozích veřejných konzultacích týkajících se regulace přístupu k mobilním službám na velkoobchodním trhu, z nichž většina je bohužel platných i </w:t>
      </w:r>
      <w:r w:rsidR="002E1684">
        <w:t>nadále, jelikož ČTÚ se k vypořádání jednotlivých připomínek staví velmi zvláštně, jak prokázalo i rozhodnutí Evropské komise</w:t>
      </w:r>
      <w:r>
        <w:t>.</w:t>
      </w:r>
      <w:r w:rsidR="00985D25">
        <w:t xml:space="preserve"> </w:t>
      </w:r>
      <w:r w:rsidR="009A20E9">
        <w:t>Některé z nich tedy opětovně předkládám</w:t>
      </w:r>
      <w:r w:rsidR="0037405F">
        <w:t>e</w:t>
      </w:r>
      <w:r w:rsidR="009A20E9">
        <w:t xml:space="preserve"> i nyní, avšak u většiny z nich </w:t>
      </w:r>
      <w:r w:rsidR="000E534D">
        <w:t xml:space="preserve">doplňujeme jejich odůvodnění tak, aby reagovalo na nové, avšak stále slabé, argumenty ČTÚ. </w:t>
      </w:r>
      <w:r w:rsidR="005A2D6D">
        <w:t>Věříme, že ČTÚ bude tentokrát reagovat na připomínky v celé jejich šíři, a to včetně dílčích bodů v </w:t>
      </w:r>
      <w:r w:rsidR="00C200A2">
        <w:t>odůvodnění</w:t>
      </w:r>
      <w:r w:rsidR="000E534D">
        <w:t>ch</w:t>
      </w:r>
      <w:r w:rsidR="005A2D6D">
        <w:t xml:space="preserve"> k jednotlivým kapitolám.</w:t>
      </w:r>
    </w:p>
    <w:p w14:paraId="72D2ED1A" w14:textId="28C99C61" w:rsidR="00C200A2" w:rsidRDefault="00D57DD5" w:rsidP="0076223B">
      <w:r>
        <w:t xml:space="preserve">Závěrem musíme </w:t>
      </w:r>
      <w:r w:rsidR="00E729B2">
        <w:t>vyjádřit povzdech nad tím</w:t>
      </w:r>
      <w:r>
        <w:t xml:space="preserve">, že v době nadcházejícího předsednictví České republiky v Radě EU dokázal ČTÚ svým </w:t>
      </w:r>
      <w:r w:rsidR="00F6651E">
        <w:t xml:space="preserve">nelogickým postupem výrazně zhoršit vztahy s příslušnými evropskými institucemi. </w:t>
      </w:r>
      <w:r w:rsidR="000B2CB8">
        <w:t xml:space="preserve">Evropská komise totiž byla v poslední </w:t>
      </w:r>
      <w:r w:rsidR="005E56DC">
        <w:t xml:space="preserve">době </w:t>
      </w:r>
      <w:r w:rsidR="000B2CB8">
        <w:t xml:space="preserve">nucena </w:t>
      </w:r>
      <w:r w:rsidR="00A20059">
        <w:t xml:space="preserve">několikrát </w:t>
      </w:r>
      <w:r w:rsidR="000B2CB8">
        <w:t>zastavit analýzy trhu</w:t>
      </w:r>
      <w:r w:rsidR="003D7C28">
        <w:t>.</w:t>
      </w:r>
      <w:r w:rsidR="009C109A">
        <w:t xml:space="preserve"> Nyní po neúspěšném pokusu o obejití právních předpisů </w:t>
      </w:r>
      <w:r w:rsidR="005E56DC">
        <w:t xml:space="preserve">a </w:t>
      </w:r>
      <w:r w:rsidR="009C109A">
        <w:t xml:space="preserve">přes relevantní připomínky tržních subjektů </w:t>
      </w:r>
      <w:r w:rsidR="00E729B2">
        <w:t>předá Evropské komisi další</w:t>
      </w:r>
      <w:r w:rsidR="00FF38F3">
        <w:t xml:space="preserve"> principiálně </w:t>
      </w:r>
      <w:r w:rsidR="00E729B2">
        <w:t>stejně zpackanou verzi analýzy mobilního trhu</w:t>
      </w:r>
      <w:r w:rsidR="00FF38F3">
        <w:t>, byť pro kratší časové období</w:t>
      </w:r>
      <w:r w:rsidR="00E729B2">
        <w:t>.</w:t>
      </w:r>
    </w:p>
    <w:p w14:paraId="529A6594" w14:textId="79C33F66" w:rsidR="00267522" w:rsidRDefault="00267522" w:rsidP="0076223B">
      <w:pPr>
        <w:rPr>
          <w:b/>
          <w:bCs/>
        </w:rPr>
      </w:pPr>
      <w:r w:rsidRPr="00DB63D1">
        <w:rPr>
          <w:b/>
          <w:bCs/>
        </w:rPr>
        <w:t xml:space="preserve">Společnost O2 upozorňuje, že připomínky obsahují </w:t>
      </w:r>
      <w:r w:rsidR="00DB63D1" w:rsidRPr="00DB63D1">
        <w:rPr>
          <w:b/>
          <w:bCs/>
        </w:rPr>
        <w:t>obchodní tajemství, které je náležitě označeno a žádá ČTÚ o znepřístupnění této části dokumentu.</w:t>
      </w:r>
      <w:r w:rsidR="005C2FCC">
        <w:rPr>
          <w:rStyle w:val="Znakapoznpodarou"/>
          <w:b/>
          <w:bCs/>
        </w:rPr>
        <w:footnoteReference w:id="2"/>
      </w:r>
    </w:p>
    <w:p w14:paraId="391A5941" w14:textId="42DEEDCD" w:rsidR="0073665C" w:rsidRDefault="0073665C">
      <w:pPr>
        <w:spacing w:after="0" w:line="240" w:lineRule="auto"/>
        <w:jc w:val="left"/>
        <w:rPr>
          <w:b/>
          <w:bCs/>
        </w:rPr>
      </w:pPr>
      <w:r>
        <w:rPr>
          <w:b/>
          <w:bCs/>
        </w:rPr>
        <w:br w:type="page"/>
      </w:r>
    </w:p>
    <w:p w14:paraId="6B289AD8" w14:textId="574658F7" w:rsidR="00507FD8" w:rsidRPr="007F2682" w:rsidRDefault="00507FD8" w:rsidP="0076223B">
      <w:pPr>
        <w:pStyle w:val="Nadpis1"/>
      </w:pPr>
      <w:r w:rsidRPr="007F2682">
        <w:lastRenderedPageBreak/>
        <w:t>PŘIPOMÍNKY k jednotlivým částem/ustanovením návrhu opatření:</w:t>
      </w:r>
    </w:p>
    <w:p w14:paraId="647170C9" w14:textId="5088C8DD" w:rsidR="00952E1E" w:rsidRPr="007F2682" w:rsidRDefault="00286B01" w:rsidP="00952E1E">
      <w:pPr>
        <w:pStyle w:val="Nadpis2"/>
        <w:rPr>
          <w:szCs w:val="26"/>
        </w:rPr>
      </w:pPr>
      <w:r w:rsidRPr="007F2682">
        <w:rPr>
          <w:szCs w:val="26"/>
        </w:rPr>
        <w:t>Zastavení</w:t>
      </w:r>
      <w:r w:rsidR="00952E1E" w:rsidRPr="007F2682">
        <w:rPr>
          <w:szCs w:val="26"/>
        </w:rPr>
        <w:t xml:space="preserve"> </w:t>
      </w:r>
      <w:r w:rsidRPr="007F2682">
        <w:rPr>
          <w:szCs w:val="26"/>
        </w:rPr>
        <w:t xml:space="preserve">analýzy </w:t>
      </w:r>
      <w:r w:rsidR="00952E1E" w:rsidRPr="007F2682">
        <w:rPr>
          <w:szCs w:val="26"/>
        </w:rPr>
        <w:t>relevantního trhu, který není uveden v Doporučení komise</w:t>
      </w:r>
    </w:p>
    <w:p w14:paraId="16F5A688" w14:textId="77777777" w:rsidR="00952E1E" w:rsidRPr="007F2682" w:rsidRDefault="00952E1E" w:rsidP="007F2682">
      <w:pPr>
        <w:pStyle w:val="Podnadpis"/>
      </w:pPr>
      <w:r w:rsidRPr="007F2682">
        <w:t xml:space="preserve">Návrh na doplnění, změnu, zrušení nebo nahrazení textu ustanovení návrhu opatření: </w:t>
      </w:r>
    </w:p>
    <w:p w14:paraId="0C03BBED" w14:textId="5637047E" w:rsidR="00952E1E" w:rsidRPr="007F2682" w:rsidRDefault="00952E1E" w:rsidP="00952E1E">
      <w:pPr>
        <w:ind w:left="357"/>
        <w:rPr>
          <w:rFonts w:cs="Arial"/>
          <w:b/>
        </w:rPr>
      </w:pPr>
      <w:r w:rsidRPr="007F2682">
        <w:rPr>
          <w:rFonts w:cs="Arial"/>
          <w:b/>
        </w:rPr>
        <w:t xml:space="preserve">Na základě </w:t>
      </w:r>
      <w:r w:rsidR="009524A0" w:rsidRPr="007F2682">
        <w:rPr>
          <w:rFonts w:cs="Arial"/>
          <w:b/>
        </w:rPr>
        <w:t xml:space="preserve">neopodstatněnosti snahy Českého telekomunikačního úřadu o </w:t>
      </w:r>
      <w:r w:rsidR="00466A1C">
        <w:rPr>
          <w:rFonts w:cs="Arial"/>
          <w:b/>
        </w:rPr>
        <w:t xml:space="preserve">zpracování </w:t>
      </w:r>
      <w:r w:rsidR="003B187C">
        <w:rPr>
          <w:rFonts w:cs="Arial"/>
          <w:b/>
        </w:rPr>
        <w:t>analýz</w:t>
      </w:r>
      <w:r w:rsidR="001E7E10">
        <w:rPr>
          <w:rFonts w:cs="Arial"/>
          <w:b/>
        </w:rPr>
        <w:t>y</w:t>
      </w:r>
      <w:r w:rsidR="003B187C">
        <w:rPr>
          <w:rFonts w:cs="Arial"/>
          <w:b/>
        </w:rPr>
        <w:t xml:space="preserve"> </w:t>
      </w:r>
      <w:r w:rsidR="009524A0" w:rsidRPr="007F2682">
        <w:rPr>
          <w:rFonts w:cs="Arial"/>
          <w:b/>
        </w:rPr>
        <w:t xml:space="preserve">relevantního trhu, který není </w:t>
      </w:r>
      <w:r w:rsidR="003B187C">
        <w:rPr>
          <w:rFonts w:cs="Arial"/>
          <w:b/>
        </w:rPr>
        <w:t>součástí aktuálního</w:t>
      </w:r>
      <w:r w:rsidR="009524A0" w:rsidRPr="007F2682">
        <w:rPr>
          <w:rFonts w:cs="Arial"/>
          <w:b/>
        </w:rPr>
        <w:t xml:space="preserve"> Doporučení Komise</w:t>
      </w:r>
      <w:r w:rsidR="00CE3BDF" w:rsidRPr="007F2682">
        <w:rPr>
          <w:rStyle w:val="Znakapoznpodarou"/>
          <w:rFonts w:cs="Arial"/>
          <w:b/>
        </w:rPr>
        <w:footnoteReference w:id="3"/>
      </w:r>
      <w:r w:rsidR="009524A0" w:rsidRPr="007F2682">
        <w:rPr>
          <w:rFonts w:cs="Arial"/>
          <w:b/>
        </w:rPr>
        <w:t xml:space="preserve">, </w:t>
      </w:r>
      <w:r w:rsidR="009F591A" w:rsidRPr="007F2682">
        <w:rPr>
          <w:rFonts w:cs="Arial"/>
          <w:b/>
        </w:rPr>
        <w:t xml:space="preserve">navrhujeme </w:t>
      </w:r>
      <w:r w:rsidR="009524A0" w:rsidRPr="007F2682">
        <w:rPr>
          <w:rFonts w:cs="Arial"/>
          <w:b/>
        </w:rPr>
        <w:t xml:space="preserve">zastavení </w:t>
      </w:r>
      <w:r w:rsidR="009F591A" w:rsidRPr="007F2682">
        <w:rPr>
          <w:rFonts w:cs="Arial"/>
          <w:b/>
        </w:rPr>
        <w:t>celého procesu</w:t>
      </w:r>
      <w:r w:rsidR="00212DEE" w:rsidRPr="007F2682">
        <w:rPr>
          <w:rFonts w:cs="Arial"/>
          <w:b/>
        </w:rPr>
        <w:t xml:space="preserve"> analýzy </w:t>
      </w:r>
      <w:r w:rsidR="006E5666" w:rsidRPr="007F2682">
        <w:rPr>
          <w:rFonts w:cs="Arial"/>
          <w:b/>
        </w:rPr>
        <w:t xml:space="preserve">tohoto </w:t>
      </w:r>
      <w:r w:rsidR="00212DEE" w:rsidRPr="007F2682">
        <w:rPr>
          <w:rFonts w:cs="Arial"/>
          <w:b/>
        </w:rPr>
        <w:t>relevantního trhu</w:t>
      </w:r>
      <w:r w:rsidR="00D26266">
        <w:rPr>
          <w:rFonts w:cs="Arial"/>
          <w:b/>
        </w:rPr>
        <w:t xml:space="preserve"> a</w:t>
      </w:r>
      <w:r w:rsidR="00005E21">
        <w:rPr>
          <w:rFonts w:cs="Arial"/>
          <w:b/>
        </w:rPr>
        <w:t xml:space="preserve"> na základě nového </w:t>
      </w:r>
      <w:proofErr w:type="spellStart"/>
      <w:r w:rsidR="00005E21">
        <w:rPr>
          <w:rFonts w:cs="Arial"/>
          <w:b/>
        </w:rPr>
        <w:t>tříkriteriálního</w:t>
      </w:r>
      <w:proofErr w:type="spellEnd"/>
      <w:r w:rsidR="00005E21">
        <w:rPr>
          <w:rFonts w:cs="Arial"/>
          <w:b/>
        </w:rPr>
        <w:t xml:space="preserve"> testu</w:t>
      </w:r>
      <w:r w:rsidR="00D26266">
        <w:rPr>
          <w:rFonts w:cs="Arial"/>
          <w:b/>
        </w:rPr>
        <w:t xml:space="preserve"> jeho vyřazení z Opatření obecné povahy </w:t>
      </w:r>
      <w:r w:rsidR="002701DB" w:rsidRPr="002701DB">
        <w:rPr>
          <w:rFonts w:cs="Arial"/>
          <w:b/>
        </w:rPr>
        <w:t>č. OOP/1/05.2021-5</w:t>
      </w:r>
      <w:r w:rsidR="002701DB">
        <w:rPr>
          <w:rFonts w:cs="Arial"/>
          <w:b/>
        </w:rPr>
        <w:t xml:space="preserve">, </w:t>
      </w:r>
      <w:r w:rsidR="002701DB" w:rsidRPr="002701DB">
        <w:rPr>
          <w:rFonts w:cs="Arial"/>
          <w:b/>
        </w:rPr>
        <w:t>kterým se stanoví relevantní trhy v oboru elektronických komunikací, včetně kritérií pro hodnocení významné tržní síly</w:t>
      </w:r>
      <w:r w:rsidR="0096736C" w:rsidRPr="007F2682">
        <w:rPr>
          <w:rFonts w:cs="Arial"/>
          <w:b/>
        </w:rPr>
        <w:t>.</w:t>
      </w:r>
    </w:p>
    <w:p w14:paraId="09A4D93B" w14:textId="77777777" w:rsidR="00952E1E" w:rsidRPr="007F2682" w:rsidRDefault="00952E1E" w:rsidP="007F2682">
      <w:pPr>
        <w:pStyle w:val="Podnadpis"/>
      </w:pPr>
      <w:r w:rsidRPr="007F2682">
        <w:t>Odůvodnění:</w:t>
      </w:r>
    </w:p>
    <w:p w14:paraId="091DFBA0" w14:textId="721DE006" w:rsidR="009A1C41" w:rsidRDefault="00C11350" w:rsidP="00040DE6">
      <w:pPr>
        <w:spacing w:after="100"/>
        <w:ind w:left="357"/>
        <w:rPr>
          <w:rFonts w:cs="Arial"/>
        </w:rPr>
      </w:pPr>
      <w:r w:rsidRPr="004A2B4C">
        <w:rPr>
          <w:rFonts w:cs="Arial"/>
          <w:b/>
        </w:rPr>
        <w:t>Spole</w:t>
      </w:r>
      <w:r w:rsidRPr="004A2B4C">
        <w:rPr>
          <w:rFonts w:cs="Cambria"/>
          <w:b/>
        </w:rPr>
        <w:t>č</w:t>
      </w:r>
      <w:r w:rsidRPr="004A2B4C">
        <w:rPr>
          <w:rFonts w:cs="Arial"/>
          <w:b/>
        </w:rPr>
        <w:t>nost O2 je i nad</w:t>
      </w:r>
      <w:r w:rsidRPr="004A2B4C">
        <w:rPr>
          <w:rFonts w:cs="Footlight MT Light"/>
          <w:b/>
        </w:rPr>
        <w:t>á</w:t>
      </w:r>
      <w:r w:rsidRPr="004A2B4C">
        <w:rPr>
          <w:rFonts w:cs="Arial"/>
          <w:b/>
        </w:rPr>
        <w:t>le toho n</w:t>
      </w:r>
      <w:r w:rsidRPr="004A2B4C">
        <w:rPr>
          <w:rFonts w:cs="Footlight MT Light"/>
          <w:b/>
        </w:rPr>
        <w:t>á</w:t>
      </w:r>
      <w:r w:rsidRPr="004A2B4C">
        <w:rPr>
          <w:rFonts w:cs="Arial"/>
          <w:b/>
        </w:rPr>
        <w:t xml:space="preserve">zoru, </w:t>
      </w:r>
      <w:r w:rsidRPr="004A2B4C">
        <w:rPr>
          <w:rFonts w:cs="Cambria"/>
          <w:b/>
        </w:rPr>
        <w:t>ž</w:t>
      </w:r>
      <w:r w:rsidRPr="004A2B4C">
        <w:rPr>
          <w:rFonts w:cs="Arial"/>
          <w:b/>
        </w:rPr>
        <w:t>e vymezen</w:t>
      </w:r>
      <w:r w:rsidRPr="004A2B4C">
        <w:rPr>
          <w:rFonts w:cs="Footlight MT Light"/>
          <w:b/>
        </w:rPr>
        <w:t>í</w:t>
      </w:r>
      <w:r w:rsidR="002701DB">
        <w:rPr>
          <w:rFonts w:cs="Footlight MT Light"/>
          <w:b/>
        </w:rPr>
        <w:t xml:space="preserve"> a an</w:t>
      </w:r>
      <w:r w:rsidR="009A1C41">
        <w:rPr>
          <w:rFonts w:cs="Footlight MT Light"/>
          <w:b/>
        </w:rPr>
        <w:t>a</w:t>
      </w:r>
      <w:r w:rsidR="002701DB">
        <w:rPr>
          <w:rFonts w:cs="Footlight MT Light"/>
          <w:b/>
        </w:rPr>
        <w:t>lýza</w:t>
      </w:r>
      <w:r w:rsidRPr="004A2B4C">
        <w:rPr>
          <w:rFonts w:cs="Arial"/>
          <w:b/>
        </w:rPr>
        <w:t xml:space="preserve"> relevantn</w:t>
      </w:r>
      <w:r w:rsidRPr="004A2B4C">
        <w:rPr>
          <w:rFonts w:cs="Footlight MT Light"/>
          <w:b/>
        </w:rPr>
        <w:t>í</w:t>
      </w:r>
      <w:r w:rsidRPr="004A2B4C">
        <w:rPr>
          <w:rFonts w:cs="Arial"/>
          <w:b/>
        </w:rPr>
        <w:t>ho trhu mimo Doporu</w:t>
      </w:r>
      <w:r w:rsidR="00A7078E" w:rsidRPr="004A2B4C">
        <w:rPr>
          <w:rFonts w:cs="Cambria"/>
          <w:b/>
        </w:rPr>
        <w:t>č</w:t>
      </w:r>
      <w:r w:rsidR="00A7078E" w:rsidRPr="004A2B4C">
        <w:rPr>
          <w:rFonts w:cs="Arial"/>
          <w:b/>
        </w:rPr>
        <w:t>en</w:t>
      </w:r>
      <w:r w:rsidR="00A7078E" w:rsidRPr="004A2B4C">
        <w:rPr>
          <w:rFonts w:cs="Footlight MT Light"/>
          <w:b/>
        </w:rPr>
        <w:t>í</w:t>
      </w:r>
      <w:r w:rsidR="00A7078E" w:rsidRPr="004A2B4C">
        <w:rPr>
          <w:rFonts w:cs="Arial"/>
          <w:b/>
        </w:rPr>
        <w:t xml:space="preserve"> Komise je neopodstatn</w:t>
      </w:r>
      <w:r w:rsidR="00A7078E" w:rsidRPr="004A2B4C">
        <w:rPr>
          <w:rFonts w:cs="Cambria"/>
          <w:b/>
        </w:rPr>
        <w:t>ě</w:t>
      </w:r>
      <w:r w:rsidR="00A7078E" w:rsidRPr="004A2B4C">
        <w:rPr>
          <w:rFonts w:cs="Arial"/>
          <w:b/>
        </w:rPr>
        <w:t>n</w:t>
      </w:r>
      <w:r w:rsidR="00747554">
        <w:rPr>
          <w:rFonts w:cs="Footlight MT Light"/>
          <w:b/>
        </w:rPr>
        <w:t>á</w:t>
      </w:r>
      <w:r w:rsidR="00A7078E" w:rsidRPr="004A2B4C">
        <w:rPr>
          <w:rFonts w:cs="Arial"/>
          <w:b/>
        </w:rPr>
        <w:t>.</w:t>
      </w:r>
      <w:r w:rsidR="00A7078E" w:rsidRPr="007F2682">
        <w:rPr>
          <w:rFonts w:cs="Arial"/>
        </w:rPr>
        <w:t xml:space="preserve"> </w:t>
      </w:r>
    </w:p>
    <w:p w14:paraId="3C659D44" w14:textId="19E1DE68" w:rsidR="00DB046A" w:rsidRPr="007F2682" w:rsidRDefault="00A7078E" w:rsidP="00040DE6">
      <w:pPr>
        <w:spacing w:after="100"/>
        <w:ind w:left="357"/>
        <w:rPr>
          <w:rFonts w:cs="Arial"/>
        </w:rPr>
      </w:pPr>
      <w:r w:rsidRPr="007F2682">
        <w:rPr>
          <w:rFonts w:cs="Arial"/>
        </w:rPr>
        <w:t>Na zamýšleném trhu dochází k ú</w:t>
      </w:r>
      <w:r w:rsidRPr="007F2682">
        <w:rPr>
          <w:rFonts w:cs="Cambria"/>
        </w:rPr>
        <w:t>č</w:t>
      </w:r>
      <w:r w:rsidRPr="007F2682">
        <w:rPr>
          <w:rFonts w:cs="Arial"/>
        </w:rPr>
        <w:t>inn</w:t>
      </w:r>
      <w:r w:rsidRPr="007F2682">
        <w:rPr>
          <w:rFonts w:cs="Footlight MT Light"/>
        </w:rPr>
        <w:t>é</w:t>
      </w:r>
      <w:r w:rsidRPr="007F2682">
        <w:rPr>
          <w:rFonts w:cs="Arial"/>
        </w:rPr>
        <w:t xml:space="preserve"> kon</w:t>
      </w:r>
      <w:r w:rsidR="00DB046A" w:rsidRPr="007F2682">
        <w:rPr>
          <w:rFonts w:cs="Arial"/>
        </w:rPr>
        <w:t>kurenci, co</w:t>
      </w:r>
      <w:r w:rsidR="00DB046A" w:rsidRPr="007F2682">
        <w:rPr>
          <w:rFonts w:cs="Cambria"/>
        </w:rPr>
        <w:t>ž</w:t>
      </w:r>
      <w:r w:rsidR="00DB046A" w:rsidRPr="007F2682">
        <w:rPr>
          <w:rFonts w:cs="Arial"/>
        </w:rPr>
        <w:t xml:space="preserve"> mimo jin</w:t>
      </w:r>
      <w:r w:rsidR="00DB046A" w:rsidRPr="007F2682">
        <w:rPr>
          <w:rFonts w:cs="Footlight MT Light"/>
        </w:rPr>
        <w:t>é</w:t>
      </w:r>
      <w:r w:rsidR="00DB046A" w:rsidRPr="007F2682">
        <w:rPr>
          <w:rFonts w:cs="Arial"/>
        </w:rPr>
        <w:t xml:space="preserve"> dokazuj</w:t>
      </w:r>
      <w:r w:rsidR="00DB046A" w:rsidRPr="007F2682">
        <w:rPr>
          <w:rFonts w:cs="Footlight MT Light"/>
        </w:rPr>
        <w:t>í</w:t>
      </w:r>
      <w:r w:rsidR="00DB046A" w:rsidRPr="007F2682">
        <w:rPr>
          <w:rFonts w:cs="Arial"/>
        </w:rPr>
        <w:t>:</w:t>
      </w:r>
    </w:p>
    <w:p w14:paraId="528933F8" w14:textId="4209F9EA" w:rsidR="00DB046A" w:rsidRPr="007F2682" w:rsidRDefault="00752A00" w:rsidP="00040DE6">
      <w:pPr>
        <w:pStyle w:val="Odstavecseseznamem"/>
        <w:numPr>
          <w:ilvl w:val="0"/>
          <w:numId w:val="46"/>
        </w:numPr>
        <w:spacing w:after="100"/>
        <w:ind w:left="714" w:hanging="357"/>
        <w:contextualSpacing w:val="0"/>
        <w:rPr>
          <w:rFonts w:cs="Arial"/>
          <w:szCs w:val="22"/>
        </w:rPr>
      </w:pPr>
      <w:r w:rsidRPr="007F2682">
        <w:rPr>
          <w:rFonts w:cs="Arial"/>
          <w:szCs w:val="22"/>
        </w:rPr>
        <w:t>Č</w:t>
      </w:r>
      <w:r w:rsidR="00DB046A" w:rsidRPr="007F2682">
        <w:rPr>
          <w:rFonts w:cs="Arial"/>
          <w:szCs w:val="22"/>
        </w:rPr>
        <w:t>asté změny produktového portfolia ve veřejných cenících jednotlivých tržních subjektů a jejich z toho plynoucí diferenciace a variabilita včetně vzájemných kombinací s dalšími produkty a doplňkovými službami,</w:t>
      </w:r>
      <w:r w:rsidR="000B40E1">
        <w:rPr>
          <w:rFonts w:cs="Arial"/>
          <w:szCs w:val="22"/>
        </w:rPr>
        <w:t xml:space="preserve"> což mimo jiné dokazuj</w:t>
      </w:r>
      <w:r w:rsidR="00704A6D">
        <w:rPr>
          <w:rFonts w:cs="Arial"/>
          <w:szCs w:val="22"/>
        </w:rPr>
        <w:t>í</w:t>
      </w:r>
      <w:r w:rsidR="000B40E1">
        <w:rPr>
          <w:rFonts w:cs="Arial"/>
          <w:szCs w:val="22"/>
        </w:rPr>
        <w:t xml:space="preserve"> </w:t>
      </w:r>
      <w:r w:rsidR="00B0475F">
        <w:rPr>
          <w:rFonts w:cs="Arial"/>
          <w:szCs w:val="22"/>
        </w:rPr>
        <w:t>v</w:t>
      </w:r>
      <w:r w:rsidR="00ED7267">
        <w:rPr>
          <w:rFonts w:cs="Arial"/>
          <w:szCs w:val="22"/>
        </w:rPr>
        <w:t xml:space="preserve"> návrhu </w:t>
      </w:r>
      <w:r w:rsidR="00B0475F">
        <w:rPr>
          <w:rFonts w:cs="Arial"/>
          <w:szCs w:val="22"/>
        </w:rPr>
        <w:t>analýz</w:t>
      </w:r>
      <w:r w:rsidR="00ED7267">
        <w:rPr>
          <w:rFonts w:cs="Arial"/>
          <w:szCs w:val="22"/>
        </w:rPr>
        <w:t>y</w:t>
      </w:r>
      <w:r w:rsidR="00B0475F">
        <w:rPr>
          <w:rFonts w:cs="Arial"/>
          <w:szCs w:val="22"/>
        </w:rPr>
        <w:t xml:space="preserve"> </w:t>
      </w:r>
      <w:r w:rsidR="000B40E1">
        <w:rPr>
          <w:rFonts w:cs="Arial"/>
          <w:szCs w:val="22"/>
        </w:rPr>
        <w:t xml:space="preserve">absolutně </w:t>
      </w:r>
      <w:r w:rsidR="00B0475F">
        <w:rPr>
          <w:rFonts w:cs="Arial"/>
          <w:szCs w:val="22"/>
        </w:rPr>
        <w:t>neaktuální,</w:t>
      </w:r>
      <w:r w:rsidR="000B40E1">
        <w:rPr>
          <w:rFonts w:cs="Arial"/>
          <w:szCs w:val="22"/>
        </w:rPr>
        <w:t xml:space="preserve"> </w:t>
      </w:r>
      <w:r w:rsidR="00F131A2">
        <w:rPr>
          <w:rFonts w:cs="Arial"/>
          <w:szCs w:val="22"/>
        </w:rPr>
        <w:t xml:space="preserve">a tedy nerelevantní </w:t>
      </w:r>
      <w:r w:rsidR="000B40E1">
        <w:rPr>
          <w:rFonts w:cs="Arial"/>
          <w:szCs w:val="22"/>
        </w:rPr>
        <w:t>data</w:t>
      </w:r>
      <w:r w:rsidR="00704A6D">
        <w:rPr>
          <w:rFonts w:cs="Arial"/>
          <w:szCs w:val="22"/>
        </w:rPr>
        <w:t xml:space="preserve"> o cenách na maloobchodním trhu</w:t>
      </w:r>
      <w:r w:rsidR="00F131A2">
        <w:rPr>
          <w:rFonts w:cs="Arial"/>
          <w:szCs w:val="22"/>
        </w:rPr>
        <w:t>, k čemuž se společnost O2 blíže vyjadřuje dále,</w:t>
      </w:r>
    </w:p>
    <w:p w14:paraId="749B82C3" w14:textId="54705E7F" w:rsidR="00DB046A" w:rsidRPr="007F2682" w:rsidRDefault="00DB046A" w:rsidP="00040DE6">
      <w:pPr>
        <w:pStyle w:val="Odstavecseseznamem"/>
        <w:numPr>
          <w:ilvl w:val="0"/>
          <w:numId w:val="46"/>
        </w:numPr>
        <w:spacing w:after="100"/>
        <w:ind w:left="714" w:hanging="357"/>
        <w:contextualSpacing w:val="0"/>
        <w:rPr>
          <w:rFonts w:cs="Arial"/>
          <w:szCs w:val="22"/>
        </w:rPr>
      </w:pPr>
      <w:r w:rsidRPr="007F2682">
        <w:rPr>
          <w:rFonts w:cs="Arial"/>
          <w:szCs w:val="22"/>
        </w:rPr>
        <w:t>mnoho krátkodobých i dlouhodobých marketingových akcí s cílem zaujmout a získat nové zákazníky</w:t>
      </w:r>
      <w:r w:rsidR="00FF38F3">
        <w:rPr>
          <w:rFonts w:cs="Arial"/>
          <w:szCs w:val="22"/>
        </w:rPr>
        <w:t>,</w:t>
      </w:r>
      <w:r w:rsidRPr="007F2682">
        <w:rPr>
          <w:rFonts w:cs="Arial"/>
          <w:szCs w:val="22"/>
        </w:rPr>
        <w:t xml:space="preserve"> a </w:t>
      </w:r>
      <w:r w:rsidR="00FF38F3">
        <w:rPr>
          <w:rFonts w:cs="Arial"/>
          <w:szCs w:val="22"/>
        </w:rPr>
        <w:t xml:space="preserve">to </w:t>
      </w:r>
      <w:r w:rsidRPr="007F2682">
        <w:rPr>
          <w:rFonts w:cs="Arial"/>
          <w:szCs w:val="22"/>
        </w:rPr>
        <w:t xml:space="preserve">především zákazníky konkurence </w:t>
      </w:r>
      <w:r w:rsidR="00752A00" w:rsidRPr="007F2682">
        <w:rPr>
          <w:rFonts w:cs="Arial"/>
          <w:szCs w:val="22"/>
        </w:rPr>
        <w:t>(</w:t>
      </w:r>
      <w:r w:rsidRPr="007F2682">
        <w:rPr>
          <w:rFonts w:cs="Arial"/>
          <w:szCs w:val="22"/>
        </w:rPr>
        <w:t xml:space="preserve">vzhledem k vysoké penetraci </w:t>
      </w:r>
      <w:r w:rsidR="00B0475F">
        <w:rPr>
          <w:rFonts w:cs="Arial"/>
          <w:szCs w:val="22"/>
        </w:rPr>
        <w:t xml:space="preserve">služeb na </w:t>
      </w:r>
      <w:r w:rsidRPr="007F2682">
        <w:rPr>
          <w:rFonts w:cs="Arial"/>
          <w:szCs w:val="22"/>
        </w:rPr>
        <w:t>trhu</w:t>
      </w:r>
      <w:r w:rsidR="00752A00" w:rsidRPr="007F2682">
        <w:rPr>
          <w:rFonts w:cs="Arial"/>
          <w:szCs w:val="22"/>
        </w:rPr>
        <w:t>)</w:t>
      </w:r>
      <w:r w:rsidRPr="007F2682">
        <w:rPr>
          <w:rFonts w:cs="Arial"/>
          <w:szCs w:val="22"/>
        </w:rPr>
        <w:t>,</w:t>
      </w:r>
      <w:r w:rsidR="0000454C">
        <w:rPr>
          <w:rFonts w:cs="Arial"/>
          <w:szCs w:val="22"/>
        </w:rPr>
        <w:t xml:space="preserve"> a to jak ze strany MNO, tak ze strany MVNO,</w:t>
      </w:r>
    </w:p>
    <w:p w14:paraId="0CF47299" w14:textId="1CDCCF3C" w:rsidR="00DB046A" w:rsidRPr="007F2682" w:rsidRDefault="00E91D48" w:rsidP="00040DE6">
      <w:pPr>
        <w:pStyle w:val="Odstavecseseznamem"/>
        <w:numPr>
          <w:ilvl w:val="0"/>
          <w:numId w:val="46"/>
        </w:numPr>
        <w:spacing w:after="100"/>
        <w:ind w:left="714" w:hanging="357"/>
        <w:contextualSpacing w:val="0"/>
        <w:rPr>
          <w:rFonts w:cs="Arial"/>
          <w:szCs w:val="22"/>
        </w:rPr>
      </w:pPr>
      <w:r>
        <w:rPr>
          <w:rFonts w:cs="Arial"/>
          <w:szCs w:val="22"/>
        </w:rPr>
        <w:t>existence</w:t>
      </w:r>
      <w:r w:rsidR="00DB046A" w:rsidRPr="007F2682">
        <w:rPr>
          <w:rFonts w:cs="Arial"/>
          <w:szCs w:val="22"/>
        </w:rPr>
        <w:t xml:space="preserve"> retenčních a jiných neveřejných nabídek pro </w:t>
      </w:r>
      <w:r w:rsidR="00752A00" w:rsidRPr="007F2682">
        <w:rPr>
          <w:rFonts w:cs="Arial"/>
          <w:szCs w:val="22"/>
        </w:rPr>
        <w:t>koncové zákazníky</w:t>
      </w:r>
      <w:r w:rsidR="00DB046A" w:rsidRPr="007F2682">
        <w:rPr>
          <w:rFonts w:cs="Arial"/>
          <w:szCs w:val="22"/>
        </w:rPr>
        <w:t>,</w:t>
      </w:r>
    </w:p>
    <w:p w14:paraId="18DCFF86" w14:textId="4B8B381E" w:rsidR="00DB046A" w:rsidRPr="007F2682" w:rsidRDefault="00DB046A" w:rsidP="00040DE6">
      <w:pPr>
        <w:pStyle w:val="Odstavecseseznamem"/>
        <w:numPr>
          <w:ilvl w:val="0"/>
          <w:numId w:val="46"/>
        </w:numPr>
        <w:spacing w:after="100"/>
        <w:ind w:left="714" w:hanging="357"/>
        <w:contextualSpacing w:val="0"/>
        <w:rPr>
          <w:rFonts w:cs="Arial"/>
          <w:szCs w:val="22"/>
        </w:rPr>
      </w:pPr>
      <w:r w:rsidRPr="007F2682">
        <w:rPr>
          <w:rFonts w:cs="Arial"/>
          <w:szCs w:val="22"/>
        </w:rPr>
        <w:t xml:space="preserve">vysoký počet přenesených telefonních čísel dokládající migrace zákazníků mezi poskytovateli. </w:t>
      </w:r>
    </w:p>
    <w:p w14:paraId="1803821E" w14:textId="7F2848ED" w:rsidR="00C11350" w:rsidRPr="007F2682" w:rsidRDefault="001E7E10" w:rsidP="00DB046A">
      <w:pPr>
        <w:ind w:left="357"/>
        <w:rPr>
          <w:rFonts w:cs="Arial"/>
          <w:szCs w:val="22"/>
        </w:rPr>
      </w:pPr>
      <w:r>
        <w:rPr>
          <w:rFonts w:cs="Arial"/>
          <w:szCs w:val="22"/>
        </w:rPr>
        <w:t>ČTÚ</w:t>
      </w:r>
      <w:r w:rsidR="007B2F44" w:rsidRPr="007F2682">
        <w:rPr>
          <w:rFonts w:cs="Arial"/>
          <w:szCs w:val="22"/>
        </w:rPr>
        <w:t xml:space="preserve"> by tak měl přistoupit k zastavení a zrušení tohoto bezprecedentního postupu obdobně jako v roce 2015 při analýz</w:t>
      </w:r>
      <w:r w:rsidR="00B0475F">
        <w:rPr>
          <w:rFonts w:cs="Arial"/>
          <w:szCs w:val="22"/>
        </w:rPr>
        <w:t>e</w:t>
      </w:r>
      <w:r w:rsidR="007B2F44" w:rsidRPr="007F2682">
        <w:rPr>
          <w:rFonts w:cs="Arial"/>
          <w:szCs w:val="22"/>
        </w:rPr>
        <w:t xml:space="preserve"> </w:t>
      </w:r>
      <w:r w:rsidR="00ED7267">
        <w:rPr>
          <w:rFonts w:cs="Arial"/>
          <w:szCs w:val="22"/>
        </w:rPr>
        <w:t xml:space="preserve">tehdejšího </w:t>
      </w:r>
      <w:r w:rsidR="007B2F44" w:rsidRPr="007F2682">
        <w:rPr>
          <w:rFonts w:cs="Arial"/>
          <w:szCs w:val="22"/>
        </w:rPr>
        <w:t>trhu č. 8.</w:t>
      </w:r>
    </w:p>
    <w:p w14:paraId="7F9F28E9" w14:textId="676F6ABD" w:rsidR="004A3796" w:rsidRPr="007F2682" w:rsidRDefault="004A3796" w:rsidP="00212DEE">
      <w:pPr>
        <w:ind w:left="357"/>
        <w:rPr>
          <w:rFonts w:cs="Arial"/>
          <w:szCs w:val="22"/>
        </w:rPr>
      </w:pPr>
      <w:r w:rsidRPr="007F2682">
        <w:rPr>
          <w:rFonts w:cs="Arial"/>
          <w:szCs w:val="22"/>
        </w:rPr>
        <w:t xml:space="preserve">Uváděné srovnání ze zprávy Evropské komise </w:t>
      </w:r>
      <w:r w:rsidRPr="007F2682">
        <w:rPr>
          <w:rFonts w:cs="Arial"/>
          <w:i/>
          <w:szCs w:val="22"/>
        </w:rPr>
        <w:t xml:space="preserve">Mobile </w:t>
      </w:r>
      <w:proofErr w:type="spellStart"/>
      <w:r w:rsidRPr="007F2682">
        <w:rPr>
          <w:rFonts w:cs="Arial"/>
          <w:i/>
          <w:szCs w:val="22"/>
        </w:rPr>
        <w:t>Broadband</w:t>
      </w:r>
      <w:proofErr w:type="spellEnd"/>
      <w:r w:rsidRPr="007F2682">
        <w:rPr>
          <w:rFonts w:cs="Arial"/>
          <w:i/>
          <w:szCs w:val="22"/>
        </w:rPr>
        <w:t xml:space="preserve"> </w:t>
      </w:r>
      <w:proofErr w:type="spellStart"/>
      <w:r w:rsidRPr="007F2682">
        <w:rPr>
          <w:rFonts w:cs="Arial"/>
          <w:i/>
          <w:szCs w:val="22"/>
        </w:rPr>
        <w:t>Prices</w:t>
      </w:r>
      <w:proofErr w:type="spellEnd"/>
      <w:r w:rsidRPr="007F2682">
        <w:rPr>
          <w:rFonts w:cs="Arial"/>
          <w:i/>
          <w:szCs w:val="22"/>
        </w:rPr>
        <w:t xml:space="preserve"> in </w:t>
      </w:r>
      <w:proofErr w:type="spellStart"/>
      <w:r w:rsidRPr="007F2682">
        <w:rPr>
          <w:rFonts w:cs="Arial"/>
          <w:i/>
          <w:szCs w:val="22"/>
        </w:rPr>
        <w:t>Europe</w:t>
      </w:r>
      <w:proofErr w:type="spellEnd"/>
      <w:r w:rsidRPr="007F2682">
        <w:rPr>
          <w:rFonts w:cs="Arial"/>
          <w:i/>
          <w:szCs w:val="22"/>
        </w:rPr>
        <w:t xml:space="preserve"> </w:t>
      </w:r>
      <w:r w:rsidRPr="007F2682">
        <w:rPr>
          <w:rFonts w:cs="Arial"/>
          <w:szCs w:val="22"/>
        </w:rPr>
        <w:t>společnost O2 opakovaně zpochybňuje</w:t>
      </w:r>
      <w:r w:rsidR="00206D9E">
        <w:rPr>
          <w:rFonts w:cs="Arial"/>
          <w:szCs w:val="22"/>
        </w:rPr>
        <w:t xml:space="preserve"> a upozorňuje na metodické problémy a mezinárodní nesrovnatelnost</w:t>
      </w:r>
      <w:r w:rsidR="001E7E10">
        <w:rPr>
          <w:rFonts w:cs="Arial"/>
          <w:szCs w:val="22"/>
        </w:rPr>
        <w:t>i</w:t>
      </w:r>
      <w:r w:rsidR="007B2F44" w:rsidRPr="007F2682">
        <w:rPr>
          <w:rFonts w:cs="Arial"/>
          <w:szCs w:val="22"/>
        </w:rPr>
        <w:t xml:space="preserve">. Jedná se o ceny aplikované pouze na menší část trhu (vč. </w:t>
      </w:r>
      <w:r w:rsidR="00B751FA" w:rsidRPr="007F2682">
        <w:rPr>
          <w:rFonts w:cs="Arial"/>
          <w:szCs w:val="22"/>
        </w:rPr>
        <w:t xml:space="preserve">části </w:t>
      </w:r>
      <w:r w:rsidR="007B2F44" w:rsidRPr="007F2682">
        <w:rPr>
          <w:rFonts w:cs="Arial"/>
          <w:szCs w:val="22"/>
        </w:rPr>
        <w:t xml:space="preserve">rezidentního segmentu) a </w:t>
      </w:r>
      <w:r w:rsidR="007B2F44" w:rsidRPr="007F2682">
        <w:rPr>
          <w:rFonts w:cs="Arial"/>
          <w:szCs w:val="22"/>
        </w:rPr>
        <w:lastRenderedPageBreak/>
        <w:t>nereflektující tak reálnou nabídku ani stav na trhu mobilních služeb v České republice.</w:t>
      </w:r>
      <w:r w:rsidRPr="007F2682">
        <w:rPr>
          <w:rFonts w:cs="Arial"/>
          <w:szCs w:val="22"/>
        </w:rPr>
        <w:t xml:space="preserve"> </w:t>
      </w:r>
      <w:r w:rsidR="000C4D4A" w:rsidRPr="007F2682">
        <w:rPr>
          <w:rFonts w:cs="Arial"/>
          <w:szCs w:val="22"/>
        </w:rPr>
        <w:t xml:space="preserve">Zpráva totiž </w:t>
      </w:r>
      <w:r w:rsidR="00B751FA" w:rsidRPr="007F2682">
        <w:rPr>
          <w:rFonts w:cs="Arial"/>
          <w:szCs w:val="22"/>
        </w:rPr>
        <w:t xml:space="preserve">mimo jiné </w:t>
      </w:r>
      <w:r w:rsidR="000C4D4A" w:rsidRPr="007F2682">
        <w:rPr>
          <w:rFonts w:cs="Arial"/>
          <w:szCs w:val="22"/>
        </w:rPr>
        <w:t>ne</w:t>
      </w:r>
      <w:r w:rsidR="00B751FA" w:rsidRPr="007F2682">
        <w:rPr>
          <w:rFonts w:cs="Arial"/>
          <w:szCs w:val="22"/>
        </w:rPr>
        <w:t>počítá</w:t>
      </w:r>
      <w:r w:rsidR="000C4D4A" w:rsidRPr="007F2682">
        <w:rPr>
          <w:rFonts w:cs="Arial"/>
          <w:szCs w:val="22"/>
        </w:rPr>
        <w:t xml:space="preserve"> jak </w:t>
      </w:r>
      <w:r w:rsidR="00B751FA" w:rsidRPr="007F2682">
        <w:rPr>
          <w:rFonts w:cs="Arial"/>
          <w:szCs w:val="22"/>
        </w:rPr>
        <w:t xml:space="preserve">s </w:t>
      </w:r>
      <w:r w:rsidR="000C4D4A" w:rsidRPr="007F2682">
        <w:rPr>
          <w:rFonts w:cs="Arial"/>
          <w:szCs w:val="22"/>
        </w:rPr>
        <w:t>neveřejn</w:t>
      </w:r>
      <w:r w:rsidR="00B751FA" w:rsidRPr="007F2682">
        <w:rPr>
          <w:rFonts w:cs="Arial"/>
          <w:szCs w:val="22"/>
        </w:rPr>
        <w:t>ými cenami</w:t>
      </w:r>
      <w:r w:rsidR="000C4D4A" w:rsidRPr="007F2682">
        <w:rPr>
          <w:rFonts w:cs="Arial"/>
          <w:szCs w:val="22"/>
        </w:rPr>
        <w:t xml:space="preserve">, tak </w:t>
      </w:r>
      <w:r w:rsidR="00B751FA" w:rsidRPr="007F2682">
        <w:rPr>
          <w:rFonts w:cs="Arial"/>
          <w:szCs w:val="22"/>
        </w:rPr>
        <w:t>ani s tarify balíčkující více</w:t>
      </w:r>
      <w:r w:rsidR="000C4D4A" w:rsidRPr="007F2682">
        <w:rPr>
          <w:rFonts w:cs="Arial"/>
          <w:szCs w:val="22"/>
        </w:rPr>
        <w:t xml:space="preserve"> služeb</w:t>
      </w:r>
      <w:r w:rsidR="00617930">
        <w:rPr>
          <w:rFonts w:cs="Arial"/>
          <w:szCs w:val="22"/>
        </w:rPr>
        <w:t xml:space="preserve"> dohromady</w:t>
      </w:r>
      <w:r w:rsidR="009A1523">
        <w:rPr>
          <w:rFonts w:cs="Arial"/>
          <w:szCs w:val="22"/>
        </w:rPr>
        <w:t xml:space="preserve">. </w:t>
      </w:r>
      <w:r w:rsidR="00B751FA" w:rsidRPr="007F2682">
        <w:rPr>
          <w:rFonts w:cs="Arial"/>
          <w:szCs w:val="22"/>
        </w:rPr>
        <w:t xml:space="preserve">Obě tyto kategorie mají přitom v České republice </w:t>
      </w:r>
      <w:r w:rsidR="009A1523">
        <w:rPr>
          <w:rFonts w:cs="Arial"/>
          <w:szCs w:val="22"/>
        </w:rPr>
        <w:t>rostoucí</w:t>
      </w:r>
      <w:r w:rsidR="00B751FA" w:rsidRPr="007F2682">
        <w:rPr>
          <w:rFonts w:cs="Arial"/>
          <w:szCs w:val="22"/>
        </w:rPr>
        <w:t xml:space="preserve"> zastoupení</w:t>
      </w:r>
      <w:r w:rsidR="00617930">
        <w:rPr>
          <w:rFonts w:cs="Arial"/>
          <w:szCs w:val="22"/>
        </w:rPr>
        <w:t xml:space="preserve"> a velmi nabývají na významu v rámci hodnocení celého trhu</w:t>
      </w:r>
      <w:r w:rsidR="00B751FA" w:rsidRPr="007F2682">
        <w:rPr>
          <w:rFonts w:cs="Arial"/>
          <w:szCs w:val="22"/>
        </w:rPr>
        <w:t>.</w:t>
      </w:r>
    </w:p>
    <w:p w14:paraId="69CC4976" w14:textId="69B55B5C" w:rsidR="00752A00" w:rsidRDefault="00752A00" w:rsidP="00212DEE">
      <w:pPr>
        <w:ind w:left="357"/>
        <w:rPr>
          <w:rFonts w:cs="Arial"/>
          <w:szCs w:val="22"/>
        </w:rPr>
      </w:pPr>
      <w:r w:rsidRPr="00B1604D">
        <w:rPr>
          <w:rFonts w:cs="Arial"/>
          <w:b/>
          <w:bCs/>
          <w:szCs w:val="22"/>
          <w:u w:val="single"/>
        </w:rPr>
        <w:t xml:space="preserve">K cenové regulaci na zamýšleném trhu nedochází </w:t>
      </w:r>
      <w:r w:rsidR="007D0E25" w:rsidRPr="00B1604D">
        <w:rPr>
          <w:rFonts w:cs="Arial"/>
          <w:b/>
          <w:bCs/>
          <w:szCs w:val="22"/>
          <w:u w:val="single"/>
        </w:rPr>
        <w:t>v žádném státě Evropské unie</w:t>
      </w:r>
      <w:r w:rsidRPr="007F2682">
        <w:rPr>
          <w:rFonts w:cs="Arial"/>
          <w:szCs w:val="22"/>
        </w:rPr>
        <w:t xml:space="preserve">, </w:t>
      </w:r>
      <w:r w:rsidR="0045529B">
        <w:rPr>
          <w:rFonts w:cs="Arial"/>
          <w:szCs w:val="22"/>
        </w:rPr>
        <w:t>přičemž posledním státem regulující tento trh byl do roku 2019 Kypr</w:t>
      </w:r>
      <w:r w:rsidR="00E660B6">
        <w:rPr>
          <w:rFonts w:cs="Arial"/>
          <w:szCs w:val="22"/>
        </w:rPr>
        <w:t>, kde například došlo k umožnění přenositelnosti čísel až v roce 2017</w:t>
      </w:r>
      <w:r w:rsidR="003F119A">
        <w:rPr>
          <w:rFonts w:cs="Arial"/>
          <w:szCs w:val="22"/>
        </w:rPr>
        <w:t xml:space="preserve">, neexistuje tam žádný virtuální operátor a na trhu </w:t>
      </w:r>
      <w:r w:rsidR="00487DE4">
        <w:rPr>
          <w:rFonts w:cs="Arial"/>
          <w:szCs w:val="22"/>
        </w:rPr>
        <w:t>existuje</w:t>
      </w:r>
      <w:r w:rsidR="003F119A">
        <w:rPr>
          <w:rFonts w:cs="Arial"/>
          <w:szCs w:val="22"/>
        </w:rPr>
        <w:t xml:space="preserve"> dominantní </w:t>
      </w:r>
      <w:r w:rsidR="00487DE4">
        <w:rPr>
          <w:rFonts w:cs="Arial"/>
          <w:szCs w:val="22"/>
        </w:rPr>
        <w:t>operátor</w:t>
      </w:r>
      <w:r w:rsidRPr="007F2682">
        <w:rPr>
          <w:rFonts w:cs="Arial"/>
          <w:szCs w:val="22"/>
        </w:rPr>
        <w:t xml:space="preserve">. </w:t>
      </w:r>
      <w:r w:rsidR="00487DE4">
        <w:rPr>
          <w:rFonts w:cs="Arial"/>
          <w:szCs w:val="22"/>
        </w:rPr>
        <w:t xml:space="preserve">Předpoklady, na </w:t>
      </w:r>
      <w:proofErr w:type="gramStart"/>
      <w:r w:rsidR="00487DE4">
        <w:rPr>
          <w:rFonts w:cs="Arial"/>
          <w:szCs w:val="22"/>
        </w:rPr>
        <w:t>základě</w:t>
      </w:r>
      <w:proofErr w:type="gramEnd"/>
      <w:r w:rsidR="00487DE4">
        <w:rPr>
          <w:rFonts w:cs="Arial"/>
          <w:szCs w:val="22"/>
        </w:rPr>
        <w:t xml:space="preserve"> kterých Kypr přistoupil </w:t>
      </w:r>
      <w:r w:rsidR="001E3392">
        <w:rPr>
          <w:rFonts w:cs="Arial"/>
          <w:szCs w:val="22"/>
        </w:rPr>
        <w:t xml:space="preserve">v rámci provedeného </w:t>
      </w:r>
      <w:proofErr w:type="spellStart"/>
      <w:r w:rsidR="001E3392">
        <w:rPr>
          <w:rFonts w:cs="Arial"/>
          <w:szCs w:val="22"/>
        </w:rPr>
        <w:t>tříkriteriálního</w:t>
      </w:r>
      <w:proofErr w:type="spellEnd"/>
      <w:r w:rsidR="001E3392">
        <w:rPr>
          <w:rFonts w:cs="Arial"/>
          <w:szCs w:val="22"/>
        </w:rPr>
        <w:t xml:space="preserve"> testu </w:t>
      </w:r>
      <w:r w:rsidR="00487DE4">
        <w:rPr>
          <w:rFonts w:cs="Arial"/>
          <w:szCs w:val="22"/>
        </w:rPr>
        <w:t>k vyloučení trhu</w:t>
      </w:r>
      <w:r w:rsidR="00867E75">
        <w:rPr>
          <w:rFonts w:cs="Arial"/>
          <w:szCs w:val="22"/>
        </w:rPr>
        <w:t xml:space="preserve"> a které mohou ve světle </w:t>
      </w:r>
      <w:r w:rsidR="00B1604D">
        <w:rPr>
          <w:rFonts w:cs="Arial"/>
          <w:szCs w:val="22"/>
        </w:rPr>
        <w:t xml:space="preserve">nesrovnatelně vyšší </w:t>
      </w:r>
      <w:r w:rsidR="001E3392">
        <w:rPr>
          <w:rFonts w:cs="Arial"/>
          <w:szCs w:val="22"/>
        </w:rPr>
        <w:t>soutěž</w:t>
      </w:r>
      <w:r w:rsidR="00042394">
        <w:rPr>
          <w:rFonts w:cs="Arial"/>
          <w:szCs w:val="22"/>
        </w:rPr>
        <w:t>ní úrovně</w:t>
      </w:r>
      <w:r w:rsidR="001E3392">
        <w:rPr>
          <w:rFonts w:cs="Arial"/>
          <w:szCs w:val="22"/>
        </w:rPr>
        <w:t xml:space="preserve"> a regulační zátěže mobilních operátorů v</w:t>
      </w:r>
      <w:r w:rsidR="00F33D1A">
        <w:rPr>
          <w:rFonts w:cs="Arial"/>
          <w:szCs w:val="22"/>
        </w:rPr>
        <w:t> </w:t>
      </w:r>
      <w:r w:rsidR="001E3392">
        <w:rPr>
          <w:rFonts w:cs="Arial"/>
          <w:szCs w:val="22"/>
        </w:rPr>
        <w:t>Č</w:t>
      </w:r>
      <w:r w:rsidR="00F33D1A">
        <w:rPr>
          <w:rFonts w:cs="Arial"/>
          <w:szCs w:val="22"/>
        </w:rPr>
        <w:t>eské republice</w:t>
      </w:r>
      <w:r w:rsidR="001E3392">
        <w:rPr>
          <w:rFonts w:cs="Arial"/>
          <w:szCs w:val="22"/>
        </w:rPr>
        <w:t xml:space="preserve"> </w:t>
      </w:r>
      <w:r w:rsidR="00042394">
        <w:rPr>
          <w:rFonts w:cs="Arial"/>
          <w:szCs w:val="22"/>
        </w:rPr>
        <w:t>(</w:t>
      </w:r>
      <w:r w:rsidR="00F33D1A">
        <w:rPr>
          <w:rFonts w:cs="Arial"/>
          <w:szCs w:val="22"/>
        </w:rPr>
        <w:t>daných mimo jiné p</w:t>
      </w:r>
      <w:r w:rsidR="00042394">
        <w:rPr>
          <w:rFonts w:cs="Arial"/>
          <w:szCs w:val="22"/>
        </w:rPr>
        <w:t>ovinnostm</w:t>
      </w:r>
      <w:r w:rsidR="00F33D1A">
        <w:rPr>
          <w:rFonts w:cs="Arial"/>
          <w:szCs w:val="22"/>
        </w:rPr>
        <w:t>i</w:t>
      </w:r>
      <w:r w:rsidR="00042394">
        <w:rPr>
          <w:rFonts w:cs="Arial"/>
          <w:szCs w:val="22"/>
        </w:rPr>
        <w:t xml:space="preserve"> vyplývajícím</w:t>
      </w:r>
      <w:r w:rsidR="00F33D1A">
        <w:rPr>
          <w:rFonts w:cs="Arial"/>
          <w:szCs w:val="22"/>
        </w:rPr>
        <w:t>i</w:t>
      </w:r>
      <w:r w:rsidR="00042394">
        <w:rPr>
          <w:rFonts w:cs="Arial"/>
          <w:szCs w:val="22"/>
        </w:rPr>
        <w:t xml:space="preserve"> z přídělů </w:t>
      </w:r>
      <w:r w:rsidR="00C42141">
        <w:rPr>
          <w:rFonts w:cs="Arial"/>
          <w:szCs w:val="22"/>
        </w:rPr>
        <w:t>rádiových kmitočtů</w:t>
      </w:r>
      <w:r w:rsidR="00042394">
        <w:rPr>
          <w:rFonts w:cs="Arial"/>
          <w:szCs w:val="22"/>
        </w:rPr>
        <w:t xml:space="preserve">) </w:t>
      </w:r>
      <w:r w:rsidR="001E3392">
        <w:rPr>
          <w:rFonts w:cs="Arial"/>
          <w:szCs w:val="22"/>
        </w:rPr>
        <w:t xml:space="preserve">působit </w:t>
      </w:r>
      <w:r w:rsidR="00042394">
        <w:rPr>
          <w:rFonts w:cs="Arial"/>
          <w:szCs w:val="22"/>
        </w:rPr>
        <w:t xml:space="preserve">až </w:t>
      </w:r>
      <w:r w:rsidR="001E3392">
        <w:rPr>
          <w:rFonts w:cs="Arial"/>
          <w:szCs w:val="22"/>
        </w:rPr>
        <w:t>úsměvně,</w:t>
      </w:r>
      <w:r w:rsidR="00487DE4">
        <w:rPr>
          <w:rFonts w:cs="Arial"/>
          <w:szCs w:val="22"/>
        </w:rPr>
        <w:t xml:space="preserve"> má ČTÚ k dispozici. Evropská komise neměla ke zrušení relevantního trhu na rozdíl od </w:t>
      </w:r>
      <w:r w:rsidR="008D5BB7">
        <w:rPr>
          <w:rFonts w:cs="Arial"/>
          <w:szCs w:val="22"/>
        </w:rPr>
        <w:t xml:space="preserve">ČTÚ předloženého </w:t>
      </w:r>
      <w:proofErr w:type="spellStart"/>
      <w:r w:rsidR="008D5BB7">
        <w:rPr>
          <w:rFonts w:cs="Arial"/>
          <w:szCs w:val="22"/>
        </w:rPr>
        <w:t>tříkriteriálního</w:t>
      </w:r>
      <w:proofErr w:type="spellEnd"/>
      <w:r w:rsidR="008D5BB7">
        <w:rPr>
          <w:rFonts w:cs="Arial"/>
          <w:szCs w:val="22"/>
        </w:rPr>
        <w:t xml:space="preserve"> testu žádné komentáře.</w:t>
      </w:r>
      <w:r w:rsidR="00487DE4">
        <w:rPr>
          <w:rFonts w:cs="Arial"/>
          <w:szCs w:val="22"/>
        </w:rPr>
        <w:t xml:space="preserve"> </w:t>
      </w:r>
      <w:r w:rsidRPr="007F2682">
        <w:rPr>
          <w:rFonts w:cs="Arial"/>
          <w:szCs w:val="22"/>
        </w:rPr>
        <w:t>Unikum případného zavedení této regulace v České republice by znamenalo narušení probíhajících tržních konkurenčních procesů a zastavení či omezení přirozeného rozvoje trhu</w:t>
      </w:r>
      <w:r w:rsidR="005A79A3">
        <w:rPr>
          <w:rFonts w:cs="Arial"/>
          <w:szCs w:val="22"/>
        </w:rPr>
        <w:t>, a to v</w:t>
      </w:r>
      <w:r w:rsidR="007D373D">
        <w:rPr>
          <w:rFonts w:cs="Arial"/>
          <w:szCs w:val="22"/>
        </w:rPr>
        <w:t> </w:t>
      </w:r>
      <w:r w:rsidR="00F33D1A">
        <w:rPr>
          <w:rFonts w:cs="Arial"/>
          <w:szCs w:val="22"/>
        </w:rPr>
        <w:t xml:space="preserve">období </w:t>
      </w:r>
      <w:r w:rsidR="007D373D">
        <w:rPr>
          <w:rFonts w:cs="Arial"/>
          <w:szCs w:val="22"/>
        </w:rPr>
        <w:t>pro celou ekonomiku</w:t>
      </w:r>
      <w:r w:rsidR="005A79A3">
        <w:rPr>
          <w:rFonts w:cs="Arial"/>
          <w:szCs w:val="22"/>
        </w:rPr>
        <w:t> kritick</w:t>
      </w:r>
      <w:r w:rsidR="007D373D">
        <w:rPr>
          <w:rFonts w:cs="Arial"/>
          <w:szCs w:val="22"/>
        </w:rPr>
        <w:t>y</w:t>
      </w:r>
      <w:r w:rsidR="005A79A3">
        <w:rPr>
          <w:rFonts w:cs="Arial"/>
          <w:szCs w:val="22"/>
        </w:rPr>
        <w:t xml:space="preserve"> </w:t>
      </w:r>
      <w:r w:rsidR="007D373D">
        <w:rPr>
          <w:rFonts w:cs="Arial"/>
          <w:szCs w:val="22"/>
        </w:rPr>
        <w:t>důležitém rozvoje sítí 5G.</w:t>
      </w:r>
    </w:p>
    <w:p w14:paraId="07F864FF" w14:textId="13F4A919" w:rsidR="00A7586D" w:rsidRPr="007F2682" w:rsidRDefault="009164CD" w:rsidP="00A7586D">
      <w:pPr>
        <w:pStyle w:val="Nadpis2"/>
      </w:pPr>
      <w:r>
        <w:t xml:space="preserve">Stažení analýzy trhu </w:t>
      </w:r>
      <w:r w:rsidR="00B2266D">
        <w:t>pro nelegitimní důvody jejího zpracování</w:t>
      </w:r>
    </w:p>
    <w:p w14:paraId="5F474381" w14:textId="77777777" w:rsidR="00A7586D" w:rsidRPr="007F2682" w:rsidRDefault="00A7586D" w:rsidP="00A7586D">
      <w:pPr>
        <w:pStyle w:val="Podnadpis"/>
      </w:pPr>
      <w:r w:rsidRPr="007F2682">
        <w:t xml:space="preserve">Návrh na doplnění, změnu, zrušení nebo nahrazení textu ustanovení návrhu opatření: </w:t>
      </w:r>
    </w:p>
    <w:p w14:paraId="4BF5A6E5" w14:textId="4105B080" w:rsidR="00A7586D" w:rsidRDefault="00355DBF" w:rsidP="00A7586D">
      <w:pPr>
        <w:ind w:left="357"/>
        <w:rPr>
          <w:rFonts w:cs="Arial"/>
          <w:b/>
          <w:szCs w:val="22"/>
        </w:rPr>
      </w:pPr>
      <w:r>
        <w:rPr>
          <w:rFonts w:cs="Arial"/>
          <w:b/>
          <w:szCs w:val="22"/>
        </w:rPr>
        <w:t xml:space="preserve">Na základě zřejmých nelegitimních důvodů zpracování analýzy trhu </w:t>
      </w:r>
      <w:r w:rsidR="0086184A">
        <w:rPr>
          <w:rFonts w:cs="Arial"/>
          <w:b/>
          <w:szCs w:val="22"/>
        </w:rPr>
        <w:t xml:space="preserve">navrhujeme stažení </w:t>
      </w:r>
      <w:r w:rsidR="00B05871">
        <w:rPr>
          <w:rFonts w:cs="Arial"/>
          <w:b/>
          <w:szCs w:val="22"/>
        </w:rPr>
        <w:t xml:space="preserve">návrhu </w:t>
      </w:r>
      <w:r w:rsidR="0086184A">
        <w:rPr>
          <w:rFonts w:cs="Arial"/>
          <w:b/>
          <w:szCs w:val="22"/>
        </w:rPr>
        <w:t>analýzy a</w:t>
      </w:r>
      <w:r w:rsidR="00A6637F">
        <w:rPr>
          <w:rFonts w:cs="Arial"/>
          <w:b/>
          <w:szCs w:val="22"/>
        </w:rPr>
        <w:t xml:space="preserve"> přehodnocení zařazení trhu do relevantních trhů</w:t>
      </w:r>
      <w:r w:rsidR="004A15F0">
        <w:rPr>
          <w:rFonts w:cs="Arial"/>
          <w:b/>
          <w:szCs w:val="22"/>
        </w:rPr>
        <w:t xml:space="preserve"> v rámci zpracování </w:t>
      </w:r>
      <w:r w:rsidR="00A03724">
        <w:rPr>
          <w:rFonts w:cs="Arial"/>
          <w:b/>
          <w:szCs w:val="22"/>
        </w:rPr>
        <w:t xml:space="preserve">nového </w:t>
      </w:r>
      <w:proofErr w:type="spellStart"/>
      <w:r w:rsidR="004A15F0">
        <w:rPr>
          <w:rFonts w:cs="Arial"/>
          <w:b/>
          <w:szCs w:val="22"/>
        </w:rPr>
        <w:t>tříkriteriálního</w:t>
      </w:r>
      <w:proofErr w:type="spellEnd"/>
      <w:r w:rsidR="004A15F0">
        <w:rPr>
          <w:rFonts w:cs="Arial"/>
          <w:b/>
          <w:szCs w:val="22"/>
        </w:rPr>
        <w:t xml:space="preserve"> testu zohledňujícího připomínky sektoru a Evropské komise.</w:t>
      </w:r>
      <w:r>
        <w:rPr>
          <w:rFonts w:cs="Arial"/>
          <w:b/>
          <w:szCs w:val="22"/>
        </w:rPr>
        <w:t xml:space="preserve"> </w:t>
      </w:r>
    </w:p>
    <w:p w14:paraId="2A1082C6" w14:textId="77777777" w:rsidR="00A7586D" w:rsidRPr="007F2682" w:rsidRDefault="00A7586D" w:rsidP="00A7586D">
      <w:pPr>
        <w:pStyle w:val="Podnadpis"/>
      </w:pPr>
      <w:r w:rsidRPr="007F2682">
        <w:t>Odůvodnění:</w:t>
      </w:r>
    </w:p>
    <w:p w14:paraId="5675A8C4" w14:textId="215A4471" w:rsidR="00A7586D" w:rsidRPr="00B27D71" w:rsidRDefault="00964D9B" w:rsidP="00A7586D">
      <w:pPr>
        <w:ind w:left="357"/>
        <w:rPr>
          <w:rFonts w:cs="Arial"/>
          <w:b/>
          <w:bCs/>
          <w:szCs w:val="22"/>
        </w:rPr>
      </w:pPr>
      <w:r>
        <w:rPr>
          <w:rFonts w:cs="Arial"/>
          <w:szCs w:val="22"/>
        </w:rPr>
        <w:t>Účelem a</w:t>
      </w:r>
      <w:r w:rsidR="00A97BA6">
        <w:rPr>
          <w:rFonts w:cs="Arial"/>
          <w:szCs w:val="22"/>
        </w:rPr>
        <w:t>nalýz relevantní</w:t>
      </w:r>
      <w:r w:rsidR="00C4013B">
        <w:rPr>
          <w:rFonts w:cs="Arial"/>
          <w:szCs w:val="22"/>
        </w:rPr>
        <w:t>ch</w:t>
      </w:r>
      <w:r w:rsidR="00A97BA6">
        <w:rPr>
          <w:rFonts w:cs="Arial"/>
          <w:szCs w:val="22"/>
        </w:rPr>
        <w:t xml:space="preserve"> trh</w:t>
      </w:r>
      <w:r w:rsidR="00C4013B">
        <w:rPr>
          <w:rFonts w:cs="Arial"/>
          <w:szCs w:val="22"/>
        </w:rPr>
        <w:t>ů</w:t>
      </w:r>
      <w:r w:rsidR="00A97BA6">
        <w:rPr>
          <w:rFonts w:cs="Arial"/>
          <w:szCs w:val="22"/>
        </w:rPr>
        <w:t xml:space="preserve"> j</w:t>
      </w:r>
      <w:r w:rsidR="00C4013B">
        <w:rPr>
          <w:rFonts w:cs="Arial"/>
          <w:szCs w:val="22"/>
        </w:rPr>
        <w:t xml:space="preserve">e zajištění </w:t>
      </w:r>
      <w:r w:rsidR="00A400AD">
        <w:rPr>
          <w:rFonts w:cs="Arial"/>
          <w:szCs w:val="22"/>
        </w:rPr>
        <w:t xml:space="preserve">hospodářské soutěže </w:t>
      </w:r>
      <w:r w:rsidR="00CE51DA">
        <w:rPr>
          <w:rFonts w:cs="Arial"/>
          <w:szCs w:val="22"/>
        </w:rPr>
        <w:t>na trzích, k</w:t>
      </w:r>
      <w:r w:rsidR="002B7C48">
        <w:rPr>
          <w:rFonts w:cs="Arial"/>
          <w:szCs w:val="22"/>
        </w:rPr>
        <w:t>de</w:t>
      </w:r>
      <w:r w:rsidR="00CE51DA">
        <w:rPr>
          <w:rFonts w:cs="Arial"/>
          <w:szCs w:val="22"/>
        </w:rPr>
        <w:t xml:space="preserve"> </w:t>
      </w:r>
      <w:r w:rsidR="002B7C48">
        <w:rPr>
          <w:rFonts w:cs="Arial"/>
          <w:szCs w:val="22"/>
        </w:rPr>
        <w:t xml:space="preserve">v danou chvíli selhávají tržní procesy s předpokladem, že toto selhání bude nadále trvat </w:t>
      </w:r>
      <w:r w:rsidR="0014738C">
        <w:rPr>
          <w:rFonts w:cs="Arial"/>
          <w:szCs w:val="22"/>
        </w:rPr>
        <w:t xml:space="preserve">i </w:t>
      </w:r>
      <w:r w:rsidR="002B7C48">
        <w:rPr>
          <w:rFonts w:cs="Arial"/>
          <w:szCs w:val="22"/>
        </w:rPr>
        <w:t xml:space="preserve">po vymezené </w:t>
      </w:r>
      <w:r w:rsidR="00C46D4F">
        <w:rPr>
          <w:rFonts w:cs="Arial"/>
          <w:szCs w:val="22"/>
        </w:rPr>
        <w:t xml:space="preserve">budoucí </w:t>
      </w:r>
      <w:r w:rsidR="002B7C48">
        <w:rPr>
          <w:rFonts w:cs="Arial"/>
          <w:szCs w:val="22"/>
        </w:rPr>
        <w:t>období.</w:t>
      </w:r>
      <w:r w:rsidR="008D1A14">
        <w:rPr>
          <w:rFonts w:cs="Arial"/>
          <w:szCs w:val="22"/>
        </w:rPr>
        <w:t xml:space="preserve"> Z obsahu předloženého návrhu analýzy je zřejmé, že</w:t>
      </w:r>
      <w:r w:rsidR="0014738C">
        <w:rPr>
          <w:rFonts w:cs="Arial"/>
          <w:szCs w:val="22"/>
        </w:rPr>
        <w:t xml:space="preserve"> </w:t>
      </w:r>
      <w:r w:rsidR="00526323">
        <w:rPr>
          <w:rFonts w:cs="Arial"/>
          <w:szCs w:val="22"/>
        </w:rPr>
        <w:t xml:space="preserve">primárním </w:t>
      </w:r>
      <w:r w:rsidR="00C43160">
        <w:rPr>
          <w:rFonts w:cs="Arial"/>
          <w:szCs w:val="22"/>
        </w:rPr>
        <w:t>cílem</w:t>
      </w:r>
      <w:r w:rsidR="008212A5">
        <w:rPr>
          <w:rFonts w:cs="Arial"/>
          <w:szCs w:val="22"/>
        </w:rPr>
        <w:t xml:space="preserve">, který </w:t>
      </w:r>
      <w:r w:rsidR="00C43160">
        <w:rPr>
          <w:rFonts w:cs="Arial"/>
          <w:szCs w:val="22"/>
        </w:rPr>
        <w:t>ČTÚ</w:t>
      </w:r>
      <w:r w:rsidR="008212A5">
        <w:rPr>
          <w:rFonts w:cs="Arial"/>
          <w:szCs w:val="22"/>
        </w:rPr>
        <w:t xml:space="preserve"> sleduje</w:t>
      </w:r>
      <w:r w:rsidR="00617930">
        <w:rPr>
          <w:rFonts w:cs="Arial"/>
          <w:szCs w:val="22"/>
        </w:rPr>
        <w:t>,</w:t>
      </w:r>
      <w:r w:rsidR="00C43160">
        <w:rPr>
          <w:rFonts w:cs="Arial"/>
          <w:szCs w:val="22"/>
        </w:rPr>
        <w:t xml:space="preserve"> </w:t>
      </w:r>
      <w:r w:rsidR="00A041B1">
        <w:rPr>
          <w:rFonts w:cs="Arial"/>
          <w:szCs w:val="22"/>
        </w:rPr>
        <w:t xml:space="preserve">není zajištění hospodářské soutěže, ale </w:t>
      </w:r>
      <w:r w:rsidR="00C43160">
        <w:rPr>
          <w:rFonts w:cs="Arial"/>
          <w:szCs w:val="22"/>
        </w:rPr>
        <w:t xml:space="preserve">ovlivnění cenové hladiny na maloobchodním trhu. </w:t>
      </w:r>
      <w:r w:rsidR="002B57C7">
        <w:rPr>
          <w:rFonts w:cs="Arial"/>
          <w:szCs w:val="22"/>
        </w:rPr>
        <w:t xml:space="preserve">Nejzřejmější je to </w:t>
      </w:r>
      <w:r w:rsidR="00D27D3B">
        <w:rPr>
          <w:rFonts w:cs="Arial"/>
          <w:szCs w:val="22"/>
        </w:rPr>
        <w:t xml:space="preserve">ze skutečnosti, že </w:t>
      </w:r>
      <w:r w:rsidR="00CD35FE">
        <w:rPr>
          <w:rFonts w:cs="Arial"/>
          <w:szCs w:val="22"/>
        </w:rPr>
        <w:t xml:space="preserve">významná část </w:t>
      </w:r>
      <w:r w:rsidR="00B05871">
        <w:rPr>
          <w:rFonts w:cs="Arial"/>
          <w:szCs w:val="22"/>
        </w:rPr>
        <w:t xml:space="preserve">návrhu </w:t>
      </w:r>
      <w:r w:rsidR="00CD35FE">
        <w:rPr>
          <w:rFonts w:cs="Arial"/>
          <w:szCs w:val="22"/>
        </w:rPr>
        <w:t xml:space="preserve">analýzy trhu se věnuje právě cenové </w:t>
      </w:r>
      <w:r w:rsidR="00F179D2">
        <w:rPr>
          <w:rFonts w:cs="Arial"/>
          <w:szCs w:val="22"/>
        </w:rPr>
        <w:t>hladině na maloobchodním trhu.</w:t>
      </w:r>
      <w:r w:rsidR="004A15F0">
        <w:rPr>
          <w:rFonts w:cs="Arial"/>
          <w:szCs w:val="22"/>
        </w:rPr>
        <w:t xml:space="preserve"> </w:t>
      </w:r>
      <w:r w:rsidR="00617930">
        <w:rPr>
          <w:rFonts w:cs="Arial"/>
          <w:szCs w:val="22"/>
        </w:rPr>
        <w:t xml:space="preserve">Případné </w:t>
      </w:r>
      <w:r w:rsidR="002E1684">
        <w:rPr>
          <w:rFonts w:cs="Arial"/>
          <w:b/>
          <w:bCs/>
          <w:szCs w:val="22"/>
        </w:rPr>
        <w:t>teoretické</w:t>
      </w:r>
      <w:r w:rsidR="009B0B32" w:rsidRPr="009A7501">
        <w:rPr>
          <w:rFonts w:cs="Arial"/>
          <w:b/>
          <w:bCs/>
          <w:szCs w:val="22"/>
        </w:rPr>
        <w:t xml:space="preserve"> dokončení zamýšleného procesu a </w:t>
      </w:r>
      <w:r w:rsidR="00617930">
        <w:rPr>
          <w:rFonts w:cs="Arial"/>
          <w:b/>
          <w:bCs/>
          <w:szCs w:val="22"/>
        </w:rPr>
        <w:t xml:space="preserve">nasazení údajně nutných nápravných </w:t>
      </w:r>
      <w:r w:rsidR="009B0B32" w:rsidRPr="009A7501">
        <w:rPr>
          <w:rFonts w:cs="Arial"/>
          <w:b/>
          <w:bCs/>
          <w:szCs w:val="22"/>
        </w:rPr>
        <w:t xml:space="preserve">opatření </w:t>
      </w:r>
      <w:r w:rsidR="00617930">
        <w:rPr>
          <w:rFonts w:cs="Arial"/>
          <w:b/>
          <w:bCs/>
          <w:szCs w:val="22"/>
        </w:rPr>
        <w:t xml:space="preserve">ze strany </w:t>
      </w:r>
      <w:r w:rsidR="009B0B32" w:rsidRPr="009A7501">
        <w:rPr>
          <w:rFonts w:cs="Arial"/>
          <w:b/>
          <w:bCs/>
          <w:szCs w:val="22"/>
        </w:rPr>
        <w:t xml:space="preserve">ČTÚ </w:t>
      </w:r>
      <w:r w:rsidR="00872B34" w:rsidRPr="009A7501">
        <w:rPr>
          <w:rFonts w:cs="Arial"/>
          <w:b/>
          <w:bCs/>
          <w:szCs w:val="22"/>
        </w:rPr>
        <w:t xml:space="preserve">by přitom s velkou pravděpodobností </w:t>
      </w:r>
      <w:r w:rsidR="00A03C45" w:rsidRPr="009A7501">
        <w:rPr>
          <w:rFonts w:cs="Arial"/>
          <w:b/>
          <w:bCs/>
          <w:szCs w:val="22"/>
        </w:rPr>
        <w:t xml:space="preserve">znamenalo </w:t>
      </w:r>
      <w:r w:rsidR="007A2A76" w:rsidRPr="009A7501">
        <w:rPr>
          <w:rFonts w:cs="Arial"/>
          <w:b/>
          <w:bCs/>
          <w:szCs w:val="22"/>
        </w:rPr>
        <w:t xml:space="preserve">naopak </w:t>
      </w:r>
      <w:r w:rsidR="00617930">
        <w:rPr>
          <w:rFonts w:cs="Arial"/>
          <w:b/>
          <w:bCs/>
          <w:szCs w:val="22"/>
        </w:rPr>
        <w:t xml:space="preserve">významné </w:t>
      </w:r>
      <w:r w:rsidR="00A03C45" w:rsidRPr="009A7501">
        <w:rPr>
          <w:rFonts w:cs="Arial"/>
          <w:b/>
          <w:bCs/>
          <w:szCs w:val="22"/>
        </w:rPr>
        <w:t>zhoršení pozic</w:t>
      </w:r>
      <w:r w:rsidR="00274B90" w:rsidRPr="009A7501">
        <w:rPr>
          <w:rFonts w:cs="Arial"/>
          <w:b/>
          <w:bCs/>
          <w:szCs w:val="22"/>
        </w:rPr>
        <w:t>e</w:t>
      </w:r>
      <w:r w:rsidR="00A03C45" w:rsidRPr="009A7501">
        <w:rPr>
          <w:rFonts w:cs="Arial"/>
          <w:b/>
          <w:bCs/>
          <w:szCs w:val="22"/>
        </w:rPr>
        <w:t xml:space="preserve"> </w:t>
      </w:r>
      <w:r w:rsidR="00274B90" w:rsidRPr="009A7501">
        <w:rPr>
          <w:rFonts w:cs="Arial"/>
          <w:b/>
          <w:bCs/>
          <w:szCs w:val="22"/>
        </w:rPr>
        <w:t>virtuálních operátorů</w:t>
      </w:r>
      <w:r w:rsidR="008013D8">
        <w:rPr>
          <w:rFonts w:cs="Arial"/>
          <w:b/>
          <w:bCs/>
          <w:szCs w:val="22"/>
        </w:rPr>
        <w:t xml:space="preserve"> </w:t>
      </w:r>
      <w:r w:rsidR="008013D8" w:rsidRPr="00D2628B">
        <w:rPr>
          <w:rFonts w:cs="Arial"/>
          <w:szCs w:val="22"/>
        </w:rPr>
        <w:t>implikující</w:t>
      </w:r>
      <w:r w:rsidR="007A2A76" w:rsidRPr="000B4464">
        <w:rPr>
          <w:rFonts w:cs="Arial"/>
          <w:szCs w:val="22"/>
        </w:rPr>
        <w:t xml:space="preserve"> </w:t>
      </w:r>
      <w:r w:rsidR="008013D8">
        <w:rPr>
          <w:rFonts w:cs="Arial"/>
          <w:szCs w:val="22"/>
        </w:rPr>
        <w:t xml:space="preserve">mimo jiné i silnou </w:t>
      </w:r>
      <w:r w:rsidR="007A2A76">
        <w:rPr>
          <w:rFonts w:cs="Arial"/>
          <w:szCs w:val="22"/>
        </w:rPr>
        <w:t>konsolidac</w:t>
      </w:r>
      <w:r w:rsidR="008013D8">
        <w:rPr>
          <w:rFonts w:cs="Arial"/>
          <w:szCs w:val="22"/>
        </w:rPr>
        <w:t>i</w:t>
      </w:r>
      <w:r w:rsidR="007A2A76">
        <w:rPr>
          <w:rFonts w:cs="Arial"/>
          <w:szCs w:val="22"/>
        </w:rPr>
        <w:t xml:space="preserve"> trhu</w:t>
      </w:r>
      <w:r w:rsidR="002625BE">
        <w:rPr>
          <w:rFonts w:cs="Arial"/>
          <w:szCs w:val="22"/>
        </w:rPr>
        <w:t xml:space="preserve"> za účelem zajištění </w:t>
      </w:r>
      <w:r w:rsidR="009A7501">
        <w:rPr>
          <w:rFonts w:cs="Arial"/>
          <w:szCs w:val="22"/>
        </w:rPr>
        <w:t>fungování na neúnosně nízké cenové úrovni.</w:t>
      </w:r>
      <w:r w:rsidR="00056D05">
        <w:rPr>
          <w:rFonts w:cs="Arial"/>
          <w:szCs w:val="22"/>
        </w:rPr>
        <w:t xml:space="preserve"> </w:t>
      </w:r>
      <w:r w:rsidR="006F21D9" w:rsidRPr="006F21D9">
        <w:rPr>
          <w:rFonts w:cs="Arial"/>
          <w:szCs w:val="22"/>
        </w:rPr>
        <w:t xml:space="preserve">Od virtuálních operátorů </w:t>
      </w:r>
      <w:r w:rsidR="006F21D9">
        <w:rPr>
          <w:rFonts w:cs="Arial"/>
          <w:szCs w:val="22"/>
        </w:rPr>
        <w:t xml:space="preserve">by </w:t>
      </w:r>
      <w:r w:rsidR="00AA3394">
        <w:rPr>
          <w:rFonts w:cs="Arial"/>
          <w:szCs w:val="22"/>
        </w:rPr>
        <w:t xml:space="preserve">se </w:t>
      </w:r>
      <w:r w:rsidR="006F21D9">
        <w:rPr>
          <w:rFonts w:cs="Arial"/>
          <w:szCs w:val="22"/>
        </w:rPr>
        <w:t>totiž po regulaci velkoobchodních cen</w:t>
      </w:r>
      <w:r w:rsidR="006F21D9" w:rsidRPr="006F21D9">
        <w:rPr>
          <w:rFonts w:cs="Arial"/>
          <w:szCs w:val="22"/>
        </w:rPr>
        <w:t xml:space="preserve"> očekáv</w:t>
      </w:r>
      <w:r w:rsidR="006F21D9">
        <w:rPr>
          <w:rFonts w:cs="Arial"/>
          <w:szCs w:val="22"/>
        </w:rPr>
        <w:t>alo</w:t>
      </w:r>
      <w:r w:rsidR="006F21D9" w:rsidRPr="006F21D9">
        <w:rPr>
          <w:rFonts w:cs="Arial"/>
          <w:szCs w:val="22"/>
        </w:rPr>
        <w:t xml:space="preserve">, že na síťové operátory vyvinou dostatečný komerční tlak, aby ke snížení koncových cen skutečně došlo. </w:t>
      </w:r>
      <w:r w:rsidR="00AA3394">
        <w:rPr>
          <w:rFonts w:cs="Arial"/>
          <w:szCs w:val="22"/>
        </w:rPr>
        <w:t>R</w:t>
      </w:r>
      <w:r w:rsidR="006F21D9" w:rsidRPr="006F21D9">
        <w:rPr>
          <w:rFonts w:cs="Arial"/>
          <w:szCs w:val="22"/>
        </w:rPr>
        <w:t xml:space="preserve">ole </w:t>
      </w:r>
      <w:r w:rsidR="00AA3394">
        <w:rPr>
          <w:rFonts w:cs="Arial"/>
          <w:szCs w:val="22"/>
        </w:rPr>
        <w:t>virtuálních operátorů</w:t>
      </w:r>
      <w:r w:rsidR="006F21D9" w:rsidRPr="006F21D9">
        <w:rPr>
          <w:rFonts w:cs="Arial"/>
          <w:szCs w:val="22"/>
        </w:rPr>
        <w:t xml:space="preserve"> na trhu </w:t>
      </w:r>
      <w:r w:rsidR="00AA3394">
        <w:rPr>
          <w:rFonts w:cs="Arial"/>
          <w:szCs w:val="22"/>
        </w:rPr>
        <w:t xml:space="preserve">přitom </w:t>
      </w:r>
      <w:r w:rsidR="006F21D9" w:rsidRPr="006F21D9">
        <w:rPr>
          <w:rFonts w:cs="Arial"/>
          <w:szCs w:val="22"/>
        </w:rPr>
        <w:t xml:space="preserve">nikdy nebyla a ani nemohla </w:t>
      </w:r>
      <w:r w:rsidR="00AA3394">
        <w:rPr>
          <w:rFonts w:cs="Arial"/>
          <w:szCs w:val="22"/>
        </w:rPr>
        <w:t>spočívat v</w:t>
      </w:r>
      <w:r w:rsidR="006F21D9" w:rsidRPr="006F21D9">
        <w:rPr>
          <w:rFonts w:cs="Arial"/>
          <w:szCs w:val="22"/>
        </w:rPr>
        <w:t xml:space="preserve"> suplov</w:t>
      </w:r>
      <w:r w:rsidR="00AA3394">
        <w:rPr>
          <w:rFonts w:cs="Arial"/>
          <w:szCs w:val="22"/>
        </w:rPr>
        <w:t>ání</w:t>
      </w:r>
      <w:r w:rsidR="006F21D9" w:rsidRPr="006F21D9">
        <w:rPr>
          <w:rFonts w:cs="Arial"/>
          <w:szCs w:val="22"/>
        </w:rPr>
        <w:t xml:space="preserve"> 4.</w:t>
      </w:r>
      <w:r w:rsidR="00AA3394">
        <w:rPr>
          <w:rFonts w:cs="Arial"/>
          <w:szCs w:val="22"/>
        </w:rPr>
        <w:t>, 5. a dalšího síťového</w:t>
      </w:r>
      <w:r w:rsidR="006F21D9" w:rsidRPr="006F21D9">
        <w:rPr>
          <w:rFonts w:cs="Arial"/>
          <w:szCs w:val="22"/>
        </w:rPr>
        <w:t xml:space="preserve"> operátora, ale obsloužit konkrétní tržní segment, který nemusí být pro </w:t>
      </w:r>
      <w:r w:rsidR="00AA3394">
        <w:rPr>
          <w:rFonts w:cs="Arial"/>
          <w:szCs w:val="22"/>
        </w:rPr>
        <w:t xml:space="preserve">síťového operátora </w:t>
      </w:r>
      <w:r w:rsidR="006F21D9" w:rsidRPr="006F21D9">
        <w:rPr>
          <w:rFonts w:cs="Arial"/>
          <w:szCs w:val="22"/>
        </w:rPr>
        <w:t xml:space="preserve">dostatečně zajímavý, a na </w:t>
      </w:r>
      <w:r w:rsidR="006F21D9" w:rsidRPr="006F21D9">
        <w:rPr>
          <w:rFonts w:cs="Arial"/>
          <w:szCs w:val="22"/>
        </w:rPr>
        <w:lastRenderedPageBreak/>
        <w:t>tomto segmentu přinášet zákazníkům</w:t>
      </w:r>
      <w:r w:rsidR="00EB7D88">
        <w:rPr>
          <w:rFonts w:cs="Arial"/>
          <w:szCs w:val="22"/>
        </w:rPr>
        <w:t xml:space="preserve">, kteří </w:t>
      </w:r>
      <w:r w:rsidR="006E3D87">
        <w:rPr>
          <w:rFonts w:cs="Arial"/>
          <w:szCs w:val="22"/>
        </w:rPr>
        <w:t>poptávají</w:t>
      </w:r>
      <w:r w:rsidR="00EB7D88">
        <w:rPr>
          <w:rFonts w:cs="Arial"/>
          <w:szCs w:val="22"/>
        </w:rPr>
        <w:t xml:space="preserve"> alternativní nabídky,</w:t>
      </w:r>
      <w:r w:rsidR="006F21D9" w:rsidRPr="006F21D9">
        <w:rPr>
          <w:rFonts w:cs="Arial"/>
          <w:szCs w:val="22"/>
        </w:rPr>
        <w:t xml:space="preserve"> </w:t>
      </w:r>
      <w:r w:rsidR="00F33D1A">
        <w:rPr>
          <w:rFonts w:cs="Arial"/>
          <w:szCs w:val="22"/>
        </w:rPr>
        <w:t xml:space="preserve">osobní přístup, </w:t>
      </w:r>
      <w:r w:rsidR="006F21D9" w:rsidRPr="006F21D9">
        <w:rPr>
          <w:rFonts w:cs="Arial"/>
          <w:szCs w:val="22"/>
        </w:rPr>
        <w:t>kvalitní služby a inovace za dlouhodobě udržitelných a ziskových podmínek.</w:t>
      </w:r>
      <w:r w:rsidR="005140E5" w:rsidRPr="005140E5">
        <w:t xml:space="preserve"> </w:t>
      </w:r>
      <w:r w:rsidR="005140E5" w:rsidRPr="005140E5">
        <w:rPr>
          <w:rFonts w:cs="Arial"/>
          <w:szCs w:val="22"/>
        </w:rPr>
        <w:t xml:space="preserve">Cenová regulace daného trhu by tyto cíle zcela jistě podkopala a </w:t>
      </w:r>
      <w:r w:rsidR="005140E5">
        <w:rPr>
          <w:rFonts w:cs="Arial"/>
          <w:szCs w:val="22"/>
        </w:rPr>
        <w:t>virtuální operátory</w:t>
      </w:r>
      <w:r w:rsidR="005140E5" w:rsidRPr="005140E5">
        <w:rPr>
          <w:rFonts w:cs="Arial"/>
          <w:szCs w:val="22"/>
        </w:rPr>
        <w:t xml:space="preserve"> a jejich celkovou pozici na trhu poškodila. Jakákoliv cenová regulace předně vede k deformaci trhu a neochotě regulovaných subjektů </w:t>
      </w:r>
      <w:r w:rsidR="00F33D1A" w:rsidRPr="005140E5">
        <w:rPr>
          <w:rFonts w:cs="Arial"/>
          <w:szCs w:val="22"/>
        </w:rPr>
        <w:t xml:space="preserve">inovovat </w:t>
      </w:r>
      <w:r w:rsidR="00F33D1A">
        <w:rPr>
          <w:rFonts w:cs="Arial"/>
          <w:szCs w:val="22"/>
        </w:rPr>
        <w:t xml:space="preserve">a </w:t>
      </w:r>
      <w:r w:rsidR="005140E5" w:rsidRPr="005140E5">
        <w:rPr>
          <w:rFonts w:cs="Arial"/>
          <w:szCs w:val="22"/>
        </w:rPr>
        <w:t xml:space="preserve">investovat do produktů a technologií, které následně využívají i </w:t>
      </w:r>
      <w:r w:rsidR="005140E5">
        <w:rPr>
          <w:rFonts w:cs="Arial"/>
          <w:szCs w:val="22"/>
        </w:rPr>
        <w:t>virtuální operátoři</w:t>
      </w:r>
      <w:r w:rsidR="005140E5" w:rsidRPr="005140E5">
        <w:rPr>
          <w:rFonts w:cs="Arial"/>
          <w:szCs w:val="22"/>
        </w:rPr>
        <w:t xml:space="preserve">. </w:t>
      </w:r>
      <w:r w:rsidR="005140E5" w:rsidRPr="00D2628B">
        <w:rPr>
          <w:rFonts w:cs="Arial"/>
          <w:b/>
          <w:bCs/>
          <w:szCs w:val="22"/>
        </w:rPr>
        <w:t xml:space="preserve">Úřad </w:t>
      </w:r>
      <w:r w:rsidR="008013D8" w:rsidRPr="00D2628B">
        <w:rPr>
          <w:rFonts w:cs="Arial"/>
          <w:b/>
          <w:bCs/>
          <w:szCs w:val="22"/>
        </w:rPr>
        <w:t xml:space="preserve">tedy ve svém návrhu </w:t>
      </w:r>
      <w:r w:rsidR="005140E5" w:rsidRPr="00D2628B">
        <w:rPr>
          <w:rFonts w:cs="Arial"/>
          <w:b/>
          <w:bCs/>
          <w:szCs w:val="22"/>
        </w:rPr>
        <w:t>už žádným způsobem neřeší a v</w:t>
      </w:r>
      <w:r w:rsidR="00B05871">
        <w:rPr>
          <w:rFonts w:cs="Arial"/>
          <w:b/>
          <w:bCs/>
          <w:szCs w:val="22"/>
        </w:rPr>
        <w:t xml:space="preserve"> návrhu </w:t>
      </w:r>
      <w:r w:rsidR="005140E5" w:rsidRPr="00D2628B">
        <w:rPr>
          <w:rFonts w:cs="Arial"/>
          <w:b/>
          <w:bCs/>
          <w:szCs w:val="22"/>
        </w:rPr>
        <w:t>analýz</w:t>
      </w:r>
      <w:r w:rsidR="00B05871">
        <w:rPr>
          <w:rFonts w:cs="Arial"/>
          <w:b/>
          <w:bCs/>
          <w:szCs w:val="22"/>
        </w:rPr>
        <w:t>y</w:t>
      </w:r>
      <w:r w:rsidR="005140E5" w:rsidRPr="00D2628B">
        <w:rPr>
          <w:rFonts w:cs="Arial"/>
          <w:b/>
          <w:bCs/>
          <w:szCs w:val="22"/>
        </w:rPr>
        <w:t xml:space="preserve"> nedomýšlí, co se stane s virtuálními operátory ve chvíli, kdy </w:t>
      </w:r>
      <w:r w:rsidR="002E1684">
        <w:rPr>
          <w:rFonts w:cs="Arial"/>
          <w:b/>
          <w:bCs/>
          <w:szCs w:val="22"/>
        </w:rPr>
        <w:t>by došlo</w:t>
      </w:r>
      <w:r w:rsidR="005140E5" w:rsidRPr="00D2628B">
        <w:rPr>
          <w:rFonts w:cs="Arial"/>
          <w:b/>
          <w:bCs/>
          <w:szCs w:val="22"/>
        </w:rPr>
        <w:t xml:space="preserve"> k zamýšlenému snížení maloobchodních cen</w:t>
      </w:r>
      <w:r w:rsidR="004865C4" w:rsidRPr="00282215">
        <w:rPr>
          <w:rStyle w:val="Znakapoznpodarou"/>
          <w:rFonts w:cs="Arial"/>
          <w:b/>
          <w:bCs/>
          <w:szCs w:val="22"/>
        </w:rPr>
        <w:footnoteReference w:id="4"/>
      </w:r>
      <w:r w:rsidR="005140E5" w:rsidRPr="00B27D71">
        <w:rPr>
          <w:rFonts w:cs="Arial"/>
          <w:b/>
          <w:bCs/>
          <w:szCs w:val="22"/>
        </w:rPr>
        <w:t xml:space="preserve">. V takový okamžik už dle </w:t>
      </w:r>
      <w:r w:rsidR="001656DF" w:rsidRPr="00B27D71">
        <w:rPr>
          <w:rFonts w:cs="Arial"/>
          <w:b/>
          <w:bCs/>
          <w:szCs w:val="22"/>
        </w:rPr>
        <w:t>ČTÚ</w:t>
      </w:r>
      <w:r w:rsidR="005140E5" w:rsidRPr="00B27D71">
        <w:rPr>
          <w:rFonts w:cs="Arial"/>
          <w:b/>
          <w:bCs/>
          <w:szCs w:val="22"/>
        </w:rPr>
        <w:t xml:space="preserve"> pro regulaci pravděpodobně nebude důvod, ale ceny na trhu budou již tak nízko, že pro </w:t>
      </w:r>
      <w:r w:rsidR="001656DF" w:rsidRPr="00B27D71">
        <w:rPr>
          <w:rFonts w:cs="Arial"/>
          <w:b/>
          <w:bCs/>
          <w:szCs w:val="22"/>
        </w:rPr>
        <w:t>virtuální operátory</w:t>
      </w:r>
      <w:r w:rsidR="005140E5" w:rsidRPr="00B27D71">
        <w:rPr>
          <w:rFonts w:cs="Arial"/>
          <w:b/>
          <w:bCs/>
          <w:szCs w:val="22"/>
        </w:rPr>
        <w:t xml:space="preserve"> nebude žádný prostor pro ziskové podnikání a budou tedy nuceni podnikání ukončit. </w:t>
      </w:r>
      <w:r w:rsidR="001656DF" w:rsidRPr="00B27D71">
        <w:rPr>
          <w:rFonts w:cs="Arial"/>
          <w:b/>
          <w:bCs/>
          <w:szCs w:val="22"/>
        </w:rPr>
        <w:t>Virtuální operátoři</w:t>
      </w:r>
      <w:r w:rsidR="005140E5" w:rsidRPr="00B27D71">
        <w:rPr>
          <w:rFonts w:cs="Arial"/>
          <w:b/>
          <w:bCs/>
          <w:szCs w:val="22"/>
        </w:rPr>
        <w:t xml:space="preserve"> by v této hře tedy jen plnili roli </w:t>
      </w:r>
      <w:r w:rsidR="008013D8" w:rsidRPr="00B27D71">
        <w:rPr>
          <w:rFonts w:cs="Arial"/>
          <w:b/>
          <w:bCs/>
          <w:szCs w:val="22"/>
        </w:rPr>
        <w:t xml:space="preserve">takzvaných </w:t>
      </w:r>
      <w:r w:rsidR="005140E5" w:rsidRPr="00B27D71">
        <w:rPr>
          <w:rFonts w:cs="Arial"/>
          <w:b/>
          <w:bCs/>
          <w:szCs w:val="22"/>
        </w:rPr>
        <w:t>„užitečných idiotů“, kteří mají pomoci nepatřičně suplovat roli 4.</w:t>
      </w:r>
      <w:r w:rsidR="001656DF" w:rsidRPr="00B27D71">
        <w:rPr>
          <w:rFonts w:cs="Arial"/>
          <w:b/>
          <w:bCs/>
          <w:szCs w:val="22"/>
        </w:rPr>
        <w:t xml:space="preserve"> síťového </w:t>
      </w:r>
      <w:r w:rsidR="005140E5" w:rsidRPr="00B27D71">
        <w:rPr>
          <w:rFonts w:cs="Arial"/>
          <w:b/>
          <w:bCs/>
          <w:szCs w:val="22"/>
        </w:rPr>
        <w:t>operátora, přispět k</w:t>
      </w:r>
      <w:r w:rsidR="00E33E93">
        <w:rPr>
          <w:rFonts w:cs="Arial"/>
          <w:b/>
          <w:bCs/>
          <w:szCs w:val="22"/>
        </w:rPr>
        <w:t>e krátkodobému</w:t>
      </w:r>
      <w:r w:rsidR="005140E5" w:rsidRPr="00B27D71">
        <w:rPr>
          <w:rFonts w:cs="Arial"/>
          <w:b/>
          <w:bCs/>
          <w:szCs w:val="22"/>
        </w:rPr>
        <w:t xml:space="preserve"> celkovému propadu </w:t>
      </w:r>
      <w:r w:rsidR="001656DF" w:rsidRPr="00B27D71">
        <w:rPr>
          <w:rFonts w:cs="Arial"/>
          <w:b/>
          <w:bCs/>
          <w:szCs w:val="22"/>
        </w:rPr>
        <w:t>maloobchodních</w:t>
      </w:r>
      <w:r w:rsidR="005140E5" w:rsidRPr="00B27D71">
        <w:rPr>
          <w:rFonts w:cs="Arial"/>
          <w:b/>
          <w:bCs/>
          <w:szCs w:val="22"/>
        </w:rPr>
        <w:t xml:space="preserve"> cen</w:t>
      </w:r>
      <w:r w:rsidR="001656DF" w:rsidRPr="00B27D71">
        <w:rPr>
          <w:rFonts w:cs="Arial"/>
          <w:b/>
          <w:bCs/>
          <w:szCs w:val="22"/>
        </w:rPr>
        <w:t xml:space="preserve"> na neúnosnou míru</w:t>
      </w:r>
      <w:r w:rsidR="005140E5" w:rsidRPr="00B27D71">
        <w:rPr>
          <w:rFonts w:cs="Arial"/>
          <w:b/>
          <w:bCs/>
          <w:szCs w:val="22"/>
        </w:rPr>
        <w:t xml:space="preserve">, a po jejich snížení </w:t>
      </w:r>
      <w:r w:rsidR="001656DF" w:rsidRPr="00B27D71">
        <w:rPr>
          <w:rFonts w:cs="Arial"/>
          <w:b/>
          <w:bCs/>
          <w:szCs w:val="22"/>
        </w:rPr>
        <w:t>být</w:t>
      </w:r>
      <w:r w:rsidR="005140E5" w:rsidRPr="00B27D71">
        <w:rPr>
          <w:rFonts w:cs="Arial"/>
          <w:b/>
          <w:bCs/>
          <w:szCs w:val="22"/>
        </w:rPr>
        <w:t xml:space="preserve"> odsouzeni k zániku za přihlížení </w:t>
      </w:r>
      <w:r w:rsidR="001656DF" w:rsidRPr="00B27D71">
        <w:rPr>
          <w:rFonts w:cs="Arial"/>
          <w:b/>
          <w:bCs/>
          <w:szCs w:val="22"/>
        </w:rPr>
        <w:t>ČTÚ</w:t>
      </w:r>
      <w:r w:rsidR="005140E5" w:rsidRPr="00B27D71">
        <w:rPr>
          <w:rFonts w:cs="Arial"/>
          <w:b/>
          <w:bCs/>
          <w:szCs w:val="22"/>
        </w:rPr>
        <w:t>, jehož hlavním předmětem zájmu ne</w:t>
      </w:r>
      <w:r w:rsidR="001656DF" w:rsidRPr="00B27D71">
        <w:rPr>
          <w:rFonts w:cs="Arial"/>
          <w:b/>
          <w:bCs/>
          <w:szCs w:val="22"/>
        </w:rPr>
        <w:t>ní</w:t>
      </w:r>
      <w:r w:rsidR="009E4DE8" w:rsidRPr="00B27D71">
        <w:rPr>
          <w:rFonts w:cs="Arial"/>
          <w:b/>
          <w:bCs/>
          <w:szCs w:val="22"/>
        </w:rPr>
        <w:t xml:space="preserve"> v souladu s účelem tržních analýz</w:t>
      </w:r>
      <w:r w:rsidR="001656DF" w:rsidRPr="00B27D71">
        <w:rPr>
          <w:rFonts w:cs="Arial"/>
          <w:b/>
          <w:bCs/>
          <w:szCs w:val="22"/>
        </w:rPr>
        <w:t xml:space="preserve"> posílení</w:t>
      </w:r>
      <w:r w:rsidR="005140E5" w:rsidRPr="00B27D71">
        <w:rPr>
          <w:rFonts w:cs="Arial"/>
          <w:b/>
          <w:bCs/>
          <w:szCs w:val="22"/>
        </w:rPr>
        <w:t xml:space="preserve"> konkurence a diverzit</w:t>
      </w:r>
      <w:r w:rsidR="001656DF" w:rsidRPr="00B27D71">
        <w:rPr>
          <w:rFonts w:cs="Arial"/>
          <w:b/>
          <w:bCs/>
          <w:szCs w:val="22"/>
        </w:rPr>
        <w:t>y</w:t>
      </w:r>
      <w:r w:rsidR="005140E5" w:rsidRPr="00B27D71">
        <w:rPr>
          <w:rFonts w:cs="Arial"/>
          <w:b/>
          <w:bCs/>
          <w:szCs w:val="22"/>
        </w:rPr>
        <w:t xml:space="preserve"> na trhu, ale jen </w:t>
      </w:r>
      <w:r w:rsidR="00636ECF">
        <w:rPr>
          <w:rFonts w:cs="Arial"/>
          <w:b/>
          <w:bCs/>
          <w:szCs w:val="22"/>
        </w:rPr>
        <w:t xml:space="preserve">krátkodobé ovlivnění </w:t>
      </w:r>
      <w:r w:rsidR="005140E5" w:rsidRPr="00B27D71">
        <w:rPr>
          <w:rFonts w:cs="Arial"/>
          <w:b/>
          <w:bCs/>
          <w:szCs w:val="22"/>
        </w:rPr>
        <w:t>cen</w:t>
      </w:r>
      <w:r w:rsidR="00636ECF">
        <w:rPr>
          <w:rFonts w:cs="Arial"/>
          <w:b/>
          <w:bCs/>
          <w:szCs w:val="22"/>
        </w:rPr>
        <w:t>y</w:t>
      </w:r>
      <w:r w:rsidR="005140E5" w:rsidRPr="00B27D71">
        <w:rPr>
          <w:rFonts w:cs="Arial"/>
          <w:b/>
          <w:bCs/>
          <w:szCs w:val="22"/>
        </w:rPr>
        <w:t xml:space="preserve"> pro koncové zákazníky.</w:t>
      </w:r>
      <w:r w:rsidR="009E4DE8" w:rsidRPr="00B27D71">
        <w:rPr>
          <w:rFonts w:cs="Arial"/>
          <w:b/>
          <w:bCs/>
          <w:szCs w:val="22"/>
        </w:rPr>
        <w:t xml:space="preserve"> </w:t>
      </w:r>
      <w:r w:rsidR="00056D05" w:rsidRPr="00B27D71">
        <w:rPr>
          <w:rFonts w:cs="Arial"/>
          <w:b/>
          <w:bCs/>
          <w:szCs w:val="22"/>
        </w:rPr>
        <w:t xml:space="preserve">Opatření by </w:t>
      </w:r>
      <w:r w:rsidR="009E4DE8" w:rsidRPr="00B27D71">
        <w:rPr>
          <w:rFonts w:cs="Arial"/>
          <w:b/>
          <w:bCs/>
          <w:szCs w:val="22"/>
        </w:rPr>
        <w:t>tak pouze</w:t>
      </w:r>
      <w:r w:rsidR="00056D05" w:rsidRPr="00B27D71">
        <w:rPr>
          <w:rFonts w:cs="Arial"/>
          <w:b/>
          <w:bCs/>
          <w:szCs w:val="22"/>
        </w:rPr>
        <w:t xml:space="preserve"> významným způsobem </w:t>
      </w:r>
      <w:r w:rsidR="00FE0314" w:rsidRPr="00B27D71">
        <w:rPr>
          <w:rFonts w:cs="Arial"/>
          <w:b/>
          <w:bCs/>
          <w:szCs w:val="22"/>
        </w:rPr>
        <w:t xml:space="preserve">negativně </w:t>
      </w:r>
      <w:r w:rsidR="00056D05" w:rsidRPr="00B27D71">
        <w:rPr>
          <w:rFonts w:cs="Arial"/>
          <w:b/>
          <w:bCs/>
          <w:szCs w:val="22"/>
        </w:rPr>
        <w:t xml:space="preserve">ovlivnilo kvalitu mobilních sítí a </w:t>
      </w:r>
      <w:r w:rsidR="00FE0314" w:rsidRPr="00B27D71">
        <w:rPr>
          <w:rFonts w:cs="Arial"/>
          <w:b/>
          <w:bCs/>
          <w:szCs w:val="22"/>
        </w:rPr>
        <w:t>v nich dostupné inovace</w:t>
      </w:r>
      <w:r w:rsidR="009E4DE8" w:rsidRPr="00B27D71">
        <w:rPr>
          <w:rFonts w:cs="Arial"/>
          <w:b/>
          <w:bCs/>
          <w:szCs w:val="22"/>
        </w:rPr>
        <w:t xml:space="preserve"> a </w:t>
      </w:r>
      <w:r w:rsidR="004807DE" w:rsidRPr="00B27D71">
        <w:rPr>
          <w:rFonts w:cs="Arial"/>
          <w:b/>
          <w:bCs/>
          <w:szCs w:val="22"/>
        </w:rPr>
        <w:t xml:space="preserve">způsobilo </w:t>
      </w:r>
      <w:r w:rsidR="00A13EF9" w:rsidRPr="00B27D71">
        <w:rPr>
          <w:rFonts w:cs="Arial"/>
          <w:b/>
          <w:bCs/>
          <w:szCs w:val="22"/>
        </w:rPr>
        <w:t>zvýšení tržní koncentrace</w:t>
      </w:r>
      <w:r w:rsidR="00FE0314" w:rsidRPr="00B27D71">
        <w:rPr>
          <w:rFonts w:cs="Arial"/>
          <w:b/>
          <w:bCs/>
          <w:szCs w:val="22"/>
        </w:rPr>
        <w:t>.</w:t>
      </w:r>
      <w:r w:rsidR="00410DF2" w:rsidRPr="00B27D71">
        <w:rPr>
          <w:rFonts w:cs="Arial"/>
          <w:b/>
          <w:bCs/>
          <w:szCs w:val="22"/>
        </w:rPr>
        <w:t xml:space="preserve"> Efekt</w:t>
      </w:r>
      <w:r w:rsidR="003B54D1" w:rsidRPr="00B27D71">
        <w:rPr>
          <w:rFonts w:cs="Arial"/>
          <w:b/>
          <w:bCs/>
          <w:szCs w:val="22"/>
        </w:rPr>
        <w:t xml:space="preserve">y příliš nízké cenové hladiny a následné zvýšení koncentrace trhu a zaostávání </w:t>
      </w:r>
      <w:r w:rsidR="007D138D" w:rsidRPr="00B27D71">
        <w:rPr>
          <w:rFonts w:cs="Arial"/>
          <w:b/>
          <w:bCs/>
          <w:szCs w:val="22"/>
        </w:rPr>
        <w:t xml:space="preserve">v rozvoji služeb elektronických komunikací lze pozorovat </w:t>
      </w:r>
      <w:r w:rsidR="000C49A6" w:rsidRPr="00B27D71">
        <w:rPr>
          <w:rFonts w:cs="Arial"/>
          <w:b/>
          <w:bCs/>
          <w:szCs w:val="22"/>
        </w:rPr>
        <w:t>na několika evropských trzích.</w:t>
      </w:r>
    </w:p>
    <w:p w14:paraId="4E990390" w14:textId="1F00606B" w:rsidR="007F36FA" w:rsidRDefault="00B63DC8" w:rsidP="00A7586D">
      <w:pPr>
        <w:ind w:left="357"/>
        <w:rPr>
          <w:rFonts w:cs="Arial"/>
          <w:szCs w:val="22"/>
        </w:rPr>
      </w:pPr>
      <w:r w:rsidRPr="00E819A9">
        <w:rPr>
          <w:rFonts w:cs="Arial"/>
          <w:b/>
          <w:bCs/>
          <w:szCs w:val="22"/>
        </w:rPr>
        <w:t xml:space="preserve">V měsících předcházejících zveřejnění </w:t>
      </w:r>
      <w:r w:rsidR="00EC5263">
        <w:rPr>
          <w:rFonts w:cs="Arial"/>
          <w:b/>
          <w:bCs/>
          <w:szCs w:val="22"/>
        </w:rPr>
        <w:t xml:space="preserve">prvního </w:t>
      </w:r>
      <w:r w:rsidRPr="00E819A9">
        <w:rPr>
          <w:rFonts w:cs="Arial"/>
          <w:b/>
          <w:bCs/>
          <w:szCs w:val="22"/>
        </w:rPr>
        <w:t xml:space="preserve">návrhu analýzy navíc </w:t>
      </w:r>
      <w:r w:rsidR="004865C4">
        <w:rPr>
          <w:rFonts w:cs="Arial"/>
          <w:b/>
          <w:bCs/>
          <w:szCs w:val="22"/>
        </w:rPr>
        <w:t xml:space="preserve">paní </w:t>
      </w:r>
      <w:r w:rsidR="00B662E1" w:rsidRPr="00E819A9">
        <w:rPr>
          <w:rFonts w:cs="Arial"/>
          <w:b/>
          <w:bCs/>
          <w:szCs w:val="22"/>
        </w:rPr>
        <w:t xml:space="preserve">předsedkyně </w:t>
      </w:r>
      <w:r w:rsidR="004865C4">
        <w:rPr>
          <w:rFonts w:cs="Arial"/>
          <w:b/>
          <w:bCs/>
          <w:szCs w:val="22"/>
        </w:rPr>
        <w:t xml:space="preserve">Rady </w:t>
      </w:r>
      <w:r w:rsidR="00B662E1" w:rsidRPr="00E819A9">
        <w:rPr>
          <w:rFonts w:cs="Arial"/>
          <w:b/>
          <w:bCs/>
          <w:szCs w:val="22"/>
        </w:rPr>
        <w:t xml:space="preserve">ČTÚ </w:t>
      </w:r>
      <w:r w:rsidR="004865C4">
        <w:rPr>
          <w:rFonts w:cs="Arial"/>
          <w:b/>
          <w:bCs/>
          <w:szCs w:val="22"/>
        </w:rPr>
        <w:t xml:space="preserve">Mgr. Ing. </w:t>
      </w:r>
      <w:r w:rsidR="00B662E1" w:rsidRPr="00E819A9">
        <w:rPr>
          <w:rFonts w:cs="Arial"/>
          <w:b/>
          <w:bCs/>
          <w:szCs w:val="22"/>
        </w:rPr>
        <w:t xml:space="preserve">Hana </w:t>
      </w:r>
      <w:proofErr w:type="spellStart"/>
      <w:r w:rsidR="00B662E1" w:rsidRPr="00E819A9">
        <w:rPr>
          <w:rFonts w:cs="Arial"/>
          <w:b/>
          <w:bCs/>
          <w:szCs w:val="22"/>
        </w:rPr>
        <w:t>Továrková</w:t>
      </w:r>
      <w:proofErr w:type="spellEnd"/>
      <w:r w:rsidR="00B662E1" w:rsidRPr="00E819A9">
        <w:rPr>
          <w:rFonts w:cs="Arial"/>
          <w:b/>
          <w:bCs/>
          <w:szCs w:val="22"/>
        </w:rPr>
        <w:t xml:space="preserve"> v médiích opakovaně předjímala výsledek </w:t>
      </w:r>
      <w:r w:rsidR="00D72717" w:rsidRPr="00E819A9">
        <w:rPr>
          <w:rFonts w:cs="Arial"/>
          <w:b/>
          <w:bCs/>
          <w:szCs w:val="22"/>
        </w:rPr>
        <w:t>analýzy</w:t>
      </w:r>
      <w:r w:rsidR="00952F27" w:rsidRPr="00E819A9">
        <w:rPr>
          <w:rStyle w:val="Znakapoznpodarou"/>
          <w:rFonts w:cs="Arial"/>
          <w:b/>
          <w:bCs/>
          <w:szCs w:val="22"/>
        </w:rPr>
        <w:footnoteReference w:id="5"/>
      </w:r>
      <w:r w:rsidR="00D72717" w:rsidRPr="00E819A9">
        <w:rPr>
          <w:rFonts w:cs="Arial"/>
          <w:b/>
          <w:bCs/>
          <w:szCs w:val="22"/>
        </w:rPr>
        <w:t xml:space="preserve"> </w:t>
      </w:r>
      <w:r w:rsidR="00D72717" w:rsidRPr="00E819A9">
        <w:rPr>
          <w:rFonts w:cs="Arial"/>
          <w:szCs w:val="22"/>
        </w:rPr>
        <w:t xml:space="preserve">a </w:t>
      </w:r>
      <w:r w:rsidR="00F87052" w:rsidRPr="00E819A9">
        <w:rPr>
          <w:rFonts w:cs="Arial"/>
          <w:szCs w:val="22"/>
        </w:rPr>
        <w:t>prakticky přiznávala</w:t>
      </w:r>
      <w:r w:rsidR="00C26E50" w:rsidRPr="00E819A9">
        <w:rPr>
          <w:rFonts w:cs="Arial"/>
          <w:szCs w:val="22"/>
        </w:rPr>
        <w:t>, že primárním cílem není zajištění hospodářské soutěže.</w:t>
      </w:r>
      <w:r w:rsidR="00C26E50" w:rsidRPr="00E819A9">
        <w:rPr>
          <w:rFonts w:cs="Arial"/>
          <w:b/>
          <w:bCs/>
          <w:szCs w:val="22"/>
        </w:rPr>
        <w:t xml:space="preserve"> </w:t>
      </w:r>
      <w:r w:rsidR="00C63B88" w:rsidRPr="00E819A9">
        <w:rPr>
          <w:rFonts w:cs="Arial"/>
          <w:szCs w:val="22"/>
        </w:rPr>
        <w:t xml:space="preserve">Za minimálně velmi problematické </w:t>
      </w:r>
      <w:r w:rsidR="00745824" w:rsidRPr="00E819A9">
        <w:rPr>
          <w:rFonts w:cs="Arial"/>
          <w:szCs w:val="22"/>
        </w:rPr>
        <w:t xml:space="preserve">lze pak považovat veřejné prohlášení </w:t>
      </w:r>
      <w:r w:rsidR="004865C4">
        <w:rPr>
          <w:rFonts w:cs="Arial"/>
          <w:szCs w:val="22"/>
        </w:rPr>
        <w:t xml:space="preserve">paní </w:t>
      </w:r>
      <w:r w:rsidR="00745824" w:rsidRPr="00E819A9">
        <w:rPr>
          <w:rFonts w:cs="Arial"/>
          <w:szCs w:val="22"/>
        </w:rPr>
        <w:t xml:space="preserve">předsedkyně na </w:t>
      </w:r>
      <w:r w:rsidR="00D33A4F" w:rsidRPr="00E819A9">
        <w:rPr>
          <w:rFonts w:cs="Arial"/>
          <w:szCs w:val="22"/>
        </w:rPr>
        <w:t xml:space="preserve">konferenci </w:t>
      </w:r>
      <w:r w:rsidR="00D33A4F" w:rsidRPr="00E819A9">
        <w:rPr>
          <w:rFonts w:cs="Arial"/>
          <w:i/>
          <w:iCs/>
          <w:szCs w:val="22"/>
        </w:rPr>
        <w:t xml:space="preserve">Kam kráčí telekomunikační sítě Plzeň 2021, </w:t>
      </w:r>
      <w:r w:rsidR="00D33A4F" w:rsidRPr="00E819A9">
        <w:rPr>
          <w:rFonts w:cs="Arial"/>
          <w:szCs w:val="22"/>
        </w:rPr>
        <w:t xml:space="preserve">kde </w:t>
      </w:r>
      <w:r w:rsidR="007F7D7D" w:rsidRPr="00E819A9">
        <w:rPr>
          <w:rFonts w:cs="Arial"/>
          <w:szCs w:val="22"/>
        </w:rPr>
        <w:t xml:space="preserve">veřejně </w:t>
      </w:r>
      <w:r w:rsidR="00D33A4F" w:rsidRPr="00E819A9">
        <w:rPr>
          <w:rFonts w:cs="Arial"/>
          <w:szCs w:val="22"/>
        </w:rPr>
        <w:t xml:space="preserve">vyzvala část tržních subjektů k podpoře </w:t>
      </w:r>
      <w:r w:rsidR="00C919B8">
        <w:rPr>
          <w:rFonts w:cs="Arial"/>
          <w:szCs w:val="22"/>
        </w:rPr>
        <w:t xml:space="preserve">výsledku </w:t>
      </w:r>
      <w:r w:rsidR="004865C4">
        <w:rPr>
          <w:rFonts w:cs="Arial"/>
          <w:szCs w:val="22"/>
        </w:rPr>
        <w:t xml:space="preserve">návrhu </w:t>
      </w:r>
      <w:r w:rsidR="00D33A4F" w:rsidRPr="00E819A9">
        <w:rPr>
          <w:rFonts w:cs="Arial"/>
          <w:szCs w:val="22"/>
        </w:rPr>
        <w:t>analýzy ve veřejné konzultaci</w:t>
      </w:r>
      <w:r w:rsidR="008C1E0A" w:rsidRPr="00E819A9">
        <w:rPr>
          <w:rFonts w:cs="Arial"/>
          <w:szCs w:val="22"/>
        </w:rPr>
        <w:t xml:space="preserve"> a zkritizovala postup Evropské komise.</w:t>
      </w:r>
      <w:r w:rsidR="00525439" w:rsidRPr="00E819A9">
        <w:rPr>
          <w:rStyle w:val="Znakapoznpodarou"/>
          <w:rFonts w:cs="Arial"/>
          <w:szCs w:val="22"/>
        </w:rPr>
        <w:footnoteReference w:id="6"/>
      </w:r>
      <w:r w:rsidR="00A24EE0" w:rsidRPr="00E819A9">
        <w:rPr>
          <w:rFonts w:cs="Arial"/>
          <w:szCs w:val="22"/>
        </w:rPr>
        <w:t xml:space="preserve"> </w:t>
      </w:r>
      <w:r w:rsidR="00045FC4" w:rsidRPr="00E819A9">
        <w:rPr>
          <w:rFonts w:cs="Arial"/>
          <w:szCs w:val="22"/>
        </w:rPr>
        <w:t xml:space="preserve">Nelze </w:t>
      </w:r>
      <w:r w:rsidR="00773851" w:rsidRPr="00E819A9">
        <w:rPr>
          <w:rFonts w:cs="Arial"/>
          <w:szCs w:val="22"/>
        </w:rPr>
        <w:t xml:space="preserve">prokázat, zda v této věci </w:t>
      </w:r>
      <w:r w:rsidR="0085606A" w:rsidRPr="00E819A9">
        <w:rPr>
          <w:rFonts w:cs="Arial"/>
          <w:szCs w:val="22"/>
        </w:rPr>
        <w:t xml:space="preserve">ČTÚ </w:t>
      </w:r>
      <w:r w:rsidR="00C919B8">
        <w:rPr>
          <w:rFonts w:cs="Arial"/>
          <w:szCs w:val="22"/>
        </w:rPr>
        <w:t xml:space="preserve">ještě urputněji </w:t>
      </w:r>
      <w:r w:rsidR="0085606A" w:rsidRPr="00E819A9">
        <w:rPr>
          <w:rFonts w:cs="Arial"/>
          <w:szCs w:val="22"/>
        </w:rPr>
        <w:t>„doporučuj</w:t>
      </w:r>
      <w:r w:rsidR="004865C4">
        <w:rPr>
          <w:rFonts w:cs="Arial"/>
          <w:szCs w:val="22"/>
        </w:rPr>
        <w:t>e</w:t>
      </w:r>
      <w:r w:rsidR="0085606A" w:rsidRPr="00E819A9">
        <w:rPr>
          <w:rFonts w:cs="Arial"/>
          <w:szCs w:val="22"/>
        </w:rPr>
        <w:t>“ části tržních subjektů postup v této věci i mimo veřejná prohlášení</w:t>
      </w:r>
      <w:r w:rsidR="004865C4">
        <w:rPr>
          <w:rFonts w:cs="Arial"/>
          <w:szCs w:val="22"/>
        </w:rPr>
        <w:t>, ale lze to předpokládat</w:t>
      </w:r>
      <w:r w:rsidR="0085606A" w:rsidRPr="00E819A9">
        <w:rPr>
          <w:rFonts w:cs="Arial"/>
          <w:szCs w:val="22"/>
        </w:rPr>
        <w:t>.</w:t>
      </w:r>
      <w:r w:rsidR="0085606A" w:rsidRPr="00E819A9">
        <w:rPr>
          <w:rFonts w:cs="Arial"/>
          <w:b/>
          <w:bCs/>
          <w:szCs w:val="22"/>
        </w:rPr>
        <w:t xml:space="preserve"> </w:t>
      </w:r>
      <w:r w:rsidR="003E48FE" w:rsidRPr="00E819A9">
        <w:rPr>
          <w:rFonts w:cs="Arial"/>
          <w:b/>
          <w:bCs/>
          <w:szCs w:val="22"/>
        </w:rPr>
        <w:t>Tento postup</w:t>
      </w:r>
      <w:r w:rsidR="004254B3" w:rsidRPr="00E819A9">
        <w:rPr>
          <w:rFonts w:cs="Arial"/>
          <w:b/>
          <w:bCs/>
          <w:szCs w:val="22"/>
        </w:rPr>
        <w:t xml:space="preserve"> </w:t>
      </w:r>
      <w:r w:rsidR="005912E1" w:rsidRPr="00E819A9">
        <w:rPr>
          <w:rFonts w:cs="Arial"/>
          <w:b/>
          <w:bCs/>
          <w:szCs w:val="22"/>
        </w:rPr>
        <w:t>regulátora, který má fungovat nezávisle a nestranně</w:t>
      </w:r>
      <w:r w:rsidR="004865C4">
        <w:rPr>
          <w:rFonts w:cs="Arial"/>
          <w:b/>
          <w:bCs/>
          <w:szCs w:val="22"/>
        </w:rPr>
        <w:t xml:space="preserve"> a </w:t>
      </w:r>
      <w:r w:rsidR="00780C32">
        <w:rPr>
          <w:rFonts w:cs="Arial"/>
          <w:b/>
          <w:bCs/>
          <w:szCs w:val="22"/>
        </w:rPr>
        <w:t>ctít zákon</w:t>
      </w:r>
      <w:r w:rsidR="004865C4">
        <w:rPr>
          <w:rStyle w:val="Znakapoznpodarou"/>
          <w:rFonts w:cs="Arial"/>
          <w:b/>
          <w:bCs/>
          <w:szCs w:val="22"/>
        </w:rPr>
        <w:footnoteReference w:id="7"/>
      </w:r>
      <w:r w:rsidR="005912E1" w:rsidRPr="00E819A9">
        <w:rPr>
          <w:rFonts w:cs="Arial"/>
          <w:b/>
          <w:bCs/>
          <w:szCs w:val="22"/>
        </w:rPr>
        <w:t>, nelze</w:t>
      </w:r>
      <w:r w:rsidR="00C919B8">
        <w:rPr>
          <w:rFonts w:cs="Arial"/>
          <w:b/>
          <w:bCs/>
          <w:szCs w:val="22"/>
        </w:rPr>
        <w:t xml:space="preserve"> vzhledem k silným indiciím o účelovosti</w:t>
      </w:r>
      <w:r w:rsidR="004865C4">
        <w:rPr>
          <w:rFonts w:cs="Arial"/>
          <w:b/>
          <w:bCs/>
          <w:szCs w:val="22"/>
        </w:rPr>
        <w:t xml:space="preserve"> celého postupu ČTÚ</w:t>
      </w:r>
      <w:r w:rsidR="005912E1" w:rsidRPr="00E819A9">
        <w:rPr>
          <w:rFonts w:cs="Arial"/>
          <w:b/>
          <w:bCs/>
          <w:szCs w:val="22"/>
        </w:rPr>
        <w:t xml:space="preserve"> považovat z</w:t>
      </w:r>
      <w:r w:rsidR="009F5619" w:rsidRPr="00E819A9">
        <w:rPr>
          <w:rFonts w:cs="Arial"/>
          <w:b/>
          <w:bCs/>
          <w:szCs w:val="22"/>
        </w:rPr>
        <w:t>a</w:t>
      </w:r>
      <w:r w:rsidR="005912E1" w:rsidRPr="00E819A9">
        <w:rPr>
          <w:rFonts w:cs="Arial"/>
          <w:b/>
          <w:bCs/>
          <w:szCs w:val="22"/>
        </w:rPr>
        <w:t xml:space="preserve"> přijatelný. </w:t>
      </w:r>
      <w:r w:rsidR="00EF022C" w:rsidRPr="00E819A9">
        <w:rPr>
          <w:rFonts w:cs="Arial"/>
          <w:szCs w:val="22"/>
        </w:rPr>
        <w:t xml:space="preserve">Zpracování </w:t>
      </w:r>
      <w:r w:rsidR="00F33D1A">
        <w:rPr>
          <w:rFonts w:cs="Arial"/>
          <w:szCs w:val="22"/>
        </w:rPr>
        <w:t xml:space="preserve">všech </w:t>
      </w:r>
      <w:r w:rsidR="00423E37">
        <w:rPr>
          <w:rFonts w:cs="Arial"/>
          <w:szCs w:val="22"/>
        </w:rPr>
        <w:t>návrh</w:t>
      </w:r>
      <w:r w:rsidR="00F33D1A">
        <w:rPr>
          <w:rFonts w:cs="Arial"/>
          <w:szCs w:val="22"/>
        </w:rPr>
        <w:t>ů</w:t>
      </w:r>
      <w:r w:rsidR="00423E37">
        <w:rPr>
          <w:rFonts w:cs="Arial"/>
          <w:szCs w:val="22"/>
        </w:rPr>
        <w:t xml:space="preserve"> </w:t>
      </w:r>
      <w:r w:rsidR="00EF022C" w:rsidRPr="00E819A9">
        <w:rPr>
          <w:rFonts w:cs="Arial"/>
          <w:szCs w:val="22"/>
        </w:rPr>
        <w:t xml:space="preserve">analýzy </w:t>
      </w:r>
      <w:r w:rsidR="00B97114" w:rsidRPr="00E819A9">
        <w:rPr>
          <w:rFonts w:cs="Arial"/>
          <w:szCs w:val="22"/>
        </w:rPr>
        <w:t xml:space="preserve">podle našeho názoru </w:t>
      </w:r>
      <w:r w:rsidR="003B7FF8">
        <w:rPr>
          <w:rFonts w:cs="Arial"/>
          <w:szCs w:val="22"/>
        </w:rPr>
        <w:t xml:space="preserve">též </w:t>
      </w:r>
      <w:r w:rsidR="00143B75" w:rsidRPr="00E819A9">
        <w:rPr>
          <w:rFonts w:cs="Arial"/>
          <w:szCs w:val="22"/>
        </w:rPr>
        <w:t xml:space="preserve">vykazuje znaky </w:t>
      </w:r>
      <w:r w:rsidR="003B7FF8">
        <w:rPr>
          <w:rFonts w:cs="Arial"/>
          <w:szCs w:val="22"/>
        </w:rPr>
        <w:t xml:space="preserve">možného </w:t>
      </w:r>
      <w:r w:rsidR="00143B75" w:rsidRPr="00E819A9">
        <w:rPr>
          <w:rFonts w:cs="Arial"/>
          <w:szCs w:val="22"/>
        </w:rPr>
        <w:t xml:space="preserve">politického zadání pro </w:t>
      </w:r>
      <w:r w:rsidR="00143B75" w:rsidRPr="00E819A9">
        <w:rPr>
          <w:rFonts w:cs="Arial"/>
          <w:szCs w:val="22"/>
        </w:rPr>
        <w:lastRenderedPageBreak/>
        <w:t>národního regulátora</w:t>
      </w:r>
      <w:r w:rsidR="003B7FF8">
        <w:rPr>
          <w:rFonts w:cs="Arial"/>
          <w:szCs w:val="22"/>
        </w:rPr>
        <w:t>, který má fungovat nezávisle na politické moci</w:t>
      </w:r>
      <w:r w:rsidR="00143B75" w:rsidRPr="00E819A9">
        <w:rPr>
          <w:rFonts w:cs="Arial"/>
          <w:szCs w:val="22"/>
        </w:rPr>
        <w:t>.</w:t>
      </w:r>
      <w:r w:rsidR="00B97114" w:rsidRPr="00E819A9">
        <w:rPr>
          <w:rFonts w:cs="Arial"/>
          <w:szCs w:val="22"/>
        </w:rPr>
        <w:t xml:space="preserve"> Zveřejnění </w:t>
      </w:r>
      <w:r w:rsidR="00F33D1A">
        <w:rPr>
          <w:rFonts w:cs="Arial"/>
          <w:szCs w:val="22"/>
        </w:rPr>
        <w:t xml:space="preserve">druhého </w:t>
      </w:r>
      <w:r w:rsidR="00E819A9" w:rsidRPr="00E819A9">
        <w:rPr>
          <w:rFonts w:cs="Arial"/>
          <w:szCs w:val="22"/>
        </w:rPr>
        <w:t xml:space="preserve">návrhu </w:t>
      </w:r>
      <w:r w:rsidR="00B97114" w:rsidRPr="00E819A9">
        <w:rPr>
          <w:rFonts w:cs="Arial"/>
          <w:szCs w:val="22"/>
        </w:rPr>
        <w:t xml:space="preserve">analýzy </w:t>
      </w:r>
      <w:r w:rsidR="00780C32">
        <w:rPr>
          <w:rFonts w:cs="Arial"/>
          <w:szCs w:val="22"/>
        </w:rPr>
        <w:t xml:space="preserve">pouhé </w:t>
      </w:r>
      <w:r w:rsidR="00B97114" w:rsidRPr="00E819A9">
        <w:rPr>
          <w:rFonts w:cs="Arial"/>
          <w:szCs w:val="22"/>
        </w:rPr>
        <w:t xml:space="preserve">2 týdny před termínem </w:t>
      </w:r>
      <w:r w:rsidR="003B7FF8">
        <w:rPr>
          <w:rFonts w:cs="Arial"/>
          <w:szCs w:val="22"/>
        </w:rPr>
        <w:t xml:space="preserve">konání </w:t>
      </w:r>
      <w:r w:rsidR="00B97114" w:rsidRPr="00E819A9">
        <w:rPr>
          <w:rFonts w:cs="Arial"/>
          <w:szCs w:val="22"/>
        </w:rPr>
        <w:t>voleb</w:t>
      </w:r>
      <w:r w:rsidR="00780C32">
        <w:rPr>
          <w:rFonts w:cs="Arial"/>
          <w:szCs w:val="22"/>
        </w:rPr>
        <w:t xml:space="preserve"> </w:t>
      </w:r>
      <w:r w:rsidR="00B97114" w:rsidRPr="00E819A9">
        <w:rPr>
          <w:rFonts w:cs="Arial"/>
          <w:szCs w:val="22"/>
        </w:rPr>
        <w:t>do poslanecké sněmovny</w:t>
      </w:r>
      <w:r w:rsidR="00780C32">
        <w:rPr>
          <w:rFonts w:cs="Arial"/>
          <w:szCs w:val="22"/>
        </w:rPr>
        <w:t>,</w:t>
      </w:r>
      <w:r w:rsidR="00E819A9" w:rsidRPr="00E819A9">
        <w:rPr>
          <w:rFonts w:cs="Arial"/>
          <w:szCs w:val="22"/>
        </w:rPr>
        <w:t xml:space="preserve"> </w:t>
      </w:r>
      <w:r w:rsidR="00400E3A">
        <w:rPr>
          <w:rFonts w:cs="Arial"/>
          <w:szCs w:val="22"/>
        </w:rPr>
        <w:t>přičemž</w:t>
      </w:r>
      <w:r w:rsidR="00780C32">
        <w:rPr>
          <w:rFonts w:cs="Arial"/>
          <w:szCs w:val="22"/>
        </w:rPr>
        <w:t xml:space="preserve"> před</w:t>
      </w:r>
      <w:r w:rsidR="00400E3A">
        <w:rPr>
          <w:rFonts w:cs="Arial"/>
          <w:szCs w:val="22"/>
        </w:rPr>
        <w:t xml:space="preserve"> tímto zveřejněním</w:t>
      </w:r>
      <w:r w:rsidR="00780C32">
        <w:rPr>
          <w:rFonts w:cs="Arial"/>
          <w:szCs w:val="22"/>
        </w:rPr>
        <w:t xml:space="preserve"> </w:t>
      </w:r>
      <w:r w:rsidR="00400E3A">
        <w:rPr>
          <w:rFonts w:cs="Arial"/>
          <w:szCs w:val="22"/>
        </w:rPr>
        <w:t>uplynulo velmi dlouhé období bez postupu</w:t>
      </w:r>
      <w:r w:rsidR="00780C32">
        <w:rPr>
          <w:rStyle w:val="Znakapoznpodarou"/>
          <w:rFonts w:cs="Arial"/>
          <w:szCs w:val="22"/>
        </w:rPr>
        <w:footnoteReference w:id="8"/>
      </w:r>
      <w:r w:rsidR="00780C32">
        <w:rPr>
          <w:rFonts w:cs="Arial"/>
          <w:szCs w:val="22"/>
        </w:rPr>
        <w:t>,</w:t>
      </w:r>
      <w:r w:rsidR="00780C32" w:rsidRPr="00E819A9">
        <w:rPr>
          <w:rFonts w:cs="Arial"/>
          <w:szCs w:val="22"/>
        </w:rPr>
        <w:t xml:space="preserve"> </w:t>
      </w:r>
      <w:r w:rsidR="003A6A5F">
        <w:rPr>
          <w:rFonts w:cs="Arial"/>
          <w:szCs w:val="22"/>
        </w:rPr>
        <w:t xml:space="preserve">zveřejnění poslední analýzy v době, kdy má dojít k obsazení uvolněného místa v Radě ČTÚ, </w:t>
      </w:r>
      <w:r w:rsidR="00E819A9" w:rsidRPr="00E819A9">
        <w:rPr>
          <w:rFonts w:cs="Arial"/>
          <w:szCs w:val="22"/>
        </w:rPr>
        <w:t xml:space="preserve">toto podezření </w:t>
      </w:r>
      <w:r w:rsidR="00780C32">
        <w:rPr>
          <w:rFonts w:cs="Arial"/>
          <w:szCs w:val="22"/>
        </w:rPr>
        <w:t xml:space="preserve">o účelovosti celého jednání ČTÚ jen </w:t>
      </w:r>
      <w:r w:rsidR="00E819A9" w:rsidRPr="00E819A9">
        <w:rPr>
          <w:rFonts w:cs="Arial"/>
          <w:szCs w:val="22"/>
        </w:rPr>
        <w:t>dále zvyšuje.</w:t>
      </w:r>
    </w:p>
    <w:p w14:paraId="474BFD6B" w14:textId="0ABD5AEE" w:rsidR="00485DD1" w:rsidRPr="00D54D19" w:rsidRDefault="00485DD1" w:rsidP="00D54D19">
      <w:pPr>
        <w:ind w:left="357"/>
        <w:rPr>
          <w:rFonts w:cs="Arial"/>
          <w:szCs w:val="22"/>
        </w:rPr>
      </w:pPr>
      <w:r>
        <w:rPr>
          <w:rFonts w:cs="Arial"/>
          <w:b/>
          <w:bCs/>
          <w:szCs w:val="22"/>
        </w:rPr>
        <w:t xml:space="preserve">Společnost O2 netvrdí, že </w:t>
      </w:r>
      <w:r w:rsidR="00D54D19">
        <w:rPr>
          <w:rFonts w:cs="Arial"/>
          <w:b/>
          <w:bCs/>
          <w:szCs w:val="22"/>
        </w:rPr>
        <w:t>p</w:t>
      </w:r>
      <w:r w:rsidR="00D54D19" w:rsidRPr="00D54D19">
        <w:rPr>
          <w:rFonts w:cs="Arial"/>
          <w:b/>
          <w:bCs/>
          <w:szCs w:val="22"/>
        </w:rPr>
        <w:t>odpora MVNO formou zajištění jejich přístupu</w:t>
      </w:r>
      <w:r w:rsidR="00D54D19">
        <w:rPr>
          <w:rFonts w:cs="Arial"/>
          <w:b/>
          <w:bCs/>
          <w:szCs w:val="22"/>
        </w:rPr>
        <w:t xml:space="preserve"> </w:t>
      </w:r>
      <w:r w:rsidR="00D54D19" w:rsidRPr="00D54D19">
        <w:rPr>
          <w:rFonts w:cs="Arial"/>
          <w:b/>
          <w:bCs/>
          <w:szCs w:val="22"/>
        </w:rPr>
        <w:t>k velkoobchodním vstupům je</w:t>
      </w:r>
      <w:r w:rsidR="00D54D19">
        <w:rPr>
          <w:rFonts w:cs="Arial"/>
          <w:b/>
          <w:bCs/>
          <w:szCs w:val="22"/>
        </w:rPr>
        <w:t xml:space="preserve"> nelegitimní. </w:t>
      </w:r>
      <w:r w:rsidR="00D54D19" w:rsidRPr="00D54D19">
        <w:rPr>
          <w:rFonts w:cs="Arial"/>
          <w:szCs w:val="22"/>
        </w:rPr>
        <w:t xml:space="preserve">Rozporujeme však způsob, </w:t>
      </w:r>
      <w:r w:rsidR="00D54D19">
        <w:rPr>
          <w:rFonts w:cs="Arial"/>
          <w:szCs w:val="22"/>
        </w:rPr>
        <w:t xml:space="preserve">jakým chce ČTÚ k této podpoře přistoupit. Jak vyplývá z návrhu analýzy i našich připomínek, přístup </w:t>
      </w:r>
      <w:r w:rsidR="005F4A26">
        <w:rPr>
          <w:rFonts w:cs="Arial"/>
          <w:szCs w:val="22"/>
        </w:rPr>
        <w:t xml:space="preserve">MVNO k síti síťového operátora je v České republice zajištěn jak obchodním, tak regulovaným způsobem, o čemž </w:t>
      </w:r>
      <w:proofErr w:type="gramStart"/>
      <w:r w:rsidR="005F4A26">
        <w:rPr>
          <w:rFonts w:cs="Arial"/>
          <w:szCs w:val="22"/>
        </w:rPr>
        <w:t>svědčí</w:t>
      </w:r>
      <w:proofErr w:type="gramEnd"/>
      <w:r w:rsidR="005F4A26">
        <w:rPr>
          <w:rFonts w:cs="Arial"/>
          <w:szCs w:val="22"/>
        </w:rPr>
        <w:t xml:space="preserve"> jak počet MVNO v České republice, tak zveřejněné referenční nabídky.</w:t>
      </w:r>
      <w:r w:rsidR="00905337">
        <w:rPr>
          <w:rFonts w:cs="Arial"/>
          <w:szCs w:val="22"/>
        </w:rPr>
        <w:t xml:space="preserve"> Nedomníváme se</w:t>
      </w:r>
      <w:r w:rsidR="00AD6EEA">
        <w:rPr>
          <w:rFonts w:cs="Arial"/>
          <w:szCs w:val="22"/>
        </w:rPr>
        <w:t xml:space="preserve"> přitom</w:t>
      </w:r>
      <w:r w:rsidR="00905337">
        <w:rPr>
          <w:rFonts w:cs="Arial"/>
          <w:szCs w:val="22"/>
        </w:rPr>
        <w:t xml:space="preserve">, že by </w:t>
      </w:r>
      <w:r w:rsidR="007377CF">
        <w:rPr>
          <w:rFonts w:cs="Arial"/>
          <w:szCs w:val="22"/>
        </w:rPr>
        <w:t xml:space="preserve">podíl </w:t>
      </w:r>
      <w:r w:rsidR="003A6A5F">
        <w:rPr>
          <w:rFonts w:cs="Arial"/>
          <w:szCs w:val="22"/>
        </w:rPr>
        <w:t xml:space="preserve">MVNO na trhu v České republice mohl </w:t>
      </w:r>
      <w:r w:rsidR="007377CF">
        <w:rPr>
          <w:rFonts w:cs="Arial"/>
          <w:szCs w:val="22"/>
        </w:rPr>
        <w:t xml:space="preserve">být dlouhodobě zvýšen </w:t>
      </w:r>
      <w:r w:rsidR="00AD6EEA">
        <w:rPr>
          <w:rFonts w:cs="Arial"/>
          <w:szCs w:val="22"/>
        </w:rPr>
        <w:t xml:space="preserve">a jejich pozice posílena </w:t>
      </w:r>
      <w:r w:rsidR="007377CF">
        <w:rPr>
          <w:rFonts w:cs="Arial"/>
          <w:szCs w:val="22"/>
        </w:rPr>
        <w:t>opatřeními, které</w:t>
      </w:r>
      <w:r w:rsidR="003A6A5F">
        <w:rPr>
          <w:rFonts w:cs="Arial"/>
          <w:szCs w:val="22"/>
        </w:rPr>
        <w:t xml:space="preserve"> ČTÚ</w:t>
      </w:r>
      <w:r w:rsidR="007377CF">
        <w:rPr>
          <w:rFonts w:cs="Arial"/>
          <w:szCs w:val="22"/>
        </w:rPr>
        <w:t xml:space="preserve"> navrhuje</w:t>
      </w:r>
      <w:r w:rsidR="003A6A5F">
        <w:rPr>
          <w:rFonts w:cs="Arial"/>
          <w:szCs w:val="22"/>
        </w:rPr>
        <w:t>, ba právě naopak</w:t>
      </w:r>
      <w:r w:rsidR="007377CF">
        <w:rPr>
          <w:rFonts w:cs="Arial"/>
          <w:szCs w:val="22"/>
        </w:rPr>
        <w:t>.</w:t>
      </w:r>
    </w:p>
    <w:p w14:paraId="67A9B90F" w14:textId="68B6E8C4" w:rsidR="00965DC3" w:rsidRPr="007F2682" w:rsidRDefault="00322015" w:rsidP="00965DC3">
      <w:pPr>
        <w:pStyle w:val="Nadpis2"/>
      </w:pPr>
      <w:r>
        <w:t xml:space="preserve">Zdůvodnění </w:t>
      </w:r>
      <w:r w:rsidR="00EA2A58">
        <w:t>zpracování analýzy relevantního trhu a role externích subjektů</w:t>
      </w:r>
    </w:p>
    <w:p w14:paraId="752D564D" w14:textId="77777777" w:rsidR="00965DC3" w:rsidRPr="007F2682" w:rsidRDefault="00965DC3" w:rsidP="00965DC3">
      <w:pPr>
        <w:pStyle w:val="Podnadpis"/>
      </w:pPr>
      <w:r w:rsidRPr="007F2682">
        <w:t xml:space="preserve">Návrh na doplnění, změnu, zrušení nebo nahrazení textu ustanovení návrhu opatření: </w:t>
      </w:r>
    </w:p>
    <w:p w14:paraId="6754D0B7" w14:textId="4FB18173" w:rsidR="00965DC3" w:rsidRDefault="003A30A9" w:rsidP="00965DC3">
      <w:pPr>
        <w:ind w:left="357"/>
        <w:rPr>
          <w:rFonts w:cs="Arial"/>
          <w:b/>
          <w:szCs w:val="22"/>
        </w:rPr>
      </w:pPr>
      <w:r>
        <w:rPr>
          <w:rFonts w:cs="Arial"/>
          <w:b/>
          <w:szCs w:val="22"/>
        </w:rPr>
        <w:t>Vysvětl</w:t>
      </w:r>
      <w:r w:rsidR="00A70E58">
        <w:rPr>
          <w:rFonts w:cs="Arial"/>
          <w:b/>
          <w:szCs w:val="22"/>
        </w:rPr>
        <w:t xml:space="preserve">it </w:t>
      </w:r>
      <w:r>
        <w:rPr>
          <w:rFonts w:cs="Arial"/>
          <w:b/>
          <w:szCs w:val="22"/>
        </w:rPr>
        <w:t>rol</w:t>
      </w:r>
      <w:r w:rsidR="00A70E58">
        <w:rPr>
          <w:rFonts w:cs="Arial"/>
          <w:b/>
          <w:szCs w:val="22"/>
        </w:rPr>
        <w:t>i</w:t>
      </w:r>
      <w:r>
        <w:rPr>
          <w:rFonts w:cs="Arial"/>
          <w:b/>
          <w:szCs w:val="22"/>
        </w:rPr>
        <w:t xml:space="preserve"> externích subjektů a </w:t>
      </w:r>
      <w:r w:rsidR="00305ABD">
        <w:rPr>
          <w:rFonts w:cs="Arial"/>
          <w:b/>
          <w:szCs w:val="22"/>
        </w:rPr>
        <w:t xml:space="preserve">jim stanoveného zadání </w:t>
      </w:r>
      <w:r w:rsidR="000B4464">
        <w:rPr>
          <w:rFonts w:cs="Arial"/>
          <w:b/>
          <w:szCs w:val="22"/>
        </w:rPr>
        <w:t>p</w:t>
      </w:r>
      <w:r w:rsidR="00305ABD">
        <w:rPr>
          <w:rFonts w:cs="Arial"/>
          <w:b/>
          <w:szCs w:val="22"/>
        </w:rPr>
        <w:t xml:space="preserve">ři zpracování analýzy relevantního trhu. </w:t>
      </w:r>
    </w:p>
    <w:p w14:paraId="3BD7E95A" w14:textId="77777777" w:rsidR="00965DC3" w:rsidRPr="007F2682" w:rsidRDefault="00965DC3" w:rsidP="00965DC3">
      <w:pPr>
        <w:pStyle w:val="Podnadpis"/>
      </w:pPr>
      <w:r w:rsidRPr="007F2682">
        <w:t>Odůvodnění:</w:t>
      </w:r>
    </w:p>
    <w:p w14:paraId="651FF89C" w14:textId="2BDD3A5C" w:rsidR="00965DC3" w:rsidRDefault="00EA2A58" w:rsidP="00965DC3">
      <w:pPr>
        <w:ind w:left="357"/>
        <w:rPr>
          <w:rFonts w:cs="Arial"/>
          <w:szCs w:val="22"/>
        </w:rPr>
      </w:pPr>
      <w:r>
        <w:rPr>
          <w:rFonts w:cs="Arial"/>
          <w:szCs w:val="22"/>
        </w:rPr>
        <w:t>V</w:t>
      </w:r>
      <w:r w:rsidR="00A56AB7">
        <w:rPr>
          <w:rFonts w:cs="Arial"/>
          <w:szCs w:val="22"/>
        </w:rPr>
        <w:t xml:space="preserve"> zářijovém </w:t>
      </w:r>
      <w:r w:rsidR="00423E37">
        <w:rPr>
          <w:rFonts w:cs="Arial"/>
          <w:szCs w:val="22"/>
        </w:rPr>
        <w:t xml:space="preserve">návrhu </w:t>
      </w:r>
      <w:r>
        <w:rPr>
          <w:rFonts w:cs="Arial"/>
          <w:szCs w:val="22"/>
        </w:rPr>
        <w:t>analýz</w:t>
      </w:r>
      <w:r w:rsidR="00423E37">
        <w:rPr>
          <w:rFonts w:cs="Arial"/>
          <w:szCs w:val="22"/>
        </w:rPr>
        <w:t>y</w:t>
      </w:r>
      <w:r>
        <w:rPr>
          <w:rFonts w:cs="Arial"/>
          <w:szCs w:val="22"/>
        </w:rPr>
        <w:t xml:space="preserve"> se na řádku </w:t>
      </w:r>
      <w:r w:rsidR="004428D1">
        <w:rPr>
          <w:rFonts w:cs="Arial"/>
          <w:szCs w:val="22"/>
        </w:rPr>
        <w:t xml:space="preserve">870 objevuje text </w:t>
      </w:r>
      <w:r w:rsidR="004428D1" w:rsidRPr="00566D25">
        <w:rPr>
          <w:rFonts w:cs="Arial"/>
          <w:i/>
          <w:iCs/>
          <w:szCs w:val="22"/>
        </w:rPr>
        <w:t>„</w:t>
      </w:r>
      <w:r w:rsidR="00566D25" w:rsidRPr="00566D25">
        <w:rPr>
          <w:rFonts w:cs="Arial"/>
          <w:i/>
          <w:iCs/>
          <w:szCs w:val="22"/>
        </w:rPr>
        <w:t>Současně je ČTÚ doporučeno sledovat (…)</w:t>
      </w:r>
      <w:r w:rsidR="004428D1" w:rsidRPr="00566D25">
        <w:rPr>
          <w:rFonts w:cs="Arial"/>
          <w:i/>
          <w:iCs/>
          <w:szCs w:val="22"/>
        </w:rPr>
        <w:t>“</w:t>
      </w:r>
      <w:r w:rsidR="004428D1">
        <w:rPr>
          <w:rFonts w:cs="Arial"/>
          <w:szCs w:val="22"/>
        </w:rPr>
        <w:t xml:space="preserve"> a na řádku</w:t>
      </w:r>
      <w:r w:rsidR="002D0770">
        <w:rPr>
          <w:rFonts w:cs="Arial"/>
          <w:szCs w:val="22"/>
        </w:rPr>
        <w:t xml:space="preserve"> 2625 se objevuje text </w:t>
      </w:r>
      <w:r w:rsidR="002D0770" w:rsidRPr="002D0770">
        <w:rPr>
          <w:rFonts w:cs="Arial"/>
          <w:i/>
          <w:iCs/>
          <w:szCs w:val="22"/>
        </w:rPr>
        <w:t>„Proto je navrhováno, aby ČTÚ uplatnil (…)“</w:t>
      </w:r>
      <w:r w:rsidR="00607DDB">
        <w:rPr>
          <w:rFonts w:cs="Arial"/>
          <w:i/>
          <w:iCs/>
          <w:szCs w:val="22"/>
        </w:rPr>
        <w:t>.</w:t>
      </w:r>
      <w:r w:rsidR="00BC21BC">
        <w:rPr>
          <w:rFonts w:cs="Arial"/>
          <w:i/>
          <w:iCs/>
          <w:szCs w:val="22"/>
        </w:rPr>
        <w:t xml:space="preserve"> </w:t>
      </w:r>
      <w:r w:rsidR="00BC21BC">
        <w:rPr>
          <w:rFonts w:cs="Arial"/>
          <w:szCs w:val="22"/>
        </w:rPr>
        <w:t xml:space="preserve">Dále je pak </w:t>
      </w:r>
      <w:r w:rsidR="00643BFB">
        <w:rPr>
          <w:rFonts w:cs="Arial"/>
          <w:szCs w:val="22"/>
        </w:rPr>
        <w:t>například v grafu 26 slovenština místo češtiny.</w:t>
      </w:r>
      <w:r w:rsidR="00607DDB">
        <w:rPr>
          <w:rFonts w:cs="Arial"/>
          <w:i/>
          <w:iCs/>
          <w:szCs w:val="22"/>
        </w:rPr>
        <w:t xml:space="preserve"> </w:t>
      </w:r>
      <w:r w:rsidR="00607DDB">
        <w:rPr>
          <w:rFonts w:cs="Arial"/>
          <w:szCs w:val="22"/>
        </w:rPr>
        <w:t xml:space="preserve">Zároveň lze z veřejného registru smluv zjistit, že </w:t>
      </w:r>
      <w:r w:rsidR="00BC3032" w:rsidRPr="00652CAF">
        <w:rPr>
          <w:rFonts w:cs="Arial"/>
          <w:b/>
          <w:bCs/>
          <w:szCs w:val="22"/>
        </w:rPr>
        <w:t xml:space="preserve">ČTÚ </w:t>
      </w:r>
      <w:r w:rsidR="00781396" w:rsidRPr="00652CAF">
        <w:rPr>
          <w:rFonts w:cs="Arial"/>
          <w:b/>
          <w:bCs/>
          <w:szCs w:val="22"/>
        </w:rPr>
        <w:t xml:space="preserve">uhradil </w:t>
      </w:r>
      <w:r w:rsidR="00BC3032" w:rsidRPr="00652CAF">
        <w:rPr>
          <w:rFonts w:cs="Arial"/>
          <w:b/>
          <w:bCs/>
          <w:szCs w:val="22"/>
        </w:rPr>
        <w:t xml:space="preserve">minimálně </w:t>
      </w:r>
      <w:r w:rsidR="00781396" w:rsidRPr="00652CAF">
        <w:rPr>
          <w:rFonts w:cs="Arial"/>
          <w:b/>
          <w:bCs/>
          <w:szCs w:val="22"/>
        </w:rPr>
        <w:t xml:space="preserve">8 miliónů Kč </w:t>
      </w:r>
      <w:r w:rsidR="001E5C20" w:rsidRPr="00652CAF">
        <w:rPr>
          <w:rFonts w:cs="Arial"/>
          <w:b/>
          <w:bCs/>
          <w:szCs w:val="22"/>
        </w:rPr>
        <w:t xml:space="preserve">několika </w:t>
      </w:r>
      <w:r w:rsidR="008F7822" w:rsidRPr="00652CAF">
        <w:rPr>
          <w:rFonts w:cs="Arial"/>
          <w:b/>
          <w:bCs/>
          <w:szCs w:val="22"/>
        </w:rPr>
        <w:t xml:space="preserve">externím právním a ekonomickým poradcům na </w:t>
      </w:r>
      <w:r w:rsidR="001E5C20" w:rsidRPr="00652CAF">
        <w:rPr>
          <w:rFonts w:cs="Arial"/>
          <w:b/>
          <w:bCs/>
          <w:szCs w:val="22"/>
        </w:rPr>
        <w:t xml:space="preserve">zpracování a podporu analýzy </w:t>
      </w:r>
      <w:r w:rsidR="00AC63E2" w:rsidRPr="00652CAF">
        <w:rPr>
          <w:rFonts w:cs="Arial"/>
          <w:b/>
          <w:bCs/>
          <w:szCs w:val="22"/>
        </w:rPr>
        <w:t>mobilního trhu</w:t>
      </w:r>
      <w:r w:rsidR="0057071A" w:rsidRPr="003A06A8">
        <w:rPr>
          <w:rFonts w:cs="Arial"/>
          <w:szCs w:val="22"/>
        </w:rPr>
        <w:t xml:space="preserve">, </w:t>
      </w:r>
      <w:r w:rsidR="008054BE" w:rsidRPr="003A06A8">
        <w:rPr>
          <w:rFonts w:cs="Arial"/>
          <w:szCs w:val="22"/>
        </w:rPr>
        <w:t>z nichž někte</w:t>
      </w:r>
      <w:r w:rsidR="003A06A8" w:rsidRPr="003A06A8">
        <w:rPr>
          <w:rFonts w:cs="Arial"/>
          <w:szCs w:val="22"/>
        </w:rPr>
        <w:t>ré subjekty mají minimální či žádnou podnikatelskou historii</w:t>
      </w:r>
      <w:r w:rsidR="000B4464">
        <w:rPr>
          <w:rFonts w:cs="Arial"/>
          <w:szCs w:val="22"/>
        </w:rPr>
        <w:t>, která by ukazovala jejich odborné předpoklady pro provedení této práce</w:t>
      </w:r>
      <w:r w:rsidR="00AC63E2" w:rsidRPr="003A06A8">
        <w:rPr>
          <w:rFonts w:cs="Arial"/>
          <w:szCs w:val="22"/>
        </w:rPr>
        <w:t>.</w:t>
      </w:r>
    </w:p>
    <w:p w14:paraId="4270423B" w14:textId="1C01911E" w:rsidR="00965DC3" w:rsidRDefault="00652CAF" w:rsidP="00A7586D">
      <w:pPr>
        <w:ind w:left="357"/>
        <w:rPr>
          <w:rFonts w:cs="Arial"/>
          <w:szCs w:val="22"/>
        </w:rPr>
      </w:pPr>
      <w:r>
        <w:rPr>
          <w:rFonts w:cs="Arial"/>
          <w:szCs w:val="22"/>
        </w:rPr>
        <w:t xml:space="preserve">Nezpochybňujeme roli a oprávněnost </w:t>
      </w:r>
      <w:r w:rsidR="00213EC6">
        <w:rPr>
          <w:rFonts w:cs="Arial"/>
          <w:szCs w:val="22"/>
        </w:rPr>
        <w:t xml:space="preserve">externí </w:t>
      </w:r>
      <w:r w:rsidR="00180160">
        <w:rPr>
          <w:rFonts w:cs="Arial"/>
          <w:szCs w:val="22"/>
        </w:rPr>
        <w:t xml:space="preserve">poradenské </w:t>
      </w:r>
      <w:r w:rsidR="00213EC6">
        <w:rPr>
          <w:rFonts w:cs="Arial"/>
          <w:szCs w:val="22"/>
        </w:rPr>
        <w:t xml:space="preserve">podpory ČTÚ, nicméně jsme toho názoru, že </w:t>
      </w:r>
      <w:r w:rsidR="00BB4072">
        <w:rPr>
          <w:rFonts w:cs="Arial"/>
          <w:szCs w:val="22"/>
        </w:rPr>
        <w:t xml:space="preserve">tak zásadní </w:t>
      </w:r>
      <w:r w:rsidR="00213EC6">
        <w:rPr>
          <w:rFonts w:cs="Arial"/>
          <w:szCs w:val="22"/>
        </w:rPr>
        <w:t>regulační dokument</w:t>
      </w:r>
      <w:r w:rsidR="004A5BAD">
        <w:rPr>
          <w:rFonts w:cs="Arial"/>
          <w:szCs w:val="22"/>
        </w:rPr>
        <w:t>,</w:t>
      </w:r>
      <w:r w:rsidR="00213EC6">
        <w:rPr>
          <w:rFonts w:cs="Arial"/>
          <w:szCs w:val="22"/>
        </w:rPr>
        <w:t xml:space="preserve"> </w:t>
      </w:r>
      <w:r w:rsidR="00BB4072">
        <w:rPr>
          <w:rFonts w:cs="Arial"/>
          <w:szCs w:val="22"/>
        </w:rPr>
        <w:t xml:space="preserve">jakým je </w:t>
      </w:r>
      <w:r w:rsidR="0017729A">
        <w:rPr>
          <w:rFonts w:cs="Arial"/>
          <w:szCs w:val="22"/>
        </w:rPr>
        <w:t>analýz</w:t>
      </w:r>
      <w:r w:rsidR="00BB4072">
        <w:rPr>
          <w:rFonts w:cs="Arial"/>
          <w:szCs w:val="22"/>
        </w:rPr>
        <w:t>a</w:t>
      </w:r>
      <w:r w:rsidR="0017729A">
        <w:rPr>
          <w:rFonts w:cs="Arial"/>
          <w:szCs w:val="22"/>
        </w:rPr>
        <w:t xml:space="preserve"> relevantního trhu</w:t>
      </w:r>
      <w:r w:rsidR="004A5BAD">
        <w:rPr>
          <w:rFonts w:cs="Arial"/>
          <w:szCs w:val="22"/>
        </w:rPr>
        <w:t>,</w:t>
      </w:r>
      <w:r w:rsidR="0017729A">
        <w:rPr>
          <w:rFonts w:cs="Arial"/>
          <w:szCs w:val="22"/>
        </w:rPr>
        <w:t xml:space="preserve"> by měl být primárně zpracováván </w:t>
      </w:r>
      <w:r w:rsidR="000B4464">
        <w:rPr>
          <w:rFonts w:cs="Arial"/>
          <w:szCs w:val="22"/>
        </w:rPr>
        <w:t xml:space="preserve">odborným aparátem, který má </w:t>
      </w:r>
      <w:r w:rsidR="003F1CD6">
        <w:rPr>
          <w:rFonts w:cs="Arial"/>
          <w:szCs w:val="22"/>
        </w:rPr>
        <w:t>ČTÚ</w:t>
      </w:r>
      <w:r w:rsidR="000B4464">
        <w:rPr>
          <w:rFonts w:cs="Arial"/>
          <w:szCs w:val="22"/>
        </w:rPr>
        <w:t xml:space="preserve"> k</w:t>
      </w:r>
      <w:r w:rsidR="00D27F93">
        <w:rPr>
          <w:rFonts w:cs="Arial"/>
          <w:szCs w:val="22"/>
        </w:rPr>
        <w:t> </w:t>
      </w:r>
      <w:r w:rsidR="000B4464">
        <w:rPr>
          <w:rFonts w:cs="Arial"/>
          <w:szCs w:val="22"/>
        </w:rPr>
        <w:t>dispozici</w:t>
      </w:r>
      <w:r w:rsidR="00D27F93">
        <w:rPr>
          <w:rFonts w:cs="Arial"/>
          <w:szCs w:val="22"/>
        </w:rPr>
        <w:t>,</w:t>
      </w:r>
      <w:r w:rsidR="000B4464">
        <w:rPr>
          <w:rFonts w:cs="Arial"/>
          <w:szCs w:val="22"/>
        </w:rPr>
        <w:t xml:space="preserve"> jak </w:t>
      </w:r>
      <w:r w:rsidR="00D27F93">
        <w:rPr>
          <w:rFonts w:cs="Arial"/>
          <w:szCs w:val="22"/>
        </w:rPr>
        <w:t>tomu bylo</w:t>
      </w:r>
      <w:r w:rsidR="000B4464">
        <w:rPr>
          <w:rFonts w:cs="Arial"/>
          <w:szCs w:val="22"/>
        </w:rPr>
        <w:t xml:space="preserve"> v minulosti u jiných analýz relevantních trhů, které nebyly jako v tomto případě dělané narychlo a účelově externími subjekty s</w:t>
      </w:r>
      <w:r w:rsidR="00BB4072">
        <w:rPr>
          <w:rFonts w:cs="Arial"/>
          <w:szCs w:val="22"/>
        </w:rPr>
        <w:t> </w:t>
      </w:r>
      <w:r w:rsidR="000B4464">
        <w:rPr>
          <w:rFonts w:cs="Arial"/>
          <w:szCs w:val="22"/>
        </w:rPr>
        <w:t>žádnou</w:t>
      </w:r>
      <w:r w:rsidR="00BB4072">
        <w:rPr>
          <w:rFonts w:cs="Arial"/>
          <w:szCs w:val="22"/>
        </w:rPr>
        <w:t xml:space="preserve"> nebo irelevantní</w:t>
      </w:r>
      <w:r w:rsidR="000B4464">
        <w:rPr>
          <w:rFonts w:cs="Arial"/>
          <w:szCs w:val="22"/>
        </w:rPr>
        <w:t xml:space="preserve"> minulostí</w:t>
      </w:r>
      <w:r w:rsidR="00BB4072">
        <w:rPr>
          <w:rFonts w:cs="Arial"/>
          <w:szCs w:val="22"/>
        </w:rPr>
        <w:t xml:space="preserve"> a předpoklady pro tuto činnost</w:t>
      </w:r>
      <w:r w:rsidR="003F1CD6">
        <w:rPr>
          <w:rFonts w:cs="Arial"/>
          <w:szCs w:val="22"/>
        </w:rPr>
        <w:t xml:space="preserve">. </w:t>
      </w:r>
      <w:r w:rsidR="00BB4072">
        <w:rPr>
          <w:rFonts w:cs="Arial"/>
          <w:szCs w:val="22"/>
        </w:rPr>
        <w:t xml:space="preserve">Ostatně pro to byl ČTÚ zřízen a má takto fungovat jako ústřední orgán státní správy placený z veřejných peněz daňových poplatníků. Jeho základní činnosti nelze „privatizovat“ zadáváním kompletních zakázek na zpracování externím subjektům v tak významné činnosti </w:t>
      </w:r>
      <w:r w:rsidR="00BB4072">
        <w:rPr>
          <w:rFonts w:cs="Arial"/>
          <w:szCs w:val="22"/>
        </w:rPr>
        <w:lastRenderedPageBreak/>
        <w:t xml:space="preserve">ČTÚ jako je zpracování analýzy relevantního trhu a všech s tím souvisejících činností, kdy </w:t>
      </w:r>
      <w:r w:rsidR="009F602F">
        <w:rPr>
          <w:rFonts w:cs="Arial"/>
          <w:szCs w:val="22"/>
        </w:rPr>
        <w:t xml:space="preserve">jsou </w:t>
      </w:r>
      <w:r w:rsidR="00BB4072">
        <w:rPr>
          <w:rFonts w:cs="Arial"/>
          <w:szCs w:val="22"/>
        </w:rPr>
        <w:t>příslušné odborné útvary ČTÚ poníženy do role pouhých případných „poštovních doručovatelů a kontrolorů</w:t>
      </w:r>
      <w:r w:rsidR="00B13BE2">
        <w:rPr>
          <w:rFonts w:cs="Arial"/>
          <w:szCs w:val="22"/>
        </w:rPr>
        <w:t>“</w:t>
      </w:r>
      <w:r w:rsidR="004657AE">
        <w:rPr>
          <w:rFonts w:cs="Arial"/>
          <w:szCs w:val="22"/>
        </w:rPr>
        <w:t xml:space="preserve"> </w:t>
      </w:r>
      <w:r w:rsidR="00BB4072">
        <w:rPr>
          <w:rFonts w:cs="Arial"/>
          <w:szCs w:val="22"/>
        </w:rPr>
        <w:t>práce externích subjektů</w:t>
      </w:r>
      <w:r w:rsidR="00E84404">
        <w:rPr>
          <w:rStyle w:val="Znakapoznpodarou"/>
          <w:rFonts w:cs="Arial"/>
          <w:szCs w:val="22"/>
        </w:rPr>
        <w:footnoteReference w:id="9"/>
      </w:r>
      <w:r w:rsidR="00BB4072">
        <w:rPr>
          <w:rFonts w:cs="Arial"/>
          <w:szCs w:val="22"/>
        </w:rPr>
        <w:t>.</w:t>
      </w:r>
      <w:r w:rsidR="00B13BE2">
        <w:rPr>
          <w:rFonts w:cs="Arial"/>
          <w:szCs w:val="22"/>
        </w:rPr>
        <w:t xml:space="preserve"> Mimo samotného zpracování analýzy má pak ČTÚ</w:t>
      </w:r>
      <w:r w:rsidR="005748AA">
        <w:rPr>
          <w:rFonts w:cs="Arial"/>
          <w:szCs w:val="22"/>
        </w:rPr>
        <w:t xml:space="preserve"> externího poradce </w:t>
      </w:r>
      <w:r w:rsidR="004A5BAD">
        <w:rPr>
          <w:rFonts w:cs="Arial"/>
          <w:szCs w:val="22"/>
        </w:rPr>
        <w:t xml:space="preserve">také </w:t>
      </w:r>
      <w:r w:rsidR="005748AA">
        <w:rPr>
          <w:rFonts w:cs="Arial"/>
          <w:szCs w:val="22"/>
        </w:rPr>
        <w:t xml:space="preserve">na </w:t>
      </w:r>
      <w:r w:rsidR="003C0637" w:rsidRPr="004A5BAD">
        <w:rPr>
          <w:rFonts w:cs="Arial"/>
          <w:i/>
          <w:iCs/>
          <w:szCs w:val="22"/>
        </w:rPr>
        <w:t xml:space="preserve">„Podporu Klienta </w:t>
      </w:r>
      <w:r w:rsidR="003C0637" w:rsidRPr="004A5BAD">
        <w:rPr>
          <w:rFonts w:cs="Arial"/>
          <w:i/>
          <w:iCs/>
          <w:szCs w:val="22"/>
          <w:lang w:val="en-US"/>
        </w:rPr>
        <w:t>[</w:t>
      </w:r>
      <w:r w:rsidR="003C0637" w:rsidRPr="004A5BAD">
        <w:rPr>
          <w:rFonts w:cs="Arial"/>
          <w:i/>
          <w:iCs/>
          <w:szCs w:val="22"/>
        </w:rPr>
        <w:t>ČTÚ] při jednání s Úřadem pro ochranu hospodářské soutěže (dále jen „ÚOHS“) ve věcech, které Klient s ÚOHS povinně projednává“</w:t>
      </w:r>
      <w:r w:rsidR="003C0637">
        <w:rPr>
          <w:rFonts w:cs="Arial"/>
          <w:szCs w:val="22"/>
        </w:rPr>
        <w:t xml:space="preserve">. </w:t>
      </w:r>
      <w:r w:rsidR="00667BBF">
        <w:rPr>
          <w:rFonts w:cs="Arial"/>
          <w:szCs w:val="22"/>
        </w:rPr>
        <w:t>ČTÚ má tak jako ú</w:t>
      </w:r>
      <w:r w:rsidR="00667BBF" w:rsidRPr="00667BBF">
        <w:rPr>
          <w:rFonts w:cs="Arial"/>
          <w:szCs w:val="22"/>
        </w:rPr>
        <w:t>střední orgán státní správy</w:t>
      </w:r>
      <w:r w:rsidR="00667BBF">
        <w:rPr>
          <w:rFonts w:cs="Arial"/>
          <w:szCs w:val="22"/>
        </w:rPr>
        <w:t xml:space="preserve"> externího poradce na jednání s jiným ú</w:t>
      </w:r>
      <w:r w:rsidR="00667BBF" w:rsidRPr="00667BBF">
        <w:rPr>
          <w:rFonts w:cs="Arial"/>
          <w:szCs w:val="22"/>
        </w:rPr>
        <w:t>střední</w:t>
      </w:r>
      <w:r w:rsidR="00667BBF">
        <w:rPr>
          <w:rFonts w:cs="Arial"/>
          <w:szCs w:val="22"/>
        </w:rPr>
        <w:t>m</w:t>
      </w:r>
      <w:r w:rsidR="00667BBF" w:rsidRPr="00667BBF">
        <w:rPr>
          <w:rFonts w:cs="Arial"/>
          <w:szCs w:val="22"/>
        </w:rPr>
        <w:t xml:space="preserve"> orgán</w:t>
      </w:r>
      <w:r w:rsidR="00667BBF">
        <w:rPr>
          <w:rFonts w:cs="Arial"/>
          <w:szCs w:val="22"/>
        </w:rPr>
        <w:t>em</w:t>
      </w:r>
      <w:r w:rsidR="00667BBF" w:rsidRPr="00667BBF">
        <w:rPr>
          <w:rFonts w:cs="Arial"/>
          <w:szCs w:val="22"/>
        </w:rPr>
        <w:t xml:space="preserve"> státní správy</w:t>
      </w:r>
      <w:r w:rsidR="00667BBF">
        <w:rPr>
          <w:rFonts w:cs="Arial"/>
          <w:szCs w:val="22"/>
        </w:rPr>
        <w:t>.</w:t>
      </w:r>
      <w:r w:rsidR="00BB4072">
        <w:rPr>
          <w:rFonts w:cs="Arial"/>
          <w:szCs w:val="22"/>
        </w:rPr>
        <w:t xml:space="preserve"> </w:t>
      </w:r>
      <w:r w:rsidR="00E81967">
        <w:rPr>
          <w:rFonts w:cs="Arial"/>
          <w:szCs w:val="22"/>
        </w:rPr>
        <w:t>Z</w:t>
      </w:r>
      <w:r w:rsidR="001872AB">
        <w:rPr>
          <w:rFonts w:cs="Arial"/>
          <w:szCs w:val="22"/>
        </w:rPr>
        <w:t> </w:t>
      </w:r>
      <w:r w:rsidR="00E81967">
        <w:rPr>
          <w:rFonts w:cs="Arial"/>
          <w:szCs w:val="22"/>
        </w:rPr>
        <w:t>dokumentu</w:t>
      </w:r>
      <w:r w:rsidR="001872AB">
        <w:rPr>
          <w:rFonts w:cs="Arial"/>
          <w:szCs w:val="22"/>
        </w:rPr>
        <w:t xml:space="preserve">, zejména ve věci nepropojování některých skutečností </w:t>
      </w:r>
      <w:r w:rsidR="007E343D">
        <w:rPr>
          <w:rFonts w:cs="Arial"/>
          <w:szCs w:val="22"/>
        </w:rPr>
        <w:t xml:space="preserve">a informací ČTÚ známých, </w:t>
      </w:r>
      <w:r w:rsidR="00A869A7">
        <w:rPr>
          <w:rFonts w:cs="Arial"/>
          <w:szCs w:val="22"/>
        </w:rPr>
        <w:t xml:space="preserve">jasně </w:t>
      </w:r>
      <w:r w:rsidR="007E343D">
        <w:rPr>
          <w:rFonts w:cs="Arial"/>
          <w:szCs w:val="22"/>
        </w:rPr>
        <w:t xml:space="preserve">vyplývá, že byl </w:t>
      </w:r>
      <w:r w:rsidR="004019DC">
        <w:rPr>
          <w:rFonts w:cs="Arial"/>
          <w:szCs w:val="22"/>
        </w:rPr>
        <w:t>primárně nebo zcela</w:t>
      </w:r>
      <w:r w:rsidR="002569D7">
        <w:rPr>
          <w:rFonts w:cs="Arial"/>
          <w:szCs w:val="22"/>
        </w:rPr>
        <w:t xml:space="preserve"> </w:t>
      </w:r>
      <w:r w:rsidR="004D584A">
        <w:rPr>
          <w:rFonts w:cs="Arial"/>
          <w:szCs w:val="22"/>
        </w:rPr>
        <w:t>zpracován externím soukromým subjektem</w:t>
      </w:r>
      <w:r w:rsidR="00A869A7">
        <w:rPr>
          <w:rFonts w:cs="Arial"/>
          <w:szCs w:val="22"/>
        </w:rPr>
        <w:t xml:space="preserve"> nebo více subjekty</w:t>
      </w:r>
      <w:r w:rsidR="004D584A">
        <w:rPr>
          <w:rFonts w:cs="Arial"/>
          <w:szCs w:val="22"/>
        </w:rPr>
        <w:t xml:space="preserve"> s jasným zadáním a předem stanoveným cílem a tím j</w:t>
      </w:r>
      <w:r w:rsidR="0022398A">
        <w:rPr>
          <w:rFonts w:cs="Arial"/>
          <w:szCs w:val="22"/>
        </w:rPr>
        <w:t>sou</w:t>
      </w:r>
      <w:r w:rsidR="004D584A">
        <w:rPr>
          <w:rFonts w:cs="Arial"/>
          <w:szCs w:val="22"/>
        </w:rPr>
        <w:t xml:space="preserve"> posílen</w:t>
      </w:r>
      <w:r w:rsidR="0022398A">
        <w:rPr>
          <w:rFonts w:cs="Arial"/>
          <w:szCs w:val="22"/>
        </w:rPr>
        <w:t xml:space="preserve">y pochybnosti o jeho </w:t>
      </w:r>
      <w:r w:rsidR="003A30A9">
        <w:rPr>
          <w:rFonts w:cs="Arial"/>
          <w:szCs w:val="22"/>
        </w:rPr>
        <w:t>správnosti.</w:t>
      </w:r>
    </w:p>
    <w:p w14:paraId="069460F0" w14:textId="4CF57528" w:rsidR="00A70E58" w:rsidRDefault="00A70E58" w:rsidP="00A7586D">
      <w:pPr>
        <w:ind w:left="357"/>
        <w:rPr>
          <w:rFonts w:cs="Arial"/>
          <w:b/>
          <w:bCs/>
          <w:szCs w:val="22"/>
        </w:rPr>
      </w:pPr>
      <w:r>
        <w:rPr>
          <w:rFonts w:cs="Arial"/>
          <w:szCs w:val="22"/>
        </w:rPr>
        <w:t xml:space="preserve">Z dikce aktuálního návrhu analýzy i nadále vyplývá, že byla zpracována zcela nebo </w:t>
      </w:r>
      <w:r w:rsidR="00D27F93">
        <w:rPr>
          <w:rFonts w:cs="Arial"/>
          <w:szCs w:val="22"/>
        </w:rPr>
        <w:t xml:space="preserve">z podstatné části </w:t>
      </w:r>
      <w:r>
        <w:rPr>
          <w:rFonts w:cs="Arial"/>
          <w:szCs w:val="22"/>
        </w:rPr>
        <w:t xml:space="preserve">externími subjekty. </w:t>
      </w:r>
      <w:r w:rsidRPr="00F36684">
        <w:rPr>
          <w:rFonts w:cs="Arial"/>
          <w:b/>
          <w:bCs/>
          <w:szCs w:val="22"/>
        </w:rPr>
        <w:t>ČTÚ by měl vysvětlit, z</w:t>
      </w:r>
      <w:r w:rsidR="00D27F93">
        <w:rPr>
          <w:rFonts w:cs="Arial"/>
          <w:b/>
          <w:bCs/>
          <w:szCs w:val="22"/>
        </w:rPr>
        <w:t xml:space="preserve"> jakého důvodu </w:t>
      </w:r>
      <w:r w:rsidRPr="00F36684">
        <w:rPr>
          <w:rFonts w:cs="Arial"/>
          <w:b/>
          <w:bCs/>
          <w:szCs w:val="22"/>
        </w:rPr>
        <w:t xml:space="preserve">považuje takto významnou účast externích soukromých subjektů na stanovování a zavádění významných regulačních opatřeních ze strany regulačního orgánu za oprávněné a vhodné. </w:t>
      </w:r>
      <w:r w:rsidR="00D27F93">
        <w:rPr>
          <w:rFonts w:cs="Arial"/>
          <w:b/>
          <w:bCs/>
          <w:szCs w:val="22"/>
        </w:rPr>
        <w:t>Zároveň by měl ČTÚ prokázat, že nedochází k nezáko</w:t>
      </w:r>
      <w:r w:rsidR="00764672">
        <w:rPr>
          <w:rFonts w:cs="Arial"/>
          <w:b/>
          <w:bCs/>
          <w:szCs w:val="22"/>
        </w:rPr>
        <w:t>n</w:t>
      </w:r>
      <w:r w:rsidR="00D27F93">
        <w:rPr>
          <w:rFonts w:cs="Arial"/>
          <w:b/>
          <w:bCs/>
          <w:szCs w:val="22"/>
        </w:rPr>
        <w:t>nému ov</w:t>
      </w:r>
      <w:r w:rsidR="00764672">
        <w:rPr>
          <w:rFonts w:cs="Arial"/>
          <w:b/>
          <w:bCs/>
          <w:szCs w:val="22"/>
        </w:rPr>
        <w:t>l</w:t>
      </w:r>
      <w:r w:rsidR="00D27F93">
        <w:rPr>
          <w:rFonts w:cs="Arial"/>
          <w:b/>
          <w:bCs/>
          <w:szCs w:val="22"/>
        </w:rPr>
        <w:t xml:space="preserve">ivnění trhu ze strany soukromých </w:t>
      </w:r>
      <w:r w:rsidR="00764672">
        <w:rPr>
          <w:rFonts w:cs="Arial"/>
          <w:b/>
          <w:bCs/>
          <w:szCs w:val="22"/>
        </w:rPr>
        <w:t>společností s nejasnými motivacemi a podnikatelským napojením. Ničemu z toho ČTÚ nedostál</w:t>
      </w:r>
      <w:r w:rsidRPr="00F36684">
        <w:rPr>
          <w:rFonts w:cs="Arial"/>
          <w:b/>
          <w:bCs/>
          <w:szCs w:val="22"/>
        </w:rPr>
        <w:t>.</w:t>
      </w:r>
      <w:r w:rsidR="00D27F93">
        <w:rPr>
          <w:rFonts w:cs="Arial"/>
          <w:b/>
          <w:bCs/>
          <w:szCs w:val="22"/>
        </w:rPr>
        <w:t xml:space="preserve"> </w:t>
      </w:r>
    </w:p>
    <w:p w14:paraId="6FFBFCEB" w14:textId="7A86C614" w:rsidR="00F5619A" w:rsidRDefault="004E6625" w:rsidP="00F5619A">
      <w:pPr>
        <w:pStyle w:val="Nadpis2"/>
      </w:pPr>
      <w:r>
        <w:t>C.0 Preambule – shrnutí závěrů analýzy mobilního trhu 2021-2022</w:t>
      </w:r>
      <w:r w:rsidR="001F6742">
        <w:t xml:space="preserve"> (s. 3)</w:t>
      </w:r>
    </w:p>
    <w:p w14:paraId="3287DC72" w14:textId="77777777" w:rsidR="004E6625" w:rsidRPr="007F2682" w:rsidRDefault="004E6625" w:rsidP="004E6625">
      <w:pPr>
        <w:pStyle w:val="Podnadpis"/>
      </w:pPr>
      <w:r w:rsidRPr="007F2682">
        <w:t xml:space="preserve">Návrh na doplnění, změnu, zrušení nebo nahrazení textu ustanovení návrhu opatření: </w:t>
      </w:r>
    </w:p>
    <w:p w14:paraId="2120C646" w14:textId="115FFA03" w:rsidR="004E6625" w:rsidRDefault="00894DB1" w:rsidP="004E6625">
      <w:pPr>
        <w:ind w:left="357"/>
        <w:rPr>
          <w:rFonts w:cs="Arial"/>
          <w:b/>
          <w:szCs w:val="22"/>
        </w:rPr>
      </w:pPr>
      <w:r>
        <w:rPr>
          <w:rFonts w:cs="Arial"/>
          <w:b/>
          <w:szCs w:val="22"/>
        </w:rPr>
        <w:t>Odstranit nesmyslné a zavádějící informace o relativní</w:t>
      </w:r>
      <w:r w:rsidR="00696D5E">
        <w:rPr>
          <w:rFonts w:cs="Arial"/>
          <w:b/>
          <w:szCs w:val="22"/>
        </w:rPr>
        <w:t>ch maloobchodních</w:t>
      </w:r>
      <w:r>
        <w:rPr>
          <w:rFonts w:cs="Arial"/>
          <w:b/>
          <w:szCs w:val="22"/>
        </w:rPr>
        <w:t xml:space="preserve"> cen</w:t>
      </w:r>
      <w:r w:rsidR="00696D5E">
        <w:rPr>
          <w:rFonts w:cs="Arial"/>
          <w:b/>
          <w:szCs w:val="22"/>
        </w:rPr>
        <w:t>ách v České republice.</w:t>
      </w:r>
    </w:p>
    <w:p w14:paraId="033538C8" w14:textId="77777777" w:rsidR="001C1FAD" w:rsidRPr="007F2682" w:rsidRDefault="001C1FAD" w:rsidP="001C1FAD">
      <w:pPr>
        <w:pStyle w:val="Podnadpis"/>
      </w:pPr>
      <w:r w:rsidRPr="007F2682">
        <w:t>Odůvodnění:</w:t>
      </w:r>
    </w:p>
    <w:p w14:paraId="412B42CB" w14:textId="24DEE880" w:rsidR="004E6625" w:rsidRDefault="001C1FAD" w:rsidP="00894DB1">
      <w:pPr>
        <w:ind w:left="454"/>
      </w:pPr>
      <w:r>
        <w:t xml:space="preserve">ČTÚ </w:t>
      </w:r>
      <w:r w:rsidR="00176F6B">
        <w:t xml:space="preserve">v úvodu této kapitoly </w:t>
      </w:r>
      <w:r>
        <w:t xml:space="preserve">uvádí, že </w:t>
      </w:r>
      <w:r w:rsidR="00CF3E85" w:rsidRPr="00B756C6">
        <w:rPr>
          <w:i/>
          <w:iCs/>
        </w:rPr>
        <w:t>„Podle mezinárodního srovnání prováděného Evropskou komisí jsou ceny mobilních služeb na maloobchodním trhu v ČR i o 90 % vyšší, než je průměr cen v EU. V případě ceny dat je ČR podle srovnání společnosti Cable.co.uk dokonce až 200 % nad průměrem.“</w:t>
      </w:r>
      <w:r w:rsidR="00B756C6">
        <w:rPr>
          <w:i/>
          <w:iCs/>
        </w:rPr>
        <w:t xml:space="preserve"> </w:t>
      </w:r>
      <w:r w:rsidR="00176F6B">
        <w:t xml:space="preserve">Společnost O2 </w:t>
      </w:r>
      <w:r w:rsidR="008B1987">
        <w:t xml:space="preserve">v připomínce ke kapitolám </w:t>
      </w:r>
      <w:r w:rsidR="008B1987" w:rsidRPr="008B1987">
        <w:t xml:space="preserve">C.3 </w:t>
      </w:r>
      <w:r w:rsidR="008B1987">
        <w:t>M</w:t>
      </w:r>
      <w:r w:rsidR="008B1987" w:rsidRPr="008B1987">
        <w:t xml:space="preserve">ezinárodní srovnání situace na maloobchodním trhu v ČR </w:t>
      </w:r>
      <w:r w:rsidR="008B1987">
        <w:t>a</w:t>
      </w:r>
      <w:r w:rsidR="008B1987" w:rsidRPr="008B1987">
        <w:t xml:space="preserve"> 2.1.7 </w:t>
      </w:r>
      <w:r w:rsidR="008B1987">
        <w:t>M</w:t>
      </w:r>
      <w:r w:rsidR="008B1987" w:rsidRPr="008B1987">
        <w:t>ezinárodní srovnání</w:t>
      </w:r>
      <w:r w:rsidR="008B1987">
        <w:t xml:space="preserve"> </w:t>
      </w:r>
      <w:r w:rsidR="00894DB1">
        <w:t>prokazuje, že tyto data jsou nesmyslná.</w:t>
      </w:r>
    </w:p>
    <w:p w14:paraId="3B69618E" w14:textId="1186A285" w:rsidR="001F6742" w:rsidRDefault="001F6742" w:rsidP="001F6742">
      <w:pPr>
        <w:pStyle w:val="Nadpis2"/>
      </w:pPr>
      <w:r>
        <w:lastRenderedPageBreak/>
        <w:t>C.0 Preambule – shrnutí závěrů analýzy mobilního trhu 2021-2022 – Selhání efektivní hospodářské soutěže (s. 3)</w:t>
      </w:r>
    </w:p>
    <w:p w14:paraId="76E40897" w14:textId="77777777" w:rsidR="001F6742" w:rsidRPr="007F2682" w:rsidRDefault="001F6742" w:rsidP="001F6742">
      <w:pPr>
        <w:pStyle w:val="Podnadpis"/>
      </w:pPr>
      <w:r w:rsidRPr="007F2682">
        <w:t xml:space="preserve">Návrh na doplnění, změnu, zrušení nebo nahrazení textu ustanovení návrhu opatření: </w:t>
      </w:r>
    </w:p>
    <w:p w14:paraId="7552FC67" w14:textId="291D8FE4" w:rsidR="00F92D4A" w:rsidRDefault="00F92D4A" w:rsidP="00F92D4A">
      <w:pPr>
        <w:ind w:left="357"/>
        <w:rPr>
          <w:rFonts w:cs="Arial"/>
          <w:b/>
          <w:szCs w:val="22"/>
        </w:rPr>
      </w:pPr>
      <w:r>
        <w:rPr>
          <w:rFonts w:cs="Arial"/>
          <w:b/>
          <w:szCs w:val="22"/>
        </w:rPr>
        <w:t xml:space="preserve">Odstranit nesmyslné a zavádějící informace o velkoobchodní ceně za </w:t>
      </w:r>
      <w:r w:rsidR="004E2D18">
        <w:rPr>
          <w:rFonts w:cs="Arial"/>
          <w:b/>
          <w:szCs w:val="22"/>
        </w:rPr>
        <w:t>datové služby převyšující maloobchodní ceny za datové služby</w:t>
      </w:r>
      <w:r w:rsidR="00191E59">
        <w:rPr>
          <w:rFonts w:cs="Arial"/>
          <w:b/>
          <w:szCs w:val="22"/>
        </w:rPr>
        <w:t xml:space="preserve"> a upozornit na druh prezentovaného tržního podílu</w:t>
      </w:r>
      <w:r>
        <w:rPr>
          <w:rFonts w:cs="Arial"/>
          <w:b/>
          <w:szCs w:val="22"/>
        </w:rPr>
        <w:t>.</w:t>
      </w:r>
    </w:p>
    <w:p w14:paraId="6C09B3EC" w14:textId="24ED2116" w:rsidR="001F6742" w:rsidRDefault="001F6742" w:rsidP="001F6742">
      <w:pPr>
        <w:pStyle w:val="Podnadpis"/>
      </w:pPr>
      <w:r w:rsidRPr="007F2682">
        <w:t>Odůvodnění:</w:t>
      </w:r>
    </w:p>
    <w:p w14:paraId="381AFDBE" w14:textId="38A4D138" w:rsidR="001F6742" w:rsidRDefault="00B56445" w:rsidP="00B123CF">
      <w:pPr>
        <w:ind w:left="454"/>
        <w:rPr>
          <w:rFonts w:cs="Arial"/>
          <w:szCs w:val="22"/>
        </w:rPr>
      </w:pPr>
      <w:r>
        <w:rPr>
          <w:rFonts w:cs="Arial"/>
          <w:szCs w:val="22"/>
        </w:rPr>
        <w:t xml:space="preserve">V poznámce pod čarou č. 1 ČTÚ uvádí, že </w:t>
      </w:r>
      <w:r w:rsidRPr="00B56445">
        <w:rPr>
          <w:rFonts w:cs="Arial"/>
          <w:i/>
          <w:iCs/>
          <w:szCs w:val="22"/>
        </w:rPr>
        <w:t>„průměrné ceny datových služeb na velkoobchodním trhu jsou vyšší než ceny těchto služeb na maloobchodním trhu“</w:t>
      </w:r>
      <w:r>
        <w:rPr>
          <w:rFonts w:cs="Arial"/>
          <w:i/>
          <w:iCs/>
          <w:szCs w:val="22"/>
        </w:rPr>
        <w:t xml:space="preserve">. </w:t>
      </w:r>
      <w:r>
        <w:rPr>
          <w:rFonts w:cs="Arial"/>
          <w:szCs w:val="22"/>
        </w:rPr>
        <w:t xml:space="preserve">Společnost O2 opakovaně </w:t>
      </w:r>
      <w:r w:rsidR="008F6623">
        <w:rPr>
          <w:rFonts w:cs="Arial"/>
          <w:szCs w:val="22"/>
        </w:rPr>
        <w:t>upozorňuje na metodiku a zdroj dat, o který ČTÚ tuto domněnku opírá</w:t>
      </w:r>
      <w:r w:rsidR="002A4C5A">
        <w:rPr>
          <w:rFonts w:cs="Arial"/>
          <w:szCs w:val="22"/>
        </w:rPr>
        <w:t xml:space="preserve"> a činí tak opět podrobněji v připomínce ke kapitole </w:t>
      </w:r>
      <w:r w:rsidR="002A4C5A" w:rsidRPr="002A4C5A">
        <w:rPr>
          <w:rFonts w:cs="Arial"/>
          <w:szCs w:val="22"/>
        </w:rPr>
        <w:t xml:space="preserve">C.6 </w:t>
      </w:r>
      <w:r w:rsidR="002A4C5A">
        <w:rPr>
          <w:rFonts w:cs="Arial"/>
          <w:szCs w:val="22"/>
        </w:rPr>
        <w:t>A</w:t>
      </w:r>
      <w:r w:rsidR="002A4C5A" w:rsidRPr="002A4C5A">
        <w:rPr>
          <w:rFonts w:cs="Arial"/>
          <w:szCs w:val="22"/>
        </w:rPr>
        <w:t xml:space="preserve">nalýza </w:t>
      </w:r>
      <w:proofErr w:type="spellStart"/>
      <w:r w:rsidR="002A4C5A" w:rsidRPr="002A4C5A">
        <w:rPr>
          <w:rFonts w:cs="Arial"/>
          <w:szCs w:val="22"/>
        </w:rPr>
        <w:t>replikovatelnosti</w:t>
      </w:r>
      <w:proofErr w:type="spellEnd"/>
      <w:r w:rsidR="002A4C5A" w:rsidRPr="002A4C5A">
        <w:rPr>
          <w:rFonts w:cs="Arial"/>
          <w:szCs w:val="22"/>
        </w:rPr>
        <w:t xml:space="preserve"> nabídky síťových operátorů</w:t>
      </w:r>
      <w:r w:rsidR="002A4C5A">
        <w:rPr>
          <w:rFonts w:cs="Arial"/>
          <w:szCs w:val="22"/>
        </w:rPr>
        <w:t>.</w:t>
      </w:r>
    </w:p>
    <w:p w14:paraId="25FB347A" w14:textId="35E743BE" w:rsidR="00E0636A" w:rsidRDefault="00CE0DF4" w:rsidP="00B123CF">
      <w:pPr>
        <w:ind w:left="454"/>
        <w:rPr>
          <w:rFonts w:cs="Arial"/>
          <w:szCs w:val="22"/>
        </w:rPr>
      </w:pPr>
      <w:r>
        <w:rPr>
          <w:rFonts w:cs="Arial"/>
          <w:szCs w:val="22"/>
        </w:rPr>
        <w:t xml:space="preserve">Také v této kapitole účelově uvádí tržní podíl </w:t>
      </w:r>
      <w:r w:rsidR="0024647C">
        <w:rPr>
          <w:rFonts w:cs="Arial"/>
          <w:szCs w:val="22"/>
        </w:rPr>
        <w:t xml:space="preserve">MVNO </w:t>
      </w:r>
      <w:r w:rsidRPr="00CE0DF4">
        <w:rPr>
          <w:rFonts w:cs="Arial"/>
          <w:szCs w:val="22"/>
        </w:rPr>
        <w:t>na základě tržeb</w:t>
      </w:r>
      <w:r>
        <w:rPr>
          <w:rFonts w:cs="Arial"/>
          <w:szCs w:val="22"/>
        </w:rPr>
        <w:t xml:space="preserve">. </w:t>
      </w:r>
      <w:r w:rsidR="00D1249B">
        <w:rPr>
          <w:rFonts w:cs="Arial"/>
          <w:szCs w:val="22"/>
        </w:rPr>
        <w:t xml:space="preserve">Podíl </w:t>
      </w:r>
      <w:r w:rsidR="00191E59">
        <w:rPr>
          <w:rFonts w:cs="Arial"/>
          <w:szCs w:val="22"/>
        </w:rPr>
        <w:t xml:space="preserve">majetkově nepropojených MVNO z pohledu počtu SIM je ale </w:t>
      </w:r>
      <w:r w:rsidR="001C328A">
        <w:rPr>
          <w:rFonts w:cs="Arial"/>
          <w:szCs w:val="22"/>
        </w:rPr>
        <w:t xml:space="preserve">téměř </w:t>
      </w:r>
      <w:proofErr w:type="gramStart"/>
      <w:r w:rsidR="001C328A">
        <w:rPr>
          <w:rFonts w:cs="Arial"/>
          <w:szCs w:val="22"/>
        </w:rPr>
        <w:t>4%</w:t>
      </w:r>
      <w:proofErr w:type="gramEnd"/>
      <w:r w:rsidR="001C328A">
        <w:rPr>
          <w:rFonts w:cs="Arial"/>
          <w:szCs w:val="22"/>
        </w:rPr>
        <w:t xml:space="preserve"> a z pohledu všech MVNO dokonce téměř 8%. </w:t>
      </w:r>
      <w:r w:rsidR="00A17F3A">
        <w:rPr>
          <w:rFonts w:cs="Arial"/>
          <w:szCs w:val="22"/>
        </w:rPr>
        <w:t xml:space="preserve">Tržní podíl pohledem tržeb je </w:t>
      </w:r>
      <w:r w:rsidR="00FF2BB9">
        <w:rPr>
          <w:rFonts w:cs="Arial"/>
          <w:szCs w:val="22"/>
        </w:rPr>
        <w:t xml:space="preserve">zkreslující a z podstaty věci </w:t>
      </w:r>
      <w:proofErr w:type="gramStart"/>
      <w:r w:rsidR="00FF2BB9">
        <w:rPr>
          <w:rFonts w:cs="Arial"/>
          <w:szCs w:val="22"/>
        </w:rPr>
        <w:t>nižší</w:t>
      </w:r>
      <w:proofErr w:type="gramEnd"/>
      <w:r w:rsidR="00FF2BB9">
        <w:rPr>
          <w:rFonts w:cs="Arial"/>
          <w:szCs w:val="22"/>
        </w:rPr>
        <w:t xml:space="preserve"> než je tomu u podíl</w:t>
      </w:r>
      <w:r w:rsidR="00FF38F3">
        <w:rPr>
          <w:rFonts w:cs="Arial"/>
          <w:szCs w:val="22"/>
        </w:rPr>
        <w:t>u</w:t>
      </w:r>
      <w:r w:rsidR="00FF2BB9">
        <w:rPr>
          <w:rFonts w:cs="Arial"/>
          <w:szCs w:val="22"/>
        </w:rPr>
        <w:t xml:space="preserve"> počítaného počtem služeb.</w:t>
      </w:r>
      <w:r w:rsidR="008D7892">
        <w:rPr>
          <w:rFonts w:cs="Arial"/>
          <w:szCs w:val="22"/>
        </w:rPr>
        <w:t xml:space="preserve"> Majetkově propojení MVNO přitom taktéž přinášejí na trh různorodost nabídky a </w:t>
      </w:r>
      <w:r w:rsidR="005C6CEE">
        <w:rPr>
          <w:rFonts w:cs="Arial"/>
          <w:szCs w:val="22"/>
        </w:rPr>
        <w:t>konkurenci a není důvod jejich podíl záměrně vytlačovat.</w:t>
      </w:r>
    </w:p>
    <w:p w14:paraId="736535B5" w14:textId="6C3A221E" w:rsidR="007234A7" w:rsidRDefault="007234A7" w:rsidP="007234A7">
      <w:pPr>
        <w:pStyle w:val="Nadpis2"/>
      </w:pPr>
      <w:r>
        <w:t xml:space="preserve">C.0 Preambule – shrnutí závěrů analýzy mobilního trhu 2021-2022 – </w:t>
      </w:r>
      <w:r w:rsidR="00B16C60">
        <w:t>Prognóza ekonomického vývoje a implikace pro mobilní trh</w:t>
      </w:r>
      <w:r>
        <w:t xml:space="preserve"> (s. 4)</w:t>
      </w:r>
    </w:p>
    <w:p w14:paraId="452A83FC" w14:textId="77777777" w:rsidR="00B16C60" w:rsidRPr="007F2682" w:rsidRDefault="00B16C60" w:rsidP="00B16C60">
      <w:pPr>
        <w:pStyle w:val="Podnadpis"/>
      </w:pPr>
      <w:r w:rsidRPr="007F2682">
        <w:t xml:space="preserve">Návrh na doplnění, změnu, zrušení nebo nahrazení textu ustanovení návrhu opatření: </w:t>
      </w:r>
    </w:p>
    <w:p w14:paraId="0B162734" w14:textId="1DBA5A4F" w:rsidR="00B16C60" w:rsidRDefault="00B16C60" w:rsidP="00B16C60">
      <w:pPr>
        <w:ind w:left="357"/>
        <w:rPr>
          <w:rFonts w:cs="Arial"/>
          <w:b/>
          <w:szCs w:val="22"/>
        </w:rPr>
      </w:pPr>
      <w:r>
        <w:rPr>
          <w:rFonts w:cs="Arial"/>
          <w:b/>
          <w:szCs w:val="22"/>
        </w:rPr>
        <w:t xml:space="preserve">Odstranit </w:t>
      </w:r>
      <w:r w:rsidR="001B0037">
        <w:rPr>
          <w:rFonts w:cs="Arial"/>
          <w:b/>
          <w:szCs w:val="22"/>
        </w:rPr>
        <w:t xml:space="preserve">spekulaci o zvyšování cen na mobilním trhu a </w:t>
      </w:r>
      <w:r w:rsidR="00437803">
        <w:rPr>
          <w:rFonts w:cs="Arial"/>
          <w:b/>
          <w:szCs w:val="22"/>
        </w:rPr>
        <w:t>podbarvené konstatování o neadekvátním zvýšením cen</w:t>
      </w:r>
      <w:r>
        <w:rPr>
          <w:rFonts w:cs="Arial"/>
          <w:b/>
          <w:szCs w:val="22"/>
        </w:rPr>
        <w:t>.</w:t>
      </w:r>
    </w:p>
    <w:p w14:paraId="6BEAA265" w14:textId="77777777" w:rsidR="00B16C60" w:rsidRDefault="00B16C60" w:rsidP="00B16C60">
      <w:pPr>
        <w:pStyle w:val="Podnadpis"/>
      </w:pPr>
      <w:r w:rsidRPr="007F2682">
        <w:t>Odůvodnění:</w:t>
      </w:r>
    </w:p>
    <w:p w14:paraId="2364F8DA" w14:textId="50CCEC04" w:rsidR="00B16C60" w:rsidRDefault="00991AA7" w:rsidP="00991AA7">
      <w:pPr>
        <w:ind w:left="454"/>
        <w:rPr>
          <w:rFonts w:cs="Arial"/>
          <w:i/>
          <w:iCs/>
          <w:szCs w:val="22"/>
        </w:rPr>
      </w:pPr>
      <w:r>
        <w:rPr>
          <w:rFonts w:cs="Arial"/>
          <w:szCs w:val="22"/>
        </w:rPr>
        <w:t xml:space="preserve">ČTÚ v tomto bodě uvádí, že </w:t>
      </w:r>
      <w:r w:rsidRPr="00991AA7">
        <w:rPr>
          <w:rFonts w:cs="Arial"/>
          <w:i/>
          <w:iCs/>
          <w:szCs w:val="22"/>
        </w:rPr>
        <w:t xml:space="preserve">„Již razantně zvýšená (nad 10 %) inflace zvyšuje riziko budoucího růstu ceny, který bude ještě umocněn růstem vstupů, a to především cen energií, které v 2. pololetí roku 2022 vzrostou o dalších přibližně 30 % a mohou být použity ze strany MNO </w:t>
      </w:r>
      <w:r w:rsidRPr="002B5CDD">
        <w:rPr>
          <w:rFonts w:cs="Arial"/>
          <w:b/>
          <w:bCs/>
          <w:i/>
          <w:iCs/>
          <w:szCs w:val="22"/>
        </w:rPr>
        <w:t>jako důvod pro neadekvátní zvýšení cen</w:t>
      </w:r>
      <w:r w:rsidRPr="00991AA7">
        <w:rPr>
          <w:rFonts w:cs="Arial"/>
          <w:i/>
          <w:iCs/>
          <w:szCs w:val="22"/>
        </w:rPr>
        <w:t xml:space="preserve"> nejen na maloobchodním, ale také na velkoobchodním trhu.“</w:t>
      </w:r>
    </w:p>
    <w:p w14:paraId="6087331D" w14:textId="5F0C065B" w:rsidR="002B5CDD" w:rsidRDefault="002B5CDD" w:rsidP="00991AA7">
      <w:pPr>
        <w:ind w:left="454"/>
        <w:rPr>
          <w:rFonts w:cs="Arial"/>
          <w:szCs w:val="22"/>
        </w:rPr>
      </w:pPr>
      <w:r>
        <w:rPr>
          <w:rFonts w:cs="Arial"/>
          <w:szCs w:val="22"/>
        </w:rPr>
        <w:t xml:space="preserve">Zaprvé se jedná o čistou spekulaci, která </w:t>
      </w:r>
      <w:r w:rsidR="002C196E">
        <w:rPr>
          <w:rFonts w:cs="Arial"/>
          <w:szCs w:val="22"/>
        </w:rPr>
        <w:t>do analýzy ani jejího odůvodnění nepatří.</w:t>
      </w:r>
    </w:p>
    <w:p w14:paraId="6B5CB6F5" w14:textId="067411FD" w:rsidR="002C196E" w:rsidRDefault="002C196E" w:rsidP="00991AA7">
      <w:pPr>
        <w:ind w:left="454"/>
        <w:rPr>
          <w:rFonts w:cs="Arial"/>
          <w:szCs w:val="22"/>
        </w:rPr>
      </w:pPr>
      <w:r>
        <w:rPr>
          <w:rFonts w:cs="Arial"/>
          <w:szCs w:val="22"/>
        </w:rPr>
        <w:t xml:space="preserve">Zadruhé </w:t>
      </w:r>
      <w:r w:rsidR="00DE3E91">
        <w:rPr>
          <w:rFonts w:cs="Arial"/>
          <w:szCs w:val="22"/>
        </w:rPr>
        <w:t xml:space="preserve">podbarvení této věty slovem </w:t>
      </w:r>
      <w:r w:rsidR="00DE3E91" w:rsidRPr="00DE3E91">
        <w:rPr>
          <w:rFonts w:cs="Arial"/>
          <w:i/>
          <w:iCs/>
          <w:szCs w:val="22"/>
        </w:rPr>
        <w:t>neadekvátní</w:t>
      </w:r>
      <w:r w:rsidR="00DE3E91">
        <w:rPr>
          <w:rFonts w:cs="Arial"/>
          <w:szCs w:val="22"/>
        </w:rPr>
        <w:t xml:space="preserve">, </w:t>
      </w:r>
      <w:r w:rsidR="008B4C46">
        <w:rPr>
          <w:rFonts w:cs="Arial"/>
          <w:szCs w:val="22"/>
        </w:rPr>
        <w:t>jasně ukazuje, že ČTÚ dlouhodobě nepřistupuje k regulaci a kontrole trhu elektronických komunikacích nestranně</w:t>
      </w:r>
      <w:r w:rsidR="007F1639">
        <w:rPr>
          <w:rFonts w:cs="Arial"/>
          <w:szCs w:val="22"/>
        </w:rPr>
        <w:t xml:space="preserve"> tak, jak mu ukládá zákon</w:t>
      </w:r>
      <w:r w:rsidR="008B4C46">
        <w:rPr>
          <w:rFonts w:cs="Arial"/>
          <w:szCs w:val="22"/>
        </w:rPr>
        <w:t>.</w:t>
      </w:r>
      <w:r w:rsidR="00CE3B61">
        <w:rPr>
          <w:rFonts w:cs="Arial"/>
          <w:szCs w:val="22"/>
        </w:rPr>
        <w:t xml:space="preserve"> Co je podle ČTÚ </w:t>
      </w:r>
      <w:r w:rsidR="00CE3B61" w:rsidRPr="00E67081">
        <w:rPr>
          <w:rFonts w:cs="Arial"/>
          <w:i/>
          <w:iCs/>
          <w:szCs w:val="22"/>
        </w:rPr>
        <w:t>neadekvátní zvýšení cen</w:t>
      </w:r>
      <w:r w:rsidR="00CE3B61">
        <w:rPr>
          <w:rFonts w:cs="Arial"/>
          <w:szCs w:val="22"/>
        </w:rPr>
        <w:t xml:space="preserve">, zejména v situaci dvouciferné </w:t>
      </w:r>
      <w:proofErr w:type="gramStart"/>
      <w:r w:rsidR="00CE3B61">
        <w:rPr>
          <w:rFonts w:cs="Arial"/>
          <w:szCs w:val="22"/>
        </w:rPr>
        <w:t>inflace</w:t>
      </w:r>
      <w:proofErr w:type="gramEnd"/>
      <w:r w:rsidR="00CE3B61">
        <w:rPr>
          <w:rFonts w:cs="Arial"/>
          <w:szCs w:val="22"/>
        </w:rPr>
        <w:t xml:space="preserve"> a </w:t>
      </w:r>
      <w:r w:rsidR="0021659F">
        <w:rPr>
          <w:rFonts w:cs="Arial"/>
          <w:szCs w:val="22"/>
        </w:rPr>
        <w:t>ještě vyšší</w:t>
      </w:r>
      <w:r w:rsidR="00764672">
        <w:rPr>
          <w:rFonts w:cs="Arial"/>
          <w:szCs w:val="22"/>
        </w:rPr>
        <w:t>ho</w:t>
      </w:r>
      <w:r w:rsidR="0021659F">
        <w:rPr>
          <w:rFonts w:cs="Arial"/>
          <w:szCs w:val="22"/>
        </w:rPr>
        <w:t xml:space="preserve"> </w:t>
      </w:r>
      <w:r w:rsidR="005D1430">
        <w:rPr>
          <w:rFonts w:cs="Arial"/>
          <w:szCs w:val="22"/>
        </w:rPr>
        <w:t>zvyšování cen vstupů relevantních pro telekomunikační sektor</w:t>
      </w:r>
      <w:r w:rsidR="00764672">
        <w:rPr>
          <w:rFonts w:cs="Arial"/>
          <w:szCs w:val="22"/>
        </w:rPr>
        <w:t>, zejména pak elektrické energie</w:t>
      </w:r>
      <w:r w:rsidR="005D1430">
        <w:rPr>
          <w:rFonts w:cs="Arial"/>
          <w:szCs w:val="22"/>
        </w:rPr>
        <w:t>?</w:t>
      </w:r>
    </w:p>
    <w:p w14:paraId="256BC474" w14:textId="2B1D8EB2" w:rsidR="005D1430" w:rsidRDefault="005D1430" w:rsidP="00991AA7">
      <w:pPr>
        <w:ind w:left="454"/>
        <w:rPr>
          <w:rFonts w:cs="Arial"/>
          <w:szCs w:val="22"/>
        </w:rPr>
      </w:pPr>
      <w:r>
        <w:rPr>
          <w:rFonts w:cs="Arial"/>
          <w:szCs w:val="22"/>
        </w:rPr>
        <w:lastRenderedPageBreak/>
        <w:t xml:space="preserve">V této souvislosti upozorňujeme na to, že </w:t>
      </w:r>
      <w:r w:rsidR="002E0A90" w:rsidRPr="002E0A90">
        <w:rPr>
          <w:rFonts w:cs="Arial"/>
          <w:szCs w:val="22"/>
        </w:rPr>
        <w:t>v</w:t>
      </w:r>
      <w:r w:rsidR="002E0A90">
        <w:rPr>
          <w:rFonts w:cs="Arial"/>
          <w:szCs w:val="22"/>
        </w:rPr>
        <w:t xml:space="preserve"> sektoru </w:t>
      </w:r>
      <w:r w:rsidR="002E0A90" w:rsidRPr="002E0A90">
        <w:rPr>
          <w:rFonts w:cs="Arial"/>
          <w:szCs w:val="22"/>
        </w:rPr>
        <w:t>pošt a telekomunikac</w:t>
      </w:r>
      <w:r w:rsidR="00764672">
        <w:rPr>
          <w:rFonts w:cs="Arial"/>
          <w:szCs w:val="22"/>
        </w:rPr>
        <w:t>í</w:t>
      </w:r>
      <w:r w:rsidR="002E0A90">
        <w:rPr>
          <w:rFonts w:cs="Arial"/>
          <w:szCs w:val="22"/>
        </w:rPr>
        <w:t xml:space="preserve"> dochází dlouhodobě ke snižování cenové hladiny</w:t>
      </w:r>
      <w:r w:rsidR="00570516">
        <w:rPr>
          <w:rFonts w:cs="Arial"/>
          <w:szCs w:val="22"/>
        </w:rPr>
        <w:t xml:space="preserve">, a to i nyní navzdory vysoké </w:t>
      </w:r>
      <w:r w:rsidR="009960FA">
        <w:rPr>
          <w:rFonts w:cs="Arial"/>
          <w:szCs w:val="22"/>
        </w:rPr>
        <w:t>obecné inflaci.</w:t>
      </w:r>
      <w:r w:rsidR="00EB005D">
        <w:rPr>
          <w:rStyle w:val="Znakapoznpodarou"/>
          <w:rFonts w:cs="Arial"/>
          <w:szCs w:val="22"/>
        </w:rPr>
        <w:footnoteReference w:id="10"/>
      </w:r>
      <w:r w:rsidR="009960FA">
        <w:rPr>
          <w:rFonts w:cs="Arial"/>
          <w:szCs w:val="22"/>
        </w:rPr>
        <w:t xml:space="preserve"> Do indexu tohoto sektoru jsou přitom zahrnuty i </w:t>
      </w:r>
      <w:r w:rsidR="00AF0292">
        <w:rPr>
          <w:rFonts w:cs="Arial"/>
          <w:szCs w:val="22"/>
        </w:rPr>
        <w:t>ceny za poštovní služby a telefonní zařízení, které spíše rostou.</w:t>
      </w:r>
      <w:r w:rsidR="00345084">
        <w:rPr>
          <w:rFonts w:cs="Arial"/>
          <w:szCs w:val="22"/>
        </w:rPr>
        <w:t xml:space="preserve"> </w:t>
      </w:r>
      <w:r w:rsidR="00FE5E6D">
        <w:rPr>
          <w:rFonts w:cs="Arial"/>
          <w:szCs w:val="22"/>
        </w:rPr>
        <w:t>Reálné c</w:t>
      </w:r>
      <w:r w:rsidR="00345084">
        <w:rPr>
          <w:rFonts w:cs="Arial"/>
          <w:szCs w:val="22"/>
        </w:rPr>
        <w:t xml:space="preserve">eny přitom </w:t>
      </w:r>
      <w:r w:rsidR="00FE5E6D">
        <w:rPr>
          <w:rFonts w:cs="Arial"/>
          <w:szCs w:val="22"/>
        </w:rPr>
        <w:t xml:space="preserve">v posledních letech </w:t>
      </w:r>
      <w:r w:rsidR="00345084">
        <w:rPr>
          <w:rFonts w:cs="Arial"/>
          <w:szCs w:val="22"/>
        </w:rPr>
        <w:t xml:space="preserve">klesají </w:t>
      </w:r>
      <w:r w:rsidR="005866B1">
        <w:rPr>
          <w:rFonts w:cs="Arial"/>
          <w:szCs w:val="22"/>
        </w:rPr>
        <w:t>rychleji než v jiných zemích EU</w:t>
      </w:r>
      <w:r w:rsidR="00497E49">
        <w:rPr>
          <w:rFonts w:cs="Arial"/>
          <w:szCs w:val="22"/>
        </w:rPr>
        <w:t xml:space="preserve">, respektive </w:t>
      </w:r>
      <w:r w:rsidR="00FE5E6D">
        <w:rPr>
          <w:rFonts w:cs="Arial"/>
          <w:szCs w:val="22"/>
        </w:rPr>
        <w:t xml:space="preserve">oproti </w:t>
      </w:r>
      <w:r w:rsidR="00497E49">
        <w:rPr>
          <w:rFonts w:cs="Arial"/>
          <w:szCs w:val="22"/>
        </w:rPr>
        <w:t>průměru EU</w:t>
      </w:r>
      <w:r w:rsidR="005866B1">
        <w:rPr>
          <w:rFonts w:cs="Arial"/>
          <w:szCs w:val="22"/>
        </w:rPr>
        <w:t>:</w:t>
      </w:r>
    </w:p>
    <w:p w14:paraId="40D7B4D5" w14:textId="684D45CC" w:rsidR="005866B1" w:rsidRDefault="005866B1" w:rsidP="00130760">
      <w:pPr>
        <w:ind w:left="426"/>
        <w:jc w:val="center"/>
        <w:rPr>
          <w:rFonts w:cs="Arial"/>
          <w:szCs w:val="22"/>
        </w:rPr>
      </w:pPr>
      <w:r>
        <w:rPr>
          <w:rFonts w:cs="Arial"/>
          <w:noProof/>
          <w:szCs w:val="22"/>
        </w:rPr>
        <w:drawing>
          <wp:inline distT="0" distB="0" distL="0" distR="0" wp14:anchorId="643FB88E" wp14:editId="48BCEACF">
            <wp:extent cx="5400000" cy="1194051"/>
            <wp:effectExtent l="0" t="0" r="0" b="6350"/>
            <wp:docPr id="1" name="Obrázek 1"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stůl&#10;&#10;Popis byl vytvořen automaticky"/>
                    <pic:cNvPicPr/>
                  </pic:nvPicPr>
                  <pic:blipFill>
                    <a:blip r:embed="rId8">
                      <a:extLst>
                        <a:ext uri="{28A0092B-C50C-407E-A947-70E740481C1C}">
                          <a14:useLocalDpi xmlns:a14="http://schemas.microsoft.com/office/drawing/2010/main" val="0"/>
                        </a:ext>
                      </a:extLst>
                    </a:blip>
                    <a:stretch>
                      <a:fillRect/>
                    </a:stretch>
                  </pic:blipFill>
                  <pic:spPr>
                    <a:xfrm>
                      <a:off x="0" y="0"/>
                      <a:ext cx="5400000" cy="1194051"/>
                    </a:xfrm>
                    <a:prstGeom prst="rect">
                      <a:avLst/>
                    </a:prstGeom>
                  </pic:spPr>
                </pic:pic>
              </a:graphicData>
            </a:graphic>
          </wp:inline>
        </w:drawing>
      </w:r>
    </w:p>
    <w:p w14:paraId="777B8B1B" w14:textId="4F848E2E" w:rsidR="005866B1" w:rsidRDefault="0082032B" w:rsidP="00991AA7">
      <w:pPr>
        <w:ind w:left="454"/>
        <w:rPr>
          <w:rFonts w:cs="Arial"/>
          <w:sz w:val="16"/>
          <w:szCs w:val="14"/>
        </w:rPr>
      </w:pPr>
      <w:hyperlink r:id="rId9" w:history="1">
        <w:r w:rsidR="00A94EAA" w:rsidRPr="000B546F">
          <w:rPr>
            <w:rStyle w:val="Hypertextovodkaz"/>
            <w:rFonts w:cs="Arial"/>
            <w:sz w:val="16"/>
            <w:szCs w:val="14"/>
          </w:rPr>
          <w:t>https://www.czso.cz/documents/10180/143522108/370002211017.pdf/dc66787b-b62b-43f3-837e-b633c42eb832?version=1.1</w:t>
        </w:r>
      </w:hyperlink>
    </w:p>
    <w:p w14:paraId="29BC1D43" w14:textId="77777777" w:rsidR="00925207" w:rsidRDefault="00603325" w:rsidP="00130760">
      <w:pPr>
        <w:ind w:left="454"/>
      </w:pPr>
      <w:r>
        <w:t xml:space="preserve">V posledních 3 letech byl tento sektor dokonce jediný, kde </w:t>
      </w:r>
      <w:r w:rsidR="00925207">
        <w:t>cenová hladina konzistentně klesala, jak ukazují data Českého statistického úřadu:</w:t>
      </w:r>
    </w:p>
    <w:p w14:paraId="2B4F5DC5" w14:textId="46D3BB4F" w:rsidR="006C20B7" w:rsidRDefault="00FC311B" w:rsidP="005A4ABD">
      <w:pPr>
        <w:spacing w:after="0"/>
        <w:ind w:left="284"/>
        <w:jc w:val="center"/>
      </w:pPr>
      <w:r>
        <w:rPr>
          <w:rFonts w:ascii="Arial" w:hAnsi="Arial" w:cs="Arial"/>
          <w:b/>
          <w:noProof/>
          <w:sz w:val="22"/>
          <w:szCs w:val="22"/>
        </w:rPr>
        <w:drawing>
          <wp:inline distT="0" distB="0" distL="0" distR="0" wp14:anchorId="15D5EC5D" wp14:editId="0188FFB9">
            <wp:extent cx="4162425" cy="438628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0954" cy="4405813"/>
                    </a:xfrm>
                    <a:prstGeom prst="rect">
                      <a:avLst/>
                    </a:prstGeom>
                    <a:noFill/>
                    <a:ln>
                      <a:noFill/>
                    </a:ln>
                  </pic:spPr>
                </pic:pic>
              </a:graphicData>
            </a:graphic>
          </wp:inline>
        </w:drawing>
      </w:r>
    </w:p>
    <w:p w14:paraId="5952259B" w14:textId="70F1ACB4" w:rsidR="0018535C" w:rsidRPr="00130760" w:rsidRDefault="0018535C" w:rsidP="005A4ABD">
      <w:pPr>
        <w:ind w:left="426"/>
        <w:jc w:val="center"/>
        <w:rPr>
          <w:rFonts w:ascii="Arial" w:hAnsi="Arial" w:cs="Arial"/>
          <w:bCs/>
          <w:sz w:val="18"/>
          <w:szCs w:val="18"/>
        </w:rPr>
      </w:pPr>
      <w:r w:rsidRPr="00130760">
        <w:rPr>
          <w:rFonts w:ascii="Arial" w:hAnsi="Arial" w:cs="Arial"/>
          <w:bCs/>
          <w:sz w:val="18"/>
          <w:szCs w:val="18"/>
        </w:rPr>
        <w:t xml:space="preserve">MPO – </w:t>
      </w:r>
      <w:hyperlink r:id="rId11" w:history="1">
        <w:r w:rsidRPr="00130760">
          <w:rPr>
            <w:rStyle w:val="Hypertextovodkaz"/>
            <w:rFonts w:ascii="Arial" w:hAnsi="Arial" w:cs="Arial"/>
            <w:bCs/>
            <w:sz w:val="18"/>
            <w:szCs w:val="18"/>
          </w:rPr>
          <w:t>Analýza vývoje ekonomiky ČR, prosinec 2021</w:t>
        </w:r>
      </w:hyperlink>
    </w:p>
    <w:p w14:paraId="14F36ABA" w14:textId="68F363DE" w:rsidR="0018535C" w:rsidRDefault="0018535C" w:rsidP="00130760">
      <w:pPr>
        <w:ind w:left="426"/>
      </w:pPr>
      <w:r>
        <w:lastRenderedPageBreak/>
        <w:t xml:space="preserve">Celkové </w:t>
      </w:r>
      <w:r w:rsidR="005858DF">
        <w:t xml:space="preserve">výdaje </w:t>
      </w:r>
      <w:r w:rsidR="00904EA9">
        <w:t xml:space="preserve">domácností </w:t>
      </w:r>
      <w:r w:rsidR="005858DF">
        <w:t xml:space="preserve">na telekomunikační služby navzdory nepochybnému </w:t>
      </w:r>
      <w:r w:rsidR="00904EA9">
        <w:t xml:space="preserve">růstu jejich významnosti tak v relativním vyjádření k ostatním výdajům </w:t>
      </w:r>
      <w:r w:rsidR="00E03B3F">
        <w:t>již 15 let klesají:</w:t>
      </w:r>
    </w:p>
    <w:p w14:paraId="5C4B375B" w14:textId="44B701EC" w:rsidR="00E03B3F" w:rsidRDefault="00863C64" w:rsidP="00863C64">
      <w:pPr>
        <w:jc w:val="center"/>
      </w:pPr>
      <w:r>
        <w:fldChar w:fldCharType="begin"/>
      </w:r>
      <w:r>
        <w:instrText xml:space="preserve"> INCLUDEPICTURE  "cid:image001.png@01D859B3.F6F30790" \* MERGEFORMATINET </w:instrText>
      </w:r>
      <w:r>
        <w:fldChar w:fldCharType="separate"/>
      </w:r>
      <w:r>
        <w:fldChar w:fldCharType="begin"/>
      </w:r>
      <w:r>
        <w:instrText xml:space="preserve"> INCLUDEPICTURE  "cid:image001.png@01D859B3.F6F30790" \* MERGEFORMATINET </w:instrText>
      </w:r>
      <w:r>
        <w:fldChar w:fldCharType="separate"/>
      </w:r>
      <w:r>
        <w:fldChar w:fldCharType="begin"/>
      </w:r>
      <w:r>
        <w:instrText xml:space="preserve"> INCLUDEPICTURE  "cid:image001.png@01D859B3.F6F30790" \* MERGEFORMATINET </w:instrText>
      </w:r>
      <w:r>
        <w:fldChar w:fldCharType="separate"/>
      </w:r>
      <w:r>
        <w:fldChar w:fldCharType="begin"/>
      </w:r>
      <w:r>
        <w:instrText xml:space="preserve"> INCLUDEPICTURE  "cid:image001.png@01D859B3.F6F30790" \* MERGEFORMATINET </w:instrText>
      </w:r>
      <w:r>
        <w:fldChar w:fldCharType="separate"/>
      </w:r>
      <w:r>
        <w:fldChar w:fldCharType="begin"/>
      </w:r>
      <w:r>
        <w:instrText xml:space="preserve"> INCLUDEPICTURE  "cid:image001.png@01D859B3.F6F30790" \* MERGEFORMATINET </w:instrText>
      </w:r>
      <w:r>
        <w:fldChar w:fldCharType="separate"/>
      </w:r>
      <w:r>
        <w:fldChar w:fldCharType="begin"/>
      </w:r>
      <w:r>
        <w:instrText xml:space="preserve"> INCLUDEPICTURE  "cid:image001.png@01D859B3.F6F30790" \* MERGEFORMATINET </w:instrText>
      </w:r>
      <w:r>
        <w:fldChar w:fldCharType="separate"/>
      </w:r>
      <w:r>
        <w:fldChar w:fldCharType="begin"/>
      </w:r>
      <w:r>
        <w:instrText xml:space="preserve"> INCLUDEPICTURE  "cid:image001.png@01D859B3.F6F30790" \* MERGEFORMATINET </w:instrText>
      </w:r>
      <w:r>
        <w:fldChar w:fldCharType="separate"/>
      </w:r>
      <w:r>
        <w:fldChar w:fldCharType="begin"/>
      </w:r>
      <w:r>
        <w:instrText xml:space="preserve"> INCLUDEPICTURE  "cid:image001.png@01D859B3.F6F30790" \* MERGEFORMATINET </w:instrText>
      </w:r>
      <w:r>
        <w:fldChar w:fldCharType="separate"/>
      </w:r>
      <w:r>
        <w:fldChar w:fldCharType="begin"/>
      </w:r>
      <w:r>
        <w:instrText xml:space="preserve"> INCLUDEPICTURE  "cid:image001.png@01D859B3.F6F30790" \* MERGEFORMATINET </w:instrText>
      </w:r>
      <w:r>
        <w:fldChar w:fldCharType="separate"/>
      </w:r>
      <w:r w:rsidR="005754FF">
        <w:fldChar w:fldCharType="begin"/>
      </w:r>
      <w:r w:rsidR="005754FF">
        <w:instrText xml:space="preserve"> INCLUDEPICTURE  "cid:image001.png@01D859B3.F6F30790" \* MERGEFORMATINET </w:instrText>
      </w:r>
      <w:r w:rsidR="005754FF">
        <w:fldChar w:fldCharType="separate"/>
      </w:r>
      <w:r w:rsidR="001E7E10">
        <w:fldChar w:fldCharType="begin"/>
      </w:r>
      <w:r w:rsidR="001E7E10">
        <w:instrText xml:space="preserve"> INCLUDEPICTURE  "cid:image001.png@01D859B3.F6F30790" \* MERGEFORMATINET </w:instrText>
      </w:r>
      <w:r w:rsidR="001E7E10">
        <w:fldChar w:fldCharType="separate"/>
      </w:r>
      <w:r w:rsidR="004F38F2">
        <w:fldChar w:fldCharType="begin"/>
      </w:r>
      <w:r w:rsidR="004F38F2">
        <w:instrText xml:space="preserve"> INCLUDEPICTURE  "cid:image001.png@01D859B3.F6F30790" \* MERGEFORMATINET </w:instrText>
      </w:r>
      <w:r w:rsidR="004F38F2">
        <w:fldChar w:fldCharType="separate"/>
      </w:r>
      <w:r w:rsidR="003573C6">
        <w:fldChar w:fldCharType="begin"/>
      </w:r>
      <w:r w:rsidR="003573C6">
        <w:instrText xml:space="preserve"> INCLUDEPICTURE  "cid:image001.png@01D859B3.F6F30790" \* MERGEFORMATINET </w:instrText>
      </w:r>
      <w:r w:rsidR="003573C6">
        <w:fldChar w:fldCharType="separate"/>
      </w:r>
      <w:r w:rsidR="005E56DC">
        <w:fldChar w:fldCharType="begin"/>
      </w:r>
      <w:r w:rsidR="005E56DC">
        <w:instrText xml:space="preserve"> INCLUDEPICTURE  "cid:image001.png@01D859B3.F6F30790" \* MERGEFORMATINET </w:instrText>
      </w:r>
      <w:r w:rsidR="005E56DC">
        <w:fldChar w:fldCharType="separate"/>
      </w:r>
      <w:r w:rsidR="005B54DB">
        <w:fldChar w:fldCharType="begin"/>
      </w:r>
      <w:r w:rsidR="005B54DB">
        <w:instrText xml:space="preserve"> INCLUDEPICTURE  "cid:image001.png@01D859B3.F6F30790" \* MERGEFORMATINET </w:instrText>
      </w:r>
      <w:r w:rsidR="005B54DB">
        <w:fldChar w:fldCharType="separate"/>
      </w:r>
      <w:r w:rsidR="0037405F">
        <w:fldChar w:fldCharType="begin"/>
      </w:r>
      <w:r w:rsidR="0037405F">
        <w:instrText xml:space="preserve"> INCLUDEPICTURE  "cid:image001.png@01D859B3.F6F30790" \* MERGEFORMATINET </w:instrText>
      </w:r>
      <w:r w:rsidR="0037405F">
        <w:fldChar w:fldCharType="separate"/>
      </w:r>
      <w:r w:rsidR="0082032B">
        <w:fldChar w:fldCharType="begin"/>
      </w:r>
      <w:r w:rsidR="0082032B">
        <w:instrText xml:space="preserve"> INCLUDEPICTURE  "cid:image001.png@01D859B3.F6F30790" \* MERGEFORMATINET </w:instrText>
      </w:r>
      <w:r w:rsidR="0082032B">
        <w:fldChar w:fldCharType="separate"/>
      </w:r>
      <w:r w:rsidR="0082032B">
        <w:pict w14:anchorId="108F8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 style="width:396pt;height:353.25pt">
            <v:imagedata r:id="rId12" r:href="rId13"/>
          </v:shape>
        </w:pict>
      </w:r>
      <w:r w:rsidR="0082032B">
        <w:fldChar w:fldCharType="end"/>
      </w:r>
      <w:r w:rsidR="0037405F">
        <w:fldChar w:fldCharType="end"/>
      </w:r>
      <w:r w:rsidR="005B54DB">
        <w:fldChar w:fldCharType="end"/>
      </w:r>
      <w:r w:rsidR="005E56DC">
        <w:fldChar w:fldCharType="end"/>
      </w:r>
      <w:r w:rsidR="003573C6">
        <w:fldChar w:fldCharType="end"/>
      </w:r>
      <w:r w:rsidR="004F38F2">
        <w:fldChar w:fldCharType="end"/>
      </w:r>
      <w:r w:rsidR="001E7E10">
        <w:fldChar w:fldCharType="end"/>
      </w:r>
      <w:r w:rsidR="005754FF">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7F9F81DD" w14:textId="5749431F" w:rsidR="00A94EAA" w:rsidRPr="00A94EAA" w:rsidRDefault="00A94EAA" w:rsidP="00A94EAA">
      <w:pPr>
        <w:pStyle w:val="Nadpis2"/>
      </w:pPr>
      <w:r w:rsidRPr="00A94EAA">
        <w:t xml:space="preserve">C.0 </w:t>
      </w:r>
      <w:r w:rsidR="003D08DE">
        <w:t>P</w:t>
      </w:r>
      <w:r w:rsidR="003D08DE" w:rsidRPr="00A94EAA">
        <w:t>rea</w:t>
      </w:r>
      <w:r w:rsidR="003D08DE" w:rsidRPr="003D08DE">
        <w:t xml:space="preserve">mbule – </w:t>
      </w:r>
      <w:r w:rsidR="003D08DE">
        <w:t>S</w:t>
      </w:r>
      <w:r w:rsidR="003D08DE" w:rsidRPr="003D08DE">
        <w:t>hrnutí závěrů analýzy mobilního trhu 2021-</w:t>
      </w:r>
      <w:proofErr w:type="gramStart"/>
      <w:r w:rsidR="003D08DE" w:rsidRPr="003D08DE">
        <w:t>2022 – 3</w:t>
      </w:r>
      <w:proofErr w:type="gramEnd"/>
      <w:r w:rsidR="003D08DE" w:rsidRPr="003D08DE">
        <w:t xml:space="preserve"> kriteriální test pro prokázání vhodnosti zavedení ex-ante regulace z pohledu jeho struktury </w:t>
      </w:r>
      <w:r w:rsidRPr="003D08DE">
        <w:t>(S. 4</w:t>
      </w:r>
      <w:r w:rsidR="00150FF1" w:rsidRPr="003D08DE">
        <w:t>-7</w:t>
      </w:r>
      <w:r w:rsidRPr="003D08DE">
        <w:t>)</w:t>
      </w:r>
      <w:r w:rsidR="00A44D5B" w:rsidRPr="003D08DE">
        <w:t xml:space="preserve"> a </w:t>
      </w:r>
      <w:r w:rsidR="003D08DE" w:rsidRPr="003D08DE">
        <w:t>3. Test tří kritérií</w:t>
      </w:r>
      <w:r w:rsidR="00C91CBA">
        <w:t xml:space="preserve"> (s. 96-114)</w:t>
      </w:r>
    </w:p>
    <w:p w14:paraId="37D3C736" w14:textId="77777777" w:rsidR="00150FF1" w:rsidRPr="007F2682" w:rsidRDefault="00150FF1" w:rsidP="00150FF1">
      <w:pPr>
        <w:pStyle w:val="Podnadpis"/>
      </w:pPr>
      <w:r w:rsidRPr="007F2682">
        <w:t xml:space="preserve">Návrh na doplnění, změnu, zrušení nebo nahrazení textu ustanovení návrhu opatření: </w:t>
      </w:r>
    </w:p>
    <w:p w14:paraId="528E3B08" w14:textId="22E8478A" w:rsidR="00150FF1" w:rsidRDefault="00150FF1" w:rsidP="00150FF1">
      <w:pPr>
        <w:ind w:left="357"/>
        <w:rPr>
          <w:rFonts w:cs="Arial"/>
          <w:b/>
          <w:szCs w:val="22"/>
        </w:rPr>
      </w:pPr>
      <w:r>
        <w:rPr>
          <w:rFonts w:cs="Arial"/>
          <w:b/>
          <w:szCs w:val="22"/>
        </w:rPr>
        <w:t xml:space="preserve">ČTÚ musí provést v rámci analýzy relevantního trhu plnohodnotný </w:t>
      </w:r>
      <w:proofErr w:type="spellStart"/>
      <w:r>
        <w:rPr>
          <w:rFonts w:cs="Arial"/>
          <w:b/>
          <w:szCs w:val="22"/>
        </w:rPr>
        <w:t>tříkriteriální</w:t>
      </w:r>
      <w:proofErr w:type="spellEnd"/>
      <w:r>
        <w:rPr>
          <w:rFonts w:cs="Arial"/>
          <w:b/>
          <w:szCs w:val="22"/>
        </w:rPr>
        <w:t xml:space="preserve"> test zohledňující relevantní připomínky sektoru a Evropské komise. Strohé odkázání na </w:t>
      </w:r>
      <w:proofErr w:type="spellStart"/>
      <w:r>
        <w:rPr>
          <w:rFonts w:cs="Arial"/>
          <w:b/>
          <w:szCs w:val="22"/>
        </w:rPr>
        <w:t>tříkriteriální</w:t>
      </w:r>
      <w:proofErr w:type="spellEnd"/>
      <w:r>
        <w:rPr>
          <w:rFonts w:cs="Arial"/>
          <w:b/>
          <w:szCs w:val="22"/>
        </w:rPr>
        <w:t xml:space="preserve"> test z roku 2017</w:t>
      </w:r>
      <w:r w:rsidR="00B12CE1">
        <w:rPr>
          <w:rFonts w:cs="Arial"/>
          <w:b/>
          <w:szCs w:val="22"/>
        </w:rPr>
        <w:t>,</w:t>
      </w:r>
      <w:r w:rsidR="00A4216E">
        <w:rPr>
          <w:rFonts w:cs="Arial"/>
          <w:b/>
          <w:szCs w:val="22"/>
        </w:rPr>
        <w:t xml:space="preserve"> </w:t>
      </w:r>
      <w:r w:rsidR="00B12CE1">
        <w:rPr>
          <w:rFonts w:cs="Arial"/>
          <w:b/>
          <w:szCs w:val="22"/>
        </w:rPr>
        <w:t xml:space="preserve">který byl kritizován Evropskou komisí, </w:t>
      </w:r>
      <w:r w:rsidR="00A4216E">
        <w:rPr>
          <w:rFonts w:cs="Arial"/>
          <w:b/>
          <w:szCs w:val="22"/>
        </w:rPr>
        <w:t>a jeho mírná aktualizace</w:t>
      </w:r>
      <w:r>
        <w:rPr>
          <w:rFonts w:cs="Arial"/>
          <w:b/>
          <w:szCs w:val="22"/>
        </w:rPr>
        <w:t>, kter</w:t>
      </w:r>
      <w:r w:rsidR="00A4216E">
        <w:rPr>
          <w:rFonts w:cs="Arial"/>
          <w:b/>
          <w:szCs w:val="22"/>
        </w:rPr>
        <w:t>á</w:t>
      </w:r>
      <w:r>
        <w:rPr>
          <w:rFonts w:cs="Arial"/>
          <w:b/>
          <w:szCs w:val="22"/>
        </w:rPr>
        <w:t xml:space="preserve"> </w:t>
      </w:r>
      <w:r w:rsidR="00B12CE1">
        <w:rPr>
          <w:rFonts w:cs="Arial"/>
          <w:b/>
          <w:szCs w:val="22"/>
        </w:rPr>
        <w:t xml:space="preserve">ale nijak </w:t>
      </w:r>
      <w:r>
        <w:rPr>
          <w:rFonts w:cs="Arial"/>
          <w:b/>
          <w:szCs w:val="22"/>
        </w:rPr>
        <w:t xml:space="preserve">nereaguje na relevantní </w:t>
      </w:r>
      <w:r w:rsidR="00B33EBA">
        <w:rPr>
          <w:rFonts w:cs="Arial"/>
          <w:b/>
          <w:szCs w:val="22"/>
        </w:rPr>
        <w:t>skutečnosti, je</w:t>
      </w:r>
      <w:r>
        <w:rPr>
          <w:rFonts w:cs="Arial"/>
          <w:b/>
          <w:szCs w:val="22"/>
        </w:rPr>
        <w:t xml:space="preserve"> hrubě nedostatečn</w:t>
      </w:r>
      <w:r w:rsidR="00B12CE1">
        <w:rPr>
          <w:rFonts w:cs="Arial"/>
          <w:b/>
          <w:szCs w:val="22"/>
        </w:rPr>
        <w:t>á</w:t>
      </w:r>
      <w:r>
        <w:rPr>
          <w:rFonts w:cs="Arial"/>
          <w:b/>
          <w:szCs w:val="22"/>
        </w:rPr>
        <w:t>.</w:t>
      </w:r>
    </w:p>
    <w:p w14:paraId="41B52256" w14:textId="77777777" w:rsidR="00FB48AF" w:rsidRPr="007F2682" w:rsidRDefault="00FB48AF" w:rsidP="00FB48AF">
      <w:pPr>
        <w:pStyle w:val="Podnadpis"/>
      </w:pPr>
      <w:r w:rsidRPr="007F2682">
        <w:t>Odůvodnění:</w:t>
      </w:r>
    </w:p>
    <w:p w14:paraId="5E6EE498" w14:textId="07E0F2FD" w:rsidR="004A0101" w:rsidRDefault="004A0101" w:rsidP="00FB48AF">
      <w:pPr>
        <w:ind w:left="357"/>
        <w:rPr>
          <w:rFonts w:cs="Arial"/>
          <w:szCs w:val="22"/>
        </w:rPr>
      </w:pPr>
      <w:r>
        <w:rPr>
          <w:rFonts w:cs="Arial"/>
          <w:szCs w:val="22"/>
        </w:rPr>
        <w:t>ČTÚ v roce 2017</w:t>
      </w:r>
      <w:r w:rsidR="00004221">
        <w:rPr>
          <w:rFonts w:cs="Arial"/>
          <w:szCs w:val="22"/>
        </w:rPr>
        <w:t xml:space="preserve"> provedl </w:t>
      </w:r>
      <w:proofErr w:type="spellStart"/>
      <w:r w:rsidR="00004221">
        <w:rPr>
          <w:rFonts w:cs="Arial"/>
          <w:szCs w:val="22"/>
        </w:rPr>
        <w:t>tříkriteriání</w:t>
      </w:r>
      <w:proofErr w:type="spellEnd"/>
      <w:r w:rsidR="00004221">
        <w:rPr>
          <w:rFonts w:cs="Arial"/>
          <w:szCs w:val="22"/>
        </w:rPr>
        <w:t xml:space="preserve"> test, </w:t>
      </w:r>
      <w:r w:rsidR="00AB6ADA">
        <w:rPr>
          <w:rFonts w:cs="Arial"/>
          <w:szCs w:val="22"/>
        </w:rPr>
        <w:t>který v roce 2019 zaslal</w:t>
      </w:r>
      <w:r w:rsidR="00C21BF2">
        <w:rPr>
          <w:rFonts w:cs="Arial"/>
          <w:szCs w:val="22"/>
        </w:rPr>
        <w:t xml:space="preserve"> jako oznámení</w:t>
      </w:r>
      <w:r w:rsidR="00AB6ADA">
        <w:rPr>
          <w:rFonts w:cs="Arial"/>
          <w:szCs w:val="22"/>
        </w:rPr>
        <w:t xml:space="preserve"> Evropské komisi</w:t>
      </w:r>
      <w:r w:rsidR="00832927">
        <w:rPr>
          <w:rFonts w:cs="Arial"/>
          <w:szCs w:val="22"/>
        </w:rPr>
        <w:t>, kter</w:t>
      </w:r>
      <w:r w:rsidR="00A05731">
        <w:rPr>
          <w:rFonts w:cs="Arial"/>
          <w:szCs w:val="22"/>
        </w:rPr>
        <w:t xml:space="preserve">á </w:t>
      </w:r>
      <w:r w:rsidR="00832927">
        <w:rPr>
          <w:rFonts w:cs="Arial"/>
          <w:szCs w:val="22"/>
        </w:rPr>
        <w:t>se</w:t>
      </w:r>
      <w:r w:rsidR="00A05731">
        <w:rPr>
          <w:rFonts w:cs="Arial"/>
          <w:szCs w:val="22"/>
        </w:rPr>
        <w:t xml:space="preserve"> řídila </w:t>
      </w:r>
      <w:r w:rsidR="00EE6814">
        <w:rPr>
          <w:rFonts w:cs="Arial"/>
          <w:szCs w:val="22"/>
        </w:rPr>
        <w:t xml:space="preserve">v té době platnou </w:t>
      </w:r>
      <w:r w:rsidR="00A05731">
        <w:rPr>
          <w:rFonts w:cs="Arial"/>
          <w:szCs w:val="22"/>
        </w:rPr>
        <w:t xml:space="preserve">rámcovou </w:t>
      </w:r>
      <w:r w:rsidR="00A05731" w:rsidRPr="00A05731">
        <w:rPr>
          <w:rFonts w:cs="Arial"/>
          <w:szCs w:val="22"/>
        </w:rPr>
        <w:t>směrnic</w:t>
      </w:r>
      <w:r w:rsidR="00EE6814">
        <w:rPr>
          <w:rFonts w:cs="Arial"/>
          <w:szCs w:val="22"/>
        </w:rPr>
        <w:t>í</w:t>
      </w:r>
      <w:r w:rsidR="00A05731" w:rsidRPr="00A05731">
        <w:rPr>
          <w:rFonts w:cs="Arial"/>
          <w:szCs w:val="22"/>
        </w:rPr>
        <w:t xml:space="preserve"> Evropského parlamentu a Rady 2002/21/ES ze dne 7. března 2002 o společném předpisovém rámci pro sítě a služby </w:t>
      </w:r>
      <w:r w:rsidR="00A05731" w:rsidRPr="00A05731">
        <w:rPr>
          <w:rFonts w:cs="Arial"/>
          <w:szCs w:val="22"/>
        </w:rPr>
        <w:lastRenderedPageBreak/>
        <w:t>elektronických komunikací</w:t>
      </w:r>
      <w:r w:rsidR="00A05731">
        <w:rPr>
          <w:rFonts w:cs="Arial"/>
          <w:szCs w:val="22"/>
        </w:rPr>
        <w:t xml:space="preserve"> a </w:t>
      </w:r>
      <w:r w:rsidR="00EE6814">
        <w:rPr>
          <w:rFonts w:cs="Arial"/>
          <w:szCs w:val="22"/>
        </w:rPr>
        <w:t xml:space="preserve">mohla tak pouze </w:t>
      </w:r>
      <w:r w:rsidR="00EE6814" w:rsidRPr="00EE6814">
        <w:rPr>
          <w:rFonts w:cs="Arial"/>
          <w:szCs w:val="22"/>
        </w:rPr>
        <w:t xml:space="preserve">vznést u dotyčného vnitrostátního regulačního orgánu </w:t>
      </w:r>
      <w:r w:rsidR="000E5755">
        <w:rPr>
          <w:rFonts w:cs="Arial"/>
          <w:szCs w:val="22"/>
        </w:rPr>
        <w:t xml:space="preserve">nezávazné </w:t>
      </w:r>
      <w:r w:rsidR="00EE6814" w:rsidRPr="00EE6814">
        <w:rPr>
          <w:rFonts w:cs="Arial"/>
          <w:szCs w:val="22"/>
        </w:rPr>
        <w:t>připomínky k oznámeným návrhům opatření</w:t>
      </w:r>
      <w:r w:rsidR="00C21BF2">
        <w:rPr>
          <w:rFonts w:cs="Arial"/>
          <w:szCs w:val="22"/>
        </w:rPr>
        <w:t>.</w:t>
      </w:r>
      <w:r w:rsidR="000E5755">
        <w:rPr>
          <w:rFonts w:cs="Arial"/>
          <w:szCs w:val="22"/>
        </w:rPr>
        <w:t xml:space="preserve"> </w:t>
      </w:r>
      <w:r w:rsidR="00286220">
        <w:rPr>
          <w:rFonts w:cs="Arial"/>
          <w:szCs w:val="22"/>
        </w:rPr>
        <w:t xml:space="preserve">Evropská komise </w:t>
      </w:r>
      <w:r w:rsidR="00BD72EC">
        <w:rPr>
          <w:rFonts w:cs="Arial"/>
          <w:szCs w:val="22"/>
        </w:rPr>
        <w:t xml:space="preserve">využila svého práva na připomínky a v závěru svého vyjádření konstatuje, že </w:t>
      </w:r>
      <w:r w:rsidR="002E2221" w:rsidRPr="002E2221">
        <w:rPr>
          <w:rFonts w:cs="Arial"/>
          <w:i/>
          <w:iCs/>
          <w:szCs w:val="22"/>
        </w:rPr>
        <w:t>„Komise (je) v této fázi znepokojena tím, že posouzení ČTÚ týkající se tří kritérií by ve stávající podobě nestačilo na podporu zjištění významné tržní síly na trhu v pozdější fázi. Komise proto ČTÚ naléhavě žádá, aby přehodnotil své závěry o potřebě regulovat tento trh na základě zjištění uvedených v tomto návrhu opatření a své rozhodnutí přijmout návrh opatření v jeho stávající podobě.</w:t>
      </w:r>
      <w:r w:rsidR="002E2221">
        <w:rPr>
          <w:rFonts w:cs="Arial"/>
          <w:i/>
          <w:iCs/>
          <w:szCs w:val="22"/>
        </w:rPr>
        <w:t xml:space="preserve">“ </w:t>
      </w:r>
      <w:r w:rsidR="007E2861">
        <w:rPr>
          <w:rFonts w:cs="Arial"/>
          <w:szCs w:val="22"/>
        </w:rPr>
        <w:t xml:space="preserve"> Zároveň upozorňuje, že dle </w:t>
      </w:r>
      <w:r w:rsidR="007E2861" w:rsidRPr="007E2861">
        <w:rPr>
          <w:rFonts w:cs="Arial"/>
          <w:szCs w:val="22"/>
        </w:rPr>
        <w:t>v té době platn</w:t>
      </w:r>
      <w:r w:rsidR="007E2861">
        <w:rPr>
          <w:rFonts w:cs="Arial"/>
          <w:szCs w:val="22"/>
        </w:rPr>
        <w:t>é</w:t>
      </w:r>
      <w:r w:rsidR="007E2861" w:rsidRPr="007E2861">
        <w:rPr>
          <w:rFonts w:cs="Arial"/>
          <w:szCs w:val="22"/>
        </w:rPr>
        <w:t xml:space="preserve"> rámcov</w:t>
      </w:r>
      <w:r w:rsidR="007E2861">
        <w:rPr>
          <w:rFonts w:cs="Arial"/>
          <w:szCs w:val="22"/>
        </w:rPr>
        <w:t>é</w:t>
      </w:r>
      <w:r w:rsidR="007E2861" w:rsidRPr="007E2861">
        <w:rPr>
          <w:rFonts w:cs="Arial"/>
          <w:szCs w:val="22"/>
        </w:rPr>
        <w:t xml:space="preserve"> směrnic</w:t>
      </w:r>
      <w:r w:rsidR="007E2861">
        <w:rPr>
          <w:rFonts w:cs="Arial"/>
          <w:szCs w:val="22"/>
        </w:rPr>
        <w:t>e</w:t>
      </w:r>
      <w:r w:rsidR="007E2861" w:rsidRPr="007E2861">
        <w:rPr>
          <w:rFonts w:cs="Arial"/>
          <w:szCs w:val="22"/>
        </w:rPr>
        <w:t xml:space="preserve"> Evropského parlamentu a Rady 2002/21/ES ze dne 7. března 2002 o společném předpisovém rámci pro sítě a služby elektronických komunikac</w:t>
      </w:r>
      <w:r w:rsidR="00456764">
        <w:rPr>
          <w:rFonts w:cs="Arial"/>
          <w:szCs w:val="22"/>
        </w:rPr>
        <w:t xml:space="preserve">í </w:t>
      </w:r>
      <w:r w:rsidR="00902A0B" w:rsidRPr="00902A0B">
        <w:rPr>
          <w:rFonts w:cs="Arial"/>
          <w:i/>
          <w:iCs/>
          <w:szCs w:val="22"/>
        </w:rPr>
        <w:t>„není v tomto ohledu zmocněna vznést vážné pochybnosti</w:t>
      </w:r>
      <w:r w:rsidR="00D53FD1">
        <w:rPr>
          <w:rFonts w:cs="Arial"/>
          <w:i/>
          <w:iCs/>
          <w:szCs w:val="22"/>
        </w:rPr>
        <w:t xml:space="preserve">. </w:t>
      </w:r>
      <w:r w:rsidR="00D53FD1" w:rsidRPr="00D53FD1">
        <w:rPr>
          <w:rFonts w:cs="Arial"/>
          <w:i/>
          <w:iCs/>
          <w:szCs w:val="22"/>
        </w:rPr>
        <w:t>Komise se domnívá, že oznámený návrh opatření neposkytuje dostatečné důkazy o tom, že všechna tři kritéria jsou splněna kumulativně a že trh připadá v úvahu pro regulaci ex ante.</w:t>
      </w:r>
      <w:r w:rsidR="00902A0B" w:rsidRPr="00902A0B">
        <w:rPr>
          <w:rFonts w:cs="Arial"/>
          <w:i/>
          <w:iCs/>
          <w:szCs w:val="22"/>
        </w:rPr>
        <w:t>“</w:t>
      </w:r>
      <w:r w:rsidR="00902A0B">
        <w:rPr>
          <w:rFonts w:cs="Arial"/>
          <w:i/>
          <w:iCs/>
          <w:szCs w:val="22"/>
        </w:rPr>
        <w:t xml:space="preserve">, </w:t>
      </w:r>
      <w:r w:rsidR="00902A0B">
        <w:rPr>
          <w:rFonts w:cs="Arial"/>
          <w:szCs w:val="22"/>
        </w:rPr>
        <w:t xml:space="preserve">ale že dle </w:t>
      </w:r>
      <w:r w:rsidR="00D53FD1" w:rsidRPr="00D53FD1">
        <w:rPr>
          <w:rFonts w:cs="Arial"/>
          <w:szCs w:val="22"/>
        </w:rPr>
        <w:t>směrnice Evropského parlamentu a Rady (EU) 2018/1972 ze dne 11. prosince 2018</w:t>
      </w:r>
      <w:r w:rsidR="00D53FD1">
        <w:rPr>
          <w:rFonts w:cs="Arial"/>
          <w:szCs w:val="22"/>
        </w:rPr>
        <w:t xml:space="preserve">, </w:t>
      </w:r>
      <w:r w:rsidR="00DB6EE5" w:rsidRPr="00DB6EE5">
        <w:rPr>
          <w:rFonts w:cs="Arial"/>
          <w:szCs w:val="22"/>
        </w:rPr>
        <w:t>kterou se stanoví evropský kodex pro elektronické komunikace (kodex) (</w:t>
      </w:r>
      <w:proofErr w:type="spellStart"/>
      <w:r w:rsidR="00DB6EE5" w:rsidRPr="00DB6EE5">
        <w:rPr>
          <w:rFonts w:cs="Arial"/>
          <w:szCs w:val="22"/>
        </w:rPr>
        <w:t>Úř</w:t>
      </w:r>
      <w:proofErr w:type="spellEnd"/>
      <w:r w:rsidR="00DB6EE5" w:rsidRPr="00DB6EE5">
        <w:rPr>
          <w:rFonts w:cs="Arial"/>
          <w:szCs w:val="22"/>
        </w:rPr>
        <w:t xml:space="preserve">. </w:t>
      </w:r>
      <w:proofErr w:type="spellStart"/>
      <w:r w:rsidR="00DB6EE5" w:rsidRPr="00DB6EE5">
        <w:rPr>
          <w:rFonts w:cs="Arial"/>
          <w:szCs w:val="22"/>
        </w:rPr>
        <w:t>věst</w:t>
      </w:r>
      <w:proofErr w:type="spellEnd"/>
      <w:r w:rsidR="00DB6EE5" w:rsidRPr="00DB6EE5">
        <w:rPr>
          <w:rFonts w:cs="Arial"/>
          <w:szCs w:val="22"/>
        </w:rPr>
        <w:t>. L 321, 17.12.2018, s. 36)</w:t>
      </w:r>
      <w:r w:rsidR="00DB6EE5">
        <w:rPr>
          <w:rFonts w:cs="Arial"/>
          <w:szCs w:val="22"/>
        </w:rPr>
        <w:t xml:space="preserve"> a </w:t>
      </w:r>
      <w:r w:rsidR="00484540">
        <w:rPr>
          <w:rFonts w:cs="Arial"/>
          <w:szCs w:val="22"/>
        </w:rPr>
        <w:t>podle kterého se Evropsk</w:t>
      </w:r>
      <w:r w:rsidR="00F50F5C">
        <w:rPr>
          <w:rFonts w:cs="Arial"/>
          <w:szCs w:val="22"/>
        </w:rPr>
        <w:t>á</w:t>
      </w:r>
      <w:r w:rsidR="00484540">
        <w:rPr>
          <w:rFonts w:cs="Arial"/>
          <w:szCs w:val="22"/>
        </w:rPr>
        <w:t xml:space="preserve"> komise v této věci řídí od prosince 2020</w:t>
      </w:r>
      <w:r w:rsidR="00F50F5C">
        <w:rPr>
          <w:rFonts w:cs="Arial"/>
          <w:szCs w:val="22"/>
        </w:rPr>
        <w:t>,</w:t>
      </w:r>
      <w:r w:rsidR="00484540">
        <w:rPr>
          <w:rFonts w:cs="Arial"/>
          <w:szCs w:val="22"/>
        </w:rPr>
        <w:t xml:space="preserve"> </w:t>
      </w:r>
      <w:r w:rsidR="00F50F5C" w:rsidRPr="00F50F5C">
        <w:rPr>
          <w:rFonts w:cs="Arial"/>
          <w:szCs w:val="22"/>
        </w:rPr>
        <w:t>je test tří kritérií nedílnou součástí postupu pro analýzu trhu, který spadá do pravomocí Komise podle čl. 32 odst. 4</w:t>
      </w:r>
      <w:r w:rsidR="00F50F5C">
        <w:rPr>
          <w:rFonts w:cs="Arial"/>
          <w:szCs w:val="22"/>
        </w:rPr>
        <w:t xml:space="preserve"> zmiňované nové směrnice</w:t>
      </w:r>
      <w:r w:rsidR="00F50F5C" w:rsidRPr="00F50F5C">
        <w:rPr>
          <w:rFonts w:cs="Arial"/>
          <w:szCs w:val="22"/>
        </w:rPr>
        <w:t>.</w:t>
      </w:r>
      <w:r w:rsidR="00F50F5C">
        <w:rPr>
          <w:rFonts w:cs="Arial"/>
          <w:szCs w:val="22"/>
        </w:rPr>
        <w:t xml:space="preserve"> </w:t>
      </w:r>
      <w:r w:rsidR="00F50F5C" w:rsidRPr="00FB28D7">
        <w:rPr>
          <w:rFonts w:cs="Arial"/>
          <w:b/>
          <w:bCs/>
          <w:szCs w:val="22"/>
        </w:rPr>
        <w:t xml:space="preserve">Evropská komise tímto ČTÚ jasně upozornila, že ČTÚ </w:t>
      </w:r>
      <w:r w:rsidR="00DB6EE5" w:rsidRPr="00FB28D7">
        <w:rPr>
          <w:rFonts w:cs="Arial"/>
          <w:b/>
          <w:bCs/>
          <w:szCs w:val="22"/>
        </w:rPr>
        <w:t xml:space="preserve">nemůže </w:t>
      </w:r>
      <w:r w:rsidR="00FB28D7" w:rsidRPr="00FB28D7">
        <w:rPr>
          <w:rFonts w:cs="Arial"/>
          <w:b/>
          <w:bCs/>
          <w:szCs w:val="22"/>
        </w:rPr>
        <w:t xml:space="preserve">očekávat, že Evropská komise notifikuje analýzu trhu postavenou na </w:t>
      </w:r>
      <w:r w:rsidR="004B67E8">
        <w:rPr>
          <w:rFonts w:cs="Arial"/>
          <w:b/>
          <w:bCs/>
          <w:szCs w:val="22"/>
        </w:rPr>
        <w:t>t</w:t>
      </w:r>
      <w:r w:rsidR="003F2543">
        <w:rPr>
          <w:rFonts w:cs="Arial"/>
          <w:b/>
          <w:bCs/>
          <w:szCs w:val="22"/>
        </w:rPr>
        <w:t>akto</w:t>
      </w:r>
      <w:r w:rsidR="004B67E8">
        <w:rPr>
          <w:rFonts w:cs="Arial"/>
          <w:b/>
          <w:bCs/>
          <w:szCs w:val="22"/>
        </w:rPr>
        <w:t xml:space="preserve"> </w:t>
      </w:r>
      <w:r w:rsidR="00FB28D7" w:rsidRPr="00FB28D7">
        <w:rPr>
          <w:rFonts w:cs="Arial"/>
          <w:b/>
          <w:bCs/>
          <w:szCs w:val="22"/>
        </w:rPr>
        <w:t xml:space="preserve">provedeném </w:t>
      </w:r>
      <w:proofErr w:type="spellStart"/>
      <w:r w:rsidR="00FB28D7" w:rsidRPr="00FB28D7">
        <w:rPr>
          <w:rFonts w:cs="Arial"/>
          <w:b/>
          <w:bCs/>
          <w:szCs w:val="22"/>
        </w:rPr>
        <w:t>tříkriteriálním</w:t>
      </w:r>
      <w:proofErr w:type="spellEnd"/>
      <w:r w:rsidR="00FB28D7" w:rsidRPr="00FB28D7">
        <w:rPr>
          <w:rFonts w:cs="Arial"/>
          <w:b/>
          <w:bCs/>
          <w:szCs w:val="22"/>
        </w:rPr>
        <w:t xml:space="preserve"> testu.</w:t>
      </w:r>
      <w:r w:rsidR="00FB28D7">
        <w:rPr>
          <w:rFonts w:cs="Arial"/>
          <w:b/>
          <w:bCs/>
          <w:szCs w:val="22"/>
        </w:rPr>
        <w:t xml:space="preserve"> </w:t>
      </w:r>
      <w:r w:rsidR="00FB28D7">
        <w:rPr>
          <w:rFonts w:cs="Arial"/>
          <w:szCs w:val="22"/>
        </w:rPr>
        <w:t>ČTÚ</w:t>
      </w:r>
      <w:r w:rsidR="004B67E8">
        <w:rPr>
          <w:rFonts w:cs="Arial"/>
          <w:szCs w:val="22"/>
        </w:rPr>
        <w:t xml:space="preserve"> zcela ignoroval vyjádření Evropské komise, protože pře</w:t>
      </w:r>
      <w:r w:rsidR="0024485E">
        <w:rPr>
          <w:rFonts w:cs="Arial"/>
          <w:szCs w:val="22"/>
        </w:rPr>
        <w:t>s</w:t>
      </w:r>
      <w:r w:rsidR="004B67E8">
        <w:rPr>
          <w:rFonts w:cs="Arial"/>
          <w:szCs w:val="22"/>
        </w:rPr>
        <w:t xml:space="preserve"> toto negativní stanovisko</w:t>
      </w:r>
      <w:r w:rsidR="00FB28D7">
        <w:rPr>
          <w:rFonts w:cs="Arial"/>
          <w:szCs w:val="22"/>
        </w:rPr>
        <w:t xml:space="preserve"> v prosinci 2019 zařadil tento trh do opatření obecné povahy a v roce 2021 </w:t>
      </w:r>
      <w:r w:rsidR="006E5ABE">
        <w:rPr>
          <w:rFonts w:cs="Arial"/>
          <w:szCs w:val="22"/>
        </w:rPr>
        <w:t>předložil návrh analýzy trhu</w:t>
      </w:r>
      <w:r w:rsidR="004B67E8">
        <w:rPr>
          <w:rFonts w:cs="Arial"/>
          <w:szCs w:val="22"/>
        </w:rPr>
        <w:t>, který je nyní předmětem veřejné konzultace</w:t>
      </w:r>
      <w:r w:rsidR="006E5ABE">
        <w:rPr>
          <w:rFonts w:cs="Arial"/>
          <w:szCs w:val="22"/>
        </w:rPr>
        <w:t>.</w:t>
      </w:r>
    </w:p>
    <w:p w14:paraId="2F4AF68C" w14:textId="3C2B5398" w:rsidR="006E5ABE" w:rsidRDefault="00C57FBF" w:rsidP="00FB48AF">
      <w:pPr>
        <w:ind w:left="357"/>
        <w:rPr>
          <w:rFonts w:cs="Arial"/>
          <w:szCs w:val="22"/>
        </w:rPr>
      </w:pPr>
      <w:r>
        <w:rPr>
          <w:rFonts w:cs="Arial"/>
          <w:szCs w:val="22"/>
        </w:rPr>
        <w:t xml:space="preserve">Evropská komise </w:t>
      </w:r>
      <w:r w:rsidR="00B26F47">
        <w:rPr>
          <w:rFonts w:cs="Arial"/>
          <w:szCs w:val="22"/>
        </w:rPr>
        <w:t xml:space="preserve">ve svých připomínkách upozorňovala zejména na </w:t>
      </w:r>
      <w:r w:rsidR="00F628AF">
        <w:rPr>
          <w:rFonts w:cs="Arial"/>
          <w:szCs w:val="22"/>
        </w:rPr>
        <w:t xml:space="preserve">to, že ČTÚ </w:t>
      </w:r>
      <w:r w:rsidR="00291847">
        <w:rPr>
          <w:rFonts w:cs="Arial"/>
          <w:szCs w:val="22"/>
        </w:rPr>
        <w:t xml:space="preserve">dostatečně </w:t>
      </w:r>
      <w:r w:rsidR="00950F5E">
        <w:rPr>
          <w:rFonts w:cs="Arial"/>
          <w:szCs w:val="22"/>
        </w:rPr>
        <w:t xml:space="preserve">neprokázal </w:t>
      </w:r>
      <w:r w:rsidR="00291847">
        <w:rPr>
          <w:rFonts w:cs="Arial"/>
          <w:szCs w:val="22"/>
        </w:rPr>
        <w:t xml:space="preserve">ani </w:t>
      </w:r>
      <w:r w:rsidR="00950F5E" w:rsidRPr="00950F5E">
        <w:rPr>
          <w:rFonts w:cs="Arial"/>
          <w:szCs w:val="22"/>
        </w:rPr>
        <w:t>značné překážky vstupu na trh</w:t>
      </w:r>
      <w:r w:rsidR="00950F5E">
        <w:rPr>
          <w:rFonts w:cs="Arial"/>
          <w:szCs w:val="22"/>
        </w:rPr>
        <w:t xml:space="preserve"> pro virtuální operátory</w:t>
      </w:r>
      <w:r w:rsidR="00591DF2">
        <w:rPr>
          <w:rFonts w:cs="Arial"/>
          <w:szCs w:val="22"/>
        </w:rPr>
        <w:t xml:space="preserve"> (první kritérium), </w:t>
      </w:r>
      <w:r w:rsidR="00291847">
        <w:rPr>
          <w:rFonts w:cs="Arial"/>
          <w:szCs w:val="22"/>
        </w:rPr>
        <w:t xml:space="preserve">ani </w:t>
      </w:r>
      <w:r w:rsidR="00591DF2" w:rsidRPr="00591DF2">
        <w:rPr>
          <w:rFonts w:cs="Arial"/>
          <w:szCs w:val="22"/>
        </w:rPr>
        <w:t>nesměř</w:t>
      </w:r>
      <w:r w:rsidR="00291847">
        <w:rPr>
          <w:rFonts w:cs="Arial"/>
          <w:szCs w:val="22"/>
        </w:rPr>
        <w:t>ování</w:t>
      </w:r>
      <w:r w:rsidR="00591DF2" w:rsidRPr="00591DF2">
        <w:rPr>
          <w:rFonts w:cs="Arial"/>
          <w:szCs w:val="22"/>
        </w:rPr>
        <w:t xml:space="preserve"> k účinné hospodářské soutěži</w:t>
      </w:r>
      <w:r w:rsidR="00591DF2">
        <w:rPr>
          <w:rFonts w:cs="Arial"/>
          <w:szCs w:val="22"/>
        </w:rPr>
        <w:t xml:space="preserve"> (druhé kritérium)</w:t>
      </w:r>
      <w:r w:rsidR="00EE28D8">
        <w:rPr>
          <w:rFonts w:cs="Arial"/>
          <w:szCs w:val="22"/>
        </w:rPr>
        <w:t xml:space="preserve"> </w:t>
      </w:r>
      <w:r w:rsidR="00291847">
        <w:rPr>
          <w:rFonts w:cs="Arial"/>
          <w:szCs w:val="22"/>
        </w:rPr>
        <w:t xml:space="preserve">a nakonec </w:t>
      </w:r>
      <w:r w:rsidR="00EE28D8">
        <w:rPr>
          <w:rFonts w:cs="Arial"/>
          <w:szCs w:val="22"/>
        </w:rPr>
        <w:t xml:space="preserve">ani </w:t>
      </w:r>
      <w:r w:rsidR="004B67E8">
        <w:rPr>
          <w:rFonts w:cs="Arial"/>
          <w:szCs w:val="22"/>
        </w:rPr>
        <w:t xml:space="preserve">to, že </w:t>
      </w:r>
      <w:r w:rsidR="00291847">
        <w:rPr>
          <w:rFonts w:cs="Arial"/>
          <w:szCs w:val="22"/>
        </w:rPr>
        <w:t>s</w:t>
      </w:r>
      <w:r w:rsidR="00EE28D8" w:rsidRPr="00EE28D8">
        <w:rPr>
          <w:rFonts w:cs="Arial"/>
          <w:szCs w:val="22"/>
        </w:rPr>
        <w:t>amotné právo hospodářské soutěže nestačí k řešení zjištěného selhání trhu (třetí kritérium)</w:t>
      </w:r>
      <w:r w:rsidR="00291847">
        <w:rPr>
          <w:rFonts w:cs="Arial"/>
          <w:szCs w:val="22"/>
        </w:rPr>
        <w:t>.</w:t>
      </w:r>
      <w:r w:rsidR="004B329F">
        <w:rPr>
          <w:rFonts w:cs="Arial"/>
          <w:szCs w:val="22"/>
        </w:rPr>
        <w:t xml:space="preserve"> Mimo to Evropská komise vyjadřuje postesk </w:t>
      </w:r>
      <w:r w:rsidR="00CA5416">
        <w:rPr>
          <w:rFonts w:cs="Arial"/>
          <w:szCs w:val="22"/>
        </w:rPr>
        <w:t xml:space="preserve">nad tím, že </w:t>
      </w:r>
      <w:r w:rsidR="009729A8">
        <w:rPr>
          <w:rFonts w:cs="Arial"/>
          <w:szCs w:val="22"/>
        </w:rPr>
        <w:t xml:space="preserve">ČTÚ nezaslal k posouzení </w:t>
      </w:r>
      <w:r w:rsidR="001F1684" w:rsidRPr="001F1684">
        <w:rPr>
          <w:rFonts w:cs="Arial"/>
          <w:szCs w:val="22"/>
        </w:rPr>
        <w:t>vymezení trhu, test tří kritérií a analýzu významné tržní síly</w:t>
      </w:r>
      <w:r w:rsidR="001F1684">
        <w:rPr>
          <w:rFonts w:cs="Arial"/>
          <w:szCs w:val="22"/>
        </w:rPr>
        <w:t xml:space="preserve"> zároveň a že </w:t>
      </w:r>
      <w:r w:rsidR="003D493C" w:rsidRPr="003D493C">
        <w:rPr>
          <w:rFonts w:cs="Arial"/>
          <w:szCs w:val="22"/>
        </w:rPr>
        <w:t xml:space="preserve">období mezi ukončením veřejné konzultace </w:t>
      </w:r>
      <w:r w:rsidR="003D493C">
        <w:rPr>
          <w:rFonts w:cs="Arial"/>
          <w:szCs w:val="22"/>
        </w:rPr>
        <w:t>k </w:t>
      </w:r>
      <w:proofErr w:type="spellStart"/>
      <w:r w:rsidR="003D493C">
        <w:rPr>
          <w:rFonts w:cs="Arial"/>
          <w:szCs w:val="22"/>
        </w:rPr>
        <w:t>tříkriteriálnímu</w:t>
      </w:r>
      <w:proofErr w:type="spellEnd"/>
      <w:r w:rsidR="003D493C">
        <w:rPr>
          <w:rFonts w:cs="Arial"/>
          <w:szCs w:val="22"/>
        </w:rPr>
        <w:t xml:space="preserve"> testu </w:t>
      </w:r>
      <w:r w:rsidR="003D493C" w:rsidRPr="003D493C">
        <w:rPr>
          <w:rFonts w:cs="Arial"/>
          <w:szCs w:val="22"/>
        </w:rPr>
        <w:t xml:space="preserve">(říjen 2017) a oznámením </w:t>
      </w:r>
      <w:r w:rsidR="003D493C">
        <w:rPr>
          <w:rFonts w:cs="Arial"/>
          <w:szCs w:val="22"/>
        </w:rPr>
        <w:t xml:space="preserve">(2019) </w:t>
      </w:r>
      <w:r w:rsidR="003D493C" w:rsidRPr="003D493C">
        <w:rPr>
          <w:rFonts w:cs="Arial"/>
          <w:szCs w:val="22"/>
        </w:rPr>
        <w:t>je velmi dlouhé</w:t>
      </w:r>
      <w:r w:rsidR="003D493C">
        <w:rPr>
          <w:rFonts w:cs="Arial"/>
          <w:szCs w:val="22"/>
        </w:rPr>
        <w:t>.</w:t>
      </w:r>
    </w:p>
    <w:p w14:paraId="1A4BEF5D" w14:textId="752E43D2" w:rsidR="004E6995" w:rsidRPr="006A30CE" w:rsidRDefault="000B4B16" w:rsidP="00FB48AF">
      <w:pPr>
        <w:ind w:left="357"/>
        <w:rPr>
          <w:rFonts w:cs="Arial"/>
          <w:b/>
          <w:bCs/>
          <w:szCs w:val="22"/>
        </w:rPr>
      </w:pPr>
      <w:r>
        <w:rPr>
          <w:rFonts w:cs="Arial"/>
          <w:szCs w:val="22"/>
        </w:rPr>
        <w:t xml:space="preserve">Vzhledem k výše uvedenému postoji Evropské komise je velmi překvapivé, že ČTÚ </w:t>
      </w:r>
      <w:r w:rsidR="000B764A">
        <w:rPr>
          <w:rFonts w:cs="Arial"/>
          <w:szCs w:val="22"/>
        </w:rPr>
        <w:t xml:space="preserve">nadále </w:t>
      </w:r>
      <w:r>
        <w:rPr>
          <w:rFonts w:cs="Arial"/>
          <w:szCs w:val="22"/>
        </w:rPr>
        <w:t>v</w:t>
      </w:r>
      <w:r w:rsidR="00751F5D">
        <w:rPr>
          <w:rFonts w:cs="Arial"/>
          <w:szCs w:val="22"/>
        </w:rPr>
        <w:t xml:space="preserve"> předloženém návrhu analýzy trhu </w:t>
      </w:r>
      <w:r>
        <w:rPr>
          <w:rFonts w:cs="Arial"/>
          <w:szCs w:val="22"/>
        </w:rPr>
        <w:t xml:space="preserve">sděluje, že </w:t>
      </w:r>
      <w:r w:rsidR="00D04898">
        <w:rPr>
          <w:rFonts w:cs="Arial"/>
          <w:szCs w:val="22"/>
        </w:rPr>
        <w:t xml:space="preserve">při provedení </w:t>
      </w:r>
      <w:proofErr w:type="spellStart"/>
      <w:r w:rsidR="00D04898">
        <w:rPr>
          <w:rFonts w:cs="Arial"/>
          <w:szCs w:val="22"/>
        </w:rPr>
        <w:t>tříkriteriálního</w:t>
      </w:r>
      <w:proofErr w:type="spellEnd"/>
      <w:r w:rsidR="00D04898">
        <w:rPr>
          <w:rFonts w:cs="Arial"/>
          <w:szCs w:val="22"/>
        </w:rPr>
        <w:t xml:space="preserve"> testu v rámci analýzy </w:t>
      </w:r>
      <w:r w:rsidR="00FC0976" w:rsidRPr="00FC0976">
        <w:rPr>
          <w:rFonts w:cs="Arial"/>
          <w:i/>
          <w:iCs/>
          <w:szCs w:val="22"/>
        </w:rPr>
        <w:t>„</w:t>
      </w:r>
      <w:r w:rsidR="00D04898" w:rsidRPr="00FC0976">
        <w:rPr>
          <w:rFonts w:cs="Arial"/>
          <w:i/>
          <w:iCs/>
          <w:szCs w:val="22"/>
        </w:rPr>
        <w:t>bylo</w:t>
      </w:r>
      <w:r w:rsidRPr="00FC0976">
        <w:rPr>
          <w:rFonts w:cs="Arial"/>
          <w:i/>
          <w:iCs/>
          <w:szCs w:val="22"/>
        </w:rPr>
        <w:t xml:space="preserve"> vycházeno z</w:t>
      </w:r>
      <w:r w:rsidR="00D04898" w:rsidRPr="00FC0976">
        <w:rPr>
          <w:rFonts w:cs="Arial"/>
          <w:i/>
          <w:iCs/>
          <w:szCs w:val="22"/>
        </w:rPr>
        <w:t> </w:t>
      </w:r>
      <w:proofErr w:type="spellStart"/>
      <w:r w:rsidR="00D04898" w:rsidRPr="00FC0976">
        <w:rPr>
          <w:rFonts w:cs="Arial"/>
          <w:i/>
          <w:iCs/>
          <w:szCs w:val="22"/>
        </w:rPr>
        <w:t>tříkriteriálního</w:t>
      </w:r>
      <w:proofErr w:type="spellEnd"/>
      <w:r w:rsidR="00D04898" w:rsidRPr="00FC0976">
        <w:rPr>
          <w:rFonts w:cs="Arial"/>
          <w:i/>
          <w:iCs/>
          <w:szCs w:val="22"/>
        </w:rPr>
        <w:t xml:space="preserve"> testu</w:t>
      </w:r>
      <w:r w:rsidRPr="00FC0976">
        <w:rPr>
          <w:rFonts w:cs="Arial"/>
          <w:i/>
          <w:iCs/>
          <w:szCs w:val="22"/>
        </w:rPr>
        <w:t xml:space="preserve"> z roku 2017, jehož závěry se v plné míře potvrdily také na aktualizovaných datech ke konci roku 2020. Tímto je tedy v plné míře odkazováno a jsou přejímány závěry a vyhodnocení T3K z roku 2017 s tím, že tyto závěry jsou doplněny, aktualizovány a upřesněny níže.</w:t>
      </w:r>
      <w:r w:rsidR="00FC0976" w:rsidRPr="00FC0976">
        <w:rPr>
          <w:rFonts w:cs="Arial"/>
          <w:i/>
          <w:iCs/>
          <w:szCs w:val="22"/>
        </w:rPr>
        <w:t>“</w:t>
      </w:r>
      <w:r w:rsidR="00047CBB">
        <w:rPr>
          <w:rFonts w:cs="Arial"/>
          <w:i/>
          <w:iCs/>
          <w:szCs w:val="22"/>
        </w:rPr>
        <w:t xml:space="preserve"> </w:t>
      </w:r>
      <w:r w:rsidR="00455BC5" w:rsidRPr="006A30CE">
        <w:rPr>
          <w:rFonts w:cs="Arial"/>
          <w:b/>
          <w:bCs/>
          <w:szCs w:val="22"/>
        </w:rPr>
        <w:t xml:space="preserve">Tato </w:t>
      </w:r>
      <w:r w:rsidR="004B67E8">
        <w:rPr>
          <w:rFonts w:cs="Arial"/>
          <w:b/>
          <w:bCs/>
          <w:szCs w:val="22"/>
        </w:rPr>
        <w:t xml:space="preserve">velmi </w:t>
      </w:r>
      <w:r w:rsidR="00455BC5" w:rsidRPr="006A30CE">
        <w:rPr>
          <w:rFonts w:cs="Arial"/>
          <w:b/>
          <w:bCs/>
          <w:szCs w:val="22"/>
        </w:rPr>
        <w:t xml:space="preserve">stručná </w:t>
      </w:r>
      <w:r w:rsidR="004B67E8">
        <w:rPr>
          <w:rFonts w:cs="Arial"/>
          <w:b/>
          <w:bCs/>
          <w:szCs w:val="22"/>
        </w:rPr>
        <w:t xml:space="preserve">formulační </w:t>
      </w:r>
      <w:r w:rsidR="00455BC5" w:rsidRPr="006A30CE">
        <w:rPr>
          <w:rFonts w:cs="Arial"/>
          <w:b/>
          <w:bCs/>
          <w:szCs w:val="22"/>
        </w:rPr>
        <w:t xml:space="preserve">aktualizace </w:t>
      </w:r>
      <w:proofErr w:type="spellStart"/>
      <w:r w:rsidR="00633BE2" w:rsidRPr="006A30CE">
        <w:rPr>
          <w:rFonts w:cs="Arial"/>
          <w:b/>
          <w:bCs/>
          <w:szCs w:val="22"/>
        </w:rPr>
        <w:t>tříkriteriálního</w:t>
      </w:r>
      <w:proofErr w:type="spellEnd"/>
      <w:r w:rsidR="00633BE2" w:rsidRPr="006A30CE">
        <w:rPr>
          <w:rFonts w:cs="Arial"/>
          <w:b/>
          <w:bCs/>
          <w:szCs w:val="22"/>
        </w:rPr>
        <w:t xml:space="preserve"> testu z roku 2017 navíc neřeší připomínky, které jí v roce 2019 zaslala Evropská komise</w:t>
      </w:r>
      <w:r w:rsidR="00747554">
        <w:rPr>
          <w:rFonts w:cs="Arial"/>
          <w:b/>
          <w:bCs/>
          <w:szCs w:val="22"/>
        </w:rPr>
        <w:t>,</w:t>
      </w:r>
      <w:r w:rsidR="00A04D85" w:rsidRPr="006A30CE">
        <w:rPr>
          <w:rFonts w:cs="Arial"/>
          <w:b/>
          <w:bCs/>
          <w:szCs w:val="22"/>
        </w:rPr>
        <w:t xml:space="preserve"> a dokonce ani nepředkládá </w:t>
      </w:r>
      <w:r w:rsidR="00934B47" w:rsidRPr="006A30CE">
        <w:rPr>
          <w:rFonts w:cs="Arial"/>
          <w:b/>
          <w:bCs/>
          <w:szCs w:val="22"/>
        </w:rPr>
        <w:t>zmiňovaná aktualizovaná data ke konci roku 2020</w:t>
      </w:r>
      <w:r w:rsidR="004D559F">
        <w:rPr>
          <w:rFonts w:cs="Arial"/>
          <w:b/>
          <w:bCs/>
          <w:szCs w:val="22"/>
        </w:rPr>
        <w:t>!</w:t>
      </w:r>
      <w:r w:rsidR="00633BE2" w:rsidRPr="006A30CE">
        <w:rPr>
          <w:rFonts w:cs="Arial"/>
          <w:b/>
          <w:bCs/>
          <w:szCs w:val="22"/>
        </w:rPr>
        <w:t xml:space="preserve"> </w:t>
      </w:r>
    </w:p>
    <w:p w14:paraId="15B36C48" w14:textId="5BD68D14" w:rsidR="003D493C" w:rsidRDefault="00A35A5C" w:rsidP="00FB48AF">
      <w:pPr>
        <w:ind w:left="357"/>
        <w:rPr>
          <w:rFonts w:cs="Arial"/>
          <w:szCs w:val="22"/>
        </w:rPr>
      </w:pPr>
      <w:r>
        <w:rPr>
          <w:rFonts w:cs="Arial"/>
          <w:szCs w:val="22"/>
        </w:rPr>
        <w:t>Nadále</w:t>
      </w:r>
      <w:r w:rsidR="00633BE2">
        <w:rPr>
          <w:rFonts w:cs="Arial"/>
          <w:szCs w:val="22"/>
        </w:rPr>
        <w:t xml:space="preserve"> se dopouští dalších </w:t>
      </w:r>
      <w:r w:rsidR="00E36346">
        <w:rPr>
          <w:rFonts w:cs="Arial"/>
          <w:szCs w:val="22"/>
        </w:rPr>
        <w:t xml:space="preserve">účelových sdělení, když například podíl virtuálních operátorů na vyspělých trzích </w:t>
      </w:r>
      <w:r w:rsidR="00E36346" w:rsidRPr="00FF38F3">
        <w:rPr>
          <w:rFonts w:cs="Arial"/>
          <w:szCs w:val="22"/>
          <w:u w:val="single"/>
        </w:rPr>
        <w:t xml:space="preserve">ze studie McKinsey zahrnující </w:t>
      </w:r>
      <w:r w:rsidR="004D559F" w:rsidRPr="00FF38F3">
        <w:rPr>
          <w:rFonts w:cs="Arial"/>
          <w:szCs w:val="22"/>
          <w:u w:val="single"/>
        </w:rPr>
        <w:t xml:space="preserve">i </w:t>
      </w:r>
      <w:r w:rsidR="00E36346" w:rsidRPr="00FF38F3">
        <w:rPr>
          <w:rFonts w:cs="Arial"/>
          <w:szCs w:val="22"/>
          <w:u w:val="single"/>
        </w:rPr>
        <w:t>majet</w:t>
      </w:r>
      <w:r w:rsidR="0087600E" w:rsidRPr="00FF38F3">
        <w:rPr>
          <w:rFonts w:cs="Arial"/>
          <w:szCs w:val="22"/>
          <w:u w:val="single"/>
        </w:rPr>
        <w:t>k</w:t>
      </w:r>
      <w:r w:rsidR="00E36346" w:rsidRPr="00FF38F3">
        <w:rPr>
          <w:rFonts w:cs="Arial"/>
          <w:szCs w:val="22"/>
          <w:u w:val="single"/>
        </w:rPr>
        <w:t>ově propojené</w:t>
      </w:r>
      <w:r w:rsidR="0087600E" w:rsidRPr="00FF38F3">
        <w:rPr>
          <w:rFonts w:cs="Arial"/>
          <w:szCs w:val="22"/>
          <w:u w:val="single"/>
        </w:rPr>
        <w:t xml:space="preserve"> virtuální operátory </w:t>
      </w:r>
      <w:r w:rsidR="004D559F" w:rsidRPr="00FF38F3">
        <w:rPr>
          <w:rFonts w:cs="Arial"/>
          <w:szCs w:val="22"/>
          <w:u w:val="single"/>
        </w:rPr>
        <w:t>(</w:t>
      </w:r>
      <w:r w:rsidR="0087600E" w:rsidRPr="00FF38F3">
        <w:rPr>
          <w:rFonts w:cs="Arial"/>
          <w:szCs w:val="22"/>
          <w:u w:val="single"/>
        </w:rPr>
        <w:t>s</w:t>
      </w:r>
      <w:r w:rsidR="004D559F" w:rsidRPr="00FF38F3">
        <w:rPr>
          <w:rFonts w:cs="Arial"/>
          <w:szCs w:val="22"/>
          <w:u w:val="single"/>
        </w:rPr>
        <w:t>e síťovými operátory)</w:t>
      </w:r>
      <w:r w:rsidR="0087600E" w:rsidRPr="00FF38F3">
        <w:rPr>
          <w:rFonts w:cs="Arial"/>
          <w:szCs w:val="22"/>
          <w:u w:val="single"/>
        </w:rPr>
        <w:t> </w:t>
      </w:r>
      <w:r w:rsidR="004D559F" w:rsidRPr="00FF38F3">
        <w:rPr>
          <w:rFonts w:cs="Arial"/>
          <w:szCs w:val="22"/>
          <w:u w:val="single"/>
        </w:rPr>
        <w:t xml:space="preserve">se porovnává s </w:t>
      </w:r>
      <w:r w:rsidR="0087600E" w:rsidRPr="00FF38F3">
        <w:rPr>
          <w:rFonts w:cs="Arial"/>
          <w:szCs w:val="22"/>
          <w:u w:val="single"/>
        </w:rPr>
        <w:t>podílem virtuálních operátorů v ČR ovšem nezahrnující majetkově propojené virtuální operátory</w:t>
      </w:r>
      <w:r w:rsidR="0087600E">
        <w:rPr>
          <w:rFonts w:cs="Arial"/>
          <w:szCs w:val="22"/>
        </w:rPr>
        <w:t xml:space="preserve">. Navíc se </w:t>
      </w:r>
      <w:r w:rsidR="004D559F">
        <w:rPr>
          <w:rFonts w:cs="Arial"/>
          <w:szCs w:val="22"/>
        </w:rPr>
        <w:t xml:space="preserve">ČTÚ v návrhu analýzy </w:t>
      </w:r>
      <w:r w:rsidR="001B756A">
        <w:rPr>
          <w:rFonts w:cs="Arial"/>
          <w:szCs w:val="22"/>
        </w:rPr>
        <w:t xml:space="preserve">sám dostává do kouta, když se snaží obhájit </w:t>
      </w:r>
      <w:r w:rsidR="001A2E7A" w:rsidRPr="001A2E7A">
        <w:rPr>
          <w:rFonts w:cs="Arial"/>
          <w:szCs w:val="22"/>
        </w:rPr>
        <w:t>značné překážky vstupu na trh pro virtuální operátory</w:t>
      </w:r>
      <w:r w:rsidR="001A2E7A">
        <w:rPr>
          <w:rFonts w:cs="Arial"/>
          <w:szCs w:val="22"/>
        </w:rPr>
        <w:t xml:space="preserve"> ve světle toho, že na </w:t>
      </w:r>
      <w:r w:rsidR="00BC4546">
        <w:rPr>
          <w:rFonts w:cs="Arial"/>
          <w:szCs w:val="22"/>
        </w:rPr>
        <w:t xml:space="preserve">český mobilních trh vstoupilo v posledních 5 letech v průměru 13 virtuálních </w:t>
      </w:r>
      <w:r w:rsidR="00BC4546">
        <w:rPr>
          <w:rFonts w:cs="Arial"/>
          <w:szCs w:val="22"/>
        </w:rPr>
        <w:lastRenderedPageBreak/>
        <w:t>operátorů za rok, přičemž upozorňujeme, že toto číslo nezahrnuje nelegálně podnikající subjekty</w:t>
      </w:r>
      <w:r w:rsidR="004D559F">
        <w:rPr>
          <w:rFonts w:cs="Arial"/>
          <w:szCs w:val="22"/>
        </w:rPr>
        <w:t xml:space="preserve"> (tzv. šedé operátory)</w:t>
      </w:r>
      <w:r w:rsidR="00BC4546">
        <w:rPr>
          <w:rFonts w:cs="Arial"/>
          <w:szCs w:val="22"/>
        </w:rPr>
        <w:t xml:space="preserve">, k čemuž se vyjadřujeme níže. </w:t>
      </w:r>
      <w:r w:rsidR="0041544B">
        <w:rPr>
          <w:rFonts w:cs="Arial"/>
          <w:szCs w:val="22"/>
        </w:rPr>
        <w:t>T</w:t>
      </w:r>
      <w:r w:rsidR="00BA7376">
        <w:rPr>
          <w:rFonts w:cs="Arial"/>
          <w:szCs w:val="22"/>
        </w:rPr>
        <w:t>akové hodnoty by na trhu, kde by byly významné překážky vstupu na trh nemohly existovat</w:t>
      </w:r>
      <w:r w:rsidR="00BC5409">
        <w:rPr>
          <w:rFonts w:cs="Arial"/>
          <w:szCs w:val="22"/>
        </w:rPr>
        <w:t xml:space="preserve">, což je zřejmé i z toho, že v rámci Evropské unie existují i země, kde neexistují žádní virtuální operátoři, případně s výjimkou tzv. </w:t>
      </w:r>
      <w:proofErr w:type="spellStart"/>
      <w:r w:rsidR="00BC5409">
        <w:rPr>
          <w:rFonts w:cs="Arial"/>
          <w:szCs w:val="22"/>
        </w:rPr>
        <w:t>branded</w:t>
      </w:r>
      <w:proofErr w:type="spellEnd"/>
      <w:r w:rsidR="00BC5409">
        <w:rPr>
          <w:rFonts w:cs="Arial"/>
          <w:szCs w:val="22"/>
        </w:rPr>
        <w:t xml:space="preserve"> </w:t>
      </w:r>
      <w:proofErr w:type="spellStart"/>
      <w:r w:rsidR="00BC5409">
        <w:rPr>
          <w:rFonts w:cs="Arial"/>
          <w:szCs w:val="22"/>
        </w:rPr>
        <w:t>resellerů</w:t>
      </w:r>
      <w:proofErr w:type="spellEnd"/>
      <w:r w:rsidR="00BC5409">
        <w:rPr>
          <w:rFonts w:cs="Arial"/>
          <w:szCs w:val="22"/>
        </w:rPr>
        <w:t>.</w:t>
      </w:r>
      <w:r w:rsidR="004E6995">
        <w:rPr>
          <w:rFonts w:cs="Arial"/>
          <w:szCs w:val="22"/>
        </w:rPr>
        <w:t xml:space="preserve"> </w:t>
      </w:r>
      <w:r w:rsidR="00D101DC" w:rsidRPr="009B4074">
        <w:rPr>
          <w:rFonts w:cs="Arial"/>
          <w:b/>
          <w:bCs/>
          <w:szCs w:val="22"/>
        </w:rPr>
        <w:t xml:space="preserve">Dále v tomto kritériu ČTÚ předkládá jako argument omezené frekvenční spektrum a zmiňuje, že v České republice </w:t>
      </w:r>
      <w:r w:rsidR="00E5784C" w:rsidRPr="009B4074">
        <w:rPr>
          <w:rFonts w:cs="Arial"/>
          <w:b/>
          <w:bCs/>
          <w:szCs w:val="22"/>
        </w:rPr>
        <w:t xml:space="preserve">drží relevantní rádiové kmitočty </w:t>
      </w:r>
      <w:r w:rsidR="007A3733" w:rsidRPr="009B4074">
        <w:rPr>
          <w:rFonts w:cs="Arial"/>
          <w:b/>
          <w:bCs/>
          <w:szCs w:val="22"/>
        </w:rPr>
        <w:t>6 společností</w:t>
      </w:r>
      <w:r w:rsidR="00B06E92" w:rsidRPr="009B4074">
        <w:rPr>
          <w:rFonts w:cs="Arial"/>
          <w:b/>
          <w:bCs/>
          <w:szCs w:val="22"/>
        </w:rPr>
        <w:t xml:space="preserve"> a všechny tyto </w:t>
      </w:r>
      <w:r w:rsidR="007D5F86" w:rsidRPr="009B4074">
        <w:rPr>
          <w:rFonts w:cs="Arial"/>
          <w:b/>
          <w:bCs/>
          <w:szCs w:val="22"/>
        </w:rPr>
        <w:t xml:space="preserve">společnosti mohou </w:t>
      </w:r>
      <w:r w:rsidR="00027333" w:rsidRPr="009B4074">
        <w:rPr>
          <w:rFonts w:cs="Arial"/>
          <w:b/>
          <w:bCs/>
          <w:szCs w:val="22"/>
        </w:rPr>
        <w:t>na svých kmitočtech (vč. </w:t>
      </w:r>
      <w:r w:rsidR="00FE362F" w:rsidRPr="009B4074">
        <w:rPr>
          <w:rFonts w:cs="Arial"/>
          <w:b/>
          <w:bCs/>
          <w:szCs w:val="22"/>
        </w:rPr>
        <w:t>přístupu</w:t>
      </w:r>
      <w:r w:rsidR="00027333" w:rsidRPr="009B4074">
        <w:rPr>
          <w:rFonts w:cs="Arial"/>
          <w:b/>
          <w:bCs/>
          <w:szCs w:val="22"/>
        </w:rPr>
        <w:t xml:space="preserve"> v rámci národního roamingu) </w:t>
      </w:r>
      <w:r w:rsidR="007D5F86" w:rsidRPr="009B4074">
        <w:rPr>
          <w:rFonts w:cs="Arial"/>
          <w:b/>
          <w:bCs/>
          <w:szCs w:val="22"/>
        </w:rPr>
        <w:t>poskytovat velkoobchodní přístup</w:t>
      </w:r>
      <w:r w:rsidR="007A3733" w:rsidRPr="009B4074">
        <w:rPr>
          <w:rFonts w:cs="Arial"/>
          <w:b/>
          <w:bCs/>
          <w:szCs w:val="22"/>
        </w:rPr>
        <w:t>, což je v rámci Evropské unie zřejmý nadprůměr.</w:t>
      </w:r>
      <w:r w:rsidR="00951CF7">
        <w:rPr>
          <w:rFonts w:cs="Arial"/>
          <w:szCs w:val="22"/>
        </w:rPr>
        <w:t xml:space="preserve"> V</w:t>
      </w:r>
      <w:r w:rsidR="00995A0A">
        <w:rPr>
          <w:rFonts w:cs="Arial"/>
          <w:szCs w:val="22"/>
        </w:rPr>
        <w:t> roce 2020</w:t>
      </w:r>
      <w:r w:rsidR="00951CF7">
        <w:rPr>
          <w:rFonts w:cs="Arial"/>
          <w:szCs w:val="22"/>
        </w:rPr>
        <w:t xml:space="preserve"> došlo navíc k dalším přísným regulačním opatřením</w:t>
      </w:r>
      <w:r w:rsidR="004D559F">
        <w:rPr>
          <w:rFonts w:cs="Arial"/>
          <w:szCs w:val="22"/>
        </w:rPr>
        <w:t>,</w:t>
      </w:r>
      <w:r w:rsidR="00651D88">
        <w:rPr>
          <w:rFonts w:cs="Arial"/>
          <w:szCs w:val="22"/>
        </w:rPr>
        <w:t xml:space="preserve"> mezi které patří například výrazné omezení znamenající téměř faktický zákaz závazků služeb</w:t>
      </w:r>
      <w:r w:rsidR="004D559F">
        <w:rPr>
          <w:rFonts w:cs="Arial"/>
          <w:szCs w:val="22"/>
        </w:rPr>
        <w:t xml:space="preserve"> na dobu určitou vůči koncovým zákazníkům, čímž </w:t>
      </w:r>
      <w:r w:rsidR="00662910">
        <w:rPr>
          <w:rFonts w:cs="Arial"/>
          <w:szCs w:val="22"/>
        </w:rPr>
        <w:t>se zvýšily možnosti přechodu zákazník</w:t>
      </w:r>
      <w:r w:rsidR="003F2543">
        <w:rPr>
          <w:rFonts w:cs="Arial"/>
          <w:szCs w:val="22"/>
        </w:rPr>
        <w:t>ů</w:t>
      </w:r>
      <w:r w:rsidR="00662910">
        <w:rPr>
          <w:rFonts w:cs="Arial"/>
          <w:szCs w:val="22"/>
        </w:rPr>
        <w:t xml:space="preserve"> mezi operátory a samozřejmě i směrem k virtuálním operátorům a mezi nimi navzájem</w:t>
      </w:r>
      <w:r w:rsidR="00651D88">
        <w:rPr>
          <w:rFonts w:cs="Arial"/>
          <w:szCs w:val="22"/>
        </w:rPr>
        <w:t>.</w:t>
      </w:r>
    </w:p>
    <w:p w14:paraId="2B77EA5D" w14:textId="1509F38D" w:rsidR="009E6764" w:rsidRDefault="00E914F0" w:rsidP="00FB48AF">
      <w:pPr>
        <w:ind w:left="357"/>
        <w:rPr>
          <w:rFonts w:cs="Arial"/>
          <w:szCs w:val="22"/>
        </w:rPr>
      </w:pPr>
      <w:r>
        <w:rPr>
          <w:rFonts w:cs="Arial"/>
          <w:szCs w:val="22"/>
        </w:rPr>
        <w:t xml:space="preserve">V Evropě se aukcí </w:t>
      </w:r>
      <w:r w:rsidR="004B6640">
        <w:rPr>
          <w:rFonts w:cs="Arial"/>
          <w:szCs w:val="22"/>
        </w:rPr>
        <w:t xml:space="preserve">na přidělení rádiových </w:t>
      </w:r>
      <w:r w:rsidR="00386104">
        <w:rPr>
          <w:rFonts w:cs="Arial"/>
          <w:szCs w:val="22"/>
        </w:rPr>
        <w:t>kmitočtů účastnil</w:t>
      </w:r>
      <w:r w:rsidR="003F2543">
        <w:rPr>
          <w:rFonts w:cs="Arial"/>
          <w:szCs w:val="22"/>
        </w:rPr>
        <w:t>y</w:t>
      </w:r>
      <w:r w:rsidR="00386104">
        <w:rPr>
          <w:rFonts w:cs="Arial"/>
          <w:szCs w:val="22"/>
        </w:rPr>
        <w:t xml:space="preserve"> i subjekty, které na trhu dosud působily pouze omezeně či vůbec</w:t>
      </w:r>
      <w:r w:rsidR="00350758">
        <w:rPr>
          <w:rFonts w:cs="Arial"/>
          <w:szCs w:val="22"/>
        </w:rPr>
        <w:t>, pokud vyhodnotil</w:t>
      </w:r>
      <w:r w:rsidR="003F2543">
        <w:rPr>
          <w:rFonts w:cs="Arial"/>
          <w:szCs w:val="22"/>
        </w:rPr>
        <w:t>y</w:t>
      </w:r>
      <w:r w:rsidR="00350758">
        <w:rPr>
          <w:rFonts w:cs="Arial"/>
          <w:szCs w:val="22"/>
        </w:rPr>
        <w:t xml:space="preserve">, že je na daném trhu </w:t>
      </w:r>
      <w:r w:rsidR="0040191B">
        <w:rPr>
          <w:rFonts w:cs="Arial"/>
          <w:szCs w:val="22"/>
        </w:rPr>
        <w:t>prostor</w:t>
      </w:r>
      <w:r w:rsidR="00946E3A">
        <w:rPr>
          <w:rFonts w:cs="Arial"/>
          <w:szCs w:val="22"/>
        </w:rPr>
        <w:t xml:space="preserve"> k přijatelné době návratnosti investovaných prostředků. ČTÚ v poslední aukc</w:t>
      </w:r>
      <w:r w:rsidR="003F2543">
        <w:rPr>
          <w:rFonts w:cs="Arial"/>
          <w:szCs w:val="22"/>
        </w:rPr>
        <w:t>i</w:t>
      </w:r>
      <w:r w:rsidR="00946E3A">
        <w:rPr>
          <w:rFonts w:cs="Arial"/>
          <w:szCs w:val="22"/>
        </w:rPr>
        <w:t xml:space="preserve"> na kmitočty v pásmu 700 MHz </w:t>
      </w:r>
      <w:r w:rsidR="00296599">
        <w:rPr>
          <w:rFonts w:cs="Arial"/>
          <w:szCs w:val="22"/>
        </w:rPr>
        <w:t xml:space="preserve">pro celoplošné pokrytí </w:t>
      </w:r>
      <w:r w:rsidR="00946E3A">
        <w:rPr>
          <w:rFonts w:cs="Arial"/>
          <w:szCs w:val="22"/>
        </w:rPr>
        <w:t xml:space="preserve">stanovil </w:t>
      </w:r>
      <w:r w:rsidR="003F2543">
        <w:rPr>
          <w:rFonts w:cs="Arial"/>
          <w:szCs w:val="22"/>
        </w:rPr>
        <w:t xml:space="preserve">pro 4. operátora </w:t>
      </w:r>
      <w:r w:rsidR="00946E3A">
        <w:rPr>
          <w:rFonts w:cs="Arial"/>
          <w:szCs w:val="22"/>
        </w:rPr>
        <w:t xml:space="preserve">velmi příznivé a </w:t>
      </w:r>
      <w:r w:rsidR="00296599">
        <w:rPr>
          <w:rFonts w:cs="Arial"/>
          <w:szCs w:val="22"/>
        </w:rPr>
        <w:t xml:space="preserve">pro </w:t>
      </w:r>
      <w:r w:rsidR="003F2543">
        <w:rPr>
          <w:rFonts w:cs="Arial"/>
          <w:szCs w:val="22"/>
        </w:rPr>
        <w:t xml:space="preserve">stávající operátory </w:t>
      </w:r>
      <w:r w:rsidR="00296599">
        <w:rPr>
          <w:rFonts w:cs="Arial"/>
          <w:szCs w:val="22"/>
        </w:rPr>
        <w:t xml:space="preserve">diskriminační podmínky. Žádný nový subjekt však </w:t>
      </w:r>
      <w:r w:rsidR="00854DA6">
        <w:rPr>
          <w:rFonts w:cs="Arial"/>
          <w:szCs w:val="22"/>
        </w:rPr>
        <w:t xml:space="preserve">zájem o tyto kmitočty přes snahu veřejných orgánů neprojevil, což je známka toho, že </w:t>
      </w:r>
      <w:r w:rsidR="00A62750">
        <w:rPr>
          <w:rFonts w:cs="Arial"/>
          <w:szCs w:val="22"/>
        </w:rPr>
        <w:t>není dostatečný a udržitelný prostor pro výrazné snížení cen.</w:t>
      </w:r>
      <w:r w:rsidR="00394FB0">
        <w:rPr>
          <w:rFonts w:cs="Arial"/>
          <w:szCs w:val="22"/>
        </w:rPr>
        <w:t xml:space="preserve"> Konstatování o tom, že není k dispozici dostatečné spektrum </w:t>
      </w:r>
      <w:r w:rsidR="004647BA">
        <w:rPr>
          <w:rFonts w:cs="Arial"/>
          <w:szCs w:val="22"/>
        </w:rPr>
        <w:t xml:space="preserve">pro nového MNO je tak zavádějící, protože ČTÚ opakovaně vyhradil nové spektrum pro nového MNO, ten se však </w:t>
      </w:r>
      <w:r w:rsidR="003F2543">
        <w:rPr>
          <w:rFonts w:cs="Arial"/>
          <w:szCs w:val="22"/>
        </w:rPr>
        <w:t xml:space="preserve">přes enormní snahu ČTÚ </w:t>
      </w:r>
      <w:r w:rsidR="004647BA">
        <w:rPr>
          <w:rFonts w:cs="Arial"/>
          <w:szCs w:val="22"/>
        </w:rPr>
        <w:t>nepřihlásil.</w:t>
      </w:r>
    </w:p>
    <w:p w14:paraId="62CE63DB" w14:textId="1ED24B22" w:rsidR="005B3925" w:rsidRDefault="00525064" w:rsidP="00FB48AF">
      <w:pPr>
        <w:ind w:left="357"/>
        <w:rPr>
          <w:rFonts w:cs="Arial"/>
          <w:b/>
          <w:bCs/>
          <w:szCs w:val="22"/>
        </w:rPr>
      </w:pPr>
      <w:r>
        <w:rPr>
          <w:rFonts w:cs="Arial"/>
          <w:szCs w:val="22"/>
        </w:rPr>
        <w:t>ČTÚ dále v</w:t>
      </w:r>
      <w:r w:rsidR="003F2543">
        <w:rPr>
          <w:rFonts w:cs="Arial"/>
          <w:szCs w:val="22"/>
        </w:rPr>
        <w:t>e vztahu k</w:t>
      </w:r>
      <w:r>
        <w:rPr>
          <w:rFonts w:cs="Arial"/>
          <w:szCs w:val="22"/>
        </w:rPr>
        <w:t> prvním</w:t>
      </w:r>
      <w:r w:rsidR="003F2543">
        <w:rPr>
          <w:rFonts w:cs="Arial"/>
          <w:szCs w:val="22"/>
        </w:rPr>
        <w:t>u</w:t>
      </w:r>
      <w:r>
        <w:rPr>
          <w:rFonts w:cs="Arial"/>
          <w:szCs w:val="22"/>
        </w:rPr>
        <w:t xml:space="preserve"> kritériu argumentuje provedeným testem </w:t>
      </w:r>
      <w:proofErr w:type="spellStart"/>
      <w:r>
        <w:rPr>
          <w:rFonts w:cs="Arial"/>
          <w:szCs w:val="22"/>
        </w:rPr>
        <w:t>replikovatelnosti</w:t>
      </w:r>
      <w:proofErr w:type="spellEnd"/>
      <w:r>
        <w:rPr>
          <w:rFonts w:cs="Arial"/>
          <w:szCs w:val="22"/>
        </w:rPr>
        <w:t xml:space="preserve">, ten je ovšem postaven na </w:t>
      </w:r>
      <w:r w:rsidR="00227056">
        <w:rPr>
          <w:rFonts w:cs="Arial"/>
          <w:szCs w:val="22"/>
        </w:rPr>
        <w:t>velkoobchodní ceně, která neodpovídá realitě a vychází z</w:t>
      </w:r>
      <w:r w:rsidR="00D31354">
        <w:rPr>
          <w:rFonts w:cs="Arial"/>
          <w:szCs w:val="22"/>
        </w:rPr>
        <w:t> nesmyslného alokačního modelu</w:t>
      </w:r>
      <w:r w:rsidR="00224B71">
        <w:rPr>
          <w:rFonts w:cs="Arial"/>
          <w:szCs w:val="22"/>
        </w:rPr>
        <w:t xml:space="preserve">, na což společnost O2 pravidelně upozorňuje i v rámci dat předávaných v elektronickém </w:t>
      </w:r>
      <w:r w:rsidR="005D12AB">
        <w:rPr>
          <w:rFonts w:cs="Arial"/>
          <w:szCs w:val="22"/>
        </w:rPr>
        <w:t>sběru dat</w:t>
      </w:r>
      <w:r w:rsidR="00227056">
        <w:rPr>
          <w:rFonts w:cs="Arial"/>
          <w:szCs w:val="22"/>
        </w:rPr>
        <w:t>.</w:t>
      </w:r>
      <w:r w:rsidR="00E81225">
        <w:rPr>
          <w:rFonts w:cs="Arial"/>
          <w:szCs w:val="22"/>
        </w:rPr>
        <w:t xml:space="preserve"> Výsledkem je, že ČTÚ kalkuluje s vyšší jednotkovou </w:t>
      </w:r>
      <w:r w:rsidR="00C65CA7">
        <w:rPr>
          <w:rFonts w:cs="Arial"/>
          <w:szCs w:val="22"/>
        </w:rPr>
        <w:t xml:space="preserve">velkoobchodní </w:t>
      </w:r>
      <w:r w:rsidR="00E81225">
        <w:rPr>
          <w:rFonts w:cs="Arial"/>
          <w:szCs w:val="22"/>
        </w:rPr>
        <w:t xml:space="preserve">cenou za MB </w:t>
      </w:r>
      <w:r w:rsidR="00C65CA7">
        <w:rPr>
          <w:rFonts w:cs="Arial"/>
          <w:szCs w:val="22"/>
        </w:rPr>
        <w:t xml:space="preserve">v roce 2020 oproti roku 2019, což je v realitě zjevný nesmysl. </w:t>
      </w:r>
      <w:r w:rsidR="004176D7" w:rsidRPr="004176D7">
        <w:rPr>
          <w:rFonts w:cs="Arial"/>
          <w:b/>
          <w:bCs/>
          <w:szCs w:val="22"/>
        </w:rPr>
        <w:t xml:space="preserve">Test </w:t>
      </w:r>
      <w:proofErr w:type="spellStart"/>
      <w:r w:rsidR="004176D7" w:rsidRPr="004176D7">
        <w:rPr>
          <w:rFonts w:cs="Arial"/>
          <w:b/>
          <w:bCs/>
          <w:szCs w:val="22"/>
        </w:rPr>
        <w:t>replikovatelnosti</w:t>
      </w:r>
      <w:proofErr w:type="spellEnd"/>
      <w:r w:rsidR="004176D7" w:rsidRPr="004176D7">
        <w:rPr>
          <w:rFonts w:cs="Arial"/>
          <w:b/>
          <w:bCs/>
          <w:szCs w:val="22"/>
        </w:rPr>
        <w:t xml:space="preserve"> je tak postaven na nereálných vstupech a jako takový nemá absolutně žádnou vypovídající hodnotu.</w:t>
      </w:r>
    </w:p>
    <w:p w14:paraId="4B24BB13" w14:textId="605A9245" w:rsidR="003147FE" w:rsidRDefault="00275F33" w:rsidP="00FB48AF">
      <w:pPr>
        <w:ind w:left="357"/>
        <w:rPr>
          <w:rFonts w:cs="Arial"/>
          <w:b/>
          <w:bCs/>
          <w:szCs w:val="22"/>
        </w:rPr>
      </w:pPr>
      <w:r>
        <w:rPr>
          <w:rFonts w:cs="Arial"/>
          <w:szCs w:val="22"/>
        </w:rPr>
        <w:t xml:space="preserve">Dále ČTÚ argumentuje, že </w:t>
      </w:r>
      <w:r w:rsidR="007C26E9">
        <w:rPr>
          <w:rFonts w:cs="Arial"/>
          <w:szCs w:val="22"/>
        </w:rPr>
        <w:t>dle jeho analýzy nebude národní roaming implementován dříve než na konci roku 2024</w:t>
      </w:r>
      <w:r w:rsidR="00AE503E">
        <w:rPr>
          <w:rFonts w:cs="Arial"/>
          <w:szCs w:val="22"/>
        </w:rPr>
        <w:t xml:space="preserve">, </w:t>
      </w:r>
      <w:r w:rsidR="003F2543">
        <w:rPr>
          <w:rFonts w:cs="Arial"/>
          <w:szCs w:val="22"/>
        </w:rPr>
        <w:t>v</w:t>
      </w:r>
      <w:r w:rsidR="003F2543" w:rsidRPr="00242642">
        <w:rPr>
          <w:rFonts w:cs="Arial"/>
          <w:szCs w:val="22"/>
        </w:rPr>
        <w:t xml:space="preserve"> kapitole 3.2 </w:t>
      </w:r>
      <w:r w:rsidR="003F2543">
        <w:rPr>
          <w:rFonts w:cs="Arial"/>
          <w:szCs w:val="22"/>
        </w:rPr>
        <w:t xml:space="preserve">analýzy </w:t>
      </w:r>
      <w:r w:rsidR="003F2543" w:rsidRPr="00242642">
        <w:rPr>
          <w:rFonts w:cs="Arial"/>
          <w:szCs w:val="22"/>
        </w:rPr>
        <w:t>pak dokonce hovoří o roce 2025. Nepředkládá</w:t>
      </w:r>
      <w:r w:rsidR="003F2543">
        <w:rPr>
          <w:rFonts w:cs="Arial"/>
          <w:szCs w:val="22"/>
        </w:rPr>
        <w:t xml:space="preserve"> však v analýze žádné relevantní argumenty či podklad pro tato tvrzení, a naopak předkládá chybné informace. A</w:t>
      </w:r>
      <w:r w:rsidR="00AE503E">
        <w:rPr>
          <w:rFonts w:cs="Arial"/>
          <w:szCs w:val="22"/>
        </w:rPr>
        <w:t xml:space="preserve"> to navzdory </w:t>
      </w:r>
      <w:r w:rsidR="000E74EE">
        <w:rPr>
          <w:rFonts w:cs="Arial"/>
          <w:szCs w:val="22"/>
        </w:rPr>
        <w:t>zcela opačným prohlášením, které stávající vedení ČTÚ předkládalo v období výběrového řízení na kmitočty v pásmu 700 a 3500 MHz</w:t>
      </w:r>
      <w:r w:rsidR="007C26E9">
        <w:rPr>
          <w:rFonts w:cs="Arial"/>
          <w:szCs w:val="22"/>
        </w:rPr>
        <w:t>.</w:t>
      </w:r>
      <w:r w:rsidR="007C26E9">
        <w:rPr>
          <w:rFonts w:cs="Arial"/>
          <w:b/>
          <w:bCs/>
          <w:szCs w:val="22"/>
        </w:rPr>
        <w:t xml:space="preserve"> </w:t>
      </w:r>
      <w:r w:rsidR="00DF2233" w:rsidRPr="00264784">
        <w:rPr>
          <w:rFonts w:cs="Arial"/>
          <w:b/>
          <w:bCs/>
          <w:szCs w:val="22"/>
        </w:rPr>
        <w:t>Více k tomuto bodu v připomínce k části C.8.</w:t>
      </w:r>
    </w:p>
    <w:p w14:paraId="38ECDA9B" w14:textId="42C1877A" w:rsidR="0039121A" w:rsidRDefault="00066AE9" w:rsidP="00FB48AF">
      <w:pPr>
        <w:ind w:left="357"/>
        <w:rPr>
          <w:rFonts w:cs="Arial"/>
          <w:szCs w:val="22"/>
        </w:rPr>
      </w:pPr>
      <w:r>
        <w:rPr>
          <w:rFonts w:cs="Arial"/>
          <w:szCs w:val="22"/>
        </w:rPr>
        <w:t>ČTÚ n</w:t>
      </w:r>
      <w:r w:rsidR="0039121A" w:rsidRPr="0039121A">
        <w:rPr>
          <w:rFonts w:cs="Arial"/>
          <w:szCs w:val="22"/>
        </w:rPr>
        <w:t xml:space="preserve">akonec </w:t>
      </w:r>
      <w:r w:rsidR="007C4964">
        <w:rPr>
          <w:rFonts w:cs="Arial"/>
          <w:szCs w:val="22"/>
        </w:rPr>
        <w:t xml:space="preserve">zpochybňuje </w:t>
      </w:r>
      <w:r w:rsidR="00A061C8">
        <w:rPr>
          <w:rFonts w:cs="Arial"/>
          <w:szCs w:val="22"/>
        </w:rPr>
        <w:t>fungování povinných velkoobchodních nabídek,</w:t>
      </w:r>
      <w:r w:rsidR="009A033A">
        <w:rPr>
          <w:rFonts w:cs="Arial"/>
          <w:szCs w:val="22"/>
        </w:rPr>
        <w:t xml:space="preserve"> jejichž povinnost byla nejen </w:t>
      </w:r>
      <w:r w:rsidR="006E2622">
        <w:rPr>
          <w:rFonts w:cs="Arial"/>
          <w:szCs w:val="22"/>
        </w:rPr>
        <w:t xml:space="preserve">že </w:t>
      </w:r>
      <w:r w:rsidR="009A033A">
        <w:rPr>
          <w:rFonts w:cs="Arial"/>
          <w:szCs w:val="22"/>
        </w:rPr>
        <w:t>stanovena ČTÚ</w:t>
      </w:r>
      <w:r>
        <w:rPr>
          <w:rFonts w:cs="Arial"/>
          <w:szCs w:val="22"/>
        </w:rPr>
        <w:t xml:space="preserve"> (naposledy v pravidlech aukce pro kmitočty 700 a 3500 MHz v roce 2021)</w:t>
      </w:r>
      <w:r w:rsidR="009A033A">
        <w:rPr>
          <w:rFonts w:cs="Arial"/>
          <w:szCs w:val="22"/>
        </w:rPr>
        <w:t xml:space="preserve">, ale zároveň </w:t>
      </w:r>
      <w:r w:rsidR="006E2622">
        <w:rPr>
          <w:rFonts w:cs="Arial"/>
          <w:szCs w:val="22"/>
        </w:rPr>
        <w:t>je ze strany ČTÚ pravidelně sledováno plnění jejich cenové regulace (</w:t>
      </w:r>
      <w:r w:rsidR="00FF38F3">
        <w:rPr>
          <w:rFonts w:cs="Arial"/>
          <w:szCs w:val="22"/>
        </w:rPr>
        <w:t>zákaz stlačování marží</w:t>
      </w:r>
      <w:r w:rsidR="006E2622">
        <w:rPr>
          <w:rFonts w:cs="Arial"/>
          <w:szCs w:val="22"/>
        </w:rPr>
        <w:t>)</w:t>
      </w:r>
      <w:r w:rsidR="00D85F85">
        <w:rPr>
          <w:rFonts w:cs="Arial"/>
          <w:szCs w:val="22"/>
        </w:rPr>
        <w:t xml:space="preserve">, což jde nad rámec přinejmenším většiny zemí EU. </w:t>
      </w:r>
      <w:r w:rsidR="007D5A45">
        <w:rPr>
          <w:rFonts w:cs="Arial"/>
          <w:szCs w:val="22"/>
        </w:rPr>
        <w:t xml:space="preserve">V souladu </w:t>
      </w:r>
      <w:r w:rsidR="007D5A45">
        <w:rPr>
          <w:rFonts w:cs="Arial"/>
          <w:szCs w:val="22"/>
        </w:rPr>
        <w:lastRenderedPageBreak/>
        <w:t xml:space="preserve">s metodikou </w:t>
      </w:r>
      <w:r w:rsidR="00FF38F3">
        <w:rPr>
          <w:rFonts w:cs="Arial"/>
          <w:szCs w:val="22"/>
        </w:rPr>
        <w:t>zákazu stlačování marží</w:t>
      </w:r>
      <w:r w:rsidR="007D5A45">
        <w:rPr>
          <w:rFonts w:cs="Arial"/>
          <w:szCs w:val="22"/>
        </w:rPr>
        <w:t xml:space="preserve"> t</w:t>
      </w:r>
      <w:r w:rsidR="00D85F85">
        <w:rPr>
          <w:rFonts w:cs="Arial"/>
          <w:szCs w:val="22"/>
        </w:rPr>
        <w:t>yto ceny vychází z</w:t>
      </w:r>
      <w:r w:rsidR="007D5A45">
        <w:rPr>
          <w:rFonts w:cs="Arial"/>
          <w:szCs w:val="22"/>
        </w:rPr>
        <w:t xml:space="preserve"> konečných </w:t>
      </w:r>
      <w:r w:rsidR="00BF7CA9">
        <w:rPr>
          <w:rFonts w:cs="Arial"/>
          <w:szCs w:val="22"/>
        </w:rPr>
        <w:t>maloobchodních cen operátorů a zahrnují jak poskytované služby pro domácnosti, tak pro firemní zákazníky.</w:t>
      </w:r>
    </w:p>
    <w:p w14:paraId="39EC5A04" w14:textId="1D859095" w:rsidR="00FB1945" w:rsidRPr="0039121A" w:rsidRDefault="000F5794" w:rsidP="00FB48AF">
      <w:pPr>
        <w:ind w:left="357"/>
        <w:rPr>
          <w:rFonts w:cs="Arial"/>
          <w:szCs w:val="22"/>
        </w:rPr>
      </w:pPr>
      <w:r>
        <w:rPr>
          <w:rFonts w:cs="Arial"/>
          <w:szCs w:val="22"/>
        </w:rPr>
        <w:t xml:space="preserve">Na trhu přitom existuje </w:t>
      </w:r>
      <w:r w:rsidR="0059029E">
        <w:rPr>
          <w:rFonts w:cs="Arial"/>
          <w:szCs w:val="22"/>
        </w:rPr>
        <w:t xml:space="preserve">bezprecedentní počet MVNO, přičemž každý rok přichází desítky nových MVNO, ať už prostřednictvím obchodní spolupráce s MNO, tak prostřednictvím MVNE. </w:t>
      </w:r>
      <w:r w:rsidR="00BC56C5">
        <w:rPr>
          <w:rFonts w:cs="Arial"/>
          <w:szCs w:val="22"/>
        </w:rPr>
        <w:t xml:space="preserve">Z dat, která společnost O2 předává ČTÚ přitom plyne, že dochází k růstu </w:t>
      </w:r>
      <w:r w:rsidR="00FF740B">
        <w:rPr>
          <w:rFonts w:cs="Arial"/>
          <w:szCs w:val="22"/>
        </w:rPr>
        <w:t xml:space="preserve">v jeho síti fungujících MVNO. </w:t>
      </w:r>
      <w:r w:rsidR="00FF740B" w:rsidRPr="00D634AA">
        <w:rPr>
          <w:rFonts w:cs="Arial"/>
          <w:b/>
          <w:bCs/>
          <w:szCs w:val="22"/>
        </w:rPr>
        <w:t xml:space="preserve">Není tak pochyb, že </w:t>
      </w:r>
      <w:r w:rsidR="00D634AA" w:rsidRPr="00D634AA">
        <w:rPr>
          <w:rFonts w:cs="Arial"/>
          <w:b/>
          <w:bCs/>
          <w:szCs w:val="22"/>
        </w:rPr>
        <w:t>bariéry vstupu na trh neexistují</w:t>
      </w:r>
      <w:r w:rsidR="00B22EE2">
        <w:rPr>
          <w:rFonts w:cs="Arial"/>
          <w:b/>
          <w:bCs/>
          <w:szCs w:val="22"/>
        </w:rPr>
        <w:t xml:space="preserve"> a 1. kritérium není splněno</w:t>
      </w:r>
      <w:r w:rsidR="00D634AA" w:rsidRPr="00D634AA">
        <w:rPr>
          <w:rFonts w:cs="Arial"/>
          <w:b/>
          <w:bCs/>
          <w:szCs w:val="22"/>
        </w:rPr>
        <w:t>.</w:t>
      </w:r>
    </w:p>
    <w:p w14:paraId="61AB336A" w14:textId="53B923BB" w:rsidR="0033798F" w:rsidRDefault="00C57EEB" w:rsidP="00D01FC7">
      <w:pPr>
        <w:ind w:left="357"/>
        <w:rPr>
          <w:rFonts w:cs="Arial"/>
          <w:szCs w:val="22"/>
        </w:rPr>
      </w:pPr>
      <w:r w:rsidRPr="009C13AC">
        <w:rPr>
          <w:rFonts w:cs="Arial"/>
          <w:b/>
          <w:bCs/>
          <w:szCs w:val="22"/>
        </w:rPr>
        <w:t xml:space="preserve">Ani ve druhém kritériu ČTÚ nepřináší </w:t>
      </w:r>
      <w:r w:rsidR="00183BC1" w:rsidRPr="009C13AC">
        <w:rPr>
          <w:rFonts w:cs="Arial"/>
          <w:b/>
          <w:bCs/>
          <w:szCs w:val="22"/>
        </w:rPr>
        <w:t xml:space="preserve">zásadní </w:t>
      </w:r>
      <w:r w:rsidRPr="009C13AC">
        <w:rPr>
          <w:rFonts w:cs="Arial"/>
          <w:b/>
          <w:bCs/>
          <w:szCs w:val="22"/>
        </w:rPr>
        <w:t xml:space="preserve">nové myšlenky a dopouští se </w:t>
      </w:r>
      <w:r w:rsidR="006B76E4" w:rsidRPr="009C13AC">
        <w:rPr>
          <w:rFonts w:cs="Arial"/>
          <w:b/>
          <w:bCs/>
          <w:szCs w:val="22"/>
        </w:rPr>
        <w:t xml:space="preserve">nadále </w:t>
      </w:r>
      <w:r w:rsidR="008A4996" w:rsidRPr="009C13AC">
        <w:rPr>
          <w:rFonts w:cs="Arial"/>
          <w:b/>
          <w:bCs/>
          <w:szCs w:val="22"/>
        </w:rPr>
        <w:t>stejných pochybení</w:t>
      </w:r>
      <w:r w:rsidR="00D01FC7">
        <w:rPr>
          <w:rFonts w:cs="Arial"/>
          <w:szCs w:val="22"/>
        </w:rPr>
        <w:t>, jak sám ČTÚ přiznává</w:t>
      </w:r>
      <w:r w:rsidR="002C1D3B">
        <w:rPr>
          <w:rFonts w:cs="Arial"/>
          <w:szCs w:val="22"/>
        </w:rPr>
        <w:t>:</w:t>
      </w:r>
      <w:r w:rsidR="00D01FC7">
        <w:rPr>
          <w:rFonts w:cs="Arial"/>
          <w:szCs w:val="22"/>
        </w:rPr>
        <w:t xml:space="preserve"> </w:t>
      </w:r>
      <w:r w:rsidR="00D01FC7" w:rsidRPr="00D01FC7">
        <w:rPr>
          <w:rFonts w:cs="Arial"/>
          <w:i/>
          <w:iCs/>
          <w:szCs w:val="22"/>
        </w:rPr>
        <w:t>„</w:t>
      </w:r>
      <w:r w:rsidR="002C1D3B">
        <w:rPr>
          <w:rFonts w:cs="Arial"/>
          <w:i/>
          <w:iCs/>
          <w:szCs w:val="22"/>
        </w:rPr>
        <w:t xml:space="preserve">(…) </w:t>
      </w:r>
      <w:r w:rsidR="00D01FC7" w:rsidRPr="00D01FC7">
        <w:rPr>
          <w:rFonts w:cs="Arial"/>
          <w:i/>
          <w:iCs/>
          <w:szCs w:val="22"/>
        </w:rPr>
        <w:t>nedoplnil a převzal z původní analýzy předložené Komisi v roce 2021</w:t>
      </w:r>
      <w:r w:rsidR="002C1D3B">
        <w:rPr>
          <w:rFonts w:cs="Arial"/>
          <w:i/>
          <w:iCs/>
          <w:szCs w:val="22"/>
        </w:rPr>
        <w:t>.</w:t>
      </w:r>
      <w:r w:rsidR="00D01FC7" w:rsidRPr="00D01FC7">
        <w:rPr>
          <w:rFonts w:cs="Arial"/>
          <w:i/>
          <w:iCs/>
          <w:szCs w:val="22"/>
        </w:rPr>
        <w:t>“</w:t>
      </w:r>
      <w:r w:rsidR="008A4996">
        <w:rPr>
          <w:rFonts w:cs="Arial"/>
          <w:szCs w:val="22"/>
        </w:rPr>
        <w:t xml:space="preserve"> </w:t>
      </w:r>
      <w:r w:rsidR="002C1D3B">
        <w:rPr>
          <w:rFonts w:cs="Arial"/>
          <w:szCs w:val="22"/>
        </w:rPr>
        <w:t>Plnění kritéria dokládá výsledky</w:t>
      </w:r>
      <w:r w:rsidR="008A4996">
        <w:rPr>
          <w:rFonts w:cs="Arial"/>
          <w:szCs w:val="22"/>
        </w:rPr>
        <w:t xml:space="preserve"> </w:t>
      </w:r>
      <w:proofErr w:type="spellStart"/>
      <w:r w:rsidR="00CA2975" w:rsidRPr="00CA2975">
        <w:rPr>
          <w:rFonts w:cs="Arial"/>
          <w:szCs w:val="22"/>
        </w:rPr>
        <w:t>Herfindahl</w:t>
      </w:r>
      <w:r w:rsidR="00CA2975">
        <w:rPr>
          <w:rFonts w:cs="Arial"/>
          <w:szCs w:val="22"/>
        </w:rPr>
        <w:t>ova</w:t>
      </w:r>
      <w:proofErr w:type="spellEnd"/>
      <w:r w:rsidR="00CA2975" w:rsidRPr="00CA2975">
        <w:rPr>
          <w:rFonts w:cs="Arial"/>
          <w:szCs w:val="22"/>
        </w:rPr>
        <w:t xml:space="preserve"> index</w:t>
      </w:r>
      <w:r w:rsidR="00CA2975">
        <w:rPr>
          <w:rFonts w:cs="Arial"/>
          <w:szCs w:val="22"/>
        </w:rPr>
        <w:t>u</w:t>
      </w:r>
      <w:r w:rsidR="002C1D3B">
        <w:rPr>
          <w:rFonts w:cs="Arial"/>
          <w:szCs w:val="22"/>
        </w:rPr>
        <w:t xml:space="preserve">, který je v </w:t>
      </w:r>
      <w:r w:rsidR="00CA2975">
        <w:rPr>
          <w:rFonts w:cs="Arial"/>
          <w:szCs w:val="22"/>
        </w:rPr>
        <w:t>síťovém odvětví</w:t>
      </w:r>
      <w:r w:rsidR="002C1D3B">
        <w:rPr>
          <w:rFonts w:cs="Arial"/>
          <w:szCs w:val="22"/>
        </w:rPr>
        <w:t xml:space="preserve"> nepoužitelný, jak již společnost O2 v minulosti upozorňovala</w:t>
      </w:r>
      <w:r w:rsidR="00CA2975">
        <w:rPr>
          <w:rFonts w:cs="Arial"/>
          <w:szCs w:val="22"/>
        </w:rPr>
        <w:t>.</w:t>
      </w:r>
      <w:r w:rsidR="002C1D3B">
        <w:rPr>
          <w:rStyle w:val="Znakapoznpodarou"/>
          <w:rFonts w:cs="Arial"/>
          <w:szCs w:val="22"/>
        </w:rPr>
        <w:footnoteReference w:id="11"/>
      </w:r>
      <w:r w:rsidR="00E440B5">
        <w:rPr>
          <w:rFonts w:cs="Arial"/>
          <w:szCs w:val="22"/>
        </w:rPr>
        <w:t xml:space="preserve"> </w:t>
      </w:r>
      <w:r w:rsidR="00327E05">
        <w:rPr>
          <w:rFonts w:cs="Arial"/>
          <w:szCs w:val="22"/>
        </w:rPr>
        <w:t xml:space="preserve">O snižující se konkurenci na trhu přitom nesvědčí ani jeho vývoj, který se v posledních letech </w:t>
      </w:r>
      <w:r w:rsidR="003F4FCE">
        <w:rPr>
          <w:rFonts w:cs="Arial"/>
          <w:szCs w:val="22"/>
        </w:rPr>
        <w:t>buď snižuje nebo osciluje kolem stejných hodnot.</w:t>
      </w:r>
      <w:r w:rsidR="008E0FD3">
        <w:rPr>
          <w:rFonts w:cs="Arial"/>
          <w:szCs w:val="22"/>
        </w:rPr>
        <w:t xml:space="preserve"> </w:t>
      </w:r>
      <w:r w:rsidR="008E0FD3" w:rsidRPr="00755EB9">
        <w:rPr>
          <w:rFonts w:cs="Arial"/>
          <w:b/>
          <w:bCs/>
          <w:szCs w:val="22"/>
        </w:rPr>
        <w:t xml:space="preserve">Není taktéž pravdou, že by </w:t>
      </w:r>
      <w:r w:rsidR="002C299C" w:rsidRPr="00755EB9">
        <w:rPr>
          <w:rFonts w:cs="Arial"/>
          <w:b/>
          <w:bCs/>
          <w:szCs w:val="22"/>
        </w:rPr>
        <w:t xml:space="preserve">tržní podíly jednotlivých operátorů byly stabilní, což prokazuje jak jejich meziroční změny často v řádu vysokých jednotek %, tak </w:t>
      </w:r>
      <w:r w:rsidR="001639ED" w:rsidRPr="00755EB9">
        <w:rPr>
          <w:rFonts w:cs="Arial"/>
          <w:b/>
          <w:bCs/>
          <w:szCs w:val="22"/>
        </w:rPr>
        <w:t xml:space="preserve">počet přenesených čísel, který </w:t>
      </w:r>
      <w:r w:rsidR="00755EB9" w:rsidRPr="00755EB9">
        <w:rPr>
          <w:rFonts w:cs="Arial"/>
          <w:b/>
          <w:bCs/>
          <w:szCs w:val="22"/>
        </w:rPr>
        <w:t>v roce 2021 činil 525 200 přenosů</w:t>
      </w:r>
      <w:r w:rsidR="00755EB9" w:rsidRPr="00755EB9">
        <w:rPr>
          <w:rStyle w:val="Znakapoznpodarou"/>
          <w:rFonts w:cs="Arial"/>
          <w:b/>
          <w:bCs/>
          <w:szCs w:val="22"/>
        </w:rPr>
        <w:footnoteReference w:id="12"/>
      </w:r>
      <w:r w:rsidR="00755EB9" w:rsidRPr="00755EB9">
        <w:rPr>
          <w:rFonts w:cs="Arial"/>
          <w:b/>
          <w:bCs/>
          <w:szCs w:val="22"/>
        </w:rPr>
        <w:t>. To svědčí o velmi vysoké soutěžní dynamice mezi jednotlivým tržními subjekty.</w:t>
      </w:r>
      <w:r w:rsidR="00C54332">
        <w:rPr>
          <w:rFonts w:cs="Arial"/>
          <w:b/>
          <w:bCs/>
          <w:szCs w:val="22"/>
        </w:rPr>
        <w:t xml:space="preserve"> </w:t>
      </w:r>
      <w:r w:rsidR="0063040D">
        <w:rPr>
          <w:rFonts w:cs="Arial"/>
          <w:szCs w:val="22"/>
        </w:rPr>
        <w:t xml:space="preserve">Dále ČTÚ </w:t>
      </w:r>
      <w:r w:rsidR="004F2DF8">
        <w:rPr>
          <w:rFonts w:cs="Arial"/>
          <w:szCs w:val="22"/>
        </w:rPr>
        <w:t xml:space="preserve">mylně tvrdí, že jeho analýza prokázala, že se MVNO nedokázali etablovat v segmentu tarifů nad 300 Kč. </w:t>
      </w:r>
      <w:r w:rsidR="00816386">
        <w:rPr>
          <w:rFonts w:cs="Arial"/>
          <w:szCs w:val="22"/>
        </w:rPr>
        <w:t xml:space="preserve">„Analýza“ přitom nic takového neprokázala, když se soustředí pouze na počet nabízených tarifů v dané cenové </w:t>
      </w:r>
      <w:r w:rsidR="00DF7287">
        <w:rPr>
          <w:rFonts w:cs="Arial"/>
          <w:szCs w:val="22"/>
        </w:rPr>
        <w:t xml:space="preserve">hladině. Je pravdou, že velká část MVNO se soustředí na </w:t>
      </w:r>
      <w:r w:rsidR="00416BB6">
        <w:rPr>
          <w:rFonts w:cs="Arial"/>
          <w:szCs w:val="22"/>
        </w:rPr>
        <w:t xml:space="preserve">část trhu s nižší cenovou hladinou, kde spatřuje vyšší potenciál pro </w:t>
      </w:r>
      <w:r w:rsidR="00430BEA">
        <w:rPr>
          <w:rFonts w:cs="Arial"/>
          <w:szCs w:val="22"/>
        </w:rPr>
        <w:t xml:space="preserve">své podnikání. Není však pravdou, že by produkty ve vyšších cenových hladinách, respektive o vyšším objemu dat nebyly </w:t>
      </w:r>
      <w:r w:rsidR="00543B52">
        <w:rPr>
          <w:rFonts w:cs="Arial"/>
          <w:szCs w:val="22"/>
        </w:rPr>
        <w:t>ze strany MVNO nabízeny, jak je ČTÚ dob</w:t>
      </w:r>
      <w:r w:rsidR="00066AE9">
        <w:rPr>
          <w:rFonts w:cs="Arial"/>
          <w:szCs w:val="22"/>
        </w:rPr>
        <w:t>ře</w:t>
      </w:r>
      <w:r w:rsidR="00543B52">
        <w:rPr>
          <w:rFonts w:cs="Arial"/>
          <w:szCs w:val="22"/>
        </w:rPr>
        <w:t xml:space="preserve"> známo minimálně z provozování sr</w:t>
      </w:r>
      <w:r w:rsidR="00D23358">
        <w:rPr>
          <w:rFonts w:cs="Arial"/>
          <w:szCs w:val="22"/>
        </w:rPr>
        <w:t xml:space="preserve">ovnávacího nástroje cen a kvality a jak ukazujeme </w:t>
      </w:r>
      <w:r w:rsidR="005A560B">
        <w:rPr>
          <w:rFonts w:cs="Arial"/>
          <w:szCs w:val="22"/>
        </w:rPr>
        <w:t xml:space="preserve">při srovnání maloobchodní nabídky dále v připomínkách. </w:t>
      </w:r>
      <w:r w:rsidR="003B7E23">
        <w:rPr>
          <w:rFonts w:cs="Arial"/>
          <w:szCs w:val="22"/>
        </w:rPr>
        <w:t xml:space="preserve">Množství </w:t>
      </w:r>
      <w:r w:rsidR="00CB510C">
        <w:rPr>
          <w:rFonts w:cs="Arial"/>
          <w:szCs w:val="22"/>
        </w:rPr>
        <w:t xml:space="preserve">nově </w:t>
      </w:r>
      <w:r w:rsidR="008B5388">
        <w:rPr>
          <w:rFonts w:cs="Arial"/>
          <w:szCs w:val="22"/>
        </w:rPr>
        <w:t xml:space="preserve">vstupujících MVNO, které ČTÚ v analýze sám prezentuje a dynamika </w:t>
      </w:r>
      <w:r w:rsidR="00BB634D">
        <w:rPr>
          <w:rFonts w:cs="Arial"/>
          <w:szCs w:val="22"/>
        </w:rPr>
        <w:t xml:space="preserve">přechodů zákazníků mezi MNO a MVNO a mezi MVNO samotnými nesvědčí stanovisku ČTÚ o </w:t>
      </w:r>
      <w:r w:rsidR="00DA077F" w:rsidRPr="00DA077F">
        <w:rPr>
          <w:rFonts w:cs="Arial"/>
          <w:szCs w:val="22"/>
        </w:rPr>
        <w:t>vývoj</w:t>
      </w:r>
      <w:r w:rsidR="00DA077F">
        <w:rPr>
          <w:rFonts w:cs="Arial"/>
          <w:szCs w:val="22"/>
        </w:rPr>
        <w:t>i</w:t>
      </w:r>
      <w:r w:rsidR="00DA077F" w:rsidRPr="00DA077F">
        <w:rPr>
          <w:rFonts w:cs="Arial"/>
          <w:szCs w:val="22"/>
        </w:rPr>
        <w:t xml:space="preserve"> </w:t>
      </w:r>
      <w:r w:rsidR="00DA077F">
        <w:rPr>
          <w:rFonts w:cs="Arial"/>
          <w:szCs w:val="22"/>
        </w:rPr>
        <w:t>ne</w:t>
      </w:r>
      <w:r w:rsidR="00DA077F" w:rsidRPr="00DA077F">
        <w:rPr>
          <w:rFonts w:cs="Arial"/>
          <w:szCs w:val="22"/>
        </w:rPr>
        <w:t>směřující</w:t>
      </w:r>
      <w:r w:rsidR="00DA077F">
        <w:rPr>
          <w:rFonts w:cs="Arial"/>
          <w:szCs w:val="22"/>
        </w:rPr>
        <w:t>mu</w:t>
      </w:r>
      <w:r w:rsidR="00DA077F" w:rsidRPr="00DA077F">
        <w:rPr>
          <w:rFonts w:cs="Arial"/>
          <w:szCs w:val="22"/>
        </w:rPr>
        <w:t xml:space="preserve"> k účinné hospodářské soutěž</w:t>
      </w:r>
      <w:r w:rsidR="00DA077F">
        <w:rPr>
          <w:rFonts w:cs="Arial"/>
          <w:szCs w:val="22"/>
        </w:rPr>
        <w:t xml:space="preserve">i. </w:t>
      </w:r>
      <w:r w:rsidR="00AB0B02">
        <w:rPr>
          <w:rFonts w:cs="Arial"/>
          <w:szCs w:val="22"/>
        </w:rPr>
        <w:t xml:space="preserve">Společnost O2 má </w:t>
      </w:r>
      <w:r w:rsidR="009C4C5F">
        <w:rPr>
          <w:rFonts w:cs="Arial"/>
          <w:szCs w:val="22"/>
        </w:rPr>
        <w:t xml:space="preserve">samozřejmě </w:t>
      </w:r>
      <w:r w:rsidR="00AB0B02">
        <w:rPr>
          <w:rFonts w:cs="Arial"/>
          <w:szCs w:val="22"/>
        </w:rPr>
        <w:t xml:space="preserve">zájem uzavřít velkoobchodní </w:t>
      </w:r>
      <w:r w:rsidR="009C4C5F">
        <w:rPr>
          <w:rFonts w:cs="Arial"/>
          <w:szCs w:val="22"/>
        </w:rPr>
        <w:t>vztahy, které budou oboustranně výhodné</w:t>
      </w:r>
      <w:r w:rsidR="00666119">
        <w:rPr>
          <w:rFonts w:cs="Arial"/>
          <w:szCs w:val="22"/>
        </w:rPr>
        <w:t xml:space="preserve">, a to platilo vždy. Ve všech případech, kdy se na společnost O2 obrátila společnost </w:t>
      </w:r>
      <w:r w:rsidR="00DA1F2C">
        <w:rPr>
          <w:rFonts w:cs="Arial"/>
          <w:szCs w:val="22"/>
        </w:rPr>
        <w:t xml:space="preserve">s návrhem velkoobchodní spolupráce, byla těmto návrhům věnována </w:t>
      </w:r>
      <w:r w:rsidR="006C2B85">
        <w:rPr>
          <w:rFonts w:cs="Arial"/>
          <w:szCs w:val="22"/>
        </w:rPr>
        <w:t>náležitá podpora, o čemž svědčí úspěšné a dlouhodobé fungování všech MVNO v síti společnosti O2.</w:t>
      </w:r>
      <w:r w:rsidR="008F29AB">
        <w:rPr>
          <w:rFonts w:cs="Arial"/>
          <w:szCs w:val="22"/>
        </w:rPr>
        <w:t xml:space="preserve"> V závěru kapitoly 3.2 pak ČTÚ zkoumá vývoj efektivní poptávky a </w:t>
      </w:r>
      <w:r w:rsidR="00CD6568">
        <w:rPr>
          <w:rFonts w:cs="Arial"/>
          <w:szCs w:val="22"/>
        </w:rPr>
        <w:t xml:space="preserve">nabídky, který je ovšem postaven na alokačních klíčích dělících tržby </w:t>
      </w:r>
      <w:r w:rsidR="00FF38F3">
        <w:rPr>
          <w:rFonts w:cs="Arial"/>
          <w:szCs w:val="22"/>
        </w:rPr>
        <w:t xml:space="preserve">(z paušálně zpoplatňovaných jednou cenou společně prodávané služby volání, SMS a dat) </w:t>
      </w:r>
      <w:r w:rsidR="00CD6568">
        <w:rPr>
          <w:rFonts w:cs="Arial"/>
          <w:szCs w:val="22"/>
        </w:rPr>
        <w:t>mezi jednotlivé služby a trpí tak velkou mírou chybovosti.</w:t>
      </w:r>
      <w:r w:rsidR="0074444A">
        <w:rPr>
          <w:rFonts w:cs="Arial"/>
          <w:szCs w:val="22"/>
        </w:rPr>
        <w:t xml:space="preserve"> Není ani jasné, co se ČTÚ pokouší sdělit. </w:t>
      </w:r>
    </w:p>
    <w:p w14:paraId="1EBF11A0" w14:textId="35F8691F" w:rsidR="00327E05" w:rsidRDefault="00175311" w:rsidP="00FB48AF">
      <w:pPr>
        <w:ind w:left="357"/>
        <w:rPr>
          <w:rFonts w:cs="Arial"/>
          <w:szCs w:val="22"/>
        </w:rPr>
      </w:pPr>
      <w:r>
        <w:rPr>
          <w:rFonts w:cs="Arial"/>
          <w:szCs w:val="22"/>
        </w:rPr>
        <w:lastRenderedPageBreak/>
        <w:t xml:space="preserve">V kapitole </w:t>
      </w:r>
      <w:r w:rsidR="0033798F">
        <w:rPr>
          <w:rFonts w:cs="Arial"/>
          <w:szCs w:val="22"/>
        </w:rPr>
        <w:t xml:space="preserve">C.0 předkládá ČTÚ k druhému kritériu jiné argumenty, kterou jsou však také lehce vyvratitelné. </w:t>
      </w:r>
      <w:r w:rsidR="00EF60C1">
        <w:rPr>
          <w:rFonts w:cs="Arial"/>
          <w:szCs w:val="22"/>
        </w:rPr>
        <w:t xml:space="preserve">K cenovým srovnáním více v připomínce ke kapitolám </w:t>
      </w:r>
      <w:r w:rsidR="00B5403B">
        <w:rPr>
          <w:rFonts w:cs="Arial"/>
          <w:szCs w:val="22"/>
        </w:rPr>
        <w:t xml:space="preserve">C.3 a 2.1.7. </w:t>
      </w:r>
      <w:r w:rsidR="0074238B">
        <w:rPr>
          <w:rFonts w:cs="Arial"/>
          <w:szCs w:val="22"/>
        </w:rPr>
        <w:t xml:space="preserve">K velkoobchodní ceně </w:t>
      </w:r>
      <w:r w:rsidR="00EF268D">
        <w:rPr>
          <w:rFonts w:cs="Arial"/>
          <w:szCs w:val="22"/>
        </w:rPr>
        <w:t xml:space="preserve">a </w:t>
      </w:r>
      <w:proofErr w:type="spellStart"/>
      <w:r w:rsidR="00EF268D">
        <w:rPr>
          <w:rFonts w:cs="Arial"/>
          <w:szCs w:val="22"/>
        </w:rPr>
        <w:t>replikovatelnosti</w:t>
      </w:r>
      <w:proofErr w:type="spellEnd"/>
      <w:r w:rsidR="00EF268D">
        <w:rPr>
          <w:rFonts w:cs="Arial"/>
          <w:szCs w:val="22"/>
        </w:rPr>
        <w:t xml:space="preserve"> </w:t>
      </w:r>
      <w:r w:rsidR="0075368C">
        <w:rPr>
          <w:rFonts w:cs="Arial"/>
          <w:szCs w:val="22"/>
        </w:rPr>
        <w:t xml:space="preserve">produktů MNO </w:t>
      </w:r>
      <w:r w:rsidR="0074238B">
        <w:rPr>
          <w:rFonts w:cs="Arial"/>
          <w:szCs w:val="22"/>
        </w:rPr>
        <w:t>za data více v připomínkách ke kapitole C.</w:t>
      </w:r>
      <w:r w:rsidR="00EF268D">
        <w:rPr>
          <w:rFonts w:cs="Arial"/>
          <w:szCs w:val="22"/>
        </w:rPr>
        <w:t>6</w:t>
      </w:r>
      <w:r w:rsidR="0074238B">
        <w:rPr>
          <w:rFonts w:cs="Arial"/>
          <w:szCs w:val="22"/>
        </w:rPr>
        <w:t>.</w:t>
      </w:r>
      <w:r w:rsidR="00EF268D">
        <w:rPr>
          <w:rFonts w:cs="Arial"/>
          <w:szCs w:val="22"/>
        </w:rPr>
        <w:t xml:space="preserve"> </w:t>
      </w:r>
      <w:r w:rsidR="0074238B">
        <w:rPr>
          <w:rFonts w:cs="Arial"/>
          <w:szCs w:val="22"/>
        </w:rPr>
        <w:t xml:space="preserve"> </w:t>
      </w:r>
      <w:r w:rsidR="00C25828">
        <w:rPr>
          <w:rFonts w:cs="Arial"/>
          <w:szCs w:val="22"/>
        </w:rPr>
        <w:t xml:space="preserve">Není zřejmé, </w:t>
      </w:r>
      <w:r w:rsidR="00E33A8A">
        <w:rPr>
          <w:rFonts w:cs="Arial"/>
          <w:szCs w:val="22"/>
        </w:rPr>
        <w:t xml:space="preserve">z jakého zdroje ČTÚ čerpá, když mluví o vyšší </w:t>
      </w:r>
      <w:r w:rsidR="00756FA8">
        <w:rPr>
          <w:rFonts w:cs="Arial"/>
          <w:szCs w:val="22"/>
        </w:rPr>
        <w:t xml:space="preserve">dynamice trhu v EU. K hodnocení ziskovosti se vyjadřujeme v následující připomínce. </w:t>
      </w:r>
      <w:r w:rsidR="00FF38F3">
        <w:rPr>
          <w:rFonts w:cs="Arial"/>
          <w:szCs w:val="22"/>
        </w:rPr>
        <w:t>Co</w:t>
      </w:r>
      <w:r w:rsidR="00A85A18">
        <w:rPr>
          <w:rFonts w:cs="Arial"/>
          <w:szCs w:val="22"/>
        </w:rPr>
        <w:t xml:space="preserve"> se týče elasticity poptávky, ČTÚ na s. 55 </w:t>
      </w:r>
      <w:r w:rsidR="00066AE9">
        <w:rPr>
          <w:rFonts w:cs="Arial"/>
          <w:szCs w:val="22"/>
        </w:rPr>
        <w:t xml:space="preserve">analýzy </w:t>
      </w:r>
      <w:r w:rsidR="00A85A18">
        <w:rPr>
          <w:rFonts w:cs="Arial"/>
          <w:szCs w:val="22"/>
        </w:rPr>
        <w:t xml:space="preserve">prezentuje, že elasticita je </w:t>
      </w:r>
      <w:r w:rsidR="002E0A68">
        <w:rPr>
          <w:rFonts w:cs="Arial"/>
          <w:szCs w:val="22"/>
        </w:rPr>
        <w:t xml:space="preserve">velmi </w:t>
      </w:r>
      <w:r w:rsidR="00A85A18">
        <w:rPr>
          <w:rFonts w:cs="Arial"/>
          <w:szCs w:val="22"/>
        </w:rPr>
        <w:t xml:space="preserve">nekonzistentní a </w:t>
      </w:r>
      <w:r w:rsidR="002E0A68">
        <w:rPr>
          <w:rFonts w:cs="Arial"/>
          <w:szCs w:val="22"/>
        </w:rPr>
        <w:t xml:space="preserve">ve sledovaném období se střídá elastická i neelastická poptávka. </w:t>
      </w:r>
      <w:r w:rsidR="0010452E">
        <w:rPr>
          <w:rFonts w:cs="Arial"/>
          <w:szCs w:val="22"/>
        </w:rPr>
        <w:t xml:space="preserve">Více k tomuto tvrzení také v připomínkách ke kapitole C.7. </w:t>
      </w:r>
      <w:r w:rsidR="002E0A68">
        <w:rPr>
          <w:rFonts w:cs="Arial"/>
          <w:szCs w:val="22"/>
        </w:rPr>
        <w:t>Tvrzení, které ke kritériu 2 ČTÚ předkládá je tak nepravdivé.</w:t>
      </w:r>
      <w:r w:rsidR="00B23387">
        <w:rPr>
          <w:rFonts w:cs="Arial"/>
          <w:szCs w:val="22"/>
        </w:rPr>
        <w:t xml:space="preserve"> Vývoj cenové hladiny a dynamika přechodu zákazníků mezi MNO vzájemně a mezi MNO a </w:t>
      </w:r>
      <w:proofErr w:type="gramStart"/>
      <w:r w:rsidR="00B23387">
        <w:rPr>
          <w:rFonts w:cs="Arial"/>
          <w:szCs w:val="22"/>
        </w:rPr>
        <w:t>MVNO  naopak</w:t>
      </w:r>
      <w:proofErr w:type="gramEnd"/>
      <w:r w:rsidR="00B23387">
        <w:rPr>
          <w:rFonts w:cs="Arial"/>
          <w:szCs w:val="22"/>
        </w:rPr>
        <w:t xml:space="preserve"> svědčí o </w:t>
      </w:r>
      <w:r w:rsidR="00C6719F">
        <w:rPr>
          <w:rFonts w:cs="Arial"/>
          <w:szCs w:val="22"/>
        </w:rPr>
        <w:t>účinné hospodářské soutěži, která navíc nesměřuje směrem k jejímu snižování.</w:t>
      </w:r>
    </w:p>
    <w:p w14:paraId="5B859572" w14:textId="6C689174" w:rsidR="0045268B" w:rsidRDefault="0045268B" w:rsidP="00FB48AF">
      <w:pPr>
        <w:ind w:left="357"/>
        <w:rPr>
          <w:rFonts w:cs="Arial"/>
          <w:szCs w:val="22"/>
        </w:rPr>
      </w:pPr>
      <w:r>
        <w:rPr>
          <w:rFonts w:cs="Arial"/>
          <w:szCs w:val="22"/>
        </w:rPr>
        <w:t xml:space="preserve">Je přitom zřejmé, že trh nadále </w:t>
      </w:r>
      <w:r w:rsidRPr="00B22EE2">
        <w:rPr>
          <w:rFonts w:cs="Arial"/>
          <w:b/>
          <w:bCs/>
          <w:szCs w:val="22"/>
        </w:rPr>
        <w:t xml:space="preserve">směřuje </w:t>
      </w:r>
      <w:r>
        <w:rPr>
          <w:rFonts w:cs="Arial"/>
          <w:szCs w:val="22"/>
        </w:rPr>
        <w:t>k efektivní konkurenci. Maloobchodní i velkoobchodní ceny klesají</w:t>
      </w:r>
      <w:r w:rsidR="00FD2A3B">
        <w:rPr>
          <w:rFonts w:cs="Arial"/>
          <w:szCs w:val="22"/>
        </w:rPr>
        <w:t xml:space="preserve"> (i podle </w:t>
      </w:r>
      <w:r w:rsidR="004242DB">
        <w:rPr>
          <w:rFonts w:cs="Arial"/>
          <w:szCs w:val="22"/>
        </w:rPr>
        <w:t>špatných dat ČTÚ o 75 % za 5 let)</w:t>
      </w:r>
      <w:r w:rsidR="00DD3727">
        <w:rPr>
          <w:rFonts w:cs="Arial"/>
          <w:szCs w:val="22"/>
        </w:rPr>
        <w:t>, jak dokazují například velkoobchodní smlouvy s MVNO.</w:t>
      </w:r>
      <w:r w:rsidR="00B22EE2">
        <w:rPr>
          <w:rFonts w:cs="Arial"/>
          <w:szCs w:val="22"/>
        </w:rPr>
        <w:t xml:space="preserve"> </w:t>
      </w:r>
      <w:r w:rsidR="00B22EE2" w:rsidRPr="00B22EE2">
        <w:rPr>
          <w:rFonts w:cs="Arial"/>
          <w:b/>
          <w:bCs/>
          <w:szCs w:val="22"/>
        </w:rPr>
        <w:t>Ani druhé kritérium tak není splněno.</w:t>
      </w:r>
    </w:p>
    <w:p w14:paraId="1646476C" w14:textId="46FF3589" w:rsidR="003F345D" w:rsidRDefault="00EF0DB6" w:rsidP="00FB48AF">
      <w:pPr>
        <w:ind w:left="357"/>
        <w:rPr>
          <w:rFonts w:cs="Arial"/>
          <w:szCs w:val="22"/>
        </w:rPr>
      </w:pPr>
      <w:r>
        <w:rPr>
          <w:rFonts w:cs="Arial"/>
          <w:szCs w:val="22"/>
        </w:rPr>
        <w:t>V návaznosti na stanovisko Evropské komise a BEREC se ČTÚ snaží prokázat plnění třetího kritéria</w:t>
      </w:r>
      <w:r w:rsidR="0038714E">
        <w:rPr>
          <w:rFonts w:cs="Arial"/>
          <w:szCs w:val="22"/>
        </w:rPr>
        <w:t xml:space="preserve">. </w:t>
      </w:r>
      <w:r w:rsidR="0038714E" w:rsidRPr="00DD7782">
        <w:rPr>
          <w:rFonts w:cs="Arial"/>
          <w:b/>
          <w:bCs/>
          <w:szCs w:val="22"/>
        </w:rPr>
        <w:t xml:space="preserve">Nicméně z doplněné argumentace podle nás nevyplývá, proč </w:t>
      </w:r>
      <w:r w:rsidR="00302096" w:rsidRPr="00DD7782">
        <w:rPr>
          <w:rFonts w:cs="Arial"/>
          <w:b/>
          <w:bCs/>
          <w:szCs w:val="22"/>
        </w:rPr>
        <w:t xml:space="preserve">podle ČTÚ </w:t>
      </w:r>
      <w:r w:rsidR="00804CE7" w:rsidRPr="00DD7782">
        <w:rPr>
          <w:rFonts w:cs="Arial"/>
          <w:b/>
          <w:bCs/>
          <w:szCs w:val="22"/>
        </w:rPr>
        <w:t xml:space="preserve">hrozba </w:t>
      </w:r>
      <w:r w:rsidR="00510D96" w:rsidRPr="00DD7782">
        <w:rPr>
          <w:rFonts w:cs="Arial"/>
          <w:b/>
          <w:bCs/>
          <w:szCs w:val="22"/>
        </w:rPr>
        <w:t xml:space="preserve">uplatnění prostředků soutěžního práva </w:t>
      </w:r>
      <w:r w:rsidR="00302096" w:rsidRPr="00DD7782">
        <w:rPr>
          <w:rFonts w:cs="Arial"/>
          <w:b/>
          <w:bCs/>
          <w:szCs w:val="22"/>
        </w:rPr>
        <w:t>v České republice na rozdíl od všech ostatních států EU nepostačuje.</w:t>
      </w:r>
      <w:r w:rsidR="00BE48F5" w:rsidRPr="00DD7782">
        <w:rPr>
          <w:rFonts w:cs="Arial"/>
          <w:b/>
          <w:bCs/>
          <w:szCs w:val="22"/>
        </w:rPr>
        <w:t xml:space="preserve"> Není ani zřejmé, </w:t>
      </w:r>
      <w:r w:rsidR="00DD7782" w:rsidRPr="00DD7782">
        <w:rPr>
          <w:rFonts w:cs="Arial"/>
          <w:b/>
          <w:bCs/>
          <w:szCs w:val="22"/>
        </w:rPr>
        <w:t>proč se podle ČTÚ situace od roku 2016 zhoršila, když většina ukazatelů ukazuje opak.</w:t>
      </w:r>
    </w:p>
    <w:p w14:paraId="2C33B70E" w14:textId="6609CD13" w:rsidR="00482350" w:rsidRPr="00081FF1" w:rsidRDefault="007414FB" w:rsidP="00FB48AF">
      <w:pPr>
        <w:ind w:left="357"/>
        <w:rPr>
          <w:rFonts w:cs="Arial"/>
          <w:szCs w:val="22"/>
        </w:rPr>
      </w:pPr>
      <w:r>
        <w:rPr>
          <w:rFonts w:cs="Arial"/>
          <w:szCs w:val="22"/>
        </w:rPr>
        <w:t xml:space="preserve">V kapitole </w:t>
      </w:r>
      <w:r w:rsidR="00074DD0">
        <w:rPr>
          <w:rFonts w:cs="Arial"/>
          <w:szCs w:val="22"/>
        </w:rPr>
        <w:t>C.4</w:t>
      </w:r>
      <w:r>
        <w:rPr>
          <w:rFonts w:cs="Arial"/>
          <w:szCs w:val="22"/>
        </w:rPr>
        <w:t xml:space="preserve"> pak ČTÚ</w:t>
      </w:r>
      <w:r w:rsidR="005446C3">
        <w:rPr>
          <w:rFonts w:cs="Arial"/>
          <w:szCs w:val="22"/>
        </w:rPr>
        <w:t xml:space="preserve"> již opakovaně</w:t>
      </w:r>
      <w:r>
        <w:rPr>
          <w:rFonts w:cs="Arial"/>
          <w:szCs w:val="22"/>
        </w:rPr>
        <w:t xml:space="preserve"> předkládá nepravdivé informace, když tvrdí, že </w:t>
      </w:r>
      <w:r w:rsidR="005446C3" w:rsidRPr="005446C3">
        <w:rPr>
          <w:rFonts w:cs="Arial"/>
          <w:i/>
          <w:iCs/>
          <w:szCs w:val="22"/>
        </w:rPr>
        <w:t>„</w:t>
      </w:r>
      <w:r w:rsidR="00CE121C">
        <w:rPr>
          <w:rFonts w:cs="Arial"/>
          <w:i/>
          <w:iCs/>
          <w:szCs w:val="22"/>
        </w:rPr>
        <w:t xml:space="preserve">(ČTÚ) </w:t>
      </w:r>
      <w:r w:rsidR="005446C3" w:rsidRPr="005446C3">
        <w:rPr>
          <w:rFonts w:cs="Arial"/>
          <w:i/>
          <w:iCs/>
          <w:szCs w:val="22"/>
        </w:rPr>
        <w:t>výsledky testu 3 kritérií konzultoval s Evropskou komisí, která k závěrům ČTÚ nevznesla vážné pochybnosti“</w:t>
      </w:r>
      <w:r w:rsidR="005446C3">
        <w:rPr>
          <w:rFonts w:cs="Arial"/>
          <w:i/>
          <w:iCs/>
          <w:szCs w:val="22"/>
        </w:rPr>
        <w:t xml:space="preserve">. </w:t>
      </w:r>
      <w:r w:rsidR="00CE121C" w:rsidRPr="007E7435">
        <w:rPr>
          <w:rFonts w:cs="Arial"/>
          <w:szCs w:val="22"/>
        </w:rPr>
        <w:t>Sama Evropská komise přitom jasně uvádí, že</w:t>
      </w:r>
      <w:r w:rsidR="00CE121C">
        <w:rPr>
          <w:rFonts w:cs="Arial"/>
          <w:i/>
          <w:iCs/>
          <w:szCs w:val="22"/>
        </w:rPr>
        <w:t xml:space="preserve"> </w:t>
      </w:r>
      <w:r w:rsidR="007E7435" w:rsidRPr="006102D0">
        <w:rPr>
          <w:rFonts w:cs="Arial"/>
          <w:b/>
          <w:bCs/>
          <w:i/>
          <w:iCs/>
          <w:szCs w:val="22"/>
        </w:rPr>
        <w:t>„není v tomto ohledu zmocněna vznést vážné pochybnosti.</w:t>
      </w:r>
      <w:r w:rsidR="007E7435">
        <w:rPr>
          <w:rFonts w:cs="Arial"/>
          <w:i/>
          <w:iCs/>
          <w:szCs w:val="22"/>
        </w:rPr>
        <w:t>“</w:t>
      </w:r>
      <w:r w:rsidR="007E7435">
        <w:rPr>
          <w:rStyle w:val="Znakapoznpodarou"/>
          <w:rFonts w:cs="Arial"/>
          <w:i/>
          <w:iCs/>
          <w:szCs w:val="22"/>
        </w:rPr>
        <w:footnoteReference w:id="13"/>
      </w:r>
      <w:r w:rsidR="007E7435">
        <w:rPr>
          <w:rFonts w:cs="Arial"/>
          <w:i/>
          <w:iCs/>
          <w:szCs w:val="22"/>
        </w:rPr>
        <w:t xml:space="preserve"> </w:t>
      </w:r>
      <w:r w:rsidR="00662910" w:rsidRPr="00282215">
        <w:rPr>
          <w:rFonts w:cs="Arial"/>
          <w:b/>
          <w:bCs/>
          <w:szCs w:val="22"/>
        </w:rPr>
        <w:t xml:space="preserve">To je jasná účelová desinterpretace ze strany ČTÚ. </w:t>
      </w:r>
      <w:r w:rsidR="0000531A" w:rsidRPr="00662910">
        <w:rPr>
          <w:rFonts w:cs="Arial"/>
          <w:b/>
          <w:bCs/>
          <w:szCs w:val="22"/>
        </w:rPr>
        <w:t>Jak</w:t>
      </w:r>
      <w:r w:rsidR="0000531A" w:rsidRPr="0091000B">
        <w:rPr>
          <w:rFonts w:cs="Arial"/>
          <w:b/>
          <w:bCs/>
          <w:szCs w:val="22"/>
        </w:rPr>
        <w:t xml:space="preserve"> uvádíme a citujeme výše, Evropská komise v roce 2019 ve svém vyjádření </w:t>
      </w:r>
      <w:r w:rsidR="00F04A86" w:rsidRPr="0091000B">
        <w:rPr>
          <w:rFonts w:cs="Arial"/>
          <w:b/>
          <w:bCs/>
          <w:szCs w:val="22"/>
        </w:rPr>
        <w:t xml:space="preserve">upozornila ČTÚ na nedostatečnost </w:t>
      </w:r>
      <w:proofErr w:type="spellStart"/>
      <w:r w:rsidR="00F04A86" w:rsidRPr="0091000B">
        <w:rPr>
          <w:rFonts w:cs="Arial"/>
          <w:b/>
          <w:bCs/>
          <w:szCs w:val="22"/>
        </w:rPr>
        <w:t>tříkriteriálního</w:t>
      </w:r>
      <w:proofErr w:type="spellEnd"/>
      <w:r w:rsidR="00F04A86" w:rsidRPr="0091000B">
        <w:rPr>
          <w:rFonts w:cs="Arial"/>
          <w:b/>
          <w:bCs/>
          <w:szCs w:val="22"/>
        </w:rPr>
        <w:t xml:space="preserve"> testu</w:t>
      </w:r>
      <w:r w:rsidR="0091000B" w:rsidRPr="0091000B">
        <w:rPr>
          <w:rFonts w:cs="Arial"/>
          <w:b/>
          <w:bCs/>
          <w:szCs w:val="22"/>
        </w:rPr>
        <w:t xml:space="preserve"> s nejvyšší možnou razancí</w:t>
      </w:r>
      <w:r w:rsidR="00081FF1">
        <w:rPr>
          <w:rFonts w:cs="Arial"/>
          <w:b/>
          <w:bCs/>
          <w:szCs w:val="22"/>
        </w:rPr>
        <w:t xml:space="preserve"> </w:t>
      </w:r>
      <w:r w:rsidR="00081FF1">
        <w:rPr>
          <w:rFonts w:cs="Arial"/>
          <w:szCs w:val="22"/>
        </w:rPr>
        <w:t xml:space="preserve">a je velmi udivující, že je ČTÚ </w:t>
      </w:r>
      <w:r w:rsidR="00750C02">
        <w:rPr>
          <w:rFonts w:cs="Arial"/>
          <w:szCs w:val="22"/>
        </w:rPr>
        <w:t xml:space="preserve">i přes nejvyšší upozornění </w:t>
      </w:r>
      <w:r w:rsidR="005F5D62">
        <w:rPr>
          <w:rFonts w:cs="Arial"/>
          <w:szCs w:val="22"/>
        </w:rPr>
        <w:t>připraven s</w:t>
      </w:r>
      <w:r w:rsidR="00750C02">
        <w:rPr>
          <w:rFonts w:cs="Arial"/>
          <w:szCs w:val="22"/>
        </w:rPr>
        <w:t> </w:t>
      </w:r>
      <w:r w:rsidR="005F5D62">
        <w:rPr>
          <w:rFonts w:cs="Arial"/>
          <w:szCs w:val="22"/>
        </w:rPr>
        <w:t>tak</w:t>
      </w:r>
      <w:r w:rsidR="00750C02">
        <w:rPr>
          <w:rFonts w:cs="Arial"/>
          <w:szCs w:val="22"/>
        </w:rPr>
        <w:t>to nekvalitním</w:t>
      </w:r>
      <w:r w:rsidR="005F5D62">
        <w:rPr>
          <w:rFonts w:cs="Arial"/>
          <w:szCs w:val="22"/>
        </w:rPr>
        <w:t xml:space="preserve"> podkladem </w:t>
      </w:r>
      <w:r w:rsidR="00750C02">
        <w:rPr>
          <w:rFonts w:cs="Arial"/>
          <w:szCs w:val="22"/>
        </w:rPr>
        <w:t xml:space="preserve">žádat </w:t>
      </w:r>
      <w:r w:rsidR="00066AE9">
        <w:rPr>
          <w:rFonts w:cs="Arial"/>
          <w:szCs w:val="22"/>
        </w:rPr>
        <w:t xml:space="preserve">opakovaně </w:t>
      </w:r>
      <w:r w:rsidR="00750C02">
        <w:rPr>
          <w:rFonts w:cs="Arial"/>
          <w:szCs w:val="22"/>
        </w:rPr>
        <w:t>o notifikaci analýzy relevantního trhu.</w:t>
      </w:r>
    </w:p>
    <w:p w14:paraId="552C982A" w14:textId="13A10803" w:rsidR="00433EF2" w:rsidRDefault="00433EF2" w:rsidP="00FB48AF">
      <w:pPr>
        <w:ind w:left="357"/>
        <w:rPr>
          <w:rFonts w:cs="Arial"/>
          <w:b/>
          <w:bCs/>
          <w:szCs w:val="22"/>
        </w:rPr>
      </w:pPr>
      <w:r w:rsidRPr="006E3664">
        <w:rPr>
          <w:rFonts w:cs="Arial"/>
          <w:b/>
          <w:bCs/>
          <w:szCs w:val="22"/>
        </w:rPr>
        <w:t xml:space="preserve">Z výše uvedeného vyplývá, že ČTÚ by měl </w:t>
      </w:r>
      <w:r w:rsidR="00CF7F10" w:rsidRPr="006E3664">
        <w:rPr>
          <w:rFonts w:cs="Arial"/>
          <w:b/>
          <w:bCs/>
          <w:szCs w:val="22"/>
        </w:rPr>
        <w:t xml:space="preserve">v rámci analýzy </w:t>
      </w:r>
      <w:r w:rsidRPr="006E3664">
        <w:rPr>
          <w:rFonts w:cs="Arial"/>
          <w:b/>
          <w:bCs/>
          <w:szCs w:val="22"/>
        </w:rPr>
        <w:t xml:space="preserve">opětovně provést plnohodnotný </w:t>
      </w:r>
      <w:proofErr w:type="spellStart"/>
      <w:r w:rsidR="00CF7F10" w:rsidRPr="006E3664">
        <w:rPr>
          <w:rFonts w:cs="Arial"/>
          <w:b/>
          <w:bCs/>
          <w:szCs w:val="22"/>
        </w:rPr>
        <w:t>tříkriteriální</w:t>
      </w:r>
      <w:proofErr w:type="spellEnd"/>
      <w:r w:rsidR="00CF7F10" w:rsidRPr="006E3664">
        <w:rPr>
          <w:rFonts w:cs="Arial"/>
          <w:b/>
          <w:bCs/>
          <w:szCs w:val="22"/>
        </w:rPr>
        <w:t xml:space="preserve"> test zohledňující připomínky Evropské komise, který </w:t>
      </w:r>
      <w:r w:rsidR="00662910">
        <w:rPr>
          <w:rFonts w:cs="Arial"/>
          <w:b/>
          <w:bCs/>
          <w:szCs w:val="22"/>
        </w:rPr>
        <w:t xml:space="preserve">ale, </w:t>
      </w:r>
      <w:r w:rsidR="006E3664" w:rsidRPr="006E3664">
        <w:rPr>
          <w:rFonts w:cs="Arial"/>
          <w:b/>
          <w:bCs/>
          <w:szCs w:val="22"/>
        </w:rPr>
        <w:t>dle našeho názoru</w:t>
      </w:r>
      <w:r w:rsidR="00662910">
        <w:rPr>
          <w:rFonts w:cs="Arial"/>
          <w:b/>
          <w:bCs/>
          <w:szCs w:val="22"/>
        </w:rPr>
        <w:t>,</w:t>
      </w:r>
      <w:r w:rsidR="006E3664" w:rsidRPr="006E3664">
        <w:rPr>
          <w:rFonts w:cs="Arial"/>
          <w:b/>
          <w:bCs/>
          <w:szCs w:val="22"/>
        </w:rPr>
        <w:t xml:space="preserve"> </w:t>
      </w:r>
      <w:r w:rsidR="00662910">
        <w:rPr>
          <w:rFonts w:cs="Arial"/>
          <w:b/>
          <w:bCs/>
          <w:szCs w:val="22"/>
        </w:rPr>
        <w:t xml:space="preserve">pak </w:t>
      </w:r>
      <w:r w:rsidR="006E3664" w:rsidRPr="006E3664">
        <w:rPr>
          <w:rFonts w:cs="Arial"/>
          <w:b/>
          <w:bCs/>
          <w:szCs w:val="22"/>
        </w:rPr>
        <w:t>nemůže</w:t>
      </w:r>
      <w:r w:rsidR="00662910">
        <w:rPr>
          <w:rFonts w:cs="Arial"/>
          <w:b/>
          <w:bCs/>
          <w:szCs w:val="22"/>
        </w:rPr>
        <w:t xml:space="preserve"> ve svém výsledku</w:t>
      </w:r>
      <w:r w:rsidR="006E3664" w:rsidRPr="006E3664">
        <w:rPr>
          <w:rFonts w:cs="Arial"/>
          <w:b/>
          <w:bCs/>
          <w:szCs w:val="22"/>
        </w:rPr>
        <w:t xml:space="preserve"> svědčit o kumulativním splnění všech tří kritérií.</w:t>
      </w:r>
    </w:p>
    <w:p w14:paraId="07634115" w14:textId="0615BFEB" w:rsidR="00266978" w:rsidRPr="007F2682" w:rsidRDefault="00266978" w:rsidP="00266978">
      <w:pPr>
        <w:pStyle w:val="Nadpis2"/>
      </w:pPr>
      <w:r w:rsidRPr="007F2682">
        <w:lastRenderedPageBreak/>
        <w:t>Existence referenčního bodu</w:t>
      </w:r>
      <w:r w:rsidR="00644013">
        <w:t xml:space="preserve"> (s. 122-125)</w:t>
      </w:r>
    </w:p>
    <w:p w14:paraId="05C4768F" w14:textId="77777777" w:rsidR="00266978" w:rsidRPr="007F2682" w:rsidRDefault="00266978" w:rsidP="00266978">
      <w:pPr>
        <w:pStyle w:val="Podnadpis"/>
      </w:pPr>
      <w:r w:rsidRPr="007F2682">
        <w:t xml:space="preserve">Návrh na doplnění, změnu, zrušení nebo nahrazení textu ustanovení návrhu opatření: </w:t>
      </w:r>
    </w:p>
    <w:p w14:paraId="5D04FAB4" w14:textId="77777777" w:rsidR="00266978" w:rsidRPr="007F2682" w:rsidRDefault="00266978" w:rsidP="00266978">
      <w:pPr>
        <w:ind w:left="357"/>
        <w:rPr>
          <w:rFonts w:cs="Arial"/>
          <w:b/>
          <w:szCs w:val="22"/>
        </w:rPr>
      </w:pPr>
      <w:r w:rsidRPr="007F2682">
        <w:rPr>
          <w:rFonts w:cs="Arial"/>
          <w:b/>
          <w:szCs w:val="22"/>
        </w:rPr>
        <w:t>Na základě v odůvodnění uvedených faktů změnit závěr k existenci referenčního bodu na nesplněný. Referenční bod nebyl a nemůže být na maloobchodním trhu identifikován.</w:t>
      </w:r>
    </w:p>
    <w:p w14:paraId="2312B26B" w14:textId="77777777" w:rsidR="00266978" w:rsidRPr="007F2682" w:rsidRDefault="00266978" w:rsidP="00266978">
      <w:pPr>
        <w:pStyle w:val="Podnadpis"/>
      </w:pPr>
      <w:r w:rsidRPr="007F2682">
        <w:t>Odůvodnění:</w:t>
      </w:r>
    </w:p>
    <w:p w14:paraId="1F538359" w14:textId="77777777" w:rsidR="00266978" w:rsidRPr="007F2682" w:rsidRDefault="00266978" w:rsidP="00266978">
      <w:pPr>
        <w:ind w:left="357"/>
        <w:rPr>
          <w:rFonts w:cs="Arial"/>
          <w:szCs w:val="22"/>
        </w:rPr>
      </w:pPr>
      <w:r w:rsidRPr="007F2682">
        <w:rPr>
          <w:rFonts w:cs="Arial"/>
          <w:szCs w:val="22"/>
        </w:rPr>
        <w:t>ČTÚ v prvním dílčím kritériu o existenci referenčního bodu konstatuje, že jedním z referenčních bodů jsou ceny mobilních služeb na maloobcho</w:t>
      </w:r>
      <w:r>
        <w:rPr>
          <w:rFonts w:cs="Arial"/>
          <w:szCs w:val="22"/>
        </w:rPr>
        <w:t xml:space="preserve">dním trhu. </w:t>
      </w:r>
      <w:r w:rsidRPr="0058671D">
        <w:rPr>
          <w:rFonts w:cs="Arial"/>
          <w:b/>
          <w:bCs/>
          <w:szCs w:val="22"/>
        </w:rPr>
        <w:t>V předběžné analýze velkoobchodního trhu mobilních služeb z roku 2019</w:t>
      </w:r>
      <w:r>
        <w:rPr>
          <w:rFonts w:cs="Arial"/>
          <w:szCs w:val="22"/>
        </w:rPr>
        <w:t xml:space="preserve"> </w:t>
      </w:r>
      <w:r>
        <w:rPr>
          <w:rFonts w:cs="Arial"/>
          <w:b/>
          <w:szCs w:val="22"/>
        </w:rPr>
        <w:t>přitom</w:t>
      </w:r>
      <w:r w:rsidRPr="00141939">
        <w:rPr>
          <w:rFonts w:cs="Arial"/>
          <w:b/>
          <w:szCs w:val="22"/>
        </w:rPr>
        <w:t xml:space="preserve"> na straně č. 69 zveřejnil v tabulce č. 16 podíl neveřejných nabídek všech operátorů, ze kterého vyplývá, že přibližně třetina aktuálně</w:t>
      </w:r>
      <w:r w:rsidRPr="00141939">
        <w:rPr>
          <w:rStyle w:val="Znakapoznpodarou"/>
          <w:rFonts w:cs="Arial"/>
          <w:b/>
          <w:szCs w:val="22"/>
        </w:rPr>
        <w:footnoteReference w:id="14"/>
      </w:r>
      <w:r w:rsidRPr="00141939">
        <w:rPr>
          <w:rFonts w:cs="Arial"/>
          <w:b/>
          <w:szCs w:val="22"/>
        </w:rPr>
        <w:t xml:space="preserve"> nabízených mobilních tarifů s daty je poskytováno za neveřejnou cenu</w:t>
      </w:r>
      <w:r w:rsidRPr="00141939">
        <w:rPr>
          <w:rStyle w:val="Znakapoznpodarou"/>
          <w:rFonts w:cs="Arial"/>
          <w:b/>
          <w:szCs w:val="22"/>
        </w:rPr>
        <w:footnoteReference w:id="15"/>
      </w:r>
      <w:r w:rsidRPr="00141939">
        <w:rPr>
          <w:rFonts w:cs="Arial"/>
          <w:b/>
          <w:szCs w:val="22"/>
        </w:rPr>
        <w:t xml:space="preserve">. U jednoho operátora tento podíl dosahuje dokonce téměř 40 %. Na straně 23 </w:t>
      </w:r>
      <w:r>
        <w:rPr>
          <w:rFonts w:cs="Arial"/>
          <w:b/>
          <w:szCs w:val="22"/>
        </w:rPr>
        <w:t>předběžné a</w:t>
      </w:r>
      <w:r w:rsidRPr="00141939">
        <w:rPr>
          <w:rFonts w:cs="Arial"/>
          <w:b/>
          <w:szCs w:val="22"/>
        </w:rPr>
        <w:t xml:space="preserve">nalýzy pak konstatuje, že průměrná výše slevy se u jednotlivých operátorů pohybuje od 21 % do 79 %. </w:t>
      </w:r>
      <w:r w:rsidRPr="007F2682">
        <w:rPr>
          <w:rFonts w:cs="Arial"/>
          <w:szCs w:val="22"/>
        </w:rPr>
        <w:t xml:space="preserve">V tabulce č. 5 se pak uvádí také vysoký 13% podíl rodinných tarifů a 6% podíl studentských tarifů. Nadto lze například ve </w:t>
      </w:r>
      <w:r w:rsidRPr="007F2682">
        <w:rPr>
          <w:rFonts w:cs="Arial"/>
          <w:i/>
          <w:szCs w:val="22"/>
        </w:rPr>
        <w:t xml:space="preserve">Zprávě o vývoji trhu elektronických komunikací </w:t>
      </w:r>
      <w:proofErr w:type="gramStart"/>
      <w:r w:rsidRPr="007F2682">
        <w:rPr>
          <w:rFonts w:cs="Arial"/>
          <w:i/>
          <w:szCs w:val="22"/>
        </w:rPr>
        <w:t>2012 – 2017</w:t>
      </w:r>
      <w:proofErr w:type="gramEnd"/>
      <w:r w:rsidRPr="007F2682">
        <w:rPr>
          <w:rFonts w:cs="Arial"/>
          <w:i/>
          <w:szCs w:val="22"/>
        </w:rPr>
        <w:t xml:space="preserve"> se zaměřením na rok 2017</w:t>
      </w:r>
      <w:r w:rsidRPr="007F2682">
        <w:rPr>
          <w:rFonts w:cs="Arial"/>
          <w:szCs w:val="22"/>
        </w:rPr>
        <w:t xml:space="preserve"> zveřejněné ČTÚ dne 16. 10. 2018 nalézt informaci, že v roce 2017 bylo 159 aktivních poskytovatelů služeb v mobilní síti. Značná část spotřebitelů neboli domácností čerpá, jak je veřejně známo</w:t>
      </w:r>
      <w:r>
        <w:rPr>
          <w:rFonts w:cs="Arial"/>
          <w:szCs w:val="22"/>
        </w:rPr>
        <w:t xml:space="preserve"> a uvedeno výše</w:t>
      </w:r>
      <w:r w:rsidRPr="007F2682">
        <w:rPr>
          <w:rFonts w:cs="Arial"/>
          <w:szCs w:val="22"/>
        </w:rPr>
        <w:t>, služby nelegálně podnikajících šedých operátorů či prostřednictvím zaměstnaneckých programů a spolků. Tyto služby nejsou poskytovány za zveřejněné ceníkové ceny, ale za ceny stanovené těmito nelegálně působícími subjekty (včetně „klubové“ ceny nebo ceny určené jako členství ve spolku).</w:t>
      </w:r>
    </w:p>
    <w:p w14:paraId="61E2A3F4" w14:textId="185DE518" w:rsidR="00266978" w:rsidRDefault="00266978" w:rsidP="00266978">
      <w:pPr>
        <w:ind w:left="357"/>
        <w:rPr>
          <w:rFonts w:cs="Arial"/>
          <w:szCs w:val="22"/>
        </w:rPr>
      </w:pPr>
      <w:r w:rsidRPr="007F2682">
        <w:rPr>
          <w:rFonts w:cs="Arial"/>
          <w:szCs w:val="22"/>
        </w:rPr>
        <w:t xml:space="preserve">Společnost O2 je toho názoru, že bez toho abychom připustili, že nejen u ČTÚ definovaného firemního segmentu, ale také na podstatné nebo dokonce většinové části trhů a sektorů napříč celou ekonomikou lze označit maloobchodní ceny za referenční bod, je identifikování tohoto referenčního bodu nesmyslné. </w:t>
      </w:r>
      <w:r w:rsidRPr="00141939">
        <w:rPr>
          <w:rFonts w:cs="Arial"/>
          <w:b/>
          <w:szCs w:val="22"/>
        </w:rPr>
        <w:t xml:space="preserve">Vzhledem k výše uvedenému je naopak reálná maloobchodní cena na českém mobilním trhu oproti zahraničním mobilním trhům nebo jiným sektorům v ekonomice velmi těžko odhadnutelná a orientovat se </w:t>
      </w:r>
      <w:r>
        <w:rPr>
          <w:rFonts w:cs="Arial"/>
          <w:b/>
          <w:szCs w:val="22"/>
        </w:rPr>
        <w:t xml:space="preserve">jen </w:t>
      </w:r>
      <w:r w:rsidRPr="00141939">
        <w:rPr>
          <w:rFonts w:cs="Arial"/>
          <w:b/>
          <w:szCs w:val="22"/>
        </w:rPr>
        <w:t>podle veřejných ceníků je tak velmi problematické</w:t>
      </w:r>
      <w:r>
        <w:rPr>
          <w:rFonts w:cs="Arial"/>
          <w:b/>
          <w:szCs w:val="22"/>
        </w:rPr>
        <w:t xml:space="preserve"> a nevhodné</w:t>
      </w:r>
      <w:r w:rsidRPr="00141939">
        <w:rPr>
          <w:rFonts w:cs="Arial"/>
          <w:b/>
          <w:szCs w:val="22"/>
        </w:rPr>
        <w:t xml:space="preserve">. </w:t>
      </w:r>
      <w:r w:rsidRPr="007F2682">
        <w:rPr>
          <w:rFonts w:cs="Arial"/>
          <w:szCs w:val="22"/>
        </w:rPr>
        <w:t>K tak detailním datům, které ČTÚ zveřejnil v</w:t>
      </w:r>
      <w:r>
        <w:rPr>
          <w:rFonts w:cs="Arial"/>
          <w:szCs w:val="22"/>
        </w:rPr>
        <w:t> předběžné a</w:t>
      </w:r>
      <w:r w:rsidRPr="007F2682">
        <w:rPr>
          <w:rFonts w:cs="Arial"/>
          <w:szCs w:val="22"/>
        </w:rPr>
        <w:t>nalýze, navíc neměla společnost O2 jakýmkoliv způsobem přístup.</w:t>
      </w:r>
    </w:p>
    <w:p w14:paraId="430573C9" w14:textId="1DC38AAB" w:rsidR="00353150" w:rsidRDefault="006B6782" w:rsidP="00266978">
      <w:pPr>
        <w:ind w:left="357"/>
        <w:rPr>
          <w:rFonts w:cs="Arial"/>
          <w:szCs w:val="22"/>
        </w:rPr>
      </w:pPr>
      <w:r>
        <w:rPr>
          <w:rFonts w:cs="Arial"/>
          <w:szCs w:val="22"/>
        </w:rPr>
        <w:t xml:space="preserve">Představa, že mají MNO o všech tarifech </w:t>
      </w:r>
      <w:r w:rsidR="00467B34">
        <w:rPr>
          <w:rFonts w:cs="Arial"/>
          <w:szCs w:val="22"/>
        </w:rPr>
        <w:t xml:space="preserve">přehled je nereálná. </w:t>
      </w:r>
      <w:r w:rsidR="005C3546">
        <w:rPr>
          <w:rFonts w:cs="Arial"/>
          <w:szCs w:val="22"/>
        </w:rPr>
        <w:t xml:space="preserve">Stejně tak není pravda, že je </w:t>
      </w:r>
      <w:r w:rsidR="00CA35FB">
        <w:rPr>
          <w:rFonts w:cs="Arial"/>
          <w:szCs w:val="22"/>
        </w:rPr>
        <w:t>počet</w:t>
      </w:r>
      <w:r w:rsidR="00853D92">
        <w:rPr>
          <w:rFonts w:cs="Arial"/>
          <w:szCs w:val="22"/>
        </w:rPr>
        <w:t xml:space="preserve"> neveřejných </w:t>
      </w:r>
      <w:r w:rsidR="00EB40B3">
        <w:rPr>
          <w:rFonts w:cs="Arial"/>
          <w:szCs w:val="22"/>
        </w:rPr>
        <w:t>nabídek</w:t>
      </w:r>
      <w:r w:rsidR="00CA35FB">
        <w:rPr>
          <w:rFonts w:cs="Arial"/>
          <w:szCs w:val="22"/>
        </w:rPr>
        <w:t xml:space="preserve"> </w:t>
      </w:r>
      <w:r w:rsidR="0034004D">
        <w:rPr>
          <w:rFonts w:cs="Arial"/>
          <w:szCs w:val="22"/>
        </w:rPr>
        <w:t>zanedbateln</w:t>
      </w:r>
      <w:r w:rsidR="00EB40B3">
        <w:rPr>
          <w:rFonts w:cs="Arial"/>
          <w:szCs w:val="22"/>
        </w:rPr>
        <w:t>ý</w:t>
      </w:r>
      <w:r w:rsidR="005467EB">
        <w:rPr>
          <w:rFonts w:cs="Arial"/>
          <w:szCs w:val="22"/>
        </w:rPr>
        <w:t xml:space="preserve"> a </w:t>
      </w:r>
      <w:r w:rsidR="005763E4">
        <w:rPr>
          <w:rFonts w:cs="Arial"/>
          <w:szCs w:val="22"/>
        </w:rPr>
        <w:t>odkazy na krátké marketingové akce a jakéhosi přeprodejce opravdu ne</w:t>
      </w:r>
      <w:r w:rsidR="00D76523">
        <w:rPr>
          <w:rFonts w:cs="Arial"/>
          <w:szCs w:val="22"/>
        </w:rPr>
        <w:t>pojímají celou tarifní nabídku mobilních operátorů a MVNO.</w:t>
      </w:r>
      <w:r w:rsidR="00815DD0">
        <w:rPr>
          <w:rFonts w:cs="Arial"/>
          <w:szCs w:val="22"/>
        </w:rPr>
        <w:t xml:space="preserve"> </w:t>
      </w:r>
      <w:r w:rsidR="006F037C">
        <w:rPr>
          <w:rFonts w:cs="Arial"/>
          <w:szCs w:val="22"/>
        </w:rPr>
        <w:t xml:space="preserve">Mimochodem jeden z odkazů uvádí, že </w:t>
      </w:r>
      <w:r w:rsidR="006F037C" w:rsidRPr="006F037C">
        <w:rPr>
          <w:rFonts w:cs="Arial"/>
          <w:i/>
          <w:iCs/>
          <w:szCs w:val="22"/>
        </w:rPr>
        <w:t xml:space="preserve">„Společnost O2 považujeme dlouhodobě za nekonkurenceschopnou a jelikož s ní nemáme dobré zkušenosti, zprostředkování jejích tarifů neposkytujeme a </w:t>
      </w:r>
      <w:r w:rsidR="006F037C" w:rsidRPr="006F037C">
        <w:rPr>
          <w:rFonts w:cs="Arial"/>
          <w:i/>
          <w:iCs/>
          <w:szCs w:val="22"/>
        </w:rPr>
        <w:lastRenderedPageBreak/>
        <w:t>poskytovat ani nebudeme. Velmi doporučujeme vybrat si raději z nabídky T-Mobile nebo Vodafone.“</w:t>
      </w:r>
      <w:r w:rsidR="006F037C">
        <w:rPr>
          <w:rFonts w:cs="Arial"/>
          <w:szCs w:val="22"/>
        </w:rPr>
        <w:t xml:space="preserve">. Je zřejmé, že </w:t>
      </w:r>
      <w:r w:rsidR="00264494">
        <w:rPr>
          <w:rFonts w:cs="Arial"/>
          <w:szCs w:val="22"/>
        </w:rPr>
        <w:t xml:space="preserve">takové sdělení (byť </w:t>
      </w:r>
      <w:r w:rsidR="000D5F99">
        <w:rPr>
          <w:rFonts w:cs="Arial"/>
          <w:szCs w:val="22"/>
        </w:rPr>
        <w:t xml:space="preserve">věcně </w:t>
      </w:r>
      <w:r w:rsidR="00264494">
        <w:rPr>
          <w:rFonts w:cs="Arial"/>
          <w:szCs w:val="22"/>
        </w:rPr>
        <w:t xml:space="preserve">nepravdivé) svědčí o </w:t>
      </w:r>
      <w:r w:rsidR="000D5F99">
        <w:rPr>
          <w:rFonts w:cs="Arial"/>
          <w:szCs w:val="22"/>
        </w:rPr>
        <w:t>diferenciaci nabídek na trhu a ČTÚ tak nechtěně popírá svým argumentem vlastní příběh.</w:t>
      </w:r>
      <w:r w:rsidR="00F36D55" w:rsidRPr="00F36D55">
        <w:rPr>
          <w:rFonts w:cs="Arial"/>
          <w:szCs w:val="22"/>
        </w:rPr>
        <w:t xml:space="preserve"> </w:t>
      </w:r>
      <w:r w:rsidR="00F36D55">
        <w:rPr>
          <w:rFonts w:cs="Arial"/>
          <w:szCs w:val="22"/>
        </w:rPr>
        <w:t xml:space="preserve">Kombinace objemu různých služeb, případně balíčků je dnes </w:t>
      </w:r>
      <w:r w:rsidR="001E1E15">
        <w:rPr>
          <w:rFonts w:cs="Arial"/>
          <w:szCs w:val="22"/>
        </w:rPr>
        <w:t>dostatečně</w:t>
      </w:r>
      <w:r w:rsidR="00F36D55">
        <w:rPr>
          <w:rFonts w:cs="Arial"/>
          <w:szCs w:val="22"/>
        </w:rPr>
        <w:t xml:space="preserve"> rozsáhlá</w:t>
      </w:r>
      <w:r w:rsidR="001E1E15">
        <w:rPr>
          <w:rFonts w:cs="Arial"/>
          <w:szCs w:val="22"/>
        </w:rPr>
        <w:t xml:space="preserve"> </w:t>
      </w:r>
      <w:r w:rsidR="0017472D">
        <w:rPr>
          <w:rFonts w:cs="Arial"/>
          <w:szCs w:val="22"/>
        </w:rPr>
        <w:t>na to</w:t>
      </w:r>
      <w:r w:rsidR="00F36D55">
        <w:rPr>
          <w:rFonts w:cs="Arial"/>
          <w:szCs w:val="22"/>
        </w:rPr>
        <w:t xml:space="preserve">, že nelze </w:t>
      </w:r>
      <w:r w:rsidR="0017472D">
        <w:rPr>
          <w:rFonts w:cs="Arial"/>
          <w:szCs w:val="22"/>
        </w:rPr>
        <w:t>hovořit</w:t>
      </w:r>
      <w:r w:rsidR="00F36D55">
        <w:rPr>
          <w:rFonts w:cs="Arial"/>
          <w:szCs w:val="22"/>
        </w:rPr>
        <w:t xml:space="preserve"> o snadném sledování kroků konkurence a </w:t>
      </w:r>
      <w:r w:rsidR="0017472D">
        <w:rPr>
          <w:rFonts w:cs="Arial"/>
          <w:szCs w:val="22"/>
        </w:rPr>
        <w:t xml:space="preserve">možnosti </w:t>
      </w:r>
      <w:r w:rsidR="00F36D55">
        <w:rPr>
          <w:rFonts w:cs="Arial"/>
          <w:szCs w:val="22"/>
        </w:rPr>
        <w:t xml:space="preserve">rychlých odvetných </w:t>
      </w:r>
      <w:r w:rsidR="0017472D">
        <w:rPr>
          <w:rFonts w:cs="Arial"/>
          <w:szCs w:val="22"/>
        </w:rPr>
        <w:t xml:space="preserve">(účinných) </w:t>
      </w:r>
      <w:r w:rsidR="00F36D55">
        <w:rPr>
          <w:rFonts w:cs="Arial"/>
          <w:szCs w:val="22"/>
        </w:rPr>
        <w:t>mechanism</w:t>
      </w:r>
      <w:r w:rsidR="0017472D">
        <w:rPr>
          <w:rFonts w:cs="Arial"/>
          <w:szCs w:val="22"/>
        </w:rPr>
        <w:t>ů</w:t>
      </w:r>
      <w:r w:rsidR="00F36D55">
        <w:rPr>
          <w:rFonts w:cs="Arial"/>
          <w:szCs w:val="22"/>
        </w:rPr>
        <w:t>.</w:t>
      </w:r>
    </w:p>
    <w:p w14:paraId="652A8F07" w14:textId="0649138F" w:rsidR="006637A7" w:rsidRDefault="007B1453" w:rsidP="00266978">
      <w:pPr>
        <w:ind w:left="357"/>
        <w:rPr>
          <w:rFonts w:cs="Arial"/>
          <w:szCs w:val="22"/>
        </w:rPr>
      </w:pPr>
      <w:r>
        <w:rPr>
          <w:rFonts w:cs="Arial"/>
          <w:szCs w:val="22"/>
        </w:rPr>
        <w:t>Č</w:t>
      </w:r>
      <w:r w:rsidR="00DE6A03">
        <w:rPr>
          <w:rFonts w:cs="Arial"/>
          <w:szCs w:val="22"/>
        </w:rPr>
        <w:t>T</w:t>
      </w:r>
      <w:r>
        <w:rPr>
          <w:rFonts w:cs="Arial"/>
          <w:szCs w:val="22"/>
        </w:rPr>
        <w:t>Ú také nově uvádí</w:t>
      </w:r>
      <w:r w:rsidR="00DE6A03">
        <w:rPr>
          <w:rFonts w:cs="Arial"/>
          <w:szCs w:val="22"/>
        </w:rPr>
        <w:t xml:space="preserve">, že kvalita služby není důležitým parametrem </w:t>
      </w:r>
      <w:r w:rsidR="002E541A">
        <w:rPr>
          <w:rFonts w:cs="Arial"/>
          <w:szCs w:val="22"/>
        </w:rPr>
        <w:t>pro zákazníka, když u většiny tarifů není využit jako rozlišovací parametr, což vzhledem k tomu, že je všemi operátory využíván u datově neomezených tarifů</w:t>
      </w:r>
      <w:r w:rsidR="00FC649F">
        <w:rPr>
          <w:rFonts w:cs="Arial"/>
          <w:szCs w:val="22"/>
        </w:rPr>
        <w:t>, není pravda.</w:t>
      </w:r>
    </w:p>
    <w:p w14:paraId="4EB8B170" w14:textId="77777777" w:rsidR="00266978" w:rsidRPr="007F2682" w:rsidRDefault="00266978" w:rsidP="00266978">
      <w:pPr>
        <w:ind w:left="357"/>
        <w:rPr>
          <w:rFonts w:cs="Arial"/>
          <w:szCs w:val="22"/>
        </w:rPr>
      </w:pPr>
      <w:r w:rsidRPr="007F2682">
        <w:rPr>
          <w:rFonts w:cs="Arial"/>
          <w:szCs w:val="22"/>
        </w:rPr>
        <w:t xml:space="preserve">Dále ČTÚ předpokládá, že výše identifikovaný referenční bod ovlivňuje i počet SIM karet účastníků </w:t>
      </w:r>
      <w:proofErr w:type="spellStart"/>
      <w:r w:rsidRPr="007F2682">
        <w:rPr>
          <w:rFonts w:cs="Arial"/>
          <w:szCs w:val="22"/>
        </w:rPr>
        <w:t>tacitní</w:t>
      </w:r>
      <w:proofErr w:type="spellEnd"/>
      <w:r w:rsidRPr="007F2682">
        <w:rPr>
          <w:rFonts w:cs="Arial"/>
          <w:szCs w:val="22"/>
        </w:rPr>
        <w:t xml:space="preserve"> </w:t>
      </w:r>
      <w:proofErr w:type="gramStart"/>
      <w:r w:rsidRPr="007F2682">
        <w:rPr>
          <w:rFonts w:cs="Arial"/>
          <w:szCs w:val="22"/>
        </w:rPr>
        <w:t>koluze</w:t>
      </w:r>
      <w:proofErr w:type="gramEnd"/>
      <w:r w:rsidRPr="007F2682">
        <w:rPr>
          <w:rFonts w:cs="Arial"/>
          <w:szCs w:val="22"/>
        </w:rPr>
        <w:t xml:space="preserve"> respektive jeho tržní podíl. Prostřednictvím </w:t>
      </w:r>
      <w:r w:rsidRPr="007F2682">
        <w:rPr>
          <w:rFonts w:cs="Arial"/>
          <w:i/>
          <w:szCs w:val="22"/>
        </w:rPr>
        <w:t>Národní referenční databáze přenesených čísel v prostředí mobilních sítí</w:t>
      </w:r>
      <w:r w:rsidRPr="007F2682">
        <w:rPr>
          <w:rFonts w:cs="Arial"/>
          <w:szCs w:val="22"/>
        </w:rPr>
        <w:t xml:space="preserve"> pak mohou síťoví operátoři sledovat tyto tržní podíly a vyvozovat z toho příčiny na straně referenčního bodu, tedy maloobchodních cen. Dalším zdrojem informací o počtu SIM karet pak mají být čtvrtletní a výroční zprávy jednotlivých operátorů. </w:t>
      </w:r>
    </w:p>
    <w:p w14:paraId="1E7C01D0" w14:textId="77777777" w:rsidR="00266978" w:rsidRPr="007F2682" w:rsidRDefault="00266978" w:rsidP="00266978">
      <w:pPr>
        <w:ind w:left="357"/>
        <w:rPr>
          <w:rFonts w:cs="Arial"/>
          <w:szCs w:val="22"/>
        </w:rPr>
      </w:pPr>
      <w:r w:rsidRPr="007F2682">
        <w:rPr>
          <w:rFonts w:cs="Arial"/>
          <w:szCs w:val="22"/>
        </w:rPr>
        <w:t xml:space="preserve">K této části doplňujeme, že z </w:t>
      </w:r>
      <w:r w:rsidRPr="007F2682">
        <w:rPr>
          <w:rFonts w:cs="Arial"/>
          <w:i/>
          <w:szCs w:val="22"/>
        </w:rPr>
        <w:t xml:space="preserve">Národní referenční databáze přenesených čísel v prostředí mobilních sítí </w:t>
      </w:r>
      <w:r w:rsidRPr="007F2682">
        <w:rPr>
          <w:rFonts w:cs="Arial"/>
          <w:szCs w:val="22"/>
        </w:rPr>
        <w:t xml:space="preserve">lze zjistit umístění čísel pouze do úrovně síťového operátora, nikoliv tedy podíl virtuálních operátorů u každého ze síťových operátorů. Stejně tak informace zveřejňované síťovými operátory bývají velmi omezené. Nejvíce informací a dat společnost O2 čerpá opět z výročních a dalších zpráv ČTÚ. Nepředpokládáme, že by se ČTÚ svou konstrukcí referenčního bodu a souvisejících implikací přiznával k záměrné podpoře vzniku </w:t>
      </w:r>
      <w:proofErr w:type="spellStart"/>
      <w:r w:rsidRPr="007F2682">
        <w:rPr>
          <w:rFonts w:cs="Arial"/>
          <w:szCs w:val="22"/>
        </w:rPr>
        <w:t>tacitní</w:t>
      </w:r>
      <w:proofErr w:type="spellEnd"/>
      <w:r w:rsidRPr="007F2682">
        <w:rPr>
          <w:rFonts w:cs="Arial"/>
          <w:szCs w:val="22"/>
        </w:rPr>
        <w:t xml:space="preserve"> koluze. ČTÚ na konci této části správně konstatuje, že z přesunu zákazníků mezi operátory, respektive změn tržních podílů nevyplývá konkrétní příčina této změny. Nesprávně už ale dodává, že tato změna musí být následně analyzována na maloobchodním trhu prostřednictvím aktuálně dostupných nabídek. Jak bylo uvedeno výše, na českém trhu je velmi vysoký podíl neveřejných nabídek, s kterými je spojena velmi </w:t>
      </w:r>
      <w:r>
        <w:rPr>
          <w:rFonts w:cs="Arial"/>
          <w:szCs w:val="22"/>
        </w:rPr>
        <w:t>„</w:t>
      </w:r>
      <w:r w:rsidRPr="007F2682">
        <w:rPr>
          <w:rFonts w:cs="Arial"/>
          <w:szCs w:val="22"/>
        </w:rPr>
        <w:t>agresivní</w:t>
      </w:r>
      <w:r>
        <w:rPr>
          <w:rFonts w:cs="Arial"/>
          <w:szCs w:val="22"/>
        </w:rPr>
        <w:t>“</w:t>
      </w:r>
      <w:r w:rsidRPr="007F2682">
        <w:rPr>
          <w:rFonts w:cs="Arial"/>
          <w:szCs w:val="22"/>
        </w:rPr>
        <w:t xml:space="preserve"> slevová politika. Přesun zákazníků</w:t>
      </w:r>
      <w:r>
        <w:rPr>
          <w:rFonts w:cs="Arial"/>
          <w:szCs w:val="22"/>
        </w:rPr>
        <w:t>,</w:t>
      </w:r>
      <w:r w:rsidRPr="007F2682">
        <w:rPr>
          <w:rFonts w:cs="Arial"/>
          <w:szCs w:val="22"/>
        </w:rPr>
        <w:t xml:space="preserve"> respektive změna tržních podílů tedy nemůže být spojována se zveřejněnými nabídkami. Za další je nutno si uvědomit, že zákazníci mohou přecházet z jiných důvodů než jen cenových. Může se jednat například o levnějších volání v rámci omezeného kruhu telefonních čísel, dostupnost a kvalita služby v místě bydliště, nespokojenost s poskytovanými službami a spoustu dalších důvodů. V neposlední řadě je pak nutno upozornit, že každá SIM karta má pro poskytovatele jinou hodnotu (např. výší výnosu) a přechod většího množství SIM karet s nižší hodnotou (např. M2M SIM karet) může vykompenzovat znatelně menší množství hodnotnějších SIM karet.</w:t>
      </w:r>
      <w:r>
        <w:rPr>
          <w:rFonts w:cs="Arial"/>
          <w:szCs w:val="22"/>
        </w:rPr>
        <w:t xml:space="preserve"> I </w:t>
      </w:r>
      <w:r w:rsidRPr="007F2682">
        <w:rPr>
          <w:rFonts w:cs="Arial"/>
          <w:szCs w:val="22"/>
        </w:rPr>
        <w:t>v tomto bodě lze tedy konstatovat, že konstrukt ČTÚ je nesprávný a jeho využití v tržní realitě by bylo nesprávné.</w:t>
      </w:r>
    </w:p>
    <w:p w14:paraId="165E402A" w14:textId="77777777" w:rsidR="00266978" w:rsidRPr="007F2682" w:rsidRDefault="00266978" w:rsidP="00266978">
      <w:pPr>
        <w:ind w:left="357"/>
        <w:rPr>
          <w:rFonts w:cs="Arial"/>
          <w:szCs w:val="22"/>
        </w:rPr>
      </w:pPr>
      <w:r w:rsidRPr="007F2682">
        <w:rPr>
          <w:rFonts w:cs="Arial"/>
          <w:szCs w:val="22"/>
        </w:rPr>
        <w:t xml:space="preserve">Alternativní referenční body ČTÚ správně identifikuje jako problematické a společnost O2 souhlasí s vyhodnocením ČTÚ o nemožnosti jejich potenciálního využití. Zároveň však upozorňuje, že právě variabilita nabídek obsahující </w:t>
      </w:r>
      <w:r>
        <w:rPr>
          <w:rFonts w:cs="Arial"/>
          <w:szCs w:val="22"/>
        </w:rPr>
        <w:t xml:space="preserve">velké </w:t>
      </w:r>
      <w:r w:rsidRPr="007F2682">
        <w:rPr>
          <w:rFonts w:cs="Arial"/>
          <w:szCs w:val="22"/>
        </w:rPr>
        <w:t>množství různé výše datových limitů</w:t>
      </w:r>
      <w:r w:rsidRPr="007F2682">
        <w:rPr>
          <w:rStyle w:val="Znakapoznpodarou"/>
          <w:rFonts w:cs="Arial"/>
          <w:szCs w:val="22"/>
        </w:rPr>
        <w:footnoteReference w:id="16"/>
      </w:r>
      <w:r w:rsidRPr="007F2682">
        <w:rPr>
          <w:rFonts w:cs="Arial"/>
          <w:szCs w:val="22"/>
        </w:rPr>
        <w:t xml:space="preserve">, ale i svázaných výhod ve formě bonusu na koncová zařízení, bonusových jednotek, slevových </w:t>
      </w:r>
      <w:r w:rsidRPr="007F2682">
        <w:rPr>
          <w:rFonts w:cs="Arial"/>
          <w:szCs w:val="22"/>
        </w:rPr>
        <w:lastRenderedPageBreak/>
        <w:t>portálů</w:t>
      </w:r>
      <w:r w:rsidRPr="007F2682">
        <w:rPr>
          <w:rStyle w:val="Znakapoznpodarou"/>
          <w:rFonts w:cs="Arial"/>
          <w:szCs w:val="22"/>
        </w:rPr>
        <w:footnoteReference w:id="17"/>
      </w:r>
      <w:r w:rsidRPr="007F2682">
        <w:rPr>
          <w:rFonts w:cs="Arial"/>
          <w:szCs w:val="22"/>
        </w:rPr>
        <w:t xml:space="preserve"> a dotací do operátorských stránek s obsahem</w:t>
      </w:r>
      <w:r w:rsidRPr="007F2682">
        <w:rPr>
          <w:rStyle w:val="Znakapoznpodarou"/>
          <w:rFonts w:cs="Arial"/>
          <w:szCs w:val="22"/>
        </w:rPr>
        <w:footnoteReference w:id="18"/>
      </w:r>
      <w:r w:rsidRPr="007F2682">
        <w:rPr>
          <w:rFonts w:cs="Arial"/>
          <w:szCs w:val="22"/>
        </w:rPr>
        <w:t xml:space="preserve"> do značné míry znemožňuje orientovat se v tržní nabídce podle datových limitů, ale mimo jiné také podle maloobchodních cen, což ČTÚ chybně vyhodnotil jako možné. </w:t>
      </w:r>
    </w:p>
    <w:p w14:paraId="0F47B47A" w14:textId="7B45860A" w:rsidR="00266978" w:rsidRPr="007F2682" w:rsidRDefault="00266978" w:rsidP="00266978">
      <w:pPr>
        <w:pStyle w:val="Nadpis2"/>
      </w:pPr>
      <w:r w:rsidRPr="007F2682">
        <w:t>Symetrické postavení</w:t>
      </w:r>
      <w:r w:rsidR="0000442B">
        <w:t xml:space="preserve"> (125-127)</w:t>
      </w:r>
    </w:p>
    <w:p w14:paraId="4CE37813" w14:textId="77777777" w:rsidR="00266978" w:rsidRPr="007F2682" w:rsidRDefault="00266978" w:rsidP="00266978">
      <w:pPr>
        <w:pStyle w:val="Podnadpis"/>
      </w:pPr>
      <w:r w:rsidRPr="007F2682">
        <w:t xml:space="preserve">Návrh na doplnění, změnu, zrušení nebo nahrazení textu ustanovení návrhu opatření: </w:t>
      </w:r>
    </w:p>
    <w:p w14:paraId="4D823CE1" w14:textId="77777777" w:rsidR="00266978" w:rsidRPr="007F2682" w:rsidRDefault="00266978" w:rsidP="00266978">
      <w:pPr>
        <w:ind w:left="357"/>
        <w:rPr>
          <w:rFonts w:cs="Arial"/>
          <w:b/>
          <w:szCs w:val="22"/>
        </w:rPr>
      </w:pPr>
      <w:r w:rsidRPr="007F2682">
        <w:rPr>
          <w:rFonts w:cs="Arial"/>
          <w:b/>
          <w:szCs w:val="22"/>
        </w:rPr>
        <w:t>Úprava této kapitoly v tom smyslu, že trh mobilních služeb v České republice se v tomto stavu významně neodchyluje od zahraničních trhů mobilních služeb. Naopak lze v Evropské unii nalézt mnohem koncentrovanější trhy mobilních služeb.</w:t>
      </w:r>
    </w:p>
    <w:p w14:paraId="186664A0" w14:textId="77777777" w:rsidR="00266978" w:rsidRPr="007F2682" w:rsidRDefault="00266978" w:rsidP="00266978">
      <w:pPr>
        <w:pStyle w:val="Podnadpis"/>
      </w:pPr>
      <w:r w:rsidRPr="007F2682">
        <w:t>Odůvodnění:</w:t>
      </w:r>
    </w:p>
    <w:p w14:paraId="2B2EFC48" w14:textId="7FDA946D" w:rsidR="00266978" w:rsidRPr="00DF2155" w:rsidRDefault="00266978" w:rsidP="00266978">
      <w:pPr>
        <w:ind w:left="357"/>
        <w:rPr>
          <w:rFonts w:cs="Arial"/>
          <w:iCs/>
          <w:szCs w:val="22"/>
        </w:rPr>
      </w:pPr>
      <w:r>
        <w:rPr>
          <w:rFonts w:cs="Arial"/>
          <w:szCs w:val="22"/>
        </w:rPr>
        <w:t>V rámci této kapitoly se</w:t>
      </w:r>
      <w:r w:rsidRPr="007F2682">
        <w:rPr>
          <w:rFonts w:cs="Arial"/>
          <w:szCs w:val="22"/>
        </w:rPr>
        <w:t xml:space="preserve"> ČTÚ uchyluje k použití </w:t>
      </w:r>
      <w:proofErr w:type="spellStart"/>
      <w:r w:rsidRPr="007F2682">
        <w:rPr>
          <w:rFonts w:cs="Arial"/>
          <w:szCs w:val="22"/>
        </w:rPr>
        <w:t>Herfindahl</w:t>
      </w:r>
      <w:proofErr w:type="spellEnd"/>
      <w:r w:rsidRPr="007F2682">
        <w:rPr>
          <w:rFonts w:cs="Arial"/>
          <w:szCs w:val="22"/>
        </w:rPr>
        <w:t>–</w:t>
      </w:r>
      <w:proofErr w:type="spellStart"/>
      <w:r w:rsidRPr="007F2682">
        <w:rPr>
          <w:rFonts w:cs="Arial"/>
          <w:szCs w:val="22"/>
        </w:rPr>
        <w:t>Hirschmanova</w:t>
      </w:r>
      <w:proofErr w:type="spellEnd"/>
      <w:r w:rsidRPr="007F2682">
        <w:rPr>
          <w:rFonts w:cs="Arial"/>
          <w:szCs w:val="22"/>
        </w:rPr>
        <w:t xml:space="preserve"> Indexu, kde</w:t>
      </w:r>
      <w:r>
        <w:rPr>
          <w:rFonts w:cs="Arial"/>
          <w:szCs w:val="22"/>
        </w:rPr>
        <w:t>,</w:t>
      </w:r>
      <w:r w:rsidRPr="007F2682">
        <w:rPr>
          <w:rFonts w:cs="Arial"/>
          <w:szCs w:val="22"/>
        </w:rPr>
        <w:t xml:space="preserve"> jak vyplývá ze znění popisu výsledných hodnot, dochází ke svému překvapení ČTÚ k tomu, že v mobilním sektoru, na němž je už ze své podstaty síťového odvětví vždy omezený rozsah poskytovatelů služeb</w:t>
      </w:r>
      <w:r>
        <w:rPr>
          <w:rFonts w:cs="Arial"/>
          <w:szCs w:val="22"/>
        </w:rPr>
        <w:t>,</w:t>
      </w:r>
      <w:r w:rsidRPr="007F2682">
        <w:rPr>
          <w:rFonts w:cs="Arial"/>
          <w:szCs w:val="22"/>
        </w:rPr>
        <w:t xml:space="preserve"> vychází tento ukazatel mírně nad hranicí středně koncentrovaného trhu. Dovolujeme si upozornit, že k obdobnému či spíše k vyššímu výsledku by se došlo na většině zahraničních trhů mobilních služeb. Na další omezení využití tohoto ukazatele v síťových odvětvích odkazujeme například na </w:t>
      </w:r>
      <w:r w:rsidRPr="007F2682">
        <w:rPr>
          <w:rFonts w:cs="Arial"/>
          <w:i/>
          <w:szCs w:val="22"/>
        </w:rPr>
        <w:t xml:space="preserve">Toby </w:t>
      </w:r>
      <w:proofErr w:type="spellStart"/>
      <w:r w:rsidRPr="007F2682">
        <w:rPr>
          <w:rFonts w:cs="Arial"/>
          <w:i/>
          <w:szCs w:val="22"/>
        </w:rPr>
        <w:t>Roberts</w:t>
      </w:r>
      <w:proofErr w:type="spellEnd"/>
      <w:r w:rsidRPr="007F2682">
        <w:rPr>
          <w:rFonts w:cs="Arial"/>
          <w:i/>
          <w:szCs w:val="22"/>
        </w:rPr>
        <w:t xml:space="preserve">, </w:t>
      </w:r>
      <w:proofErr w:type="spellStart"/>
      <w:r w:rsidRPr="007F2682">
        <w:rPr>
          <w:rFonts w:cs="Arial"/>
          <w:i/>
          <w:szCs w:val="22"/>
        </w:rPr>
        <w:t>When</w:t>
      </w:r>
      <w:proofErr w:type="spellEnd"/>
      <w:r w:rsidRPr="007F2682">
        <w:rPr>
          <w:rFonts w:cs="Arial"/>
          <w:i/>
          <w:szCs w:val="22"/>
        </w:rPr>
        <w:t xml:space="preserve"> </w:t>
      </w:r>
      <w:proofErr w:type="spellStart"/>
      <w:r w:rsidRPr="007F2682">
        <w:rPr>
          <w:rFonts w:cs="Arial"/>
          <w:i/>
          <w:szCs w:val="22"/>
        </w:rPr>
        <w:t>Bigger</w:t>
      </w:r>
      <w:proofErr w:type="spellEnd"/>
      <w:r w:rsidRPr="007F2682">
        <w:rPr>
          <w:rFonts w:cs="Arial"/>
          <w:i/>
          <w:szCs w:val="22"/>
        </w:rPr>
        <w:t xml:space="preserve"> </w:t>
      </w:r>
      <w:proofErr w:type="spellStart"/>
      <w:r w:rsidRPr="007F2682">
        <w:rPr>
          <w:rFonts w:cs="Arial"/>
          <w:i/>
          <w:szCs w:val="22"/>
        </w:rPr>
        <w:t>Is</w:t>
      </w:r>
      <w:proofErr w:type="spellEnd"/>
      <w:r w:rsidRPr="007F2682">
        <w:rPr>
          <w:rFonts w:cs="Arial"/>
          <w:i/>
          <w:szCs w:val="22"/>
        </w:rPr>
        <w:t xml:space="preserve"> </w:t>
      </w:r>
      <w:proofErr w:type="spellStart"/>
      <w:r w:rsidRPr="007F2682">
        <w:rPr>
          <w:rFonts w:cs="Arial"/>
          <w:i/>
          <w:szCs w:val="22"/>
        </w:rPr>
        <w:t>Better</w:t>
      </w:r>
      <w:proofErr w:type="spellEnd"/>
      <w:r w:rsidRPr="007F2682">
        <w:rPr>
          <w:rFonts w:cs="Arial"/>
          <w:i/>
          <w:szCs w:val="22"/>
        </w:rPr>
        <w:t xml:space="preserve">: A </w:t>
      </w:r>
      <w:proofErr w:type="spellStart"/>
      <w:r w:rsidRPr="007F2682">
        <w:rPr>
          <w:rFonts w:cs="Arial"/>
          <w:i/>
          <w:szCs w:val="22"/>
        </w:rPr>
        <w:t>Critique</w:t>
      </w:r>
      <w:proofErr w:type="spellEnd"/>
      <w:r w:rsidRPr="007F2682">
        <w:rPr>
          <w:rFonts w:cs="Arial"/>
          <w:i/>
          <w:szCs w:val="22"/>
        </w:rPr>
        <w:t xml:space="preserve"> </w:t>
      </w:r>
      <w:proofErr w:type="spellStart"/>
      <w:r w:rsidRPr="007F2682">
        <w:rPr>
          <w:rFonts w:cs="Arial"/>
          <w:i/>
          <w:szCs w:val="22"/>
        </w:rPr>
        <w:t>of</w:t>
      </w:r>
      <w:proofErr w:type="spellEnd"/>
      <w:r w:rsidRPr="007F2682">
        <w:rPr>
          <w:rFonts w:cs="Arial"/>
          <w:i/>
          <w:szCs w:val="22"/>
        </w:rPr>
        <w:t xml:space="preserve"> </w:t>
      </w:r>
      <w:proofErr w:type="spellStart"/>
      <w:r w:rsidRPr="007F2682">
        <w:rPr>
          <w:rFonts w:cs="Arial"/>
          <w:i/>
          <w:szCs w:val="22"/>
        </w:rPr>
        <w:t>the</w:t>
      </w:r>
      <w:proofErr w:type="spellEnd"/>
      <w:r w:rsidRPr="007F2682">
        <w:rPr>
          <w:rFonts w:cs="Arial"/>
          <w:i/>
          <w:szCs w:val="22"/>
        </w:rPr>
        <w:t xml:space="preserve"> </w:t>
      </w:r>
      <w:proofErr w:type="spellStart"/>
      <w:r w:rsidRPr="007F2682">
        <w:rPr>
          <w:rFonts w:cs="Arial"/>
          <w:i/>
          <w:szCs w:val="22"/>
        </w:rPr>
        <w:t>Herfindahl-Hirschman</w:t>
      </w:r>
      <w:proofErr w:type="spellEnd"/>
      <w:r w:rsidRPr="007F2682">
        <w:rPr>
          <w:rFonts w:cs="Arial"/>
          <w:i/>
          <w:szCs w:val="22"/>
        </w:rPr>
        <w:t xml:space="preserve"> </w:t>
      </w:r>
      <w:proofErr w:type="spellStart"/>
      <w:r w:rsidRPr="007F2682">
        <w:rPr>
          <w:rFonts w:cs="Arial"/>
          <w:i/>
          <w:szCs w:val="22"/>
        </w:rPr>
        <w:t>Index’s</w:t>
      </w:r>
      <w:proofErr w:type="spellEnd"/>
      <w:r w:rsidRPr="007F2682">
        <w:rPr>
          <w:rFonts w:cs="Arial"/>
          <w:i/>
          <w:szCs w:val="22"/>
        </w:rPr>
        <w:t xml:space="preserve"> Use to </w:t>
      </w:r>
      <w:proofErr w:type="spellStart"/>
      <w:r w:rsidRPr="007F2682">
        <w:rPr>
          <w:rFonts w:cs="Arial"/>
          <w:i/>
          <w:szCs w:val="22"/>
        </w:rPr>
        <w:t>Evaluate</w:t>
      </w:r>
      <w:proofErr w:type="spellEnd"/>
      <w:r w:rsidRPr="007F2682">
        <w:rPr>
          <w:rFonts w:cs="Arial"/>
          <w:i/>
          <w:szCs w:val="22"/>
        </w:rPr>
        <w:t xml:space="preserve"> </w:t>
      </w:r>
      <w:proofErr w:type="spellStart"/>
      <w:r w:rsidRPr="007F2682">
        <w:rPr>
          <w:rFonts w:cs="Arial"/>
          <w:i/>
          <w:szCs w:val="22"/>
        </w:rPr>
        <w:t>Mergers</w:t>
      </w:r>
      <w:proofErr w:type="spellEnd"/>
      <w:r w:rsidRPr="007F2682">
        <w:rPr>
          <w:rFonts w:cs="Arial"/>
          <w:i/>
          <w:szCs w:val="22"/>
        </w:rPr>
        <w:t xml:space="preserve"> in Network </w:t>
      </w:r>
      <w:proofErr w:type="spellStart"/>
      <w:r w:rsidRPr="007F2682">
        <w:rPr>
          <w:rFonts w:cs="Arial"/>
          <w:i/>
          <w:szCs w:val="22"/>
        </w:rPr>
        <w:t>Industries</w:t>
      </w:r>
      <w:proofErr w:type="spellEnd"/>
      <w:r w:rsidRPr="007F2682">
        <w:rPr>
          <w:rFonts w:cs="Arial"/>
          <w:i/>
          <w:szCs w:val="22"/>
        </w:rPr>
        <w:t xml:space="preserve">, 34 Pace L. </w:t>
      </w:r>
      <w:proofErr w:type="spellStart"/>
      <w:r w:rsidRPr="007F2682">
        <w:rPr>
          <w:rFonts w:cs="Arial"/>
          <w:i/>
          <w:szCs w:val="22"/>
        </w:rPr>
        <w:t>Rev</w:t>
      </w:r>
      <w:proofErr w:type="spellEnd"/>
      <w:r w:rsidRPr="007F2682">
        <w:rPr>
          <w:rFonts w:cs="Arial"/>
          <w:i/>
          <w:szCs w:val="22"/>
        </w:rPr>
        <w:t>. 894 (2014).</w:t>
      </w:r>
      <w:r w:rsidR="00DF2155">
        <w:rPr>
          <w:rFonts w:cs="Arial"/>
          <w:i/>
          <w:szCs w:val="22"/>
        </w:rPr>
        <w:t xml:space="preserve"> </w:t>
      </w:r>
      <w:r w:rsidR="00DF2155">
        <w:rPr>
          <w:rFonts w:cs="Arial"/>
          <w:iCs/>
          <w:szCs w:val="22"/>
        </w:rPr>
        <w:t>Ani vývoj tohoto ukazatele nijak nenaznačuje, že by docházelo ke zvyšování koncentrace.</w:t>
      </w:r>
    </w:p>
    <w:p w14:paraId="44912BCD" w14:textId="03871B82" w:rsidR="00266978" w:rsidRDefault="00266978" w:rsidP="00266978">
      <w:pPr>
        <w:ind w:left="357"/>
        <w:rPr>
          <w:rFonts w:cs="Arial"/>
          <w:szCs w:val="22"/>
        </w:rPr>
      </w:pPr>
      <w:r>
        <w:rPr>
          <w:rFonts w:cs="Arial"/>
          <w:szCs w:val="22"/>
        </w:rPr>
        <w:t xml:space="preserve">Fakt, že na českém mobilním trhu existují pouze 3 subjekty </w:t>
      </w:r>
      <w:r w:rsidRPr="00DF16CA">
        <w:rPr>
          <w:rFonts w:cs="Arial"/>
          <w:szCs w:val="22"/>
        </w:rPr>
        <w:t>dosahují</w:t>
      </w:r>
      <w:r>
        <w:rPr>
          <w:rFonts w:cs="Arial"/>
          <w:szCs w:val="22"/>
        </w:rPr>
        <w:t>cí tržní</w:t>
      </w:r>
      <w:r w:rsidRPr="00DF16CA">
        <w:rPr>
          <w:rFonts w:cs="Arial"/>
          <w:szCs w:val="22"/>
        </w:rPr>
        <w:t xml:space="preserve"> podíl nad 20 %</w:t>
      </w:r>
      <w:r>
        <w:rPr>
          <w:rFonts w:cs="Arial"/>
          <w:szCs w:val="22"/>
        </w:rPr>
        <w:t xml:space="preserve"> je informace nijak se neodchylující od jiných evropských trhů.</w:t>
      </w:r>
    </w:p>
    <w:p w14:paraId="17758345" w14:textId="3CA7BB33" w:rsidR="00F869EB" w:rsidRDefault="0020066D" w:rsidP="00266978">
      <w:pPr>
        <w:ind w:left="357"/>
        <w:rPr>
          <w:rFonts w:cs="Arial"/>
          <w:szCs w:val="22"/>
        </w:rPr>
      </w:pPr>
      <w:r>
        <w:rPr>
          <w:rFonts w:cs="Arial"/>
          <w:szCs w:val="22"/>
        </w:rPr>
        <w:t>Spekulace o nejdřívějším vstupu</w:t>
      </w:r>
      <w:r w:rsidR="003220D2">
        <w:rPr>
          <w:rFonts w:cs="Arial"/>
          <w:szCs w:val="22"/>
        </w:rPr>
        <w:t xml:space="preserve"> subjektu na trh skrze národní roaming v roce 2024 komentujeme v jiné části připomínek.</w:t>
      </w:r>
    </w:p>
    <w:p w14:paraId="104A228E" w14:textId="522BD492" w:rsidR="00266978" w:rsidRDefault="00266978" w:rsidP="00266978">
      <w:pPr>
        <w:ind w:left="357"/>
        <w:rPr>
          <w:rFonts w:cs="Arial"/>
          <w:szCs w:val="22"/>
        </w:rPr>
      </w:pPr>
      <w:r w:rsidRPr="007F2682">
        <w:rPr>
          <w:rFonts w:cs="Arial"/>
          <w:szCs w:val="22"/>
        </w:rPr>
        <w:t xml:space="preserve">Závěrem je nutné zopakovat, že trh mobilních služeb je ze své podstaty síťového odvětví koncentrovanější než některé jiné tržní sektory, ale nejsme toho názoru, že by v České republice </w:t>
      </w:r>
      <w:r>
        <w:rPr>
          <w:rFonts w:cs="Arial"/>
          <w:szCs w:val="22"/>
        </w:rPr>
        <w:t xml:space="preserve">na rozdíl od ostatních členských států </w:t>
      </w:r>
      <w:r w:rsidRPr="007F2682">
        <w:rPr>
          <w:rFonts w:cs="Arial"/>
          <w:szCs w:val="22"/>
        </w:rPr>
        <w:t xml:space="preserve">nefungovaly </w:t>
      </w:r>
      <w:r>
        <w:rPr>
          <w:rFonts w:cs="Arial"/>
          <w:szCs w:val="22"/>
        </w:rPr>
        <w:t xml:space="preserve">na tomto trhu </w:t>
      </w:r>
      <w:r w:rsidRPr="007F2682">
        <w:rPr>
          <w:rFonts w:cs="Arial"/>
          <w:szCs w:val="22"/>
        </w:rPr>
        <w:t>efektivní konkurenční procesy.</w:t>
      </w:r>
    </w:p>
    <w:p w14:paraId="11436F4C" w14:textId="540EFC1F" w:rsidR="00C80BCC" w:rsidRPr="007F2682" w:rsidRDefault="00C80BCC" w:rsidP="00C80BCC">
      <w:pPr>
        <w:pStyle w:val="Nadpis2"/>
      </w:pPr>
      <w:r w:rsidRPr="007F2682">
        <w:t>Homogenita služeb</w:t>
      </w:r>
      <w:r w:rsidR="000F2B10">
        <w:t xml:space="preserve"> (s. 128)</w:t>
      </w:r>
    </w:p>
    <w:p w14:paraId="63115FD1" w14:textId="77777777" w:rsidR="00C80BCC" w:rsidRPr="007F2682" w:rsidRDefault="00C80BCC" w:rsidP="00C80BCC">
      <w:pPr>
        <w:pStyle w:val="Podnadpis"/>
      </w:pPr>
      <w:r w:rsidRPr="007F2682">
        <w:t xml:space="preserve">Návrh na doplnění, změnu, zrušení nebo nahrazení textu ustanovení návrhu opatření: </w:t>
      </w:r>
    </w:p>
    <w:p w14:paraId="2C95D162" w14:textId="77777777" w:rsidR="00C80BCC" w:rsidRPr="007F2682" w:rsidRDefault="00C80BCC" w:rsidP="00C80BCC">
      <w:pPr>
        <w:ind w:left="357"/>
        <w:rPr>
          <w:rFonts w:cs="Arial"/>
          <w:b/>
          <w:szCs w:val="22"/>
        </w:rPr>
      </w:pPr>
      <w:r w:rsidRPr="007F2682">
        <w:rPr>
          <w:rFonts w:cs="Arial"/>
          <w:b/>
          <w:szCs w:val="22"/>
        </w:rPr>
        <w:t>S ohledem na heterogenitu v tržních podílech, balíčkování služeb a rozdílné nadstavbové vlastnosti mobilních sítí označit toto dílčí kritérium za zcela nesplněné.</w:t>
      </w:r>
    </w:p>
    <w:p w14:paraId="0A8E6B21" w14:textId="77777777" w:rsidR="00C80BCC" w:rsidRPr="007F2682" w:rsidRDefault="00C80BCC" w:rsidP="00C80BCC">
      <w:pPr>
        <w:pStyle w:val="Podnadpis"/>
      </w:pPr>
      <w:r w:rsidRPr="007F2682">
        <w:lastRenderedPageBreak/>
        <w:t>Odůvodnění:</w:t>
      </w:r>
    </w:p>
    <w:p w14:paraId="14B09241" w14:textId="77777777" w:rsidR="00C80BCC" w:rsidRPr="00141939" w:rsidRDefault="00C80BCC" w:rsidP="00C80BCC">
      <w:pPr>
        <w:ind w:left="357"/>
        <w:rPr>
          <w:rFonts w:cs="Arial"/>
          <w:b/>
          <w:szCs w:val="22"/>
        </w:rPr>
      </w:pPr>
      <w:r w:rsidRPr="007F2682">
        <w:rPr>
          <w:rFonts w:cs="Arial"/>
          <w:szCs w:val="22"/>
        </w:rPr>
        <w:t>ČTÚ správně identifikoval, že nabídka síťových operátorů je do značné míry heterogenní. Tuto heterogenitu lze pozorovat také v rozdílných tržních podílech a skladbě nabídky jednotlivých poskytovaných služeb elektronických komunikací – mobilních, pevných služeb a služeb převzatého rozhlasového a televizního vysílání metodou současného kontinuálního přenosu a ve zpřístupnění audiovizuálních děl. Jak je již zmíněno výše</w:t>
      </w:r>
      <w:r>
        <w:rPr>
          <w:rFonts w:cs="Arial"/>
          <w:szCs w:val="22"/>
        </w:rPr>
        <w:t>,</w:t>
      </w:r>
      <w:r w:rsidRPr="007F2682">
        <w:rPr>
          <w:rFonts w:cs="Arial"/>
          <w:szCs w:val="22"/>
        </w:rPr>
        <w:t xml:space="preserve"> </w:t>
      </w:r>
      <w:r>
        <w:rPr>
          <w:rFonts w:cs="Arial"/>
          <w:szCs w:val="22"/>
        </w:rPr>
        <w:t>síťový i virtuální</w:t>
      </w:r>
      <w:r w:rsidRPr="007F2682">
        <w:rPr>
          <w:rFonts w:cs="Arial"/>
          <w:szCs w:val="22"/>
        </w:rPr>
        <w:t> operáto</w:t>
      </w:r>
      <w:r>
        <w:rPr>
          <w:rFonts w:cs="Arial"/>
          <w:szCs w:val="22"/>
        </w:rPr>
        <w:t>ři</w:t>
      </w:r>
      <w:r w:rsidRPr="007F2682">
        <w:rPr>
          <w:rFonts w:cs="Arial"/>
          <w:szCs w:val="22"/>
        </w:rPr>
        <w:t xml:space="preserve"> nabízí také různé druhy bonusů a doplňkových služeb, čímž se snaží získat konkurenční výhodu poskytnutím lepších a kvalitnějších služeb. Také tzv. balíčkování a rozdílný přístup k jeho skladbě výrazně ovlivňuje heterogenitu nabízených služeb a nabízí možnost ideálního zvolení kombinace služeb pro větší množství zákazníků.</w:t>
      </w:r>
      <w:r w:rsidRPr="007F2682">
        <w:t xml:space="preserve"> </w:t>
      </w:r>
      <w:r w:rsidRPr="007F2682">
        <w:rPr>
          <w:rFonts w:cs="Arial"/>
          <w:szCs w:val="22"/>
        </w:rPr>
        <w:t xml:space="preserve">Všeobecně známou a doložitelnou skutečností je existence mohutných marketingových týmů a obrovských finančních výdajů všech tří mobilních operátorů na marketing a podporu svých produktů. V neposlední řadě je třeba uvést velmi významné právní spory, které mezi sebou mobilní operátoři vedou na různých úrovních soudního systému a správních institucí. Všechny tyto skutečnosti zcela popírají logiku vzniku a existence </w:t>
      </w:r>
      <w:proofErr w:type="spellStart"/>
      <w:r w:rsidRPr="007F2682">
        <w:rPr>
          <w:rFonts w:cs="Arial"/>
          <w:szCs w:val="22"/>
        </w:rPr>
        <w:t>tacitní</w:t>
      </w:r>
      <w:proofErr w:type="spellEnd"/>
      <w:r w:rsidRPr="007F2682">
        <w:rPr>
          <w:rFonts w:cs="Arial"/>
          <w:szCs w:val="22"/>
        </w:rPr>
        <w:t xml:space="preserve"> koluze</w:t>
      </w:r>
      <w:r w:rsidRPr="00141939">
        <w:rPr>
          <w:rFonts w:cs="Arial"/>
          <w:b/>
          <w:szCs w:val="22"/>
        </w:rPr>
        <w:t xml:space="preserve">. K heterogenitě dochází i přes to, že je trh stále více svazován cenovou a jinou regulací nedovolující odklon od konkrétně daných podmínek jako je např. regulace roamingu a mezinárodního volání a SMS v Evropské unii nebo síťová neutralita, která ve svém důsledku způsobila ke škodě zákazníků ukončení </w:t>
      </w:r>
      <w:r>
        <w:rPr>
          <w:rFonts w:cs="Arial"/>
          <w:b/>
          <w:szCs w:val="22"/>
        </w:rPr>
        <w:t xml:space="preserve">či omezení </w:t>
      </w:r>
      <w:r w:rsidRPr="00141939">
        <w:rPr>
          <w:rFonts w:cs="Arial"/>
          <w:b/>
          <w:szCs w:val="22"/>
        </w:rPr>
        <w:t>několika produktů na telekomunikačním trhu.</w:t>
      </w:r>
    </w:p>
    <w:p w14:paraId="54E7831B" w14:textId="77777777" w:rsidR="00C80BCC" w:rsidRPr="007F2682" w:rsidRDefault="00C80BCC" w:rsidP="00C80BCC">
      <w:pPr>
        <w:ind w:left="357"/>
        <w:rPr>
          <w:rFonts w:cs="Arial"/>
          <w:szCs w:val="22"/>
        </w:rPr>
      </w:pPr>
      <w:r w:rsidRPr="007F2682">
        <w:rPr>
          <w:rFonts w:cs="Arial"/>
          <w:szCs w:val="22"/>
        </w:rPr>
        <w:t xml:space="preserve">Heterogenitu služeb lze pozorovat také v technických aspektech </w:t>
      </w:r>
      <w:r>
        <w:rPr>
          <w:rFonts w:cs="Arial"/>
          <w:szCs w:val="22"/>
        </w:rPr>
        <w:t xml:space="preserve">a funckionalitách </w:t>
      </w:r>
      <w:r w:rsidRPr="007F2682">
        <w:rPr>
          <w:rFonts w:cs="Arial"/>
          <w:szCs w:val="22"/>
        </w:rPr>
        <w:t xml:space="preserve">sítí jednotlivých operátorů. O prvenství v poskytovaných </w:t>
      </w:r>
      <w:r>
        <w:rPr>
          <w:rFonts w:cs="Arial"/>
          <w:szCs w:val="22"/>
        </w:rPr>
        <w:t xml:space="preserve">nových technologií a jejich dostupnosti a kvalitě jako je 5G nebo v </w:t>
      </w:r>
      <w:r w:rsidRPr="007F2682">
        <w:rPr>
          <w:rFonts w:cs="Arial"/>
          <w:szCs w:val="22"/>
        </w:rPr>
        <w:t xml:space="preserve">nadstavbových službách umožňující lepší zákaznickou zkušenost jako je </w:t>
      </w:r>
      <w:proofErr w:type="spellStart"/>
      <w:r w:rsidRPr="007F2682">
        <w:rPr>
          <w:rFonts w:cs="Arial"/>
          <w:szCs w:val="22"/>
        </w:rPr>
        <w:t>VoLTE</w:t>
      </w:r>
      <w:proofErr w:type="spellEnd"/>
      <w:r w:rsidRPr="007F2682">
        <w:rPr>
          <w:rFonts w:cs="Arial"/>
          <w:szCs w:val="22"/>
        </w:rPr>
        <w:t xml:space="preserve">, </w:t>
      </w:r>
      <w:proofErr w:type="spellStart"/>
      <w:r w:rsidRPr="007F2682">
        <w:rPr>
          <w:rFonts w:cs="Arial"/>
          <w:szCs w:val="22"/>
        </w:rPr>
        <w:t>VoWifi</w:t>
      </w:r>
      <w:proofErr w:type="spellEnd"/>
      <w:r w:rsidRPr="007F2682">
        <w:rPr>
          <w:rFonts w:cs="Arial"/>
          <w:szCs w:val="22"/>
        </w:rPr>
        <w:t xml:space="preserve"> a další podobné služby lze v posledních letech pozorovat silné soupeření mezi mobilními síťovými operátory k získání výhody oproti konkurenci.</w:t>
      </w:r>
    </w:p>
    <w:p w14:paraId="509D8530" w14:textId="705E06CD" w:rsidR="00C80BCC" w:rsidRPr="007F2682" w:rsidRDefault="00C80BCC" w:rsidP="00C80BCC">
      <w:pPr>
        <w:ind w:left="357"/>
        <w:rPr>
          <w:rFonts w:cs="Arial"/>
          <w:szCs w:val="22"/>
        </w:rPr>
      </w:pPr>
      <w:r w:rsidRPr="007F2682">
        <w:rPr>
          <w:rFonts w:cs="Arial"/>
          <w:szCs w:val="22"/>
        </w:rPr>
        <w:t xml:space="preserve">K úřadem identifikovaným homogenním znakům sítí je opět nutno podotknout, že si lze těžko představit mobilní síť s regionálním rozsahem poskytovaných služeb nebo neužívání standardizovaných koncových zařízení v sítích 2G, </w:t>
      </w:r>
      <w:r>
        <w:rPr>
          <w:rFonts w:cs="Arial"/>
          <w:szCs w:val="22"/>
        </w:rPr>
        <w:t>4G a 5G</w:t>
      </w:r>
      <w:r w:rsidRPr="007F2682">
        <w:rPr>
          <w:rFonts w:cs="Arial"/>
          <w:szCs w:val="22"/>
        </w:rPr>
        <w:t>. Homogenitu poskytovaných služeb v obdobných aspektech a rozsahu bychom zcela jistě našli u velkého množství sektorů</w:t>
      </w:r>
      <w:r>
        <w:rPr>
          <w:rFonts w:cs="Arial"/>
          <w:szCs w:val="22"/>
        </w:rPr>
        <w:t xml:space="preserve"> </w:t>
      </w:r>
      <w:r w:rsidRPr="007F2682">
        <w:rPr>
          <w:rFonts w:cs="Arial"/>
          <w:szCs w:val="22"/>
        </w:rPr>
        <w:t>v ekonomice.</w:t>
      </w:r>
      <w:r>
        <w:rPr>
          <w:rFonts w:cs="Arial"/>
          <w:szCs w:val="22"/>
        </w:rPr>
        <w:t xml:space="preserve"> ČTÚ v návrhu analýzy ani v tomto bodě neprokázal, že se situace v České republice liší od situace na trzích ostatních členských států, kde </w:t>
      </w:r>
      <w:proofErr w:type="spellStart"/>
      <w:r>
        <w:rPr>
          <w:rFonts w:cs="Arial"/>
          <w:szCs w:val="22"/>
        </w:rPr>
        <w:t>tříkriteriální</w:t>
      </w:r>
      <w:proofErr w:type="spellEnd"/>
      <w:r>
        <w:rPr>
          <w:rFonts w:cs="Arial"/>
          <w:szCs w:val="22"/>
        </w:rPr>
        <w:t xml:space="preserve"> test neprokázal homogenitu služeb.</w:t>
      </w:r>
    </w:p>
    <w:p w14:paraId="383D9F9D" w14:textId="77777777" w:rsidR="00FF4AF3" w:rsidRDefault="00FF4AF3" w:rsidP="00FF4AF3">
      <w:pPr>
        <w:pStyle w:val="Nadpis2"/>
      </w:pPr>
      <w:r>
        <w:t xml:space="preserve">Výhodnost </w:t>
      </w:r>
      <w:proofErr w:type="spellStart"/>
      <w:r>
        <w:t>tacitní</w:t>
      </w:r>
      <w:proofErr w:type="spellEnd"/>
      <w:r>
        <w:t xml:space="preserve"> koluze z hlediska dlouhodobého zisku (s. 129-130)</w:t>
      </w:r>
    </w:p>
    <w:p w14:paraId="2F2110D8" w14:textId="77777777" w:rsidR="00FF4AF3" w:rsidRPr="007F2682" w:rsidRDefault="00FF4AF3" w:rsidP="00FF4AF3">
      <w:pPr>
        <w:pStyle w:val="Podnadpis"/>
      </w:pPr>
      <w:r w:rsidRPr="007F2682">
        <w:t xml:space="preserve">Návrh na doplnění, změnu, zrušení nebo nahrazení textu ustanovení návrhu opatření: </w:t>
      </w:r>
    </w:p>
    <w:p w14:paraId="228FFAE6" w14:textId="77777777" w:rsidR="00FF4AF3" w:rsidRPr="007F2682" w:rsidRDefault="00FF4AF3" w:rsidP="00FF4AF3">
      <w:pPr>
        <w:ind w:left="357"/>
        <w:rPr>
          <w:rFonts w:cs="Arial"/>
          <w:b/>
          <w:szCs w:val="22"/>
        </w:rPr>
      </w:pPr>
      <w:r>
        <w:rPr>
          <w:rFonts w:cs="Arial"/>
          <w:b/>
          <w:szCs w:val="22"/>
        </w:rPr>
        <w:t>Změnit vyhodnocení odstavce na řádcích 3229-3242 a celé podkapitoly.</w:t>
      </w:r>
    </w:p>
    <w:p w14:paraId="08990786" w14:textId="77777777" w:rsidR="00FF4AF3" w:rsidRPr="007F2682" w:rsidRDefault="00FF4AF3" w:rsidP="00FF4AF3">
      <w:pPr>
        <w:pStyle w:val="Podnadpis"/>
      </w:pPr>
      <w:r w:rsidRPr="007F2682">
        <w:lastRenderedPageBreak/>
        <w:t>Odůvodnění:</w:t>
      </w:r>
    </w:p>
    <w:p w14:paraId="71C25B78" w14:textId="57F62B63" w:rsidR="00FF4AF3" w:rsidRDefault="00FF4AF3" w:rsidP="00FF4AF3">
      <w:pPr>
        <w:ind w:left="454"/>
        <w:rPr>
          <w:rFonts w:cs="Arial"/>
          <w:szCs w:val="22"/>
        </w:rPr>
      </w:pPr>
      <w:r>
        <w:rPr>
          <w:rFonts w:cs="Arial"/>
          <w:szCs w:val="22"/>
        </w:rPr>
        <w:t>ČTÚ nově doplnil do analýzy grafy, které mají prezentovat navyšování výnosu na 1 SIM v posledních letech (ve skutečnosti se jedná prakticky o stagnaci). Avšak tyto grafy prezentují nominální hodnoty, a to jak z pohledu hodnoty peněz, tak z pohledu významu služeb pro zákazníky. Kumulovaná inflace přitom za uváděné období překročila 12 % a je nepochybné, že oproti roku 2014, kdy začali operátoři masivně investovat do rozvoje 4G sítě, je význam mobilních služeb pro zákazníky mnohem vyšší (a tomu odpovídá jejich složení). Skutečnost, že se nominální výnos na 1 SIM i přes násobně jiné složení tarifních portfolií prakticky nezměnil je tak naopak známkou konkurenčního prostředí.</w:t>
      </w:r>
      <w:r w:rsidR="00B60C3A" w:rsidRPr="00B60C3A">
        <w:t xml:space="preserve"> </w:t>
      </w:r>
      <w:r w:rsidR="00B60C3A" w:rsidRPr="00B60C3A">
        <w:rPr>
          <w:rFonts w:cs="Arial"/>
          <w:szCs w:val="22"/>
        </w:rPr>
        <w:t>Změnu složení tarifů a spotřeby zákazníků hodnocení výnosů na 1 SIM nijak nezohledňovalo.</w:t>
      </w:r>
    </w:p>
    <w:p w14:paraId="483C08D9" w14:textId="77777777" w:rsidR="00FF4AF3" w:rsidRDefault="00FF4AF3" w:rsidP="00FF4AF3">
      <w:pPr>
        <w:ind w:left="357"/>
        <w:rPr>
          <w:rFonts w:cs="Arial"/>
          <w:szCs w:val="22"/>
        </w:rPr>
      </w:pPr>
      <w:r w:rsidRPr="00141939">
        <w:rPr>
          <w:rFonts w:cs="Arial"/>
          <w:b/>
          <w:szCs w:val="22"/>
        </w:rPr>
        <w:t>Závěrům této kapitoly odporuje především fakt, který ČTÚ zveřejnil v tabulce č. 16 na straně</w:t>
      </w:r>
      <w:r>
        <w:rPr>
          <w:rFonts w:cs="Arial"/>
          <w:b/>
          <w:szCs w:val="22"/>
        </w:rPr>
        <w:t xml:space="preserve"> 69 předběžné a</w:t>
      </w:r>
      <w:r w:rsidRPr="00141939">
        <w:rPr>
          <w:rFonts w:cs="Arial"/>
          <w:b/>
          <w:szCs w:val="22"/>
        </w:rPr>
        <w:t xml:space="preserve">nalýzy </w:t>
      </w:r>
      <w:r>
        <w:rPr>
          <w:rFonts w:cs="Arial"/>
          <w:b/>
          <w:szCs w:val="22"/>
        </w:rPr>
        <w:t xml:space="preserve">z roku 2019 </w:t>
      </w:r>
      <w:r w:rsidRPr="00141939">
        <w:rPr>
          <w:rFonts w:cs="Arial"/>
          <w:b/>
          <w:szCs w:val="22"/>
        </w:rPr>
        <w:t>a týkající se podílu neveřejných nabídek, rodinných tarifů a speciálních datových balíčků u operátorů. Ten svědčí o výrazném konkurenčním boji i v segmentu spotřebitelů.</w:t>
      </w:r>
      <w:r w:rsidRPr="007F2682">
        <w:rPr>
          <w:rFonts w:cs="Arial"/>
          <w:szCs w:val="22"/>
        </w:rPr>
        <w:t xml:space="preserve"> Dalším významným faktorem je již ČTÚ v </w:t>
      </w:r>
      <w:proofErr w:type="spellStart"/>
      <w:r w:rsidRPr="007F2682">
        <w:rPr>
          <w:rFonts w:cs="Arial"/>
          <w:szCs w:val="22"/>
        </w:rPr>
        <w:t>tříkriteriálním</w:t>
      </w:r>
      <w:proofErr w:type="spellEnd"/>
      <w:r w:rsidRPr="007F2682">
        <w:rPr>
          <w:rFonts w:cs="Arial"/>
          <w:szCs w:val="22"/>
        </w:rPr>
        <w:t xml:space="preserve"> testu uznaný fakt, že značný problém i identifikaci segmentů a skupin zákazníků způsobuje existence šedých operátorů, zaměstnaneckých programů a spolků, které zahrnují poskytování služeb části spotřebitelů</w:t>
      </w:r>
      <w:r>
        <w:rPr>
          <w:rFonts w:cs="Arial"/>
          <w:szCs w:val="22"/>
        </w:rPr>
        <w:t>, více viz výše</w:t>
      </w:r>
      <w:r w:rsidRPr="007F2682">
        <w:rPr>
          <w:rFonts w:cs="Arial"/>
          <w:szCs w:val="22"/>
        </w:rPr>
        <w:t xml:space="preserve">. Ceníkové ceny, ve kterých lze i přes nepravdivé tvrzení ČTÚ také pozorovat významnou heterogenitu a časté změny zvyšující přidanou hodnotu služeb za stejnou či nižší peněžitou částku, tak ve skutečnosti nejsou ukazatelem pro </w:t>
      </w:r>
      <w:r>
        <w:rPr>
          <w:rFonts w:cs="Arial"/>
          <w:szCs w:val="22"/>
        </w:rPr>
        <w:t>značnou</w:t>
      </w:r>
      <w:r w:rsidRPr="007F2682">
        <w:rPr>
          <w:rFonts w:cs="Arial"/>
          <w:szCs w:val="22"/>
        </w:rPr>
        <w:t xml:space="preserve"> část poskytovaných služeb domácnostem</w:t>
      </w:r>
      <w:r>
        <w:rPr>
          <w:rFonts w:cs="Arial"/>
          <w:szCs w:val="22"/>
        </w:rPr>
        <w:t xml:space="preserve"> (ceníkové ceny a služby neodpovídají realitě)</w:t>
      </w:r>
      <w:r w:rsidRPr="007F2682">
        <w:rPr>
          <w:rFonts w:cs="Arial"/>
          <w:szCs w:val="22"/>
        </w:rPr>
        <w:t>.</w:t>
      </w:r>
    </w:p>
    <w:p w14:paraId="2A781DC9" w14:textId="4F9AFF9F" w:rsidR="00F96CDC" w:rsidRDefault="00F96CDC" w:rsidP="00F96CDC">
      <w:pPr>
        <w:pStyle w:val="Nadpis2"/>
      </w:pPr>
      <w:r>
        <w:t>Konvergence cenové politiky (130-131)</w:t>
      </w:r>
    </w:p>
    <w:p w14:paraId="5D1B648F" w14:textId="77777777" w:rsidR="00F96CDC" w:rsidRPr="007F2682" w:rsidRDefault="00F96CDC" w:rsidP="00F96CDC">
      <w:pPr>
        <w:pStyle w:val="Podnadpis"/>
      </w:pPr>
      <w:r w:rsidRPr="007F2682">
        <w:t xml:space="preserve">Návrh na doplnění, změnu, zrušení nebo nahrazení textu ustanovení návrhu opatření: </w:t>
      </w:r>
    </w:p>
    <w:p w14:paraId="7EEDB928" w14:textId="4DC5CF95" w:rsidR="00F96CDC" w:rsidRPr="004B3D51" w:rsidRDefault="00A6463E" w:rsidP="00F96CDC">
      <w:pPr>
        <w:ind w:left="284"/>
      </w:pPr>
      <w:r>
        <w:rPr>
          <w:rFonts w:cs="Arial"/>
          <w:b/>
          <w:szCs w:val="22"/>
        </w:rPr>
        <w:t>Změnit vyhodnocení kapitoly o konvergenci cenové politiky</w:t>
      </w:r>
    </w:p>
    <w:p w14:paraId="00E5335D" w14:textId="77777777" w:rsidR="00F96CDC" w:rsidRPr="007F2682" w:rsidRDefault="00F96CDC" w:rsidP="00F96CDC">
      <w:pPr>
        <w:pStyle w:val="Podnadpis"/>
      </w:pPr>
      <w:r w:rsidRPr="007F2682">
        <w:t>Odůvodnění:</w:t>
      </w:r>
    </w:p>
    <w:p w14:paraId="73F025C3" w14:textId="77777777" w:rsidR="00F96CDC" w:rsidRDefault="00F96CDC" w:rsidP="00F96CDC">
      <w:pPr>
        <w:ind w:left="357"/>
        <w:rPr>
          <w:rFonts w:cs="Arial"/>
          <w:szCs w:val="22"/>
        </w:rPr>
      </w:pPr>
      <w:r w:rsidRPr="00A87243">
        <w:rPr>
          <w:rFonts w:cs="Arial"/>
          <w:szCs w:val="22"/>
        </w:rPr>
        <w:t>Nemůžeme souhlasit ani s údajnou konvergencí cenové politiky, kde ČTÚ na základě pouhých 3 tržních reakcí v letech 2013-2019 usoudil, že je na trhu potlačena cenová soutěž a tento stav trvá nejméně posledních 7 let. V tomto ohledu je zajímavým faktem, že si veřejná správa v jejíž gesci je telekomunikační sektor silně protiřečí, když Ministerstvo průmyslu a obchodu ve své tiskové zprávě z 10. 9. 2021 mluví o poklesu ceny mobilních dat o 50 % za poslední 2 roky a samo zmiňuje rozdílný přístup k maloobchodním nabídkám jednotlivých síťových operátorů.</w:t>
      </w:r>
      <w:r>
        <w:rPr>
          <w:rStyle w:val="Znakapoznpodarou"/>
          <w:rFonts w:cs="Arial"/>
          <w:szCs w:val="22"/>
        </w:rPr>
        <w:footnoteReference w:id="19"/>
      </w:r>
    </w:p>
    <w:p w14:paraId="5A130E93" w14:textId="77777777" w:rsidR="00272094" w:rsidRPr="007F2682" w:rsidRDefault="00272094" w:rsidP="00272094">
      <w:pPr>
        <w:pStyle w:val="Nadpis2"/>
      </w:pPr>
      <w:r w:rsidRPr="007F2682">
        <w:lastRenderedPageBreak/>
        <w:t>Způsobilost k </w:t>
      </w:r>
      <w:proofErr w:type="spellStart"/>
      <w:r w:rsidRPr="007F2682">
        <w:t>tacitní</w:t>
      </w:r>
      <w:proofErr w:type="spellEnd"/>
      <w:r w:rsidRPr="007F2682">
        <w:t xml:space="preserve"> koluzi</w:t>
      </w:r>
      <w:r w:rsidRPr="003E6730">
        <w:t xml:space="preserve"> a transparentnost trhu</w:t>
      </w:r>
      <w:r>
        <w:t xml:space="preserve"> (s. 122-131)</w:t>
      </w:r>
    </w:p>
    <w:p w14:paraId="28230CF9" w14:textId="77777777" w:rsidR="00272094" w:rsidRPr="007F2682" w:rsidRDefault="00272094" w:rsidP="00272094">
      <w:pPr>
        <w:pStyle w:val="Podnadpis"/>
      </w:pPr>
      <w:r w:rsidRPr="007F2682">
        <w:t xml:space="preserve">Návrh na doplnění, změnu, zrušení nebo nahrazení textu ustanovení návrhu opatření: </w:t>
      </w:r>
    </w:p>
    <w:p w14:paraId="63B571B0" w14:textId="77777777" w:rsidR="00272094" w:rsidRPr="007F2682" w:rsidRDefault="00272094" w:rsidP="00272094">
      <w:pPr>
        <w:ind w:left="357"/>
        <w:rPr>
          <w:rFonts w:cs="Arial"/>
          <w:b/>
          <w:szCs w:val="22"/>
        </w:rPr>
      </w:pPr>
      <w:r w:rsidRPr="007F2682">
        <w:rPr>
          <w:rFonts w:cs="Arial"/>
          <w:b/>
          <w:szCs w:val="22"/>
        </w:rPr>
        <w:t>S ohledem k uvedeným argumentům v předchozích připomínkách označit toto dílčí kritérium za nesplněné.</w:t>
      </w:r>
    </w:p>
    <w:p w14:paraId="42D766D9" w14:textId="77777777" w:rsidR="00272094" w:rsidRPr="007F2682" w:rsidRDefault="00272094" w:rsidP="00272094">
      <w:pPr>
        <w:pStyle w:val="Podnadpis"/>
      </w:pPr>
      <w:r w:rsidRPr="007F2682">
        <w:t>Odůvodnění:</w:t>
      </w:r>
    </w:p>
    <w:p w14:paraId="5C915A9D" w14:textId="77777777" w:rsidR="00272094" w:rsidRDefault="00272094" w:rsidP="00272094">
      <w:pPr>
        <w:ind w:left="357"/>
        <w:rPr>
          <w:rFonts w:cs="Arial"/>
          <w:szCs w:val="22"/>
        </w:rPr>
      </w:pPr>
      <w:r w:rsidRPr="007F2682">
        <w:rPr>
          <w:rFonts w:cs="Arial"/>
          <w:szCs w:val="22"/>
        </w:rPr>
        <w:t>Vzhledem k výše uvedeným argumentům a předloženým faktům by měl ČTÚ změnit závěr této kapitoly a označit trh mobilních služeb v České republice jako nevykazující způsobilost k </w:t>
      </w:r>
      <w:proofErr w:type="spellStart"/>
      <w:r w:rsidRPr="007F2682">
        <w:rPr>
          <w:rFonts w:cs="Arial"/>
          <w:szCs w:val="22"/>
        </w:rPr>
        <w:t>tacitní</w:t>
      </w:r>
      <w:proofErr w:type="spellEnd"/>
      <w:r w:rsidRPr="007F2682">
        <w:rPr>
          <w:rFonts w:cs="Arial"/>
          <w:szCs w:val="22"/>
        </w:rPr>
        <w:t xml:space="preserve"> koluzi</w:t>
      </w:r>
      <w:r>
        <w:rPr>
          <w:rFonts w:cs="Arial"/>
          <w:szCs w:val="22"/>
        </w:rPr>
        <w:t xml:space="preserve"> v souladu se zjištěným stavem Evropské komise (vyřazení tohoto trhu v celé EU) a zjištění jiných členských států na jejich trzích</w:t>
      </w:r>
      <w:r w:rsidRPr="007F2682">
        <w:rPr>
          <w:rFonts w:cs="Arial"/>
          <w:szCs w:val="22"/>
        </w:rPr>
        <w:t>.</w:t>
      </w:r>
      <w:r>
        <w:rPr>
          <w:rFonts w:cs="Arial"/>
          <w:szCs w:val="22"/>
        </w:rPr>
        <w:t xml:space="preserve"> V ČR je naopak dynamika změn a variabilita tarifů a jejich kombinací velmi vysoká a nesvědčící o způsobilosti, natož o faktické </w:t>
      </w:r>
      <w:proofErr w:type="spellStart"/>
      <w:r>
        <w:rPr>
          <w:rFonts w:cs="Arial"/>
          <w:szCs w:val="22"/>
        </w:rPr>
        <w:t>tacitní</w:t>
      </w:r>
      <w:proofErr w:type="spellEnd"/>
      <w:r>
        <w:rPr>
          <w:rFonts w:cs="Arial"/>
          <w:szCs w:val="22"/>
        </w:rPr>
        <w:t xml:space="preserve"> koluzi.</w:t>
      </w:r>
    </w:p>
    <w:p w14:paraId="3C41FF71" w14:textId="77777777" w:rsidR="004A3D04" w:rsidRDefault="004A3D04" w:rsidP="004A3D04">
      <w:pPr>
        <w:pStyle w:val="Nadpis2"/>
      </w:pPr>
      <w:r>
        <w:t>Kritérium hospodářského testu – udržitelnost (s. 131-135)</w:t>
      </w:r>
    </w:p>
    <w:p w14:paraId="4AF1605A" w14:textId="77777777" w:rsidR="004A3D04" w:rsidRPr="007F2682" w:rsidRDefault="004A3D04" w:rsidP="004A3D04">
      <w:pPr>
        <w:pStyle w:val="Podnadpis"/>
      </w:pPr>
      <w:r w:rsidRPr="007F2682">
        <w:t xml:space="preserve">Návrh na doplnění, změnu, zrušení nebo nahrazení textu ustanovení návrhu opatření: </w:t>
      </w:r>
    </w:p>
    <w:p w14:paraId="290A2F6B" w14:textId="5404C233" w:rsidR="004A3D04" w:rsidRPr="007F2682" w:rsidRDefault="004A3D04" w:rsidP="004A3D04">
      <w:pPr>
        <w:ind w:left="357"/>
        <w:rPr>
          <w:rFonts w:cs="Arial"/>
          <w:b/>
          <w:szCs w:val="22"/>
        </w:rPr>
      </w:pPr>
      <w:r w:rsidRPr="007F2682">
        <w:rPr>
          <w:rFonts w:cs="Arial"/>
          <w:b/>
          <w:szCs w:val="22"/>
        </w:rPr>
        <w:t>S ohledem k uvedeným argumentům</w:t>
      </w:r>
      <w:r w:rsidR="007825D9">
        <w:rPr>
          <w:rFonts w:cs="Arial"/>
          <w:b/>
          <w:szCs w:val="22"/>
        </w:rPr>
        <w:t xml:space="preserve"> v odůvodnění</w:t>
      </w:r>
      <w:r w:rsidRPr="007F2682">
        <w:rPr>
          <w:rFonts w:cs="Arial"/>
          <w:b/>
          <w:szCs w:val="22"/>
        </w:rPr>
        <w:t xml:space="preserve"> označit toto dílčí kritérium za nesplněné.</w:t>
      </w:r>
    </w:p>
    <w:p w14:paraId="06C9E3BB" w14:textId="77777777" w:rsidR="004A3D04" w:rsidRPr="007F2682" w:rsidRDefault="004A3D04" w:rsidP="004A3D04">
      <w:pPr>
        <w:pStyle w:val="Podnadpis"/>
      </w:pPr>
      <w:r w:rsidRPr="007F2682">
        <w:t>Odůvodnění:</w:t>
      </w:r>
    </w:p>
    <w:p w14:paraId="0A3237D5" w14:textId="77777777" w:rsidR="004A3D04" w:rsidRDefault="004A3D04" w:rsidP="0097074D">
      <w:pPr>
        <w:ind w:left="426"/>
        <w:rPr>
          <w:rFonts w:cs="Arial"/>
          <w:szCs w:val="22"/>
        </w:rPr>
      </w:pPr>
      <w:r>
        <w:rPr>
          <w:rFonts w:cs="Arial"/>
          <w:szCs w:val="22"/>
        </w:rPr>
        <w:t xml:space="preserve">ČTÚ v doplnění k této kapitole ukazuje účelovost analýzy, když tvrdí, že </w:t>
      </w:r>
      <w:r w:rsidRPr="00BA5879">
        <w:rPr>
          <w:rFonts w:cs="Arial"/>
          <w:i/>
          <w:iCs/>
          <w:szCs w:val="22"/>
        </w:rPr>
        <w:t xml:space="preserve">„Postupné zvýšení cen jedním z účastníků </w:t>
      </w:r>
      <w:proofErr w:type="spellStart"/>
      <w:r w:rsidRPr="00BA5879">
        <w:rPr>
          <w:rFonts w:cs="Arial"/>
          <w:i/>
          <w:iCs/>
          <w:szCs w:val="22"/>
        </w:rPr>
        <w:t>tacitní</w:t>
      </w:r>
      <w:proofErr w:type="spellEnd"/>
      <w:r w:rsidRPr="00BA5879">
        <w:rPr>
          <w:rFonts w:cs="Arial"/>
          <w:i/>
          <w:iCs/>
          <w:szCs w:val="22"/>
        </w:rPr>
        <w:t xml:space="preserve"> koluze by navíc mohlo vést k odlivu zákazníků tohoto účastníka, a naopak k přetáhnutí zákazníků ostatními dvěma účastníky.“</w:t>
      </w:r>
      <w:r>
        <w:rPr>
          <w:rFonts w:cs="Arial"/>
          <w:i/>
          <w:iCs/>
          <w:szCs w:val="22"/>
        </w:rPr>
        <w:t xml:space="preserve"> </w:t>
      </w:r>
      <w:r>
        <w:rPr>
          <w:rFonts w:cs="Arial"/>
          <w:szCs w:val="22"/>
        </w:rPr>
        <w:t>Tím jednoznačně prokazuje, že poptávku považuje za elastickou (v souladu s vlastními výsledky) a souhlasí s názorem společnosti O2. Nelze totiž tvrdit, že tato elasticita platí pouze jednostranně.</w:t>
      </w:r>
    </w:p>
    <w:p w14:paraId="43949103" w14:textId="77777777" w:rsidR="004A3D04" w:rsidRDefault="004A3D04" w:rsidP="0097074D">
      <w:pPr>
        <w:ind w:left="426"/>
        <w:rPr>
          <w:rFonts w:cs="Arial"/>
          <w:szCs w:val="22"/>
        </w:rPr>
      </w:pPr>
      <w:r>
        <w:rPr>
          <w:rFonts w:cs="Arial"/>
          <w:szCs w:val="22"/>
        </w:rPr>
        <w:t>Co se týče růstu výnosů (ve skutečnosti stagnaci), společnost O2 již výše vysvětlila rozdíl mezi reálnou a nominální veličinou. Zároveň také nepochybný rozdíl v obsahu tarifu v roce 2014 a 2020 (2022).</w:t>
      </w:r>
    </w:p>
    <w:p w14:paraId="358C077E" w14:textId="26F83774" w:rsidR="004A3D04" w:rsidRDefault="004A3D04" w:rsidP="0097074D">
      <w:pPr>
        <w:ind w:left="426"/>
        <w:rPr>
          <w:rFonts w:cs="Arial"/>
          <w:szCs w:val="22"/>
        </w:rPr>
      </w:pPr>
      <w:r>
        <w:rPr>
          <w:rFonts w:cs="Arial"/>
          <w:szCs w:val="22"/>
        </w:rPr>
        <w:t>Tržní reakce na vnější rizikový faktor je skutečně přirozenou součástí tržního chování na všech trzích, nicméně není důvodem ani argumentem pro jeho regulaci.</w:t>
      </w:r>
    </w:p>
    <w:p w14:paraId="1B7417AA" w14:textId="6BCA3C00" w:rsidR="0091546D" w:rsidRDefault="0091546D" w:rsidP="0097074D">
      <w:pPr>
        <w:ind w:left="426"/>
        <w:rPr>
          <w:rFonts w:cs="Arial"/>
          <w:szCs w:val="22"/>
        </w:rPr>
      </w:pPr>
      <w:r>
        <w:rPr>
          <w:rFonts w:cs="Arial"/>
          <w:szCs w:val="22"/>
        </w:rPr>
        <w:t xml:space="preserve">ČTÚ také opětovně bagatelizuje vlastní regulační opatření, která již sama o sobě jdou nad rámec regulačních opatření jiných zemí EU, jako je cenová regulace velkoobchodních nabídek </w:t>
      </w:r>
      <w:r w:rsidR="00EF322F">
        <w:rPr>
          <w:rFonts w:cs="Arial"/>
          <w:szCs w:val="22"/>
        </w:rPr>
        <w:t xml:space="preserve">(Full i </w:t>
      </w:r>
      <w:proofErr w:type="spellStart"/>
      <w:r w:rsidR="00EF322F">
        <w:rPr>
          <w:rFonts w:cs="Arial"/>
          <w:szCs w:val="22"/>
        </w:rPr>
        <w:t>Light</w:t>
      </w:r>
      <w:proofErr w:type="spellEnd"/>
      <w:r w:rsidR="00EF322F">
        <w:rPr>
          <w:rFonts w:cs="Arial"/>
          <w:szCs w:val="22"/>
        </w:rPr>
        <w:t xml:space="preserve"> MVNO) </w:t>
      </w:r>
      <w:r>
        <w:rPr>
          <w:rFonts w:cs="Arial"/>
          <w:szCs w:val="22"/>
        </w:rPr>
        <w:t xml:space="preserve">nebo </w:t>
      </w:r>
      <w:r w:rsidR="00A92D42">
        <w:rPr>
          <w:rFonts w:cs="Arial"/>
          <w:szCs w:val="22"/>
        </w:rPr>
        <w:t>cenově regulovaný a povinný národní roaming pro 3 tržní subjekty.</w:t>
      </w:r>
    </w:p>
    <w:p w14:paraId="486CBC18" w14:textId="53AAA06E" w:rsidR="00961889" w:rsidRDefault="00961889" w:rsidP="0097074D">
      <w:pPr>
        <w:ind w:left="426"/>
        <w:rPr>
          <w:rFonts w:cs="Arial"/>
          <w:szCs w:val="22"/>
        </w:rPr>
      </w:pPr>
      <w:r>
        <w:rPr>
          <w:rFonts w:cs="Arial"/>
          <w:szCs w:val="22"/>
        </w:rPr>
        <w:t>Společnost O2 tak trvá na tom, že ČTÚ toto kritérium neprokázal</w:t>
      </w:r>
      <w:r w:rsidR="00A22BEF">
        <w:rPr>
          <w:rFonts w:cs="Arial"/>
          <w:szCs w:val="22"/>
        </w:rPr>
        <w:t>, a to s ohledem na neprokázání účinných odvetných mechanismů.</w:t>
      </w:r>
    </w:p>
    <w:p w14:paraId="5EB1F283" w14:textId="0AFB4D94" w:rsidR="009D104E" w:rsidRPr="007F2682" w:rsidRDefault="009D104E" w:rsidP="009D104E">
      <w:pPr>
        <w:pStyle w:val="Nadpis2"/>
      </w:pPr>
      <w:r w:rsidRPr="007F2682">
        <w:lastRenderedPageBreak/>
        <w:t>Tržní síla na straně poptávky</w:t>
      </w:r>
      <w:r w:rsidR="00670779">
        <w:t xml:space="preserve"> (s. 137)</w:t>
      </w:r>
    </w:p>
    <w:p w14:paraId="6BB170AA" w14:textId="77777777" w:rsidR="009D104E" w:rsidRPr="007F2682" w:rsidRDefault="009D104E" w:rsidP="009D104E">
      <w:pPr>
        <w:pStyle w:val="Podnadpis"/>
      </w:pPr>
      <w:r w:rsidRPr="007F2682">
        <w:t xml:space="preserve">Návrh na doplnění, změnu, zrušení nebo nahrazení textu ustanovení návrhu opatření: </w:t>
      </w:r>
    </w:p>
    <w:p w14:paraId="113C2B3D" w14:textId="77777777" w:rsidR="009D104E" w:rsidRPr="007F2682" w:rsidRDefault="009D104E" w:rsidP="009D104E">
      <w:pPr>
        <w:ind w:left="357"/>
        <w:rPr>
          <w:rFonts w:cs="Arial"/>
          <w:b/>
          <w:szCs w:val="22"/>
        </w:rPr>
      </w:pPr>
      <w:r w:rsidRPr="007F2682">
        <w:rPr>
          <w:rFonts w:cs="Arial"/>
          <w:b/>
          <w:szCs w:val="22"/>
        </w:rPr>
        <w:t>Zahrnutí vlivu neveřejných nabídek, šedých operátorů, zaměstnaneckých programů a spolků do argumentace této kapitoly a změna výsledku tohoto dílčího kritéria jako nesplněné.</w:t>
      </w:r>
    </w:p>
    <w:p w14:paraId="4C5371D7" w14:textId="77777777" w:rsidR="009D104E" w:rsidRPr="007F2682" w:rsidRDefault="009D104E" w:rsidP="009D104E">
      <w:pPr>
        <w:pStyle w:val="Podnadpis"/>
      </w:pPr>
      <w:r w:rsidRPr="007F2682">
        <w:t>Odůvodnění:</w:t>
      </w:r>
    </w:p>
    <w:p w14:paraId="3843252A" w14:textId="77777777" w:rsidR="009D104E" w:rsidRPr="007F2682" w:rsidRDefault="009D104E" w:rsidP="009D104E">
      <w:pPr>
        <w:ind w:left="357"/>
        <w:rPr>
          <w:rFonts w:cs="Arial"/>
          <w:szCs w:val="22"/>
        </w:rPr>
      </w:pPr>
      <w:r w:rsidRPr="007F2682">
        <w:rPr>
          <w:rFonts w:cs="Arial"/>
          <w:szCs w:val="22"/>
        </w:rPr>
        <w:t>Vysoká míra neveřejných nabídek a výše poskytnutých slev vypovídá o tom, že velká část spotřebitelů má sjednanou nižší než ceníkovou cenu za poskytované služby, jak ostatně zjišť</w:t>
      </w:r>
      <w:r>
        <w:rPr>
          <w:rFonts w:cs="Arial"/>
          <w:szCs w:val="22"/>
        </w:rPr>
        <w:t xml:space="preserve">oval </w:t>
      </w:r>
      <w:r w:rsidRPr="007F2682">
        <w:rPr>
          <w:rFonts w:cs="Arial"/>
          <w:szCs w:val="22"/>
        </w:rPr>
        <w:t>a konstat</w:t>
      </w:r>
      <w:r>
        <w:rPr>
          <w:rFonts w:cs="Arial"/>
          <w:szCs w:val="22"/>
        </w:rPr>
        <w:t>oval v předběžné analýze v roce 2019</w:t>
      </w:r>
      <w:r w:rsidRPr="007F2682">
        <w:rPr>
          <w:rFonts w:cs="Arial"/>
          <w:szCs w:val="22"/>
        </w:rPr>
        <w:t xml:space="preserve"> samotný ČTÚ. Rozdíl cen mezi firemním a spotřebitelským segmentem je přirozená součást většiny ekonomických sektorů. Opakovaně upozorňujeme, že výše rozdílu je ale na trhu mobilních služeb ovlivněna zejména existencí šedých operátorů, zaměstnaneckých programů a spolků. Napravením této skutečnosti a aplikováním reálné segmentace by došlo k výraznému přiblížení cen domácností a firem. </w:t>
      </w:r>
    </w:p>
    <w:p w14:paraId="02F590DB" w14:textId="2213D4FC" w:rsidR="009D104E" w:rsidRPr="007F2682" w:rsidRDefault="009D104E" w:rsidP="009D104E">
      <w:pPr>
        <w:ind w:left="357"/>
        <w:rPr>
          <w:rFonts w:cs="Arial"/>
          <w:szCs w:val="22"/>
        </w:rPr>
      </w:pPr>
      <w:r w:rsidRPr="007F2682">
        <w:rPr>
          <w:rFonts w:cs="Arial"/>
          <w:szCs w:val="22"/>
        </w:rPr>
        <w:t>Mezinárodní srovnání pak často používají nejednotnou metodiku, čerpají z ceníkových cen daných tarifů a různě uspořádaných košů bez zohlednění dalších souvislostí, neberou v potaz rodinné a další balíčkované služby, nezohledňují tržní situaci a míru regulace (především v oblasti rádiových kmitočtů a ochrany spotřebitele), neřeší rozdílnou nákladovou strukturu tržních subjektů, nezohledňují rozdílnou kvalitu a úroveň poskytovaných služeb a stav komplementárních služeb jako jsou například fixní telekomunikační služby.</w:t>
      </w:r>
      <w:r w:rsidR="00F20A3F">
        <w:rPr>
          <w:rFonts w:cs="Arial"/>
          <w:szCs w:val="22"/>
        </w:rPr>
        <w:t xml:space="preserve"> Více k této problematice v připomínkách k mezinárodním srovnáním.</w:t>
      </w:r>
    </w:p>
    <w:p w14:paraId="664256A7" w14:textId="77777777" w:rsidR="005850BD" w:rsidRPr="00A94EAA" w:rsidRDefault="005850BD" w:rsidP="005850BD">
      <w:pPr>
        <w:pStyle w:val="Nadpis2"/>
      </w:pPr>
      <w:r w:rsidRPr="00A94EAA">
        <w:t xml:space="preserve">C.0 </w:t>
      </w:r>
      <w:r>
        <w:t>P</w:t>
      </w:r>
      <w:r w:rsidRPr="00A94EAA">
        <w:t>rea</w:t>
      </w:r>
      <w:r w:rsidRPr="003D08DE">
        <w:t xml:space="preserve">mbule – </w:t>
      </w:r>
      <w:r>
        <w:t>S</w:t>
      </w:r>
      <w:r w:rsidRPr="003D08DE">
        <w:t xml:space="preserve">hrnutí závěrů analýzy mobilního trhu 2021-2022 – </w:t>
      </w:r>
      <w:proofErr w:type="spellStart"/>
      <w:r>
        <w:t>Airtour</w:t>
      </w:r>
      <w:proofErr w:type="spellEnd"/>
      <w:r>
        <w:t xml:space="preserve"> kritéria</w:t>
      </w:r>
      <w:r w:rsidRPr="003D08DE">
        <w:t xml:space="preserve"> (S. </w:t>
      </w:r>
      <w:r>
        <w:t>7-9</w:t>
      </w:r>
      <w:r w:rsidRPr="003D08DE">
        <w:t xml:space="preserve">) a </w:t>
      </w:r>
      <w:r w:rsidRPr="00D95BFC">
        <w:t xml:space="preserve">Hodnocení společné významné tržní síly </w:t>
      </w:r>
      <w:r>
        <w:t>(s. 121-140)</w:t>
      </w:r>
    </w:p>
    <w:p w14:paraId="1A0343E6" w14:textId="77777777" w:rsidR="005850BD" w:rsidRPr="007F2682" w:rsidRDefault="005850BD" w:rsidP="005850BD">
      <w:pPr>
        <w:pStyle w:val="Podnadpis"/>
      </w:pPr>
      <w:r w:rsidRPr="007F2682">
        <w:t xml:space="preserve">Návrh na doplnění, změnu, zrušení nebo nahrazení textu ustanovení návrhu opatření: </w:t>
      </w:r>
    </w:p>
    <w:p w14:paraId="0A50925E" w14:textId="1F2F9C5D" w:rsidR="005850BD" w:rsidRDefault="00822FD3" w:rsidP="005850BD">
      <w:pPr>
        <w:ind w:left="357"/>
        <w:rPr>
          <w:rFonts w:cs="Arial"/>
          <w:b/>
          <w:szCs w:val="22"/>
        </w:rPr>
      </w:pPr>
      <w:r>
        <w:rPr>
          <w:rFonts w:cs="Arial"/>
          <w:b/>
          <w:szCs w:val="22"/>
        </w:rPr>
        <w:t>Změnit závěr kapitoly o společné tržní síle v tom smyslu, že na základ</w:t>
      </w:r>
      <w:r w:rsidR="004F38F2">
        <w:rPr>
          <w:rFonts w:cs="Arial"/>
          <w:b/>
          <w:szCs w:val="22"/>
        </w:rPr>
        <w:t>ě</w:t>
      </w:r>
      <w:r>
        <w:rPr>
          <w:rFonts w:cs="Arial"/>
          <w:b/>
          <w:szCs w:val="22"/>
        </w:rPr>
        <w:t xml:space="preserve"> kumulativního </w:t>
      </w:r>
      <w:r w:rsidR="004F38F2">
        <w:rPr>
          <w:rFonts w:cs="Arial"/>
          <w:b/>
          <w:szCs w:val="22"/>
        </w:rPr>
        <w:t xml:space="preserve">hodnocení </w:t>
      </w:r>
      <w:proofErr w:type="spellStart"/>
      <w:r w:rsidR="004F38F2">
        <w:rPr>
          <w:rFonts w:cs="Arial"/>
          <w:b/>
          <w:szCs w:val="22"/>
        </w:rPr>
        <w:t>Airtours</w:t>
      </w:r>
      <w:proofErr w:type="spellEnd"/>
      <w:r w:rsidR="004F38F2">
        <w:rPr>
          <w:rFonts w:cs="Arial"/>
          <w:b/>
          <w:szCs w:val="22"/>
        </w:rPr>
        <w:t xml:space="preserve"> kritérií nebyla možnost existence společné tržní síly prokázána</w:t>
      </w:r>
      <w:r w:rsidR="005850BD">
        <w:rPr>
          <w:rFonts w:cs="Arial"/>
          <w:b/>
          <w:szCs w:val="22"/>
        </w:rPr>
        <w:t>.</w:t>
      </w:r>
    </w:p>
    <w:p w14:paraId="500BE262" w14:textId="77777777" w:rsidR="005850BD" w:rsidRDefault="005850BD" w:rsidP="005850BD">
      <w:pPr>
        <w:pStyle w:val="Podnadpis"/>
      </w:pPr>
      <w:r w:rsidRPr="007F2682">
        <w:t>Odůvodnění:</w:t>
      </w:r>
    </w:p>
    <w:p w14:paraId="72F8B951" w14:textId="210F5B84" w:rsidR="005850BD" w:rsidRPr="003C5ED3" w:rsidRDefault="008575A5" w:rsidP="005850BD">
      <w:pPr>
        <w:ind w:left="426"/>
      </w:pPr>
      <w:r>
        <w:t>Jak vyplývá z předchozích připomínek</w:t>
      </w:r>
      <w:r w:rsidR="00636C9F">
        <w:t xml:space="preserve"> k dílčím kritériím,</w:t>
      </w:r>
      <w:r>
        <w:t xml:space="preserve"> ČTÚ nepředložil </w:t>
      </w:r>
      <w:r w:rsidR="00EF6904">
        <w:t xml:space="preserve">nové a relevantní argumenty, které by prokázaly </w:t>
      </w:r>
      <w:r w:rsidR="009B11ED">
        <w:t>možnost</w:t>
      </w:r>
      <w:r w:rsidR="00354879">
        <w:t xml:space="preserve"> existence</w:t>
      </w:r>
      <w:r w:rsidR="009B11ED">
        <w:t xml:space="preserve"> společné tržní síly</w:t>
      </w:r>
      <w:r w:rsidR="00354879">
        <w:t xml:space="preserve"> na trhu </w:t>
      </w:r>
      <w:r w:rsidR="00636C9F">
        <w:t>mobilních služeb v České republice</w:t>
      </w:r>
      <w:r w:rsidR="00C91E81">
        <w:t xml:space="preserve"> a v analýze tak po jejich vypořádání musí dojít k tomu, že </w:t>
      </w:r>
      <w:r w:rsidR="00B10031">
        <w:t xml:space="preserve">kritéria </w:t>
      </w:r>
      <w:proofErr w:type="spellStart"/>
      <w:r w:rsidR="00B10031">
        <w:t>Airtours</w:t>
      </w:r>
      <w:proofErr w:type="spellEnd"/>
      <w:r w:rsidR="00B10031">
        <w:t xml:space="preserve"> nebyla kumulativně splněna</w:t>
      </w:r>
      <w:r w:rsidR="00B60C3A">
        <w:t>.</w:t>
      </w:r>
    </w:p>
    <w:p w14:paraId="679253F0" w14:textId="659981C1" w:rsidR="00067E1A" w:rsidRDefault="0097074D" w:rsidP="00067E1A">
      <w:pPr>
        <w:pStyle w:val="Nadpis2"/>
      </w:pPr>
      <w:r>
        <w:lastRenderedPageBreak/>
        <w:t>C.0 – Vypořádání připomínek Komise dle rozhodnutí ze ne 17. února 2022</w:t>
      </w:r>
    </w:p>
    <w:p w14:paraId="163A6B72" w14:textId="77777777" w:rsidR="0097074D" w:rsidRPr="007F2682" w:rsidRDefault="0097074D" w:rsidP="0097074D">
      <w:pPr>
        <w:pStyle w:val="Podnadpis"/>
      </w:pPr>
      <w:r w:rsidRPr="007F2682">
        <w:t xml:space="preserve">Návrh na doplnění, změnu, zrušení nebo nahrazení textu ustanovení návrhu opatření: </w:t>
      </w:r>
    </w:p>
    <w:p w14:paraId="5A38B18E" w14:textId="12C1954D" w:rsidR="0097074D" w:rsidRPr="007F2682" w:rsidRDefault="0097074D" w:rsidP="0097074D">
      <w:pPr>
        <w:ind w:left="357"/>
        <w:rPr>
          <w:rFonts w:cs="Arial"/>
          <w:b/>
          <w:szCs w:val="22"/>
        </w:rPr>
      </w:pPr>
      <w:r w:rsidRPr="007F2682">
        <w:rPr>
          <w:rFonts w:cs="Arial"/>
          <w:b/>
          <w:szCs w:val="22"/>
        </w:rPr>
        <w:t>S ohledem k uvedeným argumentům</w:t>
      </w:r>
      <w:r>
        <w:rPr>
          <w:rFonts w:cs="Arial"/>
          <w:b/>
          <w:szCs w:val="22"/>
        </w:rPr>
        <w:t xml:space="preserve"> v odůvodnění</w:t>
      </w:r>
      <w:r w:rsidRPr="007F2682">
        <w:rPr>
          <w:rFonts w:cs="Arial"/>
          <w:b/>
          <w:szCs w:val="22"/>
        </w:rPr>
        <w:t xml:space="preserve"> </w:t>
      </w:r>
      <w:r w:rsidR="00D427B4">
        <w:rPr>
          <w:rFonts w:cs="Arial"/>
          <w:b/>
          <w:szCs w:val="22"/>
        </w:rPr>
        <w:t>uznat některé argumenty Evropské komise a BEREC jako relevantní a v analýze nenapravitelné</w:t>
      </w:r>
      <w:r w:rsidR="00CE48BB">
        <w:rPr>
          <w:rFonts w:cs="Arial"/>
          <w:b/>
          <w:szCs w:val="22"/>
        </w:rPr>
        <w:t xml:space="preserve"> a zahájit nový </w:t>
      </w:r>
      <w:proofErr w:type="spellStart"/>
      <w:r w:rsidR="00CE48BB">
        <w:rPr>
          <w:rFonts w:cs="Arial"/>
          <w:b/>
          <w:szCs w:val="22"/>
        </w:rPr>
        <w:t>tříkriteriální</w:t>
      </w:r>
      <w:proofErr w:type="spellEnd"/>
      <w:r w:rsidR="00CE48BB">
        <w:rPr>
          <w:rFonts w:cs="Arial"/>
          <w:b/>
          <w:szCs w:val="22"/>
        </w:rPr>
        <w:t xml:space="preserve"> test za účelem vyřazení tohoto relevantního trhu ze seznamu relevantních trhů v OOP</w:t>
      </w:r>
      <w:r w:rsidRPr="007F2682">
        <w:rPr>
          <w:rFonts w:cs="Arial"/>
          <w:b/>
          <w:szCs w:val="22"/>
        </w:rPr>
        <w:t>.</w:t>
      </w:r>
    </w:p>
    <w:p w14:paraId="4C0076D1" w14:textId="77777777" w:rsidR="0097074D" w:rsidRPr="007F2682" w:rsidRDefault="0097074D" w:rsidP="0097074D">
      <w:pPr>
        <w:pStyle w:val="Podnadpis"/>
      </w:pPr>
      <w:r w:rsidRPr="007F2682">
        <w:t>Odůvodnění:</w:t>
      </w:r>
    </w:p>
    <w:p w14:paraId="4D13C1BF" w14:textId="5F93E30B" w:rsidR="0097074D" w:rsidRDefault="00386E10" w:rsidP="0097074D">
      <w:pPr>
        <w:ind w:left="426"/>
        <w:rPr>
          <w:rFonts w:cs="Arial"/>
          <w:szCs w:val="22"/>
        </w:rPr>
      </w:pPr>
      <w:r>
        <w:rPr>
          <w:rFonts w:cs="Arial"/>
          <w:szCs w:val="22"/>
        </w:rPr>
        <w:t>Jak již vyplývá z našich předchozích připomínek, reakce ČTÚ a úpravy v analýze relevantního trhu nepovažujeme za dostatečné</w:t>
      </w:r>
      <w:r w:rsidR="002F3FCB">
        <w:rPr>
          <w:rFonts w:cs="Arial"/>
          <w:szCs w:val="22"/>
        </w:rPr>
        <w:t xml:space="preserve"> k vypořádání </w:t>
      </w:r>
      <w:r w:rsidR="00165154">
        <w:rPr>
          <w:rFonts w:cs="Arial"/>
          <w:szCs w:val="22"/>
        </w:rPr>
        <w:t xml:space="preserve">všech </w:t>
      </w:r>
      <w:r w:rsidR="002F3FCB">
        <w:rPr>
          <w:rFonts w:cs="Arial"/>
          <w:szCs w:val="22"/>
        </w:rPr>
        <w:t xml:space="preserve">připomínek </w:t>
      </w:r>
      <w:r w:rsidR="002F1C69">
        <w:rPr>
          <w:rFonts w:cs="Arial"/>
          <w:szCs w:val="22"/>
        </w:rPr>
        <w:t xml:space="preserve">podnikatelských subjektů </w:t>
      </w:r>
      <w:r w:rsidR="00165154">
        <w:rPr>
          <w:rFonts w:cs="Arial"/>
          <w:szCs w:val="22"/>
        </w:rPr>
        <w:t>v předchozích konzultacích a</w:t>
      </w:r>
      <w:r w:rsidR="002F1C69">
        <w:rPr>
          <w:rFonts w:cs="Arial"/>
          <w:szCs w:val="22"/>
        </w:rPr>
        <w:t xml:space="preserve">ni k vypořádání připomínek Evropské komise a BEREC. V následujících odstavcích upozorňujeme na některé nedostatky, které ve vypořádání spatřujeme, případně odkazujeme na </w:t>
      </w:r>
      <w:r w:rsidR="00332065">
        <w:rPr>
          <w:rFonts w:cs="Arial"/>
          <w:szCs w:val="22"/>
        </w:rPr>
        <w:t>naše relevantní připomínky k dotčeným bodům.</w:t>
      </w:r>
    </w:p>
    <w:p w14:paraId="2B9D5FEF" w14:textId="59C5213C" w:rsidR="009D2891" w:rsidRDefault="004E2C35" w:rsidP="009D2891">
      <w:pPr>
        <w:ind w:left="426"/>
        <w:rPr>
          <w:rFonts w:cs="Arial"/>
          <w:szCs w:val="22"/>
        </w:rPr>
      </w:pPr>
      <w:r>
        <w:rPr>
          <w:rFonts w:cs="Arial"/>
          <w:szCs w:val="22"/>
        </w:rPr>
        <w:t xml:space="preserve">K vypořádání bodu 77, 78, </w:t>
      </w:r>
      <w:r w:rsidR="009D2891">
        <w:rPr>
          <w:rFonts w:cs="Arial"/>
          <w:szCs w:val="22"/>
        </w:rPr>
        <w:t>79</w:t>
      </w:r>
      <w:r w:rsidR="00507205">
        <w:rPr>
          <w:rFonts w:cs="Arial"/>
          <w:szCs w:val="22"/>
        </w:rPr>
        <w:t>,</w:t>
      </w:r>
      <w:r w:rsidR="009D2891">
        <w:rPr>
          <w:rFonts w:cs="Arial"/>
          <w:szCs w:val="22"/>
        </w:rPr>
        <w:t xml:space="preserve"> 80</w:t>
      </w:r>
      <w:r w:rsidR="00507205">
        <w:rPr>
          <w:rFonts w:cs="Arial"/>
          <w:szCs w:val="22"/>
        </w:rPr>
        <w:t xml:space="preserve"> a 81</w:t>
      </w:r>
      <w:r w:rsidR="009D2891">
        <w:rPr>
          <w:rFonts w:cs="Arial"/>
          <w:szCs w:val="22"/>
        </w:rPr>
        <w:t xml:space="preserve"> uvádíme</w:t>
      </w:r>
      <w:r w:rsidR="009D2891" w:rsidRPr="000A57A2">
        <w:rPr>
          <w:rFonts w:cs="Arial"/>
          <w:szCs w:val="22"/>
        </w:rPr>
        <w:t xml:space="preserve">, že nesouhlasíme se závěrem, že </w:t>
      </w:r>
      <w:r w:rsidR="003065D6" w:rsidRPr="000A57A2">
        <w:rPr>
          <w:rFonts w:cs="Arial"/>
          <w:szCs w:val="22"/>
        </w:rPr>
        <w:t xml:space="preserve">národní roaming nebudeme mít vliv </w:t>
      </w:r>
      <w:r w:rsidR="00F13ED0" w:rsidRPr="000A57A2">
        <w:rPr>
          <w:rFonts w:cs="Arial"/>
          <w:szCs w:val="22"/>
        </w:rPr>
        <w:t>dříve než v roce</w:t>
      </w:r>
      <w:r w:rsidR="003065D6" w:rsidRPr="000A57A2">
        <w:rPr>
          <w:rFonts w:cs="Arial"/>
          <w:szCs w:val="22"/>
        </w:rPr>
        <w:t xml:space="preserve"> 2024. Zaprvé si myslíme, že povinnost národního roamingu už má nepřímé dopady na trh nyní a zadruhé, </w:t>
      </w:r>
      <w:r w:rsidR="00AC7C76" w:rsidRPr="000A57A2">
        <w:rPr>
          <w:rFonts w:cs="Arial"/>
          <w:b/>
          <w:bCs/>
          <w:color w:val="FF0000"/>
          <w:szCs w:val="22"/>
        </w:rPr>
        <w:t>[</w:t>
      </w:r>
      <w:r w:rsidR="000A57A2" w:rsidRPr="000A57A2">
        <w:rPr>
          <w:rFonts w:cs="Arial"/>
          <w:b/>
          <w:bCs/>
          <w:color w:val="FF0000"/>
          <w:szCs w:val="22"/>
        </w:rPr>
        <w:t xml:space="preserve">začátek </w:t>
      </w:r>
      <w:r w:rsidR="00AC7C76" w:rsidRPr="000A57A2">
        <w:rPr>
          <w:rFonts w:cs="Arial"/>
          <w:b/>
          <w:bCs/>
          <w:color w:val="FF0000"/>
          <w:szCs w:val="22"/>
        </w:rPr>
        <w:t>obchodní</w:t>
      </w:r>
      <w:r w:rsidR="000A57A2" w:rsidRPr="000A57A2">
        <w:rPr>
          <w:rFonts w:cs="Arial"/>
          <w:b/>
          <w:bCs/>
          <w:color w:val="FF0000"/>
          <w:szCs w:val="22"/>
        </w:rPr>
        <w:t>ho</w:t>
      </w:r>
      <w:r w:rsidR="00AC7C76" w:rsidRPr="000A57A2">
        <w:rPr>
          <w:rFonts w:cs="Arial"/>
          <w:b/>
          <w:bCs/>
          <w:color w:val="FF0000"/>
          <w:szCs w:val="22"/>
        </w:rPr>
        <w:t xml:space="preserve"> tajemství] </w:t>
      </w:r>
      <w:r w:rsidR="0082032B" w:rsidRPr="0082032B">
        <w:rPr>
          <w:rFonts w:cs="Arial"/>
          <w:szCs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0A57A2" w:rsidRPr="0082032B">
        <w:rPr>
          <w:rFonts w:cs="Arial"/>
          <w:b/>
          <w:bCs/>
          <w:szCs w:val="22"/>
        </w:rPr>
        <w:t xml:space="preserve"> </w:t>
      </w:r>
      <w:r w:rsidR="000A57A2" w:rsidRPr="000A57A2">
        <w:rPr>
          <w:rFonts w:cs="Arial"/>
          <w:b/>
          <w:bCs/>
          <w:color w:val="FF0000"/>
          <w:szCs w:val="22"/>
        </w:rPr>
        <w:t>[konec obchodního tajemství]</w:t>
      </w:r>
      <w:r w:rsidR="000A57A2" w:rsidRPr="000A57A2">
        <w:rPr>
          <w:rFonts w:cs="Arial"/>
          <w:b/>
          <w:bCs/>
          <w:szCs w:val="22"/>
        </w:rPr>
        <w:t xml:space="preserve"> </w:t>
      </w:r>
      <w:r w:rsidR="00106314">
        <w:rPr>
          <w:rFonts w:cs="Arial"/>
          <w:szCs w:val="22"/>
        </w:rPr>
        <w:t>V připomínce 83 ČTÚ uvádí, že horizont „několika let“ odpovídá období do konce roku 2024. S takovou interpretací nesouhlasíme. Evropská komise</w:t>
      </w:r>
      <w:r w:rsidR="00CE48BB">
        <w:rPr>
          <w:rFonts w:cs="Arial"/>
          <w:szCs w:val="22"/>
        </w:rPr>
        <w:t xml:space="preserve"> má namysli horizont od </w:t>
      </w:r>
      <w:r w:rsidR="00543FEC">
        <w:rPr>
          <w:rFonts w:cs="Arial"/>
          <w:szCs w:val="22"/>
        </w:rPr>
        <w:t>uskutečnění aukce, ve kterém byla podmínka uložena, respektive nabytí právní moci přídělů rádiových kmitočtů</w:t>
      </w:r>
      <w:r w:rsidR="00D1531A">
        <w:rPr>
          <w:rFonts w:cs="Arial"/>
          <w:szCs w:val="22"/>
        </w:rPr>
        <w:t>, které tuto povinnost ukládají společnosti O2 a přiznávají 3 subjektům</w:t>
      </w:r>
      <w:r w:rsidR="00246D1F">
        <w:rPr>
          <w:rFonts w:cs="Arial"/>
          <w:szCs w:val="22"/>
        </w:rPr>
        <w:t xml:space="preserve">, nikoliv horizont od </w:t>
      </w:r>
      <w:r w:rsidR="0095211E">
        <w:rPr>
          <w:rFonts w:cs="Arial"/>
          <w:szCs w:val="22"/>
        </w:rPr>
        <w:t>dokončení analýzy trhu.</w:t>
      </w:r>
      <w:r w:rsidR="00D1531A">
        <w:rPr>
          <w:rFonts w:cs="Arial"/>
          <w:szCs w:val="22"/>
        </w:rPr>
        <w:t xml:space="preserve"> </w:t>
      </w:r>
      <w:r w:rsidR="00246D1F">
        <w:rPr>
          <w:rFonts w:cs="Arial"/>
          <w:szCs w:val="22"/>
        </w:rPr>
        <w:t>Tento horizont</w:t>
      </w:r>
      <w:r w:rsidR="0095211E">
        <w:rPr>
          <w:rFonts w:cs="Arial"/>
          <w:szCs w:val="22"/>
        </w:rPr>
        <w:t>, jak prokazují výše uvedené skutečnosti končí v roce 2022-2023.</w:t>
      </w:r>
      <w:r w:rsidR="00106314">
        <w:rPr>
          <w:rFonts w:cs="Arial"/>
          <w:szCs w:val="22"/>
        </w:rPr>
        <w:t xml:space="preserve"> </w:t>
      </w:r>
      <w:r w:rsidR="000A57A2" w:rsidRPr="000A57A2">
        <w:rPr>
          <w:rFonts w:cs="Arial"/>
          <w:szCs w:val="22"/>
        </w:rPr>
        <w:t>Více k této problematice v připomínkách k bodu C.8.</w:t>
      </w:r>
    </w:p>
    <w:p w14:paraId="3E12BDCF" w14:textId="602BA360" w:rsidR="00FF4FFF" w:rsidRDefault="009254FA" w:rsidP="009D2891">
      <w:pPr>
        <w:ind w:left="426"/>
        <w:rPr>
          <w:rFonts w:cs="Arial"/>
          <w:szCs w:val="22"/>
        </w:rPr>
      </w:pPr>
      <w:r>
        <w:rPr>
          <w:rFonts w:cs="Arial"/>
          <w:szCs w:val="22"/>
        </w:rPr>
        <w:t>K bodu 84 uvádíme, že j</w:t>
      </w:r>
      <w:r w:rsidR="00FC5CEB">
        <w:rPr>
          <w:rFonts w:cs="Arial"/>
          <w:szCs w:val="22"/>
        </w:rPr>
        <w:t xml:space="preserve">ak prokazujeme ve srovnání situace </w:t>
      </w:r>
      <w:r>
        <w:rPr>
          <w:rFonts w:cs="Arial"/>
          <w:szCs w:val="22"/>
        </w:rPr>
        <w:t xml:space="preserve">na maloobchodním trhu, nezdá se z dat dostupných společnosti O2, že by </w:t>
      </w:r>
      <w:r w:rsidR="002C4CB0">
        <w:rPr>
          <w:rFonts w:cs="Arial"/>
          <w:szCs w:val="22"/>
        </w:rPr>
        <w:t xml:space="preserve">velkoobchodní nabídky neumožňovali </w:t>
      </w:r>
      <w:proofErr w:type="spellStart"/>
      <w:r w:rsidR="002C4CB0">
        <w:rPr>
          <w:rFonts w:cs="Arial"/>
          <w:szCs w:val="22"/>
        </w:rPr>
        <w:t>replikovatelnost</w:t>
      </w:r>
      <w:proofErr w:type="spellEnd"/>
      <w:r w:rsidR="002C4CB0">
        <w:rPr>
          <w:rFonts w:cs="Arial"/>
          <w:szCs w:val="22"/>
        </w:rPr>
        <w:t xml:space="preserve"> celého tarifního portfolia síťových operátorů</w:t>
      </w:r>
      <w:r w:rsidR="007B29D8">
        <w:rPr>
          <w:rFonts w:cs="Arial"/>
          <w:szCs w:val="22"/>
        </w:rPr>
        <w:t>, což napovídá tomu, že ČTÚ aplikoval ve svém testu pouze teoretické hodnoty nesouvisející s realitou.</w:t>
      </w:r>
    </w:p>
    <w:p w14:paraId="052783AE" w14:textId="3F3FA2C0" w:rsidR="007B29D8" w:rsidRDefault="000C4D2E" w:rsidP="009D2891">
      <w:pPr>
        <w:ind w:left="426"/>
        <w:rPr>
          <w:rFonts w:cs="Arial"/>
          <w:szCs w:val="22"/>
        </w:rPr>
      </w:pPr>
      <w:r>
        <w:rPr>
          <w:rFonts w:cs="Arial"/>
          <w:szCs w:val="22"/>
        </w:rPr>
        <w:t xml:space="preserve">K bodu 85 uvádíme, že relevantní MVNO </w:t>
      </w:r>
      <w:r w:rsidR="00AF2A60">
        <w:rPr>
          <w:rFonts w:cs="Arial"/>
          <w:szCs w:val="22"/>
        </w:rPr>
        <w:t>mají možnost na trhu vyvíjet konkurenční tlak.</w:t>
      </w:r>
      <w:r w:rsidR="00960DC9">
        <w:rPr>
          <w:rFonts w:cs="Arial"/>
          <w:szCs w:val="22"/>
        </w:rPr>
        <w:t xml:space="preserve"> Subjekty, které vznikly pro obsluhu 100 SIM karet a nemají zájem nebo dostatečný kapitál pro svůj rozvoj </w:t>
      </w:r>
      <w:r w:rsidR="002A6B06">
        <w:rPr>
          <w:rFonts w:cs="Arial"/>
          <w:szCs w:val="22"/>
        </w:rPr>
        <w:t>logicky nemají potenciál vyvíjet konkurenční tlak na ostatní tržní subjekty.</w:t>
      </w:r>
    </w:p>
    <w:p w14:paraId="448123BD" w14:textId="52C01158" w:rsidR="00E32B3B" w:rsidRDefault="006154FF" w:rsidP="00FF4932">
      <w:pPr>
        <w:ind w:left="426"/>
        <w:rPr>
          <w:rFonts w:cs="Arial"/>
          <w:szCs w:val="22"/>
        </w:rPr>
      </w:pPr>
      <w:r>
        <w:rPr>
          <w:rFonts w:cs="Arial"/>
          <w:szCs w:val="22"/>
        </w:rPr>
        <w:t xml:space="preserve">K bodu </w:t>
      </w:r>
      <w:r w:rsidR="00E32B3B">
        <w:rPr>
          <w:rFonts w:cs="Arial"/>
          <w:szCs w:val="22"/>
        </w:rPr>
        <w:t>85 odkazujeme na připomínky předložené k bodu C.7, které prokazují účelovost tohoto srovnání ze strany ČTÚ.</w:t>
      </w:r>
    </w:p>
    <w:p w14:paraId="2D664C50" w14:textId="7FA7C1BB" w:rsidR="00FF4932" w:rsidRDefault="00FF4932" w:rsidP="00FF4932">
      <w:pPr>
        <w:ind w:left="426"/>
        <w:rPr>
          <w:rFonts w:cs="Arial"/>
          <w:szCs w:val="22"/>
        </w:rPr>
      </w:pPr>
      <w:r>
        <w:rPr>
          <w:rFonts w:cs="Arial"/>
          <w:szCs w:val="22"/>
        </w:rPr>
        <w:lastRenderedPageBreak/>
        <w:t xml:space="preserve">K bodu 94 </w:t>
      </w:r>
      <w:r w:rsidR="009E64EC">
        <w:rPr>
          <w:rFonts w:cs="Arial"/>
          <w:szCs w:val="22"/>
        </w:rPr>
        <w:t xml:space="preserve">a 95 </w:t>
      </w:r>
      <w:r>
        <w:rPr>
          <w:rFonts w:cs="Arial"/>
          <w:szCs w:val="22"/>
        </w:rPr>
        <w:t>opětovně uvádíme, že ČTÚ sice tvrdí, že neveřejné nabídky nehrají na trhu roli</w:t>
      </w:r>
      <w:r w:rsidR="00F465C8">
        <w:rPr>
          <w:rFonts w:cs="Arial"/>
          <w:szCs w:val="22"/>
        </w:rPr>
        <w:t xml:space="preserve"> a jejich počet se výrazně snižuje, ale toto stanovisko, které odporuje </w:t>
      </w:r>
      <w:r w:rsidR="00D2724E">
        <w:rPr>
          <w:rFonts w:cs="Arial"/>
          <w:szCs w:val="22"/>
        </w:rPr>
        <w:t>jeho sdělením v předchozích letech,</w:t>
      </w:r>
      <w:r w:rsidR="00F465C8">
        <w:rPr>
          <w:rFonts w:cs="Arial"/>
          <w:szCs w:val="22"/>
        </w:rPr>
        <w:t xml:space="preserve"> nijak nepodložil</w:t>
      </w:r>
      <w:r w:rsidR="00D2724E">
        <w:rPr>
          <w:rFonts w:cs="Arial"/>
          <w:szCs w:val="22"/>
        </w:rPr>
        <w:t>.</w:t>
      </w:r>
    </w:p>
    <w:p w14:paraId="61C00FE1" w14:textId="5BD28648" w:rsidR="003C3D75" w:rsidRDefault="003C3D75" w:rsidP="00FF4932">
      <w:pPr>
        <w:ind w:left="426"/>
        <w:rPr>
          <w:rFonts w:cs="Arial"/>
          <w:szCs w:val="22"/>
        </w:rPr>
      </w:pPr>
      <w:r>
        <w:rPr>
          <w:rFonts w:cs="Arial"/>
          <w:szCs w:val="22"/>
        </w:rPr>
        <w:t xml:space="preserve">V případě bodů 96 a 97 odkazujeme na </w:t>
      </w:r>
      <w:r w:rsidR="000374B6">
        <w:rPr>
          <w:rFonts w:cs="Arial"/>
          <w:szCs w:val="22"/>
        </w:rPr>
        <w:t>připomínky ke kapitole C.7.</w:t>
      </w:r>
      <w:r w:rsidR="00190CAE">
        <w:rPr>
          <w:rFonts w:cs="Arial"/>
          <w:szCs w:val="22"/>
        </w:rPr>
        <w:t xml:space="preserve"> Vývoj na trhu ani chování tržních subjektů nenaznačuje, že by docházelo nebo mohlo docházet k </w:t>
      </w:r>
      <w:proofErr w:type="spellStart"/>
      <w:r w:rsidR="00190CAE">
        <w:rPr>
          <w:rFonts w:cs="Arial"/>
          <w:szCs w:val="22"/>
        </w:rPr>
        <w:t>tacitní</w:t>
      </w:r>
      <w:proofErr w:type="spellEnd"/>
      <w:r w:rsidR="00190CAE">
        <w:rPr>
          <w:rFonts w:cs="Arial"/>
          <w:szCs w:val="22"/>
        </w:rPr>
        <w:t xml:space="preserve"> koluzi.</w:t>
      </w:r>
    </w:p>
    <w:p w14:paraId="3676651A" w14:textId="390530A4" w:rsidR="00190CAE" w:rsidRDefault="00DF6E6D" w:rsidP="00FF4932">
      <w:pPr>
        <w:ind w:left="426"/>
        <w:rPr>
          <w:rFonts w:cs="Arial"/>
          <w:szCs w:val="22"/>
        </w:rPr>
      </w:pPr>
      <w:r>
        <w:rPr>
          <w:rFonts w:cs="Arial"/>
          <w:szCs w:val="22"/>
        </w:rPr>
        <w:t xml:space="preserve">K bodu 98 </w:t>
      </w:r>
      <w:r w:rsidR="001A0DCD">
        <w:rPr>
          <w:rFonts w:cs="Arial"/>
          <w:szCs w:val="22"/>
        </w:rPr>
        <w:t xml:space="preserve">jsme nuceni podotknout, že slovní spojení „dobrovolně vydražila“ je zavádějící. </w:t>
      </w:r>
      <w:r w:rsidR="00C80EB5">
        <w:rPr>
          <w:rFonts w:cs="Arial"/>
          <w:szCs w:val="22"/>
        </w:rPr>
        <w:t xml:space="preserve">Subjekty účastnící se aukcí kmitočtů zvažují všechny aspekty jednotlivých strategií </w:t>
      </w:r>
      <w:r w:rsidR="005F1AB4">
        <w:rPr>
          <w:rFonts w:cs="Arial"/>
          <w:szCs w:val="22"/>
        </w:rPr>
        <w:t>s ohledem na stanovené podmínky, tyto podmínky však na sebe neberou dobrovolně</w:t>
      </w:r>
      <w:r w:rsidR="00FF0BC3">
        <w:rPr>
          <w:rFonts w:cs="Arial"/>
          <w:szCs w:val="22"/>
        </w:rPr>
        <w:t xml:space="preserve">. </w:t>
      </w:r>
      <w:r w:rsidR="008A79B5">
        <w:rPr>
          <w:rFonts w:cs="Arial"/>
          <w:szCs w:val="22"/>
        </w:rPr>
        <w:t xml:space="preserve">Vzhledem k tomu, že všechny bloky měly povinnost </w:t>
      </w:r>
      <w:r w:rsidR="00840460">
        <w:rPr>
          <w:rFonts w:cs="Arial"/>
          <w:szCs w:val="22"/>
        </w:rPr>
        <w:t>zveřejnit referenční nabídku pro</w:t>
      </w:r>
      <w:r w:rsidR="008A79B5">
        <w:rPr>
          <w:rFonts w:cs="Arial"/>
          <w:szCs w:val="22"/>
        </w:rPr>
        <w:t xml:space="preserve"> </w:t>
      </w:r>
      <w:r w:rsidR="00840460">
        <w:rPr>
          <w:rFonts w:cs="Arial"/>
          <w:szCs w:val="22"/>
        </w:rPr>
        <w:t xml:space="preserve">Full a </w:t>
      </w:r>
      <w:proofErr w:type="spellStart"/>
      <w:r w:rsidR="00840460">
        <w:rPr>
          <w:rFonts w:cs="Arial"/>
          <w:szCs w:val="22"/>
        </w:rPr>
        <w:t>Light</w:t>
      </w:r>
      <w:proofErr w:type="spellEnd"/>
      <w:r w:rsidR="00840460">
        <w:rPr>
          <w:rFonts w:cs="Arial"/>
          <w:szCs w:val="22"/>
        </w:rPr>
        <w:t xml:space="preserve"> MVNO, ale pouze jeden blok (který získala společnost O2) měl povinnost </w:t>
      </w:r>
      <w:r w:rsidR="001F72D0">
        <w:rPr>
          <w:rFonts w:cs="Arial"/>
          <w:szCs w:val="22"/>
        </w:rPr>
        <w:t xml:space="preserve">poskytnout národní roaming za regulovaných podmínek vč. cenových, vytváří na velkoobchodním trhu </w:t>
      </w:r>
      <w:r w:rsidR="00B4458D">
        <w:rPr>
          <w:rFonts w:cs="Arial"/>
          <w:szCs w:val="22"/>
        </w:rPr>
        <w:t xml:space="preserve">zjevnou </w:t>
      </w:r>
      <w:r w:rsidR="001F72D0">
        <w:rPr>
          <w:rFonts w:cs="Arial"/>
          <w:szCs w:val="22"/>
        </w:rPr>
        <w:t>asymetrii</w:t>
      </w:r>
      <w:r w:rsidR="00B4458D">
        <w:rPr>
          <w:rFonts w:cs="Arial"/>
          <w:szCs w:val="22"/>
        </w:rPr>
        <w:t xml:space="preserve">, která ovlivňuje přístup jednotlivých síťových operátorů. </w:t>
      </w:r>
      <w:r w:rsidR="00B36776">
        <w:rPr>
          <w:rFonts w:cs="Arial"/>
          <w:szCs w:val="22"/>
        </w:rPr>
        <w:t>Jedním z příkladů může být to, že se lze domnívat, že subjekty bez této povinnosti</w:t>
      </w:r>
      <w:r w:rsidR="00F00074">
        <w:rPr>
          <w:rFonts w:cs="Arial"/>
          <w:szCs w:val="22"/>
        </w:rPr>
        <w:t xml:space="preserve"> budou </w:t>
      </w:r>
      <w:r w:rsidR="00C91932">
        <w:rPr>
          <w:rFonts w:cs="Arial"/>
          <w:szCs w:val="22"/>
        </w:rPr>
        <w:t xml:space="preserve">o takového zájemce soutěžit tak, aby výhody z obchodní spolupráce s takovým velkoobchodním </w:t>
      </w:r>
      <w:r w:rsidR="007B2BC7">
        <w:rPr>
          <w:rFonts w:cs="Arial"/>
          <w:szCs w:val="22"/>
        </w:rPr>
        <w:t>partnerem připadla právě jim</w:t>
      </w:r>
      <w:r w:rsidR="00D87C1D">
        <w:rPr>
          <w:rFonts w:cs="Arial"/>
          <w:szCs w:val="22"/>
        </w:rPr>
        <w:t xml:space="preserve">, avšak s přihlédnutím k tomu, že takový hráč může kdykoliv </w:t>
      </w:r>
      <w:r w:rsidR="00096A89">
        <w:rPr>
          <w:rFonts w:cs="Arial"/>
          <w:szCs w:val="22"/>
        </w:rPr>
        <w:t>využít regulovanou nabídku společnosti O2</w:t>
      </w:r>
      <w:r w:rsidR="007B2BC7">
        <w:rPr>
          <w:rFonts w:cs="Arial"/>
          <w:szCs w:val="22"/>
        </w:rPr>
        <w:t>.</w:t>
      </w:r>
    </w:p>
    <w:p w14:paraId="484303B3" w14:textId="02FF6684" w:rsidR="00D2724E" w:rsidRDefault="00096A89" w:rsidP="00FF4932">
      <w:pPr>
        <w:ind w:left="426"/>
        <w:rPr>
          <w:rFonts w:cs="Arial"/>
          <w:szCs w:val="22"/>
        </w:rPr>
      </w:pPr>
      <w:r>
        <w:rPr>
          <w:rFonts w:cs="Arial"/>
          <w:szCs w:val="22"/>
        </w:rPr>
        <w:t xml:space="preserve">K bodu 100 uvádíme, že </w:t>
      </w:r>
      <w:r w:rsidR="008516C8">
        <w:rPr>
          <w:rFonts w:cs="Arial"/>
          <w:szCs w:val="22"/>
        </w:rPr>
        <w:t xml:space="preserve">nesouhlasíme s tím, že jsou </w:t>
      </w:r>
      <w:r w:rsidR="005436A4">
        <w:rPr>
          <w:rFonts w:cs="Arial"/>
          <w:szCs w:val="22"/>
        </w:rPr>
        <w:t xml:space="preserve">tržní podíly na trhu neměnné. </w:t>
      </w:r>
      <w:r w:rsidR="002444B4">
        <w:rPr>
          <w:rFonts w:cs="Arial"/>
          <w:szCs w:val="22"/>
        </w:rPr>
        <w:t>Dlouhodobě d</w:t>
      </w:r>
      <w:r w:rsidR="005436A4">
        <w:rPr>
          <w:rFonts w:cs="Arial"/>
          <w:szCs w:val="22"/>
        </w:rPr>
        <w:t xml:space="preserve">ochází k přelivu části </w:t>
      </w:r>
      <w:r w:rsidR="000076B1">
        <w:rPr>
          <w:rFonts w:cs="Arial"/>
          <w:szCs w:val="22"/>
        </w:rPr>
        <w:t>báze</w:t>
      </w:r>
      <w:r w:rsidR="006E02CD">
        <w:rPr>
          <w:rFonts w:cs="Arial"/>
          <w:szCs w:val="22"/>
        </w:rPr>
        <w:t>.</w:t>
      </w:r>
    </w:p>
    <w:p w14:paraId="1B0C8636" w14:textId="44AB9F2E" w:rsidR="006E02CD" w:rsidRDefault="000829AB" w:rsidP="00FF4932">
      <w:pPr>
        <w:ind w:left="426"/>
        <w:rPr>
          <w:rFonts w:cs="Arial"/>
          <w:szCs w:val="22"/>
        </w:rPr>
      </w:pPr>
      <w:r>
        <w:rPr>
          <w:rFonts w:cs="Arial"/>
          <w:szCs w:val="22"/>
        </w:rPr>
        <w:t xml:space="preserve">K bodu 101 uvádíme, že dochází přesně k tomu, co uvádí Evropská komise, tedy k setrvalému poklesu nominální cenové hladiny (navzdory poklesu hodnoty peněz) </w:t>
      </w:r>
      <w:r w:rsidR="001029DA">
        <w:rPr>
          <w:rFonts w:cs="Arial"/>
          <w:szCs w:val="22"/>
        </w:rPr>
        <w:t xml:space="preserve">a vytváření nových diferencovaných produktů (např. datově neomezených tarifů, jejichž zavedení bylo v České republice v mezinárodním srovnání relativně brzké) </w:t>
      </w:r>
      <w:r w:rsidR="00123022">
        <w:rPr>
          <w:rFonts w:cs="Arial"/>
          <w:szCs w:val="22"/>
        </w:rPr>
        <w:t xml:space="preserve">nikoliv k neměnnému stavu v důsledku </w:t>
      </w:r>
      <w:r w:rsidR="001029DA">
        <w:rPr>
          <w:rFonts w:cs="Arial"/>
          <w:szCs w:val="22"/>
        </w:rPr>
        <w:t xml:space="preserve">teoretického </w:t>
      </w:r>
      <w:r w:rsidR="00123022">
        <w:rPr>
          <w:rFonts w:cs="Arial"/>
          <w:szCs w:val="22"/>
        </w:rPr>
        <w:t>ČTÚ uváděné</w:t>
      </w:r>
      <w:r w:rsidR="001029DA">
        <w:rPr>
          <w:rFonts w:cs="Arial"/>
          <w:szCs w:val="22"/>
        </w:rPr>
        <w:t>ho odvetného</w:t>
      </w:r>
      <w:r w:rsidR="003F173E">
        <w:rPr>
          <w:rFonts w:cs="Arial"/>
          <w:szCs w:val="22"/>
        </w:rPr>
        <w:t xml:space="preserve"> </w:t>
      </w:r>
      <w:r w:rsidR="001029DA">
        <w:rPr>
          <w:rFonts w:cs="Arial"/>
          <w:szCs w:val="22"/>
        </w:rPr>
        <w:t>mechanismu.</w:t>
      </w:r>
      <w:r w:rsidR="003F173E">
        <w:rPr>
          <w:rFonts w:cs="Arial"/>
          <w:szCs w:val="22"/>
        </w:rPr>
        <w:t xml:space="preserve"> Více k této problematice uvádíme v připomínkách ke kapitole C.7.</w:t>
      </w:r>
    </w:p>
    <w:p w14:paraId="71041522" w14:textId="047C5F3F" w:rsidR="003F173E" w:rsidRDefault="00D12703" w:rsidP="00D12703">
      <w:pPr>
        <w:pStyle w:val="Nadpis2"/>
      </w:pPr>
      <w:r>
        <w:t>C.1 Východiska pro regulaci – stav na českém mobilním trhu</w:t>
      </w:r>
    </w:p>
    <w:p w14:paraId="1959124F" w14:textId="77777777" w:rsidR="00F737A9" w:rsidRPr="007F2682" w:rsidRDefault="00F737A9" w:rsidP="00F737A9">
      <w:pPr>
        <w:pStyle w:val="Podnadpis"/>
      </w:pPr>
      <w:r w:rsidRPr="007F2682">
        <w:t xml:space="preserve">Návrh na doplnění, změnu, zrušení nebo nahrazení textu ustanovení návrhu opatření: </w:t>
      </w:r>
    </w:p>
    <w:p w14:paraId="09202470" w14:textId="43C1EB67" w:rsidR="00F737A9" w:rsidRDefault="008A3906" w:rsidP="00F737A9">
      <w:pPr>
        <w:ind w:left="357"/>
        <w:rPr>
          <w:rFonts w:cs="Arial"/>
          <w:b/>
          <w:szCs w:val="22"/>
        </w:rPr>
      </w:pPr>
      <w:r>
        <w:rPr>
          <w:rFonts w:cs="Arial"/>
          <w:b/>
          <w:szCs w:val="22"/>
        </w:rPr>
        <w:t>Úprava kapitoly minimálně v tom smyslu, že nebude své argumenty stavět na datech z roku 2016.</w:t>
      </w:r>
    </w:p>
    <w:p w14:paraId="312297F5" w14:textId="77777777" w:rsidR="00F737A9" w:rsidRPr="007F2682" w:rsidRDefault="00F737A9" w:rsidP="00F737A9">
      <w:pPr>
        <w:pStyle w:val="Podnadpis"/>
      </w:pPr>
      <w:r w:rsidRPr="007F2682">
        <w:t>Odůvodnění:</w:t>
      </w:r>
    </w:p>
    <w:p w14:paraId="0922ABF9" w14:textId="3D6B0C58" w:rsidR="00507205" w:rsidRDefault="00F737A9" w:rsidP="009D2891">
      <w:pPr>
        <w:ind w:left="426"/>
        <w:rPr>
          <w:rFonts w:cs="Arial"/>
          <w:szCs w:val="22"/>
        </w:rPr>
      </w:pPr>
      <w:r>
        <w:rPr>
          <w:rFonts w:cs="Arial"/>
          <w:szCs w:val="22"/>
        </w:rPr>
        <w:t xml:space="preserve">K jednotlivým bodům </w:t>
      </w:r>
      <w:r w:rsidR="005B19C8">
        <w:rPr>
          <w:rFonts w:cs="Arial"/>
          <w:szCs w:val="22"/>
        </w:rPr>
        <w:t xml:space="preserve">mezinárodních srovnání se vyjadřujeme v následujících připomínkách. K této kapitole nicméně uvádíme, že </w:t>
      </w:r>
      <w:r w:rsidR="00142CE9">
        <w:rPr>
          <w:rFonts w:cs="Arial"/>
          <w:szCs w:val="22"/>
        </w:rPr>
        <w:t xml:space="preserve">uvádět grafy </w:t>
      </w:r>
      <w:r w:rsidR="00D65462">
        <w:rPr>
          <w:rFonts w:cs="Arial"/>
          <w:szCs w:val="22"/>
        </w:rPr>
        <w:t xml:space="preserve">postavené na </w:t>
      </w:r>
      <w:r w:rsidR="00D65462" w:rsidRPr="00D65462">
        <w:rPr>
          <w:rFonts w:cs="Arial"/>
          <w:b/>
          <w:bCs/>
          <w:szCs w:val="22"/>
        </w:rPr>
        <w:t>datech z roku 2016 (!)</w:t>
      </w:r>
      <w:r w:rsidR="00D65462">
        <w:rPr>
          <w:rFonts w:cs="Arial"/>
          <w:szCs w:val="22"/>
        </w:rPr>
        <w:t>, kdy ČTÚ došel k tomu, že velkoobchodní trh není způsobilý k regulaci, je absolutně irelevantní.</w:t>
      </w:r>
    </w:p>
    <w:p w14:paraId="4EC55027" w14:textId="2AEDC7D6" w:rsidR="00B832A2" w:rsidRDefault="004E0AB7" w:rsidP="00B832A2">
      <w:pPr>
        <w:pStyle w:val="Nadpis2"/>
      </w:pPr>
      <w:r>
        <w:lastRenderedPageBreak/>
        <w:t>C.2 Shrnutí současné situace, rozhodnutí Komise a stanoviska BEREC a přijetí opatření</w:t>
      </w:r>
      <w:r w:rsidR="00D575C3">
        <w:t xml:space="preserve"> (s. 19-20)</w:t>
      </w:r>
    </w:p>
    <w:p w14:paraId="725A5202" w14:textId="77777777" w:rsidR="004E0AB7" w:rsidRPr="007F2682" w:rsidRDefault="004E0AB7" w:rsidP="004E0AB7">
      <w:pPr>
        <w:pStyle w:val="Podnadpis"/>
      </w:pPr>
      <w:r w:rsidRPr="007F2682">
        <w:t xml:space="preserve">Návrh na doplnění, změnu, zrušení nebo nahrazení textu ustanovení návrhu opatření: </w:t>
      </w:r>
    </w:p>
    <w:p w14:paraId="0E08FD3B" w14:textId="18E87958" w:rsidR="004E0AB7" w:rsidRDefault="0075243B" w:rsidP="004E0AB7">
      <w:pPr>
        <w:ind w:left="357"/>
        <w:rPr>
          <w:rFonts w:cs="Arial"/>
          <w:b/>
          <w:szCs w:val="22"/>
        </w:rPr>
      </w:pPr>
      <w:r>
        <w:rPr>
          <w:rFonts w:cs="Arial"/>
          <w:b/>
          <w:szCs w:val="22"/>
        </w:rPr>
        <w:t>Zohlednění argumentů uvedených v odůvodnění těchto připomínek ve znění této kapitoly.</w:t>
      </w:r>
    </w:p>
    <w:p w14:paraId="09E7867F" w14:textId="77777777" w:rsidR="004E0AB7" w:rsidRPr="007F2682" w:rsidRDefault="004E0AB7" w:rsidP="004E0AB7">
      <w:pPr>
        <w:pStyle w:val="Podnadpis"/>
      </w:pPr>
      <w:r w:rsidRPr="007F2682">
        <w:t>Odůvodnění:</w:t>
      </w:r>
    </w:p>
    <w:p w14:paraId="6C54952D" w14:textId="5A8C096A" w:rsidR="004E0AB7" w:rsidRDefault="004E0AB7" w:rsidP="004E0AB7">
      <w:pPr>
        <w:ind w:left="426"/>
        <w:rPr>
          <w:rFonts w:cs="Arial"/>
          <w:szCs w:val="22"/>
        </w:rPr>
      </w:pPr>
      <w:r>
        <w:rPr>
          <w:rFonts w:cs="Arial"/>
          <w:szCs w:val="22"/>
        </w:rPr>
        <w:t>K jednotlivým bodům v této kapitole uvádíme:</w:t>
      </w:r>
    </w:p>
    <w:p w14:paraId="49520CE3" w14:textId="2331A646" w:rsidR="004E0AB7" w:rsidRDefault="00862189" w:rsidP="006B0E21">
      <w:pPr>
        <w:pStyle w:val="Odstavecseseznamem"/>
        <w:numPr>
          <w:ilvl w:val="0"/>
          <w:numId w:val="50"/>
        </w:numPr>
        <w:spacing w:after="120"/>
        <w:ind w:left="782" w:hanging="357"/>
        <w:contextualSpacing w:val="0"/>
      </w:pPr>
      <w:r>
        <w:t>V připomínkách ke kapitole C.3 ukazujeme, že tato informace je ne</w:t>
      </w:r>
      <w:r w:rsidR="00B018AC">
        <w:t>pravdivá</w:t>
      </w:r>
      <w:r w:rsidR="00CF28C0">
        <w:t xml:space="preserve"> a ve skutečn</w:t>
      </w:r>
      <w:r w:rsidR="00B60C3A">
        <w:t>o</w:t>
      </w:r>
      <w:r w:rsidR="00CF28C0">
        <w:t>st</w:t>
      </w:r>
      <w:r w:rsidR="00B60C3A">
        <w:t>i</w:t>
      </w:r>
      <w:r w:rsidR="00CF28C0">
        <w:t xml:space="preserve"> jsou ceny </w:t>
      </w:r>
      <w:r w:rsidR="002478C9">
        <w:t>nižší, než uvádí srovnání prezentovaná ČTÚ</w:t>
      </w:r>
      <w:r>
        <w:t>.</w:t>
      </w:r>
    </w:p>
    <w:p w14:paraId="101D77E7" w14:textId="32EB74A7" w:rsidR="00CF28C0" w:rsidRDefault="00CF28C0" w:rsidP="006B0E21">
      <w:pPr>
        <w:pStyle w:val="Odstavecseseznamem"/>
        <w:numPr>
          <w:ilvl w:val="0"/>
          <w:numId w:val="50"/>
        </w:numPr>
        <w:spacing w:after="120"/>
        <w:ind w:left="782" w:hanging="357"/>
        <w:contextualSpacing w:val="0"/>
      </w:pPr>
      <w:r>
        <w:t>V připomínkách ke kapitole C.3 ukazujeme, že tato informace je nepravdivá a MVNO jsou schopni svými nabídkami konkurovat MNO.</w:t>
      </w:r>
    </w:p>
    <w:p w14:paraId="237B35FE" w14:textId="1F2C9F34" w:rsidR="00862189" w:rsidRDefault="002B1F69" w:rsidP="006B0E21">
      <w:pPr>
        <w:pStyle w:val="Odstavecseseznamem"/>
        <w:numPr>
          <w:ilvl w:val="0"/>
          <w:numId w:val="50"/>
        </w:numPr>
        <w:spacing w:after="120"/>
        <w:ind w:left="782" w:hanging="357"/>
        <w:contextualSpacing w:val="0"/>
      </w:pPr>
      <w:r>
        <w:t>V připomínkách ke kapitole C.8 prokazujeme, že tento předpoklad je nepodlož</w:t>
      </w:r>
      <w:r w:rsidR="004469E0">
        <w:t>e</w:t>
      </w:r>
      <w:r>
        <w:t>ný.</w:t>
      </w:r>
    </w:p>
    <w:p w14:paraId="5AB7FE64" w14:textId="32967796" w:rsidR="002B1F69" w:rsidRDefault="00A01198" w:rsidP="006B0E21">
      <w:pPr>
        <w:pStyle w:val="Odstavecseseznamem"/>
        <w:numPr>
          <w:ilvl w:val="0"/>
          <w:numId w:val="50"/>
        </w:numPr>
        <w:spacing w:after="120"/>
        <w:ind w:left="782" w:hanging="357"/>
        <w:contextualSpacing w:val="0"/>
      </w:pPr>
      <w:r>
        <w:t>Podmínky a</w:t>
      </w:r>
      <w:r w:rsidR="0066615D">
        <w:t xml:space="preserve">ukce na pásmo 700 MHz stanovili povinnost přístupu ke službám poskytovaným v tomto pásmu, nikoliv k technologii 5G. S ohledem na to, že například společnost O2 v tomto pásmu </w:t>
      </w:r>
      <w:r w:rsidR="00667F88">
        <w:t xml:space="preserve">nyní </w:t>
      </w:r>
      <w:r w:rsidR="0066615D">
        <w:t>poskytuje služby LTE</w:t>
      </w:r>
      <w:r w:rsidR="006176B4">
        <w:t xml:space="preserve"> a do budoucna lze předpokládat využití technologi</w:t>
      </w:r>
      <w:r w:rsidR="008C11D0">
        <w:t>e</w:t>
      </w:r>
      <w:r w:rsidR="006176B4">
        <w:t xml:space="preserve"> DSS (4G a 5G zároveň) </w:t>
      </w:r>
      <w:r w:rsidR="008C11D0">
        <w:t xml:space="preserve">je část argumentů uvedených ČTÚ nesprávná. </w:t>
      </w:r>
      <w:r w:rsidR="00667F88">
        <w:t>Dále s</w:t>
      </w:r>
      <w:r w:rsidR="008C11D0">
        <w:t> ohledem na logickou propojenost</w:t>
      </w:r>
      <w:r w:rsidR="00667F88">
        <w:t xml:space="preserve"> povinností z „LTE“ a „5G“ aukce</w:t>
      </w:r>
      <w:r w:rsidR="008C11D0">
        <w:t xml:space="preserve"> společnost O2 </w:t>
      </w:r>
      <w:r w:rsidR="00997C36">
        <w:t xml:space="preserve">v referenční nabídce </w:t>
      </w:r>
      <w:r w:rsidR="007E0733">
        <w:t xml:space="preserve">pro </w:t>
      </w:r>
      <w:proofErr w:type="spellStart"/>
      <w:r w:rsidR="007E0733">
        <w:t>Light</w:t>
      </w:r>
      <w:proofErr w:type="spellEnd"/>
      <w:r w:rsidR="007E0733">
        <w:t xml:space="preserve"> i Full MVNO </w:t>
      </w:r>
      <w:r w:rsidR="00691FB1">
        <w:t>u</w:t>
      </w:r>
      <w:r w:rsidR="00667F88">
        <w:t>možňuje</w:t>
      </w:r>
      <w:r w:rsidR="007E0733">
        <w:t xml:space="preserve"> přístup k celé síti LTE i 5G.</w:t>
      </w:r>
    </w:p>
    <w:p w14:paraId="517673E8" w14:textId="4D0890B9" w:rsidR="00895275" w:rsidRDefault="00402226" w:rsidP="006B0E21">
      <w:pPr>
        <w:pStyle w:val="Odstavecseseznamem"/>
        <w:numPr>
          <w:ilvl w:val="0"/>
          <w:numId w:val="50"/>
        </w:numPr>
        <w:spacing w:after="120"/>
        <w:ind w:left="782" w:hanging="357"/>
        <w:contextualSpacing w:val="0"/>
      </w:pPr>
      <w:r>
        <w:t>Sám ČTÚ ve své analýze uvádí, že samotná existence 4. operátora je dostatečná pro zajištění dostatečn</w:t>
      </w:r>
      <w:r w:rsidR="00B37F8B">
        <w:t>ě efektivního trhu</w:t>
      </w:r>
      <w:r>
        <w:t xml:space="preserve"> </w:t>
      </w:r>
      <w:r w:rsidR="00E8587C">
        <w:t>(s. 6)</w:t>
      </w:r>
      <w:r w:rsidR="00B37F8B">
        <w:t>. Není tedy zřejmé, proč ČTÚ předkládá jako argument nejistotu, zda bude 4., 5. nebo 6. operátor na mobilním trhu poskytovat velkoobchodní přístup nad rámec komerčního a regulovaného velkoobchodního přístupu stávajících síťových operátorů.</w:t>
      </w:r>
    </w:p>
    <w:p w14:paraId="5CA4DE66" w14:textId="1C1C4380" w:rsidR="00B37F8B" w:rsidRDefault="009D2288" w:rsidP="006B0E21">
      <w:pPr>
        <w:pStyle w:val="Odstavecseseznamem"/>
        <w:numPr>
          <w:ilvl w:val="0"/>
          <w:numId w:val="50"/>
        </w:numPr>
        <w:spacing w:after="120"/>
        <w:ind w:left="782" w:hanging="357"/>
        <w:contextualSpacing w:val="0"/>
      </w:pPr>
      <w:r>
        <w:t xml:space="preserve">Tento argument je zavádějící. Na českém trhu je </w:t>
      </w:r>
      <w:r w:rsidR="00E15150">
        <w:t xml:space="preserve">136 </w:t>
      </w:r>
      <w:r w:rsidR="004F5F1E">
        <w:t>MVNO a je zřejmé, že část z nich se na trhu neudrží</w:t>
      </w:r>
      <w:r w:rsidR="009625FD">
        <w:t xml:space="preserve"> například z toho důvodu, že se </w:t>
      </w:r>
      <w:r w:rsidR="000A6C98">
        <w:t>některým subjektům nepodaří získat dostatečný počet zákazníků umožňující ziskově podnikat (obdobně jako v jakémkoliv jiném trhu)</w:t>
      </w:r>
      <w:r w:rsidR="004F5F1E">
        <w:t>. Nestabilita trhu</w:t>
      </w:r>
      <w:r w:rsidR="001804A2">
        <w:t xml:space="preserve"> a tržních podílů</w:t>
      </w:r>
      <w:r w:rsidR="004F5F1E">
        <w:t xml:space="preserve"> </w:t>
      </w:r>
      <w:r w:rsidR="001804A2">
        <w:t xml:space="preserve">při neklesání celkového tržního podílu </w:t>
      </w:r>
      <w:r w:rsidR="004F5F1E">
        <w:t xml:space="preserve">je známkou </w:t>
      </w:r>
      <w:r w:rsidR="000A6C98">
        <w:t>konkuren</w:t>
      </w:r>
      <w:r w:rsidR="001804A2">
        <w:t>čního prostředí.</w:t>
      </w:r>
      <w:r w:rsidR="0015347C">
        <w:t xml:space="preserve"> Taktéž ČTÚ postupuje tendenčně, když upozorňuje pouze na </w:t>
      </w:r>
      <w:r w:rsidR="000C0944">
        <w:t>MVNO opouštějících velkoobchodní trh, nikoliv však už na MVNO přicházející na velkoobchodní trh, kterých bylo například v roce 2020 více než MVNO trh opouštějících.</w:t>
      </w:r>
    </w:p>
    <w:p w14:paraId="0462CB8A" w14:textId="75D8FA3E" w:rsidR="001804A2" w:rsidRDefault="008A310F" w:rsidP="006B0E21">
      <w:pPr>
        <w:pStyle w:val="Odstavecseseznamem"/>
        <w:numPr>
          <w:ilvl w:val="0"/>
          <w:numId w:val="50"/>
        </w:numPr>
        <w:spacing w:after="120"/>
        <w:ind w:left="782" w:hanging="357"/>
        <w:contextualSpacing w:val="0"/>
      </w:pPr>
      <w:r>
        <w:t xml:space="preserve">Zaprvé se jedná o spekulativní prohlášení a zadruhé odkazuje na nesmyslný vývoj ceny za MB </w:t>
      </w:r>
      <w:r w:rsidR="00A23AC2">
        <w:t>v roce 2020 (reálně samozřejmě k žádnému nárůstu velkoobchodní ceny dat nedošlo).</w:t>
      </w:r>
    </w:p>
    <w:p w14:paraId="20051084" w14:textId="45641A22" w:rsidR="007465E3" w:rsidRPr="000A50E5" w:rsidRDefault="00FF3A78" w:rsidP="006B0E21">
      <w:pPr>
        <w:pStyle w:val="Odstavecseseznamem"/>
        <w:numPr>
          <w:ilvl w:val="0"/>
          <w:numId w:val="50"/>
        </w:numPr>
        <w:spacing w:after="120"/>
        <w:ind w:left="782" w:hanging="357"/>
        <w:contextualSpacing w:val="0"/>
        <w:rPr>
          <w:b/>
          <w:bCs/>
        </w:rPr>
      </w:pPr>
      <w:r>
        <w:t>Opět se jedná o spekulativní prohlášení</w:t>
      </w:r>
      <w:r w:rsidR="00842A88">
        <w:t xml:space="preserve">, které je, jak ukazujeme v následující připomínce, navíc postaveno na </w:t>
      </w:r>
      <w:r w:rsidR="00D7416E">
        <w:t xml:space="preserve">nepravdivém předpokladu o nemožnosti </w:t>
      </w:r>
      <w:proofErr w:type="spellStart"/>
      <w:r w:rsidR="00D7416E">
        <w:t>replikovatelnosti</w:t>
      </w:r>
      <w:proofErr w:type="spellEnd"/>
      <w:r w:rsidR="00D7416E">
        <w:t xml:space="preserve"> maloobchodní nabídky. </w:t>
      </w:r>
      <w:r w:rsidR="00D7416E" w:rsidRPr="000A50E5">
        <w:rPr>
          <w:b/>
          <w:bCs/>
        </w:rPr>
        <w:t xml:space="preserve">Zajímavým aspektem v tomto bodě je použití výrazu </w:t>
      </w:r>
      <w:r w:rsidR="00D7416E" w:rsidRPr="000A50E5">
        <w:rPr>
          <w:b/>
          <w:bCs/>
          <w:i/>
          <w:iCs/>
        </w:rPr>
        <w:lastRenderedPageBreak/>
        <w:t>„agresivní“</w:t>
      </w:r>
      <w:r w:rsidR="00FB32EE">
        <w:rPr>
          <w:b/>
          <w:bCs/>
          <w:i/>
          <w:iCs/>
        </w:rPr>
        <w:t xml:space="preserve"> </w:t>
      </w:r>
      <w:r w:rsidR="00FB32EE" w:rsidRPr="00FB32EE">
        <w:rPr>
          <w:b/>
          <w:bCs/>
        </w:rPr>
        <w:t>ve spojitosti s tarifní nabídkou síťových operátorů</w:t>
      </w:r>
      <w:r w:rsidR="00D7416E" w:rsidRPr="000A50E5">
        <w:rPr>
          <w:b/>
          <w:bCs/>
        </w:rPr>
        <w:t xml:space="preserve">, což odporuje </w:t>
      </w:r>
      <w:r w:rsidR="000A50E5" w:rsidRPr="000A50E5">
        <w:rPr>
          <w:b/>
          <w:bCs/>
        </w:rPr>
        <w:t xml:space="preserve">hlavním argumentům analýzy o </w:t>
      </w:r>
      <w:proofErr w:type="spellStart"/>
      <w:r w:rsidR="000A50E5" w:rsidRPr="000A50E5">
        <w:rPr>
          <w:b/>
          <w:bCs/>
        </w:rPr>
        <w:t>tacitní</w:t>
      </w:r>
      <w:proofErr w:type="spellEnd"/>
      <w:r w:rsidR="000A50E5" w:rsidRPr="000A50E5">
        <w:rPr>
          <w:b/>
          <w:bCs/>
        </w:rPr>
        <w:t xml:space="preserve"> koluzi a nekonkurenčním prostředí.</w:t>
      </w:r>
    </w:p>
    <w:p w14:paraId="035F43DD" w14:textId="470E4DC3" w:rsidR="003F79D1" w:rsidRPr="007F2682" w:rsidRDefault="003F79D1" w:rsidP="003F79D1">
      <w:pPr>
        <w:pStyle w:val="Nadpis2"/>
      </w:pPr>
      <w:r>
        <w:t>Ko</w:t>
      </w:r>
      <w:r w:rsidR="00A43AAE">
        <w:t>m</w:t>
      </w:r>
      <w:r>
        <w:t xml:space="preserve">pletní přepracování či vyřazení kapitoly </w:t>
      </w:r>
      <w:r w:rsidR="00B9251E">
        <w:t>C.3</w:t>
      </w:r>
      <w:r w:rsidRPr="009341D2">
        <w:t xml:space="preserve"> </w:t>
      </w:r>
      <w:r w:rsidR="00753FC6">
        <w:t>Mezinárodní srovnání situace na maloobchodním trhu v</w:t>
      </w:r>
      <w:r w:rsidR="006552BF">
        <w:t> </w:t>
      </w:r>
      <w:r w:rsidR="00753FC6">
        <w:t>ČR</w:t>
      </w:r>
      <w:r w:rsidR="006552BF">
        <w:t xml:space="preserve"> (s. 20-29)</w:t>
      </w:r>
      <w:r w:rsidR="00BB24AB">
        <w:t xml:space="preserve"> a </w:t>
      </w:r>
      <w:r w:rsidR="00BB24AB" w:rsidRPr="00BB24AB">
        <w:t>2.1.7</w:t>
      </w:r>
      <w:r w:rsidR="00F85AAC" w:rsidRPr="00F85AAC">
        <w:t xml:space="preserve"> Mezinárodní srovnání</w:t>
      </w:r>
      <w:r w:rsidR="0075243B">
        <w:t xml:space="preserve"> (79-84)</w:t>
      </w:r>
    </w:p>
    <w:p w14:paraId="78BB363F" w14:textId="77777777" w:rsidR="003F79D1" w:rsidRPr="007F2682" w:rsidRDefault="003F79D1" w:rsidP="003F79D1">
      <w:pPr>
        <w:pStyle w:val="Podnadpis"/>
      </w:pPr>
      <w:r w:rsidRPr="007F2682">
        <w:t xml:space="preserve">Návrh na doplnění, změnu, zrušení nebo nahrazení textu ustanovení návrhu opatření: </w:t>
      </w:r>
    </w:p>
    <w:p w14:paraId="411CFB3C" w14:textId="47223C43" w:rsidR="003F79D1" w:rsidRDefault="0063448D" w:rsidP="003F79D1">
      <w:pPr>
        <w:ind w:left="357"/>
        <w:rPr>
          <w:rFonts w:cs="Arial"/>
          <w:b/>
          <w:szCs w:val="22"/>
        </w:rPr>
      </w:pPr>
      <w:r>
        <w:rPr>
          <w:rFonts w:cs="Arial"/>
          <w:b/>
          <w:szCs w:val="22"/>
        </w:rPr>
        <w:t xml:space="preserve">Vytvoření vlastní cenové analýzy na základě </w:t>
      </w:r>
      <w:r w:rsidR="00EE67AE">
        <w:rPr>
          <w:rFonts w:cs="Arial"/>
          <w:b/>
          <w:szCs w:val="22"/>
        </w:rPr>
        <w:t>ČTÚ dostupných dat a změna vyznění této kapitoly tak, že cenová hladina mobilních služeb v České republice výrazně nevybočuje z evropského průměru. Po zohlednění kvality služeb jsou na tom velmi dobře.</w:t>
      </w:r>
    </w:p>
    <w:p w14:paraId="0FDEF974" w14:textId="77777777" w:rsidR="003F79D1" w:rsidRPr="007F2682" w:rsidRDefault="003F79D1" w:rsidP="003F79D1">
      <w:pPr>
        <w:pStyle w:val="Podnadpis"/>
      </w:pPr>
      <w:r w:rsidRPr="007F2682">
        <w:t>Odůvodnění:</w:t>
      </w:r>
    </w:p>
    <w:p w14:paraId="00F81A0F" w14:textId="1BD0231D" w:rsidR="003F79D1" w:rsidRDefault="00E6257C" w:rsidP="002C4CF3">
      <w:pPr>
        <w:ind w:left="357"/>
        <w:rPr>
          <w:rFonts w:cs="Arial"/>
          <w:szCs w:val="22"/>
        </w:rPr>
      </w:pPr>
      <w:r>
        <w:rPr>
          <w:rFonts w:cs="Arial"/>
          <w:szCs w:val="22"/>
        </w:rPr>
        <w:t>Vzhledem k</w:t>
      </w:r>
      <w:r w:rsidR="0045132D">
        <w:rPr>
          <w:rFonts w:cs="Arial"/>
          <w:szCs w:val="22"/>
        </w:rPr>
        <w:t> </w:t>
      </w:r>
      <w:r>
        <w:rPr>
          <w:rFonts w:cs="Arial"/>
          <w:szCs w:val="22"/>
        </w:rPr>
        <w:t>nev</w:t>
      </w:r>
      <w:r w:rsidR="0045132D">
        <w:rPr>
          <w:rFonts w:cs="Arial"/>
          <w:szCs w:val="22"/>
        </w:rPr>
        <w:t xml:space="preserve">ypořádání této připomínky v podzimní veřejné konzultaci, </w:t>
      </w:r>
      <w:r w:rsidR="002C4CF3">
        <w:rPr>
          <w:rFonts w:cs="Arial"/>
          <w:szCs w:val="22"/>
        </w:rPr>
        <w:t xml:space="preserve">opětovně uvádíme </w:t>
      </w:r>
      <w:r w:rsidR="00A43AAE">
        <w:rPr>
          <w:rFonts w:cs="Arial"/>
          <w:szCs w:val="22"/>
        </w:rPr>
        <w:t xml:space="preserve">metodické problémy </w:t>
      </w:r>
      <w:r w:rsidR="002C4CF3">
        <w:rPr>
          <w:rFonts w:cs="Arial"/>
          <w:szCs w:val="22"/>
        </w:rPr>
        <w:t>vybraných</w:t>
      </w:r>
      <w:r w:rsidR="005536DD">
        <w:rPr>
          <w:rFonts w:cs="Arial"/>
          <w:szCs w:val="22"/>
        </w:rPr>
        <w:t xml:space="preserve"> mezinárodních cenových srovnání, které nereflektují </w:t>
      </w:r>
      <w:r w:rsidR="004A45EC">
        <w:rPr>
          <w:rFonts w:cs="Arial"/>
          <w:szCs w:val="22"/>
        </w:rPr>
        <w:t xml:space="preserve">(rodinné) </w:t>
      </w:r>
      <w:r w:rsidR="005536DD">
        <w:rPr>
          <w:rFonts w:cs="Arial"/>
          <w:szCs w:val="22"/>
        </w:rPr>
        <w:t xml:space="preserve">balíčky a jiné nabídky na trhu, </w:t>
      </w:r>
      <w:r w:rsidR="00C8482D">
        <w:rPr>
          <w:rFonts w:cs="Arial"/>
          <w:szCs w:val="22"/>
        </w:rPr>
        <w:t>využívají průměrnou spotřebu dat, aplikují přepočet na paritu kupní síly</w:t>
      </w:r>
      <w:r w:rsidR="00511A55">
        <w:rPr>
          <w:rFonts w:cs="Arial"/>
          <w:szCs w:val="22"/>
        </w:rPr>
        <w:t xml:space="preserve"> (PPP)</w:t>
      </w:r>
      <w:r w:rsidR="00C8482D">
        <w:rPr>
          <w:rFonts w:cs="Arial"/>
          <w:szCs w:val="22"/>
        </w:rPr>
        <w:t xml:space="preserve">, </w:t>
      </w:r>
      <w:r w:rsidR="005536DD">
        <w:rPr>
          <w:rFonts w:cs="Arial"/>
          <w:szCs w:val="22"/>
        </w:rPr>
        <w:t xml:space="preserve">stanovují arbitrární hranice v EUR nebo </w:t>
      </w:r>
      <w:r w:rsidR="00874263">
        <w:rPr>
          <w:rFonts w:cs="Arial"/>
          <w:szCs w:val="22"/>
        </w:rPr>
        <w:t>například nezahrnují nabídku některých tržních subjektů.</w:t>
      </w:r>
      <w:r w:rsidR="00F85AAC">
        <w:rPr>
          <w:rFonts w:cs="Arial"/>
          <w:szCs w:val="22"/>
        </w:rPr>
        <w:t xml:space="preserve"> Stejně tak mohou být ovlivněny nižším </w:t>
      </w:r>
      <w:r w:rsidR="00AC02B4">
        <w:rPr>
          <w:rFonts w:cs="Arial"/>
          <w:szCs w:val="22"/>
        </w:rPr>
        <w:t>čerpáním</w:t>
      </w:r>
      <w:r w:rsidR="00F85AAC">
        <w:rPr>
          <w:rFonts w:cs="Arial"/>
          <w:szCs w:val="22"/>
        </w:rPr>
        <w:t xml:space="preserve"> dat</w:t>
      </w:r>
      <w:r w:rsidR="007B332A">
        <w:rPr>
          <w:rFonts w:cs="Arial"/>
          <w:szCs w:val="22"/>
        </w:rPr>
        <w:t xml:space="preserve"> plynoucího z nižšího využívání </w:t>
      </w:r>
      <w:r w:rsidR="00634BE2">
        <w:rPr>
          <w:rFonts w:cs="Arial"/>
          <w:szCs w:val="22"/>
        </w:rPr>
        <w:t>digitálních služeb obecně</w:t>
      </w:r>
      <w:r w:rsidR="007B332A">
        <w:rPr>
          <w:rFonts w:cs="Arial"/>
          <w:szCs w:val="22"/>
        </w:rPr>
        <w:t xml:space="preserve"> a</w:t>
      </w:r>
      <w:r w:rsidR="00634BE2">
        <w:rPr>
          <w:rFonts w:cs="Arial"/>
          <w:szCs w:val="22"/>
        </w:rPr>
        <w:t xml:space="preserve"> způsobeným mimo jiné tristní úrovní digitalizace veřejné správy.</w:t>
      </w:r>
      <w:r w:rsidR="00901290">
        <w:rPr>
          <w:rFonts w:cs="Arial"/>
          <w:szCs w:val="22"/>
        </w:rPr>
        <w:t xml:space="preserve"> Problémy </w:t>
      </w:r>
      <w:r w:rsidR="00801637">
        <w:rPr>
          <w:rFonts w:cs="Arial"/>
          <w:szCs w:val="22"/>
        </w:rPr>
        <w:t>těchto srovnání lze tak nejčastěji pozorovat z několika důvodů:</w:t>
      </w:r>
    </w:p>
    <w:p w14:paraId="42D82D47" w14:textId="0854B8FF" w:rsidR="00801637" w:rsidRPr="006337C6" w:rsidRDefault="00801637" w:rsidP="0040407B">
      <w:pPr>
        <w:pStyle w:val="Odstavecseseznamem"/>
        <w:numPr>
          <w:ilvl w:val="0"/>
          <w:numId w:val="47"/>
        </w:numPr>
        <w:spacing w:after="0"/>
        <w:rPr>
          <w:rFonts w:cs="Arial"/>
          <w:b/>
          <w:bCs/>
          <w:szCs w:val="22"/>
        </w:rPr>
      </w:pPr>
      <w:r w:rsidRPr="006337C6">
        <w:rPr>
          <w:rFonts w:cs="Arial"/>
          <w:b/>
          <w:bCs/>
          <w:szCs w:val="22"/>
        </w:rPr>
        <w:t>Vycházejí z ceníkových cen</w:t>
      </w:r>
    </w:p>
    <w:p w14:paraId="280FFC74" w14:textId="41F7006A" w:rsidR="0040407B" w:rsidRDefault="0040407B" w:rsidP="0040407B">
      <w:pPr>
        <w:pStyle w:val="Odstavecseseznamem"/>
        <w:spacing w:after="0"/>
        <w:ind w:left="717"/>
        <w:rPr>
          <w:rFonts w:cs="Arial"/>
          <w:szCs w:val="22"/>
        </w:rPr>
      </w:pPr>
      <w:r w:rsidRPr="0040407B">
        <w:rPr>
          <w:rFonts w:cs="Arial"/>
          <w:szCs w:val="22"/>
        </w:rPr>
        <w:t>Tento fakt významně snižuje dův</w:t>
      </w:r>
      <w:r>
        <w:rPr>
          <w:rFonts w:cs="Arial"/>
          <w:szCs w:val="22"/>
        </w:rPr>
        <w:t>ě</w:t>
      </w:r>
      <w:r w:rsidRPr="0040407B">
        <w:rPr>
          <w:rFonts w:cs="Arial"/>
          <w:szCs w:val="22"/>
        </w:rPr>
        <w:t>ryhodnost mezinárodních srovnání, neboť ceníkové ceny nemusí odpovídat a ani neodpovídají cenám reálně placeným zákazníkem. Důvodů je hned několik</w:t>
      </w:r>
      <w:r w:rsidR="00662910">
        <w:rPr>
          <w:rFonts w:cs="Arial"/>
          <w:szCs w:val="22"/>
        </w:rPr>
        <w:t>:</w:t>
      </w:r>
      <w:r w:rsidRPr="0040407B">
        <w:rPr>
          <w:rFonts w:cs="Arial"/>
          <w:szCs w:val="22"/>
        </w:rPr>
        <w:t xml:space="preserve"> akviziční slevy, retenční slevy, slevy vycházející z b</w:t>
      </w:r>
      <w:r>
        <w:rPr>
          <w:rFonts w:cs="Arial"/>
          <w:szCs w:val="22"/>
        </w:rPr>
        <w:t>alíčková</w:t>
      </w:r>
      <w:r w:rsidR="00C43269">
        <w:rPr>
          <w:rFonts w:cs="Arial"/>
          <w:szCs w:val="22"/>
        </w:rPr>
        <w:t>n</w:t>
      </w:r>
      <w:r>
        <w:rPr>
          <w:rFonts w:cs="Arial"/>
          <w:szCs w:val="22"/>
        </w:rPr>
        <w:t>í</w:t>
      </w:r>
      <w:r w:rsidRPr="0040407B">
        <w:rPr>
          <w:rFonts w:cs="Arial"/>
          <w:szCs w:val="22"/>
        </w:rPr>
        <w:t xml:space="preserve"> a kombinace služeb, slevy pro živnostníky,</w:t>
      </w:r>
      <w:r w:rsidR="00C43269">
        <w:rPr>
          <w:rFonts w:cs="Arial"/>
          <w:szCs w:val="22"/>
        </w:rPr>
        <w:t xml:space="preserve"> slevy dle věku zákazníka</w:t>
      </w:r>
      <w:r w:rsidRPr="0040407B">
        <w:rPr>
          <w:rFonts w:cs="Arial"/>
          <w:szCs w:val="22"/>
        </w:rPr>
        <w:t xml:space="preserve"> atd. Srovnání ceníkových cen je tak značně zjednodušující a neodráží realitu daného trhu. Obvykle také vede ke zjednodušujícím a chybným závěrům o charakteru maloobchodního trhu.</w:t>
      </w:r>
    </w:p>
    <w:p w14:paraId="32EB2918" w14:textId="77777777" w:rsidR="0040407B" w:rsidRPr="0040407B" w:rsidRDefault="0040407B" w:rsidP="0040407B">
      <w:pPr>
        <w:pStyle w:val="Odstavecseseznamem"/>
        <w:spacing w:after="0"/>
        <w:ind w:left="717"/>
        <w:rPr>
          <w:rFonts w:cs="Arial"/>
          <w:szCs w:val="22"/>
        </w:rPr>
      </w:pPr>
    </w:p>
    <w:p w14:paraId="7A4DCB2A" w14:textId="2209DDEE" w:rsidR="00801637" w:rsidRPr="006337C6" w:rsidRDefault="00801637" w:rsidP="0040407B">
      <w:pPr>
        <w:pStyle w:val="Odstavecseseznamem"/>
        <w:numPr>
          <w:ilvl w:val="0"/>
          <w:numId w:val="47"/>
        </w:numPr>
        <w:spacing w:after="0"/>
        <w:rPr>
          <w:rFonts w:cs="Arial"/>
          <w:b/>
          <w:bCs/>
          <w:szCs w:val="22"/>
        </w:rPr>
      </w:pPr>
      <w:r w:rsidRPr="006337C6">
        <w:rPr>
          <w:rFonts w:cs="Arial"/>
          <w:b/>
          <w:bCs/>
          <w:szCs w:val="22"/>
        </w:rPr>
        <w:t>Nezohledňují b</w:t>
      </w:r>
      <w:r w:rsidR="00B97722" w:rsidRPr="006337C6">
        <w:rPr>
          <w:rFonts w:cs="Arial"/>
          <w:b/>
          <w:bCs/>
          <w:szCs w:val="22"/>
        </w:rPr>
        <w:t>alíčky s</w:t>
      </w:r>
      <w:r w:rsidR="00662910">
        <w:rPr>
          <w:rFonts w:cs="Arial"/>
          <w:b/>
          <w:bCs/>
          <w:szCs w:val="22"/>
        </w:rPr>
        <w:t>l</w:t>
      </w:r>
      <w:r w:rsidR="00B97722" w:rsidRPr="006337C6">
        <w:rPr>
          <w:rFonts w:cs="Arial"/>
          <w:b/>
          <w:bCs/>
          <w:szCs w:val="22"/>
        </w:rPr>
        <w:t xml:space="preserve">užeb </w:t>
      </w:r>
      <w:r w:rsidRPr="006337C6">
        <w:rPr>
          <w:rFonts w:cs="Arial"/>
          <w:b/>
          <w:bCs/>
          <w:szCs w:val="22"/>
        </w:rPr>
        <w:t>(</w:t>
      </w:r>
      <w:r w:rsidR="00B97722" w:rsidRPr="006337C6">
        <w:rPr>
          <w:rFonts w:cs="Arial"/>
          <w:b/>
          <w:bCs/>
          <w:szCs w:val="22"/>
        </w:rPr>
        <w:t>stejných nebo různých služeb elektronických komunikací)</w:t>
      </w:r>
    </w:p>
    <w:p w14:paraId="4B876B7C" w14:textId="17161009" w:rsidR="0040407B" w:rsidRDefault="006337C6" w:rsidP="0040407B">
      <w:pPr>
        <w:pStyle w:val="Odstavecseseznamem"/>
        <w:spacing w:after="0"/>
        <w:ind w:left="717"/>
        <w:rPr>
          <w:rFonts w:cs="Arial"/>
          <w:szCs w:val="22"/>
        </w:rPr>
      </w:pPr>
      <w:r w:rsidRPr="006337C6">
        <w:rPr>
          <w:rFonts w:cs="Arial"/>
          <w:szCs w:val="22"/>
        </w:rPr>
        <w:t>Nabídky balíčků služeb hrají na trhu stále větší roli. Mimo jiné i díky preferenci zákazníků, kteří oceňují praktičnost takového řešení a poskytnuté cenové zvýhodnění.</w:t>
      </w:r>
    </w:p>
    <w:p w14:paraId="2440D1B2" w14:textId="77777777" w:rsidR="006337C6" w:rsidRPr="0040407B" w:rsidRDefault="006337C6" w:rsidP="0040407B">
      <w:pPr>
        <w:pStyle w:val="Odstavecseseznamem"/>
        <w:spacing w:after="0"/>
        <w:ind w:left="717"/>
        <w:rPr>
          <w:rFonts w:cs="Arial"/>
          <w:szCs w:val="22"/>
        </w:rPr>
      </w:pPr>
    </w:p>
    <w:p w14:paraId="15780A50" w14:textId="25B69C06" w:rsidR="00801637" w:rsidRPr="00C43269" w:rsidRDefault="00B97722" w:rsidP="006337C6">
      <w:pPr>
        <w:pStyle w:val="Odstavecseseznamem"/>
        <w:numPr>
          <w:ilvl w:val="0"/>
          <w:numId w:val="47"/>
        </w:numPr>
        <w:spacing w:after="0"/>
        <w:rPr>
          <w:rFonts w:cs="Arial"/>
          <w:b/>
          <w:bCs/>
          <w:szCs w:val="22"/>
        </w:rPr>
      </w:pPr>
      <w:r w:rsidRPr="00C43269">
        <w:rPr>
          <w:rFonts w:cs="Arial"/>
          <w:b/>
          <w:bCs/>
          <w:szCs w:val="22"/>
        </w:rPr>
        <w:t>N</w:t>
      </w:r>
      <w:r w:rsidR="00801637" w:rsidRPr="00C43269">
        <w:rPr>
          <w:rFonts w:cs="Arial"/>
          <w:b/>
          <w:bCs/>
          <w:szCs w:val="22"/>
        </w:rPr>
        <w:t>ezohledňují reálné rozložení trhu</w:t>
      </w:r>
    </w:p>
    <w:p w14:paraId="7726C73E" w14:textId="3BD7AF76" w:rsidR="006337C6" w:rsidRDefault="00C43269" w:rsidP="006337C6">
      <w:pPr>
        <w:pStyle w:val="Odstavecseseznamem"/>
        <w:spacing w:after="0"/>
        <w:ind w:left="717"/>
        <w:rPr>
          <w:rFonts w:cs="Arial"/>
          <w:szCs w:val="22"/>
        </w:rPr>
      </w:pPr>
      <w:r w:rsidRPr="00C43269">
        <w:rPr>
          <w:rFonts w:cs="Arial"/>
          <w:szCs w:val="22"/>
        </w:rPr>
        <w:t>Cenová srovnání používají k</w:t>
      </w:r>
      <w:r>
        <w:rPr>
          <w:rFonts w:cs="Arial"/>
          <w:szCs w:val="22"/>
        </w:rPr>
        <w:t> </w:t>
      </w:r>
      <w:r w:rsidRPr="00C43269">
        <w:rPr>
          <w:rFonts w:cs="Arial"/>
          <w:szCs w:val="22"/>
        </w:rPr>
        <w:t>finálnímu stanovení ceny za danou zemi aritmetický průměr, čímž dochází k</w:t>
      </w:r>
      <w:r>
        <w:rPr>
          <w:rFonts w:cs="Arial"/>
          <w:szCs w:val="22"/>
        </w:rPr>
        <w:t> </w:t>
      </w:r>
      <w:r w:rsidRPr="00C43269">
        <w:rPr>
          <w:rFonts w:cs="Arial"/>
          <w:szCs w:val="22"/>
        </w:rPr>
        <w:t>významnému zkreslení výsledné ceny za srovnávané služby. Do srovnání tak bývají neproporcionálně zahrnuty i služby, které prakticky zákazníci nemusí reálně využívat. Bez správného stanovení vah (ideálně počet nově získ</w:t>
      </w:r>
      <w:r>
        <w:rPr>
          <w:rFonts w:cs="Arial"/>
          <w:szCs w:val="22"/>
        </w:rPr>
        <w:t>a</w:t>
      </w:r>
      <w:r w:rsidRPr="00C43269">
        <w:rPr>
          <w:rFonts w:cs="Arial"/>
          <w:szCs w:val="22"/>
        </w:rPr>
        <w:t xml:space="preserve">ných zákazníků) u nabídek </w:t>
      </w:r>
      <w:r w:rsidRPr="00C43269">
        <w:rPr>
          <w:rFonts w:cs="Arial"/>
          <w:szCs w:val="22"/>
        </w:rPr>
        <w:lastRenderedPageBreak/>
        <w:t>používaných pro srovnání nelze takové srovnání provádět a už vůbec není možné s</w:t>
      </w:r>
      <w:r>
        <w:rPr>
          <w:rFonts w:cs="Arial"/>
          <w:szCs w:val="22"/>
        </w:rPr>
        <w:t> </w:t>
      </w:r>
      <w:r w:rsidRPr="00C43269">
        <w:rPr>
          <w:rFonts w:cs="Arial"/>
          <w:szCs w:val="22"/>
        </w:rPr>
        <w:t>jeho závěry pracovat jako s</w:t>
      </w:r>
      <w:r>
        <w:rPr>
          <w:rFonts w:cs="Arial"/>
          <w:szCs w:val="22"/>
        </w:rPr>
        <w:t> </w:t>
      </w:r>
      <w:r w:rsidRPr="00C43269">
        <w:rPr>
          <w:rFonts w:cs="Arial"/>
          <w:szCs w:val="22"/>
        </w:rPr>
        <w:t>podklady pro analýzu relevantních trhů.</w:t>
      </w:r>
    </w:p>
    <w:p w14:paraId="06077E62" w14:textId="77777777" w:rsidR="00C43269" w:rsidRPr="006337C6" w:rsidRDefault="00C43269" w:rsidP="006337C6">
      <w:pPr>
        <w:pStyle w:val="Odstavecseseznamem"/>
        <w:spacing w:after="0"/>
        <w:ind w:left="717"/>
        <w:rPr>
          <w:rFonts w:cs="Arial"/>
          <w:szCs w:val="22"/>
        </w:rPr>
      </w:pPr>
    </w:p>
    <w:p w14:paraId="393062E0" w14:textId="6452AD65" w:rsidR="00801637" w:rsidRPr="00C43269" w:rsidRDefault="00B97722" w:rsidP="00C43269">
      <w:pPr>
        <w:pStyle w:val="Odstavecseseznamem"/>
        <w:numPr>
          <w:ilvl w:val="0"/>
          <w:numId w:val="47"/>
        </w:numPr>
        <w:spacing w:after="0"/>
        <w:rPr>
          <w:rFonts w:cs="Arial"/>
          <w:b/>
          <w:bCs/>
          <w:szCs w:val="22"/>
        </w:rPr>
      </w:pPr>
      <w:r w:rsidRPr="00C43269">
        <w:rPr>
          <w:rFonts w:cs="Arial"/>
          <w:b/>
          <w:bCs/>
          <w:szCs w:val="22"/>
        </w:rPr>
        <w:t>N</w:t>
      </w:r>
      <w:r w:rsidR="00801637" w:rsidRPr="00C43269">
        <w:rPr>
          <w:rFonts w:cs="Arial"/>
          <w:b/>
          <w:bCs/>
          <w:szCs w:val="22"/>
        </w:rPr>
        <w:t>ezohledňují kvalitu poskytovaných služeb</w:t>
      </w:r>
      <w:r w:rsidRPr="00C43269">
        <w:rPr>
          <w:rFonts w:cs="Arial"/>
          <w:b/>
          <w:bCs/>
          <w:szCs w:val="22"/>
        </w:rPr>
        <w:t xml:space="preserve"> (v ČR velmi relevantní)</w:t>
      </w:r>
    </w:p>
    <w:p w14:paraId="5DE99053" w14:textId="36B80230" w:rsidR="00C43269" w:rsidRDefault="00CE012F" w:rsidP="00C43269">
      <w:pPr>
        <w:pStyle w:val="Odstavecseseznamem"/>
        <w:spacing w:after="0"/>
        <w:ind w:left="717"/>
        <w:rPr>
          <w:rFonts w:cs="Arial"/>
          <w:szCs w:val="22"/>
        </w:rPr>
      </w:pPr>
      <w:r w:rsidRPr="00CE012F">
        <w:rPr>
          <w:rFonts w:cs="Arial"/>
          <w:szCs w:val="22"/>
        </w:rPr>
        <w:t>Srovnání takřka vůbec nezohledňuje kvalitu poskytovaných služeb. Reálně tak často srovnávají nesrovnatelné. Cena by měla být jen jedním z parametrů mezinárodních srovnání</w:t>
      </w:r>
      <w:r w:rsidR="00747554">
        <w:rPr>
          <w:rFonts w:cs="Arial"/>
          <w:szCs w:val="22"/>
        </w:rPr>
        <w:t>,</w:t>
      </w:r>
      <w:r w:rsidRPr="00CE012F">
        <w:rPr>
          <w:rFonts w:cs="Arial"/>
          <w:szCs w:val="22"/>
        </w:rPr>
        <w:t xml:space="preserve"> a n</w:t>
      </w:r>
      <w:r>
        <w:rPr>
          <w:rFonts w:cs="Arial"/>
          <w:szCs w:val="22"/>
        </w:rPr>
        <w:t>ikoliv</w:t>
      </w:r>
      <w:r w:rsidRPr="00CE012F">
        <w:rPr>
          <w:rFonts w:cs="Arial"/>
          <w:szCs w:val="22"/>
        </w:rPr>
        <w:t xml:space="preserve"> parametrem jediným</w:t>
      </w:r>
      <w:r w:rsidR="00747554">
        <w:rPr>
          <w:rFonts w:cs="Arial"/>
          <w:szCs w:val="22"/>
        </w:rPr>
        <w:t>,</w:t>
      </w:r>
      <w:r w:rsidRPr="00CE012F">
        <w:rPr>
          <w:rFonts w:cs="Arial"/>
          <w:szCs w:val="22"/>
        </w:rPr>
        <w:t xml:space="preserve"> a ještě k tomu špatně spočítaným. Vzhledem k tomu, že kvalita mobilního signálu je v České republice ve srovnání s ostatními evropskými zeměmi nadstandardní, lze očekávat, že i cena za službu bude vyšší. Vyznění </w:t>
      </w:r>
      <w:r w:rsidR="0078296B">
        <w:rPr>
          <w:rFonts w:cs="Arial"/>
          <w:szCs w:val="22"/>
        </w:rPr>
        <w:t xml:space="preserve">návrhu </w:t>
      </w:r>
      <w:r w:rsidRPr="00CE012F">
        <w:rPr>
          <w:rFonts w:cs="Arial"/>
          <w:szCs w:val="22"/>
        </w:rPr>
        <w:t xml:space="preserve">analýzy </w:t>
      </w:r>
      <w:r w:rsidR="00721903">
        <w:rPr>
          <w:rFonts w:cs="Arial"/>
          <w:szCs w:val="22"/>
        </w:rPr>
        <w:t xml:space="preserve">pak </w:t>
      </w:r>
      <w:r w:rsidRPr="00CE012F">
        <w:rPr>
          <w:rFonts w:cs="Arial"/>
          <w:szCs w:val="22"/>
        </w:rPr>
        <w:t xml:space="preserve">působí </w:t>
      </w:r>
      <w:r w:rsidR="00721903">
        <w:rPr>
          <w:rFonts w:cs="Arial"/>
          <w:szCs w:val="22"/>
        </w:rPr>
        <w:t xml:space="preserve">dojmem </w:t>
      </w:r>
      <w:r w:rsidRPr="00CE012F">
        <w:rPr>
          <w:rFonts w:cs="Arial"/>
          <w:szCs w:val="22"/>
        </w:rPr>
        <w:t>jako když si milovník vína v Toskánsku stěžuje, že v České republice prodávají Hradní svíci za 25 CZK. Je to sice pravda, je al</w:t>
      </w:r>
      <w:r w:rsidR="008900D6">
        <w:rPr>
          <w:rFonts w:cs="Arial"/>
          <w:szCs w:val="22"/>
        </w:rPr>
        <w:t>e</w:t>
      </w:r>
      <w:r w:rsidRPr="00CE012F">
        <w:rPr>
          <w:rFonts w:cs="Arial"/>
          <w:szCs w:val="22"/>
        </w:rPr>
        <w:t xml:space="preserve"> otázka, jestli by takové víno skutečně chtěl pít.</w:t>
      </w:r>
    </w:p>
    <w:p w14:paraId="1DD60829" w14:textId="77777777" w:rsidR="00C43269" w:rsidRPr="00C43269" w:rsidRDefault="00C43269" w:rsidP="00C43269">
      <w:pPr>
        <w:pStyle w:val="Odstavecseseznamem"/>
        <w:spacing w:after="0"/>
        <w:ind w:left="717"/>
        <w:rPr>
          <w:rFonts w:cs="Arial"/>
          <w:szCs w:val="22"/>
        </w:rPr>
      </w:pPr>
    </w:p>
    <w:p w14:paraId="104DED9D" w14:textId="6D073BAF" w:rsidR="00801637" w:rsidRPr="008900D6" w:rsidRDefault="00B97722" w:rsidP="008900D6">
      <w:pPr>
        <w:pStyle w:val="Odstavecseseznamem"/>
        <w:numPr>
          <w:ilvl w:val="0"/>
          <w:numId w:val="47"/>
        </w:numPr>
        <w:spacing w:after="0"/>
        <w:rPr>
          <w:rFonts w:cs="Arial"/>
          <w:b/>
          <w:bCs/>
          <w:szCs w:val="22"/>
        </w:rPr>
      </w:pPr>
      <w:r w:rsidRPr="008900D6">
        <w:rPr>
          <w:rFonts w:cs="Arial"/>
          <w:b/>
          <w:bCs/>
          <w:szCs w:val="22"/>
        </w:rPr>
        <w:t>N</w:t>
      </w:r>
      <w:r w:rsidR="00801637" w:rsidRPr="008900D6">
        <w:rPr>
          <w:rFonts w:cs="Arial"/>
          <w:b/>
          <w:bCs/>
          <w:szCs w:val="22"/>
        </w:rPr>
        <w:t>ezohledňují národní specifika cenotvorby</w:t>
      </w:r>
    </w:p>
    <w:p w14:paraId="02901877" w14:textId="4F3FC16F" w:rsidR="008900D6" w:rsidRDefault="00165B42" w:rsidP="008900D6">
      <w:pPr>
        <w:pStyle w:val="Odstavecseseznamem"/>
        <w:spacing w:after="0"/>
        <w:ind w:left="717"/>
        <w:rPr>
          <w:rFonts w:cs="Arial"/>
          <w:szCs w:val="22"/>
        </w:rPr>
      </w:pPr>
      <w:r w:rsidRPr="00165B42">
        <w:rPr>
          <w:rFonts w:cs="Arial"/>
          <w:szCs w:val="22"/>
        </w:rPr>
        <w:t xml:space="preserve">Mezinárodní srovnání většinou vytváří organizace s velmi omezenou znalostí lokálních trhů, což platí zejména pro menší trhy, které jsou z pochopitelných důvodů za hranicí rozlišovacích schopností </w:t>
      </w:r>
      <w:r w:rsidR="00721903">
        <w:rPr>
          <w:rFonts w:cs="Arial"/>
          <w:szCs w:val="22"/>
        </w:rPr>
        <w:t xml:space="preserve">těchto </w:t>
      </w:r>
      <w:r w:rsidRPr="00165B42">
        <w:rPr>
          <w:rFonts w:cs="Arial"/>
          <w:szCs w:val="22"/>
        </w:rPr>
        <w:t xml:space="preserve">organizací. Tento fakt pak vede k tomu, že se metodika výpočtu omezuje na využití aritmetického průměru z ceníkových cen. Vůbec tak nejsou zohledněny tržní podíly jednotlivých nabídek nebo podíl slev na nabízených službách. Dobře patrné je to např. na výše uvedeném zanedbání </w:t>
      </w:r>
      <w:r>
        <w:rPr>
          <w:rFonts w:cs="Arial"/>
          <w:szCs w:val="22"/>
        </w:rPr>
        <w:t>balíčkových</w:t>
      </w:r>
      <w:r w:rsidRPr="00165B42">
        <w:rPr>
          <w:rFonts w:cs="Arial"/>
          <w:szCs w:val="22"/>
        </w:rPr>
        <w:t xml:space="preserve"> nabídek. Existují i další národní specifika při stanovování cen (např. inflační doložky</w:t>
      </w:r>
      <w:r>
        <w:rPr>
          <w:rFonts w:cs="Arial"/>
          <w:szCs w:val="22"/>
        </w:rPr>
        <w:t>, aktivační poplatky</w:t>
      </w:r>
      <w:r w:rsidRPr="00165B42">
        <w:rPr>
          <w:rFonts w:cs="Arial"/>
          <w:szCs w:val="22"/>
        </w:rPr>
        <w:t xml:space="preserve"> </w:t>
      </w:r>
      <w:r>
        <w:rPr>
          <w:rFonts w:cs="Arial"/>
          <w:szCs w:val="22"/>
        </w:rPr>
        <w:t xml:space="preserve">či roční poplatek za službu </w:t>
      </w:r>
      <w:r w:rsidRPr="00165B42">
        <w:rPr>
          <w:rFonts w:cs="Arial"/>
          <w:szCs w:val="22"/>
        </w:rPr>
        <w:t>atd.), která činí mezinárodní srovnání velmi obtížným</w:t>
      </w:r>
      <w:r w:rsidR="001C456B">
        <w:rPr>
          <w:rFonts w:cs="Arial"/>
          <w:szCs w:val="22"/>
        </w:rPr>
        <w:t>,</w:t>
      </w:r>
      <w:r w:rsidR="00721903">
        <w:rPr>
          <w:rFonts w:cs="Arial"/>
          <w:szCs w:val="22"/>
        </w:rPr>
        <w:t xml:space="preserve"> resp. náročným na preciznost jeho provedení</w:t>
      </w:r>
      <w:r w:rsidR="001C456B">
        <w:rPr>
          <w:rFonts w:cs="Arial"/>
          <w:szCs w:val="22"/>
        </w:rPr>
        <w:t>,</w:t>
      </w:r>
      <w:r w:rsidR="00721903">
        <w:rPr>
          <w:rFonts w:cs="Arial"/>
          <w:szCs w:val="22"/>
        </w:rPr>
        <w:t xml:space="preserve"> a tudíž na adekvátní lidské a finanční zdroje, které by tvorbě těchto srovnání na profesionální vypovídací úrovni měly být věnovány</w:t>
      </w:r>
      <w:r w:rsidRPr="00165B42">
        <w:rPr>
          <w:rFonts w:cs="Arial"/>
          <w:szCs w:val="22"/>
        </w:rPr>
        <w:t>.</w:t>
      </w:r>
    </w:p>
    <w:p w14:paraId="40D567FE" w14:textId="77777777" w:rsidR="008900D6" w:rsidRPr="008900D6" w:rsidRDefault="008900D6" w:rsidP="008900D6">
      <w:pPr>
        <w:pStyle w:val="Odstavecseseznamem"/>
        <w:spacing w:after="0"/>
        <w:ind w:left="717"/>
        <w:rPr>
          <w:rFonts w:cs="Arial"/>
          <w:szCs w:val="22"/>
        </w:rPr>
      </w:pPr>
    </w:p>
    <w:p w14:paraId="18A16965" w14:textId="0DF024BD" w:rsidR="00801637" w:rsidRPr="00165B42" w:rsidRDefault="00B97722" w:rsidP="00165B42">
      <w:pPr>
        <w:pStyle w:val="Odstavecseseznamem"/>
        <w:numPr>
          <w:ilvl w:val="0"/>
          <w:numId w:val="47"/>
        </w:numPr>
        <w:spacing w:after="0"/>
        <w:rPr>
          <w:rFonts w:cs="Arial"/>
          <w:b/>
          <w:bCs/>
          <w:szCs w:val="22"/>
        </w:rPr>
      </w:pPr>
      <w:r w:rsidRPr="00165B42">
        <w:rPr>
          <w:rFonts w:cs="Arial"/>
          <w:b/>
          <w:bCs/>
          <w:szCs w:val="22"/>
        </w:rPr>
        <w:t>N</w:t>
      </w:r>
      <w:r w:rsidR="00801637" w:rsidRPr="00165B42">
        <w:rPr>
          <w:rFonts w:cs="Arial"/>
          <w:b/>
          <w:bCs/>
          <w:szCs w:val="22"/>
        </w:rPr>
        <w:t xml:space="preserve">ezohledňují náklady související se spektrem a </w:t>
      </w:r>
      <w:r w:rsidR="00571225" w:rsidRPr="00165B42">
        <w:rPr>
          <w:rFonts w:cs="Arial"/>
          <w:b/>
          <w:bCs/>
          <w:szCs w:val="22"/>
        </w:rPr>
        <w:t>příděly</w:t>
      </w:r>
    </w:p>
    <w:p w14:paraId="716D6CB4" w14:textId="693BF211" w:rsidR="00165B42" w:rsidRDefault="00BE0A41" w:rsidP="00BE0A41">
      <w:pPr>
        <w:spacing w:after="0"/>
        <w:ind w:left="708"/>
        <w:rPr>
          <w:rFonts w:cs="Arial"/>
          <w:szCs w:val="22"/>
        </w:rPr>
      </w:pPr>
      <w:r w:rsidRPr="00BE0A41">
        <w:rPr>
          <w:rFonts w:cs="Arial"/>
          <w:szCs w:val="22"/>
        </w:rPr>
        <w:t xml:space="preserve">Jednotlivé země mají odlišný přístup k přidělování </w:t>
      </w:r>
      <w:r>
        <w:rPr>
          <w:rFonts w:cs="Arial"/>
          <w:szCs w:val="22"/>
        </w:rPr>
        <w:t>rádiových kmitočtů</w:t>
      </w:r>
      <w:r w:rsidRPr="00BE0A41">
        <w:rPr>
          <w:rFonts w:cs="Arial"/>
          <w:szCs w:val="22"/>
        </w:rPr>
        <w:t xml:space="preserve"> a poplatkům</w:t>
      </w:r>
      <w:r>
        <w:rPr>
          <w:rFonts w:cs="Arial"/>
          <w:szCs w:val="22"/>
        </w:rPr>
        <w:t xml:space="preserve"> za jejich využívání</w:t>
      </w:r>
      <w:r w:rsidRPr="00BE0A41">
        <w:rPr>
          <w:rFonts w:cs="Arial"/>
          <w:szCs w:val="22"/>
        </w:rPr>
        <w:t xml:space="preserve">. Náklady na tyto oblasti tvoří nezanedbatelný podíl na celkových nákladech mobilních operátorů, kteří je následně musí promítnout do svých cen. Zohledněny nejsou ani další specifické nákladové položky, které se v jednotlivých zemích mohou významně lišit (mzdové náklady, náklady na technologie, náklady na údržbu technologií atd.). </w:t>
      </w:r>
      <w:proofErr w:type="spellStart"/>
      <w:r w:rsidRPr="00BE0A41">
        <w:rPr>
          <w:rFonts w:cs="Arial"/>
          <w:szCs w:val="22"/>
        </w:rPr>
        <w:t>Monokriteriální</w:t>
      </w:r>
      <w:proofErr w:type="spellEnd"/>
      <w:r w:rsidRPr="00BE0A41">
        <w:rPr>
          <w:rFonts w:cs="Arial"/>
          <w:szCs w:val="22"/>
        </w:rPr>
        <w:t xml:space="preserve"> přístup založený na špatně stanovené průměrné ceně za jednotlivé země výše uvedené nezohledňuje a pouze konstatuje, že cena je vysoká. Bez am</w:t>
      </w:r>
      <w:r w:rsidR="007125C7">
        <w:rPr>
          <w:rFonts w:cs="Arial"/>
          <w:szCs w:val="22"/>
        </w:rPr>
        <w:t>b</w:t>
      </w:r>
      <w:r w:rsidRPr="00BE0A41">
        <w:rPr>
          <w:rFonts w:cs="Arial"/>
          <w:szCs w:val="22"/>
        </w:rPr>
        <w:t>ice zjistit nebo aspoň nastínit, proč tomu tak je</w:t>
      </w:r>
      <w:r w:rsidR="004469E0">
        <w:rPr>
          <w:rFonts w:cs="Arial"/>
          <w:szCs w:val="22"/>
        </w:rPr>
        <w:t xml:space="preserve"> (a jestli vůbec)</w:t>
      </w:r>
      <w:r w:rsidRPr="00BE0A41">
        <w:rPr>
          <w:rFonts w:cs="Arial"/>
          <w:szCs w:val="22"/>
        </w:rPr>
        <w:t xml:space="preserve">, </w:t>
      </w:r>
      <w:r w:rsidR="00DF494B">
        <w:rPr>
          <w:rFonts w:cs="Arial"/>
          <w:szCs w:val="22"/>
        </w:rPr>
        <w:t>způsobuje</w:t>
      </w:r>
      <w:r w:rsidR="00183590">
        <w:rPr>
          <w:rFonts w:cs="Arial"/>
          <w:szCs w:val="22"/>
        </w:rPr>
        <w:t xml:space="preserve">, že se </w:t>
      </w:r>
      <w:r w:rsidRPr="00BE0A41">
        <w:rPr>
          <w:rFonts w:cs="Arial"/>
          <w:szCs w:val="22"/>
        </w:rPr>
        <w:t xml:space="preserve">rovnou </w:t>
      </w:r>
      <w:r w:rsidR="00721903">
        <w:rPr>
          <w:rFonts w:cs="Arial"/>
          <w:szCs w:val="22"/>
        </w:rPr>
        <w:t xml:space="preserve">zkratovitě </w:t>
      </w:r>
      <w:r w:rsidRPr="00BE0A41">
        <w:rPr>
          <w:rFonts w:cs="Arial"/>
          <w:szCs w:val="22"/>
        </w:rPr>
        <w:t xml:space="preserve">dochází k závěru, že je to kvůli </w:t>
      </w:r>
      <w:r w:rsidR="00183590">
        <w:rPr>
          <w:rFonts w:cs="Arial"/>
          <w:szCs w:val="22"/>
        </w:rPr>
        <w:t>nízké hospodářské soutěži</w:t>
      </w:r>
      <w:r w:rsidRPr="00BE0A41">
        <w:rPr>
          <w:rFonts w:cs="Arial"/>
          <w:szCs w:val="22"/>
        </w:rPr>
        <w:t>. Tento pohled je velmi zjednodušující a zdaleka nepostihuje specifika trhů jednotlivých zemí.</w:t>
      </w:r>
    </w:p>
    <w:p w14:paraId="6648EC06" w14:textId="77777777" w:rsidR="00165B42" w:rsidRPr="00165B42" w:rsidRDefault="00165B42" w:rsidP="00165B42">
      <w:pPr>
        <w:spacing w:after="0"/>
        <w:rPr>
          <w:rFonts w:cs="Arial"/>
          <w:szCs w:val="22"/>
        </w:rPr>
      </w:pPr>
    </w:p>
    <w:p w14:paraId="2CBA7A85" w14:textId="42312D4B" w:rsidR="00183590" w:rsidRPr="00BD651A" w:rsidRDefault="00B97722" w:rsidP="00BD651A">
      <w:pPr>
        <w:pStyle w:val="Odstavecseseznamem"/>
        <w:numPr>
          <w:ilvl w:val="0"/>
          <w:numId w:val="47"/>
        </w:numPr>
        <w:rPr>
          <w:rFonts w:cs="Arial"/>
          <w:b/>
          <w:bCs/>
          <w:szCs w:val="22"/>
        </w:rPr>
      </w:pPr>
      <w:r w:rsidRPr="00183590">
        <w:rPr>
          <w:rFonts w:cs="Arial"/>
          <w:b/>
          <w:bCs/>
          <w:szCs w:val="22"/>
        </w:rPr>
        <w:t>M</w:t>
      </w:r>
      <w:r w:rsidR="00801637" w:rsidRPr="00183590">
        <w:rPr>
          <w:rFonts w:cs="Arial"/>
          <w:b/>
          <w:bCs/>
          <w:szCs w:val="22"/>
        </w:rPr>
        <w:t>ívají problematickou metodiku</w:t>
      </w:r>
    </w:p>
    <w:p w14:paraId="677429B5" w14:textId="3CBABBF6" w:rsidR="008F0942" w:rsidRDefault="00874263" w:rsidP="00737DB2">
      <w:pPr>
        <w:spacing w:after="0"/>
        <w:ind w:left="708"/>
        <w:rPr>
          <w:rFonts w:cs="Arial"/>
          <w:szCs w:val="22"/>
        </w:rPr>
      </w:pPr>
      <w:r>
        <w:rPr>
          <w:rFonts w:cs="Arial"/>
          <w:szCs w:val="22"/>
        </w:rPr>
        <w:t>ČTÚ se navíc v</w:t>
      </w:r>
      <w:r w:rsidR="0078296B">
        <w:rPr>
          <w:rFonts w:cs="Arial"/>
          <w:szCs w:val="22"/>
        </w:rPr>
        <w:t xml:space="preserve"> návrhu</w:t>
      </w:r>
      <w:r>
        <w:rPr>
          <w:rFonts w:cs="Arial"/>
          <w:szCs w:val="22"/>
        </w:rPr>
        <w:t> analýz</w:t>
      </w:r>
      <w:r w:rsidR="0078296B">
        <w:rPr>
          <w:rFonts w:cs="Arial"/>
          <w:szCs w:val="22"/>
        </w:rPr>
        <w:t>y</w:t>
      </w:r>
      <w:r>
        <w:rPr>
          <w:rFonts w:cs="Arial"/>
          <w:szCs w:val="22"/>
        </w:rPr>
        <w:t xml:space="preserve"> v roce 2021 uchýlil </w:t>
      </w:r>
      <w:r w:rsidR="00571225">
        <w:rPr>
          <w:rFonts w:cs="Arial"/>
          <w:szCs w:val="22"/>
        </w:rPr>
        <w:t xml:space="preserve">z velké části </w:t>
      </w:r>
      <w:r w:rsidR="0004758B">
        <w:rPr>
          <w:rFonts w:cs="Arial"/>
          <w:szCs w:val="22"/>
        </w:rPr>
        <w:t>k </w:t>
      </w:r>
      <w:r w:rsidR="00571225">
        <w:rPr>
          <w:rFonts w:cs="Arial"/>
          <w:szCs w:val="22"/>
        </w:rPr>
        <w:t>diskusi</w:t>
      </w:r>
      <w:r w:rsidR="0004758B">
        <w:rPr>
          <w:rFonts w:cs="Arial"/>
          <w:szCs w:val="22"/>
        </w:rPr>
        <w:t xml:space="preserve"> o cenách v období let 2013-2019, a to i ve chvíli</w:t>
      </w:r>
      <w:r w:rsidR="00571225">
        <w:rPr>
          <w:rFonts w:cs="Arial"/>
          <w:szCs w:val="22"/>
        </w:rPr>
        <w:t>,</w:t>
      </w:r>
      <w:r w:rsidR="0004758B">
        <w:rPr>
          <w:rFonts w:cs="Arial"/>
          <w:szCs w:val="22"/>
        </w:rPr>
        <w:t xml:space="preserve"> kdy má k dispozici </w:t>
      </w:r>
      <w:r w:rsidR="00721903">
        <w:rPr>
          <w:rFonts w:cs="Arial"/>
          <w:szCs w:val="22"/>
        </w:rPr>
        <w:t xml:space="preserve">zákonem uložený nástroj v podobě </w:t>
      </w:r>
      <w:r w:rsidR="00524E66">
        <w:rPr>
          <w:rFonts w:cs="Arial"/>
          <w:szCs w:val="22"/>
        </w:rPr>
        <w:t>cenov</w:t>
      </w:r>
      <w:r w:rsidR="00721903">
        <w:rPr>
          <w:rFonts w:cs="Arial"/>
          <w:szCs w:val="22"/>
        </w:rPr>
        <w:t>ého</w:t>
      </w:r>
      <w:r w:rsidR="00524E66">
        <w:rPr>
          <w:rFonts w:cs="Arial"/>
          <w:szCs w:val="22"/>
        </w:rPr>
        <w:t xml:space="preserve"> srovnávač</w:t>
      </w:r>
      <w:r w:rsidR="00721903">
        <w:rPr>
          <w:rFonts w:cs="Arial"/>
          <w:szCs w:val="22"/>
        </w:rPr>
        <w:t>e</w:t>
      </w:r>
      <w:r w:rsidR="00524E66">
        <w:rPr>
          <w:rFonts w:cs="Arial"/>
          <w:szCs w:val="22"/>
        </w:rPr>
        <w:t xml:space="preserve">, který zahrnuje aktuální nabídku tarifů většiny legálně podnikajících tržních subjektů. </w:t>
      </w:r>
      <w:r w:rsidR="004F3DF9">
        <w:rPr>
          <w:rFonts w:cs="Arial"/>
          <w:szCs w:val="22"/>
        </w:rPr>
        <w:t xml:space="preserve">Uvedené ceny jsou na první pohled z pohledu na dnešní maloobchodní </w:t>
      </w:r>
      <w:r w:rsidR="004F3DF9">
        <w:rPr>
          <w:rFonts w:cs="Arial"/>
          <w:szCs w:val="22"/>
        </w:rPr>
        <w:lastRenderedPageBreak/>
        <w:t>nabídky a budoucí výhled absolutně nerelevantní.</w:t>
      </w:r>
      <w:r w:rsidR="001529C0">
        <w:rPr>
          <w:rFonts w:cs="Arial"/>
          <w:szCs w:val="22"/>
        </w:rPr>
        <w:t xml:space="preserve"> </w:t>
      </w:r>
      <w:r w:rsidR="001529C0" w:rsidRPr="00D653D4">
        <w:rPr>
          <w:rFonts w:cs="Arial"/>
          <w:szCs w:val="22"/>
        </w:rPr>
        <w:t xml:space="preserve">Když například </w:t>
      </w:r>
      <w:r w:rsidR="008D3B27" w:rsidRPr="007639CB">
        <w:rPr>
          <w:rFonts w:cs="Arial"/>
          <w:szCs w:val="22"/>
        </w:rPr>
        <w:t>v obrázku 1 ČTÚ uvád</w:t>
      </w:r>
      <w:r w:rsidR="008D3B27" w:rsidRPr="003E58D6">
        <w:rPr>
          <w:rFonts w:cs="Arial"/>
          <w:szCs w:val="22"/>
        </w:rPr>
        <w:t xml:space="preserve">í analýzu, která přisuzuje </w:t>
      </w:r>
      <w:r w:rsidR="0061579E" w:rsidRPr="001B35FB">
        <w:rPr>
          <w:rFonts w:cs="Arial"/>
          <w:szCs w:val="22"/>
        </w:rPr>
        <w:t xml:space="preserve">tarifu obsahujícímu 2 GB a 100 volání </w:t>
      </w:r>
      <w:r w:rsidR="009A4334" w:rsidRPr="001B35FB">
        <w:rPr>
          <w:rFonts w:cs="Arial"/>
          <w:szCs w:val="22"/>
        </w:rPr>
        <w:t>cenu 1</w:t>
      </w:r>
      <w:r w:rsidR="00845935" w:rsidRPr="001B35FB">
        <w:rPr>
          <w:rFonts w:cs="Arial"/>
          <w:szCs w:val="22"/>
        </w:rPr>
        <w:t>1</w:t>
      </w:r>
      <w:r w:rsidR="009A4334" w:rsidRPr="001B35FB">
        <w:rPr>
          <w:rFonts w:cs="Arial"/>
          <w:szCs w:val="22"/>
        </w:rPr>
        <w:t xml:space="preserve">00 CZK </w:t>
      </w:r>
      <w:r w:rsidR="0061579E" w:rsidRPr="001B35FB">
        <w:rPr>
          <w:rFonts w:cs="Arial"/>
          <w:szCs w:val="22"/>
        </w:rPr>
        <w:t xml:space="preserve">a srovnávač ČTÚ nachází tarify </w:t>
      </w:r>
      <w:r w:rsidR="00845935" w:rsidRPr="001B35FB">
        <w:rPr>
          <w:rFonts w:cs="Arial"/>
          <w:szCs w:val="22"/>
        </w:rPr>
        <w:t xml:space="preserve">na úrovni 300 CZK je zřejmé, že uváděná srovnání jsou </w:t>
      </w:r>
      <w:r w:rsidR="00243C36" w:rsidRPr="001B35FB">
        <w:rPr>
          <w:rFonts w:cs="Arial"/>
          <w:szCs w:val="22"/>
        </w:rPr>
        <w:t>absolutně nerelevantní a nesmyslná a neodpovídají dnešní, ale dokonce ani tehdejší cenové úrovni.</w:t>
      </w:r>
    </w:p>
    <w:p w14:paraId="7FB817F2" w14:textId="77777777" w:rsidR="00D653D4" w:rsidRPr="00D653D4" w:rsidRDefault="00D653D4" w:rsidP="00BD651A">
      <w:pPr>
        <w:spacing w:after="0"/>
        <w:ind w:left="708"/>
        <w:rPr>
          <w:rFonts w:cs="Arial"/>
          <w:szCs w:val="22"/>
        </w:rPr>
      </w:pPr>
    </w:p>
    <w:p w14:paraId="284C9A22" w14:textId="2787DBD1" w:rsidR="004E2E8E" w:rsidRDefault="00C8482D" w:rsidP="00BD651A">
      <w:pPr>
        <w:spacing w:after="0"/>
        <w:ind w:left="708"/>
        <w:rPr>
          <w:rFonts w:cs="Arial"/>
          <w:szCs w:val="22"/>
        </w:rPr>
      </w:pPr>
      <w:r>
        <w:rPr>
          <w:rFonts w:cs="Arial"/>
          <w:szCs w:val="22"/>
        </w:rPr>
        <w:t>Jak jsme uvedli již v předchozích připomínkách, je</w:t>
      </w:r>
      <w:r w:rsidR="004E2E8E">
        <w:rPr>
          <w:rFonts w:cs="Arial"/>
          <w:szCs w:val="22"/>
        </w:rPr>
        <w:t xml:space="preserve"> také vhodné poukázat na to</w:t>
      </w:r>
      <w:r w:rsidR="00C329C2">
        <w:rPr>
          <w:rFonts w:cs="Arial"/>
          <w:szCs w:val="22"/>
        </w:rPr>
        <w:t xml:space="preserve">, že i v prostředí rostoucí </w:t>
      </w:r>
      <w:r w:rsidR="00F80EF4">
        <w:rPr>
          <w:rFonts w:cs="Arial"/>
          <w:szCs w:val="22"/>
        </w:rPr>
        <w:t xml:space="preserve">cenové hladiny, vykazují telekomunikační služby </w:t>
      </w:r>
      <w:r w:rsidR="00EA11A5">
        <w:rPr>
          <w:rFonts w:cs="Arial"/>
          <w:szCs w:val="22"/>
        </w:rPr>
        <w:t xml:space="preserve">nadále a dlouhodobě </w:t>
      </w:r>
      <w:r w:rsidR="00F80EF4">
        <w:rPr>
          <w:rFonts w:cs="Arial"/>
          <w:szCs w:val="22"/>
        </w:rPr>
        <w:t>jako jediný sektor deflaci</w:t>
      </w:r>
      <w:r w:rsidR="00721903">
        <w:rPr>
          <w:rFonts w:cs="Arial"/>
          <w:szCs w:val="22"/>
        </w:rPr>
        <w:t xml:space="preserve"> (na rozdíl od například nyní široce medializovaného velkého růstu cen elektrické energie a plynu)</w:t>
      </w:r>
      <w:r w:rsidR="00F80EF4">
        <w:rPr>
          <w:rFonts w:cs="Arial"/>
          <w:szCs w:val="22"/>
        </w:rPr>
        <w:t>.</w:t>
      </w:r>
    </w:p>
    <w:p w14:paraId="2208B6CC" w14:textId="430166AF" w:rsidR="00C8482D" w:rsidRDefault="00C8482D" w:rsidP="00BD651A">
      <w:pPr>
        <w:spacing w:after="0"/>
        <w:ind w:left="708"/>
        <w:rPr>
          <w:rFonts w:cs="Arial"/>
          <w:szCs w:val="22"/>
        </w:rPr>
      </w:pPr>
    </w:p>
    <w:p w14:paraId="27CD0E29" w14:textId="3B4B4D9A" w:rsidR="00C8482D" w:rsidRPr="00213BA4" w:rsidRDefault="00A4321E" w:rsidP="00BD651A">
      <w:pPr>
        <w:spacing w:after="0"/>
        <w:ind w:left="708"/>
        <w:rPr>
          <w:rFonts w:cs="Arial"/>
          <w:b/>
          <w:bCs/>
          <w:szCs w:val="22"/>
        </w:rPr>
      </w:pPr>
      <w:r w:rsidRPr="00213BA4">
        <w:rPr>
          <w:rFonts w:cs="Arial"/>
          <w:b/>
          <w:bCs/>
          <w:szCs w:val="22"/>
        </w:rPr>
        <w:t xml:space="preserve">Vzhledem ke stylu (ne)vypořádávání připomínek ze strany ČTÚ za něj v následujících odstavcích upozorníme na několik konkrétních metodických </w:t>
      </w:r>
      <w:r w:rsidR="00B234D1" w:rsidRPr="00213BA4">
        <w:rPr>
          <w:rFonts w:cs="Arial"/>
          <w:b/>
          <w:bCs/>
          <w:szCs w:val="22"/>
        </w:rPr>
        <w:t>pochybení vybraných srovnání a udělám</w:t>
      </w:r>
      <w:r w:rsidR="00213BA4" w:rsidRPr="00213BA4">
        <w:rPr>
          <w:rFonts w:cs="Arial"/>
          <w:b/>
          <w:bCs/>
          <w:szCs w:val="22"/>
        </w:rPr>
        <w:t>e</w:t>
      </w:r>
      <w:r w:rsidR="00B234D1" w:rsidRPr="00213BA4">
        <w:rPr>
          <w:rFonts w:cs="Arial"/>
          <w:b/>
          <w:bCs/>
          <w:szCs w:val="22"/>
        </w:rPr>
        <w:t xml:space="preserve"> aktuální srovnání za využití veřejně dostupných informací, které sice </w:t>
      </w:r>
      <w:r w:rsidR="00CD3281" w:rsidRPr="00213BA4">
        <w:rPr>
          <w:rFonts w:cs="Arial"/>
          <w:b/>
          <w:bCs/>
          <w:szCs w:val="22"/>
        </w:rPr>
        <w:t xml:space="preserve">vzhledem k velkému množství </w:t>
      </w:r>
      <w:r w:rsidR="00CA7770" w:rsidRPr="00213BA4">
        <w:rPr>
          <w:rFonts w:cs="Arial"/>
          <w:b/>
          <w:bCs/>
          <w:szCs w:val="22"/>
        </w:rPr>
        <w:t xml:space="preserve">neveřejných nabídek a balíčků </w:t>
      </w:r>
      <w:r w:rsidR="00B234D1" w:rsidRPr="00213BA4">
        <w:rPr>
          <w:rFonts w:cs="Arial"/>
          <w:b/>
          <w:bCs/>
          <w:szCs w:val="22"/>
        </w:rPr>
        <w:t xml:space="preserve">nereflektují </w:t>
      </w:r>
      <w:r w:rsidR="00CD3281" w:rsidRPr="00213BA4">
        <w:rPr>
          <w:rFonts w:cs="Arial"/>
          <w:b/>
          <w:bCs/>
          <w:szCs w:val="22"/>
        </w:rPr>
        <w:t xml:space="preserve">reálnou cenovou hladinu, ale je zřejmé, že </w:t>
      </w:r>
      <w:r w:rsidR="00CA7770" w:rsidRPr="00213BA4">
        <w:rPr>
          <w:rFonts w:cs="Arial"/>
          <w:b/>
          <w:bCs/>
          <w:szCs w:val="22"/>
        </w:rPr>
        <w:t>reálná cenová výše nemůže být nad cen</w:t>
      </w:r>
      <w:r w:rsidR="00475018" w:rsidRPr="00213BA4">
        <w:rPr>
          <w:rFonts w:cs="Arial"/>
          <w:b/>
          <w:bCs/>
          <w:szCs w:val="22"/>
        </w:rPr>
        <w:t>ovou hladinou dle veřejné nabídky</w:t>
      </w:r>
      <w:r w:rsidR="00CD3281" w:rsidRPr="00213BA4">
        <w:rPr>
          <w:rFonts w:cs="Arial"/>
          <w:b/>
          <w:bCs/>
          <w:szCs w:val="22"/>
        </w:rPr>
        <w:t>.</w:t>
      </w:r>
    </w:p>
    <w:p w14:paraId="77714E28" w14:textId="77777777" w:rsidR="007E3AAA" w:rsidRDefault="007E3AAA" w:rsidP="00BD651A">
      <w:pPr>
        <w:spacing w:after="0"/>
        <w:ind w:left="708"/>
        <w:rPr>
          <w:rFonts w:cs="Arial"/>
          <w:szCs w:val="22"/>
        </w:rPr>
      </w:pPr>
    </w:p>
    <w:p w14:paraId="75ABA199" w14:textId="0107A06B" w:rsidR="00D84744" w:rsidRDefault="00475018" w:rsidP="00BD651A">
      <w:pPr>
        <w:spacing w:after="0"/>
        <w:ind w:left="708"/>
        <w:rPr>
          <w:rFonts w:cs="Arial"/>
          <w:szCs w:val="22"/>
        </w:rPr>
      </w:pPr>
      <w:r>
        <w:rPr>
          <w:rFonts w:cs="Arial"/>
          <w:szCs w:val="22"/>
        </w:rPr>
        <w:t xml:space="preserve">ČTÚ nejdříve čerpá ze srovnání Evropské komise, která </w:t>
      </w:r>
      <w:r w:rsidR="007E3AAA">
        <w:rPr>
          <w:rFonts w:cs="Arial"/>
          <w:szCs w:val="22"/>
        </w:rPr>
        <w:t xml:space="preserve">pravidelně zveřejňuje </w:t>
      </w:r>
      <w:r w:rsidR="00C83CBA">
        <w:rPr>
          <w:rFonts w:cs="Arial"/>
          <w:szCs w:val="22"/>
        </w:rPr>
        <w:t xml:space="preserve">studii </w:t>
      </w:r>
      <w:r w:rsidR="00C83CBA" w:rsidRPr="00C83CBA">
        <w:rPr>
          <w:rFonts w:cs="Arial"/>
          <w:i/>
          <w:iCs/>
          <w:szCs w:val="22"/>
        </w:rPr>
        <w:t xml:space="preserve">Mobile and </w:t>
      </w:r>
      <w:proofErr w:type="spellStart"/>
      <w:r w:rsidR="00C83CBA" w:rsidRPr="00C83CBA">
        <w:rPr>
          <w:rFonts w:cs="Arial"/>
          <w:i/>
          <w:iCs/>
          <w:szCs w:val="22"/>
        </w:rPr>
        <w:t>Fixed</w:t>
      </w:r>
      <w:proofErr w:type="spellEnd"/>
      <w:r w:rsidR="00C83CBA" w:rsidRPr="00C83CBA">
        <w:rPr>
          <w:rFonts w:cs="Arial"/>
          <w:i/>
          <w:iCs/>
          <w:szCs w:val="22"/>
        </w:rPr>
        <w:t xml:space="preserve"> </w:t>
      </w:r>
      <w:proofErr w:type="spellStart"/>
      <w:r w:rsidR="00C83CBA" w:rsidRPr="00C83CBA">
        <w:rPr>
          <w:rFonts w:cs="Arial"/>
          <w:i/>
          <w:iCs/>
          <w:szCs w:val="22"/>
        </w:rPr>
        <w:t>Broadband</w:t>
      </w:r>
      <w:proofErr w:type="spellEnd"/>
      <w:r w:rsidR="00C83CBA" w:rsidRPr="00C83CBA">
        <w:rPr>
          <w:rFonts w:cs="Arial"/>
          <w:i/>
          <w:iCs/>
          <w:szCs w:val="22"/>
        </w:rPr>
        <w:t xml:space="preserve"> </w:t>
      </w:r>
      <w:proofErr w:type="spellStart"/>
      <w:r w:rsidR="00C83CBA" w:rsidRPr="00C83CBA">
        <w:rPr>
          <w:rFonts w:cs="Arial"/>
          <w:i/>
          <w:iCs/>
          <w:szCs w:val="22"/>
        </w:rPr>
        <w:t>Prices</w:t>
      </w:r>
      <w:proofErr w:type="spellEnd"/>
      <w:r w:rsidR="00C83CBA" w:rsidRPr="00C83CBA">
        <w:rPr>
          <w:rFonts w:cs="Arial"/>
          <w:i/>
          <w:iCs/>
          <w:szCs w:val="22"/>
        </w:rPr>
        <w:t xml:space="preserve"> in </w:t>
      </w:r>
      <w:proofErr w:type="spellStart"/>
      <w:r w:rsidR="00C83CBA" w:rsidRPr="00C83CBA">
        <w:rPr>
          <w:rFonts w:cs="Arial"/>
          <w:i/>
          <w:iCs/>
          <w:szCs w:val="22"/>
        </w:rPr>
        <w:t>Europe</w:t>
      </w:r>
      <w:proofErr w:type="spellEnd"/>
      <w:r w:rsidR="00C83CBA">
        <w:rPr>
          <w:rFonts w:cs="Arial"/>
          <w:szCs w:val="22"/>
        </w:rPr>
        <w:t xml:space="preserve">. Tato studie </w:t>
      </w:r>
      <w:r w:rsidR="00292FD9">
        <w:rPr>
          <w:rFonts w:cs="Arial"/>
          <w:szCs w:val="22"/>
        </w:rPr>
        <w:t xml:space="preserve">trpí již zmíněnými </w:t>
      </w:r>
      <w:r w:rsidR="005D2CCB">
        <w:rPr>
          <w:rFonts w:cs="Arial"/>
          <w:szCs w:val="22"/>
        </w:rPr>
        <w:t xml:space="preserve">nešvary jako je využívání pouze nabídek na webových stránkách </w:t>
      </w:r>
      <w:r w:rsidR="003A4403">
        <w:rPr>
          <w:rFonts w:cs="Arial"/>
          <w:szCs w:val="22"/>
        </w:rPr>
        <w:t xml:space="preserve">(nikoliv v cenících, natož neveřejných nabídek), </w:t>
      </w:r>
      <w:r w:rsidR="006571D1">
        <w:rPr>
          <w:rFonts w:cs="Arial"/>
          <w:szCs w:val="22"/>
        </w:rPr>
        <w:t>čerpání pouze z</w:t>
      </w:r>
      <w:r w:rsidR="00F84A7E">
        <w:rPr>
          <w:rFonts w:cs="Arial"/>
          <w:szCs w:val="22"/>
        </w:rPr>
        <w:t xml:space="preserve"> nabídky 2-3 největších poskytovatelů mobilních služeb</w:t>
      </w:r>
      <w:r w:rsidR="00B45426">
        <w:rPr>
          <w:rFonts w:cs="Arial"/>
          <w:szCs w:val="22"/>
        </w:rPr>
        <w:t xml:space="preserve"> (MNO)</w:t>
      </w:r>
      <w:r w:rsidR="00F84A7E">
        <w:rPr>
          <w:rFonts w:cs="Arial"/>
          <w:szCs w:val="22"/>
        </w:rPr>
        <w:t xml:space="preserve">, </w:t>
      </w:r>
      <w:r w:rsidR="00B45426">
        <w:rPr>
          <w:rFonts w:cs="Arial"/>
          <w:szCs w:val="22"/>
        </w:rPr>
        <w:t xml:space="preserve">určení pevně daných košů, </w:t>
      </w:r>
      <w:r w:rsidR="00241F00">
        <w:rPr>
          <w:rFonts w:cs="Arial"/>
          <w:szCs w:val="22"/>
        </w:rPr>
        <w:t xml:space="preserve">nezohledňují kvalitu služeb a další. Velmi významný dopad má přepočet na PPP, který </w:t>
      </w:r>
      <w:r w:rsidR="006E1F21">
        <w:rPr>
          <w:rFonts w:cs="Arial"/>
          <w:szCs w:val="22"/>
        </w:rPr>
        <w:t>výrazně ovliv</w:t>
      </w:r>
      <w:r w:rsidR="007326F9">
        <w:rPr>
          <w:rFonts w:cs="Arial"/>
          <w:szCs w:val="22"/>
        </w:rPr>
        <w:t>ňuje výslednou cenu a v případě České republiky v její neprospěch</w:t>
      </w:r>
      <w:r w:rsidR="008A7F85">
        <w:rPr>
          <w:rFonts w:cs="Arial"/>
          <w:szCs w:val="22"/>
        </w:rPr>
        <w:t xml:space="preserve"> (a u jiných zemí naopak)</w:t>
      </w:r>
      <w:r w:rsidR="007326F9">
        <w:rPr>
          <w:rFonts w:cs="Arial"/>
          <w:szCs w:val="22"/>
        </w:rPr>
        <w:t>.</w:t>
      </w:r>
      <w:r w:rsidR="00A34E40">
        <w:rPr>
          <w:rFonts w:cs="Arial"/>
          <w:szCs w:val="22"/>
        </w:rPr>
        <w:t xml:space="preserve"> PPP přitom z pohledu srovnání cen</w:t>
      </w:r>
      <w:r w:rsidR="00660953">
        <w:rPr>
          <w:rFonts w:cs="Arial"/>
          <w:szCs w:val="22"/>
        </w:rPr>
        <w:t xml:space="preserve"> pro účely hodnocení konkurence</w:t>
      </w:r>
      <w:r w:rsidR="00A34E40">
        <w:rPr>
          <w:rFonts w:cs="Arial"/>
          <w:szCs w:val="22"/>
        </w:rPr>
        <w:t xml:space="preserve"> </w:t>
      </w:r>
      <w:r w:rsidR="00F046B8">
        <w:rPr>
          <w:rFonts w:cs="Arial"/>
          <w:szCs w:val="22"/>
        </w:rPr>
        <w:t>nedává smysl</w:t>
      </w:r>
      <w:r w:rsidR="00660953">
        <w:rPr>
          <w:rFonts w:cs="Arial"/>
          <w:szCs w:val="22"/>
        </w:rPr>
        <w:t xml:space="preserve"> (smysl může dávat pro účely srovnání „bohatství“ občanů dané země)</w:t>
      </w:r>
      <w:r w:rsidR="00F046B8">
        <w:rPr>
          <w:rFonts w:cs="Arial"/>
          <w:szCs w:val="22"/>
        </w:rPr>
        <w:t>. Mobilní operátoři totiž nemůžou ovlivnit hodn</w:t>
      </w:r>
      <w:r w:rsidR="009E7DF3">
        <w:rPr>
          <w:rFonts w:cs="Arial"/>
          <w:szCs w:val="22"/>
        </w:rPr>
        <w:t>o</w:t>
      </w:r>
      <w:r w:rsidR="00F046B8">
        <w:rPr>
          <w:rFonts w:cs="Arial"/>
          <w:szCs w:val="22"/>
        </w:rPr>
        <w:t>tu PPP v České republice</w:t>
      </w:r>
      <w:r w:rsidR="00D77037">
        <w:rPr>
          <w:rFonts w:cs="Arial"/>
          <w:szCs w:val="22"/>
        </w:rPr>
        <w:t xml:space="preserve"> (stav ekonomiky a kupní sílu měny)</w:t>
      </w:r>
      <w:r w:rsidR="00F046B8">
        <w:rPr>
          <w:rFonts w:cs="Arial"/>
          <w:szCs w:val="22"/>
        </w:rPr>
        <w:t xml:space="preserve"> a přitom čelí stejným nebo vyšším nákladům na technologie, které tvoří majoritní část </w:t>
      </w:r>
      <w:r w:rsidR="009E7DF3">
        <w:rPr>
          <w:rFonts w:cs="Arial"/>
          <w:szCs w:val="22"/>
        </w:rPr>
        <w:t>jejich nákladů</w:t>
      </w:r>
      <w:r w:rsidR="00F046B8">
        <w:rPr>
          <w:rFonts w:cs="Arial"/>
          <w:szCs w:val="22"/>
        </w:rPr>
        <w:t>.</w:t>
      </w:r>
      <w:r w:rsidR="00375F6F">
        <w:rPr>
          <w:rFonts w:cs="Arial"/>
          <w:szCs w:val="22"/>
        </w:rPr>
        <w:t xml:space="preserve"> </w:t>
      </w:r>
      <w:r w:rsidR="001C456B" w:rsidRPr="001C456B">
        <w:rPr>
          <w:rFonts w:cs="Arial"/>
          <w:b/>
          <w:bCs/>
          <w:szCs w:val="22"/>
        </w:rPr>
        <w:t>I přesto, že mobilní operátoři nemohou ovlivnit hodnotu PPP (hodnotu kupní síly národní měny), může tato hodnota, pokud je použita pro srovnání, významně srovnání cen mobilních služeb zkreslit.</w:t>
      </w:r>
      <w:r w:rsidR="001C456B" w:rsidRPr="001C456B">
        <w:rPr>
          <w:rFonts w:cs="Arial"/>
          <w:szCs w:val="22"/>
        </w:rPr>
        <w:t xml:space="preserve">  </w:t>
      </w:r>
      <w:r w:rsidR="00375F6F">
        <w:rPr>
          <w:rFonts w:cs="Arial"/>
          <w:szCs w:val="22"/>
        </w:rPr>
        <w:t>Vzh</w:t>
      </w:r>
      <w:r w:rsidR="00672E6D">
        <w:rPr>
          <w:rFonts w:cs="Arial"/>
          <w:szCs w:val="22"/>
        </w:rPr>
        <w:t xml:space="preserve">ledem k těmto skutečnostem </w:t>
      </w:r>
      <w:r w:rsidR="00371949">
        <w:rPr>
          <w:rFonts w:cs="Arial"/>
          <w:szCs w:val="22"/>
        </w:rPr>
        <w:t>je tak vhodné vypracovat vlastní srovnání, které, jak ukazujeme níže, potvrdilo pochyby o relevanci tohoto srovnání.</w:t>
      </w:r>
    </w:p>
    <w:p w14:paraId="156A528D" w14:textId="0A6A451C" w:rsidR="00CD506D" w:rsidRDefault="00CD506D" w:rsidP="00BD651A">
      <w:pPr>
        <w:spacing w:after="0"/>
        <w:ind w:left="708"/>
        <w:rPr>
          <w:rFonts w:cs="Arial"/>
          <w:szCs w:val="22"/>
        </w:rPr>
      </w:pPr>
    </w:p>
    <w:p w14:paraId="4568FA4C" w14:textId="3A8A920C" w:rsidR="00844245" w:rsidRDefault="00CD506D" w:rsidP="00BD651A">
      <w:pPr>
        <w:spacing w:after="0"/>
        <w:ind w:left="708"/>
        <w:rPr>
          <w:rFonts w:cs="Arial"/>
          <w:szCs w:val="22"/>
        </w:rPr>
      </w:pPr>
      <w:r w:rsidRPr="00BD2B5F">
        <w:rPr>
          <w:rFonts w:cs="Arial"/>
          <w:b/>
          <w:bCs/>
          <w:szCs w:val="22"/>
        </w:rPr>
        <w:t xml:space="preserve">V tabulce níže jsou tarify MNO a vybraných MVNO </w:t>
      </w:r>
      <w:r w:rsidR="00B45426" w:rsidRPr="00BD2B5F">
        <w:rPr>
          <w:rFonts w:cs="Arial"/>
          <w:b/>
          <w:bCs/>
          <w:szCs w:val="22"/>
        </w:rPr>
        <w:t>dle jednotlivých košů</w:t>
      </w:r>
      <w:r w:rsidR="00C3480C" w:rsidRPr="00BD2B5F">
        <w:rPr>
          <w:rFonts w:cs="Arial"/>
          <w:b/>
          <w:bCs/>
          <w:szCs w:val="22"/>
        </w:rPr>
        <w:t xml:space="preserve"> stanovených a používaných Evropskou komisí v</w:t>
      </w:r>
      <w:r w:rsidR="002860C4" w:rsidRPr="00BD2B5F">
        <w:rPr>
          <w:rFonts w:cs="Arial"/>
          <w:b/>
          <w:bCs/>
          <w:szCs w:val="22"/>
        </w:rPr>
        <w:t> </w:t>
      </w:r>
      <w:r w:rsidR="00C3480C" w:rsidRPr="00BD2B5F">
        <w:rPr>
          <w:rFonts w:cs="Arial"/>
          <w:b/>
          <w:bCs/>
          <w:szCs w:val="22"/>
        </w:rPr>
        <w:t>reportu</w:t>
      </w:r>
      <w:r w:rsidR="002860C4" w:rsidRPr="00BD2B5F">
        <w:rPr>
          <w:rFonts w:cs="Arial"/>
          <w:b/>
          <w:bCs/>
          <w:szCs w:val="22"/>
        </w:rPr>
        <w:t xml:space="preserve"> </w:t>
      </w:r>
      <w:r w:rsidR="002860C4" w:rsidRPr="00BD2B5F">
        <w:rPr>
          <w:rFonts w:cs="Arial"/>
          <w:b/>
          <w:bCs/>
          <w:i/>
          <w:iCs/>
          <w:szCs w:val="22"/>
        </w:rPr>
        <w:t xml:space="preserve">Mobile and </w:t>
      </w:r>
      <w:proofErr w:type="spellStart"/>
      <w:r w:rsidR="002860C4" w:rsidRPr="00BD2B5F">
        <w:rPr>
          <w:rFonts w:cs="Arial"/>
          <w:b/>
          <w:bCs/>
          <w:i/>
          <w:iCs/>
          <w:szCs w:val="22"/>
        </w:rPr>
        <w:t>Fixed</w:t>
      </w:r>
      <w:proofErr w:type="spellEnd"/>
      <w:r w:rsidR="002860C4" w:rsidRPr="00BD2B5F">
        <w:rPr>
          <w:rFonts w:cs="Arial"/>
          <w:b/>
          <w:bCs/>
          <w:i/>
          <w:iCs/>
          <w:szCs w:val="22"/>
        </w:rPr>
        <w:t xml:space="preserve"> </w:t>
      </w:r>
      <w:proofErr w:type="spellStart"/>
      <w:r w:rsidR="002860C4" w:rsidRPr="00BD2B5F">
        <w:rPr>
          <w:rFonts w:cs="Arial"/>
          <w:b/>
          <w:bCs/>
          <w:i/>
          <w:iCs/>
          <w:szCs w:val="22"/>
        </w:rPr>
        <w:t>Broadband</w:t>
      </w:r>
      <w:proofErr w:type="spellEnd"/>
      <w:r w:rsidR="002860C4" w:rsidRPr="00BD2B5F">
        <w:rPr>
          <w:rFonts w:cs="Arial"/>
          <w:b/>
          <w:bCs/>
          <w:i/>
          <w:iCs/>
          <w:szCs w:val="22"/>
        </w:rPr>
        <w:t xml:space="preserve"> </w:t>
      </w:r>
      <w:proofErr w:type="spellStart"/>
      <w:r w:rsidR="002860C4" w:rsidRPr="00BD2B5F">
        <w:rPr>
          <w:rFonts w:cs="Arial"/>
          <w:b/>
          <w:bCs/>
          <w:i/>
          <w:iCs/>
          <w:szCs w:val="22"/>
        </w:rPr>
        <w:t>Prices</w:t>
      </w:r>
      <w:proofErr w:type="spellEnd"/>
      <w:r w:rsidR="002860C4" w:rsidRPr="00BD2B5F">
        <w:rPr>
          <w:rFonts w:cs="Arial"/>
          <w:b/>
          <w:bCs/>
          <w:i/>
          <w:iCs/>
          <w:szCs w:val="22"/>
        </w:rPr>
        <w:t xml:space="preserve"> in </w:t>
      </w:r>
      <w:proofErr w:type="spellStart"/>
      <w:r w:rsidR="002860C4" w:rsidRPr="00BD2B5F">
        <w:rPr>
          <w:rFonts w:cs="Arial"/>
          <w:b/>
          <w:bCs/>
          <w:i/>
          <w:iCs/>
          <w:szCs w:val="22"/>
        </w:rPr>
        <w:t>Europe</w:t>
      </w:r>
      <w:proofErr w:type="spellEnd"/>
      <w:r w:rsidR="00B45426" w:rsidRPr="00BD2B5F">
        <w:rPr>
          <w:rFonts w:cs="Arial"/>
          <w:b/>
          <w:bCs/>
          <w:szCs w:val="22"/>
        </w:rPr>
        <w:t>.</w:t>
      </w:r>
      <w:r w:rsidR="00B45426">
        <w:rPr>
          <w:rFonts w:cs="Arial"/>
          <w:szCs w:val="22"/>
        </w:rPr>
        <w:t xml:space="preserve"> </w:t>
      </w:r>
      <w:r w:rsidR="002860C4">
        <w:rPr>
          <w:rFonts w:cs="Arial"/>
          <w:szCs w:val="22"/>
        </w:rPr>
        <w:t>Ve druhém a třetím sloupci jsou uvedeny</w:t>
      </w:r>
      <w:r w:rsidR="00232AAA">
        <w:rPr>
          <w:rFonts w:cs="Arial"/>
          <w:szCs w:val="22"/>
        </w:rPr>
        <w:t xml:space="preserve"> samostatné veřejně dohledatelné nabídky</w:t>
      </w:r>
      <w:r w:rsidR="00DE74C5">
        <w:rPr>
          <w:rFonts w:cs="Arial"/>
          <w:szCs w:val="22"/>
        </w:rPr>
        <w:t xml:space="preserve"> na webových stránkách nebo cenících vybraných poskytovatelů</w:t>
      </w:r>
      <w:r w:rsidR="002860C4">
        <w:rPr>
          <w:rFonts w:cs="Arial"/>
          <w:szCs w:val="22"/>
        </w:rPr>
        <w:t>.</w:t>
      </w:r>
      <w:r w:rsidR="007C231D">
        <w:rPr>
          <w:rFonts w:cs="Arial"/>
          <w:szCs w:val="22"/>
        </w:rPr>
        <w:t xml:space="preserve"> </w:t>
      </w:r>
      <w:r w:rsidR="00DE74C5">
        <w:rPr>
          <w:rFonts w:cs="Arial"/>
          <w:szCs w:val="22"/>
        </w:rPr>
        <w:t>V</w:t>
      </w:r>
      <w:r w:rsidR="007C231D">
        <w:rPr>
          <w:rFonts w:cs="Arial"/>
          <w:szCs w:val="22"/>
        </w:rPr>
        <w:t>zhledem k</w:t>
      </w:r>
      <w:r w:rsidR="00DE74C5">
        <w:rPr>
          <w:rFonts w:cs="Arial"/>
          <w:szCs w:val="22"/>
        </w:rPr>
        <w:t xml:space="preserve"> našim </w:t>
      </w:r>
      <w:r w:rsidR="007C231D">
        <w:rPr>
          <w:rFonts w:cs="Arial"/>
          <w:szCs w:val="22"/>
        </w:rPr>
        <w:t xml:space="preserve">omezeným </w:t>
      </w:r>
      <w:r w:rsidR="00E0034A">
        <w:rPr>
          <w:rFonts w:cs="Arial"/>
          <w:szCs w:val="22"/>
        </w:rPr>
        <w:t xml:space="preserve">časovým </w:t>
      </w:r>
      <w:r w:rsidR="007C231D">
        <w:rPr>
          <w:rFonts w:cs="Arial"/>
          <w:szCs w:val="22"/>
        </w:rPr>
        <w:t xml:space="preserve">kapacitám nejsou zahrnuti všichni poskytovatelé a </w:t>
      </w:r>
      <w:r w:rsidR="00DE74C5">
        <w:rPr>
          <w:rFonts w:cs="Arial"/>
          <w:szCs w:val="22"/>
        </w:rPr>
        <w:t xml:space="preserve">jimi nabízené </w:t>
      </w:r>
      <w:r w:rsidR="007C231D">
        <w:rPr>
          <w:rFonts w:cs="Arial"/>
          <w:szCs w:val="22"/>
        </w:rPr>
        <w:t>tarify</w:t>
      </w:r>
      <w:r w:rsidR="00DE74C5">
        <w:rPr>
          <w:rFonts w:cs="Arial"/>
          <w:szCs w:val="22"/>
        </w:rPr>
        <w:t xml:space="preserve">, lze tedy předpokládat, že </w:t>
      </w:r>
      <w:r w:rsidR="00BD2B5F">
        <w:rPr>
          <w:rFonts w:cs="Arial"/>
          <w:szCs w:val="22"/>
        </w:rPr>
        <w:t>lze dohledat i ceny nižší</w:t>
      </w:r>
      <w:r w:rsidR="00232AAA">
        <w:rPr>
          <w:rFonts w:cs="Arial"/>
          <w:szCs w:val="22"/>
        </w:rPr>
        <w:t xml:space="preserve">. </w:t>
      </w:r>
      <w:r w:rsidR="00BD2B5F">
        <w:rPr>
          <w:rFonts w:cs="Arial"/>
          <w:szCs w:val="22"/>
        </w:rPr>
        <w:t xml:space="preserve">V tabulce </w:t>
      </w:r>
      <w:r w:rsidR="00BD2B5F" w:rsidRPr="00BD2B5F">
        <w:rPr>
          <w:rFonts w:cs="Arial"/>
          <w:b/>
          <w:bCs/>
          <w:szCs w:val="22"/>
        </w:rPr>
        <w:t>nejsou</w:t>
      </w:r>
      <w:r w:rsidR="00BD2B5F">
        <w:rPr>
          <w:rFonts w:cs="Arial"/>
          <w:szCs w:val="22"/>
        </w:rPr>
        <w:t xml:space="preserve"> </w:t>
      </w:r>
      <w:r w:rsidR="00232AAA" w:rsidRPr="009B74AE">
        <w:rPr>
          <w:rFonts w:cs="Arial"/>
          <w:b/>
          <w:bCs/>
          <w:szCs w:val="22"/>
        </w:rPr>
        <w:t>obsaženy v</w:t>
      </w:r>
      <w:r w:rsidR="00BD2B5F">
        <w:rPr>
          <w:rFonts w:cs="Arial"/>
          <w:b/>
          <w:bCs/>
          <w:szCs w:val="22"/>
        </w:rPr>
        <w:t> </w:t>
      </w:r>
      <w:r w:rsidR="00232AAA" w:rsidRPr="009B74AE">
        <w:rPr>
          <w:rFonts w:cs="Arial"/>
          <w:b/>
          <w:bCs/>
          <w:szCs w:val="22"/>
        </w:rPr>
        <w:t>Česk</w:t>
      </w:r>
      <w:r w:rsidR="00BD2B5F">
        <w:rPr>
          <w:rFonts w:cs="Arial"/>
          <w:b/>
          <w:bCs/>
          <w:szCs w:val="22"/>
        </w:rPr>
        <w:t xml:space="preserve">é republice </w:t>
      </w:r>
      <w:r w:rsidR="00232AAA" w:rsidRPr="009B74AE">
        <w:rPr>
          <w:rFonts w:cs="Arial"/>
          <w:b/>
          <w:bCs/>
          <w:szCs w:val="22"/>
        </w:rPr>
        <w:t>velmi oblíbené balíčky služeb</w:t>
      </w:r>
      <w:r w:rsidR="00232AAA">
        <w:rPr>
          <w:rFonts w:cs="Arial"/>
          <w:szCs w:val="22"/>
        </w:rPr>
        <w:t xml:space="preserve"> (např. O2 Spolu)</w:t>
      </w:r>
      <w:r w:rsidR="00BD2B5F">
        <w:rPr>
          <w:rFonts w:cs="Arial"/>
          <w:szCs w:val="22"/>
        </w:rPr>
        <w:t xml:space="preserve"> spočívající buď v kombinaci různých služeb (</w:t>
      </w:r>
      <w:r w:rsidR="00A24D40">
        <w:rPr>
          <w:rFonts w:cs="Arial"/>
          <w:szCs w:val="22"/>
        </w:rPr>
        <w:t>i</w:t>
      </w:r>
      <w:r w:rsidR="000849CE">
        <w:rPr>
          <w:rFonts w:cs="Arial"/>
          <w:szCs w:val="22"/>
        </w:rPr>
        <w:t>nternet v pevném místě, mobilní tarif, IPTV atd.) nebo</w:t>
      </w:r>
      <w:r w:rsidR="00A24D40">
        <w:rPr>
          <w:rFonts w:cs="Arial"/>
          <w:szCs w:val="22"/>
        </w:rPr>
        <w:t xml:space="preserve"> v množstevní kombinaci stejné</w:t>
      </w:r>
      <w:r w:rsidR="003615E4">
        <w:rPr>
          <w:rFonts w:cs="Arial"/>
          <w:szCs w:val="22"/>
        </w:rPr>
        <w:t>ho druhy</w:t>
      </w:r>
      <w:r w:rsidR="00A24D40">
        <w:rPr>
          <w:rFonts w:cs="Arial"/>
          <w:szCs w:val="22"/>
        </w:rPr>
        <w:t xml:space="preserve"> služby (např. tarif pro 3 mobilní </w:t>
      </w:r>
      <w:r w:rsidR="00A24D40">
        <w:rPr>
          <w:rFonts w:cs="Arial"/>
          <w:szCs w:val="22"/>
        </w:rPr>
        <w:lastRenderedPageBreak/>
        <w:t>čísla pro rodinu nebo př</w:t>
      </w:r>
      <w:r w:rsidR="00932E11">
        <w:rPr>
          <w:rFonts w:cs="Arial"/>
          <w:szCs w:val="22"/>
        </w:rPr>
        <w:t>á</w:t>
      </w:r>
      <w:r w:rsidR="00A24D40">
        <w:rPr>
          <w:rFonts w:cs="Arial"/>
          <w:szCs w:val="22"/>
        </w:rPr>
        <w:t>tele)</w:t>
      </w:r>
      <w:r w:rsidR="00D809B0">
        <w:rPr>
          <w:rFonts w:cs="Arial"/>
          <w:szCs w:val="22"/>
        </w:rPr>
        <w:t xml:space="preserve">. V tabulce také </w:t>
      </w:r>
      <w:r w:rsidR="00D809B0" w:rsidRPr="00D809B0">
        <w:rPr>
          <w:rFonts w:cs="Arial"/>
          <w:b/>
          <w:bCs/>
          <w:szCs w:val="22"/>
        </w:rPr>
        <w:t>nejsou obsaženy</w:t>
      </w:r>
      <w:r w:rsidR="002400E5" w:rsidRPr="009B74AE">
        <w:rPr>
          <w:rFonts w:cs="Arial"/>
          <w:b/>
          <w:bCs/>
          <w:szCs w:val="22"/>
        </w:rPr>
        <w:t xml:space="preserve"> </w:t>
      </w:r>
      <w:r w:rsidR="0086474E" w:rsidRPr="009B74AE">
        <w:rPr>
          <w:rFonts w:cs="Arial"/>
          <w:b/>
          <w:bCs/>
          <w:szCs w:val="22"/>
        </w:rPr>
        <w:t>ne</w:t>
      </w:r>
      <w:r w:rsidR="002400E5" w:rsidRPr="009B74AE">
        <w:rPr>
          <w:rFonts w:cs="Arial"/>
          <w:b/>
          <w:bCs/>
          <w:szCs w:val="22"/>
        </w:rPr>
        <w:t>veřejné</w:t>
      </w:r>
      <w:r w:rsidR="0086474E" w:rsidRPr="009B74AE">
        <w:rPr>
          <w:rFonts w:cs="Arial"/>
          <w:b/>
          <w:bCs/>
          <w:szCs w:val="22"/>
        </w:rPr>
        <w:t xml:space="preserve"> nabídky</w:t>
      </w:r>
      <w:r w:rsidR="0086474E">
        <w:rPr>
          <w:rFonts w:cs="Arial"/>
          <w:szCs w:val="22"/>
        </w:rPr>
        <w:t xml:space="preserve"> (</w:t>
      </w:r>
      <w:r w:rsidR="00327A61">
        <w:rPr>
          <w:rFonts w:cs="Arial"/>
          <w:szCs w:val="22"/>
        </w:rPr>
        <w:t xml:space="preserve">včetně těch, </w:t>
      </w:r>
      <w:r w:rsidR="0086474E">
        <w:rPr>
          <w:rFonts w:cs="Arial"/>
          <w:szCs w:val="22"/>
        </w:rPr>
        <w:t xml:space="preserve">které </w:t>
      </w:r>
      <w:r w:rsidR="00327A61">
        <w:rPr>
          <w:rFonts w:cs="Arial"/>
          <w:szCs w:val="22"/>
        </w:rPr>
        <w:t>se dají na webových stránkách ve skutečnosti dohledat, a na které</w:t>
      </w:r>
      <w:r w:rsidR="0086474E">
        <w:rPr>
          <w:rFonts w:cs="Arial"/>
          <w:szCs w:val="22"/>
        </w:rPr>
        <w:t xml:space="preserve"> ČTÚ v analýze sám odkazuje)</w:t>
      </w:r>
      <w:r w:rsidR="00F57A4B">
        <w:rPr>
          <w:rFonts w:cs="Arial"/>
          <w:szCs w:val="22"/>
        </w:rPr>
        <w:t>.</w:t>
      </w:r>
      <w:r w:rsidR="009B74AE">
        <w:rPr>
          <w:rFonts w:cs="Arial"/>
          <w:szCs w:val="22"/>
        </w:rPr>
        <w:t xml:space="preserve"> </w:t>
      </w:r>
      <w:r w:rsidR="00F57A4B">
        <w:rPr>
          <w:rFonts w:cs="Arial"/>
          <w:szCs w:val="22"/>
        </w:rPr>
        <w:t>P</w:t>
      </w:r>
      <w:r w:rsidR="009B74AE">
        <w:rPr>
          <w:rFonts w:cs="Arial"/>
          <w:szCs w:val="22"/>
        </w:rPr>
        <w:t xml:space="preserve">řičemž </w:t>
      </w:r>
      <w:r w:rsidR="007A1124">
        <w:rPr>
          <w:rFonts w:cs="Arial"/>
          <w:szCs w:val="22"/>
        </w:rPr>
        <w:t xml:space="preserve">jsme toho názoru, že </w:t>
      </w:r>
      <w:r w:rsidR="0014744C">
        <w:rPr>
          <w:rFonts w:cs="Arial"/>
          <w:szCs w:val="22"/>
        </w:rPr>
        <w:t>oba tyto přístupy</w:t>
      </w:r>
      <w:r w:rsidR="007A1124">
        <w:rPr>
          <w:rFonts w:cs="Arial"/>
          <w:szCs w:val="22"/>
        </w:rPr>
        <w:t xml:space="preserve"> jsou v</w:t>
      </w:r>
      <w:r w:rsidR="0014744C">
        <w:rPr>
          <w:rFonts w:cs="Arial"/>
          <w:szCs w:val="22"/>
        </w:rPr>
        <w:t> </w:t>
      </w:r>
      <w:r w:rsidR="007A1124">
        <w:rPr>
          <w:rFonts w:cs="Arial"/>
          <w:szCs w:val="22"/>
        </w:rPr>
        <w:t>Česk</w:t>
      </w:r>
      <w:r w:rsidR="0014744C">
        <w:rPr>
          <w:rFonts w:cs="Arial"/>
          <w:szCs w:val="22"/>
        </w:rPr>
        <w:t>é republice</w:t>
      </w:r>
      <w:r w:rsidR="007A1124">
        <w:rPr>
          <w:rFonts w:cs="Arial"/>
          <w:szCs w:val="22"/>
        </w:rPr>
        <w:t xml:space="preserve"> </w:t>
      </w:r>
      <w:r w:rsidR="00631D88">
        <w:rPr>
          <w:rFonts w:cs="Arial"/>
          <w:szCs w:val="22"/>
        </w:rPr>
        <w:t xml:space="preserve">oproti jiným evropským zemím </w:t>
      </w:r>
      <w:r w:rsidR="007A1124">
        <w:rPr>
          <w:rFonts w:cs="Arial"/>
          <w:szCs w:val="22"/>
        </w:rPr>
        <w:t>zastoupeny nadprůměrně</w:t>
      </w:r>
      <w:r w:rsidR="001B1310">
        <w:rPr>
          <w:rFonts w:cs="Arial"/>
          <w:szCs w:val="22"/>
        </w:rPr>
        <w:t xml:space="preserve"> a neobstojí tedy argument, že by </w:t>
      </w:r>
      <w:r w:rsidR="006115DC">
        <w:rPr>
          <w:rFonts w:cs="Arial"/>
          <w:szCs w:val="22"/>
        </w:rPr>
        <w:t>v jiných zemích měla tato skutečnost obdobný vliv</w:t>
      </w:r>
      <w:r w:rsidR="007A1124">
        <w:rPr>
          <w:rFonts w:cs="Arial"/>
          <w:szCs w:val="22"/>
        </w:rPr>
        <w:t>.</w:t>
      </w:r>
      <w:r w:rsidR="00232AAA">
        <w:rPr>
          <w:rFonts w:cs="Arial"/>
          <w:szCs w:val="22"/>
        </w:rPr>
        <w:t xml:space="preserve"> </w:t>
      </w:r>
      <w:r w:rsidR="00631D88">
        <w:rPr>
          <w:rFonts w:cs="Arial"/>
          <w:szCs w:val="22"/>
        </w:rPr>
        <w:t xml:space="preserve">I přes to </w:t>
      </w:r>
      <w:r w:rsidR="002B402E">
        <w:rPr>
          <w:rFonts w:cs="Arial"/>
          <w:szCs w:val="22"/>
        </w:rPr>
        <w:t xml:space="preserve">je </w:t>
      </w:r>
      <w:r w:rsidR="00631D88">
        <w:rPr>
          <w:rFonts w:cs="Arial"/>
          <w:szCs w:val="22"/>
        </w:rPr>
        <w:t>ze srovnání zřejmé</w:t>
      </w:r>
      <w:r w:rsidR="002B402E">
        <w:rPr>
          <w:rFonts w:cs="Arial"/>
          <w:szCs w:val="22"/>
        </w:rPr>
        <w:t xml:space="preserve">, že skutečná cenová hladina </w:t>
      </w:r>
      <w:r w:rsidR="00A27F2C">
        <w:rPr>
          <w:rFonts w:cs="Arial"/>
          <w:szCs w:val="22"/>
        </w:rPr>
        <w:t xml:space="preserve">je </w:t>
      </w:r>
      <w:r w:rsidR="001109EE">
        <w:rPr>
          <w:rFonts w:cs="Arial"/>
          <w:szCs w:val="22"/>
        </w:rPr>
        <w:t>prakticky ve všech případech níž</w:t>
      </w:r>
      <w:r w:rsidR="007A1124">
        <w:rPr>
          <w:rFonts w:cs="Arial"/>
          <w:szCs w:val="22"/>
        </w:rPr>
        <w:t>,</w:t>
      </w:r>
      <w:r w:rsidR="001109EE">
        <w:rPr>
          <w:rFonts w:cs="Arial"/>
          <w:szCs w:val="22"/>
        </w:rPr>
        <w:t xml:space="preserve"> než je průměr v </w:t>
      </w:r>
      <w:proofErr w:type="gramStart"/>
      <w:r w:rsidR="001109EE">
        <w:rPr>
          <w:rFonts w:cs="Arial"/>
          <w:szCs w:val="22"/>
        </w:rPr>
        <w:t>EU</w:t>
      </w:r>
      <w:proofErr w:type="gramEnd"/>
      <w:r w:rsidR="001109EE">
        <w:rPr>
          <w:rFonts w:cs="Arial"/>
          <w:szCs w:val="22"/>
        </w:rPr>
        <w:t xml:space="preserve"> a to mnohdy velmi výrazně. Vzhledem k tomu, že má ČTÚ ze zákona k dispozici všechny veřejné tarify všech poskytovatelů (</w:t>
      </w:r>
      <w:r w:rsidR="00371CA8">
        <w:rPr>
          <w:rFonts w:cs="Arial"/>
          <w:szCs w:val="22"/>
        </w:rPr>
        <w:t xml:space="preserve">pro </w:t>
      </w:r>
      <w:r w:rsidR="001109EE">
        <w:rPr>
          <w:rFonts w:cs="Arial"/>
          <w:szCs w:val="22"/>
        </w:rPr>
        <w:t xml:space="preserve">srovnávací nástroj) a </w:t>
      </w:r>
      <w:r w:rsidR="00D157A6">
        <w:rPr>
          <w:rFonts w:cs="Arial"/>
          <w:szCs w:val="22"/>
        </w:rPr>
        <w:t xml:space="preserve">zároveň ze své úřední činnosti také </w:t>
      </w:r>
      <w:r w:rsidR="00371CA8">
        <w:rPr>
          <w:rFonts w:cs="Arial"/>
          <w:szCs w:val="22"/>
        </w:rPr>
        <w:t>minimálně</w:t>
      </w:r>
      <w:r w:rsidR="00D157A6">
        <w:rPr>
          <w:rFonts w:cs="Arial"/>
          <w:szCs w:val="22"/>
        </w:rPr>
        <w:t xml:space="preserve"> část</w:t>
      </w:r>
      <w:r w:rsidR="00371CA8">
        <w:rPr>
          <w:rFonts w:cs="Arial"/>
          <w:szCs w:val="22"/>
        </w:rPr>
        <w:t>ečnou představu</w:t>
      </w:r>
      <w:r w:rsidR="00D157A6">
        <w:rPr>
          <w:rFonts w:cs="Arial"/>
          <w:szCs w:val="22"/>
        </w:rPr>
        <w:t xml:space="preserve"> </w:t>
      </w:r>
      <w:r w:rsidR="00371CA8">
        <w:rPr>
          <w:rFonts w:cs="Arial"/>
          <w:szCs w:val="22"/>
        </w:rPr>
        <w:t xml:space="preserve">o </w:t>
      </w:r>
      <w:r w:rsidR="00D157A6">
        <w:rPr>
          <w:rFonts w:cs="Arial"/>
          <w:szCs w:val="22"/>
        </w:rPr>
        <w:t>neveřejných</w:t>
      </w:r>
      <w:r w:rsidR="00371CA8">
        <w:rPr>
          <w:rFonts w:cs="Arial"/>
          <w:szCs w:val="22"/>
        </w:rPr>
        <w:t xml:space="preserve"> tarifech (tj. reálné cenové úrovni)</w:t>
      </w:r>
      <w:r w:rsidR="00D157A6">
        <w:rPr>
          <w:rFonts w:cs="Arial"/>
          <w:szCs w:val="22"/>
        </w:rPr>
        <w:t xml:space="preserve">, měl by být schopen provést vlastní </w:t>
      </w:r>
      <w:r w:rsidR="00C9005D">
        <w:rPr>
          <w:rFonts w:cs="Arial"/>
          <w:szCs w:val="22"/>
        </w:rPr>
        <w:t xml:space="preserve">a aktuální </w:t>
      </w:r>
      <w:r w:rsidR="00D157A6">
        <w:rPr>
          <w:rFonts w:cs="Arial"/>
          <w:szCs w:val="22"/>
        </w:rPr>
        <w:t>analýzu cenové hladiny v ČR a nečerpat z dat, které neodpovídají realitě</w:t>
      </w:r>
      <w:r w:rsidR="008B52D2">
        <w:rPr>
          <w:rFonts w:cs="Arial"/>
          <w:szCs w:val="22"/>
        </w:rPr>
        <w:t xml:space="preserve"> a stavět na nich tak závažnou regulaci jako je regulace cenová.</w:t>
      </w:r>
    </w:p>
    <w:p w14:paraId="115D4770" w14:textId="440D3D8B" w:rsidR="00844245" w:rsidRDefault="00844245">
      <w:pPr>
        <w:spacing w:after="0" w:line="240" w:lineRule="auto"/>
        <w:jc w:val="left"/>
        <w:rPr>
          <w:rFonts w:cs="Arial"/>
          <w:szCs w:val="22"/>
        </w:rPr>
      </w:pPr>
    </w:p>
    <w:tbl>
      <w:tblPr>
        <w:tblStyle w:val="Mkatabulky"/>
        <w:tblW w:w="8333" w:type="dxa"/>
        <w:tblInd w:w="708" w:type="dxa"/>
        <w:tblLook w:val="04A0" w:firstRow="1" w:lastRow="0" w:firstColumn="1" w:lastColumn="0" w:noHBand="0" w:noVBand="1"/>
      </w:tblPr>
      <w:tblGrid>
        <w:gridCol w:w="1814"/>
        <w:gridCol w:w="1474"/>
        <w:gridCol w:w="1417"/>
        <w:gridCol w:w="1757"/>
        <w:gridCol w:w="1871"/>
      </w:tblGrid>
      <w:tr w:rsidR="001C67F3" w14:paraId="6533E9D4" w14:textId="77777777" w:rsidTr="00371CA8">
        <w:trPr>
          <w:trHeight w:val="454"/>
        </w:trPr>
        <w:tc>
          <w:tcPr>
            <w:tcW w:w="1814" w:type="dxa"/>
            <w:vAlign w:val="center"/>
          </w:tcPr>
          <w:p w14:paraId="50240D9C" w14:textId="3A4C06B6" w:rsidR="00E430E0" w:rsidRPr="00EB678E" w:rsidRDefault="008E5D87" w:rsidP="0081417E">
            <w:pPr>
              <w:spacing w:after="0"/>
              <w:jc w:val="center"/>
              <w:rPr>
                <w:rFonts w:cs="Arial"/>
                <w:b/>
                <w:bCs/>
                <w:sz w:val="22"/>
                <w:szCs w:val="20"/>
              </w:rPr>
            </w:pPr>
            <w:r w:rsidRPr="00EB678E">
              <w:rPr>
                <w:rFonts w:cs="Arial"/>
                <w:b/>
                <w:bCs/>
                <w:sz w:val="22"/>
                <w:szCs w:val="20"/>
              </w:rPr>
              <w:t xml:space="preserve">Tarifní kategorie </w:t>
            </w:r>
            <w:r w:rsidR="00EB678E" w:rsidRPr="00EB678E">
              <w:rPr>
                <w:rFonts w:cs="Arial"/>
                <w:b/>
                <w:bCs/>
                <w:sz w:val="22"/>
                <w:szCs w:val="20"/>
              </w:rPr>
              <w:t>podle EK</w:t>
            </w:r>
          </w:p>
        </w:tc>
        <w:tc>
          <w:tcPr>
            <w:tcW w:w="1474" w:type="dxa"/>
            <w:vAlign w:val="center"/>
          </w:tcPr>
          <w:p w14:paraId="0E621362" w14:textId="3994FC9A" w:rsidR="00E430E0" w:rsidRPr="00EB678E" w:rsidRDefault="00491B17" w:rsidP="0081417E">
            <w:pPr>
              <w:spacing w:after="0"/>
              <w:jc w:val="center"/>
              <w:rPr>
                <w:rFonts w:cs="Arial"/>
                <w:b/>
                <w:bCs/>
                <w:sz w:val="22"/>
                <w:szCs w:val="20"/>
              </w:rPr>
            </w:pPr>
            <w:r w:rsidRPr="00EB678E">
              <w:rPr>
                <w:rFonts w:cs="Arial"/>
                <w:b/>
                <w:bCs/>
                <w:sz w:val="22"/>
                <w:szCs w:val="20"/>
              </w:rPr>
              <w:t>Veřejná c</w:t>
            </w:r>
            <w:r w:rsidR="001C67F3" w:rsidRPr="00EB678E">
              <w:rPr>
                <w:rFonts w:cs="Arial"/>
                <w:b/>
                <w:bCs/>
                <w:sz w:val="22"/>
                <w:szCs w:val="20"/>
              </w:rPr>
              <w:t>ena MVNO</w:t>
            </w:r>
          </w:p>
          <w:p w14:paraId="122AEFB1" w14:textId="7DCDF3DA" w:rsidR="0052761F" w:rsidRPr="00EB678E" w:rsidRDefault="006F4185" w:rsidP="0081417E">
            <w:pPr>
              <w:spacing w:after="0"/>
              <w:jc w:val="center"/>
              <w:rPr>
                <w:rFonts w:cs="Arial"/>
                <w:b/>
                <w:bCs/>
                <w:sz w:val="22"/>
                <w:szCs w:val="20"/>
              </w:rPr>
            </w:pPr>
            <w:r w:rsidRPr="007B1EBD">
              <w:rPr>
                <w:rFonts w:cs="Arial"/>
                <w:b/>
                <w:bCs/>
                <w:sz w:val="20"/>
                <w:szCs w:val="18"/>
                <w:lang w:val="en-US"/>
              </w:rPr>
              <w:t>[EUR</w:t>
            </w:r>
            <w:r w:rsidR="00491B17" w:rsidRPr="007B1EBD">
              <w:rPr>
                <w:rFonts w:cs="Arial"/>
                <w:b/>
                <w:bCs/>
                <w:sz w:val="20"/>
                <w:szCs w:val="18"/>
                <w:lang w:val="en-US"/>
              </w:rPr>
              <w:t>*</w:t>
            </w:r>
            <w:r w:rsidRPr="007B1EBD">
              <w:rPr>
                <w:rFonts w:cs="Arial"/>
                <w:b/>
                <w:bCs/>
                <w:sz w:val="20"/>
                <w:szCs w:val="18"/>
                <w:lang w:val="en-US"/>
              </w:rPr>
              <w:t>]</w:t>
            </w:r>
          </w:p>
        </w:tc>
        <w:tc>
          <w:tcPr>
            <w:tcW w:w="1417" w:type="dxa"/>
            <w:vAlign w:val="center"/>
          </w:tcPr>
          <w:p w14:paraId="1FD6240E" w14:textId="761AD0EC" w:rsidR="00E430E0" w:rsidRPr="00EB678E" w:rsidRDefault="00491B17" w:rsidP="0081417E">
            <w:pPr>
              <w:spacing w:after="0"/>
              <w:jc w:val="center"/>
              <w:rPr>
                <w:rFonts w:cs="Arial"/>
                <w:b/>
                <w:bCs/>
                <w:sz w:val="22"/>
                <w:szCs w:val="20"/>
              </w:rPr>
            </w:pPr>
            <w:r w:rsidRPr="00EB678E">
              <w:rPr>
                <w:rFonts w:cs="Arial"/>
                <w:b/>
                <w:bCs/>
                <w:sz w:val="22"/>
                <w:szCs w:val="20"/>
              </w:rPr>
              <w:t>Veřejná cena</w:t>
            </w:r>
            <w:r w:rsidR="001C67F3" w:rsidRPr="00EB678E">
              <w:rPr>
                <w:rFonts w:cs="Arial"/>
                <w:b/>
                <w:bCs/>
                <w:sz w:val="22"/>
                <w:szCs w:val="20"/>
              </w:rPr>
              <w:t xml:space="preserve"> MNO</w:t>
            </w:r>
          </w:p>
          <w:p w14:paraId="143A20DC" w14:textId="6110F7CA" w:rsidR="006F4185" w:rsidRPr="00EB678E" w:rsidRDefault="006F4185" w:rsidP="0081417E">
            <w:pPr>
              <w:spacing w:after="0"/>
              <w:jc w:val="center"/>
              <w:rPr>
                <w:rFonts w:cs="Arial"/>
                <w:b/>
                <w:bCs/>
                <w:sz w:val="22"/>
                <w:szCs w:val="20"/>
              </w:rPr>
            </w:pPr>
            <w:r w:rsidRPr="007B1EBD">
              <w:rPr>
                <w:rFonts w:cs="Arial"/>
                <w:b/>
                <w:bCs/>
                <w:sz w:val="20"/>
                <w:szCs w:val="18"/>
                <w:lang w:val="en-US"/>
              </w:rPr>
              <w:t>[EUR</w:t>
            </w:r>
            <w:r w:rsidR="00491B17" w:rsidRPr="007B1EBD">
              <w:rPr>
                <w:rFonts w:cs="Arial"/>
                <w:b/>
                <w:bCs/>
                <w:sz w:val="20"/>
                <w:szCs w:val="18"/>
                <w:lang w:val="en-US"/>
              </w:rPr>
              <w:t>*</w:t>
            </w:r>
            <w:r w:rsidRPr="007B1EBD">
              <w:rPr>
                <w:rFonts w:cs="Arial"/>
                <w:b/>
                <w:bCs/>
                <w:sz w:val="20"/>
                <w:szCs w:val="18"/>
                <w:lang w:val="en-US"/>
              </w:rPr>
              <w:t>]</w:t>
            </w:r>
          </w:p>
        </w:tc>
        <w:tc>
          <w:tcPr>
            <w:tcW w:w="1757" w:type="dxa"/>
            <w:vAlign w:val="center"/>
          </w:tcPr>
          <w:p w14:paraId="23401FCB" w14:textId="623A3A34" w:rsidR="00E430E0" w:rsidRPr="00EB678E" w:rsidRDefault="00EB678E" w:rsidP="0081417E">
            <w:pPr>
              <w:spacing w:after="0"/>
              <w:jc w:val="center"/>
              <w:rPr>
                <w:rFonts w:cs="Arial"/>
                <w:b/>
                <w:bCs/>
                <w:sz w:val="22"/>
                <w:szCs w:val="20"/>
              </w:rPr>
            </w:pPr>
            <w:r>
              <w:rPr>
                <w:rFonts w:cs="Arial"/>
                <w:b/>
                <w:bCs/>
                <w:sz w:val="22"/>
                <w:szCs w:val="20"/>
              </w:rPr>
              <w:t>ČR</w:t>
            </w:r>
            <w:r w:rsidR="00ED55BB" w:rsidRPr="00EB678E">
              <w:rPr>
                <w:rFonts w:cs="Arial"/>
                <w:b/>
                <w:bCs/>
                <w:sz w:val="22"/>
                <w:szCs w:val="20"/>
              </w:rPr>
              <w:t xml:space="preserve"> v reportu</w:t>
            </w:r>
            <w:r w:rsidR="001109EE" w:rsidRPr="00EB678E">
              <w:rPr>
                <w:rFonts w:cs="Arial"/>
                <w:b/>
                <w:bCs/>
                <w:sz w:val="22"/>
                <w:szCs w:val="20"/>
              </w:rPr>
              <w:t xml:space="preserve"> EK</w:t>
            </w:r>
            <w:r w:rsidR="00A71AAC">
              <w:rPr>
                <w:rFonts w:cs="Arial"/>
                <w:b/>
                <w:bCs/>
                <w:sz w:val="22"/>
                <w:szCs w:val="20"/>
              </w:rPr>
              <w:t xml:space="preserve"> 2021</w:t>
            </w:r>
          </w:p>
          <w:p w14:paraId="150B5D4F" w14:textId="5B766732" w:rsidR="006F4185" w:rsidRPr="00EB678E" w:rsidRDefault="006F4185" w:rsidP="0081417E">
            <w:pPr>
              <w:spacing w:after="0"/>
              <w:jc w:val="center"/>
              <w:rPr>
                <w:rFonts w:cs="Arial"/>
                <w:b/>
                <w:bCs/>
                <w:sz w:val="22"/>
                <w:szCs w:val="20"/>
              </w:rPr>
            </w:pPr>
            <w:r w:rsidRPr="007B1EBD">
              <w:rPr>
                <w:rFonts w:cs="Arial"/>
                <w:b/>
                <w:bCs/>
                <w:sz w:val="20"/>
                <w:szCs w:val="18"/>
                <w:lang w:val="en-US"/>
              </w:rPr>
              <w:t>[EUR/PPP]</w:t>
            </w:r>
          </w:p>
        </w:tc>
        <w:tc>
          <w:tcPr>
            <w:tcW w:w="1871" w:type="dxa"/>
            <w:vAlign w:val="center"/>
          </w:tcPr>
          <w:p w14:paraId="0A0FA8B4" w14:textId="516323C3" w:rsidR="00E430E0" w:rsidRPr="00EB678E" w:rsidRDefault="001C67F3" w:rsidP="0081417E">
            <w:pPr>
              <w:spacing w:after="0"/>
              <w:jc w:val="center"/>
              <w:rPr>
                <w:rFonts w:cs="Arial"/>
                <w:b/>
                <w:bCs/>
                <w:sz w:val="22"/>
                <w:szCs w:val="20"/>
              </w:rPr>
            </w:pPr>
            <w:r w:rsidRPr="00EB678E">
              <w:rPr>
                <w:rFonts w:cs="Arial"/>
                <w:b/>
                <w:bCs/>
                <w:sz w:val="22"/>
                <w:szCs w:val="20"/>
              </w:rPr>
              <w:t>EU27 průměr</w:t>
            </w:r>
            <w:r w:rsidR="00ED55BB" w:rsidRPr="00EB678E">
              <w:rPr>
                <w:rFonts w:cs="Arial"/>
                <w:b/>
                <w:bCs/>
                <w:sz w:val="22"/>
                <w:szCs w:val="20"/>
              </w:rPr>
              <w:t xml:space="preserve"> v</w:t>
            </w:r>
            <w:r w:rsidR="001109EE" w:rsidRPr="00EB678E">
              <w:rPr>
                <w:rFonts w:cs="Arial"/>
                <w:b/>
                <w:bCs/>
                <w:sz w:val="22"/>
                <w:szCs w:val="20"/>
              </w:rPr>
              <w:t xml:space="preserve"> </w:t>
            </w:r>
            <w:r w:rsidR="00ED55BB" w:rsidRPr="00EB678E">
              <w:rPr>
                <w:rFonts w:cs="Arial"/>
                <w:b/>
                <w:bCs/>
                <w:sz w:val="22"/>
                <w:szCs w:val="20"/>
              </w:rPr>
              <w:t>reportu</w:t>
            </w:r>
            <w:r w:rsidR="001109EE" w:rsidRPr="00EB678E">
              <w:rPr>
                <w:rFonts w:cs="Arial"/>
                <w:b/>
                <w:bCs/>
                <w:sz w:val="22"/>
                <w:szCs w:val="20"/>
              </w:rPr>
              <w:t xml:space="preserve"> EK</w:t>
            </w:r>
            <w:r w:rsidR="00875EC4">
              <w:rPr>
                <w:rFonts w:cs="Arial"/>
                <w:b/>
                <w:bCs/>
                <w:sz w:val="22"/>
                <w:szCs w:val="20"/>
              </w:rPr>
              <w:t xml:space="preserve"> 2021</w:t>
            </w:r>
          </w:p>
          <w:p w14:paraId="70075AD1" w14:textId="764DAAFC" w:rsidR="006F4185" w:rsidRPr="00EB678E" w:rsidRDefault="006F4185" w:rsidP="0081417E">
            <w:pPr>
              <w:spacing w:after="0"/>
              <w:jc w:val="center"/>
              <w:rPr>
                <w:rFonts w:cs="Arial"/>
                <w:b/>
                <w:bCs/>
                <w:sz w:val="22"/>
                <w:szCs w:val="20"/>
              </w:rPr>
            </w:pPr>
            <w:r w:rsidRPr="007B1EBD">
              <w:rPr>
                <w:rFonts w:cs="Arial"/>
                <w:b/>
                <w:bCs/>
                <w:sz w:val="20"/>
                <w:szCs w:val="18"/>
                <w:lang w:val="en-US"/>
              </w:rPr>
              <w:t>[EUR/PPP]</w:t>
            </w:r>
          </w:p>
        </w:tc>
      </w:tr>
      <w:tr w:rsidR="00CE670E" w14:paraId="00F3C942" w14:textId="77777777" w:rsidTr="00371CA8">
        <w:trPr>
          <w:trHeight w:val="567"/>
        </w:trPr>
        <w:tc>
          <w:tcPr>
            <w:tcW w:w="1814" w:type="dxa"/>
            <w:vAlign w:val="center"/>
          </w:tcPr>
          <w:p w14:paraId="139E450E" w14:textId="361A474D" w:rsidR="00CE670E" w:rsidRPr="00681AD3" w:rsidRDefault="00CE670E" w:rsidP="00CE670E">
            <w:pPr>
              <w:pStyle w:val="Pa3"/>
              <w:jc w:val="center"/>
              <w:rPr>
                <w:rFonts w:ascii="Garamond" w:hAnsi="Garamond"/>
                <w:szCs w:val="22"/>
              </w:rPr>
            </w:pPr>
            <w:r w:rsidRPr="00681AD3">
              <w:rPr>
                <w:rStyle w:val="A5"/>
                <w:rFonts w:ascii="Garamond" w:hAnsi="Garamond"/>
              </w:rPr>
              <w:t xml:space="preserve">MBB1: 0.5 GB mobile data </w:t>
            </w:r>
            <w:proofErr w:type="spellStart"/>
            <w:r w:rsidRPr="00681AD3">
              <w:rPr>
                <w:rStyle w:val="A5"/>
                <w:rFonts w:ascii="Garamond" w:hAnsi="Garamond"/>
              </w:rPr>
              <w:t>with</w:t>
            </w:r>
            <w:proofErr w:type="spellEnd"/>
            <w:r w:rsidRPr="00681AD3">
              <w:rPr>
                <w:rStyle w:val="A5"/>
                <w:rFonts w:ascii="Garamond" w:hAnsi="Garamond"/>
              </w:rPr>
              <w:t xml:space="preserve"> no </w:t>
            </w:r>
            <w:proofErr w:type="spellStart"/>
            <w:r w:rsidRPr="00681AD3">
              <w:rPr>
                <w:rStyle w:val="A5"/>
                <w:rFonts w:ascii="Garamond" w:hAnsi="Garamond"/>
              </w:rPr>
              <w:t>calls</w:t>
            </w:r>
            <w:proofErr w:type="spellEnd"/>
          </w:p>
        </w:tc>
        <w:tc>
          <w:tcPr>
            <w:tcW w:w="1474" w:type="dxa"/>
            <w:shd w:val="clear" w:color="auto" w:fill="E2EFD9" w:themeFill="accent6" w:themeFillTint="33"/>
            <w:vAlign w:val="center"/>
          </w:tcPr>
          <w:p w14:paraId="39CBF829" w14:textId="75EADD0B" w:rsidR="00CE670E" w:rsidRPr="00681AD3" w:rsidRDefault="00CE670E" w:rsidP="00835AAC">
            <w:pPr>
              <w:spacing w:after="0"/>
              <w:jc w:val="center"/>
              <w:rPr>
                <w:rFonts w:cs="Arial"/>
                <w:szCs w:val="22"/>
              </w:rPr>
            </w:pPr>
            <w:r w:rsidRPr="003D7BCC">
              <w:t>2,79</w:t>
            </w:r>
          </w:p>
        </w:tc>
        <w:tc>
          <w:tcPr>
            <w:tcW w:w="1417" w:type="dxa"/>
            <w:shd w:val="clear" w:color="auto" w:fill="E2EFD9" w:themeFill="accent6" w:themeFillTint="33"/>
            <w:vAlign w:val="center"/>
          </w:tcPr>
          <w:p w14:paraId="60FC2112" w14:textId="4E2EDC51" w:rsidR="00CE670E" w:rsidRPr="00681AD3" w:rsidRDefault="00CE670E" w:rsidP="00835AAC">
            <w:pPr>
              <w:spacing w:after="0"/>
              <w:jc w:val="center"/>
              <w:rPr>
                <w:rFonts w:cs="Arial"/>
                <w:szCs w:val="22"/>
              </w:rPr>
            </w:pPr>
            <w:r w:rsidRPr="003D7BCC">
              <w:t>3,19</w:t>
            </w:r>
          </w:p>
        </w:tc>
        <w:tc>
          <w:tcPr>
            <w:tcW w:w="1757" w:type="dxa"/>
            <w:shd w:val="clear" w:color="auto" w:fill="FBE4D5" w:themeFill="accent2" w:themeFillTint="33"/>
            <w:vAlign w:val="center"/>
          </w:tcPr>
          <w:p w14:paraId="438DAA1F" w14:textId="203D2D8C" w:rsidR="00CE670E" w:rsidRPr="00681AD3" w:rsidRDefault="00CE670E" w:rsidP="00835AAC">
            <w:pPr>
              <w:spacing w:after="0"/>
              <w:jc w:val="center"/>
              <w:rPr>
                <w:rFonts w:cs="Arial"/>
                <w:szCs w:val="22"/>
              </w:rPr>
            </w:pPr>
            <w:r>
              <w:rPr>
                <w:rFonts w:cs="Arial"/>
                <w:szCs w:val="22"/>
              </w:rPr>
              <w:t>15,06</w:t>
            </w:r>
          </w:p>
        </w:tc>
        <w:tc>
          <w:tcPr>
            <w:tcW w:w="1871" w:type="dxa"/>
            <w:shd w:val="clear" w:color="auto" w:fill="FBE4D5" w:themeFill="accent2" w:themeFillTint="33"/>
            <w:vAlign w:val="center"/>
          </w:tcPr>
          <w:p w14:paraId="2CC44765" w14:textId="2E4F12DF" w:rsidR="00CE670E" w:rsidRPr="00681AD3" w:rsidRDefault="006A635C" w:rsidP="00835AAC">
            <w:pPr>
              <w:spacing w:after="0"/>
              <w:jc w:val="center"/>
              <w:rPr>
                <w:rFonts w:cs="Arial"/>
                <w:szCs w:val="22"/>
              </w:rPr>
            </w:pPr>
            <w:r>
              <w:rPr>
                <w:rFonts w:cs="Arial"/>
                <w:szCs w:val="22"/>
              </w:rPr>
              <w:t>6,35</w:t>
            </w:r>
          </w:p>
        </w:tc>
      </w:tr>
      <w:tr w:rsidR="00CE670E" w14:paraId="4DF3DDE9" w14:textId="77777777" w:rsidTr="00371CA8">
        <w:trPr>
          <w:trHeight w:val="567"/>
        </w:trPr>
        <w:tc>
          <w:tcPr>
            <w:tcW w:w="1814" w:type="dxa"/>
            <w:vAlign w:val="center"/>
          </w:tcPr>
          <w:p w14:paraId="237C9B1B" w14:textId="237EB9CB" w:rsidR="00CE670E" w:rsidRPr="00681AD3" w:rsidRDefault="00CE670E" w:rsidP="00CE670E">
            <w:pPr>
              <w:pStyle w:val="Pa3"/>
              <w:jc w:val="center"/>
              <w:rPr>
                <w:rFonts w:ascii="Garamond" w:hAnsi="Garamond"/>
                <w:szCs w:val="22"/>
              </w:rPr>
            </w:pPr>
            <w:r w:rsidRPr="00681AD3">
              <w:rPr>
                <w:rStyle w:val="A5"/>
                <w:rFonts w:ascii="Garamond" w:hAnsi="Garamond"/>
              </w:rPr>
              <w:t xml:space="preserve">MBB2: 1 GB mobile data </w:t>
            </w:r>
            <w:proofErr w:type="spellStart"/>
            <w:r w:rsidRPr="00681AD3">
              <w:rPr>
                <w:rStyle w:val="A5"/>
                <w:rFonts w:ascii="Garamond" w:hAnsi="Garamond"/>
              </w:rPr>
              <w:t>with</w:t>
            </w:r>
            <w:proofErr w:type="spellEnd"/>
            <w:r w:rsidRPr="00681AD3">
              <w:rPr>
                <w:rStyle w:val="A5"/>
                <w:rFonts w:ascii="Garamond" w:hAnsi="Garamond"/>
              </w:rPr>
              <w:t xml:space="preserve"> no </w:t>
            </w:r>
            <w:proofErr w:type="spellStart"/>
            <w:r w:rsidRPr="00681AD3">
              <w:rPr>
                <w:rStyle w:val="A5"/>
                <w:rFonts w:ascii="Garamond" w:hAnsi="Garamond"/>
              </w:rPr>
              <w:t>calls</w:t>
            </w:r>
            <w:proofErr w:type="spellEnd"/>
          </w:p>
        </w:tc>
        <w:tc>
          <w:tcPr>
            <w:tcW w:w="1474" w:type="dxa"/>
            <w:shd w:val="clear" w:color="auto" w:fill="E2EFD9" w:themeFill="accent6" w:themeFillTint="33"/>
            <w:vAlign w:val="center"/>
          </w:tcPr>
          <w:p w14:paraId="7E572223" w14:textId="4806A657" w:rsidR="00CE670E" w:rsidRPr="00681AD3" w:rsidRDefault="00CE670E" w:rsidP="00835AAC">
            <w:pPr>
              <w:spacing w:after="0"/>
              <w:jc w:val="center"/>
              <w:rPr>
                <w:rFonts w:cs="Arial"/>
                <w:szCs w:val="22"/>
              </w:rPr>
            </w:pPr>
            <w:r w:rsidRPr="003D7BCC">
              <w:t>4,00</w:t>
            </w:r>
          </w:p>
        </w:tc>
        <w:tc>
          <w:tcPr>
            <w:tcW w:w="1417" w:type="dxa"/>
            <w:shd w:val="clear" w:color="auto" w:fill="E2EFD9" w:themeFill="accent6" w:themeFillTint="33"/>
            <w:vAlign w:val="center"/>
          </w:tcPr>
          <w:p w14:paraId="6FC5A16B" w14:textId="76C6E9DC" w:rsidR="00CE670E" w:rsidRPr="00681AD3" w:rsidRDefault="00CE670E" w:rsidP="00835AAC">
            <w:pPr>
              <w:spacing w:after="0"/>
              <w:jc w:val="center"/>
              <w:rPr>
                <w:rFonts w:cs="Arial"/>
                <w:szCs w:val="22"/>
              </w:rPr>
            </w:pPr>
            <w:r w:rsidRPr="003D7BCC">
              <w:t>3,19</w:t>
            </w:r>
          </w:p>
        </w:tc>
        <w:tc>
          <w:tcPr>
            <w:tcW w:w="1757" w:type="dxa"/>
            <w:shd w:val="clear" w:color="auto" w:fill="FBE4D5" w:themeFill="accent2" w:themeFillTint="33"/>
            <w:vAlign w:val="center"/>
          </w:tcPr>
          <w:p w14:paraId="0BCE827B" w14:textId="267BADF7" w:rsidR="00CE670E" w:rsidRPr="00681AD3" w:rsidRDefault="00CE670E" w:rsidP="00835AAC">
            <w:pPr>
              <w:spacing w:after="0"/>
              <w:jc w:val="center"/>
              <w:rPr>
                <w:rFonts w:cs="Arial"/>
                <w:szCs w:val="22"/>
              </w:rPr>
            </w:pPr>
            <w:r>
              <w:rPr>
                <w:rFonts w:cs="Arial"/>
                <w:szCs w:val="22"/>
              </w:rPr>
              <w:t>15,06</w:t>
            </w:r>
          </w:p>
        </w:tc>
        <w:tc>
          <w:tcPr>
            <w:tcW w:w="1871" w:type="dxa"/>
            <w:shd w:val="clear" w:color="auto" w:fill="FBE4D5" w:themeFill="accent2" w:themeFillTint="33"/>
            <w:vAlign w:val="center"/>
          </w:tcPr>
          <w:p w14:paraId="0C705EDC" w14:textId="0953BC6B" w:rsidR="00CE670E" w:rsidRPr="00681AD3" w:rsidRDefault="006A635C" w:rsidP="00835AAC">
            <w:pPr>
              <w:spacing w:after="0"/>
              <w:jc w:val="center"/>
              <w:rPr>
                <w:rFonts w:cs="Arial"/>
                <w:szCs w:val="22"/>
              </w:rPr>
            </w:pPr>
            <w:r>
              <w:rPr>
                <w:rFonts w:cs="Arial"/>
                <w:szCs w:val="22"/>
              </w:rPr>
              <w:t>7,07</w:t>
            </w:r>
          </w:p>
        </w:tc>
      </w:tr>
      <w:tr w:rsidR="00CE670E" w14:paraId="3F4CB500" w14:textId="77777777" w:rsidTr="00371CA8">
        <w:trPr>
          <w:trHeight w:val="567"/>
        </w:trPr>
        <w:tc>
          <w:tcPr>
            <w:tcW w:w="1814" w:type="dxa"/>
            <w:vAlign w:val="center"/>
          </w:tcPr>
          <w:p w14:paraId="1F951222" w14:textId="0BC11E58" w:rsidR="00CE670E" w:rsidRPr="00681AD3" w:rsidRDefault="00CE670E" w:rsidP="00CE670E">
            <w:pPr>
              <w:pStyle w:val="Pa3"/>
              <w:jc w:val="center"/>
              <w:rPr>
                <w:rFonts w:ascii="Garamond" w:hAnsi="Garamond"/>
                <w:szCs w:val="22"/>
              </w:rPr>
            </w:pPr>
            <w:r w:rsidRPr="00681AD3">
              <w:rPr>
                <w:rStyle w:val="A5"/>
                <w:rFonts w:ascii="Garamond" w:hAnsi="Garamond"/>
              </w:rPr>
              <w:t xml:space="preserve">MBB3: 2 GB mobile data </w:t>
            </w:r>
            <w:proofErr w:type="spellStart"/>
            <w:r w:rsidRPr="00681AD3">
              <w:rPr>
                <w:rStyle w:val="A5"/>
                <w:rFonts w:ascii="Garamond" w:hAnsi="Garamond"/>
              </w:rPr>
              <w:t>with</w:t>
            </w:r>
            <w:proofErr w:type="spellEnd"/>
            <w:r w:rsidRPr="00681AD3">
              <w:rPr>
                <w:rStyle w:val="A5"/>
                <w:rFonts w:ascii="Garamond" w:hAnsi="Garamond"/>
              </w:rPr>
              <w:t xml:space="preserve"> no </w:t>
            </w:r>
            <w:proofErr w:type="spellStart"/>
            <w:r w:rsidRPr="00681AD3">
              <w:rPr>
                <w:rStyle w:val="A5"/>
                <w:rFonts w:ascii="Garamond" w:hAnsi="Garamond"/>
              </w:rPr>
              <w:t>calls</w:t>
            </w:r>
            <w:proofErr w:type="spellEnd"/>
          </w:p>
        </w:tc>
        <w:tc>
          <w:tcPr>
            <w:tcW w:w="1474" w:type="dxa"/>
            <w:shd w:val="clear" w:color="auto" w:fill="E2EFD9" w:themeFill="accent6" w:themeFillTint="33"/>
            <w:vAlign w:val="center"/>
          </w:tcPr>
          <w:p w14:paraId="34E557B4" w14:textId="4228368A" w:rsidR="00CE670E" w:rsidRPr="00681AD3" w:rsidRDefault="00CE670E" w:rsidP="00835AAC">
            <w:pPr>
              <w:spacing w:after="0"/>
              <w:jc w:val="center"/>
              <w:rPr>
                <w:rFonts w:cs="Arial"/>
                <w:szCs w:val="22"/>
              </w:rPr>
            </w:pPr>
            <w:r w:rsidRPr="003D7BCC">
              <w:t>5,62</w:t>
            </w:r>
          </w:p>
        </w:tc>
        <w:tc>
          <w:tcPr>
            <w:tcW w:w="1417" w:type="dxa"/>
            <w:shd w:val="clear" w:color="auto" w:fill="E2EFD9" w:themeFill="accent6" w:themeFillTint="33"/>
            <w:vAlign w:val="center"/>
          </w:tcPr>
          <w:p w14:paraId="5D625474" w14:textId="1BC12B4B" w:rsidR="00CE670E" w:rsidRPr="00681AD3" w:rsidRDefault="00CE670E" w:rsidP="00835AAC">
            <w:pPr>
              <w:spacing w:after="0"/>
              <w:jc w:val="center"/>
              <w:rPr>
                <w:rFonts w:cs="Arial"/>
                <w:szCs w:val="22"/>
              </w:rPr>
            </w:pPr>
            <w:r w:rsidRPr="003D7BCC">
              <w:t>6,22</w:t>
            </w:r>
          </w:p>
        </w:tc>
        <w:tc>
          <w:tcPr>
            <w:tcW w:w="1757" w:type="dxa"/>
            <w:shd w:val="clear" w:color="auto" w:fill="FBE4D5" w:themeFill="accent2" w:themeFillTint="33"/>
            <w:vAlign w:val="center"/>
          </w:tcPr>
          <w:p w14:paraId="204ECB99" w14:textId="255E11B3" w:rsidR="00CE670E" w:rsidRPr="00681AD3" w:rsidRDefault="00CE670E" w:rsidP="00835AAC">
            <w:pPr>
              <w:spacing w:after="0"/>
              <w:jc w:val="center"/>
              <w:rPr>
                <w:rFonts w:cs="Arial"/>
                <w:szCs w:val="22"/>
              </w:rPr>
            </w:pPr>
            <w:r>
              <w:rPr>
                <w:rFonts w:cs="Arial"/>
                <w:szCs w:val="22"/>
              </w:rPr>
              <w:t>15,06</w:t>
            </w:r>
          </w:p>
        </w:tc>
        <w:tc>
          <w:tcPr>
            <w:tcW w:w="1871" w:type="dxa"/>
            <w:shd w:val="clear" w:color="auto" w:fill="FBE4D5" w:themeFill="accent2" w:themeFillTint="33"/>
            <w:vAlign w:val="center"/>
          </w:tcPr>
          <w:p w14:paraId="09E55DD0" w14:textId="1C79F6C9" w:rsidR="00CE670E" w:rsidRPr="00681AD3" w:rsidRDefault="006A635C" w:rsidP="00835AAC">
            <w:pPr>
              <w:spacing w:after="0"/>
              <w:jc w:val="center"/>
              <w:rPr>
                <w:rFonts w:cs="Arial"/>
                <w:szCs w:val="22"/>
              </w:rPr>
            </w:pPr>
            <w:r>
              <w:rPr>
                <w:rFonts w:cs="Arial"/>
                <w:szCs w:val="22"/>
              </w:rPr>
              <w:t>9,23</w:t>
            </w:r>
          </w:p>
        </w:tc>
      </w:tr>
      <w:tr w:rsidR="00CE670E" w14:paraId="1BA80C5A" w14:textId="77777777" w:rsidTr="00371CA8">
        <w:trPr>
          <w:trHeight w:val="567"/>
        </w:trPr>
        <w:tc>
          <w:tcPr>
            <w:tcW w:w="1814" w:type="dxa"/>
            <w:vAlign w:val="center"/>
          </w:tcPr>
          <w:p w14:paraId="7CC8A2EE" w14:textId="7828277C" w:rsidR="00CE670E" w:rsidRPr="00681AD3" w:rsidRDefault="00CE670E" w:rsidP="00CE670E">
            <w:pPr>
              <w:pStyle w:val="Pa3"/>
              <w:jc w:val="center"/>
              <w:rPr>
                <w:rFonts w:ascii="Garamond" w:hAnsi="Garamond"/>
                <w:szCs w:val="22"/>
              </w:rPr>
            </w:pPr>
            <w:r w:rsidRPr="00681AD3">
              <w:rPr>
                <w:rStyle w:val="A5"/>
                <w:rFonts w:ascii="Garamond" w:hAnsi="Garamond"/>
              </w:rPr>
              <w:t xml:space="preserve">MBB4: 5 GB mobile data </w:t>
            </w:r>
            <w:proofErr w:type="spellStart"/>
            <w:r w:rsidRPr="00681AD3">
              <w:rPr>
                <w:rStyle w:val="A5"/>
                <w:rFonts w:ascii="Garamond" w:hAnsi="Garamond"/>
              </w:rPr>
              <w:t>with</w:t>
            </w:r>
            <w:proofErr w:type="spellEnd"/>
            <w:r w:rsidRPr="00681AD3">
              <w:rPr>
                <w:rStyle w:val="A5"/>
                <w:rFonts w:ascii="Garamond" w:hAnsi="Garamond"/>
              </w:rPr>
              <w:t xml:space="preserve"> no </w:t>
            </w:r>
            <w:proofErr w:type="spellStart"/>
            <w:r w:rsidRPr="00681AD3">
              <w:rPr>
                <w:rStyle w:val="A5"/>
                <w:rFonts w:ascii="Garamond" w:hAnsi="Garamond"/>
              </w:rPr>
              <w:t>calls</w:t>
            </w:r>
            <w:proofErr w:type="spellEnd"/>
          </w:p>
        </w:tc>
        <w:tc>
          <w:tcPr>
            <w:tcW w:w="1474" w:type="dxa"/>
            <w:shd w:val="clear" w:color="auto" w:fill="E2EFD9" w:themeFill="accent6" w:themeFillTint="33"/>
            <w:vAlign w:val="center"/>
          </w:tcPr>
          <w:p w14:paraId="381F6DD0" w14:textId="00D2909E" w:rsidR="00CE670E" w:rsidRPr="00681AD3" w:rsidRDefault="00CE670E" w:rsidP="00835AAC">
            <w:pPr>
              <w:spacing w:after="0"/>
              <w:jc w:val="center"/>
              <w:rPr>
                <w:rFonts w:cs="Arial"/>
                <w:szCs w:val="22"/>
              </w:rPr>
            </w:pPr>
            <w:r w:rsidRPr="003D7BCC">
              <w:t>8,85</w:t>
            </w:r>
          </w:p>
        </w:tc>
        <w:tc>
          <w:tcPr>
            <w:tcW w:w="1417" w:type="dxa"/>
            <w:shd w:val="clear" w:color="auto" w:fill="E2EFD9" w:themeFill="accent6" w:themeFillTint="33"/>
            <w:vAlign w:val="center"/>
          </w:tcPr>
          <w:p w14:paraId="28C48707" w14:textId="5CA6A9F2" w:rsidR="00CE670E" w:rsidRPr="00681AD3" w:rsidRDefault="00CE670E" w:rsidP="00835AAC">
            <w:pPr>
              <w:spacing w:after="0"/>
              <w:jc w:val="center"/>
              <w:rPr>
                <w:rFonts w:cs="Arial"/>
                <w:szCs w:val="22"/>
              </w:rPr>
            </w:pPr>
            <w:r w:rsidRPr="003D7BCC">
              <w:t>12,09</w:t>
            </w:r>
          </w:p>
        </w:tc>
        <w:tc>
          <w:tcPr>
            <w:tcW w:w="1757" w:type="dxa"/>
            <w:shd w:val="clear" w:color="auto" w:fill="FBE4D5" w:themeFill="accent2" w:themeFillTint="33"/>
            <w:vAlign w:val="center"/>
          </w:tcPr>
          <w:p w14:paraId="167CCF71" w14:textId="2EF0DC13" w:rsidR="00CE670E" w:rsidRPr="00681AD3" w:rsidRDefault="00CE670E" w:rsidP="00835AAC">
            <w:pPr>
              <w:spacing w:after="0"/>
              <w:jc w:val="center"/>
              <w:rPr>
                <w:rFonts w:cs="Arial"/>
                <w:szCs w:val="22"/>
              </w:rPr>
            </w:pPr>
            <w:r>
              <w:rPr>
                <w:rFonts w:cs="Arial"/>
                <w:szCs w:val="22"/>
              </w:rPr>
              <w:t>19,17</w:t>
            </w:r>
          </w:p>
        </w:tc>
        <w:tc>
          <w:tcPr>
            <w:tcW w:w="1871" w:type="dxa"/>
            <w:shd w:val="clear" w:color="auto" w:fill="FBE4D5" w:themeFill="accent2" w:themeFillTint="33"/>
            <w:vAlign w:val="center"/>
          </w:tcPr>
          <w:p w14:paraId="4D2EE8DC" w14:textId="26BD2F1A" w:rsidR="00CE670E" w:rsidRPr="00681AD3" w:rsidRDefault="006A635C" w:rsidP="00835AAC">
            <w:pPr>
              <w:spacing w:after="0"/>
              <w:jc w:val="center"/>
              <w:rPr>
                <w:rFonts w:cs="Arial"/>
                <w:szCs w:val="22"/>
              </w:rPr>
            </w:pPr>
            <w:r>
              <w:rPr>
                <w:rFonts w:cs="Arial"/>
                <w:szCs w:val="22"/>
              </w:rPr>
              <w:t>11,99</w:t>
            </w:r>
          </w:p>
        </w:tc>
      </w:tr>
      <w:tr w:rsidR="00CE670E" w14:paraId="2AF8A0A4" w14:textId="77777777" w:rsidTr="00371CA8">
        <w:trPr>
          <w:trHeight w:val="567"/>
        </w:trPr>
        <w:tc>
          <w:tcPr>
            <w:tcW w:w="1814" w:type="dxa"/>
            <w:vAlign w:val="center"/>
          </w:tcPr>
          <w:p w14:paraId="18EE96AA" w14:textId="7E57630C" w:rsidR="00CE670E" w:rsidRPr="00681AD3" w:rsidRDefault="00CE670E" w:rsidP="00CE670E">
            <w:pPr>
              <w:pStyle w:val="Pa3"/>
              <w:jc w:val="center"/>
              <w:rPr>
                <w:rFonts w:ascii="Garamond" w:hAnsi="Garamond"/>
                <w:szCs w:val="22"/>
              </w:rPr>
            </w:pPr>
            <w:r w:rsidRPr="00681AD3">
              <w:rPr>
                <w:rStyle w:val="A5"/>
                <w:rFonts w:ascii="Garamond" w:hAnsi="Garamond"/>
              </w:rPr>
              <w:t xml:space="preserve">MBB5: 20 GB mobile data </w:t>
            </w:r>
            <w:proofErr w:type="spellStart"/>
            <w:r w:rsidRPr="00681AD3">
              <w:rPr>
                <w:rStyle w:val="A5"/>
                <w:rFonts w:ascii="Garamond" w:hAnsi="Garamond"/>
              </w:rPr>
              <w:t>with</w:t>
            </w:r>
            <w:proofErr w:type="spellEnd"/>
            <w:r w:rsidRPr="00681AD3">
              <w:rPr>
                <w:rStyle w:val="A5"/>
                <w:rFonts w:ascii="Garamond" w:hAnsi="Garamond"/>
              </w:rPr>
              <w:t xml:space="preserve"> no </w:t>
            </w:r>
            <w:proofErr w:type="spellStart"/>
            <w:r w:rsidRPr="00681AD3">
              <w:rPr>
                <w:rStyle w:val="A5"/>
                <w:rFonts w:ascii="Garamond" w:hAnsi="Garamond"/>
              </w:rPr>
              <w:t>calls</w:t>
            </w:r>
            <w:proofErr w:type="spellEnd"/>
          </w:p>
        </w:tc>
        <w:tc>
          <w:tcPr>
            <w:tcW w:w="1474" w:type="dxa"/>
            <w:shd w:val="clear" w:color="auto" w:fill="E2EFD9" w:themeFill="accent6" w:themeFillTint="33"/>
            <w:vAlign w:val="center"/>
          </w:tcPr>
          <w:p w14:paraId="1416B38E" w14:textId="2902BFDD" w:rsidR="00CE670E" w:rsidRPr="00681AD3" w:rsidRDefault="00CE670E" w:rsidP="00835AAC">
            <w:pPr>
              <w:spacing w:after="0"/>
              <w:jc w:val="center"/>
              <w:rPr>
                <w:rFonts w:cs="Arial"/>
                <w:szCs w:val="22"/>
              </w:rPr>
            </w:pPr>
            <w:r w:rsidRPr="003D7BCC">
              <w:t>18,15</w:t>
            </w:r>
          </w:p>
        </w:tc>
        <w:tc>
          <w:tcPr>
            <w:tcW w:w="1417" w:type="dxa"/>
            <w:shd w:val="clear" w:color="auto" w:fill="F2F2F2" w:themeFill="background1" w:themeFillShade="F2"/>
            <w:vAlign w:val="center"/>
          </w:tcPr>
          <w:p w14:paraId="45F3001D" w14:textId="6987392E" w:rsidR="00CE670E" w:rsidRPr="00681AD3" w:rsidRDefault="00CE670E" w:rsidP="00835AAC">
            <w:pPr>
              <w:spacing w:after="0"/>
              <w:jc w:val="center"/>
              <w:rPr>
                <w:rFonts w:cs="Arial"/>
                <w:szCs w:val="22"/>
              </w:rPr>
            </w:pPr>
            <w:r w:rsidRPr="003D7BCC">
              <w:t>22,19</w:t>
            </w:r>
          </w:p>
        </w:tc>
        <w:tc>
          <w:tcPr>
            <w:tcW w:w="1757" w:type="dxa"/>
            <w:shd w:val="clear" w:color="auto" w:fill="FBE4D5" w:themeFill="accent2" w:themeFillTint="33"/>
            <w:vAlign w:val="center"/>
          </w:tcPr>
          <w:p w14:paraId="165834DA" w14:textId="30F099E3" w:rsidR="00CE670E" w:rsidRPr="00681AD3" w:rsidRDefault="00CE670E" w:rsidP="00835AAC">
            <w:pPr>
              <w:spacing w:after="0"/>
              <w:jc w:val="center"/>
              <w:rPr>
                <w:rFonts w:cs="Arial"/>
                <w:szCs w:val="22"/>
              </w:rPr>
            </w:pPr>
            <w:r>
              <w:rPr>
                <w:rFonts w:cs="Arial"/>
                <w:szCs w:val="22"/>
              </w:rPr>
              <w:t>27,88</w:t>
            </w:r>
          </w:p>
        </w:tc>
        <w:tc>
          <w:tcPr>
            <w:tcW w:w="1871" w:type="dxa"/>
            <w:shd w:val="clear" w:color="auto" w:fill="FBE4D5" w:themeFill="accent2" w:themeFillTint="33"/>
            <w:vAlign w:val="center"/>
          </w:tcPr>
          <w:p w14:paraId="50F03A47" w14:textId="150D8494" w:rsidR="00CE670E" w:rsidRPr="00681AD3" w:rsidRDefault="006A635C" w:rsidP="00835AAC">
            <w:pPr>
              <w:spacing w:after="0"/>
              <w:jc w:val="center"/>
              <w:rPr>
                <w:rFonts w:cs="Arial"/>
                <w:szCs w:val="22"/>
              </w:rPr>
            </w:pPr>
            <w:r>
              <w:rPr>
                <w:rFonts w:cs="Arial"/>
                <w:szCs w:val="22"/>
              </w:rPr>
              <w:t>19,11</w:t>
            </w:r>
          </w:p>
        </w:tc>
      </w:tr>
      <w:tr w:rsidR="00CE670E" w14:paraId="2D5D1221" w14:textId="77777777" w:rsidTr="00371CA8">
        <w:trPr>
          <w:trHeight w:val="567"/>
        </w:trPr>
        <w:tc>
          <w:tcPr>
            <w:tcW w:w="1814" w:type="dxa"/>
            <w:vAlign w:val="center"/>
          </w:tcPr>
          <w:p w14:paraId="1F378E2B" w14:textId="1476AD41" w:rsidR="00CE670E" w:rsidRPr="00681AD3" w:rsidRDefault="00CE670E" w:rsidP="00CE670E">
            <w:pPr>
              <w:pStyle w:val="Pa3"/>
              <w:jc w:val="center"/>
              <w:rPr>
                <w:rFonts w:ascii="Garamond" w:hAnsi="Garamond"/>
                <w:szCs w:val="22"/>
              </w:rPr>
            </w:pPr>
            <w:r w:rsidRPr="00681AD3">
              <w:rPr>
                <w:rStyle w:val="A5"/>
                <w:rFonts w:ascii="Garamond" w:hAnsi="Garamond"/>
              </w:rPr>
              <w:t xml:space="preserve">I1: 0.5 GB mobile data </w:t>
            </w:r>
            <w:proofErr w:type="spellStart"/>
            <w:r w:rsidRPr="00681AD3">
              <w:rPr>
                <w:rStyle w:val="A5"/>
                <w:rFonts w:ascii="Garamond" w:hAnsi="Garamond"/>
              </w:rPr>
              <w:t>with</w:t>
            </w:r>
            <w:proofErr w:type="spellEnd"/>
            <w:r w:rsidRPr="00681AD3">
              <w:rPr>
                <w:rStyle w:val="A5"/>
                <w:rFonts w:ascii="Garamond" w:hAnsi="Garamond"/>
              </w:rPr>
              <w:t xml:space="preserve"> 30 </w:t>
            </w:r>
            <w:proofErr w:type="spellStart"/>
            <w:r w:rsidRPr="00681AD3">
              <w:rPr>
                <w:rStyle w:val="A5"/>
                <w:rFonts w:ascii="Garamond" w:hAnsi="Garamond"/>
              </w:rPr>
              <w:t>calls</w:t>
            </w:r>
            <w:proofErr w:type="spellEnd"/>
          </w:p>
        </w:tc>
        <w:tc>
          <w:tcPr>
            <w:tcW w:w="1474" w:type="dxa"/>
            <w:shd w:val="clear" w:color="auto" w:fill="E2EFD9" w:themeFill="accent6" w:themeFillTint="33"/>
            <w:vAlign w:val="center"/>
          </w:tcPr>
          <w:p w14:paraId="3155D240" w14:textId="1B6194B8" w:rsidR="00CE670E" w:rsidRPr="00681AD3" w:rsidRDefault="00CE670E" w:rsidP="00835AAC">
            <w:pPr>
              <w:spacing w:after="0"/>
              <w:jc w:val="center"/>
              <w:rPr>
                <w:rFonts w:cs="Arial"/>
                <w:szCs w:val="22"/>
              </w:rPr>
            </w:pPr>
            <w:r w:rsidRPr="003D7BCC">
              <w:t>5,21</w:t>
            </w:r>
          </w:p>
        </w:tc>
        <w:tc>
          <w:tcPr>
            <w:tcW w:w="1417" w:type="dxa"/>
            <w:shd w:val="clear" w:color="auto" w:fill="E2EFD9" w:themeFill="accent6" w:themeFillTint="33"/>
            <w:vAlign w:val="center"/>
          </w:tcPr>
          <w:p w14:paraId="446FB7CB" w14:textId="03A99263" w:rsidR="00CE670E" w:rsidRPr="00681AD3" w:rsidRDefault="00CE670E" w:rsidP="00835AAC">
            <w:pPr>
              <w:spacing w:after="0"/>
              <w:jc w:val="center"/>
              <w:rPr>
                <w:rFonts w:cs="Arial"/>
                <w:szCs w:val="22"/>
              </w:rPr>
            </w:pPr>
            <w:r w:rsidRPr="003D7BCC">
              <w:t>8,04</w:t>
            </w:r>
          </w:p>
        </w:tc>
        <w:tc>
          <w:tcPr>
            <w:tcW w:w="1757" w:type="dxa"/>
            <w:shd w:val="clear" w:color="auto" w:fill="FBE4D5" w:themeFill="accent2" w:themeFillTint="33"/>
            <w:vAlign w:val="center"/>
          </w:tcPr>
          <w:p w14:paraId="0CEAB8B9" w14:textId="0E87D79E" w:rsidR="00CE670E" w:rsidRPr="00681AD3" w:rsidRDefault="00CE670E" w:rsidP="00835AAC">
            <w:pPr>
              <w:spacing w:after="0"/>
              <w:jc w:val="center"/>
              <w:rPr>
                <w:rFonts w:cs="Arial"/>
                <w:szCs w:val="22"/>
              </w:rPr>
            </w:pPr>
            <w:r>
              <w:rPr>
                <w:rFonts w:cs="Arial"/>
                <w:szCs w:val="22"/>
              </w:rPr>
              <w:t>16,72</w:t>
            </w:r>
          </w:p>
        </w:tc>
        <w:tc>
          <w:tcPr>
            <w:tcW w:w="1871" w:type="dxa"/>
            <w:shd w:val="clear" w:color="auto" w:fill="FBE4D5" w:themeFill="accent2" w:themeFillTint="33"/>
            <w:vAlign w:val="center"/>
          </w:tcPr>
          <w:p w14:paraId="23BD39BF" w14:textId="5DBC441F" w:rsidR="00CE670E" w:rsidRPr="00681AD3" w:rsidRDefault="006A635C" w:rsidP="00835AAC">
            <w:pPr>
              <w:spacing w:after="0"/>
              <w:jc w:val="center"/>
              <w:rPr>
                <w:rFonts w:cs="Arial"/>
                <w:szCs w:val="22"/>
              </w:rPr>
            </w:pPr>
            <w:r>
              <w:rPr>
                <w:rFonts w:cs="Arial"/>
                <w:szCs w:val="22"/>
              </w:rPr>
              <w:t>9,18</w:t>
            </w:r>
          </w:p>
        </w:tc>
      </w:tr>
      <w:tr w:rsidR="00CE670E" w14:paraId="403848FE" w14:textId="77777777" w:rsidTr="00371CA8">
        <w:trPr>
          <w:trHeight w:val="567"/>
        </w:trPr>
        <w:tc>
          <w:tcPr>
            <w:tcW w:w="1814" w:type="dxa"/>
            <w:vAlign w:val="center"/>
          </w:tcPr>
          <w:p w14:paraId="668D493D" w14:textId="332021BC" w:rsidR="00CE670E" w:rsidRPr="00681AD3" w:rsidRDefault="00CE670E" w:rsidP="00CE670E">
            <w:pPr>
              <w:pStyle w:val="Pa3"/>
              <w:jc w:val="center"/>
              <w:rPr>
                <w:rFonts w:ascii="Garamond" w:hAnsi="Garamond"/>
                <w:szCs w:val="22"/>
              </w:rPr>
            </w:pPr>
            <w:r w:rsidRPr="00681AD3">
              <w:rPr>
                <w:rStyle w:val="A5"/>
                <w:rFonts w:ascii="Garamond" w:hAnsi="Garamond"/>
              </w:rPr>
              <w:t xml:space="preserve">I2: 1 GB mobile data </w:t>
            </w:r>
            <w:proofErr w:type="spellStart"/>
            <w:r w:rsidRPr="00681AD3">
              <w:rPr>
                <w:rStyle w:val="A5"/>
                <w:rFonts w:ascii="Garamond" w:hAnsi="Garamond"/>
              </w:rPr>
              <w:t>with</w:t>
            </w:r>
            <w:proofErr w:type="spellEnd"/>
            <w:r w:rsidRPr="00681AD3">
              <w:rPr>
                <w:rStyle w:val="A5"/>
                <w:rFonts w:ascii="Garamond" w:hAnsi="Garamond"/>
              </w:rPr>
              <w:t xml:space="preserve"> 30 </w:t>
            </w:r>
            <w:proofErr w:type="spellStart"/>
            <w:r w:rsidRPr="00681AD3">
              <w:rPr>
                <w:rStyle w:val="A5"/>
                <w:rFonts w:ascii="Garamond" w:hAnsi="Garamond"/>
              </w:rPr>
              <w:t>calls</w:t>
            </w:r>
            <w:proofErr w:type="spellEnd"/>
          </w:p>
        </w:tc>
        <w:tc>
          <w:tcPr>
            <w:tcW w:w="1474" w:type="dxa"/>
            <w:shd w:val="clear" w:color="auto" w:fill="E2EFD9" w:themeFill="accent6" w:themeFillTint="33"/>
            <w:vAlign w:val="center"/>
          </w:tcPr>
          <w:p w14:paraId="553F8D6A" w14:textId="09930587" w:rsidR="00CE670E" w:rsidRPr="00681AD3" w:rsidRDefault="00CE670E" w:rsidP="00835AAC">
            <w:pPr>
              <w:spacing w:after="0"/>
              <w:jc w:val="center"/>
              <w:rPr>
                <w:rFonts w:cs="Arial"/>
                <w:szCs w:val="22"/>
              </w:rPr>
            </w:pPr>
            <w:r w:rsidRPr="003D7BCC">
              <w:t>6,46</w:t>
            </w:r>
          </w:p>
        </w:tc>
        <w:tc>
          <w:tcPr>
            <w:tcW w:w="1417" w:type="dxa"/>
            <w:shd w:val="clear" w:color="auto" w:fill="E2EFD9" w:themeFill="accent6" w:themeFillTint="33"/>
            <w:vAlign w:val="center"/>
          </w:tcPr>
          <w:p w14:paraId="0220F6B3" w14:textId="6847C5BC" w:rsidR="00CE670E" w:rsidRPr="00681AD3" w:rsidRDefault="00CE670E" w:rsidP="00835AAC">
            <w:pPr>
              <w:spacing w:after="0"/>
              <w:jc w:val="center"/>
              <w:rPr>
                <w:rFonts w:cs="Arial"/>
                <w:szCs w:val="22"/>
              </w:rPr>
            </w:pPr>
            <w:r w:rsidRPr="003D7BCC">
              <w:t>8,04</w:t>
            </w:r>
          </w:p>
        </w:tc>
        <w:tc>
          <w:tcPr>
            <w:tcW w:w="1757" w:type="dxa"/>
            <w:shd w:val="clear" w:color="auto" w:fill="FBE4D5" w:themeFill="accent2" w:themeFillTint="33"/>
            <w:vAlign w:val="center"/>
          </w:tcPr>
          <w:p w14:paraId="45A4E6AD" w14:textId="638A16AE" w:rsidR="00CE670E" w:rsidRPr="00681AD3" w:rsidRDefault="00CE670E" w:rsidP="00835AAC">
            <w:pPr>
              <w:spacing w:after="0"/>
              <w:jc w:val="center"/>
              <w:rPr>
                <w:rFonts w:cs="Arial"/>
                <w:szCs w:val="22"/>
              </w:rPr>
            </w:pPr>
            <w:r>
              <w:rPr>
                <w:rFonts w:cs="Arial"/>
                <w:szCs w:val="22"/>
              </w:rPr>
              <w:t>16,72</w:t>
            </w:r>
          </w:p>
        </w:tc>
        <w:tc>
          <w:tcPr>
            <w:tcW w:w="1871" w:type="dxa"/>
            <w:shd w:val="clear" w:color="auto" w:fill="FBE4D5" w:themeFill="accent2" w:themeFillTint="33"/>
            <w:vAlign w:val="center"/>
          </w:tcPr>
          <w:p w14:paraId="623256C9" w14:textId="0A7ABB77" w:rsidR="00CE670E" w:rsidRPr="00681AD3" w:rsidRDefault="006A635C" w:rsidP="00835AAC">
            <w:pPr>
              <w:spacing w:after="0"/>
              <w:jc w:val="center"/>
              <w:rPr>
                <w:rFonts w:cs="Arial"/>
                <w:szCs w:val="22"/>
              </w:rPr>
            </w:pPr>
            <w:r>
              <w:rPr>
                <w:rFonts w:cs="Arial"/>
                <w:szCs w:val="22"/>
              </w:rPr>
              <w:t>10,03</w:t>
            </w:r>
          </w:p>
        </w:tc>
      </w:tr>
      <w:tr w:rsidR="00CE670E" w14:paraId="255EBF83" w14:textId="77777777" w:rsidTr="00371CA8">
        <w:trPr>
          <w:trHeight w:val="567"/>
        </w:trPr>
        <w:tc>
          <w:tcPr>
            <w:tcW w:w="1814" w:type="dxa"/>
            <w:vAlign w:val="center"/>
          </w:tcPr>
          <w:p w14:paraId="5699EB0F" w14:textId="196D82C1" w:rsidR="00CE670E" w:rsidRPr="00681AD3" w:rsidRDefault="00CE670E" w:rsidP="00CE670E">
            <w:pPr>
              <w:pStyle w:val="Pa3"/>
              <w:jc w:val="center"/>
              <w:rPr>
                <w:rStyle w:val="A5"/>
                <w:rFonts w:ascii="Garamond" w:hAnsi="Garamond"/>
              </w:rPr>
            </w:pPr>
            <w:r w:rsidRPr="00681AD3">
              <w:rPr>
                <w:rStyle w:val="A5"/>
                <w:rFonts w:ascii="Garamond" w:hAnsi="Garamond"/>
              </w:rPr>
              <w:t xml:space="preserve">I3: 2 GB mobile data </w:t>
            </w:r>
            <w:proofErr w:type="spellStart"/>
            <w:r w:rsidRPr="00681AD3">
              <w:rPr>
                <w:rStyle w:val="A5"/>
                <w:rFonts w:ascii="Garamond" w:hAnsi="Garamond"/>
              </w:rPr>
              <w:t>with</w:t>
            </w:r>
            <w:proofErr w:type="spellEnd"/>
            <w:r w:rsidRPr="00681AD3">
              <w:rPr>
                <w:rStyle w:val="A5"/>
                <w:rFonts w:ascii="Garamond" w:hAnsi="Garamond"/>
              </w:rPr>
              <w:t xml:space="preserve"> 100 </w:t>
            </w:r>
            <w:proofErr w:type="spellStart"/>
            <w:r w:rsidRPr="00681AD3">
              <w:rPr>
                <w:rStyle w:val="A5"/>
                <w:rFonts w:ascii="Garamond" w:hAnsi="Garamond"/>
              </w:rPr>
              <w:t>calls</w:t>
            </w:r>
            <w:proofErr w:type="spellEnd"/>
          </w:p>
        </w:tc>
        <w:tc>
          <w:tcPr>
            <w:tcW w:w="1474" w:type="dxa"/>
            <w:shd w:val="clear" w:color="auto" w:fill="E2EFD9" w:themeFill="accent6" w:themeFillTint="33"/>
            <w:vAlign w:val="center"/>
          </w:tcPr>
          <w:p w14:paraId="69DB82ED" w14:textId="6C9E7239" w:rsidR="00CE670E" w:rsidRPr="00681AD3" w:rsidRDefault="00CE670E" w:rsidP="00835AAC">
            <w:pPr>
              <w:spacing w:after="0"/>
              <w:jc w:val="center"/>
              <w:rPr>
                <w:rFonts w:cs="Arial"/>
                <w:szCs w:val="22"/>
              </w:rPr>
            </w:pPr>
            <w:r w:rsidRPr="003D7BCC">
              <w:t>10,06</w:t>
            </w:r>
          </w:p>
        </w:tc>
        <w:tc>
          <w:tcPr>
            <w:tcW w:w="1417" w:type="dxa"/>
            <w:shd w:val="clear" w:color="auto" w:fill="F2F2F2" w:themeFill="background1" w:themeFillShade="F2"/>
            <w:vAlign w:val="center"/>
          </w:tcPr>
          <w:p w14:paraId="253AAE31" w14:textId="2479B842" w:rsidR="00CE670E" w:rsidRPr="00681AD3" w:rsidRDefault="00CE670E" w:rsidP="00835AAC">
            <w:pPr>
              <w:spacing w:after="0"/>
              <w:jc w:val="center"/>
              <w:rPr>
                <w:rFonts w:cs="Arial"/>
                <w:szCs w:val="22"/>
              </w:rPr>
            </w:pPr>
            <w:r w:rsidRPr="003D7BCC">
              <w:t>17,18</w:t>
            </w:r>
          </w:p>
        </w:tc>
        <w:tc>
          <w:tcPr>
            <w:tcW w:w="1757" w:type="dxa"/>
            <w:shd w:val="clear" w:color="auto" w:fill="FBE4D5" w:themeFill="accent2" w:themeFillTint="33"/>
            <w:vAlign w:val="center"/>
          </w:tcPr>
          <w:p w14:paraId="57395D73" w14:textId="346636A1" w:rsidR="00CE670E" w:rsidRPr="00681AD3" w:rsidRDefault="00CE670E" w:rsidP="00835AAC">
            <w:pPr>
              <w:spacing w:after="0"/>
              <w:jc w:val="center"/>
              <w:rPr>
                <w:rFonts w:cs="Arial"/>
                <w:szCs w:val="22"/>
              </w:rPr>
            </w:pPr>
            <w:r>
              <w:rPr>
                <w:rFonts w:cs="Arial"/>
                <w:szCs w:val="22"/>
              </w:rPr>
              <w:t>24,94</w:t>
            </w:r>
          </w:p>
        </w:tc>
        <w:tc>
          <w:tcPr>
            <w:tcW w:w="1871" w:type="dxa"/>
            <w:shd w:val="clear" w:color="auto" w:fill="FBE4D5" w:themeFill="accent2" w:themeFillTint="33"/>
            <w:vAlign w:val="center"/>
          </w:tcPr>
          <w:p w14:paraId="4EC2E1D6" w14:textId="43CD4E53" w:rsidR="00CE670E" w:rsidRPr="00681AD3" w:rsidRDefault="006A0D94" w:rsidP="00835AAC">
            <w:pPr>
              <w:spacing w:after="0"/>
              <w:jc w:val="center"/>
              <w:rPr>
                <w:rFonts w:cs="Arial"/>
                <w:szCs w:val="22"/>
              </w:rPr>
            </w:pPr>
            <w:r>
              <w:rPr>
                <w:rFonts w:cs="Arial"/>
                <w:szCs w:val="22"/>
              </w:rPr>
              <w:t>13,40</w:t>
            </w:r>
          </w:p>
        </w:tc>
      </w:tr>
      <w:tr w:rsidR="00CE670E" w14:paraId="5393679F" w14:textId="77777777" w:rsidTr="00371CA8">
        <w:trPr>
          <w:trHeight w:val="567"/>
        </w:trPr>
        <w:tc>
          <w:tcPr>
            <w:tcW w:w="1814" w:type="dxa"/>
            <w:vAlign w:val="center"/>
          </w:tcPr>
          <w:p w14:paraId="47124F07" w14:textId="66FFF651" w:rsidR="00CE670E" w:rsidRPr="00681AD3" w:rsidRDefault="00CE670E" w:rsidP="00CE670E">
            <w:pPr>
              <w:pStyle w:val="Pa3"/>
              <w:jc w:val="center"/>
              <w:rPr>
                <w:rStyle w:val="A5"/>
                <w:rFonts w:ascii="Garamond" w:hAnsi="Garamond"/>
              </w:rPr>
            </w:pPr>
            <w:r w:rsidRPr="00681AD3">
              <w:rPr>
                <w:rStyle w:val="A5"/>
                <w:rFonts w:ascii="Garamond" w:hAnsi="Garamond"/>
              </w:rPr>
              <w:t xml:space="preserve">I4: 5 GB mobile data </w:t>
            </w:r>
            <w:proofErr w:type="spellStart"/>
            <w:r w:rsidRPr="00681AD3">
              <w:rPr>
                <w:rStyle w:val="A5"/>
                <w:rFonts w:ascii="Garamond" w:hAnsi="Garamond"/>
              </w:rPr>
              <w:t>with</w:t>
            </w:r>
            <w:proofErr w:type="spellEnd"/>
            <w:r w:rsidRPr="00681AD3">
              <w:rPr>
                <w:rStyle w:val="A5"/>
                <w:rFonts w:ascii="Garamond" w:hAnsi="Garamond"/>
              </w:rPr>
              <w:t xml:space="preserve"> 300 </w:t>
            </w:r>
            <w:proofErr w:type="spellStart"/>
            <w:r w:rsidRPr="00681AD3">
              <w:rPr>
                <w:rStyle w:val="A5"/>
                <w:rFonts w:ascii="Garamond" w:hAnsi="Garamond"/>
              </w:rPr>
              <w:t>calls</w:t>
            </w:r>
            <w:proofErr w:type="spellEnd"/>
          </w:p>
        </w:tc>
        <w:tc>
          <w:tcPr>
            <w:tcW w:w="1474" w:type="dxa"/>
            <w:shd w:val="clear" w:color="auto" w:fill="E2EFD9" w:themeFill="accent6" w:themeFillTint="33"/>
            <w:vAlign w:val="center"/>
          </w:tcPr>
          <w:p w14:paraId="246E9C02" w14:textId="1590E208" w:rsidR="00CE670E" w:rsidRPr="00681AD3" w:rsidRDefault="00CE670E" w:rsidP="00835AAC">
            <w:pPr>
              <w:spacing w:after="0"/>
              <w:jc w:val="center"/>
              <w:rPr>
                <w:rFonts w:cs="Arial"/>
                <w:szCs w:val="22"/>
              </w:rPr>
            </w:pPr>
            <w:r w:rsidRPr="003D7BCC">
              <w:t>14,51</w:t>
            </w:r>
          </w:p>
        </w:tc>
        <w:tc>
          <w:tcPr>
            <w:tcW w:w="1417" w:type="dxa"/>
            <w:shd w:val="clear" w:color="auto" w:fill="F2F2F2" w:themeFill="background1" w:themeFillShade="F2"/>
            <w:vAlign w:val="center"/>
          </w:tcPr>
          <w:p w14:paraId="4263B1BF" w14:textId="3370600F" w:rsidR="00CE670E" w:rsidRPr="00681AD3" w:rsidRDefault="00CE670E" w:rsidP="00835AAC">
            <w:pPr>
              <w:spacing w:after="0"/>
              <w:jc w:val="center"/>
              <w:rPr>
                <w:rFonts w:cs="Arial"/>
                <w:szCs w:val="22"/>
              </w:rPr>
            </w:pPr>
            <w:r w:rsidRPr="003D7BCC">
              <w:t>24,2</w:t>
            </w:r>
            <w:r w:rsidR="00EF4354">
              <w:t>2</w:t>
            </w:r>
          </w:p>
        </w:tc>
        <w:tc>
          <w:tcPr>
            <w:tcW w:w="1757" w:type="dxa"/>
            <w:shd w:val="clear" w:color="auto" w:fill="FBE4D5" w:themeFill="accent2" w:themeFillTint="33"/>
            <w:vAlign w:val="center"/>
          </w:tcPr>
          <w:p w14:paraId="05A6CEFF" w14:textId="6885867D" w:rsidR="00CE670E" w:rsidRPr="00681AD3" w:rsidRDefault="00CE670E" w:rsidP="00835AAC">
            <w:pPr>
              <w:spacing w:after="0"/>
              <w:jc w:val="center"/>
              <w:rPr>
                <w:rFonts w:cs="Arial"/>
                <w:szCs w:val="22"/>
              </w:rPr>
            </w:pPr>
            <w:r>
              <w:rPr>
                <w:rFonts w:cs="Arial"/>
                <w:szCs w:val="22"/>
              </w:rPr>
              <w:t>35,50</w:t>
            </w:r>
          </w:p>
        </w:tc>
        <w:tc>
          <w:tcPr>
            <w:tcW w:w="1871" w:type="dxa"/>
            <w:shd w:val="clear" w:color="auto" w:fill="FBE4D5" w:themeFill="accent2" w:themeFillTint="33"/>
            <w:vAlign w:val="center"/>
          </w:tcPr>
          <w:p w14:paraId="6B5FC19C" w14:textId="39AC845E" w:rsidR="00CE670E" w:rsidRPr="00681AD3" w:rsidRDefault="006A0D94" w:rsidP="00835AAC">
            <w:pPr>
              <w:spacing w:after="0"/>
              <w:jc w:val="center"/>
              <w:rPr>
                <w:rFonts w:cs="Arial"/>
                <w:szCs w:val="22"/>
              </w:rPr>
            </w:pPr>
            <w:r>
              <w:rPr>
                <w:rFonts w:cs="Arial"/>
                <w:szCs w:val="22"/>
              </w:rPr>
              <w:t>18,47</w:t>
            </w:r>
          </w:p>
        </w:tc>
      </w:tr>
      <w:tr w:rsidR="00CE670E" w14:paraId="4549662A" w14:textId="77777777" w:rsidTr="00371CA8">
        <w:trPr>
          <w:trHeight w:val="567"/>
        </w:trPr>
        <w:tc>
          <w:tcPr>
            <w:tcW w:w="1814" w:type="dxa"/>
            <w:vAlign w:val="center"/>
          </w:tcPr>
          <w:p w14:paraId="1ACEDD84" w14:textId="3CDBFE81" w:rsidR="00CE670E" w:rsidRPr="00681AD3" w:rsidRDefault="00CE670E" w:rsidP="00CE670E">
            <w:pPr>
              <w:pStyle w:val="Pa3"/>
              <w:jc w:val="center"/>
              <w:rPr>
                <w:rStyle w:val="A5"/>
                <w:rFonts w:ascii="Garamond" w:hAnsi="Garamond"/>
              </w:rPr>
            </w:pPr>
            <w:r w:rsidRPr="00681AD3">
              <w:rPr>
                <w:rStyle w:val="A5"/>
                <w:rFonts w:ascii="Garamond" w:hAnsi="Garamond"/>
              </w:rPr>
              <w:t xml:space="preserve">I5: 20 GB mobile data </w:t>
            </w:r>
            <w:proofErr w:type="spellStart"/>
            <w:r w:rsidRPr="00681AD3">
              <w:rPr>
                <w:rStyle w:val="A5"/>
                <w:rFonts w:ascii="Garamond" w:hAnsi="Garamond"/>
              </w:rPr>
              <w:t>with</w:t>
            </w:r>
            <w:proofErr w:type="spellEnd"/>
            <w:r w:rsidRPr="00681AD3">
              <w:rPr>
                <w:rStyle w:val="A5"/>
                <w:rFonts w:ascii="Garamond" w:hAnsi="Garamond"/>
              </w:rPr>
              <w:t xml:space="preserve"> 300 </w:t>
            </w:r>
            <w:proofErr w:type="spellStart"/>
            <w:r w:rsidRPr="00681AD3">
              <w:rPr>
                <w:rStyle w:val="A5"/>
                <w:rFonts w:ascii="Garamond" w:hAnsi="Garamond"/>
              </w:rPr>
              <w:t>calls</w:t>
            </w:r>
            <w:proofErr w:type="spellEnd"/>
          </w:p>
        </w:tc>
        <w:tc>
          <w:tcPr>
            <w:tcW w:w="1474" w:type="dxa"/>
            <w:shd w:val="clear" w:color="auto" w:fill="E2EFD9" w:themeFill="accent6" w:themeFillTint="33"/>
            <w:vAlign w:val="center"/>
          </w:tcPr>
          <w:p w14:paraId="0D14E002" w14:textId="723C00FB" w:rsidR="00CE670E" w:rsidRPr="00681AD3" w:rsidRDefault="00CE670E" w:rsidP="00835AAC">
            <w:pPr>
              <w:spacing w:after="0"/>
              <w:jc w:val="center"/>
              <w:rPr>
                <w:rFonts w:cs="Arial"/>
                <w:szCs w:val="22"/>
              </w:rPr>
            </w:pPr>
            <w:r w:rsidRPr="003D7BCC">
              <w:t>25,43</w:t>
            </w:r>
          </w:p>
        </w:tc>
        <w:tc>
          <w:tcPr>
            <w:tcW w:w="1417" w:type="dxa"/>
            <w:shd w:val="clear" w:color="auto" w:fill="E2EFD9" w:themeFill="accent6" w:themeFillTint="33"/>
            <w:vAlign w:val="center"/>
          </w:tcPr>
          <w:p w14:paraId="74E2520A" w14:textId="3FB6E3FC" w:rsidR="00CE670E" w:rsidRPr="00681AD3" w:rsidRDefault="00EF4354" w:rsidP="00835AAC">
            <w:pPr>
              <w:spacing w:after="0"/>
              <w:jc w:val="center"/>
              <w:rPr>
                <w:rFonts w:cs="Arial"/>
                <w:szCs w:val="22"/>
              </w:rPr>
            </w:pPr>
            <w:r>
              <w:t>24,22</w:t>
            </w:r>
          </w:p>
        </w:tc>
        <w:tc>
          <w:tcPr>
            <w:tcW w:w="1757" w:type="dxa"/>
            <w:shd w:val="clear" w:color="auto" w:fill="FBE4D5" w:themeFill="accent2" w:themeFillTint="33"/>
            <w:vAlign w:val="center"/>
          </w:tcPr>
          <w:p w14:paraId="29723502" w14:textId="0D11EBB6" w:rsidR="00CE670E" w:rsidRPr="00681AD3" w:rsidRDefault="00CE670E" w:rsidP="00835AAC">
            <w:pPr>
              <w:spacing w:after="0"/>
              <w:jc w:val="center"/>
              <w:rPr>
                <w:rFonts w:cs="Arial"/>
                <w:szCs w:val="22"/>
              </w:rPr>
            </w:pPr>
            <w:r>
              <w:rPr>
                <w:rFonts w:cs="Arial"/>
                <w:szCs w:val="22"/>
              </w:rPr>
              <w:t>57,19</w:t>
            </w:r>
          </w:p>
        </w:tc>
        <w:tc>
          <w:tcPr>
            <w:tcW w:w="1871" w:type="dxa"/>
            <w:shd w:val="clear" w:color="auto" w:fill="FBE4D5" w:themeFill="accent2" w:themeFillTint="33"/>
            <w:vAlign w:val="center"/>
          </w:tcPr>
          <w:p w14:paraId="1D684C72" w14:textId="52577AAF" w:rsidR="00CE670E" w:rsidRPr="00681AD3" w:rsidRDefault="006A0D94" w:rsidP="00835AAC">
            <w:pPr>
              <w:spacing w:after="0"/>
              <w:jc w:val="center"/>
              <w:rPr>
                <w:rFonts w:cs="Arial"/>
                <w:szCs w:val="22"/>
              </w:rPr>
            </w:pPr>
            <w:r>
              <w:rPr>
                <w:rFonts w:cs="Arial"/>
                <w:szCs w:val="22"/>
              </w:rPr>
              <w:t>27,60</w:t>
            </w:r>
          </w:p>
        </w:tc>
      </w:tr>
      <w:tr w:rsidR="00CE670E" w14:paraId="3B3127DC" w14:textId="77777777" w:rsidTr="00371CA8">
        <w:trPr>
          <w:trHeight w:val="567"/>
        </w:trPr>
        <w:tc>
          <w:tcPr>
            <w:tcW w:w="1814" w:type="dxa"/>
            <w:vAlign w:val="center"/>
          </w:tcPr>
          <w:p w14:paraId="06F7A868" w14:textId="2264CAF9" w:rsidR="00CE670E" w:rsidRPr="00681AD3" w:rsidRDefault="00CE670E" w:rsidP="00CE670E">
            <w:pPr>
              <w:pStyle w:val="Pa3"/>
              <w:jc w:val="center"/>
              <w:rPr>
                <w:rStyle w:val="A5"/>
                <w:rFonts w:ascii="Garamond" w:hAnsi="Garamond"/>
              </w:rPr>
            </w:pPr>
            <w:r w:rsidRPr="00681AD3">
              <w:rPr>
                <w:rStyle w:val="A5"/>
                <w:rFonts w:ascii="Garamond" w:hAnsi="Garamond"/>
              </w:rPr>
              <w:t xml:space="preserve">I6: 5 GB mobile data </w:t>
            </w:r>
            <w:proofErr w:type="spellStart"/>
            <w:r w:rsidRPr="00681AD3">
              <w:rPr>
                <w:rStyle w:val="A5"/>
                <w:rFonts w:ascii="Garamond" w:hAnsi="Garamond"/>
              </w:rPr>
              <w:t>with</w:t>
            </w:r>
            <w:proofErr w:type="spellEnd"/>
            <w:r w:rsidRPr="00681AD3">
              <w:rPr>
                <w:rStyle w:val="A5"/>
                <w:rFonts w:ascii="Garamond" w:hAnsi="Garamond"/>
              </w:rPr>
              <w:t xml:space="preserve"> 30 </w:t>
            </w:r>
            <w:proofErr w:type="spellStart"/>
            <w:r w:rsidRPr="00681AD3">
              <w:rPr>
                <w:rStyle w:val="A5"/>
                <w:rFonts w:ascii="Garamond" w:hAnsi="Garamond"/>
              </w:rPr>
              <w:t>calls</w:t>
            </w:r>
            <w:proofErr w:type="spellEnd"/>
          </w:p>
        </w:tc>
        <w:tc>
          <w:tcPr>
            <w:tcW w:w="1474" w:type="dxa"/>
            <w:shd w:val="clear" w:color="auto" w:fill="E2EFD9" w:themeFill="accent6" w:themeFillTint="33"/>
            <w:vAlign w:val="center"/>
          </w:tcPr>
          <w:p w14:paraId="66045A3F" w14:textId="02FE803E" w:rsidR="00CE670E" w:rsidRPr="00681AD3" w:rsidRDefault="00CE670E" w:rsidP="00835AAC">
            <w:pPr>
              <w:spacing w:after="0"/>
              <w:jc w:val="center"/>
              <w:rPr>
                <w:rFonts w:cs="Arial"/>
                <w:szCs w:val="22"/>
              </w:rPr>
            </w:pPr>
            <w:r w:rsidRPr="003D7BCC">
              <w:t>10,47</w:t>
            </w:r>
          </w:p>
        </w:tc>
        <w:tc>
          <w:tcPr>
            <w:tcW w:w="1417" w:type="dxa"/>
            <w:shd w:val="clear" w:color="auto" w:fill="F2F2F2" w:themeFill="background1" w:themeFillShade="F2"/>
            <w:vAlign w:val="center"/>
          </w:tcPr>
          <w:p w14:paraId="50071321" w14:textId="064BB285" w:rsidR="00CE670E" w:rsidRPr="00681AD3" w:rsidRDefault="00CE670E" w:rsidP="00835AAC">
            <w:pPr>
              <w:spacing w:after="0"/>
              <w:jc w:val="center"/>
              <w:rPr>
                <w:rFonts w:cs="Arial"/>
                <w:szCs w:val="22"/>
              </w:rPr>
            </w:pPr>
            <w:r w:rsidRPr="003D7BCC">
              <w:t>17,38</w:t>
            </w:r>
          </w:p>
        </w:tc>
        <w:tc>
          <w:tcPr>
            <w:tcW w:w="1757" w:type="dxa"/>
            <w:shd w:val="clear" w:color="auto" w:fill="FBE4D5" w:themeFill="accent2" w:themeFillTint="33"/>
            <w:vAlign w:val="center"/>
          </w:tcPr>
          <w:p w14:paraId="3A75B693" w14:textId="3571EFAE" w:rsidR="00CE670E" w:rsidRPr="00681AD3" w:rsidRDefault="00CE670E" w:rsidP="00835AAC">
            <w:pPr>
              <w:spacing w:after="0"/>
              <w:jc w:val="center"/>
              <w:rPr>
                <w:rFonts w:cs="Arial"/>
                <w:szCs w:val="22"/>
              </w:rPr>
            </w:pPr>
            <w:r>
              <w:rPr>
                <w:rFonts w:cs="Arial"/>
                <w:szCs w:val="22"/>
              </w:rPr>
              <w:t>24,94</w:t>
            </w:r>
          </w:p>
        </w:tc>
        <w:tc>
          <w:tcPr>
            <w:tcW w:w="1871" w:type="dxa"/>
            <w:shd w:val="clear" w:color="auto" w:fill="FBE4D5" w:themeFill="accent2" w:themeFillTint="33"/>
            <w:vAlign w:val="center"/>
          </w:tcPr>
          <w:p w14:paraId="50E9FA38" w14:textId="2F46B290" w:rsidR="00CE670E" w:rsidRPr="00681AD3" w:rsidRDefault="006A0D94" w:rsidP="00835AAC">
            <w:pPr>
              <w:spacing w:after="0"/>
              <w:jc w:val="center"/>
              <w:rPr>
                <w:rFonts w:cs="Arial"/>
                <w:szCs w:val="22"/>
              </w:rPr>
            </w:pPr>
            <w:r>
              <w:rPr>
                <w:rFonts w:cs="Arial"/>
                <w:szCs w:val="22"/>
              </w:rPr>
              <w:t>14,93</w:t>
            </w:r>
          </w:p>
        </w:tc>
      </w:tr>
      <w:tr w:rsidR="00CE670E" w14:paraId="5D7CF7D1" w14:textId="77777777" w:rsidTr="00371CA8">
        <w:trPr>
          <w:trHeight w:val="567"/>
        </w:trPr>
        <w:tc>
          <w:tcPr>
            <w:tcW w:w="1814" w:type="dxa"/>
            <w:vAlign w:val="center"/>
          </w:tcPr>
          <w:p w14:paraId="0158AA53" w14:textId="03AE30C1" w:rsidR="00CE670E" w:rsidRPr="00681AD3" w:rsidRDefault="00CE670E" w:rsidP="00CE670E">
            <w:pPr>
              <w:pStyle w:val="Pa3"/>
              <w:jc w:val="center"/>
              <w:rPr>
                <w:rStyle w:val="A5"/>
                <w:rFonts w:ascii="Garamond" w:hAnsi="Garamond"/>
              </w:rPr>
            </w:pPr>
            <w:r w:rsidRPr="00681AD3">
              <w:rPr>
                <w:rStyle w:val="A5"/>
                <w:rFonts w:ascii="Garamond" w:hAnsi="Garamond"/>
              </w:rPr>
              <w:t xml:space="preserve">I7: 20 GB mobile data </w:t>
            </w:r>
            <w:proofErr w:type="spellStart"/>
            <w:r w:rsidRPr="00681AD3">
              <w:rPr>
                <w:rStyle w:val="A5"/>
                <w:rFonts w:ascii="Garamond" w:hAnsi="Garamond"/>
              </w:rPr>
              <w:t>with</w:t>
            </w:r>
            <w:proofErr w:type="spellEnd"/>
            <w:r w:rsidRPr="00681AD3">
              <w:rPr>
                <w:rStyle w:val="A5"/>
                <w:rFonts w:ascii="Garamond" w:hAnsi="Garamond"/>
              </w:rPr>
              <w:t xml:space="preserve"> 100 </w:t>
            </w:r>
            <w:proofErr w:type="spellStart"/>
            <w:r w:rsidRPr="00681AD3">
              <w:rPr>
                <w:rStyle w:val="A5"/>
                <w:rFonts w:ascii="Garamond" w:hAnsi="Garamond"/>
              </w:rPr>
              <w:t>calls</w:t>
            </w:r>
            <w:proofErr w:type="spellEnd"/>
          </w:p>
        </w:tc>
        <w:tc>
          <w:tcPr>
            <w:tcW w:w="1474" w:type="dxa"/>
            <w:shd w:val="clear" w:color="auto" w:fill="E2EFD9" w:themeFill="accent6" w:themeFillTint="33"/>
            <w:vAlign w:val="center"/>
          </w:tcPr>
          <w:p w14:paraId="418AE3AE" w14:textId="788A8317" w:rsidR="00CE670E" w:rsidRPr="00681AD3" w:rsidRDefault="00CE670E" w:rsidP="00835AAC">
            <w:pPr>
              <w:spacing w:after="0"/>
              <w:jc w:val="center"/>
              <w:rPr>
                <w:rFonts w:cs="Arial"/>
                <w:szCs w:val="22"/>
              </w:rPr>
            </w:pPr>
            <w:r w:rsidRPr="003D7BCC">
              <w:t>24,22</w:t>
            </w:r>
          </w:p>
        </w:tc>
        <w:tc>
          <w:tcPr>
            <w:tcW w:w="1417" w:type="dxa"/>
            <w:shd w:val="clear" w:color="auto" w:fill="E2EFD9" w:themeFill="accent6" w:themeFillTint="33"/>
            <w:vAlign w:val="center"/>
          </w:tcPr>
          <w:p w14:paraId="084D6687" w14:textId="4902FCD6" w:rsidR="00CE670E" w:rsidRPr="00681AD3" w:rsidRDefault="007734F9" w:rsidP="00835AAC">
            <w:pPr>
              <w:spacing w:after="0"/>
              <w:jc w:val="center"/>
              <w:rPr>
                <w:rFonts w:cs="Arial"/>
                <w:szCs w:val="22"/>
              </w:rPr>
            </w:pPr>
            <w:r>
              <w:t>24,22</w:t>
            </w:r>
          </w:p>
        </w:tc>
        <w:tc>
          <w:tcPr>
            <w:tcW w:w="1757" w:type="dxa"/>
            <w:shd w:val="clear" w:color="auto" w:fill="FBE4D5" w:themeFill="accent2" w:themeFillTint="33"/>
            <w:vAlign w:val="center"/>
          </w:tcPr>
          <w:p w14:paraId="1C62FF98" w14:textId="0BE05D30" w:rsidR="00CE670E" w:rsidRPr="00681AD3" w:rsidRDefault="00CE670E" w:rsidP="00835AAC">
            <w:pPr>
              <w:spacing w:after="0"/>
              <w:jc w:val="center"/>
              <w:rPr>
                <w:rFonts w:cs="Arial"/>
                <w:szCs w:val="22"/>
              </w:rPr>
            </w:pPr>
            <w:r>
              <w:rPr>
                <w:rFonts w:cs="Arial"/>
                <w:szCs w:val="22"/>
              </w:rPr>
              <w:t>57,19</w:t>
            </w:r>
          </w:p>
        </w:tc>
        <w:tc>
          <w:tcPr>
            <w:tcW w:w="1871" w:type="dxa"/>
            <w:shd w:val="clear" w:color="auto" w:fill="FBE4D5" w:themeFill="accent2" w:themeFillTint="33"/>
            <w:vAlign w:val="center"/>
          </w:tcPr>
          <w:p w14:paraId="1CF426B0" w14:textId="33BF5BD4" w:rsidR="00CE670E" w:rsidRPr="00681AD3" w:rsidRDefault="006A0D94" w:rsidP="00835AAC">
            <w:pPr>
              <w:spacing w:after="0"/>
              <w:jc w:val="center"/>
              <w:rPr>
                <w:rFonts w:cs="Arial"/>
                <w:szCs w:val="22"/>
              </w:rPr>
            </w:pPr>
            <w:r>
              <w:rPr>
                <w:rFonts w:cs="Arial"/>
                <w:szCs w:val="22"/>
              </w:rPr>
              <w:t>27,44</w:t>
            </w:r>
          </w:p>
        </w:tc>
      </w:tr>
    </w:tbl>
    <w:p w14:paraId="7695A954" w14:textId="776A0BA3" w:rsidR="00475018" w:rsidRPr="003436B0" w:rsidRDefault="006E1F21" w:rsidP="00BD651A">
      <w:pPr>
        <w:spacing w:after="0"/>
        <w:ind w:left="708"/>
        <w:rPr>
          <w:rFonts w:cs="Arial"/>
          <w:sz w:val="20"/>
          <w:szCs w:val="18"/>
        </w:rPr>
      </w:pPr>
      <w:r w:rsidRPr="003436B0">
        <w:rPr>
          <w:rFonts w:cs="Arial"/>
          <w:sz w:val="20"/>
          <w:szCs w:val="18"/>
        </w:rPr>
        <w:t xml:space="preserve"> </w:t>
      </w:r>
      <w:r w:rsidR="00491B17" w:rsidRPr="003436B0">
        <w:rPr>
          <w:rFonts w:cs="Arial"/>
          <w:sz w:val="20"/>
          <w:szCs w:val="18"/>
        </w:rPr>
        <w:t>*</w:t>
      </w:r>
      <w:r w:rsidR="00232AAA" w:rsidRPr="003436B0">
        <w:rPr>
          <w:rFonts w:cs="Arial"/>
          <w:sz w:val="20"/>
          <w:szCs w:val="18"/>
        </w:rPr>
        <w:t xml:space="preserve">Použit </w:t>
      </w:r>
      <w:r w:rsidR="003436B0">
        <w:rPr>
          <w:rFonts w:cs="Arial"/>
          <w:sz w:val="20"/>
          <w:szCs w:val="18"/>
        </w:rPr>
        <w:t xml:space="preserve">směnný </w:t>
      </w:r>
      <w:r w:rsidR="00232AAA" w:rsidRPr="003436B0">
        <w:rPr>
          <w:rFonts w:cs="Arial"/>
          <w:sz w:val="20"/>
          <w:szCs w:val="18"/>
        </w:rPr>
        <w:t>kurz 24,73 CZK/EUR</w:t>
      </w:r>
    </w:p>
    <w:p w14:paraId="087D4587" w14:textId="48E0F81A" w:rsidR="00CD3281" w:rsidRDefault="00CD3281" w:rsidP="00BD651A">
      <w:pPr>
        <w:spacing w:after="0"/>
        <w:ind w:left="708"/>
        <w:rPr>
          <w:rFonts w:cs="Arial"/>
          <w:szCs w:val="22"/>
        </w:rPr>
      </w:pPr>
    </w:p>
    <w:p w14:paraId="799ACFCA" w14:textId="567882CC" w:rsidR="00CD3281" w:rsidRDefault="00FF6747" w:rsidP="00BD651A">
      <w:pPr>
        <w:spacing w:after="0"/>
        <w:ind w:left="708"/>
        <w:rPr>
          <w:rFonts w:cs="Arial"/>
          <w:szCs w:val="22"/>
        </w:rPr>
      </w:pPr>
      <w:r>
        <w:rPr>
          <w:rFonts w:cs="Arial"/>
          <w:szCs w:val="22"/>
        </w:rPr>
        <w:t xml:space="preserve">Daty v uvedené tabulce </w:t>
      </w:r>
      <w:r w:rsidR="009D29C7">
        <w:rPr>
          <w:rFonts w:cs="Arial"/>
          <w:szCs w:val="22"/>
        </w:rPr>
        <w:t>lze</w:t>
      </w:r>
      <w:r w:rsidR="006E7F07">
        <w:rPr>
          <w:rFonts w:cs="Arial"/>
          <w:szCs w:val="22"/>
        </w:rPr>
        <w:t xml:space="preserve"> naprosto bez pochyb</w:t>
      </w:r>
      <w:r w:rsidR="009D29C7">
        <w:rPr>
          <w:rFonts w:cs="Arial"/>
          <w:szCs w:val="22"/>
        </w:rPr>
        <w:t xml:space="preserve"> </w:t>
      </w:r>
      <w:r w:rsidR="006E7F07">
        <w:rPr>
          <w:rFonts w:cs="Arial"/>
          <w:szCs w:val="22"/>
        </w:rPr>
        <w:t>o</w:t>
      </w:r>
      <w:r w:rsidR="009D29C7">
        <w:rPr>
          <w:rFonts w:cs="Arial"/>
          <w:szCs w:val="22"/>
        </w:rPr>
        <w:t xml:space="preserve">značit </w:t>
      </w:r>
      <w:r w:rsidR="0062067B">
        <w:rPr>
          <w:rFonts w:cs="Arial"/>
          <w:szCs w:val="22"/>
        </w:rPr>
        <w:t xml:space="preserve">argumenty </w:t>
      </w:r>
      <w:r w:rsidR="006E7F07">
        <w:rPr>
          <w:rFonts w:cs="Arial"/>
          <w:szCs w:val="22"/>
        </w:rPr>
        <w:t>všech graf</w:t>
      </w:r>
      <w:r w:rsidR="0062067B">
        <w:rPr>
          <w:rFonts w:cs="Arial"/>
          <w:szCs w:val="22"/>
        </w:rPr>
        <w:t>ů, které ČTÚ v</w:t>
      </w:r>
      <w:r w:rsidR="00EB3840">
        <w:rPr>
          <w:rFonts w:cs="Arial"/>
          <w:szCs w:val="22"/>
        </w:rPr>
        <w:t> kapitole C.3 prezentuje</w:t>
      </w:r>
      <w:r w:rsidR="009D29C7">
        <w:rPr>
          <w:rFonts w:cs="Arial"/>
          <w:szCs w:val="22"/>
        </w:rPr>
        <w:t xml:space="preserve"> za </w:t>
      </w:r>
      <w:r w:rsidR="00EB37D0">
        <w:rPr>
          <w:rFonts w:cs="Arial"/>
          <w:szCs w:val="22"/>
        </w:rPr>
        <w:t>nesprávné a tím pádem nerelevantní</w:t>
      </w:r>
      <w:r w:rsidR="00EB3840">
        <w:rPr>
          <w:rFonts w:cs="Arial"/>
          <w:szCs w:val="22"/>
        </w:rPr>
        <w:t>.</w:t>
      </w:r>
      <w:r w:rsidR="00EB37D0">
        <w:rPr>
          <w:rFonts w:cs="Arial"/>
          <w:szCs w:val="22"/>
        </w:rPr>
        <w:t xml:space="preserve"> Zároveň je zajímavé upozornit na srovnání cenové hladiny MVNO a MNO, která v kombinaci s tím, že </w:t>
      </w:r>
      <w:r w:rsidR="002627EC">
        <w:rPr>
          <w:rFonts w:cs="Arial"/>
          <w:szCs w:val="22"/>
        </w:rPr>
        <w:t>vybraní</w:t>
      </w:r>
      <w:r w:rsidR="00EB37D0">
        <w:rPr>
          <w:rFonts w:cs="Arial"/>
          <w:szCs w:val="22"/>
        </w:rPr>
        <w:t xml:space="preserve"> </w:t>
      </w:r>
      <w:r w:rsidR="00EB37D0">
        <w:rPr>
          <w:rFonts w:cs="Arial"/>
          <w:szCs w:val="22"/>
        </w:rPr>
        <w:lastRenderedPageBreak/>
        <w:t xml:space="preserve">MVNO na trhu </w:t>
      </w:r>
      <w:r w:rsidR="005A3F9E">
        <w:rPr>
          <w:rFonts w:cs="Arial"/>
          <w:szCs w:val="22"/>
        </w:rPr>
        <w:t xml:space="preserve">podnikají </w:t>
      </w:r>
      <w:r w:rsidR="00EB37D0">
        <w:rPr>
          <w:rFonts w:cs="Arial"/>
          <w:szCs w:val="22"/>
        </w:rPr>
        <w:t>dlouhodobě</w:t>
      </w:r>
      <w:r w:rsidR="005A3F9E">
        <w:rPr>
          <w:rFonts w:cs="Arial"/>
          <w:szCs w:val="22"/>
        </w:rPr>
        <w:t xml:space="preserve">, znamená, že tito MVNO musí být schopni replikovat maloobchodní tarify MNO a ziskově podnikat. </w:t>
      </w:r>
      <w:r w:rsidR="00E0034A">
        <w:rPr>
          <w:rFonts w:cs="Arial"/>
          <w:szCs w:val="22"/>
        </w:rPr>
        <w:t xml:space="preserve">Pro případné </w:t>
      </w:r>
      <w:r w:rsidR="00FA426A">
        <w:rPr>
          <w:rFonts w:cs="Arial"/>
          <w:szCs w:val="22"/>
        </w:rPr>
        <w:t>námitky upozorňujeme, že ani jedna z vybraných nabídek MVNO záměrně není od majetkově</w:t>
      </w:r>
      <w:r w:rsidR="0046061A">
        <w:rPr>
          <w:rFonts w:cs="Arial"/>
          <w:szCs w:val="22"/>
        </w:rPr>
        <w:t xml:space="preserve"> (ani částečně)</w:t>
      </w:r>
      <w:r w:rsidR="00FA426A">
        <w:rPr>
          <w:rFonts w:cs="Arial"/>
          <w:szCs w:val="22"/>
        </w:rPr>
        <w:t xml:space="preserve"> propojeného MVNO.</w:t>
      </w:r>
      <w:r w:rsidR="00B77327">
        <w:rPr>
          <w:rFonts w:cs="Arial"/>
          <w:szCs w:val="22"/>
        </w:rPr>
        <w:t xml:space="preserve"> </w:t>
      </w:r>
      <w:r w:rsidR="00B77327" w:rsidRPr="00270AAE">
        <w:rPr>
          <w:rFonts w:cs="Arial"/>
          <w:b/>
          <w:bCs/>
          <w:szCs w:val="22"/>
        </w:rPr>
        <w:t xml:space="preserve">Srovnání tedy zároveň nepřímo prokazuje, že </w:t>
      </w:r>
      <w:r w:rsidR="0046405F" w:rsidRPr="00270AAE">
        <w:rPr>
          <w:rFonts w:cs="Arial"/>
          <w:b/>
          <w:bCs/>
          <w:szCs w:val="22"/>
        </w:rPr>
        <w:t xml:space="preserve">argumenty ČTÚ postavené na </w:t>
      </w:r>
      <w:proofErr w:type="spellStart"/>
      <w:r w:rsidR="0046405F" w:rsidRPr="00270AAE">
        <w:rPr>
          <w:rFonts w:cs="Arial"/>
          <w:b/>
          <w:bCs/>
          <w:szCs w:val="22"/>
        </w:rPr>
        <w:t>nereplikovatelnosti</w:t>
      </w:r>
      <w:proofErr w:type="spellEnd"/>
      <w:r w:rsidR="0046405F" w:rsidRPr="00270AAE">
        <w:rPr>
          <w:rFonts w:cs="Arial"/>
          <w:b/>
          <w:bCs/>
          <w:szCs w:val="22"/>
        </w:rPr>
        <w:t xml:space="preserve"> nabídky síťových operátorů </w:t>
      </w:r>
      <w:r w:rsidR="00F30BE1" w:rsidRPr="00270AAE">
        <w:rPr>
          <w:rFonts w:cs="Arial"/>
          <w:b/>
          <w:bCs/>
          <w:szCs w:val="22"/>
        </w:rPr>
        <w:t xml:space="preserve">(vyšší velkoobchodní ceně oproti ceně maloobchodní) </w:t>
      </w:r>
      <w:r w:rsidR="0046405F" w:rsidRPr="00270AAE">
        <w:rPr>
          <w:rFonts w:cs="Arial"/>
          <w:b/>
          <w:bCs/>
          <w:szCs w:val="22"/>
        </w:rPr>
        <w:t xml:space="preserve">jsou postaveny na </w:t>
      </w:r>
      <w:r w:rsidR="00270AAE" w:rsidRPr="00270AAE">
        <w:rPr>
          <w:rFonts w:cs="Arial"/>
          <w:b/>
          <w:bCs/>
          <w:szCs w:val="22"/>
        </w:rPr>
        <w:t>nesprávných</w:t>
      </w:r>
      <w:r w:rsidR="00F30BE1" w:rsidRPr="00270AAE">
        <w:rPr>
          <w:rFonts w:cs="Arial"/>
          <w:b/>
          <w:bCs/>
          <w:szCs w:val="22"/>
        </w:rPr>
        <w:t xml:space="preserve"> vstupních datech.</w:t>
      </w:r>
      <w:r w:rsidR="00270AAE">
        <w:rPr>
          <w:rFonts w:cs="Arial"/>
          <w:b/>
          <w:bCs/>
          <w:szCs w:val="22"/>
        </w:rPr>
        <w:t xml:space="preserve"> K této problematice se více vyjadřujeme v připomínce ke </w:t>
      </w:r>
      <w:r w:rsidR="002B39CC">
        <w:rPr>
          <w:rFonts w:cs="Arial"/>
          <w:b/>
          <w:bCs/>
          <w:szCs w:val="22"/>
        </w:rPr>
        <w:t>kapitole C.6.</w:t>
      </w:r>
    </w:p>
    <w:p w14:paraId="644B8D14" w14:textId="41701999" w:rsidR="00C8482D" w:rsidRDefault="00C8482D" w:rsidP="00BD651A">
      <w:pPr>
        <w:spacing w:after="0"/>
        <w:ind w:left="708"/>
        <w:rPr>
          <w:rFonts w:cs="Arial"/>
          <w:szCs w:val="22"/>
        </w:rPr>
      </w:pPr>
    </w:p>
    <w:p w14:paraId="0492DA8D" w14:textId="326155B9" w:rsidR="00C8482D" w:rsidRDefault="00210A45" w:rsidP="00BD651A">
      <w:pPr>
        <w:spacing w:after="0"/>
        <w:ind w:left="708"/>
        <w:rPr>
          <w:rFonts w:cs="Arial"/>
          <w:szCs w:val="22"/>
        </w:rPr>
      </w:pPr>
      <w:r>
        <w:rPr>
          <w:rFonts w:cs="Arial"/>
          <w:szCs w:val="22"/>
        </w:rPr>
        <w:t xml:space="preserve">Ke grafu cable.co.uk </w:t>
      </w:r>
      <w:r w:rsidR="008A7F85">
        <w:rPr>
          <w:rFonts w:cs="Arial"/>
          <w:szCs w:val="22"/>
        </w:rPr>
        <w:t>bohužel nejsou dostatečná data k určení, jak se došlo k číslu 8,15</w:t>
      </w:r>
      <w:r w:rsidR="002A0F3B">
        <w:rPr>
          <w:rFonts w:cs="Arial"/>
          <w:szCs w:val="22"/>
        </w:rPr>
        <w:t> </w:t>
      </w:r>
      <w:r w:rsidR="008A7F85">
        <w:rPr>
          <w:rFonts w:cs="Arial"/>
          <w:szCs w:val="22"/>
        </w:rPr>
        <w:t>USD</w:t>
      </w:r>
      <w:r w:rsidR="00B23A47">
        <w:rPr>
          <w:rFonts w:cs="Arial"/>
          <w:szCs w:val="22"/>
        </w:rPr>
        <w:t>/GB</w:t>
      </w:r>
      <w:r w:rsidR="008A7F85">
        <w:rPr>
          <w:rFonts w:cs="Arial"/>
          <w:szCs w:val="22"/>
        </w:rPr>
        <w:t xml:space="preserve"> (</w:t>
      </w:r>
      <w:r w:rsidR="00B23A47">
        <w:rPr>
          <w:rFonts w:cs="Arial"/>
          <w:szCs w:val="22"/>
        </w:rPr>
        <w:t>201 Kč)</w:t>
      </w:r>
      <w:r w:rsidR="008A7F85">
        <w:rPr>
          <w:rFonts w:cs="Arial"/>
          <w:szCs w:val="22"/>
        </w:rPr>
        <w:t xml:space="preserve">. </w:t>
      </w:r>
      <w:r w:rsidR="00B23A47">
        <w:rPr>
          <w:rFonts w:cs="Arial"/>
          <w:szCs w:val="22"/>
        </w:rPr>
        <w:t xml:space="preserve">Je </w:t>
      </w:r>
      <w:r w:rsidR="0046061A">
        <w:rPr>
          <w:rFonts w:cs="Arial"/>
          <w:szCs w:val="22"/>
        </w:rPr>
        <w:t xml:space="preserve">však </w:t>
      </w:r>
      <w:r w:rsidR="00B23A47">
        <w:rPr>
          <w:rFonts w:cs="Arial"/>
          <w:szCs w:val="22"/>
        </w:rPr>
        <w:t xml:space="preserve">zřejmé, že takové číslo je opět mimo realitu. Patrně může souviset s tím, že </w:t>
      </w:r>
      <w:r w:rsidR="005730C3">
        <w:rPr>
          <w:rFonts w:cs="Arial"/>
          <w:szCs w:val="22"/>
        </w:rPr>
        <w:t xml:space="preserve">metodika společnosti </w:t>
      </w:r>
      <w:proofErr w:type="spellStart"/>
      <w:r w:rsidR="005730C3">
        <w:rPr>
          <w:rFonts w:cs="Arial"/>
          <w:szCs w:val="22"/>
        </w:rPr>
        <w:t>Cable</w:t>
      </w:r>
      <w:proofErr w:type="spellEnd"/>
      <w:r w:rsidR="005730C3">
        <w:rPr>
          <w:rFonts w:cs="Arial"/>
          <w:szCs w:val="22"/>
        </w:rPr>
        <w:t xml:space="preserve"> počítá cenu za </w:t>
      </w:r>
      <w:r w:rsidR="0046061A">
        <w:rPr>
          <w:rFonts w:cs="Arial"/>
          <w:szCs w:val="22"/>
        </w:rPr>
        <w:t xml:space="preserve">1 </w:t>
      </w:r>
      <w:r w:rsidR="005730C3">
        <w:rPr>
          <w:rFonts w:cs="Arial"/>
          <w:szCs w:val="22"/>
        </w:rPr>
        <w:t xml:space="preserve">GB u datově neomezených tarifů tak, že jejich cenu </w:t>
      </w:r>
      <w:r w:rsidR="00FD7693">
        <w:rPr>
          <w:rFonts w:cs="Arial"/>
          <w:szCs w:val="22"/>
        </w:rPr>
        <w:t xml:space="preserve">vydělí průměrnou datovou spotřebou v dané zemi, a ta je v České republice </w:t>
      </w:r>
      <w:r w:rsidR="00BC46B4">
        <w:rPr>
          <w:rFonts w:cs="Arial"/>
          <w:szCs w:val="22"/>
        </w:rPr>
        <w:t xml:space="preserve">stále </w:t>
      </w:r>
      <w:r w:rsidR="00FD7693">
        <w:rPr>
          <w:rFonts w:cs="Arial"/>
          <w:szCs w:val="22"/>
        </w:rPr>
        <w:t>relativně nízká.</w:t>
      </w:r>
      <w:r w:rsidR="00A7765B">
        <w:rPr>
          <w:rFonts w:cs="Arial"/>
          <w:szCs w:val="22"/>
        </w:rPr>
        <w:t xml:space="preserve"> </w:t>
      </w:r>
      <w:r w:rsidR="007D2192">
        <w:rPr>
          <w:rFonts w:cs="Arial"/>
          <w:szCs w:val="22"/>
        </w:rPr>
        <w:t xml:space="preserve">Takovým způsobem asi mohla společnost </w:t>
      </w:r>
      <w:proofErr w:type="spellStart"/>
      <w:r w:rsidR="007D2192">
        <w:rPr>
          <w:rFonts w:cs="Arial"/>
          <w:szCs w:val="22"/>
        </w:rPr>
        <w:t>Cable</w:t>
      </w:r>
      <w:proofErr w:type="spellEnd"/>
      <w:r w:rsidR="007D2192">
        <w:rPr>
          <w:rFonts w:cs="Arial"/>
          <w:szCs w:val="22"/>
        </w:rPr>
        <w:t xml:space="preserve"> dojít k</w:t>
      </w:r>
      <w:r w:rsidR="00A7765B">
        <w:rPr>
          <w:rFonts w:cs="Arial"/>
          <w:szCs w:val="22"/>
        </w:rPr>
        <w:t xml:space="preserve"> </w:t>
      </w:r>
      <w:r w:rsidR="005E1B7B">
        <w:rPr>
          <w:rFonts w:cs="Arial"/>
          <w:szCs w:val="22"/>
        </w:rPr>
        <w:t>nejdražší nabíd</w:t>
      </w:r>
      <w:r w:rsidR="007D2192">
        <w:rPr>
          <w:rFonts w:cs="Arial"/>
          <w:szCs w:val="22"/>
        </w:rPr>
        <w:t>ce da</w:t>
      </w:r>
      <w:r w:rsidR="00837B27">
        <w:rPr>
          <w:rFonts w:cs="Arial"/>
          <w:szCs w:val="22"/>
        </w:rPr>
        <w:t>t v České republice ve výši</w:t>
      </w:r>
      <w:r w:rsidR="005E1B7B">
        <w:rPr>
          <w:rFonts w:cs="Arial"/>
          <w:szCs w:val="22"/>
        </w:rPr>
        <w:t xml:space="preserve"> 800 Kč/GB.</w:t>
      </w:r>
      <w:r w:rsidR="00FD7693">
        <w:rPr>
          <w:rFonts w:cs="Arial"/>
          <w:szCs w:val="22"/>
        </w:rPr>
        <w:t xml:space="preserve"> </w:t>
      </w:r>
      <w:r w:rsidR="002A0F3B">
        <w:rPr>
          <w:rFonts w:cs="Arial"/>
          <w:szCs w:val="22"/>
        </w:rPr>
        <w:t xml:space="preserve">Nicméně to </w:t>
      </w:r>
      <w:r w:rsidR="00837B27">
        <w:rPr>
          <w:rFonts w:cs="Arial"/>
          <w:szCs w:val="22"/>
        </w:rPr>
        <w:t xml:space="preserve">samozřejmě </w:t>
      </w:r>
      <w:r w:rsidR="002A0F3B">
        <w:rPr>
          <w:rFonts w:cs="Arial"/>
          <w:szCs w:val="22"/>
        </w:rPr>
        <w:t>znamená, že takové číslo pak</w:t>
      </w:r>
      <w:r w:rsidR="00410516">
        <w:rPr>
          <w:rFonts w:cs="Arial"/>
          <w:szCs w:val="22"/>
        </w:rPr>
        <w:t xml:space="preserve"> není pro srovnání použitelné</w:t>
      </w:r>
      <w:r w:rsidR="00837B27">
        <w:rPr>
          <w:rFonts w:cs="Arial"/>
          <w:szCs w:val="22"/>
        </w:rPr>
        <w:t xml:space="preserve"> a relevantní</w:t>
      </w:r>
      <w:r w:rsidR="00410516">
        <w:rPr>
          <w:rFonts w:cs="Arial"/>
          <w:szCs w:val="22"/>
        </w:rPr>
        <w:t>.</w:t>
      </w:r>
      <w:r w:rsidR="00277321">
        <w:rPr>
          <w:rFonts w:cs="Arial"/>
          <w:szCs w:val="22"/>
        </w:rPr>
        <w:t xml:space="preserve"> K dokreslení relevantnosti těchto srovnání je vhodné podotknout, že nejlevnější nabídku dat a zároveň jednu z nejnižších průměrných cen má Dánsko, </w:t>
      </w:r>
      <w:r w:rsidR="005753F5">
        <w:rPr>
          <w:rFonts w:cs="Arial"/>
          <w:szCs w:val="22"/>
        </w:rPr>
        <w:t xml:space="preserve">které je dle </w:t>
      </w:r>
      <w:r w:rsidR="00E17375">
        <w:rPr>
          <w:rFonts w:cs="Arial"/>
          <w:szCs w:val="22"/>
        </w:rPr>
        <w:t xml:space="preserve">posledního </w:t>
      </w:r>
      <w:r w:rsidR="005753F5">
        <w:rPr>
          <w:rFonts w:cs="Arial"/>
          <w:szCs w:val="22"/>
        </w:rPr>
        <w:t>srovnání Evropské komise v nejhorší třetině zemí.</w:t>
      </w:r>
    </w:p>
    <w:p w14:paraId="529506A3" w14:textId="3A2C8743" w:rsidR="005753F5" w:rsidRDefault="005753F5" w:rsidP="00BD651A">
      <w:pPr>
        <w:spacing w:after="0"/>
        <w:ind w:left="708"/>
        <w:rPr>
          <w:rFonts w:cs="Arial"/>
          <w:szCs w:val="22"/>
        </w:rPr>
      </w:pPr>
    </w:p>
    <w:p w14:paraId="1D10DB63" w14:textId="5C29F707" w:rsidR="005753F5" w:rsidRDefault="00CD16E8" w:rsidP="00BD651A">
      <w:pPr>
        <w:spacing w:after="0"/>
        <w:ind w:left="708"/>
        <w:rPr>
          <w:rFonts w:cs="Arial"/>
          <w:szCs w:val="22"/>
        </w:rPr>
      </w:pPr>
      <w:r>
        <w:rPr>
          <w:rFonts w:cs="Arial"/>
          <w:szCs w:val="22"/>
        </w:rPr>
        <w:t xml:space="preserve">Srovnání OECD </w:t>
      </w:r>
      <w:r w:rsidR="00B47FF5">
        <w:rPr>
          <w:rFonts w:cs="Arial"/>
          <w:szCs w:val="22"/>
        </w:rPr>
        <w:t xml:space="preserve">trpí stejnými neduhy jako srovnání Evropské komise, zejména z toho důvodu, že používá </w:t>
      </w:r>
      <w:r w:rsidR="00810EA9">
        <w:rPr>
          <w:rFonts w:cs="Arial"/>
          <w:szCs w:val="22"/>
        </w:rPr>
        <w:t>stejnou nebo velmi podobnou metodiku (vč. stejných košů a PPP). K argumentaci k tomuto srovnání tedy výše.</w:t>
      </w:r>
    </w:p>
    <w:p w14:paraId="50F69C70" w14:textId="5B2C4521" w:rsidR="00063521" w:rsidRDefault="00063521" w:rsidP="00BD651A">
      <w:pPr>
        <w:spacing w:after="0"/>
        <w:ind w:left="708"/>
        <w:rPr>
          <w:rFonts w:cs="Arial"/>
          <w:szCs w:val="22"/>
        </w:rPr>
      </w:pPr>
    </w:p>
    <w:p w14:paraId="4C64F75A" w14:textId="587C119B" w:rsidR="00063521" w:rsidRDefault="00063521" w:rsidP="00BD651A">
      <w:pPr>
        <w:spacing w:after="0"/>
        <w:ind w:left="708"/>
        <w:rPr>
          <w:rFonts w:cs="Arial"/>
          <w:szCs w:val="22"/>
        </w:rPr>
      </w:pPr>
      <w:r>
        <w:rPr>
          <w:rFonts w:cs="Arial"/>
          <w:szCs w:val="22"/>
        </w:rPr>
        <w:t xml:space="preserve">Argumentem </w:t>
      </w:r>
      <w:r w:rsidR="005423CE">
        <w:rPr>
          <w:rFonts w:cs="Arial"/>
          <w:szCs w:val="22"/>
        </w:rPr>
        <w:t xml:space="preserve">proti našim připomínkám </w:t>
      </w:r>
      <w:r>
        <w:rPr>
          <w:rFonts w:cs="Arial"/>
          <w:szCs w:val="22"/>
        </w:rPr>
        <w:t xml:space="preserve">nemůže být to, že jde o relativní srovnání, protože </w:t>
      </w:r>
      <w:r w:rsidR="008232BA">
        <w:rPr>
          <w:rFonts w:cs="Arial"/>
          <w:szCs w:val="22"/>
        </w:rPr>
        <w:t>vlivy jednotlivých faktorů jsou v jednotlivých zemích různé a často s opačným efektem</w:t>
      </w:r>
      <w:r w:rsidR="005423CE">
        <w:rPr>
          <w:rFonts w:cs="Arial"/>
          <w:szCs w:val="22"/>
        </w:rPr>
        <w:t xml:space="preserve">. Ve skutečnosti tak může </w:t>
      </w:r>
      <w:r w:rsidR="00A41222">
        <w:rPr>
          <w:rFonts w:cs="Arial"/>
          <w:szCs w:val="22"/>
        </w:rPr>
        <w:t>při reálném srovnání být Česká republika cenově podprůměrná.</w:t>
      </w:r>
    </w:p>
    <w:p w14:paraId="08C0E14C" w14:textId="6FB7F421" w:rsidR="0063448D" w:rsidRDefault="0063448D" w:rsidP="0063448D">
      <w:pPr>
        <w:pStyle w:val="Nadpis2"/>
      </w:pPr>
      <w:r>
        <w:t>C.4 Regulace mobilního trhu v ČR a EU</w:t>
      </w:r>
      <w:r w:rsidR="00A3465B">
        <w:t xml:space="preserve"> (s. 30-33)</w:t>
      </w:r>
    </w:p>
    <w:p w14:paraId="3AA18095" w14:textId="77777777" w:rsidR="0063448D" w:rsidRPr="007F2682" w:rsidRDefault="0063448D" w:rsidP="0063448D">
      <w:pPr>
        <w:pStyle w:val="Podnadpis"/>
      </w:pPr>
      <w:r w:rsidRPr="007F2682">
        <w:t xml:space="preserve">Návrh na doplnění, změnu, zrušení nebo nahrazení textu ustanovení návrhu opatření: </w:t>
      </w:r>
    </w:p>
    <w:p w14:paraId="60CE96D0" w14:textId="45718AB2" w:rsidR="0063448D" w:rsidRDefault="007C42B4" w:rsidP="0063448D">
      <w:pPr>
        <w:ind w:left="357"/>
        <w:rPr>
          <w:rFonts w:cs="Arial"/>
          <w:b/>
          <w:szCs w:val="22"/>
        </w:rPr>
      </w:pPr>
      <w:r>
        <w:rPr>
          <w:rFonts w:cs="Arial"/>
          <w:b/>
          <w:szCs w:val="22"/>
        </w:rPr>
        <w:t>Odstranění nebo přepsání této kapitoly s ohledem na předložené argumenty v odůvodnění této připomínky.</w:t>
      </w:r>
    </w:p>
    <w:p w14:paraId="707C9CBA" w14:textId="77777777" w:rsidR="0063448D" w:rsidRPr="007F2682" w:rsidRDefault="0063448D" w:rsidP="0063448D">
      <w:pPr>
        <w:pStyle w:val="Podnadpis"/>
      </w:pPr>
      <w:r w:rsidRPr="007F2682">
        <w:t>Odůvodnění:</w:t>
      </w:r>
    </w:p>
    <w:p w14:paraId="0C3589CE" w14:textId="1E5EDE97" w:rsidR="00684CD2" w:rsidRDefault="00133288" w:rsidP="0097278D">
      <w:pPr>
        <w:ind w:left="426"/>
      </w:pPr>
      <w:r>
        <w:t xml:space="preserve">ČTÚ se v této kapitole snaží prokázat, že regulace velkoobchodního trhu </w:t>
      </w:r>
      <w:r w:rsidR="00E01E25">
        <w:t>není v </w:t>
      </w:r>
      <w:r w:rsidR="00592BFB">
        <w:t>EU</w:t>
      </w:r>
      <w:r w:rsidR="00E01E25">
        <w:t xml:space="preserve"> ojedinělá.</w:t>
      </w:r>
      <w:r w:rsidR="00592BFB">
        <w:t xml:space="preserve"> Hned první větou </w:t>
      </w:r>
      <w:r w:rsidR="006D7A68">
        <w:t>však opět sklouzává k</w:t>
      </w:r>
      <w:r w:rsidR="00472B32">
        <w:t> </w:t>
      </w:r>
      <w:r w:rsidR="006D7A68">
        <w:t>úmysln</w:t>
      </w:r>
      <w:r w:rsidR="00472B32">
        <w:t xml:space="preserve">ému </w:t>
      </w:r>
      <w:r w:rsidR="00F4630B">
        <w:t xml:space="preserve">tendenčnímu jednání. </w:t>
      </w:r>
      <w:r w:rsidR="008E4D2A">
        <w:t>Jak nadpis</w:t>
      </w:r>
      <w:r w:rsidR="00E75770">
        <w:t>,</w:t>
      </w:r>
      <w:r w:rsidR="008E4D2A">
        <w:t xml:space="preserve"> tak všechny následující věty mluví o EU. Norsko není členem EU, tudíž není pro dané srovnání relevantní</w:t>
      </w:r>
      <w:r w:rsidR="001A5CA1">
        <w:t xml:space="preserve"> a nemůžeme tak dále hovořit o tom, že regulace v EU je běžná</w:t>
      </w:r>
      <w:r w:rsidR="008E4D2A">
        <w:t>.</w:t>
      </w:r>
      <w:r w:rsidR="001A5CA1">
        <w:t xml:space="preserve"> </w:t>
      </w:r>
      <w:r w:rsidR="001A5CA1" w:rsidRPr="00684CD2">
        <w:rPr>
          <w:b/>
          <w:bCs/>
        </w:rPr>
        <w:t xml:space="preserve">Žádná země EU minimálně od roku </w:t>
      </w:r>
      <w:r w:rsidR="00684CD2" w:rsidRPr="00684CD2">
        <w:rPr>
          <w:b/>
          <w:bCs/>
        </w:rPr>
        <w:t>2017 regulovaný trh nemá.</w:t>
      </w:r>
      <w:r w:rsidR="001A5CA1" w:rsidRPr="00684CD2">
        <w:rPr>
          <w:b/>
          <w:bCs/>
        </w:rPr>
        <w:t xml:space="preserve"> </w:t>
      </w:r>
    </w:p>
    <w:p w14:paraId="6F9EBB26" w14:textId="4465F944" w:rsidR="008E4D2A" w:rsidRDefault="001C7F63" w:rsidP="0097278D">
      <w:pPr>
        <w:ind w:left="426"/>
        <w:rPr>
          <w:b/>
          <w:bCs/>
        </w:rPr>
      </w:pPr>
      <w:r>
        <w:lastRenderedPageBreak/>
        <w:t xml:space="preserve">Pokud se přesto podíváme na reálie </w:t>
      </w:r>
      <w:r w:rsidR="00E75770">
        <w:t>n</w:t>
      </w:r>
      <w:r>
        <w:t xml:space="preserve">orského mobilního trhu, zjistíme, že </w:t>
      </w:r>
      <w:r w:rsidR="009D0434">
        <w:t>2 MNO ovládají v Norsku více než 90 % mobilního trhu</w:t>
      </w:r>
      <w:r w:rsidR="0048552F">
        <w:t xml:space="preserve">, přičemž </w:t>
      </w:r>
      <w:proofErr w:type="spellStart"/>
      <w:r w:rsidR="0048552F">
        <w:t>Telenor</w:t>
      </w:r>
      <w:proofErr w:type="spellEnd"/>
      <w:r w:rsidR="0048552F">
        <w:t xml:space="preserve"> poskytuje 48 % služeb a </w:t>
      </w:r>
      <w:r w:rsidR="00740C04">
        <w:t xml:space="preserve">generuje 57 % výnosů. </w:t>
      </w:r>
      <w:r w:rsidR="00157D67">
        <w:t>Podíl MVNO pak i přes regulaci poklesl v</w:t>
      </w:r>
      <w:r w:rsidR="001E7F69">
        <w:t> letech 2015-2020</w:t>
      </w:r>
      <w:r w:rsidR="00157D67">
        <w:t xml:space="preserve"> o 50 %.</w:t>
      </w:r>
      <w:r w:rsidR="00C83C33">
        <w:t xml:space="preserve"> </w:t>
      </w:r>
      <w:r w:rsidR="00C83C33" w:rsidRPr="00C83C33">
        <w:rPr>
          <w:b/>
          <w:bCs/>
        </w:rPr>
        <w:t>Je zřejmé, že se jedná o naprosto odlišnou tržní situaci.</w:t>
      </w:r>
    </w:p>
    <w:p w14:paraId="1ABF407F" w14:textId="171885B0" w:rsidR="00C83C33" w:rsidRPr="006E1F9F" w:rsidRDefault="00A07044" w:rsidP="0097278D">
      <w:pPr>
        <w:ind w:left="426"/>
      </w:pPr>
      <w:r>
        <w:t xml:space="preserve">Co se týče </w:t>
      </w:r>
      <w:r w:rsidR="008B0DB9">
        <w:t xml:space="preserve">existence závazků převzatých fúzujícími mobilními operátory, tak zaprvé mají omezenou platnost a dnes již patrně ani v Rakousku ani v Irsku neplatí a za druhé </w:t>
      </w:r>
      <w:r w:rsidR="004E2784">
        <w:t>z námi zjištěných informací obsah</w:t>
      </w:r>
      <w:r w:rsidR="002965AC">
        <w:t>oval</w:t>
      </w:r>
      <w:r w:rsidR="00E75770">
        <w:t>y</w:t>
      </w:r>
      <w:r w:rsidR="004E2784">
        <w:t xml:space="preserve"> pouze povinnost poskytnutí kapacity, respektive přístupu za přijatelných podmínek, nikoliv přímou cenou regulaci, o kterou se nyní snaží ČTÚ</w:t>
      </w:r>
      <w:r w:rsidR="002965AC">
        <w:t xml:space="preserve"> prostřednictvím ex-ante regulace</w:t>
      </w:r>
      <w:r w:rsidR="004E2784">
        <w:t xml:space="preserve">. </w:t>
      </w:r>
      <w:r w:rsidR="008F531A">
        <w:t xml:space="preserve">Podmínky v České republice, kde je cenově regulována referenční nabídka pro </w:t>
      </w:r>
      <w:proofErr w:type="spellStart"/>
      <w:r w:rsidR="008F531A">
        <w:t>Light</w:t>
      </w:r>
      <w:proofErr w:type="spellEnd"/>
      <w:r w:rsidR="008F531A">
        <w:t xml:space="preserve"> MVNO, Full MVNO i národní roaming </w:t>
      </w:r>
      <w:r w:rsidR="00D12683">
        <w:t xml:space="preserve">až </w:t>
      </w:r>
      <w:r w:rsidR="008F531A">
        <w:t>pro 3 oprávněné subjekty</w:t>
      </w:r>
      <w:r w:rsidR="00D12683">
        <w:t>,</w:t>
      </w:r>
      <w:r w:rsidR="008F531A">
        <w:t xml:space="preserve"> je tak již nyní daleko za hranicí regulace ve všech ostatních zemích EU.</w:t>
      </w:r>
      <w:r w:rsidR="00D84A89">
        <w:t xml:space="preserve"> </w:t>
      </w:r>
      <w:r w:rsidR="00D84A89" w:rsidRPr="006E1F9F">
        <w:rPr>
          <w:b/>
          <w:bCs/>
        </w:rPr>
        <w:t xml:space="preserve">Opravdu tedy </w:t>
      </w:r>
      <w:r w:rsidR="00D84A89" w:rsidRPr="006E1F9F">
        <w:rPr>
          <w:b/>
          <w:bCs/>
          <w:u w:val="single"/>
        </w:rPr>
        <w:t>není</w:t>
      </w:r>
      <w:r w:rsidR="00D84A89" w:rsidRPr="006E1F9F">
        <w:rPr>
          <w:b/>
          <w:bCs/>
        </w:rPr>
        <w:t xml:space="preserve"> zřejmé, že regulace mobilních trhů, včetně regulace ex ante, je běžně používaným nástrojem regulačních úřadů </w:t>
      </w:r>
      <w:r w:rsidR="006E1F9F" w:rsidRPr="006E1F9F">
        <w:rPr>
          <w:b/>
          <w:bCs/>
        </w:rPr>
        <w:t>a návrh analýzy není ničím nestandardním.</w:t>
      </w:r>
      <w:r w:rsidR="006E1F9F">
        <w:rPr>
          <w:b/>
          <w:bCs/>
        </w:rPr>
        <w:t xml:space="preserve"> </w:t>
      </w:r>
      <w:r w:rsidR="006E1F9F">
        <w:t>Zřejmé to mohlo být naposledy v minulém tisíciletí.</w:t>
      </w:r>
    </w:p>
    <w:p w14:paraId="35D8F330" w14:textId="66FF643D" w:rsidR="0063448D" w:rsidRDefault="00A57AAD" w:rsidP="0097278D">
      <w:pPr>
        <w:ind w:left="426"/>
      </w:pPr>
      <w:r>
        <w:t xml:space="preserve">Co se týče následného cenového srovnání vycházejícího ze srovnání Evropské komise, odkazujeme na </w:t>
      </w:r>
      <w:r w:rsidR="00926A40">
        <w:t xml:space="preserve">připomínky ke kapitole C.3. </w:t>
      </w:r>
      <w:r w:rsidR="00C956FF">
        <w:t xml:space="preserve">Pokud ČTÚ považuje </w:t>
      </w:r>
      <w:r w:rsidR="00D36261">
        <w:t xml:space="preserve">v grafech </w:t>
      </w:r>
      <w:r w:rsidR="00C956FF">
        <w:t>uvedené ceny za referenční</w:t>
      </w:r>
      <w:r w:rsidR="00D36261">
        <w:t>, vypovídá to o kvalitě zpracování analýzy</w:t>
      </w:r>
      <w:r w:rsidR="00063521">
        <w:t>, respektive o odtažitosti externích poradců od reálií mobilního trhu v České republice.</w:t>
      </w:r>
    </w:p>
    <w:p w14:paraId="6EB564F4" w14:textId="42D21FA8" w:rsidR="00063521" w:rsidRDefault="00AC2EE8" w:rsidP="0097278D">
      <w:pPr>
        <w:ind w:left="426"/>
      </w:pPr>
      <w:r>
        <w:t xml:space="preserve">Od roku 2016, kdy ČTÚ </w:t>
      </w:r>
      <w:r w:rsidR="00520F95">
        <w:t xml:space="preserve">dospěl k závěru, že tržní selhání není nutné napravovat ex ante regulací, ceny setrvale klesaly a tržní podíl MVNO se zvýšil. </w:t>
      </w:r>
      <w:r w:rsidR="00E7373F">
        <w:t xml:space="preserve">ČTÚ přesto uložil velmi přísné regulované podmínky přístupu na velkoobchodní trh a </w:t>
      </w:r>
      <w:r w:rsidR="00FC3F27">
        <w:t xml:space="preserve">velmi benevolentní a přísně regulovaný přístup k národnímu roamingu, a to rovnou pro 3 subjekty. V žádném případě tak není možné hovořit o tom, že se situace </w:t>
      </w:r>
      <w:r w:rsidR="001C3BB9">
        <w:t>oproti roku 2016 zhoršila</w:t>
      </w:r>
      <w:r w:rsidR="001C456B">
        <w:t xml:space="preserve"> </w:t>
      </w:r>
      <w:r w:rsidR="001C456B" w:rsidRPr="001C456B">
        <w:t>(dokonce ani z pohledu cen, kdy</w:t>
      </w:r>
      <w:r w:rsidR="001C456B">
        <w:t>ž</w:t>
      </w:r>
      <w:r w:rsidR="001C456B" w:rsidRPr="001C456B">
        <w:t xml:space="preserve"> ceny klesají</w:t>
      </w:r>
      <w:r w:rsidR="001C456B">
        <w:t>,</w:t>
      </w:r>
      <w:r w:rsidR="001C456B" w:rsidRPr="001C456B">
        <w:t xml:space="preserve"> jak je uvedeno výše, ani z pohledu struktury trhu).</w:t>
      </w:r>
    </w:p>
    <w:p w14:paraId="26BD8D24" w14:textId="728CE3DD" w:rsidR="001C3BB9" w:rsidRDefault="00B60987" w:rsidP="0097278D">
      <w:pPr>
        <w:ind w:left="426"/>
      </w:pPr>
      <w:r>
        <w:t xml:space="preserve">Dále </w:t>
      </w:r>
      <w:r w:rsidR="00A4532F" w:rsidRPr="00A4532F">
        <w:t xml:space="preserve">ČTÚ již opakovaně předkládá nepravdivé informace, když tvrdí, že </w:t>
      </w:r>
      <w:r w:rsidR="00A4532F" w:rsidRPr="00B60987">
        <w:rPr>
          <w:i/>
          <w:iCs/>
        </w:rPr>
        <w:t>„(ČTÚ) výsledky testu 3 kritérií konzultoval s Evropskou komisí, která k závěrům ČTÚ nevznesla vážné pochybnosti“</w:t>
      </w:r>
      <w:r w:rsidR="00A4532F" w:rsidRPr="00A4532F">
        <w:t xml:space="preserve">. Sama Evropská komise přitom jasně uvádí, že </w:t>
      </w:r>
      <w:r w:rsidR="00A4532F" w:rsidRPr="00B60987">
        <w:rPr>
          <w:i/>
          <w:iCs/>
        </w:rPr>
        <w:t>„není v tomto ohledu zmocněna vznést vážné pochybnosti.“</w:t>
      </w:r>
      <w:r w:rsidR="00A4532F" w:rsidRPr="00A4532F">
        <w:t xml:space="preserve">  To je jasná účelová desinterpretace ze strany ČTÚ. Jak uvádíme a citujeme výše, Evropská komise v roce 2019 ve svém vyjádření upozornila ČTÚ na nedostatečnost </w:t>
      </w:r>
      <w:proofErr w:type="spellStart"/>
      <w:r w:rsidR="00A4532F" w:rsidRPr="00A4532F">
        <w:t>tříkriteriálního</w:t>
      </w:r>
      <w:proofErr w:type="spellEnd"/>
      <w:r w:rsidR="00A4532F" w:rsidRPr="00A4532F">
        <w:t xml:space="preserve"> testu s nejvyšší možnou razancí a </w:t>
      </w:r>
      <w:r w:rsidR="00A4532F" w:rsidRPr="00492370">
        <w:rPr>
          <w:b/>
          <w:bCs/>
        </w:rPr>
        <w:t xml:space="preserve">je velmi udivující, že je ČTÚ i přes nejvyšší upozornění připraven s takto nekvalitním podkladem žádat </w:t>
      </w:r>
      <w:r w:rsidR="00492370" w:rsidRPr="00492370">
        <w:rPr>
          <w:b/>
          <w:bCs/>
        </w:rPr>
        <w:t xml:space="preserve">PODRUHÉ o </w:t>
      </w:r>
      <w:r w:rsidR="00A4532F" w:rsidRPr="00492370">
        <w:rPr>
          <w:b/>
          <w:bCs/>
        </w:rPr>
        <w:t>notifikaci analýzy relevantního trhu</w:t>
      </w:r>
      <w:r w:rsidR="00A4532F" w:rsidRPr="00A4532F">
        <w:t>.</w:t>
      </w:r>
    </w:p>
    <w:p w14:paraId="220E829C" w14:textId="22CD7E91" w:rsidR="006636EA" w:rsidRDefault="006636EA" w:rsidP="0097278D">
      <w:pPr>
        <w:ind w:left="426"/>
      </w:pPr>
      <w:r>
        <w:t xml:space="preserve">Jak uvádíme i v úvodu těchto připomínek, považujeme za velmi nepřiměřené, že ČTÚ v návaznosti na </w:t>
      </w:r>
      <w:proofErr w:type="spellStart"/>
      <w:r>
        <w:t>tříkriteriální</w:t>
      </w:r>
      <w:proofErr w:type="spellEnd"/>
      <w:r>
        <w:t xml:space="preserve"> test a předběžnou </w:t>
      </w:r>
      <w:r w:rsidR="00F228F7">
        <w:t xml:space="preserve">tržní </w:t>
      </w:r>
      <w:r>
        <w:t xml:space="preserve">analýzu </w:t>
      </w:r>
      <w:r w:rsidRPr="001C456B">
        <w:rPr>
          <w:u w:val="single"/>
        </w:rPr>
        <w:t xml:space="preserve">konzultuje již třetí verzi </w:t>
      </w:r>
      <w:r w:rsidR="00F228F7" w:rsidRPr="001C456B">
        <w:rPr>
          <w:u w:val="single"/>
        </w:rPr>
        <w:t>analýzy trhu č. 3</w:t>
      </w:r>
      <w:r w:rsidR="00413B09" w:rsidRPr="001C456B">
        <w:rPr>
          <w:u w:val="single"/>
        </w:rPr>
        <w:t xml:space="preserve"> </w:t>
      </w:r>
      <w:r w:rsidR="00F228F7" w:rsidRPr="001C456B">
        <w:rPr>
          <w:u w:val="single"/>
        </w:rPr>
        <w:t>za posledních 8 měsíců</w:t>
      </w:r>
      <w:r w:rsidR="00413B09" w:rsidRPr="001C456B">
        <w:rPr>
          <w:u w:val="single"/>
        </w:rPr>
        <w:t xml:space="preserve">, a to i přes zjevný </w:t>
      </w:r>
      <w:r w:rsidR="00E75770" w:rsidRPr="001C456B">
        <w:rPr>
          <w:u w:val="single"/>
        </w:rPr>
        <w:t xml:space="preserve">nesouhlas </w:t>
      </w:r>
      <w:r w:rsidR="00413B09" w:rsidRPr="001C456B">
        <w:rPr>
          <w:u w:val="single"/>
        </w:rPr>
        <w:t>Evropské komise a BEREC.</w:t>
      </w:r>
    </w:p>
    <w:p w14:paraId="6ED077A1" w14:textId="7B8687AE" w:rsidR="006974CD" w:rsidRDefault="00F524D6" w:rsidP="007C42B4">
      <w:pPr>
        <w:pStyle w:val="Nadpis2"/>
      </w:pPr>
      <w:r>
        <w:lastRenderedPageBreak/>
        <w:t xml:space="preserve">C.5 </w:t>
      </w:r>
      <w:r w:rsidR="00AE01B8">
        <w:t>Hodnocení situace na velkoobchodním trhu ze strany virtuálních síťových operátorů</w:t>
      </w:r>
      <w:r w:rsidR="00A3465B">
        <w:t xml:space="preserve"> (s. 33-34)</w:t>
      </w:r>
    </w:p>
    <w:p w14:paraId="775C77C5" w14:textId="77777777" w:rsidR="00AE01B8" w:rsidRPr="007F2682" w:rsidRDefault="00AE01B8" w:rsidP="00AE01B8">
      <w:pPr>
        <w:pStyle w:val="Podnadpis"/>
      </w:pPr>
      <w:r w:rsidRPr="007F2682">
        <w:t xml:space="preserve">Návrh na doplnění, změnu, zrušení nebo nahrazení textu ustanovení návrhu opatření: </w:t>
      </w:r>
    </w:p>
    <w:p w14:paraId="316BBD40" w14:textId="36B026B8" w:rsidR="00AE01B8" w:rsidRDefault="00672809" w:rsidP="00AE01B8">
      <w:pPr>
        <w:ind w:left="357"/>
        <w:rPr>
          <w:rFonts w:cs="Arial"/>
          <w:b/>
          <w:szCs w:val="22"/>
        </w:rPr>
      </w:pPr>
      <w:r>
        <w:rPr>
          <w:rFonts w:cs="Arial"/>
          <w:b/>
          <w:szCs w:val="22"/>
        </w:rPr>
        <w:t>Odstranit tuto kapitolu nebo vysvětlit, co má být sdělením relevantním pro analýzu trhu.</w:t>
      </w:r>
    </w:p>
    <w:p w14:paraId="0D47FD52" w14:textId="77777777" w:rsidR="00AE01B8" w:rsidRPr="007F2682" w:rsidRDefault="00AE01B8" w:rsidP="00AE01B8">
      <w:pPr>
        <w:pStyle w:val="Podnadpis"/>
      </w:pPr>
      <w:r w:rsidRPr="007F2682">
        <w:t>Odůvodnění:</w:t>
      </w:r>
    </w:p>
    <w:p w14:paraId="6947AF39" w14:textId="1C2AB8C5" w:rsidR="00AE01B8" w:rsidRDefault="006916DC" w:rsidP="00AE01B8">
      <w:pPr>
        <w:ind w:left="426"/>
        <w:rPr>
          <w:rFonts w:cs="Arial"/>
          <w:szCs w:val="22"/>
        </w:rPr>
      </w:pPr>
      <w:r>
        <w:rPr>
          <w:rFonts w:cs="Arial"/>
          <w:szCs w:val="22"/>
        </w:rPr>
        <w:t>Z</w:t>
      </w:r>
      <w:r w:rsidR="001B1B30">
        <w:rPr>
          <w:rFonts w:cs="Arial"/>
          <w:szCs w:val="22"/>
        </w:rPr>
        <w:t xml:space="preserve"> této kapitoly není zřejmé, co chce ČTÚ sdělit. </w:t>
      </w:r>
      <w:r w:rsidR="00984A73">
        <w:rPr>
          <w:rFonts w:cs="Arial"/>
          <w:szCs w:val="22"/>
        </w:rPr>
        <w:t xml:space="preserve">K fluktuaci na trhu se již společnost O2 </w:t>
      </w:r>
      <w:r w:rsidR="00352773">
        <w:rPr>
          <w:rFonts w:cs="Arial"/>
          <w:szCs w:val="22"/>
        </w:rPr>
        <w:t>vyjadřovala v předchozích připomínkách a považuje jí za pozitivní známku probíhající tržní konkurence</w:t>
      </w:r>
      <w:r w:rsidR="0079503E">
        <w:rPr>
          <w:rFonts w:cs="Arial"/>
          <w:szCs w:val="22"/>
        </w:rPr>
        <w:t xml:space="preserve"> a </w:t>
      </w:r>
      <w:r w:rsidR="00C1308E">
        <w:rPr>
          <w:rFonts w:cs="Arial"/>
          <w:szCs w:val="22"/>
        </w:rPr>
        <w:t>tržní efektivity</w:t>
      </w:r>
      <w:r w:rsidR="00352773">
        <w:rPr>
          <w:rFonts w:cs="Arial"/>
          <w:szCs w:val="22"/>
        </w:rPr>
        <w:t xml:space="preserve">. </w:t>
      </w:r>
      <w:r w:rsidR="00D66F4E">
        <w:rPr>
          <w:rFonts w:cs="Arial"/>
          <w:szCs w:val="22"/>
        </w:rPr>
        <w:t>Považuje snad ČTÚ proběhlé či nadcházející dobrovolné rozdělení všech MNO v České republice s následnou částečnou změnou vlastnické struktury také za negativní jev?</w:t>
      </w:r>
    </w:p>
    <w:p w14:paraId="5F593429" w14:textId="4B1F790D" w:rsidR="00D66F4E" w:rsidRDefault="00C1308E" w:rsidP="00AE01B8">
      <w:pPr>
        <w:ind w:left="426"/>
      </w:pPr>
      <w:r>
        <w:t xml:space="preserve">Dále ČTÚ uvádí, že nedošlo ke změně poskytovatele velkoobchodních služeb </w:t>
      </w:r>
      <w:r w:rsidR="00664624">
        <w:t>u žádného MVNO, přitom společnost O2 má v síti MVNO, který svého poskytovatele velkoobchodních služeb změnil.</w:t>
      </w:r>
    </w:p>
    <w:p w14:paraId="1173CF0D" w14:textId="03B15583" w:rsidR="00823333" w:rsidRDefault="00733E84" w:rsidP="00AE01B8">
      <w:pPr>
        <w:ind w:left="426"/>
      </w:pPr>
      <w:r>
        <w:t>Následně je bez dalšího komentáře zmíněn počet obchodních kontaktů, který může být kdykoliv iniciován jednou ze stran. Není tedy zřejmé, co chce ČTÚ touto kapitolou sdělit.</w:t>
      </w:r>
    </w:p>
    <w:p w14:paraId="452A34CB" w14:textId="1ECA2B1A" w:rsidR="00733E84" w:rsidRDefault="00733E84" w:rsidP="00AE01B8">
      <w:pPr>
        <w:ind w:left="426"/>
      </w:pPr>
      <w:r>
        <w:t xml:space="preserve">Závěrem </w:t>
      </w:r>
      <w:r w:rsidR="00AC34FA">
        <w:t>ČTÚ uvádí</w:t>
      </w:r>
      <w:r w:rsidR="00896190">
        <w:t xml:space="preserve"> zastoupení klíčových IT systémů (definice?), ze kterého vyplývá,</w:t>
      </w:r>
      <w:r w:rsidR="008553B0">
        <w:t xml:space="preserve"> že 35 % z MVNO, kteří reagovali na dotazník ČTÚ, provozuje všechny své klíčové IT systémy sam</w:t>
      </w:r>
      <w:r w:rsidR="009C7CD1">
        <w:t xml:space="preserve">o, což nepodporuje </w:t>
      </w:r>
      <w:r w:rsidR="001074DF">
        <w:t>závěr ČTÚ o nutnosti poskytování této služby velk</w:t>
      </w:r>
      <w:r w:rsidR="00672809">
        <w:t>o</w:t>
      </w:r>
      <w:r w:rsidR="001074DF">
        <w:t>obchodním partnerům ze strany nově vstupujícího poskytovatele.</w:t>
      </w:r>
      <w:r w:rsidR="00B00808">
        <w:t xml:space="preserve"> V každém případě ani v tomto případě není zřejmé, co mělo být sdělením ČTÚ relevantním pro analýzu trhu.</w:t>
      </w:r>
    </w:p>
    <w:p w14:paraId="31C69F36" w14:textId="0C32AA75" w:rsidR="00B00808" w:rsidRDefault="002B39CC" w:rsidP="00B00808">
      <w:pPr>
        <w:pStyle w:val="Nadpis2"/>
      </w:pPr>
      <w:r>
        <w:t xml:space="preserve">C.6 </w:t>
      </w:r>
      <w:r w:rsidR="00B00808">
        <w:t xml:space="preserve">Analýza </w:t>
      </w:r>
      <w:proofErr w:type="spellStart"/>
      <w:r w:rsidR="00B00808">
        <w:t>replikovatelnosti</w:t>
      </w:r>
      <w:proofErr w:type="spellEnd"/>
      <w:r w:rsidR="00B00808">
        <w:t xml:space="preserve"> nabídky síťových operátorů</w:t>
      </w:r>
      <w:r w:rsidR="00A3465B">
        <w:t xml:space="preserve"> (s. </w:t>
      </w:r>
      <w:r w:rsidR="00F26B52">
        <w:t>34-49)</w:t>
      </w:r>
    </w:p>
    <w:p w14:paraId="59FEDA35" w14:textId="77777777" w:rsidR="00B00808" w:rsidRPr="007F2682" w:rsidRDefault="00B00808" w:rsidP="00B00808">
      <w:pPr>
        <w:pStyle w:val="Podnadpis"/>
      </w:pPr>
      <w:r w:rsidRPr="007F2682">
        <w:t xml:space="preserve">Návrh na doplnění, změnu, zrušení nebo nahrazení textu ustanovení návrhu opatření: </w:t>
      </w:r>
    </w:p>
    <w:p w14:paraId="2105FBF9" w14:textId="6A283CCC" w:rsidR="00B00808" w:rsidRDefault="00AF07F9" w:rsidP="00B00808">
      <w:pPr>
        <w:ind w:left="357"/>
        <w:rPr>
          <w:rFonts w:cs="Arial"/>
          <w:b/>
          <w:szCs w:val="22"/>
        </w:rPr>
      </w:pPr>
      <w:r>
        <w:rPr>
          <w:rFonts w:cs="Arial"/>
          <w:b/>
          <w:szCs w:val="22"/>
        </w:rPr>
        <w:t xml:space="preserve">Revize testu </w:t>
      </w:r>
      <w:proofErr w:type="spellStart"/>
      <w:r>
        <w:rPr>
          <w:rFonts w:cs="Arial"/>
          <w:b/>
          <w:szCs w:val="22"/>
        </w:rPr>
        <w:t>replikovatelnosti</w:t>
      </w:r>
      <w:proofErr w:type="spellEnd"/>
      <w:r>
        <w:rPr>
          <w:rFonts w:cs="Arial"/>
          <w:b/>
          <w:szCs w:val="22"/>
        </w:rPr>
        <w:t xml:space="preserve"> ve smyslu narovnání s realitou.</w:t>
      </w:r>
    </w:p>
    <w:p w14:paraId="7DA03554" w14:textId="77777777" w:rsidR="00B00808" w:rsidRPr="007F2682" w:rsidRDefault="00B00808" w:rsidP="00B00808">
      <w:pPr>
        <w:pStyle w:val="Podnadpis"/>
      </w:pPr>
      <w:r w:rsidRPr="007F2682">
        <w:t>Odůvodnění:</w:t>
      </w:r>
    </w:p>
    <w:p w14:paraId="7757F506" w14:textId="1F4F01F2" w:rsidR="00B00808" w:rsidRDefault="00F26B52" w:rsidP="00DD785D">
      <w:pPr>
        <w:ind w:left="426"/>
        <w:rPr>
          <w:rFonts w:cs="Arial"/>
          <w:szCs w:val="22"/>
        </w:rPr>
      </w:pPr>
      <w:r>
        <w:rPr>
          <w:rFonts w:cs="Arial"/>
          <w:szCs w:val="22"/>
        </w:rPr>
        <w:t xml:space="preserve">ČTÚ v této kapitole uvádí, že </w:t>
      </w:r>
      <w:r w:rsidR="00DD785D" w:rsidRPr="00DD785D">
        <w:rPr>
          <w:rFonts w:cs="Arial"/>
          <w:i/>
          <w:iCs/>
          <w:szCs w:val="22"/>
        </w:rPr>
        <w:t>„Produktová portfolia síťových operátorů jsou nejvíc orientována na tarify v cenových hladinách od 301 Kč do 800 Kč bez DPH. Naopak, produktová portfolia virtuálních operátorů jsou orientována především na tarify s cenovou hladinou do 300 Kč bez DPH, výrazně méně pak s cenovou hladinou mezi 301 a 500 Kč bez DPH.“</w:t>
      </w:r>
      <w:r w:rsidR="00C118CF">
        <w:rPr>
          <w:rFonts w:cs="Arial"/>
          <w:szCs w:val="22"/>
        </w:rPr>
        <w:t xml:space="preserve">, což se snaží prokázat </w:t>
      </w:r>
      <w:r w:rsidR="007B2623">
        <w:rPr>
          <w:rFonts w:cs="Arial"/>
          <w:szCs w:val="22"/>
        </w:rPr>
        <w:t xml:space="preserve">počtem tarifů v jednotlivých cenových kategoriích. Již v připomínce k cenovým srovnáním jsme jasně na reálných datech prokázali, že cenová nabídka </w:t>
      </w:r>
      <w:r w:rsidR="00E41D6A">
        <w:rPr>
          <w:rFonts w:cs="Arial"/>
          <w:szCs w:val="22"/>
        </w:rPr>
        <w:t>MVNO je konkurenceschopná i u nevyšších tarifních řad a že cenová úroveň je u MVNO obecně nižší</w:t>
      </w:r>
      <w:r w:rsidR="000B6C1C">
        <w:rPr>
          <w:rFonts w:cs="Arial"/>
          <w:szCs w:val="22"/>
        </w:rPr>
        <w:t xml:space="preserve">, a proto nemusí být ochotni nabízet tarif v cenové hladině nad 1000 Kč, </w:t>
      </w:r>
      <w:r w:rsidR="00E10AE6">
        <w:rPr>
          <w:rFonts w:cs="Arial"/>
          <w:szCs w:val="22"/>
        </w:rPr>
        <w:t xml:space="preserve">které je dnes navíc minoritní. </w:t>
      </w:r>
      <w:r w:rsidR="00C3515F">
        <w:rPr>
          <w:rFonts w:cs="Arial"/>
          <w:szCs w:val="22"/>
        </w:rPr>
        <w:t>Zadruhé skutečnost, že se MVNO snaží získat zákazníky ze segmentů, kter</w:t>
      </w:r>
      <w:r w:rsidR="00E75770">
        <w:rPr>
          <w:rFonts w:cs="Arial"/>
          <w:szCs w:val="22"/>
        </w:rPr>
        <w:t>é</w:t>
      </w:r>
      <w:r w:rsidR="00782D74">
        <w:rPr>
          <w:rFonts w:cs="Arial"/>
          <w:szCs w:val="22"/>
        </w:rPr>
        <w:t xml:space="preserve"> nabízí větší prostor k ziskovosti, není chování odporující </w:t>
      </w:r>
      <w:r w:rsidR="00782D74">
        <w:rPr>
          <w:rFonts w:cs="Arial"/>
          <w:szCs w:val="22"/>
        </w:rPr>
        <w:lastRenderedPageBreak/>
        <w:t>standardnímu tržnímu chování.</w:t>
      </w:r>
      <w:r w:rsidR="00B61139">
        <w:rPr>
          <w:rFonts w:cs="Arial"/>
          <w:szCs w:val="22"/>
        </w:rPr>
        <w:t xml:space="preserve"> </w:t>
      </w:r>
      <w:r w:rsidR="006E6A68">
        <w:rPr>
          <w:rFonts w:cs="Arial"/>
          <w:szCs w:val="22"/>
        </w:rPr>
        <w:t xml:space="preserve">Stejně tak fakt, že síťový operátor je </w:t>
      </w:r>
      <w:r w:rsidR="007D4D9F">
        <w:rPr>
          <w:rFonts w:cs="Arial"/>
          <w:szCs w:val="22"/>
        </w:rPr>
        <w:t>ve skladbě celého tarifního portfolia ochoten nabízet datově neomezené tarify, byť to může v některých případech</w:t>
      </w:r>
      <w:r w:rsidR="00513EF9">
        <w:rPr>
          <w:rFonts w:cs="Arial"/>
          <w:szCs w:val="22"/>
        </w:rPr>
        <w:t xml:space="preserve"> extrémního čerpání</w:t>
      </w:r>
      <w:r w:rsidR="007D4D9F">
        <w:rPr>
          <w:rFonts w:cs="Arial"/>
          <w:szCs w:val="22"/>
        </w:rPr>
        <w:t xml:space="preserve"> znamenat </w:t>
      </w:r>
      <w:r w:rsidR="00513EF9">
        <w:rPr>
          <w:rFonts w:cs="Arial"/>
          <w:szCs w:val="22"/>
        </w:rPr>
        <w:t xml:space="preserve">ztrátu a MVNO nikoliv, není překvapivé. </w:t>
      </w:r>
      <w:r w:rsidR="00A93542">
        <w:rPr>
          <w:rFonts w:cs="Arial"/>
          <w:szCs w:val="22"/>
        </w:rPr>
        <w:t xml:space="preserve">Stejně tak odlišné nastavení volných jednotek. </w:t>
      </w:r>
      <w:r w:rsidR="00657109">
        <w:rPr>
          <w:rFonts w:cs="Arial"/>
          <w:szCs w:val="22"/>
        </w:rPr>
        <w:t xml:space="preserve">To že daný subjekt nabízí neomezené volání neznamená, že průměrné čerpání těchto jednotek je také neomezené. </w:t>
      </w:r>
      <w:r w:rsidR="00620B74">
        <w:rPr>
          <w:rFonts w:cs="Arial"/>
          <w:szCs w:val="22"/>
        </w:rPr>
        <w:t xml:space="preserve">Pokud se průměrná spotřeba provolaných minut pohybuje v řádu nižších stovek minut za měsíc, </w:t>
      </w:r>
      <w:r w:rsidR="00011606">
        <w:rPr>
          <w:rFonts w:cs="Arial"/>
          <w:szCs w:val="22"/>
        </w:rPr>
        <w:t>neznamená závěr ČTÚ na s. 43 nic zásadního.</w:t>
      </w:r>
    </w:p>
    <w:p w14:paraId="03AB0E27" w14:textId="42664A48" w:rsidR="006C4B1C" w:rsidRDefault="006C4B1C" w:rsidP="00DD785D">
      <w:pPr>
        <w:ind w:left="426"/>
        <w:rPr>
          <w:rFonts w:cs="Arial"/>
          <w:szCs w:val="22"/>
        </w:rPr>
      </w:pPr>
      <w:r>
        <w:rPr>
          <w:rFonts w:cs="Arial"/>
          <w:szCs w:val="22"/>
        </w:rPr>
        <w:t xml:space="preserve">ČTÚ následně přešel k testu </w:t>
      </w:r>
      <w:proofErr w:type="spellStart"/>
      <w:r>
        <w:rPr>
          <w:rFonts w:cs="Arial"/>
          <w:szCs w:val="22"/>
        </w:rPr>
        <w:t>replikovatelnosti</w:t>
      </w:r>
      <w:proofErr w:type="spellEnd"/>
      <w:r w:rsidR="00BD721C">
        <w:rPr>
          <w:rFonts w:cs="Arial"/>
          <w:szCs w:val="22"/>
        </w:rPr>
        <w:t xml:space="preserve">, přičemž není zřejmé, jaká vstupní data pro svůj model použil. V připomínkách k mezinárodnímu srovnání bylo prokázáno, že </w:t>
      </w:r>
      <w:r w:rsidR="00187555">
        <w:rPr>
          <w:rFonts w:cs="Arial"/>
          <w:szCs w:val="22"/>
        </w:rPr>
        <w:t xml:space="preserve">část (majetkově nepropojených) MVNO je schopna nabízet nižší </w:t>
      </w:r>
      <w:proofErr w:type="gramStart"/>
      <w:r w:rsidR="00187555">
        <w:rPr>
          <w:rFonts w:cs="Arial"/>
          <w:szCs w:val="22"/>
        </w:rPr>
        <w:t>ceny</w:t>
      </w:r>
      <w:proofErr w:type="gramEnd"/>
      <w:r w:rsidR="00187555">
        <w:rPr>
          <w:rFonts w:cs="Arial"/>
          <w:szCs w:val="22"/>
        </w:rPr>
        <w:t xml:space="preserve"> než jsou ceny MNO, a přesto</w:t>
      </w:r>
      <w:r w:rsidR="00024219">
        <w:rPr>
          <w:rFonts w:cs="Arial"/>
          <w:szCs w:val="22"/>
        </w:rPr>
        <w:t xml:space="preserve"> dlouhodobě</w:t>
      </w:r>
      <w:r w:rsidR="00187555">
        <w:rPr>
          <w:rFonts w:cs="Arial"/>
          <w:szCs w:val="22"/>
        </w:rPr>
        <w:t xml:space="preserve"> </w:t>
      </w:r>
      <w:r w:rsidR="00024219">
        <w:rPr>
          <w:rFonts w:cs="Arial"/>
          <w:szCs w:val="22"/>
        </w:rPr>
        <w:t>ziskově podnikat. Je možné a dokonce pravděpodobné, že část MVNO, kteří disponují bází v řádu stovek či dokonce desítek služeb</w:t>
      </w:r>
      <w:r w:rsidR="00E75770">
        <w:rPr>
          <w:rFonts w:cs="Arial"/>
          <w:szCs w:val="22"/>
        </w:rPr>
        <w:t>,</w:t>
      </w:r>
      <w:r w:rsidR="00024219">
        <w:rPr>
          <w:rFonts w:cs="Arial"/>
          <w:szCs w:val="22"/>
        </w:rPr>
        <w:t xml:space="preserve"> </w:t>
      </w:r>
      <w:r w:rsidR="00BC1700">
        <w:rPr>
          <w:rFonts w:cs="Arial"/>
          <w:szCs w:val="22"/>
        </w:rPr>
        <w:t>nebude schopna dosahovat dlouhodobého zisku. Není však možné, aby ČTÚ došel k</w:t>
      </w:r>
      <w:r w:rsidR="007521E3">
        <w:rPr>
          <w:rFonts w:cs="Arial"/>
          <w:szCs w:val="22"/>
        </w:rPr>
        <w:t> </w:t>
      </w:r>
      <w:r w:rsidR="00BC1700">
        <w:rPr>
          <w:rFonts w:cs="Arial"/>
          <w:szCs w:val="22"/>
        </w:rPr>
        <w:t>závěru</w:t>
      </w:r>
      <w:r w:rsidR="007521E3">
        <w:rPr>
          <w:rFonts w:cs="Arial"/>
          <w:szCs w:val="22"/>
        </w:rPr>
        <w:t>, že MVNO nejsou obecně schopni replikovat 84 % produktů MNO.</w:t>
      </w:r>
      <w:r w:rsidR="006F72F2">
        <w:rPr>
          <w:rFonts w:cs="Arial"/>
          <w:szCs w:val="22"/>
        </w:rPr>
        <w:t xml:space="preserve"> </w:t>
      </w:r>
      <w:r w:rsidR="00010125">
        <w:rPr>
          <w:rFonts w:cs="Arial"/>
          <w:szCs w:val="22"/>
        </w:rPr>
        <w:t xml:space="preserve">Není vůbec zřejmé, jak mohl ČTÚ dojít k částkám jako </w:t>
      </w:r>
      <w:r w:rsidR="00010125">
        <w:rPr>
          <w:rFonts w:cs="Arial"/>
          <w:szCs w:val="22"/>
        </w:rPr>
        <w:noBreakHyphen/>
        <w:t xml:space="preserve">11 824 Kč/měsíc. </w:t>
      </w:r>
      <w:r w:rsidR="006F72F2">
        <w:rPr>
          <w:rFonts w:cs="Arial"/>
          <w:szCs w:val="22"/>
        </w:rPr>
        <w:t>Pokud při analýze dojdeme ke zjevně nesmyslnému výsledku odporující empi</w:t>
      </w:r>
      <w:r w:rsidR="006916EF">
        <w:rPr>
          <w:rFonts w:cs="Arial"/>
          <w:szCs w:val="22"/>
        </w:rPr>
        <w:t>rii (realitě trhu)</w:t>
      </w:r>
      <w:r w:rsidR="006F72F2">
        <w:rPr>
          <w:rFonts w:cs="Arial"/>
          <w:szCs w:val="22"/>
        </w:rPr>
        <w:t>, je naší povinností</w:t>
      </w:r>
      <w:r w:rsidR="006916EF">
        <w:rPr>
          <w:rFonts w:cs="Arial"/>
          <w:szCs w:val="22"/>
        </w:rPr>
        <w:t xml:space="preserve"> postup přezkoumat a odhalit metodické pochybení. To zjevně ČTÚ neučinil.</w:t>
      </w:r>
    </w:p>
    <w:p w14:paraId="1B5F5DFB" w14:textId="17A23244" w:rsidR="00622A30" w:rsidRDefault="00E168D8" w:rsidP="00622A30">
      <w:pPr>
        <w:ind w:left="357"/>
        <w:rPr>
          <w:rFonts w:cs="Arial"/>
          <w:b/>
          <w:bCs/>
          <w:szCs w:val="22"/>
        </w:rPr>
      </w:pPr>
      <w:r>
        <w:rPr>
          <w:rFonts w:cs="Arial"/>
          <w:szCs w:val="22"/>
        </w:rPr>
        <w:t xml:space="preserve">Jednou z chyb </w:t>
      </w:r>
      <w:r w:rsidR="00D05C51">
        <w:rPr>
          <w:rFonts w:cs="Arial"/>
          <w:szCs w:val="22"/>
        </w:rPr>
        <w:t xml:space="preserve">může být využití velkoobchodní ceny za služby z elektronického sběru dat. </w:t>
      </w:r>
      <w:r w:rsidR="00622A30" w:rsidRPr="007F2682">
        <w:rPr>
          <w:rFonts w:cs="Arial"/>
          <w:szCs w:val="22"/>
        </w:rPr>
        <w:t xml:space="preserve">Společnost O2 opětovně </w:t>
      </w:r>
      <w:r w:rsidR="00622A30">
        <w:rPr>
          <w:rFonts w:cs="Arial"/>
          <w:szCs w:val="22"/>
        </w:rPr>
        <w:t xml:space="preserve">a v Elektronické sběru dat (ESD) pravidelně </w:t>
      </w:r>
      <w:r w:rsidR="00622A30" w:rsidRPr="007F2682">
        <w:rPr>
          <w:rFonts w:cs="Arial"/>
          <w:szCs w:val="22"/>
        </w:rPr>
        <w:t xml:space="preserve">upozorňuje, že </w:t>
      </w:r>
      <w:r w:rsidR="00622A30" w:rsidRPr="000C6A56">
        <w:rPr>
          <w:rFonts w:cs="Arial"/>
          <w:b/>
          <w:bCs/>
          <w:szCs w:val="22"/>
        </w:rPr>
        <w:t>jsou výsledná data v grafu č. 3</w:t>
      </w:r>
      <w:r w:rsidR="00622A30">
        <w:rPr>
          <w:rFonts w:cs="Arial"/>
          <w:b/>
          <w:bCs/>
          <w:szCs w:val="22"/>
        </w:rPr>
        <w:t>2</w:t>
      </w:r>
      <w:r w:rsidR="00622A30" w:rsidRPr="000C6A56">
        <w:rPr>
          <w:rFonts w:cs="Arial"/>
          <w:b/>
          <w:bCs/>
          <w:szCs w:val="22"/>
        </w:rPr>
        <w:t xml:space="preserve"> zatížena metodikou stanovenou ČTÚ, která </w:t>
      </w:r>
      <w:r w:rsidR="00622A30">
        <w:rPr>
          <w:rFonts w:cs="Arial"/>
          <w:b/>
          <w:bCs/>
          <w:szCs w:val="22"/>
        </w:rPr>
        <w:t xml:space="preserve">však </w:t>
      </w:r>
      <w:r w:rsidR="00622A30" w:rsidRPr="000C6A56">
        <w:rPr>
          <w:rFonts w:cs="Arial"/>
          <w:b/>
          <w:bCs/>
          <w:szCs w:val="22"/>
        </w:rPr>
        <w:t>neodpovídá realitě.</w:t>
      </w:r>
      <w:r w:rsidR="00622A30" w:rsidRPr="007F2682">
        <w:rPr>
          <w:rFonts w:cs="Arial"/>
          <w:szCs w:val="22"/>
        </w:rPr>
        <w:t xml:space="preserve"> Mimo uměle vytvořených koeficientů do ní například vstupují data z oddělené evidence nákladů a výnosů se zpožděním více než 1 roku.</w:t>
      </w:r>
      <w:r w:rsidR="00622A30">
        <w:rPr>
          <w:rFonts w:cs="Arial"/>
          <w:szCs w:val="22"/>
        </w:rPr>
        <w:t xml:space="preserve"> Mimo jiné je také zatížen finančními modely nastavenými mezi MNO a majetkově propojenými MVNO. V tomto roce mělo například na vstupní údaje velký vliv rozdílné chování zákazníků v období pandemie a tím změna váhy hlasových služeb. </w:t>
      </w:r>
      <w:r w:rsidR="00622A30" w:rsidRPr="00A22394">
        <w:rPr>
          <w:rFonts w:cs="Arial"/>
          <w:b/>
          <w:bCs/>
          <w:szCs w:val="22"/>
        </w:rPr>
        <w:t>Je samozřejmě naprosto nesmyslné, že by došlo k meziročnímu nárůstu velkoobchodní ceny o 30 %.</w:t>
      </w:r>
      <w:r w:rsidR="00932397">
        <w:rPr>
          <w:rFonts w:cs="Arial"/>
          <w:szCs w:val="22"/>
        </w:rPr>
        <w:t xml:space="preserve"> </w:t>
      </w:r>
      <w:r w:rsidR="00B653DB" w:rsidRPr="003D08B1">
        <w:rPr>
          <w:rFonts w:cs="Arial"/>
          <w:b/>
          <w:bCs/>
          <w:szCs w:val="22"/>
        </w:rPr>
        <w:t xml:space="preserve">Vzhledem k tomu, že má </w:t>
      </w:r>
      <w:r w:rsidR="00BA2E3E" w:rsidRPr="003D08B1">
        <w:rPr>
          <w:rFonts w:cs="Arial"/>
          <w:b/>
          <w:bCs/>
          <w:szCs w:val="22"/>
        </w:rPr>
        <w:t xml:space="preserve">ČTÚ </w:t>
      </w:r>
      <w:r w:rsidR="00B653DB" w:rsidRPr="003D08B1">
        <w:rPr>
          <w:rFonts w:cs="Arial"/>
          <w:b/>
          <w:bCs/>
          <w:szCs w:val="22"/>
        </w:rPr>
        <w:t xml:space="preserve">k dispozici </w:t>
      </w:r>
      <w:r w:rsidR="00D70711" w:rsidRPr="003D08B1">
        <w:rPr>
          <w:rFonts w:cs="Arial"/>
          <w:b/>
          <w:bCs/>
          <w:szCs w:val="22"/>
        </w:rPr>
        <w:t>datovou spotřebu virtuálních operátorů a velkoobchodní smlouvy MNO s</w:t>
      </w:r>
      <w:r w:rsidR="00BA2E3E" w:rsidRPr="003D08B1">
        <w:rPr>
          <w:rFonts w:cs="Arial"/>
          <w:b/>
          <w:bCs/>
          <w:szCs w:val="22"/>
        </w:rPr>
        <w:t> </w:t>
      </w:r>
      <w:r w:rsidR="00D70711" w:rsidRPr="003D08B1">
        <w:rPr>
          <w:rFonts w:cs="Arial"/>
          <w:b/>
          <w:bCs/>
          <w:szCs w:val="22"/>
        </w:rPr>
        <w:t>MVNO</w:t>
      </w:r>
      <w:r w:rsidR="00BA2E3E" w:rsidRPr="003D08B1">
        <w:rPr>
          <w:rFonts w:cs="Arial"/>
          <w:b/>
          <w:bCs/>
          <w:szCs w:val="22"/>
        </w:rPr>
        <w:t>,</w:t>
      </w:r>
      <w:r w:rsidR="00D70711" w:rsidRPr="003D08B1">
        <w:rPr>
          <w:rFonts w:cs="Arial"/>
          <w:b/>
          <w:bCs/>
          <w:szCs w:val="22"/>
        </w:rPr>
        <w:t xml:space="preserve"> mohl dojít k závěru, že metodika</w:t>
      </w:r>
      <w:r w:rsidR="003F1F56" w:rsidRPr="003D08B1">
        <w:rPr>
          <w:rFonts w:cs="Arial"/>
          <w:b/>
          <w:bCs/>
          <w:szCs w:val="22"/>
        </w:rPr>
        <w:t>, ze které ČTÚ při zjišťování velkoobchodní ceny vychází,</w:t>
      </w:r>
      <w:r w:rsidR="00D70711" w:rsidRPr="003D08B1">
        <w:rPr>
          <w:rFonts w:cs="Arial"/>
          <w:b/>
          <w:bCs/>
          <w:szCs w:val="22"/>
        </w:rPr>
        <w:t xml:space="preserve"> je nastavena špatně.</w:t>
      </w:r>
      <w:r w:rsidR="00622A30" w:rsidRPr="00622A30">
        <w:rPr>
          <w:rFonts w:cs="Arial"/>
          <w:b/>
          <w:bCs/>
          <w:szCs w:val="22"/>
        </w:rPr>
        <w:t xml:space="preserve"> </w:t>
      </w:r>
      <w:r w:rsidR="007478E8" w:rsidRPr="00E02EB4">
        <w:rPr>
          <w:rFonts w:cs="Arial"/>
          <w:szCs w:val="22"/>
        </w:rPr>
        <w:t xml:space="preserve">Navíc nelze </w:t>
      </w:r>
      <w:r w:rsidR="00C57207" w:rsidRPr="00E02EB4">
        <w:rPr>
          <w:rFonts w:cs="Arial"/>
          <w:szCs w:val="22"/>
        </w:rPr>
        <w:t xml:space="preserve">separátně hodnotit velkoobchodní </w:t>
      </w:r>
      <w:r w:rsidR="00E02EB4" w:rsidRPr="00E02EB4">
        <w:rPr>
          <w:rFonts w:cs="Arial"/>
          <w:szCs w:val="22"/>
        </w:rPr>
        <w:t xml:space="preserve">ceny za jednotlivé </w:t>
      </w:r>
      <w:r w:rsidR="00C57207" w:rsidRPr="00E02EB4">
        <w:rPr>
          <w:rFonts w:cs="Arial"/>
          <w:szCs w:val="22"/>
        </w:rPr>
        <w:t xml:space="preserve">služby (hlas, </w:t>
      </w:r>
      <w:r w:rsidR="00E02EB4" w:rsidRPr="00E02EB4">
        <w:rPr>
          <w:rFonts w:cs="Arial"/>
          <w:szCs w:val="22"/>
        </w:rPr>
        <w:t>SMS, data)</w:t>
      </w:r>
      <w:r w:rsidR="00C57207" w:rsidRPr="00E02EB4">
        <w:rPr>
          <w:rFonts w:cs="Arial"/>
          <w:szCs w:val="22"/>
        </w:rPr>
        <w:t>, ale vždy je potřeba vnímat je společně</w:t>
      </w:r>
      <w:r w:rsidR="00E02EB4" w:rsidRPr="00E02EB4">
        <w:rPr>
          <w:rFonts w:cs="Arial"/>
          <w:szCs w:val="22"/>
        </w:rPr>
        <w:t xml:space="preserve"> v rámci „balíčku“</w:t>
      </w:r>
      <w:r w:rsidR="001C456B">
        <w:rPr>
          <w:rFonts w:cs="Arial"/>
          <w:szCs w:val="22"/>
        </w:rPr>
        <w:t>, neboť právě to je typický maloobchodní produkt</w:t>
      </w:r>
      <w:r w:rsidR="00C57207" w:rsidRPr="00E02EB4">
        <w:rPr>
          <w:rFonts w:cs="Arial"/>
          <w:szCs w:val="22"/>
        </w:rPr>
        <w:t>.</w:t>
      </w:r>
    </w:p>
    <w:p w14:paraId="15BDA53D" w14:textId="1A2B4AEE" w:rsidR="00E168D8" w:rsidRDefault="00622A30" w:rsidP="00622A30">
      <w:pPr>
        <w:ind w:left="357"/>
        <w:rPr>
          <w:rFonts w:cs="Arial"/>
          <w:b/>
          <w:bCs/>
          <w:szCs w:val="22"/>
        </w:rPr>
      </w:pPr>
      <w:r w:rsidRPr="004147E0">
        <w:rPr>
          <w:rFonts w:cs="Arial"/>
          <w:b/>
          <w:bCs/>
          <w:szCs w:val="22"/>
        </w:rPr>
        <w:t xml:space="preserve">ČTÚ má k dispozici </w:t>
      </w:r>
      <w:r>
        <w:rPr>
          <w:rFonts w:cs="Arial"/>
          <w:b/>
          <w:bCs/>
          <w:szCs w:val="22"/>
        </w:rPr>
        <w:t xml:space="preserve">všechny aktuální </w:t>
      </w:r>
      <w:r w:rsidRPr="004147E0">
        <w:rPr>
          <w:rFonts w:cs="Arial"/>
          <w:b/>
          <w:bCs/>
          <w:szCs w:val="22"/>
        </w:rPr>
        <w:t xml:space="preserve">velkoobchodní smlouvy vč. cenových příloh, které představují reálné ceny účtované provozovateli mobilních sítí velkoobchodním partnerům. Z těchto cen, nikoliv z cen přepočtených </w:t>
      </w:r>
      <w:r>
        <w:rPr>
          <w:rFonts w:cs="Arial"/>
          <w:b/>
          <w:bCs/>
          <w:szCs w:val="22"/>
        </w:rPr>
        <w:t xml:space="preserve">problematickou a uměle vytvořenou </w:t>
      </w:r>
      <w:r w:rsidRPr="004147E0">
        <w:rPr>
          <w:rFonts w:cs="Arial"/>
          <w:b/>
          <w:bCs/>
          <w:szCs w:val="22"/>
        </w:rPr>
        <w:t>metodikou ČTÚ</w:t>
      </w:r>
      <w:r>
        <w:rPr>
          <w:rFonts w:cs="Arial"/>
          <w:b/>
          <w:bCs/>
          <w:szCs w:val="22"/>
        </w:rPr>
        <w:t>,</w:t>
      </w:r>
      <w:r w:rsidRPr="004147E0">
        <w:rPr>
          <w:rFonts w:cs="Arial"/>
          <w:b/>
          <w:bCs/>
          <w:szCs w:val="22"/>
        </w:rPr>
        <w:t xml:space="preserve"> by měla vycházet analýza </w:t>
      </w:r>
      <w:r w:rsidRPr="00E75733">
        <w:rPr>
          <w:rFonts w:cs="Arial"/>
          <w:b/>
          <w:bCs/>
          <w:szCs w:val="22"/>
        </w:rPr>
        <w:t>trhu.</w:t>
      </w:r>
      <w:r w:rsidRPr="00A22394">
        <w:rPr>
          <w:rFonts w:cs="Arial"/>
          <w:b/>
          <w:bCs/>
          <w:szCs w:val="22"/>
        </w:rPr>
        <w:t xml:space="preserve"> Jak uvádíme výše, důkazem nesprávnosti těchto dat je meziroční nárůst jednotkové velkoobchodní ceny mezi roky 2019 a 2020, který dle našeho názoru nemůže v žádném případě dávat smysl a odpovídat realitě.</w:t>
      </w:r>
    </w:p>
    <w:p w14:paraId="09E64FFA" w14:textId="1F6C0EED" w:rsidR="00045402" w:rsidRDefault="00045402" w:rsidP="006506B0">
      <w:pPr>
        <w:ind w:left="357"/>
        <w:rPr>
          <w:rFonts w:cs="Arial"/>
          <w:szCs w:val="22"/>
        </w:rPr>
      </w:pPr>
      <w:r>
        <w:rPr>
          <w:rFonts w:cs="Arial"/>
          <w:b/>
          <w:bCs/>
          <w:szCs w:val="22"/>
        </w:rPr>
        <w:lastRenderedPageBreak/>
        <w:t xml:space="preserve">Vypořádání ČTÚ spočívající v tom, že alokační klíče </w:t>
      </w:r>
      <w:r w:rsidR="006506B0" w:rsidRPr="006506B0">
        <w:rPr>
          <w:rFonts w:cs="Arial"/>
          <w:b/>
          <w:bCs/>
          <w:szCs w:val="22"/>
        </w:rPr>
        <w:t>vycházejí z</w:t>
      </w:r>
      <w:r w:rsidR="006506B0">
        <w:rPr>
          <w:rFonts w:cs="Arial"/>
          <w:b/>
          <w:bCs/>
          <w:szCs w:val="22"/>
        </w:rPr>
        <w:t> </w:t>
      </w:r>
      <w:r w:rsidR="006506B0" w:rsidRPr="006506B0">
        <w:rPr>
          <w:rFonts w:cs="Arial"/>
          <w:b/>
          <w:bCs/>
          <w:szCs w:val="22"/>
        </w:rPr>
        <w:t>výše</w:t>
      </w:r>
      <w:r w:rsidR="006506B0">
        <w:rPr>
          <w:rFonts w:cs="Arial"/>
          <w:b/>
          <w:bCs/>
          <w:szCs w:val="22"/>
        </w:rPr>
        <w:t xml:space="preserve"> </w:t>
      </w:r>
      <w:r w:rsidR="006506B0" w:rsidRPr="006506B0">
        <w:rPr>
          <w:rFonts w:cs="Arial"/>
          <w:b/>
          <w:bCs/>
          <w:szCs w:val="22"/>
        </w:rPr>
        <w:t>jednotkových nákladů na jednotlivé služby</w:t>
      </w:r>
      <w:r w:rsidR="006506B0">
        <w:rPr>
          <w:rFonts w:cs="Arial"/>
          <w:b/>
          <w:bCs/>
          <w:szCs w:val="22"/>
        </w:rPr>
        <w:t>, když právě výši jednotkových nákladů na jednotlivé služby společnost O2 zpochybňuje</w:t>
      </w:r>
      <w:r w:rsidR="00BA2E3E">
        <w:rPr>
          <w:rFonts w:cs="Arial"/>
          <w:b/>
          <w:bCs/>
          <w:szCs w:val="22"/>
        </w:rPr>
        <w:t>,</w:t>
      </w:r>
      <w:r w:rsidR="006506B0">
        <w:rPr>
          <w:rFonts w:cs="Arial"/>
          <w:b/>
          <w:bCs/>
          <w:szCs w:val="22"/>
        </w:rPr>
        <w:t xml:space="preserve"> neobstojí.</w:t>
      </w:r>
    </w:p>
    <w:p w14:paraId="3C60E106" w14:textId="76E6C341" w:rsidR="00377352" w:rsidRDefault="00F524D6" w:rsidP="00377352">
      <w:pPr>
        <w:pStyle w:val="Nadpis2"/>
      </w:pPr>
      <w:r>
        <w:t xml:space="preserve">C.7 </w:t>
      </w:r>
      <w:r w:rsidR="00377352">
        <w:t xml:space="preserve">Test </w:t>
      </w:r>
      <w:proofErr w:type="spellStart"/>
      <w:r w:rsidR="00377352">
        <w:t>tacitní</w:t>
      </w:r>
      <w:proofErr w:type="spellEnd"/>
      <w:r w:rsidR="00377352">
        <w:t xml:space="preserve"> koluze na maloobchodním a velkoobchodním trhu prostřednictvím aplikace teorie her</w:t>
      </w:r>
    </w:p>
    <w:p w14:paraId="488D0320" w14:textId="77777777" w:rsidR="00377352" w:rsidRPr="007F2682" w:rsidRDefault="00377352" w:rsidP="00377352">
      <w:pPr>
        <w:pStyle w:val="Podnadpis"/>
      </w:pPr>
      <w:r w:rsidRPr="007F2682">
        <w:t xml:space="preserve">Návrh na doplnění, změnu, zrušení nebo nahrazení textu ustanovení návrhu opatření: </w:t>
      </w:r>
    </w:p>
    <w:p w14:paraId="64BDB14C" w14:textId="57E5FA54" w:rsidR="00377352" w:rsidRDefault="00E738B2" w:rsidP="00377352">
      <w:pPr>
        <w:ind w:left="357"/>
        <w:rPr>
          <w:rFonts w:cs="Arial"/>
          <w:b/>
          <w:szCs w:val="22"/>
        </w:rPr>
      </w:pPr>
      <w:r>
        <w:rPr>
          <w:rFonts w:cs="Arial"/>
          <w:b/>
          <w:szCs w:val="22"/>
        </w:rPr>
        <w:t xml:space="preserve">Vzhledem k tomu, že se ČTÚ nepodařilo objektivně prokázat výhodnost </w:t>
      </w:r>
      <w:proofErr w:type="spellStart"/>
      <w:r w:rsidR="00062536">
        <w:rPr>
          <w:rFonts w:cs="Arial"/>
          <w:b/>
          <w:szCs w:val="22"/>
        </w:rPr>
        <w:t>tacitní</w:t>
      </w:r>
      <w:proofErr w:type="spellEnd"/>
      <w:r w:rsidR="00062536">
        <w:rPr>
          <w:rFonts w:cs="Arial"/>
          <w:b/>
          <w:szCs w:val="22"/>
        </w:rPr>
        <w:t xml:space="preserve"> koluze na maloobchodním ani velkoobchodním trhu </w:t>
      </w:r>
      <w:r w:rsidR="00E13A4B">
        <w:rPr>
          <w:rFonts w:cs="Arial"/>
          <w:b/>
          <w:szCs w:val="22"/>
        </w:rPr>
        <w:t>je nutné vyhodnocení kapitoly změnit.</w:t>
      </w:r>
    </w:p>
    <w:p w14:paraId="5C47A62C" w14:textId="77777777" w:rsidR="00377352" w:rsidRPr="007F2682" w:rsidRDefault="00377352" w:rsidP="00377352">
      <w:pPr>
        <w:pStyle w:val="Podnadpis"/>
      </w:pPr>
      <w:r w:rsidRPr="007F2682">
        <w:t>Odůvodnění:</w:t>
      </w:r>
    </w:p>
    <w:p w14:paraId="00E65576" w14:textId="6E73118B" w:rsidR="00377352" w:rsidRDefault="00936CDB" w:rsidP="00377352">
      <w:pPr>
        <w:ind w:left="426"/>
        <w:rPr>
          <w:rFonts w:cs="Arial"/>
          <w:szCs w:val="22"/>
        </w:rPr>
      </w:pPr>
      <w:r>
        <w:rPr>
          <w:rFonts w:cs="Arial"/>
          <w:szCs w:val="22"/>
        </w:rPr>
        <w:t xml:space="preserve">V úvodu ČTÚ opětovně podbarvuje svoje sdělení </w:t>
      </w:r>
      <w:r w:rsidR="00C72C00">
        <w:rPr>
          <w:rFonts w:cs="Arial"/>
          <w:szCs w:val="22"/>
        </w:rPr>
        <w:t>formulací „</w:t>
      </w:r>
      <w:r w:rsidR="00C72C00" w:rsidRPr="000327FF">
        <w:rPr>
          <w:rFonts w:cs="Arial"/>
          <w:i/>
          <w:iCs/>
          <w:szCs w:val="22"/>
        </w:rPr>
        <w:t>český trh je charakteristický svojí koncentrovanou oligopolní strukturou“</w:t>
      </w:r>
      <w:r w:rsidR="00C72C00">
        <w:rPr>
          <w:rFonts w:cs="Arial"/>
          <w:szCs w:val="22"/>
        </w:rPr>
        <w:t xml:space="preserve"> bez toho</w:t>
      </w:r>
      <w:r w:rsidR="000327FF">
        <w:rPr>
          <w:rFonts w:cs="Arial"/>
          <w:szCs w:val="22"/>
        </w:rPr>
        <w:t>,</w:t>
      </w:r>
      <w:r w:rsidR="00C72C00">
        <w:rPr>
          <w:rFonts w:cs="Arial"/>
          <w:szCs w:val="22"/>
        </w:rPr>
        <w:t xml:space="preserve"> aniž by tuto charakteristiku objektivně prokázal. </w:t>
      </w:r>
      <w:r w:rsidR="000327FF">
        <w:rPr>
          <w:rFonts w:cs="Arial"/>
          <w:szCs w:val="22"/>
        </w:rPr>
        <w:t>Obdobnou strukturu trhu má mnoho zemí EU.</w:t>
      </w:r>
      <w:r w:rsidR="00F6710F">
        <w:rPr>
          <w:rFonts w:cs="Arial"/>
          <w:szCs w:val="22"/>
        </w:rPr>
        <w:t xml:space="preserve"> </w:t>
      </w:r>
      <w:r w:rsidR="00F66225">
        <w:rPr>
          <w:rFonts w:cs="Arial"/>
          <w:szCs w:val="22"/>
        </w:rPr>
        <w:t>V grafech 37 a 38 pak ukazuje rostoucí podíly MVNO</w:t>
      </w:r>
      <w:r w:rsidR="00A03D95">
        <w:rPr>
          <w:rFonts w:cs="Arial"/>
          <w:szCs w:val="22"/>
        </w:rPr>
        <w:t>, které z nějakého důvodu označuje za stabilní.</w:t>
      </w:r>
    </w:p>
    <w:p w14:paraId="4F74F4CF" w14:textId="68EF8B04" w:rsidR="00E25416" w:rsidRDefault="0023622E" w:rsidP="00377352">
      <w:pPr>
        <w:ind w:left="426"/>
        <w:rPr>
          <w:rFonts w:cs="Arial"/>
          <w:szCs w:val="22"/>
        </w:rPr>
      </w:pPr>
      <w:r w:rsidRPr="00D24316">
        <w:rPr>
          <w:rFonts w:cs="Arial"/>
          <w:b/>
          <w:bCs/>
          <w:szCs w:val="22"/>
        </w:rPr>
        <w:t>Při samotné aplikac</w:t>
      </w:r>
      <w:r w:rsidR="00BA2E3E">
        <w:rPr>
          <w:rFonts w:cs="Arial"/>
          <w:b/>
          <w:bCs/>
          <w:szCs w:val="22"/>
        </w:rPr>
        <w:t>i teorie</w:t>
      </w:r>
      <w:r w:rsidRPr="00D24316">
        <w:rPr>
          <w:rFonts w:cs="Arial"/>
          <w:b/>
          <w:bCs/>
          <w:szCs w:val="22"/>
        </w:rPr>
        <w:t xml:space="preserve"> her dochází ČTÚ k tomu, že ve 3 z 5 let nebyla splněna </w:t>
      </w:r>
      <w:r w:rsidR="00F82440" w:rsidRPr="00D24316">
        <w:rPr>
          <w:rFonts w:cs="Arial"/>
          <w:b/>
          <w:bCs/>
          <w:szCs w:val="22"/>
        </w:rPr>
        <w:t>minimálně jedna podmínka</w:t>
      </w:r>
      <w:r w:rsidR="00D24316">
        <w:rPr>
          <w:rFonts w:cs="Arial"/>
          <w:b/>
          <w:bCs/>
          <w:szCs w:val="22"/>
        </w:rPr>
        <w:t>,</w:t>
      </w:r>
      <w:r w:rsidR="00F82440" w:rsidRPr="00D24316">
        <w:rPr>
          <w:rFonts w:cs="Arial"/>
          <w:b/>
          <w:bCs/>
          <w:szCs w:val="22"/>
        </w:rPr>
        <w:t xml:space="preserve"> a to neelastická poptávka.</w:t>
      </w:r>
      <w:r w:rsidR="00F82440">
        <w:rPr>
          <w:rFonts w:cs="Arial"/>
          <w:szCs w:val="22"/>
        </w:rPr>
        <w:t xml:space="preserve"> Ta navíc vykazuje velmi </w:t>
      </w:r>
      <w:r w:rsidR="00A16CD1">
        <w:rPr>
          <w:rFonts w:cs="Arial"/>
          <w:szCs w:val="22"/>
        </w:rPr>
        <w:t xml:space="preserve">vysokou míru volatility, což svědčí o významných </w:t>
      </w:r>
      <w:r w:rsidR="00431A49">
        <w:rPr>
          <w:rFonts w:cs="Arial"/>
          <w:szCs w:val="22"/>
        </w:rPr>
        <w:t xml:space="preserve">(konkurenčních) </w:t>
      </w:r>
      <w:r w:rsidR="00A16CD1">
        <w:rPr>
          <w:rFonts w:cs="Arial"/>
          <w:szCs w:val="22"/>
        </w:rPr>
        <w:t xml:space="preserve">posunech na trhu anebo o nesprávných vstupních datech. </w:t>
      </w:r>
      <w:r w:rsidR="00431A49">
        <w:rPr>
          <w:rFonts w:cs="Arial"/>
          <w:szCs w:val="22"/>
        </w:rPr>
        <w:t>Obdobně jako v předchozích částech analýzy zkouší ČTÚ pozornost čtenáře, když mluví o stabilní úrovni tržeb</w:t>
      </w:r>
      <w:r w:rsidR="001F0F87">
        <w:rPr>
          <w:rFonts w:cs="Arial"/>
          <w:szCs w:val="22"/>
        </w:rPr>
        <w:t xml:space="preserve">, o </w:t>
      </w:r>
      <w:r w:rsidR="00E53FAC">
        <w:rPr>
          <w:rFonts w:cs="Arial"/>
          <w:szCs w:val="22"/>
        </w:rPr>
        <w:t>č</w:t>
      </w:r>
      <w:r w:rsidR="001F0F87">
        <w:rPr>
          <w:rFonts w:cs="Arial"/>
          <w:szCs w:val="22"/>
        </w:rPr>
        <w:t>emž</w:t>
      </w:r>
      <w:r w:rsidR="00E53FAC">
        <w:rPr>
          <w:rFonts w:cs="Arial"/>
          <w:szCs w:val="22"/>
        </w:rPr>
        <w:t>,</w:t>
      </w:r>
      <w:r w:rsidR="001F0F87">
        <w:rPr>
          <w:rFonts w:cs="Arial"/>
          <w:szCs w:val="22"/>
        </w:rPr>
        <w:t xml:space="preserve"> jak vyplývá z grafu </w:t>
      </w:r>
      <w:r w:rsidR="00E53FAC">
        <w:rPr>
          <w:rFonts w:cs="Arial"/>
          <w:szCs w:val="22"/>
        </w:rPr>
        <w:t>č. 41, nelze v žádném případě mluvit.</w:t>
      </w:r>
    </w:p>
    <w:p w14:paraId="1A2ED5D3" w14:textId="2CC1408F" w:rsidR="00FF11F9" w:rsidRDefault="007D0A54" w:rsidP="00377352">
      <w:pPr>
        <w:ind w:left="426"/>
      </w:pPr>
      <w:r>
        <w:t xml:space="preserve">V grafu č. </w:t>
      </w:r>
      <w:r w:rsidR="009349C0">
        <w:t xml:space="preserve">42 je pak patrně prezentována EBITDA marže za </w:t>
      </w:r>
      <w:r w:rsidR="00545A13">
        <w:t xml:space="preserve">celé </w:t>
      </w:r>
      <w:r w:rsidR="00DB55A2">
        <w:t>společnosti, nikoliv za mobilní služby, které zkoumá analýza, a které by vykazovaly vyšší volatilitu.</w:t>
      </w:r>
      <w:r w:rsidR="00C62AB6">
        <w:t xml:space="preserve"> </w:t>
      </w:r>
      <w:r w:rsidR="00C02A0D">
        <w:t>Co se týče matematického prokázání výhodnosti koluze, nepř</w:t>
      </w:r>
      <w:r w:rsidR="00FF11F9">
        <w:t>edstavil ČTÚ žádné výsledky a nebyl tedy schopen tuto údajnou výhodnost nijak prokázat.</w:t>
      </w:r>
    </w:p>
    <w:p w14:paraId="0CD671D6" w14:textId="5FE84DCD" w:rsidR="00E13A4B" w:rsidRDefault="00E13A4B" w:rsidP="001E7E10">
      <w:pPr>
        <w:pStyle w:val="Nadpis2"/>
      </w:pPr>
      <w:r>
        <w:t xml:space="preserve">C.8 Zhodnocení technické připravenosti </w:t>
      </w:r>
      <w:r w:rsidR="00C142E7">
        <w:t>Zhodnocení technické připravenosti potenciálního nového síťového mobilního operátora na vstup na maloobchodní a velkoobchodní trh a jeho potenciálního příznivého dopadu na koncové zákazníky</w:t>
      </w:r>
    </w:p>
    <w:p w14:paraId="449167E1" w14:textId="77777777" w:rsidR="00C142E7" w:rsidRPr="007F2682" w:rsidRDefault="00C142E7" w:rsidP="00C142E7">
      <w:pPr>
        <w:pStyle w:val="Podnadpis"/>
      </w:pPr>
      <w:r w:rsidRPr="007F2682">
        <w:t xml:space="preserve">Návrh na doplnění, změnu, zrušení nebo nahrazení textu ustanovení návrhu opatření: </w:t>
      </w:r>
    </w:p>
    <w:p w14:paraId="194AFD54" w14:textId="3CC22D85" w:rsidR="00C142E7" w:rsidRDefault="00D51000" w:rsidP="00C142E7">
      <w:pPr>
        <w:ind w:left="357"/>
        <w:rPr>
          <w:rFonts w:cs="Arial"/>
          <w:b/>
          <w:szCs w:val="22"/>
        </w:rPr>
      </w:pPr>
      <w:r>
        <w:rPr>
          <w:rFonts w:cs="Arial"/>
          <w:b/>
          <w:szCs w:val="22"/>
        </w:rPr>
        <w:t xml:space="preserve">Na základě </w:t>
      </w:r>
      <w:r w:rsidR="00AF7B32">
        <w:rPr>
          <w:rFonts w:cs="Arial"/>
          <w:b/>
          <w:szCs w:val="22"/>
        </w:rPr>
        <w:t xml:space="preserve">argumentů předložených v odůvodnění k této připomínce změnit závěr o prokázání </w:t>
      </w:r>
      <w:r w:rsidR="00356E54">
        <w:rPr>
          <w:rFonts w:cs="Arial"/>
          <w:b/>
          <w:szCs w:val="22"/>
        </w:rPr>
        <w:t>nemožnosti spuštění národního roamingu před rokem 2024.</w:t>
      </w:r>
    </w:p>
    <w:p w14:paraId="6CE54A24" w14:textId="77777777" w:rsidR="00C142E7" w:rsidRPr="007F2682" w:rsidRDefault="00C142E7" w:rsidP="00C142E7">
      <w:pPr>
        <w:pStyle w:val="Podnadpis"/>
      </w:pPr>
      <w:r w:rsidRPr="007F2682">
        <w:lastRenderedPageBreak/>
        <w:t>Odůvodnění:</w:t>
      </w:r>
    </w:p>
    <w:p w14:paraId="6DFD8E75" w14:textId="439079D2" w:rsidR="00C142E7" w:rsidRDefault="007C2AA2" w:rsidP="00C142E7">
      <w:pPr>
        <w:ind w:left="567"/>
        <w:rPr>
          <w:rFonts w:cs="Arial"/>
          <w:szCs w:val="22"/>
        </w:rPr>
      </w:pPr>
      <w:r>
        <w:rPr>
          <w:rFonts w:cs="Arial"/>
          <w:szCs w:val="22"/>
        </w:rPr>
        <w:t xml:space="preserve">V úvodu ČTÚ konstatuje, že pro poskytování národního roamingu s využitím kombinací přiděleného frekvenčního spektra v ČR </w:t>
      </w:r>
      <w:r w:rsidR="00F8678B">
        <w:rPr>
          <w:rFonts w:cs="Arial"/>
          <w:szCs w:val="22"/>
        </w:rPr>
        <w:t xml:space="preserve">je potřeba vybudovat na straně hostujícího operátora 5G </w:t>
      </w:r>
      <w:proofErr w:type="spellStart"/>
      <w:r w:rsidR="00F8678B">
        <w:rPr>
          <w:rFonts w:cs="Arial"/>
          <w:szCs w:val="22"/>
        </w:rPr>
        <w:t>core</w:t>
      </w:r>
      <w:proofErr w:type="spellEnd"/>
      <w:r w:rsidR="00F8678B">
        <w:rPr>
          <w:rFonts w:cs="Arial"/>
          <w:szCs w:val="22"/>
        </w:rPr>
        <w:t xml:space="preserve">. </w:t>
      </w:r>
      <w:r w:rsidR="00A024AB">
        <w:rPr>
          <w:rFonts w:cs="Arial"/>
          <w:szCs w:val="22"/>
        </w:rPr>
        <w:t xml:space="preserve">Není to </w:t>
      </w:r>
      <w:r w:rsidR="00984149">
        <w:rPr>
          <w:rFonts w:cs="Arial"/>
          <w:szCs w:val="22"/>
        </w:rPr>
        <w:t xml:space="preserve">však pravda, je možné poskytovat </w:t>
      </w:r>
      <w:r w:rsidR="00E51E3B">
        <w:rPr>
          <w:rFonts w:cs="Arial"/>
          <w:szCs w:val="22"/>
        </w:rPr>
        <w:t xml:space="preserve">hlasové i datové </w:t>
      </w:r>
      <w:r w:rsidR="00984149">
        <w:rPr>
          <w:rFonts w:cs="Arial"/>
          <w:szCs w:val="22"/>
        </w:rPr>
        <w:t xml:space="preserve">služby ve starších technologiích a </w:t>
      </w:r>
      <w:r w:rsidR="00E51E3B">
        <w:rPr>
          <w:rFonts w:cs="Arial"/>
          <w:szCs w:val="22"/>
        </w:rPr>
        <w:t xml:space="preserve">zároveň je doplňovat datovými službami ve vlastní 5G síti. </w:t>
      </w:r>
      <w:r w:rsidR="003D3212">
        <w:rPr>
          <w:rFonts w:cs="Arial"/>
          <w:szCs w:val="22"/>
        </w:rPr>
        <w:t>Tato skutečnost není v žádném případě důvodem možného posun</w:t>
      </w:r>
      <w:r w:rsidR="00BA2E3E">
        <w:rPr>
          <w:rFonts w:cs="Arial"/>
          <w:szCs w:val="22"/>
        </w:rPr>
        <w:t>u</w:t>
      </w:r>
      <w:r w:rsidR="003D3212">
        <w:rPr>
          <w:rFonts w:cs="Arial"/>
          <w:szCs w:val="22"/>
        </w:rPr>
        <w:t xml:space="preserve"> </w:t>
      </w:r>
      <w:r w:rsidR="009B55D8">
        <w:rPr>
          <w:rFonts w:cs="Arial"/>
          <w:szCs w:val="22"/>
        </w:rPr>
        <w:t>počátku poskytování národního roamingu.</w:t>
      </w:r>
    </w:p>
    <w:p w14:paraId="508CAE4F" w14:textId="48B4F97C" w:rsidR="009B55D8" w:rsidRDefault="00902681" w:rsidP="00C142E7">
      <w:pPr>
        <w:ind w:left="567"/>
        <w:rPr>
          <w:rFonts w:cs="Arial"/>
          <w:szCs w:val="22"/>
        </w:rPr>
      </w:pPr>
      <w:r>
        <w:rPr>
          <w:rFonts w:cs="Arial"/>
          <w:szCs w:val="22"/>
        </w:rPr>
        <w:t>K uzavření dohody od roku 2017 nedošlo, protože nov</w:t>
      </w:r>
      <w:r w:rsidR="00BA2E3E">
        <w:rPr>
          <w:rFonts w:cs="Arial"/>
          <w:szCs w:val="22"/>
        </w:rPr>
        <w:t>í</w:t>
      </w:r>
      <w:r>
        <w:rPr>
          <w:rFonts w:cs="Arial"/>
          <w:szCs w:val="22"/>
        </w:rPr>
        <w:t xml:space="preserve"> držitelé mobilních pásem museli vybudovat </w:t>
      </w:r>
      <w:r w:rsidR="00257A96">
        <w:rPr>
          <w:rFonts w:cs="Arial"/>
          <w:szCs w:val="22"/>
        </w:rPr>
        <w:t>mobilní síť, kter</w:t>
      </w:r>
      <w:r w:rsidR="00633BD6">
        <w:rPr>
          <w:rFonts w:cs="Arial"/>
          <w:szCs w:val="22"/>
        </w:rPr>
        <w:t>á</w:t>
      </w:r>
      <w:r w:rsidR="00257A96">
        <w:rPr>
          <w:rFonts w:cs="Arial"/>
          <w:szCs w:val="22"/>
        </w:rPr>
        <w:t xml:space="preserve"> je </w:t>
      </w:r>
      <w:r w:rsidR="00633BD6">
        <w:rPr>
          <w:rFonts w:cs="Arial"/>
          <w:szCs w:val="22"/>
        </w:rPr>
        <w:t>však</w:t>
      </w:r>
      <w:r w:rsidR="00257A96">
        <w:rPr>
          <w:rFonts w:cs="Arial"/>
          <w:szCs w:val="22"/>
        </w:rPr>
        <w:t xml:space="preserve"> nyní minimálně u </w:t>
      </w:r>
      <w:r w:rsidR="00EE6882">
        <w:rPr>
          <w:rFonts w:cs="Arial"/>
          <w:szCs w:val="22"/>
        </w:rPr>
        <w:t xml:space="preserve">1 </w:t>
      </w:r>
      <w:r w:rsidR="00633BD6">
        <w:rPr>
          <w:rFonts w:cs="Arial"/>
          <w:szCs w:val="22"/>
        </w:rPr>
        <w:t xml:space="preserve">oprávněného </w:t>
      </w:r>
      <w:r w:rsidR="00EE6882">
        <w:rPr>
          <w:rFonts w:cs="Arial"/>
          <w:szCs w:val="22"/>
        </w:rPr>
        <w:t>subjektu</w:t>
      </w:r>
      <w:r w:rsidR="00257A96">
        <w:rPr>
          <w:rFonts w:cs="Arial"/>
          <w:szCs w:val="22"/>
        </w:rPr>
        <w:t xml:space="preserve"> v dostatečně pokročilém stádiu</w:t>
      </w:r>
      <w:r w:rsidR="004C49D2">
        <w:rPr>
          <w:rFonts w:cs="Arial"/>
          <w:szCs w:val="22"/>
        </w:rPr>
        <w:t xml:space="preserve">, když </w:t>
      </w:r>
      <w:r w:rsidR="00A65AAE">
        <w:rPr>
          <w:rFonts w:cs="Arial"/>
          <w:szCs w:val="22"/>
        </w:rPr>
        <w:t xml:space="preserve">dle veřejných informací </w:t>
      </w:r>
      <w:r w:rsidR="004C49D2">
        <w:rPr>
          <w:rFonts w:cs="Arial"/>
          <w:szCs w:val="22"/>
        </w:rPr>
        <w:t xml:space="preserve">obsluhuje </w:t>
      </w:r>
      <w:r w:rsidR="00A65AAE">
        <w:rPr>
          <w:rFonts w:cs="Arial"/>
          <w:szCs w:val="22"/>
        </w:rPr>
        <w:t>více než 1000 vlastních vysílačů</w:t>
      </w:r>
      <w:r w:rsidR="00257A96">
        <w:rPr>
          <w:rFonts w:cs="Arial"/>
          <w:szCs w:val="22"/>
        </w:rPr>
        <w:t xml:space="preserve">. </w:t>
      </w:r>
      <w:r w:rsidR="00E20E40">
        <w:rPr>
          <w:rFonts w:cs="Arial"/>
          <w:szCs w:val="22"/>
        </w:rPr>
        <w:t xml:space="preserve">Zároveň se tento subjekt minimálně blíží formě full MVNO, která </w:t>
      </w:r>
      <w:r w:rsidR="00906441">
        <w:rPr>
          <w:rFonts w:cs="Arial"/>
          <w:szCs w:val="22"/>
        </w:rPr>
        <w:t>mu umožňuje plnit většinu z 8 bodů vypsaných ze strany ČTÚ.</w:t>
      </w:r>
    </w:p>
    <w:p w14:paraId="65085C01" w14:textId="77777777" w:rsidR="002F1EBA" w:rsidRDefault="00FA243C" w:rsidP="00C142E7">
      <w:pPr>
        <w:ind w:left="567"/>
        <w:rPr>
          <w:rFonts w:cs="Arial"/>
          <w:szCs w:val="22"/>
        </w:rPr>
      </w:pPr>
      <w:r>
        <w:rPr>
          <w:rFonts w:cs="Arial"/>
          <w:szCs w:val="22"/>
        </w:rPr>
        <w:t>ČTÚ také opakovaně mylně uvádí potřebu hlasové služby 5G, když je mu známo, že dané subjekty již poskytují služby v</w:t>
      </w:r>
      <w:r w:rsidR="00A75840">
        <w:rPr>
          <w:rFonts w:cs="Arial"/>
          <w:szCs w:val="22"/>
        </w:rPr>
        <w:t> </w:t>
      </w:r>
      <w:r>
        <w:rPr>
          <w:rFonts w:cs="Arial"/>
          <w:szCs w:val="22"/>
        </w:rPr>
        <w:t>LTE</w:t>
      </w:r>
      <w:r w:rsidR="00A75840">
        <w:rPr>
          <w:rFonts w:cs="Arial"/>
          <w:szCs w:val="22"/>
        </w:rPr>
        <w:t xml:space="preserve"> a není důvod celou síť v dohledné době přepnout do 5G</w:t>
      </w:r>
      <w:r w:rsidR="00787A75">
        <w:rPr>
          <w:rFonts w:cs="Arial"/>
          <w:szCs w:val="22"/>
        </w:rPr>
        <w:t xml:space="preserve">, když mohou pro splnění rozvojových kritérií využít technologie DSS nebo přepnout jen malou část sítě/kmitočtového přídělu. </w:t>
      </w:r>
    </w:p>
    <w:p w14:paraId="5817EF00" w14:textId="5478E7E3" w:rsidR="00AE3556" w:rsidRPr="00C142E7" w:rsidRDefault="002F1EBA" w:rsidP="00C142E7">
      <w:pPr>
        <w:ind w:left="567"/>
      </w:pPr>
      <w:r>
        <w:rPr>
          <w:rFonts w:cs="Arial"/>
          <w:szCs w:val="22"/>
        </w:rPr>
        <w:t xml:space="preserve">Také další odstavec se z nám nejasného důvodu věnuje kompatibilitě </w:t>
      </w:r>
      <w:r w:rsidR="00BA2E3E">
        <w:rPr>
          <w:rFonts w:cs="Arial"/>
          <w:szCs w:val="22"/>
        </w:rPr>
        <w:t xml:space="preserve">s </w:t>
      </w:r>
      <w:r>
        <w:rPr>
          <w:rFonts w:cs="Arial"/>
          <w:szCs w:val="22"/>
        </w:rPr>
        <w:t>5G</w:t>
      </w:r>
      <w:r w:rsidR="00422DDA">
        <w:rPr>
          <w:rFonts w:cs="Arial"/>
          <w:szCs w:val="22"/>
        </w:rPr>
        <w:t xml:space="preserve">. </w:t>
      </w:r>
      <w:r w:rsidR="00760DC1">
        <w:rPr>
          <w:rFonts w:cs="Arial"/>
          <w:szCs w:val="22"/>
        </w:rPr>
        <w:t>Příjemce národního roamingu nepotřebuje mít při spuštění národního roamingu vlastní 5G síť ani s ní kompatibilní zařízení. Plně dostačující</w:t>
      </w:r>
      <w:r w:rsidR="00404390">
        <w:rPr>
          <w:rFonts w:cs="Arial"/>
          <w:szCs w:val="22"/>
        </w:rPr>
        <w:t xml:space="preserve"> sítí je pro tento účel již fungující síť LTE. Nadto upozorňujeme, že nárůst zařízení </w:t>
      </w:r>
      <w:r w:rsidR="008170F2">
        <w:rPr>
          <w:rFonts w:cs="Arial"/>
          <w:szCs w:val="22"/>
        </w:rPr>
        <w:t xml:space="preserve">kompatibilních s novou technologií 5G </w:t>
      </w:r>
      <w:r w:rsidR="00404390">
        <w:rPr>
          <w:rFonts w:cs="Arial"/>
          <w:szCs w:val="22"/>
        </w:rPr>
        <w:t xml:space="preserve">je </w:t>
      </w:r>
      <w:r w:rsidR="00087F8D">
        <w:rPr>
          <w:rFonts w:cs="Arial"/>
          <w:szCs w:val="22"/>
        </w:rPr>
        <w:t>dosud nejrychlej</w:t>
      </w:r>
      <w:r w:rsidR="008170F2">
        <w:rPr>
          <w:rFonts w:cs="Arial"/>
          <w:szCs w:val="22"/>
        </w:rPr>
        <w:t>i rostoucí oproti všem předchozím technologickým generacím.</w:t>
      </w:r>
    </w:p>
    <w:p w14:paraId="065BBE0E" w14:textId="3443C84B" w:rsidR="00E53FAC" w:rsidRDefault="00E8454C" w:rsidP="00083D79">
      <w:pPr>
        <w:ind w:left="567"/>
        <w:rPr>
          <w:rFonts w:cs="Arial"/>
          <w:b/>
          <w:bCs/>
          <w:color w:val="FF0000"/>
          <w:szCs w:val="22"/>
        </w:rPr>
      </w:pPr>
      <w:r>
        <w:t xml:space="preserve">Co se týče pokrytí </w:t>
      </w:r>
      <w:r w:rsidR="00145EE1">
        <w:t xml:space="preserve">populace a území, nemusí </w:t>
      </w:r>
      <w:r w:rsidR="00BD5BD0">
        <w:t>ČTÚ získávat informace od potenciálních příjemců, ale může využít vlastních dat</w:t>
      </w:r>
      <w:r w:rsidR="00A73ED7">
        <w:t xml:space="preserve">. Z nich vyplývá, že společnost </w:t>
      </w:r>
      <w:proofErr w:type="spellStart"/>
      <w:r w:rsidR="00A73ED7">
        <w:t>Nordic</w:t>
      </w:r>
      <w:proofErr w:type="spellEnd"/>
      <w:r w:rsidR="00A73ED7">
        <w:t xml:space="preserve"> Telecom nyní pokrývá vlastní LTE sítí 36,4 % obyvatel</w:t>
      </w:r>
      <w:r w:rsidR="000D2A61">
        <w:t xml:space="preserve"> (vnitřní příjem) a toto pokrytí je ve městech relativně homogenní</w:t>
      </w:r>
      <w:r w:rsidR="00A73ED7">
        <w:t>.</w:t>
      </w:r>
      <w:r w:rsidR="00A73ED7">
        <w:rPr>
          <w:rStyle w:val="Znakapoznpodarou"/>
        </w:rPr>
        <w:footnoteReference w:id="20"/>
      </w:r>
      <w:r w:rsidR="000D2A61">
        <w:t xml:space="preserve"> </w:t>
      </w:r>
      <w:r w:rsidR="00637BE3">
        <w:t xml:space="preserve">Nesouhlasíme tak s ČTÚ, že </w:t>
      </w:r>
      <w:r w:rsidR="00BA2E3E">
        <w:t>se</w:t>
      </w:r>
      <w:r w:rsidR="00637BE3">
        <w:t xml:space="preserve"> </w:t>
      </w:r>
      <w:r w:rsidR="00BA2E3E">
        <w:t xml:space="preserve">realizovatelnost národního roamingu </w:t>
      </w:r>
      <w:proofErr w:type="gramStart"/>
      <w:r w:rsidR="00BA2E3E">
        <w:t xml:space="preserve">odsouvá </w:t>
      </w:r>
      <w:r w:rsidR="00637BE3">
        <w:t xml:space="preserve"> až</w:t>
      </w:r>
      <w:proofErr w:type="gramEnd"/>
      <w:r w:rsidR="00637BE3">
        <w:t xml:space="preserve"> za horizont roku 2024</w:t>
      </w:r>
      <w:r w:rsidR="00356E54">
        <w:t xml:space="preserve"> a považujeme </w:t>
      </w:r>
      <w:r w:rsidR="00BA2E3E">
        <w:t>tuto</w:t>
      </w:r>
      <w:r w:rsidR="00356E54">
        <w:t xml:space="preserve"> </w:t>
      </w:r>
      <w:r w:rsidR="00BA2E3E">
        <w:t xml:space="preserve">spekulaci </w:t>
      </w:r>
      <w:r w:rsidR="00356E54">
        <w:t>ze strany ČT</w:t>
      </w:r>
      <w:r w:rsidR="00BA2E3E">
        <w:t>Ú</w:t>
      </w:r>
      <w:r w:rsidR="00356E54">
        <w:t xml:space="preserve"> za po</w:t>
      </w:r>
      <w:r w:rsidR="00083D79">
        <w:t>u</w:t>
      </w:r>
      <w:r w:rsidR="00356E54">
        <w:t xml:space="preserve">hou účelovou </w:t>
      </w:r>
      <w:r w:rsidR="00BA2E3E">
        <w:t>a manipulativní</w:t>
      </w:r>
      <w:r w:rsidR="00BA2E3E" w:rsidRPr="00BA2E3E">
        <w:t xml:space="preserve"> </w:t>
      </w:r>
      <w:r w:rsidR="00BA2E3E">
        <w:t>argumentaci</w:t>
      </w:r>
      <w:r w:rsidR="00356E54">
        <w:t>.</w:t>
      </w:r>
      <w:r w:rsidR="00083D79">
        <w:t xml:space="preserve"> </w:t>
      </w:r>
      <w:r w:rsidR="00083D79" w:rsidRPr="000A57A2">
        <w:rPr>
          <w:rFonts w:cs="Arial"/>
          <w:b/>
          <w:bCs/>
          <w:color w:val="FF0000"/>
          <w:szCs w:val="22"/>
        </w:rPr>
        <w:t xml:space="preserve">[začátek obchodního tajemství] </w:t>
      </w:r>
      <w:r w:rsidR="008B1202" w:rsidRPr="008B1202">
        <w:rPr>
          <w:rFonts w:cs="Arial"/>
          <w:szCs w:val="22"/>
          <w:highlight w:val="black"/>
        </w:rPr>
        <w:t>XXXXXXXXXXXXXXXXXXXXXXXXXXXXXXXXXXXXXXXXXXXXXXXXXXXXXXXXXXXXXXXXXXXXXXXXXXXXXXXXXXXXXXXXXXXXXXXXXXXXXXXXXXXXXXXXXXXXXXXXXXXXXXXXXXXXXXXXXXXXXXXXXXXXXXXXXXXXXXXXXXXXXXXXXXXXXXXXXXXXXXXXXXXXXXXXXXXXXXXXXXXXXXXXXXXXXXXXXXXXXXXXXXXXXXXXXXXXXXXXXXXXXXXXXXXXX</w:t>
      </w:r>
      <w:r w:rsidR="00B60C3A" w:rsidRPr="008B1202">
        <w:rPr>
          <w:rFonts w:cs="Arial"/>
          <w:b/>
          <w:bCs/>
          <w:szCs w:val="22"/>
        </w:rPr>
        <w:t xml:space="preserve"> </w:t>
      </w:r>
      <w:r w:rsidR="00083D79" w:rsidRPr="000A57A2">
        <w:rPr>
          <w:rFonts w:cs="Arial"/>
          <w:b/>
          <w:bCs/>
          <w:color w:val="FF0000"/>
          <w:szCs w:val="22"/>
        </w:rPr>
        <w:t>[konec obchodního tajemství]</w:t>
      </w:r>
    </w:p>
    <w:p w14:paraId="0BE6428D" w14:textId="53F40F8E" w:rsidR="000235DE" w:rsidRPr="000235DE" w:rsidRDefault="000235DE" w:rsidP="00083D79">
      <w:pPr>
        <w:ind w:left="567"/>
      </w:pPr>
      <w:r w:rsidRPr="000235DE">
        <w:rPr>
          <w:rFonts w:cs="Arial"/>
          <w:szCs w:val="22"/>
        </w:rPr>
        <w:t>Bohuže</w:t>
      </w:r>
      <w:r>
        <w:rPr>
          <w:rFonts w:cs="Arial"/>
          <w:szCs w:val="22"/>
        </w:rPr>
        <w:t xml:space="preserve">l </w:t>
      </w:r>
      <w:r w:rsidR="00267522">
        <w:rPr>
          <w:rFonts w:cs="Arial"/>
          <w:szCs w:val="22"/>
        </w:rPr>
        <w:t>velká část této kapitoly je začerněna a není se tedy možné k těmto pasážím vyjádřit.</w:t>
      </w:r>
    </w:p>
    <w:p w14:paraId="08C6B9E8" w14:textId="3821A617" w:rsidR="00BD1159" w:rsidRDefault="00940D66" w:rsidP="00BD1159">
      <w:pPr>
        <w:pStyle w:val="Nadpis2"/>
      </w:pPr>
      <w:r>
        <w:lastRenderedPageBreak/>
        <w:t xml:space="preserve">C.9 </w:t>
      </w:r>
      <w:r w:rsidR="00BD1159">
        <w:t>Očekává</w:t>
      </w:r>
      <w:r w:rsidR="00D51000">
        <w:t>n</w:t>
      </w:r>
      <w:r w:rsidR="00BD1159">
        <w:t>í úřadu (</w:t>
      </w:r>
      <w:r w:rsidR="00D51000">
        <w:t>s. 65)</w:t>
      </w:r>
    </w:p>
    <w:p w14:paraId="4241798F" w14:textId="77777777" w:rsidR="00FA4752" w:rsidRPr="007F2682" w:rsidRDefault="00FA4752" w:rsidP="00FA4752">
      <w:pPr>
        <w:pStyle w:val="Podnadpis"/>
      </w:pPr>
      <w:r w:rsidRPr="007F2682">
        <w:t xml:space="preserve">Návrh na doplnění, změnu, zrušení nebo nahrazení textu ustanovení návrhu opatření: </w:t>
      </w:r>
    </w:p>
    <w:p w14:paraId="64E12901" w14:textId="2BE2BBEF" w:rsidR="00FA4752" w:rsidRDefault="008F6972" w:rsidP="00FA4752">
      <w:pPr>
        <w:ind w:left="357"/>
        <w:rPr>
          <w:rFonts w:cs="Arial"/>
          <w:b/>
          <w:szCs w:val="22"/>
        </w:rPr>
      </w:pPr>
      <w:r>
        <w:rPr>
          <w:rFonts w:cs="Arial"/>
          <w:b/>
          <w:szCs w:val="22"/>
        </w:rPr>
        <w:t>Zobjektivnit znění kapitoly s očekáváním důsledků potenciální cenové regulace trhu.</w:t>
      </w:r>
    </w:p>
    <w:p w14:paraId="2CEF0533" w14:textId="77777777" w:rsidR="00FA4752" w:rsidRPr="007F2682" w:rsidRDefault="00FA4752" w:rsidP="00FA4752">
      <w:pPr>
        <w:pStyle w:val="Podnadpis"/>
      </w:pPr>
      <w:r w:rsidRPr="007F2682">
        <w:t>Odůvodnění:</w:t>
      </w:r>
    </w:p>
    <w:p w14:paraId="0D156E36" w14:textId="305DA0D6" w:rsidR="00D51000" w:rsidRPr="00D51000" w:rsidRDefault="000350F4" w:rsidP="00FA4752">
      <w:pPr>
        <w:ind w:left="426"/>
      </w:pPr>
      <w:r>
        <w:rPr>
          <w:rFonts w:cs="Arial"/>
          <w:szCs w:val="22"/>
        </w:rPr>
        <w:t xml:space="preserve">Mimo opětovné opírání o nerelevantní data z vyvrácených mezinárodních srovnání upozorňujeme, že důsledkem </w:t>
      </w:r>
      <w:r w:rsidR="00E32EAA">
        <w:rPr>
          <w:rFonts w:cs="Arial"/>
          <w:szCs w:val="22"/>
        </w:rPr>
        <w:t xml:space="preserve">regulace cen by mohlo být znatelné snížení potenciální </w:t>
      </w:r>
      <w:proofErr w:type="spellStart"/>
      <w:r w:rsidR="00E32EAA">
        <w:rPr>
          <w:rFonts w:cs="Arial"/>
          <w:szCs w:val="22"/>
        </w:rPr>
        <w:t>maržovosti</w:t>
      </w:r>
      <w:proofErr w:type="spellEnd"/>
      <w:r w:rsidR="00E32EAA">
        <w:rPr>
          <w:rFonts w:cs="Arial"/>
          <w:szCs w:val="22"/>
        </w:rPr>
        <w:t xml:space="preserve"> 4. (5., 6.) operátora </w:t>
      </w:r>
      <w:r w:rsidR="001A1F95">
        <w:rPr>
          <w:rFonts w:cs="Arial"/>
          <w:szCs w:val="22"/>
        </w:rPr>
        <w:t>v národním roamingu, prodloužení doby návratnosti vloženého kapitálu a tím zamezení jeho vstupu na trh</w:t>
      </w:r>
      <w:r w:rsidR="005E607B">
        <w:rPr>
          <w:rFonts w:cs="Arial"/>
          <w:szCs w:val="22"/>
        </w:rPr>
        <w:t>, se všemi důsledky zmařených investi</w:t>
      </w:r>
      <w:r w:rsidR="0031796A">
        <w:rPr>
          <w:rFonts w:cs="Arial"/>
          <w:szCs w:val="22"/>
        </w:rPr>
        <w:t>c</w:t>
      </w:r>
      <w:r w:rsidR="001A1F95">
        <w:rPr>
          <w:rFonts w:cs="Arial"/>
          <w:szCs w:val="22"/>
        </w:rPr>
        <w:t>.</w:t>
      </w:r>
      <w:r>
        <w:rPr>
          <w:rFonts w:cs="Arial"/>
          <w:szCs w:val="22"/>
        </w:rPr>
        <w:t xml:space="preserve"> </w:t>
      </w:r>
      <w:r w:rsidR="007523C6">
        <w:rPr>
          <w:rFonts w:cs="Arial"/>
          <w:szCs w:val="22"/>
        </w:rPr>
        <w:t xml:space="preserve">Stejně tak cenová regulace </w:t>
      </w:r>
      <w:r w:rsidR="0031796A">
        <w:rPr>
          <w:rFonts w:cs="Arial"/>
          <w:szCs w:val="22"/>
        </w:rPr>
        <w:t>zapříčiňuje</w:t>
      </w:r>
      <w:r w:rsidR="007523C6">
        <w:rPr>
          <w:rFonts w:cs="Arial"/>
          <w:szCs w:val="22"/>
        </w:rPr>
        <w:t xml:space="preserve"> omezení investic do rozvoje sítě i produktů </w:t>
      </w:r>
      <w:r w:rsidR="00C931F9">
        <w:rPr>
          <w:rFonts w:cs="Arial"/>
          <w:szCs w:val="22"/>
        </w:rPr>
        <w:t>a způsobuje zaostávání daného trhu za mezinárodní konkurencí. Vzhledem k</w:t>
      </w:r>
      <w:r w:rsidR="0031796A">
        <w:rPr>
          <w:rFonts w:cs="Arial"/>
          <w:szCs w:val="22"/>
        </w:rPr>
        <w:t> </w:t>
      </w:r>
      <w:r w:rsidR="00C931F9">
        <w:rPr>
          <w:rFonts w:cs="Arial"/>
          <w:szCs w:val="22"/>
        </w:rPr>
        <w:t>tomu</w:t>
      </w:r>
      <w:r w:rsidR="0031796A">
        <w:rPr>
          <w:rFonts w:cs="Arial"/>
          <w:szCs w:val="22"/>
        </w:rPr>
        <w:t>,</w:t>
      </w:r>
      <w:r w:rsidR="00C931F9">
        <w:rPr>
          <w:rFonts w:cs="Arial"/>
          <w:szCs w:val="22"/>
        </w:rPr>
        <w:t xml:space="preserve"> jaký má telekomunikační trh vliv na digitalizaci </w:t>
      </w:r>
      <w:r w:rsidR="008F6972">
        <w:rPr>
          <w:rFonts w:cs="Arial"/>
          <w:szCs w:val="22"/>
        </w:rPr>
        <w:t>společnosti, považujeme postup ČTÚ za neuvážený.</w:t>
      </w:r>
    </w:p>
    <w:p w14:paraId="65EB201C" w14:textId="0B61D9F8" w:rsidR="00BC046A" w:rsidRPr="007F2682" w:rsidRDefault="00BC046A" w:rsidP="00BC046A">
      <w:pPr>
        <w:pStyle w:val="Nadpis2"/>
      </w:pPr>
      <w:r>
        <w:t xml:space="preserve">Změnit znění kapitoly </w:t>
      </w:r>
      <w:r w:rsidR="004963D9">
        <w:t>2</w:t>
      </w:r>
      <w:r w:rsidRPr="009341D2">
        <w:t>.1</w:t>
      </w:r>
      <w:r w:rsidR="004963D9">
        <w:t>.2</w:t>
      </w:r>
      <w:r w:rsidRPr="009341D2">
        <w:t xml:space="preserve"> </w:t>
      </w:r>
      <w:r w:rsidR="004963D9">
        <w:t>Průzkum trhu</w:t>
      </w:r>
      <w:r w:rsidR="000B5706">
        <w:t xml:space="preserve"> (s. 67-7</w:t>
      </w:r>
      <w:r w:rsidR="008654F6">
        <w:t>3</w:t>
      </w:r>
      <w:r w:rsidR="000B5706">
        <w:t>)</w:t>
      </w:r>
    </w:p>
    <w:p w14:paraId="083BB6F4" w14:textId="77777777" w:rsidR="00BC046A" w:rsidRPr="007F2682" w:rsidRDefault="00BC046A" w:rsidP="00BC046A">
      <w:pPr>
        <w:pStyle w:val="Podnadpis"/>
      </w:pPr>
      <w:r w:rsidRPr="007F2682">
        <w:t xml:space="preserve">Návrh na doplnění, změnu, zrušení nebo nahrazení textu ustanovení návrhu opatření: </w:t>
      </w:r>
    </w:p>
    <w:p w14:paraId="75E66DE1" w14:textId="2F335AD3" w:rsidR="00BC046A" w:rsidRDefault="00D9579D" w:rsidP="00BC046A">
      <w:pPr>
        <w:ind w:left="357"/>
        <w:rPr>
          <w:rFonts w:cs="Arial"/>
          <w:b/>
          <w:szCs w:val="22"/>
        </w:rPr>
      </w:pPr>
      <w:r>
        <w:rPr>
          <w:rFonts w:cs="Arial"/>
          <w:b/>
          <w:szCs w:val="22"/>
        </w:rPr>
        <w:t xml:space="preserve">Přehodnotit zahrnutí kapitoly 2.1.2 </w:t>
      </w:r>
      <w:r w:rsidRPr="00D9579D">
        <w:rPr>
          <w:rFonts w:cs="Arial"/>
          <w:b/>
          <w:szCs w:val="22"/>
        </w:rPr>
        <w:t>Průzkum trhu</w:t>
      </w:r>
      <w:r>
        <w:rPr>
          <w:rFonts w:cs="Arial"/>
          <w:b/>
          <w:szCs w:val="22"/>
        </w:rPr>
        <w:t xml:space="preserve"> </w:t>
      </w:r>
      <w:r w:rsidR="00110F7C">
        <w:rPr>
          <w:rFonts w:cs="Arial"/>
          <w:b/>
          <w:szCs w:val="22"/>
        </w:rPr>
        <w:t xml:space="preserve">a 2.1.3 SSNIP test </w:t>
      </w:r>
      <w:r w:rsidR="004963D9">
        <w:rPr>
          <w:rFonts w:cs="Arial"/>
          <w:b/>
          <w:szCs w:val="22"/>
        </w:rPr>
        <w:t>v tomto znění, kdy se zřejmě nejedná o hloubkovou analýzu trhu vycházející z reálných dat.</w:t>
      </w:r>
    </w:p>
    <w:p w14:paraId="24123645" w14:textId="77777777" w:rsidR="00BC046A" w:rsidRPr="007F2682" w:rsidRDefault="00BC046A" w:rsidP="00BC046A">
      <w:pPr>
        <w:pStyle w:val="Podnadpis"/>
      </w:pPr>
      <w:r w:rsidRPr="007F2682">
        <w:t>Odůvodnění:</w:t>
      </w:r>
    </w:p>
    <w:p w14:paraId="77893F84" w14:textId="77D3C493" w:rsidR="003B64F6" w:rsidRPr="007F2FE4" w:rsidRDefault="00BC046A" w:rsidP="00BC046A">
      <w:pPr>
        <w:ind w:left="357"/>
        <w:rPr>
          <w:rFonts w:cs="Arial"/>
          <w:b/>
          <w:bCs/>
          <w:szCs w:val="22"/>
        </w:rPr>
      </w:pPr>
      <w:r>
        <w:rPr>
          <w:rFonts w:cs="Arial"/>
          <w:szCs w:val="22"/>
        </w:rPr>
        <w:t xml:space="preserve">ČTÚ v kapitole </w:t>
      </w:r>
      <w:r w:rsidR="005B4BC9">
        <w:rPr>
          <w:rFonts w:cs="Arial"/>
          <w:szCs w:val="22"/>
        </w:rPr>
        <w:t>2</w:t>
      </w:r>
      <w:r>
        <w:rPr>
          <w:rFonts w:cs="Arial"/>
          <w:szCs w:val="22"/>
        </w:rPr>
        <w:t>.1</w:t>
      </w:r>
      <w:r w:rsidR="005B4BC9">
        <w:rPr>
          <w:rFonts w:cs="Arial"/>
          <w:szCs w:val="22"/>
        </w:rPr>
        <w:t>.2 údajně provádí</w:t>
      </w:r>
      <w:r>
        <w:rPr>
          <w:rFonts w:cs="Arial"/>
          <w:szCs w:val="22"/>
        </w:rPr>
        <w:t xml:space="preserve"> </w:t>
      </w:r>
      <w:r w:rsidR="003B64F6">
        <w:rPr>
          <w:rFonts w:cs="Arial"/>
          <w:szCs w:val="22"/>
        </w:rPr>
        <w:t xml:space="preserve">hloubkový průzkum produktů. Z počtu zmapovaných nabídek jasně vyplývá, že se jedná o </w:t>
      </w:r>
      <w:r w:rsidR="00A8264F">
        <w:rPr>
          <w:rFonts w:cs="Arial"/>
          <w:szCs w:val="22"/>
        </w:rPr>
        <w:t xml:space="preserve">malou část trhu patrně nezahrnující balíčky a stavebnicové kombinace tarifů. </w:t>
      </w:r>
      <w:r w:rsidR="001410AF" w:rsidRPr="001410AF">
        <w:rPr>
          <w:rFonts w:cs="Arial"/>
          <w:szCs w:val="22"/>
        </w:rPr>
        <w:t>Např. u balíčků služeb t</w:t>
      </w:r>
      <w:r w:rsidR="001410AF">
        <w:rPr>
          <w:rFonts w:cs="Arial"/>
          <w:szCs w:val="22"/>
        </w:rPr>
        <w:t>ento test totiž nemohl</w:t>
      </w:r>
      <w:r w:rsidR="001410AF" w:rsidRPr="001410AF">
        <w:rPr>
          <w:rFonts w:cs="Arial"/>
          <w:szCs w:val="22"/>
        </w:rPr>
        <w:t xml:space="preserve"> být proveden korektně bez zohlednění podílu jednotlivých typů balíčků</w:t>
      </w:r>
      <w:r w:rsidR="001410AF">
        <w:rPr>
          <w:rFonts w:cs="Arial"/>
          <w:szCs w:val="22"/>
        </w:rPr>
        <w:t xml:space="preserve">. </w:t>
      </w:r>
      <w:r w:rsidR="001410AF" w:rsidRPr="001410AF">
        <w:rPr>
          <w:rFonts w:cs="Arial"/>
          <w:szCs w:val="22"/>
        </w:rPr>
        <w:t xml:space="preserve">Hloubkový průzkum </w:t>
      </w:r>
      <w:r w:rsidR="001410AF">
        <w:rPr>
          <w:rFonts w:cs="Arial"/>
          <w:szCs w:val="22"/>
        </w:rPr>
        <w:t xml:space="preserve">také </w:t>
      </w:r>
      <w:r w:rsidR="001410AF" w:rsidRPr="001410AF">
        <w:rPr>
          <w:rFonts w:cs="Arial"/>
          <w:szCs w:val="22"/>
        </w:rPr>
        <w:t xml:space="preserve">vychází z ceníků a je otázka, jak s nimi </w:t>
      </w:r>
      <w:r w:rsidR="001410AF">
        <w:rPr>
          <w:rFonts w:cs="Arial"/>
          <w:szCs w:val="22"/>
        </w:rPr>
        <w:t>ČTÚ</w:t>
      </w:r>
      <w:r w:rsidR="001410AF" w:rsidRPr="001410AF">
        <w:rPr>
          <w:rFonts w:cs="Arial"/>
          <w:szCs w:val="22"/>
        </w:rPr>
        <w:t xml:space="preserve"> pracoval. </w:t>
      </w:r>
      <w:r w:rsidR="001410AF" w:rsidRPr="007F2FE4">
        <w:rPr>
          <w:rFonts w:cs="Arial"/>
          <w:b/>
          <w:bCs/>
          <w:szCs w:val="22"/>
        </w:rPr>
        <w:t>Z podstaty věci tato analýza musí být zkreslená a nelze jí nazývat hloubkovým průzkumem, když nepracuje s reálnými daty operátorů.</w:t>
      </w:r>
      <w:r w:rsidR="00D81071" w:rsidRPr="007F2FE4">
        <w:rPr>
          <w:b/>
          <w:bCs/>
        </w:rPr>
        <w:t xml:space="preserve"> </w:t>
      </w:r>
      <w:r w:rsidR="00D81071" w:rsidRPr="007F2FE4">
        <w:rPr>
          <w:rFonts w:cs="Arial"/>
          <w:b/>
          <w:bCs/>
          <w:szCs w:val="22"/>
        </w:rPr>
        <w:t xml:space="preserve">Průzkum trhu by měl pracovat s vahami jednotlivých nabídek (počty zákazníků) a </w:t>
      </w:r>
      <w:r w:rsidR="007B43DB" w:rsidRPr="007F2FE4">
        <w:rPr>
          <w:rFonts w:cs="Arial"/>
          <w:b/>
          <w:bCs/>
          <w:szCs w:val="22"/>
        </w:rPr>
        <w:t>nikoliv pouze</w:t>
      </w:r>
      <w:r w:rsidR="00D81071" w:rsidRPr="007F2FE4">
        <w:rPr>
          <w:rFonts w:cs="Arial"/>
          <w:b/>
          <w:bCs/>
          <w:szCs w:val="22"/>
        </w:rPr>
        <w:t xml:space="preserve"> analyzovat ceníky a přikládat jim stejnou váhu.</w:t>
      </w:r>
    </w:p>
    <w:p w14:paraId="0128BC51" w14:textId="514FBB8F" w:rsidR="00D81071" w:rsidRDefault="00D81071" w:rsidP="00BC046A">
      <w:pPr>
        <w:ind w:left="357"/>
        <w:rPr>
          <w:rFonts w:cs="Arial"/>
          <w:szCs w:val="22"/>
        </w:rPr>
      </w:pPr>
      <w:r>
        <w:rPr>
          <w:rFonts w:cs="Arial"/>
          <w:szCs w:val="22"/>
        </w:rPr>
        <w:t xml:space="preserve">V testu je také zmíněno </w:t>
      </w:r>
      <w:r w:rsidR="007B43DB">
        <w:rPr>
          <w:rFonts w:cs="Arial"/>
          <w:szCs w:val="22"/>
        </w:rPr>
        <w:t xml:space="preserve">vyřazení nabídky pro firemní zákazníky. Opětovně upozorňujeme na existenci šedých operátorů </w:t>
      </w:r>
      <w:r w:rsidR="0031796A">
        <w:rPr>
          <w:rFonts w:cs="Arial"/>
          <w:szCs w:val="22"/>
        </w:rPr>
        <w:t xml:space="preserve">a zaměstnaneckých programů </w:t>
      </w:r>
      <w:r w:rsidR="007B43DB">
        <w:rPr>
          <w:rFonts w:cs="Arial"/>
          <w:szCs w:val="22"/>
        </w:rPr>
        <w:t>a odkazujeme v této věci na příslušnou připomínku.</w:t>
      </w:r>
    </w:p>
    <w:p w14:paraId="1C082560" w14:textId="64D221F6" w:rsidR="00E93CB8" w:rsidRPr="007F2FE4" w:rsidRDefault="00E93CB8" w:rsidP="00BC046A">
      <w:pPr>
        <w:ind w:left="357"/>
        <w:rPr>
          <w:rFonts w:cs="Arial"/>
          <w:b/>
          <w:bCs/>
          <w:szCs w:val="22"/>
        </w:rPr>
      </w:pPr>
      <w:r w:rsidRPr="007F2FE4">
        <w:rPr>
          <w:rFonts w:cs="Arial"/>
          <w:b/>
          <w:bCs/>
          <w:szCs w:val="22"/>
        </w:rPr>
        <w:t>Co se týče závěru o virtuálních operátorech, kteří mají vyšší podíl v tarifech pod 500 Kč, tak to může souviset s jejich cenovou politikou (cílení na danou zákaznickou bázi).</w:t>
      </w:r>
    </w:p>
    <w:p w14:paraId="6C6DD3F9" w14:textId="40BC639B" w:rsidR="00B00FA2" w:rsidRPr="00E53C2C" w:rsidRDefault="00B00FA2" w:rsidP="00BC046A">
      <w:pPr>
        <w:ind w:left="357"/>
        <w:rPr>
          <w:rFonts w:cs="Arial"/>
          <w:b/>
          <w:bCs/>
          <w:szCs w:val="22"/>
        </w:rPr>
      </w:pPr>
      <w:r>
        <w:rPr>
          <w:rFonts w:cs="Arial"/>
          <w:szCs w:val="22"/>
        </w:rPr>
        <w:t>Až úsměvné</w:t>
      </w:r>
      <w:r w:rsidR="00424F99">
        <w:rPr>
          <w:rFonts w:cs="Arial"/>
          <w:szCs w:val="22"/>
        </w:rPr>
        <w:t xml:space="preserve"> nebo spíše k pláči nad kvalitou předloženého návrhu analýzy </w:t>
      </w:r>
      <w:r>
        <w:rPr>
          <w:rFonts w:cs="Arial"/>
          <w:szCs w:val="22"/>
        </w:rPr>
        <w:t xml:space="preserve">jsou pak argumenty, že se na trhu </w:t>
      </w:r>
      <w:r w:rsidR="00201544">
        <w:rPr>
          <w:rFonts w:cs="Arial"/>
          <w:szCs w:val="22"/>
        </w:rPr>
        <w:t xml:space="preserve">začínají objevovat způsoby </w:t>
      </w:r>
      <w:r w:rsidR="00201544" w:rsidRPr="00201544">
        <w:rPr>
          <w:rFonts w:cs="Arial"/>
          <w:szCs w:val="22"/>
        </w:rPr>
        <w:t>automatické</w:t>
      </w:r>
      <w:r w:rsidR="00201544">
        <w:rPr>
          <w:rFonts w:cs="Arial"/>
          <w:szCs w:val="22"/>
        </w:rPr>
        <w:t>ho</w:t>
      </w:r>
      <w:r w:rsidR="00201544" w:rsidRPr="00201544">
        <w:rPr>
          <w:rFonts w:cs="Arial"/>
          <w:szCs w:val="22"/>
        </w:rPr>
        <w:t xml:space="preserve"> dobíjení kreditu, např. prostřednictvím platební karty</w:t>
      </w:r>
      <w:r w:rsidR="00CC0DFF">
        <w:rPr>
          <w:rFonts w:cs="Arial"/>
          <w:szCs w:val="22"/>
        </w:rPr>
        <w:t xml:space="preserve"> (</w:t>
      </w:r>
      <w:r w:rsidR="00CC0DFF" w:rsidRPr="00CC0DFF">
        <w:rPr>
          <w:rFonts w:cs="Arial"/>
          <w:i/>
          <w:iCs/>
          <w:szCs w:val="22"/>
        </w:rPr>
        <w:t>pozn. jedná se o jednotky %</w:t>
      </w:r>
      <w:r w:rsidR="00CC0DFF">
        <w:rPr>
          <w:rFonts w:cs="Arial"/>
          <w:szCs w:val="22"/>
        </w:rPr>
        <w:t>)</w:t>
      </w:r>
      <w:r w:rsidR="00B176D2">
        <w:rPr>
          <w:rFonts w:cs="Arial"/>
          <w:szCs w:val="22"/>
        </w:rPr>
        <w:t xml:space="preserve">, a proto </w:t>
      </w:r>
      <w:r w:rsidR="004B5684" w:rsidRPr="004B5684">
        <w:rPr>
          <w:rFonts w:cs="Arial"/>
          <w:szCs w:val="22"/>
        </w:rPr>
        <w:t>rozdíl mezi fakturovanými službami a předplacenými službami zaniká a není důvod pro účely této analýzy mezi těmito dvěma kategoriemi služeb rozlišova</w:t>
      </w:r>
      <w:r w:rsidR="004B5684">
        <w:rPr>
          <w:rFonts w:cs="Arial"/>
          <w:szCs w:val="22"/>
        </w:rPr>
        <w:t>t</w:t>
      </w:r>
      <w:r w:rsidR="00201544">
        <w:rPr>
          <w:rFonts w:cs="Arial"/>
          <w:szCs w:val="22"/>
        </w:rPr>
        <w:t xml:space="preserve">. </w:t>
      </w:r>
      <w:r w:rsidR="00201544" w:rsidRPr="007F2FE4">
        <w:rPr>
          <w:rFonts w:cs="Arial"/>
          <w:b/>
          <w:bCs/>
          <w:szCs w:val="22"/>
        </w:rPr>
        <w:t xml:space="preserve">Tyto </w:t>
      </w:r>
      <w:r w:rsidR="00B176D2" w:rsidRPr="007F2FE4">
        <w:rPr>
          <w:rFonts w:cs="Arial"/>
          <w:b/>
          <w:bCs/>
          <w:szCs w:val="22"/>
        </w:rPr>
        <w:t>uměle a účelově vytvořen</w:t>
      </w:r>
      <w:r w:rsidR="00CC0DFF" w:rsidRPr="007F2FE4">
        <w:rPr>
          <w:rFonts w:cs="Arial"/>
          <w:b/>
          <w:bCs/>
          <w:szCs w:val="22"/>
        </w:rPr>
        <w:t>é zástupné důvody</w:t>
      </w:r>
      <w:r w:rsidR="00B176D2" w:rsidRPr="007F2FE4">
        <w:rPr>
          <w:rFonts w:cs="Arial"/>
          <w:b/>
          <w:bCs/>
          <w:szCs w:val="22"/>
        </w:rPr>
        <w:t xml:space="preserve"> u </w:t>
      </w:r>
      <w:r w:rsidR="00B176D2" w:rsidRPr="007F2FE4">
        <w:rPr>
          <w:rFonts w:cs="Arial"/>
          <w:b/>
          <w:bCs/>
          <w:szCs w:val="22"/>
        </w:rPr>
        <w:lastRenderedPageBreak/>
        <w:t xml:space="preserve">nehodících </w:t>
      </w:r>
      <w:r w:rsidR="004B5684" w:rsidRPr="007F2FE4">
        <w:rPr>
          <w:rFonts w:cs="Arial"/>
          <w:b/>
          <w:bCs/>
          <w:szCs w:val="22"/>
        </w:rPr>
        <w:t>se problematik</w:t>
      </w:r>
      <w:r w:rsidR="008F5B5F" w:rsidRPr="007F2FE4">
        <w:rPr>
          <w:rFonts w:cs="Arial"/>
          <w:b/>
          <w:bCs/>
          <w:szCs w:val="22"/>
        </w:rPr>
        <w:t xml:space="preserve">, které by </w:t>
      </w:r>
      <w:r w:rsidR="00424F99">
        <w:rPr>
          <w:rFonts w:cs="Arial"/>
          <w:b/>
          <w:bCs/>
          <w:szCs w:val="22"/>
        </w:rPr>
        <w:t xml:space="preserve">ČTÚ </w:t>
      </w:r>
      <w:r w:rsidR="008F5B5F" w:rsidRPr="007F2FE4">
        <w:rPr>
          <w:rFonts w:cs="Arial"/>
          <w:b/>
          <w:bCs/>
          <w:szCs w:val="22"/>
        </w:rPr>
        <w:t xml:space="preserve">komplikovaly zpracování a výsledek analýzy, </w:t>
      </w:r>
      <w:r w:rsidR="004B5684" w:rsidRPr="007F2FE4">
        <w:rPr>
          <w:rFonts w:cs="Arial"/>
          <w:b/>
          <w:bCs/>
          <w:szCs w:val="22"/>
        </w:rPr>
        <w:t xml:space="preserve">dokazují předem stanovený </w:t>
      </w:r>
      <w:r w:rsidR="008F5B5F" w:rsidRPr="007F2FE4">
        <w:rPr>
          <w:rFonts w:cs="Arial"/>
          <w:b/>
          <w:bCs/>
          <w:szCs w:val="22"/>
        </w:rPr>
        <w:t>cíl</w:t>
      </w:r>
      <w:r w:rsidR="00424F99" w:rsidRPr="007F2FE4">
        <w:rPr>
          <w:rFonts w:cs="Arial"/>
          <w:b/>
          <w:bCs/>
          <w:szCs w:val="22"/>
        </w:rPr>
        <w:t xml:space="preserve">, kterého se ČTÚ pokouší dosáhnout narychlo </w:t>
      </w:r>
      <w:r w:rsidR="007F2FE4">
        <w:rPr>
          <w:rFonts w:cs="Arial"/>
          <w:b/>
          <w:bCs/>
          <w:szCs w:val="22"/>
        </w:rPr>
        <w:t>zpracovaným</w:t>
      </w:r>
      <w:r w:rsidR="00424F99" w:rsidRPr="007F2FE4">
        <w:rPr>
          <w:rFonts w:cs="Arial"/>
          <w:b/>
          <w:bCs/>
          <w:szCs w:val="22"/>
        </w:rPr>
        <w:t xml:space="preserve"> návrhem analýzy </w:t>
      </w:r>
      <w:r w:rsidR="00424F99">
        <w:rPr>
          <w:rFonts w:cs="Arial"/>
          <w:b/>
          <w:bCs/>
          <w:szCs w:val="22"/>
        </w:rPr>
        <w:t xml:space="preserve">navíc zřejmě </w:t>
      </w:r>
      <w:r w:rsidR="00424F99" w:rsidRPr="00E53C2C">
        <w:rPr>
          <w:rFonts w:cs="Arial"/>
          <w:b/>
          <w:bCs/>
          <w:szCs w:val="22"/>
        </w:rPr>
        <w:t>zpracovaným externími subjekty</w:t>
      </w:r>
      <w:r w:rsidR="00424F99" w:rsidRPr="00424F99">
        <w:rPr>
          <w:rFonts w:cs="Arial"/>
          <w:b/>
          <w:bCs/>
          <w:szCs w:val="22"/>
        </w:rPr>
        <w:t>, které si ČTÚ najal</w:t>
      </w:r>
      <w:r w:rsidR="00424F99" w:rsidRPr="00E53C2C">
        <w:rPr>
          <w:rFonts w:cs="Arial"/>
          <w:b/>
          <w:bCs/>
          <w:szCs w:val="22"/>
        </w:rPr>
        <w:t xml:space="preserve"> za částky v řádu miliónů </w:t>
      </w:r>
      <w:r w:rsidR="00424F99" w:rsidRPr="00424F99">
        <w:rPr>
          <w:rFonts w:cs="Arial"/>
          <w:b/>
          <w:bCs/>
          <w:szCs w:val="22"/>
        </w:rPr>
        <w:t xml:space="preserve">Kč </w:t>
      </w:r>
      <w:r w:rsidR="00424F99" w:rsidRPr="00E53C2C">
        <w:rPr>
          <w:rFonts w:cs="Arial"/>
          <w:b/>
          <w:bCs/>
          <w:szCs w:val="22"/>
        </w:rPr>
        <w:t>z peněz daňových poplatníků</w:t>
      </w:r>
      <w:r w:rsidR="00424F99" w:rsidRPr="00424F99">
        <w:rPr>
          <w:rStyle w:val="Znakapoznpodarou"/>
          <w:rFonts w:cs="Arial"/>
          <w:b/>
          <w:bCs/>
          <w:szCs w:val="22"/>
        </w:rPr>
        <w:footnoteReference w:id="21"/>
      </w:r>
      <w:r w:rsidR="008F5B5F" w:rsidRPr="00E53C2C">
        <w:rPr>
          <w:rFonts w:cs="Arial"/>
          <w:b/>
          <w:bCs/>
          <w:szCs w:val="22"/>
        </w:rPr>
        <w:t>.</w:t>
      </w:r>
    </w:p>
    <w:p w14:paraId="1F71ADFC" w14:textId="0CBD294C" w:rsidR="006338B0" w:rsidRDefault="006338B0" w:rsidP="00BC046A">
      <w:pPr>
        <w:ind w:left="357"/>
        <w:rPr>
          <w:rFonts w:cs="Arial"/>
          <w:b/>
          <w:bCs/>
          <w:szCs w:val="22"/>
        </w:rPr>
      </w:pPr>
      <w:r>
        <w:rPr>
          <w:rFonts w:cs="Arial"/>
          <w:szCs w:val="22"/>
        </w:rPr>
        <w:t xml:space="preserve">V dílčím závěru následující kapitoly 2.1.3 pak ČTÚ uvádí, že </w:t>
      </w:r>
      <w:r w:rsidR="00450111" w:rsidRPr="00450111">
        <w:rPr>
          <w:rFonts w:cs="Arial"/>
          <w:i/>
          <w:iCs/>
          <w:szCs w:val="22"/>
        </w:rPr>
        <w:t xml:space="preserve">„poptávka po hlasových službách, službách SMS a datových službách, jak byly vymezeny v rámci fokálního produktu, </w:t>
      </w:r>
      <w:r w:rsidR="00450111" w:rsidRPr="00450111">
        <w:rPr>
          <w:rFonts w:cs="Arial"/>
          <w:b/>
          <w:bCs/>
          <w:i/>
          <w:iCs/>
          <w:szCs w:val="22"/>
        </w:rPr>
        <w:t>je neelastická</w:t>
      </w:r>
      <w:r w:rsidR="00450111" w:rsidRPr="00450111">
        <w:rPr>
          <w:rFonts w:cs="Arial"/>
          <w:i/>
          <w:iCs/>
          <w:szCs w:val="22"/>
        </w:rPr>
        <w:t xml:space="preserve">, protože změna ceny o </w:t>
      </w:r>
      <w:r w:rsidR="00450111" w:rsidRPr="00450111">
        <w:rPr>
          <w:rFonts w:cs="Arial"/>
          <w:b/>
          <w:bCs/>
          <w:i/>
          <w:iCs/>
          <w:szCs w:val="22"/>
        </w:rPr>
        <w:t>1 % způsobuje změnu poptávaného množství o 0,94 %.</w:t>
      </w:r>
      <w:r w:rsidR="00450111" w:rsidRPr="00450111">
        <w:rPr>
          <w:rFonts w:cs="Arial"/>
          <w:i/>
          <w:iCs/>
          <w:szCs w:val="22"/>
        </w:rPr>
        <w:t>“</w:t>
      </w:r>
      <w:r w:rsidR="00450111">
        <w:rPr>
          <w:rFonts w:cs="Arial"/>
          <w:i/>
          <w:iCs/>
          <w:szCs w:val="22"/>
        </w:rPr>
        <w:t xml:space="preserve">. </w:t>
      </w:r>
      <w:r w:rsidR="00450111">
        <w:rPr>
          <w:rFonts w:cs="Arial"/>
          <w:szCs w:val="22"/>
        </w:rPr>
        <w:t xml:space="preserve">Pozorný čtenář se nad takovýmto hodnocením musí </w:t>
      </w:r>
      <w:r w:rsidR="003163A4">
        <w:rPr>
          <w:rFonts w:cs="Arial"/>
          <w:szCs w:val="22"/>
        </w:rPr>
        <w:t xml:space="preserve">opět jen </w:t>
      </w:r>
      <w:r w:rsidR="00450111">
        <w:rPr>
          <w:rFonts w:cs="Arial"/>
          <w:szCs w:val="22"/>
        </w:rPr>
        <w:t xml:space="preserve">pousmát, jelikož </w:t>
      </w:r>
      <w:r w:rsidR="00DA1080">
        <w:rPr>
          <w:rFonts w:cs="Arial"/>
          <w:szCs w:val="22"/>
        </w:rPr>
        <w:t xml:space="preserve">se samozřejmě jedná o </w:t>
      </w:r>
      <w:r w:rsidR="006342F2">
        <w:rPr>
          <w:rFonts w:cs="Arial"/>
          <w:szCs w:val="22"/>
        </w:rPr>
        <w:t>jednotkově</w:t>
      </w:r>
      <w:r w:rsidR="00DA1080">
        <w:rPr>
          <w:rFonts w:cs="Arial"/>
          <w:szCs w:val="22"/>
        </w:rPr>
        <w:t xml:space="preserve"> elastickou poptávku</w:t>
      </w:r>
      <w:r w:rsidR="006342F2">
        <w:rPr>
          <w:rFonts w:cs="Arial"/>
          <w:szCs w:val="22"/>
        </w:rPr>
        <w:t>, jelikož z</w:t>
      </w:r>
      <w:r w:rsidR="00F32B27">
        <w:rPr>
          <w:rFonts w:cs="Arial"/>
          <w:szCs w:val="22"/>
        </w:rPr>
        <w:t>měna ceny o 1 % způsobí téměř totožnou změnu poptávaného množství</w:t>
      </w:r>
      <w:r w:rsidR="00DA1080">
        <w:rPr>
          <w:rFonts w:cs="Arial"/>
          <w:szCs w:val="22"/>
        </w:rPr>
        <w:t>.</w:t>
      </w:r>
      <w:r w:rsidR="00110F7C">
        <w:rPr>
          <w:rFonts w:cs="Arial"/>
          <w:szCs w:val="22"/>
        </w:rPr>
        <w:t xml:space="preserve"> </w:t>
      </w:r>
      <w:r w:rsidR="00110F7C" w:rsidRPr="00110F7C">
        <w:rPr>
          <w:rFonts w:cs="Arial"/>
          <w:b/>
          <w:bCs/>
          <w:szCs w:val="22"/>
        </w:rPr>
        <w:t xml:space="preserve">Vzhledem k tomu, že ČTÚ prakticky nepředkládá metodický postup, nelze brát tyto </w:t>
      </w:r>
      <w:r w:rsidR="00110F7C">
        <w:rPr>
          <w:rFonts w:cs="Arial"/>
          <w:b/>
          <w:bCs/>
          <w:szCs w:val="22"/>
        </w:rPr>
        <w:t>dvě</w:t>
      </w:r>
      <w:r w:rsidR="00110F7C" w:rsidRPr="00110F7C">
        <w:rPr>
          <w:rFonts w:cs="Arial"/>
          <w:b/>
          <w:bCs/>
          <w:szCs w:val="22"/>
        </w:rPr>
        <w:t xml:space="preserve"> kapitoly v potaz a měly by být odstraněny.</w:t>
      </w:r>
    </w:p>
    <w:p w14:paraId="1AAF5D24" w14:textId="77777777" w:rsidR="0028750B" w:rsidRPr="007F2682" w:rsidRDefault="0028750B" w:rsidP="0028750B">
      <w:pPr>
        <w:pStyle w:val="Nadpis2"/>
      </w:pPr>
      <w:r w:rsidRPr="007F2682">
        <w:t>Definice skupin zákazníků – rezidentní a firemní zákazníci</w:t>
      </w:r>
      <w:r>
        <w:t xml:space="preserve"> (s. 73-77)</w:t>
      </w:r>
    </w:p>
    <w:p w14:paraId="5494E5F9" w14:textId="77777777" w:rsidR="0028750B" w:rsidRPr="007F2682" w:rsidRDefault="0028750B" w:rsidP="0028750B">
      <w:pPr>
        <w:pStyle w:val="Podnadpis"/>
      </w:pPr>
      <w:r w:rsidRPr="007F2682">
        <w:t xml:space="preserve">Návrh na doplnění, změnu, zrušení nebo nahrazení textu ustanovení návrhu opatření: </w:t>
      </w:r>
    </w:p>
    <w:p w14:paraId="6F476EA0" w14:textId="77777777" w:rsidR="0028750B" w:rsidRPr="007F2682" w:rsidRDefault="0028750B" w:rsidP="0028750B">
      <w:pPr>
        <w:ind w:left="357"/>
        <w:rPr>
          <w:rFonts w:cs="Arial"/>
          <w:b/>
          <w:szCs w:val="22"/>
        </w:rPr>
      </w:pPr>
      <w:r w:rsidRPr="007F2682">
        <w:rPr>
          <w:rFonts w:cs="Arial"/>
          <w:b/>
          <w:szCs w:val="22"/>
        </w:rPr>
        <w:t>S ohledem na již několikrát zmíněnou argumentaci o nesmyslné segmentaci dílčího trhu změnit metodiku a přístup k analyzovaným datům a zastavení provádění analýz na uměle vytvořené a definované skupiny zákazníků.</w:t>
      </w:r>
    </w:p>
    <w:p w14:paraId="226BE2EB" w14:textId="77777777" w:rsidR="0028750B" w:rsidRPr="007F2682" w:rsidRDefault="0028750B" w:rsidP="0028750B">
      <w:pPr>
        <w:pStyle w:val="Podnadpis"/>
      </w:pPr>
      <w:r w:rsidRPr="007F2682">
        <w:t>Odůvodnění:</w:t>
      </w:r>
    </w:p>
    <w:p w14:paraId="1FED0F57" w14:textId="77777777" w:rsidR="0028750B" w:rsidRPr="007F2682" w:rsidRDefault="0028750B" w:rsidP="0028750B">
      <w:pPr>
        <w:ind w:left="357"/>
        <w:rPr>
          <w:rFonts w:cs="Arial"/>
          <w:szCs w:val="22"/>
        </w:rPr>
      </w:pPr>
      <w:r w:rsidRPr="007F2682">
        <w:rPr>
          <w:rFonts w:cs="Arial"/>
          <w:szCs w:val="22"/>
        </w:rPr>
        <w:t>ČTÚ v</w:t>
      </w:r>
      <w:r>
        <w:rPr>
          <w:rFonts w:cs="Arial"/>
          <w:szCs w:val="22"/>
        </w:rPr>
        <w:t> návrhu a</w:t>
      </w:r>
      <w:r w:rsidRPr="007F2682">
        <w:rPr>
          <w:rFonts w:cs="Arial"/>
          <w:szCs w:val="22"/>
        </w:rPr>
        <w:t>nalýz</w:t>
      </w:r>
      <w:r>
        <w:rPr>
          <w:rFonts w:cs="Arial"/>
          <w:szCs w:val="22"/>
        </w:rPr>
        <w:t>y</w:t>
      </w:r>
      <w:r w:rsidRPr="007F2682">
        <w:rPr>
          <w:rFonts w:cs="Arial"/>
          <w:szCs w:val="22"/>
        </w:rPr>
        <w:t xml:space="preserve"> tvrdí, že na základě rozdíln</w:t>
      </w:r>
      <w:r>
        <w:rPr>
          <w:rFonts w:cs="Arial"/>
          <w:szCs w:val="22"/>
        </w:rPr>
        <w:t>ého chování a</w:t>
      </w:r>
      <w:r w:rsidRPr="007F2682">
        <w:rPr>
          <w:rFonts w:cs="Arial"/>
          <w:szCs w:val="22"/>
        </w:rPr>
        <w:t xml:space="preserve"> jednotkových cen pro rezidentní a firemní segment je nutno trh rozdělit na </w:t>
      </w:r>
      <w:r>
        <w:rPr>
          <w:rFonts w:cs="Arial"/>
          <w:szCs w:val="22"/>
        </w:rPr>
        <w:t>dva segmenty</w:t>
      </w:r>
      <w:r w:rsidRPr="007F2682">
        <w:rPr>
          <w:rFonts w:cs="Arial"/>
          <w:szCs w:val="22"/>
        </w:rPr>
        <w:t xml:space="preserve">, přičemž způsobilost pro ex ante regulaci má pouze trh mobilních služeb pro </w:t>
      </w:r>
      <w:r>
        <w:rPr>
          <w:rFonts w:cs="Arial"/>
          <w:szCs w:val="22"/>
        </w:rPr>
        <w:t>domácnosti (hromadný trh)</w:t>
      </w:r>
      <w:r w:rsidRPr="007F2682">
        <w:rPr>
          <w:rFonts w:cs="Arial"/>
          <w:szCs w:val="22"/>
        </w:rPr>
        <w:t xml:space="preserve">. </w:t>
      </w:r>
    </w:p>
    <w:p w14:paraId="64723865" w14:textId="446F228F" w:rsidR="0028750B" w:rsidRPr="007F2682" w:rsidRDefault="0028750B" w:rsidP="0028750B">
      <w:pPr>
        <w:ind w:left="357"/>
        <w:rPr>
          <w:rFonts w:cs="Arial"/>
          <w:szCs w:val="22"/>
        </w:rPr>
      </w:pPr>
      <w:r w:rsidRPr="007F2682">
        <w:rPr>
          <w:rFonts w:cs="Arial"/>
          <w:szCs w:val="22"/>
        </w:rPr>
        <w:t xml:space="preserve">Společnost O2 </w:t>
      </w:r>
      <w:r>
        <w:rPr>
          <w:rFonts w:cs="Arial"/>
          <w:szCs w:val="22"/>
        </w:rPr>
        <w:t xml:space="preserve">již </w:t>
      </w:r>
      <w:r w:rsidRPr="007F2682">
        <w:rPr>
          <w:rFonts w:cs="Arial"/>
          <w:szCs w:val="22"/>
        </w:rPr>
        <w:t xml:space="preserve">v připomínkách ke </w:t>
      </w:r>
      <w:proofErr w:type="spellStart"/>
      <w:r w:rsidRPr="007F2682">
        <w:rPr>
          <w:rFonts w:cs="Arial"/>
          <w:szCs w:val="22"/>
        </w:rPr>
        <w:t>tříkriteriálnímu</w:t>
      </w:r>
      <w:proofErr w:type="spellEnd"/>
      <w:r w:rsidRPr="007F2682">
        <w:rPr>
          <w:rFonts w:cs="Arial"/>
          <w:szCs w:val="22"/>
        </w:rPr>
        <w:t xml:space="preserve"> testu</w:t>
      </w:r>
      <w:r>
        <w:rPr>
          <w:rFonts w:cs="Arial"/>
          <w:szCs w:val="22"/>
        </w:rPr>
        <w:t xml:space="preserve"> z roku 2018</w:t>
      </w:r>
      <w:r w:rsidRPr="007F2682">
        <w:rPr>
          <w:rFonts w:cs="Arial"/>
          <w:szCs w:val="22"/>
        </w:rPr>
        <w:t xml:space="preserve"> upozorňovala na to, že ČTÚ nebere dostatečně v úvahu vliv tzv. </w:t>
      </w:r>
      <w:r w:rsidRPr="007F2682">
        <w:rPr>
          <w:rFonts w:cs="Arial"/>
          <w:b/>
          <w:szCs w:val="22"/>
        </w:rPr>
        <w:t>šedých operátorů</w:t>
      </w:r>
      <w:r w:rsidRPr="007F2682">
        <w:rPr>
          <w:rStyle w:val="Znakapoznpodarou"/>
          <w:rFonts w:cs="Arial"/>
          <w:b/>
          <w:szCs w:val="22"/>
        </w:rPr>
        <w:footnoteReference w:id="22"/>
      </w:r>
      <w:r w:rsidRPr="007F2682">
        <w:rPr>
          <w:rFonts w:cs="Arial"/>
          <w:b/>
          <w:szCs w:val="22"/>
        </w:rPr>
        <w:t xml:space="preserve"> a </w:t>
      </w:r>
      <w:r w:rsidRPr="005F552B">
        <w:rPr>
          <w:rFonts w:cs="Arial"/>
          <w:bCs/>
          <w:szCs w:val="22"/>
        </w:rPr>
        <w:t>částečně také</w:t>
      </w:r>
      <w:r>
        <w:rPr>
          <w:rFonts w:cs="Arial"/>
          <w:b/>
          <w:szCs w:val="22"/>
        </w:rPr>
        <w:t xml:space="preserve"> </w:t>
      </w:r>
      <w:r w:rsidRPr="007F2682">
        <w:rPr>
          <w:rFonts w:cs="Arial"/>
          <w:b/>
          <w:szCs w:val="22"/>
        </w:rPr>
        <w:t>zaměstnaneckých programů</w:t>
      </w:r>
      <w:r w:rsidRPr="007F2682">
        <w:rPr>
          <w:rStyle w:val="Znakapoznpodarou"/>
          <w:rFonts w:cs="Arial"/>
          <w:b/>
          <w:szCs w:val="22"/>
        </w:rPr>
        <w:footnoteReference w:id="23"/>
      </w:r>
      <w:r w:rsidRPr="007F2682">
        <w:rPr>
          <w:rFonts w:cs="Arial"/>
          <w:szCs w:val="22"/>
        </w:rPr>
        <w:t xml:space="preserve">, ač tento tržní problém v dokumentu s </w:t>
      </w:r>
      <w:proofErr w:type="spellStart"/>
      <w:r w:rsidRPr="007F2682">
        <w:rPr>
          <w:rFonts w:cs="Arial"/>
          <w:szCs w:val="22"/>
        </w:rPr>
        <w:t>tříkriteriálním</w:t>
      </w:r>
      <w:proofErr w:type="spellEnd"/>
      <w:r w:rsidRPr="007F2682">
        <w:rPr>
          <w:rFonts w:cs="Arial"/>
          <w:szCs w:val="22"/>
        </w:rPr>
        <w:t xml:space="preserve"> testem alespoň jasně pojmenoval. </w:t>
      </w:r>
      <w:r w:rsidRPr="004918DF">
        <w:rPr>
          <w:rFonts w:cs="Arial"/>
          <w:b/>
          <w:szCs w:val="22"/>
        </w:rPr>
        <w:t xml:space="preserve">Společnost O2 i další tržní subjekty a telekomunikační asociace v minulých letech opakovaně upozorňovali ČTÚ na problém šedých operátorů, zaměstnaneckých programů a spolků včetně identifikace některých z nich a </w:t>
      </w:r>
      <w:r w:rsidRPr="004918DF">
        <w:rPr>
          <w:rFonts w:cs="Arial"/>
          <w:b/>
          <w:szCs w:val="22"/>
        </w:rPr>
        <w:lastRenderedPageBreak/>
        <w:t xml:space="preserve">odhadu celkového rozsahu tohoto problému, avšak odpovídající kroky směřující k nápravě ze strany ČTÚ jakožto regulátora trhu dosud nepřišly. </w:t>
      </w:r>
      <w:r w:rsidRPr="007F2682">
        <w:rPr>
          <w:rFonts w:cs="Arial"/>
          <w:szCs w:val="22"/>
        </w:rPr>
        <w:t>Nyní navíc bohužel</w:t>
      </w:r>
      <w:r>
        <w:rPr>
          <w:rFonts w:cs="Arial"/>
          <w:szCs w:val="22"/>
        </w:rPr>
        <w:t>,</w:t>
      </w:r>
      <w:r w:rsidRPr="007F2682">
        <w:rPr>
          <w:rFonts w:cs="Arial"/>
          <w:szCs w:val="22"/>
        </w:rPr>
        <w:t xml:space="preserve"> </w:t>
      </w:r>
      <w:r>
        <w:rPr>
          <w:rFonts w:cs="Arial"/>
          <w:szCs w:val="22"/>
        </w:rPr>
        <w:t xml:space="preserve">stejně jako v předběžné analýze z roku 2019, tak nyní </w:t>
      </w:r>
      <w:r w:rsidRPr="007F2682">
        <w:rPr>
          <w:rFonts w:cs="Arial"/>
          <w:szCs w:val="22"/>
        </w:rPr>
        <w:t xml:space="preserve">v návrhu </w:t>
      </w:r>
      <w:r>
        <w:rPr>
          <w:rFonts w:cs="Arial"/>
          <w:szCs w:val="22"/>
        </w:rPr>
        <w:t>a</w:t>
      </w:r>
      <w:r w:rsidRPr="007F2682">
        <w:rPr>
          <w:rFonts w:cs="Arial"/>
          <w:szCs w:val="22"/>
        </w:rPr>
        <w:t>nalýzy velkoobchodního trhu mobilních služeb</w:t>
      </w:r>
      <w:r>
        <w:rPr>
          <w:rFonts w:cs="Arial"/>
          <w:szCs w:val="22"/>
        </w:rPr>
        <w:t>,</w:t>
      </w:r>
      <w:r w:rsidRPr="007F2682">
        <w:rPr>
          <w:rFonts w:cs="Arial"/>
          <w:szCs w:val="22"/>
        </w:rPr>
        <w:t xml:space="preserve"> ČTÚ tuto skutečnost dokonce zcela ignoruje a tento závažný tržní problém ve svém dokumentu ani neuvedl, </w:t>
      </w:r>
      <w:r>
        <w:rPr>
          <w:rFonts w:cs="Arial"/>
          <w:szCs w:val="22"/>
        </w:rPr>
        <w:t>přestože je ČTÚ po řadu let znám. A přestože nyní již probíhají některá jednání s regulátorem o možnostech nápravy, tak</w:t>
      </w:r>
      <w:r w:rsidRPr="007F2682">
        <w:rPr>
          <w:rFonts w:cs="Arial"/>
          <w:szCs w:val="22"/>
        </w:rPr>
        <w:t xml:space="preserve"> </w:t>
      </w:r>
      <w:r>
        <w:rPr>
          <w:rFonts w:cs="Arial"/>
          <w:szCs w:val="22"/>
        </w:rPr>
        <w:t>je zřejmé</w:t>
      </w:r>
      <w:r w:rsidRPr="007F2682">
        <w:rPr>
          <w:rFonts w:cs="Arial"/>
          <w:szCs w:val="22"/>
        </w:rPr>
        <w:t xml:space="preserve">, že problém šedých operátorů a zaměstnaneckých programů </w:t>
      </w:r>
      <w:r>
        <w:rPr>
          <w:rFonts w:cs="Arial"/>
          <w:szCs w:val="22"/>
        </w:rPr>
        <w:t xml:space="preserve">hned tak </w:t>
      </w:r>
      <w:r w:rsidRPr="007F2682">
        <w:rPr>
          <w:rFonts w:cs="Arial"/>
          <w:szCs w:val="22"/>
        </w:rPr>
        <w:t>nikam nezmiz</w:t>
      </w:r>
      <w:r>
        <w:rPr>
          <w:rFonts w:cs="Arial"/>
          <w:szCs w:val="22"/>
        </w:rPr>
        <w:t>í. Proto je zásadní, aby ČTÚ tomuto nelegálnímu fenoménu věnoval odpovídající energii namísto toho, aby ji směřoval do nesmyslného vytváření účelové analýzy, pro kterou nemá žádné opodstatnění</w:t>
      </w:r>
      <w:r w:rsidRPr="007F2682">
        <w:rPr>
          <w:rFonts w:cs="Arial"/>
          <w:szCs w:val="22"/>
        </w:rPr>
        <w:t xml:space="preserve">. </w:t>
      </w:r>
      <w:r>
        <w:rPr>
          <w:rFonts w:cs="Arial"/>
          <w:szCs w:val="22"/>
        </w:rPr>
        <w:t xml:space="preserve">Po léta neřešený problém šedých operátorů </w:t>
      </w:r>
      <w:r w:rsidRPr="007F2682">
        <w:rPr>
          <w:rFonts w:cs="Arial"/>
          <w:szCs w:val="22"/>
        </w:rPr>
        <w:t>má přitom na provedenou analýzu velmi zásadní vliv, protože zcela zpochybňuje pokus o provedení segmentace trhu mobilních služeb.</w:t>
      </w:r>
    </w:p>
    <w:p w14:paraId="0CEA78F3" w14:textId="337CC86A" w:rsidR="0028750B" w:rsidRPr="007F2682" w:rsidRDefault="0028750B" w:rsidP="0028750B">
      <w:pPr>
        <w:ind w:left="357"/>
        <w:rPr>
          <w:rFonts w:cs="Arial"/>
          <w:szCs w:val="22"/>
        </w:rPr>
      </w:pPr>
      <w:r w:rsidRPr="007F2682">
        <w:rPr>
          <w:rFonts w:cs="Arial"/>
          <w:szCs w:val="22"/>
        </w:rPr>
        <w:t xml:space="preserve">Jak již bylo mnohokrát uvedeno, existence těchto nelegálně podnikajících subjektů je významná a výrazně ovlivňuje provedené analýzy a statistické výstupy prezentované v rámci </w:t>
      </w:r>
      <w:r>
        <w:rPr>
          <w:rFonts w:cs="Arial"/>
          <w:szCs w:val="22"/>
        </w:rPr>
        <w:t>návrhu a</w:t>
      </w:r>
      <w:r w:rsidRPr="007F2682">
        <w:rPr>
          <w:rFonts w:cs="Arial"/>
          <w:szCs w:val="22"/>
        </w:rPr>
        <w:t xml:space="preserve">nalýzy. </w:t>
      </w:r>
      <w:r>
        <w:rPr>
          <w:rFonts w:cs="Arial"/>
          <w:b/>
          <w:szCs w:val="22"/>
        </w:rPr>
        <w:t>P</w:t>
      </w:r>
      <w:r w:rsidRPr="00796B26">
        <w:rPr>
          <w:rFonts w:cs="Arial"/>
          <w:b/>
          <w:szCs w:val="22"/>
        </w:rPr>
        <w:t>odíl SIM karet poskytovaných různými typy šedých operátorů a zaměstnaneckých programů z celého firemního segmentu Č</w:t>
      </w:r>
      <w:r w:rsidR="0031796A">
        <w:rPr>
          <w:rFonts w:cs="Arial"/>
          <w:b/>
          <w:szCs w:val="22"/>
        </w:rPr>
        <w:t>eské republiky</w:t>
      </w:r>
      <w:r w:rsidRPr="00796B26">
        <w:rPr>
          <w:rFonts w:cs="Arial"/>
          <w:b/>
          <w:szCs w:val="22"/>
        </w:rPr>
        <w:t xml:space="preserve"> </w:t>
      </w:r>
      <w:r>
        <w:rPr>
          <w:rFonts w:cs="Arial"/>
          <w:b/>
          <w:szCs w:val="22"/>
        </w:rPr>
        <w:t xml:space="preserve">je rozhodně nezanedbatelný a může dohromady </w:t>
      </w:r>
      <w:r w:rsidRPr="00796B26">
        <w:rPr>
          <w:rFonts w:cs="Arial"/>
          <w:b/>
          <w:szCs w:val="22"/>
        </w:rPr>
        <w:t>za všechny tři mobilní operátory</w:t>
      </w:r>
      <w:r>
        <w:rPr>
          <w:rFonts w:cs="Arial"/>
          <w:b/>
          <w:szCs w:val="22"/>
        </w:rPr>
        <w:t xml:space="preserve"> dosahovat i několika desítek procent</w:t>
      </w:r>
      <w:r w:rsidRPr="00796B26">
        <w:rPr>
          <w:rFonts w:cs="Arial"/>
          <w:b/>
          <w:szCs w:val="22"/>
        </w:rPr>
        <w:t xml:space="preserve">. To ukazuje na obrovský rozsah tohoto problému v celé </w:t>
      </w:r>
      <w:r w:rsidR="0031796A" w:rsidRPr="00796B26">
        <w:rPr>
          <w:rFonts w:cs="Arial"/>
          <w:b/>
          <w:szCs w:val="22"/>
        </w:rPr>
        <w:t>Č</w:t>
      </w:r>
      <w:r w:rsidR="0031796A">
        <w:rPr>
          <w:rFonts w:cs="Arial"/>
          <w:b/>
          <w:szCs w:val="22"/>
        </w:rPr>
        <w:t>eské republice</w:t>
      </w:r>
      <w:r w:rsidRPr="00796B26">
        <w:rPr>
          <w:rFonts w:cs="Arial"/>
          <w:b/>
          <w:szCs w:val="22"/>
        </w:rPr>
        <w:t>, který však doposud nebyl, jak již výše uvádíme, ze strany ČTÚ systematicky a dlouhodobě řešen.</w:t>
      </w:r>
      <w:r>
        <w:rPr>
          <w:rFonts w:cs="Arial"/>
          <w:b/>
          <w:szCs w:val="22"/>
        </w:rPr>
        <w:t xml:space="preserve"> </w:t>
      </w:r>
      <w:r>
        <w:rPr>
          <w:rFonts w:cs="Arial"/>
          <w:bCs/>
          <w:szCs w:val="22"/>
        </w:rPr>
        <w:t>Důkazem toho je zařazení spolků jako neziskových organizací do oficiálního cenového srovnávače ČTÚ.</w:t>
      </w:r>
      <w:r w:rsidRPr="00796B26">
        <w:rPr>
          <w:rFonts w:cs="Arial"/>
          <w:b/>
          <w:szCs w:val="22"/>
        </w:rPr>
        <w:t xml:space="preserve"> </w:t>
      </w:r>
      <w:r w:rsidRPr="007F2682">
        <w:rPr>
          <w:rFonts w:cs="Arial"/>
          <w:szCs w:val="22"/>
        </w:rPr>
        <w:t>Pokud by ČTÚ dlouhodobě aktivně vystupoval proti těmto na trhu elektronických komunikacích nelegálně působícím podnikatelům, pak by část těchto subjektů byla nucena svoje nelegální působení na mobilním trhu ukončit a část by pravděpodobně přešla do legálního režimu podnikání</w:t>
      </w:r>
      <w:r>
        <w:rPr>
          <w:rFonts w:cs="Arial"/>
          <w:szCs w:val="22"/>
        </w:rPr>
        <w:t>. J</w:t>
      </w:r>
      <w:r w:rsidRPr="007F2682">
        <w:rPr>
          <w:rFonts w:cs="Arial"/>
          <w:szCs w:val="22"/>
        </w:rPr>
        <w:t xml:space="preserve">ejich zákazníci by </w:t>
      </w:r>
      <w:r>
        <w:rPr>
          <w:rFonts w:cs="Arial"/>
          <w:szCs w:val="22"/>
        </w:rPr>
        <w:t xml:space="preserve">pak </w:t>
      </w:r>
      <w:r w:rsidRPr="007F2682">
        <w:rPr>
          <w:rFonts w:cs="Arial"/>
          <w:szCs w:val="22"/>
        </w:rPr>
        <w:t>byli správně na rezidentním segmentu a</w:t>
      </w:r>
      <w:r>
        <w:rPr>
          <w:rFonts w:cs="Arial"/>
          <w:szCs w:val="22"/>
        </w:rPr>
        <w:t xml:space="preserve"> </w:t>
      </w:r>
      <w:r w:rsidRPr="007F2682">
        <w:rPr>
          <w:rFonts w:cs="Arial"/>
          <w:szCs w:val="22"/>
        </w:rPr>
        <w:t xml:space="preserve">ČTÚ </w:t>
      </w:r>
      <w:r>
        <w:rPr>
          <w:rFonts w:cs="Arial"/>
          <w:szCs w:val="22"/>
        </w:rPr>
        <w:t xml:space="preserve">by </w:t>
      </w:r>
      <w:r w:rsidRPr="007F2682">
        <w:rPr>
          <w:rFonts w:cs="Arial"/>
          <w:szCs w:val="22"/>
        </w:rPr>
        <w:t>musel férově zohlednit jejich nízký průměrný výnos na zákazníka (dále jen „ARPU“) i do výsledku rezidentního segmentu</w:t>
      </w:r>
      <w:r>
        <w:rPr>
          <w:rFonts w:cs="Arial"/>
          <w:szCs w:val="22"/>
        </w:rPr>
        <w:t>,</w:t>
      </w:r>
      <w:r w:rsidRPr="007F2682">
        <w:rPr>
          <w:rFonts w:cs="Arial"/>
          <w:szCs w:val="22"/>
        </w:rPr>
        <w:t xml:space="preserve"> případně do tržního podílu virtuálních operátorů. Tím by se </w:t>
      </w:r>
      <w:r>
        <w:rPr>
          <w:rFonts w:cs="Arial"/>
          <w:szCs w:val="22"/>
        </w:rPr>
        <w:t>jednotkové ceny</w:t>
      </w:r>
      <w:r w:rsidRPr="007F2682">
        <w:rPr>
          <w:rFonts w:cs="Arial"/>
          <w:szCs w:val="22"/>
        </w:rPr>
        <w:t xml:space="preserve"> na obou segmentech musel</w:t>
      </w:r>
      <w:r w:rsidR="0031796A">
        <w:rPr>
          <w:rFonts w:cs="Arial"/>
          <w:szCs w:val="22"/>
        </w:rPr>
        <w:t>y</w:t>
      </w:r>
      <w:r w:rsidRPr="007F2682">
        <w:rPr>
          <w:rFonts w:cs="Arial"/>
          <w:szCs w:val="22"/>
        </w:rPr>
        <w:t xml:space="preserve"> přiblížit reálnějšímu obrazu skutečné situace na trhu. Ukázalo by se, že </w:t>
      </w:r>
      <w:r>
        <w:rPr>
          <w:rFonts w:cs="Arial"/>
          <w:szCs w:val="22"/>
        </w:rPr>
        <w:t>jednotkové ceny</w:t>
      </w:r>
      <w:r w:rsidRPr="007F2682">
        <w:rPr>
          <w:rFonts w:cs="Arial"/>
          <w:szCs w:val="22"/>
        </w:rPr>
        <w:t xml:space="preserve"> za oba segmenty j</w:t>
      </w:r>
      <w:r>
        <w:rPr>
          <w:rFonts w:cs="Arial"/>
          <w:szCs w:val="22"/>
        </w:rPr>
        <w:t>sou</w:t>
      </w:r>
      <w:r w:rsidRPr="007F2682">
        <w:rPr>
          <w:rFonts w:cs="Arial"/>
          <w:szCs w:val="22"/>
        </w:rPr>
        <w:t xml:space="preserve"> v realitě mnohem vyrovnanější. Došlo by k narovnání rezidentního segmentu a obnovení konkurenceschopnosti legáln</w:t>
      </w:r>
      <w:r>
        <w:rPr>
          <w:rFonts w:cs="Arial"/>
          <w:szCs w:val="22"/>
        </w:rPr>
        <w:t>ě působících</w:t>
      </w:r>
      <w:r w:rsidRPr="007F2682">
        <w:rPr>
          <w:rFonts w:cs="Arial"/>
          <w:szCs w:val="22"/>
        </w:rPr>
        <w:t xml:space="preserve"> virtuálních operátorů, což je dle našeho názoru postup souladný se zákonem a úkoly kladenými na regulátora. Virtuální operátoři v tuto chvíli nemají omezenou možnost soutěžit, protože by byly stávající velkoobchodní nabídky nekonkurenceschopné nebo diskriminační, ale protože se soutěž o rezidentní zákazníky odehrává de facto v rámci firemních rámcových smluv, a to se subjekty, které nemusí a ani neplní žádné právní a regulační povinnosti</w:t>
      </w:r>
      <w:r>
        <w:rPr>
          <w:rFonts w:cs="Arial"/>
          <w:szCs w:val="22"/>
        </w:rPr>
        <w:t xml:space="preserve"> a dopadá na ně výrazně nižší daňová zátěž</w:t>
      </w:r>
      <w:r w:rsidRPr="007F2682">
        <w:rPr>
          <w:rFonts w:cs="Arial"/>
          <w:szCs w:val="22"/>
        </w:rPr>
        <w:t xml:space="preserve">, čímž mají nutně daleko nižší </w:t>
      </w:r>
      <w:r>
        <w:rPr>
          <w:rFonts w:cs="Arial"/>
          <w:szCs w:val="22"/>
        </w:rPr>
        <w:t xml:space="preserve">celkové </w:t>
      </w:r>
      <w:r w:rsidRPr="007F2682">
        <w:rPr>
          <w:rFonts w:cs="Arial"/>
          <w:szCs w:val="22"/>
        </w:rPr>
        <w:t>náklady.</w:t>
      </w:r>
      <w:r w:rsidRPr="007F2682">
        <w:rPr>
          <w:rStyle w:val="Znakapoznpodarou"/>
          <w:rFonts w:cs="Arial"/>
          <w:szCs w:val="22"/>
        </w:rPr>
        <w:footnoteReference w:id="24"/>
      </w:r>
      <w:r w:rsidRPr="007F2682">
        <w:rPr>
          <w:rFonts w:cs="Arial"/>
          <w:szCs w:val="22"/>
        </w:rPr>
        <w:t xml:space="preserve"> Taková soutěž je proto pro virtuální operátory </w:t>
      </w:r>
      <w:r>
        <w:rPr>
          <w:rFonts w:cs="Arial"/>
          <w:szCs w:val="22"/>
        </w:rPr>
        <w:t xml:space="preserve">(ale i síťové operátory) </w:t>
      </w:r>
      <w:r w:rsidRPr="007F2682">
        <w:rPr>
          <w:rFonts w:cs="Arial"/>
          <w:szCs w:val="22"/>
        </w:rPr>
        <w:t>nutně nerovná</w:t>
      </w:r>
      <w:r>
        <w:rPr>
          <w:rFonts w:cs="Arial"/>
          <w:szCs w:val="22"/>
        </w:rPr>
        <w:t xml:space="preserve">. </w:t>
      </w:r>
      <w:r w:rsidRPr="007F2682">
        <w:rPr>
          <w:rFonts w:cs="Arial"/>
          <w:szCs w:val="22"/>
        </w:rPr>
        <w:t>Společnost O2 je proto přesvědčena, že vyřešením výše uvedené deformace vzniklé působením šedých operátorů, zaměstnaneckých programů a spolků bude trh fungovat z pohledu výše průměrných cen lépe v obou případech.</w:t>
      </w:r>
    </w:p>
    <w:p w14:paraId="1A2EB83A" w14:textId="7AFCD40E" w:rsidR="0028750B" w:rsidRPr="007F2682" w:rsidRDefault="0028750B" w:rsidP="0028750B">
      <w:pPr>
        <w:ind w:left="357"/>
        <w:rPr>
          <w:rFonts w:cs="Arial"/>
          <w:szCs w:val="22"/>
        </w:rPr>
      </w:pPr>
      <w:r w:rsidRPr="007F2682">
        <w:rPr>
          <w:rFonts w:cs="Arial"/>
          <w:szCs w:val="22"/>
        </w:rPr>
        <w:lastRenderedPageBreak/>
        <w:t>V současné realitě trhu elektronických komunikací v ČR se šedí operátoři, zaměstnanecké programy a spolky vyhýbají nejenom režimu daného zákonem, ale i mnoha dalším právním předpisům (např. daňovým zákonům) v důsledku čehož mimo jiné dochází k obrovským daňovým únikům. Neřešením tohoto problému ze strany ČTÚ chybí jakákoliv možnost korektního a správného statistického sledování těchto subjektů v rámci systému elektronického sběru dat ČTÚ a z toho plynoucího správného a nezkresleného provádění analýz relevantních trhů či mezinárodních srovnání. Základní premisy ČTÚ o průměrné ceně v dané skupině tak nelze považovat za platné a jejich výstupy jsou zcela chybné. Sám ČTÚ v</w:t>
      </w:r>
      <w:r>
        <w:rPr>
          <w:rFonts w:cs="Arial"/>
          <w:szCs w:val="22"/>
        </w:rPr>
        <w:t xml:space="preserve"> původním </w:t>
      </w:r>
      <w:proofErr w:type="spellStart"/>
      <w:r w:rsidRPr="007F2682">
        <w:rPr>
          <w:rFonts w:cs="Arial"/>
          <w:szCs w:val="22"/>
        </w:rPr>
        <w:t>tříkriteriálním</w:t>
      </w:r>
      <w:proofErr w:type="spellEnd"/>
      <w:r w:rsidRPr="007F2682">
        <w:rPr>
          <w:rFonts w:cs="Arial"/>
          <w:szCs w:val="22"/>
        </w:rPr>
        <w:t xml:space="preserve"> testu zmiňuje to, že na trhu firemních zákazníků vystupují tzv. „šedí operátoři“, kteří jsou ve skutečnosti nelegálními přeprodejci služeb a jimi nabízené služby jsou tak reálně ve skutečnosti využívány segmentem domácností namísto skutečným firemním segmentem. Pokud není vyřešen tento zásadní problém, nelze přistoupit k dalšímu rozpracování a k důsledkům vyplývajícím z provedeného rozdělení do skupin rezidentních a firemních zákazníků, protože toto rozdělení vůbec neodpovídá pravdě. Společnost O2 se zásadně ohrazuje vůči výstupům ČTÚ stavěných na těchto chybných základech a považuje tyto výstupy za zcela neodpovídající tržní realitě. </w:t>
      </w:r>
      <w:r>
        <w:rPr>
          <w:rFonts w:cs="Arial"/>
          <w:szCs w:val="22"/>
        </w:rPr>
        <w:t xml:space="preserve">V minulosti provedenými </w:t>
      </w:r>
      <w:r w:rsidRPr="007F2682">
        <w:rPr>
          <w:rFonts w:cs="Arial"/>
          <w:szCs w:val="22"/>
        </w:rPr>
        <w:t>pokus</w:t>
      </w:r>
      <w:r>
        <w:rPr>
          <w:rFonts w:cs="Arial"/>
          <w:szCs w:val="22"/>
        </w:rPr>
        <w:t>y</w:t>
      </w:r>
      <w:r w:rsidRPr="007F2682">
        <w:rPr>
          <w:rFonts w:cs="Arial"/>
          <w:szCs w:val="22"/>
        </w:rPr>
        <w:t xml:space="preserve"> o řešení této otázky </w:t>
      </w:r>
      <w:r>
        <w:rPr>
          <w:rFonts w:cs="Arial"/>
          <w:szCs w:val="22"/>
        </w:rPr>
        <w:t xml:space="preserve">byly </w:t>
      </w:r>
      <w:r w:rsidRPr="007F2682">
        <w:rPr>
          <w:rFonts w:cs="Arial"/>
          <w:szCs w:val="22"/>
        </w:rPr>
        <w:t xml:space="preserve">naopak šedí operátoři různými kroky ČTÚ utvrzováni v tom, že jejich praxe je vlastně v pořádku, což lze doložit rozhodovací praxí samotného ČTÚ. Tu se sice daří následně </w:t>
      </w:r>
      <w:r>
        <w:rPr>
          <w:rFonts w:cs="Arial"/>
          <w:szCs w:val="22"/>
        </w:rPr>
        <w:t>uvést na pravou míru</w:t>
      </w:r>
      <w:r w:rsidRPr="007F2682">
        <w:rPr>
          <w:rFonts w:cs="Arial"/>
          <w:szCs w:val="22"/>
        </w:rPr>
        <w:t xml:space="preserve"> u obecných soudů, ale takové spory pak zbytečně trvají i více jak 5 let.</w:t>
      </w:r>
      <w:r>
        <w:rPr>
          <w:rFonts w:cs="Arial"/>
          <w:szCs w:val="22"/>
        </w:rPr>
        <w:t xml:space="preserve"> Nutno podotknout a znovu zopakovat, že v současné době byly znovu nastartovány aktivity za účasti ČTÚ, které snad povedou ke zlepšení této situace v podobě postupného omezení působení těchto subjektů.</w:t>
      </w:r>
    </w:p>
    <w:p w14:paraId="0D5E5A85" w14:textId="77777777" w:rsidR="0028750B" w:rsidRPr="007F2682" w:rsidRDefault="0028750B" w:rsidP="0028750B">
      <w:pPr>
        <w:ind w:left="357"/>
        <w:rPr>
          <w:rFonts w:cs="Arial"/>
          <w:szCs w:val="22"/>
        </w:rPr>
      </w:pPr>
      <w:r w:rsidRPr="007F2682">
        <w:rPr>
          <w:rFonts w:cs="Arial"/>
          <w:szCs w:val="22"/>
        </w:rPr>
        <w:t>Obecně je při srovnávání jednotkových i celkových cen mezi různými skupinami zákazníků nutno brát v potaz také jinou nákladovost těchto skupin. Zaprvé je v ekonomické realitě naprosto běžn</w:t>
      </w:r>
      <w:r>
        <w:rPr>
          <w:rFonts w:cs="Arial"/>
          <w:szCs w:val="22"/>
        </w:rPr>
        <w:t>é</w:t>
      </w:r>
      <w:r w:rsidRPr="007F2682">
        <w:rPr>
          <w:rFonts w:cs="Arial"/>
          <w:szCs w:val="22"/>
        </w:rPr>
        <w:t>, že při velkoodběratelských (firemních) nákupech zboží či služeb z důvodu úspor z rozsahu a dalších nákladů ovlivňujících ekonomický přínos je jednotková cena nižší než u maloodběratelských nákupů zboží a služeb. Zadruhé je nutno si uvědomit, že na telekomunikačním trhu existuje přísnější regulace pro zákonem definované spotřebitele (=</w:t>
      </w:r>
      <w:r>
        <w:rPr>
          <w:rFonts w:cs="Arial"/>
          <w:szCs w:val="22"/>
        </w:rPr>
        <w:t> </w:t>
      </w:r>
      <w:r w:rsidRPr="007F2682">
        <w:rPr>
          <w:rFonts w:cs="Arial"/>
          <w:szCs w:val="22"/>
        </w:rPr>
        <w:t xml:space="preserve">domácnosti), kterou jsou podnikající subjekty přirozeně nuceni kompenzovat. </w:t>
      </w:r>
    </w:p>
    <w:p w14:paraId="1FB0F9A0" w14:textId="568BF052" w:rsidR="00DF2E6B" w:rsidRPr="007F2682" w:rsidRDefault="001D18FC" w:rsidP="00DF2E6B">
      <w:pPr>
        <w:pStyle w:val="Nadpis2"/>
      </w:pPr>
      <w:r>
        <w:t xml:space="preserve">Hodnocení </w:t>
      </w:r>
      <w:r w:rsidR="00EB71D3">
        <w:t xml:space="preserve">průměrného </w:t>
      </w:r>
      <w:r>
        <w:t>zákazníka</w:t>
      </w:r>
      <w:r w:rsidR="00054974">
        <w:t xml:space="preserve"> (s. 77)</w:t>
      </w:r>
    </w:p>
    <w:p w14:paraId="63652AFE" w14:textId="77777777" w:rsidR="00DF2E6B" w:rsidRPr="007F2682" w:rsidRDefault="00DF2E6B" w:rsidP="00DF2E6B">
      <w:pPr>
        <w:pStyle w:val="Podnadpis"/>
      </w:pPr>
      <w:r w:rsidRPr="007F2682">
        <w:t xml:space="preserve">Návrh na doplnění, změnu, zrušení nebo nahrazení textu ustanovení návrhu opatření: </w:t>
      </w:r>
    </w:p>
    <w:p w14:paraId="3B2F3122" w14:textId="6F01BC35" w:rsidR="00DF2E6B" w:rsidRDefault="00416CD7" w:rsidP="00DF2E6B">
      <w:pPr>
        <w:ind w:left="357"/>
        <w:rPr>
          <w:rFonts w:cs="Arial"/>
          <w:b/>
          <w:szCs w:val="22"/>
        </w:rPr>
      </w:pPr>
      <w:r>
        <w:rPr>
          <w:rFonts w:cs="Arial"/>
          <w:b/>
          <w:szCs w:val="22"/>
        </w:rPr>
        <w:t xml:space="preserve">Upravit text, který tvrdí, že </w:t>
      </w:r>
      <w:r w:rsidR="00D628D4">
        <w:rPr>
          <w:rFonts w:cs="Arial"/>
          <w:b/>
          <w:szCs w:val="22"/>
        </w:rPr>
        <w:t>průměrný</w:t>
      </w:r>
      <w:r>
        <w:rPr>
          <w:rFonts w:cs="Arial"/>
          <w:b/>
          <w:szCs w:val="22"/>
        </w:rPr>
        <w:t xml:space="preserve"> zákazník spotřebuje 37,7 GB dat za rok.</w:t>
      </w:r>
    </w:p>
    <w:p w14:paraId="1C7CBD8B" w14:textId="77777777" w:rsidR="00DF2E6B" w:rsidRPr="007F2682" w:rsidRDefault="00DF2E6B" w:rsidP="00DF2E6B">
      <w:pPr>
        <w:pStyle w:val="Podnadpis"/>
      </w:pPr>
      <w:r w:rsidRPr="007F2682">
        <w:t>Odůvodnění:</w:t>
      </w:r>
    </w:p>
    <w:p w14:paraId="7BA19124" w14:textId="77777777" w:rsidR="00000D8B" w:rsidRDefault="00E97794" w:rsidP="00DF2E6B">
      <w:pPr>
        <w:ind w:left="357"/>
        <w:rPr>
          <w:rFonts w:cs="Arial"/>
          <w:szCs w:val="22"/>
        </w:rPr>
      </w:pPr>
      <w:r w:rsidRPr="00E97794">
        <w:rPr>
          <w:rFonts w:cs="Arial"/>
          <w:szCs w:val="22"/>
        </w:rPr>
        <w:t>ČTÚ v</w:t>
      </w:r>
      <w:r w:rsidR="00B26EDA">
        <w:rPr>
          <w:rFonts w:cs="Arial"/>
          <w:szCs w:val="22"/>
        </w:rPr>
        <w:t xml:space="preserve"> návrhu </w:t>
      </w:r>
      <w:r w:rsidRPr="00E97794">
        <w:rPr>
          <w:rFonts w:cs="Arial"/>
          <w:szCs w:val="22"/>
        </w:rPr>
        <w:t>analýz</w:t>
      </w:r>
      <w:r w:rsidR="00B26EDA">
        <w:rPr>
          <w:rFonts w:cs="Arial"/>
          <w:szCs w:val="22"/>
        </w:rPr>
        <w:t>y</w:t>
      </w:r>
      <w:r w:rsidRPr="00E97794">
        <w:rPr>
          <w:rFonts w:cs="Arial"/>
          <w:szCs w:val="22"/>
        </w:rPr>
        <w:t xml:space="preserve"> uvádí, že </w:t>
      </w:r>
      <w:r w:rsidR="00D628D4">
        <w:rPr>
          <w:rFonts w:cs="Arial"/>
          <w:szCs w:val="22"/>
        </w:rPr>
        <w:t xml:space="preserve">průměrný </w:t>
      </w:r>
      <w:r w:rsidRPr="00E97794">
        <w:rPr>
          <w:rFonts w:cs="Arial"/>
          <w:szCs w:val="22"/>
        </w:rPr>
        <w:t>zákazník spotřebuje 37,7 GB za rok,</w:t>
      </w:r>
      <w:r>
        <w:rPr>
          <w:rFonts w:cs="Arial"/>
          <w:szCs w:val="22"/>
        </w:rPr>
        <w:t xml:space="preserve"> což je </w:t>
      </w:r>
      <w:r w:rsidR="00D628D4">
        <w:rPr>
          <w:rFonts w:cs="Arial"/>
          <w:szCs w:val="22"/>
        </w:rPr>
        <w:t>zavádějící informace</w:t>
      </w:r>
      <w:r>
        <w:rPr>
          <w:rFonts w:cs="Arial"/>
          <w:szCs w:val="22"/>
        </w:rPr>
        <w:t>. Jedná se o průměr, který je tažen relativně malou skupinou zákazníků, kteří aktivně využívají datově neomezené tarify.</w:t>
      </w:r>
      <w:r w:rsidR="00D72DED">
        <w:rPr>
          <w:rFonts w:cs="Arial"/>
          <w:szCs w:val="22"/>
        </w:rPr>
        <w:t xml:space="preserve"> Typický zákazník by mnohem více odrážel medián. Jedná </w:t>
      </w:r>
      <w:r w:rsidR="00D72DED">
        <w:rPr>
          <w:rFonts w:cs="Arial"/>
          <w:szCs w:val="22"/>
        </w:rPr>
        <w:lastRenderedPageBreak/>
        <w:t>se o další z mnoha metodických chyb ČTÚ</w:t>
      </w:r>
      <w:r w:rsidR="00887660">
        <w:rPr>
          <w:rFonts w:cs="Arial"/>
          <w:szCs w:val="22"/>
        </w:rPr>
        <w:t xml:space="preserve">, respektive účelové </w:t>
      </w:r>
      <w:r w:rsidR="0020436B">
        <w:rPr>
          <w:rFonts w:cs="Arial"/>
          <w:szCs w:val="22"/>
        </w:rPr>
        <w:t>tvrzení s jasným cílem</w:t>
      </w:r>
      <w:r w:rsidR="003A2442">
        <w:rPr>
          <w:rFonts w:cs="Arial"/>
          <w:szCs w:val="22"/>
        </w:rPr>
        <w:t>, který si ČTÚ předem stanovil</w:t>
      </w:r>
      <w:r w:rsidR="0020436B">
        <w:rPr>
          <w:rFonts w:cs="Arial"/>
          <w:szCs w:val="22"/>
        </w:rPr>
        <w:t>.</w:t>
      </w:r>
      <w:r w:rsidR="00D628D4">
        <w:rPr>
          <w:rFonts w:cs="Arial"/>
          <w:szCs w:val="22"/>
        </w:rPr>
        <w:t xml:space="preserve"> </w:t>
      </w:r>
    </w:p>
    <w:p w14:paraId="74CE2964" w14:textId="6F1512A6" w:rsidR="00E97794" w:rsidRDefault="00000D8B" w:rsidP="00DF2E6B">
      <w:pPr>
        <w:ind w:left="357"/>
        <w:rPr>
          <w:rFonts w:cs="Arial"/>
          <w:szCs w:val="22"/>
        </w:rPr>
      </w:pPr>
      <w:r>
        <w:rPr>
          <w:rFonts w:cs="Arial"/>
          <w:szCs w:val="22"/>
        </w:rPr>
        <w:t xml:space="preserve">ČTÚ sice v návaznosti na připomínku společnosti O2 k prvnímu návrhu analýzy změnil </w:t>
      </w:r>
      <w:r w:rsidR="00970ADC">
        <w:rPr>
          <w:rFonts w:cs="Arial"/>
          <w:szCs w:val="22"/>
        </w:rPr>
        <w:t>formulaci „typický zákazník “ na „průměrný zákazník“, ale stále staví na údaji 37,7 GB závěry této kapitoly.</w:t>
      </w:r>
      <w:r w:rsidR="00270891">
        <w:rPr>
          <w:rFonts w:cs="Arial"/>
          <w:szCs w:val="22"/>
        </w:rPr>
        <w:t xml:space="preserve"> Společnost O2 se necítí povinna v rámci omezených časových možností a v rámci připomínkování nestrukturovaného </w:t>
      </w:r>
      <w:r w:rsidR="00815C1E">
        <w:rPr>
          <w:rFonts w:cs="Arial"/>
          <w:szCs w:val="22"/>
        </w:rPr>
        <w:t>150stránkového dokumentu sdělovat ČTÚ, jaký údaj má použít. ČTÚ měl možnost si tento údaj zjistit.</w:t>
      </w:r>
    </w:p>
    <w:p w14:paraId="16795FB8" w14:textId="6BEE4822" w:rsidR="00EB71D3" w:rsidRDefault="00E73A58" w:rsidP="00EB71D3">
      <w:pPr>
        <w:pStyle w:val="Nadpis2"/>
      </w:pPr>
      <w:r>
        <w:t xml:space="preserve">2.1.6. </w:t>
      </w:r>
      <w:r w:rsidR="00EB71D3">
        <w:t>Časové vymezení maloobchodního trhu</w:t>
      </w:r>
      <w:r>
        <w:t xml:space="preserve"> (s. 79)</w:t>
      </w:r>
    </w:p>
    <w:p w14:paraId="116D893A" w14:textId="77777777" w:rsidR="00EB71D3" w:rsidRPr="007F2682" w:rsidRDefault="00EB71D3" w:rsidP="00EB71D3">
      <w:pPr>
        <w:pStyle w:val="Podnadpis"/>
      </w:pPr>
      <w:r w:rsidRPr="007F2682">
        <w:t xml:space="preserve">Návrh na doplnění, změnu, zrušení nebo nahrazení textu ustanovení návrhu opatření: </w:t>
      </w:r>
    </w:p>
    <w:p w14:paraId="32363A25" w14:textId="1EE4777C" w:rsidR="00EB71D3" w:rsidRDefault="00A174C1" w:rsidP="00EB71D3">
      <w:pPr>
        <w:ind w:left="357"/>
        <w:rPr>
          <w:rFonts w:cs="Arial"/>
          <w:b/>
          <w:szCs w:val="22"/>
        </w:rPr>
      </w:pPr>
      <w:r>
        <w:rPr>
          <w:rFonts w:cs="Arial"/>
          <w:b/>
          <w:szCs w:val="22"/>
        </w:rPr>
        <w:t xml:space="preserve">S ohledem na předchozí připomínky vyhodnotit, že časový horizont </w:t>
      </w:r>
      <w:r w:rsidR="009F13DC">
        <w:rPr>
          <w:rFonts w:cs="Arial"/>
          <w:b/>
          <w:szCs w:val="22"/>
        </w:rPr>
        <w:t>není možné stanovit, jelikož regulace není potřeba</w:t>
      </w:r>
      <w:r w:rsidR="001C456B">
        <w:rPr>
          <w:rFonts w:cs="Arial"/>
          <w:b/>
          <w:szCs w:val="22"/>
        </w:rPr>
        <w:t xml:space="preserve">, </w:t>
      </w:r>
      <w:r w:rsidR="001C456B" w:rsidRPr="001C456B">
        <w:rPr>
          <w:rFonts w:cs="Arial"/>
          <w:b/>
          <w:szCs w:val="22"/>
        </w:rPr>
        <w:t xml:space="preserve">z důvodu neprokázaní testu </w:t>
      </w:r>
      <w:proofErr w:type="gramStart"/>
      <w:r w:rsidR="001C456B" w:rsidRPr="001C456B">
        <w:rPr>
          <w:rFonts w:cs="Arial"/>
          <w:b/>
          <w:szCs w:val="22"/>
        </w:rPr>
        <w:t>3K</w:t>
      </w:r>
      <w:proofErr w:type="gramEnd"/>
      <w:r w:rsidR="001C456B" w:rsidRPr="001C456B">
        <w:rPr>
          <w:rFonts w:cs="Arial"/>
          <w:b/>
          <w:szCs w:val="22"/>
        </w:rPr>
        <w:t xml:space="preserve"> a změny struktury trhu díky závazkům z aukcí 4G a 5G</w:t>
      </w:r>
      <w:r w:rsidR="009F13DC">
        <w:rPr>
          <w:rFonts w:cs="Arial"/>
          <w:b/>
          <w:szCs w:val="22"/>
        </w:rPr>
        <w:t>.</w:t>
      </w:r>
    </w:p>
    <w:p w14:paraId="656164E2" w14:textId="77777777" w:rsidR="00EB71D3" w:rsidRPr="007F2682" w:rsidRDefault="00EB71D3" w:rsidP="00EB71D3">
      <w:pPr>
        <w:pStyle w:val="Podnadpis"/>
      </w:pPr>
      <w:r w:rsidRPr="007F2682">
        <w:t>Odůvodnění:</w:t>
      </w:r>
    </w:p>
    <w:p w14:paraId="5B40D284" w14:textId="79DF9F10" w:rsidR="00EB71D3" w:rsidRDefault="00EB71D3" w:rsidP="00A174C1">
      <w:pPr>
        <w:ind w:left="426"/>
        <w:rPr>
          <w:rFonts w:cs="Arial"/>
          <w:szCs w:val="22"/>
        </w:rPr>
      </w:pPr>
      <w:r>
        <w:rPr>
          <w:rFonts w:cs="Arial"/>
          <w:szCs w:val="22"/>
        </w:rPr>
        <w:t>Společnost O2 zejména v připomínkách ke kapitole C.8 prokázala, že předpoklady, respektive spekulace ČT</w:t>
      </w:r>
      <w:r w:rsidR="00E73A58">
        <w:rPr>
          <w:rFonts w:cs="Arial"/>
          <w:szCs w:val="22"/>
        </w:rPr>
        <w:t>Ú</w:t>
      </w:r>
      <w:r>
        <w:rPr>
          <w:rFonts w:cs="Arial"/>
          <w:szCs w:val="22"/>
        </w:rPr>
        <w:t xml:space="preserve"> nebyly prokázány.</w:t>
      </w:r>
    </w:p>
    <w:p w14:paraId="236148F6" w14:textId="3FD05497" w:rsidR="004D00FF" w:rsidRPr="005310B7" w:rsidRDefault="004D00FF" w:rsidP="004D00FF">
      <w:pPr>
        <w:ind w:left="357"/>
        <w:rPr>
          <w:rFonts w:cs="Arial"/>
          <w:b/>
          <w:bCs/>
          <w:szCs w:val="22"/>
        </w:rPr>
      </w:pPr>
      <w:r>
        <w:rPr>
          <w:rFonts w:cs="Arial"/>
          <w:szCs w:val="22"/>
        </w:rPr>
        <w:t xml:space="preserve">Předně je třeba upozornit, že v České republice patrně existují jedny z nejpřísnějších rozvojových síťových, ale také dalších, mimo jiné soutěžních, povinností nutných k využívání rádiových kmitočtů. Již s tzv. LTE aukcí z roku 2014 byla svázána povinnost zveřejnění cenově regulované referenční nabídky pro tzv. full-MVNO virtuální operátory. </w:t>
      </w:r>
      <w:r w:rsidRPr="005310B7">
        <w:rPr>
          <w:rFonts w:cs="Arial"/>
          <w:b/>
          <w:bCs/>
          <w:szCs w:val="22"/>
        </w:rPr>
        <w:t xml:space="preserve">V roce 2020 v rámci tzv. 5G aukce byla tato povinnost rozšířena na povinnou cenově regulovanou referenční nabídku také pro tzv. </w:t>
      </w:r>
      <w:proofErr w:type="spellStart"/>
      <w:r w:rsidRPr="005310B7">
        <w:rPr>
          <w:rFonts w:cs="Arial"/>
          <w:b/>
          <w:bCs/>
          <w:szCs w:val="22"/>
        </w:rPr>
        <w:t>light</w:t>
      </w:r>
      <w:proofErr w:type="spellEnd"/>
      <w:r w:rsidRPr="005310B7">
        <w:rPr>
          <w:rFonts w:cs="Arial"/>
          <w:b/>
          <w:bCs/>
          <w:szCs w:val="22"/>
        </w:rPr>
        <w:t>-MVNO virtuální operátory. Společnost O2 musí zároveň třem držitelům kmitočtů v pásmu 3400-3800 MHz po splnění rozvojových kritérií poskytnout službu národního roamingu za podmínek cenové regulace typu LRAIC+.</w:t>
      </w:r>
      <w:r w:rsidRPr="005310B7">
        <w:rPr>
          <w:rStyle w:val="Znakapoznpodarou"/>
          <w:rFonts w:cs="Arial"/>
          <w:b/>
          <w:bCs/>
          <w:szCs w:val="22"/>
        </w:rPr>
        <w:footnoteReference w:id="25"/>
      </w:r>
      <w:r w:rsidRPr="005310B7">
        <w:rPr>
          <w:rFonts w:cs="Arial"/>
          <w:b/>
          <w:bCs/>
          <w:szCs w:val="22"/>
        </w:rPr>
        <w:t xml:space="preserve"> Tyto podmínky stanovil ČTÚ právě pro podporu hospodářské soutěže a účelové zpochybňování vlastních takto zásadních regulačních kroků je velmi prapodivné.</w:t>
      </w:r>
    </w:p>
    <w:p w14:paraId="6638BEC3" w14:textId="77777777" w:rsidR="004D00FF" w:rsidRDefault="004D00FF" w:rsidP="004D00FF">
      <w:pPr>
        <w:ind w:left="357"/>
        <w:rPr>
          <w:rFonts w:cs="Arial"/>
          <w:szCs w:val="22"/>
        </w:rPr>
      </w:pPr>
      <w:r>
        <w:rPr>
          <w:rFonts w:cs="Arial"/>
          <w:szCs w:val="22"/>
        </w:rPr>
        <w:t xml:space="preserve">ČTÚ pro plnění povinnosti poskytování národního roamingu stanovilo pro oprávněného zájemce nutnost rozvoje vlastní sítě, která je následně zpřísněna od </w:t>
      </w:r>
      <w:r w:rsidRPr="005C62DF">
        <w:rPr>
          <w:rFonts w:cs="Arial"/>
          <w:szCs w:val="22"/>
        </w:rPr>
        <w:t>30. 6. 2025</w:t>
      </w:r>
      <w:r>
        <w:rPr>
          <w:rFonts w:cs="Arial"/>
          <w:szCs w:val="22"/>
        </w:rPr>
        <w:t xml:space="preserve">. Pokud zároveň ČTÚ v návrhu analýzy tvrdí, že vstup a vliv 4. operátora na hospodářskou soutěž může nastat až v roce 2026, nemusel by v aukci stanovovat mírnější kritéria pro nárok na národní roaming v období let 2021-2024. Jako podpůrný argument pak má sloužit stručná analýza vstupu 4. operátora na slovenský trh. Z jakého důvodu má být zrovna slovenský trh brán jako </w:t>
      </w:r>
      <w:r>
        <w:rPr>
          <w:rFonts w:cs="Arial"/>
          <w:szCs w:val="22"/>
        </w:rPr>
        <w:lastRenderedPageBreak/>
        <w:t>referenční, ČTÚ vůbec nevysvětlil</w:t>
      </w:r>
      <w:r>
        <w:rPr>
          <w:rStyle w:val="Znakapoznpodarou"/>
          <w:rFonts w:cs="Arial"/>
          <w:szCs w:val="22"/>
        </w:rPr>
        <w:footnoteReference w:id="26"/>
      </w:r>
      <w:r>
        <w:rPr>
          <w:rFonts w:cs="Arial"/>
          <w:szCs w:val="22"/>
        </w:rPr>
        <w:t xml:space="preserve">. Odlišně také mluví některá předchozí vyjádření ČTÚ a Ministerstva průmyslu a obchodu (MPO), kdy například ještě v září 2021, tedy těsně před vydáním návrhu analýzy do veřejné konzultace, tisková zpráva MPO mluví o tom, že </w:t>
      </w:r>
      <w:r w:rsidRPr="009205BA">
        <w:rPr>
          <w:rFonts w:cs="Arial"/>
          <w:i/>
          <w:iCs/>
          <w:szCs w:val="22"/>
        </w:rPr>
        <w:t xml:space="preserve">„Noví hráči vzešlí z 5G aukce se připravují na vstup na celoplošný mobilní trh, dá se očekávat, </w:t>
      </w:r>
      <w:r w:rsidRPr="009205BA">
        <w:rPr>
          <w:rFonts w:cs="Arial"/>
          <w:b/>
          <w:bCs/>
          <w:i/>
          <w:iCs/>
          <w:szCs w:val="22"/>
        </w:rPr>
        <w:t>že v průběhu roku 2022 přijdou s novými tarify</w:t>
      </w:r>
      <w:r w:rsidRPr="009205BA">
        <w:rPr>
          <w:rFonts w:cs="Arial"/>
          <w:i/>
          <w:iCs/>
          <w:szCs w:val="22"/>
        </w:rPr>
        <w:t>, které dále sníží ceny mobilních dat.“</w:t>
      </w:r>
      <w:r>
        <w:rPr>
          <w:rStyle w:val="Znakapoznpodarou"/>
          <w:rFonts w:cs="Arial"/>
          <w:i/>
          <w:iCs/>
          <w:szCs w:val="22"/>
        </w:rPr>
        <w:footnoteReference w:id="27"/>
      </w:r>
      <w:r>
        <w:rPr>
          <w:rFonts w:cs="Arial"/>
          <w:i/>
          <w:iCs/>
          <w:szCs w:val="22"/>
        </w:rPr>
        <w:t xml:space="preserve"> </w:t>
      </w:r>
      <w:r>
        <w:rPr>
          <w:rFonts w:cs="Arial"/>
          <w:szCs w:val="22"/>
        </w:rPr>
        <w:t>Vzhledem k již uvedeným připomínkám k účelovosti analýzy ale není s podivem, že se sdělení veřejné správy mohou tak významně lišit.</w:t>
      </w:r>
    </w:p>
    <w:p w14:paraId="553306F4" w14:textId="49A40B6F" w:rsidR="009E7BBE" w:rsidRPr="007F2682" w:rsidRDefault="009E7BBE" w:rsidP="009E7BBE">
      <w:pPr>
        <w:pStyle w:val="Nadpis2"/>
      </w:pPr>
      <w:r>
        <w:t>Změnit znění kapitoly 2.2</w:t>
      </w:r>
      <w:r w:rsidRPr="009341D2">
        <w:t xml:space="preserve"> </w:t>
      </w:r>
      <w:r w:rsidR="0020088D" w:rsidRPr="0020088D">
        <w:t>Hodnocení míry konkurence na maloobchodním trhu</w:t>
      </w:r>
      <w:r w:rsidR="004B310B">
        <w:t xml:space="preserve"> (s. 85-87)</w:t>
      </w:r>
    </w:p>
    <w:p w14:paraId="219EB302" w14:textId="77777777" w:rsidR="009E7BBE" w:rsidRPr="007F2682" w:rsidRDefault="009E7BBE" w:rsidP="009E7BBE">
      <w:pPr>
        <w:pStyle w:val="Podnadpis"/>
      </w:pPr>
      <w:r w:rsidRPr="007F2682">
        <w:t xml:space="preserve">Návrh na doplnění, změnu, zrušení nebo nahrazení textu ustanovení návrhu opatření: </w:t>
      </w:r>
    </w:p>
    <w:p w14:paraId="60460A93" w14:textId="7DCAB5DC" w:rsidR="009E7BBE" w:rsidRDefault="00130465" w:rsidP="009E7BBE">
      <w:pPr>
        <w:ind w:left="357"/>
        <w:rPr>
          <w:rFonts w:cs="Arial"/>
          <w:b/>
          <w:szCs w:val="22"/>
        </w:rPr>
      </w:pPr>
      <w:r>
        <w:rPr>
          <w:rFonts w:cs="Arial"/>
          <w:b/>
          <w:szCs w:val="22"/>
        </w:rPr>
        <w:t>Seriózně p</w:t>
      </w:r>
      <w:r w:rsidR="00C70022">
        <w:rPr>
          <w:rFonts w:cs="Arial"/>
          <w:b/>
          <w:szCs w:val="22"/>
        </w:rPr>
        <w:t xml:space="preserve">řehodnotit, zda znění kapitoly odpovídá a plní účel </w:t>
      </w:r>
      <w:r w:rsidRPr="00130465">
        <w:rPr>
          <w:rFonts w:cs="Arial"/>
          <w:b/>
          <w:szCs w:val="22"/>
        </w:rPr>
        <w:t>hodnocen</w:t>
      </w:r>
      <w:r>
        <w:rPr>
          <w:rFonts w:cs="Arial"/>
          <w:b/>
          <w:szCs w:val="22"/>
        </w:rPr>
        <w:t>í</w:t>
      </w:r>
      <w:r w:rsidRPr="00130465">
        <w:rPr>
          <w:rFonts w:cs="Arial"/>
          <w:b/>
          <w:szCs w:val="22"/>
        </w:rPr>
        <w:t xml:space="preserve"> mír</w:t>
      </w:r>
      <w:r>
        <w:rPr>
          <w:rFonts w:cs="Arial"/>
          <w:b/>
          <w:szCs w:val="22"/>
        </w:rPr>
        <w:t>y</w:t>
      </w:r>
      <w:r w:rsidRPr="00130465">
        <w:rPr>
          <w:rFonts w:cs="Arial"/>
          <w:b/>
          <w:szCs w:val="22"/>
        </w:rPr>
        <w:t xml:space="preserve"> konkurence na vydefinovaném relevantním maloobchodním trhu</w:t>
      </w:r>
      <w:r>
        <w:rPr>
          <w:rFonts w:cs="Arial"/>
          <w:b/>
          <w:szCs w:val="22"/>
        </w:rPr>
        <w:t xml:space="preserve"> tak, jak bylo </w:t>
      </w:r>
      <w:r w:rsidR="003A2442">
        <w:rPr>
          <w:rFonts w:cs="Arial"/>
          <w:b/>
          <w:szCs w:val="22"/>
        </w:rPr>
        <w:t xml:space="preserve">v </w:t>
      </w:r>
      <w:r w:rsidR="00192861">
        <w:rPr>
          <w:rFonts w:cs="Arial"/>
          <w:b/>
          <w:szCs w:val="22"/>
        </w:rPr>
        <w:t>p</w:t>
      </w:r>
      <w:r w:rsidRPr="00130465">
        <w:rPr>
          <w:rFonts w:cs="Arial"/>
          <w:b/>
          <w:szCs w:val="22"/>
        </w:rPr>
        <w:t>okyn</w:t>
      </w:r>
      <w:r>
        <w:rPr>
          <w:rFonts w:cs="Arial"/>
          <w:b/>
          <w:szCs w:val="22"/>
        </w:rPr>
        <w:t>ech</w:t>
      </w:r>
      <w:r w:rsidRPr="00130465">
        <w:rPr>
          <w:rFonts w:cs="Arial"/>
          <w:b/>
          <w:szCs w:val="22"/>
        </w:rPr>
        <w:t xml:space="preserve"> </w:t>
      </w:r>
      <w:r w:rsidR="00192861">
        <w:rPr>
          <w:rFonts w:cs="Arial"/>
          <w:b/>
          <w:szCs w:val="22"/>
        </w:rPr>
        <w:t xml:space="preserve">EU </w:t>
      </w:r>
      <w:r w:rsidRPr="00130465">
        <w:rPr>
          <w:rFonts w:cs="Arial"/>
          <w:b/>
          <w:szCs w:val="22"/>
        </w:rPr>
        <w:t xml:space="preserve">a </w:t>
      </w:r>
      <w:r w:rsidR="00192861">
        <w:rPr>
          <w:rFonts w:cs="Arial"/>
          <w:b/>
          <w:szCs w:val="22"/>
        </w:rPr>
        <w:t>m</w:t>
      </w:r>
      <w:r w:rsidRPr="00130465">
        <w:rPr>
          <w:rFonts w:cs="Arial"/>
          <w:b/>
          <w:szCs w:val="22"/>
        </w:rPr>
        <w:t>etodi</w:t>
      </w:r>
      <w:r>
        <w:rPr>
          <w:rFonts w:cs="Arial"/>
          <w:b/>
          <w:szCs w:val="22"/>
        </w:rPr>
        <w:t>ce</w:t>
      </w:r>
      <w:r w:rsidRPr="00130465">
        <w:rPr>
          <w:rFonts w:cs="Arial"/>
          <w:b/>
          <w:szCs w:val="22"/>
        </w:rPr>
        <w:t xml:space="preserve"> analýz relevantních trhů</w:t>
      </w:r>
      <w:r>
        <w:rPr>
          <w:rFonts w:cs="Arial"/>
          <w:b/>
          <w:szCs w:val="22"/>
        </w:rPr>
        <w:t xml:space="preserve"> zamýšleno.</w:t>
      </w:r>
    </w:p>
    <w:p w14:paraId="7A1081BD" w14:textId="77777777" w:rsidR="009E7BBE" w:rsidRPr="007F2682" w:rsidRDefault="009E7BBE" w:rsidP="009E7BBE">
      <w:pPr>
        <w:pStyle w:val="Podnadpis"/>
      </w:pPr>
      <w:r w:rsidRPr="007F2682">
        <w:t>Odůvodnění:</w:t>
      </w:r>
    </w:p>
    <w:p w14:paraId="5D048274" w14:textId="1F61850B" w:rsidR="00DF2E6B" w:rsidRDefault="009E7BBE" w:rsidP="009E7BBE">
      <w:pPr>
        <w:ind w:left="357"/>
        <w:rPr>
          <w:rFonts w:cs="Arial"/>
          <w:szCs w:val="22"/>
        </w:rPr>
      </w:pPr>
      <w:r>
        <w:rPr>
          <w:rFonts w:cs="Arial"/>
          <w:szCs w:val="22"/>
        </w:rPr>
        <w:t xml:space="preserve">ČTÚ </w:t>
      </w:r>
      <w:r w:rsidR="00D00753">
        <w:rPr>
          <w:rFonts w:cs="Arial"/>
          <w:szCs w:val="22"/>
        </w:rPr>
        <w:t xml:space="preserve">má </w:t>
      </w:r>
      <w:r>
        <w:rPr>
          <w:rFonts w:cs="Arial"/>
          <w:szCs w:val="22"/>
        </w:rPr>
        <w:t>v kapitole 2.</w:t>
      </w:r>
      <w:r w:rsidR="00D00753">
        <w:rPr>
          <w:rFonts w:cs="Arial"/>
          <w:szCs w:val="22"/>
        </w:rPr>
        <w:t>2 zhodnotit míru konkurence na vydefinovaném relevantním trhu</w:t>
      </w:r>
      <w:r w:rsidR="002E03CB">
        <w:rPr>
          <w:rFonts w:cs="Arial"/>
          <w:szCs w:val="22"/>
        </w:rPr>
        <w:t xml:space="preserve">, k čemuž přistoupil tak, že představil </w:t>
      </w:r>
      <w:r w:rsidR="00BC21BC">
        <w:rPr>
          <w:rFonts w:cs="Arial"/>
          <w:szCs w:val="22"/>
        </w:rPr>
        <w:t>tržní podíly subjektů na trhu</w:t>
      </w:r>
      <w:r w:rsidR="00643BFB">
        <w:rPr>
          <w:rFonts w:cs="Arial"/>
          <w:szCs w:val="22"/>
        </w:rPr>
        <w:t xml:space="preserve"> a vytrhl z kontextu </w:t>
      </w:r>
      <w:r w:rsidR="00D914D5" w:rsidRPr="00D914D5">
        <w:rPr>
          <w:rFonts w:cs="Arial"/>
          <w:szCs w:val="22"/>
        </w:rPr>
        <w:t xml:space="preserve">pohled jednoho ze subjektů </w:t>
      </w:r>
      <w:r w:rsidR="00D914D5">
        <w:rPr>
          <w:rFonts w:cs="Arial"/>
          <w:szCs w:val="22"/>
        </w:rPr>
        <w:t xml:space="preserve">při prezentaci pro investory. </w:t>
      </w:r>
      <w:r w:rsidR="009368E3">
        <w:rPr>
          <w:rFonts w:cs="Arial"/>
          <w:szCs w:val="22"/>
        </w:rPr>
        <w:t>V</w:t>
      </w:r>
      <w:r w:rsidR="00431402">
        <w:rPr>
          <w:rFonts w:cs="Arial"/>
          <w:szCs w:val="22"/>
        </w:rPr>
        <w:t> </w:t>
      </w:r>
      <w:r w:rsidR="009368E3">
        <w:rPr>
          <w:rFonts w:cs="Arial"/>
          <w:szCs w:val="22"/>
        </w:rPr>
        <w:t>kapitole</w:t>
      </w:r>
      <w:r w:rsidR="00431402">
        <w:rPr>
          <w:rFonts w:cs="Arial"/>
          <w:szCs w:val="22"/>
        </w:rPr>
        <w:t xml:space="preserve"> ani v jejím závěru</w:t>
      </w:r>
      <w:r w:rsidR="009368E3">
        <w:rPr>
          <w:rFonts w:cs="Arial"/>
          <w:szCs w:val="22"/>
        </w:rPr>
        <w:t xml:space="preserve"> tak není uvedeno na základě jakých parametr</w:t>
      </w:r>
      <w:r w:rsidR="003A2442">
        <w:rPr>
          <w:rFonts w:cs="Arial"/>
          <w:szCs w:val="22"/>
        </w:rPr>
        <w:t>ů</w:t>
      </w:r>
      <w:r w:rsidR="009368E3">
        <w:rPr>
          <w:rFonts w:cs="Arial"/>
          <w:szCs w:val="22"/>
        </w:rPr>
        <w:t xml:space="preserve"> a jejich úrovně by byla </w:t>
      </w:r>
      <w:r w:rsidR="00431402">
        <w:rPr>
          <w:rFonts w:cs="Arial"/>
          <w:szCs w:val="22"/>
        </w:rPr>
        <w:t>míra konkurence hodnocena a jaká je definice efektivní hospodářské soutěže na definovaném relevantním trhu.</w:t>
      </w:r>
    </w:p>
    <w:p w14:paraId="7B39C2BF" w14:textId="01C29B01" w:rsidR="0018353F" w:rsidRDefault="0018353F" w:rsidP="009E7BBE">
      <w:pPr>
        <w:ind w:left="357"/>
        <w:rPr>
          <w:rFonts w:cs="Arial"/>
          <w:szCs w:val="22"/>
        </w:rPr>
      </w:pPr>
      <w:r>
        <w:rPr>
          <w:rFonts w:cs="Arial"/>
          <w:szCs w:val="22"/>
        </w:rPr>
        <w:t xml:space="preserve">Nově do kapitoly zahrnul srovnání </w:t>
      </w:r>
      <w:r w:rsidR="00822509">
        <w:rPr>
          <w:rFonts w:cs="Arial"/>
          <w:szCs w:val="22"/>
        </w:rPr>
        <w:t xml:space="preserve">podílu virtuálních operátorů ve VYBRANÝCH zemích. </w:t>
      </w:r>
      <w:r w:rsidR="003030BD">
        <w:rPr>
          <w:rFonts w:cs="Arial"/>
          <w:szCs w:val="22"/>
        </w:rPr>
        <w:t xml:space="preserve">Je nutné upozornit, že se jedná o podíly včetně majetkově </w:t>
      </w:r>
      <w:r w:rsidR="00222D4A">
        <w:rPr>
          <w:rFonts w:cs="Arial"/>
          <w:szCs w:val="22"/>
        </w:rPr>
        <w:t>propojených MVNO</w:t>
      </w:r>
      <w:r w:rsidR="00003717">
        <w:rPr>
          <w:rFonts w:cs="Arial"/>
          <w:szCs w:val="22"/>
        </w:rPr>
        <w:t>,</w:t>
      </w:r>
      <w:r w:rsidR="00222D4A">
        <w:rPr>
          <w:rFonts w:cs="Arial"/>
          <w:szCs w:val="22"/>
        </w:rPr>
        <w:t xml:space="preserve"> a to v zemích s nejvyšším tržním podílem MVNO. </w:t>
      </w:r>
      <w:r w:rsidR="00E75386" w:rsidRPr="001C456B">
        <w:rPr>
          <w:rFonts w:cs="Arial"/>
          <w:b/>
          <w:bCs/>
          <w:szCs w:val="22"/>
        </w:rPr>
        <w:t>Zároveň existují země</w:t>
      </w:r>
      <w:r w:rsidR="004B310B" w:rsidRPr="001C456B">
        <w:rPr>
          <w:rFonts w:cs="Arial"/>
          <w:b/>
          <w:bCs/>
          <w:szCs w:val="22"/>
        </w:rPr>
        <w:t>, které nemají žádné MVNO</w:t>
      </w:r>
      <w:r w:rsidR="001C456B">
        <w:rPr>
          <w:rFonts w:cs="Arial"/>
          <w:b/>
          <w:bCs/>
          <w:szCs w:val="22"/>
        </w:rPr>
        <w:t>,</w:t>
      </w:r>
      <w:r w:rsidR="001C456B" w:rsidRPr="001C456B">
        <w:rPr>
          <w:rFonts w:cs="Arial"/>
          <w:b/>
          <w:bCs/>
          <w:szCs w:val="22"/>
        </w:rPr>
        <w:t xml:space="preserve"> a přesto tam regulaci mobilního trhu nenavrhují a neuplatňují</w:t>
      </w:r>
      <w:r w:rsidR="004B310B" w:rsidRPr="001C456B">
        <w:rPr>
          <w:rFonts w:cs="Arial"/>
          <w:b/>
          <w:bCs/>
          <w:szCs w:val="22"/>
        </w:rPr>
        <w:t>.</w:t>
      </w:r>
    </w:p>
    <w:p w14:paraId="2D591E79" w14:textId="77777777" w:rsidR="00BE0AF9" w:rsidRPr="007F2682" w:rsidRDefault="00BE0AF9" w:rsidP="00BE0AF9">
      <w:pPr>
        <w:pStyle w:val="Nadpis2"/>
      </w:pPr>
      <w:r w:rsidRPr="007F2682">
        <w:t>Dynamika tržních podílů vs. počet přenesených čísel</w:t>
      </w:r>
      <w:r>
        <w:t xml:space="preserve"> (s. 85)</w:t>
      </w:r>
    </w:p>
    <w:p w14:paraId="4EF2E10C" w14:textId="77777777" w:rsidR="00BE0AF9" w:rsidRPr="007F2682" w:rsidRDefault="00BE0AF9" w:rsidP="00BE0AF9">
      <w:pPr>
        <w:pStyle w:val="Podnadpis"/>
      </w:pPr>
      <w:r w:rsidRPr="007F2682">
        <w:t xml:space="preserve">Návrh na doplnění, změnu, zrušení nebo nahrazení textu ustanovení návrhu opatření: </w:t>
      </w:r>
    </w:p>
    <w:p w14:paraId="56B06213" w14:textId="77777777" w:rsidR="00BE0AF9" w:rsidRPr="007F2682" w:rsidRDefault="00BE0AF9" w:rsidP="00BE0AF9">
      <w:pPr>
        <w:ind w:left="357"/>
        <w:rPr>
          <w:rFonts w:cs="Arial"/>
          <w:b/>
          <w:szCs w:val="22"/>
        </w:rPr>
      </w:pPr>
      <w:r>
        <w:rPr>
          <w:rFonts w:cs="Arial"/>
          <w:b/>
          <w:szCs w:val="22"/>
        </w:rPr>
        <w:t>Zohlednit argumentaci</w:t>
      </w:r>
      <w:r w:rsidRPr="007F2682">
        <w:rPr>
          <w:rFonts w:cs="Arial"/>
          <w:b/>
          <w:szCs w:val="22"/>
        </w:rPr>
        <w:t xml:space="preserve"> o nevypovídající hodnotě dynamiky tržních podílů v odůvodnění této připomínky.</w:t>
      </w:r>
    </w:p>
    <w:p w14:paraId="47AF4F24" w14:textId="77777777" w:rsidR="00BE0AF9" w:rsidRPr="007F2682" w:rsidRDefault="00BE0AF9" w:rsidP="00BE0AF9">
      <w:pPr>
        <w:pStyle w:val="Podnadpis"/>
      </w:pPr>
      <w:r w:rsidRPr="007F2682">
        <w:lastRenderedPageBreak/>
        <w:t>Odůvodnění:</w:t>
      </w:r>
    </w:p>
    <w:p w14:paraId="2B7BE28F" w14:textId="50601C17" w:rsidR="00BE0AF9" w:rsidRPr="007F2682" w:rsidRDefault="00BE0AF9" w:rsidP="00BE0AF9">
      <w:pPr>
        <w:ind w:left="357"/>
        <w:rPr>
          <w:rFonts w:cs="Arial"/>
          <w:szCs w:val="22"/>
        </w:rPr>
      </w:pPr>
      <w:r w:rsidRPr="007F2682">
        <w:rPr>
          <w:rFonts w:cs="Arial"/>
          <w:szCs w:val="22"/>
        </w:rPr>
        <w:t>ČTÚ v</w:t>
      </w:r>
      <w:r>
        <w:rPr>
          <w:rFonts w:cs="Arial"/>
          <w:szCs w:val="22"/>
        </w:rPr>
        <w:t> návrhu a</w:t>
      </w:r>
      <w:r w:rsidRPr="007F2682">
        <w:rPr>
          <w:rFonts w:cs="Arial"/>
          <w:szCs w:val="22"/>
        </w:rPr>
        <w:t>nalýz</w:t>
      </w:r>
      <w:r w:rsidR="00762FC7">
        <w:rPr>
          <w:rFonts w:cs="Arial"/>
          <w:szCs w:val="22"/>
        </w:rPr>
        <w:t>y</w:t>
      </w:r>
      <w:r w:rsidRPr="007F2682">
        <w:rPr>
          <w:rFonts w:cs="Arial"/>
          <w:szCs w:val="22"/>
        </w:rPr>
        <w:t xml:space="preserve"> uvádí, že </w:t>
      </w:r>
      <w:r>
        <w:rPr>
          <w:rFonts w:cs="Arial"/>
          <w:szCs w:val="22"/>
        </w:rPr>
        <w:t xml:space="preserve">lze pozorovat </w:t>
      </w:r>
      <w:r w:rsidRPr="007F2682">
        <w:rPr>
          <w:rFonts w:cs="Arial"/>
          <w:szCs w:val="22"/>
        </w:rPr>
        <w:t>nižší dynamik</w:t>
      </w:r>
      <w:r>
        <w:rPr>
          <w:rFonts w:cs="Arial"/>
          <w:szCs w:val="22"/>
        </w:rPr>
        <w:t>u</w:t>
      </w:r>
      <w:r w:rsidRPr="007F2682">
        <w:rPr>
          <w:rFonts w:cs="Arial"/>
          <w:szCs w:val="22"/>
        </w:rPr>
        <w:t xml:space="preserve"> v podílech jednotlivých operátorů v segmentu domácností, </w:t>
      </w:r>
      <w:r>
        <w:rPr>
          <w:rFonts w:cs="Arial"/>
          <w:szCs w:val="22"/>
        </w:rPr>
        <w:t>což podporuje</w:t>
      </w:r>
      <w:r w:rsidRPr="007F2682">
        <w:rPr>
          <w:rFonts w:cs="Arial"/>
          <w:szCs w:val="22"/>
        </w:rPr>
        <w:t> </w:t>
      </w:r>
      <w:r>
        <w:rPr>
          <w:rFonts w:cs="Arial"/>
          <w:szCs w:val="22"/>
        </w:rPr>
        <w:t xml:space="preserve">nutnost </w:t>
      </w:r>
      <w:r w:rsidRPr="007F2682">
        <w:rPr>
          <w:rFonts w:cs="Arial"/>
          <w:szCs w:val="22"/>
        </w:rPr>
        <w:t>zákaznick</w:t>
      </w:r>
      <w:r>
        <w:rPr>
          <w:rFonts w:cs="Arial"/>
          <w:szCs w:val="22"/>
        </w:rPr>
        <w:t>é</w:t>
      </w:r>
      <w:r w:rsidRPr="007F2682">
        <w:rPr>
          <w:rFonts w:cs="Arial"/>
          <w:szCs w:val="22"/>
        </w:rPr>
        <w:t xml:space="preserve"> segmentac</w:t>
      </w:r>
      <w:r>
        <w:rPr>
          <w:rFonts w:cs="Arial"/>
          <w:szCs w:val="22"/>
        </w:rPr>
        <w:t>e</w:t>
      </w:r>
      <w:r w:rsidRPr="007F2682">
        <w:rPr>
          <w:rFonts w:cs="Arial"/>
          <w:szCs w:val="22"/>
        </w:rPr>
        <w:t xml:space="preserve">. Takovýto závěr nelze akceptovat, jelikož toto saldo nemusí korelovat s dynamikou přenesených čísel. Ta může být obousměrně vysoká i přes to, že výsledné saldo projevující se v dynamice tržních podílů se může zdát nízké. V současnosti lze navíc předpokládat vyšší podíl nově aktivovaných karet v segmentu firem, čímž může být změna tržních podílů oproti segmentu domácností výrazněji ovlivněna bez vazby na probíhající konkurenční boj u </w:t>
      </w:r>
      <w:r>
        <w:rPr>
          <w:rFonts w:cs="Arial"/>
          <w:szCs w:val="22"/>
        </w:rPr>
        <w:t>stávající báze</w:t>
      </w:r>
      <w:r w:rsidRPr="007F2682">
        <w:rPr>
          <w:rFonts w:cs="Arial"/>
          <w:szCs w:val="22"/>
        </w:rPr>
        <w:t>.</w:t>
      </w:r>
    </w:p>
    <w:p w14:paraId="11DC9D05" w14:textId="00BC686E" w:rsidR="004949A5" w:rsidRPr="007F2682" w:rsidRDefault="00006952" w:rsidP="004949A5">
      <w:pPr>
        <w:pStyle w:val="Nadpis2"/>
      </w:pPr>
      <w:r>
        <w:t>Odstranění</w:t>
      </w:r>
      <w:r w:rsidR="004949A5">
        <w:t xml:space="preserve"> kapitoly 2.</w:t>
      </w:r>
      <w:r>
        <w:t>3</w:t>
      </w:r>
      <w:r w:rsidR="004949A5" w:rsidRPr="009341D2">
        <w:t xml:space="preserve"> </w:t>
      </w:r>
      <w:r w:rsidRPr="00006952">
        <w:t>Vysoké zisky síťových operátorů v ČR na úkor spotřebitelů</w:t>
      </w:r>
      <w:r w:rsidR="006F0653">
        <w:t xml:space="preserve"> (s. 87-88)</w:t>
      </w:r>
    </w:p>
    <w:p w14:paraId="57807E8A" w14:textId="77777777" w:rsidR="004949A5" w:rsidRPr="007F2682" w:rsidRDefault="004949A5" w:rsidP="004949A5">
      <w:pPr>
        <w:pStyle w:val="Podnadpis"/>
      </w:pPr>
      <w:r w:rsidRPr="007F2682">
        <w:t xml:space="preserve">Návrh na doplnění, změnu, zrušení nebo nahrazení textu ustanovení návrhu opatření: </w:t>
      </w:r>
    </w:p>
    <w:p w14:paraId="77835709" w14:textId="62ABB3FA" w:rsidR="004949A5" w:rsidRDefault="00006952" w:rsidP="004949A5">
      <w:pPr>
        <w:ind w:left="357"/>
        <w:rPr>
          <w:rFonts w:cs="Arial"/>
          <w:b/>
          <w:szCs w:val="22"/>
        </w:rPr>
      </w:pPr>
      <w:r>
        <w:rPr>
          <w:rFonts w:cs="Arial"/>
          <w:b/>
          <w:szCs w:val="22"/>
        </w:rPr>
        <w:t xml:space="preserve">Arbitrární a </w:t>
      </w:r>
      <w:r w:rsidR="00167E40">
        <w:rPr>
          <w:rFonts w:cs="Arial"/>
          <w:b/>
          <w:szCs w:val="22"/>
        </w:rPr>
        <w:t>emocionálně zabarvená kapitola o ziskovosti podnikajících subjektů nepatří do seriózně provedené analýzy nezávislého regulátora a navrhujeme její odstranění.</w:t>
      </w:r>
    </w:p>
    <w:p w14:paraId="04AEEB7C" w14:textId="77777777" w:rsidR="004949A5" w:rsidRPr="007F2682" w:rsidRDefault="004949A5" w:rsidP="004949A5">
      <w:pPr>
        <w:pStyle w:val="Podnadpis"/>
      </w:pPr>
      <w:r w:rsidRPr="007F2682">
        <w:t>Odůvodnění:</w:t>
      </w:r>
    </w:p>
    <w:p w14:paraId="458CA739" w14:textId="4EBD6F98" w:rsidR="004949A5" w:rsidRDefault="004949A5" w:rsidP="004949A5">
      <w:pPr>
        <w:ind w:left="357"/>
        <w:rPr>
          <w:rFonts w:cs="Arial"/>
          <w:szCs w:val="22"/>
        </w:rPr>
      </w:pPr>
      <w:r>
        <w:rPr>
          <w:rFonts w:cs="Arial"/>
          <w:szCs w:val="22"/>
        </w:rPr>
        <w:t xml:space="preserve">ČTÚ v rámci kapitoly 2.3 arbitrárně hodnotí </w:t>
      </w:r>
      <w:r w:rsidR="00794D9D">
        <w:rPr>
          <w:rFonts w:cs="Arial"/>
          <w:szCs w:val="22"/>
        </w:rPr>
        <w:t xml:space="preserve">marže a zisky mobilních operátorů. </w:t>
      </w:r>
      <w:r w:rsidR="009E57EE">
        <w:rPr>
          <w:rFonts w:cs="Arial"/>
          <w:szCs w:val="22"/>
        </w:rPr>
        <w:t xml:space="preserve">Nemyslíme si, že toto je role nezávislého regulátora. </w:t>
      </w:r>
      <w:r w:rsidR="00C27A07">
        <w:rPr>
          <w:rFonts w:cs="Arial"/>
          <w:szCs w:val="22"/>
        </w:rPr>
        <w:t xml:space="preserve">Společnost O2 také již v minulosti upozorňovala na možnost vstupu nového operátora, který by </w:t>
      </w:r>
      <w:r w:rsidR="00D96345">
        <w:rPr>
          <w:rFonts w:cs="Arial"/>
          <w:szCs w:val="22"/>
        </w:rPr>
        <w:t xml:space="preserve">spatřoval na českém trhu možnost profitability. </w:t>
      </w:r>
      <w:r w:rsidR="00131157">
        <w:rPr>
          <w:rFonts w:cs="Arial"/>
          <w:szCs w:val="22"/>
        </w:rPr>
        <w:t xml:space="preserve">Například v nedávné aukci připravil </w:t>
      </w:r>
      <w:r w:rsidR="007639CB">
        <w:rPr>
          <w:rFonts w:cs="Arial"/>
          <w:szCs w:val="22"/>
        </w:rPr>
        <w:t xml:space="preserve">ČTÚ </w:t>
      </w:r>
      <w:r w:rsidR="00131157">
        <w:rPr>
          <w:rFonts w:cs="Arial"/>
          <w:szCs w:val="22"/>
        </w:rPr>
        <w:t>pro nového operátora bezprecedentně výhodné podmínky minimálně hraničící s</w:t>
      </w:r>
      <w:r w:rsidR="005473A7">
        <w:rPr>
          <w:rFonts w:cs="Arial"/>
          <w:szCs w:val="22"/>
        </w:rPr>
        <w:t xml:space="preserve"> nedovolenou </w:t>
      </w:r>
      <w:r w:rsidR="00762FC7">
        <w:rPr>
          <w:rFonts w:cs="Arial"/>
          <w:szCs w:val="22"/>
        </w:rPr>
        <w:t xml:space="preserve">veřejnou </w:t>
      </w:r>
      <w:r w:rsidR="005473A7">
        <w:rPr>
          <w:rFonts w:cs="Arial"/>
          <w:szCs w:val="22"/>
        </w:rPr>
        <w:t>podporou. Přesto se do aukce žádný nový operátor, který by získal kmitočty pro celoplošné pokrytí</w:t>
      </w:r>
      <w:r w:rsidR="00762FC7">
        <w:rPr>
          <w:rFonts w:cs="Arial"/>
          <w:szCs w:val="22"/>
        </w:rPr>
        <w:t>,</w:t>
      </w:r>
      <w:r w:rsidR="005473A7">
        <w:rPr>
          <w:rFonts w:cs="Arial"/>
          <w:szCs w:val="22"/>
        </w:rPr>
        <w:t xml:space="preserve"> nepřihlásil.</w:t>
      </w:r>
      <w:r w:rsidR="00D0119C">
        <w:rPr>
          <w:rFonts w:cs="Arial"/>
          <w:szCs w:val="22"/>
        </w:rPr>
        <w:t xml:space="preserve"> Jedním z důvodů jist</w:t>
      </w:r>
      <w:r w:rsidR="00737DB2">
        <w:rPr>
          <w:rFonts w:cs="Arial"/>
          <w:szCs w:val="22"/>
        </w:rPr>
        <w:t>ě</w:t>
      </w:r>
      <w:r w:rsidR="00D0119C">
        <w:rPr>
          <w:rFonts w:cs="Arial"/>
          <w:szCs w:val="22"/>
        </w:rPr>
        <w:t xml:space="preserve"> byla právě vysoká investiční nejistota v</w:t>
      </w:r>
      <w:r w:rsidR="00762FC7">
        <w:rPr>
          <w:rFonts w:cs="Arial"/>
          <w:szCs w:val="22"/>
        </w:rPr>
        <w:t> </w:t>
      </w:r>
      <w:r w:rsidR="00D0119C">
        <w:rPr>
          <w:rFonts w:cs="Arial"/>
          <w:szCs w:val="22"/>
        </w:rPr>
        <w:t>Č</w:t>
      </w:r>
      <w:r w:rsidR="00762FC7">
        <w:rPr>
          <w:rFonts w:cs="Arial"/>
          <w:szCs w:val="22"/>
        </w:rPr>
        <w:t>eské republice</w:t>
      </w:r>
      <w:r w:rsidR="00D0119C">
        <w:rPr>
          <w:rFonts w:cs="Arial"/>
          <w:szCs w:val="22"/>
        </w:rPr>
        <w:t xml:space="preserve"> způsobovaná </w:t>
      </w:r>
      <w:r w:rsidR="009A768F">
        <w:rPr>
          <w:rFonts w:cs="Arial"/>
          <w:szCs w:val="22"/>
        </w:rPr>
        <w:t xml:space="preserve">mimo jiné například definováním vlastních relevantních trhů, které nejsou definovány v žádném jiném členském státě </w:t>
      </w:r>
      <w:r w:rsidR="007639CB">
        <w:rPr>
          <w:rFonts w:cs="Arial"/>
          <w:szCs w:val="22"/>
        </w:rPr>
        <w:t xml:space="preserve">EU </w:t>
      </w:r>
      <w:r w:rsidR="009A768F">
        <w:rPr>
          <w:rFonts w:cs="Arial"/>
          <w:szCs w:val="22"/>
        </w:rPr>
        <w:t xml:space="preserve">a další </w:t>
      </w:r>
      <w:r w:rsidR="00663651">
        <w:rPr>
          <w:rFonts w:cs="Arial"/>
          <w:szCs w:val="22"/>
        </w:rPr>
        <w:t>nelogické</w:t>
      </w:r>
      <w:r w:rsidR="00747554">
        <w:rPr>
          <w:rFonts w:cs="Arial"/>
          <w:szCs w:val="22"/>
        </w:rPr>
        <w:t>, politicky motivované</w:t>
      </w:r>
      <w:r w:rsidR="00663651">
        <w:rPr>
          <w:rFonts w:cs="Arial"/>
          <w:szCs w:val="22"/>
        </w:rPr>
        <w:t xml:space="preserve"> a proti investorské kroky regulačního úřadu</w:t>
      </w:r>
      <w:r w:rsidR="00CC4EF2">
        <w:rPr>
          <w:rFonts w:cs="Arial"/>
          <w:szCs w:val="22"/>
        </w:rPr>
        <w:t>, které nejsou v souladu s</w:t>
      </w:r>
      <w:r w:rsidR="00006952">
        <w:rPr>
          <w:rFonts w:cs="Arial"/>
          <w:szCs w:val="22"/>
        </w:rPr>
        <w:t xml:space="preserve"> podnikatelským prostředím </w:t>
      </w:r>
      <w:r w:rsidR="00CC4EF2">
        <w:rPr>
          <w:rFonts w:cs="Arial"/>
          <w:szCs w:val="22"/>
        </w:rPr>
        <w:t>vyspělý</w:t>
      </w:r>
      <w:r w:rsidR="00006952">
        <w:rPr>
          <w:rFonts w:cs="Arial"/>
          <w:szCs w:val="22"/>
        </w:rPr>
        <w:t>ch</w:t>
      </w:r>
      <w:r w:rsidR="00CC4EF2">
        <w:rPr>
          <w:rFonts w:cs="Arial"/>
          <w:szCs w:val="22"/>
        </w:rPr>
        <w:t xml:space="preserve"> stát</w:t>
      </w:r>
      <w:r w:rsidR="00006952">
        <w:rPr>
          <w:rFonts w:cs="Arial"/>
          <w:szCs w:val="22"/>
        </w:rPr>
        <w:t>ů</w:t>
      </w:r>
      <w:r w:rsidR="00CC4EF2">
        <w:rPr>
          <w:rFonts w:cs="Arial"/>
          <w:szCs w:val="22"/>
        </w:rPr>
        <w:t xml:space="preserve"> 21. století.</w:t>
      </w:r>
    </w:p>
    <w:p w14:paraId="776B0007" w14:textId="5D5847BD" w:rsidR="00A01554" w:rsidRPr="00450111" w:rsidRDefault="00A01554" w:rsidP="004949A5">
      <w:pPr>
        <w:ind w:left="357"/>
        <w:rPr>
          <w:rFonts w:cs="Arial"/>
          <w:szCs w:val="22"/>
        </w:rPr>
      </w:pPr>
      <w:r>
        <w:rPr>
          <w:rFonts w:cs="Arial"/>
          <w:szCs w:val="22"/>
        </w:rPr>
        <w:t xml:space="preserve">ČTÚ aktualizací tabulky s EBITDA </w:t>
      </w:r>
      <w:proofErr w:type="spellStart"/>
      <w:r>
        <w:rPr>
          <w:rFonts w:cs="Arial"/>
          <w:szCs w:val="22"/>
        </w:rPr>
        <w:t>maržovostí</w:t>
      </w:r>
      <w:proofErr w:type="spellEnd"/>
      <w:r>
        <w:rPr>
          <w:rFonts w:cs="Arial"/>
          <w:szCs w:val="22"/>
        </w:rPr>
        <w:t xml:space="preserve"> (za všechny služby) </w:t>
      </w:r>
      <w:r w:rsidR="00503E85">
        <w:rPr>
          <w:rFonts w:cs="Arial"/>
          <w:szCs w:val="22"/>
        </w:rPr>
        <w:t>pouze dále prokázal, že tato v České republice nijak nevybočuje ze standardu tohoto odvětví</w:t>
      </w:r>
      <w:r w:rsidR="00762FC7">
        <w:rPr>
          <w:rFonts w:cs="Arial"/>
          <w:szCs w:val="22"/>
        </w:rPr>
        <w:t xml:space="preserve"> napříč EU</w:t>
      </w:r>
      <w:r w:rsidR="00503E85">
        <w:rPr>
          <w:rFonts w:cs="Arial"/>
          <w:szCs w:val="22"/>
        </w:rPr>
        <w:t>.</w:t>
      </w:r>
    </w:p>
    <w:p w14:paraId="7719FB9D" w14:textId="374772EB" w:rsidR="009B28A3" w:rsidRPr="007F2682" w:rsidRDefault="00124C9A" w:rsidP="009B28A3">
      <w:pPr>
        <w:pStyle w:val="Nadpis2"/>
      </w:pPr>
      <w:r w:rsidRPr="007F2682">
        <w:t>Rozmanitost nabídek a neustálý tlak na pokles cen tarifů pro domácnosti</w:t>
      </w:r>
    </w:p>
    <w:p w14:paraId="3AD6BB8F" w14:textId="77777777" w:rsidR="009B28A3" w:rsidRPr="007F2682" w:rsidRDefault="009B28A3" w:rsidP="00DA66AF">
      <w:pPr>
        <w:pStyle w:val="Podnadpis"/>
      </w:pPr>
      <w:r w:rsidRPr="007F2682">
        <w:t xml:space="preserve">Návrh na doplnění, změnu, zrušení nebo nahrazení textu ustanovení návrhu opatření: </w:t>
      </w:r>
    </w:p>
    <w:p w14:paraId="4B04C9BF" w14:textId="1997041A" w:rsidR="009B28A3" w:rsidRPr="007F2682" w:rsidRDefault="00F95848" w:rsidP="00F95848">
      <w:pPr>
        <w:ind w:left="357"/>
        <w:rPr>
          <w:rFonts w:cs="Arial"/>
          <w:b/>
          <w:szCs w:val="22"/>
        </w:rPr>
      </w:pPr>
      <w:r w:rsidRPr="007F2682">
        <w:rPr>
          <w:rFonts w:cs="Arial"/>
          <w:b/>
          <w:szCs w:val="22"/>
        </w:rPr>
        <w:t>Zohlednění dynamiky nabídek mobilních operátorů v posledních letech a jejich pozitivního trendu.</w:t>
      </w:r>
    </w:p>
    <w:p w14:paraId="0845FD1B" w14:textId="77777777" w:rsidR="009B28A3" w:rsidRPr="007F2682" w:rsidRDefault="009B28A3" w:rsidP="00DA66AF">
      <w:pPr>
        <w:pStyle w:val="Podnadpis"/>
      </w:pPr>
      <w:r w:rsidRPr="007F2682">
        <w:lastRenderedPageBreak/>
        <w:t>Odůvodnění:</w:t>
      </w:r>
    </w:p>
    <w:p w14:paraId="5BEB5582" w14:textId="0E3665C8" w:rsidR="00C44A3B" w:rsidRPr="007F2682" w:rsidRDefault="0027286F" w:rsidP="009B28A3">
      <w:pPr>
        <w:ind w:left="357"/>
        <w:rPr>
          <w:rFonts w:cs="Arial"/>
          <w:szCs w:val="22"/>
        </w:rPr>
      </w:pPr>
      <w:r w:rsidRPr="007F2682">
        <w:rPr>
          <w:rFonts w:cs="Arial"/>
          <w:szCs w:val="22"/>
        </w:rPr>
        <w:t>Veřejné nabídky všech síťových operátorů se ve sledovaném období</w:t>
      </w:r>
      <w:r w:rsidR="003738A0" w:rsidRPr="007F2682">
        <w:rPr>
          <w:rFonts w:cs="Arial"/>
          <w:szCs w:val="22"/>
        </w:rPr>
        <w:t xml:space="preserve"> během</w:t>
      </w:r>
      <w:r w:rsidRPr="007F2682">
        <w:rPr>
          <w:rFonts w:cs="Arial"/>
          <w:szCs w:val="22"/>
        </w:rPr>
        <w:t xml:space="preserve"> posledních několika let velmi často mění a dochází k výraznému poklesu cen služeb</w:t>
      </w:r>
      <w:r w:rsidR="00DF674F">
        <w:rPr>
          <w:rFonts w:cs="Arial"/>
          <w:szCs w:val="22"/>
        </w:rPr>
        <w:t>,</w:t>
      </w:r>
      <w:r w:rsidRPr="007F2682">
        <w:rPr>
          <w:rFonts w:cs="Arial"/>
          <w:szCs w:val="22"/>
        </w:rPr>
        <w:t xml:space="preserve"> respektive jejich rozšiřování a zvyšování jejich obsahu.</w:t>
      </w:r>
      <w:r w:rsidR="00C44A3B" w:rsidRPr="007F2682">
        <w:rPr>
          <w:rFonts w:cs="Arial"/>
          <w:szCs w:val="22"/>
        </w:rPr>
        <w:t xml:space="preserve"> Jen z</w:t>
      </w:r>
      <w:r w:rsidRPr="007F2682">
        <w:rPr>
          <w:rFonts w:cs="Arial"/>
          <w:szCs w:val="22"/>
        </w:rPr>
        <w:t> c</w:t>
      </w:r>
      <w:r w:rsidR="00C44A3B" w:rsidRPr="007F2682">
        <w:rPr>
          <w:rFonts w:cs="Arial"/>
          <w:szCs w:val="22"/>
        </w:rPr>
        <w:t>eníků</w:t>
      </w:r>
      <w:r w:rsidRPr="007F2682">
        <w:rPr>
          <w:rFonts w:cs="Arial"/>
          <w:szCs w:val="22"/>
        </w:rPr>
        <w:t xml:space="preserve"> společnosti O2 vyplývá, že </w:t>
      </w:r>
      <w:r w:rsidR="00C44A3B" w:rsidRPr="007F2682">
        <w:rPr>
          <w:rFonts w:cs="Arial"/>
          <w:szCs w:val="22"/>
        </w:rPr>
        <w:t>ke změnám mobilních tarifů</w:t>
      </w:r>
      <w:r w:rsidR="00677F1E" w:rsidRPr="007F2682">
        <w:rPr>
          <w:rFonts w:cs="Arial"/>
          <w:szCs w:val="22"/>
        </w:rPr>
        <w:t xml:space="preserve"> s daty</w:t>
      </w:r>
      <w:r w:rsidR="00C44A3B" w:rsidRPr="007F2682">
        <w:rPr>
          <w:rFonts w:cs="Arial"/>
          <w:szCs w:val="22"/>
        </w:rPr>
        <w:t xml:space="preserve"> </w:t>
      </w:r>
      <w:r w:rsidR="00677F1E" w:rsidRPr="007F2682">
        <w:rPr>
          <w:rFonts w:cs="Arial"/>
          <w:szCs w:val="22"/>
        </w:rPr>
        <w:t xml:space="preserve">ve smyslu jednotkového zlevnění mobilních dat </w:t>
      </w:r>
      <w:r w:rsidR="00C44A3B" w:rsidRPr="007F2682">
        <w:rPr>
          <w:rFonts w:cs="Arial"/>
          <w:szCs w:val="22"/>
        </w:rPr>
        <w:t xml:space="preserve">dochází každých několik měsíců, </w:t>
      </w:r>
      <w:r w:rsidR="00677F1E" w:rsidRPr="007F2682">
        <w:rPr>
          <w:rFonts w:cs="Arial"/>
          <w:szCs w:val="22"/>
        </w:rPr>
        <w:t xml:space="preserve">a to buď u standardních </w:t>
      </w:r>
      <w:r w:rsidR="00C44A3B" w:rsidRPr="007F2682">
        <w:rPr>
          <w:rFonts w:cs="Arial"/>
          <w:szCs w:val="22"/>
        </w:rPr>
        <w:t>neomezených tarifů s</w:t>
      </w:r>
      <w:r w:rsidR="00677F1E" w:rsidRPr="007F2682">
        <w:rPr>
          <w:rFonts w:cs="Arial"/>
          <w:szCs w:val="22"/>
        </w:rPr>
        <w:t> </w:t>
      </w:r>
      <w:r w:rsidR="00C44A3B" w:rsidRPr="007F2682">
        <w:rPr>
          <w:rFonts w:cs="Arial"/>
          <w:szCs w:val="22"/>
        </w:rPr>
        <w:t>dat</w:t>
      </w:r>
      <w:r w:rsidR="00677F1E" w:rsidRPr="007F2682">
        <w:rPr>
          <w:rFonts w:cs="Arial"/>
          <w:szCs w:val="22"/>
        </w:rPr>
        <w:t>ovým balíčkem, nebo u dalších tarifů jako jsou</w:t>
      </w:r>
      <w:r w:rsidR="00C44A3B" w:rsidRPr="007F2682">
        <w:rPr>
          <w:rFonts w:cs="Arial"/>
          <w:szCs w:val="22"/>
        </w:rPr>
        <w:t xml:space="preserve"> </w:t>
      </w:r>
      <w:proofErr w:type="spellStart"/>
      <w:r w:rsidR="00677F1E" w:rsidRPr="007F2682">
        <w:rPr>
          <w:rFonts w:cs="Arial"/>
          <w:szCs w:val="22"/>
        </w:rPr>
        <w:t>datacentrické</w:t>
      </w:r>
      <w:proofErr w:type="spellEnd"/>
      <w:r w:rsidR="00677F1E" w:rsidRPr="007F2682">
        <w:rPr>
          <w:rFonts w:cs="Arial"/>
          <w:szCs w:val="22"/>
        </w:rPr>
        <w:t xml:space="preserve"> tarify</w:t>
      </w:r>
      <w:r w:rsidR="004061AC">
        <w:rPr>
          <w:rFonts w:cs="Arial"/>
          <w:szCs w:val="22"/>
        </w:rPr>
        <w:t xml:space="preserve"> (mobilní internet)</w:t>
      </w:r>
      <w:r w:rsidR="00C44A3B" w:rsidRPr="007F2682">
        <w:rPr>
          <w:rFonts w:cs="Arial"/>
          <w:szCs w:val="22"/>
        </w:rPr>
        <w:t>, rodinn</w:t>
      </w:r>
      <w:r w:rsidR="00677F1E" w:rsidRPr="007F2682">
        <w:rPr>
          <w:rFonts w:cs="Arial"/>
          <w:szCs w:val="22"/>
        </w:rPr>
        <w:t>é</w:t>
      </w:r>
      <w:r w:rsidR="00C44A3B" w:rsidRPr="007F2682">
        <w:rPr>
          <w:rFonts w:cs="Arial"/>
          <w:szCs w:val="22"/>
        </w:rPr>
        <w:t xml:space="preserve"> </w:t>
      </w:r>
      <w:r w:rsidR="00677F1E" w:rsidRPr="007F2682">
        <w:rPr>
          <w:rFonts w:cs="Arial"/>
          <w:szCs w:val="22"/>
        </w:rPr>
        <w:t>nebo například studentské tarify. Stejnou dynamikou prochází také</w:t>
      </w:r>
      <w:r w:rsidR="00C44A3B" w:rsidRPr="007F2682">
        <w:rPr>
          <w:rFonts w:cs="Arial"/>
          <w:szCs w:val="22"/>
        </w:rPr>
        <w:t xml:space="preserve"> </w:t>
      </w:r>
      <w:r w:rsidR="00677F1E" w:rsidRPr="007F2682">
        <w:rPr>
          <w:rFonts w:cs="Arial"/>
          <w:szCs w:val="22"/>
        </w:rPr>
        <w:t>další nabídky</w:t>
      </w:r>
      <w:r w:rsidR="00C44A3B" w:rsidRPr="007F2682">
        <w:rPr>
          <w:rFonts w:cs="Arial"/>
          <w:szCs w:val="22"/>
        </w:rPr>
        <w:t>, které nejsou součástí ceníků, a</w:t>
      </w:r>
      <w:r w:rsidR="00677F1E" w:rsidRPr="007F2682">
        <w:rPr>
          <w:rFonts w:cs="Arial"/>
          <w:szCs w:val="22"/>
        </w:rPr>
        <w:t>le</w:t>
      </w:r>
      <w:r w:rsidR="00C44A3B" w:rsidRPr="007F2682">
        <w:rPr>
          <w:rFonts w:cs="Arial"/>
          <w:szCs w:val="22"/>
        </w:rPr>
        <w:t xml:space="preserve"> které má ČTÚ </w:t>
      </w:r>
      <w:r w:rsidR="004061AC">
        <w:rPr>
          <w:rFonts w:cs="Arial"/>
          <w:szCs w:val="22"/>
        </w:rPr>
        <w:t xml:space="preserve">z části </w:t>
      </w:r>
      <w:r w:rsidR="00C44A3B" w:rsidRPr="007F2682">
        <w:rPr>
          <w:rFonts w:cs="Arial"/>
          <w:szCs w:val="22"/>
        </w:rPr>
        <w:t>k</w:t>
      </w:r>
      <w:r w:rsidR="00BE294D">
        <w:rPr>
          <w:rFonts w:cs="Arial"/>
          <w:szCs w:val="22"/>
        </w:rPr>
        <w:t> </w:t>
      </w:r>
      <w:r w:rsidR="00C44A3B" w:rsidRPr="007F2682">
        <w:rPr>
          <w:rFonts w:cs="Arial"/>
          <w:szCs w:val="22"/>
        </w:rPr>
        <w:t>dispozici</w:t>
      </w:r>
      <w:r w:rsidR="00BE294D">
        <w:rPr>
          <w:rFonts w:cs="Arial"/>
          <w:szCs w:val="22"/>
        </w:rPr>
        <w:t xml:space="preserve"> a nabídky virtuálních operátorů, jak dokazuje srovnávací nástroj ČTÚ.</w:t>
      </w:r>
      <w:r w:rsidR="00B938CD">
        <w:rPr>
          <w:rFonts w:cs="Arial"/>
          <w:szCs w:val="22"/>
        </w:rPr>
        <w:t xml:space="preserve"> </w:t>
      </w:r>
      <w:r w:rsidR="00677F1E" w:rsidRPr="007F2682">
        <w:rPr>
          <w:rFonts w:cs="Arial"/>
          <w:szCs w:val="22"/>
        </w:rPr>
        <w:t xml:space="preserve"> </w:t>
      </w:r>
      <w:r w:rsidR="00C44A3B" w:rsidRPr="007F2682">
        <w:rPr>
          <w:rFonts w:cs="Arial"/>
          <w:szCs w:val="22"/>
        </w:rPr>
        <w:t xml:space="preserve">To vše za situace neustálého zkvalitňování a investic do mobilní sítě, která se </w:t>
      </w:r>
      <w:r w:rsidR="000443FB">
        <w:rPr>
          <w:rFonts w:cs="Arial"/>
          <w:szCs w:val="22"/>
        </w:rPr>
        <w:t>již mnoho let</w:t>
      </w:r>
      <w:r w:rsidR="00C44A3B" w:rsidRPr="007F2682">
        <w:rPr>
          <w:rFonts w:cs="Arial"/>
          <w:szCs w:val="22"/>
        </w:rPr>
        <w:t xml:space="preserve"> svou </w:t>
      </w:r>
      <w:r w:rsidR="003738A0" w:rsidRPr="007F2682">
        <w:rPr>
          <w:rFonts w:cs="Arial"/>
          <w:szCs w:val="22"/>
        </w:rPr>
        <w:t xml:space="preserve">technologickou vyspělostí, </w:t>
      </w:r>
      <w:r w:rsidR="00C44A3B" w:rsidRPr="007F2682">
        <w:rPr>
          <w:rFonts w:cs="Arial"/>
          <w:szCs w:val="22"/>
        </w:rPr>
        <w:t>rychlostí</w:t>
      </w:r>
      <w:r w:rsidR="003738A0" w:rsidRPr="007F2682">
        <w:rPr>
          <w:rFonts w:cs="Arial"/>
          <w:szCs w:val="22"/>
        </w:rPr>
        <w:t xml:space="preserve"> datových přenosů,</w:t>
      </w:r>
      <w:r w:rsidR="00C44A3B" w:rsidRPr="007F2682">
        <w:rPr>
          <w:rFonts w:cs="Arial"/>
          <w:szCs w:val="22"/>
        </w:rPr>
        <w:t xml:space="preserve"> pokrytím </w:t>
      </w:r>
      <w:r w:rsidR="003738A0" w:rsidRPr="007F2682">
        <w:rPr>
          <w:rFonts w:cs="Arial"/>
          <w:szCs w:val="22"/>
        </w:rPr>
        <w:t xml:space="preserve">a spolehlivostí </w:t>
      </w:r>
      <w:r w:rsidR="00C44A3B" w:rsidRPr="007F2682">
        <w:rPr>
          <w:rFonts w:cs="Arial"/>
          <w:szCs w:val="22"/>
        </w:rPr>
        <w:t>řadí mezi světovou špičku.</w:t>
      </w:r>
      <w:r w:rsidR="000443FB">
        <w:rPr>
          <w:rStyle w:val="Znakapoznpodarou"/>
          <w:rFonts w:cs="Arial"/>
          <w:szCs w:val="22"/>
        </w:rPr>
        <w:footnoteReference w:id="28"/>
      </w:r>
    </w:p>
    <w:p w14:paraId="6FD3B381" w14:textId="283150B4" w:rsidR="00677F1E" w:rsidRPr="00A22394" w:rsidRDefault="00677F1E" w:rsidP="009B28A3">
      <w:pPr>
        <w:ind w:left="357"/>
        <w:rPr>
          <w:rFonts w:cs="Arial"/>
          <w:b/>
          <w:bCs/>
          <w:szCs w:val="22"/>
        </w:rPr>
      </w:pPr>
      <w:r w:rsidRPr="00A22394">
        <w:rPr>
          <w:rFonts w:cs="Arial"/>
          <w:b/>
          <w:bCs/>
          <w:szCs w:val="22"/>
        </w:rPr>
        <w:t xml:space="preserve">Tato dynamika </w:t>
      </w:r>
      <w:r w:rsidR="000870A4" w:rsidRPr="00A22394">
        <w:rPr>
          <w:rFonts w:cs="Arial"/>
          <w:b/>
          <w:bCs/>
          <w:szCs w:val="22"/>
        </w:rPr>
        <w:t xml:space="preserve">a rozmanitost </w:t>
      </w:r>
      <w:r w:rsidRPr="00A22394">
        <w:rPr>
          <w:rFonts w:cs="Arial"/>
          <w:b/>
          <w:bCs/>
          <w:szCs w:val="22"/>
        </w:rPr>
        <w:t>popírá smyšlené závěry ČTÚ o nefungující konkurenci z důvodu indikované společné významné sí</w:t>
      </w:r>
      <w:r w:rsidR="00250D13" w:rsidRPr="00A22394">
        <w:rPr>
          <w:rFonts w:cs="Arial"/>
          <w:b/>
          <w:bCs/>
          <w:szCs w:val="22"/>
        </w:rPr>
        <w:t xml:space="preserve">ly mobilních síťových operátorů. </w:t>
      </w:r>
    </w:p>
    <w:p w14:paraId="48BDAD6B" w14:textId="1E71CD76" w:rsidR="004904B6" w:rsidRPr="007F2682" w:rsidRDefault="005B54DB" w:rsidP="0082032B">
      <w:pPr>
        <w:pStyle w:val="Nadpis2"/>
      </w:pPr>
      <w:r>
        <w:t xml:space="preserve">Nedostatek soutěže a jednostranné stanovování podmínek velkoobchodních smluv ze strany MNO </w:t>
      </w:r>
      <w:r w:rsidR="0064275A">
        <w:t>(s. 89)</w:t>
      </w:r>
    </w:p>
    <w:p w14:paraId="2FB2AF6C" w14:textId="77777777" w:rsidR="004904B6" w:rsidRPr="007F2682" w:rsidRDefault="004904B6" w:rsidP="00DA66AF">
      <w:pPr>
        <w:pStyle w:val="Podnadpis"/>
      </w:pPr>
      <w:r w:rsidRPr="007F2682">
        <w:t xml:space="preserve">Návrh na doplnění, změnu, zrušení nebo nahrazení textu ustanovení návrhu opatření: </w:t>
      </w:r>
    </w:p>
    <w:p w14:paraId="336D76B4" w14:textId="14A8E87A" w:rsidR="004904B6" w:rsidRPr="007F2682" w:rsidRDefault="004A6177" w:rsidP="004A6177">
      <w:pPr>
        <w:ind w:left="357"/>
        <w:rPr>
          <w:rFonts w:cs="Arial"/>
          <w:b/>
          <w:szCs w:val="22"/>
        </w:rPr>
      </w:pPr>
      <w:r w:rsidRPr="007F2682">
        <w:rPr>
          <w:rFonts w:cs="Arial"/>
          <w:b/>
          <w:szCs w:val="22"/>
        </w:rPr>
        <w:t xml:space="preserve">Zahrnutí argumentace uvedené v odůvodnění této připomínky do vyhodnocení či obsahu kapitoly </w:t>
      </w:r>
      <w:r w:rsidR="00A70729" w:rsidRPr="00A70729">
        <w:rPr>
          <w:rFonts w:cs="Arial"/>
          <w:b/>
          <w:szCs w:val="22"/>
        </w:rPr>
        <w:t>2.4.</w:t>
      </w:r>
      <w:r w:rsidR="00B56144">
        <w:rPr>
          <w:rFonts w:cs="Arial"/>
          <w:b/>
          <w:szCs w:val="22"/>
        </w:rPr>
        <w:t>2</w:t>
      </w:r>
      <w:r w:rsidRPr="007F2682">
        <w:rPr>
          <w:rFonts w:cs="Arial"/>
          <w:b/>
          <w:szCs w:val="22"/>
        </w:rPr>
        <w:t>.</w:t>
      </w:r>
    </w:p>
    <w:p w14:paraId="1D7EAFA4" w14:textId="77777777" w:rsidR="004904B6" w:rsidRPr="007F2682" w:rsidRDefault="004904B6" w:rsidP="00DA66AF">
      <w:pPr>
        <w:pStyle w:val="Podnadpis"/>
      </w:pPr>
      <w:r w:rsidRPr="007F2682">
        <w:t>Odůvodnění:</w:t>
      </w:r>
    </w:p>
    <w:p w14:paraId="4053E918" w14:textId="327B8E8D" w:rsidR="00DE7E4D" w:rsidRPr="007F2682" w:rsidRDefault="00DA0479" w:rsidP="004904B6">
      <w:pPr>
        <w:ind w:left="357"/>
        <w:rPr>
          <w:rFonts w:cs="Arial"/>
          <w:szCs w:val="22"/>
        </w:rPr>
      </w:pPr>
      <w:r w:rsidRPr="007F2682">
        <w:rPr>
          <w:rFonts w:cs="Arial"/>
          <w:szCs w:val="22"/>
        </w:rPr>
        <w:t xml:space="preserve">Rozmanitost nabídek a jejich konkurenceschopnost, dynamika trhu a celkový počet virtuálních operátorů </w:t>
      </w:r>
      <w:r w:rsidR="00E75733">
        <w:rPr>
          <w:rFonts w:cs="Arial"/>
          <w:szCs w:val="22"/>
        </w:rPr>
        <w:t>vy</w:t>
      </w:r>
      <w:r w:rsidRPr="007F2682">
        <w:rPr>
          <w:rFonts w:cs="Arial"/>
          <w:szCs w:val="22"/>
        </w:rPr>
        <w:t xml:space="preserve">povídá, že jsou schopni na současném trhu konkurovat síťovým operátorům. </w:t>
      </w:r>
      <w:r w:rsidR="00DE7E4D" w:rsidRPr="007F2682">
        <w:rPr>
          <w:rFonts w:cs="Arial"/>
          <w:szCs w:val="22"/>
        </w:rPr>
        <w:t xml:space="preserve">Množství </w:t>
      </w:r>
      <w:r w:rsidR="00433C75" w:rsidRPr="007F2682">
        <w:rPr>
          <w:rFonts w:cs="Arial"/>
          <w:szCs w:val="22"/>
        </w:rPr>
        <w:t>virtuálních operátorů</w:t>
      </w:r>
      <w:r w:rsidR="00DE7E4D" w:rsidRPr="007F2682">
        <w:rPr>
          <w:rFonts w:cs="Arial"/>
          <w:szCs w:val="22"/>
        </w:rPr>
        <w:t xml:space="preserve"> je v České republice v rámci Evropské unie nadprůměrné, což je rovněž velmi pozitivním faktem vypovídajícím o zdravě fungujícím trhu.</w:t>
      </w:r>
      <w:r w:rsidR="00FF376A">
        <w:rPr>
          <w:rFonts w:cs="Arial"/>
          <w:szCs w:val="22"/>
        </w:rPr>
        <w:t xml:space="preserve"> Množství virtuálních </w:t>
      </w:r>
      <w:r w:rsidR="001A1300">
        <w:rPr>
          <w:rFonts w:cs="Arial"/>
          <w:szCs w:val="22"/>
        </w:rPr>
        <w:t xml:space="preserve">operátorů naopak indikuje, že k získání silnější pozice </w:t>
      </w:r>
      <w:r w:rsidR="00955DAD">
        <w:rPr>
          <w:rFonts w:cs="Arial"/>
          <w:szCs w:val="22"/>
        </w:rPr>
        <w:t>bude muset dojít k určité konsolidaci.</w:t>
      </w:r>
    </w:p>
    <w:p w14:paraId="4D2FDC60" w14:textId="784FB9C7" w:rsidR="00B87B87" w:rsidRDefault="00DE7E4D" w:rsidP="004904B6">
      <w:pPr>
        <w:ind w:left="357"/>
        <w:rPr>
          <w:rFonts w:cs="Arial"/>
          <w:szCs w:val="22"/>
        </w:rPr>
      </w:pPr>
      <w:r w:rsidRPr="004B0F27">
        <w:rPr>
          <w:rFonts w:cs="Arial"/>
          <w:b/>
          <w:szCs w:val="22"/>
        </w:rPr>
        <w:t xml:space="preserve">Na </w:t>
      </w:r>
      <w:r w:rsidR="004B0F27">
        <w:rPr>
          <w:rFonts w:cs="Arial"/>
          <w:b/>
          <w:szCs w:val="22"/>
        </w:rPr>
        <w:t xml:space="preserve">velkoobchodním </w:t>
      </w:r>
      <w:r w:rsidRPr="004B0F27">
        <w:rPr>
          <w:rFonts w:cs="Arial"/>
          <w:b/>
          <w:szCs w:val="22"/>
        </w:rPr>
        <w:t>trhu navíc existuj</w:t>
      </w:r>
      <w:r w:rsidR="00F7456C">
        <w:rPr>
          <w:rFonts w:cs="Arial"/>
          <w:b/>
          <w:szCs w:val="22"/>
        </w:rPr>
        <w:t>í</w:t>
      </w:r>
      <w:r w:rsidRPr="004B0F27">
        <w:rPr>
          <w:rFonts w:cs="Arial"/>
          <w:b/>
          <w:szCs w:val="22"/>
        </w:rPr>
        <w:t xml:space="preserve">, </w:t>
      </w:r>
      <w:r w:rsidR="00B87B87" w:rsidRPr="004B0F27">
        <w:rPr>
          <w:rFonts w:cs="Arial"/>
          <w:b/>
          <w:szCs w:val="22"/>
        </w:rPr>
        <w:t>na základě podmínek výběrových řízení z roku 2013</w:t>
      </w:r>
      <w:r w:rsidR="00955DAD">
        <w:rPr>
          <w:rFonts w:cs="Arial"/>
          <w:b/>
          <w:szCs w:val="22"/>
        </w:rPr>
        <w:t>,</w:t>
      </w:r>
      <w:r w:rsidR="00B87B87" w:rsidRPr="004B0F27">
        <w:rPr>
          <w:rFonts w:cs="Arial"/>
          <w:b/>
          <w:szCs w:val="22"/>
        </w:rPr>
        <w:t xml:space="preserve"> 2016</w:t>
      </w:r>
      <w:r w:rsidR="00955DAD">
        <w:rPr>
          <w:rFonts w:cs="Arial"/>
          <w:b/>
          <w:szCs w:val="22"/>
        </w:rPr>
        <w:t xml:space="preserve"> a 2020,</w:t>
      </w:r>
      <w:r w:rsidR="00B87B87" w:rsidRPr="004B0F27">
        <w:rPr>
          <w:rFonts w:cs="Arial"/>
          <w:b/>
          <w:szCs w:val="22"/>
        </w:rPr>
        <w:t xml:space="preserve"> kter</w:t>
      </w:r>
      <w:r w:rsidR="00955DAD">
        <w:rPr>
          <w:rFonts w:cs="Arial"/>
          <w:b/>
          <w:szCs w:val="22"/>
        </w:rPr>
        <w:t>é</w:t>
      </w:r>
      <w:r w:rsidR="00B87B87" w:rsidRPr="004B0F27">
        <w:rPr>
          <w:rFonts w:cs="Arial"/>
          <w:b/>
          <w:szCs w:val="22"/>
        </w:rPr>
        <w:t xml:space="preserve"> zahrnoval</w:t>
      </w:r>
      <w:r w:rsidR="00955DAD">
        <w:rPr>
          <w:rFonts w:cs="Arial"/>
          <w:b/>
          <w:szCs w:val="22"/>
        </w:rPr>
        <w:t>y</w:t>
      </w:r>
      <w:r w:rsidR="00B87B87" w:rsidRPr="004B0F27">
        <w:rPr>
          <w:rFonts w:cs="Arial"/>
          <w:b/>
          <w:szCs w:val="22"/>
        </w:rPr>
        <w:t xml:space="preserve"> primární rádiové kmitočty používané pro technologii LTE</w:t>
      </w:r>
      <w:r w:rsidR="00955DAD">
        <w:rPr>
          <w:rFonts w:cs="Arial"/>
          <w:b/>
          <w:szCs w:val="22"/>
        </w:rPr>
        <w:t xml:space="preserve"> a 5G</w:t>
      </w:r>
      <w:r w:rsidR="00B87B87" w:rsidRPr="004B0F27">
        <w:rPr>
          <w:rFonts w:cs="Arial"/>
          <w:b/>
          <w:szCs w:val="22"/>
        </w:rPr>
        <w:t xml:space="preserve">, </w:t>
      </w:r>
      <w:r w:rsidRPr="004B0F27">
        <w:rPr>
          <w:rFonts w:cs="Arial"/>
          <w:b/>
          <w:szCs w:val="22"/>
        </w:rPr>
        <w:t>referenční velkoobchodní nabídk</w:t>
      </w:r>
      <w:r w:rsidR="00955DAD">
        <w:rPr>
          <w:rFonts w:cs="Arial"/>
          <w:b/>
          <w:szCs w:val="22"/>
        </w:rPr>
        <w:t xml:space="preserve">y pro tzv. full MVNO a tzv. </w:t>
      </w:r>
      <w:proofErr w:type="spellStart"/>
      <w:r w:rsidR="00955DAD">
        <w:rPr>
          <w:rFonts w:cs="Arial"/>
          <w:b/>
          <w:szCs w:val="22"/>
        </w:rPr>
        <w:t>Light</w:t>
      </w:r>
      <w:proofErr w:type="spellEnd"/>
      <w:r w:rsidR="00955DAD">
        <w:rPr>
          <w:rFonts w:cs="Arial"/>
          <w:b/>
          <w:szCs w:val="22"/>
        </w:rPr>
        <w:t xml:space="preserve"> MVNO</w:t>
      </w:r>
      <w:r w:rsidRPr="004B0F27">
        <w:rPr>
          <w:rFonts w:cs="Arial"/>
          <w:b/>
          <w:szCs w:val="22"/>
        </w:rPr>
        <w:t>, jejíž metodik</w:t>
      </w:r>
      <w:r w:rsidR="00955DAD">
        <w:rPr>
          <w:rFonts w:cs="Arial"/>
          <w:b/>
          <w:szCs w:val="22"/>
        </w:rPr>
        <w:t>y</w:t>
      </w:r>
      <w:r w:rsidRPr="004B0F27">
        <w:rPr>
          <w:rFonts w:cs="Arial"/>
          <w:b/>
          <w:szCs w:val="22"/>
        </w:rPr>
        <w:t xml:space="preserve"> j</w:t>
      </w:r>
      <w:r w:rsidR="00955DAD">
        <w:rPr>
          <w:rFonts w:cs="Arial"/>
          <w:b/>
          <w:szCs w:val="22"/>
        </w:rPr>
        <w:t>sou</w:t>
      </w:r>
      <w:r w:rsidRPr="004B0F27">
        <w:rPr>
          <w:rFonts w:cs="Arial"/>
          <w:b/>
          <w:szCs w:val="22"/>
        </w:rPr>
        <w:t xml:space="preserve"> podmín</w:t>
      </w:r>
      <w:r w:rsidR="00955DAD">
        <w:rPr>
          <w:rFonts w:cs="Arial"/>
          <w:b/>
          <w:szCs w:val="22"/>
        </w:rPr>
        <w:t>kami výběrového řízení</w:t>
      </w:r>
      <w:r w:rsidRPr="004B0F27">
        <w:rPr>
          <w:rFonts w:cs="Arial"/>
          <w:b/>
          <w:szCs w:val="22"/>
        </w:rPr>
        <w:t xml:space="preserve"> vymezen</w:t>
      </w:r>
      <w:r w:rsidR="00955DAD">
        <w:rPr>
          <w:rFonts w:cs="Arial"/>
          <w:b/>
          <w:szCs w:val="22"/>
        </w:rPr>
        <w:t>y</w:t>
      </w:r>
      <w:r w:rsidRPr="004B0F27">
        <w:rPr>
          <w:rFonts w:cs="Arial"/>
          <w:b/>
          <w:szCs w:val="22"/>
        </w:rPr>
        <w:t xml:space="preserve"> ČTÚ.</w:t>
      </w:r>
      <w:r w:rsidRPr="007F2682">
        <w:rPr>
          <w:rFonts w:cs="Arial"/>
          <w:szCs w:val="22"/>
        </w:rPr>
        <w:t xml:space="preserve"> </w:t>
      </w:r>
      <w:r w:rsidR="009306F2">
        <w:rPr>
          <w:rFonts w:cs="Arial"/>
          <w:szCs w:val="22"/>
        </w:rPr>
        <w:t>Ty</w:t>
      </w:r>
      <w:r w:rsidRPr="007F2682">
        <w:rPr>
          <w:rFonts w:cs="Arial"/>
          <w:szCs w:val="22"/>
        </w:rPr>
        <w:t xml:space="preserve"> </w:t>
      </w:r>
      <w:r w:rsidR="00B87B87" w:rsidRPr="007F2682">
        <w:rPr>
          <w:rFonts w:cs="Arial"/>
          <w:szCs w:val="22"/>
        </w:rPr>
        <w:t>stanovuj</w:t>
      </w:r>
      <w:r w:rsidR="009306F2">
        <w:rPr>
          <w:rFonts w:cs="Arial"/>
          <w:szCs w:val="22"/>
        </w:rPr>
        <w:t>í</w:t>
      </w:r>
      <w:r w:rsidR="00B87B87" w:rsidRPr="007F2682">
        <w:rPr>
          <w:rFonts w:cs="Arial"/>
          <w:szCs w:val="22"/>
        </w:rPr>
        <w:t xml:space="preserve"> pro dotčené příděly rádiových kmitočtů </w:t>
      </w:r>
      <w:r w:rsidR="009306F2">
        <w:rPr>
          <w:rFonts w:cs="Arial"/>
          <w:szCs w:val="22"/>
        </w:rPr>
        <w:t xml:space="preserve">(700, 800, 1800 a 2600 MHz) </w:t>
      </w:r>
      <w:r w:rsidR="00B87B87" w:rsidRPr="007F2682">
        <w:rPr>
          <w:rFonts w:cs="Arial"/>
          <w:szCs w:val="22"/>
        </w:rPr>
        <w:t>ceny a podmínky referenčních velkoobchodních smluv o přístupu k síti LTE</w:t>
      </w:r>
      <w:r w:rsidR="009306F2">
        <w:rPr>
          <w:rFonts w:cs="Arial"/>
          <w:szCs w:val="22"/>
        </w:rPr>
        <w:t xml:space="preserve"> a 5G</w:t>
      </w:r>
      <w:r w:rsidR="00B87B87" w:rsidRPr="007F2682">
        <w:rPr>
          <w:rFonts w:cs="Arial"/>
          <w:szCs w:val="22"/>
        </w:rPr>
        <w:t xml:space="preserve">. Mimo tyto referenční nabídky, jak ČTÚ </w:t>
      </w:r>
      <w:r w:rsidRPr="007F2682">
        <w:rPr>
          <w:rFonts w:cs="Arial"/>
          <w:szCs w:val="22"/>
        </w:rPr>
        <w:t>uvedl</w:t>
      </w:r>
      <w:r w:rsidR="00B87B87" w:rsidRPr="007F2682">
        <w:rPr>
          <w:rFonts w:cs="Arial"/>
          <w:szCs w:val="22"/>
        </w:rPr>
        <w:t xml:space="preserve">, je uzavřeno velké množství komerčních velkoobchodních smluv, které </w:t>
      </w:r>
      <w:r w:rsidRPr="007F2682">
        <w:rPr>
          <w:rFonts w:cs="Arial"/>
          <w:szCs w:val="22"/>
        </w:rPr>
        <w:lastRenderedPageBreak/>
        <w:t>logicky musí znamenat</w:t>
      </w:r>
      <w:r w:rsidR="00B87B87" w:rsidRPr="007F2682">
        <w:rPr>
          <w:rFonts w:cs="Arial"/>
          <w:szCs w:val="22"/>
        </w:rPr>
        <w:t xml:space="preserve"> pro </w:t>
      </w:r>
      <w:r w:rsidR="00433C75" w:rsidRPr="007F2682">
        <w:rPr>
          <w:rFonts w:cs="Arial"/>
          <w:szCs w:val="22"/>
        </w:rPr>
        <w:t>virtuálních operátory</w:t>
      </w:r>
      <w:r w:rsidR="00B87B87" w:rsidRPr="007F2682">
        <w:rPr>
          <w:rFonts w:cs="Arial"/>
          <w:szCs w:val="22"/>
        </w:rPr>
        <w:t xml:space="preserve"> ještě lepší podmínky než ty, které schvaluje ČTÚ v rámci referenčních nabídek včetně přístupu k nejmodernější</w:t>
      </w:r>
      <w:r w:rsidR="00F7456C">
        <w:rPr>
          <w:rFonts w:cs="Arial"/>
          <w:szCs w:val="22"/>
        </w:rPr>
        <w:t>m</w:t>
      </w:r>
      <w:r w:rsidR="00B87B87" w:rsidRPr="007F2682">
        <w:rPr>
          <w:rFonts w:cs="Arial"/>
          <w:szCs w:val="22"/>
        </w:rPr>
        <w:t xml:space="preserve"> sít</w:t>
      </w:r>
      <w:r w:rsidR="00F7456C">
        <w:rPr>
          <w:rFonts w:cs="Arial"/>
          <w:szCs w:val="22"/>
        </w:rPr>
        <w:t>ím LTE a</w:t>
      </w:r>
      <w:r w:rsidR="00B87B87" w:rsidRPr="007F2682">
        <w:rPr>
          <w:rFonts w:cs="Arial"/>
          <w:szCs w:val="22"/>
        </w:rPr>
        <w:t xml:space="preserve"> </w:t>
      </w:r>
      <w:r w:rsidR="00F7456C">
        <w:rPr>
          <w:rFonts w:cs="Arial"/>
          <w:szCs w:val="22"/>
        </w:rPr>
        <w:t>5G</w:t>
      </w:r>
      <w:r w:rsidR="00B87B87" w:rsidRPr="007F2682">
        <w:rPr>
          <w:rFonts w:cs="Arial"/>
          <w:szCs w:val="22"/>
        </w:rPr>
        <w:t xml:space="preserve">. Komerční velkoobchodní smlouvy jsou uzavírány na základě vzájemné dohody obou stran. Kdyby tyto komerční dohody nedávaly oběma stranám smysl, tak by nebyly uzavírány a </w:t>
      </w:r>
      <w:r w:rsidR="00B137A9">
        <w:rPr>
          <w:rFonts w:cs="Arial"/>
          <w:szCs w:val="22"/>
        </w:rPr>
        <w:t>k přístupu na maloobchodní trh by byly uzavírány</w:t>
      </w:r>
      <w:r w:rsidR="00B87B87" w:rsidRPr="007F2682">
        <w:rPr>
          <w:rFonts w:cs="Arial"/>
          <w:szCs w:val="22"/>
        </w:rPr>
        <w:t xml:space="preserve"> povinn</w:t>
      </w:r>
      <w:r w:rsidR="00B137A9">
        <w:rPr>
          <w:rFonts w:cs="Arial"/>
          <w:szCs w:val="22"/>
        </w:rPr>
        <w:t>é</w:t>
      </w:r>
      <w:r w:rsidR="00B87B87" w:rsidRPr="007F2682">
        <w:rPr>
          <w:rFonts w:cs="Arial"/>
          <w:szCs w:val="22"/>
        </w:rPr>
        <w:t xml:space="preserve"> referenční velkoobchodní</w:t>
      </w:r>
      <w:r w:rsidR="00B137A9">
        <w:rPr>
          <w:rFonts w:cs="Arial"/>
          <w:szCs w:val="22"/>
        </w:rPr>
        <w:t xml:space="preserve"> </w:t>
      </w:r>
      <w:r w:rsidR="00B87B87" w:rsidRPr="007F2682">
        <w:rPr>
          <w:rFonts w:cs="Arial"/>
          <w:szCs w:val="22"/>
        </w:rPr>
        <w:t>nabídk</w:t>
      </w:r>
      <w:r w:rsidR="00B137A9">
        <w:rPr>
          <w:rFonts w:cs="Arial"/>
          <w:szCs w:val="22"/>
        </w:rPr>
        <w:t>y</w:t>
      </w:r>
      <w:r w:rsidR="00B87B87" w:rsidRPr="007F2682">
        <w:rPr>
          <w:rFonts w:cs="Arial"/>
          <w:szCs w:val="22"/>
        </w:rPr>
        <w:t xml:space="preserve">, jejichž </w:t>
      </w:r>
      <w:r w:rsidR="00E75733">
        <w:rPr>
          <w:rFonts w:cs="Arial"/>
          <w:szCs w:val="22"/>
        </w:rPr>
        <w:t xml:space="preserve">nastavené </w:t>
      </w:r>
      <w:r w:rsidR="00B87B87" w:rsidRPr="007F2682">
        <w:rPr>
          <w:rFonts w:cs="Arial"/>
          <w:szCs w:val="22"/>
        </w:rPr>
        <w:t>podmínky</w:t>
      </w:r>
      <w:r w:rsidR="00E75733">
        <w:rPr>
          <w:rFonts w:cs="Arial"/>
          <w:szCs w:val="22"/>
        </w:rPr>
        <w:t xml:space="preserve"> včetně cenových podmínek</w:t>
      </w:r>
      <w:r w:rsidR="00B87B87" w:rsidRPr="007F2682">
        <w:rPr>
          <w:rFonts w:cs="Arial"/>
          <w:szCs w:val="22"/>
        </w:rPr>
        <w:t xml:space="preserve"> jsou důsledně kontrolovány ČTÚ. </w:t>
      </w:r>
      <w:r w:rsidR="00B87B87" w:rsidRPr="004B0F27">
        <w:rPr>
          <w:rFonts w:cs="Arial"/>
          <w:b/>
          <w:szCs w:val="22"/>
        </w:rPr>
        <w:t xml:space="preserve">Toto se však v realitě neděje, což jasně ukazuje, že trh funguje zdravě bez potřeby </w:t>
      </w:r>
      <w:r w:rsidR="00B137A9">
        <w:rPr>
          <w:rFonts w:cs="Arial"/>
          <w:b/>
          <w:szCs w:val="22"/>
        </w:rPr>
        <w:t>dalších</w:t>
      </w:r>
      <w:r w:rsidR="00B87B87" w:rsidRPr="004B0F27">
        <w:rPr>
          <w:rFonts w:cs="Arial"/>
          <w:b/>
          <w:szCs w:val="22"/>
        </w:rPr>
        <w:t xml:space="preserve"> regulačních zásahů.</w:t>
      </w:r>
      <w:r w:rsidR="00B87B87" w:rsidRPr="007F2682">
        <w:rPr>
          <w:rFonts w:cs="Arial"/>
          <w:szCs w:val="22"/>
        </w:rPr>
        <w:t xml:space="preserve"> Právě povinné referenční nabídky přístupu, které jsou vytvářeny dle metodiky ČTÚ a jsou jím striktně a pravidelně kontrolovány</w:t>
      </w:r>
      <w:r w:rsidR="00E75733">
        <w:rPr>
          <w:rFonts w:cs="Arial"/>
          <w:szCs w:val="22"/>
        </w:rPr>
        <w:t xml:space="preserve"> včetně nabízených cen</w:t>
      </w:r>
      <w:r w:rsidR="00751C5B">
        <w:rPr>
          <w:rFonts w:cs="Arial"/>
          <w:szCs w:val="22"/>
        </w:rPr>
        <w:t>,</w:t>
      </w:r>
      <w:r w:rsidR="00B87B87" w:rsidRPr="007F2682">
        <w:rPr>
          <w:rFonts w:cs="Arial"/>
          <w:szCs w:val="22"/>
        </w:rPr>
        <w:t xml:space="preserve"> mají být pojistkou proti </w:t>
      </w:r>
      <w:r w:rsidR="00B137A9">
        <w:rPr>
          <w:rFonts w:cs="Arial"/>
          <w:szCs w:val="22"/>
        </w:rPr>
        <w:t xml:space="preserve">případnému omezení přístupu </w:t>
      </w:r>
      <w:r w:rsidR="00B87B87" w:rsidRPr="007F2682">
        <w:rPr>
          <w:rFonts w:cs="Arial"/>
          <w:szCs w:val="22"/>
        </w:rPr>
        <w:t xml:space="preserve">na trh mobilních </w:t>
      </w:r>
      <w:r w:rsidR="00B137A9">
        <w:rPr>
          <w:rFonts w:cs="Arial"/>
          <w:szCs w:val="22"/>
        </w:rPr>
        <w:t>služeb</w:t>
      </w:r>
      <w:r w:rsidR="00B87B87" w:rsidRPr="007F2682">
        <w:rPr>
          <w:rFonts w:cs="Arial"/>
          <w:szCs w:val="22"/>
        </w:rPr>
        <w:t xml:space="preserve">. To, že </w:t>
      </w:r>
      <w:r w:rsidR="00AF2986" w:rsidRPr="007F2682">
        <w:rPr>
          <w:rFonts w:cs="Arial"/>
          <w:szCs w:val="22"/>
        </w:rPr>
        <w:t xml:space="preserve">nebyl společností O2 </w:t>
      </w:r>
      <w:r w:rsidR="003738A0" w:rsidRPr="007F2682">
        <w:rPr>
          <w:rFonts w:cs="Arial"/>
          <w:szCs w:val="22"/>
        </w:rPr>
        <w:t>od zveřejnění nabídky</w:t>
      </w:r>
      <w:r w:rsidR="00B137A9">
        <w:rPr>
          <w:rFonts w:cs="Arial"/>
          <w:szCs w:val="22"/>
        </w:rPr>
        <w:t>,</w:t>
      </w:r>
      <w:r w:rsidR="003738A0" w:rsidRPr="007F2682">
        <w:rPr>
          <w:rFonts w:cs="Arial"/>
          <w:szCs w:val="22"/>
        </w:rPr>
        <w:t xml:space="preserve"> a tedy po </w:t>
      </w:r>
      <w:r w:rsidR="00B137A9">
        <w:rPr>
          <w:rFonts w:cs="Arial"/>
          <w:szCs w:val="22"/>
        </w:rPr>
        <w:t xml:space="preserve">dobu </w:t>
      </w:r>
      <w:r w:rsidR="00011AE3">
        <w:rPr>
          <w:rFonts w:cs="Arial"/>
          <w:szCs w:val="22"/>
        </w:rPr>
        <w:t>více než 6</w:t>
      </w:r>
      <w:r w:rsidR="003738A0" w:rsidRPr="007F2682">
        <w:rPr>
          <w:rFonts w:cs="Arial"/>
          <w:szCs w:val="22"/>
        </w:rPr>
        <w:t xml:space="preserve"> let </w:t>
      </w:r>
      <w:r w:rsidR="00B87B87" w:rsidRPr="007F2682">
        <w:rPr>
          <w:rFonts w:cs="Arial"/>
          <w:szCs w:val="22"/>
        </w:rPr>
        <w:t xml:space="preserve">zaregistrován ani jediný vážný zájemce o její uzavření, je </w:t>
      </w:r>
      <w:r w:rsidR="00011AE3">
        <w:rPr>
          <w:rFonts w:cs="Arial"/>
          <w:szCs w:val="22"/>
        </w:rPr>
        <w:t xml:space="preserve">vedle množství uzavřených komerčních smluv </w:t>
      </w:r>
      <w:r w:rsidR="00B87B87" w:rsidRPr="007F2682">
        <w:rPr>
          <w:rFonts w:cs="Arial"/>
          <w:szCs w:val="22"/>
        </w:rPr>
        <w:t>jasným důkazem, že funguje komerční a neregulovaná cesta</w:t>
      </w:r>
      <w:r w:rsidR="0049305C">
        <w:rPr>
          <w:rFonts w:cs="Arial"/>
          <w:szCs w:val="22"/>
        </w:rPr>
        <w:t xml:space="preserve"> přístupu k poskytování maloobchodních mobilních služeb.</w:t>
      </w:r>
    </w:p>
    <w:p w14:paraId="11DB577C" w14:textId="546F04B1" w:rsidR="00431AD6" w:rsidRDefault="00AF2B37" w:rsidP="004904B6">
      <w:pPr>
        <w:ind w:left="357"/>
        <w:rPr>
          <w:rFonts w:cs="Arial"/>
          <w:szCs w:val="22"/>
        </w:rPr>
      </w:pPr>
      <w:r w:rsidRPr="00257C62">
        <w:rPr>
          <w:rFonts w:cs="Arial"/>
          <w:b/>
          <w:bCs/>
          <w:szCs w:val="22"/>
        </w:rPr>
        <w:t xml:space="preserve">Jak už vyplývá z uvedeného, nesouhlasíme s tím, že virtuální operátoři nemají </w:t>
      </w:r>
      <w:r w:rsidR="00F439A1" w:rsidRPr="00257C62">
        <w:rPr>
          <w:rFonts w:cs="Arial"/>
          <w:b/>
          <w:bCs/>
          <w:szCs w:val="22"/>
        </w:rPr>
        <w:t xml:space="preserve">žádnou vyjednávací pozici </w:t>
      </w:r>
      <w:r w:rsidR="00257C62" w:rsidRPr="00257C62">
        <w:rPr>
          <w:rFonts w:cs="Arial"/>
          <w:b/>
          <w:bCs/>
          <w:szCs w:val="22"/>
        </w:rPr>
        <w:t>a</w:t>
      </w:r>
      <w:r w:rsidR="00F439A1" w:rsidRPr="00257C62">
        <w:rPr>
          <w:rFonts w:cs="Arial"/>
          <w:b/>
          <w:bCs/>
          <w:szCs w:val="22"/>
        </w:rPr>
        <w:t xml:space="preserve"> podmínky velkoobchodních smluv jsou jednostranně určovány ze strany </w:t>
      </w:r>
      <w:r w:rsidR="00751C5B">
        <w:rPr>
          <w:rFonts w:cs="Arial"/>
          <w:b/>
          <w:bCs/>
          <w:szCs w:val="22"/>
        </w:rPr>
        <w:t>síťových</w:t>
      </w:r>
      <w:r w:rsidR="00751C5B" w:rsidRPr="00257C62">
        <w:rPr>
          <w:rFonts w:cs="Arial"/>
          <w:b/>
          <w:bCs/>
          <w:szCs w:val="22"/>
        </w:rPr>
        <w:t xml:space="preserve"> </w:t>
      </w:r>
      <w:r w:rsidR="00F439A1" w:rsidRPr="00257C62">
        <w:rPr>
          <w:rFonts w:cs="Arial"/>
          <w:b/>
          <w:bCs/>
          <w:szCs w:val="22"/>
        </w:rPr>
        <w:t>operátorů.</w:t>
      </w:r>
      <w:r w:rsidR="00F439A1">
        <w:rPr>
          <w:rFonts w:cs="Arial"/>
          <w:szCs w:val="22"/>
        </w:rPr>
        <w:t xml:space="preserve"> Společnost O2 seriózně diskutuje spolupráci s každým zájemcem s relevantním </w:t>
      </w:r>
      <w:r w:rsidR="00257C62">
        <w:rPr>
          <w:rFonts w:cs="Arial"/>
          <w:szCs w:val="22"/>
        </w:rPr>
        <w:t>obchodním plánem. Tento předpoklad ČTÚ prezentovaný jako fakt je tedy mylný.</w:t>
      </w:r>
    </w:p>
    <w:p w14:paraId="7B187152" w14:textId="0D5E8E5E" w:rsidR="003D2225" w:rsidRDefault="00564D0D" w:rsidP="004904B6">
      <w:pPr>
        <w:ind w:left="357"/>
        <w:rPr>
          <w:rFonts w:cs="Arial"/>
          <w:szCs w:val="22"/>
        </w:rPr>
      </w:pPr>
      <w:r>
        <w:rPr>
          <w:rFonts w:cs="Arial"/>
          <w:szCs w:val="22"/>
        </w:rPr>
        <w:t>Dále uvádíme, že c</w:t>
      </w:r>
      <w:r w:rsidR="003D2225">
        <w:rPr>
          <w:rFonts w:cs="Arial"/>
          <w:szCs w:val="22"/>
        </w:rPr>
        <w:t xml:space="preserve">hování jednoho ze síťových operátorů nemůže být </w:t>
      </w:r>
      <w:r>
        <w:rPr>
          <w:rFonts w:cs="Arial"/>
          <w:szCs w:val="22"/>
        </w:rPr>
        <w:t>bráno jako tržní standard. Společnost O2 jedná s každým zájemcem, který má na vzájemně výhodné spolupráci zájem.</w:t>
      </w:r>
      <w:r w:rsidR="00AC1E6B">
        <w:rPr>
          <w:rFonts w:cs="Arial"/>
          <w:szCs w:val="22"/>
        </w:rPr>
        <w:t xml:space="preserve"> Zároveň upozorňujeme, že </w:t>
      </w:r>
      <w:r w:rsidR="00E04102">
        <w:rPr>
          <w:rFonts w:cs="Arial"/>
          <w:szCs w:val="22"/>
        </w:rPr>
        <w:t>slovní spojení „</w:t>
      </w:r>
      <w:r w:rsidR="00E04102" w:rsidRPr="00E04102">
        <w:rPr>
          <w:rFonts w:cs="Arial"/>
          <w:szCs w:val="22"/>
        </w:rPr>
        <w:t>teoreticky konkurenčních operátorů</w:t>
      </w:r>
      <w:r w:rsidR="00E04102">
        <w:rPr>
          <w:rFonts w:cs="Arial"/>
          <w:szCs w:val="22"/>
        </w:rPr>
        <w:t xml:space="preserve">“ vyskytující se v této části </w:t>
      </w:r>
      <w:r w:rsidR="00EF43D6">
        <w:rPr>
          <w:rFonts w:cs="Arial"/>
          <w:szCs w:val="22"/>
        </w:rPr>
        <w:t xml:space="preserve">návrhu </w:t>
      </w:r>
      <w:r w:rsidR="00E04102">
        <w:rPr>
          <w:rFonts w:cs="Arial"/>
          <w:szCs w:val="22"/>
        </w:rPr>
        <w:t>analýzy je v seriózní analýze</w:t>
      </w:r>
      <w:r w:rsidR="004D5293">
        <w:rPr>
          <w:rFonts w:cs="Arial"/>
          <w:szCs w:val="22"/>
        </w:rPr>
        <w:t xml:space="preserve"> relevantního trhu, kterou by měl regulátor provádět,</w:t>
      </w:r>
      <w:r w:rsidR="00E04102">
        <w:rPr>
          <w:rFonts w:cs="Arial"/>
          <w:szCs w:val="22"/>
        </w:rPr>
        <w:t xml:space="preserve"> nepřijatelné.</w:t>
      </w:r>
    </w:p>
    <w:p w14:paraId="01DBCFCE" w14:textId="68D3C644" w:rsidR="00D1183C" w:rsidRPr="007F2682" w:rsidRDefault="00D1183C" w:rsidP="00D1183C">
      <w:pPr>
        <w:pStyle w:val="Nadpis2"/>
      </w:pPr>
      <w:r w:rsidRPr="007F2682">
        <w:t>Rozdílné závěry Úřadu pro ochranu hospodářské soutěže</w:t>
      </w:r>
    </w:p>
    <w:p w14:paraId="68BFC3D0" w14:textId="77777777" w:rsidR="00D1183C" w:rsidRPr="007F2682" w:rsidRDefault="00D1183C" w:rsidP="00DA66AF">
      <w:pPr>
        <w:pStyle w:val="Podnadpis"/>
      </w:pPr>
      <w:r w:rsidRPr="007F2682">
        <w:t xml:space="preserve">Návrh na doplnění, změnu, zrušení nebo nahrazení textu ustanovení návrhu opatření: </w:t>
      </w:r>
    </w:p>
    <w:p w14:paraId="524259E0" w14:textId="187A2BC3" w:rsidR="00D1183C" w:rsidRPr="007F2682" w:rsidRDefault="007B5AAD" w:rsidP="007B5AAD">
      <w:pPr>
        <w:ind w:left="357"/>
        <w:rPr>
          <w:rFonts w:cs="Arial"/>
          <w:b/>
          <w:szCs w:val="22"/>
        </w:rPr>
      </w:pPr>
      <w:r w:rsidRPr="007F2682">
        <w:rPr>
          <w:rFonts w:cs="Arial"/>
          <w:b/>
          <w:szCs w:val="22"/>
        </w:rPr>
        <w:t>ČTÚ by měl vysvětlit, proč posoudil řadu shodných faktorů jako Úřad pro ochranu hospodářské soutěže</w:t>
      </w:r>
      <w:r w:rsidR="00AD7D69">
        <w:rPr>
          <w:rFonts w:cs="Arial"/>
          <w:b/>
          <w:szCs w:val="22"/>
        </w:rPr>
        <w:t>,</w:t>
      </w:r>
      <w:r w:rsidRPr="007F2682">
        <w:rPr>
          <w:rFonts w:cs="Arial"/>
          <w:b/>
          <w:szCs w:val="22"/>
        </w:rPr>
        <w:t xml:space="preserve"> a</w:t>
      </w:r>
      <w:r w:rsidR="00AD7D69">
        <w:rPr>
          <w:rFonts w:cs="Arial"/>
          <w:b/>
          <w:szCs w:val="22"/>
        </w:rPr>
        <w:t>však</w:t>
      </w:r>
      <w:r w:rsidRPr="007F2682">
        <w:rPr>
          <w:rFonts w:cs="Arial"/>
          <w:b/>
          <w:szCs w:val="22"/>
        </w:rPr>
        <w:t xml:space="preserve"> došel k opačným závěrům.</w:t>
      </w:r>
    </w:p>
    <w:p w14:paraId="5927BE10" w14:textId="77777777" w:rsidR="00D1183C" w:rsidRPr="007F2682" w:rsidRDefault="00D1183C" w:rsidP="00DA66AF">
      <w:pPr>
        <w:pStyle w:val="Podnadpis"/>
      </w:pPr>
      <w:r w:rsidRPr="007F2682">
        <w:t>Odůvodnění:</w:t>
      </w:r>
    </w:p>
    <w:p w14:paraId="323F7D5A" w14:textId="6727C482" w:rsidR="007B7150" w:rsidRPr="007F2682" w:rsidRDefault="007B7150" w:rsidP="00E512BD">
      <w:pPr>
        <w:ind w:left="357"/>
        <w:rPr>
          <w:rFonts w:cs="Arial"/>
          <w:i/>
          <w:szCs w:val="22"/>
        </w:rPr>
      </w:pPr>
      <w:r w:rsidRPr="007F2682">
        <w:rPr>
          <w:rFonts w:cs="Arial"/>
          <w:szCs w:val="22"/>
        </w:rPr>
        <w:t xml:space="preserve">Úřad pro ochranu hospodářské soutěže ve svém </w:t>
      </w:r>
      <w:r w:rsidR="00141939">
        <w:rPr>
          <w:rFonts w:cs="Arial"/>
          <w:i/>
          <w:szCs w:val="22"/>
        </w:rPr>
        <w:t>S</w:t>
      </w:r>
      <w:r w:rsidRPr="007F2682">
        <w:rPr>
          <w:rFonts w:cs="Arial"/>
          <w:i/>
          <w:szCs w:val="22"/>
        </w:rPr>
        <w:t>hrnutí sektorového šetření v oblasti datových a hlasových služeb koncovým zákazníkům</w:t>
      </w:r>
      <w:r w:rsidRPr="007F2682">
        <w:rPr>
          <w:rFonts w:cs="Arial"/>
          <w:szCs w:val="22"/>
        </w:rPr>
        <w:t xml:space="preserve"> ze dne 14. 11. 2017 mimo jiné konstatuje, že „</w:t>
      </w:r>
      <w:r w:rsidR="00E512BD" w:rsidRPr="007F2682">
        <w:rPr>
          <w:rFonts w:cs="Arial"/>
          <w:szCs w:val="22"/>
        </w:rPr>
        <w:t>…</w:t>
      </w:r>
      <w:r w:rsidRPr="007F2682">
        <w:rPr>
          <w:rFonts w:cs="Arial"/>
          <w:i/>
          <w:szCs w:val="22"/>
        </w:rPr>
        <w:t>se na první pohled zkoumané trhy zdají být díky velkému množství reklamy a existenci oficiálních ceníků transparentní, množství neveřejných nabídek a existence specifických pokynů, jak postupovat v případě nabízení neveřejné nabídky v rámci retence či aktivace, naznačují, že jsou ve skutečnosti transparentní jen relativně.“</w:t>
      </w:r>
      <w:r w:rsidR="00E512BD" w:rsidRPr="007F2682">
        <w:rPr>
          <w:rFonts w:cs="Arial"/>
          <w:i/>
          <w:szCs w:val="22"/>
        </w:rPr>
        <w:t xml:space="preserve">. </w:t>
      </w:r>
      <w:r w:rsidR="00E512BD" w:rsidRPr="007F2682">
        <w:rPr>
          <w:rFonts w:cs="Arial"/>
          <w:szCs w:val="22"/>
        </w:rPr>
        <w:t>Nebo například, že „</w:t>
      </w:r>
      <w:r w:rsidR="001C456B">
        <w:rPr>
          <w:rFonts w:cs="Arial"/>
          <w:szCs w:val="22"/>
        </w:rPr>
        <w:t>(</w:t>
      </w:r>
      <w:r w:rsidR="00E512BD" w:rsidRPr="007F2682">
        <w:rPr>
          <w:rFonts w:cs="Arial"/>
          <w:szCs w:val="22"/>
        </w:rPr>
        <w:t>…</w:t>
      </w:r>
      <w:r w:rsidR="001C456B">
        <w:rPr>
          <w:rFonts w:cs="Arial"/>
          <w:szCs w:val="22"/>
        </w:rPr>
        <w:t xml:space="preserve">) </w:t>
      </w:r>
      <w:r w:rsidR="00E512BD" w:rsidRPr="007F2682">
        <w:rPr>
          <w:rFonts w:cs="Arial"/>
          <w:i/>
          <w:szCs w:val="22"/>
        </w:rPr>
        <w:t xml:space="preserve">riziko </w:t>
      </w:r>
      <w:proofErr w:type="spellStart"/>
      <w:r w:rsidR="00E512BD" w:rsidRPr="007F2682">
        <w:rPr>
          <w:rFonts w:cs="Arial"/>
          <w:i/>
          <w:szCs w:val="22"/>
        </w:rPr>
        <w:t>tacitní</w:t>
      </w:r>
      <w:proofErr w:type="spellEnd"/>
      <w:r w:rsidR="00E512BD" w:rsidRPr="007F2682">
        <w:rPr>
          <w:rFonts w:cs="Arial"/>
          <w:i/>
          <w:szCs w:val="22"/>
        </w:rPr>
        <w:t xml:space="preserve"> koluze nebo zneužívání kolektivní dominance je na nich pouze relativní, a to díky jejich značné netransparentnosti, existenci virtuálních operátorů a skutečnosti, že poměrně významnou </w:t>
      </w:r>
      <w:r w:rsidR="00E512BD" w:rsidRPr="007F2682">
        <w:rPr>
          <w:rFonts w:cs="Arial"/>
          <w:i/>
          <w:szCs w:val="22"/>
        </w:rPr>
        <w:lastRenderedPageBreak/>
        <w:t>roli při sjednávání podmínek poskytování datových a hlasových služeb na maloobchodní úrovni hraje kupní a vyjednávací síla zákazníků,</w:t>
      </w:r>
      <w:r w:rsidR="001C456B">
        <w:rPr>
          <w:rFonts w:cs="Arial"/>
          <w:i/>
          <w:szCs w:val="22"/>
        </w:rPr>
        <w:t xml:space="preserve"> (</w:t>
      </w:r>
      <w:r w:rsidR="00E512BD" w:rsidRPr="007F2682">
        <w:rPr>
          <w:rFonts w:cs="Arial"/>
          <w:i/>
          <w:szCs w:val="22"/>
        </w:rPr>
        <w:t>…</w:t>
      </w:r>
      <w:r w:rsidR="001C456B">
        <w:rPr>
          <w:rFonts w:cs="Arial"/>
          <w:i/>
          <w:szCs w:val="22"/>
        </w:rPr>
        <w:t>)</w:t>
      </w:r>
      <w:r w:rsidR="00E512BD" w:rsidRPr="007F2682">
        <w:rPr>
          <w:rFonts w:cs="Arial"/>
          <w:i/>
          <w:szCs w:val="22"/>
        </w:rPr>
        <w:t>“.</w:t>
      </w:r>
    </w:p>
    <w:p w14:paraId="71C991C5" w14:textId="40A17CAC" w:rsidR="00E512BD" w:rsidRDefault="00D84D8C" w:rsidP="00E512BD">
      <w:pPr>
        <w:ind w:left="357"/>
        <w:rPr>
          <w:rFonts w:cs="Arial"/>
          <w:szCs w:val="22"/>
        </w:rPr>
      </w:pPr>
      <w:r>
        <w:rPr>
          <w:rFonts w:cs="Arial"/>
          <w:szCs w:val="22"/>
        </w:rPr>
        <w:t xml:space="preserve">ČTÚ nevysvětluje, proč dochází </w:t>
      </w:r>
      <w:r w:rsidR="009A4081">
        <w:rPr>
          <w:rFonts w:cs="Arial"/>
          <w:szCs w:val="22"/>
        </w:rPr>
        <w:t>k opačnému závěru</w:t>
      </w:r>
      <w:r w:rsidR="00AD7D69">
        <w:rPr>
          <w:rFonts w:cs="Arial"/>
          <w:szCs w:val="22"/>
        </w:rPr>
        <w:t xml:space="preserve"> než Úřad pro ochranu hospodářské soutěže</w:t>
      </w:r>
      <w:r w:rsidR="009A4081">
        <w:rPr>
          <w:rFonts w:cs="Arial"/>
          <w:szCs w:val="22"/>
        </w:rPr>
        <w:t xml:space="preserve">, případně co se </w:t>
      </w:r>
      <w:r w:rsidR="00046B78">
        <w:rPr>
          <w:rFonts w:cs="Arial"/>
          <w:szCs w:val="22"/>
        </w:rPr>
        <w:t xml:space="preserve">od roku 2017 v této věci </w:t>
      </w:r>
      <w:r w:rsidR="00AD7D69">
        <w:rPr>
          <w:rFonts w:cs="Arial"/>
          <w:szCs w:val="22"/>
        </w:rPr>
        <w:t xml:space="preserve">konkrétně </w:t>
      </w:r>
      <w:r w:rsidR="00046B78">
        <w:rPr>
          <w:rFonts w:cs="Arial"/>
          <w:szCs w:val="22"/>
        </w:rPr>
        <w:t>změnilo směrem ke zv</w:t>
      </w:r>
      <w:r w:rsidR="00B26E96">
        <w:rPr>
          <w:rFonts w:cs="Arial"/>
          <w:szCs w:val="22"/>
        </w:rPr>
        <w:t xml:space="preserve">ýšení transparentnosti trhu. Na trhu se přitom v mezidobí </w:t>
      </w:r>
      <w:r w:rsidR="001C3F2F">
        <w:rPr>
          <w:rFonts w:cs="Arial"/>
          <w:szCs w:val="22"/>
        </w:rPr>
        <w:t>objevil</w:t>
      </w:r>
      <w:r w:rsidR="00964DE7">
        <w:rPr>
          <w:rFonts w:cs="Arial"/>
          <w:szCs w:val="22"/>
        </w:rPr>
        <w:t>y</w:t>
      </w:r>
      <w:r w:rsidR="001C3F2F">
        <w:rPr>
          <w:rFonts w:cs="Arial"/>
          <w:szCs w:val="22"/>
        </w:rPr>
        <w:t xml:space="preserve"> jak u síťových, tak u virtuálních operátorů </w:t>
      </w:r>
      <w:r w:rsidR="00964DE7">
        <w:rPr>
          <w:rFonts w:cs="Arial"/>
          <w:szCs w:val="22"/>
        </w:rPr>
        <w:t xml:space="preserve">různé </w:t>
      </w:r>
      <w:r w:rsidR="001C3F2F">
        <w:rPr>
          <w:rFonts w:cs="Arial"/>
          <w:szCs w:val="22"/>
        </w:rPr>
        <w:t>možnost</w:t>
      </w:r>
      <w:r w:rsidR="00964DE7">
        <w:rPr>
          <w:rFonts w:cs="Arial"/>
          <w:szCs w:val="22"/>
        </w:rPr>
        <w:t>i</w:t>
      </w:r>
      <w:r w:rsidR="001C3F2F">
        <w:rPr>
          <w:rFonts w:cs="Arial"/>
          <w:szCs w:val="22"/>
        </w:rPr>
        <w:t xml:space="preserve"> kombinací </w:t>
      </w:r>
      <w:r w:rsidR="00964DE7">
        <w:rPr>
          <w:rFonts w:cs="Arial"/>
          <w:szCs w:val="22"/>
        </w:rPr>
        <w:t xml:space="preserve">balíčků </w:t>
      </w:r>
      <w:r w:rsidR="001C3F2F">
        <w:rPr>
          <w:rFonts w:cs="Arial"/>
          <w:szCs w:val="22"/>
        </w:rPr>
        <w:t>jednotlivých služeb</w:t>
      </w:r>
      <w:r w:rsidR="00964DE7">
        <w:rPr>
          <w:rFonts w:cs="Arial"/>
          <w:szCs w:val="22"/>
        </w:rPr>
        <w:t xml:space="preserve"> (hlas, SMS, data, případně další)</w:t>
      </w:r>
      <w:r w:rsidR="001C3F2F">
        <w:rPr>
          <w:rFonts w:cs="Arial"/>
          <w:szCs w:val="22"/>
        </w:rPr>
        <w:t>,</w:t>
      </w:r>
      <w:r w:rsidR="00964DE7">
        <w:rPr>
          <w:rFonts w:cs="Arial"/>
          <w:szCs w:val="22"/>
        </w:rPr>
        <w:t xml:space="preserve"> které ve výsledku představují </w:t>
      </w:r>
      <w:r w:rsidR="002C56E3">
        <w:rPr>
          <w:rFonts w:cs="Arial"/>
          <w:szCs w:val="22"/>
        </w:rPr>
        <w:t xml:space="preserve">desetitisíce různých tarifních kombinací, což jistě nepřispělo k cenové transparentnosti z pohledu </w:t>
      </w:r>
      <w:proofErr w:type="spellStart"/>
      <w:r w:rsidR="002C56E3">
        <w:rPr>
          <w:rFonts w:cs="Arial"/>
          <w:szCs w:val="22"/>
        </w:rPr>
        <w:t>replikovatelnosti</w:t>
      </w:r>
      <w:proofErr w:type="spellEnd"/>
      <w:r w:rsidR="002C56E3">
        <w:rPr>
          <w:rFonts w:cs="Arial"/>
          <w:szCs w:val="22"/>
        </w:rPr>
        <w:t>.</w:t>
      </w:r>
    </w:p>
    <w:p w14:paraId="0E389D57" w14:textId="325F6F4C" w:rsidR="0025741D" w:rsidRPr="00856BCA" w:rsidRDefault="0025741D" w:rsidP="00856BCA">
      <w:pPr>
        <w:ind w:left="357"/>
        <w:rPr>
          <w:rFonts w:cs="Arial"/>
          <w:szCs w:val="22"/>
        </w:rPr>
      </w:pPr>
      <w:r>
        <w:rPr>
          <w:rFonts w:cs="Arial"/>
          <w:szCs w:val="22"/>
        </w:rPr>
        <w:t xml:space="preserve">V dopise </w:t>
      </w:r>
      <w:r w:rsidR="00856BCA">
        <w:rPr>
          <w:rFonts w:cs="Arial"/>
          <w:szCs w:val="22"/>
        </w:rPr>
        <w:t xml:space="preserve">čj. </w:t>
      </w:r>
      <w:r w:rsidR="00856BCA" w:rsidRPr="00856BCA">
        <w:rPr>
          <w:rFonts w:cs="Arial"/>
          <w:szCs w:val="22"/>
        </w:rPr>
        <w:t>ÚOHS-11579/2022/872</w:t>
      </w:r>
      <w:r w:rsidR="00856BCA">
        <w:rPr>
          <w:rFonts w:cs="Arial"/>
          <w:szCs w:val="22"/>
        </w:rPr>
        <w:t xml:space="preserve"> z</w:t>
      </w:r>
      <w:r>
        <w:rPr>
          <w:rFonts w:cs="Arial"/>
          <w:szCs w:val="22"/>
        </w:rPr>
        <w:t xml:space="preserve">e dne </w:t>
      </w:r>
      <w:r w:rsidR="00856BCA">
        <w:rPr>
          <w:rFonts w:cs="Arial"/>
          <w:szCs w:val="22"/>
        </w:rPr>
        <w:t xml:space="preserve">6. 4. 2022 pak konstatuje, že </w:t>
      </w:r>
      <w:r w:rsidR="00856BCA" w:rsidRPr="00856BCA">
        <w:rPr>
          <w:rFonts w:cs="Arial"/>
          <w:i/>
          <w:iCs/>
          <w:szCs w:val="22"/>
        </w:rPr>
        <w:t>„Evropská komise ve zmíněném rozhodnutí mj. konstatuje, že regulace ex ante založená na zjištění společné významné tržní síly je neodůvodněná (ČTÚ neprokázal jak naplnění testu tří kritérií, tak existenci společné významné tržní síly na tomto trhu) a paralelní regulační nástroje (např. prosazování již uložených povinností souvisejících s aukcí kmitočtů) mají potenciál dosáhnout účinné hospodářské soutěže na trhu.“</w:t>
      </w:r>
      <w:r w:rsidR="00856BCA">
        <w:rPr>
          <w:rFonts w:cs="Arial"/>
          <w:i/>
          <w:iCs/>
          <w:szCs w:val="22"/>
        </w:rPr>
        <w:t xml:space="preserve">. </w:t>
      </w:r>
      <w:r w:rsidR="0038507C">
        <w:rPr>
          <w:rFonts w:cs="Arial"/>
          <w:szCs w:val="22"/>
        </w:rPr>
        <w:t xml:space="preserve">ČTÚ podle nás již třetí verzí analýzy opět nedokázal zvrátit argumenty Evropské komise a </w:t>
      </w:r>
      <w:r w:rsidR="0023174D">
        <w:rPr>
          <w:rFonts w:cs="Arial"/>
          <w:szCs w:val="22"/>
        </w:rPr>
        <w:t>opětovně tak nebude ve shodě s Úřadem pro ochranu hospodářské soutěže.</w:t>
      </w:r>
    </w:p>
    <w:p w14:paraId="376F79FD" w14:textId="6735AB80" w:rsidR="009F17BC" w:rsidRPr="007F2682" w:rsidRDefault="007F4B19" w:rsidP="009F17BC">
      <w:pPr>
        <w:pStyle w:val="Nadpis2"/>
      </w:pPr>
      <w:r w:rsidRPr="007F2682">
        <w:t>Závěr vyhodnocení kritérií pro společnou významnou tržní sílu</w:t>
      </w:r>
    </w:p>
    <w:p w14:paraId="4AA7B18E" w14:textId="77777777" w:rsidR="009F17BC" w:rsidRPr="007F2682" w:rsidRDefault="009F17BC" w:rsidP="00DA66AF">
      <w:pPr>
        <w:pStyle w:val="Podnadpis"/>
      </w:pPr>
      <w:r w:rsidRPr="007F2682">
        <w:t xml:space="preserve">Návrh na doplnění, změnu, zrušení nebo nahrazení textu ustanovení návrhu opatření: </w:t>
      </w:r>
    </w:p>
    <w:p w14:paraId="03C2A620" w14:textId="02454662" w:rsidR="009F17BC" w:rsidRPr="007F2682" w:rsidRDefault="007F4B19" w:rsidP="007F4B19">
      <w:pPr>
        <w:ind w:left="357"/>
        <w:rPr>
          <w:rFonts w:cs="Arial"/>
          <w:b/>
          <w:szCs w:val="22"/>
        </w:rPr>
      </w:pPr>
      <w:r w:rsidRPr="007F2682">
        <w:rPr>
          <w:rFonts w:cs="Arial"/>
          <w:b/>
          <w:szCs w:val="22"/>
        </w:rPr>
        <w:t xml:space="preserve">Změnit závěr </w:t>
      </w:r>
      <w:r w:rsidR="006063EC">
        <w:rPr>
          <w:rFonts w:cs="Arial"/>
          <w:b/>
          <w:szCs w:val="22"/>
        </w:rPr>
        <w:t>návrhu a</w:t>
      </w:r>
      <w:r w:rsidRPr="007F2682">
        <w:rPr>
          <w:rFonts w:cs="Arial"/>
          <w:b/>
          <w:szCs w:val="22"/>
        </w:rPr>
        <w:t xml:space="preserve">nalýzy na základě předložených argumentů a úpravy nesprávných tvrzení </w:t>
      </w:r>
      <w:r w:rsidR="00F65457" w:rsidRPr="007F2682">
        <w:rPr>
          <w:rFonts w:cs="Arial"/>
          <w:b/>
          <w:szCs w:val="22"/>
        </w:rPr>
        <w:t xml:space="preserve">a závěrů dílčích kritérií </w:t>
      </w:r>
      <w:r w:rsidRPr="007F2682">
        <w:rPr>
          <w:rFonts w:cs="Arial"/>
          <w:b/>
          <w:szCs w:val="22"/>
        </w:rPr>
        <w:t xml:space="preserve">a označit trh mobilních </w:t>
      </w:r>
      <w:r w:rsidR="00D1183C" w:rsidRPr="007F2682">
        <w:rPr>
          <w:rFonts w:cs="Arial"/>
          <w:b/>
          <w:szCs w:val="22"/>
        </w:rPr>
        <w:t xml:space="preserve">služeb </w:t>
      </w:r>
      <w:r w:rsidR="00F65457" w:rsidRPr="007F2682">
        <w:rPr>
          <w:rFonts w:cs="Arial"/>
          <w:b/>
          <w:szCs w:val="22"/>
        </w:rPr>
        <w:t xml:space="preserve">dle reálného stavu </w:t>
      </w:r>
      <w:r w:rsidR="00D1183C" w:rsidRPr="007F2682">
        <w:rPr>
          <w:rFonts w:cs="Arial"/>
          <w:b/>
          <w:szCs w:val="22"/>
        </w:rPr>
        <w:t>jako neindikující existenci společné významné tržní síly.</w:t>
      </w:r>
    </w:p>
    <w:p w14:paraId="0A46A007" w14:textId="77777777" w:rsidR="009F17BC" w:rsidRPr="007F2682" w:rsidRDefault="009F17BC" w:rsidP="00DA66AF">
      <w:pPr>
        <w:pStyle w:val="Podnadpis"/>
      </w:pPr>
      <w:r w:rsidRPr="007F2682">
        <w:t>Odůvodnění:</w:t>
      </w:r>
    </w:p>
    <w:p w14:paraId="533EAB57" w14:textId="5098537F" w:rsidR="00BC2B60" w:rsidRPr="00D27363" w:rsidRDefault="007F4B19" w:rsidP="009F17BC">
      <w:pPr>
        <w:ind w:left="357"/>
        <w:rPr>
          <w:rFonts w:cs="Arial"/>
          <w:b/>
          <w:bCs/>
          <w:szCs w:val="22"/>
        </w:rPr>
      </w:pPr>
      <w:r w:rsidRPr="00D27363">
        <w:rPr>
          <w:rFonts w:cs="Arial"/>
          <w:b/>
          <w:bCs/>
          <w:szCs w:val="22"/>
        </w:rPr>
        <w:t xml:space="preserve">Společnost O2 předložila mnoho argumentů, které jednoznačně vypovídají o nesprávnosti </w:t>
      </w:r>
      <w:r w:rsidR="006F3890" w:rsidRPr="00D27363">
        <w:rPr>
          <w:rFonts w:cs="Arial"/>
          <w:b/>
          <w:bCs/>
          <w:szCs w:val="22"/>
        </w:rPr>
        <w:t xml:space="preserve">celkového </w:t>
      </w:r>
      <w:r w:rsidRPr="00D27363">
        <w:rPr>
          <w:rFonts w:cs="Arial"/>
          <w:b/>
          <w:bCs/>
          <w:szCs w:val="22"/>
        </w:rPr>
        <w:t>závěru ČTÚ indikujícího existenci společné tržní síl</w:t>
      </w:r>
      <w:r w:rsidR="00BC2B60" w:rsidRPr="00D27363">
        <w:rPr>
          <w:rFonts w:cs="Arial"/>
          <w:b/>
          <w:bCs/>
          <w:szCs w:val="22"/>
        </w:rPr>
        <w:t xml:space="preserve">y mobilních síťových </w:t>
      </w:r>
      <w:r w:rsidR="006F3890" w:rsidRPr="00D27363">
        <w:rPr>
          <w:rFonts w:cs="Arial"/>
          <w:b/>
          <w:bCs/>
          <w:szCs w:val="22"/>
        </w:rPr>
        <w:t>operátorů</w:t>
      </w:r>
      <w:r w:rsidR="00BC2B60" w:rsidRPr="00D27363">
        <w:rPr>
          <w:rFonts w:cs="Arial"/>
          <w:b/>
          <w:bCs/>
          <w:szCs w:val="22"/>
        </w:rPr>
        <w:t xml:space="preserve">. I </w:t>
      </w:r>
      <w:r w:rsidR="00141939" w:rsidRPr="00D27363">
        <w:rPr>
          <w:rFonts w:cs="Arial"/>
          <w:b/>
          <w:bCs/>
          <w:szCs w:val="22"/>
        </w:rPr>
        <w:t>pokud bychom přistoupili k opomenutí</w:t>
      </w:r>
      <w:r w:rsidR="00BC2B60" w:rsidRPr="00D27363">
        <w:rPr>
          <w:rFonts w:cs="Arial"/>
          <w:b/>
          <w:bCs/>
          <w:szCs w:val="22"/>
        </w:rPr>
        <w:t xml:space="preserve"> úvodní </w:t>
      </w:r>
      <w:r w:rsidR="00AD7D69">
        <w:rPr>
          <w:rFonts w:cs="Arial"/>
          <w:b/>
          <w:bCs/>
          <w:szCs w:val="22"/>
        </w:rPr>
        <w:t xml:space="preserve">zásadní </w:t>
      </w:r>
      <w:r w:rsidR="00BC2B60" w:rsidRPr="00D27363">
        <w:rPr>
          <w:rFonts w:cs="Arial"/>
          <w:b/>
          <w:bCs/>
          <w:szCs w:val="22"/>
        </w:rPr>
        <w:t xml:space="preserve">připomínky </w:t>
      </w:r>
      <w:r w:rsidR="00AD7D69">
        <w:rPr>
          <w:rFonts w:cs="Arial"/>
          <w:b/>
          <w:bCs/>
          <w:szCs w:val="22"/>
        </w:rPr>
        <w:t xml:space="preserve">a argumentů </w:t>
      </w:r>
      <w:r w:rsidR="00BC2B60" w:rsidRPr="00D27363">
        <w:rPr>
          <w:rFonts w:cs="Arial"/>
          <w:b/>
          <w:bCs/>
          <w:szCs w:val="22"/>
        </w:rPr>
        <w:t>vyzývající k zastavení identifikace a analýzy vymezeného trhu,</w:t>
      </w:r>
      <w:r w:rsidR="005B7D6F" w:rsidRPr="00D27363">
        <w:rPr>
          <w:rFonts w:cs="Arial"/>
          <w:b/>
          <w:bCs/>
          <w:szCs w:val="22"/>
        </w:rPr>
        <w:t xml:space="preserve"> vychází </w:t>
      </w:r>
      <w:r w:rsidR="00EE1C00" w:rsidRPr="00D27363">
        <w:rPr>
          <w:rFonts w:cs="Arial"/>
          <w:b/>
          <w:bCs/>
          <w:szCs w:val="22"/>
        </w:rPr>
        <w:t xml:space="preserve">i </w:t>
      </w:r>
      <w:r w:rsidR="005B7D6F" w:rsidRPr="00D27363">
        <w:rPr>
          <w:rFonts w:cs="Arial"/>
          <w:b/>
          <w:bCs/>
          <w:szCs w:val="22"/>
        </w:rPr>
        <w:t>z</w:t>
      </w:r>
      <w:r w:rsidR="006063EC">
        <w:rPr>
          <w:rFonts w:cs="Arial"/>
          <w:b/>
          <w:bCs/>
          <w:szCs w:val="22"/>
        </w:rPr>
        <w:t> </w:t>
      </w:r>
      <w:r w:rsidR="005B7D6F" w:rsidRPr="00D27363">
        <w:rPr>
          <w:rFonts w:cs="Arial"/>
          <w:b/>
          <w:bCs/>
          <w:szCs w:val="22"/>
        </w:rPr>
        <w:t>provedené</w:t>
      </w:r>
      <w:r w:rsidR="006063EC">
        <w:rPr>
          <w:rFonts w:cs="Arial"/>
          <w:b/>
          <w:bCs/>
          <w:szCs w:val="22"/>
        </w:rPr>
        <w:t xml:space="preserve">ho návrhu </w:t>
      </w:r>
      <w:r w:rsidR="00AF4A77" w:rsidRPr="00D27363">
        <w:rPr>
          <w:rFonts w:cs="Arial"/>
          <w:b/>
          <w:bCs/>
          <w:szCs w:val="22"/>
        </w:rPr>
        <w:t>a</w:t>
      </w:r>
      <w:r w:rsidR="005B7D6F" w:rsidRPr="00D27363">
        <w:rPr>
          <w:rFonts w:cs="Arial"/>
          <w:b/>
          <w:bCs/>
          <w:szCs w:val="22"/>
        </w:rPr>
        <w:t>nalýzy nezpůsobilost trhu k ex ante regulaci, protože byla</w:t>
      </w:r>
      <w:r w:rsidR="00BC2B60" w:rsidRPr="00D27363">
        <w:rPr>
          <w:rFonts w:cs="Arial"/>
          <w:b/>
          <w:bCs/>
          <w:szCs w:val="22"/>
        </w:rPr>
        <w:t xml:space="preserve"> </w:t>
      </w:r>
      <w:r w:rsidR="005B7D6F" w:rsidRPr="00D27363">
        <w:rPr>
          <w:rFonts w:cs="Arial"/>
          <w:b/>
          <w:bCs/>
          <w:szCs w:val="22"/>
        </w:rPr>
        <w:t xml:space="preserve">v mnoha bodech </w:t>
      </w:r>
      <w:r w:rsidR="00BC2B60" w:rsidRPr="00D27363">
        <w:rPr>
          <w:rFonts w:cs="Arial"/>
          <w:b/>
          <w:bCs/>
          <w:szCs w:val="22"/>
        </w:rPr>
        <w:t>prokáz</w:t>
      </w:r>
      <w:r w:rsidR="005B7D6F" w:rsidRPr="00D27363">
        <w:rPr>
          <w:rFonts w:cs="Arial"/>
          <w:b/>
          <w:bCs/>
          <w:szCs w:val="22"/>
        </w:rPr>
        <w:t>ána</w:t>
      </w:r>
      <w:r w:rsidR="00BC2B60" w:rsidRPr="00D27363">
        <w:rPr>
          <w:rFonts w:cs="Arial"/>
          <w:b/>
          <w:bCs/>
          <w:szCs w:val="22"/>
        </w:rPr>
        <w:t xml:space="preserve"> </w:t>
      </w:r>
      <w:r w:rsidR="00EE1C00" w:rsidRPr="00D27363">
        <w:rPr>
          <w:rFonts w:cs="Arial"/>
          <w:b/>
          <w:bCs/>
          <w:szCs w:val="22"/>
        </w:rPr>
        <w:t xml:space="preserve">uměle vytvořená </w:t>
      </w:r>
      <w:r w:rsidR="00BC2B60" w:rsidRPr="00D27363">
        <w:rPr>
          <w:rFonts w:cs="Arial"/>
          <w:b/>
          <w:bCs/>
          <w:szCs w:val="22"/>
        </w:rPr>
        <w:t>účel</w:t>
      </w:r>
      <w:r w:rsidR="00EE1C00" w:rsidRPr="00D27363">
        <w:rPr>
          <w:rFonts w:cs="Arial"/>
          <w:b/>
          <w:bCs/>
          <w:szCs w:val="22"/>
        </w:rPr>
        <w:t>ovo</w:t>
      </w:r>
      <w:r w:rsidR="00BC2B60" w:rsidRPr="00D27363">
        <w:rPr>
          <w:rFonts w:cs="Arial"/>
          <w:b/>
          <w:bCs/>
          <w:szCs w:val="22"/>
        </w:rPr>
        <w:t>st a nesprávnost provedené</w:t>
      </w:r>
      <w:r w:rsidR="00E50A18">
        <w:rPr>
          <w:rFonts w:cs="Arial"/>
          <w:b/>
          <w:bCs/>
          <w:szCs w:val="22"/>
        </w:rPr>
        <w:t>ho návrhu</w:t>
      </w:r>
      <w:r w:rsidR="00BC2B60" w:rsidRPr="00D27363">
        <w:rPr>
          <w:rFonts w:cs="Arial"/>
          <w:b/>
          <w:bCs/>
          <w:szCs w:val="22"/>
        </w:rPr>
        <w:t xml:space="preserve"> </w:t>
      </w:r>
      <w:r w:rsidR="00AF4A77" w:rsidRPr="00D27363">
        <w:rPr>
          <w:rFonts w:cs="Arial"/>
          <w:b/>
          <w:bCs/>
          <w:szCs w:val="22"/>
        </w:rPr>
        <w:t>a</w:t>
      </w:r>
      <w:r w:rsidR="00BC2B60" w:rsidRPr="00D27363">
        <w:rPr>
          <w:rFonts w:cs="Arial"/>
          <w:b/>
          <w:bCs/>
          <w:szCs w:val="22"/>
        </w:rPr>
        <w:t xml:space="preserve">nalýzy. </w:t>
      </w:r>
    </w:p>
    <w:p w14:paraId="0A39D7E1" w14:textId="4529D0D2" w:rsidR="0012696D" w:rsidRPr="00D27363" w:rsidRDefault="00EE1C00" w:rsidP="00E13873">
      <w:pPr>
        <w:ind w:left="357"/>
        <w:rPr>
          <w:rFonts w:cs="Arial"/>
          <w:b/>
          <w:bCs/>
          <w:szCs w:val="22"/>
        </w:rPr>
      </w:pPr>
      <w:r w:rsidRPr="00D27363">
        <w:rPr>
          <w:rFonts w:cs="Arial"/>
          <w:b/>
          <w:bCs/>
          <w:szCs w:val="22"/>
        </w:rPr>
        <w:t xml:space="preserve">Obdobně jako v případě </w:t>
      </w:r>
      <w:proofErr w:type="spellStart"/>
      <w:r w:rsidRPr="00D27363">
        <w:rPr>
          <w:rFonts w:cs="Arial"/>
          <w:b/>
          <w:bCs/>
          <w:szCs w:val="22"/>
        </w:rPr>
        <w:t>tříkriteriálního</w:t>
      </w:r>
      <w:proofErr w:type="spellEnd"/>
      <w:r w:rsidRPr="00D27363">
        <w:rPr>
          <w:rFonts w:cs="Arial"/>
          <w:b/>
          <w:bCs/>
          <w:szCs w:val="22"/>
        </w:rPr>
        <w:t xml:space="preserve"> testu, </w:t>
      </w:r>
      <w:r w:rsidR="00F65457" w:rsidRPr="00D27363">
        <w:rPr>
          <w:rFonts w:cs="Arial"/>
          <w:b/>
          <w:bCs/>
          <w:szCs w:val="22"/>
        </w:rPr>
        <w:t xml:space="preserve">není </w:t>
      </w:r>
      <w:r w:rsidR="00D27363">
        <w:rPr>
          <w:rFonts w:cs="Arial"/>
          <w:b/>
          <w:bCs/>
          <w:szCs w:val="22"/>
        </w:rPr>
        <w:t>návrh a</w:t>
      </w:r>
      <w:r w:rsidR="00F65457" w:rsidRPr="00D27363">
        <w:rPr>
          <w:rFonts w:cs="Arial"/>
          <w:b/>
          <w:bCs/>
          <w:szCs w:val="22"/>
        </w:rPr>
        <w:t>nalýz</w:t>
      </w:r>
      <w:r w:rsidR="00D27363">
        <w:rPr>
          <w:rFonts w:cs="Arial"/>
          <w:b/>
          <w:bCs/>
          <w:szCs w:val="22"/>
        </w:rPr>
        <w:t>y</w:t>
      </w:r>
      <w:r w:rsidR="00F65457" w:rsidRPr="00D27363">
        <w:rPr>
          <w:rFonts w:cs="Arial"/>
          <w:b/>
          <w:bCs/>
          <w:szCs w:val="22"/>
        </w:rPr>
        <w:t xml:space="preserve"> </w:t>
      </w:r>
      <w:r w:rsidRPr="00D27363">
        <w:rPr>
          <w:rFonts w:cs="Arial"/>
          <w:b/>
          <w:bCs/>
          <w:szCs w:val="22"/>
        </w:rPr>
        <w:t xml:space="preserve">založen na jasných a průkazných faktech o stavu relevantního trhu, </w:t>
      </w:r>
      <w:r w:rsidR="00F65457" w:rsidRPr="00D27363">
        <w:rPr>
          <w:rFonts w:cs="Arial"/>
          <w:b/>
          <w:bCs/>
          <w:szCs w:val="22"/>
        </w:rPr>
        <w:t xml:space="preserve">ale je postavena pouze na domněnkách a pocitech ČTÚ </w:t>
      </w:r>
      <w:r w:rsidRPr="00D27363">
        <w:rPr>
          <w:rFonts w:cs="Arial"/>
          <w:b/>
          <w:bCs/>
          <w:szCs w:val="22"/>
        </w:rPr>
        <w:t xml:space="preserve">pravděpodobně vyplývajících z „politického“ zadání </w:t>
      </w:r>
      <w:r w:rsidR="001C456B">
        <w:rPr>
          <w:rFonts w:cs="Arial"/>
          <w:b/>
          <w:bCs/>
          <w:szCs w:val="22"/>
        </w:rPr>
        <w:t xml:space="preserve">pro </w:t>
      </w:r>
      <w:r w:rsidRPr="00D27363">
        <w:rPr>
          <w:rFonts w:cs="Arial"/>
          <w:b/>
          <w:bCs/>
          <w:szCs w:val="22"/>
        </w:rPr>
        <w:t>regulátora</w:t>
      </w:r>
      <w:r w:rsidR="00AF4A77" w:rsidRPr="00D27363">
        <w:rPr>
          <w:rFonts w:cs="Arial"/>
          <w:b/>
          <w:bCs/>
          <w:szCs w:val="22"/>
        </w:rPr>
        <w:t xml:space="preserve"> s předem definovaným výsledkem</w:t>
      </w:r>
      <w:r w:rsidRPr="00D27363">
        <w:rPr>
          <w:rFonts w:cs="Arial"/>
          <w:b/>
          <w:bCs/>
          <w:szCs w:val="22"/>
        </w:rPr>
        <w:t>,</w:t>
      </w:r>
      <w:r w:rsidR="00AF4A77" w:rsidRPr="00D27363">
        <w:rPr>
          <w:rFonts w:cs="Arial"/>
          <w:b/>
          <w:bCs/>
          <w:szCs w:val="22"/>
        </w:rPr>
        <w:t xml:space="preserve"> a to</w:t>
      </w:r>
      <w:r w:rsidRPr="00D27363">
        <w:rPr>
          <w:rFonts w:cs="Arial"/>
          <w:b/>
          <w:bCs/>
          <w:szCs w:val="22"/>
        </w:rPr>
        <w:t xml:space="preserve"> že </w:t>
      </w:r>
      <w:r w:rsidR="00F65457" w:rsidRPr="00D27363">
        <w:rPr>
          <w:rFonts w:cs="Arial"/>
          <w:b/>
          <w:bCs/>
          <w:szCs w:val="22"/>
        </w:rPr>
        <w:t xml:space="preserve">proces vymezení nového relevantního trhu a jeho </w:t>
      </w:r>
      <w:r w:rsidR="0012696D" w:rsidRPr="00D27363">
        <w:rPr>
          <w:rFonts w:cs="Arial"/>
          <w:b/>
          <w:bCs/>
          <w:szCs w:val="22"/>
        </w:rPr>
        <w:t>a</w:t>
      </w:r>
      <w:r w:rsidR="00F65457" w:rsidRPr="00D27363">
        <w:rPr>
          <w:rFonts w:cs="Arial"/>
          <w:b/>
          <w:bCs/>
          <w:szCs w:val="22"/>
        </w:rPr>
        <w:t>nalýza</w:t>
      </w:r>
      <w:r w:rsidRPr="00D27363">
        <w:rPr>
          <w:rFonts w:cs="Arial"/>
          <w:b/>
          <w:bCs/>
          <w:szCs w:val="22"/>
        </w:rPr>
        <w:t xml:space="preserve"> musí vyjít v každém případě. </w:t>
      </w:r>
      <w:r w:rsidR="00F65457" w:rsidRPr="00D27363">
        <w:rPr>
          <w:rFonts w:cs="Arial"/>
          <w:b/>
          <w:bCs/>
          <w:szCs w:val="22"/>
        </w:rPr>
        <w:t xml:space="preserve">Tuto tendenci lze pozorovat v celém testu, kdy ČTÚ zjevně předkládá </w:t>
      </w:r>
      <w:r w:rsidR="005C2937" w:rsidRPr="00D27363">
        <w:rPr>
          <w:rFonts w:cs="Arial"/>
          <w:b/>
          <w:bCs/>
          <w:szCs w:val="22"/>
        </w:rPr>
        <w:t>nelogické</w:t>
      </w:r>
      <w:r w:rsidR="00F65457" w:rsidRPr="00D27363">
        <w:rPr>
          <w:rFonts w:cs="Arial"/>
          <w:b/>
          <w:bCs/>
          <w:szCs w:val="22"/>
        </w:rPr>
        <w:t xml:space="preserve"> argumenty, které mají prokázat splnění </w:t>
      </w:r>
      <w:r w:rsidR="0030231D" w:rsidRPr="00D27363">
        <w:rPr>
          <w:rFonts w:cs="Arial"/>
          <w:b/>
          <w:bCs/>
          <w:szCs w:val="22"/>
        </w:rPr>
        <w:t>jednotlivých</w:t>
      </w:r>
      <w:r w:rsidR="00F65457" w:rsidRPr="00D27363">
        <w:rPr>
          <w:rFonts w:cs="Arial"/>
          <w:b/>
          <w:bCs/>
          <w:szCs w:val="22"/>
        </w:rPr>
        <w:t xml:space="preserve"> dílčích kritérií. </w:t>
      </w:r>
      <w:r w:rsidR="003A25B9" w:rsidRPr="00D27363">
        <w:rPr>
          <w:rFonts w:cs="Arial"/>
          <w:b/>
          <w:bCs/>
          <w:szCs w:val="22"/>
        </w:rPr>
        <w:t>Tyto argumenty jsou vyvráceny v předchozích připomínkách.</w:t>
      </w:r>
    </w:p>
    <w:p w14:paraId="40EA8DC3" w14:textId="48F5CEF4" w:rsidR="000D395C" w:rsidRPr="007F2682" w:rsidRDefault="00CF7DE3" w:rsidP="005754FF">
      <w:pPr>
        <w:ind w:left="357"/>
        <w:rPr>
          <w:rFonts w:cs="Arial"/>
          <w:b/>
          <w:szCs w:val="22"/>
        </w:rPr>
      </w:pPr>
      <w:r w:rsidRPr="00D27363">
        <w:rPr>
          <w:rFonts w:cs="Arial"/>
          <w:b/>
          <w:bCs/>
          <w:szCs w:val="22"/>
        </w:rPr>
        <w:lastRenderedPageBreak/>
        <w:t xml:space="preserve">V Evropské unii neexistuje jediný případ stanovení společné významné tržní síly na tomto trhu </w:t>
      </w:r>
      <w:r w:rsidR="005664E4" w:rsidRPr="00D27363">
        <w:rPr>
          <w:rFonts w:cs="Arial"/>
          <w:b/>
          <w:bCs/>
          <w:szCs w:val="22"/>
        </w:rPr>
        <w:t>a mobilní trh v České republice v žádném případě nevybočuje z</w:t>
      </w:r>
      <w:r w:rsidR="00C93462" w:rsidRPr="00D27363">
        <w:rPr>
          <w:rFonts w:cs="Arial"/>
          <w:b/>
          <w:bCs/>
          <w:szCs w:val="22"/>
        </w:rPr>
        <w:t> úrovně tržních konkurenčních procesů.</w:t>
      </w:r>
      <w:r w:rsidR="00137725" w:rsidRPr="00D27363">
        <w:rPr>
          <w:rFonts w:cs="Arial"/>
          <w:b/>
          <w:bCs/>
          <w:szCs w:val="22"/>
        </w:rPr>
        <w:t xml:space="preserve"> Pokud ČTÚ </w:t>
      </w:r>
      <w:r w:rsidR="001B3E3C" w:rsidRPr="00D27363">
        <w:rPr>
          <w:rFonts w:cs="Arial"/>
          <w:b/>
          <w:bCs/>
          <w:szCs w:val="22"/>
        </w:rPr>
        <w:t xml:space="preserve">nestáhne stávající znění </w:t>
      </w:r>
      <w:r w:rsidR="004030F1">
        <w:rPr>
          <w:rFonts w:cs="Arial"/>
          <w:b/>
          <w:bCs/>
          <w:szCs w:val="22"/>
        </w:rPr>
        <w:t xml:space="preserve">návrhu </w:t>
      </w:r>
      <w:r w:rsidR="001B3E3C" w:rsidRPr="00D27363">
        <w:rPr>
          <w:rFonts w:cs="Arial"/>
          <w:b/>
          <w:bCs/>
          <w:szCs w:val="22"/>
        </w:rPr>
        <w:t xml:space="preserve">analýzy, jsme přesvědčeni, že </w:t>
      </w:r>
      <w:r w:rsidR="007404AB">
        <w:rPr>
          <w:rFonts w:cs="Arial"/>
          <w:b/>
          <w:bCs/>
          <w:szCs w:val="22"/>
        </w:rPr>
        <w:t xml:space="preserve">v následném kroku </w:t>
      </w:r>
      <w:r w:rsidR="001B3E3C" w:rsidRPr="00D27363">
        <w:rPr>
          <w:rFonts w:cs="Arial"/>
          <w:b/>
          <w:bCs/>
          <w:szCs w:val="22"/>
        </w:rPr>
        <w:t>Evropská komise</w:t>
      </w:r>
      <w:r w:rsidR="004030F1">
        <w:rPr>
          <w:rFonts w:cs="Arial"/>
          <w:b/>
          <w:bCs/>
          <w:szCs w:val="22"/>
        </w:rPr>
        <w:t xml:space="preserve"> návrh analýzy nemůže pozitivně </w:t>
      </w:r>
      <w:proofErr w:type="gramStart"/>
      <w:r w:rsidR="00E50A18">
        <w:rPr>
          <w:rFonts w:cs="Arial"/>
          <w:b/>
          <w:bCs/>
          <w:szCs w:val="22"/>
        </w:rPr>
        <w:t>notifikovat,</w:t>
      </w:r>
      <w:proofErr w:type="gramEnd"/>
      <w:r w:rsidR="007404AB">
        <w:rPr>
          <w:rFonts w:cs="Arial"/>
          <w:b/>
          <w:bCs/>
          <w:szCs w:val="22"/>
        </w:rPr>
        <w:t xml:space="preserve"> čili návrh odmítne</w:t>
      </w:r>
      <w:r w:rsidR="004030F1">
        <w:rPr>
          <w:rFonts w:cs="Arial"/>
          <w:b/>
          <w:bCs/>
          <w:szCs w:val="22"/>
        </w:rPr>
        <w:t xml:space="preserve"> </w:t>
      </w:r>
      <w:r w:rsidR="006C4FB5" w:rsidRPr="00D27363">
        <w:rPr>
          <w:rFonts w:cs="Arial"/>
          <w:b/>
          <w:bCs/>
          <w:szCs w:val="22"/>
        </w:rPr>
        <w:t xml:space="preserve">a </w:t>
      </w:r>
      <w:r w:rsidR="006C4FB5" w:rsidRPr="00F529A6">
        <w:rPr>
          <w:rFonts w:cs="Arial"/>
          <w:b/>
          <w:bCs/>
          <w:szCs w:val="22"/>
        </w:rPr>
        <w:t xml:space="preserve">vznese vážné pochybnosti o </w:t>
      </w:r>
      <w:r w:rsidR="00123866" w:rsidRPr="00F529A6">
        <w:rPr>
          <w:rFonts w:cs="Arial"/>
          <w:b/>
          <w:bCs/>
          <w:szCs w:val="22"/>
        </w:rPr>
        <w:t>kvalitativní úrovni tržních analýz ČTÚ</w:t>
      </w:r>
      <w:r w:rsidR="00CF03F1" w:rsidRPr="00F529A6">
        <w:rPr>
          <w:rFonts w:cs="Arial"/>
          <w:b/>
          <w:bCs/>
          <w:szCs w:val="22"/>
        </w:rPr>
        <w:t>, čímž se potvrdí námi předložené argumenty.</w:t>
      </w:r>
      <w:r w:rsidR="000D395C" w:rsidRPr="007F2682">
        <w:rPr>
          <w:rFonts w:cs="Arial"/>
          <w:b/>
          <w:szCs w:val="22"/>
        </w:rPr>
        <w:br w:type="page"/>
      </w:r>
    </w:p>
    <w:p w14:paraId="57608B2D" w14:textId="0CFB2399" w:rsidR="00507FD8" w:rsidRPr="007F2682" w:rsidRDefault="00507FD8" w:rsidP="00232BD1">
      <w:pPr>
        <w:tabs>
          <w:tab w:val="left" w:pos="567"/>
        </w:tabs>
        <w:rPr>
          <w:rFonts w:cs="Arial"/>
          <w:b/>
          <w:szCs w:val="22"/>
        </w:rPr>
      </w:pPr>
      <w:r w:rsidRPr="007F2682">
        <w:rPr>
          <w:rFonts w:cs="Arial"/>
          <w:b/>
        </w:rPr>
        <w:lastRenderedPageBreak/>
        <w:t>II.</w:t>
      </w:r>
      <w:r w:rsidRPr="007F2682">
        <w:rPr>
          <w:rFonts w:cs="Arial"/>
          <w:b/>
        </w:rPr>
        <w:tab/>
        <w:t>STANOVISKA A NÁZORY k</w:t>
      </w:r>
      <w:r w:rsidR="008924D5" w:rsidRPr="007F2682">
        <w:rPr>
          <w:rFonts w:cs="Arial"/>
          <w:b/>
        </w:rPr>
        <w:t> </w:t>
      </w:r>
      <w:r w:rsidRPr="007F2682">
        <w:rPr>
          <w:rFonts w:cs="Arial"/>
          <w:b/>
        </w:rPr>
        <w:t>návrhu opatření:</w:t>
      </w:r>
    </w:p>
    <w:p w14:paraId="2DC81205" w14:textId="77777777" w:rsidR="00507FD8" w:rsidRPr="007F2682" w:rsidRDefault="00507FD8" w:rsidP="00507FD8">
      <w:pPr>
        <w:spacing w:before="120"/>
        <w:ind w:left="357"/>
        <w:rPr>
          <w:rFonts w:cs="Arial"/>
          <w:b/>
          <w:szCs w:val="22"/>
        </w:rPr>
      </w:pPr>
      <w:r w:rsidRPr="007F2682">
        <w:rPr>
          <w:rFonts w:cs="Arial"/>
          <w:b/>
          <w:caps/>
          <w:szCs w:val="22"/>
        </w:rPr>
        <w:t>(</w:t>
      </w:r>
      <w:r w:rsidRPr="007F2682">
        <w:rPr>
          <w:rFonts w:cs="Arial"/>
          <w:b/>
          <w:szCs w:val="22"/>
        </w:rPr>
        <w:t>Český telekomunikační úřad k uplatněným stanoviskům a názorům přihlédne při konečném znění opatření, avšak nevypořádává je.)</w:t>
      </w:r>
    </w:p>
    <w:p w14:paraId="5B689D7F" w14:textId="4C47E03A" w:rsidR="00F50FE9" w:rsidRPr="007F2682" w:rsidRDefault="00A20731" w:rsidP="00A20731">
      <w:pPr>
        <w:spacing w:before="120"/>
        <w:ind w:firstLine="357"/>
        <w:rPr>
          <w:rFonts w:cs="Arial"/>
          <w:szCs w:val="22"/>
        </w:rPr>
      </w:pPr>
      <w:r w:rsidRPr="007F2682">
        <w:rPr>
          <w:rFonts w:cs="Arial"/>
          <w:szCs w:val="22"/>
        </w:rPr>
        <w:t>Neuplat</w:t>
      </w:r>
      <w:r w:rsidR="008F5B97" w:rsidRPr="007F2682">
        <w:rPr>
          <w:rFonts w:cs="Arial"/>
          <w:szCs w:val="22"/>
        </w:rPr>
        <w:t>ňuje se</w:t>
      </w:r>
      <w:r w:rsidRPr="007F2682">
        <w:rPr>
          <w:rFonts w:cs="Arial"/>
          <w:szCs w:val="22"/>
        </w:rPr>
        <w:t>.</w:t>
      </w:r>
    </w:p>
    <w:p w14:paraId="45585D07" w14:textId="77777777" w:rsidR="00986EE6" w:rsidRPr="007F2682" w:rsidRDefault="00986EE6" w:rsidP="002721B1">
      <w:pPr>
        <w:ind w:left="360" w:hanging="360"/>
        <w:rPr>
          <w:rFonts w:cs="Arial"/>
          <w:b/>
          <w:szCs w:val="22"/>
        </w:rPr>
      </w:pPr>
    </w:p>
    <w:p w14:paraId="3A1C3201" w14:textId="77777777" w:rsidR="00C02A03" w:rsidRPr="007F2682" w:rsidRDefault="00C02A03" w:rsidP="002721B1">
      <w:pPr>
        <w:ind w:left="360" w:hanging="360"/>
        <w:rPr>
          <w:rFonts w:cs="Arial"/>
          <w:b/>
          <w:szCs w:val="22"/>
        </w:rPr>
      </w:pPr>
    </w:p>
    <w:p w14:paraId="66B71B5D" w14:textId="77777777" w:rsidR="00C02A03" w:rsidRPr="007F2682" w:rsidRDefault="00C02A03" w:rsidP="002721B1">
      <w:pPr>
        <w:ind w:left="360" w:hanging="360"/>
        <w:rPr>
          <w:rFonts w:cs="Arial"/>
          <w:b/>
          <w:szCs w:val="22"/>
        </w:rPr>
      </w:pPr>
    </w:p>
    <w:p w14:paraId="3B5995BB" w14:textId="77777777" w:rsidR="000D395C" w:rsidRPr="007F2682" w:rsidRDefault="000D395C" w:rsidP="002721B1">
      <w:pPr>
        <w:ind w:left="360" w:hanging="360"/>
        <w:rPr>
          <w:rFonts w:cs="Arial"/>
          <w:b/>
          <w:szCs w:val="22"/>
        </w:rPr>
      </w:pPr>
    </w:p>
    <w:p w14:paraId="69F5A0C5" w14:textId="77777777" w:rsidR="00986EE6" w:rsidRPr="007F2682" w:rsidRDefault="00986EE6" w:rsidP="002721B1">
      <w:pPr>
        <w:ind w:left="360" w:hanging="360"/>
        <w:rPr>
          <w:rFonts w:cs="Arial"/>
          <w:b/>
          <w:szCs w:val="22"/>
        </w:rPr>
      </w:pPr>
    </w:p>
    <w:p w14:paraId="568C8146" w14:textId="1FE0B58B" w:rsidR="00FB62E6" w:rsidRPr="007F2682" w:rsidRDefault="00FB62E6" w:rsidP="00FB62E6">
      <w:pPr>
        <w:spacing w:before="240"/>
        <w:rPr>
          <w:rFonts w:cs="Arial"/>
          <w:szCs w:val="22"/>
        </w:rPr>
      </w:pPr>
      <w:r w:rsidRPr="007F2682">
        <w:rPr>
          <w:rFonts w:cs="Arial"/>
          <w:b/>
          <w:szCs w:val="22"/>
        </w:rPr>
        <w:t>Datum:</w:t>
      </w:r>
      <w:r w:rsidR="000D395C" w:rsidRPr="007F2682">
        <w:rPr>
          <w:rFonts w:cs="Arial"/>
          <w:szCs w:val="22"/>
        </w:rPr>
        <w:t xml:space="preserve"> </w:t>
      </w:r>
      <w:r w:rsidR="00123866">
        <w:rPr>
          <w:rFonts w:cs="Arial"/>
          <w:szCs w:val="22"/>
        </w:rPr>
        <w:t>2</w:t>
      </w:r>
      <w:r w:rsidR="005754FF">
        <w:rPr>
          <w:rFonts w:cs="Arial"/>
          <w:szCs w:val="22"/>
        </w:rPr>
        <w:t>7</w:t>
      </w:r>
      <w:r w:rsidR="002C1223" w:rsidRPr="007F2682">
        <w:rPr>
          <w:rFonts w:cs="Arial"/>
          <w:szCs w:val="22"/>
        </w:rPr>
        <w:t>.</w:t>
      </w:r>
      <w:r w:rsidR="00A20731" w:rsidRPr="007F2682">
        <w:rPr>
          <w:rFonts w:cs="Arial"/>
          <w:szCs w:val="22"/>
        </w:rPr>
        <w:t xml:space="preserve"> </w:t>
      </w:r>
      <w:r w:rsidR="005754FF">
        <w:rPr>
          <w:rFonts w:cs="Arial"/>
          <w:szCs w:val="22"/>
        </w:rPr>
        <w:t>6</w:t>
      </w:r>
      <w:r w:rsidR="000D395C" w:rsidRPr="007F2682">
        <w:rPr>
          <w:rFonts w:cs="Arial"/>
          <w:szCs w:val="22"/>
        </w:rPr>
        <w:t>. 20</w:t>
      </w:r>
      <w:r w:rsidR="00123866">
        <w:rPr>
          <w:rFonts w:cs="Arial"/>
          <w:szCs w:val="22"/>
        </w:rPr>
        <w:t>2</w:t>
      </w:r>
      <w:r w:rsidR="0073665C">
        <w:rPr>
          <w:rFonts w:cs="Arial"/>
          <w:szCs w:val="22"/>
        </w:rPr>
        <w:t>2</w:t>
      </w:r>
    </w:p>
    <w:p w14:paraId="33D30F99" w14:textId="77777777" w:rsidR="00BA07AB" w:rsidRDefault="00FB62E6" w:rsidP="00FB62E6">
      <w:pPr>
        <w:tabs>
          <w:tab w:val="left" w:pos="5370"/>
        </w:tabs>
        <w:spacing w:before="120"/>
        <w:rPr>
          <w:rFonts w:cs="Arial"/>
          <w:szCs w:val="22"/>
        </w:rPr>
      </w:pPr>
      <w:r w:rsidRPr="007F2682">
        <w:rPr>
          <w:rFonts w:cs="Arial"/>
          <w:b/>
          <w:szCs w:val="22"/>
        </w:rPr>
        <w:t>Jméno a příjmení, funkce oprávněné osoby:</w:t>
      </w:r>
      <w:r w:rsidR="00AC5C15" w:rsidRPr="007F2682">
        <w:rPr>
          <w:rFonts w:cs="Arial"/>
          <w:szCs w:val="22"/>
        </w:rPr>
        <w:t xml:space="preserve"> </w:t>
      </w:r>
    </w:p>
    <w:p w14:paraId="674848A6" w14:textId="58EA5AC7" w:rsidR="00FB62E6" w:rsidRPr="007F2682" w:rsidRDefault="005E56DC" w:rsidP="00FB62E6">
      <w:pPr>
        <w:tabs>
          <w:tab w:val="left" w:pos="5370"/>
        </w:tabs>
        <w:spacing w:before="120"/>
        <w:rPr>
          <w:rFonts w:cs="Arial"/>
          <w:szCs w:val="22"/>
        </w:rPr>
      </w:pPr>
      <w:r>
        <w:rPr>
          <w:rFonts w:cs="Arial"/>
          <w:szCs w:val="22"/>
        </w:rPr>
        <w:t>Ing</w:t>
      </w:r>
      <w:r w:rsidR="0030353D">
        <w:rPr>
          <w:rFonts w:cs="Arial"/>
          <w:szCs w:val="22"/>
        </w:rPr>
        <w:t>.</w:t>
      </w:r>
      <w:r w:rsidR="00BA07AB">
        <w:rPr>
          <w:rFonts w:cs="Arial"/>
          <w:szCs w:val="22"/>
        </w:rPr>
        <w:t xml:space="preserve"> </w:t>
      </w:r>
      <w:r>
        <w:rPr>
          <w:rFonts w:cs="Arial"/>
          <w:szCs w:val="22"/>
        </w:rPr>
        <w:t>Miloš</w:t>
      </w:r>
      <w:r w:rsidR="00BA07AB">
        <w:rPr>
          <w:rFonts w:cs="Arial"/>
          <w:szCs w:val="22"/>
        </w:rPr>
        <w:t xml:space="preserve"> </w:t>
      </w:r>
      <w:r>
        <w:rPr>
          <w:rFonts w:cs="Arial"/>
          <w:szCs w:val="22"/>
        </w:rPr>
        <w:t>Koděra</w:t>
      </w:r>
      <w:r w:rsidR="00AC5C15" w:rsidRPr="007F2682">
        <w:rPr>
          <w:rFonts w:cs="Arial"/>
          <w:szCs w:val="22"/>
        </w:rPr>
        <w:t xml:space="preserve">, </w:t>
      </w:r>
      <w:r>
        <w:rPr>
          <w:rFonts w:cs="Arial"/>
          <w:szCs w:val="22"/>
        </w:rPr>
        <w:t>senior specialista</w:t>
      </w:r>
      <w:r w:rsidR="00BA07AB">
        <w:rPr>
          <w:rFonts w:cs="Arial"/>
          <w:szCs w:val="22"/>
        </w:rPr>
        <w:t xml:space="preserve"> regula</w:t>
      </w:r>
      <w:r>
        <w:rPr>
          <w:rFonts w:cs="Arial"/>
          <w:szCs w:val="22"/>
        </w:rPr>
        <w:t>čních záležitostí</w:t>
      </w:r>
      <w:r w:rsidR="00BA07AB">
        <w:rPr>
          <w:rFonts w:cs="Arial"/>
          <w:szCs w:val="22"/>
        </w:rPr>
        <w:t xml:space="preserve"> </w:t>
      </w:r>
    </w:p>
    <w:p w14:paraId="5B17E98F" w14:textId="77777777" w:rsidR="00FB62E6" w:rsidRPr="007F2682" w:rsidRDefault="00FB62E6" w:rsidP="00FB62E6">
      <w:pPr>
        <w:spacing w:before="120"/>
        <w:rPr>
          <w:rFonts w:cs="Arial"/>
          <w:b/>
          <w:szCs w:val="22"/>
        </w:rPr>
      </w:pPr>
      <w:r w:rsidRPr="007F2682">
        <w:rPr>
          <w:rFonts w:cs="Arial"/>
          <w:szCs w:val="22"/>
        </w:rPr>
        <w:t>Podpis oprávněné osoby</w:t>
      </w:r>
      <w:r w:rsidRPr="007F2682">
        <w:rPr>
          <w:rStyle w:val="Znakapoznpodarou"/>
          <w:rFonts w:cs="Arial"/>
          <w:szCs w:val="22"/>
        </w:rPr>
        <w:footnoteReference w:customMarkFollows="1" w:id="29"/>
        <w:t>*</w:t>
      </w:r>
      <w:r w:rsidRPr="007F2682">
        <w:rPr>
          <w:rFonts w:cs="Arial"/>
          <w:szCs w:val="22"/>
        </w:rPr>
        <w:t>):</w:t>
      </w:r>
      <w:r w:rsidR="008924D5" w:rsidRPr="007F2682">
        <w:rPr>
          <w:rFonts w:cs="Arial"/>
          <w:szCs w:val="22"/>
        </w:rPr>
        <w:t xml:space="preserve"> Elektronický podpis</w:t>
      </w:r>
    </w:p>
    <w:sectPr w:rsidR="00FB62E6" w:rsidRPr="007F2682" w:rsidSect="003A25B9">
      <w:headerReference w:type="even" r:id="rId14"/>
      <w:headerReference w:type="default" r:id="rId15"/>
      <w:footerReference w:type="even" r:id="rId16"/>
      <w:footerReference w:type="default" r:id="rId17"/>
      <w:headerReference w:type="first" r:id="rId18"/>
      <w:footerReference w:type="first" r:id="rId19"/>
      <w:pgSz w:w="11906" w:h="16838"/>
      <w:pgMar w:top="1912" w:right="1417" w:bottom="170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9ADB7" w14:textId="77777777" w:rsidR="0082032B" w:rsidRDefault="0082032B">
      <w:r>
        <w:separator/>
      </w:r>
    </w:p>
  </w:endnote>
  <w:endnote w:type="continuationSeparator" w:id="0">
    <w:p w14:paraId="63F8D2A3" w14:textId="77777777" w:rsidR="0082032B" w:rsidRDefault="0082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Footlight MT Light">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E5D60" w14:textId="77777777" w:rsidR="0082032B" w:rsidRDefault="008203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CAA6" w14:textId="77777777" w:rsidR="0082032B" w:rsidRPr="00430AB7" w:rsidRDefault="0082032B">
    <w:pPr>
      <w:pStyle w:val="Zpat"/>
      <w:jc w:val="center"/>
      <w:rPr>
        <w:rFonts w:cs="Arial"/>
        <w:sz w:val="20"/>
        <w:szCs w:val="20"/>
      </w:rPr>
    </w:pPr>
    <w:r w:rsidRPr="00430AB7">
      <w:rPr>
        <w:rFonts w:cs="Arial"/>
        <w:bCs/>
        <w:sz w:val="20"/>
        <w:szCs w:val="20"/>
      </w:rPr>
      <w:fldChar w:fldCharType="begin"/>
    </w:r>
    <w:r w:rsidRPr="00430AB7">
      <w:rPr>
        <w:rFonts w:cs="Arial"/>
        <w:bCs/>
        <w:sz w:val="20"/>
        <w:szCs w:val="20"/>
      </w:rPr>
      <w:instrText>PAGE</w:instrText>
    </w:r>
    <w:r w:rsidRPr="00430AB7">
      <w:rPr>
        <w:rFonts w:cs="Arial"/>
        <w:bCs/>
        <w:sz w:val="20"/>
        <w:szCs w:val="20"/>
      </w:rPr>
      <w:fldChar w:fldCharType="separate"/>
    </w:r>
    <w:r>
      <w:rPr>
        <w:rFonts w:cs="Arial"/>
        <w:bCs/>
        <w:noProof/>
        <w:sz w:val="20"/>
        <w:szCs w:val="20"/>
      </w:rPr>
      <w:t>8</w:t>
    </w:r>
    <w:r w:rsidRPr="00430AB7">
      <w:rPr>
        <w:rFonts w:cs="Arial"/>
        <w:bCs/>
        <w:sz w:val="20"/>
        <w:szCs w:val="20"/>
      </w:rPr>
      <w:fldChar w:fldCharType="end"/>
    </w:r>
    <w:r w:rsidRPr="00430AB7">
      <w:rPr>
        <w:rFonts w:cs="Arial"/>
        <w:sz w:val="20"/>
        <w:szCs w:val="20"/>
      </w:rPr>
      <w:t>/</w:t>
    </w:r>
    <w:r w:rsidRPr="00430AB7">
      <w:rPr>
        <w:rFonts w:cs="Arial"/>
        <w:bCs/>
        <w:sz w:val="20"/>
        <w:szCs w:val="20"/>
      </w:rPr>
      <w:fldChar w:fldCharType="begin"/>
    </w:r>
    <w:r w:rsidRPr="00430AB7">
      <w:rPr>
        <w:rFonts w:cs="Arial"/>
        <w:bCs/>
        <w:sz w:val="20"/>
        <w:szCs w:val="20"/>
      </w:rPr>
      <w:instrText>NUMPAGES</w:instrText>
    </w:r>
    <w:r w:rsidRPr="00430AB7">
      <w:rPr>
        <w:rFonts w:cs="Arial"/>
        <w:bCs/>
        <w:sz w:val="20"/>
        <w:szCs w:val="20"/>
      </w:rPr>
      <w:fldChar w:fldCharType="separate"/>
    </w:r>
    <w:r>
      <w:rPr>
        <w:rFonts w:cs="Arial"/>
        <w:bCs/>
        <w:noProof/>
        <w:sz w:val="20"/>
        <w:szCs w:val="20"/>
      </w:rPr>
      <w:t>22</w:t>
    </w:r>
    <w:r w:rsidRPr="00430AB7">
      <w:rPr>
        <w:rFonts w:cs="Arial"/>
        <w:bCs/>
        <w:sz w:val="20"/>
        <w:szCs w:val="20"/>
      </w:rPr>
      <w:fldChar w:fldCharType="end"/>
    </w:r>
  </w:p>
  <w:p w14:paraId="11AFF722" w14:textId="77777777" w:rsidR="0082032B" w:rsidRDefault="0082032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AB703" w14:textId="77777777" w:rsidR="0082032B" w:rsidRDefault="0082032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EBBE0" w14:textId="77777777" w:rsidR="0082032B" w:rsidRDefault="0082032B">
      <w:r>
        <w:separator/>
      </w:r>
    </w:p>
  </w:footnote>
  <w:footnote w:type="continuationSeparator" w:id="0">
    <w:p w14:paraId="03FF1BC8" w14:textId="77777777" w:rsidR="0082032B" w:rsidRDefault="0082032B">
      <w:r>
        <w:continuationSeparator/>
      </w:r>
    </w:p>
  </w:footnote>
  <w:footnote w:id="1">
    <w:p w14:paraId="18A1151D" w14:textId="0FFBFEA8" w:rsidR="0082032B" w:rsidRDefault="0082032B">
      <w:pPr>
        <w:pStyle w:val="Textpoznpodarou"/>
      </w:pPr>
      <w:r>
        <w:rPr>
          <w:rStyle w:val="Znakapoznpodarou"/>
        </w:rPr>
        <w:footnoteRef/>
      </w:r>
      <w:r>
        <w:t xml:space="preserve"> Např. </w:t>
      </w:r>
      <w:r w:rsidRPr="00C13B21">
        <w:t>https://www.e15.cz/byznys/technologie-a-media/cesky-telekomunikacni-urad-utraci-miliony-za-externi-pravniky-pritom-ma-desitky-vlastnich-1390274</w:t>
      </w:r>
    </w:p>
  </w:footnote>
  <w:footnote w:id="2">
    <w:p w14:paraId="52641F38" w14:textId="5643ABF0" w:rsidR="0082032B" w:rsidRPr="005C2FCC" w:rsidRDefault="0082032B">
      <w:pPr>
        <w:pStyle w:val="Textpoznpodarou"/>
      </w:pPr>
      <w:r w:rsidRPr="005C2FCC">
        <w:rPr>
          <w:rStyle w:val="Znakapoznpodarou"/>
        </w:rPr>
        <w:footnoteRef/>
      </w:r>
      <w:r w:rsidRPr="005C2FCC">
        <w:t xml:space="preserve"> [začátek obchodního </w:t>
      </w:r>
      <w:bookmarkStart w:id="0" w:name="_GoBack"/>
      <w:r w:rsidRPr="005C2FCC">
        <w:t>tajem</w:t>
      </w:r>
      <w:bookmarkEnd w:id="0"/>
      <w:r w:rsidRPr="005C2FCC">
        <w:t>ství] (…) [konec obchodního tajemství]</w:t>
      </w:r>
    </w:p>
  </w:footnote>
  <w:footnote w:id="3">
    <w:p w14:paraId="64E30025" w14:textId="186EDED8" w:rsidR="0082032B" w:rsidRDefault="0082032B" w:rsidP="0030353D">
      <w:pPr>
        <w:pStyle w:val="Poznmkypodarou"/>
      </w:pPr>
      <w:r>
        <w:rPr>
          <w:rStyle w:val="Znakapoznpodarou"/>
        </w:rPr>
        <w:footnoteRef/>
      </w:r>
      <w:r>
        <w:t xml:space="preserve"> </w:t>
      </w:r>
      <w:r w:rsidRPr="003008D4">
        <w:t>Doporučení Komise (EU) 2020/2245, ze dne 18. prosince 2020 o relevantních trzích produktů a služeb v odvětví elektronických komunikací, které připadají v úvahu pro regulaci ex ante podle směrnice Evropského parlamentu a Rady (EU) 2018/1972, kterou se stanoví evropský kodex pro elektronické komunikace</w:t>
      </w:r>
      <w:r>
        <w:t>.</w:t>
      </w:r>
    </w:p>
  </w:footnote>
  <w:footnote w:id="4">
    <w:p w14:paraId="1E9C45F5" w14:textId="4C6B7CA3" w:rsidR="0082032B" w:rsidRDefault="0082032B" w:rsidP="004865C4">
      <w:pPr>
        <w:pStyle w:val="Textpoznpodarou"/>
      </w:pPr>
      <w:r>
        <w:rPr>
          <w:rStyle w:val="Znakapoznpodarou"/>
        </w:rPr>
        <w:footnoteRef/>
      </w:r>
      <w:r>
        <w:t xml:space="preserve"> </w:t>
      </w:r>
      <w:r>
        <w:rPr>
          <w:rFonts w:cs="Arial"/>
          <w:szCs w:val="22"/>
        </w:rPr>
        <w:t>Úřad možná tyto aspekty ve svém návrhu analýzy nerozebírá z čistě účelových důvodů, protože by se ukázala nesmyslnost celého jeho postupu v celé své nahotě.</w:t>
      </w:r>
    </w:p>
  </w:footnote>
  <w:footnote w:id="5">
    <w:p w14:paraId="54DB6D97" w14:textId="7EFD7F59" w:rsidR="0082032B" w:rsidRDefault="0082032B">
      <w:pPr>
        <w:pStyle w:val="Textpoznpodarou"/>
      </w:pPr>
      <w:r>
        <w:rPr>
          <w:rStyle w:val="Znakapoznpodarou"/>
        </w:rPr>
        <w:footnoteRef/>
      </w:r>
      <w:r>
        <w:t xml:space="preserve"> Například </w:t>
      </w:r>
      <w:r w:rsidRPr="00952F27">
        <w:t>https://archiv.hn.cz/c1-66966260-jak-na-ceny-mobilnich-dat-statni-urad-hodla-omezit-velke-hrace-a-podporit-male-operatory</w:t>
      </w:r>
      <w:r>
        <w:t>.</w:t>
      </w:r>
    </w:p>
  </w:footnote>
  <w:footnote w:id="6">
    <w:p w14:paraId="69B7590A" w14:textId="5E0B7A48" w:rsidR="0082032B" w:rsidRDefault="0082032B">
      <w:pPr>
        <w:pStyle w:val="Textpoznpodarou"/>
      </w:pPr>
      <w:r>
        <w:rPr>
          <w:rStyle w:val="Znakapoznpodarou"/>
        </w:rPr>
        <w:footnoteRef/>
      </w:r>
      <w:r>
        <w:t xml:space="preserve"> Záznam zde - </w:t>
      </w:r>
      <w:r w:rsidRPr="00525439">
        <w:t>https://www.youtube.com/watch?v=RnoHuaKGnPc</w:t>
      </w:r>
      <w:r>
        <w:t>.</w:t>
      </w:r>
    </w:p>
  </w:footnote>
  <w:footnote w:id="7">
    <w:p w14:paraId="4C644EC5" w14:textId="59A81D91" w:rsidR="0082032B" w:rsidRDefault="0082032B">
      <w:pPr>
        <w:pStyle w:val="Textpoznpodarou"/>
      </w:pPr>
      <w:r>
        <w:rPr>
          <w:rStyle w:val="Znakapoznpodarou"/>
        </w:rPr>
        <w:footnoteRef/>
      </w:r>
      <w:r>
        <w:t xml:space="preserve"> Z</w:t>
      </w:r>
      <w:r w:rsidRPr="00AF0C0A">
        <w:t>ejména pravidl</w:t>
      </w:r>
      <w:r>
        <w:t>a</w:t>
      </w:r>
      <w:r w:rsidRPr="00AF0C0A">
        <w:t xml:space="preserve">, že úřad </w:t>
      </w:r>
      <w:r w:rsidRPr="000B4464">
        <w:t xml:space="preserve">jako </w:t>
      </w:r>
      <w:r w:rsidRPr="00AF0C0A">
        <w:rPr>
          <w:rFonts w:cs="Arial"/>
          <w:szCs w:val="22"/>
        </w:rPr>
        <w:t>správní orgán, který rozhoduje,</w:t>
      </w:r>
      <w:r w:rsidRPr="000B4464">
        <w:t xml:space="preserve"> </w:t>
      </w:r>
      <w:r w:rsidRPr="00AF0C0A">
        <w:t>nemůže dopředu předjímat</w:t>
      </w:r>
      <w:r>
        <w:t xml:space="preserve"> svá rozhodnutí a výsledky, které by si přál dosáhnout, natož </w:t>
      </w:r>
      <w:r w:rsidRPr="00AF0C0A">
        <w:t>ovlivňovat své postupy</w:t>
      </w:r>
      <w:r>
        <w:t xml:space="preserve"> působením a nabádáním vybraných účastníků trhu, co mají dělat v průběhu tohoto procesu, aby se potvrdil výsledek podle představ ČTÚ.</w:t>
      </w:r>
    </w:p>
  </w:footnote>
  <w:footnote w:id="8">
    <w:p w14:paraId="1537BDCD" w14:textId="418DC72F" w:rsidR="0082032B" w:rsidRDefault="0082032B">
      <w:pPr>
        <w:pStyle w:val="Textpoznpodarou"/>
      </w:pPr>
      <w:r>
        <w:rPr>
          <w:rStyle w:val="Znakapoznpodarou"/>
        </w:rPr>
        <w:footnoteRef/>
      </w:r>
      <w:r>
        <w:t xml:space="preserve"> Jak plyne z celého našeho stanoviska a argumentace, kterou zde předkládáme, ČTÚ neměl ani v minulosti jediný důvod se k tomuto svému postupu uchylovat.</w:t>
      </w:r>
    </w:p>
  </w:footnote>
  <w:footnote w:id="9">
    <w:p w14:paraId="3DD0E5B5" w14:textId="1F2A7D00" w:rsidR="0082032B" w:rsidRDefault="0082032B">
      <w:pPr>
        <w:pStyle w:val="Textpoznpodarou"/>
      </w:pPr>
      <w:r>
        <w:rPr>
          <w:rStyle w:val="Znakapoznpodarou"/>
        </w:rPr>
        <w:footnoteRef/>
      </w:r>
      <w:r>
        <w:t xml:space="preserve"> Otázkou je, zdali v případě tohoto návrhu analýzy relevantního trhu a s tím souvisejících činností nebyly potlačeny i tyto podružné role odborných útvarů ČTÚ, jak ukazují například stopy na některých místech analýzy, které uvádíme v textu výše.  </w:t>
      </w:r>
    </w:p>
  </w:footnote>
  <w:footnote w:id="10">
    <w:p w14:paraId="5204A397" w14:textId="205FC5E4" w:rsidR="0082032B" w:rsidRDefault="0082032B">
      <w:pPr>
        <w:pStyle w:val="Textpoznpodarou"/>
      </w:pPr>
      <w:r>
        <w:rPr>
          <w:rStyle w:val="Znakapoznpodarou"/>
        </w:rPr>
        <w:footnoteRef/>
      </w:r>
      <w:r>
        <w:t xml:space="preserve"> </w:t>
      </w:r>
      <w:r w:rsidRPr="00EB005D">
        <w:t>https://www.czso.cz/csu/czso/cri/indexy-cen-vyrobcu-kveten-2022</w:t>
      </w:r>
    </w:p>
  </w:footnote>
  <w:footnote w:id="11">
    <w:p w14:paraId="3B0A15F5" w14:textId="24A141AE" w:rsidR="0082032B" w:rsidRDefault="0082032B">
      <w:pPr>
        <w:pStyle w:val="Textpoznpodarou"/>
      </w:pPr>
      <w:r>
        <w:rPr>
          <w:rStyle w:val="Znakapoznpodarou"/>
        </w:rPr>
        <w:footnoteRef/>
      </w:r>
      <w:r>
        <w:t xml:space="preserve"> Například </w:t>
      </w:r>
      <w:r w:rsidRPr="002C1D3B">
        <w:t xml:space="preserve">Toby </w:t>
      </w:r>
      <w:proofErr w:type="spellStart"/>
      <w:r w:rsidRPr="002C1D3B">
        <w:t>Roberts</w:t>
      </w:r>
      <w:proofErr w:type="spellEnd"/>
      <w:r w:rsidRPr="002C1D3B">
        <w:t xml:space="preserve">, </w:t>
      </w:r>
      <w:proofErr w:type="spellStart"/>
      <w:r w:rsidRPr="002C1D3B">
        <w:t>When</w:t>
      </w:r>
      <w:proofErr w:type="spellEnd"/>
      <w:r w:rsidRPr="002C1D3B">
        <w:t xml:space="preserve"> </w:t>
      </w:r>
      <w:proofErr w:type="spellStart"/>
      <w:r w:rsidRPr="002C1D3B">
        <w:t>Bigger</w:t>
      </w:r>
      <w:proofErr w:type="spellEnd"/>
      <w:r w:rsidRPr="002C1D3B">
        <w:t xml:space="preserve"> </w:t>
      </w:r>
      <w:proofErr w:type="spellStart"/>
      <w:r w:rsidRPr="002C1D3B">
        <w:t>Is</w:t>
      </w:r>
      <w:proofErr w:type="spellEnd"/>
      <w:r w:rsidRPr="002C1D3B">
        <w:t xml:space="preserve"> </w:t>
      </w:r>
      <w:proofErr w:type="spellStart"/>
      <w:r w:rsidRPr="002C1D3B">
        <w:t>Better</w:t>
      </w:r>
      <w:proofErr w:type="spellEnd"/>
      <w:r w:rsidRPr="002C1D3B">
        <w:t xml:space="preserve">: A </w:t>
      </w:r>
      <w:proofErr w:type="spellStart"/>
      <w:r w:rsidRPr="002C1D3B">
        <w:t>Critique</w:t>
      </w:r>
      <w:proofErr w:type="spellEnd"/>
      <w:r w:rsidRPr="002C1D3B">
        <w:t xml:space="preserve"> </w:t>
      </w:r>
      <w:proofErr w:type="spellStart"/>
      <w:r w:rsidRPr="002C1D3B">
        <w:t>of</w:t>
      </w:r>
      <w:proofErr w:type="spellEnd"/>
      <w:r w:rsidRPr="002C1D3B">
        <w:t xml:space="preserve"> </w:t>
      </w:r>
      <w:proofErr w:type="spellStart"/>
      <w:r w:rsidRPr="002C1D3B">
        <w:t>the</w:t>
      </w:r>
      <w:proofErr w:type="spellEnd"/>
      <w:r w:rsidRPr="002C1D3B">
        <w:t xml:space="preserve"> </w:t>
      </w:r>
      <w:proofErr w:type="spellStart"/>
      <w:r w:rsidRPr="002C1D3B">
        <w:t>Herfindahl-Hirschman</w:t>
      </w:r>
      <w:proofErr w:type="spellEnd"/>
      <w:r w:rsidRPr="002C1D3B">
        <w:t xml:space="preserve"> </w:t>
      </w:r>
      <w:proofErr w:type="spellStart"/>
      <w:r w:rsidRPr="002C1D3B">
        <w:t>Index’s</w:t>
      </w:r>
      <w:proofErr w:type="spellEnd"/>
      <w:r w:rsidRPr="002C1D3B">
        <w:t xml:space="preserve"> Use to </w:t>
      </w:r>
      <w:proofErr w:type="spellStart"/>
      <w:r w:rsidRPr="002C1D3B">
        <w:t>Evaluate</w:t>
      </w:r>
      <w:proofErr w:type="spellEnd"/>
      <w:r w:rsidRPr="002C1D3B">
        <w:t xml:space="preserve"> </w:t>
      </w:r>
      <w:proofErr w:type="spellStart"/>
      <w:r w:rsidRPr="002C1D3B">
        <w:t>Mergers</w:t>
      </w:r>
      <w:proofErr w:type="spellEnd"/>
      <w:r w:rsidRPr="002C1D3B">
        <w:t xml:space="preserve"> in Network </w:t>
      </w:r>
      <w:proofErr w:type="spellStart"/>
      <w:r w:rsidRPr="002C1D3B">
        <w:t>Industries</w:t>
      </w:r>
      <w:proofErr w:type="spellEnd"/>
      <w:r w:rsidRPr="002C1D3B">
        <w:t xml:space="preserve">, 34 Pace L. </w:t>
      </w:r>
      <w:proofErr w:type="spellStart"/>
      <w:r w:rsidRPr="002C1D3B">
        <w:t>Rev</w:t>
      </w:r>
      <w:proofErr w:type="spellEnd"/>
      <w:r w:rsidRPr="002C1D3B">
        <w:t>. 894 (2014)</w:t>
      </w:r>
      <w:r>
        <w:t>.</w:t>
      </w:r>
    </w:p>
  </w:footnote>
  <w:footnote w:id="12">
    <w:p w14:paraId="376A0E7B" w14:textId="565010ED" w:rsidR="0082032B" w:rsidRDefault="0082032B">
      <w:pPr>
        <w:pStyle w:val="Textpoznpodarou"/>
      </w:pPr>
      <w:r>
        <w:rPr>
          <w:rStyle w:val="Znakapoznpodarou"/>
        </w:rPr>
        <w:footnoteRef/>
      </w:r>
      <w:r>
        <w:t xml:space="preserve"> Výroční zpráva ČTÚ za rok 2021.</w:t>
      </w:r>
    </w:p>
  </w:footnote>
  <w:footnote w:id="13">
    <w:p w14:paraId="01D9835F" w14:textId="0114044A" w:rsidR="0082032B" w:rsidRDefault="0082032B">
      <w:pPr>
        <w:pStyle w:val="Textpoznpodarou"/>
      </w:pPr>
      <w:r>
        <w:rPr>
          <w:rStyle w:val="Znakapoznpodarou"/>
        </w:rPr>
        <w:footnoteRef/>
      </w:r>
      <w:r>
        <w:t xml:space="preserve"> Podle tehdy platné rámcové směrnice.</w:t>
      </w:r>
    </w:p>
  </w:footnote>
  <w:footnote w:id="14">
    <w:p w14:paraId="38D03631" w14:textId="77777777" w:rsidR="0082032B" w:rsidRPr="0056611B" w:rsidRDefault="0082032B" w:rsidP="00266978">
      <w:pPr>
        <w:pStyle w:val="Poznmkypodarou"/>
      </w:pPr>
      <w:r w:rsidRPr="0056611B">
        <w:rPr>
          <w:rStyle w:val="Znakapoznpodarou"/>
          <w:sz w:val="18"/>
        </w:rPr>
        <w:footnoteRef/>
      </w:r>
      <w:r w:rsidRPr="0056611B">
        <w:t xml:space="preserve"> Ke dni vyžádaných dat ČTÚ.</w:t>
      </w:r>
    </w:p>
  </w:footnote>
  <w:footnote w:id="15">
    <w:p w14:paraId="26BBD2B7" w14:textId="77777777" w:rsidR="0082032B" w:rsidRDefault="0082032B" w:rsidP="00266978">
      <w:pPr>
        <w:pStyle w:val="Poznmkypodarou"/>
      </w:pPr>
      <w:r w:rsidRPr="0056611B">
        <w:rPr>
          <w:rStyle w:val="Znakapoznpodarou"/>
          <w:sz w:val="18"/>
        </w:rPr>
        <w:footnoteRef/>
      </w:r>
      <w:r w:rsidRPr="0056611B">
        <w:t xml:space="preserve"> Nižší než ceníkovou.</w:t>
      </w:r>
    </w:p>
  </w:footnote>
  <w:footnote w:id="16">
    <w:p w14:paraId="0E8F72F3" w14:textId="77777777" w:rsidR="0082032B" w:rsidRPr="00AE301A" w:rsidRDefault="0082032B" w:rsidP="00266978">
      <w:pPr>
        <w:pStyle w:val="Poznmkypodarou"/>
      </w:pPr>
      <w:r w:rsidRPr="00AE301A">
        <w:rPr>
          <w:rStyle w:val="Znakapoznpodarou"/>
          <w:sz w:val="18"/>
        </w:rPr>
        <w:footnoteRef/>
      </w:r>
      <w:r w:rsidRPr="00AE301A">
        <w:t xml:space="preserve"> ČTÚ</w:t>
      </w:r>
      <w:r>
        <w:t xml:space="preserve"> v návrhu analýzy</w:t>
      </w:r>
      <w:r w:rsidRPr="00AE301A">
        <w:t xml:space="preserve"> </w:t>
      </w:r>
      <w:r>
        <w:t xml:space="preserve">terminologicky </w:t>
      </w:r>
      <w:r w:rsidRPr="00AE301A">
        <w:t>nesprávně označuje tyto limity za FUP limity.</w:t>
      </w:r>
    </w:p>
  </w:footnote>
  <w:footnote w:id="17">
    <w:p w14:paraId="30399E28" w14:textId="77777777" w:rsidR="0082032B" w:rsidRPr="004E39A0" w:rsidRDefault="0082032B" w:rsidP="00266978">
      <w:pPr>
        <w:pStyle w:val="Poznmkypodarou"/>
      </w:pPr>
      <w:r w:rsidRPr="00141939">
        <w:rPr>
          <w:vertAlign w:val="superscript"/>
        </w:rPr>
        <w:footnoteRef/>
      </w:r>
      <w:r w:rsidRPr="004E39A0">
        <w:t xml:space="preserve"> Například O2 Extra výhody</w:t>
      </w:r>
      <w:r>
        <w:t>.</w:t>
      </w:r>
    </w:p>
  </w:footnote>
  <w:footnote w:id="18">
    <w:p w14:paraId="2D75421E" w14:textId="77777777" w:rsidR="0082032B" w:rsidRDefault="0082032B" w:rsidP="00266978">
      <w:pPr>
        <w:pStyle w:val="Poznmkypodarou"/>
      </w:pPr>
      <w:r w:rsidRPr="00141939">
        <w:rPr>
          <w:vertAlign w:val="superscript"/>
        </w:rPr>
        <w:footnoteRef/>
      </w:r>
      <w:r w:rsidRPr="004E39A0">
        <w:t xml:space="preserve"> Například O2 Knihovna</w:t>
      </w:r>
      <w:r>
        <w:t>.</w:t>
      </w:r>
    </w:p>
  </w:footnote>
  <w:footnote w:id="19">
    <w:p w14:paraId="5EE5A5C5" w14:textId="77777777" w:rsidR="0082032B" w:rsidRDefault="0082032B" w:rsidP="00F96CDC">
      <w:pPr>
        <w:pStyle w:val="Textpoznpodarou"/>
      </w:pPr>
      <w:r>
        <w:rPr>
          <w:rStyle w:val="Znakapoznpodarou"/>
        </w:rPr>
        <w:footnoteRef/>
      </w:r>
      <w:r>
        <w:t xml:space="preserve"> </w:t>
      </w:r>
      <w:r w:rsidRPr="00DE6BFC">
        <w:t>https://www.mpo.cz/cz/rozcestnik/pro-media/tiskove-zpravy/cena-mobilnich-dat-v-cr-za-posledni-dva-roky-klesla-o-polovinu--263337/</w:t>
      </w:r>
    </w:p>
  </w:footnote>
  <w:footnote w:id="20">
    <w:p w14:paraId="410DAE94" w14:textId="6DF695CF" w:rsidR="0082032B" w:rsidRDefault="0082032B">
      <w:pPr>
        <w:pStyle w:val="Textpoznpodarou"/>
      </w:pPr>
      <w:r>
        <w:rPr>
          <w:rStyle w:val="Znakapoznpodarou"/>
        </w:rPr>
        <w:footnoteRef/>
      </w:r>
      <w:r>
        <w:t xml:space="preserve"> </w:t>
      </w:r>
      <w:hyperlink r:id="rId1" w:history="1">
        <w:r w:rsidRPr="00093462">
          <w:rPr>
            <w:rStyle w:val="Hypertextovodkaz"/>
          </w:rPr>
          <w:t>https://digi.ctu.cz/pokryti/je</w:t>
        </w:r>
      </w:hyperlink>
      <w:r>
        <w:t xml:space="preserve"> </w:t>
      </w:r>
    </w:p>
  </w:footnote>
  <w:footnote w:id="21">
    <w:p w14:paraId="2FCDF4C7" w14:textId="222680CC" w:rsidR="0082032B" w:rsidRDefault="0082032B">
      <w:pPr>
        <w:pStyle w:val="Textpoznpodarou"/>
      </w:pPr>
      <w:r w:rsidRPr="00282215">
        <w:rPr>
          <w:rStyle w:val="Znakapoznpodarou"/>
        </w:rPr>
        <w:footnoteRef/>
      </w:r>
      <w:r w:rsidRPr="00282215">
        <w:t xml:space="preserve"> Viz veřejný registr smluv uzavřených ČTÚ. Například</w:t>
      </w:r>
      <w:r>
        <w:t xml:space="preserve">: </w:t>
      </w:r>
      <w:hyperlink r:id="rId2" w:history="1">
        <w:r w:rsidRPr="00DE46F0">
          <w:rPr>
            <w:rStyle w:val="Hypertextovodkaz"/>
          </w:rPr>
          <w:t>smlouva č. CTU/2021_089</w:t>
        </w:r>
      </w:hyperlink>
      <w:r>
        <w:t xml:space="preserve">, </w:t>
      </w:r>
      <w:hyperlink r:id="rId3" w:history="1">
        <w:r>
          <w:rPr>
            <w:rStyle w:val="Hypertextovodkaz"/>
          </w:rPr>
          <w:t>s</w:t>
        </w:r>
        <w:r w:rsidRPr="00DE46F0">
          <w:rPr>
            <w:rStyle w:val="Hypertextovodkaz"/>
          </w:rPr>
          <w:t>mlouva č. CTU/2021_088</w:t>
        </w:r>
      </w:hyperlink>
      <w:r>
        <w:t xml:space="preserve">, </w:t>
      </w:r>
      <w:hyperlink r:id="rId4" w:history="1">
        <w:r w:rsidRPr="00DE46F0">
          <w:rPr>
            <w:rStyle w:val="Hypertextovodkaz"/>
          </w:rPr>
          <w:t>smlouva č. CTU/2021_086</w:t>
        </w:r>
      </w:hyperlink>
      <w:r>
        <w:t xml:space="preserve">, </w:t>
      </w:r>
      <w:hyperlink r:id="rId5" w:history="1">
        <w:r w:rsidRPr="00DE46F0">
          <w:rPr>
            <w:rStyle w:val="Hypertextovodkaz"/>
          </w:rPr>
          <w:t>smlouva č. CTU/2021_090</w:t>
        </w:r>
      </w:hyperlink>
      <w:r>
        <w:t xml:space="preserve">, </w:t>
      </w:r>
      <w:hyperlink r:id="rId6" w:history="1">
        <w:r w:rsidRPr="00DE46F0">
          <w:rPr>
            <w:rStyle w:val="Hypertextovodkaz"/>
          </w:rPr>
          <w:t>smlouva č.  CTU/2021_087</w:t>
        </w:r>
      </w:hyperlink>
      <w:r>
        <w:t xml:space="preserve">, </w:t>
      </w:r>
      <w:hyperlink r:id="rId7" w:history="1">
        <w:r w:rsidRPr="00DE46F0">
          <w:rPr>
            <w:rStyle w:val="Hypertextovodkaz"/>
          </w:rPr>
          <w:t>smlouva č. CTU/2021_086</w:t>
        </w:r>
      </w:hyperlink>
      <w:r>
        <w:t xml:space="preserve"> </w:t>
      </w:r>
    </w:p>
  </w:footnote>
  <w:footnote w:id="22">
    <w:p w14:paraId="77C364CC" w14:textId="77777777" w:rsidR="0082032B" w:rsidRPr="00040DE6" w:rsidRDefault="0082032B" w:rsidP="0028750B">
      <w:pPr>
        <w:pStyle w:val="Poznmkypodarou"/>
      </w:pPr>
      <w:r w:rsidRPr="0030353D">
        <w:rPr>
          <w:vertAlign w:val="superscript"/>
        </w:rPr>
        <w:footnoteRef/>
      </w:r>
      <w:r w:rsidRPr="0030353D">
        <w:rPr>
          <w:vertAlign w:val="superscript"/>
        </w:rPr>
        <w:t xml:space="preserve"> </w:t>
      </w:r>
      <w:r>
        <w:t>Připomínáme, že</w:t>
      </w:r>
      <w:r w:rsidRPr="00040DE6">
        <w:t xml:space="preserve"> tzv. šedí operátoři</w:t>
      </w:r>
      <w:r>
        <w:t xml:space="preserve"> telekomunikační služby přeprodáva</w:t>
      </w:r>
      <w:r w:rsidRPr="00040DE6">
        <w:t>jí či obdobným způsobem distribuují svým jménem do rezidentního i firemního segmentu apriori nijak neomezeného, to však bez adekvátní smlouvy</w:t>
      </w:r>
      <w:r>
        <w:t xml:space="preserve"> s operátorem. V rámci tzv. zamě</w:t>
      </w:r>
      <w:r w:rsidRPr="00040DE6">
        <w:t>stnaneckých programů pak jsou telekomunikační služby distribuovány jménem zaměstnavatele, a to ty</w:t>
      </w:r>
      <w:r>
        <w:t>picky rodinným příslušníkům zamě</w:t>
      </w:r>
      <w:r w:rsidRPr="00040DE6">
        <w:t xml:space="preserve">stnanců se všemi negativními regulatorními a rovněž daňovými </w:t>
      </w:r>
      <w:r>
        <w:t>důsledky. Mezi typicky negativní</w:t>
      </w:r>
      <w:r w:rsidRPr="00040DE6">
        <w:t xml:space="preserve"> jev je skutečnost, že rodinný</w:t>
      </w:r>
      <w:r>
        <w:t xml:space="preserve"> příslušník nemá postavení spot</w:t>
      </w:r>
      <w:r w:rsidRPr="00040DE6">
        <w:t>řebitele (čerpá firemní služby zaměstnavatele)</w:t>
      </w:r>
      <w:r>
        <w:t>,</w:t>
      </w:r>
      <w:r w:rsidRPr="00040DE6">
        <w:t xml:space="preserve"> jakkoliv by takové postavení za normálního stavu věci měl mít</w:t>
      </w:r>
    </w:p>
  </w:footnote>
  <w:footnote w:id="23">
    <w:p w14:paraId="1DFEE710" w14:textId="77777777" w:rsidR="0082032B" w:rsidRPr="00040DE6" w:rsidRDefault="0082032B" w:rsidP="0028750B">
      <w:pPr>
        <w:pStyle w:val="Poznmkypodarou"/>
      </w:pPr>
      <w:r w:rsidRPr="0030353D">
        <w:rPr>
          <w:vertAlign w:val="superscript"/>
        </w:rPr>
        <w:footnoteRef/>
      </w:r>
      <w:r w:rsidRPr="00040DE6">
        <w:t xml:space="preserve"> Uvádíme, že tzv. zaměstnanecký program – jakkoliv z pohledu regulatorního i daňového problematický (viz výše) bývá často podmínkou</w:t>
      </w:r>
      <w:r>
        <w:t xml:space="preserve"> v rámci výběrových řízení, a to</w:t>
      </w:r>
      <w:r w:rsidRPr="00040DE6">
        <w:t xml:space="preserve"> jak soukromých subjektů, tak ale rovněž státních orgánů. Je to tedy i stát, který přispívá svým nestandardním</w:t>
      </w:r>
      <w:r>
        <w:t xml:space="preserve"> chováním ke zkreslování </w:t>
      </w:r>
      <w:r w:rsidRPr="00040DE6">
        <w:t>cenových nabídek.</w:t>
      </w:r>
    </w:p>
  </w:footnote>
  <w:footnote w:id="24">
    <w:p w14:paraId="56F31B84" w14:textId="77777777" w:rsidR="0082032B" w:rsidRDefault="0082032B" w:rsidP="0028750B">
      <w:pPr>
        <w:pStyle w:val="Poznmkypodarou"/>
      </w:pPr>
      <w:r>
        <w:rPr>
          <w:rStyle w:val="Znakapoznpodarou"/>
        </w:rPr>
        <w:footnoteRef/>
      </w:r>
      <w:r>
        <w:t xml:space="preserve"> Stejně jako v případě nelegálně podnikajících spolků, které mimo regulační a právní rámec podnikají především na trhu přístupu k pevnému internetovému připojení.</w:t>
      </w:r>
    </w:p>
  </w:footnote>
  <w:footnote w:id="25">
    <w:p w14:paraId="244657D7" w14:textId="77777777" w:rsidR="0082032B" w:rsidRDefault="0082032B" w:rsidP="004D00FF">
      <w:pPr>
        <w:pStyle w:val="Textpoznpodarou"/>
      </w:pPr>
      <w:r>
        <w:rPr>
          <w:rStyle w:val="Znakapoznpodarou"/>
        </w:rPr>
        <w:footnoteRef/>
      </w:r>
      <w:r>
        <w:t xml:space="preserve"> </w:t>
      </w:r>
      <w:r>
        <w:rPr>
          <w:rFonts w:cs="Arial"/>
          <w:szCs w:val="22"/>
        </w:rPr>
        <w:t>Mezi oprávněné subjekty ČTÚ zařadil dokonce i ty, které v dané aukci nezískaly jediný blok</w:t>
      </w:r>
      <w:r>
        <w:t>. Tato skutečnost je předmětem trvajícího řízení u Evropské komise.</w:t>
      </w:r>
    </w:p>
  </w:footnote>
  <w:footnote w:id="26">
    <w:p w14:paraId="39A49531" w14:textId="77777777" w:rsidR="0082032B" w:rsidRDefault="0082032B" w:rsidP="004D00FF">
      <w:pPr>
        <w:pStyle w:val="Textpoznpodarou"/>
      </w:pPr>
      <w:r w:rsidRPr="00282215">
        <w:rPr>
          <w:rStyle w:val="Znakapoznpodarou"/>
        </w:rPr>
        <w:footnoteRef/>
      </w:r>
      <w:r w:rsidRPr="00282215">
        <w:t xml:space="preserve"> Možným důvodem je to, že hlavním nebo jedním z hlavních tvůrců analýzy je slovenská společnost </w:t>
      </w:r>
      <w:proofErr w:type="spellStart"/>
      <w:r w:rsidRPr="00282215">
        <w:t>IstroAnalytica</w:t>
      </w:r>
      <w:proofErr w:type="spellEnd"/>
      <w:r w:rsidRPr="00282215">
        <w:t xml:space="preserve"> </w:t>
      </w:r>
      <w:r>
        <w:t xml:space="preserve">– viz smlouva č. </w:t>
      </w:r>
      <w:hyperlink r:id="rId8" w:history="1">
        <w:r w:rsidRPr="00282215">
          <w:rPr>
            <w:rStyle w:val="Hypertextovodkaz"/>
          </w:rPr>
          <w:t>CTU/2021_089</w:t>
        </w:r>
      </w:hyperlink>
      <w:r>
        <w:t xml:space="preserve"> v registru smluv.</w:t>
      </w:r>
    </w:p>
  </w:footnote>
  <w:footnote w:id="27">
    <w:p w14:paraId="79FC5A94" w14:textId="77777777" w:rsidR="0082032B" w:rsidRDefault="0082032B" w:rsidP="004D00FF">
      <w:pPr>
        <w:pStyle w:val="Textpoznpodarou"/>
      </w:pPr>
      <w:r>
        <w:rPr>
          <w:rStyle w:val="Znakapoznpodarou"/>
        </w:rPr>
        <w:footnoteRef/>
      </w:r>
      <w:r>
        <w:t xml:space="preserve"> </w:t>
      </w:r>
      <w:r w:rsidRPr="00173EBD">
        <w:t>https://www.mpo.cz/cz/rozcestnik/pro-media/tiskove-zpravy/cena-mobilnich-dat-v-cr-za-posledni-dva-roky-klesla-o-polovinu--263337/</w:t>
      </w:r>
    </w:p>
  </w:footnote>
  <w:footnote w:id="28">
    <w:p w14:paraId="57EB587C" w14:textId="44061FF2" w:rsidR="0082032B" w:rsidRDefault="0082032B">
      <w:pPr>
        <w:pStyle w:val="Textpoznpodarou"/>
      </w:pPr>
      <w:r>
        <w:rPr>
          <w:rStyle w:val="Znakapoznpodarou"/>
        </w:rPr>
        <w:footnoteRef/>
      </w:r>
      <w:r>
        <w:t xml:space="preserve"> Viz například analýzy společnosti </w:t>
      </w:r>
      <w:proofErr w:type="spellStart"/>
      <w:r>
        <w:t>Opensignal</w:t>
      </w:r>
      <w:proofErr w:type="spellEnd"/>
      <w:r>
        <w:t>.</w:t>
      </w:r>
    </w:p>
  </w:footnote>
  <w:footnote w:id="29">
    <w:p w14:paraId="55D6EC28" w14:textId="77777777" w:rsidR="0082032B" w:rsidRPr="00E6618D" w:rsidRDefault="0082032B" w:rsidP="00FB62E6">
      <w:pPr>
        <w:pStyle w:val="Zkladntext"/>
        <w:tabs>
          <w:tab w:val="left" w:pos="360"/>
        </w:tabs>
        <w:ind w:left="360" w:hanging="360"/>
        <w:rPr>
          <w:rFonts w:cs="Arial"/>
          <w:sz w:val="18"/>
          <w:szCs w:val="18"/>
        </w:rPr>
      </w:pPr>
      <w:r>
        <w:rPr>
          <w:rStyle w:val="Znakapoznpodarou"/>
          <w:rFonts w:ascii="Symbol" w:eastAsia="Symbol" w:hAnsi="Symbol" w:cs="Symbol"/>
        </w:rPr>
        <w:t>*</w:t>
      </w:r>
      <w:r>
        <w:rPr>
          <w:sz w:val="20"/>
        </w:rPr>
        <w:t>)</w:t>
      </w:r>
      <w:r>
        <w:rPr>
          <w:sz w:val="20"/>
        </w:rPr>
        <w:tab/>
      </w:r>
      <w:r w:rsidRPr="00E6618D">
        <w:rPr>
          <w:rFonts w:cs="Arial"/>
          <w:sz w:val="18"/>
          <w:szCs w:val="18"/>
        </w:rPr>
        <w:t xml:space="preserve">V případě zaslání tohoto formuláře elektronickou poštou nutno </w:t>
      </w:r>
      <w:r>
        <w:rPr>
          <w:rFonts w:cs="Arial"/>
          <w:sz w:val="18"/>
          <w:szCs w:val="18"/>
        </w:rPr>
        <w:t>opatřit</w:t>
      </w:r>
      <w:r w:rsidRPr="00E6618D">
        <w:rPr>
          <w:rFonts w:cs="Arial"/>
          <w:sz w:val="18"/>
          <w:szCs w:val="18"/>
        </w:rPr>
        <w:t xml:space="preserve"> příslušnou datovou zprávu</w:t>
      </w:r>
      <w:r>
        <w:rPr>
          <w:rFonts w:cs="Arial"/>
          <w:sz w:val="18"/>
          <w:szCs w:val="18"/>
        </w:rPr>
        <w:t xml:space="preserve"> uznávaným</w:t>
      </w:r>
      <w:r w:rsidRPr="00E6618D">
        <w:rPr>
          <w:rFonts w:cs="Arial"/>
          <w:sz w:val="18"/>
          <w:szCs w:val="18"/>
        </w:rPr>
        <w:t xml:space="preserve"> elektronickým podpisem.</w:t>
      </w:r>
    </w:p>
    <w:p w14:paraId="312E939F" w14:textId="77777777" w:rsidR="0082032B" w:rsidRPr="00E6618D" w:rsidRDefault="0082032B" w:rsidP="00FB62E6">
      <w:pPr>
        <w:pStyle w:val="Textpoznpodarou"/>
        <w:tabs>
          <w:tab w:val="left" w:pos="360"/>
        </w:tabs>
        <w:rPr>
          <w:rFonts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F0654" w14:textId="77777777" w:rsidR="0082032B" w:rsidRDefault="0082032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943F3" w14:textId="128CB671" w:rsidR="0082032B" w:rsidRDefault="0082032B">
    <w:pPr>
      <w:pStyle w:val="Zhlav"/>
    </w:pPr>
    <w:r>
      <w:rPr>
        <w:noProof/>
      </w:rPr>
      <w:drawing>
        <wp:anchor distT="0" distB="0" distL="114300" distR="114300" simplePos="0" relativeHeight="251659264" behindDoc="0" locked="1" layoutInCell="1" allowOverlap="1" wp14:anchorId="3B3FCADE" wp14:editId="7787A149">
          <wp:simplePos x="0" y="0"/>
          <wp:positionH relativeFrom="margin">
            <wp:align>center</wp:align>
          </wp:positionH>
          <wp:positionV relativeFrom="page">
            <wp:posOffset>448945</wp:posOffset>
          </wp:positionV>
          <wp:extent cx="513080" cy="504190"/>
          <wp:effectExtent l="0" t="0" r="1270" b="0"/>
          <wp:wrapNone/>
          <wp:docPr id="7" name="Picture 28" descr="NEW O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W O2 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3080" cy="5041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8968" w14:textId="77777777" w:rsidR="0082032B" w:rsidRDefault="008203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15C"/>
    <w:multiLevelType w:val="hybridMultilevel"/>
    <w:tmpl w:val="E80A74C0"/>
    <w:lvl w:ilvl="0" w:tplc="02CA4C0A">
      <w:start w:val="3"/>
      <w:numFmt w:val="decimal"/>
      <w:lvlText w:val="(%1)"/>
      <w:lvlJc w:val="left"/>
      <w:pPr>
        <w:tabs>
          <w:tab w:val="num" w:pos="360"/>
        </w:tabs>
        <w:ind w:left="360" w:hanging="360"/>
      </w:pPr>
      <w:rPr>
        <w:rFonts w:hint="default"/>
      </w:rPr>
    </w:lvl>
    <w:lvl w:ilvl="1" w:tplc="703C255A" w:tentative="1">
      <w:start w:val="1"/>
      <w:numFmt w:val="lowerLetter"/>
      <w:lvlText w:val="%2."/>
      <w:lvlJc w:val="left"/>
      <w:pPr>
        <w:tabs>
          <w:tab w:val="num" w:pos="1440"/>
        </w:tabs>
        <w:ind w:left="1440" w:hanging="360"/>
      </w:pPr>
    </w:lvl>
    <w:lvl w:ilvl="2" w:tplc="68D05860" w:tentative="1">
      <w:start w:val="1"/>
      <w:numFmt w:val="lowerRoman"/>
      <w:lvlText w:val="%3."/>
      <w:lvlJc w:val="right"/>
      <w:pPr>
        <w:tabs>
          <w:tab w:val="num" w:pos="2160"/>
        </w:tabs>
        <w:ind w:left="2160" w:hanging="180"/>
      </w:pPr>
    </w:lvl>
    <w:lvl w:ilvl="3" w:tplc="B6E64150" w:tentative="1">
      <w:start w:val="1"/>
      <w:numFmt w:val="decimal"/>
      <w:lvlText w:val="%4."/>
      <w:lvlJc w:val="left"/>
      <w:pPr>
        <w:tabs>
          <w:tab w:val="num" w:pos="2880"/>
        </w:tabs>
        <w:ind w:left="2880" w:hanging="360"/>
      </w:pPr>
    </w:lvl>
    <w:lvl w:ilvl="4" w:tplc="254E7A94" w:tentative="1">
      <w:start w:val="1"/>
      <w:numFmt w:val="lowerLetter"/>
      <w:lvlText w:val="%5."/>
      <w:lvlJc w:val="left"/>
      <w:pPr>
        <w:tabs>
          <w:tab w:val="num" w:pos="3600"/>
        </w:tabs>
        <w:ind w:left="3600" w:hanging="360"/>
      </w:pPr>
    </w:lvl>
    <w:lvl w:ilvl="5" w:tplc="F342E3DC" w:tentative="1">
      <w:start w:val="1"/>
      <w:numFmt w:val="lowerRoman"/>
      <w:lvlText w:val="%6."/>
      <w:lvlJc w:val="right"/>
      <w:pPr>
        <w:tabs>
          <w:tab w:val="num" w:pos="4320"/>
        </w:tabs>
        <w:ind w:left="4320" w:hanging="180"/>
      </w:pPr>
    </w:lvl>
    <w:lvl w:ilvl="6" w:tplc="1250F628" w:tentative="1">
      <w:start w:val="1"/>
      <w:numFmt w:val="decimal"/>
      <w:lvlText w:val="%7."/>
      <w:lvlJc w:val="left"/>
      <w:pPr>
        <w:tabs>
          <w:tab w:val="num" w:pos="5040"/>
        </w:tabs>
        <w:ind w:left="5040" w:hanging="360"/>
      </w:pPr>
    </w:lvl>
    <w:lvl w:ilvl="7" w:tplc="0FE059E6" w:tentative="1">
      <w:start w:val="1"/>
      <w:numFmt w:val="lowerLetter"/>
      <w:lvlText w:val="%8."/>
      <w:lvlJc w:val="left"/>
      <w:pPr>
        <w:tabs>
          <w:tab w:val="num" w:pos="5760"/>
        </w:tabs>
        <w:ind w:left="5760" w:hanging="360"/>
      </w:pPr>
    </w:lvl>
    <w:lvl w:ilvl="8" w:tplc="43DE06E4" w:tentative="1">
      <w:start w:val="1"/>
      <w:numFmt w:val="lowerRoman"/>
      <w:lvlText w:val="%9."/>
      <w:lvlJc w:val="right"/>
      <w:pPr>
        <w:tabs>
          <w:tab w:val="num" w:pos="6480"/>
        </w:tabs>
        <w:ind w:left="6480" w:hanging="180"/>
      </w:pPr>
    </w:lvl>
  </w:abstractNum>
  <w:abstractNum w:abstractNumId="1" w15:restartNumberingAfterBreak="0">
    <w:nsid w:val="027B565F"/>
    <w:multiLevelType w:val="singleLevel"/>
    <w:tmpl w:val="E3860D36"/>
    <w:lvl w:ilvl="0">
      <w:start w:val="1"/>
      <w:numFmt w:val="lowerLetter"/>
      <w:lvlText w:val="%1)"/>
      <w:lvlJc w:val="left"/>
      <w:pPr>
        <w:tabs>
          <w:tab w:val="num" w:pos="360"/>
        </w:tabs>
        <w:ind w:left="360" w:hanging="360"/>
      </w:pPr>
      <w:rPr>
        <w:rFonts w:hint="default"/>
      </w:rPr>
    </w:lvl>
  </w:abstractNum>
  <w:abstractNum w:abstractNumId="2" w15:restartNumberingAfterBreak="0">
    <w:nsid w:val="04E8796A"/>
    <w:multiLevelType w:val="hybridMultilevel"/>
    <w:tmpl w:val="4B288DA4"/>
    <w:lvl w:ilvl="0" w:tplc="4614C7E4">
      <w:start w:val="3"/>
      <w:numFmt w:val="decimal"/>
      <w:lvlText w:val="(%1)"/>
      <w:lvlJc w:val="left"/>
      <w:pPr>
        <w:tabs>
          <w:tab w:val="num" w:pos="360"/>
        </w:tabs>
        <w:ind w:left="360" w:hanging="360"/>
      </w:pPr>
      <w:rPr>
        <w:rFonts w:hint="default"/>
      </w:rPr>
    </w:lvl>
    <w:lvl w:ilvl="1" w:tplc="E9005E5A" w:tentative="1">
      <w:start w:val="1"/>
      <w:numFmt w:val="lowerLetter"/>
      <w:lvlText w:val="%2."/>
      <w:lvlJc w:val="left"/>
      <w:pPr>
        <w:tabs>
          <w:tab w:val="num" w:pos="1440"/>
        </w:tabs>
        <w:ind w:left="1440" w:hanging="360"/>
      </w:pPr>
    </w:lvl>
    <w:lvl w:ilvl="2" w:tplc="0CF46D0A" w:tentative="1">
      <w:start w:val="1"/>
      <w:numFmt w:val="lowerRoman"/>
      <w:lvlText w:val="%3."/>
      <w:lvlJc w:val="right"/>
      <w:pPr>
        <w:tabs>
          <w:tab w:val="num" w:pos="2160"/>
        </w:tabs>
        <w:ind w:left="2160" w:hanging="180"/>
      </w:pPr>
    </w:lvl>
    <w:lvl w:ilvl="3" w:tplc="975C31E0" w:tentative="1">
      <w:start w:val="1"/>
      <w:numFmt w:val="decimal"/>
      <w:lvlText w:val="%4."/>
      <w:lvlJc w:val="left"/>
      <w:pPr>
        <w:tabs>
          <w:tab w:val="num" w:pos="2880"/>
        </w:tabs>
        <w:ind w:left="2880" w:hanging="360"/>
      </w:pPr>
    </w:lvl>
    <w:lvl w:ilvl="4" w:tplc="AB22B08A" w:tentative="1">
      <w:start w:val="1"/>
      <w:numFmt w:val="lowerLetter"/>
      <w:lvlText w:val="%5."/>
      <w:lvlJc w:val="left"/>
      <w:pPr>
        <w:tabs>
          <w:tab w:val="num" w:pos="3600"/>
        </w:tabs>
        <w:ind w:left="3600" w:hanging="360"/>
      </w:pPr>
    </w:lvl>
    <w:lvl w:ilvl="5" w:tplc="1E701A3E" w:tentative="1">
      <w:start w:val="1"/>
      <w:numFmt w:val="lowerRoman"/>
      <w:lvlText w:val="%6."/>
      <w:lvlJc w:val="right"/>
      <w:pPr>
        <w:tabs>
          <w:tab w:val="num" w:pos="4320"/>
        </w:tabs>
        <w:ind w:left="4320" w:hanging="180"/>
      </w:pPr>
    </w:lvl>
    <w:lvl w:ilvl="6" w:tplc="38322BF0" w:tentative="1">
      <w:start w:val="1"/>
      <w:numFmt w:val="decimal"/>
      <w:lvlText w:val="%7."/>
      <w:lvlJc w:val="left"/>
      <w:pPr>
        <w:tabs>
          <w:tab w:val="num" w:pos="5040"/>
        </w:tabs>
        <w:ind w:left="5040" w:hanging="360"/>
      </w:pPr>
    </w:lvl>
    <w:lvl w:ilvl="7" w:tplc="FF120B06" w:tentative="1">
      <w:start w:val="1"/>
      <w:numFmt w:val="lowerLetter"/>
      <w:lvlText w:val="%8."/>
      <w:lvlJc w:val="left"/>
      <w:pPr>
        <w:tabs>
          <w:tab w:val="num" w:pos="5760"/>
        </w:tabs>
        <w:ind w:left="5760" w:hanging="360"/>
      </w:pPr>
    </w:lvl>
    <w:lvl w:ilvl="8" w:tplc="3096660E" w:tentative="1">
      <w:start w:val="1"/>
      <w:numFmt w:val="lowerRoman"/>
      <w:lvlText w:val="%9."/>
      <w:lvlJc w:val="right"/>
      <w:pPr>
        <w:tabs>
          <w:tab w:val="num" w:pos="6480"/>
        </w:tabs>
        <w:ind w:left="6480" w:hanging="180"/>
      </w:pPr>
    </w:lvl>
  </w:abstractNum>
  <w:abstractNum w:abstractNumId="3" w15:restartNumberingAfterBreak="0">
    <w:nsid w:val="05E42061"/>
    <w:multiLevelType w:val="multilevel"/>
    <w:tmpl w:val="C79C57A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417C79"/>
    <w:multiLevelType w:val="hybridMultilevel"/>
    <w:tmpl w:val="45E6EEAE"/>
    <w:lvl w:ilvl="0" w:tplc="FFFFFFFF">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AE22079"/>
    <w:multiLevelType w:val="singleLevel"/>
    <w:tmpl w:val="3B407DC6"/>
    <w:lvl w:ilvl="0">
      <w:start w:val="1"/>
      <w:numFmt w:val="decimal"/>
      <w:lvlText w:val="(%1)"/>
      <w:lvlJc w:val="left"/>
      <w:pPr>
        <w:tabs>
          <w:tab w:val="num" w:pos="360"/>
        </w:tabs>
        <w:ind w:left="360" w:hanging="360"/>
      </w:pPr>
      <w:rPr>
        <w:rFonts w:hint="default"/>
      </w:rPr>
    </w:lvl>
  </w:abstractNum>
  <w:abstractNum w:abstractNumId="6" w15:restartNumberingAfterBreak="0">
    <w:nsid w:val="0B254EF1"/>
    <w:multiLevelType w:val="singleLevel"/>
    <w:tmpl w:val="9FAE515E"/>
    <w:lvl w:ilvl="0">
      <w:start w:val="1"/>
      <w:numFmt w:val="lowerLetter"/>
      <w:lvlText w:val="%1)"/>
      <w:lvlJc w:val="left"/>
      <w:pPr>
        <w:tabs>
          <w:tab w:val="num" w:pos="360"/>
        </w:tabs>
        <w:ind w:left="360" w:hanging="360"/>
      </w:pPr>
    </w:lvl>
  </w:abstractNum>
  <w:abstractNum w:abstractNumId="7" w15:restartNumberingAfterBreak="0">
    <w:nsid w:val="10594FD2"/>
    <w:multiLevelType w:val="singleLevel"/>
    <w:tmpl w:val="C480EBD0"/>
    <w:lvl w:ilvl="0">
      <w:start w:val="1"/>
      <w:numFmt w:val="decimal"/>
      <w:lvlText w:val="(%1)"/>
      <w:lvlJc w:val="left"/>
      <w:pPr>
        <w:tabs>
          <w:tab w:val="num" w:pos="360"/>
        </w:tabs>
        <w:ind w:left="360" w:hanging="360"/>
      </w:pPr>
      <w:rPr>
        <w:rFonts w:hint="default"/>
      </w:rPr>
    </w:lvl>
  </w:abstractNum>
  <w:abstractNum w:abstractNumId="8" w15:restartNumberingAfterBreak="0">
    <w:nsid w:val="12667717"/>
    <w:multiLevelType w:val="singleLevel"/>
    <w:tmpl w:val="28AEE6BE"/>
    <w:lvl w:ilvl="0">
      <w:start w:val="1"/>
      <w:numFmt w:val="decimal"/>
      <w:pStyle w:val="Nadpis2"/>
      <w:lvlText w:val="%1."/>
      <w:lvlJc w:val="left"/>
      <w:pPr>
        <w:ind w:left="360" w:hanging="360"/>
      </w:pPr>
      <w:rPr>
        <w:rFonts w:hint="default"/>
      </w:rPr>
    </w:lvl>
  </w:abstractNum>
  <w:abstractNum w:abstractNumId="9" w15:restartNumberingAfterBreak="0">
    <w:nsid w:val="132A7401"/>
    <w:multiLevelType w:val="singleLevel"/>
    <w:tmpl w:val="3B407DC6"/>
    <w:lvl w:ilvl="0">
      <w:start w:val="1"/>
      <w:numFmt w:val="decimal"/>
      <w:lvlText w:val="(%1)"/>
      <w:lvlJc w:val="left"/>
      <w:pPr>
        <w:tabs>
          <w:tab w:val="num" w:pos="360"/>
        </w:tabs>
        <w:ind w:left="360" w:hanging="360"/>
      </w:pPr>
      <w:rPr>
        <w:rFonts w:hint="default"/>
      </w:rPr>
    </w:lvl>
  </w:abstractNum>
  <w:abstractNum w:abstractNumId="10" w15:restartNumberingAfterBreak="0">
    <w:nsid w:val="15602764"/>
    <w:multiLevelType w:val="hybridMultilevel"/>
    <w:tmpl w:val="9E7A3C2A"/>
    <w:lvl w:ilvl="0" w:tplc="E14A85BE">
      <w:start w:val="1"/>
      <w:numFmt w:val="bullet"/>
      <w:lvlText w:val=""/>
      <w:lvlJc w:val="left"/>
      <w:pPr>
        <w:ind w:left="720" w:hanging="360"/>
      </w:pPr>
      <w:rPr>
        <w:rFonts w:ascii="Wingdings 2" w:hAnsi="Wingdings 2" w:hint="default"/>
      </w:rPr>
    </w:lvl>
    <w:lvl w:ilvl="1" w:tplc="04050003">
      <w:start w:val="1"/>
      <w:numFmt w:val="bullet"/>
      <w:lvlText w:val="o"/>
      <w:lvlJc w:val="left"/>
      <w:pPr>
        <w:ind w:left="1440" w:hanging="360"/>
      </w:pPr>
      <w:rPr>
        <w:rFonts w:ascii="Courier New" w:hAnsi="Courier New" w:cs="Courier New" w:hint="default"/>
      </w:rPr>
    </w:lvl>
    <w:lvl w:ilvl="2" w:tplc="9BEE9496">
      <w:numFmt w:val="bullet"/>
      <w:lvlText w:val="-"/>
      <w:lvlJc w:val="left"/>
      <w:pPr>
        <w:ind w:left="2505" w:hanging="705"/>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F6255F"/>
    <w:multiLevelType w:val="hybridMultilevel"/>
    <w:tmpl w:val="A8844DDE"/>
    <w:lvl w:ilvl="0" w:tplc="E020C234">
      <w:start w:val="1"/>
      <w:numFmt w:val="decimal"/>
      <w:lvlText w:val="%1."/>
      <w:lvlJc w:val="left"/>
      <w:pPr>
        <w:tabs>
          <w:tab w:val="num" w:pos="720"/>
        </w:tabs>
        <w:ind w:left="720" w:hanging="360"/>
      </w:pPr>
      <w:rPr>
        <w:rFonts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E14A79"/>
    <w:multiLevelType w:val="hybridMultilevel"/>
    <w:tmpl w:val="5F5E2D82"/>
    <w:lvl w:ilvl="0" w:tplc="D2909812">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3" w15:restartNumberingAfterBreak="0">
    <w:nsid w:val="2720439B"/>
    <w:multiLevelType w:val="hybridMultilevel"/>
    <w:tmpl w:val="6BC25620"/>
    <w:lvl w:ilvl="0" w:tplc="CEC4EB7A">
      <w:numFmt w:val="bullet"/>
      <w:lvlText w:val="-"/>
      <w:lvlJc w:val="left"/>
      <w:pPr>
        <w:ind w:left="1276" w:hanging="283"/>
      </w:pPr>
      <w:rPr>
        <w:rFonts w:ascii="Arial" w:eastAsia="Times New Roman" w:hAnsi="Arial" w:cs="Aria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4" w15:restartNumberingAfterBreak="0">
    <w:nsid w:val="2B5B0182"/>
    <w:multiLevelType w:val="hybridMultilevel"/>
    <w:tmpl w:val="309A0696"/>
    <w:lvl w:ilvl="0" w:tplc="73C014FE">
      <w:start w:val="1"/>
      <w:numFmt w:val="decimal"/>
      <w:lvlText w:val="%1."/>
      <w:lvlJc w:val="left"/>
      <w:pPr>
        <w:tabs>
          <w:tab w:val="num" w:pos="720"/>
        </w:tabs>
        <w:ind w:left="720" w:hanging="360"/>
      </w:pPr>
    </w:lvl>
    <w:lvl w:ilvl="1" w:tplc="CF92A044" w:tentative="1">
      <w:start w:val="1"/>
      <w:numFmt w:val="lowerLetter"/>
      <w:lvlText w:val="%2."/>
      <w:lvlJc w:val="left"/>
      <w:pPr>
        <w:tabs>
          <w:tab w:val="num" w:pos="1440"/>
        </w:tabs>
        <w:ind w:left="1440" w:hanging="360"/>
      </w:pPr>
    </w:lvl>
    <w:lvl w:ilvl="2" w:tplc="C302E0EE" w:tentative="1">
      <w:start w:val="1"/>
      <w:numFmt w:val="lowerRoman"/>
      <w:lvlText w:val="%3."/>
      <w:lvlJc w:val="right"/>
      <w:pPr>
        <w:tabs>
          <w:tab w:val="num" w:pos="2160"/>
        </w:tabs>
        <w:ind w:left="2160" w:hanging="180"/>
      </w:pPr>
    </w:lvl>
    <w:lvl w:ilvl="3" w:tplc="9166682C" w:tentative="1">
      <w:start w:val="1"/>
      <w:numFmt w:val="decimal"/>
      <w:lvlText w:val="%4."/>
      <w:lvlJc w:val="left"/>
      <w:pPr>
        <w:tabs>
          <w:tab w:val="num" w:pos="2880"/>
        </w:tabs>
        <w:ind w:left="2880" w:hanging="360"/>
      </w:pPr>
    </w:lvl>
    <w:lvl w:ilvl="4" w:tplc="ED7EBB00" w:tentative="1">
      <w:start w:val="1"/>
      <w:numFmt w:val="lowerLetter"/>
      <w:lvlText w:val="%5."/>
      <w:lvlJc w:val="left"/>
      <w:pPr>
        <w:tabs>
          <w:tab w:val="num" w:pos="3600"/>
        </w:tabs>
        <w:ind w:left="3600" w:hanging="360"/>
      </w:pPr>
    </w:lvl>
    <w:lvl w:ilvl="5" w:tplc="6D980096" w:tentative="1">
      <w:start w:val="1"/>
      <w:numFmt w:val="lowerRoman"/>
      <w:lvlText w:val="%6."/>
      <w:lvlJc w:val="right"/>
      <w:pPr>
        <w:tabs>
          <w:tab w:val="num" w:pos="4320"/>
        </w:tabs>
        <w:ind w:left="4320" w:hanging="180"/>
      </w:pPr>
    </w:lvl>
    <w:lvl w:ilvl="6" w:tplc="C0D67206" w:tentative="1">
      <w:start w:val="1"/>
      <w:numFmt w:val="decimal"/>
      <w:lvlText w:val="%7."/>
      <w:lvlJc w:val="left"/>
      <w:pPr>
        <w:tabs>
          <w:tab w:val="num" w:pos="5040"/>
        </w:tabs>
        <w:ind w:left="5040" w:hanging="360"/>
      </w:pPr>
    </w:lvl>
    <w:lvl w:ilvl="7" w:tplc="DCF67994" w:tentative="1">
      <w:start w:val="1"/>
      <w:numFmt w:val="lowerLetter"/>
      <w:lvlText w:val="%8."/>
      <w:lvlJc w:val="left"/>
      <w:pPr>
        <w:tabs>
          <w:tab w:val="num" w:pos="5760"/>
        </w:tabs>
        <w:ind w:left="5760" w:hanging="360"/>
      </w:pPr>
    </w:lvl>
    <w:lvl w:ilvl="8" w:tplc="A1944448" w:tentative="1">
      <w:start w:val="1"/>
      <w:numFmt w:val="lowerRoman"/>
      <w:lvlText w:val="%9."/>
      <w:lvlJc w:val="right"/>
      <w:pPr>
        <w:tabs>
          <w:tab w:val="num" w:pos="6480"/>
        </w:tabs>
        <w:ind w:left="6480" w:hanging="180"/>
      </w:pPr>
    </w:lvl>
  </w:abstractNum>
  <w:abstractNum w:abstractNumId="15" w15:restartNumberingAfterBreak="0">
    <w:nsid w:val="2CB269C5"/>
    <w:multiLevelType w:val="singleLevel"/>
    <w:tmpl w:val="9FAE515E"/>
    <w:lvl w:ilvl="0">
      <w:start w:val="1"/>
      <w:numFmt w:val="lowerLetter"/>
      <w:lvlText w:val="%1)"/>
      <w:lvlJc w:val="left"/>
      <w:pPr>
        <w:tabs>
          <w:tab w:val="num" w:pos="360"/>
        </w:tabs>
        <w:ind w:left="360" w:hanging="360"/>
      </w:pPr>
    </w:lvl>
  </w:abstractNum>
  <w:abstractNum w:abstractNumId="16" w15:restartNumberingAfterBreak="0">
    <w:nsid w:val="2D235928"/>
    <w:multiLevelType w:val="singleLevel"/>
    <w:tmpl w:val="4AA27880"/>
    <w:lvl w:ilvl="0">
      <w:start w:val="1"/>
      <w:numFmt w:val="decimal"/>
      <w:lvlText w:val="(%1)"/>
      <w:lvlJc w:val="left"/>
      <w:pPr>
        <w:tabs>
          <w:tab w:val="num" w:pos="360"/>
        </w:tabs>
        <w:ind w:left="360" w:hanging="360"/>
      </w:pPr>
      <w:rPr>
        <w:rFonts w:hint="default"/>
      </w:rPr>
    </w:lvl>
  </w:abstractNum>
  <w:abstractNum w:abstractNumId="17" w15:restartNumberingAfterBreak="0">
    <w:nsid w:val="2E856EFE"/>
    <w:multiLevelType w:val="hybridMultilevel"/>
    <w:tmpl w:val="DB84ED0E"/>
    <w:lvl w:ilvl="0" w:tplc="89923638">
      <w:start w:val="1"/>
      <w:numFmt w:val="decimal"/>
      <w:lvlText w:val="(%1)"/>
      <w:lvlJc w:val="left"/>
      <w:pPr>
        <w:tabs>
          <w:tab w:val="num" w:pos="900"/>
        </w:tabs>
        <w:ind w:left="900" w:hanging="360"/>
      </w:pPr>
      <w:rPr>
        <w:rFonts w:hint="default"/>
      </w:rPr>
    </w:lvl>
    <w:lvl w:ilvl="1" w:tplc="8C54FEE6" w:tentative="1">
      <w:start w:val="1"/>
      <w:numFmt w:val="lowerLetter"/>
      <w:lvlText w:val="%2."/>
      <w:lvlJc w:val="left"/>
      <w:pPr>
        <w:tabs>
          <w:tab w:val="num" w:pos="1980"/>
        </w:tabs>
        <w:ind w:left="1980" w:hanging="360"/>
      </w:pPr>
    </w:lvl>
    <w:lvl w:ilvl="2" w:tplc="86307936" w:tentative="1">
      <w:start w:val="1"/>
      <w:numFmt w:val="lowerRoman"/>
      <w:lvlText w:val="%3."/>
      <w:lvlJc w:val="right"/>
      <w:pPr>
        <w:tabs>
          <w:tab w:val="num" w:pos="2700"/>
        </w:tabs>
        <w:ind w:left="2700" w:hanging="180"/>
      </w:pPr>
    </w:lvl>
    <w:lvl w:ilvl="3" w:tplc="70F602B6" w:tentative="1">
      <w:start w:val="1"/>
      <w:numFmt w:val="decimal"/>
      <w:lvlText w:val="%4."/>
      <w:lvlJc w:val="left"/>
      <w:pPr>
        <w:tabs>
          <w:tab w:val="num" w:pos="3420"/>
        </w:tabs>
        <w:ind w:left="3420" w:hanging="360"/>
      </w:pPr>
    </w:lvl>
    <w:lvl w:ilvl="4" w:tplc="41A49A5E" w:tentative="1">
      <w:start w:val="1"/>
      <w:numFmt w:val="lowerLetter"/>
      <w:lvlText w:val="%5."/>
      <w:lvlJc w:val="left"/>
      <w:pPr>
        <w:tabs>
          <w:tab w:val="num" w:pos="4140"/>
        </w:tabs>
        <w:ind w:left="4140" w:hanging="360"/>
      </w:pPr>
    </w:lvl>
    <w:lvl w:ilvl="5" w:tplc="84D2E64C" w:tentative="1">
      <w:start w:val="1"/>
      <w:numFmt w:val="lowerRoman"/>
      <w:lvlText w:val="%6."/>
      <w:lvlJc w:val="right"/>
      <w:pPr>
        <w:tabs>
          <w:tab w:val="num" w:pos="4860"/>
        </w:tabs>
        <w:ind w:left="4860" w:hanging="180"/>
      </w:pPr>
    </w:lvl>
    <w:lvl w:ilvl="6" w:tplc="7CA073F2" w:tentative="1">
      <w:start w:val="1"/>
      <w:numFmt w:val="decimal"/>
      <w:lvlText w:val="%7."/>
      <w:lvlJc w:val="left"/>
      <w:pPr>
        <w:tabs>
          <w:tab w:val="num" w:pos="5580"/>
        </w:tabs>
        <w:ind w:left="5580" w:hanging="360"/>
      </w:pPr>
    </w:lvl>
    <w:lvl w:ilvl="7" w:tplc="8F007A6A" w:tentative="1">
      <w:start w:val="1"/>
      <w:numFmt w:val="lowerLetter"/>
      <w:lvlText w:val="%8."/>
      <w:lvlJc w:val="left"/>
      <w:pPr>
        <w:tabs>
          <w:tab w:val="num" w:pos="6300"/>
        </w:tabs>
        <w:ind w:left="6300" w:hanging="360"/>
      </w:pPr>
    </w:lvl>
    <w:lvl w:ilvl="8" w:tplc="92C2B656" w:tentative="1">
      <w:start w:val="1"/>
      <w:numFmt w:val="lowerRoman"/>
      <w:lvlText w:val="%9."/>
      <w:lvlJc w:val="right"/>
      <w:pPr>
        <w:tabs>
          <w:tab w:val="num" w:pos="7020"/>
        </w:tabs>
        <w:ind w:left="7020" w:hanging="180"/>
      </w:pPr>
    </w:lvl>
  </w:abstractNum>
  <w:abstractNum w:abstractNumId="18" w15:restartNumberingAfterBreak="0">
    <w:nsid w:val="2E860FED"/>
    <w:multiLevelType w:val="hybridMultilevel"/>
    <w:tmpl w:val="7618F56A"/>
    <w:lvl w:ilvl="0" w:tplc="B8AA042E">
      <w:start w:val="1"/>
      <w:numFmt w:val="decimal"/>
      <w:lvlText w:val="(%1)"/>
      <w:lvlJc w:val="left"/>
      <w:pPr>
        <w:tabs>
          <w:tab w:val="num" w:pos="360"/>
        </w:tabs>
        <w:ind w:left="360" w:hanging="360"/>
      </w:pPr>
      <w:rPr>
        <w:rFonts w:hint="default"/>
      </w:rPr>
    </w:lvl>
    <w:lvl w:ilvl="1" w:tplc="D570C07E" w:tentative="1">
      <w:start w:val="1"/>
      <w:numFmt w:val="lowerLetter"/>
      <w:lvlText w:val="%2."/>
      <w:lvlJc w:val="left"/>
      <w:pPr>
        <w:tabs>
          <w:tab w:val="num" w:pos="1440"/>
        </w:tabs>
        <w:ind w:left="1440" w:hanging="360"/>
      </w:pPr>
    </w:lvl>
    <w:lvl w:ilvl="2" w:tplc="2990C236" w:tentative="1">
      <w:start w:val="1"/>
      <w:numFmt w:val="lowerRoman"/>
      <w:lvlText w:val="%3."/>
      <w:lvlJc w:val="right"/>
      <w:pPr>
        <w:tabs>
          <w:tab w:val="num" w:pos="2160"/>
        </w:tabs>
        <w:ind w:left="2160" w:hanging="180"/>
      </w:pPr>
    </w:lvl>
    <w:lvl w:ilvl="3" w:tplc="2278AE56" w:tentative="1">
      <w:start w:val="1"/>
      <w:numFmt w:val="decimal"/>
      <w:lvlText w:val="%4."/>
      <w:lvlJc w:val="left"/>
      <w:pPr>
        <w:tabs>
          <w:tab w:val="num" w:pos="2880"/>
        </w:tabs>
        <w:ind w:left="2880" w:hanging="360"/>
      </w:pPr>
    </w:lvl>
    <w:lvl w:ilvl="4" w:tplc="BC6C222C" w:tentative="1">
      <w:start w:val="1"/>
      <w:numFmt w:val="lowerLetter"/>
      <w:lvlText w:val="%5."/>
      <w:lvlJc w:val="left"/>
      <w:pPr>
        <w:tabs>
          <w:tab w:val="num" w:pos="3600"/>
        </w:tabs>
        <w:ind w:left="3600" w:hanging="360"/>
      </w:pPr>
    </w:lvl>
    <w:lvl w:ilvl="5" w:tplc="39920910" w:tentative="1">
      <w:start w:val="1"/>
      <w:numFmt w:val="lowerRoman"/>
      <w:lvlText w:val="%6."/>
      <w:lvlJc w:val="right"/>
      <w:pPr>
        <w:tabs>
          <w:tab w:val="num" w:pos="4320"/>
        </w:tabs>
        <w:ind w:left="4320" w:hanging="180"/>
      </w:pPr>
    </w:lvl>
    <w:lvl w:ilvl="6" w:tplc="17C09F2C" w:tentative="1">
      <w:start w:val="1"/>
      <w:numFmt w:val="decimal"/>
      <w:lvlText w:val="%7."/>
      <w:lvlJc w:val="left"/>
      <w:pPr>
        <w:tabs>
          <w:tab w:val="num" w:pos="5040"/>
        </w:tabs>
        <w:ind w:left="5040" w:hanging="360"/>
      </w:pPr>
    </w:lvl>
    <w:lvl w:ilvl="7" w:tplc="EF0A0260" w:tentative="1">
      <w:start w:val="1"/>
      <w:numFmt w:val="lowerLetter"/>
      <w:lvlText w:val="%8."/>
      <w:lvlJc w:val="left"/>
      <w:pPr>
        <w:tabs>
          <w:tab w:val="num" w:pos="5760"/>
        </w:tabs>
        <w:ind w:left="5760" w:hanging="360"/>
      </w:pPr>
    </w:lvl>
    <w:lvl w:ilvl="8" w:tplc="90DE0BD8" w:tentative="1">
      <w:start w:val="1"/>
      <w:numFmt w:val="lowerRoman"/>
      <w:lvlText w:val="%9."/>
      <w:lvlJc w:val="right"/>
      <w:pPr>
        <w:tabs>
          <w:tab w:val="num" w:pos="6480"/>
        </w:tabs>
        <w:ind w:left="6480" w:hanging="180"/>
      </w:pPr>
    </w:lvl>
  </w:abstractNum>
  <w:abstractNum w:abstractNumId="19" w15:restartNumberingAfterBreak="0">
    <w:nsid w:val="35496C4B"/>
    <w:multiLevelType w:val="hybridMultilevel"/>
    <w:tmpl w:val="7DB62D94"/>
    <w:lvl w:ilvl="0" w:tplc="DCD43F8E">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15:restartNumberingAfterBreak="0">
    <w:nsid w:val="38D32481"/>
    <w:multiLevelType w:val="hybridMultilevel"/>
    <w:tmpl w:val="3F98081E"/>
    <w:lvl w:ilvl="0" w:tplc="E020C234">
      <w:start w:val="1"/>
      <w:numFmt w:val="decimal"/>
      <w:lvlText w:val="%1."/>
      <w:lvlJc w:val="left"/>
      <w:pPr>
        <w:tabs>
          <w:tab w:val="num" w:pos="720"/>
        </w:tabs>
        <w:ind w:left="720" w:hanging="360"/>
      </w:pPr>
      <w:rPr>
        <w:rFonts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BED3200"/>
    <w:multiLevelType w:val="singleLevel"/>
    <w:tmpl w:val="804C4D64"/>
    <w:lvl w:ilvl="0">
      <w:start w:val="1"/>
      <w:numFmt w:val="decimal"/>
      <w:lvlText w:val="(%1)"/>
      <w:lvlJc w:val="left"/>
      <w:pPr>
        <w:tabs>
          <w:tab w:val="num" w:pos="360"/>
        </w:tabs>
        <w:ind w:left="360" w:hanging="360"/>
      </w:pPr>
      <w:rPr>
        <w:rFonts w:hint="default"/>
      </w:rPr>
    </w:lvl>
  </w:abstractNum>
  <w:abstractNum w:abstractNumId="22" w15:restartNumberingAfterBreak="0">
    <w:nsid w:val="419834C1"/>
    <w:multiLevelType w:val="singleLevel"/>
    <w:tmpl w:val="A7D645E2"/>
    <w:lvl w:ilvl="0">
      <w:start w:val="1"/>
      <w:numFmt w:val="decimal"/>
      <w:lvlText w:val="(%1)"/>
      <w:lvlJc w:val="left"/>
      <w:pPr>
        <w:tabs>
          <w:tab w:val="num" w:pos="360"/>
        </w:tabs>
        <w:ind w:left="360" w:hanging="360"/>
      </w:pPr>
      <w:rPr>
        <w:rFonts w:hint="default"/>
      </w:rPr>
    </w:lvl>
  </w:abstractNum>
  <w:abstractNum w:abstractNumId="23" w15:restartNumberingAfterBreak="0">
    <w:nsid w:val="42BF63A2"/>
    <w:multiLevelType w:val="singleLevel"/>
    <w:tmpl w:val="3B407DC6"/>
    <w:lvl w:ilvl="0">
      <w:start w:val="1"/>
      <w:numFmt w:val="decimal"/>
      <w:lvlText w:val="(%1)"/>
      <w:lvlJc w:val="left"/>
      <w:pPr>
        <w:tabs>
          <w:tab w:val="num" w:pos="360"/>
        </w:tabs>
        <w:ind w:left="360" w:hanging="360"/>
      </w:pPr>
      <w:rPr>
        <w:rFonts w:hint="default"/>
      </w:rPr>
    </w:lvl>
  </w:abstractNum>
  <w:abstractNum w:abstractNumId="24" w15:restartNumberingAfterBreak="0">
    <w:nsid w:val="46F32A32"/>
    <w:multiLevelType w:val="hybridMultilevel"/>
    <w:tmpl w:val="DFBA6220"/>
    <w:lvl w:ilvl="0" w:tplc="D9C016A8">
      <w:start w:val="897"/>
      <w:numFmt w:val="bullet"/>
      <w:lvlText w:val="-"/>
      <w:lvlJc w:val="left"/>
      <w:pPr>
        <w:ind w:left="1068" w:hanging="360"/>
      </w:pPr>
      <w:rPr>
        <w:rFonts w:ascii="Garamond" w:eastAsia="Times New Roman" w:hAnsi="Garamond"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4ACC3248"/>
    <w:multiLevelType w:val="hybridMultilevel"/>
    <w:tmpl w:val="6A22FF4A"/>
    <w:lvl w:ilvl="0" w:tplc="09544356">
      <w:start w:val="1"/>
      <w:numFmt w:val="upperRoman"/>
      <w:pStyle w:val="Nadpis1"/>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747873"/>
    <w:multiLevelType w:val="singleLevel"/>
    <w:tmpl w:val="2DD476E4"/>
    <w:lvl w:ilvl="0">
      <w:start w:val="1"/>
      <w:numFmt w:val="decimal"/>
      <w:lvlText w:val="(%1)"/>
      <w:lvlJc w:val="left"/>
      <w:pPr>
        <w:tabs>
          <w:tab w:val="num" w:pos="360"/>
        </w:tabs>
        <w:ind w:left="360" w:hanging="360"/>
      </w:pPr>
      <w:rPr>
        <w:rFonts w:hint="default"/>
        <w:b w:val="0"/>
        <w:i w:val="0"/>
        <w:sz w:val="24"/>
      </w:rPr>
    </w:lvl>
  </w:abstractNum>
  <w:abstractNum w:abstractNumId="27" w15:restartNumberingAfterBreak="0">
    <w:nsid w:val="4BE37FAF"/>
    <w:multiLevelType w:val="singleLevel"/>
    <w:tmpl w:val="6BDC4E62"/>
    <w:lvl w:ilvl="0">
      <w:start w:val="2"/>
      <w:numFmt w:val="decimal"/>
      <w:lvlText w:val="(%1)"/>
      <w:lvlJc w:val="left"/>
      <w:pPr>
        <w:tabs>
          <w:tab w:val="num" w:pos="360"/>
        </w:tabs>
        <w:ind w:left="360" w:hanging="360"/>
      </w:pPr>
      <w:rPr>
        <w:rFonts w:hint="default"/>
      </w:rPr>
    </w:lvl>
  </w:abstractNum>
  <w:abstractNum w:abstractNumId="28" w15:restartNumberingAfterBreak="0">
    <w:nsid w:val="4E403515"/>
    <w:multiLevelType w:val="singleLevel"/>
    <w:tmpl w:val="3B407DC6"/>
    <w:lvl w:ilvl="0">
      <w:start w:val="1"/>
      <w:numFmt w:val="decimal"/>
      <w:lvlText w:val="(%1)"/>
      <w:lvlJc w:val="left"/>
      <w:pPr>
        <w:tabs>
          <w:tab w:val="num" w:pos="360"/>
        </w:tabs>
        <w:ind w:left="360" w:hanging="360"/>
      </w:pPr>
      <w:rPr>
        <w:rFonts w:hint="default"/>
      </w:rPr>
    </w:lvl>
  </w:abstractNum>
  <w:abstractNum w:abstractNumId="29" w15:restartNumberingAfterBreak="0">
    <w:nsid w:val="50C2560B"/>
    <w:multiLevelType w:val="hybridMultilevel"/>
    <w:tmpl w:val="58A2A352"/>
    <w:lvl w:ilvl="0" w:tplc="72B041CE">
      <w:start w:val="1"/>
      <w:numFmt w:val="decimal"/>
      <w:lvlText w:val="(%1)"/>
      <w:lvlJc w:val="left"/>
      <w:pPr>
        <w:tabs>
          <w:tab w:val="num" w:pos="786"/>
        </w:tabs>
        <w:ind w:left="786" w:hanging="360"/>
      </w:pPr>
      <w:rPr>
        <w:rFonts w:hint="default"/>
      </w:rPr>
    </w:lvl>
    <w:lvl w:ilvl="1" w:tplc="FAFAF526" w:tentative="1">
      <w:start w:val="1"/>
      <w:numFmt w:val="lowerLetter"/>
      <w:lvlText w:val="%2."/>
      <w:lvlJc w:val="left"/>
      <w:pPr>
        <w:tabs>
          <w:tab w:val="num" w:pos="1866"/>
        </w:tabs>
        <w:ind w:left="1866" w:hanging="360"/>
      </w:pPr>
    </w:lvl>
    <w:lvl w:ilvl="2" w:tplc="48A675D0" w:tentative="1">
      <w:start w:val="1"/>
      <w:numFmt w:val="lowerRoman"/>
      <w:lvlText w:val="%3."/>
      <w:lvlJc w:val="right"/>
      <w:pPr>
        <w:tabs>
          <w:tab w:val="num" w:pos="2586"/>
        </w:tabs>
        <w:ind w:left="2586" w:hanging="180"/>
      </w:pPr>
    </w:lvl>
    <w:lvl w:ilvl="3" w:tplc="0C685AE6" w:tentative="1">
      <w:start w:val="1"/>
      <w:numFmt w:val="decimal"/>
      <w:lvlText w:val="%4."/>
      <w:lvlJc w:val="left"/>
      <w:pPr>
        <w:tabs>
          <w:tab w:val="num" w:pos="3306"/>
        </w:tabs>
        <w:ind w:left="3306" w:hanging="360"/>
      </w:pPr>
    </w:lvl>
    <w:lvl w:ilvl="4" w:tplc="A0A67B8E" w:tentative="1">
      <w:start w:val="1"/>
      <w:numFmt w:val="lowerLetter"/>
      <w:lvlText w:val="%5."/>
      <w:lvlJc w:val="left"/>
      <w:pPr>
        <w:tabs>
          <w:tab w:val="num" w:pos="4026"/>
        </w:tabs>
        <w:ind w:left="4026" w:hanging="360"/>
      </w:pPr>
    </w:lvl>
    <w:lvl w:ilvl="5" w:tplc="5CCECD54" w:tentative="1">
      <w:start w:val="1"/>
      <w:numFmt w:val="lowerRoman"/>
      <w:lvlText w:val="%6."/>
      <w:lvlJc w:val="right"/>
      <w:pPr>
        <w:tabs>
          <w:tab w:val="num" w:pos="4746"/>
        </w:tabs>
        <w:ind w:left="4746" w:hanging="180"/>
      </w:pPr>
    </w:lvl>
    <w:lvl w:ilvl="6" w:tplc="AE440E12" w:tentative="1">
      <w:start w:val="1"/>
      <w:numFmt w:val="decimal"/>
      <w:lvlText w:val="%7."/>
      <w:lvlJc w:val="left"/>
      <w:pPr>
        <w:tabs>
          <w:tab w:val="num" w:pos="5466"/>
        </w:tabs>
        <w:ind w:left="5466" w:hanging="360"/>
      </w:pPr>
    </w:lvl>
    <w:lvl w:ilvl="7" w:tplc="4A040CA0" w:tentative="1">
      <w:start w:val="1"/>
      <w:numFmt w:val="lowerLetter"/>
      <w:lvlText w:val="%8."/>
      <w:lvlJc w:val="left"/>
      <w:pPr>
        <w:tabs>
          <w:tab w:val="num" w:pos="6186"/>
        </w:tabs>
        <w:ind w:left="6186" w:hanging="360"/>
      </w:pPr>
    </w:lvl>
    <w:lvl w:ilvl="8" w:tplc="B55E6DE8" w:tentative="1">
      <w:start w:val="1"/>
      <w:numFmt w:val="lowerRoman"/>
      <w:lvlText w:val="%9."/>
      <w:lvlJc w:val="right"/>
      <w:pPr>
        <w:tabs>
          <w:tab w:val="num" w:pos="6906"/>
        </w:tabs>
        <w:ind w:left="6906" w:hanging="180"/>
      </w:pPr>
    </w:lvl>
  </w:abstractNum>
  <w:abstractNum w:abstractNumId="30" w15:restartNumberingAfterBreak="0">
    <w:nsid w:val="52350B01"/>
    <w:multiLevelType w:val="singleLevel"/>
    <w:tmpl w:val="ABC0617E"/>
    <w:lvl w:ilvl="0">
      <w:start w:val="1"/>
      <w:numFmt w:val="lowerLetter"/>
      <w:lvlText w:val="%1)"/>
      <w:lvlJc w:val="left"/>
      <w:pPr>
        <w:tabs>
          <w:tab w:val="num" w:pos="360"/>
        </w:tabs>
        <w:ind w:left="360" w:hanging="360"/>
      </w:pPr>
    </w:lvl>
  </w:abstractNum>
  <w:abstractNum w:abstractNumId="31" w15:restartNumberingAfterBreak="0">
    <w:nsid w:val="54F46E68"/>
    <w:multiLevelType w:val="singleLevel"/>
    <w:tmpl w:val="A20E9A8E"/>
    <w:lvl w:ilvl="0">
      <w:start w:val="2"/>
      <w:numFmt w:val="decimal"/>
      <w:lvlText w:val="(%1)"/>
      <w:lvlJc w:val="left"/>
      <w:pPr>
        <w:tabs>
          <w:tab w:val="num" w:pos="360"/>
        </w:tabs>
        <w:ind w:left="360" w:hanging="360"/>
      </w:pPr>
      <w:rPr>
        <w:rFonts w:hint="default"/>
      </w:rPr>
    </w:lvl>
  </w:abstractNum>
  <w:abstractNum w:abstractNumId="32" w15:restartNumberingAfterBreak="0">
    <w:nsid w:val="57965D35"/>
    <w:multiLevelType w:val="hybridMultilevel"/>
    <w:tmpl w:val="2CBCB27A"/>
    <w:lvl w:ilvl="0" w:tplc="865C180E">
      <w:start w:val="1"/>
      <w:numFmt w:val="decimal"/>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33" w15:restartNumberingAfterBreak="0">
    <w:nsid w:val="589630DE"/>
    <w:multiLevelType w:val="hybridMultilevel"/>
    <w:tmpl w:val="C1324430"/>
    <w:lvl w:ilvl="0" w:tplc="3788A328">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15977"/>
    <w:multiLevelType w:val="singleLevel"/>
    <w:tmpl w:val="B086861E"/>
    <w:lvl w:ilvl="0">
      <w:start w:val="1"/>
      <w:numFmt w:val="decimal"/>
      <w:lvlText w:val="(%1)"/>
      <w:lvlJc w:val="left"/>
      <w:pPr>
        <w:tabs>
          <w:tab w:val="num" w:pos="360"/>
        </w:tabs>
        <w:ind w:left="360" w:hanging="360"/>
      </w:pPr>
      <w:rPr>
        <w:rFonts w:hint="default"/>
      </w:rPr>
    </w:lvl>
  </w:abstractNum>
  <w:abstractNum w:abstractNumId="35" w15:restartNumberingAfterBreak="0">
    <w:nsid w:val="5BF34334"/>
    <w:multiLevelType w:val="hybridMultilevel"/>
    <w:tmpl w:val="E39C83F6"/>
    <w:lvl w:ilvl="0" w:tplc="3468FAE0">
      <w:start w:val="1"/>
      <w:numFmt w:val="decimal"/>
      <w:lvlText w:val="%1."/>
      <w:lvlJc w:val="left"/>
      <w:pPr>
        <w:tabs>
          <w:tab w:val="num" w:pos="720"/>
        </w:tabs>
        <w:ind w:left="720" w:hanging="360"/>
      </w:pPr>
    </w:lvl>
    <w:lvl w:ilvl="1" w:tplc="22D6F3D4" w:tentative="1">
      <w:start w:val="1"/>
      <w:numFmt w:val="lowerLetter"/>
      <w:lvlText w:val="%2."/>
      <w:lvlJc w:val="left"/>
      <w:pPr>
        <w:tabs>
          <w:tab w:val="num" w:pos="1440"/>
        </w:tabs>
        <w:ind w:left="1440" w:hanging="360"/>
      </w:pPr>
    </w:lvl>
    <w:lvl w:ilvl="2" w:tplc="CDACB8FC" w:tentative="1">
      <w:start w:val="1"/>
      <w:numFmt w:val="lowerRoman"/>
      <w:lvlText w:val="%3."/>
      <w:lvlJc w:val="right"/>
      <w:pPr>
        <w:tabs>
          <w:tab w:val="num" w:pos="2160"/>
        </w:tabs>
        <w:ind w:left="2160" w:hanging="180"/>
      </w:pPr>
    </w:lvl>
    <w:lvl w:ilvl="3" w:tplc="32EAABA8" w:tentative="1">
      <w:start w:val="1"/>
      <w:numFmt w:val="decimal"/>
      <w:lvlText w:val="%4."/>
      <w:lvlJc w:val="left"/>
      <w:pPr>
        <w:tabs>
          <w:tab w:val="num" w:pos="2880"/>
        </w:tabs>
        <w:ind w:left="2880" w:hanging="360"/>
      </w:pPr>
    </w:lvl>
    <w:lvl w:ilvl="4" w:tplc="BDE69C6C" w:tentative="1">
      <w:start w:val="1"/>
      <w:numFmt w:val="lowerLetter"/>
      <w:lvlText w:val="%5."/>
      <w:lvlJc w:val="left"/>
      <w:pPr>
        <w:tabs>
          <w:tab w:val="num" w:pos="3600"/>
        </w:tabs>
        <w:ind w:left="3600" w:hanging="360"/>
      </w:pPr>
    </w:lvl>
    <w:lvl w:ilvl="5" w:tplc="623619FE" w:tentative="1">
      <w:start w:val="1"/>
      <w:numFmt w:val="lowerRoman"/>
      <w:lvlText w:val="%6."/>
      <w:lvlJc w:val="right"/>
      <w:pPr>
        <w:tabs>
          <w:tab w:val="num" w:pos="4320"/>
        </w:tabs>
        <w:ind w:left="4320" w:hanging="180"/>
      </w:pPr>
    </w:lvl>
    <w:lvl w:ilvl="6" w:tplc="89AA9E68" w:tentative="1">
      <w:start w:val="1"/>
      <w:numFmt w:val="decimal"/>
      <w:lvlText w:val="%7."/>
      <w:lvlJc w:val="left"/>
      <w:pPr>
        <w:tabs>
          <w:tab w:val="num" w:pos="5040"/>
        </w:tabs>
        <w:ind w:left="5040" w:hanging="360"/>
      </w:pPr>
    </w:lvl>
    <w:lvl w:ilvl="7" w:tplc="A752A7C6" w:tentative="1">
      <w:start w:val="1"/>
      <w:numFmt w:val="lowerLetter"/>
      <w:lvlText w:val="%8."/>
      <w:lvlJc w:val="left"/>
      <w:pPr>
        <w:tabs>
          <w:tab w:val="num" w:pos="5760"/>
        </w:tabs>
        <w:ind w:left="5760" w:hanging="360"/>
      </w:pPr>
    </w:lvl>
    <w:lvl w:ilvl="8" w:tplc="C7DCEC6C" w:tentative="1">
      <w:start w:val="1"/>
      <w:numFmt w:val="lowerRoman"/>
      <w:lvlText w:val="%9."/>
      <w:lvlJc w:val="right"/>
      <w:pPr>
        <w:tabs>
          <w:tab w:val="num" w:pos="6480"/>
        </w:tabs>
        <w:ind w:left="6480" w:hanging="180"/>
      </w:pPr>
    </w:lvl>
  </w:abstractNum>
  <w:abstractNum w:abstractNumId="36" w15:restartNumberingAfterBreak="0">
    <w:nsid w:val="5CC957BA"/>
    <w:multiLevelType w:val="hybridMultilevel"/>
    <w:tmpl w:val="8966889A"/>
    <w:lvl w:ilvl="0" w:tplc="6226B054">
      <w:start w:val="1"/>
      <w:numFmt w:val="decimal"/>
      <w:lvlText w:val="(%1)"/>
      <w:lvlJc w:val="left"/>
      <w:pPr>
        <w:tabs>
          <w:tab w:val="num" w:pos="900"/>
        </w:tabs>
        <w:ind w:left="900" w:hanging="360"/>
      </w:pPr>
      <w:rPr>
        <w:rFonts w:hint="default"/>
      </w:rPr>
    </w:lvl>
    <w:lvl w:ilvl="1" w:tplc="3CEA6874" w:tentative="1">
      <w:start w:val="1"/>
      <w:numFmt w:val="lowerLetter"/>
      <w:lvlText w:val="%2."/>
      <w:lvlJc w:val="left"/>
      <w:pPr>
        <w:tabs>
          <w:tab w:val="num" w:pos="1980"/>
        </w:tabs>
        <w:ind w:left="1980" w:hanging="360"/>
      </w:pPr>
    </w:lvl>
    <w:lvl w:ilvl="2" w:tplc="C1E2AF48" w:tentative="1">
      <w:start w:val="1"/>
      <w:numFmt w:val="lowerRoman"/>
      <w:lvlText w:val="%3."/>
      <w:lvlJc w:val="right"/>
      <w:pPr>
        <w:tabs>
          <w:tab w:val="num" w:pos="2700"/>
        </w:tabs>
        <w:ind w:left="2700" w:hanging="180"/>
      </w:pPr>
    </w:lvl>
    <w:lvl w:ilvl="3" w:tplc="D93A3CC6" w:tentative="1">
      <w:start w:val="1"/>
      <w:numFmt w:val="decimal"/>
      <w:lvlText w:val="%4."/>
      <w:lvlJc w:val="left"/>
      <w:pPr>
        <w:tabs>
          <w:tab w:val="num" w:pos="3420"/>
        </w:tabs>
        <w:ind w:left="3420" w:hanging="360"/>
      </w:pPr>
    </w:lvl>
    <w:lvl w:ilvl="4" w:tplc="00F2AB08" w:tentative="1">
      <w:start w:val="1"/>
      <w:numFmt w:val="lowerLetter"/>
      <w:lvlText w:val="%5."/>
      <w:lvlJc w:val="left"/>
      <w:pPr>
        <w:tabs>
          <w:tab w:val="num" w:pos="4140"/>
        </w:tabs>
        <w:ind w:left="4140" w:hanging="360"/>
      </w:pPr>
    </w:lvl>
    <w:lvl w:ilvl="5" w:tplc="FCC00B92" w:tentative="1">
      <w:start w:val="1"/>
      <w:numFmt w:val="lowerRoman"/>
      <w:lvlText w:val="%6."/>
      <w:lvlJc w:val="right"/>
      <w:pPr>
        <w:tabs>
          <w:tab w:val="num" w:pos="4860"/>
        </w:tabs>
        <w:ind w:left="4860" w:hanging="180"/>
      </w:pPr>
    </w:lvl>
    <w:lvl w:ilvl="6" w:tplc="5AEA4882" w:tentative="1">
      <w:start w:val="1"/>
      <w:numFmt w:val="decimal"/>
      <w:lvlText w:val="%7."/>
      <w:lvlJc w:val="left"/>
      <w:pPr>
        <w:tabs>
          <w:tab w:val="num" w:pos="5580"/>
        </w:tabs>
        <w:ind w:left="5580" w:hanging="360"/>
      </w:pPr>
    </w:lvl>
    <w:lvl w:ilvl="7" w:tplc="0A6C34D4" w:tentative="1">
      <w:start w:val="1"/>
      <w:numFmt w:val="lowerLetter"/>
      <w:lvlText w:val="%8."/>
      <w:lvlJc w:val="left"/>
      <w:pPr>
        <w:tabs>
          <w:tab w:val="num" w:pos="6300"/>
        </w:tabs>
        <w:ind w:left="6300" w:hanging="360"/>
      </w:pPr>
    </w:lvl>
    <w:lvl w:ilvl="8" w:tplc="26D647FE" w:tentative="1">
      <w:start w:val="1"/>
      <w:numFmt w:val="lowerRoman"/>
      <w:lvlText w:val="%9."/>
      <w:lvlJc w:val="right"/>
      <w:pPr>
        <w:tabs>
          <w:tab w:val="num" w:pos="7020"/>
        </w:tabs>
        <w:ind w:left="7020" w:hanging="180"/>
      </w:pPr>
    </w:lvl>
  </w:abstractNum>
  <w:abstractNum w:abstractNumId="37" w15:restartNumberingAfterBreak="0">
    <w:nsid w:val="5F2A0C9B"/>
    <w:multiLevelType w:val="singleLevel"/>
    <w:tmpl w:val="FD8EC818"/>
    <w:lvl w:ilvl="0">
      <w:start w:val="3"/>
      <w:numFmt w:val="decimal"/>
      <w:lvlText w:val="(%1)"/>
      <w:lvlJc w:val="left"/>
      <w:pPr>
        <w:tabs>
          <w:tab w:val="num" w:pos="360"/>
        </w:tabs>
        <w:ind w:left="360" w:hanging="360"/>
      </w:pPr>
      <w:rPr>
        <w:rFonts w:hint="default"/>
      </w:rPr>
    </w:lvl>
  </w:abstractNum>
  <w:abstractNum w:abstractNumId="38" w15:restartNumberingAfterBreak="0">
    <w:nsid w:val="64B65982"/>
    <w:multiLevelType w:val="singleLevel"/>
    <w:tmpl w:val="9FAE515E"/>
    <w:lvl w:ilvl="0">
      <w:start w:val="1"/>
      <w:numFmt w:val="lowerLetter"/>
      <w:lvlText w:val="%1)"/>
      <w:lvlJc w:val="left"/>
      <w:pPr>
        <w:tabs>
          <w:tab w:val="num" w:pos="360"/>
        </w:tabs>
        <w:ind w:left="360" w:hanging="360"/>
      </w:pPr>
    </w:lvl>
  </w:abstractNum>
  <w:abstractNum w:abstractNumId="39" w15:restartNumberingAfterBreak="0">
    <w:nsid w:val="689452D1"/>
    <w:multiLevelType w:val="singleLevel"/>
    <w:tmpl w:val="3F38BECA"/>
    <w:lvl w:ilvl="0">
      <w:start w:val="1"/>
      <w:numFmt w:val="decimal"/>
      <w:lvlText w:val="(%1)"/>
      <w:lvlJc w:val="left"/>
      <w:pPr>
        <w:tabs>
          <w:tab w:val="num" w:pos="360"/>
        </w:tabs>
        <w:ind w:left="360" w:hanging="360"/>
      </w:pPr>
      <w:rPr>
        <w:rFonts w:hint="default"/>
      </w:rPr>
    </w:lvl>
  </w:abstractNum>
  <w:abstractNum w:abstractNumId="40" w15:restartNumberingAfterBreak="0">
    <w:nsid w:val="6E67418F"/>
    <w:multiLevelType w:val="hybridMultilevel"/>
    <w:tmpl w:val="0AE422CE"/>
    <w:lvl w:ilvl="0" w:tplc="AD68DDB0">
      <w:start w:val="1"/>
      <w:numFmt w:val="decimal"/>
      <w:lvlText w:val="(%1)"/>
      <w:lvlJc w:val="left"/>
      <w:pPr>
        <w:tabs>
          <w:tab w:val="num" w:pos="1260"/>
        </w:tabs>
        <w:ind w:left="1260" w:hanging="900"/>
      </w:pPr>
      <w:rPr>
        <w:rFonts w:hint="default"/>
      </w:rPr>
    </w:lvl>
    <w:lvl w:ilvl="1" w:tplc="5C1C0156" w:tentative="1">
      <w:start w:val="1"/>
      <w:numFmt w:val="lowerLetter"/>
      <w:lvlText w:val="%2."/>
      <w:lvlJc w:val="left"/>
      <w:pPr>
        <w:tabs>
          <w:tab w:val="num" w:pos="1440"/>
        </w:tabs>
        <w:ind w:left="1440" w:hanging="360"/>
      </w:pPr>
    </w:lvl>
    <w:lvl w:ilvl="2" w:tplc="8ABA66B8" w:tentative="1">
      <w:start w:val="1"/>
      <w:numFmt w:val="lowerRoman"/>
      <w:lvlText w:val="%3."/>
      <w:lvlJc w:val="right"/>
      <w:pPr>
        <w:tabs>
          <w:tab w:val="num" w:pos="2160"/>
        </w:tabs>
        <w:ind w:left="2160" w:hanging="180"/>
      </w:pPr>
    </w:lvl>
    <w:lvl w:ilvl="3" w:tplc="28163B14" w:tentative="1">
      <w:start w:val="1"/>
      <w:numFmt w:val="decimal"/>
      <w:lvlText w:val="%4."/>
      <w:lvlJc w:val="left"/>
      <w:pPr>
        <w:tabs>
          <w:tab w:val="num" w:pos="2880"/>
        </w:tabs>
        <w:ind w:left="2880" w:hanging="360"/>
      </w:pPr>
    </w:lvl>
    <w:lvl w:ilvl="4" w:tplc="D05C032C" w:tentative="1">
      <w:start w:val="1"/>
      <w:numFmt w:val="lowerLetter"/>
      <w:lvlText w:val="%5."/>
      <w:lvlJc w:val="left"/>
      <w:pPr>
        <w:tabs>
          <w:tab w:val="num" w:pos="3600"/>
        </w:tabs>
        <w:ind w:left="3600" w:hanging="360"/>
      </w:pPr>
    </w:lvl>
    <w:lvl w:ilvl="5" w:tplc="2C8EB108" w:tentative="1">
      <w:start w:val="1"/>
      <w:numFmt w:val="lowerRoman"/>
      <w:lvlText w:val="%6."/>
      <w:lvlJc w:val="right"/>
      <w:pPr>
        <w:tabs>
          <w:tab w:val="num" w:pos="4320"/>
        </w:tabs>
        <w:ind w:left="4320" w:hanging="180"/>
      </w:pPr>
    </w:lvl>
    <w:lvl w:ilvl="6" w:tplc="ECAC46AE" w:tentative="1">
      <w:start w:val="1"/>
      <w:numFmt w:val="decimal"/>
      <w:lvlText w:val="%7."/>
      <w:lvlJc w:val="left"/>
      <w:pPr>
        <w:tabs>
          <w:tab w:val="num" w:pos="5040"/>
        </w:tabs>
        <w:ind w:left="5040" w:hanging="360"/>
      </w:pPr>
    </w:lvl>
    <w:lvl w:ilvl="7" w:tplc="D90C2A10" w:tentative="1">
      <w:start w:val="1"/>
      <w:numFmt w:val="lowerLetter"/>
      <w:lvlText w:val="%8."/>
      <w:lvlJc w:val="left"/>
      <w:pPr>
        <w:tabs>
          <w:tab w:val="num" w:pos="5760"/>
        </w:tabs>
        <w:ind w:left="5760" w:hanging="360"/>
      </w:pPr>
    </w:lvl>
    <w:lvl w:ilvl="8" w:tplc="FD203E2E" w:tentative="1">
      <w:start w:val="1"/>
      <w:numFmt w:val="lowerRoman"/>
      <w:lvlText w:val="%9."/>
      <w:lvlJc w:val="right"/>
      <w:pPr>
        <w:tabs>
          <w:tab w:val="num" w:pos="6480"/>
        </w:tabs>
        <w:ind w:left="6480" w:hanging="180"/>
      </w:pPr>
    </w:lvl>
  </w:abstractNum>
  <w:abstractNum w:abstractNumId="41" w15:restartNumberingAfterBreak="0">
    <w:nsid w:val="6ED833B2"/>
    <w:multiLevelType w:val="hybridMultilevel"/>
    <w:tmpl w:val="C4662B40"/>
    <w:lvl w:ilvl="0" w:tplc="00ECBFF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117CCF"/>
    <w:multiLevelType w:val="singleLevel"/>
    <w:tmpl w:val="DAFA2230"/>
    <w:lvl w:ilvl="0">
      <w:start w:val="3"/>
      <w:numFmt w:val="decimal"/>
      <w:lvlText w:val="(%1)"/>
      <w:lvlJc w:val="left"/>
      <w:pPr>
        <w:tabs>
          <w:tab w:val="num" w:pos="360"/>
        </w:tabs>
        <w:ind w:left="360" w:hanging="360"/>
      </w:pPr>
      <w:rPr>
        <w:rFonts w:hint="default"/>
      </w:rPr>
    </w:lvl>
  </w:abstractNum>
  <w:abstractNum w:abstractNumId="43" w15:restartNumberingAfterBreak="0">
    <w:nsid w:val="729E65EC"/>
    <w:multiLevelType w:val="singleLevel"/>
    <w:tmpl w:val="9FAE515E"/>
    <w:lvl w:ilvl="0">
      <w:start w:val="1"/>
      <w:numFmt w:val="lowerLetter"/>
      <w:lvlText w:val="%1)"/>
      <w:lvlJc w:val="left"/>
      <w:pPr>
        <w:tabs>
          <w:tab w:val="num" w:pos="360"/>
        </w:tabs>
        <w:ind w:left="360" w:hanging="360"/>
      </w:pPr>
    </w:lvl>
  </w:abstractNum>
  <w:abstractNum w:abstractNumId="44" w15:restartNumberingAfterBreak="0">
    <w:nsid w:val="74D01E16"/>
    <w:multiLevelType w:val="multilevel"/>
    <w:tmpl w:val="45E6EEAE"/>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68C22F2"/>
    <w:multiLevelType w:val="hybridMultilevel"/>
    <w:tmpl w:val="BF022534"/>
    <w:lvl w:ilvl="0" w:tplc="AD4E2944">
      <w:start w:val="1"/>
      <w:numFmt w:val="decimal"/>
      <w:lvlText w:val="%1."/>
      <w:lvlJc w:val="left"/>
      <w:pPr>
        <w:ind w:left="786" w:hanging="360"/>
      </w:pPr>
      <w:rPr>
        <w:rFonts w:cs="Arial" w:hint="default"/>
        <w:b w:val="0"/>
        <w:bCs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6" w15:restartNumberingAfterBreak="0">
    <w:nsid w:val="78727E43"/>
    <w:multiLevelType w:val="singleLevel"/>
    <w:tmpl w:val="1422E208"/>
    <w:lvl w:ilvl="0">
      <w:start w:val="1"/>
      <w:numFmt w:val="decimal"/>
      <w:lvlText w:val="(%1)"/>
      <w:lvlJc w:val="left"/>
      <w:pPr>
        <w:tabs>
          <w:tab w:val="num" w:pos="360"/>
        </w:tabs>
        <w:ind w:left="360" w:hanging="360"/>
      </w:pPr>
      <w:rPr>
        <w:rFonts w:hint="default"/>
      </w:rPr>
    </w:lvl>
  </w:abstractNum>
  <w:abstractNum w:abstractNumId="47" w15:restartNumberingAfterBreak="0">
    <w:nsid w:val="79DB2524"/>
    <w:multiLevelType w:val="hybridMultilevel"/>
    <w:tmpl w:val="0DB2E918"/>
    <w:lvl w:ilvl="0" w:tplc="DA241C2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48" w15:restartNumberingAfterBreak="0">
    <w:nsid w:val="7F010F0A"/>
    <w:multiLevelType w:val="hybridMultilevel"/>
    <w:tmpl w:val="6024AB8A"/>
    <w:lvl w:ilvl="0" w:tplc="48EE63C6">
      <w:start w:val="1"/>
      <w:numFmt w:val="decimal"/>
      <w:lvlText w:val="%1."/>
      <w:lvlJc w:val="left"/>
      <w:pPr>
        <w:tabs>
          <w:tab w:val="num" w:pos="780"/>
        </w:tabs>
        <w:ind w:left="780" w:hanging="360"/>
      </w:pPr>
    </w:lvl>
    <w:lvl w:ilvl="1" w:tplc="2A567B10" w:tentative="1">
      <w:start w:val="1"/>
      <w:numFmt w:val="lowerLetter"/>
      <w:lvlText w:val="%2."/>
      <w:lvlJc w:val="left"/>
      <w:pPr>
        <w:tabs>
          <w:tab w:val="num" w:pos="1500"/>
        </w:tabs>
        <w:ind w:left="1500" w:hanging="360"/>
      </w:pPr>
    </w:lvl>
    <w:lvl w:ilvl="2" w:tplc="A83223B6" w:tentative="1">
      <w:start w:val="1"/>
      <w:numFmt w:val="lowerRoman"/>
      <w:lvlText w:val="%3."/>
      <w:lvlJc w:val="right"/>
      <w:pPr>
        <w:tabs>
          <w:tab w:val="num" w:pos="2220"/>
        </w:tabs>
        <w:ind w:left="2220" w:hanging="180"/>
      </w:pPr>
    </w:lvl>
    <w:lvl w:ilvl="3" w:tplc="52088A84" w:tentative="1">
      <w:start w:val="1"/>
      <w:numFmt w:val="decimal"/>
      <w:lvlText w:val="%4."/>
      <w:lvlJc w:val="left"/>
      <w:pPr>
        <w:tabs>
          <w:tab w:val="num" w:pos="2940"/>
        </w:tabs>
        <w:ind w:left="2940" w:hanging="360"/>
      </w:pPr>
    </w:lvl>
    <w:lvl w:ilvl="4" w:tplc="4BB00594" w:tentative="1">
      <w:start w:val="1"/>
      <w:numFmt w:val="lowerLetter"/>
      <w:lvlText w:val="%5."/>
      <w:lvlJc w:val="left"/>
      <w:pPr>
        <w:tabs>
          <w:tab w:val="num" w:pos="3660"/>
        </w:tabs>
        <w:ind w:left="3660" w:hanging="360"/>
      </w:pPr>
    </w:lvl>
    <w:lvl w:ilvl="5" w:tplc="7514113C" w:tentative="1">
      <w:start w:val="1"/>
      <w:numFmt w:val="lowerRoman"/>
      <w:lvlText w:val="%6."/>
      <w:lvlJc w:val="right"/>
      <w:pPr>
        <w:tabs>
          <w:tab w:val="num" w:pos="4380"/>
        </w:tabs>
        <w:ind w:left="4380" w:hanging="180"/>
      </w:pPr>
    </w:lvl>
    <w:lvl w:ilvl="6" w:tplc="7CC2BFEE" w:tentative="1">
      <w:start w:val="1"/>
      <w:numFmt w:val="decimal"/>
      <w:lvlText w:val="%7."/>
      <w:lvlJc w:val="left"/>
      <w:pPr>
        <w:tabs>
          <w:tab w:val="num" w:pos="5100"/>
        </w:tabs>
        <w:ind w:left="5100" w:hanging="360"/>
      </w:pPr>
    </w:lvl>
    <w:lvl w:ilvl="7" w:tplc="B0C4F8B8" w:tentative="1">
      <w:start w:val="1"/>
      <w:numFmt w:val="lowerLetter"/>
      <w:lvlText w:val="%8."/>
      <w:lvlJc w:val="left"/>
      <w:pPr>
        <w:tabs>
          <w:tab w:val="num" w:pos="5820"/>
        </w:tabs>
        <w:ind w:left="5820" w:hanging="360"/>
      </w:pPr>
    </w:lvl>
    <w:lvl w:ilvl="8" w:tplc="74EC1076" w:tentative="1">
      <w:start w:val="1"/>
      <w:numFmt w:val="lowerRoman"/>
      <w:lvlText w:val="%9."/>
      <w:lvlJc w:val="right"/>
      <w:pPr>
        <w:tabs>
          <w:tab w:val="num" w:pos="6540"/>
        </w:tabs>
        <w:ind w:left="6540" w:hanging="180"/>
      </w:pPr>
    </w:lvl>
  </w:abstractNum>
  <w:abstractNum w:abstractNumId="49" w15:restartNumberingAfterBreak="0">
    <w:nsid w:val="7F680CFC"/>
    <w:multiLevelType w:val="hybridMultilevel"/>
    <w:tmpl w:val="3D1831F0"/>
    <w:lvl w:ilvl="0" w:tplc="29A63102">
      <w:start w:val="1"/>
      <w:numFmt w:val="upperRoman"/>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8"/>
  </w:num>
  <w:num w:numId="2">
    <w:abstractNumId w:val="14"/>
  </w:num>
  <w:num w:numId="3">
    <w:abstractNumId w:val="35"/>
  </w:num>
  <w:num w:numId="4">
    <w:abstractNumId w:val="8"/>
  </w:num>
  <w:num w:numId="5">
    <w:abstractNumId w:val="34"/>
  </w:num>
  <w:num w:numId="6">
    <w:abstractNumId w:val="38"/>
  </w:num>
  <w:num w:numId="7">
    <w:abstractNumId w:val="9"/>
  </w:num>
  <w:num w:numId="8">
    <w:abstractNumId w:val="6"/>
  </w:num>
  <w:num w:numId="9">
    <w:abstractNumId w:val="23"/>
  </w:num>
  <w:num w:numId="10">
    <w:abstractNumId w:val="5"/>
  </w:num>
  <w:num w:numId="11">
    <w:abstractNumId w:val="28"/>
  </w:num>
  <w:num w:numId="12">
    <w:abstractNumId w:val="15"/>
  </w:num>
  <w:num w:numId="13">
    <w:abstractNumId w:val="37"/>
  </w:num>
  <w:num w:numId="14">
    <w:abstractNumId w:val="26"/>
  </w:num>
  <w:num w:numId="15">
    <w:abstractNumId w:val="31"/>
  </w:num>
  <w:num w:numId="16">
    <w:abstractNumId w:val="7"/>
  </w:num>
  <w:num w:numId="17">
    <w:abstractNumId w:val="43"/>
  </w:num>
  <w:num w:numId="18">
    <w:abstractNumId w:val="42"/>
  </w:num>
  <w:num w:numId="19">
    <w:abstractNumId w:val="46"/>
  </w:num>
  <w:num w:numId="20">
    <w:abstractNumId w:val="27"/>
  </w:num>
  <w:num w:numId="21">
    <w:abstractNumId w:val="21"/>
  </w:num>
  <w:num w:numId="22">
    <w:abstractNumId w:val="30"/>
  </w:num>
  <w:num w:numId="23">
    <w:abstractNumId w:val="22"/>
  </w:num>
  <w:num w:numId="24">
    <w:abstractNumId w:val="1"/>
  </w:num>
  <w:num w:numId="25">
    <w:abstractNumId w:val="39"/>
  </w:num>
  <w:num w:numId="26">
    <w:abstractNumId w:val="16"/>
  </w:num>
  <w:num w:numId="27">
    <w:abstractNumId w:val="29"/>
  </w:num>
  <w:num w:numId="28">
    <w:abstractNumId w:val="18"/>
  </w:num>
  <w:num w:numId="29">
    <w:abstractNumId w:val="0"/>
  </w:num>
  <w:num w:numId="30">
    <w:abstractNumId w:val="2"/>
  </w:num>
  <w:num w:numId="31">
    <w:abstractNumId w:val="17"/>
  </w:num>
  <w:num w:numId="32">
    <w:abstractNumId w:val="3"/>
  </w:num>
  <w:num w:numId="33">
    <w:abstractNumId w:val="40"/>
  </w:num>
  <w:num w:numId="34">
    <w:abstractNumId w:val="36"/>
  </w:num>
  <w:num w:numId="35">
    <w:abstractNumId w:val="20"/>
  </w:num>
  <w:num w:numId="36">
    <w:abstractNumId w:val="32"/>
  </w:num>
  <w:num w:numId="37">
    <w:abstractNumId w:val="44"/>
  </w:num>
  <w:num w:numId="38">
    <w:abstractNumId w:val="41"/>
  </w:num>
  <w:num w:numId="39">
    <w:abstractNumId w:val="10"/>
  </w:num>
  <w:num w:numId="40">
    <w:abstractNumId w:val="13"/>
  </w:num>
  <w:num w:numId="41">
    <w:abstractNumId w:val="4"/>
  </w:num>
  <w:num w:numId="42">
    <w:abstractNumId w:val="47"/>
  </w:num>
  <w:num w:numId="43">
    <w:abstractNumId w:val="11"/>
  </w:num>
  <w:num w:numId="44">
    <w:abstractNumId w:val="24"/>
  </w:num>
  <w:num w:numId="45">
    <w:abstractNumId w:val="12"/>
  </w:num>
  <w:num w:numId="46">
    <w:abstractNumId w:val="33"/>
  </w:num>
  <w:num w:numId="47">
    <w:abstractNumId w:val="19"/>
  </w:num>
  <w:num w:numId="48">
    <w:abstractNumId w:val="49"/>
  </w:num>
  <w:num w:numId="49">
    <w:abstractNumId w:val="25"/>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2D"/>
    <w:rsid w:val="000002D1"/>
    <w:rsid w:val="00000C34"/>
    <w:rsid w:val="00000D8B"/>
    <w:rsid w:val="00001706"/>
    <w:rsid w:val="00003231"/>
    <w:rsid w:val="00003717"/>
    <w:rsid w:val="00004221"/>
    <w:rsid w:val="0000442B"/>
    <w:rsid w:val="0000454C"/>
    <w:rsid w:val="00004FC4"/>
    <w:rsid w:val="0000531A"/>
    <w:rsid w:val="00005E21"/>
    <w:rsid w:val="00006952"/>
    <w:rsid w:val="000071E2"/>
    <w:rsid w:val="00007619"/>
    <w:rsid w:val="000076B1"/>
    <w:rsid w:val="00010125"/>
    <w:rsid w:val="00011606"/>
    <w:rsid w:val="00011AE3"/>
    <w:rsid w:val="000126FF"/>
    <w:rsid w:val="00013F38"/>
    <w:rsid w:val="00015FD4"/>
    <w:rsid w:val="000178DA"/>
    <w:rsid w:val="00017A9F"/>
    <w:rsid w:val="0002076A"/>
    <w:rsid w:val="000235DE"/>
    <w:rsid w:val="00024219"/>
    <w:rsid w:val="00024677"/>
    <w:rsid w:val="000254C9"/>
    <w:rsid w:val="00027333"/>
    <w:rsid w:val="00027B1E"/>
    <w:rsid w:val="00030A5E"/>
    <w:rsid w:val="000311B3"/>
    <w:rsid w:val="000327FF"/>
    <w:rsid w:val="000350F4"/>
    <w:rsid w:val="000374B6"/>
    <w:rsid w:val="00040DE6"/>
    <w:rsid w:val="00042394"/>
    <w:rsid w:val="000443FB"/>
    <w:rsid w:val="00045402"/>
    <w:rsid w:val="0004578D"/>
    <w:rsid w:val="00045FC4"/>
    <w:rsid w:val="00046B78"/>
    <w:rsid w:val="00046CD5"/>
    <w:rsid w:val="0004758B"/>
    <w:rsid w:val="00047CBB"/>
    <w:rsid w:val="00047F1D"/>
    <w:rsid w:val="000503D6"/>
    <w:rsid w:val="00050E29"/>
    <w:rsid w:val="00054974"/>
    <w:rsid w:val="000549E4"/>
    <w:rsid w:val="00056B46"/>
    <w:rsid w:val="00056D05"/>
    <w:rsid w:val="00062536"/>
    <w:rsid w:val="000627F1"/>
    <w:rsid w:val="00063521"/>
    <w:rsid w:val="0006473E"/>
    <w:rsid w:val="00066825"/>
    <w:rsid w:val="00066AE9"/>
    <w:rsid w:val="0006718D"/>
    <w:rsid w:val="00067D14"/>
    <w:rsid w:val="00067E1A"/>
    <w:rsid w:val="000708B5"/>
    <w:rsid w:val="00074DD0"/>
    <w:rsid w:val="000759FE"/>
    <w:rsid w:val="00081FF1"/>
    <w:rsid w:val="00082320"/>
    <w:rsid w:val="000829AB"/>
    <w:rsid w:val="00083D79"/>
    <w:rsid w:val="0008490A"/>
    <w:rsid w:val="000849CE"/>
    <w:rsid w:val="000870A4"/>
    <w:rsid w:val="00087F8D"/>
    <w:rsid w:val="00093B3C"/>
    <w:rsid w:val="00094D2A"/>
    <w:rsid w:val="00096A89"/>
    <w:rsid w:val="00096C6A"/>
    <w:rsid w:val="000A148D"/>
    <w:rsid w:val="000A38FF"/>
    <w:rsid w:val="000A4F23"/>
    <w:rsid w:val="000A50E5"/>
    <w:rsid w:val="000A537D"/>
    <w:rsid w:val="000A57A2"/>
    <w:rsid w:val="000A6C98"/>
    <w:rsid w:val="000A7189"/>
    <w:rsid w:val="000B2B22"/>
    <w:rsid w:val="000B2CB8"/>
    <w:rsid w:val="000B40E1"/>
    <w:rsid w:val="000B4464"/>
    <w:rsid w:val="000B4B16"/>
    <w:rsid w:val="000B5706"/>
    <w:rsid w:val="000B5C90"/>
    <w:rsid w:val="000B6C1C"/>
    <w:rsid w:val="000B764A"/>
    <w:rsid w:val="000C0944"/>
    <w:rsid w:val="000C0A52"/>
    <w:rsid w:val="000C1F0F"/>
    <w:rsid w:val="000C4273"/>
    <w:rsid w:val="000C49A6"/>
    <w:rsid w:val="000C4D2E"/>
    <w:rsid w:val="000C4D4A"/>
    <w:rsid w:val="000C5B5E"/>
    <w:rsid w:val="000C6A56"/>
    <w:rsid w:val="000C6B62"/>
    <w:rsid w:val="000D1B76"/>
    <w:rsid w:val="000D2A61"/>
    <w:rsid w:val="000D2B54"/>
    <w:rsid w:val="000D395C"/>
    <w:rsid w:val="000D3B86"/>
    <w:rsid w:val="000D3CEE"/>
    <w:rsid w:val="000D4171"/>
    <w:rsid w:val="000D5F99"/>
    <w:rsid w:val="000D6030"/>
    <w:rsid w:val="000E1897"/>
    <w:rsid w:val="000E534D"/>
    <w:rsid w:val="000E5755"/>
    <w:rsid w:val="000E74EE"/>
    <w:rsid w:val="000F04F5"/>
    <w:rsid w:val="000F0B9F"/>
    <w:rsid w:val="000F1D57"/>
    <w:rsid w:val="000F1E96"/>
    <w:rsid w:val="000F2B10"/>
    <w:rsid w:val="000F422D"/>
    <w:rsid w:val="000F5794"/>
    <w:rsid w:val="000F608A"/>
    <w:rsid w:val="000F6F27"/>
    <w:rsid w:val="00102865"/>
    <w:rsid w:val="001029DA"/>
    <w:rsid w:val="001039F7"/>
    <w:rsid w:val="0010452E"/>
    <w:rsid w:val="00105114"/>
    <w:rsid w:val="00106314"/>
    <w:rsid w:val="001074DF"/>
    <w:rsid w:val="0010762F"/>
    <w:rsid w:val="00110605"/>
    <w:rsid w:val="001109EE"/>
    <w:rsid w:val="00110F7C"/>
    <w:rsid w:val="00111C47"/>
    <w:rsid w:val="00112DB5"/>
    <w:rsid w:val="00117A9A"/>
    <w:rsid w:val="00121223"/>
    <w:rsid w:val="00121E3E"/>
    <w:rsid w:val="00123022"/>
    <w:rsid w:val="001235D8"/>
    <w:rsid w:val="00123615"/>
    <w:rsid w:val="00123866"/>
    <w:rsid w:val="001246F8"/>
    <w:rsid w:val="00124C9A"/>
    <w:rsid w:val="001264D0"/>
    <w:rsid w:val="0012696D"/>
    <w:rsid w:val="00130465"/>
    <w:rsid w:val="00130760"/>
    <w:rsid w:val="00131157"/>
    <w:rsid w:val="00132250"/>
    <w:rsid w:val="00133288"/>
    <w:rsid w:val="001361F0"/>
    <w:rsid w:val="00137725"/>
    <w:rsid w:val="00140008"/>
    <w:rsid w:val="001410AF"/>
    <w:rsid w:val="00141939"/>
    <w:rsid w:val="00142CE9"/>
    <w:rsid w:val="00143076"/>
    <w:rsid w:val="00143B75"/>
    <w:rsid w:val="00145EE1"/>
    <w:rsid w:val="0014738C"/>
    <w:rsid w:val="001473F2"/>
    <w:rsid w:val="0014744C"/>
    <w:rsid w:val="00150FF1"/>
    <w:rsid w:val="00151122"/>
    <w:rsid w:val="001529C0"/>
    <w:rsid w:val="0015347C"/>
    <w:rsid w:val="001558A8"/>
    <w:rsid w:val="00155FBD"/>
    <w:rsid w:val="0015636A"/>
    <w:rsid w:val="00156761"/>
    <w:rsid w:val="00156A0F"/>
    <w:rsid w:val="00157D67"/>
    <w:rsid w:val="00161B6A"/>
    <w:rsid w:val="001639ED"/>
    <w:rsid w:val="00165154"/>
    <w:rsid w:val="001656DF"/>
    <w:rsid w:val="00165B42"/>
    <w:rsid w:val="00167E40"/>
    <w:rsid w:val="001700E4"/>
    <w:rsid w:val="00171E75"/>
    <w:rsid w:val="00172892"/>
    <w:rsid w:val="00173B3F"/>
    <w:rsid w:val="00173EBD"/>
    <w:rsid w:val="00173F98"/>
    <w:rsid w:val="00174061"/>
    <w:rsid w:val="0017472D"/>
    <w:rsid w:val="00175149"/>
    <w:rsid w:val="00175311"/>
    <w:rsid w:val="001754B5"/>
    <w:rsid w:val="00175755"/>
    <w:rsid w:val="00176391"/>
    <w:rsid w:val="00176F6B"/>
    <w:rsid w:val="0017729A"/>
    <w:rsid w:val="00180160"/>
    <w:rsid w:val="001804A2"/>
    <w:rsid w:val="0018353F"/>
    <w:rsid w:val="00183590"/>
    <w:rsid w:val="0018367D"/>
    <w:rsid w:val="00183BC1"/>
    <w:rsid w:val="00184A35"/>
    <w:rsid w:val="0018535C"/>
    <w:rsid w:val="00185FAF"/>
    <w:rsid w:val="00186E85"/>
    <w:rsid w:val="001872AB"/>
    <w:rsid w:val="00187555"/>
    <w:rsid w:val="00190CAE"/>
    <w:rsid w:val="00191E59"/>
    <w:rsid w:val="0019225D"/>
    <w:rsid w:val="00192861"/>
    <w:rsid w:val="001941E4"/>
    <w:rsid w:val="001A0DCD"/>
    <w:rsid w:val="001A1300"/>
    <w:rsid w:val="001A1F95"/>
    <w:rsid w:val="001A1FC0"/>
    <w:rsid w:val="001A2E7A"/>
    <w:rsid w:val="001A424B"/>
    <w:rsid w:val="001A5CA1"/>
    <w:rsid w:val="001B0037"/>
    <w:rsid w:val="001B1310"/>
    <w:rsid w:val="001B1B30"/>
    <w:rsid w:val="001B25ED"/>
    <w:rsid w:val="001B35FB"/>
    <w:rsid w:val="001B3E3C"/>
    <w:rsid w:val="001B53C7"/>
    <w:rsid w:val="001B756A"/>
    <w:rsid w:val="001C1FAD"/>
    <w:rsid w:val="001C325C"/>
    <w:rsid w:val="001C328A"/>
    <w:rsid w:val="001C3BB9"/>
    <w:rsid w:val="001C3F2F"/>
    <w:rsid w:val="001C41D4"/>
    <w:rsid w:val="001C456B"/>
    <w:rsid w:val="001C67F3"/>
    <w:rsid w:val="001C7F63"/>
    <w:rsid w:val="001D0E17"/>
    <w:rsid w:val="001D18FC"/>
    <w:rsid w:val="001D406F"/>
    <w:rsid w:val="001E1E15"/>
    <w:rsid w:val="001E3392"/>
    <w:rsid w:val="001E4B09"/>
    <w:rsid w:val="001E5C20"/>
    <w:rsid w:val="001E7E10"/>
    <w:rsid w:val="001E7F69"/>
    <w:rsid w:val="001F0F87"/>
    <w:rsid w:val="001F1684"/>
    <w:rsid w:val="001F1EAC"/>
    <w:rsid w:val="001F587B"/>
    <w:rsid w:val="001F6742"/>
    <w:rsid w:val="001F72D0"/>
    <w:rsid w:val="0020066D"/>
    <w:rsid w:val="0020088D"/>
    <w:rsid w:val="00201544"/>
    <w:rsid w:val="00203F2F"/>
    <w:rsid w:val="0020436B"/>
    <w:rsid w:val="00205027"/>
    <w:rsid w:val="00206D9E"/>
    <w:rsid w:val="00207AD8"/>
    <w:rsid w:val="0021057C"/>
    <w:rsid w:val="00210A45"/>
    <w:rsid w:val="00212DEE"/>
    <w:rsid w:val="00213BA4"/>
    <w:rsid w:val="00213EC6"/>
    <w:rsid w:val="002141F7"/>
    <w:rsid w:val="00214D0D"/>
    <w:rsid w:val="00215A91"/>
    <w:rsid w:val="0021659F"/>
    <w:rsid w:val="00217FD6"/>
    <w:rsid w:val="00220EC1"/>
    <w:rsid w:val="00222296"/>
    <w:rsid w:val="002225AD"/>
    <w:rsid w:val="00222D4A"/>
    <w:rsid w:val="0022398A"/>
    <w:rsid w:val="00224B71"/>
    <w:rsid w:val="002256B6"/>
    <w:rsid w:val="00225F03"/>
    <w:rsid w:val="00227056"/>
    <w:rsid w:val="0023174D"/>
    <w:rsid w:val="002328F5"/>
    <w:rsid w:val="00232AAA"/>
    <w:rsid w:val="00232BD1"/>
    <w:rsid w:val="00233AA7"/>
    <w:rsid w:val="0023622E"/>
    <w:rsid w:val="002400E5"/>
    <w:rsid w:val="00241F00"/>
    <w:rsid w:val="00242125"/>
    <w:rsid w:val="00242642"/>
    <w:rsid w:val="00243C36"/>
    <w:rsid w:val="002444B4"/>
    <w:rsid w:val="0024485E"/>
    <w:rsid w:val="002458AA"/>
    <w:rsid w:val="0024647C"/>
    <w:rsid w:val="00246AB1"/>
    <w:rsid w:val="00246D1F"/>
    <w:rsid w:val="002478C9"/>
    <w:rsid w:val="00250D13"/>
    <w:rsid w:val="002569D7"/>
    <w:rsid w:val="0025741D"/>
    <w:rsid w:val="00257A96"/>
    <w:rsid w:val="00257C62"/>
    <w:rsid w:val="00260694"/>
    <w:rsid w:val="002624B8"/>
    <w:rsid w:val="002625BE"/>
    <w:rsid w:val="002627EC"/>
    <w:rsid w:val="00264494"/>
    <w:rsid w:val="00264784"/>
    <w:rsid w:val="002658B4"/>
    <w:rsid w:val="00265D7D"/>
    <w:rsid w:val="00266978"/>
    <w:rsid w:val="00267522"/>
    <w:rsid w:val="002701DB"/>
    <w:rsid w:val="002706B1"/>
    <w:rsid w:val="00270891"/>
    <w:rsid w:val="00270AAE"/>
    <w:rsid w:val="00272094"/>
    <w:rsid w:val="002721B1"/>
    <w:rsid w:val="0027286F"/>
    <w:rsid w:val="002729F4"/>
    <w:rsid w:val="00274B47"/>
    <w:rsid w:val="00274B90"/>
    <w:rsid w:val="00275F33"/>
    <w:rsid w:val="002764D8"/>
    <w:rsid w:val="00277321"/>
    <w:rsid w:val="00281F22"/>
    <w:rsid w:val="00282215"/>
    <w:rsid w:val="00284F7B"/>
    <w:rsid w:val="002860C4"/>
    <w:rsid w:val="00286220"/>
    <w:rsid w:val="00286B01"/>
    <w:rsid w:val="0028750B"/>
    <w:rsid w:val="00291847"/>
    <w:rsid w:val="00292EFE"/>
    <w:rsid w:val="00292FD9"/>
    <w:rsid w:val="00295719"/>
    <w:rsid w:val="002959D1"/>
    <w:rsid w:val="00296599"/>
    <w:rsid w:val="002965AC"/>
    <w:rsid w:val="00296797"/>
    <w:rsid w:val="00297A3D"/>
    <w:rsid w:val="00297B50"/>
    <w:rsid w:val="002A0F3B"/>
    <w:rsid w:val="002A4C5A"/>
    <w:rsid w:val="002A6B06"/>
    <w:rsid w:val="002B1CDF"/>
    <w:rsid w:val="002B1F69"/>
    <w:rsid w:val="002B2BC0"/>
    <w:rsid w:val="002B39CC"/>
    <w:rsid w:val="002B402E"/>
    <w:rsid w:val="002B493C"/>
    <w:rsid w:val="002B57C7"/>
    <w:rsid w:val="002B592C"/>
    <w:rsid w:val="002B5CDD"/>
    <w:rsid w:val="002B7A52"/>
    <w:rsid w:val="002B7C48"/>
    <w:rsid w:val="002B7CDF"/>
    <w:rsid w:val="002C003B"/>
    <w:rsid w:val="002C0214"/>
    <w:rsid w:val="002C1223"/>
    <w:rsid w:val="002C196E"/>
    <w:rsid w:val="002C1D3B"/>
    <w:rsid w:val="002C299C"/>
    <w:rsid w:val="002C4CB0"/>
    <w:rsid w:val="002C4CF3"/>
    <w:rsid w:val="002C51A0"/>
    <w:rsid w:val="002C56E3"/>
    <w:rsid w:val="002C5EB8"/>
    <w:rsid w:val="002C6F7F"/>
    <w:rsid w:val="002C75F5"/>
    <w:rsid w:val="002D0770"/>
    <w:rsid w:val="002D4AE7"/>
    <w:rsid w:val="002D5B29"/>
    <w:rsid w:val="002D7281"/>
    <w:rsid w:val="002E03CB"/>
    <w:rsid w:val="002E0A68"/>
    <w:rsid w:val="002E0A90"/>
    <w:rsid w:val="002E1684"/>
    <w:rsid w:val="002E2221"/>
    <w:rsid w:val="002E3579"/>
    <w:rsid w:val="002E37B8"/>
    <w:rsid w:val="002E541A"/>
    <w:rsid w:val="002E5C7F"/>
    <w:rsid w:val="002F1C69"/>
    <w:rsid w:val="002F1CE3"/>
    <w:rsid w:val="002F1EBA"/>
    <w:rsid w:val="002F2A27"/>
    <w:rsid w:val="002F30FE"/>
    <w:rsid w:val="002F3FCB"/>
    <w:rsid w:val="002F4A0D"/>
    <w:rsid w:val="002F670F"/>
    <w:rsid w:val="003008D4"/>
    <w:rsid w:val="00301457"/>
    <w:rsid w:val="00301695"/>
    <w:rsid w:val="00302096"/>
    <w:rsid w:val="0030231D"/>
    <w:rsid w:val="0030272A"/>
    <w:rsid w:val="003030BD"/>
    <w:rsid w:val="0030353D"/>
    <w:rsid w:val="00303CA8"/>
    <w:rsid w:val="003042F2"/>
    <w:rsid w:val="00305916"/>
    <w:rsid w:val="00305ABD"/>
    <w:rsid w:val="00305B08"/>
    <w:rsid w:val="00305E6C"/>
    <w:rsid w:val="003065D6"/>
    <w:rsid w:val="00307530"/>
    <w:rsid w:val="00312175"/>
    <w:rsid w:val="00312321"/>
    <w:rsid w:val="003130EC"/>
    <w:rsid w:val="003147FE"/>
    <w:rsid w:val="00314B27"/>
    <w:rsid w:val="00315206"/>
    <w:rsid w:val="003163A4"/>
    <w:rsid w:val="003167BD"/>
    <w:rsid w:val="00316C30"/>
    <w:rsid w:val="0031796A"/>
    <w:rsid w:val="00321226"/>
    <w:rsid w:val="00321C69"/>
    <w:rsid w:val="00322015"/>
    <w:rsid w:val="003220D2"/>
    <w:rsid w:val="00327014"/>
    <w:rsid w:val="00327864"/>
    <w:rsid w:val="00327A61"/>
    <w:rsid w:val="00327E05"/>
    <w:rsid w:val="00332065"/>
    <w:rsid w:val="00336260"/>
    <w:rsid w:val="0033651F"/>
    <w:rsid w:val="0033798F"/>
    <w:rsid w:val="0034004D"/>
    <w:rsid w:val="003408C6"/>
    <w:rsid w:val="00342135"/>
    <w:rsid w:val="003436B0"/>
    <w:rsid w:val="00345084"/>
    <w:rsid w:val="00350365"/>
    <w:rsid w:val="00350758"/>
    <w:rsid w:val="00350A3B"/>
    <w:rsid w:val="00352773"/>
    <w:rsid w:val="00353150"/>
    <w:rsid w:val="00353372"/>
    <w:rsid w:val="00353A4A"/>
    <w:rsid w:val="00353FB8"/>
    <w:rsid w:val="00354879"/>
    <w:rsid w:val="0035581C"/>
    <w:rsid w:val="00355DBF"/>
    <w:rsid w:val="00356E54"/>
    <w:rsid w:val="00357170"/>
    <w:rsid w:val="003573C6"/>
    <w:rsid w:val="00357E3B"/>
    <w:rsid w:val="003615E4"/>
    <w:rsid w:val="003645C4"/>
    <w:rsid w:val="00371949"/>
    <w:rsid w:val="00371ACE"/>
    <w:rsid w:val="00371CA8"/>
    <w:rsid w:val="003738A0"/>
    <w:rsid w:val="0037405F"/>
    <w:rsid w:val="00375F6F"/>
    <w:rsid w:val="003760F9"/>
    <w:rsid w:val="0037655B"/>
    <w:rsid w:val="00377352"/>
    <w:rsid w:val="00380D47"/>
    <w:rsid w:val="003818C4"/>
    <w:rsid w:val="00381ABC"/>
    <w:rsid w:val="00384A2B"/>
    <w:rsid w:val="0038507C"/>
    <w:rsid w:val="00386104"/>
    <w:rsid w:val="00386E10"/>
    <w:rsid w:val="0038714E"/>
    <w:rsid w:val="0039121A"/>
    <w:rsid w:val="00391E68"/>
    <w:rsid w:val="0039253A"/>
    <w:rsid w:val="0039353B"/>
    <w:rsid w:val="00393E48"/>
    <w:rsid w:val="00394FB0"/>
    <w:rsid w:val="003A06A8"/>
    <w:rsid w:val="003A2442"/>
    <w:rsid w:val="003A25B9"/>
    <w:rsid w:val="003A30A9"/>
    <w:rsid w:val="003A3D5B"/>
    <w:rsid w:val="003A41F6"/>
    <w:rsid w:val="003A4403"/>
    <w:rsid w:val="003A6A5F"/>
    <w:rsid w:val="003A789E"/>
    <w:rsid w:val="003B15D1"/>
    <w:rsid w:val="003B187C"/>
    <w:rsid w:val="003B3319"/>
    <w:rsid w:val="003B54D1"/>
    <w:rsid w:val="003B64F6"/>
    <w:rsid w:val="003B7E23"/>
    <w:rsid w:val="003B7FF8"/>
    <w:rsid w:val="003C0637"/>
    <w:rsid w:val="003C0A51"/>
    <w:rsid w:val="003C0ECE"/>
    <w:rsid w:val="003C2C22"/>
    <w:rsid w:val="003C3D75"/>
    <w:rsid w:val="003C3D96"/>
    <w:rsid w:val="003C5ED3"/>
    <w:rsid w:val="003D08B1"/>
    <w:rsid w:val="003D08DE"/>
    <w:rsid w:val="003D0AD9"/>
    <w:rsid w:val="003D2225"/>
    <w:rsid w:val="003D3212"/>
    <w:rsid w:val="003D3243"/>
    <w:rsid w:val="003D493C"/>
    <w:rsid w:val="003D53FD"/>
    <w:rsid w:val="003D669C"/>
    <w:rsid w:val="003D7C28"/>
    <w:rsid w:val="003D7FAB"/>
    <w:rsid w:val="003E1D28"/>
    <w:rsid w:val="003E2644"/>
    <w:rsid w:val="003E4397"/>
    <w:rsid w:val="003E48FE"/>
    <w:rsid w:val="003E521A"/>
    <w:rsid w:val="003E58D6"/>
    <w:rsid w:val="003E6730"/>
    <w:rsid w:val="003F119A"/>
    <w:rsid w:val="003F173E"/>
    <w:rsid w:val="003F1CD6"/>
    <w:rsid w:val="003F1F56"/>
    <w:rsid w:val="003F213C"/>
    <w:rsid w:val="003F2543"/>
    <w:rsid w:val="003F345D"/>
    <w:rsid w:val="003F4FCE"/>
    <w:rsid w:val="003F79D1"/>
    <w:rsid w:val="004006E8"/>
    <w:rsid w:val="00400E3A"/>
    <w:rsid w:val="0040191B"/>
    <w:rsid w:val="004019DC"/>
    <w:rsid w:val="00401F7A"/>
    <w:rsid w:val="00402226"/>
    <w:rsid w:val="00402D48"/>
    <w:rsid w:val="004030F1"/>
    <w:rsid w:val="00403A9C"/>
    <w:rsid w:val="0040407B"/>
    <w:rsid w:val="0040414D"/>
    <w:rsid w:val="00404390"/>
    <w:rsid w:val="004061AC"/>
    <w:rsid w:val="00406D47"/>
    <w:rsid w:val="00406E66"/>
    <w:rsid w:val="00410516"/>
    <w:rsid w:val="00410DF2"/>
    <w:rsid w:val="00413B09"/>
    <w:rsid w:val="0041401D"/>
    <w:rsid w:val="004147E0"/>
    <w:rsid w:val="0041544B"/>
    <w:rsid w:val="0041696A"/>
    <w:rsid w:val="00416BB6"/>
    <w:rsid w:val="00416CD7"/>
    <w:rsid w:val="004176D7"/>
    <w:rsid w:val="00422DDA"/>
    <w:rsid w:val="00423E37"/>
    <w:rsid w:val="0042424C"/>
    <w:rsid w:val="004242DB"/>
    <w:rsid w:val="00424F99"/>
    <w:rsid w:val="004254B3"/>
    <w:rsid w:val="0042553F"/>
    <w:rsid w:val="00430AB7"/>
    <w:rsid w:val="00430BEA"/>
    <w:rsid w:val="00431402"/>
    <w:rsid w:val="00431411"/>
    <w:rsid w:val="00431A49"/>
    <w:rsid w:val="00431AD6"/>
    <w:rsid w:val="00433C75"/>
    <w:rsid w:val="00433EF2"/>
    <w:rsid w:val="00437803"/>
    <w:rsid w:val="00437E2F"/>
    <w:rsid w:val="00441BCA"/>
    <w:rsid w:val="004420C3"/>
    <w:rsid w:val="00442787"/>
    <w:rsid w:val="004428D1"/>
    <w:rsid w:val="004469E0"/>
    <w:rsid w:val="00450111"/>
    <w:rsid w:val="0045132D"/>
    <w:rsid w:val="0045268B"/>
    <w:rsid w:val="0045529B"/>
    <w:rsid w:val="00455BC5"/>
    <w:rsid w:val="00456764"/>
    <w:rsid w:val="00457AFB"/>
    <w:rsid w:val="0046061A"/>
    <w:rsid w:val="004631BF"/>
    <w:rsid w:val="004635F9"/>
    <w:rsid w:val="0046405F"/>
    <w:rsid w:val="004647BA"/>
    <w:rsid w:val="004657AE"/>
    <w:rsid w:val="00465C58"/>
    <w:rsid w:val="00466A1C"/>
    <w:rsid w:val="00467B34"/>
    <w:rsid w:val="00472AF2"/>
    <w:rsid w:val="00472B32"/>
    <w:rsid w:val="00472DA7"/>
    <w:rsid w:val="00474A93"/>
    <w:rsid w:val="00475018"/>
    <w:rsid w:val="004752CE"/>
    <w:rsid w:val="004752E6"/>
    <w:rsid w:val="004807DE"/>
    <w:rsid w:val="00482350"/>
    <w:rsid w:val="00482794"/>
    <w:rsid w:val="004836A9"/>
    <w:rsid w:val="00483A86"/>
    <w:rsid w:val="00483E01"/>
    <w:rsid w:val="00484540"/>
    <w:rsid w:val="0048552F"/>
    <w:rsid w:val="00485C67"/>
    <w:rsid w:val="00485DD1"/>
    <w:rsid w:val="004865C4"/>
    <w:rsid w:val="00487DE4"/>
    <w:rsid w:val="004904B6"/>
    <w:rsid w:val="004918DF"/>
    <w:rsid w:val="00491B17"/>
    <w:rsid w:val="00492370"/>
    <w:rsid w:val="0049305C"/>
    <w:rsid w:val="00493DB1"/>
    <w:rsid w:val="00494093"/>
    <w:rsid w:val="004947CD"/>
    <w:rsid w:val="004949A5"/>
    <w:rsid w:val="00495622"/>
    <w:rsid w:val="004961DF"/>
    <w:rsid w:val="0049628C"/>
    <w:rsid w:val="004963D9"/>
    <w:rsid w:val="00497E49"/>
    <w:rsid w:val="004A0101"/>
    <w:rsid w:val="004A0225"/>
    <w:rsid w:val="004A15F0"/>
    <w:rsid w:val="004A2B4C"/>
    <w:rsid w:val="004A2C9E"/>
    <w:rsid w:val="004A3796"/>
    <w:rsid w:val="004A3D04"/>
    <w:rsid w:val="004A434D"/>
    <w:rsid w:val="004A45EC"/>
    <w:rsid w:val="004A5BAD"/>
    <w:rsid w:val="004A6177"/>
    <w:rsid w:val="004A66ED"/>
    <w:rsid w:val="004B0F27"/>
    <w:rsid w:val="004B1718"/>
    <w:rsid w:val="004B310B"/>
    <w:rsid w:val="004B329F"/>
    <w:rsid w:val="004B3D51"/>
    <w:rsid w:val="004B5684"/>
    <w:rsid w:val="004B6640"/>
    <w:rsid w:val="004B67E8"/>
    <w:rsid w:val="004C1F1B"/>
    <w:rsid w:val="004C48C7"/>
    <w:rsid w:val="004C49D2"/>
    <w:rsid w:val="004C5347"/>
    <w:rsid w:val="004C5659"/>
    <w:rsid w:val="004D00FF"/>
    <w:rsid w:val="004D4D09"/>
    <w:rsid w:val="004D5293"/>
    <w:rsid w:val="004D559F"/>
    <w:rsid w:val="004D584A"/>
    <w:rsid w:val="004D5C65"/>
    <w:rsid w:val="004D61B3"/>
    <w:rsid w:val="004D6706"/>
    <w:rsid w:val="004E04B6"/>
    <w:rsid w:val="004E0AB7"/>
    <w:rsid w:val="004E2189"/>
    <w:rsid w:val="004E268D"/>
    <w:rsid w:val="004E2784"/>
    <w:rsid w:val="004E2C35"/>
    <w:rsid w:val="004E2D18"/>
    <w:rsid w:val="004E2E8E"/>
    <w:rsid w:val="004E39A0"/>
    <w:rsid w:val="004E6625"/>
    <w:rsid w:val="004E6995"/>
    <w:rsid w:val="004E784F"/>
    <w:rsid w:val="004E7D56"/>
    <w:rsid w:val="004F20BC"/>
    <w:rsid w:val="004F2CEF"/>
    <w:rsid w:val="004F2D2E"/>
    <w:rsid w:val="004F2DF8"/>
    <w:rsid w:val="004F3519"/>
    <w:rsid w:val="004F38F2"/>
    <w:rsid w:val="004F3DF9"/>
    <w:rsid w:val="004F5F1E"/>
    <w:rsid w:val="004F7E1B"/>
    <w:rsid w:val="00503712"/>
    <w:rsid w:val="00503E85"/>
    <w:rsid w:val="00507205"/>
    <w:rsid w:val="00507FD8"/>
    <w:rsid w:val="00510D96"/>
    <w:rsid w:val="0051147B"/>
    <w:rsid w:val="00511A55"/>
    <w:rsid w:val="00513EF9"/>
    <w:rsid w:val="005140E5"/>
    <w:rsid w:val="00516E31"/>
    <w:rsid w:val="00520F95"/>
    <w:rsid w:val="00521CF8"/>
    <w:rsid w:val="005231DD"/>
    <w:rsid w:val="00523853"/>
    <w:rsid w:val="00524C1C"/>
    <w:rsid w:val="00524E66"/>
    <w:rsid w:val="00525064"/>
    <w:rsid w:val="00525439"/>
    <w:rsid w:val="00526323"/>
    <w:rsid w:val="0052761F"/>
    <w:rsid w:val="005310B7"/>
    <w:rsid w:val="00532C70"/>
    <w:rsid w:val="00533D6C"/>
    <w:rsid w:val="005370BF"/>
    <w:rsid w:val="005377A9"/>
    <w:rsid w:val="005410A5"/>
    <w:rsid w:val="005423CE"/>
    <w:rsid w:val="005433BB"/>
    <w:rsid w:val="005436A4"/>
    <w:rsid w:val="00543B52"/>
    <w:rsid w:val="00543FEC"/>
    <w:rsid w:val="005446C3"/>
    <w:rsid w:val="00545A13"/>
    <w:rsid w:val="005467EB"/>
    <w:rsid w:val="005473A7"/>
    <w:rsid w:val="00550BD3"/>
    <w:rsid w:val="00552F3F"/>
    <w:rsid w:val="005536DD"/>
    <w:rsid w:val="00556702"/>
    <w:rsid w:val="00560906"/>
    <w:rsid w:val="00562781"/>
    <w:rsid w:val="00563CEB"/>
    <w:rsid w:val="00564D0D"/>
    <w:rsid w:val="00565683"/>
    <w:rsid w:val="0056611B"/>
    <w:rsid w:val="005664E4"/>
    <w:rsid w:val="00566706"/>
    <w:rsid w:val="00566D25"/>
    <w:rsid w:val="00566D80"/>
    <w:rsid w:val="00570516"/>
    <w:rsid w:val="0057071A"/>
    <w:rsid w:val="00571225"/>
    <w:rsid w:val="005730C3"/>
    <w:rsid w:val="005748AA"/>
    <w:rsid w:val="005753F5"/>
    <w:rsid w:val="005754FF"/>
    <w:rsid w:val="005763E4"/>
    <w:rsid w:val="00582DF3"/>
    <w:rsid w:val="00584F9B"/>
    <w:rsid w:val="005850BD"/>
    <w:rsid w:val="005858DF"/>
    <w:rsid w:val="005866B1"/>
    <w:rsid w:val="0058671D"/>
    <w:rsid w:val="0059029E"/>
    <w:rsid w:val="005912E1"/>
    <w:rsid w:val="00591DF2"/>
    <w:rsid w:val="005922BC"/>
    <w:rsid w:val="00592BFB"/>
    <w:rsid w:val="005962A8"/>
    <w:rsid w:val="005A2D6D"/>
    <w:rsid w:val="005A371B"/>
    <w:rsid w:val="005A3F9E"/>
    <w:rsid w:val="005A4ABD"/>
    <w:rsid w:val="005A5165"/>
    <w:rsid w:val="005A560B"/>
    <w:rsid w:val="005A5F99"/>
    <w:rsid w:val="005A691B"/>
    <w:rsid w:val="005A6B54"/>
    <w:rsid w:val="005A79A3"/>
    <w:rsid w:val="005B19C8"/>
    <w:rsid w:val="005B3925"/>
    <w:rsid w:val="005B4BC9"/>
    <w:rsid w:val="005B4C09"/>
    <w:rsid w:val="005B54DB"/>
    <w:rsid w:val="005B626F"/>
    <w:rsid w:val="005B65B8"/>
    <w:rsid w:val="005B7D6F"/>
    <w:rsid w:val="005C0072"/>
    <w:rsid w:val="005C0748"/>
    <w:rsid w:val="005C2937"/>
    <w:rsid w:val="005C2ACF"/>
    <w:rsid w:val="005C2FCC"/>
    <w:rsid w:val="005C3546"/>
    <w:rsid w:val="005C3E2B"/>
    <w:rsid w:val="005C4483"/>
    <w:rsid w:val="005C5801"/>
    <w:rsid w:val="005C5A72"/>
    <w:rsid w:val="005C62DF"/>
    <w:rsid w:val="005C6CEE"/>
    <w:rsid w:val="005C77FD"/>
    <w:rsid w:val="005D12AB"/>
    <w:rsid w:val="005D1430"/>
    <w:rsid w:val="005D2CCB"/>
    <w:rsid w:val="005D4958"/>
    <w:rsid w:val="005D53EE"/>
    <w:rsid w:val="005D6257"/>
    <w:rsid w:val="005D694B"/>
    <w:rsid w:val="005E1069"/>
    <w:rsid w:val="005E1596"/>
    <w:rsid w:val="005E1B7B"/>
    <w:rsid w:val="005E46F9"/>
    <w:rsid w:val="005E56DC"/>
    <w:rsid w:val="005E607B"/>
    <w:rsid w:val="005F012C"/>
    <w:rsid w:val="005F0AB8"/>
    <w:rsid w:val="005F0BD6"/>
    <w:rsid w:val="005F1AB4"/>
    <w:rsid w:val="005F3418"/>
    <w:rsid w:val="005F472B"/>
    <w:rsid w:val="005F4A26"/>
    <w:rsid w:val="005F552B"/>
    <w:rsid w:val="005F5D62"/>
    <w:rsid w:val="005F73BF"/>
    <w:rsid w:val="00600766"/>
    <w:rsid w:val="00600EED"/>
    <w:rsid w:val="0060174C"/>
    <w:rsid w:val="00602A3B"/>
    <w:rsid w:val="00603325"/>
    <w:rsid w:val="006063EC"/>
    <w:rsid w:val="0060783D"/>
    <w:rsid w:val="00607DDB"/>
    <w:rsid w:val="006102D0"/>
    <w:rsid w:val="006115DC"/>
    <w:rsid w:val="00612541"/>
    <w:rsid w:val="0061396F"/>
    <w:rsid w:val="006154FF"/>
    <w:rsid w:val="0061579E"/>
    <w:rsid w:val="00617214"/>
    <w:rsid w:val="006176B4"/>
    <w:rsid w:val="00617930"/>
    <w:rsid w:val="00617EC9"/>
    <w:rsid w:val="0062067B"/>
    <w:rsid w:val="00620B74"/>
    <w:rsid w:val="00621C2B"/>
    <w:rsid w:val="00622A30"/>
    <w:rsid w:val="0062450A"/>
    <w:rsid w:val="00625CBF"/>
    <w:rsid w:val="0062665A"/>
    <w:rsid w:val="0063040D"/>
    <w:rsid w:val="006306D8"/>
    <w:rsid w:val="00631D88"/>
    <w:rsid w:val="00631E90"/>
    <w:rsid w:val="006323C6"/>
    <w:rsid w:val="00633455"/>
    <w:rsid w:val="006337C6"/>
    <w:rsid w:val="006338B0"/>
    <w:rsid w:val="00633BD6"/>
    <w:rsid w:val="00633BE2"/>
    <w:rsid w:val="006342F2"/>
    <w:rsid w:val="0063448D"/>
    <w:rsid w:val="00634BE2"/>
    <w:rsid w:val="006356CF"/>
    <w:rsid w:val="00636C9F"/>
    <w:rsid w:val="00636ECF"/>
    <w:rsid w:val="00637BE3"/>
    <w:rsid w:val="0064141A"/>
    <w:rsid w:val="0064275A"/>
    <w:rsid w:val="00643BFB"/>
    <w:rsid w:val="00643E1C"/>
    <w:rsid w:val="00644013"/>
    <w:rsid w:val="006464DE"/>
    <w:rsid w:val="00646AEF"/>
    <w:rsid w:val="006506B0"/>
    <w:rsid w:val="00651D88"/>
    <w:rsid w:val="00652CAF"/>
    <w:rsid w:val="006552BF"/>
    <w:rsid w:val="00656863"/>
    <w:rsid w:val="00657109"/>
    <w:rsid w:val="006571D1"/>
    <w:rsid w:val="00660953"/>
    <w:rsid w:val="00662910"/>
    <w:rsid w:val="00663651"/>
    <w:rsid w:val="006636EA"/>
    <w:rsid w:val="006637A7"/>
    <w:rsid w:val="00663EEB"/>
    <w:rsid w:val="006640D0"/>
    <w:rsid w:val="00664624"/>
    <w:rsid w:val="00666119"/>
    <w:rsid w:val="0066615D"/>
    <w:rsid w:val="00666CF5"/>
    <w:rsid w:val="00667BBF"/>
    <w:rsid w:val="00667F88"/>
    <w:rsid w:val="00670779"/>
    <w:rsid w:val="00672046"/>
    <w:rsid w:val="00672809"/>
    <w:rsid w:val="00672E6D"/>
    <w:rsid w:val="006739F2"/>
    <w:rsid w:val="00677F1E"/>
    <w:rsid w:val="00681AD3"/>
    <w:rsid w:val="00683448"/>
    <w:rsid w:val="00683A48"/>
    <w:rsid w:val="00684CD2"/>
    <w:rsid w:val="0068548A"/>
    <w:rsid w:val="0068690B"/>
    <w:rsid w:val="006916DC"/>
    <w:rsid w:val="006916EF"/>
    <w:rsid w:val="00691AB1"/>
    <w:rsid w:val="00691C59"/>
    <w:rsid w:val="00691FB1"/>
    <w:rsid w:val="00696CA1"/>
    <w:rsid w:val="00696D5E"/>
    <w:rsid w:val="006974CD"/>
    <w:rsid w:val="006978AA"/>
    <w:rsid w:val="006A0D94"/>
    <w:rsid w:val="006A2653"/>
    <w:rsid w:val="006A2E4B"/>
    <w:rsid w:val="006A30CE"/>
    <w:rsid w:val="006A635C"/>
    <w:rsid w:val="006B0E21"/>
    <w:rsid w:val="006B29A9"/>
    <w:rsid w:val="006B6782"/>
    <w:rsid w:val="006B6B9F"/>
    <w:rsid w:val="006B7494"/>
    <w:rsid w:val="006B76E4"/>
    <w:rsid w:val="006C20B7"/>
    <w:rsid w:val="006C2B85"/>
    <w:rsid w:val="006C4B1C"/>
    <w:rsid w:val="006C4E66"/>
    <w:rsid w:val="006C4FB5"/>
    <w:rsid w:val="006C59C5"/>
    <w:rsid w:val="006D009D"/>
    <w:rsid w:val="006D3D54"/>
    <w:rsid w:val="006D3E78"/>
    <w:rsid w:val="006D5024"/>
    <w:rsid w:val="006D56F1"/>
    <w:rsid w:val="006D5F3F"/>
    <w:rsid w:val="006D7A68"/>
    <w:rsid w:val="006E02CD"/>
    <w:rsid w:val="006E19E5"/>
    <w:rsid w:val="006E1F21"/>
    <w:rsid w:val="006E1F9F"/>
    <w:rsid w:val="006E2622"/>
    <w:rsid w:val="006E3664"/>
    <w:rsid w:val="006E3D87"/>
    <w:rsid w:val="006E4884"/>
    <w:rsid w:val="006E5666"/>
    <w:rsid w:val="006E5ABE"/>
    <w:rsid w:val="006E67F7"/>
    <w:rsid w:val="006E6A68"/>
    <w:rsid w:val="006E7F07"/>
    <w:rsid w:val="006F037C"/>
    <w:rsid w:val="006F0653"/>
    <w:rsid w:val="006F0D99"/>
    <w:rsid w:val="006F0F0C"/>
    <w:rsid w:val="006F1D78"/>
    <w:rsid w:val="006F21D9"/>
    <w:rsid w:val="006F23FC"/>
    <w:rsid w:val="006F26B6"/>
    <w:rsid w:val="006F2DFA"/>
    <w:rsid w:val="006F3890"/>
    <w:rsid w:val="006F4185"/>
    <w:rsid w:val="006F72F2"/>
    <w:rsid w:val="007033D4"/>
    <w:rsid w:val="007036C4"/>
    <w:rsid w:val="00704A6D"/>
    <w:rsid w:val="0070527F"/>
    <w:rsid w:val="00705F81"/>
    <w:rsid w:val="00706116"/>
    <w:rsid w:val="007101D9"/>
    <w:rsid w:val="00710A97"/>
    <w:rsid w:val="007125C7"/>
    <w:rsid w:val="00712F5F"/>
    <w:rsid w:val="00713561"/>
    <w:rsid w:val="00720478"/>
    <w:rsid w:val="00721903"/>
    <w:rsid w:val="00722749"/>
    <w:rsid w:val="007234A7"/>
    <w:rsid w:val="00731546"/>
    <w:rsid w:val="007326F9"/>
    <w:rsid w:val="00733E84"/>
    <w:rsid w:val="0073665C"/>
    <w:rsid w:val="00736BF5"/>
    <w:rsid w:val="007377CF"/>
    <w:rsid w:val="00737DB2"/>
    <w:rsid w:val="007403AF"/>
    <w:rsid w:val="007404AB"/>
    <w:rsid w:val="00740C04"/>
    <w:rsid w:val="00740C48"/>
    <w:rsid w:val="00741323"/>
    <w:rsid w:val="007414FB"/>
    <w:rsid w:val="007421C5"/>
    <w:rsid w:val="0074238B"/>
    <w:rsid w:val="007433ED"/>
    <w:rsid w:val="0074444A"/>
    <w:rsid w:val="0074532A"/>
    <w:rsid w:val="00745524"/>
    <w:rsid w:val="00745824"/>
    <w:rsid w:val="007465E3"/>
    <w:rsid w:val="00747554"/>
    <w:rsid w:val="007478E8"/>
    <w:rsid w:val="00747CF7"/>
    <w:rsid w:val="00750C02"/>
    <w:rsid w:val="00751C5B"/>
    <w:rsid w:val="00751F5D"/>
    <w:rsid w:val="007521E3"/>
    <w:rsid w:val="007523C6"/>
    <w:rsid w:val="0075243B"/>
    <w:rsid w:val="00752A00"/>
    <w:rsid w:val="00752D6F"/>
    <w:rsid w:val="0075368C"/>
    <w:rsid w:val="00753FC6"/>
    <w:rsid w:val="0075597A"/>
    <w:rsid w:val="00755EB9"/>
    <w:rsid w:val="00756FA8"/>
    <w:rsid w:val="00757E56"/>
    <w:rsid w:val="00760DC1"/>
    <w:rsid w:val="0076223B"/>
    <w:rsid w:val="00762FC7"/>
    <w:rsid w:val="0076304F"/>
    <w:rsid w:val="007639CB"/>
    <w:rsid w:val="00763A33"/>
    <w:rsid w:val="00764672"/>
    <w:rsid w:val="007700FC"/>
    <w:rsid w:val="00770438"/>
    <w:rsid w:val="00772088"/>
    <w:rsid w:val="007734F9"/>
    <w:rsid w:val="00773851"/>
    <w:rsid w:val="00774DE4"/>
    <w:rsid w:val="00775563"/>
    <w:rsid w:val="00776515"/>
    <w:rsid w:val="007767E3"/>
    <w:rsid w:val="00780C32"/>
    <w:rsid w:val="00781396"/>
    <w:rsid w:val="00781EE4"/>
    <w:rsid w:val="007825D9"/>
    <w:rsid w:val="0078296B"/>
    <w:rsid w:val="00782D74"/>
    <w:rsid w:val="007844C7"/>
    <w:rsid w:val="0078674F"/>
    <w:rsid w:val="00786E25"/>
    <w:rsid w:val="00787A75"/>
    <w:rsid w:val="00794D9D"/>
    <w:rsid w:val="00794EBF"/>
    <w:rsid w:val="0079503E"/>
    <w:rsid w:val="0079519F"/>
    <w:rsid w:val="00795A9F"/>
    <w:rsid w:val="007961F8"/>
    <w:rsid w:val="007965DB"/>
    <w:rsid w:val="00796B26"/>
    <w:rsid w:val="007A0E6F"/>
    <w:rsid w:val="007A1124"/>
    <w:rsid w:val="007A2A76"/>
    <w:rsid w:val="007A3733"/>
    <w:rsid w:val="007A37D9"/>
    <w:rsid w:val="007A4CBA"/>
    <w:rsid w:val="007A5FE9"/>
    <w:rsid w:val="007A6464"/>
    <w:rsid w:val="007A6586"/>
    <w:rsid w:val="007A6723"/>
    <w:rsid w:val="007B1453"/>
    <w:rsid w:val="007B1EBD"/>
    <w:rsid w:val="007B2623"/>
    <w:rsid w:val="007B29D8"/>
    <w:rsid w:val="007B29F4"/>
    <w:rsid w:val="007B2BC7"/>
    <w:rsid w:val="007B2F44"/>
    <w:rsid w:val="007B332A"/>
    <w:rsid w:val="007B43DB"/>
    <w:rsid w:val="007B45A6"/>
    <w:rsid w:val="007B4D36"/>
    <w:rsid w:val="007B4E13"/>
    <w:rsid w:val="007B5A40"/>
    <w:rsid w:val="007B5AAD"/>
    <w:rsid w:val="007B7150"/>
    <w:rsid w:val="007C0811"/>
    <w:rsid w:val="007C1130"/>
    <w:rsid w:val="007C231D"/>
    <w:rsid w:val="007C26E9"/>
    <w:rsid w:val="007C2AA2"/>
    <w:rsid w:val="007C42B4"/>
    <w:rsid w:val="007C4964"/>
    <w:rsid w:val="007C7823"/>
    <w:rsid w:val="007D0A54"/>
    <w:rsid w:val="007D0E25"/>
    <w:rsid w:val="007D138D"/>
    <w:rsid w:val="007D13AE"/>
    <w:rsid w:val="007D2192"/>
    <w:rsid w:val="007D27B7"/>
    <w:rsid w:val="007D2C63"/>
    <w:rsid w:val="007D35F0"/>
    <w:rsid w:val="007D373D"/>
    <w:rsid w:val="007D479E"/>
    <w:rsid w:val="007D4D9F"/>
    <w:rsid w:val="007D5A45"/>
    <w:rsid w:val="007D5F86"/>
    <w:rsid w:val="007E0733"/>
    <w:rsid w:val="007E2861"/>
    <w:rsid w:val="007E2FCF"/>
    <w:rsid w:val="007E343D"/>
    <w:rsid w:val="007E3AAA"/>
    <w:rsid w:val="007E576B"/>
    <w:rsid w:val="007E653A"/>
    <w:rsid w:val="007E7273"/>
    <w:rsid w:val="007E7435"/>
    <w:rsid w:val="007F15A5"/>
    <w:rsid w:val="007F1639"/>
    <w:rsid w:val="007F2682"/>
    <w:rsid w:val="007F2FE4"/>
    <w:rsid w:val="007F36FA"/>
    <w:rsid w:val="007F4B19"/>
    <w:rsid w:val="007F4C38"/>
    <w:rsid w:val="007F7D7D"/>
    <w:rsid w:val="00801004"/>
    <w:rsid w:val="008013D8"/>
    <w:rsid w:val="00801637"/>
    <w:rsid w:val="0080279F"/>
    <w:rsid w:val="008047D0"/>
    <w:rsid w:val="00804CE7"/>
    <w:rsid w:val="008054BE"/>
    <w:rsid w:val="008067E0"/>
    <w:rsid w:val="00807EEA"/>
    <w:rsid w:val="00810B98"/>
    <w:rsid w:val="00810EA9"/>
    <w:rsid w:val="008129B8"/>
    <w:rsid w:val="0081340D"/>
    <w:rsid w:val="00813E9F"/>
    <w:rsid w:val="0081417E"/>
    <w:rsid w:val="008148E8"/>
    <w:rsid w:val="00815C1E"/>
    <w:rsid w:val="00815DD0"/>
    <w:rsid w:val="00816386"/>
    <w:rsid w:val="008170F2"/>
    <w:rsid w:val="0082032B"/>
    <w:rsid w:val="008212A5"/>
    <w:rsid w:val="008219E2"/>
    <w:rsid w:val="00822509"/>
    <w:rsid w:val="00822FD3"/>
    <w:rsid w:val="008232BA"/>
    <w:rsid w:val="00823333"/>
    <w:rsid w:val="00824DC4"/>
    <w:rsid w:val="00825F0F"/>
    <w:rsid w:val="0083047F"/>
    <w:rsid w:val="008305BB"/>
    <w:rsid w:val="00832927"/>
    <w:rsid w:val="008358A6"/>
    <w:rsid w:val="00835AAC"/>
    <w:rsid w:val="00836093"/>
    <w:rsid w:val="00837B27"/>
    <w:rsid w:val="00840460"/>
    <w:rsid w:val="00841936"/>
    <w:rsid w:val="008427C9"/>
    <w:rsid w:val="00842A88"/>
    <w:rsid w:val="00844245"/>
    <w:rsid w:val="00845935"/>
    <w:rsid w:val="00846904"/>
    <w:rsid w:val="00847B23"/>
    <w:rsid w:val="008516C8"/>
    <w:rsid w:val="008521AE"/>
    <w:rsid w:val="00853D92"/>
    <w:rsid w:val="00854DA6"/>
    <w:rsid w:val="008553B0"/>
    <w:rsid w:val="00855E1B"/>
    <w:rsid w:val="00855FB0"/>
    <w:rsid w:val="0085606A"/>
    <w:rsid w:val="00856BCA"/>
    <w:rsid w:val="008575A5"/>
    <w:rsid w:val="008576FA"/>
    <w:rsid w:val="0086184A"/>
    <w:rsid w:val="00862189"/>
    <w:rsid w:val="008635DA"/>
    <w:rsid w:val="00863C64"/>
    <w:rsid w:val="0086474E"/>
    <w:rsid w:val="00865081"/>
    <w:rsid w:val="008654F6"/>
    <w:rsid w:val="00866042"/>
    <w:rsid w:val="00867E75"/>
    <w:rsid w:val="00871D64"/>
    <w:rsid w:val="00872B34"/>
    <w:rsid w:val="00874263"/>
    <w:rsid w:val="00874790"/>
    <w:rsid w:val="00875EC4"/>
    <w:rsid w:val="0087600E"/>
    <w:rsid w:val="008762E2"/>
    <w:rsid w:val="0088204D"/>
    <w:rsid w:val="00886168"/>
    <w:rsid w:val="008862A4"/>
    <w:rsid w:val="00886FAD"/>
    <w:rsid w:val="00887660"/>
    <w:rsid w:val="008900D6"/>
    <w:rsid w:val="00890FA2"/>
    <w:rsid w:val="00891419"/>
    <w:rsid w:val="008924D5"/>
    <w:rsid w:val="00892998"/>
    <w:rsid w:val="00894DB1"/>
    <w:rsid w:val="00895275"/>
    <w:rsid w:val="00896190"/>
    <w:rsid w:val="00896234"/>
    <w:rsid w:val="008A310F"/>
    <w:rsid w:val="008A3906"/>
    <w:rsid w:val="008A3942"/>
    <w:rsid w:val="008A4996"/>
    <w:rsid w:val="008A79B5"/>
    <w:rsid w:val="008A7F85"/>
    <w:rsid w:val="008B0DB9"/>
    <w:rsid w:val="008B0FC6"/>
    <w:rsid w:val="008B1202"/>
    <w:rsid w:val="008B1987"/>
    <w:rsid w:val="008B4C46"/>
    <w:rsid w:val="008B4F0A"/>
    <w:rsid w:val="008B52D2"/>
    <w:rsid w:val="008B5388"/>
    <w:rsid w:val="008B6D94"/>
    <w:rsid w:val="008B7B90"/>
    <w:rsid w:val="008C11D0"/>
    <w:rsid w:val="008C187F"/>
    <w:rsid w:val="008C1E0A"/>
    <w:rsid w:val="008C4954"/>
    <w:rsid w:val="008C6C55"/>
    <w:rsid w:val="008C6FEE"/>
    <w:rsid w:val="008D0D88"/>
    <w:rsid w:val="008D1A14"/>
    <w:rsid w:val="008D2368"/>
    <w:rsid w:val="008D3B27"/>
    <w:rsid w:val="008D460E"/>
    <w:rsid w:val="008D48CD"/>
    <w:rsid w:val="008D4A58"/>
    <w:rsid w:val="008D595F"/>
    <w:rsid w:val="008D5BB7"/>
    <w:rsid w:val="008D7892"/>
    <w:rsid w:val="008E0058"/>
    <w:rsid w:val="008E0834"/>
    <w:rsid w:val="008E0AC6"/>
    <w:rsid w:val="008E0FD3"/>
    <w:rsid w:val="008E2946"/>
    <w:rsid w:val="008E3F7E"/>
    <w:rsid w:val="008E4D2A"/>
    <w:rsid w:val="008E58B0"/>
    <w:rsid w:val="008E5D87"/>
    <w:rsid w:val="008F0942"/>
    <w:rsid w:val="008F1915"/>
    <w:rsid w:val="008F29AB"/>
    <w:rsid w:val="008F406B"/>
    <w:rsid w:val="008F531A"/>
    <w:rsid w:val="008F5B5F"/>
    <w:rsid w:val="008F5B97"/>
    <w:rsid w:val="008F6623"/>
    <w:rsid w:val="008F6972"/>
    <w:rsid w:val="008F6AB0"/>
    <w:rsid w:val="008F7822"/>
    <w:rsid w:val="00901290"/>
    <w:rsid w:val="009017C3"/>
    <w:rsid w:val="00902681"/>
    <w:rsid w:val="00902A0B"/>
    <w:rsid w:val="00903630"/>
    <w:rsid w:val="00904EA9"/>
    <w:rsid w:val="00905337"/>
    <w:rsid w:val="00906441"/>
    <w:rsid w:val="0091000B"/>
    <w:rsid w:val="0091546D"/>
    <w:rsid w:val="009164CD"/>
    <w:rsid w:val="009179E2"/>
    <w:rsid w:val="009205BA"/>
    <w:rsid w:val="00923E70"/>
    <w:rsid w:val="00924364"/>
    <w:rsid w:val="00925207"/>
    <w:rsid w:val="009254FA"/>
    <w:rsid w:val="00926A40"/>
    <w:rsid w:val="009306F2"/>
    <w:rsid w:val="00931944"/>
    <w:rsid w:val="00932397"/>
    <w:rsid w:val="00932902"/>
    <w:rsid w:val="00932E11"/>
    <w:rsid w:val="009333B6"/>
    <w:rsid w:val="009341D2"/>
    <w:rsid w:val="00934415"/>
    <w:rsid w:val="009349C0"/>
    <w:rsid w:val="00934ACC"/>
    <w:rsid w:val="00934B47"/>
    <w:rsid w:val="009360D1"/>
    <w:rsid w:val="009368E3"/>
    <w:rsid w:val="00936CDB"/>
    <w:rsid w:val="00940D66"/>
    <w:rsid w:val="00943F10"/>
    <w:rsid w:val="00946453"/>
    <w:rsid w:val="00946E3A"/>
    <w:rsid w:val="0095037D"/>
    <w:rsid w:val="00950727"/>
    <w:rsid w:val="00950C31"/>
    <w:rsid w:val="00950F5E"/>
    <w:rsid w:val="009511B3"/>
    <w:rsid w:val="00951CF7"/>
    <w:rsid w:val="0095211E"/>
    <w:rsid w:val="009524A0"/>
    <w:rsid w:val="00952E1E"/>
    <w:rsid w:val="00952F27"/>
    <w:rsid w:val="009536D4"/>
    <w:rsid w:val="00953C07"/>
    <w:rsid w:val="00954601"/>
    <w:rsid w:val="00954F69"/>
    <w:rsid w:val="00955DAD"/>
    <w:rsid w:val="00957CF3"/>
    <w:rsid w:val="00960DC9"/>
    <w:rsid w:val="00961889"/>
    <w:rsid w:val="00962485"/>
    <w:rsid w:val="009625FD"/>
    <w:rsid w:val="00963EA9"/>
    <w:rsid w:val="00964D9B"/>
    <w:rsid w:val="00964DE7"/>
    <w:rsid w:val="00965DC3"/>
    <w:rsid w:val="00966621"/>
    <w:rsid w:val="0096736C"/>
    <w:rsid w:val="00967E81"/>
    <w:rsid w:val="0097074D"/>
    <w:rsid w:val="00970841"/>
    <w:rsid w:val="00970ADC"/>
    <w:rsid w:val="009710A5"/>
    <w:rsid w:val="00971A2C"/>
    <w:rsid w:val="00971D96"/>
    <w:rsid w:val="0097278D"/>
    <w:rsid w:val="009729A8"/>
    <w:rsid w:val="00972A35"/>
    <w:rsid w:val="00980B39"/>
    <w:rsid w:val="00984149"/>
    <w:rsid w:val="009848E6"/>
    <w:rsid w:val="00984A73"/>
    <w:rsid w:val="00985D25"/>
    <w:rsid w:val="00986EE6"/>
    <w:rsid w:val="00991AA7"/>
    <w:rsid w:val="00992D31"/>
    <w:rsid w:val="00995A0A"/>
    <w:rsid w:val="009960FA"/>
    <w:rsid w:val="009976C8"/>
    <w:rsid w:val="00997C36"/>
    <w:rsid w:val="00997CC5"/>
    <w:rsid w:val="009A033A"/>
    <w:rsid w:val="009A0C59"/>
    <w:rsid w:val="009A0E0C"/>
    <w:rsid w:val="009A136E"/>
    <w:rsid w:val="009A1523"/>
    <w:rsid w:val="009A1C41"/>
    <w:rsid w:val="009A20E9"/>
    <w:rsid w:val="009A2563"/>
    <w:rsid w:val="009A4081"/>
    <w:rsid w:val="009A4334"/>
    <w:rsid w:val="009A474A"/>
    <w:rsid w:val="009A7501"/>
    <w:rsid w:val="009A768F"/>
    <w:rsid w:val="009B0B32"/>
    <w:rsid w:val="009B0D95"/>
    <w:rsid w:val="009B11ED"/>
    <w:rsid w:val="009B28A3"/>
    <w:rsid w:val="009B3EF1"/>
    <w:rsid w:val="009B4074"/>
    <w:rsid w:val="009B4B7E"/>
    <w:rsid w:val="009B55D8"/>
    <w:rsid w:val="009B74AE"/>
    <w:rsid w:val="009C109A"/>
    <w:rsid w:val="009C13AC"/>
    <w:rsid w:val="009C2241"/>
    <w:rsid w:val="009C3A10"/>
    <w:rsid w:val="009C4C5F"/>
    <w:rsid w:val="009C548B"/>
    <w:rsid w:val="009C7CD1"/>
    <w:rsid w:val="009D0434"/>
    <w:rsid w:val="009D104E"/>
    <w:rsid w:val="009D2288"/>
    <w:rsid w:val="009D2891"/>
    <w:rsid w:val="009D2930"/>
    <w:rsid w:val="009D29C7"/>
    <w:rsid w:val="009E1C82"/>
    <w:rsid w:val="009E4DE8"/>
    <w:rsid w:val="009E57EE"/>
    <w:rsid w:val="009E5981"/>
    <w:rsid w:val="009E64EC"/>
    <w:rsid w:val="009E6764"/>
    <w:rsid w:val="009E6851"/>
    <w:rsid w:val="009E77F4"/>
    <w:rsid w:val="009E7BBE"/>
    <w:rsid w:val="009E7DF3"/>
    <w:rsid w:val="009F00B0"/>
    <w:rsid w:val="009F09E1"/>
    <w:rsid w:val="009F0DD8"/>
    <w:rsid w:val="009F13DC"/>
    <w:rsid w:val="009F17BC"/>
    <w:rsid w:val="009F2019"/>
    <w:rsid w:val="009F2E04"/>
    <w:rsid w:val="009F3AA9"/>
    <w:rsid w:val="009F5619"/>
    <w:rsid w:val="009F591A"/>
    <w:rsid w:val="009F602F"/>
    <w:rsid w:val="009F78F4"/>
    <w:rsid w:val="00A0015C"/>
    <w:rsid w:val="00A00D9C"/>
    <w:rsid w:val="00A01154"/>
    <w:rsid w:val="00A01198"/>
    <w:rsid w:val="00A01554"/>
    <w:rsid w:val="00A024AB"/>
    <w:rsid w:val="00A02797"/>
    <w:rsid w:val="00A03724"/>
    <w:rsid w:val="00A03C45"/>
    <w:rsid w:val="00A03D95"/>
    <w:rsid w:val="00A041B1"/>
    <w:rsid w:val="00A04B32"/>
    <w:rsid w:val="00A04D85"/>
    <w:rsid w:val="00A05731"/>
    <w:rsid w:val="00A061C8"/>
    <w:rsid w:val="00A07044"/>
    <w:rsid w:val="00A070A6"/>
    <w:rsid w:val="00A07ABA"/>
    <w:rsid w:val="00A11408"/>
    <w:rsid w:val="00A13EF9"/>
    <w:rsid w:val="00A14902"/>
    <w:rsid w:val="00A15A8A"/>
    <w:rsid w:val="00A16CD1"/>
    <w:rsid w:val="00A174C1"/>
    <w:rsid w:val="00A17F3A"/>
    <w:rsid w:val="00A20059"/>
    <w:rsid w:val="00A20731"/>
    <w:rsid w:val="00A22394"/>
    <w:rsid w:val="00A22BEF"/>
    <w:rsid w:val="00A23AC2"/>
    <w:rsid w:val="00A24D40"/>
    <w:rsid w:val="00A24EE0"/>
    <w:rsid w:val="00A24FC2"/>
    <w:rsid w:val="00A2712C"/>
    <w:rsid w:val="00A27A52"/>
    <w:rsid w:val="00A27F2C"/>
    <w:rsid w:val="00A33989"/>
    <w:rsid w:val="00A33994"/>
    <w:rsid w:val="00A3465B"/>
    <w:rsid w:val="00A34E40"/>
    <w:rsid w:val="00A35513"/>
    <w:rsid w:val="00A35A5C"/>
    <w:rsid w:val="00A37B61"/>
    <w:rsid w:val="00A400AD"/>
    <w:rsid w:val="00A41222"/>
    <w:rsid w:val="00A4216E"/>
    <w:rsid w:val="00A4321E"/>
    <w:rsid w:val="00A43AAE"/>
    <w:rsid w:val="00A44D5B"/>
    <w:rsid w:val="00A451EF"/>
    <w:rsid w:val="00A4532F"/>
    <w:rsid w:val="00A4685A"/>
    <w:rsid w:val="00A526CC"/>
    <w:rsid w:val="00A56AB7"/>
    <w:rsid w:val="00A57AAD"/>
    <w:rsid w:val="00A619E1"/>
    <w:rsid w:val="00A62750"/>
    <w:rsid w:val="00A62B4E"/>
    <w:rsid w:val="00A6463E"/>
    <w:rsid w:val="00A65AAE"/>
    <w:rsid w:val="00A6621E"/>
    <w:rsid w:val="00A6637F"/>
    <w:rsid w:val="00A66A92"/>
    <w:rsid w:val="00A67FEA"/>
    <w:rsid w:val="00A70729"/>
    <w:rsid w:val="00A7078E"/>
    <w:rsid w:val="00A70E58"/>
    <w:rsid w:val="00A70ED3"/>
    <w:rsid w:val="00A71AAC"/>
    <w:rsid w:val="00A7247F"/>
    <w:rsid w:val="00A73ED7"/>
    <w:rsid w:val="00A75840"/>
    <w:rsid w:val="00A7586D"/>
    <w:rsid w:val="00A7617D"/>
    <w:rsid w:val="00A767B1"/>
    <w:rsid w:val="00A774D6"/>
    <w:rsid w:val="00A7765B"/>
    <w:rsid w:val="00A80E03"/>
    <w:rsid w:val="00A813FA"/>
    <w:rsid w:val="00A81D3D"/>
    <w:rsid w:val="00A8264F"/>
    <w:rsid w:val="00A843E3"/>
    <w:rsid w:val="00A85A18"/>
    <w:rsid w:val="00A869A7"/>
    <w:rsid w:val="00A87243"/>
    <w:rsid w:val="00A92D42"/>
    <w:rsid w:val="00A93542"/>
    <w:rsid w:val="00A93ECA"/>
    <w:rsid w:val="00A94EAA"/>
    <w:rsid w:val="00A96406"/>
    <w:rsid w:val="00A96B42"/>
    <w:rsid w:val="00A97BA6"/>
    <w:rsid w:val="00AA3394"/>
    <w:rsid w:val="00AA4D69"/>
    <w:rsid w:val="00AA68DA"/>
    <w:rsid w:val="00AA6D69"/>
    <w:rsid w:val="00AA73AF"/>
    <w:rsid w:val="00AB0B02"/>
    <w:rsid w:val="00AB0CD0"/>
    <w:rsid w:val="00AB12A9"/>
    <w:rsid w:val="00AB470E"/>
    <w:rsid w:val="00AB5A06"/>
    <w:rsid w:val="00AB6ADA"/>
    <w:rsid w:val="00AB6CBE"/>
    <w:rsid w:val="00AB6CE7"/>
    <w:rsid w:val="00AB7870"/>
    <w:rsid w:val="00AB7A71"/>
    <w:rsid w:val="00AC02B4"/>
    <w:rsid w:val="00AC16B8"/>
    <w:rsid w:val="00AC1E6B"/>
    <w:rsid w:val="00AC1FE3"/>
    <w:rsid w:val="00AC21B6"/>
    <w:rsid w:val="00AC2EE8"/>
    <w:rsid w:val="00AC34FA"/>
    <w:rsid w:val="00AC35CA"/>
    <w:rsid w:val="00AC3E8F"/>
    <w:rsid w:val="00AC5C15"/>
    <w:rsid w:val="00AC63E2"/>
    <w:rsid w:val="00AC6D67"/>
    <w:rsid w:val="00AC7C76"/>
    <w:rsid w:val="00AD0E1C"/>
    <w:rsid w:val="00AD5588"/>
    <w:rsid w:val="00AD6C0B"/>
    <w:rsid w:val="00AD6EEA"/>
    <w:rsid w:val="00AD7D69"/>
    <w:rsid w:val="00AE01B8"/>
    <w:rsid w:val="00AE07D7"/>
    <w:rsid w:val="00AE173F"/>
    <w:rsid w:val="00AE301A"/>
    <w:rsid w:val="00AE3556"/>
    <w:rsid w:val="00AE3F1C"/>
    <w:rsid w:val="00AE503E"/>
    <w:rsid w:val="00AE7333"/>
    <w:rsid w:val="00AE758D"/>
    <w:rsid w:val="00AF0292"/>
    <w:rsid w:val="00AF07F9"/>
    <w:rsid w:val="00AF0C0A"/>
    <w:rsid w:val="00AF1E3C"/>
    <w:rsid w:val="00AF2986"/>
    <w:rsid w:val="00AF2A60"/>
    <w:rsid w:val="00AF2B37"/>
    <w:rsid w:val="00AF4A77"/>
    <w:rsid w:val="00AF61B8"/>
    <w:rsid w:val="00AF714B"/>
    <w:rsid w:val="00AF7B32"/>
    <w:rsid w:val="00B00808"/>
    <w:rsid w:val="00B00C75"/>
    <w:rsid w:val="00B00FA2"/>
    <w:rsid w:val="00B018AC"/>
    <w:rsid w:val="00B0475F"/>
    <w:rsid w:val="00B05871"/>
    <w:rsid w:val="00B063DA"/>
    <w:rsid w:val="00B06E92"/>
    <w:rsid w:val="00B10031"/>
    <w:rsid w:val="00B10734"/>
    <w:rsid w:val="00B1154A"/>
    <w:rsid w:val="00B11A7D"/>
    <w:rsid w:val="00B123CF"/>
    <w:rsid w:val="00B12A90"/>
    <w:rsid w:val="00B12CE1"/>
    <w:rsid w:val="00B13681"/>
    <w:rsid w:val="00B136D8"/>
    <w:rsid w:val="00B137A9"/>
    <w:rsid w:val="00B13BE2"/>
    <w:rsid w:val="00B15137"/>
    <w:rsid w:val="00B15BC8"/>
    <w:rsid w:val="00B1604D"/>
    <w:rsid w:val="00B16C60"/>
    <w:rsid w:val="00B176D2"/>
    <w:rsid w:val="00B21FCC"/>
    <w:rsid w:val="00B2254E"/>
    <w:rsid w:val="00B2266D"/>
    <w:rsid w:val="00B22EE2"/>
    <w:rsid w:val="00B23387"/>
    <w:rsid w:val="00B234D1"/>
    <w:rsid w:val="00B239A3"/>
    <w:rsid w:val="00B23A47"/>
    <w:rsid w:val="00B24F5A"/>
    <w:rsid w:val="00B25CEF"/>
    <w:rsid w:val="00B26E96"/>
    <w:rsid w:val="00B26EDA"/>
    <w:rsid w:val="00B26F47"/>
    <w:rsid w:val="00B27D71"/>
    <w:rsid w:val="00B27E8C"/>
    <w:rsid w:val="00B32125"/>
    <w:rsid w:val="00B33EBA"/>
    <w:rsid w:val="00B36776"/>
    <w:rsid w:val="00B37E52"/>
    <w:rsid w:val="00B37F8B"/>
    <w:rsid w:val="00B4010C"/>
    <w:rsid w:val="00B4191B"/>
    <w:rsid w:val="00B4208D"/>
    <w:rsid w:val="00B4458D"/>
    <w:rsid w:val="00B4481D"/>
    <w:rsid w:val="00B44D48"/>
    <w:rsid w:val="00B45426"/>
    <w:rsid w:val="00B47158"/>
    <w:rsid w:val="00B47FF5"/>
    <w:rsid w:val="00B52022"/>
    <w:rsid w:val="00B5403B"/>
    <w:rsid w:val="00B56144"/>
    <w:rsid w:val="00B563C8"/>
    <w:rsid w:val="00B56445"/>
    <w:rsid w:val="00B60987"/>
    <w:rsid w:val="00B60C3A"/>
    <w:rsid w:val="00B61139"/>
    <w:rsid w:val="00B6226B"/>
    <w:rsid w:val="00B626E4"/>
    <w:rsid w:val="00B62794"/>
    <w:rsid w:val="00B630EB"/>
    <w:rsid w:val="00B63DC8"/>
    <w:rsid w:val="00B6533D"/>
    <w:rsid w:val="00B653DB"/>
    <w:rsid w:val="00B662E1"/>
    <w:rsid w:val="00B66383"/>
    <w:rsid w:val="00B674F6"/>
    <w:rsid w:val="00B751FA"/>
    <w:rsid w:val="00B756C6"/>
    <w:rsid w:val="00B75B64"/>
    <w:rsid w:val="00B75E73"/>
    <w:rsid w:val="00B77327"/>
    <w:rsid w:val="00B82886"/>
    <w:rsid w:val="00B832A2"/>
    <w:rsid w:val="00B8543C"/>
    <w:rsid w:val="00B87B87"/>
    <w:rsid w:val="00B9251E"/>
    <w:rsid w:val="00B927BE"/>
    <w:rsid w:val="00B938CD"/>
    <w:rsid w:val="00B9556B"/>
    <w:rsid w:val="00B964F2"/>
    <w:rsid w:val="00B97114"/>
    <w:rsid w:val="00B97722"/>
    <w:rsid w:val="00BA07AB"/>
    <w:rsid w:val="00BA1B3F"/>
    <w:rsid w:val="00BA24EC"/>
    <w:rsid w:val="00BA2514"/>
    <w:rsid w:val="00BA2E3E"/>
    <w:rsid w:val="00BA4329"/>
    <w:rsid w:val="00BA5879"/>
    <w:rsid w:val="00BA601D"/>
    <w:rsid w:val="00BA7376"/>
    <w:rsid w:val="00BB2042"/>
    <w:rsid w:val="00BB24AB"/>
    <w:rsid w:val="00BB2890"/>
    <w:rsid w:val="00BB3781"/>
    <w:rsid w:val="00BB4072"/>
    <w:rsid w:val="00BB634D"/>
    <w:rsid w:val="00BB6D16"/>
    <w:rsid w:val="00BC046A"/>
    <w:rsid w:val="00BC1700"/>
    <w:rsid w:val="00BC21BC"/>
    <w:rsid w:val="00BC2B60"/>
    <w:rsid w:val="00BC3032"/>
    <w:rsid w:val="00BC3F6F"/>
    <w:rsid w:val="00BC4546"/>
    <w:rsid w:val="00BC46B4"/>
    <w:rsid w:val="00BC5409"/>
    <w:rsid w:val="00BC56C5"/>
    <w:rsid w:val="00BC5A50"/>
    <w:rsid w:val="00BC6BF8"/>
    <w:rsid w:val="00BD1159"/>
    <w:rsid w:val="00BD1410"/>
    <w:rsid w:val="00BD272D"/>
    <w:rsid w:val="00BD2B5F"/>
    <w:rsid w:val="00BD4535"/>
    <w:rsid w:val="00BD5259"/>
    <w:rsid w:val="00BD5BD0"/>
    <w:rsid w:val="00BD651A"/>
    <w:rsid w:val="00BD721C"/>
    <w:rsid w:val="00BD72EC"/>
    <w:rsid w:val="00BD7383"/>
    <w:rsid w:val="00BE0A41"/>
    <w:rsid w:val="00BE0AF9"/>
    <w:rsid w:val="00BE1F23"/>
    <w:rsid w:val="00BE294D"/>
    <w:rsid w:val="00BE390C"/>
    <w:rsid w:val="00BE396A"/>
    <w:rsid w:val="00BE3ADB"/>
    <w:rsid w:val="00BE48F5"/>
    <w:rsid w:val="00BE557E"/>
    <w:rsid w:val="00BE74DE"/>
    <w:rsid w:val="00BF1489"/>
    <w:rsid w:val="00BF2238"/>
    <w:rsid w:val="00BF5B3E"/>
    <w:rsid w:val="00BF789F"/>
    <w:rsid w:val="00BF7CA9"/>
    <w:rsid w:val="00C00757"/>
    <w:rsid w:val="00C01E11"/>
    <w:rsid w:val="00C02A03"/>
    <w:rsid w:val="00C02A0D"/>
    <w:rsid w:val="00C02E08"/>
    <w:rsid w:val="00C032AF"/>
    <w:rsid w:val="00C04EE3"/>
    <w:rsid w:val="00C05206"/>
    <w:rsid w:val="00C1097F"/>
    <w:rsid w:val="00C11350"/>
    <w:rsid w:val="00C118CF"/>
    <w:rsid w:val="00C11F96"/>
    <w:rsid w:val="00C1308E"/>
    <w:rsid w:val="00C13B21"/>
    <w:rsid w:val="00C142E7"/>
    <w:rsid w:val="00C15E43"/>
    <w:rsid w:val="00C1773E"/>
    <w:rsid w:val="00C200A2"/>
    <w:rsid w:val="00C21BF2"/>
    <w:rsid w:val="00C2275D"/>
    <w:rsid w:val="00C23F4E"/>
    <w:rsid w:val="00C25828"/>
    <w:rsid w:val="00C267E3"/>
    <w:rsid w:val="00C26E50"/>
    <w:rsid w:val="00C27062"/>
    <w:rsid w:val="00C27A07"/>
    <w:rsid w:val="00C329C2"/>
    <w:rsid w:val="00C32AA6"/>
    <w:rsid w:val="00C32BA5"/>
    <w:rsid w:val="00C334A4"/>
    <w:rsid w:val="00C3480C"/>
    <w:rsid w:val="00C3515F"/>
    <w:rsid w:val="00C36831"/>
    <w:rsid w:val="00C36FF6"/>
    <w:rsid w:val="00C37BDC"/>
    <w:rsid w:val="00C4013B"/>
    <w:rsid w:val="00C42141"/>
    <w:rsid w:val="00C43160"/>
    <w:rsid w:val="00C43269"/>
    <w:rsid w:val="00C44A3B"/>
    <w:rsid w:val="00C46D4F"/>
    <w:rsid w:val="00C54332"/>
    <w:rsid w:val="00C548B0"/>
    <w:rsid w:val="00C56B15"/>
    <w:rsid w:val="00C57207"/>
    <w:rsid w:val="00C57E11"/>
    <w:rsid w:val="00C57EEB"/>
    <w:rsid w:val="00C57FBF"/>
    <w:rsid w:val="00C605CA"/>
    <w:rsid w:val="00C60743"/>
    <w:rsid w:val="00C60F66"/>
    <w:rsid w:val="00C61637"/>
    <w:rsid w:val="00C62AB6"/>
    <w:rsid w:val="00C63B88"/>
    <w:rsid w:val="00C65CA7"/>
    <w:rsid w:val="00C6719F"/>
    <w:rsid w:val="00C70022"/>
    <w:rsid w:val="00C72C00"/>
    <w:rsid w:val="00C74425"/>
    <w:rsid w:val="00C80404"/>
    <w:rsid w:val="00C80BCC"/>
    <w:rsid w:val="00C80C60"/>
    <w:rsid w:val="00C80EB5"/>
    <w:rsid w:val="00C81C7A"/>
    <w:rsid w:val="00C830FE"/>
    <w:rsid w:val="00C83C33"/>
    <w:rsid w:val="00C83CBA"/>
    <w:rsid w:val="00C8482D"/>
    <w:rsid w:val="00C85F85"/>
    <w:rsid w:val="00C9005D"/>
    <w:rsid w:val="00C91932"/>
    <w:rsid w:val="00C919B8"/>
    <w:rsid w:val="00C91CBA"/>
    <w:rsid w:val="00C91E81"/>
    <w:rsid w:val="00C92A68"/>
    <w:rsid w:val="00C931F9"/>
    <w:rsid w:val="00C93462"/>
    <w:rsid w:val="00C956FF"/>
    <w:rsid w:val="00C9691B"/>
    <w:rsid w:val="00CA2975"/>
    <w:rsid w:val="00CA325A"/>
    <w:rsid w:val="00CA35FB"/>
    <w:rsid w:val="00CA469F"/>
    <w:rsid w:val="00CA5416"/>
    <w:rsid w:val="00CA5E1E"/>
    <w:rsid w:val="00CA67AE"/>
    <w:rsid w:val="00CA6973"/>
    <w:rsid w:val="00CA7770"/>
    <w:rsid w:val="00CB2169"/>
    <w:rsid w:val="00CB303B"/>
    <w:rsid w:val="00CB510C"/>
    <w:rsid w:val="00CC0DFF"/>
    <w:rsid w:val="00CC1D2C"/>
    <w:rsid w:val="00CC32ED"/>
    <w:rsid w:val="00CC4EF2"/>
    <w:rsid w:val="00CC5693"/>
    <w:rsid w:val="00CC7C5F"/>
    <w:rsid w:val="00CD16E8"/>
    <w:rsid w:val="00CD1F01"/>
    <w:rsid w:val="00CD3281"/>
    <w:rsid w:val="00CD35C3"/>
    <w:rsid w:val="00CD35FE"/>
    <w:rsid w:val="00CD506D"/>
    <w:rsid w:val="00CD6568"/>
    <w:rsid w:val="00CD71F0"/>
    <w:rsid w:val="00CE012F"/>
    <w:rsid w:val="00CE0DF4"/>
    <w:rsid w:val="00CE121C"/>
    <w:rsid w:val="00CE174A"/>
    <w:rsid w:val="00CE2F8F"/>
    <w:rsid w:val="00CE3B61"/>
    <w:rsid w:val="00CE3BDF"/>
    <w:rsid w:val="00CE48BB"/>
    <w:rsid w:val="00CE51DA"/>
    <w:rsid w:val="00CE58B2"/>
    <w:rsid w:val="00CE670E"/>
    <w:rsid w:val="00CE763D"/>
    <w:rsid w:val="00CE7E87"/>
    <w:rsid w:val="00CF03F1"/>
    <w:rsid w:val="00CF28C0"/>
    <w:rsid w:val="00CF3C3E"/>
    <w:rsid w:val="00CF3D90"/>
    <w:rsid w:val="00CF3E85"/>
    <w:rsid w:val="00CF5665"/>
    <w:rsid w:val="00CF6A9F"/>
    <w:rsid w:val="00CF6D1B"/>
    <w:rsid w:val="00CF7C3F"/>
    <w:rsid w:val="00CF7DE3"/>
    <w:rsid w:val="00CF7F10"/>
    <w:rsid w:val="00D00753"/>
    <w:rsid w:val="00D0113D"/>
    <w:rsid w:val="00D0119C"/>
    <w:rsid w:val="00D01FC7"/>
    <w:rsid w:val="00D02C69"/>
    <w:rsid w:val="00D03D14"/>
    <w:rsid w:val="00D04898"/>
    <w:rsid w:val="00D055DA"/>
    <w:rsid w:val="00D055DC"/>
    <w:rsid w:val="00D05AAB"/>
    <w:rsid w:val="00D05C51"/>
    <w:rsid w:val="00D063BB"/>
    <w:rsid w:val="00D101DC"/>
    <w:rsid w:val="00D1183C"/>
    <w:rsid w:val="00D1249B"/>
    <w:rsid w:val="00D12683"/>
    <w:rsid w:val="00D12703"/>
    <w:rsid w:val="00D13949"/>
    <w:rsid w:val="00D1531A"/>
    <w:rsid w:val="00D153E7"/>
    <w:rsid w:val="00D1540A"/>
    <w:rsid w:val="00D157A6"/>
    <w:rsid w:val="00D159DD"/>
    <w:rsid w:val="00D17538"/>
    <w:rsid w:val="00D21290"/>
    <w:rsid w:val="00D217BA"/>
    <w:rsid w:val="00D2296B"/>
    <w:rsid w:val="00D23358"/>
    <w:rsid w:val="00D24316"/>
    <w:rsid w:val="00D26266"/>
    <w:rsid w:val="00D2628B"/>
    <w:rsid w:val="00D265AC"/>
    <w:rsid w:val="00D2724E"/>
    <w:rsid w:val="00D27363"/>
    <w:rsid w:val="00D27890"/>
    <w:rsid w:val="00D27D3B"/>
    <w:rsid w:val="00D27ED4"/>
    <w:rsid w:val="00D27F93"/>
    <w:rsid w:val="00D31354"/>
    <w:rsid w:val="00D3173F"/>
    <w:rsid w:val="00D31C0E"/>
    <w:rsid w:val="00D3281E"/>
    <w:rsid w:val="00D332AE"/>
    <w:rsid w:val="00D33A4F"/>
    <w:rsid w:val="00D36261"/>
    <w:rsid w:val="00D367CE"/>
    <w:rsid w:val="00D407D4"/>
    <w:rsid w:val="00D40DAD"/>
    <w:rsid w:val="00D427B4"/>
    <w:rsid w:val="00D43324"/>
    <w:rsid w:val="00D446E4"/>
    <w:rsid w:val="00D51000"/>
    <w:rsid w:val="00D52AFB"/>
    <w:rsid w:val="00D533E3"/>
    <w:rsid w:val="00D53FD1"/>
    <w:rsid w:val="00D54D19"/>
    <w:rsid w:val="00D55B06"/>
    <w:rsid w:val="00D57295"/>
    <w:rsid w:val="00D575C3"/>
    <w:rsid w:val="00D57965"/>
    <w:rsid w:val="00D57DD5"/>
    <w:rsid w:val="00D602C4"/>
    <w:rsid w:val="00D605C9"/>
    <w:rsid w:val="00D628D4"/>
    <w:rsid w:val="00D634AA"/>
    <w:rsid w:val="00D653D4"/>
    <w:rsid w:val="00D65462"/>
    <w:rsid w:val="00D65F51"/>
    <w:rsid w:val="00D66F4E"/>
    <w:rsid w:val="00D70711"/>
    <w:rsid w:val="00D70740"/>
    <w:rsid w:val="00D72717"/>
    <w:rsid w:val="00D72DED"/>
    <w:rsid w:val="00D7416E"/>
    <w:rsid w:val="00D75A61"/>
    <w:rsid w:val="00D76523"/>
    <w:rsid w:val="00D77037"/>
    <w:rsid w:val="00D775D3"/>
    <w:rsid w:val="00D80448"/>
    <w:rsid w:val="00D8061F"/>
    <w:rsid w:val="00D809B0"/>
    <w:rsid w:val="00D80D9F"/>
    <w:rsid w:val="00D81071"/>
    <w:rsid w:val="00D84690"/>
    <w:rsid w:val="00D846FD"/>
    <w:rsid w:val="00D84744"/>
    <w:rsid w:val="00D84A89"/>
    <w:rsid w:val="00D84D8C"/>
    <w:rsid w:val="00D85F85"/>
    <w:rsid w:val="00D87A18"/>
    <w:rsid w:val="00D87C1D"/>
    <w:rsid w:val="00D87F6D"/>
    <w:rsid w:val="00D91384"/>
    <w:rsid w:val="00D914D5"/>
    <w:rsid w:val="00D92711"/>
    <w:rsid w:val="00D9326E"/>
    <w:rsid w:val="00D941A4"/>
    <w:rsid w:val="00D94DC9"/>
    <w:rsid w:val="00D9579D"/>
    <w:rsid w:val="00D95BFC"/>
    <w:rsid w:val="00D96345"/>
    <w:rsid w:val="00D96CD2"/>
    <w:rsid w:val="00D96E03"/>
    <w:rsid w:val="00D977C1"/>
    <w:rsid w:val="00DA0479"/>
    <w:rsid w:val="00DA077F"/>
    <w:rsid w:val="00DA0D1C"/>
    <w:rsid w:val="00DA1080"/>
    <w:rsid w:val="00DA1F2C"/>
    <w:rsid w:val="00DA2317"/>
    <w:rsid w:val="00DA3D7E"/>
    <w:rsid w:val="00DA448F"/>
    <w:rsid w:val="00DA66AF"/>
    <w:rsid w:val="00DA7156"/>
    <w:rsid w:val="00DA74D7"/>
    <w:rsid w:val="00DB046A"/>
    <w:rsid w:val="00DB35BC"/>
    <w:rsid w:val="00DB55A2"/>
    <w:rsid w:val="00DB5831"/>
    <w:rsid w:val="00DB63D1"/>
    <w:rsid w:val="00DB6615"/>
    <w:rsid w:val="00DB6EE5"/>
    <w:rsid w:val="00DC1689"/>
    <w:rsid w:val="00DC38F6"/>
    <w:rsid w:val="00DC4752"/>
    <w:rsid w:val="00DC6857"/>
    <w:rsid w:val="00DC687F"/>
    <w:rsid w:val="00DC6B25"/>
    <w:rsid w:val="00DD05BD"/>
    <w:rsid w:val="00DD0C9D"/>
    <w:rsid w:val="00DD1322"/>
    <w:rsid w:val="00DD1C49"/>
    <w:rsid w:val="00DD213F"/>
    <w:rsid w:val="00DD2711"/>
    <w:rsid w:val="00DD2895"/>
    <w:rsid w:val="00DD34C3"/>
    <w:rsid w:val="00DD3727"/>
    <w:rsid w:val="00DD5A5E"/>
    <w:rsid w:val="00DD7782"/>
    <w:rsid w:val="00DD785D"/>
    <w:rsid w:val="00DE1336"/>
    <w:rsid w:val="00DE3E91"/>
    <w:rsid w:val="00DE46F0"/>
    <w:rsid w:val="00DE6128"/>
    <w:rsid w:val="00DE63E9"/>
    <w:rsid w:val="00DE69AC"/>
    <w:rsid w:val="00DE6A03"/>
    <w:rsid w:val="00DE6BFC"/>
    <w:rsid w:val="00DE74C5"/>
    <w:rsid w:val="00DE78B4"/>
    <w:rsid w:val="00DE7AA5"/>
    <w:rsid w:val="00DE7E4D"/>
    <w:rsid w:val="00DF16CA"/>
    <w:rsid w:val="00DF2155"/>
    <w:rsid w:val="00DF2233"/>
    <w:rsid w:val="00DF2E6B"/>
    <w:rsid w:val="00DF494B"/>
    <w:rsid w:val="00DF63D4"/>
    <w:rsid w:val="00DF6707"/>
    <w:rsid w:val="00DF674F"/>
    <w:rsid w:val="00DF686F"/>
    <w:rsid w:val="00DF6D2F"/>
    <w:rsid w:val="00DF6E6D"/>
    <w:rsid w:val="00DF7287"/>
    <w:rsid w:val="00E0034A"/>
    <w:rsid w:val="00E016E5"/>
    <w:rsid w:val="00E01E25"/>
    <w:rsid w:val="00E02499"/>
    <w:rsid w:val="00E02EB4"/>
    <w:rsid w:val="00E03B3F"/>
    <w:rsid w:val="00E03E8B"/>
    <w:rsid w:val="00E04017"/>
    <w:rsid w:val="00E04102"/>
    <w:rsid w:val="00E0636A"/>
    <w:rsid w:val="00E07791"/>
    <w:rsid w:val="00E10AE6"/>
    <w:rsid w:val="00E11361"/>
    <w:rsid w:val="00E11500"/>
    <w:rsid w:val="00E120C4"/>
    <w:rsid w:val="00E13873"/>
    <w:rsid w:val="00E13A4B"/>
    <w:rsid w:val="00E15150"/>
    <w:rsid w:val="00E156E7"/>
    <w:rsid w:val="00E168D8"/>
    <w:rsid w:val="00E169A5"/>
    <w:rsid w:val="00E17375"/>
    <w:rsid w:val="00E17593"/>
    <w:rsid w:val="00E20E40"/>
    <w:rsid w:val="00E239B8"/>
    <w:rsid w:val="00E25416"/>
    <w:rsid w:val="00E30A7F"/>
    <w:rsid w:val="00E31349"/>
    <w:rsid w:val="00E32B3B"/>
    <w:rsid w:val="00E32EAA"/>
    <w:rsid w:val="00E33A8A"/>
    <w:rsid w:val="00E33E93"/>
    <w:rsid w:val="00E36346"/>
    <w:rsid w:val="00E37504"/>
    <w:rsid w:val="00E41D6A"/>
    <w:rsid w:val="00E430E0"/>
    <w:rsid w:val="00E437D8"/>
    <w:rsid w:val="00E440B5"/>
    <w:rsid w:val="00E50A18"/>
    <w:rsid w:val="00E512BD"/>
    <w:rsid w:val="00E51E3B"/>
    <w:rsid w:val="00E52330"/>
    <w:rsid w:val="00E52AC0"/>
    <w:rsid w:val="00E53C2C"/>
    <w:rsid w:val="00E53FAC"/>
    <w:rsid w:val="00E5408E"/>
    <w:rsid w:val="00E54AF6"/>
    <w:rsid w:val="00E54F19"/>
    <w:rsid w:val="00E55353"/>
    <w:rsid w:val="00E56063"/>
    <w:rsid w:val="00E5784C"/>
    <w:rsid w:val="00E6257C"/>
    <w:rsid w:val="00E64411"/>
    <w:rsid w:val="00E660B6"/>
    <w:rsid w:val="00E6618D"/>
    <w:rsid w:val="00E67081"/>
    <w:rsid w:val="00E67861"/>
    <w:rsid w:val="00E729B2"/>
    <w:rsid w:val="00E7373F"/>
    <w:rsid w:val="00E738B2"/>
    <w:rsid w:val="00E73A58"/>
    <w:rsid w:val="00E74F06"/>
    <w:rsid w:val="00E75386"/>
    <w:rsid w:val="00E75520"/>
    <w:rsid w:val="00E75733"/>
    <w:rsid w:val="00E75770"/>
    <w:rsid w:val="00E80BE4"/>
    <w:rsid w:val="00E81225"/>
    <w:rsid w:val="00E81967"/>
    <w:rsid w:val="00E819A9"/>
    <w:rsid w:val="00E84404"/>
    <w:rsid w:val="00E8454C"/>
    <w:rsid w:val="00E8536A"/>
    <w:rsid w:val="00E8587C"/>
    <w:rsid w:val="00E86927"/>
    <w:rsid w:val="00E86A43"/>
    <w:rsid w:val="00E87441"/>
    <w:rsid w:val="00E914F0"/>
    <w:rsid w:val="00E91D48"/>
    <w:rsid w:val="00E93767"/>
    <w:rsid w:val="00E93867"/>
    <w:rsid w:val="00E93CB8"/>
    <w:rsid w:val="00E97794"/>
    <w:rsid w:val="00EA108B"/>
    <w:rsid w:val="00EA11A5"/>
    <w:rsid w:val="00EA20A3"/>
    <w:rsid w:val="00EA2823"/>
    <w:rsid w:val="00EA2A58"/>
    <w:rsid w:val="00EA5108"/>
    <w:rsid w:val="00EA7A85"/>
    <w:rsid w:val="00EB005D"/>
    <w:rsid w:val="00EB029E"/>
    <w:rsid w:val="00EB31E7"/>
    <w:rsid w:val="00EB37D0"/>
    <w:rsid w:val="00EB3840"/>
    <w:rsid w:val="00EB40B3"/>
    <w:rsid w:val="00EB5301"/>
    <w:rsid w:val="00EB54DF"/>
    <w:rsid w:val="00EB5F40"/>
    <w:rsid w:val="00EB678E"/>
    <w:rsid w:val="00EB71D3"/>
    <w:rsid w:val="00EB741D"/>
    <w:rsid w:val="00EB7D88"/>
    <w:rsid w:val="00EB7DE0"/>
    <w:rsid w:val="00EC142C"/>
    <w:rsid w:val="00EC24B7"/>
    <w:rsid w:val="00EC42ED"/>
    <w:rsid w:val="00EC5263"/>
    <w:rsid w:val="00ED034E"/>
    <w:rsid w:val="00ED2DAE"/>
    <w:rsid w:val="00ED35C5"/>
    <w:rsid w:val="00ED55BB"/>
    <w:rsid w:val="00ED607D"/>
    <w:rsid w:val="00ED7267"/>
    <w:rsid w:val="00EE1C00"/>
    <w:rsid w:val="00EE1C56"/>
    <w:rsid w:val="00EE28D8"/>
    <w:rsid w:val="00EE67AE"/>
    <w:rsid w:val="00EE6814"/>
    <w:rsid w:val="00EE6882"/>
    <w:rsid w:val="00EE71AF"/>
    <w:rsid w:val="00EE76C9"/>
    <w:rsid w:val="00EE7C29"/>
    <w:rsid w:val="00EF022C"/>
    <w:rsid w:val="00EF052A"/>
    <w:rsid w:val="00EF0B63"/>
    <w:rsid w:val="00EF0DB6"/>
    <w:rsid w:val="00EF23CF"/>
    <w:rsid w:val="00EF268D"/>
    <w:rsid w:val="00EF322F"/>
    <w:rsid w:val="00EF3CD8"/>
    <w:rsid w:val="00EF4354"/>
    <w:rsid w:val="00EF43D6"/>
    <w:rsid w:val="00EF4F5A"/>
    <w:rsid w:val="00EF60C1"/>
    <w:rsid w:val="00EF6904"/>
    <w:rsid w:val="00F00074"/>
    <w:rsid w:val="00F01DC5"/>
    <w:rsid w:val="00F03F66"/>
    <w:rsid w:val="00F04283"/>
    <w:rsid w:val="00F046B8"/>
    <w:rsid w:val="00F04A86"/>
    <w:rsid w:val="00F04A8F"/>
    <w:rsid w:val="00F0631A"/>
    <w:rsid w:val="00F0648B"/>
    <w:rsid w:val="00F10D9A"/>
    <w:rsid w:val="00F131A2"/>
    <w:rsid w:val="00F1345E"/>
    <w:rsid w:val="00F13B01"/>
    <w:rsid w:val="00F13ED0"/>
    <w:rsid w:val="00F14BB7"/>
    <w:rsid w:val="00F179D2"/>
    <w:rsid w:val="00F20A3F"/>
    <w:rsid w:val="00F22553"/>
    <w:rsid w:val="00F228F7"/>
    <w:rsid w:val="00F25E00"/>
    <w:rsid w:val="00F26B52"/>
    <w:rsid w:val="00F26C67"/>
    <w:rsid w:val="00F30BE1"/>
    <w:rsid w:val="00F31167"/>
    <w:rsid w:val="00F32B27"/>
    <w:rsid w:val="00F3378F"/>
    <w:rsid w:val="00F33D1A"/>
    <w:rsid w:val="00F35483"/>
    <w:rsid w:val="00F35A07"/>
    <w:rsid w:val="00F36684"/>
    <w:rsid w:val="00F36D55"/>
    <w:rsid w:val="00F3766A"/>
    <w:rsid w:val="00F377D7"/>
    <w:rsid w:val="00F403AD"/>
    <w:rsid w:val="00F404CB"/>
    <w:rsid w:val="00F439A1"/>
    <w:rsid w:val="00F4511F"/>
    <w:rsid w:val="00F4630B"/>
    <w:rsid w:val="00F465C8"/>
    <w:rsid w:val="00F50F5C"/>
    <w:rsid w:val="00F50FE9"/>
    <w:rsid w:val="00F51948"/>
    <w:rsid w:val="00F524D6"/>
    <w:rsid w:val="00F529A6"/>
    <w:rsid w:val="00F52C9A"/>
    <w:rsid w:val="00F555C9"/>
    <w:rsid w:val="00F5619A"/>
    <w:rsid w:val="00F57756"/>
    <w:rsid w:val="00F57A4B"/>
    <w:rsid w:val="00F60B54"/>
    <w:rsid w:val="00F60D3B"/>
    <w:rsid w:val="00F628AF"/>
    <w:rsid w:val="00F62D31"/>
    <w:rsid w:val="00F65457"/>
    <w:rsid w:val="00F66225"/>
    <w:rsid w:val="00F6651E"/>
    <w:rsid w:val="00F6710F"/>
    <w:rsid w:val="00F67DE9"/>
    <w:rsid w:val="00F737A9"/>
    <w:rsid w:val="00F73F01"/>
    <w:rsid w:val="00F7456C"/>
    <w:rsid w:val="00F74723"/>
    <w:rsid w:val="00F75F0D"/>
    <w:rsid w:val="00F8053F"/>
    <w:rsid w:val="00F80EF4"/>
    <w:rsid w:val="00F82440"/>
    <w:rsid w:val="00F84228"/>
    <w:rsid w:val="00F84A7E"/>
    <w:rsid w:val="00F852FE"/>
    <w:rsid w:val="00F85AAC"/>
    <w:rsid w:val="00F8678B"/>
    <w:rsid w:val="00F86798"/>
    <w:rsid w:val="00F869EB"/>
    <w:rsid w:val="00F86F8F"/>
    <w:rsid w:val="00F87052"/>
    <w:rsid w:val="00F92D4A"/>
    <w:rsid w:val="00F93C96"/>
    <w:rsid w:val="00F95848"/>
    <w:rsid w:val="00F95BEF"/>
    <w:rsid w:val="00F96CDC"/>
    <w:rsid w:val="00F97071"/>
    <w:rsid w:val="00FA0A59"/>
    <w:rsid w:val="00FA243C"/>
    <w:rsid w:val="00FA426A"/>
    <w:rsid w:val="00FA45FD"/>
    <w:rsid w:val="00FA4752"/>
    <w:rsid w:val="00FB1945"/>
    <w:rsid w:val="00FB26D8"/>
    <w:rsid w:val="00FB28D7"/>
    <w:rsid w:val="00FB32EE"/>
    <w:rsid w:val="00FB37E5"/>
    <w:rsid w:val="00FB3F8C"/>
    <w:rsid w:val="00FB48AF"/>
    <w:rsid w:val="00FB62E6"/>
    <w:rsid w:val="00FB78EB"/>
    <w:rsid w:val="00FC0976"/>
    <w:rsid w:val="00FC1518"/>
    <w:rsid w:val="00FC2ACD"/>
    <w:rsid w:val="00FC311B"/>
    <w:rsid w:val="00FC3F27"/>
    <w:rsid w:val="00FC5CEB"/>
    <w:rsid w:val="00FC6312"/>
    <w:rsid w:val="00FC649F"/>
    <w:rsid w:val="00FC7801"/>
    <w:rsid w:val="00FD08EB"/>
    <w:rsid w:val="00FD113D"/>
    <w:rsid w:val="00FD23DB"/>
    <w:rsid w:val="00FD2A3B"/>
    <w:rsid w:val="00FD56E7"/>
    <w:rsid w:val="00FD735C"/>
    <w:rsid w:val="00FD7693"/>
    <w:rsid w:val="00FE0314"/>
    <w:rsid w:val="00FE1ED4"/>
    <w:rsid w:val="00FE362F"/>
    <w:rsid w:val="00FE42FE"/>
    <w:rsid w:val="00FE5E6D"/>
    <w:rsid w:val="00FE618C"/>
    <w:rsid w:val="00FE6DF1"/>
    <w:rsid w:val="00FF00BF"/>
    <w:rsid w:val="00FF0BC3"/>
    <w:rsid w:val="00FF1120"/>
    <w:rsid w:val="00FF11F9"/>
    <w:rsid w:val="00FF203A"/>
    <w:rsid w:val="00FF2BB9"/>
    <w:rsid w:val="00FF376A"/>
    <w:rsid w:val="00FF38F3"/>
    <w:rsid w:val="00FF3A78"/>
    <w:rsid w:val="00FF4932"/>
    <w:rsid w:val="00FF49F3"/>
    <w:rsid w:val="00FF4AF3"/>
    <w:rsid w:val="00FF4FFF"/>
    <w:rsid w:val="00FF60C0"/>
    <w:rsid w:val="00FF6747"/>
    <w:rsid w:val="00FF740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0477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6533D"/>
    <w:pPr>
      <w:spacing w:after="160" w:line="276" w:lineRule="auto"/>
      <w:jc w:val="both"/>
    </w:pPr>
    <w:rPr>
      <w:rFonts w:ascii="Garamond" w:hAnsi="Garamond"/>
      <w:sz w:val="24"/>
      <w:szCs w:val="24"/>
    </w:rPr>
  </w:style>
  <w:style w:type="paragraph" w:styleId="Nadpis1">
    <w:name w:val="heading 1"/>
    <w:basedOn w:val="Normln"/>
    <w:next w:val="Normln"/>
    <w:qFormat/>
    <w:rsid w:val="0076223B"/>
    <w:pPr>
      <w:keepNext/>
      <w:numPr>
        <w:numId w:val="49"/>
      </w:numPr>
      <w:tabs>
        <w:tab w:val="left" w:pos="540"/>
        <w:tab w:val="right" w:pos="9000"/>
      </w:tabs>
      <w:ind w:left="357" w:hanging="357"/>
      <w:outlineLvl w:val="0"/>
    </w:pPr>
    <w:rPr>
      <w:b/>
      <w:caps/>
      <w:sz w:val="26"/>
    </w:rPr>
  </w:style>
  <w:style w:type="paragraph" w:styleId="Nadpis2">
    <w:name w:val="heading 2"/>
    <w:basedOn w:val="Normln"/>
    <w:next w:val="Normln"/>
    <w:link w:val="Nadpis2Char"/>
    <w:qFormat/>
    <w:rsid w:val="00DA66AF"/>
    <w:pPr>
      <w:keepNext/>
      <w:numPr>
        <w:numId w:val="4"/>
      </w:numPr>
      <w:spacing w:before="300" w:after="120"/>
      <w:ind w:left="454" w:hanging="454"/>
      <w:outlineLvl w:val="1"/>
    </w:pPr>
    <w:rPr>
      <w:b/>
      <w:smallCaps/>
      <w:sz w:val="26"/>
    </w:rPr>
  </w:style>
  <w:style w:type="paragraph" w:styleId="Nadpis3">
    <w:name w:val="heading 3"/>
    <w:basedOn w:val="Normln"/>
    <w:next w:val="Normln"/>
    <w:qFormat/>
    <w:pPr>
      <w:keepNext/>
      <w:jc w:val="center"/>
      <w:outlineLvl w:val="2"/>
    </w:pPr>
    <w:rPr>
      <w:b/>
    </w:rPr>
  </w:style>
  <w:style w:type="paragraph" w:styleId="Nadpis4">
    <w:name w:val="heading 4"/>
    <w:basedOn w:val="Normln"/>
    <w:next w:val="Normln"/>
    <w:qFormat/>
    <w:pPr>
      <w:keepNext/>
      <w:tabs>
        <w:tab w:val="right" w:pos="9000"/>
      </w:tabs>
      <w:outlineLvl w:val="3"/>
    </w:pPr>
    <w:rPr>
      <w:b/>
    </w:rPr>
  </w:style>
  <w:style w:type="paragraph" w:styleId="Nadpis5">
    <w:name w:val="heading 5"/>
    <w:basedOn w:val="Normln"/>
    <w:next w:val="Normln"/>
    <w:qFormat/>
    <w:pPr>
      <w:keepNext/>
      <w:tabs>
        <w:tab w:val="left" w:pos="900"/>
      </w:tabs>
      <w:jc w:val="cente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style>
  <w:style w:type="character" w:styleId="Hypertextovodkaz">
    <w:name w:val="Hyperlink"/>
    <w:rPr>
      <w:color w:val="0000FF"/>
      <w:u w:val="single"/>
    </w:rPr>
  </w:style>
  <w:style w:type="paragraph" w:styleId="Zkladntext">
    <w:name w:val="Body Text"/>
    <w:basedOn w:val="Normln"/>
  </w:style>
  <w:style w:type="paragraph" w:styleId="Zkladntextodsazen">
    <w:name w:val="Body Text Indent"/>
    <w:basedOn w:val="Normln"/>
    <w:pPr>
      <w:ind w:firstLine="426"/>
    </w:pPr>
  </w:style>
  <w:style w:type="paragraph" w:styleId="Zkladntextodsazen2">
    <w:name w:val="Body Text Indent 2"/>
    <w:basedOn w:val="Normln"/>
    <w:pPr>
      <w:ind w:firstLine="540"/>
    </w:pPr>
  </w:style>
  <w:style w:type="paragraph" w:styleId="Textbubliny">
    <w:name w:val="Balloon Text"/>
    <w:basedOn w:val="Normln"/>
    <w:semiHidden/>
    <w:rPr>
      <w:rFonts w:ascii="Tahoma" w:hAnsi="Tahoma" w:cs="Tahoma"/>
      <w:sz w:val="16"/>
      <w:szCs w:val="16"/>
    </w:rPr>
  </w:style>
  <w:style w:type="paragraph" w:styleId="Textpoznpodarou">
    <w:name w:val="footnote text"/>
    <w:basedOn w:val="Normln"/>
    <w:link w:val="TextpoznpodarouChar"/>
    <w:semiHidden/>
    <w:rPr>
      <w:sz w:val="20"/>
      <w:szCs w:val="20"/>
    </w:rPr>
  </w:style>
  <w:style w:type="character" w:styleId="Znakapoznpodarou">
    <w:name w:val="footnote reference"/>
    <w:semiHidden/>
    <w:rPr>
      <w:vertAlign w:val="superscript"/>
    </w:rPr>
  </w:style>
  <w:style w:type="character" w:styleId="Odkaznakoment">
    <w:name w:val="annotation reference"/>
    <w:semiHidden/>
    <w:rsid w:val="00CF3C3E"/>
    <w:rPr>
      <w:sz w:val="16"/>
      <w:szCs w:val="16"/>
    </w:rPr>
  </w:style>
  <w:style w:type="paragraph" w:styleId="Textkomente">
    <w:name w:val="annotation text"/>
    <w:basedOn w:val="Normln"/>
    <w:semiHidden/>
    <w:rsid w:val="00CF3C3E"/>
    <w:rPr>
      <w:sz w:val="20"/>
      <w:szCs w:val="20"/>
    </w:rPr>
  </w:style>
  <w:style w:type="paragraph" w:styleId="Pedmtkomente">
    <w:name w:val="annotation subject"/>
    <w:basedOn w:val="Textkomente"/>
    <w:next w:val="Textkomente"/>
    <w:semiHidden/>
    <w:rsid w:val="00CF3C3E"/>
    <w:rPr>
      <w:b/>
      <w:bCs/>
    </w:rPr>
  </w:style>
  <w:style w:type="paragraph" w:styleId="Zhlav">
    <w:name w:val="header"/>
    <w:basedOn w:val="Normln"/>
    <w:rsid w:val="001C325C"/>
    <w:pPr>
      <w:tabs>
        <w:tab w:val="center" w:pos="4536"/>
        <w:tab w:val="right" w:pos="9072"/>
      </w:tabs>
    </w:pPr>
  </w:style>
  <w:style w:type="paragraph" w:styleId="Zpat">
    <w:name w:val="footer"/>
    <w:basedOn w:val="Normln"/>
    <w:link w:val="ZpatChar"/>
    <w:uiPriority w:val="99"/>
    <w:rsid w:val="001C325C"/>
    <w:pPr>
      <w:tabs>
        <w:tab w:val="center" w:pos="4536"/>
        <w:tab w:val="right" w:pos="9072"/>
      </w:tabs>
    </w:pPr>
  </w:style>
  <w:style w:type="character" w:customStyle="1" w:styleId="ZpatChar">
    <w:name w:val="Zápatí Char"/>
    <w:link w:val="Zpat"/>
    <w:uiPriority w:val="99"/>
    <w:rsid w:val="00AC5C15"/>
    <w:rPr>
      <w:sz w:val="24"/>
      <w:szCs w:val="24"/>
    </w:rPr>
  </w:style>
  <w:style w:type="paragraph" w:styleId="Odstavecseseznamem">
    <w:name w:val="List Paragraph"/>
    <w:basedOn w:val="Normln"/>
    <w:uiPriority w:val="34"/>
    <w:qFormat/>
    <w:rsid w:val="00F01DC5"/>
    <w:pPr>
      <w:ind w:left="720"/>
      <w:contextualSpacing/>
    </w:pPr>
  </w:style>
  <w:style w:type="character" w:styleId="Sledovanodkaz">
    <w:name w:val="FollowedHyperlink"/>
    <w:basedOn w:val="Standardnpsmoodstavce"/>
    <w:rsid w:val="00212DEE"/>
    <w:rPr>
      <w:color w:val="954F72" w:themeColor="followedHyperlink"/>
      <w:u w:val="single"/>
    </w:rPr>
  </w:style>
  <w:style w:type="paragraph" w:styleId="Podnadpis">
    <w:name w:val="Subtitle"/>
    <w:basedOn w:val="Normln"/>
    <w:next w:val="Normln"/>
    <w:link w:val="PodnadpisChar"/>
    <w:qFormat/>
    <w:rsid w:val="0030353D"/>
    <w:pPr>
      <w:keepNext/>
      <w:numPr>
        <w:ilvl w:val="1"/>
      </w:numPr>
      <w:spacing w:before="120"/>
    </w:pPr>
    <w:rPr>
      <w:rFonts w:eastAsiaTheme="minorEastAsia" w:cstheme="minorBidi"/>
      <w:spacing w:val="15"/>
      <w:szCs w:val="22"/>
      <w:u w:val="single"/>
    </w:rPr>
  </w:style>
  <w:style w:type="character" w:customStyle="1" w:styleId="PodnadpisChar">
    <w:name w:val="Podnadpis Char"/>
    <w:basedOn w:val="Standardnpsmoodstavce"/>
    <w:link w:val="Podnadpis"/>
    <w:rsid w:val="0030353D"/>
    <w:rPr>
      <w:rFonts w:ascii="Garamond" w:eastAsiaTheme="minorEastAsia" w:hAnsi="Garamond" w:cstheme="minorBidi"/>
      <w:spacing w:val="15"/>
      <w:sz w:val="24"/>
      <w:szCs w:val="22"/>
      <w:u w:val="single"/>
    </w:rPr>
  </w:style>
  <w:style w:type="paragraph" w:customStyle="1" w:styleId="Poznmkypodarou">
    <w:name w:val="Poznámky pod čarou"/>
    <w:basedOn w:val="Textpoznpodarou"/>
    <w:link w:val="PoznmkypodarouChar"/>
    <w:qFormat/>
    <w:rsid w:val="0030353D"/>
    <w:pPr>
      <w:spacing w:after="0"/>
    </w:pPr>
    <w:rPr>
      <w:rFonts w:cs="Arial"/>
      <w:szCs w:val="18"/>
    </w:rPr>
  </w:style>
  <w:style w:type="character" w:customStyle="1" w:styleId="TextpoznpodarouChar">
    <w:name w:val="Text pozn. pod čarou Char"/>
    <w:basedOn w:val="Standardnpsmoodstavce"/>
    <w:link w:val="Textpoznpodarou"/>
    <w:semiHidden/>
    <w:rsid w:val="0030353D"/>
    <w:rPr>
      <w:rFonts w:ascii="Garamond" w:hAnsi="Garamond"/>
    </w:rPr>
  </w:style>
  <w:style w:type="character" w:customStyle="1" w:styleId="PoznmkypodarouChar">
    <w:name w:val="Poznámky pod čarou Char"/>
    <w:basedOn w:val="TextpoznpodarouChar"/>
    <w:link w:val="Poznmkypodarou"/>
    <w:rsid w:val="0030353D"/>
    <w:rPr>
      <w:rFonts w:ascii="Garamond" w:hAnsi="Garamond" w:cs="Arial"/>
      <w:szCs w:val="18"/>
    </w:rPr>
  </w:style>
  <w:style w:type="character" w:customStyle="1" w:styleId="Nadpis2Char">
    <w:name w:val="Nadpis 2 Char"/>
    <w:basedOn w:val="Standardnpsmoodstavce"/>
    <w:link w:val="Nadpis2"/>
    <w:rsid w:val="004949A5"/>
    <w:rPr>
      <w:rFonts w:ascii="Garamond" w:hAnsi="Garamond"/>
      <w:b/>
      <w:smallCaps/>
      <w:sz w:val="26"/>
      <w:szCs w:val="24"/>
    </w:rPr>
  </w:style>
  <w:style w:type="paragraph" w:styleId="Revize">
    <w:name w:val="Revision"/>
    <w:hidden/>
    <w:uiPriority w:val="99"/>
    <w:semiHidden/>
    <w:rsid w:val="001B35FB"/>
    <w:rPr>
      <w:rFonts w:ascii="Garamond" w:hAnsi="Garamond"/>
      <w:sz w:val="24"/>
      <w:szCs w:val="24"/>
    </w:rPr>
  </w:style>
  <w:style w:type="character" w:styleId="Nevyeenzmnka">
    <w:name w:val="Unresolved Mention"/>
    <w:basedOn w:val="Standardnpsmoodstavce"/>
    <w:uiPriority w:val="99"/>
    <w:semiHidden/>
    <w:unhideWhenUsed/>
    <w:rsid w:val="003D53FD"/>
    <w:rPr>
      <w:color w:val="605E5C"/>
      <w:shd w:val="clear" w:color="auto" w:fill="E1DFDD"/>
    </w:rPr>
  </w:style>
  <w:style w:type="table" w:styleId="Mkatabulky">
    <w:name w:val="Table Grid"/>
    <w:basedOn w:val="Normlntabulka"/>
    <w:rsid w:val="00E43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ln"/>
    <w:next w:val="Normln"/>
    <w:uiPriority w:val="99"/>
    <w:rsid w:val="00CF5665"/>
    <w:pPr>
      <w:autoSpaceDE w:val="0"/>
      <w:autoSpaceDN w:val="0"/>
      <w:adjustRightInd w:val="0"/>
      <w:spacing w:after="0" w:line="221" w:lineRule="atLeast"/>
      <w:jc w:val="left"/>
    </w:pPr>
    <w:rPr>
      <w:rFonts w:ascii="Arial" w:hAnsi="Arial" w:cs="Arial"/>
    </w:rPr>
  </w:style>
  <w:style w:type="character" w:customStyle="1" w:styleId="A5">
    <w:name w:val="A5"/>
    <w:uiPriority w:val="99"/>
    <w:rsid w:val="00CF5665"/>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839228">
      <w:bodyDiv w:val="1"/>
      <w:marLeft w:val="0"/>
      <w:marRight w:val="0"/>
      <w:marTop w:val="0"/>
      <w:marBottom w:val="0"/>
      <w:divBdr>
        <w:top w:val="none" w:sz="0" w:space="0" w:color="auto"/>
        <w:left w:val="none" w:sz="0" w:space="0" w:color="auto"/>
        <w:bottom w:val="none" w:sz="0" w:space="0" w:color="auto"/>
        <w:right w:val="none" w:sz="0" w:space="0" w:color="auto"/>
      </w:divBdr>
    </w:div>
    <w:div w:id="18096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cid:image001.png@01D859B3.F6F3079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o.cz/assets/cz/rozcestnik/analyticke-materialy-a-statistiky/analyticke-materialy/2022/1/Analyza-vyvoje-ekonomiky-CR_prosinec-202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zso.cz/documents/10180/143522108/370002211017.pdf/dc66787b-b62b-43f3-837e-b633c42eb832?version=1.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smlouvy.gov.cz/smlouva/17605163" TargetMode="External"/><Relationship Id="rId3" Type="http://schemas.openxmlformats.org/officeDocument/2006/relationships/hyperlink" Target="https://smlouvy.gov.cz/smlouva/17605155" TargetMode="External"/><Relationship Id="rId7" Type="http://schemas.openxmlformats.org/officeDocument/2006/relationships/hyperlink" Target="https://smlouvy.gov.cz/smlouva/17570919" TargetMode="External"/><Relationship Id="rId2" Type="http://schemas.openxmlformats.org/officeDocument/2006/relationships/hyperlink" Target="https://smlouvy.gov.cz/smlouva/17605163" TargetMode="External"/><Relationship Id="rId1" Type="http://schemas.openxmlformats.org/officeDocument/2006/relationships/hyperlink" Target="https://digi.ctu.cz/pokryti/je" TargetMode="External"/><Relationship Id="rId6" Type="http://schemas.openxmlformats.org/officeDocument/2006/relationships/hyperlink" Target="https://smlouvy.gov.cz/smlouva/17722383" TargetMode="External"/><Relationship Id="rId5" Type="http://schemas.openxmlformats.org/officeDocument/2006/relationships/hyperlink" Target="https://smlouvy.gov.cz/smlouva/17723415" TargetMode="External"/><Relationship Id="rId4" Type="http://schemas.openxmlformats.org/officeDocument/2006/relationships/hyperlink" Target="https://smlouvy.gov.cz/smlouva/175709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20FE5-B9AF-4405-A978-0DAFC7AF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16332</Words>
  <Characters>97441</Characters>
  <Application>Microsoft Office Word</Application>
  <DocSecurity>0</DocSecurity>
  <Lines>812</Lines>
  <Paragraphs>227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113546</CharactersWithSpaces>
  <SharedDoc>false</SharedDoc>
  <HLinks>
    <vt:vector size="12" baseType="variant">
      <vt:variant>
        <vt:i4>7995477</vt:i4>
      </vt:variant>
      <vt:variant>
        <vt:i4>3</vt:i4>
      </vt:variant>
      <vt:variant>
        <vt:i4>0</vt:i4>
      </vt:variant>
      <vt:variant>
        <vt:i4>5</vt:i4>
      </vt:variant>
      <vt:variant>
        <vt:lpwstr>mailto:podatelna@ctu.cz</vt:lpwstr>
      </vt:variant>
      <vt:variant>
        <vt:lpwstr/>
      </vt:variant>
      <vt:variant>
        <vt:i4>7405680</vt:i4>
      </vt:variant>
      <vt:variant>
        <vt:i4>0</vt:i4>
      </vt:variant>
      <vt:variant>
        <vt:i4>0</vt:i4>
      </vt:variant>
      <vt:variant>
        <vt:i4>5</vt:i4>
      </vt:variant>
      <vt:variant>
        <vt:lpwstr>http://www.ctu.cz/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2022-06-28T09:09:00Z</dcterms:created>
  <dcterms:modified xsi:type="dcterms:W3CDTF">2022-06-28T09:09:00Z</dcterms:modified>
</cp:coreProperties>
</file>