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AFB3EE" w14:textId="5F095E93" w:rsidR="002D6F89" w:rsidRDefault="008C444C" w:rsidP="00C73DB9">
      <w:pPr>
        <w:pStyle w:val="Vvojcen-nzevdokumentu"/>
      </w:pPr>
      <w:r w:rsidRPr="00C73DB9">
        <w:t>Metodika</w:t>
      </w:r>
      <w:r w:rsidR="00670885" w:rsidRPr="00C73DB9">
        <w:t xml:space="preserve"> pro stanovení ceny </w:t>
      </w:r>
      <w:r w:rsidR="000A4AEB" w:rsidRPr="00F67923">
        <w:t>za přístup</w:t>
      </w:r>
      <w:r w:rsidR="00670885" w:rsidRPr="00F67923">
        <w:t xml:space="preserve"> k</w:t>
      </w:r>
      <w:r w:rsidR="0049013A">
        <w:t> </w:t>
      </w:r>
      <w:bookmarkStart w:id="0" w:name="_GoBack"/>
      <w:bookmarkEnd w:id="0"/>
      <w:r w:rsidR="002E52E7" w:rsidRPr="00F67923">
        <w:t>fyzické</w:t>
      </w:r>
      <w:r w:rsidR="002D6F89" w:rsidRPr="00F67923">
        <w:t xml:space="preserve"> </w:t>
      </w:r>
      <w:r w:rsidR="00A425F1" w:rsidRPr="00F67923">
        <w:t>infrastruktu</w:t>
      </w:r>
      <w:r w:rsidR="00670885" w:rsidRPr="00F67923">
        <w:t>ře</w:t>
      </w:r>
    </w:p>
    <w:p w14:paraId="2A2B9521" w14:textId="7586EB67" w:rsidR="008C444C" w:rsidRDefault="008C444C">
      <w:pPr>
        <w:overflowPunct/>
        <w:autoSpaceDE/>
        <w:autoSpaceDN/>
        <w:adjustRightInd/>
        <w:spacing w:after="160" w:line="259" w:lineRule="auto"/>
        <w:textAlignment w:val="auto"/>
        <w:rPr>
          <w:rFonts w:ascii="Arial" w:hAnsi="Arial"/>
          <w:b/>
          <w:bCs/>
          <w:sz w:val="40"/>
          <w:szCs w:val="40"/>
        </w:rPr>
      </w:pPr>
      <w:r>
        <w:br w:type="page"/>
      </w:r>
    </w:p>
    <w:p w14:paraId="5401CA6C" w14:textId="18701F09" w:rsidR="008C444C" w:rsidRDefault="002C52CF" w:rsidP="00F67923">
      <w:pPr>
        <w:pStyle w:val="Vvojcen-podnadpis"/>
      </w:pPr>
      <w:r>
        <w:lastRenderedPageBreak/>
        <w:t>Obsah</w:t>
      </w:r>
    </w:p>
    <w:p w14:paraId="160CDECF" w14:textId="7D8355F0" w:rsidR="007C0C8C" w:rsidRDefault="002C52CF">
      <w:pPr>
        <w:pStyle w:val="Obsah1"/>
        <w:tabs>
          <w:tab w:val="left" w:pos="400"/>
          <w:tab w:val="right" w:leader="underscore" w:pos="9062"/>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484079645" w:history="1">
        <w:r w:rsidR="007C0C8C" w:rsidRPr="0062232E">
          <w:rPr>
            <w:rStyle w:val="Hypertextovodkaz"/>
            <w:noProof/>
          </w:rPr>
          <w:t>1</w:t>
        </w:r>
        <w:r w:rsidR="007C0C8C">
          <w:rPr>
            <w:rFonts w:eastAsiaTheme="minorEastAsia" w:cstheme="minorBidi"/>
            <w:b w:val="0"/>
            <w:bCs w:val="0"/>
            <w:i w:val="0"/>
            <w:iCs w:val="0"/>
            <w:noProof/>
            <w:sz w:val="22"/>
            <w:szCs w:val="22"/>
          </w:rPr>
          <w:tab/>
        </w:r>
        <w:r w:rsidR="007C0C8C" w:rsidRPr="0062232E">
          <w:rPr>
            <w:rStyle w:val="Hypertextovodkaz"/>
            <w:noProof/>
          </w:rPr>
          <w:t>Úvod a vymezení pojmů</w:t>
        </w:r>
        <w:r w:rsidR="007C0C8C">
          <w:rPr>
            <w:noProof/>
            <w:webHidden/>
          </w:rPr>
          <w:tab/>
        </w:r>
        <w:r w:rsidR="007C0C8C">
          <w:rPr>
            <w:noProof/>
            <w:webHidden/>
          </w:rPr>
          <w:fldChar w:fldCharType="begin"/>
        </w:r>
        <w:r w:rsidR="007C0C8C">
          <w:rPr>
            <w:noProof/>
            <w:webHidden/>
          </w:rPr>
          <w:instrText xml:space="preserve"> PAGEREF _Toc484079645 \h </w:instrText>
        </w:r>
        <w:r w:rsidR="007C0C8C">
          <w:rPr>
            <w:noProof/>
            <w:webHidden/>
          </w:rPr>
        </w:r>
        <w:r w:rsidR="007C0C8C">
          <w:rPr>
            <w:noProof/>
            <w:webHidden/>
          </w:rPr>
          <w:fldChar w:fldCharType="separate"/>
        </w:r>
        <w:r w:rsidR="007C0C8C">
          <w:rPr>
            <w:noProof/>
            <w:webHidden/>
          </w:rPr>
          <w:t>3</w:t>
        </w:r>
        <w:r w:rsidR="007C0C8C">
          <w:rPr>
            <w:noProof/>
            <w:webHidden/>
          </w:rPr>
          <w:fldChar w:fldCharType="end"/>
        </w:r>
      </w:hyperlink>
    </w:p>
    <w:p w14:paraId="06CC5BC2" w14:textId="0BB5F1A8" w:rsidR="007C0C8C" w:rsidRDefault="00BE4E76">
      <w:pPr>
        <w:pStyle w:val="Obsah1"/>
        <w:tabs>
          <w:tab w:val="left" w:pos="400"/>
          <w:tab w:val="right" w:leader="underscore" w:pos="9062"/>
        </w:tabs>
        <w:rPr>
          <w:rFonts w:eastAsiaTheme="minorEastAsia" w:cstheme="minorBidi"/>
          <w:b w:val="0"/>
          <w:bCs w:val="0"/>
          <w:i w:val="0"/>
          <w:iCs w:val="0"/>
          <w:noProof/>
          <w:sz w:val="22"/>
          <w:szCs w:val="22"/>
        </w:rPr>
      </w:pPr>
      <w:hyperlink w:anchor="_Toc484079646" w:history="1">
        <w:r w:rsidR="007C0C8C" w:rsidRPr="0062232E">
          <w:rPr>
            <w:rStyle w:val="Hypertextovodkaz"/>
            <w:rFonts w:eastAsia="MS Mincho"/>
            <w:noProof/>
            <w:lang w:eastAsia="ja-JP"/>
          </w:rPr>
          <w:t>2</w:t>
        </w:r>
        <w:r w:rsidR="007C0C8C">
          <w:rPr>
            <w:rFonts w:eastAsiaTheme="minorEastAsia" w:cstheme="minorBidi"/>
            <w:b w:val="0"/>
            <w:bCs w:val="0"/>
            <w:i w:val="0"/>
            <w:iCs w:val="0"/>
            <w:noProof/>
            <w:sz w:val="22"/>
            <w:szCs w:val="22"/>
          </w:rPr>
          <w:tab/>
        </w:r>
        <w:r w:rsidR="007C0C8C" w:rsidRPr="0062232E">
          <w:rPr>
            <w:rStyle w:val="Hypertextovodkaz"/>
            <w:rFonts w:eastAsia="MS Mincho"/>
            <w:noProof/>
            <w:lang w:eastAsia="ja-JP"/>
          </w:rPr>
          <w:t>Měsíční ceny za pronájem fyzické infrastruktury</w:t>
        </w:r>
        <w:r w:rsidR="007C0C8C">
          <w:rPr>
            <w:noProof/>
            <w:webHidden/>
          </w:rPr>
          <w:tab/>
        </w:r>
        <w:r w:rsidR="007C0C8C">
          <w:rPr>
            <w:noProof/>
            <w:webHidden/>
          </w:rPr>
          <w:fldChar w:fldCharType="begin"/>
        </w:r>
        <w:r w:rsidR="007C0C8C">
          <w:rPr>
            <w:noProof/>
            <w:webHidden/>
          </w:rPr>
          <w:instrText xml:space="preserve"> PAGEREF _Toc484079646 \h </w:instrText>
        </w:r>
        <w:r w:rsidR="007C0C8C">
          <w:rPr>
            <w:noProof/>
            <w:webHidden/>
          </w:rPr>
        </w:r>
        <w:r w:rsidR="007C0C8C">
          <w:rPr>
            <w:noProof/>
            <w:webHidden/>
          </w:rPr>
          <w:fldChar w:fldCharType="separate"/>
        </w:r>
        <w:r w:rsidR="007C0C8C">
          <w:rPr>
            <w:noProof/>
            <w:webHidden/>
          </w:rPr>
          <w:t>3</w:t>
        </w:r>
        <w:r w:rsidR="007C0C8C">
          <w:rPr>
            <w:noProof/>
            <w:webHidden/>
          </w:rPr>
          <w:fldChar w:fldCharType="end"/>
        </w:r>
      </w:hyperlink>
    </w:p>
    <w:p w14:paraId="68E8C990" w14:textId="70AC158B" w:rsidR="007C0C8C" w:rsidRDefault="00BE4E76">
      <w:pPr>
        <w:pStyle w:val="Obsah2"/>
        <w:tabs>
          <w:tab w:val="left" w:pos="800"/>
          <w:tab w:val="right" w:leader="underscore" w:pos="9062"/>
        </w:tabs>
        <w:rPr>
          <w:rFonts w:eastAsiaTheme="minorEastAsia" w:cstheme="minorBidi"/>
          <w:b w:val="0"/>
          <w:bCs w:val="0"/>
          <w:noProof/>
        </w:rPr>
      </w:pPr>
      <w:hyperlink w:anchor="_Toc484079647" w:history="1">
        <w:r w:rsidR="007C0C8C" w:rsidRPr="0062232E">
          <w:rPr>
            <w:rStyle w:val="Hypertextovodkaz"/>
            <w:rFonts w:eastAsia="MS Mincho"/>
            <w:noProof/>
            <w:lang w:eastAsia="ja-JP"/>
          </w:rPr>
          <w:t>2.1</w:t>
        </w:r>
        <w:r w:rsidR="007C0C8C">
          <w:rPr>
            <w:rFonts w:eastAsiaTheme="minorEastAsia" w:cstheme="minorBidi"/>
            <w:b w:val="0"/>
            <w:bCs w:val="0"/>
            <w:noProof/>
          </w:rPr>
          <w:tab/>
        </w:r>
        <w:r w:rsidR="007C0C8C" w:rsidRPr="0062232E">
          <w:rPr>
            <w:rStyle w:val="Hypertextovodkaz"/>
            <w:rFonts w:eastAsia="MS Mincho"/>
            <w:noProof/>
            <w:lang w:eastAsia="ja-JP"/>
          </w:rPr>
          <w:t>Výpočet ročních odpisů</w:t>
        </w:r>
        <w:r w:rsidR="007C0C8C">
          <w:rPr>
            <w:noProof/>
            <w:webHidden/>
          </w:rPr>
          <w:tab/>
        </w:r>
        <w:r w:rsidR="007C0C8C">
          <w:rPr>
            <w:noProof/>
            <w:webHidden/>
          </w:rPr>
          <w:fldChar w:fldCharType="begin"/>
        </w:r>
        <w:r w:rsidR="007C0C8C">
          <w:rPr>
            <w:noProof/>
            <w:webHidden/>
          </w:rPr>
          <w:instrText xml:space="preserve"> PAGEREF _Toc484079647 \h </w:instrText>
        </w:r>
        <w:r w:rsidR="007C0C8C">
          <w:rPr>
            <w:noProof/>
            <w:webHidden/>
          </w:rPr>
        </w:r>
        <w:r w:rsidR="007C0C8C">
          <w:rPr>
            <w:noProof/>
            <w:webHidden/>
          </w:rPr>
          <w:fldChar w:fldCharType="separate"/>
        </w:r>
        <w:r w:rsidR="007C0C8C">
          <w:rPr>
            <w:noProof/>
            <w:webHidden/>
          </w:rPr>
          <w:t>4</w:t>
        </w:r>
        <w:r w:rsidR="007C0C8C">
          <w:rPr>
            <w:noProof/>
            <w:webHidden/>
          </w:rPr>
          <w:fldChar w:fldCharType="end"/>
        </w:r>
      </w:hyperlink>
    </w:p>
    <w:p w14:paraId="458979F8" w14:textId="26BC80CD" w:rsidR="007C0C8C" w:rsidRDefault="00BE4E76">
      <w:pPr>
        <w:pStyle w:val="Obsah3"/>
        <w:tabs>
          <w:tab w:val="left" w:pos="1200"/>
          <w:tab w:val="right" w:leader="underscore" w:pos="9062"/>
        </w:tabs>
        <w:rPr>
          <w:rFonts w:eastAsiaTheme="minorEastAsia" w:cstheme="minorBidi"/>
          <w:noProof/>
          <w:sz w:val="22"/>
          <w:szCs w:val="22"/>
        </w:rPr>
      </w:pPr>
      <w:hyperlink w:anchor="_Toc484079648" w:history="1">
        <w:r w:rsidR="007C0C8C" w:rsidRPr="0062232E">
          <w:rPr>
            <w:rStyle w:val="Hypertextovodkaz"/>
            <w:noProof/>
          </w:rPr>
          <w:t>2.1.1</w:t>
        </w:r>
        <w:r w:rsidR="007C0C8C">
          <w:rPr>
            <w:rFonts w:eastAsiaTheme="minorEastAsia" w:cstheme="minorBidi"/>
            <w:noProof/>
            <w:sz w:val="22"/>
            <w:szCs w:val="22"/>
          </w:rPr>
          <w:tab/>
        </w:r>
        <w:r w:rsidR="007C0C8C" w:rsidRPr="0062232E">
          <w:rPr>
            <w:rStyle w:val="Hypertextovodkaz"/>
            <w:noProof/>
          </w:rPr>
          <w:t>Potrubí</w:t>
        </w:r>
        <w:r w:rsidR="007C0C8C">
          <w:rPr>
            <w:noProof/>
            <w:webHidden/>
          </w:rPr>
          <w:tab/>
        </w:r>
        <w:r w:rsidR="007C0C8C">
          <w:rPr>
            <w:noProof/>
            <w:webHidden/>
          </w:rPr>
          <w:fldChar w:fldCharType="begin"/>
        </w:r>
        <w:r w:rsidR="007C0C8C">
          <w:rPr>
            <w:noProof/>
            <w:webHidden/>
          </w:rPr>
          <w:instrText xml:space="preserve"> PAGEREF _Toc484079648 \h </w:instrText>
        </w:r>
        <w:r w:rsidR="007C0C8C">
          <w:rPr>
            <w:noProof/>
            <w:webHidden/>
          </w:rPr>
        </w:r>
        <w:r w:rsidR="007C0C8C">
          <w:rPr>
            <w:noProof/>
            <w:webHidden/>
          </w:rPr>
          <w:fldChar w:fldCharType="separate"/>
        </w:r>
        <w:r w:rsidR="007C0C8C">
          <w:rPr>
            <w:noProof/>
            <w:webHidden/>
          </w:rPr>
          <w:t>5</w:t>
        </w:r>
        <w:r w:rsidR="007C0C8C">
          <w:rPr>
            <w:noProof/>
            <w:webHidden/>
          </w:rPr>
          <w:fldChar w:fldCharType="end"/>
        </w:r>
      </w:hyperlink>
    </w:p>
    <w:p w14:paraId="46190512" w14:textId="739E97BC" w:rsidR="007C0C8C" w:rsidRDefault="00BE4E76">
      <w:pPr>
        <w:pStyle w:val="Obsah3"/>
        <w:tabs>
          <w:tab w:val="left" w:pos="1200"/>
          <w:tab w:val="right" w:leader="underscore" w:pos="9062"/>
        </w:tabs>
        <w:rPr>
          <w:rFonts w:eastAsiaTheme="minorEastAsia" w:cstheme="minorBidi"/>
          <w:noProof/>
          <w:sz w:val="22"/>
          <w:szCs w:val="22"/>
        </w:rPr>
      </w:pPr>
      <w:hyperlink w:anchor="_Toc484079649" w:history="1">
        <w:r w:rsidR="007C0C8C" w:rsidRPr="0062232E">
          <w:rPr>
            <w:rStyle w:val="Hypertextovodkaz"/>
            <w:noProof/>
          </w:rPr>
          <w:t>2.1.2</w:t>
        </w:r>
        <w:r w:rsidR="007C0C8C">
          <w:rPr>
            <w:rFonts w:eastAsiaTheme="minorEastAsia" w:cstheme="minorBidi"/>
            <w:noProof/>
            <w:sz w:val="22"/>
            <w:szCs w:val="22"/>
          </w:rPr>
          <w:tab/>
        </w:r>
        <w:r w:rsidR="007C0C8C" w:rsidRPr="0062232E">
          <w:rPr>
            <w:rStyle w:val="Hypertextovodkaz"/>
            <w:noProof/>
          </w:rPr>
          <w:t>Stožáry</w:t>
        </w:r>
        <w:r w:rsidR="007C0C8C">
          <w:rPr>
            <w:noProof/>
            <w:webHidden/>
          </w:rPr>
          <w:tab/>
        </w:r>
        <w:r w:rsidR="007C0C8C">
          <w:rPr>
            <w:noProof/>
            <w:webHidden/>
          </w:rPr>
          <w:fldChar w:fldCharType="begin"/>
        </w:r>
        <w:r w:rsidR="007C0C8C">
          <w:rPr>
            <w:noProof/>
            <w:webHidden/>
          </w:rPr>
          <w:instrText xml:space="preserve"> PAGEREF _Toc484079649 \h </w:instrText>
        </w:r>
        <w:r w:rsidR="007C0C8C">
          <w:rPr>
            <w:noProof/>
            <w:webHidden/>
          </w:rPr>
        </w:r>
        <w:r w:rsidR="007C0C8C">
          <w:rPr>
            <w:noProof/>
            <w:webHidden/>
          </w:rPr>
          <w:fldChar w:fldCharType="separate"/>
        </w:r>
        <w:r w:rsidR="007C0C8C">
          <w:rPr>
            <w:noProof/>
            <w:webHidden/>
          </w:rPr>
          <w:t>6</w:t>
        </w:r>
        <w:r w:rsidR="007C0C8C">
          <w:rPr>
            <w:noProof/>
            <w:webHidden/>
          </w:rPr>
          <w:fldChar w:fldCharType="end"/>
        </w:r>
      </w:hyperlink>
    </w:p>
    <w:p w14:paraId="48E4658C" w14:textId="0C0A548A" w:rsidR="007C0C8C" w:rsidRDefault="00BE4E76">
      <w:pPr>
        <w:pStyle w:val="Obsah3"/>
        <w:tabs>
          <w:tab w:val="left" w:pos="1200"/>
          <w:tab w:val="right" w:leader="underscore" w:pos="9062"/>
        </w:tabs>
        <w:rPr>
          <w:rFonts w:eastAsiaTheme="minorEastAsia" w:cstheme="minorBidi"/>
          <w:noProof/>
          <w:sz w:val="22"/>
          <w:szCs w:val="22"/>
        </w:rPr>
      </w:pPr>
      <w:hyperlink w:anchor="_Toc484079650" w:history="1">
        <w:r w:rsidR="007C0C8C" w:rsidRPr="0062232E">
          <w:rPr>
            <w:rStyle w:val="Hypertextovodkaz"/>
            <w:noProof/>
          </w:rPr>
          <w:t>2.1.3</w:t>
        </w:r>
        <w:r w:rsidR="007C0C8C">
          <w:rPr>
            <w:rFonts w:eastAsiaTheme="minorEastAsia" w:cstheme="minorBidi"/>
            <w:noProof/>
            <w:sz w:val="22"/>
            <w:szCs w:val="22"/>
          </w:rPr>
          <w:tab/>
        </w:r>
        <w:r w:rsidR="007C0C8C" w:rsidRPr="0062232E">
          <w:rPr>
            <w:rStyle w:val="Hypertextovodkaz"/>
            <w:noProof/>
          </w:rPr>
          <w:t>Kabelovody</w:t>
        </w:r>
        <w:r w:rsidR="007C0C8C">
          <w:rPr>
            <w:noProof/>
            <w:webHidden/>
          </w:rPr>
          <w:tab/>
        </w:r>
        <w:r w:rsidR="007C0C8C">
          <w:rPr>
            <w:noProof/>
            <w:webHidden/>
          </w:rPr>
          <w:fldChar w:fldCharType="begin"/>
        </w:r>
        <w:r w:rsidR="007C0C8C">
          <w:rPr>
            <w:noProof/>
            <w:webHidden/>
          </w:rPr>
          <w:instrText xml:space="preserve"> PAGEREF _Toc484079650 \h </w:instrText>
        </w:r>
        <w:r w:rsidR="007C0C8C">
          <w:rPr>
            <w:noProof/>
            <w:webHidden/>
          </w:rPr>
        </w:r>
        <w:r w:rsidR="007C0C8C">
          <w:rPr>
            <w:noProof/>
            <w:webHidden/>
          </w:rPr>
          <w:fldChar w:fldCharType="separate"/>
        </w:r>
        <w:r w:rsidR="007C0C8C">
          <w:rPr>
            <w:noProof/>
            <w:webHidden/>
          </w:rPr>
          <w:t>6</w:t>
        </w:r>
        <w:r w:rsidR="007C0C8C">
          <w:rPr>
            <w:noProof/>
            <w:webHidden/>
          </w:rPr>
          <w:fldChar w:fldCharType="end"/>
        </w:r>
      </w:hyperlink>
    </w:p>
    <w:p w14:paraId="7D1875CF" w14:textId="51D05EAC" w:rsidR="007C0C8C" w:rsidRDefault="00BE4E76">
      <w:pPr>
        <w:pStyle w:val="Obsah3"/>
        <w:tabs>
          <w:tab w:val="left" w:pos="1200"/>
          <w:tab w:val="right" w:leader="underscore" w:pos="9062"/>
        </w:tabs>
        <w:rPr>
          <w:rFonts w:eastAsiaTheme="minorEastAsia" w:cstheme="minorBidi"/>
          <w:noProof/>
          <w:sz w:val="22"/>
          <w:szCs w:val="22"/>
        </w:rPr>
      </w:pPr>
      <w:hyperlink w:anchor="_Toc484079651" w:history="1">
        <w:r w:rsidR="007C0C8C" w:rsidRPr="0062232E">
          <w:rPr>
            <w:rStyle w:val="Hypertextovodkaz"/>
            <w:noProof/>
          </w:rPr>
          <w:t>2.1.4</w:t>
        </w:r>
        <w:r w:rsidR="007C0C8C">
          <w:rPr>
            <w:rFonts w:eastAsiaTheme="minorEastAsia" w:cstheme="minorBidi"/>
            <w:noProof/>
            <w:sz w:val="22"/>
            <w:szCs w:val="22"/>
          </w:rPr>
          <w:tab/>
        </w:r>
        <w:r w:rsidR="007C0C8C" w:rsidRPr="0062232E">
          <w:rPr>
            <w:rStyle w:val="Hypertextovodkaz"/>
            <w:noProof/>
          </w:rPr>
          <w:t>Kolektory</w:t>
        </w:r>
        <w:r w:rsidR="007C0C8C">
          <w:rPr>
            <w:noProof/>
            <w:webHidden/>
          </w:rPr>
          <w:tab/>
        </w:r>
        <w:r w:rsidR="007C0C8C">
          <w:rPr>
            <w:noProof/>
            <w:webHidden/>
          </w:rPr>
          <w:fldChar w:fldCharType="begin"/>
        </w:r>
        <w:r w:rsidR="007C0C8C">
          <w:rPr>
            <w:noProof/>
            <w:webHidden/>
          </w:rPr>
          <w:instrText xml:space="preserve"> PAGEREF _Toc484079651 \h </w:instrText>
        </w:r>
        <w:r w:rsidR="007C0C8C">
          <w:rPr>
            <w:noProof/>
            <w:webHidden/>
          </w:rPr>
        </w:r>
        <w:r w:rsidR="007C0C8C">
          <w:rPr>
            <w:noProof/>
            <w:webHidden/>
          </w:rPr>
          <w:fldChar w:fldCharType="separate"/>
        </w:r>
        <w:r w:rsidR="007C0C8C">
          <w:rPr>
            <w:noProof/>
            <w:webHidden/>
          </w:rPr>
          <w:t>7</w:t>
        </w:r>
        <w:r w:rsidR="007C0C8C">
          <w:rPr>
            <w:noProof/>
            <w:webHidden/>
          </w:rPr>
          <w:fldChar w:fldCharType="end"/>
        </w:r>
      </w:hyperlink>
    </w:p>
    <w:p w14:paraId="2E6C911E" w14:textId="76FF3059" w:rsidR="007C0C8C" w:rsidRDefault="00BE4E76">
      <w:pPr>
        <w:pStyle w:val="Obsah3"/>
        <w:tabs>
          <w:tab w:val="left" w:pos="1200"/>
          <w:tab w:val="right" w:leader="underscore" w:pos="9062"/>
        </w:tabs>
        <w:rPr>
          <w:rFonts w:eastAsiaTheme="minorEastAsia" w:cstheme="minorBidi"/>
          <w:noProof/>
          <w:sz w:val="22"/>
          <w:szCs w:val="22"/>
        </w:rPr>
      </w:pPr>
      <w:hyperlink w:anchor="_Toc484079652" w:history="1">
        <w:r w:rsidR="007C0C8C" w:rsidRPr="0062232E">
          <w:rPr>
            <w:rStyle w:val="Hypertextovodkaz"/>
            <w:noProof/>
          </w:rPr>
          <w:t>2.1.5</w:t>
        </w:r>
        <w:r w:rsidR="007C0C8C">
          <w:rPr>
            <w:rFonts w:eastAsiaTheme="minorEastAsia" w:cstheme="minorBidi"/>
            <w:noProof/>
            <w:sz w:val="22"/>
            <w:szCs w:val="22"/>
          </w:rPr>
          <w:tab/>
        </w:r>
        <w:r w:rsidR="007C0C8C" w:rsidRPr="0062232E">
          <w:rPr>
            <w:rStyle w:val="Hypertextovodkaz"/>
            <w:noProof/>
          </w:rPr>
          <w:t>Inspekční komory</w:t>
        </w:r>
        <w:r w:rsidR="007C0C8C">
          <w:rPr>
            <w:noProof/>
            <w:webHidden/>
          </w:rPr>
          <w:tab/>
        </w:r>
        <w:r w:rsidR="007C0C8C">
          <w:rPr>
            <w:noProof/>
            <w:webHidden/>
          </w:rPr>
          <w:fldChar w:fldCharType="begin"/>
        </w:r>
        <w:r w:rsidR="007C0C8C">
          <w:rPr>
            <w:noProof/>
            <w:webHidden/>
          </w:rPr>
          <w:instrText xml:space="preserve"> PAGEREF _Toc484079652 \h </w:instrText>
        </w:r>
        <w:r w:rsidR="007C0C8C">
          <w:rPr>
            <w:noProof/>
            <w:webHidden/>
          </w:rPr>
        </w:r>
        <w:r w:rsidR="007C0C8C">
          <w:rPr>
            <w:noProof/>
            <w:webHidden/>
          </w:rPr>
          <w:fldChar w:fldCharType="separate"/>
        </w:r>
        <w:r w:rsidR="007C0C8C">
          <w:rPr>
            <w:noProof/>
            <w:webHidden/>
          </w:rPr>
          <w:t>7</w:t>
        </w:r>
        <w:r w:rsidR="007C0C8C">
          <w:rPr>
            <w:noProof/>
            <w:webHidden/>
          </w:rPr>
          <w:fldChar w:fldCharType="end"/>
        </w:r>
      </w:hyperlink>
    </w:p>
    <w:p w14:paraId="1607FCC0" w14:textId="5B9AEA83" w:rsidR="007C0C8C" w:rsidRDefault="00BE4E76">
      <w:pPr>
        <w:pStyle w:val="Obsah3"/>
        <w:tabs>
          <w:tab w:val="left" w:pos="1200"/>
          <w:tab w:val="right" w:leader="underscore" w:pos="9062"/>
        </w:tabs>
        <w:rPr>
          <w:rFonts w:eastAsiaTheme="minorEastAsia" w:cstheme="minorBidi"/>
          <w:noProof/>
          <w:sz w:val="22"/>
          <w:szCs w:val="22"/>
        </w:rPr>
      </w:pPr>
      <w:hyperlink w:anchor="_Toc484079653" w:history="1">
        <w:r w:rsidR="007C0C8C" w:rsidRPr="0062232E">
          <w:rPr>
            <w:rStyle w:val="Hypertextovodkaz"/>
            <w:noProof/>
          </w:rPr>
          <w:t>2.1.6</w:t>
        </w:r>
        <w:r w:rsidR="007C0C8C">
          <w:rPr>
            <w:rFonts w:eastAsiaTheme="minorEastAsia" w:cstheme="minorBidi"/>
            <w:noProof/>
            <w:sz w:val="22"/>
            <w:szCs w:val="22"/>
          </w:rPr>
          <w:tab/>
        </w:r>
        <w:r w:rsidR="007C0C8C" w:rsidRPr="0062232E">
          <w:rPr>
            <w:rStyle w:val="Hypertextovodkaz"/>
            <w:noProof/>
          </w:rPr>
          <w:t>Vstupní šachty</w:t>
        </w:r>
        <w:r w:rsidR="007C0C8C">
          <w:rPr>
            <w:noProof/>
            <w:webHidden/>
          </w:rPr>
          <w:tab/>
        </w:r>
        <w:r w:rsidR="007C0C8C">
          <w:rPr>
            <w:noProof/>
            <w:webHidden/>
          </w:rPr>
          <w:fldChar w:fldCharType="begin"/>
        </w:r>
        <w:r w:rsidR="007C0C8C">
          <w:rPr>
            <w:noProof/>
            <w:webHidden/>
          </w:rPr>
          <w:instrText xml:space="preserve"> PAGEREF _Toc484079653 \h </w:instrText>
        </w:r>
        <w:r w:rsidR="007C0C8C">
          <w:rPr>
            <w:noProof/>
            <w:webHidden/>
          </w:rPr>
        </w:r>
        <w:r w:rsidR="007C0C8C">
          <w:rPr>
            <w:noProof/>
            <w:webHidden/>
          </w:rPr>
          <w:fldChar w:fldCharType="separate"/>
        </w:r>
        <w:r w:rsidR="007C0C8C">
          <w:rPr>
            <w:noProof/>
            <w:webHidden/>
          </w:rPr>
          <w:t>7</w:t>
        </w:r>
        <w:r w:rsidR="007C0C8C">
          <w:rPr>
            <w:noProof/>
            <w:webHidden/>
          </w:rPr>
          <w:fldChar w:fldCharType="end"/>
        </w:r>
      </w:hyperlink>
    </w:p>
    <w:p w14:paraId="4B7804DA" w14:textId="336E3890" w:rsidR="007C0C8C" w:rsidRDefault="00BE4E76">
      <w:pPr>
        <w:pStyle w:val="Obsah3"/>
        <w:tabs>
          <w:tab w:val="left" w:pos="1200"/>
          <w:tab w:val="right" w:leader="underscore" w:pos="9062"/>
        </w:tabs>
        <w:rPr>
          <w:rFonts w:eastAsiaTheme="minorEastAsia" w:cstheme="minorBidi"/>
          <w:noProof/>
          <w:sz w:val="22"/>
          <w:szCs w:val="22"/>
        </w:rPr>
      </w:pPr>
      <w:hyperlink w:anchor="_Toc484079654" w:history="1">
        <w:r w:rsidR="007C0C8C" w:rsidRPr="0062232E">
          <w:rPr>
            <w:rStyle w:val="Hypertextovodkaz"/>
            <w:noProof/>
          </w:rPr>
          <w:t>2.1.7</w:t>
        </w:r>
        <w:r w:rsidR="007C0C8C">
          <w:rPr>
            <w:rFonts w:eastAsiaTheme="minorEastAsia" w:cstheme="minorBidi"/>
            <w:noProof/>
            <w:sz w:val="22"/>
            <w:szCs w:val="22"/>
          </w:rPr>
          <w:tab/>
        </w:r>
        <w:r w:rsidR="007C0C8C" w:rsidRPr="0062232E">
          <w:rPr>
            <w:rStyle w:val="Hypertextovodkaz"/>
            <w:noProof/>
          </w:rPr>
          <w:t>Rozvodné skříně</w:t>
        </w:r>
        <w:r w:rsidR="007C0C8C">
          <w:rPr>
            <w:noProof/>
            <w:webHidden/>
          </w:rPr>
          <w:tab/>
        </w:r>
        <w:r w:rsidR="007C0C8C">
          <w:rPr>
            <w:noProof/>
            <w:webHidden/>
          </w:rPr>
          <w:fldChar w:fldCharType="begin"/>
        </w:r>
        <w:r w:rsidR="007C0C8C">
          <w:rPr>
            <w:noProof/>
            <w:webHidden/>
          </w:rPr>
          <w:instrText xml:space="preserve"> PAGEREF _Toc484079654 \h </w:instrText>
        </w:r>
        <w:r w:rsidR="007C0C8C">
          <w:rPr>
            <w:noProof/>
            <w:webHidden/>
          </w:rPr>
        </w:r>
        <w:r w:rsidR="007C0C8C">
          <w:rPr>
            <w:noProof/>
            <w:webHidden/>
          </w:rPr>
          <w:fldChar w:fldCharType="separate"/>
        </w:r>
        <w:r w:rsidR="007C0C8C">
          <w:rPr>
            <w:noProof/>
            <w:webHidden/>
          </w:rPr>
          <w:t>7</w:t>
        </w:r>
        <w:r w:rsidR="007C0C8C">
          <w:rPr>
            <w:noProof/>
            <w:webHidden/>
          </w:rPr>
          <w:fldChar w:fldCharType="end"/>
        </w:r>
      </w:hyperlink>
    </w:p>
    <w:p w14:paraId="565EF463" w14:textId="2D97AC9E" w:rsidR="007C0C8C" w:rsidRDefault="00BE4E76">
      <w:pPr>
        <w:pStyle w:val="Obsah3"/>
        <w:tabs>
          <w:tab w:val="left" w:pos="1200"/>
          <w:tab w:val="right" w:leader="underscore" w:pos="9062"/>
        </w:tabs>
        <w:rPr>
          <w:rFonts w:eastAsiaTheme="minorEastAsia" w:cstheme="minorBidi"/>
          <w:noProof/>
          <w:sz w:val="22"/>
          <w:szCs w:val="22"/>
        </w:rPr>
      </w:pPr>
      <w:hyperlink w:anchor="_Toc484079655" w:history="1">
        <w:r w:rsidR="007C0C8C" w:rsidRPr="0062232E">
          <w:rPr>
            <w:rStyle w:val="Hypertextovodkaz"/>
            <w:noProof/>
          </w:rPr>
          <w:t>2.1.8</w:t>
        </w:r>
        <w:r w:rsidR="007C0C8C">
          <w:rPr>
            <w:rFonts w:eastAsiaTheme="minorEastAsia" w:cstheme="minorBidi"/>
            <w:noProof/>
            <w:sz w:val="22"/>
            <w:szCs w:val="22"/>
          </w:rPr>
          <w:tab/>
        </w:r>
        <w:r w:rsidR="007C0C8C" w:rsidRPr="0062232E">
          <w:rPr>
            <w:rStyle w:val="Hypertextovodkaz"/>
            <w:noProof/>
          </w:rPr>
          <w:t>Budovy a vstupy do budov</w:t>
        </w:r>
        <w:r w:rsidR="007C0C8C">
          <w:rPr>
            <w:noProof/>
            <w:webHidden/>
          </w:rPr>
          <w:tab/>
        </w:r>
        <w:r w:rsidR="007C0C8C">
          <w:rPr>
            <w:noProof/>
            <w:webHidden/>
          </w:rPr>
          <w:fldChar w:fldCharType="begin"/>
        </w:r>
        <w:r w:rsidR="007C0C8C">
          <w:rPr>
            <w:noProof/>
            <w:webHidden/>
          </w:rPr>
          <w:instrText xml:space="preserve"> PAGEREF _Toc484079655 \h </w:instrText>
        </w:r>
        <w:r w:rsidR="007C0C8C">
          <w:rPr>
            <w:noProof/>
            <w:webHidden/>
          </w:rPr>
        </w:r>
        <w:r w:rsidR="007C0C8C">
          <w:rPr>
            <w:noProof/>
            <w:webHidden/>
          </w:rPr>
          <w:fldChar w:fldCharType="separate"/>
        </w:r>
        <w:r w:rsidR="007C0C8C">
          <w:rPr>
            <w:noProof/>
            <w:webHidden/>
          </w:rPr>
          <w:t>7</w:t>
        </w:r>
        <w:r w:rsidR="007C0C8C">
          <w:rPr>
            <w:noProof/>
            <w:webHidden/>
          </w:rPr>
          <w:fldChar w:fldCharType="end"/>
        </w:r>
      </w:hyperlink>
    </w:p>
    <w:p w14:paraId="13D267F6" w14:textId="10C6BB5B" w:rsidR="007C0C8C" w:rsidRDefault="00BE4E76">
      <w:pPr>
        <w:pStyle w:val="Obsah3"/>
        <w:tabs>
          <w:tab w:val="left" w:pos="1200"/>
          <w:tab w:val="right" w:leader="underscore" w:pos="9062"/>
        </w:tabs>
        <w:rPr>
          <w:rFonts w:eastAsiaTheme="minorEastAsia" w:cstheme="minorBidi"/>
          <w:noProof/>
          <w:sz w:val="22"/>
          <w:szCs w:val="22"/>
        </w:rPr>
      </w:pPr>
      <w:hyperlink w:anchor="_Toc484079656" w:history="1">
        <w:r w:rsidR="007C0C8C" w:rsidRPr="0062232E">
          <w:rPr>
            <w:rStyle w:val="Hypertextovodkaz"/>
            <w:noProof/>
          </w:rPr>
          <w:t>2.1.9</w:t>
        </w:r>
        <w:r w:rsidR="007C0C8C">
          <w:rPr>
            <w:rFonts w:eastAsiaTheme="minorEastAsia" w:cstheme="minorBidi"/>
            <w:noProof/>
            <w:sz w:val="22"/>
            <w:szCs w:val="22"/>
          </w:rPr>
          <w:tab/>
        </w:r>
        <w:r w:rsidR="007C0C8C" w:rsidRPr="0062232E">
          <w:rPr>
            <w:rStyle w:val="Hypertextovodkaz"/>
            <w:noProof/>
          </w:rPr>
          <w:t>Anténní nosiče</w:t>
        </w:r>
        <w:r w:rsidR="007C0C8C">
          <w:rPr>
            <w:noProof/>
            <w:webHidden/>
          </w:rPr>
          <w:tab/>
        </w:r>
        <w:r w:rsidR="007C0C8C">
          <w:rPr>
            <w:noProof/>
            <w:webHidden/>
          </w:rPr>
          <w:fldChar w:fldCharType="begin"/>
        </w:r>
        <w:r w:rsidR="007C0C8C">
          <w:rPr>
            <w:noProof/>
            <w:webHidden/>
          </w:rPr>
          <w:instrText xml:space="preserve"> PAGEREF _Toc484079656 \h </w:instrText>
        </w:r>
        <w:r w:rsidR="007C0C8C">
          <w:rPr>
            <w:noProof/>
            <w:webHidden/>
          </w:rPr>
        </w:r>
        <w:r w:rsidR="007C0C8C">
          <w:rPr>
            <w:noProof/>
            <w:webHidden/>
          </w:rPr>
          <w:fldChar w:fldCharType="separate"/>
        </w:r>
        <w:r w:rsidR="007C0C8C">
          <w:rPr>
            <w:noProof/>
            <w:webHidden/>
          </w:rPr>
          <w:t>8</w:t>
        </w:r>
        <w:r w:rsidR="007C0C8C">
          <w:rPr>
            <w:noProof/>
            <w:webHidden/>
          </w:rPr>
          <w:fldChar w:fldCharType="end"/>
        </w:r>
      </w:hyperlink>
    </w:p>
    <w:p w14:paraId="09EB14B9" w14:textId="216E6FC4" w:rsidR="007C0C8C" w:rsidRDefault="00BE4E76">
      <w:pPr>
        <w:pStyle w:val="Obsah3"/>
        <w:tabs>
          <w:tab w:val="left" w:pos="1200"/>
          <w:tab w:val="right" w:leader="underscore" w:pos="9062"/>
        </w:tabs>
        <w:rPr>
          <w:rFonts w:eastAsiaTheme="minorEastAsia" w:cstheme="minorBidi"/>
          <w:noProof/>
          <w:sz w:val="22"/>
          <w:szCs w:val="22"/>
        </w:rPr>
      </w:pPr>
      <w:hyperlink w:anchor="_Toc484079657" w:history="1">
        <w:r w:rsidR="007C0C8C" w:rsidRPr="0062232E">
          <w:rPr>
            <w:rStyle w:val="Hypertextovodkaz"/>
            <w:noProof/>
          </w:rPr>
          <w:t>2.1.10</w:t>
        </w:r>
        <w:r w:rsidR="007C0C8C">
          <w:rPr>
            <w:rFonts w:eastAsiaTheme="minorEastAsia" w:cstheme="minorBidi"/>
            <w:noProof/>
            <w:sz w:val="22"/>
            <w:szCs w:val="22"/>
          </w:rPr>
          <w:tab/>
        </w:r>
        <w:r w:rsidR="007C0C8C" w:rsidRPr="0062232E">
          <w:rPr>
            <w:rStyle w:val="Hypertextovodkaz"/>
            <w:noProof/>
          </w:rPr>
          <w:t>Věže</w:t>
        </w:r>
        <w:r w:rsidR="007C0C8C">
          <w:rPr>
            <w:noProof/>
            <w:webHidden/>
          </w:rPr>
          <w:tab/>
        </w:r>
        <w:r w:rsidR="007C0C8C">
          <w:rPr>
            <w:noProof/>
            <w:webHidden/>
          </w:rPr>
          <w:fldChar w:fldCharType="begin"/>
        </w:r>
        <w:r w:rsidR="007C0C8C">
          <w:rPr>
            <w:noProof/>
            <w:webHidden/>
          </w:rPr>
          <w:instrText xml:space="preserve"> PAGEREF _Toc484079657 \h </w:instrText>
        </w:r>
        <w:r w:rsidR="007C0C8C">
          <w:rPr>
            <w:noProof/>
            <w:webHidden/>
          </w:rPr>
        </w:r>
        <w:r w:rsidR="007C0C8C">
          <w:rPr>
            <w:noProof/>
            <w:webHidden/>
          </w:rPr>
          <w:fldChar w:fldCharType="separate"/>
        </w:r>
        <w:r w:rsidR="007C0C8C">
          <w:rPr>
            <w:noProof/>
            <w:webHidden/>
          </w:rPr>
          <w:t>8</w:t>
        </w:r>
        <w:r w:rsidR="007C0C8C">
          <w:rPr>
            <w:noProof/>
            <w:webHidden/>
          </w:rPr>
          <w:fldChar w:fldCharType="end"/>
        </w:r>
      </w:hyperlink>
    </w:p>
    <w:p w14:paraId="1A86B435" w14:textId="7E911CB8" w:rsidR="007C0C8C" w:rsidRDefault="00BE4E76">
      <w:pPr>
        <w:pStyle w:val="Obsah3"/>
        <w:tabs>
          <w:tab w:val="left" w:pos="1200"/>
          <w:tab w:val="right" w:leader="underscore" w:pos="9062"/>
        </w:tabs>
        <w:rPr>
          <w:rFonts w:eastAsiaTheme="minorEastAsia" w:cstheme="minorBidi"/>
          <w:noProof/>
          <w:sz w:val="22"/>
          <w:szCs w:val="22"/>
        </w:rPr>
      </w:pPr>
      <w:hyperlink w:anchor="_Toc484079658" w:history="1">
        <w:r w:rsidR="007C0C8C" w:rsidRPr="0062232E">
          <w:rPr>
            <w:rStyle w:val="Hypertextovodkaz"/>
            <w:noProof/>
          </w:rPr>
          <w:t>2.1.11</w:t>
        </w:r>
        <w:r w:rsidR="007C0C8C">
          <w:rPr>
            <w:rFonts w:eastAsiaTheme="minorEastAsia" w:cstheme="minorBidi"/>
            <w:noProof/>
            <w:sz w:val="22"/>
            <w:szCs w:val="22"/>
          </w:rPr>
          <w:tab/>
        </w:r>
        <w:r w:rsidR="007C0C8C" w:rsidRPr="0062232E">
          <w:rPr>
            <w:rStyle w:val="Hypertextovodkaz"/>
            <w:noProof/>
          </w:rPr>
          <w:t>Podpůrné konstrukce</w:t>
        </w:r>
        <w:r w:rsidR="007C0C8C">
          <w:rPr>
            <w:noProof/>
            <w:webHidden/>
          </w:rPr>
          <w:tab/>
        </w:r>
        <w:r w:rsidR="007C0C8C">
          <w:rPr>
            <w:noProof/>
            <w:webHidden/>
          </w:rPr>
          <w:fldChar w:fldCharType="begin"/>
        </w:r>
        <w:r w:rsidR="007C0C8C">
          <w:rPr>
            <w:noProof/>
            <w:webHidden/>
          </w:rPr>
          <w:instrText xml:space="preserve"> PAGEREF _Toc484079658 \h </w:instrText>
        </w:r>
        <w:r w:rsidR="007C0C8C">
          <w:rPr>
            <w:noProof/>
            <w:webHidden/>
          </w:rPr>
        </w:r>
        <w:r w:rsidR="007C0C8C">
          <w:rPr>
            <w:noProof/>
            <w:webHidden/>
          </w:rPr>
          <w:fldChar w:fldCharType="separate"/>
        </w:r>
        <w:r w:rsidR="007C0C8C">
          <w:rPr>
            <w:noProof/>
            <w:webHidden/>
          </w:rPr>
          <w:t>8</w:t>
        </w:r>
        <w:r w:rsidR="007C0C8C">
          <w:rPr>
            <w:noProof/>
            <w:webHidden/>
          </w:rPr>
          <w:fldChar w:fldCharType="end"/>
        </w:r>
      </w:hyperlink>
    </w:p>
    <w:p w14:paraId="3CBC152B" w14:textId="770A9A55" w:rsidR="007C0C8C" w:rsidRDefault="00BE4E76">
      <w:pPr>
        <w:pStyle w:val="Obsah2"/>
        <w:tabs>
          <w:tab w:val="left" w:pos="800"/>
          <w:tab w:val="right" w:leader="underscore" w:pos="9062"/>
        </w:tabs>
        <w:rPr>
          <w:rFonts w:eastAsiaTheme="minorEastAsia" w:cstheme="minorBidi"/>
          <w:b w:val="0"/>
          <w:bCs w:val="0"/>
          <w:noProof/>
        </w:rPr>
      </w:pPr>
      <w:hyperlink w:anchor="_Toc484079659" w:history="1">
        <w:r w:rsidR="007C0C8C" w:rsidRPr="0062232E">
          <w:rPr>
            <w:rStyle w:val="Hypertextovodkaz"/>
            <w:rFonts w:eastAsia="MS Mincho"/>
            <w:noProof/>
            <w:lang w:eastAsia="ja-JP"/>
          </w:rPr>
          <w:t>2.2</w:t>
        </w:r>
        <w:r w:rsidR="007C0C8C">
          <w:rPr>
            <w:rFonts w:eastAsiaTheme="minorEastAsia" w:cstheme="minorBidi"/>
            <w:b w:val="0"/>
            <w:bCs w:val="0"/>
            <w:noProof/>
          </w:rPr>
          <w:tab/>
        </w:r>
        <w:r w:rsidR="007C0C8C" w:rsidRPr="0062232E">
          <w:rPr>
            <w:rStyle w:val="Hypertextovodkaz"/>
            <w:rFonts w:eastAsia="MS Mincho"/>
            <w:noProof/>
            <w:lang w:eastAsia="ja-JP"/>
          </w:rPr>
          <w:t>Provozní náklady</w:t>
        </w:r>
        <w:r w:rsidR="007C0C8C">
          <w:rPr>
            <w:noProof/>
            <w:webHidden/>
          </w:rPr>
          <w:tab/>
        </w:r>
        <w:r w:rsidR="007C0C8C">
          <w:rPr>
            <w:noProof/>
            <w:webHidden/>
          </w:rPr>
          <w:fldChar w:fldCharType="begin"/>
        </w:r>
        <w:r w:rsidR="007C0C8C">
          <w:rPr>
            <w:noProof/>
            <w:webHidden/>
          </w:rPr>
          <w:instrText xml:space="preserve"> PAGEREF _Toc484079659 \h </w:instrText>
        </w:r>
        <w:r w:rsidR="007C0C8C">
          <w:rPr>
            <w:noProof/>
            <w:webHidden/>
          </w:rPr>
        </w:r>
        <w:r w:rsidR="007C0C8C">
          <w:rPr>
            <w:noProof/>
            <w:webHidden/>
          </w:rPr>
          <w:fldChar w:fldCharType="separate"/>
        </w:r>
        <w:r w:rsidR="007C0C8C">
          <w:rPr>
            <w:noProof/>
            <w:webHidden/>
          </w:rPr>
          <w:t>9</w:t>
        </w:r>
        <w:r w:rsidR="007C0C8C">
          <w:rPr>
            <w:noProof/>
            <w:webHidden/>
          </w:rPr>
          <w:fldChar w:fldCharType="end"/>
        </w:r>
      </w:hyperlink>
    </w:p>
    <w:p w14:paraId="1684EA24" w14:textId="02214069" w:rsidR="007C0C8C" w:rsidRDefault="00BE4E76">
      <w:pPr>
        <w:pStyle w:val="Obsah2"/>
        <w:tabs>
          <w:tab w:val="left" w:pos="800"/>
          <w:tab w:val="right" w:leader="underscore" w:pos="9062"/>
        </w:tabs>
        <w:rPr>
          <w:rFonts w:eastAsiaTheme="minorEastAsia" w:cstheme="minorBidi"/>
          <w:b w:val="0"/>
          <w:bCs w:val="0"/>
          <w:noProof/>
        </w:rPr>
      </w:pPr>
      <w:hyperlink w:anchor="_Toc484079660" w:history="1">
        <w:r w:rsidR="007C0C8C" w:rsidRPr="0062232E">
          <w:rPr>
            <w:rStyle w:val="Hypertextovodkaz"/>
            <w:rFonts w:eastAsia="MS Mincho"/>
            <w:noProof/>
            <w:lang w:eastAsia="ja-JP"/>
          </w:rPr>
          <w:t>2.3</w:t>
        </w:r>
        <w:r w:rsidR="007C0C8C">
          <w:rPr>
            <w:rFonts w:eastAsiaTheme="minorEastAsia" w:cstheme="minorBidi"/>
            <w:b w:val="0"/>
            <w:bCs w:val="0"/>
            <w:noProof/>
          </w:rPr>
          <w:tab/>
        </w:r>
        <w:r w:rsidR="007C0C8C" w:rsidRPr="0062232E">
          <w:rPr>
            <w:rStyle w:val="Hypertextovodkaz"/>
            <w:rFonts w:eastAsia="MS Mincho"/>
            <w:noProof/>
            <w:lang w:eastAsia="ja-JP"/>
          </w:rPr>
          <w:t>Billing</w:t>
        </w:r>
        <w:r w:rsidR="007C0C8C">
          <w:rPr>
            <w:noProof/>
            <w:webHidden/>
          </w:rPr>
          <w:tab/>
        </w:r>
        <w:r w:rsidR="007C0C8C">
          <w:rPr>
            <w:noProof/>
            <w:webHidden/>
          </w:rPr>
          <w:fldChar w:fldCharType="begin"/>
        </w:r>
        <w:r w:rsidR="007C0C8C">
          <w:rPr>
            <w:noProof/>
            <w:webHidden/>
          </w:rPr>
          <w:instrText xml:space="preserve"> PAGEREF _Toc484079660 \h </w:instrText>
        </w:r>
        <w:r w:rsidR="007C0C8C">
          <w:rPr>
            <w:noProof/>
            <w:webHidden/>
          </w:rPr>
        </w:r>
        <w:r w:rsidR="007C0C8C">
          <w:rPr>
            <w:noProof/>
            <w:webHidden/>
          </w:rPr>
          <w:fldChar w:fldCharType="separate"/>
        </w:r>
        <w:r w:rsidR="007C0C8C">
          <w:rPr>
            <w:noProof/>
            <w:webHidden/>
          </w:rPr>
          <w:t>10</w:t>
        </w:r>
        <w:r w:rsidR="007C0C8C">
          <w:rPr>
            <w:noProof/>
            <w:webHidden/>
          </w:rPr>
          <w:fldChar w:fldCharType="end"/>
        </w:r>
      </w:hyperlink>
    </w:p>
    <w:p w14:paraId="0417208D" w14:textId="34C1FDB0" w:rsidR="007C0C8C" w:rsidRDefault="00BE4E76">
      <w:pPr>
        <w:pStyle w:val="Obsah2"/>
        <w:tabs>
          <w:tab w:val="left" w:pos="800"/>
          <w:tab w:val="right" w:leader="underscore" w:pos="9062"/>
        </w:tabs>
        <w:rPr>
          <w:rFonts w:eastAsiaTheme="minorEastAsia" w:cstheme="minorBidi"/>
          <w:b w:val="0"/>
          <w:bCs w:val="0"/>
          <w:noProof/>
        </w:rPr>
      </w:pPr>
      <w:hyperlink w:anchor="_Toc484079661" w:history="1">
        <w:r w:rsidR="007C0C8C" w:rsidRPr="0062232E">
          <w:rPr>
            <w:rStyle w:val="Hypertextovodkaz"/>
            <w:rFonts w:eastAsia="MS Mincho"/>
            <w:noProof/>
            <w:lang w:eastAsia="ja-JP"/>
          </w:rPr>
          <w:t>2.4</w:t>
        </w:r>
        <w:r w:rsidR="007C0C8C">
          <w:rPr>
            <w:rFonts w:eastAsiaTheme="minorEastAsia" w:cstheme="minorBidi"/>
            <w:b w:val="0"/>
            <w:bCs w:val="0"/>
            <w:noProof/>
          </w:rPr>
          <w:tab/>
        </w:r>
        <w:r w:rsidR="007C0C8C" w:rsidRPr="0062232E">
          <w:rPr>
            <w:rStyle w:val="Hypertextovodkaz"/>
            <w:rFonts w:eastAsia="MS Mincho"/>
            <w:noProof/>
            <w:lang w:eastAsia="ja-JP"/>
          </w:rPr>
          <w:t>Prodej a péče o zákazníka</w:t>
        </w:r>
        <w:r w:rsidR="007C0C8C">
          <w:rPr>
            <w:noProof/>
            <w:webHidden/>
          </w:rPr>
          <w:tab/>
        </w:r>
        <w:r w:rsidR="007C0C8C">
          <w:rPr>
            <w:noProof/>
            <w:webHidden/>
          </w:rPr>
          <w:fldChar w:fldCharType="begin"/>
        </w:r>
        <w:r w:rsidR="007C0C8C">
          <w:rPr>
            <w:noProof/>
            <w:webHidden/>
          </w:rPr>
          <w:instrText xml:space="preserve"> PAGEREF _Toc484079661 \h </w:instrText>
        </w:r>
        <w:r w:rsidR="007C0C8C">
          <w:rPr>
            <w:noProof/>
            <w:webHidden/>
          </w:rPr>
        </w:r>
        <w:r w:rsidR="007C0C8C">
          <w:rPr>
            <w:noProof/>
            <w:webHidden/>
          </w:rPr>
          <w:fldChar w:fldCharType="separate"/>
        </w:r>
        <w:r w:rsidR="007C0C8C">
          <w:rPr>
            <w:noProof/>
            <w:webHidden/>
          </w:rPr>
          <w:t>10</w:t>
        </w:r>
        <w:r w:rsidR="007C0C8C">
          <w:rPr>
            <w:noProof/>
            <w:webHidden/>
          </w:rPr>
          <w:fldChar w:fldCharType="end"/>
        </w:r>
      </w:hyperlink>
    </w:p>
    <w:p w14:paraId="064880EA" w14:textId="6A0545C9" w:rsidR="007C0C8C" w:rsidRDefault="00BE4E76">
      <w:pPr>
        <w:pStyle w:val="Obsah2"/>
        <w:tabs>
          <w:tab w:val="left" w:pos="800"/>
          <w:tab w:val="right" w:leader="underscore" w:pos="9062"/>
        </w:tabs>
        <w:rPr>
          <w:rFonts w:eastAsiaTheme="minorEastAsia" w:cstheme="minorBidi"/>
          <w:b w:val="0"/>
          <w:bCs w:val="0"/>
          <w:noProof/>
        </w:rPr>
      </w:pPr>
      <w:hyperlink w:anchor="_Toc484079662" w:history="1">
        <w:r w:rsidR="007C0C8C" w:rsidRPr="0062232E">
          <w:rPr>
            <w:rStyle w:val="Hypertextovodkaz"/>
            <w:rFonts w:eastAsia="MS Mincho"/>
            <w:noProof/>
            <w:lang w:eastAsia="ja-JP"/>
          </w:rPr>
          <w:t>2.5</w:t>
        </w:r>
        <w:r w:rsidR="007C0C8C">
          <w:rPr>
            <w:rFonts w:eastAsiaTheme="minorEastAsia" w:cstheme="minorBidi"/>
            <w:b w:val="0"/>
            <w:bCs w:val="0"/>
            <w:noProof/>
          </w:rPr>
          <w:tab/>
        </w:r>
        <w:r w:rsidR="007C0C8C" w:rsidRPr="0062232E">
          <w:rPr>
            <w:rStyle w:val="Hypertextovodkaz"/>
            <w:rFonts w:eastAsia="MS Mincho"/>
            <w:noProof/>
            <w:lang w:eastAsia="ja-JP"/>
          </w:rPr>
          <w:t>Režie</w:t>
        </w:r>
        <w:r w:rsidR="007C0C8C">
          <w:rPr>
            <w:noProof/>
            <w:webHidden/>
          </w:rPr>
          <w:tab/>
        </w:r>
        <w:r w:rsidR="007C0C8C">
          <w:rPr>
            <w:noProof/>
            <w:webHidden/>
          </w:rPr>
          <w:fldChar w:fldCharType="begin"/>
        </w:r>
        <w:r w:rsidR="007C0C8C">
          <w:rPr>
            <w:noProof/>
            <w:webHidden/>
          </w:rPr>
          <w:instrText xml:space="preserve"> PAGEREF _Toc484079662 \h </w:instrText>
        </w:r>
        <w:r w:rsidR="007C0C8C">
          <w:rPr>
            <w:noProof/>
            <w:webHidden/>
          </w:rPr>
        </w:r>
        <w:r w:rsidR="007C0C8C">
          <w:rPr>
            <w:noProof/>
            <w:webHidden/>
          </w:rPr>
          <w:fldChar w:fldCharType="separate"/>
        </w:r>
        <w:r w:rsidR="007C0C8C">
          <w:rPr>
            <w:noProof/>
            <w:webHidden/>
          </w:rPr>
          <w:t>10</w:t>
        </w:r>
        <w:r w:rsidR="007C0C8C">
          <w:rPr>
            <w:noProof/>
            <w:webHidden/>
          </w:rPr>
          <w:fldChar w:fldCharType="end"/>
        </w:r>
      </w:hyperlink>
    </w:p>
    <w:p w14:paraId="2686539F" w14:textId="47CD6667" w:rsidR="007C0C8C" w:rsidRDefault="00BE4E76">
      <w:pPr>
        <w:pStyle w:val="Obsah1"/>
        <w:tabs>
          <w:tab w:val="left" w:pos="400"/>
          <w:tab w:val="right" w:leader="underscore" w:pos="9062"/>
        </w:tabs>
        <w:rPr>
          <w:rFonts w:eastAsiaTheme="minorEastAsia" w:cstheme="minorBidi"/>
          <w:b w:val="0"/>
          <w:bCs w:val="0"/>
          <w:i w:val="0"/>
          <w:iCs w:val="0"/>
          <w:noProof/>
          <w:sz w:val="22"/>
          <w:szCs w:val="22"/>
        </w:rPr>
      </w:pPr>
      <w:hyperlink w:anchor="_Toc484079663" w:history="1">
        <w:r w:rsidR="007C0C8C" w:rsidRPr="0062232E">
          <w:rPr>
            <w:rStyle w:val="Hypertextovodkaz"/>
            <w:rFonts w:eastAsia="MS Mincho"/>
            <w:noProof/>
            <w:lang w:eastAsia="ja-JP"/>
          </w:rPr>
          <w:t>3</w:t>
        </w:r>
        <w:r w:rsidR="007C0C8C">
          <w:rPr>
            <w:rFonts w:eastAsiaTheme="minorEastAsia" w:cstheme="minorBidi"/>
            <w:b w:val="0"/>
            <w:bCs w:val="0"/>
            <w:i w:val="0"/>
            <w:iCs w:val="0"/>
            <w:noProof/>
            <w:sz w:val="22"/>
            <w:szCs w:val="22"/>
          </w:rPr>
          <w:tab/>
        </w:r>
        <w:r w:rsidR="007C0C8C" w:rsidRPr="0062232E">
          <w:rPr>
            <w:rStyle w:val="Hypertextovodkaz"/>
            <w:rFonts w:eastAsia="MS Mincho"/>
            <w:noProof/>
            <w:lang w:eastAsia="ja-JP"/>
          </w:rPr>
          <w:t>Jednorázové ceny za služby spojené s pronájmem fyzické infrastruktury</w:t>
        </w:r>
        <w:r w:rsidR="007C0C8C">
          <w:rPr>
            <w:noProof/>
            <w:webHidden/>
          </w:rPr>
          <w:tab/>
        </w:r>
        <w:r w:rsidR="007C0C8C">
          <w:rPr>
            <w:noProof/>
            <w:webHidden/>
          </w:rPr>
          <w:fldChar w:fldCharType="begin"/>
        </w:r>
        <w:r w:rsidR="007C0C8C">
          <w:rPr>
            <w:noProof/>
            <w:webHidden/>
          </w:rPr>
          <w:instrText xml:space="preserve"> PAGEREF _Toc484079663 \h </w:instrText>
        </w:r>
        <w:r w:rsidR="007C0C8C">
          <w:rPr>
            <w:noProof/>
            <w:webHidden/>
          </w:rPr>
        </w:r>
        <w:r w:rsidR="007C0C8C">
          <w:rPr>
            <w:noProof/>
            <w:webHidden/>
          </w:rPr>
          <w:fldChar w:fldCharType="separate"/>
        </w:r>
        <w:r w:rsidR="007C0C8C">
          <w:rPr>
            <w:noProof/>
            <w:webHidden/>
          </w:rPr>
          <w:t>11</w:t>
        </w:r>
        <w:r w:rsidR="007C0C8C">
          <w:rPr>
            <w:noProof/>
            <w:webHidden/>
          </w:rPr>
          <w:fldChar w:fldCharType="end"/>
        </w:r>
      </w:hyperlink>
    </w:p>
    <w:p w14:paraId="0A42C099" w14:textId="022B2112" w:rsidR="007C0C8C" w:rsidRDefault="00BE4E76">
      <w:pPr>
        <w:pStyle w:val="Obsah2"/>
        <w:tabs>
          <w:tab w:val="left" w:pos="800"/>
          <w:tab w:val="right" w:leader="underscore" w:pos="9062"/>
        </w:tabs>
        <w:rPr>
          <w:rFonts w:eastAsiaTheme="minorEastAsia" w:cstheme="minorBidi"/>
          <w:b w:val="0"/>
          <w:bCs w:val="0"/>
          <w:noProof/>
        </w:rPr>
      </w:pPr>
      <w:hyperlink w:anchor="_Toc484079664" w:history="1">
        <w:r w:rsidR="007C0C8C" w:rsidRPr="0062232E">
          <w:rPr>
            <w:rStyle w:val="Hypertextovodkaz"/>
            <w:noProof/>
          </w:rPr>
          <w:t>3.1</w:t>
        </w:r>
        <w:r w:rsidR="007C0C8C">
          <w:rPr>
            <w:rFonts w:eastAsiaTheme="minorEastAsia" w:cstheme="minorBidi"/>
            <w:b w:val="0"/>
            <w:bCs w:val="0"/>
            <w:noProof/>
          </w:rPr>
          <w:tab/>
        </w:r>
        <w:r w:rsidR="007C0C8C" w:rsidRPr="0062232E">
          <w:rPr>
            <w:rStyle w:val="Hypertextovodkaz"/>
            <w:noProof/>
          </w:rPr>
          <w:t>Průzkum fyzické infrastruktury na místě</w:t>
        </w:r>
        <w:r w:rsidR="007C0C8C">
          <w:rPr>
            <w:noProof/>
            <w:webHidden/>
          </w:rPr>
          <w:tab/>
        </w:r>
        <w:r w:rsidR="007C0C8C">
          <w:rPr>
            <w:noProof/>
            <w:webHidden/>
          </w:rPr>
          <w:fldChar w:fldCharType="begin"/>
        </w:r>
        <w:r w:rsidR="007C0C8C">
          <w:rPr>
            <w:noProof/>
            <w:webHidden/>
          </w:rPr>
          <w:instrText xml:space="preserve"> PAGEREF _Toc484079664 \h </w:instrText>
        </w:r>
        <w:r w:rsidR="007C0C8C">
          <w:rPr>
            <w:noProof/>
            <w:webHidden/>
          </w:rPr>
        </w:r>
        <w:r w:rsidR="007C0C8C">
          <w:rPr>
            <w:noProof/>
            <w:webHidden/>
          </w:rPr>
          <w:fldChar w:fldCharType="separate"/>
        </w:r>
        <w:r w:rsidR="007C0C8C">
          <w:rPr>
            <w:noProof/>
            <w:webHidden/>
          </w:rPr>
          <w:t>11</w:t>
        </w:r>
        <w:r w:rsidR="007C0C8C">
          <w:rPr>
            <w:noProof/>
            <w:webHidden/>
          </w:rPr>
          <w:fldChar w:fldCharType="end"/>
        </w:r>
      </w:hyperlink>
    </w:p>
    <w:p w14:paraId="3DE36C26" w14:textId="40761E5E" w:rsidR="007C0C8C" w:rsidRDefault="00BE4E76">
      <w:pPr>
        <w:pStyle w:val="Obsah2"/>
        <w:tabs>
          <w:tab w:val="left" w:pos="800"/>
          <w:tab w:val="right" w:leader="underscore" w:pos="9062"/>
        </w:tabs>
        <w:rPr>
          <w:rFonts w:eastAsiaTheme="minorEastAsia" w:cstheme="minorBidi"/>
          <w:b w:val="0"/>
          <w:bCs w:val="0"/>
          <w:noProof/>
        </w:rPr>
      </w:pPr>
      <w:hyperlink w:anchor="_Toc484079665" w:history="1">
        <w:r w:rsidR="007C0C8C" w:rsidRPr="0062232E">
          <w:rPr>
            <w:rStyle w:val="Hypertextovodkaz"/>
            <w:noProof/>
          </w:rPr>
          <w:t>3.2</w:t>
        </w:r>
        <w:r w:rsidR="007C0C8C">
          <w:rPr>
            <w:rFonts w:eastAsiaTheme="minorEastAsia" w:cstheme="minorBidi"/>
            <w:b w:val="0"/>
            <w:bCs w:val="0"/>
            <w:noProof/>
          </w:rPr>
          <w:tab/>
        </w:r>
        <w:r w:rsidR="007C0C8C" w:rsidRPr="0062232E">
          <w:rPr>
            <w:rStyle w:val="Hypertextovodkaz"/>
            <w:noProof/>
          </w:rPr>
          <w:t>Projekt technického provedení přístupu k fyzické infrastruktuře</w:t>
        </w:r>
        <w:r w:rsidR="007C0C8C">
          <w:rPr>
            <w:noProof/>
            <w:webHidden/>
          </w:rPr>
          <w:tab/>
        </w:r>
        <w:r w:rsidR="007C0C8C">
          <w:rPr>
            <w:noProof/>
            <w:webHidden/>
          </w:rPr>
          <w:fldChar w:fldCharType="begin"/>
        </w:r>
        <w:r w:rsidR="007C0C8C">
          <w:rPr>
            <w:noProof/>
            <w:webHidden/>
          </w:rPr>
          <w:instrText xml:space="preserve"> PAGEREF _Toc484079665 \h </w:instrText>
        </w:r>
        <w:r w:rsidR="007C0C8C">
          <w:rPr>
            <w:noProof/>
            <w:webHidden/>
          </w:rPr>
        </w:r>
        <w:r w:rsidR="007C0C8C">
          <w:rPr>
            <w:noProof/>
            <w:webHidden/>
          </w:rPr>
          <w:fldChar w:fldCharType="separate"/>
        </w:r>
        <w:r w:rsidR="007C0C8C">
          <w:rPr>
            <w:noProof/>
            <w:webHidden/>
          </w:rPr>
          <w:t>11</w:t>
        </w:r>
        <w:r w:rsidR="007C0C8C">
          <w:rPr>
            <w:noProof/>
            <w:webHidden/>
          </w:rPr>
          <w:fldChar w:fldCharType="end"/>
        </w:r>
      </w:hyperlink>
    </w:p>
    <w:p w14:paraId="6F2140C2" w14:textId="4ADCDCBB" w:rsidR="007C0C8C" w:rsidRDefault="002C52CF" w:rsidP="007C0C8C">
      <w:r>
        <w:fldChar w:fldCharType="end"/>
      </w:r>
    </w:p>
    <w:p w14:paraId="3F82271E" w14:textId="77777777" w:rsidR="007C0C8C" w:rsidRDefault="007C0C8C">
      <w:pPr>
        <w:overflowPunct/>
        <w:autoSpaceDE/>
        <w:autoSpaceDN/>
        <w:adjustRightInd/>
        <w:spacing w:after="160" w:line="259" w:lineRule="auto"/>
        <w:textAlignment w:val="auto"/>
      </w:pPr>
      <w:r>
        <w:br w:type="page"/>
      </w:r>
    </w:p>
    <w:p w14:paraId="69BE3B39" w14:textId="69CE9F71" w:rsidR="002D5CED" w:rsidRPr="005E6554" w:rsidRDefault="007C0C8C" w:rsidP="00F67923">
      <w:pPr>
        <w:pStyle w:val="Vvojcen-nadpis1"/>
      </w:pPr>
      <w:bookmarkStart w:id="1" w:name="_Toc484009721"/>
      <w:bookmarkStart w:id="2" w:name="_Toc484079645"/>
      <w:bookmarkEnd w:id="1"/>
      <w:r>
        <w:lastRenderedPageBreak/>
        <w:t>Úvod a v</w:t>
      </w:r>
      <w:r w:rsidR="00256736" w:rsidRPr="00F67923">
        <w:t>ymezení</w:t>
      </w:r>
      <w:r w:rsidR="00256736" w:rsidRPr="005E6554">
        <w:t xml:space="preserve"> </w:t>
      </w:r>
      <w:r w:rsidR="002D5CED" w:rsidRPr="00F67923">
        <w:t>pojmů</w:t>
      </w:r>
      <w:bookmarkEnd w:id="2"/>
    </w:p>
    <w:p w14:paraId="68F26E94" w14:textId="77777777" w:rsidR="007C0C8C" w:rsidRPr="00B43D6D" w:rsidRDefault="007C0C8C" w:rsidP="007C0C8C">
      <w:pPr>
        <w:pStyle w:val="Vvojcen-zkladntext"/>
      </w:pPr>
      <w:r w:rsidRPr="00BC2B37">
        <w:t xml:space="preserve">Cílem předkládaného dokumentu je stanovit metodiku pro výpočet cen služeb poskytovaných v návaznosti na povinnosti </w:t>
      </w:r>
      <w:r w:rsidRPr="007C0C8C">
        <w:t>vyplývající</w:t>
      </w:r>
      <w:r w:rsidRPr="00BC2B37">
        <w:t xml:space="preserve"> </w:t>
      </w:r>
      <w:r w:rsidRPr="00C47F79">
        <w:t>tzv. povinným osobám</w:t>
      </w:r>
      <w:r w:rsidRPr="00C47F79">
        <w:rPr>
          <w:rStyle w:val="Znakapoznpodarou"/>
          <w:rFonts w:ascii="Cambria" w:hAnsi="Cambria"/>
          <w:color w:val="000000" w:themeColor="text1"/>
          <w:sz w:val="24"/>
          <w:szCs w:val="24"/>
        </w:rPr>
        <w:footnoteReference w:id="1"/>
      </w:r>
      <w:r w:rsidRPr="00C47F79">
        <w:t xml:space="preserve"> ze zákona</w:t>
      </w:r>
      <w:r>
        <w:t xml:space="preserve"> o </w:t>
      </w:r>
      <w:r w:rsidRPr="00C47F79">
        <w:t xml:space="preserve">opatřeních ke snížení nákladů na zavádění vysokorychlostních sítí elektronických komunikací </w:t>
      </w:r>
      <w:r w:rsidRPr="00B43D6D">
        <w:t>a o změně některých souvisejících zákonů (dále jen „Zákon“).</w:t>
      </w:r>
    </w:p>
    <w:p w14:paraId="37891189" w14:textId="05C5F042" w:rsidR="007C0C8C" w:rsidRPr="00F5143B" w:rsidRDefault="007C0C8C" w:rsidP="007C0C8C">
      <w:pPr>
        <w:pStyle w:val="Vvojcen-zkladntext"/>
      </w:pPr>
      <w:r w:rsidRPr="00F5143B">
        <w:t>Konkrétně me</w:t>
      </w:r>
      <w:r>
        <w:t>todika pojednává o stanovení</w:t>
      </w:r>
      <w:r w:rsidRPr="00F5143B">
        <w:t>:</w:t>
      </w:r>
    </w:p>
    <w:p w14:paraId="20729295" w14:textId="508367D4" w:rsidR="007C0C8C" w:rsidRPr="00EE1E45" w:rsidRDefault="007C0C8C" w:rsidP="007C0C8C">
      <w:pPr>
        <w:pStyle w:val="Vvojcen-odrky"/>
      </w:pPr>
      <w:r w:rsidRPr="00F5143B">
        <w:t>Měsíční</w:t>
      </w:r>
      <w:r>
        <w:t>ch cen</w:t>
      </w:r>
      <w:r w:rsidRPr="00F5143B">
        <w:t xml:space="preserve"> za pronájem fyzické infrastruktury</w:t>
      </w:r>
    </w:p>
    <w:p w14:paraId="1474618A" w14:textId="40305F3F" w:rsidR="007C0C8C" w:rsidRDefault="007C0C8C" w:rsidP="007C0C8C">
      <w:pPr>
        <w:pStyle w:val="Vvojcen-odrky"/>
        <w:rPr>
          <w:color w:val="000000" w:themeColor="text1"/>
          <w:szCs w:val="24"/>
        </w:rPr>
      </w:pPr>
      <w:r>
        <w:t>Jednorázových cen za služby spojené s pronájmem fyzické infrastruktury</w:t>
      </w:r>
    </w:p>
    <w:p w14:paraId="41F2F783" w14:textId="7FB1C158" w:rsidR="002E52E7" w:rsidRPr="00C47F79" w:rsidRDefault="002D6F89" w:rsidP="007C0C8C">
      <w:pPr>
        <w:pStyle w:val="Vvojcen-zkladntext"/>
        <w:rPr>
          <w:bCs/>
          <w:iCs/>
          <w:color w:val="000000"/>
          <w:szCs w:val="24"/>
          <w:lang w:eastAsia="ja-JP"/>
        </w:rPr>
      </w:pPr>
      <w:r w:rsidRPr="00C47F79">
        <w:rPr>
          <w:rFonts w:cs="Arial"/>
          <w:color w:val="000000" w:themeColor="text1"/>
          <w:szCs w:val="24"/>
        </w:rPr>
        <w:t xml:space="preserve">Zákon ve vymezení pojmů </w:t>
      </w:r>
      <w:r w:rsidR="002E52E7" w:rsidRPr="00C47F79">
        <w:rPr>
          <w:rFonts w:cs="Arial"/>
          <w:color w:val="000000" w:themeColor="text1"/>
          <w:szCs w:val="24"/>
        </w:rPr>
        <w:t>stanov</w:t>
      </w:r>
      <w:r w:rsidRPr="00C47F79">
        <w:rPr>
          <w:rFonts w:cs="Arial"/>
          <w:color w:val="000000" w:themeColor="text1"/>
          <w:szCs w:val="24"/>
        </w:rPr>
        <w:t xml:space="preserve">í, že </w:t>
      </w:r>
      <w:r w:rsidRPr="00C47F79">
        <w:t xml:space="preserve">fyzickou infrastrukturou </w:t>
      </w:r>
      <w:r w:rsidR="002E52E7" w:rsidRPr="00C47F79">
        <w:t xml:space="preserve">se rozumí </w:t>
      </w:r>
      <w:r w:rsidRPr="00C47F79">
        <w:t>prvek sítě, který je určen k umístění jiných prvků sítě, aniž by</w:t>
      </w:r>
      <w:r w:rsidR="007C0C8C">
        <w:rPr>
          <w:rFonts w:asciiTheme="minorHAnsi" w:hAnsiTheme="minorHAnsi"/>
        </w:rPr>
        <w:t xml:space="preserve"> </w:t>
      </w:r>
      <w:r w:rsidRPr="00C47F79">
        <w:t>se sám stal aktivním prvkem sítě</w:t>
      </w:r>
      <w:r w:rsidR="002E52E7" w:rsidRPr="00C47F79">
        <w:t xml:space="preserve">. </w:t>
      </w:r>
    </w:p>
    <w:p w14:paraId="210E3575" w14:textId="1506F617" w:rsidR="00E313DF" w:rsidRPr="00C47F79" w:rsidRDefault="00A425F1" w:rsidP="00F67923">
      <w:pPr>
        <w:pStyle w:val="Vvojcen-zkladntext"/>
        <w:rPr>
          <w:szCs w:val="24"/>
        </w:rPr>
      </w:pPr>
      <w:r w:rsidRPr="00F67923">
        <w:rPr>
          <w:szCs w:val="24"/>
        </w:rPr>
        <w:t xml:space="preserve">Přístupová síť NGA se skládá ze sítě přípojné (backhaul), sítě distribuční a sítě uživatelské. </w:t>
      </w:r>
      <w:r w:rsidRPr="00BC2B37">
        <w:rPr>
          <w:szCs w:val="24"/>
        </w:rPr>
        <w:t>Přípojnou síť (backhaul) lze definovat jako síť propojující páteřní síť (tzv. core network) a lokální síť v obci.</w:t>
      </w:r>
      <w:r w:rsidRPr="00C47F79">
        <w:rPr>
          <w:szCs w:val="24"/>
        </w:rPr>
        <w:t xml:space="preserve"> Distribuční síť propojuje jednotlivé části obce, nebo přilehlé lokality a zajišťuje konekti</w:t>
      </w:r>
      <w:r w:rsidR="007C0C8C">
        <w:rPr>
          <w:szCs w:val="24"/>
        </w:rPr>
        <w:t>vitu pro jednotlivé distribuční</w:t>
      </w:r>
      <w:r w:rsidR="00BC2B37">
        <w:rPr>
          <w:szCs w:val="24"/>
        </w:rPr>
        <w:t xml:space="preserve"> </w:t>
      </w:r>
      <w:r w:rsidR="007C0C8C">
        <w:rPr>
          <w:szCs w:val="24"/>
        </w:rPr>
        <w:t>(</w:t>
      </w:r>
      <w:r w:rsidRPr="00BC2B37">
        <w:rPr>
          <w:szCs w:val="24"/>
        </w:rPr>
        <w:t>soustřeďovací</w:t>
      </w:r>
      <w:r w:rsidR="007C0C8C">
        <w:rPr>
          <w:szCs w:val="24"/>
        </w:rPr>
        <w:t>)</w:t>
      </w:r>
      <w:r w:rsidRPr="00BC2B37">
        <w:rPr>
          <w:szCs w:val="24"/>
        </w:rPr>
        <w:t xml:space="preserve"> body, kam jsou připojeny uživatelské sítě. Uživatelská síť je sítí elektronických komunikací mezi soustřeďovacím bodem </w:t>
      </w:r>
      <w:r w:rsidRPr="00C47F79">
        <w:rPr>
          <w:szCs w:val="24"/>
        </w:rPr>
        <w:t xml:space="preserve">(AP) a koncovým zákazníkem (uživatelem). </w:t>
      </w:r>
    </w:p>
    <w:p w14:paraId="39258D51" w14:textId="2A5FCBAA" w:rsidR="00DC42CE" w:rsidRPr="00F67923" w:rsidRDefault="00A425F1" w:rsidP="00F67923">
      <w:pPr>
        <w:pStyle w:val="Vvojcen-zkladntext"/>
        <w:rPr>
          <w:bCs/>
          <w:iCs/>
          <w:color w:val="000000"/>
          <w:szCs w:val="24"/>
          <w:lang w:eastAsia="ja-JP"/>
        </w:rPr>
      </w:pPr>
      <w:r w:rsidRPr="00F67923">
        <w:rPr>
          <w:szCs w:val="24"/>
        </w:rPr>
        <w:t>Pr</w:t>
      </w:r>
      <w:r w:rsidR="00E313DF" w:rsidRPr="00F67923">
        <w:rPr>
          <w:szCs w:val="24"/>
        </w:rPr>
        <w:t>o výstavbu přístupové sítě NGA j</w:t>
      </w:r>
      <w:r w:rsidRPr="00F67923">
        <w:rPr>
          <w:szCs w:val="24"/>
        </w:rPr>
        <w:t>e mimo</w:t>
      </w:r>
      <w:r w:rsidR="00E313DF" w:rsidRPr="00F67923">
        <w:rPr>
          <w:szCs w:val="24"/>
        </w:rPr>
        <w:t>řádně důležité vy</w:t>
      </w:r>
      <w:r w:rsidRPr="00F67923">
        <w:rPr>
          <w:szCs w:val="24"/>
        </w:rPr>
        <w:t>užív</w:t>
      </w:r>
      <w:r w:rsidR="00E313DF" w:rsidRPr="00F67923">
        <w:rPr>
          <w:szCs w:val="24"/>
        </w:rPr>
        <w:t>án</w:t>
      </w:r>
      <w:r w:rsidRPr="00F67923">
        <w:rPr>
          <w:szCs w:val="24"/>
        </w:rPr>
        <w:t>í prvk</w:t>
      </w:r>
      <w:r w:rsidR="00E313DF" w:rsidRPr="00F67923">
        <w:rPr>
          <w:szCs w:val="24"/>
        </w:rPr>
        <w:t>ů</w:t>
      </w:r>
      <w:r w:rsidRPr="00F67923">
        <w:rPr>
          <w:szCs w:val="24"/>
        </w:rPr>
        <w:t xml:space="preserve"> pasivní fyzické infrastruktury.</w:t>
      </w:r>
      <w:r w:rsidR="00E313DF" w:rsidRPr="00F67923">
        <w:rPr>
          <w:szCs w:val="24"/>
        </w:rPr>
        <w:t xml:space="preserve"> </w:t>
      </w:r>
      <w:r w:rsidR="00E313DF" w:rsidRPr="00F67923">
        <w:t xml:space="preserve">Poskytovatel velkoobchodního přístupu k fyzické infrastruktuře umožní využívání své sítě v souladu s podmínkami stanovenými Zákonem a stanoví </w:t>
      </w:r>
      <w:r w:rsidR="00E313DF" w:rsidRPr="00F67923">
        <w:rPr>
          <w:bCs/>
          <w:iCs/>
          <w:color w:val="000000"/>
          <w:szCs w:val="24"/>
          <w:lang w:eastAsia="ja-JP"/>
        </w:rPr>
        <w:t>vzájemnou dohodou</w:t>
      </w:r>
      <w:r w:rsidR="00C47F79">
        <w:rPr>
          <w:bCs/>
          <w:iCs/>
          <w:color w:val="000000"/>
          <w:szCs w:val="24"/>
          <w:lang w:eastAsia="ja-JP"/>
        </w:rPr>
        <w:t>,</w:t>
      </w:r>
      <w:r w:rsidR="00E313DF" w:rsidRPr="00F67923">
        <w:rPr>
          <w:bCs/>
          <w:iCs/>
          <w:color w:val="000000"/>
          <w:szCs w:val="24"/>
          <w:lang w:eastAsia="ja-JP"/>
        </w:rPr>
        <w:t xml:space="preserve"> v souladu s principem nákladové orientace</w:t>
      </w:r>
      <w:r w:rsidR="00C47F79">
        <w:rPr>
          <w:bCs/>
          <w:iCs/>
          <w:color w:val="000000"/>
          <w:szCs w:val="24"/>
          <w:lang w:eastAsia="ja-JP"/>
        </w:rPr>
        <w:t>,</w:t>
      </w:r>
      <w:r w:rsidR="00E313DF" w:rsidRPr="00F67923">
        <w:rPr>
          <w:bCs/>
          <w:iCs/>
          <w:color w:val="000000"/>
          <w:szCs w:val="24"/>
          <w:lang w:eastAsia="ja-JP"/>
        </w:rPr>
        <w:t xml:space="preserve"> ceny pronájmu daného prvku. </w:t>
      </w:r>
      <w:r w:rsidR="00C47F79">
        <w:rPr>
          <w:bCs/>
          <w:iCs/>
          <w:color w:val="000000"/>
          <w:szCs w:val="24"/>
          <w:lang w:eastAsia="ja-JP"/>
        </w:rPr>
        <w:t>Český telekomunikač</w:t>
      </w:r>
      <w:r w:rsidR="004448DA">
        <w:rPr>
          <w:bCs/>
          <w:iCs/>
          <w:color w:val="000000"/>
          <w:szCs w:val="24"/>
          <w:lang w:eastAsia="ja-JP"/>
        </w:rPr>
        <w:t>n</w:t>
      </w:r>
      <w:r w:rsidR="00C47F79">
        <w:rPr>
          <w:bCs/>
          <w:iCs/>
          <w:color w:val="000000"/>
          <w:szCs w:val="24"/>
          <w:lang w:eastAsia="ja-JP"/>
        </w:rPr>
        <w:t>í úřad (dále jen „</w:t>
      </w:r>
      <w:r w:rsidR="00E313DF" w:rsidRPr="00F67923">
        <w:rPr>
          <w:bCs/>
          <w:iCs/>
          <w:color w:val="000000"/>
          <w:szCs w:val="24"/>
          <w:lang w:eastAsia="ja-JP"/>
        </w:rPr>
        <w:t>ČTÚ</w:t>
      </w:r>
      <w:r w:rsidR="00C47F79">
        <w:rPr>
          <w:bCs/>
          <w:iCs/>
          <w:color w:val="000000"/>
          <w:szCs w:val="24"/>
          <w:lang w:eastAsia="ja-JP"/>
        </w:rPr>
        <w:t>“)</w:t>
      </w:r>
      <w:r w:rsidR="00E313DF" w:rsidRPr="00F67923">
        <w:rPr>
          <w:bCs/>
          <w:iCs/>
          <w:color w:val="000000"/>
          <w:szCs w:val="24"/>
          <w:lang w:eastAsia="ja-JP"/>
        </w:rPr>
        <w:t xml:space="preserve"> jako nezávislý regulační orgán pro účely </w:t>
      </w:r>
      <w:r w:rsidR="004B3FEF">
        <w:rPr>
          <w:bCs/>
          <w:iCs/>
          <w:color w:val="000000"/>
          <w:szCs w:val="24"/>
          <w:lang w:eastAsia="ja-JP"/>
        </w:rPr>
        <w:t>stanovení</w:t>
      </w:r>
      <w:r w:rsidR="004B3FEF" w:rsidRPr="00F67923">
        <w:rPr>
          <w:bCs/>
          <w:iCs/>
          <w:color w:val="000000"/>
          <w:szCs w:val="24"/>
          <w:lang w:eastAsia="ja-JP"/>
        </w:rPr>
        <w:t xml:space="preserve"> </w:t>
      </w:r>
      <w:r w:rsidR="00E313DF" w:rsidRPr="00F67923">
        <w:rPr>
          <w:bCs/>
          <w:iCs/>
          <w:color w:val="000000"/>
          <w:szCs w:val="24"/>
          <w:lang w:eastAsia="ja-JP"/>
        </w:rPr>
        <w:t>nákladů a zejména pro případné rozhodování sporů o ceně bude vycházet ze zásad u</w:t>
      </w:r>
      <w:r w:rsidR="00DC42CE" w:rsidRPr="00F67923">
        <w:rPr>
          <w:bCs/>
          <w:iCs/>
          <w:color w:val="000000"/>
          <w:szCs w:val="24"/>
          <w:lang w:eastAsia="ja-JP"/>
        </w:rPr>
        <w:t>vedených v tomto dokumentu.</w:t>
      </w:r>
    </w:p>
    <w:p w14:paraId="2CD5090E" w14:textId="77777777" w:rsidR="009406D8" w:rsidRPr="00F67923" w:rsidRDefault="009406D8" w:rsidP="00F67923">
      <w:pPr>
        <w:pStyle w:val="Vvojcen-nadpis1"/>
        <w:rPr>
          <w:rFonts w:eastAsia="MS Mincho"/>
          <w:lang w:eastAsia="ja-JP"/>
        </w:rPr>
      </w:pPr>
      <w:bookmarkStart w:id="3" w:name="_Toc484008743"/>
      <w:bookmarkStart w:id="4" w:name="_Toc484009735"/>
      <w:bookmarkStart w:id="5" w:name="_Toc484009792"/>
      <w:bookmarkStart w:id="6" w:name="_Toc484009849"/>
      <w:bookmarkStart w:id="7" w:name="_Toc484009927"/>
      <w:bookmarkStart w:id="8" w:name="_Toc484010705"/>
      <w:bookmarkStart w:id="9" w:name="_Toc484008744"/>
      <w:bookmarkStart w:id="10" w:name="_Toc484009736"/>
      <w:bookmarkStart w:id="11" w:name="_Toc484009793"/>
      <w:bookmarkStart w:id="12" w:name="_Toc484009850"/>
      <w:bookmarkStart w:id="13" w:name="_Toc484009928"/>
      <w:bookmarkStart w:id="14" w:name="_Toc484010706"/>
      <w:bookmarkStart w:id="15" w:name="_Toc484079646"/>
      <w:bookmarkEnd w:id="3"/>
      <w:bookmarkEnd w:id="4"/>
      <w:bookmarkEnd w:id="5"/>
      <w:bookmarkEnd w:id="6"/>
      <w:bookmarkEnd w:id="7"/>
      <w:bookmarkEnd w:id="8"/>
      <w:bookmarkEnd w:id="9"/>
      <w:bookmarkEnd w:id="10"/>
      <w:bookmarkEnd w:id="11"/>
      <w:bookmarkEnd w:id="12"/>
      <w:bookmarkEnd w:id="13"/>
      <w:bookmarkEnd w:id="14"/>
      <w:r w:rsidRPr="00F67923">
        <w:rPr>
          <w:rFonts w:eastAsia="MS Mincho"/>
          <w:lang w:eastAsia="ja-JP"/>
        </w:rPr>
        <w:t>Měsíční ceny za pronájem fyzické infrastruktury</w:t>
      </w:r>
      <w:bookmarkEnd w:id="15"/>
    </w:p>
    <w:p w14:paraId="03C93382" w14:textId="50350268" w:rsidR="00C47F79" w:rsidRPr="00C47F79" w:rsidRDefault="00C47F79" w:rsidP="00F67923">
      <w:pPr>
        <w:pStyle w:val="Vvojcen-zkladntext"/>
      </w:pPr>
      <w:r w:rsidRPr="00BC2B37">
        <w:rPr>
          <w:lang w:eastAsia="ja-JP"/>
        </w:rPr>
        <w:t xml:space="preserve">Základní prvky </w:t>
      </w:r>
      <w:r w:rsidRPr="00BC2B37">
        <w:t>fyzické infrastruktury</w:t>
      </w:r>
      <w:r w:rsidRPr="00BC2B37">
        <w:rPr>
          <w:lang w:eastAsia="ja-JP"/>
        </w:rPr>
        <w:t xml:space="preserve">, na které se budou </w:t>
      </w:r>
      <w:r>
        <w:rPr>
          <w:lang w:eastAsia="ja-JP"/>
        </w:rPr>
        <w:t>níže uvedené</w:t>
      </w:r>
      <w:r w:rsidRPr="00BC2B37">
        <w:rPr>
          <w:lang w:eastAsia="ja-JP"/>
        </w:rPr>
        <w:t xml:space="preserve"> zásady cenové tvorby vztahovat, jsou definovány </w:t>
      </w:r>
      <w:r w:rsidRPr="00BC2B37">
        <w:t>v §</w:t>
      </w:r>
      <w:r>
        <w:t xml:space="preserve"> </w:t>
      </w:r>
      <w:r w:rsidRPr="00BC2B37">
        <w:t>2 Záko</w:t>
      </w:r>
      <w:r w:rsidRPr="00C47F79">
        <w:t>na takto:</w:t>
      </w:r>
    </w:p>
    <w:p w14:paraId="58C9B866" w14:textId="77777777" w:rsidR="00C47F79" w:rsidRPr="00F67923" w:rsidRDefault="00C47F79" w:rsidP="00C47F79">
      <w:pPr>
        <w:pStyle w:val="Odstavecseseznamem"/>
        <w:numPr>
          <w:ilvl w:val="0"/>
          <w:numId w:val="4"/>
        </w:numPr>
        <w:overflowPunct/>
        <w:autoSpaceDE/>
        <w:autoSpaceDN/>
        <w:adjustRightInd/>
        <w:spacing w:before="120" w:after="120"/>
        <w:ind w:left="771" w:hanging="357"/>
        <w:jc w:val="both"/>
        <w:textAlignment w:val="auto"/>
        <w:rPr>
          <w:rFonts w:ascii="Arial" w:hAnsi="Arial" w:cs="Arial"/>
          <w:color w:val="000000" w:themeColor="text1"/>
          <w:sz w:val="22"/>
          <w:szCs w:val="22"/>
        </w:rPr>
      </w:pPr>
      <w:r w:rsidRPr="00F67923">
        <w:rPr>
          <w:rFonts w:ascii="Arial" w:hAnsi="Arial" w:cs="Arial"/>
          <w:sz w:val="22"/>
          <w:szCs w:val="22"/>
        </w:rPr>
        <w:t xml:space="preserve"> Potrubí</w:t>
      </w:r>
    </w:p>
    <w:p w14:paraId="4DB40768" w14:textId="77777777" w:rsidR="00C47F79" w:rsidRPr="00F67923" w:rsidRDefault="00C47F79" w:rsidP="00C47F79">
      <w:pPr>
        <w:pStyle w:val="Odstavecseseznamem"/>
        <w:numPr>
          <w:ilvl w:val="0"/>
          <w:numId w:val="4"/>
        </w:numPr>
        <w:overflowPunct/>
        <w:autoSpaceDE/>
        <w:autoSpaceDN/>
        <w:adjustRightInd/>
        <w:spacing w:before="120" w:after="120"/>
        <w:ind w:left="771" w:hanging="357"/>
        <w:jc w:val="both"/>
        <w:textAlignment w:val="auto"/>
        <w:rPr>
          <w:rFonts w:ascii="Arial" w:hAnsi="Arial" w:cs="Arial"/>
          <w:color w:val="000000" w:themeColor="text1"/>
          <w:sz w:val="22"/>
          <w:szCs w:val="22"/>
        </w:rPr>
      </w:pPr>
      <w:r w:rsidRPr="00F67923">
        <w:rPr>
          <w:rFonts w:ascii="Arial" w:hAnsi="Arial" w:cs="Arial"/>
          <w:sz w:val="22"/>
          <w:szCs w:val="22"/>
        </w:rPr>
        <w:t xml:space="preserve"> Stožáry</w:t>
      </w:r>
    </w:p>
    <w:p w14:paraId="0E8CFF45"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Kabelovody</w:t>
      </w:r>
    </w:p>
    <w:p w14:paraId="5229AF6A"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Kolektory</w:t>
      </w:r>
    </w:p>
    <w:p w14:paraId="243B5BF0"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Inspekční komory,</w:t>
      </w:r>
    </w:p>
    <w:p w14:paraId="1442C548"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Vstupní šachty</w:t>
      </w:r>
    </w:p>
    <w:p w14:paraId="60970C62"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Rozvodné skříně</w:t>
      </w:r>
    </w:p>
    <w:p w14:paraId="1DC2F268"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Budovy a vstupy do budov</w:t>
      </w:r>
    </w:p>
    <w:p w14:paraId="5ADA3B59"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Anténní nosiče</w:t>
      </w:r>
    </w:p>
    <w:p w14:paraId="0123AEAF"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Věže</w:t>
      </w:r>
    </w:p>
    <w:p w14:paraId="50F131E3" w14:textId="77777777" w:rsidR="00C47F79" w:rsidRPr="00F67923" w:rsidRDefault="00C47F79" w:rsidP="00C47F79">
      <w:pPr>
        <w:pStyle w:val="Odstavecseseznamem"/>
        <w:numPr>
          <w:ilvl w:val="0"/>
          <w:numId w:val="4"/>
        </w:numPr>
        <w:overflowPunct/>
        <w:autoSpaceDE/>
        <w:autoSpaceDN/>
        <w:adjustRightInd/>
        <w:spacing w:before="120" w:after="120"/>
        <w:jc w:val="both"/>
        <w:textAlignment w:val="auto"/>
        <w:rPr>
          <w:rFonts w:ascii="Arial" w:hAnsi="Arial" w:cs="Arial"/>
          <w:color w:val="000000" w:themeColor="text1"/>
          <w:sz w:val="22"/>
          <w:szCs w:val="22"/>
        </w:rPr>
      </w:pPr>
      <w:r w:rsidRPr="00F67923">
        <w:rPr>
          <w:rFonts w:ascii="Arial" w:hAnsi="Arial" w:cs="Arial"/>
          <w:sz w:val="22"/>
          <w:szCs w:val="22"/>
        </w:rPr>
        <w:t xml:space="preserve"> Podpůrné konstrukce</w:t>
      </w:r>
    </w:p>
    <w:p w14:paraId="5013A1CA" w14:textId="49D18A7D" w:rsidR="00C47F79" w:rsidRDefault="00C47F79" w:rsidP="00F67923">
      <w:pPr>
        <w:pStyle w:val="Vvojcen-zkladntext"/>
        <w:rPr>
          <w:rFonts w:eastAsia="MS Mincho"/>
          <w:lang w:eastAsia="ja-JP"/>
        </w:rPr>
      </w:pPr>
      <w:r w:rsidRPr="00B925B8">
        <w:rPr>
          <w:rFonts w:eastAsia="MS Mincho"/>
          <w:lang w:eastAsia="ja-JP"/>
        </w:rPr>
        <w:t xml:space="preserve">Velkoobchodní cena za přístup k prvkům fyzické infrastruktury bude nákladově orientovaná, a měla by pokrývat náklady vlastníka této infrastruktury spojené s jejím pořízením </w:t>
      </w:r>
      <w:r w:rsidRPr="00B925B8">
        <w:rPr>
          <w:rFonts w:eastAsia="MS Mincho"/>
          <w:lang w:eastAsia="ja-JP"/>
        </w:rPr>
        <w:lastRenderedPageBreak/>
        <w:t>a provozováním včetně přiměřené ekonomické návratnosti vynaložených investic. K tomuto účelu regulační úřad ČTÚ určuje postup pro stanovení maximálně přípustných cen, který je</w:t>
      </w:r>
      <w:r w:rsidR="000E260E">
        <w:rPr>
          <w:rFonts w:eastAsia="MS Mincho"/>
          <w:lang w:eastAsia="ja-JP"/>
        </w:rPr>
        <w:t xml:space="preserve"> v hlavních principech inspirován</w:t>
      </w:r>
      <w:r w:rsidRPr="00B925B8">
        <w:rPr>
          <w:rFonts w:eastAsia="MS Mincho"/>
          <w:lang w:eastAsia="ja-JP"/>
        </w:rPr>
        <w:t xml:space="preserve"> Doporučením Evropské komise o konzistentních povinnostech nediskriminace a metodikách výpočtu nákladů s cílem podpořit hospodářskou soutěž a zlepšit podmínky pro investice do širokopásmového připojení ze dne 11. září 2013 (2013/466/EU).</w:t>
      </w:r>
    </w:p>
    <w:p w14:paraId="1C329CE6" w14:textId="77777777" w:rsidR="00AA2082" w:rsidRPr="00BC2B37" w:rsidRDefault="00AA2082" w:rsidP="00F67923">
      <w:pPr>
        <w:pStyle w:val="Vvojcen-zkladntext"/>
        <w:rPr>
          <w:rFonts w:eastAsia="MS Mincho"/>
          <w:lang w:eastAsia="ja-JP"/>
        </w:rPr>
      </w:pPr>
      <w:r w:rsidRPr="00BC2B37">
        <w:rPr>
          <w:rFonts w:eastAsia="MS Mincho"/>
          <w:lang w:eastAsia="ja-JP"/>
        </w:rPr>
        <w:t>Kalkulační vzorec pro výpočet měsíční ceny pronájmu fyzické infrastruktury v obecném tvaru zahrnuje tyto položky:</w:t>
      </w:r>
    </w:p>
    <w:p w14:paraId="62E803A4" w14:textId="460051A4" w:rsidR="00AA2082" w:rsidRPr="00BC2B37" w:rsidRDefault="00AA2082" w:rsidP="003A4CE0">
      <w:pPr>
        <w:overflowPunct/>
        <w:autoSpaceDE/>
        <w:autoSpaceDN/>
        <w:adjustRightInd/>
        <w:spacing w:after="120"/>
        <w:jc w:val="center"/>
        <w:textAlignment w:val="auto"/>
        <w:rPr>
          <w:rFonts w:ascii="Cambria" w:hAnsi="Cambria" w:cs="Arial"/>
          <w:b/>
          <w:color w:val="000000" w:themeColor="text1"/>
          <w:sz w:val="28"/>
          <w:szCs w:val="28"/>
        </w:rPr>
      </w:pPr>
      <w:r w:rsidRPr="00BC2B37">
        <w:rPr>
          <w:rFonts w:ascii="Cambria" w:hAnsi="Cambria" w:cs="Arial"/>
          <w:b/>
          <w:noProof/>
          <w:color w:val="000000" w:themeColor="text1"/>
          <w:sz w:val="28"/>
          <w:szCs w:val="28"/>
        </w:rPr>
        <mc:AlternateContent>
          <mc:Choice Requires="wps">
            <w:drawing>
              <wp:anchor distT="0" distB="0" distL="114300" distR="114300" simplePos="0" relativeHeight="251659264" behindDoc="0" locked="0" layoutInCell="1" allowOverlap="1" wp14:anchorId="7F822C9A" wp14:editId="11FE636D">
                <wp:simplePos x="0" y="0"/>
                <wp:positionH relativeFrom="column">
                  <wp:posOffset>52705</wp:posOffset>
                </wp:positionH>
                <wp:positionV relativeFrom="paragraph">
                  <wp:posOffset>243840</wp:posOffset>
                </wp:positionV>
                <wp:extent cx="5600700" cy="0"/>
                <wp:effectExtent l="0" t="0" r="19050" b="19050"/>
                <wp:wrapNone/>
                <wp:docPr id="4" name="Přímá spojnice 4"/>
                <wp:cNvGraphicFramePr/>
                <a:graphic xmlns:a="http://schemas.openxmlformats.org/drawingml/2006/main">
                  <a:graphicData uri="http://schemas.microsoft.com/office/word/2010/wordprocessingShape">
                    <wps:wsp>
                      <wps:cNvCnPr/>
                      <wps:spPr>
                        <a:xfrm flipV="1">
                          <a:off x="0" y="0"/>
                          <a:ext cx="56007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679EF" id="Přímá spojnic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19.2pt" to="445.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" strokecolor="black [3213]" strokeweight="2pt">
                <v:stroke joinstyle="miter"/>
              </v:line>
            </w:pict>
          </mc:Fallback>
        </mc:AlternateContent>
      </w:r>
      <w:r w:rsidR="000D1F89" w:rsidRPr="00BC2B37">
        <w:rPr>
          <w:rFonts w:ascii="Cambria" w:hAnsi="Cambria" w:cs="Arial"/>
          <w:b/>
          <w:color w:val="000000" w:themeColor="text1"/>
          <w:sz w:val="28"/>
          <w:szCs w:val="28"/>
        </w:rPr>
        <w:t xml:space="preserve">roční </w:t>
      </w:r>
      <w:r w:rsidRPr="00BC2B37">
        <w:rPr>
          <w:rFonts w:ascii="Cambria" w:hAnsi="Cambria" w:cs="Arial"/>
          <w:b/>
          <w:color w:val="000000" w:themeColor="text1"/>
          <w:sz w:val="28"/>
          <w:szCs w:val="28"/>
        </w:rPr>
        <w:t xml:space="preserve">odpisy + provozní náklady + billing + </w:t>
      </w:r>
      <w:r w:rsidR="004113F0">
        <w:rPr>
          <w:rFonts w:ascii="Cambria" w:hAnsi="Cambria" w:cs="Arial"/>
          <w:b/>
          <w:color w:val="000000" w:themeColor="text1"/>
          <w:sz w:val="28"/>
          <w:szCs w:val="28"/>
        </w:rPr>
        <w:t>péče o zákazníka</w:t>
      </w:r>
      <w:r w:rsidRPr="00BC2B37">
        <w:rPr>
          <w:rFonts w:ascii="Cambria" w:hAnsi="Cambria" w:cs="Arial"/>
          <w:b/>
          <w:color w:val="000000" w:themeColor="text1"/>
          <w:sz w:val="28"/>
          <w:szCs w:val="28"/>
        </w:rPr>
        <w:t xml:space="preserve"> + režie</w:t>
      </w:r>
    </w:p>
    <w:p w14:paraId="79E0A289" w14:textId="77777777" w:rsidR="00AA2082" w:rsidRPr="00C47F79" w:rsidRDefault="00AA2082" w:rsidP="003A4CE0">
      <w:pPr>
        <w:overflowPunct/>
        <w:autoSpaceDE/>
        <w:autoSpaceDN/>
        <w:adjustRightInd/>
        <w:spacing w:after="240"/>
        <w:jc w:val="center"/>
        <w:textAlignment w:val="auto"/>
        <w:rPr>
          <w:rFonts w:ascii="Cambria" w:hAnsi="Cambria" w:cs="Arial"/>
          <w:b/>
          <w:color w:val="000000" w:themeColor="text1"/>
          <w:sz w:val="28"/>
          <w:szCs w:val="28"/>
          <w:vertAlign w:val="superscript"/>
        </w:rPr>
      </w:pPr>
      <w:r w:rsidRPr="00C47F79">
        <w:rPr>
          <w:rFonts w:ascii="Cambria" w:hAnsi="Cambria" w:cs="Arial"/>
          <w:b/>
          <w:color w:val="000000" w:themeColor="text1"/>
          <w:sz w:val="28"/>
          <w:szCs w:val="28"/>
        </w:rPr>
        <w:t>12</w:t>
      </w:r>
    </w:p>
    <w:p w14:paraId="5646CBEE" w14:textId="46B2A5CA" w:rsidR="003A4CE0" w:rsidRPr="00C47F79" w:rsidRDefault="003A4CE0" w:rsidP="00F67923">
      <w:pPr>
        <w:pStyle w:val="Vvojcen-nadpis2"/>
        <w:rPr>
          <w:rFonts w:eastAsia="MS Mincho"/>
          <w:lang w:eastAsia="ja-JP"/>
        </w:rPr>
      </w:pPr>
      <w:bookmarkStart w:id="16" w:name="_Toc484008746"/>
      <w:bookmarkStart w:id="17" w:name="_Toc484009738"/>
      <w:bookmarkStart w:id="18" w:name="_Toc484009795"/>
      <w:bookmarkStart w:id="19" w:name="_Toc484009852"/>
      <w:bookmarkStart w:id="20" w:name="_Toc484009930"/>
      <w:bookmarkStart w:id="21" w:name="_Toc484010708"/>
      <w:bookmarkStart w:id="22" w:name="_Toc484079647"/>
      <w:bookmarkEnd w:id="16"/>
      <w:bookmarkEnd w:id="17"/>
      <w:bookmarkEnd w:id="18"/>
      <w:bookmarkEnd w:id="19"/>
      <w:bookmarkEnd w:id="20"/>
      <w:bookmarkEnd w:id="21"/>
      <w:r w:rsidRPr="00C47F79">
        <w:rPr>
          <w:rFonts w:eastAsia="MS Mincho"/>
          <w:lang w:eastAsia="ja-JP"/>
        </w:rPr>
        <w:t xml:space="preserve">Výpočet </w:t>
      </w:r>
      <w:r w:rsidR="00D0199C" w:rsidRPr="00C47F79">
        <w:rPr>
          <w:rFonts w:eastAsia="MS Mincho"/>
          <w:lang w:eastAsia="ja-JP"/>
        </w:rPr>
        <w:t xml:space="preserve">ročních </w:t>
      </w:r>
      <w:r w:rsidRPr="00C47F79">
        <w:rPr>
          <w:rFonts w:eastAsia="MS Mincho"/>
          <w:lang w:eastAsia="ja-JP"/>
        </w:rPr>
        <w:t>odpisů</w:t>
      </w:r>
      <w:bookmarkEnd w:id="22"/>
    </w:p>
    <w:p w14:paraId="1B590923" w14:textId="1DB8B4CF" w:rsidR="00EE1E45" w:rsidRDefault="00A425F1" w:rsidP="00F67923">
      <w:pPr>
        <w:pStyle w:val="Vvojcen-zkladntext"/>
      </w:pPr>
      <w:r w:rsidRPr="004B3FEF">
        <w:rPr>
          <w:rFonts w:eastAsia="MS Mincho" w:cs="Cambria"/>
          <w:lang w:eastAsia="ja-JP"/>
        </w:rPr>
        <w:t xml:space="preserve">ČTÚ </w:t>
      </w:r>
      <w:r w:rsidR="007D4EDE" w:rsidRPr="004B3FEF">
        <w:rPr>
          <w:rFonts w:eastAsia="MS Mincho" w:cs="Cambria"/>
          <w:lang w:eastAsia="ja-JP"/>
        </w:rPr>
        <w:t xml:space="preserve">pro </w:t>
      </w:r>
      <w:r w:rsidR="003A4CE0" w:rsidRPr="004B3FEF">
        <w:rPr>
          <w:rFonts w:eastAsia="MS Mincho" w:cs="Cambria"/>
          <w:lang w:eastAsia="ja-JP"/>
        </w:rPr>
        <w:t>stanovení odpisů</w:t>
      </w:r>
      <w:r w:rsidR="007D4EDE" w:rsidRPr="004B3FEF">
        <w:rPr>
          <w:rFonts w:eastAsia="MS Mincho" w:cs="Cambria"/>
          <w:lang w:eastAsia="ja-JP"/>
        </w:rPr>
        <w:t xml:space="preserve"> na prvky fyzické infrastruktury </w:t>
      </w:r>
      <w:r w:rsidR="00DC42CE" w:rsidRPr="004B3FEF">
        <w:rPr>
          <w:rFonts w:eastAsia="MS Mincho" w:cs="Cambria"/>
          <w:lang w:eastAsia="ja-JP"/>
        </w:rPr>
        <w:t xml:space="preserve">přiměřeně </w:t>
      </w:r>
      <w:r w:rsidRPr="004B3FEF">
        <w:rPr>
          <w:rFonts w:eastAsia="MS Mincho" w:cs="Cambria"/>
          <w:lang w:eastAsia="ja-JP"/>
        </w:rPr>
        <w:t xml:space="preserve">použije </w:t>
      </w:r>
      <w:r w:rsidR="007D4EDE" w:rsidRPr="004B3FEF">
        <w:rPr>
          <w:rFonts w:eastAsia="MS Mincho" w:cs="Cambria"/>
          <w:lang w:eastAsia="ja-JP"/>
        </w:rPr>
        <w:t xml:space="preserve">metodiku </w:t>
      </w:r>
      <w:r w:rsidR="007D4EDE" w:rsidRPr="004B3FEF">
        <w:t>BU</w:t>
      </w:r>
      <w:r w:rsidR="000E260E" w:rsidRPr="005E6554">
        <w:t>-</w:t>
      </w:r>
      <w:r w:rsidR="007D4EDE" w:rsidRPr="005E6554">
        <w:t>LRIC (bottom-up long-run incremental costs), kter</w:t>
      </w:r>
      <w:r w:rsidR="00B43D6D" w:rsidRPr="005E6554">
        <w:t>ou konzistentně v regulační praxi využívá pro stanovení velkoobchodních cen přístupu na řadě velkoobchodních trhů</w:t>
      </w:r>
      <w:r w:rsidR="00B43D6D" w:rsidRPr="005E6554">
        <w:rPr>
          <w:rStyle w:val="Znakapoznpodarou"/>
        </w:rPr>
        <w:footnoteReference w:id="2"/>
      </w:r>
      <w:r w:rsidR="00B43D6D" w:rsidRPr="005E6554">
        <w:t xml:space="preserve"> a kter</w:t>
      </w:r>
      <w:r w:rsidR="00CE0C5E" w:rsidRPr="005E6554">
        <w:t>á</w:t>
      </w:r>
      <w:r w:rsidR="007D4EDE" w:rsidRPr="005E6554">
        <w:t xml:space="preserve"> </w:t>
      </w:r>
      <w:r w:rsidR="007D4EDE" w:rsidRPr="00F67923">
        <w:t>umožňuje návratnost efektivně vynaložených nákladů.</w:t>
      </w:r>
      <w:r w:rsidR="00B62EEC" w:rsidRPr="00F67923">
        <w:t xml:space="preserve"> Modelová kalkulace</w:t>
      </w:r>
      <w:r w:rsidRPr="00F67923">
        <w:rPr>
          <w:rFonts w:cs="Arial"/>
        </w:rPr>
        <w:t xml:space="preserve"> vychází z principů oceňování majetku na bázi současných cen včetně moderních ekvivalentů prvků sítí (</w:t>
      </w:r>
      <w:r w:rsidRPr="00F67923">
        <w:t>CCA</w:t>
      </w:r>
      <w:r w:rsidRPr="00F67923">
        <w:rPr>
          <w:rFonts w:cs="Arial"/>
        </w:rPr>
        <w:t>/MEA)</w:t>
      </w:r>
      <w:r w:rsidR="00DC42CE" w:rsidRPr="00F67923">
        <w:rPr>
          <w:rFonts w:cs="Arial"/>
        </w:rPr>
        <w:t>,</w:t>
      </w:r>
      <w:r w:rsidR="001E1B16" w:rsidRPr="00F67923">
        <w:rPr>
          <w:rFonts w:cs="Arial"/>
        </w:rPr>
        <w:t xml:space="preserve"> neboť aktuálně platné ceny poskytují potencionálnímu investorovi objekt</w:t>
      </w:r>
      <w:r w:rsidR="004113F0">
        <w:rPr>
          <w:rFonts w:cs="Arial"/>
        </w:rPr>
        <w:t>ivní obraz o výdajích, které by</w:t>
      </w:r>
      <w:r w:rsidR="001E1B16" w:rsidRPr="00F67923">
        <w:rPr>
          <w:rFonts w:cs="Arial"/>
        </w:rPr>
        <w:t xml:space="preserve"> jinak </w:t>
      </w:r>
      <w:r w:rsidR="004B3FEF" w:rsidRPr="004B3FEF">
        <w:t>musel</w:t>
      </w:r>
      <w:r w:rsidR="004B3FEF" w:rsidRPr="004B3FEF">
        <w:rPr>
          <w:rFonts w:cs="Arial"/>
        </w:rPr>
        <w:t xml:space="preserve"> sám </w:t>
      </w:r>
      <w:r w:rsidR="001E1B16" w:rsidRPr="00F67923">
        <w:rPr>
          <w:rFonts w:cs="Arial"/>
        </w:rPr>
        <w:t xml:space="preserve">vynaložit při pořizování dané kapacity. Z tohoto pohledu </w:t>
      </w:r>
      <w:r w:rsidR="004B3FEF" w:rsidRPr="004B3FEF">
        <w:rPr>
          <w:rFonts w:cs="Arial"/>
        </w:rPr>
        <w:t>je historické ocenění aktiv</w:t>
      </w:r>
      <w:r w:rsidR="001E1B16" w:rsidRPr="00F67923">
        <w:rPr>
          <w:rFonts w:cs="Arial"/>
        </w:rPr>
        <w:t xml:space="preserve"> </w:t>
      </w:r>
      <w:r w:rsidR="00CB3346" w:rsidRPr="00F67923">
        <w:rPr>
          <w:rFonts w:cs="Arial"/>
        </w:rPr>
        <w:t xml:space="preserve">méně </w:t>
      </w:r>
      <w:r w:rsidR="001E1B16" w:rsidRPr="00F67923">
        <w:rPr>
          <w:rFonts w:cs="Arial"/>
        </w:rPr>
        <w:t xml:space="preserve">objektivní a nevhodné vzhledem k tomu, že odráží nikoliv současné podmínky, kdy se investor rozhoduje, ale </w:t>
      </w:r>
      <w:r w:rsidR="00CE0C5E" w:rsidRPr="00F67923">
        <w:rPr>
          <w:rFonts w:cs="Arial"/>
        </w:rPr>
        <w:t>historické</w:t>
      </w:r>
      <w:r w:rsidR="001E1B16" w:rsidRPr="00F67923">
        <w:rPr>
          <w:rFonts w:cs="Arial"/>
        </w:rPr>
        <w:t xml:space="preserve">, které </w:t>
      </w:r>
      <w:r w:rsidR="00EE1E45" w:rsidRPr="00F67923">
        <w:rPr>
          <w:rFonts w:cs="Arial"/>
        </w:rPr>
        <w:t>nereflektují</w:t>
      </w:r>
      <w:r w:rsidR="00CE0C5E" w:rsidRPr="00F67923">
        <w:rPr>
          <w:rFonts w:cs="Arial"/>
        </w:rPr>
        <w:t xml:space="preserve"> současnou cenovou hladinu při budování či obnovování prvků fyzické infrastruktury</w:t>
      </w:r>
      <w:r w:rsidR="001E1B16" w:rsidRPr="00F67923">
        <w:rPr>
          <w:rFonts w:cs="Arial"/>
        </w:rPr>
        <w:t>.</w:t>
      </w:r>
      <w:r w:rsidR="009A0CEE" w:rsidRPr="00F67923">
        <w:rPr>
          <w:rFonts w:cs="Arial"/>
        </w:rPr>
        <w:t xml:space="preserve"> Tento </w:t>
      </w:r>
      <w:r w:rsidR="009A0CEE" w:rsidRPr="00F67923">
        <w:t xml:space="preserve">přístup založený na oceňování aktiv v současných cenách </w:t>
      </w:r>
      <w:r w:rsidR="002C4FF4" w:rsidRPr="00F67923">
        <w:t>poskytuje</w:t>
      </w:r>
      <w:r w:rsidR="009A0CEE" w:rsidRPr="00F67923">
        <w:t xml:space="preserve"> všem zainteresovaným subjektům jasné signály pro efektivní vstup na trh.</w:t>
      </w:r>
      <w:r w:rsidR="00145402" w:rsidRPr="00F67923">
        <w:t xml:space="preserve"> Mimoto je potřebné zdůraznit, že investování do sítí představuje kontinuální proces, kdy </w:t>
      </w:r>
      <w:r w:rsidR="00A73026" w:rsidRPr="00F67923">
        <w:t xml:space="preserve">vedle pořizování nových prvků dochází i k tomu, že </w:t>
      </w:r>
      <w:r w:rsidR="00145402" w:rsidRPr="00F67923">
        <w:t>již odepsané prvky se průběžně obnovují</w:t>
      </w:r>
      <w:r w:rsidR="00A73026" w:rsidRPr="00F67923">
        <w:t>, a to</w:t>
      </w:r>
      <w:r w:rsidR="00145402" w:rsidRPr="00F67923">
        <w:t xml:space="preserve"> </w:t>
      </w:r>
      <w:r w:rsidR="00A73026" w:rsidRPr="00F67923">
        <w:t>za současných technologických a</w:t>
      </w:r>
      <w:r w:rsidR="004B3FEF">
        <w:t> </w:t>
      </w:r>
      <w:r w:rsidR="00A73026" w:rsidRPr="00F67923">
        <w:t>cenových podmínek.</w:t>
      </w:r>
    </w:p>
    <w:p w14:paraId="42F1E95A" w14:textId="53617286" w:rsidR="005E6554" w:rsidRPr="004B3FEF" w:rsidRDefault="005E6554" w:rsidP="00F67923">
      <w:pPr>
        <w:pStyle w:val="Vvojcen-zkladntext"/>
      </w:pPr>
      <w:r>
        <w:t>Ocenění aktiv historickými cenami by rovněž potenciálně mohlo vést k velkým rozdílům ve velkoobchodních měsíčních cenách přístupu, a to i v rámci relativně malých oblastí (na úrovni obce), v závislosti na stáří lokálně dostupné fyzické infrastruktury. To by při nabídce služeb na maloobchodním trhu mohlo dostat do konkurenční nevýhody operátory s vlastní, relativně novou sítí, kteří by soutěžili s levnějšími nabídkami operátorů využívajících regulovaného přístupu k místně dostupné, relativně starší (a tedy levnější), fyzické infrastruktuře. Historické ocenění aktiv by tak mohlo zmařit návratnost vynaložených investic do již vybudovaných sítí elektronických komunikací a potažmo i redukovat zdroje na investice nové.</w:t>
      </w:r>
    </w:p>
    <w:p w14:paraId="26775AFA" w14:textId="061516FD" w:rsidR="00D80027" w:rsidRDefault="00AF418F" w:rsidP="00F67923">
      <w:pPr>
        <w:pStyle w:val="Vvojcen-zkladntext"/>
        <w:rPr>
          <w:rFonts w:ascii="EUAlbertina" w:eastAsiaTheme="minorHAnsi" w:hAnsi="EUAlbertina" w:cs="EUAlbertina"/>
          <w:color w:val="000000"/>
          <w:lang w:eastAsia="en-US"/>
        </w:rPr>
      </w:pPr>
      <w:r w:rsidRPr="005E6554">
        <w:t xml:space="preserve">Cenová </w:t>
      </w:r>
      <w:r w:rsidRPr="004B3FEF">
        <w:t>k</w:t>
      </w:r>
      <w:r w:rsidR="00A425F1" w:rsidRPr="004B3FEF">
        <w:t xml:space="preserve">alkulace bude provedena vlastníkem infrastruktury </w:t>
      </w:r>
      <w:r w:rsidR="00304DD6" w:rsidRPr="005E6554">
        <w:t>v souladu se zásadou</w:t>
      </w:r>
      <w:r w:rsidR="00A425F1" w:rsidRPr="005E6554">
        <w:t xml:space="preserve"> nákladové orientace, může zahrnovat </w:t>
      </w:r>
      <w:r w:rsidR="00304DD6" w:rsidRPr="005E6554">
        <w:t>pouze</w:t>
      </w:r>
      <w:r w:rsidR="00A425F1" w:rsidRPr="005E6554">
        <w:t xml:space="preserve"> efektivně a účelně vynaložené náklady</w:t>
      </w:r>
      <w:r w:rsidR="003A4CE0" w:rsidRPr="005E6554">
        <w:t xml:space="preserve"> na pořízení aktiva včetně</w:t>
      </w:r>
      <w:r w:rsidR="00A425F1" w:rsidRPr="005E6554">
        <w:t xml:space="preserve"> přiměřen</w:t>
      </w:r>
      <w:r w:rsidR="003A4CE0" w:rsidRPr="005E6554">
        <w:t>ého</w:t>
      </w:r>
      <w:r w:rsidR="00A425F1" w:rsidRPr="005E6554">
        <w:t xml:space="preserve"> zisk</w:t>
      </w:r>
      <w:r w:rsidR="003A4CE0" w:rsidRPr="005E6554">
        <w:t>u</w:t>
      </w:r>
      <w:r w:rsidR="00A425F1" w:rsidRPr="005E6554">
        <w:t xml:space="preserve">. </w:t>
      </w:r>
      <w:r w:rsidR="0008790C" w:rsidRPr="00F67923">
        <w:rPr>
          <w:rFonts w:eastAsiaTheme="minorHAnsi"/>
          <w:color w:val="000000"/>
          <w:lang w:eastAsia="en-US"/>
        </w:rPr>
        <w:t>Velikost přiměřeného zisku je obsažena v</w:t>
      </w:r>
      <w:r w:rsidR="00143D26" w:rsidRPr="00F67923">
        <w:rPr>
          <w:rFonts w:eastAsiaTheme="minorHAnsi"/>
          <w:color w:val="000000"/>
          <w:lang w:eastAsia="en-US"/>
        </w:rPr>
        <w:t> návratnosti vloženého kapitálu WACC</w:t>
      </w:r>
      <w:r w:rsidR="0033215C">
        <w:rPr>
          <w:rFonts w:eastAsiaTheme="minorHAnsi"/>
          <w:color w:val="000000"/>
          <w:lang w:eastAsia="en-US"/>
        </w:rPr>
        <w:t xml:space="preserve"> pro sektor elektronických komunikací</w:t>
      </w:r>
      <w:r w:rsidR="00143D26" w:rsidRPr="00F67923">
        <w:rPr>
          <w:rFonts w:eastAsiaTheme="minorHAnsi"/>
          <w:color w:val="000000"/>
          <w:lang w:eastAsia="en-US"/>
        </w:rPr>
        <w:t xml:space="preserve">, který v sobě integruje jak náklady financování externího dluhu, tak i </w:t>
      </w:r>
      <w:r w:rsidR="00143D26" w:rsidRPr="00F67923">
        <w:rPr>
          <w:rFonts w:ascii="EUAlbertina" w:eastAsiaTheme="minorHAnsi" w:hAnsi="EUAlbertina" w:cs="EUAlbertina"/>
          <w:color w:val="000000"/>
          <w:lang w:eastAsia="en-US"/>
        </w:rPr>
        <w:t xml:space="preserve">nezbytnou </w:t>
      </w:r>
      <w:r w:rsidR="00143D26" w:rsidRPr="00F67923">
        <w:rPr>
          <w:rFonts w:eastAsiaTheme="minorHAnsi"/>
          <w:color w:val="000000"/>
          <w:lang w:eastAsia="en-US"/>
        </w:rPr>
        <w:t xml:space="preserve">tvorbu zisku </w:t>
      </w:r>
      <w:r w:rsidR="004D0ECD" w:rsidRPr="00F67923">
        <w:rPr>
          <w:rFonts w:ascii="EUAlbertina" w:eastAsiaTheme="minorHAnsi" w:hAnsi="EUAlbertina" w:cs="EUAlbertina"/>
          <w:color w:val="000000"/>
          <w:lang w:eastAsia="en-US"/>
        </w:rPr>
        <w:t xml:space="preserve">určenou </w:t>
      </w:r>
      <w:r w:rsidR="00143D26" w:rsidRPr="00F67923">
        <w:rPr>
          <w:rFonts w:eastAsiaTheme="minorHAnsi"/>
          <w:color w:val="000000"/>
          <w:lang w:eastAsia="en-US"/>
        </w:rPr>
        <w:t xml:space="preserve">pro zhodnocení vlastní </w:t>
      </w:r>
      <w:r w:rsidR="004D0ECD" w:rsidRPr="00F67923">
        <w:rPr>
          <w:rFonts w:ascii="EUAlbertina" w:eastAsiaTheme="minorHAnsi" w:hAnsi="EUAlbertina" w:cs="EUAlbertina"/>
          <w:color w:val="000000"/>
          <w:lang w:eastAsia="en-US"/>
        </w:rPr>
        <w:t xml:space="preserve">vložené </w:t>
      </w:r>
      <w:r w:rsidR="00143D26" w:rsidRPr="00F67923">
        <w:rPr>
          <w:rFonts w:eastAsiaTheme="minorHAnsi"/>
          <w:color w:val="000000"/>
          <w:lang w:eastAsia="en-US"/>
        </w:rPr>
        <w:t xml:space="preserve">investice. </w:t>
      </w:r>
      <w:r w:rsidR="0033215C" w:rsidRPr="005F6644">
        <w:rPr>
          <w:rFonts w:eastAsiaTheme="minorHAnsi"/>
          <w:color w:val="000000"/>
          <w:lang w:eastAsia="en-US"/>
        </w:rPr>
        <w:t xml:space="preserve">Výše WACC v dalších infrastrukturních odvětvích se bude pravděpodobně částečně lišit, i když ne ve velkém rozsahu, neboť systémové předpoklady financování jsou </w:t>
      </w:r>
      <w:r w:rsidR="0033215C" w:rsidRPr="005F6644">
        <w:rPr>
          <w:rFonts w:ascii="EUAlbertina" w:eastAsiaTheme="minorHAnsi" w:hAnsi="EUAlbertina" w:cs="EUAlbertina"/>
          <w:color w:val="000000"/>
          <w:lang w:eastAsia="en-US"/>
        </w:rPr>
        <w:t>ve všech infrastrukturních odvětvích podobné.</w:t>
      </w:r>
      <w:r w:rsidR="0033215C">
        <w:rPr>
          <w:rFonts w:ascii="EUAlbertina" w:eastAsiaTheme="minorHAnsi" w:hAnsi="EUAlbertina" w:cs="EUAlbertina"/>
          <w:color w:val="000000"/>
          <w:lang w:eastAsia="en-US"/>
        </w:rPr>
        <w:t xml:space="preserve"> ČTÚ nicméně považuje za žádoucí p</w:t>
      </w:r>
      <w:r w:rsidR="00586C92">
        <w:rPr>
          <w:rFonts w:ascii="EUAlbertina" w:eastAsiaTheme="minorHAnsi" w:hAnsi="EUAlbertina" w:cs="EUAlbertina"/>
          <w:color w:val="000000"/>
          <w:lang w:eastAsia="en-US"/>
        </w:rPr>
        <w:t xml:space="preserve">oužít WACC pro sektor elektronických komunikací i pro stanovení cen přístupu k fyzické infrastruktuře vybudované povinnými osobami za účelem podnikání v jiných sektorech (plynárenství, energetika…) s ohledem na snahu neupřednostňovat využívání fyzické infrastruktury jen z určitých sektorů s nižší </w:t>
      </w:r>
      <w:r w:rsidR="004113F0">
        <w:rPr>
          <w:rFonts w:ascii="EUAlbertina" w:eastAsiaTheme="minorHAnsi" w:hAnsi="EUAlbertina" w:cs="EUAlbertina"/>
          <w:color w:val="000000"/>
          <w:lang w:eastAsia="en-US"/>
        </w:rPr>
        <w:t>výší</w:t>
      </w:r>
      <w:r w:rsidR="00586C92">
        <w:rPr>
          <w:rFonts w:ascii="EUAlbertina" w:eastAsiaTheme="minorHAnsi" w:hAnsi="EUAlbertina" w:cs="EUAlbertina"/>
          <w:color w:val="000000"/>
          <w:lang w:eastAsia="en-US"/>
        </w:rPr>
        <w:t xml:space="preserve"> WACC a zároveň s ohledem na snahu zachovat v celém nákladovém řetězci služby elektronických komunikací stejnou míru WACC </w:t>
      </w:r>
      <w:r w:rsidR="00586C92">
        <w:rPr>
          <w:rFonts w:ascii="EUAlbertina" w:eastAsiaTheme="minorHAnsi" w:hAnsi="EUAlbertina" w:cs="EUAlbertina"/>
          <w:color w:val="000000"/>
          <w:lang w:eastAsia="en-US"/>
        </w:rPr>
        <w:lastRenderedPageBreak/>
        <w:t>bez ohledu na sektor, z nějž se fyzická infrastruktura pro poskytnutí služby elektronických komunikací využila</w:t>
      </w:r>
      <w:r w:rsidR="00145402" w:rsidRPr="00F67923">
        <w:rPr>
          <w:rFonts w:ascii="EUAlbertina" w:eastAsiaTheme="minorHAnsi" w:hAnsi="EUAlbertina" w:cs="EUAlbertina"/>
          <w:color w:val="000000"/>
          <w:lang w:eastAsia="en-US"/>
        </w:rPr>
        <w:t>.</w:t>
      </w:r>
      <w:r w:rsidR="0033215C">
        <w:rPr>
          <w:rFonts w:ascii="EUAlbertina" w:eastAsiaTheme="minorHAnsi" w:hAnsi="EUAlbertina" w:cs="EUAlbertina"/>
          <w:color w:val="000000"/>
          <w:lang w:eastAsia="en-US"/>
        </w:rPr>
        <w:t xml:space="preserve"> Cílem tohoto přístupu je tedy zachovat stejnou využitelnost</w:t>
      </w:r>
      <w:r w:rsidR="00586C92">
        <w:rPr>
          <w:rFonts w:ascii="EUAlbertina" w:eastAsiaTheme="minorHAnsi" w:hAnsi="EUAlbertina" w:cs="EUAlbertina"/>
          <w:color w:val="000000"/>
          <w:lang w:eastAsia="en-US"/>
        </w:rPr>
        <w:t xml:space="preserve"> </w:t>
      </w:r>
      <w:r w:rsidR="0033215C">
        <w:rPr>
          <w:rFonts w:ascii="EUAlbertina" w:eastAsiaTheme="minorHAnsi" w:hAnsi="EUAlbertina" w:cs="EUAlbertina"/>
          <w:color w:val="000000"/>
          <w:lang w:eastAsia="en-US"/>
        </w:rPr>
        <w:t>pro fyzickou infrastrukturu ze všech sektorů, bez ohledu na konkrétní výši ziskovosti (WACC) v daném sektoru.</w:t>
      </w:r>
    </w:p>
    <w:p w14:paraId="548684A8" w14:textId="41AFB870" w:rsidR="00304DD6" w:rsidRPr="004B3FEF" w:rsidRDefault="00A425F1" w:rsidP="00F67923">
      <w:pPr>
        <w:pStyle w:val="Vvojcen-zkladntext"/>
      </w:pPr>
      <w:r w:rsidRPr="00F67923">
        <w:rPr>
          <w:rFonts w:eastAsiaTheme="minorHAnsi"/>
          <w:color w:val="000000"/>
          <w:lang w:eastAsia="en-US"/>
        </w:rPr>
        <w:t>P</w:t>
      </w:r>
      <w:r w:rsidRPr="00F67923">
        <w:rPr>
          <w:rFonts w:eastAsiaTheme="minorHAnsi" w:cs="EUAlbertina"/>
          <w:color w:val="000000"/>
          <w:lang w:eastAsia="en-US"/>
        </w:rPr>
        <w:t xml:space="preserve">řiměřená návratnost vloženého kapitálu </w:t>
      </w:r>
      <w:r w:rsidR="003A4CE0" w:rsidRPr="00F67923">
        <w:rPr>
          <w:rFonts w:eastAsiaTheme="minorHAnsi" w:cs="EUAlbertina"/>
          <w:color w:val="000000"/>
          <w:lang w:eastAsia="en-US"/>
        </w:rPr>
        <w:t>se stanovuje</w:t>
      </w:r>
      <w:r w:rsidRPr="00F67923">
        <w:rPr>
          <w:rFonts w:eastAsiaTheme="minorHAnsi" w:cs="EUAlbertina"/>
          <w:color w:val="000000"/>
          <w:lang w:eastAsia="en-US"/>
        </w:rPr>
        <w:t xml:space="preserve"> p</w:t>
      </w:r>
      <w:r w:rsidRPr="00F67923">
        <w:rPr>
          <w:rFonts w:eastAsiaTheme="minorHAnsi"/>
          <w:color w:val="000000"/>
          <w:lang w:eastAsia="en-US"/>
        </w:rPr>
        <w:t>rocent</w:t>
      </w:r>
      <w:r w:rsidR="00304DD6" w:rsidRPr="00F67923">
        <w:rPr>
          <w:rFonts w:eastAsiaTheme="minorHAnsi"/>
          <w:color w:val="000000"/>
          <w:lang w:eastAsia="en-US"/>
        </w:rPr>
        <w:t>em</w:t>
      </w:r>
      <w:r w:rsidRPr="00F67923">
        <w:rPr>
          <w:rFonts w:eastAsiaTheme="minorHAnsi"/>
          <w:color w:val="000000"/>
          <w:lang w:eastAsia="en-US"/>
        </w:rPr>
        <w:t xml:space="preserve"> návratnosti </w:t>
      </w:r>
      <w:r w:rsidR="003A4CE0" w:rsidRPr="00F67923">
        <w:rPr>
          <w:rFonts w:eastAsiaTheme="minorHAnsi"/>
          <w:color w:val="000000"/>
          <w:lang w:eastAsia="en-US"/>
        </w:rPr>
        <w:t>z</w:t>
      </w:r>
      <w:r w:rsidR="0033215C">
        <w:rPr>
          <w:rFonts w:eastAsiaTheme="minorHAnsi"/>
          <w:color w:val="000000"/>
          <w:lang w:eastAsia="en-US"/>
        </w:rPr>
        <w:t> </w:t>
      </w:r>
      <w:r w:rsidRPr="00F67923">
        <w:rPr>
          <w:rFonts w:eastAsiaTheme="minorHAnsi"/>
          <w:color w:val="000000"/>
          <w:lang w:eastAsia="en-US"/>
        </w:rPr>
        <w:t>vloženého kapitálu</w:t>
      </w:r>
      <w:r w:rsidR="00143D26" w:rsidRPr="00F67923">
        <w:rPr>
          <w:rFonts w:ascii="EUAlbertina" w:eastAsiaTheme="minorHAnsi" w:hAnsi="EUAlbertina" w:cs="EUAlbertina"/>
          <w:color w:val="000000"/>
          <w:lang w:eastAsia="en-US"/>
        </w:rPr>
        <w:t>, které</w:t>
      </w:r>
      <w:r w:rsidR="0019620D" w:rsidRPr="00F67923">
        <w:rPr>
          <w:rFonts w:eastAsiaTheme="minorHAnsi"/>
          <w:color w:val="000000"/>
          <w:lang w:eastAsia="en-US"/>
        </w:rPr>
        <w:t xml:space="preserve"> </w:t>
      </w:r>
      <w:r w:rsidR="0033215C">
        <w:rPr>
          <w:rFonts w:eastAsiaTheme="minorHAnsi"/>
          <w:color w:val="000000"/>
          <w:lang w:eastAsia="en-US"/>
        </w:rPr>
        <w:t>pro sektor elektronických komunikací aktuálně činí</w:t>
      </w:r>
      <w:r w:rsidR="003A4CE0" w:rsidRPr="00F67923">
        <w:rPr>
          <w:rFonts w:eastAsiaTheme="minorHAnsi"/>
          <w:color w:val="000000"/>
          <w:lang w:eastAsia="en-US"/>
        </w:rPr>
        <w:t xml:space="preserve"> 7,89 %</w:t>
      </w:r>
      <w:r w:rsidR="004113F0">
        <w:rPr>
          <w:rStyle w:val="Znakapoznpodarou"/>
          <w:rFonts w:eastAsiaTheme="minorHAnsi"/>
          <w:color w:val="000000"/>
          <w:lang w:eastAsia="en-US"/>
        </w:rPr>
        <w:footnoteReference w:id="3"/>
      </w:r>
      <w:r w:rsidR="00304DD6" w:rsidRPr="00F67923">
        <w:rPr>
          <w:rFonts w:eastAsiaTheme="minorHAnsi"/>
          <w:color w:val="000000"/>
          <w:lang w:eastAsia="en-US"/>
        </w:rPr>
        <w:t>.</w:t>
      </w:r>
    </w:p>
    <w:p w14:paraId="47587EA6" w14:textId="77777777" w:rsidR="00C10619" w:rsidRPr="00C47F79" w:rsidRDefault="00C10619" w:rsidP="00F67923">
      <w:pPr>
        <w:pStyle w:val="Vvojcen-zkladntext"/>
        <w:rPr>
          <w:rFonts w:eastAsiaTheme="minorHAnsi"/>
          <w:lang w:eastAsia="en-US"/>
        </w:rPr>
      </w:pPr>
      <w:r w:rsidRPr="004B3FEF">
        <w:rPr>
          <w:rFonts w:eastAsiaTheme="minorHAnsi"/>
          <w:lang w:eastAsia="en-US"/>
        </w:rPr>
        <w:t xml:space="preserve">Pro </w:t>
      </w:r>
      <w:r w:rsidR="003A4CE0" w:rsidRPr="004B3FEF">
        <w:rPr>
          <w:rFonts w:eastAsiaTheme="minorHAnsi"/>
          <w:lang w:eastAsia="en-US"/>
        </w:rPr>
        <w:t>zjištění</w:t>
      </w:r>
      <w:r w:rsidRPr="004B3FEF">
        <w:rPr>
          <w:rFonts w:eastAsiaTheme="minorHAnsi"/>
          <w:lang w:eastAsia="en-US"/>
        </w:rPr>
        <w:t xml:space="preserve"> ročních odpisů se použije </w:t>
      </w:r>
      <w:r w:rsidR="000D1F89" w:rsidRPr="004B3FEF">
        <w:t>standardní (jednoduchá) anuita</w:t>
      </w:r>
      <w:r w:rsidRPr="004B3FEF">
        <w:rPr>
          <w:rFonts w:eastAsiaTheme="minorHAnsi"/>
          <w:lang w:eastAsia="en-US"/>
        </w:rPr>
        <w:t xml:space="preserve"> podle vzorce:</w:t>
      </w:r>
    </w:p>
    <w:p w14:paraId="28FF7368" w14:textId="77777777" w:rsidR="00C10619" w:rsidRPr="00BC2B37" w:rsidRDefault="000D1F89" w:rsidP="000D1F89">
      <w:pPr>
        <w:overflowPunct/>
        <w:spacing w:before="120"/>
        <w:jc w:val="center"/>
        <w:textAlignment w:val="auto"/>
        <w:rPr>
          <w:rFonts w:ascii="Cambria" w:eastAsiaTheme="minorHAnsi" w:hAnsi="Cambria" w:cs="Arial"/>
          <w:bCs/>
          <w:color w:val="000000"/>
          <w:sz w:val="24"/>
          <w:szCs w:val="24"/>
          <w:lang w:eastAsia="en-US"/>
        </w:rPr>
      </w:pPr>
      <w:r w:rsidRPr="00846E94">
        <w:rPr>
          <w:rFonts w:ascii="Cambria" w:eastAsiaTheme="minorHAnsi" w:hAnsi="Cambria" w:cs="Arial"/>
          <w:bCs/>
          <w:noProof/>
          <w:color w:val="000000"/>
          <w:sz w:val="24"/>
          <w:szCs w:val="24"/>
        </w:rPr>
        <w:drawing>
          <wp:inline distT="0" distB="0" distL="0" distR="0" wp14:anchorId="3F3ACD17" wp14:editId="4DDAC62B">
            <wp:extent cx="2245765" cy="581025"/>
            <wp:effectExtent l="0" t="0" r="254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3984" cy="585739"/>
                    </a:xfrm>
                    <a:prstGeom prst="rect">
                      <a:avLst/>
                    </a:prstGeom>
                    <a:noFill/>
                    <a:ln>
                      <a:noFill/>
                    </a:ln>
                  </pic:spPr>
                </pic:pic>
              </a:graphicData>
            </a:graphic>
          </wp:inline>
        </w:drawing>
      </w:r>
    </w:p>
    <w:p w14:paraId="6AFB3319" w14:textId="77777777" w:rsidR="00C10619" w:rsidRPr="00846E94" w:rsidRDefault="00C10619" w:rsidP="00C10619">
      <w:pPr>
        <w:overflowPunct/>
        <w:spacing w:after="120"/>
        <w:textAlignment w:val="auto"/>
        <w:rPr>
          <w:rFonts w:ascii="Arial" w:eastAsiaTheme="minorHAnsi" w:hAnsi="Arial" w:cs="Arial"/>
          <w:bCs/>
          <w:color w:val="000000"/>
          <w:sz w:val="22"/>
          <w:szCs w:val="22"/>
          <w:lang w:eastAsia="en-US"/>
        </w:rPr>
      </w:pPr>
      <w:r w:rsidRPr="00846E94">
        <w:rPr>
          <w:rFonts w:ascii="Arial" w:eastAsiaTheme="minorHAnsi" w:hAnsi="Arial" w:cs="Arial"/>
          <w:bCs/>
          <w:color w:val="000000"/>
          <w:sz w:val="22"/>
          <w:szCs w:val="22"/>
          <w:lang w:eastAsia="en-US"/>
        </w:rPr>
        <w:t>kde</w:t>
      </w:r>
    </w:p>
    <w:p w14:paraId="41E42983" w14:textId="3E25E2F2" w:rsidR="00C10619" w:rsidRPr="00846E94" w:rsidRDefault="000D1F89" w:rsidP="00986BB8">
      <w:pPr>
        <w:tabs>
          <w:tab w:val="left" w:pos="993"/>
        </w:tabs>
        <w:overflowPunct/>
        <w:textAlignment w:val="auto"/>
        <w:rPr>
          <w:rFonts w:ascii="Arial" w:eastAsiaTheme="minorHAnsi" w:hAnsi="Arial" w:cs="Arial"/>
          <w:i/>
          <w:color w:val="000000"/>
          <w:sz w:val="22"/>
          <w:szCs w:val="22"/>
          <w:lang w:eastAsia="en-US"/>
        </w:rPr>
      </w:pPr>
      <w:r w:rsidRPr="00846E94">
        <w:rPr>
          <w:rFonts w:ascii="Arial" w:eastAsiaTheme="minorHAnsi" w:hAnsi="Arial" w:cs="Arial"/>
          <w:i/>
          <w:color w:val="000000"/>
          <w:sz w:val="22"/>
          <w:szCs w:val="22"/>
          <w:lang w:eastAsia="en-US"/>
        </w:rPr>
        <w:t xml:space="preserve">C </w:t>
      </w:r>
      <w:r w:rsidR="00986BB8" w:rsidRPr="00846E94">
        <w:rPr>
          <w:rFonts w:ascii="Arial" w:eastAsiaTheme="minorHAnsi" w:hAnsi="Arial" w:cs="Arial"/>
          <w:i/>
          <w:color w:val="000000"/>
          <w:sz w:val="22"/>
          <w:szCs w:val="22"/>
          <w:lang w:eastAsia="en-US"/>
        </w:rPr>
        <w:tab/>
      </w:r>
      <w:r w:rsidR="00C10619" w:rsidRPr="00846E94">
        <w:rPr>
          <w:rFonts w:ascii="Arial" w:eastAsiaTheme="minorHAnsi" w:hAnsi="Arial" w:cs="Arial"/>
          <w:i/>
          <w:color w:val="000000"/>
          <w:sz w:val="22"/>
          <w:szCs w:val="22"/>
          <w:lang w:eastAsia="en-US"/>
        </w:rPr>
        <w:t>roční kapitálov</w:t>
      </w:r>
      <w:r w:rsidRPr="00846E94">
        <w:rPr>
          <w:rFonts w:ascii="Arial" w:eastAsiaTheme="minorHAnsi" w:hAnsi="Arial" w:cs="Arial"/>
          <w:i/>
          <w:color w:val="000000"/>
          <w:sz w:val="22"/>
          <w:szCs w:val="22"/>
          <w:lang w:eastAsia="en-US"/>
        </w:rPr>
        <w:t>á platba</w:t>
      </w:r>
      <w:r w:rsidR="00C10619" w:rsidRPr="00846E94">
        <w:rPr>
          <w:rFonts w:ascii="Arial" w:eastAsiaTheme="minorHAnsi" w:hAnsi="Arial" w:cs="Arial"/>
          <w:i/>
          <w:color w:val="000000"/>
          <w:sz w:val="22"/>
          <w:szCs w:val="22"/>
          <w:lang w:eastAsia="en-US"/>
        </w:rPr>
        <w:t xml:space="preserve">, </w:t>
      </w:r>
    </w:p>
    <w:p w14:paraId="691961ED" w14:textId="4E8044F1" w:rsidR="00C10619" w:rsidRPr="00846E94" w:rsidRDefault="00C10619" w:rsidP="00986BB8">
      <w:pPr>
        <w:tabs>
          <w:tab w:val="left" w:pos="993"/>
        </w:tabs>
        <w:overflowPunct/>
        <w:textAlignment w:val="auto"/>
        <w:rPr>
          <w:rFonts w:ascii="Arial" w:eastAsiaTheme="minorHAnsi" w:hAnsi="Arial" w:cs="Arial"/>
          <w:i/>
          <w:color w:val="000000"/>
          <w:sz w:val="22"/>
          <w:szCs w:val="22"/>
          <w:lang w:eastAsia="en-US"/>
        </w:rPr>
      </w:pPr>
      <w:r w:rsidRPr="00846E94">
        <w:rPr>
          <w:rFonts w:ascii="Arial" w:eastAsiaTheme="minorHAnsi" w:hAnsi="Arial" w:cs="Arial"/>
          <w:i/>
          <w:color w:val="000000"/>
          <w:sz w:val="22"/>
          <w:szCs w:val="22"/>
          <w:lang w:eastAsia="en-US"/>
        </w:rPr>
        <w:t xml:space="preserve">It=0 </w:t>
      </w:r>
      <w:r w:rsidR="00986BB8" w:rsidRPr="00846E94">
        <w:rPr>
          <w:rFonts w:ascii="Arial" w:eastAsiaTheme="minorHAnsi" w:hAnsi="Arial" w:cs="Arial"/>
          <w:i/>
          <w:color w:val="000000"/>
          <w:sz w:val="22"/>
          <w:szCs w:val="22"/>
          <w:lang w:eastAsia="en-US"/>
        </w:rPr>
        <w:tab/>
      </w:r>
      <w:r w:rsidRPr="00846E94">
        <w:rPr>
          <w:rFonts w:ascii="Arial" w:eastAsiaTheme="minorHAnsi" w:hAnsi="Arial" w:cs="Arial"/>
          <w:i/>
          <w:color w:val="000000"/>
          <w:sz w:val="22"/>
          <w:szCs w:val="22"/>
          <w:lang w:eastAsia="en-US"/>
        </w:rPr>
        <w:t xml:space="preserve">hodnota aktiva na začátku období, </w:t>
      </w:r>
    </w:p>
    <w:p w14:paraId="0DCEAB0D" w14:textId="29E1A207" w:rsidR="00C10619" w:rsidRPr="00846E94" w:rsidRDefault="00C10619" w:rsidP="00986BB8">
      <w:pPr>
        <w:tabs>
          <w:tab w:val="left" w:pos="993"/>
        </w:tabs>
        <w:overflowPunct/>
        <w:textAlignment w:val="auto"/>
        <w:rPr>
          <w:rFonts w:ascii="Arial" w:eastAsiaTheme="minorHAnsi" w:hAnsi="Arial" w:cs="Arial"/>
          <w:i/>
          <w:color w:val="000000"/>
          <w:sz w:val="22"/>
          <w:szCs w:val="22"/>
          <w:lang w:eastAsia="en-US"/>
        </w:rPr>
      </w:pPr>
      <w:r w:rsidRPr="00846E94">
        <w:rPr>
          <w:rFonts w:ascii="Arial" w:eastAsiaTheme="minorHAnsi" w:hAnsi="Arial" w:cs="Arial"/>
          <w:i/>
          <w:color w:val="000000"/>
          <w:sz w:val="22"/>
          <w:szCs w:val="22"/>
          <w:lang w:eastAsia="en-US"/>
        </w:rPr>
        <w:t xml:space="preserve">r </w:t>
      </w:r>
      <w:r w:rsidR="00986BB8" w:rsidRPr="00846E94">
        <w:rPr>
          <w:rFonts w:ascii="Arial" w:eastAsiaTheme="minorHAnsi" w:hAnsi="Arial" w:cs="Arial"/>
          <w:i/>
          <w:color w:val="000000"/>
          <w:sz w:val="22"/>
          <w:szCs w:val="22"/>
          <w:lang w:eastAsia="en-US"/>
        </w:rPr>
        <w:tab/>
      </w:r>
      <w:r w:rsidRPr="00846E94">
        <w:rPr>
          <w:rFonts w:ascii="Arial" w:eastAsiaTheme="minorHAnsi" w:hAnsi="Arial" w:cs="Arial"/>
          <w:i/>
          <w:color w:val="000000"/>
          <w:sz w:val="22"/>
          <w:szCs w:val="22"/>
          <w:lang w:eastAsia="en-US"/>
        </w:rPr>
        <w:t xml:space="preserve">cena kapitálu, </w:t>
      </w:r>
    </w:p>
    <w:p w14:paraId="4C84BF0E" w14:textId="4EC73E0E" w:rsidR="00C10619" w:rsidRPr="00846E94" w:rsidRDefault="00C10619" w:rsidP="00986BB8">
      <w:pPr>
        <w:tabs>
          <w:tab w:val="left" w:pos="993"/>
        </w:tabs>
        <w:overflowPunct/>
        <w:textAlignment w:val="auto"/>
        <w:rPr>
          <w:rFonts w:ascii="Arial" w:eastAsiaTheme="minorHAnsi" w:hAnsi="Arial" w:cs="Arial"/>
          <w:i/>
          <w:color w:val="000000"/>
          <w:sz w:val="22"/>
          <w:szCs w:val="22"/>
          <w:lang w:eastAsia="en-US"/>
        </w:rPr>
      </w:pPr>
      <w:r w:rsidRPr="00846E94">
        <w:rPr>
          <w:rFonts w:ascii="Arial" w:eastAsiaTheme="minorHAnsi" w:hAnsi="Arial" w:cs="Arial"/>
          <w:i/>
          <w:color w:val="000000"/>
          <w:sz w:val="22"/>
          <w:szCs w:val="22"/>
          <w:lang w:eastAsia="en-US"/>
        </w:rPr>
        <w:t xml:space="preserve">n </w:t>
      </w:r>
      <w:r w:rsidR="00986BB8" w:rsidRPr="00846E94">
        <w:rPr>
          <w:rFonts w:ascii="Arial" w:eastAsiaTheme="minorHAnsi" w:hAnsi="Arial" w:cs="Arial"/>
          <w:i/>
          <w:color w:val="000000"/>
          <w:sz w:val="22"/>
          <w:szCs w:val="22"/>
          <w:lang w:eastAsia="en-US"/>
        </w:rPr>
        <w:tab/>
      </w:r>
      <w:r w:rsidR="000D1F89" w:rsidRPr="00846E94">
        <w:rPr>
          <w:rFonts w:ascii="Arial" w:eastAsiaTheme="minorHAnsi" w:hAnsi="Arial" w:cs="Arial"/>
          <w:i/>
          <w:color w:val="000000"/>
          <w:sz w:val="22"/>
          <w:szCs w:val="22"/>
          <w:lang w:eastAsia="en-US"/>
        </w:rPr>
        <w:t>životnost aktiva</w:t>
      </w:r>
      <w:r w:rsidRPr="00846E94">
        <w:rPr>
          <w:rFonts w:ascii="Arial" w:eastAsiaTheme="minorHAnsi" w:hAnsi="Arial" w:cs="Arial"/>
          <w:i/>
          <w:color w:val="000000"/>
          <w:sz w:val="22"/>
          <w:szCs w:val="22"/>
          <w:lang w:eastAsia="en-US"/>
        </w:rPr>
        <w:t>.</w:t>
      </w:r>
    </w:p>
    <w:p w14:paraId="3D291DE2" w14:textId="59E6FBC7" w:rsidR="00A73026" w:rsidRPr="00F67923" w:rsidRDefault="0033215C" w:rsidP="00F67923">
      <w:pPr>
        <w:pStyle w:val="Vvojcen-zkladntext"/>
        <w:rPr>
          <w:rFonts w:cs="Arial"/>
          <w:color w:val="000000" w:themeColor="text1"/>
        </w:rPr>
      </w:pPr>
      <w:r w:rsidRPr="00846E94">
        <w:rPr>
          <w:rFonts w:cs="Arial"/>
          <w:color w:val="000000" w:themeColor="text1"/>
        </w:rPr>
        <w:t>Živo</w:t>
      </w:r>
      <w:r w:rsidRPr="00846E94">
        <w:t>tnost jednotlivých prvků fyzické infrastruktury by měla vycházet ze skutečné doby jejich využívání, která se však může podle jednotlivých infrastrukturních odvětví částečně lišit v závislosti na různé intenzitě jejich využívání, podmínkách provozu</w:t>
      </w:r>
      <w:r w:rsidR="00846E94" w:rsidRPr="00846E94">
        <w:t xml:space="preserve"> a údržby, přírodních a </w:t>
      </w:r>
      <w:r w:rsidRPr="00846E94">
        <w:t>klimatických podmínek apod.</w:t>
      </w:r>
      <w:r w:rsidR="00846E94">
        <w:t xml:space="preserve"> Povinný subjekt tedy pro vyčíslení ceny využije skutečnou průměrnou životnost zpřístupňovaného typu infrastruktury.</w:t>
      </w:r>
    </w:p>
    <w:p w14:paraId="6C6BD613" w14:textId="546D1729" w:rsidR="00BC3F65" w:rsidRPr="00B43D6D" w:rsidRDefault="00097988" w:rsidP="00F67923">
      <w:pPr>
        <w:pStyle w:val="Vvojcen-zkladntext"/>
      </w:pPr>
      <w:r w:rsidRPr="00BC2B37">
        <w:t>Pro jednotliv</w:t>
      </w:r>
      <w:r w:rsidR="00AB1A34" w:rsidRPr="00BC2B37">
        <w:t>é</w:t>
      </w:r>
      <w:r w:rsidR="003A4CE0" w:rsidRPr="00BC2B37">
        <w:t xml:space="preserve"> </w:t>
      </w:r>
      <w:r w:rsidR="00DC42CE" w:rsidRPr="00BC2B37">
        <w:t xml:space="preserve">prvky z </w:t>
      </w:r>
      <w:r w:rsidR="003A4CE0" w:rsidRPr="00C47F79">
        <w:t>kategori</w:t>
      </w:r>
      <w:r w:rsidR="00AB1A34" w:rsidRPr="00C47F79">
        <w:t>e</w:t>
      </w:r>
      <w:r w:rsidRPr="00C47F79">
        <w:t xml:space="preserve"> fyzické infrastruktury se </w:t>
      </w:r>
      <w:r w:rsidR="00AA2082" w:rsidRPr="00C47F79">
        <w:t xml:space="preserve">dále </w:t>
      </w:r>
      <w:r w:rsidRPr="00C47F79">
        <w:t xml:space="preserve">stanoví tyto konkrétní </w:t>
      </w:r>
      <w:r w:rsidR="009406D8" w:rsidRPr="00C47F79">
        <w:t xml:space="preserve">specifické </w:t>
      </w:r>
      <w:r w:rsidR="003A4CE0" w:rsidRPr="00C47F79">
        <w:t>podmínky</w:t>
      </w:r>
      <w:r w:rsidRPr="00C47F79">
        <w:t>:</w:t>
      </w:r>
    </w:p>
    <w:p w14:paraId="00008AF8" w14:textId="77777777" w:rsidR="00097988" w:rsidRPr="00F5143B" w:rsidRDefault="00097988" w:rsidP="00F67923">
      <w:pPr>
        <w:pStyle w:val="Vvojcen-nadpis3"/>
      </w:pPr>
      <w:bookmarkStart w:id="23" w:name="_Toc484079648"/>
      <w:r w:rsidRPr="00F5143B">
        <w:t>Potrubí</w:t>
      </w:r>
      <w:bookmarkEnd w:id="23"/>
    </w:p>
    <w:p w14:paraId="2FE00D82" w14:textId="77777777" w:rsidR="00097988" w:rsidRPr="00BC2B37" w:rsidRDefault="00317C8A" w:rsidP="00F67923">
      <w:pPr>
        <w:pStyle w:val="Vvojcen-zkladntext"/>
      </w:pPr>
      <w:r w:rsidRPr="00F5143B">
        <w:t>T</w:t>
      </w:r>
      <w:r w:rsidR="00097988" w:rsidRPr="00F5143B">
        <w:t xml:space="preserve">ypicky </w:t>
      </w:r>
      <w:r w:rsidRPr="00F5143B">
        <w:t xml:space="preserve">se jedná </w:t>
      </w:r>
      <w:r w:rsidR="00097988" w:rsidRPr="00F5143B">
        <w:t>o HDPE ochranné</w:t>
      </w:r>
      <w:r w:rsidRPr="003311A5">
        <w:t xml:space="preserve"> trubky, nejčastěji o průměru 40</w:t>
      </w:r>
      <w:r w:rsidR="001809C5" w:rsidRPr="003311A5">
        <w:t>/33</w:t>
      </w:r>
      <w:r w:rsidRPr="003311A5">
        <w:t xml:space="preserve"> mm,</w:t>
      </w:r>
      <w:r w:rsidR="00097988" w:rsidRPr="003311A5">
        <w:t xml:space="preserve"> </w:t>
      </w:r>
      <w:r w:rsidRPr="003311A5">
        <w:t>pou</w:t>
      </w:r>
      <w:r w:rsidR="00097988" w:rsidRPr="003311A5">
        <w:t>žívané</w:t>
      </w:r>
      <w:r w:rsidRPr="003311A5">
        <w:t xml:space="preserve"> pro uložení kabelů s optickými vlákny, nicméně při použití jiného typu potrubí se způsob výpočtu aplikuje </w:t>
      </w:r>
      <w:r w:rsidR="00C10619" w:rsidRPr="00BC2B37">
        <w:t>stej</w:t>
      </w:r>
      <w:r w:rsidRPr="00BC2B37">
        <w:t xml:space="preserve">ným způsobem. </w:t>
      </w:r>
      <w:r w:rsidR="00AA2753" w:rsidRPr="00BC2B37">
        <w:t xml:space="preserve">Pronájem tohoto prvku fyzické infrastruktury může být realizován buď jako plný profil HDPE trubky nebo jako její dílčí kapacita ve formě vložené trubičky. V tomto případě se může jednat např. o trubičky o průměru 10/8 mm, které jsou zpravidla vloženy do ochranné trubky HDPE ve svazcích nejčastěji v počtu 5 kusů. </w:t>
      </w:r>
    </w:p>
    <w:p w14:paraId="4172FDA8" w14:textId="781E53A9" w:rsidR="00317C8A" w:rsidRPr="00BC2B37" w:rsidRDefault="00317C8A" w:rsidP="00F67923">
      <w:pPr>
        <w:pStyle w:val="Vvojcen-zkladntext"/>
        <w:rPr>
          <w:b/>
          <w:sz w:val="28"/>
          <w:szCs w:val="28"/>
          <w:vertAlign w:val="superscript"/>
        </w:rPr>
      </w:pPr>
      <w:r w:rsidRPr="00BC2B37">
        <w:t xml:space="preserve">Velkoobchodní cena </w:t>
      </w:r>
      <w:r w:rsidR="00A34FE9" w:rsidRPr="00BC2B37">
        <w:t xml:space="preserve">měsíčního pronájmu </w:t>
      </w:r>
      <w:r w:rsidRPr="00BC2B37">
        <w:t>tohoto prvku fyzické infrastruktury se skládá z </w:t>
      </w:r>
      <w:r w:rsidR="00CE4418" w:rsidRPr="00BC2B37">
        <w:t>nákladů</w:t>
      </w:r>
      <w:r w:rsidRPr="00BC2B37">
        <w:t xml:space="preserve"> </w:t>
      </w:r>
      <w:r w:rsidR="00AA2753" w:rsidRPr="00BC2B37">
        <w:t xml:space="preserve">na pořízení </w:t>
      </w:r>
      <w:r w:rsidRPr="00BC2B37">
        <w:t>vlastního potrubí</w:t>
      </w:r>
      <w:r w:rsidR="007821F7" w:rsidRPr="00BC2B37">
        <w:t xml:space="preserve"> (</w:t>
      </w:r>
      <w:r w:rsidR="00AA2753" w:rsidRPr="00BC2B37">
        <w:t>samostatn</w:t>
      </w:r>
      <w:r w:rsidR="007821F7" w:rsidRPr="00BC2B37">
        <w:t>ého</w:t>
      </w:r>
      <w:r w:rsidR="00AA2753" w:rsidRPr="00BC2B37">
        <w:t xml:space="preserve"> nebo </w:t>
      </w:r>
      <w:r w:rsidR="008E009A" w:rsidRPr="00BC2B37">
        <w:t>pouze</w:t>
      </w:r>
      <w:r w:rsidR="00AA2753" w:rsidRPr="00BC2B37">
        <w:t xml:space="preserve"> mikrot</w:t>
      </w:r>
      <w:r w:rsidR="007821F7" w:rsidRPr="00BC2B37">
        <w:t>r</w:t>
      </w:r>
      <w:r w:rsidR="00AA2753" w:rsidRPr="00BC2B37">
        <w:t>ubičky</w:t>
      </w:r>
      <w:r w:rsidR="00AF418F">
        <w:t xml:space="preserve"> s podílem nákladů na HDPE trubku</w:t>
      </w:r>
      <w:r w:rsidR="007821F7" w:rsidRPr="00BC2B37">
        <w:t>)</w:t>
      </w:r>
      <w:r w:rsidR="00AA2753" w:rsidRPr="00BC2B37">
        <w:t xml:space="preserve"> </w:t>
      </w:r>
      <w:r w:rsidRPr="00BC2B37">
        <w:t xml:space="preserve">a </w:t>
      </w:r>
      <w:r w:rsidR="00CE4418" w:rsidRPr="00BC2B37">
        <w:t>nákladů na</w:t>
      </w:r>
      <w:r w:rsidRPr="00BC2B37">
        <w:t xml:space="preserve"> </w:t>
      </w:r>
      <w:r w:rsidR="00931588" w:rsidRPr="00BC2B37">
        <w:t>montáž (spo</w:t>
      </w:r>
      <w:r w:rsidR="007821F7" w:rsidRPr="00BC2B37">
        <w:t>jkování, tlakové zkoušky apod.)</w:t>
      </w:r>
      <w:r w:rsidR="00C03F96" w:rsidRPr="00BC2B37">
        <w:t xml:space="preserve"> včetně uložení do výkopu</w:t>
      </w:r>
      <w:r w:rsidR="007821F7" w:rsidRPr="00BC2B37">
        <w:t>.</w:t>
      </w:r>
      <w:r w:rsidRPr="00BC2B37">
        <w:t xml:space="preserve"> </w:t>
      </w:r>
      <w:r w:rsidR="00C03F96" w:rsidRPr="00BC2B37">
        <w:t>V případě jiného způsobu uložení bude kalkulace modifikována.</w:t>
      </w:r>
    </w:p>
    <w:p w14:paraId="7379FDF4" w14:textId="77FE994D" w:rsidR="00A34FE9" w:rsidRDefault="009B7D22" w:rsidP="00F67923">
      <w:pPr>
        <w:pStyle w:val="Vvojcen-zkladntext"/>
      </w:pPr>
      <w:r w:rsidRPr="00495219">
        <w:t>Pořizovací n</w:t>
      </w:r>
      <w:r w:rsidR="00850A9E" w:rsidRPr="00495219">
        <w:t>áklady</w:t>
      </w:r>
      <w:r w:rsidR="0089047E" w:rsidRPr="00495219">
        <w:t xml:space="preserve"> </w:t>
      </w:r>
      <w:r w:rsidR="00850A9E" w:rsidRPr="00495219">
        <w:t>n</w:t>
      </w:r>
      <w:r w:rsidR="0089047E" w:rsidRPr="00495219">
        <w:t xml:space="preserve">a </w:t>
      </w:r>
      <w:r w:rsidRPr="00495219">
        <w:t>1 metr HDPE trubky</w:t>
      </w:r>
      <w:r w:rsidR="00DF4C17" w:rsidRPr="00495219">
        <w:t>:</w:t>
      </w:r>
    </w:p>
    <w:p w14:paraId="7D4C1D13" w14:textId="3694C1BA" w:rsidR="00170F51" w:rsidRPr="00BC2B37" w:rsidRDefault="00170F51" w:rsidP="00170F51">
      <w:pPr>
        <w:pStyle w:val="Vvojcen-zkladntext"/>
        <w:spacing w:after="0"/>
        <w:ind w:firstLine="0"/>
        <w:jc w:val="center"/>
      </w:pPr>
      <w:r w:rsidRPr="00170F51">
        <w:rPr>
          <w:noProof/>
        </w:rPr>
        <w:drawing>
          <wp:inline distT="0" distB="0" distL="0" distR="0" wp14:anchorId="15C52A28" wp14:editId="6AFF34E5">
            <wp:extent cx="5743575" cy="904875"/>
            <wp:effectExtent l="0" t="0" r="9525" b="9525"/>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904875"/>
                    </a:xfrm>
                    <a:prstGeom prst="rect">
                      <a:avLst/>
                    </a:prstGeom>
                    <a:noFill/>
                    <a:ln>
                      <a:noFill/>
                    </a:ln>
                  </pic:spPr>
                </pic:pic>
              </a:graphicData>
            </a:graphic>
          </wp:inline>
        </w:drawing>
      </w:r>
    </w:p>
    <w:p w14:paraId="419990E0" w14:textId="4A0C9127" w:rsidR="00170F51" w:rsidRPr="00BC2B37" w:rsidRDefault="00170F51" w:rsidP="00170F51">
      <w:pPr>
        <w:pStyle w:val="Vvojcen-poznmka"/>
      </w:pPr>
      <w:r>
        <w:t>Pozn.: Trvale využitelná kapacita v HDPE (v %) = Celková kapacita HDPE trubky – Trvale volná rezerva v HDPE pro servisní zásahy (v %)</w:t>
      </w:r>
    </w:p>
    <w:p w14:paraId="6FD2C8D0" w14:textId="77777777" w:rsidR="007821F7" w:rsidRPr="00C47F79" w:rsidRDefault="007821F7" w:rsidP="00F67923">
      <w:pPr>
        <w:pStyle w:val="Vvojcen-zkladntext"/>
      </w:pPr>
      <w:r w:rsidRPr="00C47F79">
        <w:t>Pořizovací náklady na 1 metr mikrotrubičky umístěné v HDPE:</w:t>
      </w:r>
    </w:p>
    <w:p w14:paraId="046ED9EA" w14:textId="48E54C6A" w:rsidR="007821F7" w:rsidRPr="00BC2B37" w:rsidRDefault="00AF418F" w:rsidP="00F67923">
      <w:pPr>
        <w:tabs>
          <w:tab w:val="left" w:pos="284"/>
        </w:tabs>
        <w:overflowPunct/>
        <w:autoSpaceDE/>
        <w:autoSpaceDN/>
        <w:adjustRightInd/>
        <w:spacing w:after="240"/>
        <w:jc w:val="both"/>
        <w:textAlignment w:val="auto"/>
        <w:rPr>
          <w:rFonts w:ascii="Cambria" w:hAnsi="Cambria" w:cs="Arial"/>
          <w:color w:val="000000" w:themeColor="text1"/>
          <w:sz w:val="24"/>
          <w:szCs w:val="24"/>
        </w:rPr>
      </w:pPr>
      <w:r w:rsidRPr="00AF418F">
        <w:rPr>
          <w:noProof/>
        </w:rPr>
        <w:lastRenderedPageBreak/>
        <w:drawing>
          <wp:inline distT="0" distB="0" distL="0" distR="0" wp14:anchorId="7BC73730" wp14:editId="6FEB4A0A">
            <wp:extent cx="5784850" cy="908050"/>
            <wp:effectExtent l="0" t="0" r="6350" b="635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9604" cy="908796"/>
                    </a:xfrm>
                    <a:prstGeom prst="rect">
                      <a:avLst/>
                    </a:prstGeom>
                    <a:noFill/>
                    <a:ln>
                      <a:noFill/>
                    </a:ln>
                  </pic:spPr>
                </pic:pic>
              </a:graphicData>
            </a:graphic>
          </wp:inline>
        </w:drawing>
      </w:r>
      <w:r w:rsidRPr="00AF418F" w:rsidDel="00AF418F">
        <w:t xml:space="preserve"> </w:t>
      </w:r>
    </w:p>
    <w:p w14:paraId="48FD50AB" w14:textId="77777777" w:rsidR="0089047E" w:rsidRPr="00C47F79" w:rsidRDefault="009B7D22" w:rsidP="00F67923">
      <w:pPr>
        <w:pStyle w:val="Vvojcen-zkladntext"/>
      </w:pPr>
      <w:r w:rsidRPr="00BC2B37">
        <w:t>Pořizovací náklady</w:t>
      </w:r>
      <w:r w:rsidR="0089047E" w:rsidRPr="00BC2B37">
        <w:t xml:space="preserve"> </w:t>
      </w:r>
      <w:r w:rsidR="00850A9E" w:rsidRPr="00C47F79">
        <w:t>n</w:t>
      </w:r>
      <w:r w:rsidR="0089047E" w:rsidRPr="00C47F79">
        <w:t>a 1 metr</w:t>
      </w:r>
      <w:r w:rsidRPr="00C47F79">
        <w:t xml:space="preserve"> výkopu pro uložení HDPE trubky</w:t>
      </w:r>
      <w:r w:rsidR="003031E0" w:rsidRPr="00C47F79">
        <w:t>:</w:t>
      </w:r>
    </w:p>
    <w:p w14:paraId="390C98F2" w14:textId="1FB15BB9" w:rsidR="00E910B1" w:rsidRPr="00BC2B37" w:rsidRDefault="00AF418F" w:rsidP="00F67923">
      <w:pPr>
        <w:overflowPunct/>
        <w:autoSpaceDE/>
        <w:autoSpaceDN/>
        <w:adjustRightInd/>
        <w:spacing w:after="240"/>
        <w:jc w:val="both"/>
        <w:textAlignment w:val="auto"/>
        <w:rPr>
          <w:rFonts w:ascii="Cambria" w:hAnsi="Cambria" w:cs="Arial"/>
          <w:color w:val="000000" w:themeColor="text1"/>
          <w:sz w:val="24"/>
          <w:szCs w:val="24"/>
        </w:rPr>
      </w:pPr>
      <w:r w:rsidRPr="00AF418F">
        <w:rPr>
          <w:noProof/>
        </w:rPr>
        <w:drawing>
          <wp:inline distT="0" distB="0" distL="0" distR="0" wp14:anchorId="395E3A34" wp14:editId="11B9E9E3">
            <wp:extent cx="5769610" cy="908050"/>
            <wp:effectExtent l="0" t="0" r="2540" b="635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2374" cy="908485"/>
                    </a:xfrm>
                    <a:prstGeom prst="rect">
                      <a:avLst/>
                    </a:prstGeom>
                    <a:noFill/>
                    <a:ln>
                      <a:noFill/>
                    </a:ln>
                  </pic:spPr>
                </pic:pic>
              </a:graphicData>
            </a:graphic>
          </wp:inline>
        </w:drawing>
      </w:r>
      <w:r w:rsidRPr="00AF418F" w:rsidDel="00AF418F">
        <w:t xml:space="preserve"> </w:t>
      </w:r>
    </w:p>
    <w:p w14:paraId="46143728" w14:textId="77777777" w:rsidR="00AB1A34" w:rsidRPr="00F5143B" w:rsidRDefault="00AB1A34" w:rsidP="00F67923">
      <w:pPr>
        <w:pStyle w:val="Vvojcen-zkladntext"/>
        <w:rPr>
          <w:rFonts w:cs="Arial"/>
          <w:color w:val="000000" w:themeColor="text1"/>
          <w:szCs w:val="24"/>
        </w:rPr>
      </w:pPr>
      <w:r w:rsidRPr="00C47F79">
        <w:t xml:space="preserve">Vzhledem k tomu, že cena výkopů se může lišit podle typu zástavby, je možné průměrnou cenu </w:t>
      </w:r>
      <w:r w:rsidRPr="00B43D6D">
        <w:t>výkopu modifikovat podle procenta zastoupení jednotlivých zón</w:t>
      </w:r>
      <w:r w:rsidR="00773DF5" w:rsidRPr="00B43D6D">
        <w:t xml:space="preserve">, případně při souběhu více typů zón je </w:t>
      </w:r>
      <w:r w:rsidR="009B7D22" w:rsidRPr="00F5143B">
        <w:t xml:space="preserve">možné stanovit cenu jako vážený </w:t>
      </w:r>
      <w:r w:rsidR="00773DF5" w:rsidRPr="00F5143B">
        <w:t>průměr</w:t>
      </w:r>
      <w:r w:rsidRPr="00F5143B">
        <w:t xml:space="preserve">. </w:t>
      </w:r>
    </w:p>
    <w:p w14:paraId="1094C5F6" w14:textId="77777777" w:rsidR="000E7AFE" w:rsidRPr="00BC2B37" w:rsidRDefault="00773DF5" w:rsidP="003031E0">
      <w:pPr>
        <w:overflowPunct/>
        <w:autoSpaceDE/>
        <w:autoSpaceDN/>
        <w:adjustRightInd/>
        <w:spacing w:before="120" w:after="120"/>
        <w:jc w:val="both"/>
        <w:textAlignment w:val="auto"/>
        <w:rPr>
          <w:rFonts w:ascii="Cambria" w:hAnsi="Cambria" w:cs="Arial"/>
          <w:color w:val="000000" w:themeColor="text1"/>
          <w:sz w:val="24"/>
          <w:szCs w:val="24"/>
        </w:rPr>
      </w:pPr>
      <w:r w:rsidRPr="00170F51">
        <w:rPr>
          <w:noProof/>
        </w:rPr>
        <w:drawing>
          <wp:inline distT="0" distB="0" distL="0" distR="0" wp14:anchorId="2A8B7062" wp14:editId="426319A2">
            <wp:extent cx="5762625" cy="1359535"/>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4206" cy="1359908"/>
                    </a:xfrm>
                    <a:prstGeom prst="rect">
                      <a:avLst/>
                    </a:prstGeom>
                    <a:noFill/>
                    <a:ln>
                      <a:noFill/>
                    </a:ln>
                  </pic:spPr>
                </pic:pic>
              </a:graphicData>
            </a:graphic>
          </wp:inline>
        </w:drawing>
      </w:r>
    </w:p>
    <w:p w14:paraId="4B288029" w14:textId="77777777" w:rsidR="00097988" w:rsidRPr="00C47F79" w:rsidRDefault="00097988" w:rsidP="00F67923">
      <w:pPr>
        <w:pStyle w:val="Vvojcen-nadpis3"/>
      </w:pPr>
      <w:bookmarkStart w:id="24" w:name="_Toc484008749"/>
      <w:bookmarkStart w:id="25" w:name="_Toc484009741"/>
      <w:bookmarkStart w:id="26" w:name="_Toc484009798"/>
      <w:bookmarkStart w:id="27" w:name="_Toc484009855"/>
      <w:bookmarkStart w:id="28" w:name="_Toc484009933"/>
      <w:bookmarkStart w:id="29" w:name="_Toc484010711"/>
      <w:bookmarkStart w:id="30" w:name="_Toc484008750"/>
      <w:bookmarkStart w:id="31" w:name="_Toc484009742"/>
      <w:bookmarkStart w:id="32" w:name="_Toc484009799"/>
      <w:bookmarkStart w:id="33" w:name="_Toc484009856"/>
      <w:bookmarkStart w:id="34" w:name="_Toc484009934"/>
      <w:bookmarkStart w:id="35" w:name="_Toc484010712"/>
      <w:bookmarkStart w:id="36" w:name="_Toc484079649"/>
      <w:bookmarkEnd w:id="24"/>
      <w:bookmarkEnd w:id="25"/>
      <w:bookmarkEnd w:id="26"/>
      <w:bookmarkEnd w:id="27"/>
      <w:bookmarkEnd w:id="28"/>
      <w:bookmarkEnd w:id="29"/>
      <w:bookmarkEnd w:id="30"/>
      <w:bookmarkEnd w:id="31"/>
      <w:bookmarkEnd w:id="32"/>
      <w:bookmarkEnd w:id="33"/>
      <w:bookmarkEnd w:id="34"/>
      <w:bookmarkEnd w:id="35"/>
      <w:r w:rsidRPr="00C47F79">
        <w:t>Stožáry</w:t>
      </w:r>
      <w:bookmarkEnd w:id="36"/>
    </w:p>
    <w:p w14:paraId="6BC98134" w14:textId="136E969E" w:rsidR="00E809DF" w:rsidRPr="00BC2B37" w:rsidRDefault="00490AE1" w:rsidP="00F67923">
      <w:pPr>
        <w:pStyle w:val="Vvojcen-zkladntext"/>
      </w:pPr>
      <w:r w:rsidRPr="00C47F79">
        <w:t>J</w:t>
      </w:r>
      <w:r w:rsidR="00E809DF" w:rsidRPr="00C47F79">
        <w:t>edná</w:t>
      </w:r>
      <w:r w:rsidRPr="00B43D6D">
        <w:t xml:space="preserve"> se</w:t>
      </w:r>
      <w:r w:rsidR="00E809DF" w:rsidRPr="00B43D6D">
        <w:t xml:space="preserve"> o sloupy, </w:t>
      </w:r>
      <w:r w:rsidR="00E809DF" w:rsidRPr="00BD3FA6">
        <w:t>zpravidla</w:t>
      </w:r>
      <w:r w:rsidR="00E809DF" w:rsidRPr="00B43D6D">
        <w:t xml:space="preserve"> z hloubkově impregnovaného dřeva ukotven</w:t>
      </w:r>
      <w:r w:rsidRPr="00B43D6D">
        <w:t>é</w:t>
      </w:r>
      <w:r w:rsidR="00E809DF" w:rsidRPr="00B43D6D">
        <w:t xml:space="preserve"> na betonových patkách, které sl</w:t>
      </w:r>
      <w:r w:rsidR="00E809DF" w:rsidRPr="00F5143B">
        <w:t xml:space="preserve">ouží k zavěšení kabelů nebo umístění rozvodných skříní, </w:t>
      </w:r>
      <w:r w:rsidR="00EF6A4B" w:rsidRPr="00F5143B">
        <w:t>případně o jin</w:t>
      </w:r>
      <w:r w:rsidRPr="00F5143B">
        <w:t>é</w:t>
      </w:r>
      <w:r w:rsidR="00EF6A4B" w:rsidRPr="00F5143B">
        <w:t xml:space="preserve"> typy sloupů </w:t>
      </w:r>
      <w:r w:rsidRPr="00F5143B">
        <w:t>neb</w:t>
      </w:r>
      <w:r w:rsidR="00E809DF" w:rsidRPr="00F5143B">
        <w:t>o stožár</w:t>
      </w:r>
      <w:r w:rsidRPr="003311A5">
        <w:t>ů</w:t>
      </w:r>
      <w:r w:rsidR="00E809DF" w:rsidRPr="003311A5">
        <w:t xml:space="preserve"> pro umístění</w:t>
      </w:r>
      <w:r w:rsidRPr="003311A5">
        <w:t xml:space="preserve"> různých vedení a</w:t>
      </w:r>
      <w:r w:rsidR="00E809DF" w:rsidRPr="003311A5">
        <w:t xml:space="preserve"> anténních systémů. </w:t>
      </w:r>
      <w:r w:rsidRPr="003311A5">
        <w:t>V</w:t>
      </w:r>
      <w:r w:rsidR="00741566" w:rsidRPr="003311A5">
        <w:t>ýpočet ceny</w:t>
      </w:r>
      <w:r w:rsidR="00AA6DCC" w:rsidRPr="003311A5">
        <w:t xml:space="preserve"> </w:t>
      </w:r>
      <w:r w:rsidR="00741566" w:rsidRPr="00BC2B37">
        <w:t xml:space="preserve">jednotlivých </w:t>
      </w:r>
      <w:r w:rsidR="00AA6DCC" w:rsidRPr="00BC2B37">
        <w:t xml:space="preserve">prvků této kategorie fyzické infrastruktury </w:t>
      </w:r>
      <w:r w:rsidRPr="00BC2B37">
        <w:t>bude proveden individuálně a</w:t>
      </w:r>
      <w:r w:rsidR="00741566" w:rsidRPr="00BC2B37">
        <w:t xml:space="preserve"> </w:t>
      </w:r>
      <w:r w:rsidR="00CB3346">
        <w:t xml:space="preserve">obecný postup je </w:t>
      </w:r>
      <w:r w:rsidR="00741566" w:rsidRPr="00BC2B37">
        <w:t>univerzáln</w:t>
      </w:r>
      <w:r w:rsidRPr="00BC2B37">
        <w:t xml:space="preserve">ě </w:t>
      </w:r>
      <w:r w:rsidR="00741566" w:rsidRPr="00BC2B37">
        <w:t>plat</w:t>
      </w:r>
      <w:r w:rsidRPr="00BC2B37">
        <w:t>ný</w:t>
      </w:r>
      <w:r w:rsidR="00741566" w:rsidRPr="00BC2B37">
        <w:t xml:space="preserve"> jak pro sloupy, tak i stožáry.</w:t>
      </w:r>
      <w:r w:rsidR="003825CE">
        <w:t xml:space="preserve"> </w:t>
      </w:r>
    </w:p>
    <w:p w14:paraId="2C6E9FB4" w14:textId="178AC1D7" w:rsidR="00E704C6" w:rsidRPr="00BC2B37" w:rsidRDefault="00AF418F" w:rsidP="00F67923">
      <w:pPr>
        <w:pStyle w:val="Vvojcen-zkladntext"/>
        <w:rPr>
          <w:b/>
          <w:sz w:val="28"/>
          <w:szCs w:val="28"/>
          <w:vertAlign w:val="superscript"/>
        </w:rPr>
      </w:pPr>
      <w:r>
        <w:t>C</w:t>
      </w:r>
      <w:r w:rsidR="00E809DF" w:rsidRPr="00BC2B37">
        <w:t xml:space="preserve">ena měsíčního pronájmu tohoto prvku fyzické infrastruktury se </w:t>
      </w:r>
      <w:r w:rsidR="00205F67">
        <w:t xml:space="preserve">bude </w:t>
      </w:r>
      <w:r w:rsidR="00E809DF" w:rsidRPr="00BC2B37">
        <w:t>sklád</w:t>
      </w:r>
      <w:r w:rsidR="00205F67">
        <w:t>at</w:t>
      </w:r>
      <w:r w:rsidR="00E809DF" w:rsidRPr="00BC2B37">
        <w:t xml:space="preserve"> z</w:t>
      </w:r>
      <w:r>
        <w:t xml:space="preserve"> pořizovacích </w:t>
      </w:r>
      <w:r w:rsidR="00CE4418" w:rsidRPr="00BC2B37">
        <w:t>náklad</w:t>
      </w:r>
      <w:r>
        <w:t xml:space="preserve">ů </w:t>
      </w:r>
      <w:r w:rsidR="009D1297" w:rsidRPr="00BC2B37">
        <w:t xml:space="preserve">daného prvku, </w:t>
      </w:r>
      <w:r w:rsidR="00CE4418" w:rsidRPr="00BC2B37">
        <w:t>zohledňující</w:t>
      </w:r>
      <w:r w:rsidR="009D1297" w:rsidRPr="00BC2B37">
        <w:t xml:space="preserve"> procent</w:t>
      </w:r>
      <w:r w:rsidR="00CE4418" w:rsidRPr="00BC2B37">
        <w:t xml:space="preserve">o sdílení </w:t>
      </w:r>
      <w:r>
        <w:t>stožáru</w:t>
      </w:r>
      <w:r w:rsidRPr="00BC2B37">
        <w:t xml:space="preserve"> </w:t>
      </w:r>
      <w:r w:rsidR="009D1297" w:rsidRPr="00BC2B37">
        <w:t xml:space="preserve">s různými dalšími sítěmi a </w:t>
      </w:r>
      <w:r w:rsidR="009D1297" w:rsidRPr="008C444C">
        <w:t xml:space="preserve">službami. Do </w:t>
      </w:r>
      <w:r w:rsidR="009F39DE" w:rsidRPr="008C444C">
        <w:t xml:space="preserve">kalkulace </w:t>
      </w:r>
      <w:r w:rsidR="009D1297" w:rsidRPr="008C444C">
        <w:t xml:space="preserve">ceny pronájmu mohou být započítány pouze náklady odpovídající </w:t>
      </w:r>
      <w:r w:rsidR="00670D06" w:rsidRPr="008C444C">
        <w:t xml:space="preserve">přírůstkovému </w:t>
      </w:r>
      <w:r w:rsidR="009D1297" w:rsidRPr="002C52CF">
        <w:t xml:space="preserve">využití </w:t>
      </w:r>
      <w:r w:rsidR="009F39DE" w:rsidRPr="002C52CF">
        <w:t xml:space="preserve">daného </w:t>
      </w:r>
      <w:r w:rsidR="009D1297" w:rsidRPr="002C52CF">
        <w:t xml:space="preserve">prvku s ohledem na skutečnost, že </w:t>
      </w:r>
      <w:r w:rsidR="009F39DE" w:rsidRPr="002C52CF">
        <w:t>důvod</w:t>
      </w:r>
      <w:r w:rsidR="00951ECC" w:rsidRPr="002C52CF">
        <w:t>y</w:t>
      </w:r>
      <w:r w:rsidR="009F39DE" w:rsidRPr="002C52CF">
        <w:t xml:space="preserve"> původního rozhodnutí </w:t>
      </w:r>
      <w:r w:rsidR="00490AE1" w:rsidRPr="002C52CF">
        <w:t>k</w:t>
      </w:r>
      <w:r w:rsidR="009F39DE" w:rsidRPr="002C52CF">
        <w:t xml:space="preserve"> pořízení </w:t>
      </w:r>
      <w:r w:rsidR="00951ECC" w:rsidRPr="00256736">
        <w:t xml:space="preserve">daného aktiva </w:t>
      </w:r>
      <w:r w:rsidR="00CE4418" w:rsidRPr="00256736">
        <w:t>byly</w:t>
      </w:r>
      <w:r w:rsidR="00951ECC" w:rsidRPr="00BC2B37">
        <w:t xml:space="preserve"> </w:t>
      </w:r>
      <w:r w:rsidR="00490AE1" w:rsidRPr="00BC2B37">
        <w:t xml:space="preserve">většinou </w:t>
      </w:r>
      <w:r w:rsidR="00CE4418" w:rsidRPr="00BC2B37">
        <w:t>odlišné</w:t>
      </w:r>
      <w:r w:rsidR="00670D06" w:rsidRPr="00BC2B37">
        <w:t>.</w:t>
      </w:r>
      <w:r w:rsidR="009D1297" w:rsidRPr="00BC2B37">
        <w:t xml:space="preserve"> </w:t>
      </w:r>
    </w:p>
    <w:p w14:paraId="2AF180F4" w14:textId="77777777" w:rsidR="00E704C6" w:rsidRPr="00BC2B37" w:rsidRDefault="009B7D22" w:rsidP="00F67923">
      <w:pPr>
        <w:pStyle w:val="Vvojcen-zkladntext"/>
      </w:pPr>
      <w:r w:rsidRPr="00BC2B37">
        <w:t xml:space="preserve">Pořizovací </w:t>
      </w:r>
      <w:r w:rsidRPr="00287EEE">
        <w:t>náklady</w:t>
      </w:r>
      <w:r w:rsidRPr="00BC2B37">
        <w:t xml:space="preserve"> na 1 kus sloupu/stožáru</w:t>
      </w:r>
      <w:r w:rsidR="00A425DA" w:rsidRPr="00BC2B37">
        <w:t>:</w:t>
      </w:r>
    </w:p>
    <w:p w14:paraId="0DECCBD6" w14:textId="413B0177" w:rsidR="009F39DE" w:rsidRPr="00BC2B37" w:rsidRDefault="00BE5B3F" w:rsidP="00F67923">
      <w:pPr>
        <w:overflowPunct/>
        <w:autoSpaceDE/>
        <w:autoSpaceDN/>
        <w:adjustRightInd/>
        <w:spacing w:after="240"/>
        <w:jc w:val="both"/>
        <w:textAlignment w:val="auto"/>
        <w:rPr>
          <w:rFonts w:ascii="Cambria" w:hAnsi="Cambria" w:cs="Arial"/>
          <w:color w:val="000000" w:themeColor="text1"/>
          <w:sz w:val="24"/>
          <w:szCs w:val="24"/>
        </w:rPr>
      </w:pPr>
      <w:r w:rsidRPr="00BE5B3F">
        <w:rPr>
          <w:noProof/>
        </w:rPr>
        <w:drawing>
          <wp:inline distT="0" distB="0" distL="0" distR="0" wp14:anchorId="2173997F" wp14:editId="28A4AB4F">
            <wp:extent cx="5769735" cy="830580"/>
            <wp:effectExtent l="0" t="0" r="2540" b="762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74000" cy="831194"/>
                    </a:xfrm>
                    <a:prstGeom prst="rect">
                      <a:avLst/>
                    </a:prstGeom>
                    <a:noFill/>
                    <a:ln>
                      <a:noFill/>
                    </a:ln>
                  </pic:spPr>
                </pic:pic>
              </a:graphicData>
            </a:graphic>
          </wp:inline>
        </w:drawing>
      </w:r>
    </w:p>
    <w:p w14:paraId="583B492A" w14:textId="77777777" w:rsidR="00097988" w:rsidRPr="00C47F79" w:rsidRDefault="00097988" w:rsidP="00F67923">
      <w:pPr>
        <w:pStyle w:val="Vvojcen-nadpis3"/>
      </w:pPr>
      <w:bookmarkStart w:id="37" w:name="_Toc484008752"/>
      <w:bookmarkStart w:id="38" w:name="_Toc484009744"/>
      <w:bookmarkStart w:id="39" w:name="_Toc484009801"/>
      <w:bookmarkStart w:id="40" w:name="_Toc484009858"/>
      <w:bookmarkStart w:id="41" w:name="_Toc484009936"/>
      <w:bookmarkStart w:id="42" w:name="_Toc484010714"/>
      <w:bookmarkStart w:id="43" w:name="_Toc484079650"/>
      <w:bookmarkEnd w:id="37"/>
      <w:bookmarkEnd w:id="38"/>
      <w:bookmarkEnd w:id="39"/>
      <w:bookmarkEnd w:id="40"/>
      <w:bookmarkEnd w:id="41"/>
      <w:bookmarkEnd w:id="42"/>
      <w:r w:rsidRPr="00C47F79">
        <w:t>Kabelovody</w:t>
      </w:r>
      <w:bookmarkEnd w:id="43"/>
    </w:p>
    <w:p w14:paraId="7572C511" w14:textId="016A574B" w:rsidR="00001A50" w:rsidRPr="00BC2B37" w:rsidRDefault="00FF5484" w:rsidP="00F67923">
      <w:pPr>
        <w:pStyle w:val="Vvojcen-zkladntext"/>
        <w:rPr>
          <w:b/>
          <w:sz w:val="28"/>
          <w:szCs w:val="28"/>
          <w:vertAlign w:val="superscript"/>
        </w:rPr>
      </w:pPr>
      <w:r w:rsidRPr="00B43D6D">
        <w:t xml:space="preserve">Kabelovody představují pasivní prvek fyzické sítě vyznačující se velmi dlouhou životností a </w:t>
      </w:r>
      <w:r w:rsidR="00287EEE">
        <w:t>náklady na</w:t>
      </w:r>
      <w:r w:rsidR="00287EEE" w:rsidRPr="00F5143B">
        <w:t xml:space="preserve"> </w:t>
      </w:r>
      <w:r w:rsidR="00CE4418" w:rsidRPr="00F5143B">
        <w:t xml:space="preserve">jeho pořízení </w:t>
      </w:r>
      <w:r w:rsidRPr="00F5143B">
        <w:t xml:space="preserve">také </w:t>
      </w:r>
      <w:r w:rsidR="00287EEE" w:rsidRPr="00F5143B">
        <w:t xml:space="preserve">zpravidla </w:t>
      </w:r>
      <w:r w:rsidR="00CE4418" w:rsidRPr="00F5143B">
        <w:t xml:space="preserve">odrážejí více či méně individuální </w:t>
      </w:r>
      <w:r w:rsidRPr="00F5143B">
        <w:t>podmínk</w:t>
      </w:r>
      <w:r w:rsidR="00CE4418" w:rsidRPr="00F5143B">
        <w:t xml:space="preserve">y </w:t>
      </w:r>
      <w:r w:rsidRPr="00BC2B37">
        <w:t>výstavby</w:t>
      </w:r>
      <w:r w:rsidR="00CE4418" w:rsidRPr="00BC2B37">
        <w:t>. Všechna tato specifika</w:t>
      </w:r>
      <w:r w:rsidRPr="00BC2B37">
        <w:t xml:space="preserve"> naléz</w:t>
      </w:r>
      <w:r w:rsidR="00CE4418" w:rsidRPr="00BC2B37">
        <w:t>ají</w:t>
      </w:r>
      <w:r w:rsidRPr="00BC2B37">
        <w:t xml:space="preserve"> svůj odraz v pořizovací ceně aktiva. Je proto takřka nemožné definovat </w:t>
      </w:r>
      <w:r w:rsidR="005211EA" w:rsidRPr="00BC2B37">
        <w:t xml:space="preserve">ex ante </w:t>
      </w:r>
      <w:r w:rsidRPr="00BC2B37">
        <w:t xml:space="preserve">optimální </w:t>
      </w:r>
      <w:r w:rsidR="009B7D22" w:rsidRPr="00BC2B37">
        <w:t xml:space="preserve">a sjednocující </w:t>
      </w:r>
      <w:r w:rsidR="00853FF1" w:rsidRPr="00BC2B37">
        <w:t>výši ceny, která by reflektovala většinov</w:t>
      </w:r>
      <w:r w:rsidR="00CE4418" w:rsidRPr="00BC2B37">
        <w:t>é</w:t>
      </w:r>
      <w:r w:rsidR="00853FF1" w:rsidRPr="00BC2B37">
        <w:t xml:space="preserve"> </w:t>
      </w:r>
      <w:r w:rsidR="00CE4418" w:rsidRPr="00BC2B37">
        <w:t>průměrné podmínky</w:t>
      </w:r>
      <w:r w:rsidR="00853FF1" w:rsidRPr="00BC2B37">
        <w:t xml:space="preserve">. </w:t>
      </w:r>
      <w:r w:rsidR="00CE4418" w:rsidRPr="00BC2B37">
        <w:t xml:space="preserve">Kalkulace </w:t>
      </w:r>
      <w:r w:rsidR="005211EA" w:rsidRPr="00BC2B37">
        <w:t>cen</w:t>
      </w:r>
      <w:r w:rsidR="00CE4418" w:rsidRPr="00BC2B37">
        <w:t>y</w:t>
      </w:r>
      <w:r w:rsidR="00A425DA" w:rsidRPr="00BC2B37">
        <w:t xml:space="preserve"> pronájmu otvoru v</w:t>
      </w:r>
      <w:r w:rsidR="005211EA" w:rsidRPr="00BC2B37">
        <w:t xml:space="preserve"> kabelovodu </w:t>
      </w:r>
      <w:r w:rsidR="00CE4418" w:rsidRPr="00BC2B37">
        <w:t>bud</w:t>
      </w:r>
      <w:r w:rsidR="005211EA" w:rsidRPr="00BC2B37">
        <w:t>e</w:t>
      </w:r>
      <w:r w:rsidR="00853FF1" w:rsidRPr="00BC2B37">
        <w:t xml:space="preserve"> </w:t>
      </w:r>
      <w:r w:rsidR="00287EEE">
        <w:t>následující.</w:t>
      </w:r>
    </w:p>
    <w:p w14:paraId="4EFF2432" w14:textId="77777777" w:rsidR="00001A50" w:rsidRPr="00BC2B37" w:rsidRDefault="009B7D22" w:rsidP="00F67923">
      <w:pPr>
        <w:pStyle w:val="Vvojcen-zkladntext"/>
      </w:pPr>
      <w:r w:rsidRPr="00BC2B37">
        <w:lastRenderedPageBreak/>
        <w:t>Pořizovací n</w:t>
      </w:r>
      <w:r w:rsidR="00001A50" w:rsidRPr="00BC2B37">
        <w:t>áklady na 1 metr otvoru v kabelovodu</w:t>
      </w:r>
      <w:r w:rsidR="00A425DA" w:rsidRPr="00BC2B37">
        <w:t>:</w:t>
      </w:r>
    </w:p>
    <w:p w14:paraId="2D1C784B" w14:textId="0645A021" w:rsidR="009F39DE" w:rsidRPr="00BC2B37" w:rsidRDefault="00563BA3" w:rsidP="00097988">
      <w:pPr>
        <w:overflowPunct/>
        <w:autoSpaceDE/>
        <w:autoSpaceDN/>
        <w:adjustRightInd/>
        <w:spacing w:before="120" w:after="120"/>
        <w:jc w:val="both"/>
        <w:textAlignment w:val="auto"/>
        <w:rPr>
          <w:rFonts w:ascii="Cambria" w:hAnsi="Cambria" w:cs="Arial"/>
          <w:color w:val="000000" w:themeColor="text1"/>
          <w:sz w:val="24"/>
          <w:szCs w:val="24"/>
        </w:rPr>
      </w:pPr>
      <w:r w:rsidRPr="00563BA3">
        <w:rPr>
          <w:noProof/>
        </w:rPr>
        <w:drawing>
          <wp:inline distT="0" distB="0" distL="0" distR="0" wp14:anchorId="5BDFDB51" wp14:editId="02216344">
            <wp:extent cx="5756856" cy="59245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843" cy="592865"/>
                    </a:xfrm>
                    <a:prstGeom prst="rect">
                      <a:avLst/>
                    </a:prstGeom>
                    <a:noFill/>
                    <a:ln>
                      <a:noFill/>
                    </a:ln>
                  </pic:spPr>
                </pic:pic>
              </a:graphicData>
            </a:graphic>
          </wp:inline>
        </w:drawing>
      </w:r>
      <w:r w:rsidR="003825CE">
        <w:rPr>
          <w:rFonts w:ascii="Cambria" w:hAnsi="Cambria" w:cs="Arial"/>
          <w:color w:val="000000" w:themeColor="text1"/>
          <w:sz w:val="24"/>
          <w:szCs w:val="24"/>
        </w:rPr>
        <w:t xml:space="preserve"> </w:t>
      </w:r>
    </w:p>
    <w:p w14:paraId="19D280E0" w14:textId="77777777" w:rsidR="00097988" w:rsidRPr="00B43D6D" w:rsidRDefault="00097988" w:rsidP="00F67923">
      <w:pPr>
        <w:pStyle w:val="Vvojcen-nadpis3"/>
      </w:pPr>
      <w:bookmarkStart w:id="44" w:name="_Toc484008754"/>
      <w:bookmarkStart w:id="45" w:name="_Toc484009746"/>
      <w:bookmarkStart w:id="46" w:name="_Toc484009803"/>
      <w:bookmarkStart w:id="47" w:name="_Toc484009860"/>
      <w:bookmarkStart w:id="48" w:name="_Toc484009938"/>
      <w:bookmarkStart w:id="49" w:name="_Toc484010716"/>
      <w:bookmarkStart w:id="50" w:name="_Toc484008755"/>
      <w:bookmarkStart w:id="51" w:name="_Toc484009747"/>
      <w:bookmarkStart w:id="52" w:name="_Toc484009804"/>
      <w:bookmarkStart w:id="53" w:name="_Toc484009861"/>
      <w:bookmarkStart w:id="54" w:name="_Toc484009939"/>
      <w:bookmarkStart w:id="55" w:name="_Toc484010717"/>
      <w:bookmarkStart w:id="56" w:name="_Toc484079651"/>
      <w:bookmarkEnd w:id="44"/>
      <w:bookmarkEnd w:id="45"/>
      <w:bookmarkEnd w:id="46"/>
      <w:bookmarkEnd w:id="47"/>
      <w:bookmarkEnd w:id="48"/>
      <w:bookmarkEnd w:id="49"/>
      <w:bookmarkEnd w:id="50"/>
      <w:bookmarkEnd w:id="51"/>
      <w:bookmarkEnd w:id="52"/>
      <w:bookmarkEnd w:id="53"/>
      <w:bookmarkEnd w:id="54"/>
      <w:bookmarkEnd w:id="55"/>
      <w:r w:rsidRPr="00B43D6D">
        <w:t>Kolektory</w:t>
      </w:r>
      <w:bookmarkEnd w:id="56"/>
    </w:p>
    <w:p w14:paraId="0B2D8A97" w14:textId="15A3B2EA" w:rsidR="00001A50" w:rsidRDefault="00D570B6" w:rsidP="00F67923">
      <w:pPr>
        <w:pStyle w:val="Vvojcen-zkladntext"/>
      </w:pPr>
      <w:r w:rsidRPr="00B43D6D">
        <w:t xml:space="preserve">Kolektor je forma víceúčelového </w:t>
      </w:r>
      <w:r w:rsidRPr="008C444C">
        <w:t>zařízení</w:t>
      </w:r>
      <w:r w:rsidR="005A6C8B" w:rsidRPr="008C444C">
        <w:t xml:space="preserve"> </w:t>
      </w:r>
      <w:r w:rsidR="005A6C8B" w:rsidRPr="00F67923">
        <w:t>obvykle</w:t>
      </w:r>
      <w:r w:rsidRPr="008C444C">
        <w:t xml:space="preserve"> v husté městské zástavbě, kde zpravidla není možné provádět </w:t>
      </w:r>
      <w:r w:rsidR="0007694F" w:rsidRPr="002C52CF">
        <w:t xml:space="preserve">individuální </w:t>
      </w:r>
      <w:r w:rsidRPr="002C52CF">
        <w:t>instalace infrastrukturních</w:t>
      </w:r>
      <w:r w:rsidRPr="00BC2B37">
        <w:t xml:space="preserve"> sítí z důvodu stavebních </w:t>
      </w:r>
      <w:r w:rsidR="0007694F" w:rsidRPr="00C47F79">
        <w:t>a</w:t>
      </w:r>
      <w:r w:rsidR="00BF5274" w:rsidRPr="00C47F79">
        <w:t xml:space="preserve"> jiných</w:t>
      </w:r>
      <w:r w:rsidR="0007694F" w:rsidRPr="00C47F79">
        <w:t xml:space="preserve"> technických </w:t>
      </w:r>
      <w:r w:rsidRPr="00C47F79">
        <w:t>překážek</w:t>
      </w:r>
      <w:r w:rsidR="0007694F" w:rsidRPr="00C47F79">
        <w:t xml:space="preserve">, </w:t>
      </w:r>
      <w:r w:rsidR="00BF5274" w:rsidRPr="00C47F79">
        <w:t>místn</w:t>
      </w:r>
      <w:r w:rsidR="0007694F" w:rsidRPr="00C47F79">
        <w:t>ích</w:t>
      </w:r>
      <w:r w:rsidRPr="00C47F79">
        <w:t xml:space="preserve"> omezení</w:t>
      </w:r>
      <w:r w:rsidR="0007694F" w:rsidRPr="00C47F79">
        <w:t>, stavebních uzávěr apod</w:t>
      </w:r>
      <w:r w:rsidRPr="00C47F79">
        <w:t xml:space="preserve">. Z tohoto důvodu </w:t>
      </w:r>
      <w:r w:rsidR="0007694F" w:rsidRPr="00B43D6D">
        <w:t>se přistoupilo ve velkých městech k</w:t>
      </w:r>
      <w:r w:rsidRPr="00B43D6D">
        <w:t xml:space="preserve"> budován</w:t>
      </w:r>
      <w:r w:rsidR="0007694F" w:rsidRPr="00B43D6D">
        <w:t>í</w:t>
      </w:r>
      <w:r w:rsidRPr="00B43D6D">
        <w:t xml:space="preserve"> </w:t>
      </w:r>
      <w:r w:rsidR="0007694F" w:rsidRPr="00B43D6D">
        <w:t>multifunkčních</w:t>
      </w:r>
      <w:r w:rsidRPr="00B43D6D">
        <w:t xml:space="preserve"> tunel</w:t>
      </w:r>
      <w:r w:rsidR="0007694F" w:rsidRPr="00B43D6D">
        <w:t>ů</w:t>
      </w:r>
      <w:r w:rsidRPr="00CE0C5E">
        <w:t xml:space="preserve">, které integrují všechny infrastrukturní sítě v dané lokalitě. Výstavba kolektorů je </w:t>
      </w:r>
      <w:r w:rsidR="0007694F" w:rsidRPr="00F5143B">
        <w:t xml:space="preserve">však </w:t>
      </w:r>
      <w:r w:rsidRPr="00F5143B">
        <w:t xml:space="preserve">velmi nákladná, </w:t>
      </w:r>
      <w:r w:rsidR="00AF418F">
        <w:t>i když</w:t>
      </w:r>
      <w:r w:rsidR="00AF418F" w:rsidRPr="00F5143B">
        <w:t xml:space="preserve"> </w:t>
      </w:r>
      <w:r w:rsidRPr="00F5143B">
        <w:t>jejich přínos pro společnost je takřka nevyčíslitelný, zejména z pohledu ochr</w:t>
      </w:r>
      <w:r w:rsidRPr="003311A5">
        <w:t>any životního prostředí a</w:t>
      </w:r>
      <w:r w:rsidR="00A3464A" w:rsidRPr="00BC2B37">
        <w:t xml:space="preserve"> </w:t>
      </w:r>
      <w:r w:rsidRPr="00BC2B37">
        <w:t>ú</w:t>
      </w:r>
      <w:r w:rsidR="0007694F" w:rsidRPr="00BC2B37">
        <w:t>s</w:t>
      </w:r>
      <w:r w:rsidRPr="00BC2B37">
        <w:t>por instalačních a provozních nákladů v budoucnosti.</w:t>
      </w:r>
      <w:r w:rsidR="00A3464A" w:rsidRPr="00BC2B37">
        <w:t xml:space="preserve"> </w:t>
      </w:r>
      <w:r w:rsidR="000255EE">
        <w:t xml:space="preserve">V kolektoru může být instalováno vícero typů prvků sítí elektronických komunikací (HDPE/chránička různé velikosti či přímo kabel), které nemají stejnou náročnost na zábor plochy kolektoru. Pro vyčíslení </w:t>
      </w:r>
      <w:r w:rsidR="00D37A14">
        <w:t>nákladů</w:t>
      </w:r>
      <w:r w:rsidR="000255EE">
        <w:t xml:space="preserve"> bude</w:t>
      </w:r>
      <w:r w:rsidR="00D37A14">
        <w:t xml:space="preserve"> proto</w:t>
      </w:r>
      <w:r w:rsidR="000255EE">
        <w:t xml:space="preserve"> určující stanovit velikost celkové</w:t>
      </w:r>
      <w:r w:rsidR="00D37A14">
        <w:t xml:space="preserve"> plochy</w:t>
      </w:r>
      <w:r w:rsidR="000255EE">
        <w:t xml:space="preserve"> kolektoru</w:t>
      </w:r>
      <w:r w:rsidR="00D37A14">
        <w:t>, kterou</w:t>
      </w:r>
      <w:r w:rsidR="000255EE">
        <w:t xml:space="preserve"> obsadí nově instalovaná infrastruktura.</w:t>
      </w:r>
    </w:p>
    <w:p w14:paraId="45E6CD52" w14:textId="45DD5432" w:rsidR="000255EE" w:rsidRDefault="000255EE" w:rsidP="00F67923">
      <w:pPr>
        <w:pStyle w:val="Vvojcen-zkladntext"/>
      </w:pPr>
      <w:r w:rsidRPr="00BC2B37">
        <w:t xml:space="preserve">Pořizovací náklady na 1 metr otvoru v </w:t>
      </w:r>
      <w:r>
        <w:t>kolektoru</w:t>
      </w:r>
      <w:r w:rsidRPr="00BC2B37">
        <w:t>:</w:t>
      </w:r>
    </w:p>
    <w:p w14:paraId="0D71D15C" w14:textId="774F19F3" w:rsidR="00095AB3" w:rsidRPr="00BC2B37" w:rsidRDefault="00025B53" w:rsidP="00D37A14">
      <w:pPr>
        <w:pStyle w:val="Vvojcen-zkladntext"/>
        <w:ind w:firstLine="0"/>
        <w:jc w:val="center"/>
        <w:rPr>
          <w:b/>
          <w:u w:val="single"/>
        </w:rPr>
      </w:pPr>
      <w:r w:rsidRPr="00025B53">
        <w:rPr>
          <w:noProof/>
        </w:rPr>
        <w:drawing>
          <wp:inline distT="0" distB="0" distL="0" distR="0" wp14:anchorId="5E4EA9FB" wp14:editId="1B20C99F">
            <wp:extent cx="5629275" cy="100965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9275" cy="1009650"/>
                    </a:xfrm>
                    <a:prstGeom prst="rect">
                      <a:avLst/>
                    </a:prstGeom>
                    <a:noFill/>
                    <a:ln>
                      <a:noFill/>
                    </a:ln>
                  </pic:spPr>
                </pic:pic>
              </a:graphicData>
            </a:graphic>
          </wp:inline>
        </w:drawing>
      </w:r>
    </w:p>
    <w:p w14:paraId="6D2A7DAC" w14:textId="77777777" w:rsidR="00097988" w:rsidRPr="00BC2B37" w:rsidRDefault="00097988" w:rsidP="00F67923">
      <w:pPr>
        <w:pStyle w:val="Vvojcen-nadpis3"/>
      </w:pPr>
      <w:bookmarkStart w:id="57" w:name="_Toc484079652"/>
      <w:r w:rsidRPr="00BC2B37">
        <w:t>Inspekční komory</w:t>
      </w:r>
      <w:bookmarkEnd w:id="57"/>
    </w:p>
    <w:p w14:paraId="12241FE1" w14:textId="16110C3F" w:rsidR="0028374C" w:rsidRPr="00BC2B37" w:rsidRDefault="00721784" w:rsidP="00F67923">
      <w:pPr>
        <w:pStyle w:val="Vvojcen-zkladntext"/>
      </w:pPr>
      <w:r w:rsidRPr="00BC2B37">
        <w:t>Samostatná kalkulace ceny pro i</w:t>
      </w:r>
      <w:r w:rsidR="0028374C" w:rsidRPr="00BC2B37">
        <w:t>nspekční komoru se neprovádí. Inspekční komora</w:t>
      </w:r>
      <w:r w:rsidRPr="00BC2B37">
        <w:t xml:space="preserve"> je součástí </w:t>
      </w:r>
      <w:r w:rsidR="0028374C" w:rsidRPr="00BC2B37">
        <w:t xml:space="preserve">pořizovací ceny liniového prvku a nemá </w:t>
      </w:r>
      <w:r w:rsidR="00BF5274" w:rsidRPr="00BC2B37">
        <w:t xml:space="preserve">zpravidla </w:t>
      </w:r>
      <w:r w:rsidR="0028374C" w:rsidRPr="00BC2B37">
        <w:t>samostatné využití.</w:t>
      </w:r>
      <w:r w:rsidR="00D37A14">
        <w:t xml:space="preserve"> Pokud by přesto mělo dojít k instalaci prvků sítí elektronických komunikací, postupuje se podle stejného principu, jako v případě kolektorů. Určující tedy bude velikost plochy zabrané instalovanými prvky, jakožto klíč pro alokaci nákladu na m</w:t>
      </w:r>
      <w:r w:rsidR="00D37A14">
        <w:rPr>
          <w:vertAlign w:val="superscript"/>
        </w:rPr>
        <w:t>3</w:t>
      </w:r>
      <w:r w:rsidR="00D37A14">
        <w:t xml:space="preserve"> inspekční komory. </w:t>
      </w:r>
    </w:p>
    <w:p w14:paraId="6BB9A721" w14:textId="77777777" w:rsidR="00097988" w:rsidRPr="00BC2B37" w:rsidRDefault="00097988" w:rsidP="00F67923">
      <w:pPr>
        <w:pStyle w:val="Vvojcen-nadpis3"/>
      </w:pPr>
      <w:bookmarkStart w:id="58" w:name="_Toc484008758"/>
      <w:bookmarkStart w:id="59" w:name="_Toc484009750"/>
      <w:bookmarkStart w:id="60" w:name="_Toc484009807"/>
      <w:bookmarkStart w:id="61" w:name="_Toc484009864"/>
      <w:bookmarkStart w:id="62" w:name="_Toc484009942"/>
      <w:bookmarkStart w:id="63" w:name="_Toc484010720"/>
      <w:bookmarkStart w:id="64" w:name="_Toc484079653"/>
      <w:bookmarkEnd w:id="58"/>
      <w:bookmarkEnd w:id="59"/>
      <w:bookmarkEnd w:id="60"/>
      <w:bookmarkEnd w:id="61"/>
      <w:bookmarkEnd w:id="62"/>
      <w:bookmarkEnd w:id="63"/>
      <w:r w:rsidRPr="00BC2B37">
        <w:t>Vstupní šachty</w:t>
      </w:r>
      <w:bookmarkEnd w:id="64"/>
    </w:p>
    <w:p w14:paraId="4C4D8F41" w14:textId="1562D5AF" w:rsidR="0028374C" w:rsidRPr="00BC2B37" w:rsidRDefault="0028374C" w:rsidP="00F67923">
      <w:pPr>
        <w:pStyle w:val="Vvojcen-zkladntext"/>
      </w:pPr>
      <w:r w:rsidRPr="00BC2B37">
        <w:t>Vstupní šachta je logickým ukončením kabelovodu</w:t>
      </w:r>
      <w:r w:rsidR="005D5882" w:rsidRPr="00BC2B37">
        <w:t>,</w:t>
      </w:r>
      <w:r w:rsidRPr="00BC2B37">
        <w:t xml:space="preserve"> přístupu k potrubí (HDPE chráničk</w:t>
      </w:r>
      <w:r w:rsidR="00BF5274" w:rsidRPr="00BC2B37">
        <w:t>ám</w:t>
      </w:r>
      <w:r w:rsidRPr="00BC2B37">
        <w:t xml:space="preserve">) </w:t>
      </w:r>
      <w:r w:rsidR="005D5882" w:rsidRPr="00BC2B37">
        <w:t>nebo</w:t>
      </w:r>
      <w:r w:rsidRPr="00BC2B37">
        <w:t xml:space="preserve"> obdobný</w:t>
      </w:r>
      <w:r w:rsidR="00BF5274" w:rsidRPr="00BC2B37">
        <w:t>m</w:t>
      </w:r>
      <w:r w:rsidRPr="00BC2B37">
        <w:t xml:space="preserve"> liniový</w:t>
      </w:r>
      <w:r w:rsidR="00BF5274" w:rsidRPr="00BC2B37">
        <w:t>m</w:t>
      </w:r>
      <w:r w:rsidRPr="00BC2B37">
        <w:t xml:space="preserve"> prvků</w:t>
      </w:r>
      <w:r w:rsidR="00BF5274" w:rsidRPr="00BC2B37">
        <w:t>m</w:t>
      </w:r>
      <w:r w:rsidRPr="00BC2B37">
        <w:t xml:space="preserve"> fyzické infrastruktury. Vstupní šachta </w:t>
      </w:r>
      <w:r w:rsidR="005D5882" w:rsidRPr="00BC2B37">
        <w:t>má smysl jako</w:t>
      </w:r>
      <w:r w:rsidRPr="00BC2B37">
        <w:t xml:space="preserve"> součást pořizovací ceny liniového prvku</w:t>
      </w:r>
      <w:r w:rsidR="00BF5274" w:rsidRPr="00BC2B37">
        <w:t xml:space="preserve"> jako celku</w:t>
      </w:r>
      <w:r w:rsidRPr="00BC2B37">
        <w:t>.</w:t>
      </w:r>
      <w:r w:rsidR="005551CE" w:rsidRPr="00BC2B37">
        <w:t xml:space="preserve"> Samostatná kalkulace ceny pro vstupní šachty se </w:t>
      </w:r>
      <w:r w:rsidR="005D5882" w:rsidRPr="00BC2B37">
        <w:t xml:space="preserve">proto </w:t>
      </w:r>
      <w:r w:rsidR="005551CE" w:rsidRPr="00BC2B37">
        <w:t>neprovádí.</w:t>
      </w:r>
      <w:r w:rsidR="00D37A14">
        <w:t xml:space="preserve"> Pokud by přesto mělo dojít k instalaci prvků sítí elektronických komunikací, postupuje se podle stejného principu, jako v případě kolektorů. Určující tedy bude velikost plochy zabrané instalovanými prvky, jakožto klíč pro alokaci nákladu na m</w:t>
      </w:r>
      <w:r w:rsidR="00D37A14">
        <w:rPr>
          <w:vertAlign w:val="superscript"/>
        </w:rPr>
        <w:t>3</w:t>
      </w:r>
      <w:r w:rsidR="00D37A14">
        <w:t xml:space="preserve"> vstupní šachty.</w:t>
      </w:r>
    </w:p>
    <w:p w14:paraId="293B158E" w14:textId="77777777" w:rsidR="00097988" w:rsidRPr="00BC2B37" w:rsidRDefault="00097988" w:rsidP="00F67923">
      <w:pPr>
        <w:pStyle w:val="Vvojcen-nadpis3"/>
        <w:rPr>
          <w:color w:val="000000" w:themeColor="text1"/>
        </w:rPr>
      </w:pPr>
      <w:bookmarkStart w:id="65" w:name="_Toc484008760"/>
      <w:bookmarkStart w:id="66" w:name="_Toc484009752"/>
      <w:bookmarkStart w:id="67" w:name="_Toc484009809"/>
      <w:bookmarkStart w:id="68" w:name="_Toc484009866"/>
      <w:bookmarkStart w:id="69" w:name="_Toc484009944"/>
      <w:bookmarkStart w:id="70" w:name="_Toc484010722"/>
      <w:bookmarkStart w:id="71" w:name="_Toc484079654"/>
      <w:bookmarkEnd w:id="65"/>
      <w:bookmarkEnd w:id="66"/>
      <w:bookmarkEnd w:id="67"/>
      <w:bookmarkEnd w:id="68"/>
      <w:bookmarkEnd w:id="69"/>
      <w:bookmarkEnd w:id="70"/>
      <w:r w:rsidRPr="00BC2B37">
        <w:t>Rozvodné skříně</w:t>
      </w:r>
      <w:bookmarkEnd w:id="71"/>
    </w:p>
    <w:p w14:paraId="5AB6B9BB" w14:textId="77777777" w:rsidR="00BC3F65" w:rsidRPr="00BC2B37" w:rsidRDefault="00DC6ACA" w:rsidP="00F67923">
      <w:pPr>
        <w:pStyle w:val="Vvojcen-zkladntext"/>
        <w:rPr>
          <w:rFonts w:cs="Arial"/>
          <w:b/>
          <w:color w:val="000000" w:themeColor="text1"/>
          <w:sz w:val="28"/>
          <w:szCs w:val="28"/>
        </w:rPr>
      </w:pPr>
      <w:r w:rsidRPr="00BC2B37">
        <w:t>Jedná se o velk</w:t>
      </w:r>
      <w:r w:rsidR="00BF5274" w:rsidRPr="00BC2B37">
        <w:t>é</w:t>
      </w:r>
      <w:r w:rsidRPr="00BC2B37">
        <w:t xml:space="preserve"> množství různých rozvaděčů a technologických skří</w:t>
      </w:r>
      <w:r w:rsidR="00BF5274" w:rsidRPr="00BC2B37">
        <w:t>ní, které slouží k umístění rozmanit</w:t>
      </w:r>
      <w:r w:rsidRPr="00BC2B37">
        <w:t xml:space="preserve">ých technologií, zejména rozvodů pro ukončení </w:t>
      </w:r>
      <w:r w:rsidR="00BF5274" w:rsidRPr="00BC2B37">
        <w:t>nebo</w:t>
      </w:r>
      <w:r w:rsidRPr="00BC2B37">
        <w:t xml:space="preserve"> propojení kabelových vedení a umístění přenosových prostředků. Škála těchto </w:t>
      </w:r>
      <w:r w:rsidR="009B7D22" w:rsidRPr="00BC2B37">
        <w:t xml:space="preserve">prvků </w:t>
      </w:r>
      <w:r w:rsidRPr="00BC2B37">
        <w:t xml:space="preserve">je natolik </w:t>
      </w:r>
      <w:r w:rsidR="00BF5274" w:rsidRPr="00BC2B37">
        <w:t>boha</w:t>
      </w:r>
      <w:r w:rsidRPr="00BC2B37">
        <w:t xml:space="preserve">tá, že nelze provést žádnou kategorizaci nebo standardizaci </w:t>
      </w:r>
      <w:r w:rsidR="009B7D22" w:rsidRPr="00BC2B37">
        <w:t>pro</w:t>
      </w:r>
      <w:r w:rsidR="00936BD6" w:rsidRPr="00BC2B37">
        <w:t xml:space="preserve"> stanovení</w:t>
      </w:r>
      <w:r w:rsidRPr="00BC2B37">
        <w:t xml:space="preserve"> cen</w:t>
      </w:r>
      <w:r w:rsidR="00936BD6" w:rsidRPr="00BC2B37">
        <w:t>y pronájmu</w:t>
      </w:r>
      <w:r w:rsidRPr="00BC2B37">
        <w:t xml:space="preserve">. </w:t>
      </w:r>
      <w:r w:rsidR="00936BD6" w:rsidRPr="00BC2B37">
        <w:t>C</w:t>
      </w:r>
      <w:r w:rsidRPr="00BC2B37">
        <w:t>en</w:t>
      </w:r>
      <w:r w:rsidR="00936BD6" w:rsidRPr="00BC2B37">
        <w:t>a</w:t>
      </w:r>
      <w:r w:rsidRPr="00BC2B37">
        <w:t xml:space="preserve"> pronájmu sdíleného prostoru v rozvodné skříni </w:t>
      </w:r>
      <w:r w:rsidR="00BC3F65" w:rsidRPr="00BC2B37">
        <w:t>bude</w:t>
      </w:r>
      <w:r w:rsidRPr="00BC2B37">
        <w:t xml:space="preserve"> </w:t>
      </w:r>
      <w:r w:rsidR="00936BD6" w:rsidRPr="00BC2B37">
        <w:t xml:space="preserve">proto </w:t>
      </w:r>
      <w:r w:rsidRPr="00BC2B37">
        <w:t>proveden</w:t>
      </w:r>
      <w:r w:rsidR="00936BD6" w:rsidRPr="00BC2B37">
        <w:t>a</w:t>
      </w:r>
      <w:r w:rsidRPr="00BC2B37">
        <w:t xml:space="preserve"> </w:t>
      </w:r>
      <w:r w:rsidR="00BC3F65" w:rsidRPr="00BC2B37">
        <w:t xml:space="preserve">individuální </w:t>
      </w:r>
      <w:r w:rsidR="00936BD6" w:rsidRPr="00BC2B37">
        <w:t>kalkulací</w:t>
      </w:r>
      <w:r w:rsidR="00BC3F65" w:rsidRPr="00BC2B37">
        <w:t>.</w:t>
      </w:r>
      <w:r w:rsidRPr="00BC2B37">
        <w:t xml:space="preserve"> </w:t>
      </w:r>
    </w:p>
    <w:p w14:paraId="2F003046" w14:textId="77777777" w:rsidR="00BC3F65" w:rsidRPr="00BC2B37" w:rsidRDefault="009B7D22" w:rsidP="00F67923">
      <w:pPr>
        <w:pStyle w:val="Vvojcen-zkladntext"/>
      </w:pPr>
      <w:r w:rsidRPr="00BC2B37">
        <w:t>Pořizovací n</w:t>
      </w:r>
      <w:r w:rsidR="00BC3F65" w:rsidRPr="00BC2B37">
        <w:t>áklady na sdílený prostor v rozvodné skříni:</w:t>
      </w:r>
    </w:p>
    <w:p w14:paraId="3548B224" w14:textId="48406B2F" w:rsidR="005551CE" w:rsidRPr="00BC2B37" w:rsidRDefault="005E6AFC" w:rsidP="00F67923">
      <w:pPr>
        <w:overflowPunct/>
        <w:autoSpaceDE/>
        <w:autoSpaceDN/>
        <w:adjustRightInd/>
        <w:spacing w:after="240"/>
        <w:jc w:val="both"/>
        <w:textAlignment w:val="auto"/>
        <w:rPr>
          <w:rFonts w:ascii="Cambria" w:hAnsi="Cambria"/>
          <w:sz w:val="24"/>
        </w:rPr>
      </w:pPr>
      <w:r w:rsidRPr="005E6AFC">
        <w:rPr>
          <w:noProof/>
        </w:rPr>
        <w:lastRenderedPageBreak/>
        <w:drawing>
          <wp:inline distT="0" distB="0" distL="0" distR="0" wp14:anchorId="00D32932" wp14:editId="499A2F83">
            <wp:extent cx="5731099" cy="592455"/>
            <wp:effectExtent l="0" t="0" r="3175" b="0"/>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5290" cy="592888"/>
                    </a:xfrm>
                    <a:prstGeom prst="rect">
                      <a:avLst/>
                    </a:prstGeom>
                    <a:noFill/>
                    <a:ln>
                      <a:noFill/>
                    </a:ln>
                  </pic:spPr>
                </pic:pic>
              </a:graphicData>
            </a:graphic>
          </wp:inline>
        </w:drawing>
      </w:r>
    </w:p>
    <w:p w14:paraId="1415AEC5" w14:textId="77777777" w:rsidR="00097988" w:rsidRPr="00B43D6D" w:rsidRDefault="00097988" w:rsidP="00F67923">
      <w:pPr>
        <w:pStyle w:val="Vvojcen-nadpis3"/>
      </w:pPr>
      <w:bookmarkStart w:id="72" w:name="_Toc484008762"/>
      <w:bookmarkStart w:id="73" w:name="_Toc484009754"/>
      <w:bookmarkStart w:id="74" w:name="_Toc484009811"/>
      <w:bookmarkStart w:id="75" w:name="_Toc484009868"/>
      <w:bookmarkStart w:id="76" w:name="_Toc484009946"/>
      <w:bookmarkStart w:id="77" w:name="_Toc484010724"/>
      <w:bookmarkStart w:id="78" w:name="_Toc484008763"/>
      <w:bookmarkStart w:id="79" w:name="_Toc484009755"/>
      <w:bookmarkStart w:id="80" w:name="_Toc484009812"/>
      <w:bookmarkStart w:id="81" w:name="_Toc484009869"/>
      <w:bookmarkStart w:id="82" w:name="_Toc484009947"/>
      <w:bookmarkStart w:id="83" w:name="_Toc484010725"/>
      <w:bookmarkStart w:id="84" w:name="_Toc484079655"/>
      <w:bookmarkEnd w:id="72"/>
      <w:bookmarkEnd w:id="73"/>
      <w:bookmarkEnd w:id="74"/>
      <w:bookmarkEnd w:id="75"/>
      <w:bookmarkEnd w:id="76"/>
      <w:bookmarkEnd w:id="77"/>
      <w:bookmarkEnd w:id="78"/>
      <w:bookmarkEnd w:id="79"/>
      <w:bookmarkEnd w:id="80"/>
      <w:bookmarkEnd w:id="81"/>
      <w:bookmarkEnd w:id="82"/>
      <w:bookmarkEnd w:id="83"/>
      <w:r w:rsidRPr="00B43D6D">
        <w:t>Budovy a vstupy do budov</w:t>
      </w:r>
      <w:bookmarkEnd w:id="84"/>
    </w:p>
    <w:p w14:paraId="1EDE8320" w14:textId="6F921E30" w:rsidR="00E452AC" w:rsidRPr="00BC2B37" w:rsidRDefault="004C5B01" w:rsidP="00F67923">
      <w:pPr>
        <w:pStyle w:val="Vvojcen-zkladntext"/>
        <w:rPr>
          <w:rFonts w:cs="Arial"/>
          <w:b/>
          <w:color w:val="000000" w:themeColor="text1"/>
          <w:sz w:val="28"/>
          <w:szCs w:val="28"/>
          <w:vertAlign w:val="superscript"/>
        </w:rPr>
      </w:pPr>
      <w:r w:rsidRPr="00F5143B">
        <w:t xml:space="preserve">V případě budov se jedná o poskytnutí plochy </w:t>
      </w:r>
      <w:r w:rsidR="00EB00C4" w:rsidRPr="00F5143B">
        <w:t xml:space="preserve">nezbytné </w:t>
      </w:r>
      <w:r w:rsidRPr="00F5143B">
        <w:t xml:space="preserve">pro </w:t>
      </w:r>
      <w:r w:rsidR="00EB00C4" w:rsidRPr="00F5143B">
        <w:t>umístění navazujících technologických zařízení na fyzickou infrastrukturu. V</w:t>
      </w:r>
      <w:r w:rsidR="00A425DA" w:rsidRPr="00F5143B">
        <w:t xml:space="preserve"> tomto </w:t>
      </w:r>
      <w:r w:rsidR="00EB00C4" w:rsidRPr="00F5143B">
        <w:t xml:space="preserve">případě </w:t>
      </w:r>
      <w:r w:rsidR="00A425DA" w:rsidRPr="003311A5">
        <w:t>se cena</w:t>
      </w:r>
      <w:r w:rsidR="00EB00C4" w:rsidRPr="003311A5">
        <w:t xml:space="preserve"> za pronájem technologické plochy zpravidla </w:t>
      </w:r>
      <w:r w:rsidR="00A425DA" w:rsidRPr="00BC2B37">
        <w:t>pro umístění skříní nebo stojanů</w:t>
      </w:r>
      <w:r w:rsidR="00EB00C4" w:rsidRPr="00BC2B37">
        <w:t xml:space="preserve"> vypočte z pořizovací ceny plochy</w:t>
      </w:r>
      <w:r w:rsidR="004C23B2">
        <w:t>,</w:t>
      </w:r>
      <w:r w:rsidR="00EB00C4" w:rsidRPr="00BC2B37">
        <w:t xml:space="preserve"> </w:t>
      </w:r>
      <w:r w:rsidR="008E36F4" w:rsidRPr="00BC2B37">
        <w:t>případně z</w:t>
      </w:r>
      <w:r w:rsidR="00EB00C4" w:rsidRPr="00BC2B37">
        <w:t xml:space="preserve"> </w:t>
      </w:r>
      <w:r w:rsidR="00A425DA" w:rsidRPr="00BC2B37">
        <w:t xml:space="preserve">nákladů na </w:t>
      </w:r>
      <w:r w:rsidR="00EB00C4" w:rsidRPr="00BC2B37">
        <w:t>náj</w:t>
      </w:r>
      <w:r w:rsidR="00A425DA" w:rsidRPr="00BC2B37">
        <w:t>e</w:t>
      </w:r>
      <w:r w:rsidR="00EB00C4" w:rsidRPr="00BC2B37">
        <w:t>m</w:t>
      </w:r>
      <w:r w:rsidR="00A425DA" w:rsidRPr="00BC2B37">
        <w:t xml:space="preserve"> od </w:t>
      </w:r>
      <w:r w:rsidR="008E36F4" w:rsidRPr="00BC2B37">
        <w:t xml:space="preserve">externích </w:t>
      </w:r>
      <w:r w:rsidR="00936BD6" w:rsidRPr="00BC2B37">
        <w:t>poskytovatelů</w:t>
      </w:r>
      <w:r w:rsidR="00EB00C4" w:rsidRPr="00BC2B37">
        <w:t>.</w:t>
      </w:r>
      <w:r w:rsidR="00E452AC" w:rsidRPr="00BC2B37">
        <w:t xml:space="preserve"> </w:t>
      </w:r>
    </w:p>
    <w:p w14:paraId="59592802" w14:textId="77777777" w:rsidR="00E452AC" w:rsidRPr="00BC2B37" w:rsidRDefault="009B7D22" w:rsidP="00F67923">
      <w:pPr>
        <w:pStyle w:val="Vvojcen-zkladntext"/>
      </w:pPr>
      <w:r w:rsidRPr="00BC2B37">
        <w:t>Pořizovací n</w:t>
      </w:r>
      <w:r w:rsidR="00E452AC" w:rsidRPr="00BC2B37">
        <w:t>áklady na 1 metr</w:t>
      </w:r>
      <w:r w:rsidR="00E452AC" w:rsidRPr="00BC2B37">
        <w:rPr>
          <w:vertAlign w:val="superscript"/>
        </w:rPr>
        <w:t xml:space="preserve">2 </w:t>
      </w:r>
      <w:r w:rsidR="00E452AC" w:rsidRPr="00BC2B37">
        <w:t>technologické plochy v</w:t>
      </w:r>
      <w:r w:rsidR="008E36F4" w:rsidRPr="00BC2B37">
        <w:t> </w:t>
      </w:r>
      <w:r w:rsidR="00E452AC" w:rsidRPr="00BC2B37">
        <w:t>budově</w:t>
      </w:r>
      <w:r w:rsidR="008E36F4" w:rsidRPr="00BC2B37">
        <w:t>:</w:t>
      </w:r>
    </w:p>
    <w:p w14:paraId="4C60B635" w14:textId="2CDFCB28" w:rsidR="00B0298B" w:rsidRPr="00BC2B37" w:rsidRDefault="000E5336" w:rsidP="00F67923">
      <w:pPr>
        <w:overflowPunct/>
        <w:autoSpaceDE/>
        <w:autoSpaceDN/>
        <w:adjustRightInd/>
        <w:spacing w:after="240"/>
        <w:jc w:val="both"/>
        <w:textAlignment w:val="auto"/>
        <w:rPr>
          <w:rFonts w:ascii="Cambria" w:hAnsi="Cambria" w:cs="Arial"/>
          <w:color w:val="000000" w:themeColor="text1"/>
          <w:sz w:val="24"/>
          <w:szCs w:val="24"/>
        </w:rPr>
      </w:pPr>
      <w:r w:rsidRPr="000E5336">
        <w:rPr>
          <w:noProof/>
        </w:rPr>
        <w:drawing>
          <wp:inline distT="0" distB="0" distL="0" distR="0" wp14:anchorId="796E1F85" wp14:editId="226933CB">
            <wp:extent cx="5760720" cy="737235"/>
            <wp:effectExtent l="0" t="0" r="0" b="571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737235"/>
                    </a:xfrm>
                    <a:prstGeom prst="rect">
                      <a:avLst/>
                    </a:prstGeom>
                    <a:noFill/>
                    <a:ln>
                      <a:noFill/>
                    </a:ln>
                  </pic:spPr>
                </pic:pic>
              </a:graphicData>
            </a:graphic>
          </wp:inline>
        </w:drawing>
      </w:r>
    </w:p>
    <w:p w14:paraId="31DBDA92" w14:textId="77777777" w:rsidR="00097988" w:rsidRPr="00C47F79" w:rsidRDefault="00097988" w:rsidP="00F67923">
      <w:pPr>
        <w:pStyle w:val="Vvojcen-nadpis3"/>
      </w:pPr>
      <w:bookmarkStart w:id="85" w:name="_Toc484008765"/>
      <w:bookmarkStart w:id="86" w:name="_Toc484009757"/>
      <w:bookmarkStart w:id="87" w:name="_Toc484009814"/>
      <w:bookmarkStart w:id="88" w:name="_Toc484009871"/>
      <w:bookmarkStart w:id="89" w:name="_Toc484009949"/>
      <w:bookmarkStart w:id="90" w:name="_Toc484010727"/>
      <w:bookmarkStart w:id="91" w:name="_Toc484079656"/>
      <w:bookmarkEnd w:id="85"/>
      <w:bookmarkEnd w:id="86"/>
      <w:bookmarkEnd w:id="87"/>
      <w:bookmarkEnd w:id="88"/>
      <w:bookmarkEnd w:id="89"/>
      <w:bookmarkEnd w:id="90"/>
      <w:r w:rsidRPr="00C47F79">
        <w:t>Anténní nosiče</w:t>
      </w:r>
      <w:bookmarkEnd w:id="91"/>
    </w:p>
    <w:p w14:paraId="5A5CE11D" w14:textId="4E772C2C" w:rsidR="00EF6A4B" w:rsidRPr="00BC2B37" w:rsidRDefault="00EF6A4B" w:rsidP="00F67923">
      <w:pPr>
        <w:pStyle w:val="Vvojcen-zkladntext"/>
      </w:pPr>
      <w:r w:rsidRPr="00B43D6D">
        <w:t xml:space="preserve">Jedná se o nástavbové konstrukce </w:t>
      </w:r>
      <w:r w:rsidR="008E36F4" w:rsidRPr="00B43D6D">
        <w:t>v</w:t>
      </w:r>
      <w:r w:rsidRPr="00B43D6D">
        <w:t> budová</w:t>
      </w:r>
      <w:r w:rsidR="008E36F4" w:rsidRPr="00B43D6D">
        <w:t>ch</w:t>
      </w:r>
      <w:r w:rsidRPr="00B43D6D">
        <w:t xml:space="preserve"> sloužící k umístění různých druhů anténních systémů </w:t>
      </w:r>
      <w:r w:rsidR="008E36F4" w:rsidRPr="00F5143B">
        <w:t xml:space="preserve">pro </w:t>
      </w:r>
      <w:r w:rsidRPr="00F5143B">
        <w:t>radiov</w:t>
      </w:r>
      <w:r w:rsidR="008E36F4" w:rsidRPr="00F5143B">
        <w:t>á</w:t>
      </w:r>
      <w:r w:rsidRPr="00F5143B">
        <w:t xml:space="preserve"> zařízení. Výpočet ceny </w:t>
      </w:r>
      <w:r w:rsidR="008E36F4" w:rsidRPr="00F5143B">
        <w:t>pronájm</w:t>
      </w:r>
      <w:r w:rsidR="00205F67">
        <w:t>u</w:t>
      </w:r>
      <w:r w:rsidR="008E36F4" w:rsidRPr="00F5143B">
        <w:t xml:space="preserve"> </w:t>
      </w:r>
      <w:r w:rsidRPr="00F5143B">
        <w:t>prvk</w:t>
      </w:r>
      <w:r w:rsidR="00205F67">
        <w:t>u</w:t>
      </w:r>
      <w:r w:rsidRPr="00F5143B">
        <w:t xml:space="preserve"> spadající</w:t>
      </w:r>
      <w:r w:rsidR="008E36F4" w:rsidRPr="003311A5">
        <w:t>h</w:t>
      </w:r>
      <w:r w:rsidR="00205F67">
        <w:t>o</w:t>
      </w:r>
      <w:r w:rsidRPr="003311A5">
        <w:t xml:space="preserve"> do této kategorie fyzické infrastruktury se provádí individuální kalkulací. </w:t>
      </w:r>
    </w:p>
    <w:p w14:paraId="3834F9B7" w14:textId="16E3F4E6" w:rsidR="003F6844" w:rsidRPr="00BC2B37" w:rsidRDefault="00205F67" w:rsidP="00F67923">
      <w:pPr>
        <w:pStyle w:val="Vvojcen-zkladntext"/>
        <w:rPr>
          <w:b/>
          <w:sz w:val="28"/>
          <w:szCs w:val="28"/>
        </w:rPr>
      </w:pPr>
      <w:r>
        <w:t>C</w:t>
      </w:r>
      <w:r w:rsidR="00EF6A4B" w:rsidRPr="00BC2B37">
        <w:t xml:space="preserve">ena měsíčního pronájmu </w:t>
      </w:r>
      <w:r w:rsidR="008E36F4" w:rsidRPr="00BC2B37">
        <w:t>anténního nosiče</w:t>
      </w:r>
      <w:r w:rsidR="00EF6A4B" w:rsidRPr="00BC2B37">
        <w:t xml:space="preserve"> se </w:t>
      </w:r>
      <w:r>
        <w:t xml:space="preserve">bude </w:t>
      </w:r>
      <w:r w:rsidR="00EF6A4B" w:rsidRPr="00BC2B37">
        <w:t>sklád</w:t>
      </w:r>
      <w:r>
        <w:t>at</w:t>
      </w:r>
      <w:r w:rsidR="00EF6A4B" w:rsidRPr="00BC2B37">
        <w:t xml:space="preserve"> </w:t>
      </w:r>
      <w:r w:rsidRPr="00BC2B37">
        <w:t>z</w:t>
      </w:r>
      <w:r>
        <w:t xml:space="preserve"> pořizovacích </w:t>
      </w:r>
      <w:r w:rsidRPr="00BC2B37">
        <w:t>náklad</w:t>
      </w:r>
      <w:r>
        <w:t xml:space="preserve">ů </w:t>
      </w:r>
      <w:r w:rsidRPr="00BC2B37">
        <w:t>daného prvku</w:t>
      </w:r>
      <w:r w:rsidR="00EF6A4B" w:rsidRPr="00BC2B37">
        <w:t xml:space="preserve">, </w:t>
      </w:r>
      <w:r w:rsidR="00936BD6" w:rsidRPr="00BC2B37">
        <w:t>zohledňující procento</w:t>
      </w:r>
      <w:r w:rsidR="00EF6A4B" w:rsidRPr="00BC2B37">
        <w:t xml:space="preserve"> sdílení </w:t>
      </w:r>
      <w:r w:rsidR="00AA167E" w:rsidRPr="00BC2B37">
        <w:t xml:space="preserve">s </w:t>
      </w:r>
      <w:r w:rsidR="00EF6A4B" w:rsidRPr="00BC2B37">
        <w:t xml:space="preserve">dalšími </w:t>
      </w:r>
      <w:r w:rsidR="00AA167E" w:rsidRPr="00BC2B37">
        <w:t>uživateli</w:t>
      </w:r>
      <w:r w:rsidR="00EF6A4B" w:rsidRPr="00BC2B37">
        <w:t xml:space="preserve">. Do kalkulace pronájmu mohou být započítány pouze náklady odpovídající přírůstkovému využití </w:t>
      </w:r>
      <w:r w:rsidR="00AA167E" w:rsidRPr="00BC2B37">
        <w:t>to</w:t>
      </w:r>
      <w:r w:rsidR="00EF6A4B" w:rsidRPr="00BC2B37">
        <w:t>h</w:t>
      </w:r>
      <w:r w:rsidR="00AA167E" w:rsidRPr="00BC2B37">
        <w:t>oto prvku</w:t>
      </w:r>
      <w:r w:rsidR="00936BD6" w:rsidRPr="00BC2B37">
        <w:t xml:space="preserve"> pro daného zájemce</w:t>
      </w:r>
      <w:r w:rsidR="00EF6A4B" w:rsidRPr="00BC2B37">
        <w:t xml:space="preserve">. </w:t>
      </w:r>
    </w:p>
    <w:p w14:paraId="635CB5B3" w14:textId="77777777" w:rsidR="008E36F4" w:rsidRPr="00BC2B37" w:rsidRDefault="000A4AEB" w:rsidP="00F67923">
      <w:pPr>
        <w:pStyle w:val="Vvojcen-zkladntext"/>
      </w:pPr>
      <w:r w:rsidRPr="00BC2B37">
        <w:t>Pořizovací náklady na 1 anténní nosič</w:t>
      </w:r>
      <w:r w:rsidR="008E36F4" w:rsidRPr="00BC2B37">
        <w:t>:</w:t>
      </w:r>
    </w:p>
    <w:p w14:paraId="76B37428" w14:textId="0192A49B" w:rsidR="003F6844" w:rsidRPr="00BC2B37" w:rsidRDefault="00495219" w:rsidP="00495219">
      <w:pPr>
        <w:overflowPunct/>
        <w:autoSpaceDE/>
        <w:autoSpaceDN/>
        <w:adjustRightInd/>
        <w:spacing w:after="240"/>
        <w:jc w:val="center"/>
        <w:textAlignment w:val="auto"/>
        <w:rPr>
          <w:rFonts w:ascii="Cambria" w:hAnsi="Cambria"/>
          <w:sz w:val="24"/>
        </w:rPr>
      </w:pPr>
      <w:r w:rsidRPr="00495219">
        <w:rPr>
          <w:noProof/>
        </w:rPr>
        <w:drawing>
          <wp:inline distT="0" distB="0" distL="0" distR="0" wp14:anchorId="7DABAFA5" wp14:editId="6A2C341A">
            <wp:extent cx="5781675" cy="819150"/>
            <wp:effectExtent l="0" t="0" r="9525"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1675" cy="819150"/>
                    </a:xfrm>
                    <a:prstGeom prst="rect">
                      <a:avLst/>
                    </a:prstGeom>
                    <a:noFill/>
                    <a:ln>
                      <a:noFill/>
                    </a:ln>
                  </pic:spPr>
                </pic:pic>
              </a:graphicData>
            </a:graphic>
          </wp:inline>
        </w:drawing>
      </w:r>
    </w:p>
    <w:p w14:paraId="7E8F7524" w14:textId="77777777" w:rsidR="00097988" w:rsidRPr="00BC2B37" w:rsidRDefault="00097988" w:rsidP="00F67923">
      <w:pPr>
        <w:pStyle w:val="Vvojcen-nadpis3"/>
        <w:rPr>
          <w:color w:val="000000" w:themeColor="text1"/>
        </w:rPr>
      </w:pPr>
      <w:bookmarkStart w:id="92" w:name="_Toc484008767"/>
      <w:bookmarkStart w:id="93" w:name="_Toc484009759"/>
      <w:bookmarkStart w:id="94" w:name="_Toc484009816"/>
      <w:bookmarkStart w:id="95" w:name="_Toc484009873"/>
      <w:bookmarkStart w:id="96" w:name="_Toc484009951"/>
      <w:bookmarkStart w:id="97" w:name="_Toc484010729"/>
      <w:bookmarkStart w:id="98" w:name="_Toc484079657"/>
      <w:bookmarkEnd w:id="92"/>
      <w:bookmarkEnd w:id="93"/>
      <w:bookmarkEnd w:id="94"/>
      <w:bookmarkEnd w:id="95"/>
      <w:bookmarkEnd w:id="96"/>
      <w:bookmarkEnd w:id="97"/>
      <w:r w:rsidRPr="00BC2B37">
        <w:t>Věže</w:t>
      </w:r>
      <w:bookmarkEnd w:id="98"/>
    </w:p>
    <w:p w14:paraId="608DE1B5" w14:textId="7CE95BE2" w:rsidR="00AA167E" w:rsidRDefault="00AA167E" w:rsidP="00F67923">
      <w:pPr>
        <w:pStyle w:val="Vvojcen-zkladntext"/>
      </w:pPr>
      <w:r w:rsidRPr="00C47F79">
        <w:t xml:space="preserve">Věž představuje </w:t>
      </w:r>
      <w:r w:rsidR="00F67B20" w:rsidRPr="00C47F79">
        <w:t xml:space="preserve">z pohledu typologie prvků fyzické infrastruktury </w:t>
      </w:r>
      <w:r w:rsidRPr="00C47F79">
        <w:t>rozsáhlejší a</w:t>
      </w:r>
      <w:r w:rsidR="00274CBF">
        <w:t> </w:t>
      </w:r>
      <w:r w:rsidRPr="00C47F79">
        <w:t xml:space="preserve">komplexnější </w:t>
      </w:r>
      <w:r w:rsidR="00F67B20" w:rsidRPr="00B43D6D">
        <w:t>form</w:t>
      </w:r>
      <w:r w:rsidRPr="00B43D6D">
        <w:t xml:space="preserve">u stožáru, u které se předpokládá </w:t>
      </w:r>
      <w:r w:rsidR="00F67B20" w:rsidRPr="00B43D6D">
        <w:t>využívání pro více účelů a technologií</w:t>
      </w:r>
      <w:r w:rsidR="007437B9" w:rsidRPr="00B43D6D">
        <w:t xml:space="preserve">, např. </w:t>
      </w:r>
      <w:r w:rsidR="00936BD6" w:rsidRPr="00B43D6D">
        <w:t xml:space="preserve">i </w:t>
      </w:r>
      <w:r w:rsidR="007437B9" w:rsidRPr="00F5143B">
        <w:t>jako rozhledny nebo vyhlídkové věže a zároveň</w:t>
      </w:r>
      <w:r w:rsidR="00936BD6" w:rsidRPr="00F5143B">
        <w:t xml:space="preserve"> jako technologické</w:t>
      </w:r>
      <w:r w:rsidR="007437B9" w:rsidRPr="00F5143B">
        <w:t xml:space="preserve"> komunikační středisk</w:t>
      </w:r>
      <w:r w:rsidR="00936BD6" w:rsidRPr="00F5143B">
        <w:t>o</w:t>
      </w:r>
      <w:r w:rsidR="007437B9" w:rsidRPr="00F5143B">
        <w:t>.</w:t>
      </w:r>
      <w:r w:rsidR="003825CE">
        <w:t xml:space="preserve"> </w:t>
      </w:r>
      <w:r w:rsidR="007437B9" w:rsidRPr="003311A5">
        <w:t>Při rozhodování o pořízení věže ne</w:t>
      </w:r>
      <w:r w:rsidR="00936BD6" w:rsidRPr="003311A5">
        <w:t>musí být tedy hlavním motivem pořízení specifického</w:t>
      </w:r>
      <w:r w:rsidR="007437B9" w:rsidRPr="00BC2B37">
        <w:t xml:space="preserve"> technologick</w:t>
      </w:r>
      <w:r w:rsidR="00936BD6" w:rsidRPr="00BC2B37">
        <w:t>ého</w:t>
      </w:r>
      <w:r w:rsidR="007437B9" w:rsidRPr="00BC2B37">
        <w:t xml:space="preserve"> prostor</w:t>
      </w:r>
      <w:r w:rsidR="00936BD6" w:rsidRPr="00BC2B37">
        <w:t>u</w:t>
      </w:r>
      <w:r w:rsidR="007437B9" w:rsidRPr="00BC2B37">
        <w:t xml:space="preserve">, ale půjde zřejmě o širší záměr a dlouhodobou strategii víceúčelového využívání s případnými mimoekonomickými efekty. </w:t>
      </w:r>
      <w:r w:rsidR="000E5336">
        <w:t>Pro alokaci nákladů na výstavbu věže na instalovaný prvek sítě elektronických komunikací bude opět nezbytné stanovit míru sdílení věže jinými prvky či aktivitami, které mohou značně individuální</w:t>
      </w:r>
      <w:r w:rsidR="00010FEF" w:rsidRPr="00BC2B37">
        <w:t>.</w:t>
      </w:r>
    </w:p>
    <w:p w14:paraId="1F76E092" w14:textId="38446F7C" w:rsidR="000E5336" w:rsidRPr="00BC2B37" w:rsidRDefault="00495219" w:rsidP="00495219">
      <w:pPr>
        <w:pStyle w:val="Vvojcen-zkladntext"/>
        <w:ind w:firstLine="0"/>
        <w:jc w:val="center"/>
      </w:pPr>
      <w:r w:rsidRPr="00495219">
        <w:rPr>
          <w:noProof/>
        </w:rPr>
        <w:drawing>
          <wp:inline distT="0" distB="0" distL="0" distR="0" wp14:anchorId="71630F7A" wp14:editId="7A9D2FB5">
            <wp:extent cx="5724525" cy="828675"/>
            <wp:effectExtent l="0" t="0" r="9525" b="9525"/>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828675"/>
                    </a:xfrm>
                    <a:prstGeom prst="rect">
                      <a:avLst/>
                    </a:prstGeom>
                    <a:noFill/>
                    <a:ln>
                      <a:noFill/>
                    </a:ln>
                  </pic:spPr>
                </pic:pic>
              </a:graphicData>
            </a:graphic>
          </wp:inline>
        </w:drawing>
      </w:r>
    </w:p>
    <w:p w14:paraId="593807D1" w14:textId="77777777" w:rsidR="00097988" w:rsidRPr="00BC2B37" w:rsidRDefault="00097988" w:rsidP="00F67923">
      <w:pPr>
        <w:pStyle w:val="Vvojcen-nadpis3"/>
        <w:rPr>
          <w:color w:val="000000" w:themeColor="text1"/>
        </w:rPr>
      </w:pPr>
      <w:bookmarkStart w:id="99" w:name="_Toc484008769"/>
      <w:bookmarkStart w:id="100" w:name="_Toc484009761"/>
      <w:bookmarkStart w:id="101" w:name="_Toc484009818"/>
      <w:bookmarkStart w:id="102" w:name="_Toc484009875"/>
      <w:bookmarkStart w:id="103" w:name="_Toc484009953"/>
      <w:bookmarkStart w:id="104" w:name="_Toc484010731"/>
      <w:bookmarkStart w:id="105" w:name="_Toc484079658"/>
      <w:bookmarkEnd w:id="99"/>
      <w:bookmarkEnd w:id="100"/>
      <w:bookmarkEnd w:id="101"/>
      <w:bookmarkEnd w:id="102"/>
      <w:bookmarkEnd w:id="103"/>
      <w:bookmarkEnd w:id="104"/>
      <w:r w:rsidRPr="00BC2B37">
        <w:t>Podpůrné konstrukce</w:t>
      </w:r>
      <w:bookmarkEnd w:id="105"/>
    </w:p>
    <w:p w14:paraId="5590B26B" w14:textId="77777777" w:rsidR="000A4AEB" w:rsidRPr="00BC2B37" w:rsidRDefault="00010FEF" w:rsidP="00F67923">
      <w:pPr>
        <w:pStyle w:val="Vvojcen-zkladntext"/>
      </w:pPr>
      <w:r w:rsidRPr="00BC2B37">
        <w:t xml:space="preserve">Může se jednat o libovolné stavební konstrukce, které </w:t>
      </w:r>
      <w:r w:rsidR="00601CA4" w:rsidRPr="00BC2B37">
        <w:t xml:space="preserve">podporují nebo umožňují umístění jiných prvků fyzické infrastruktury nebo telekomunikačních technologií. Vzhledem </w:t>
      </w:r>
      <w:r w:rsidR="00601CA4" w:rsidRPr="00BC2B37">
        <w:lastRenderedPageBreak/>
        <w:t>k tomu, že nelze předem definovat, o jaký typ prvku se jedná, bude výpočet ceny podpůrné konstrukce proveden</w:t>
      </w:r>
      <w:r w:rsidR="00B8390A" w:rsidRPr="00BC2B37">
        <w:t xml:space="preserve"> vždy</w:t>
      </w:r>
      <w:r w:rsidR="00601CA4" w:rsidRPr="00BC2B37">
        <w:t xml:space="preserve"> individuální kalkulací podle obecně uplatňovaného schématu.</w:t>
      </w:r>
    </w:p>
    <w:p w14:paraId="2B199661" w14:textId="77777777" w:rsidR="00601CA4" w:rsidRPr="00BC2B37" w:rsidRDefault="000A4AEB" w:rsidP="00F67923">
      <w:pPr>
        <w:pStyle w:val="Vvojcen-zkladntext"/>
      </w:pPr>
      <w:r w:rsidRPr="00BC2B37">
        <w:t>Pořizovací n</w:t>
      </w:r>
      <w:r w:rsidR="00601CA4" w:rsidRPr="00BC2B37">
        <w:t>áklady na podpůrnou konstrukci</w:t>
      </w:r>
      <w:r w:rsidR="008E36F4" w:rsidRPr="00BC2B37">
        <w:t>:</w:t>
      </w:r>
    </w:p>
    <w:p w14:paraId="0FAAC31C" w14:textId="112DE298" w:rsidR="00601CA4" w:rsidRPr="00BC2B37" w:rsidRDefault="006B7AA2" w:rsidP="00F67923">
      <w:pPr>
        <w:overflowPunct/>
        <w:autoSpaceDE/>
        <w:autoSpaceDN/>
        <w:adjustRightInd/>
        <w:spacing w:after="240"/>
        <w:jc w:val="both"/>
        <w:textAlignment w:val="auto"/>
        <w:rPr>
          <w:rFonts w:ascii="Cambria" w:hAnsi="Cambria" w:cs="Arial"/>
          <w:color w:val="000000" w:themeColor="text1"/>
          <w:sz w:val="24"/>
          <w:szCs w:val="24"/>
        </w:rPr>
      </w:pPr>
      <w:r w:rsidRPr="006B7AA2" w:rsidDel="006B7AA2">
        <w:t xml:space="preserve"> </w:t>
      </w:r>
      <w:r w:rsidR="00AE76D2" w:rsidRPr="00AE76D2">
        <w:rPr>
          <w:noProof/>
        </w:rPr>
        <w:drawing>
          <wp:inline distT="0" distB="0" distL="0" distR="0" wp14:anchorId="510C9DB2" wp14:editId="2AA92550">
            <wp:extent cx="5718220" cy="817880"/>
            <wp:effectExtent l="0" t="0" r="0" b="127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9699" cy="818092"/>
                    </a:xfrm>
                    <a:prstGeom prst="rect">
                      <a:avLst/>
                    </a:prstGeom>
                    <a:noFill/>
                    <a:ln>
                      <a:noFill/>
                    </a:ln>
                  </pic:spPr>
                </pic:pic>
              </a:graphicData>
            </a:graphic>
          </wp:inline>
        </w:drawing>
      </w:r>
    </w:p>
    <w:p w14:paraId="7099EFE2" w14:textId="3765F28F" w:rsidR="00B8390A" w:rsidRPr="00B43D6D" w:rsidRDefault="00B8390A" w:rsidP="00F67923">
      <w:pPr>
        <w:pStyle w:val="Vvojcen-nadpis2"/>
        <w:rPr>
          <w:rFonts w:eastAsia="MS Mincho"/>
          <w:lang w:eastAsia="ja-JP"/>
        </w:rPr>
      </w:pPr>
      <w:bookmarkStart w:id="106" w:name="_Toc484008771"/>
      <w:bookmarkStart w:id="107" w:name="_Toc484009763"/>
      <w:bookmarkStart w:id="108" w:name="_Toc484009820"/>
      <w:bookmarkStart w:id="109" w:name="_Toc484009877"/>
      <w:bookmarkStart w:id="110" w:name="_Toc484009955"/>
      <w:bookmarkStart w:id="111" w:name="_Toc484010733"/>
      <w:bookmarkStart w:id="112" w:name="_Toc484008772"/>
      <w:bookmarkStart w:id="113" w:name="_Toc484009764"/>
      <w:bookmarkStart w:id="114" w:name="_Toc484009821"/>
      <w:bookmarkStart w:id="115" w:name="_Toc484009878"/>
      <w:bookmarkStart w:id="116" w:name="_Toc484009956"/>
      <w:bookmarkStart w:id="117" w:name="_Toc484010734"/>
      <w:bookmarkStart w:id="118" w:name="_Toc484079659"/>
      <w:bookmarkEnd w:id="106"/>
      <w:bookmarkEnd w:id="107"/>
      <w:bookmarkEnd w:id="108"/>
      <w:bookmarkEnd w:id="109"/>
      <w:bookmarkEnd w:id="110"/>
      <w:bookmarkEnd w:id="111"/>
      <w:bookmarkEnd w:id="112"/>
      <w:bookmarkEnd w:id="113"/>
      <w:bookmarkEnd w:id="114"/>
      <w:bookmarkEnd w:id="115"/>
      <w:bookmarkEnd w:id="116"/>
      <w:bookmarkEnd w:id="117"/>
      <w:r w:rsidRPr="00B43D6D">
        <w:rPr>
          <w:rFonts w:eastAsia="MS Mincho"/>
          <w:lang w:eastAsia="ja-JP"/>
        </w:rPr>
        <w:t>Provozní náklady</w:t>
      </w:r>
      <w:bookmarkEnd w:id="118"/>
    </w:p>
    <w:p w14:paraId="7A5069A3" w14:textId="4C01F509" w:rsidR="00413B94" w:rsidRDefault="00136076" w:rsidP="00F67923">
      <w:pPr>
        <w:pStyle w:val="Vvojcen-zkladntext"/>
      </w:pPr>
      <w:r w:rsidRPr="00F67923">
        <w:t>Provozní náklady zahrnují výdaje spojené se zajištěním provozuschopnosti daného prvku</w:t>
      </w:r>
      <w:r w:rsidR="00B855BF" w:rsidRPr="00F67923">
        <w:t xml:space="preserve"> fyzické infrastruktury, které mohou být jak operativního</w:t>
      </w:r>
      <w:r w:rsidR="00563BA3">
        <w:t>,</w:t>
      </w:r>
      <w:r w:rsidR="00B855BF" w:rsidRPr="00F67923">
        <w:t xml:space="preserve"> tak preventivního charakteru. Jedná se zejména o pravidelnou kontrolu technických parametrů, zjišťování neporušenosti a</w:t>
      </w:r>
      <w:r w:rsidR="00274CBF" w:rsidRPr="00F67923">
        <w:t> </w:t>
      </w:r>
      <w:r w:rsidR="00B855BF" w:rsidRPr="00F67923">
        <w:t>fyzického stavu, předepsané revize a prověření funkčnosti tohoto prvku.</w:t>
      </w:r>
      <w:r w:rsidR="00563BA3">
        <w:t xml:space="preserve"> Do oblasti provozních nákladů lze </w:t>
      </w:r>
      <w:r w:rsidR="00AE76D2">
        <w:t xml:space="preserve">u vybraných prvků </w:t>
      </w:r>
      <w:r w:rsidR="00563BA3">
        <w:t xml:space="preserve">zahrnout </w:t>
      </w:r>
      <w:r w:rsidR="00AE76D2">
        <w:t xml:space="preserve">případně </w:t>
      </w:r>
      <w:r w:rsidR="00563BA3">
        <w:t>i náklady na energie, klimatizace apod.</w:t>
      </w:r>
      <w:r w:rsidR="00B855BF" w:rsidRPr="00F67923">
        <w:t xml:space="preserve"> Podle druhu předmětného aktiva lze mezi výdaje zařadit </w:t>
      </w:r>
      <w:r w:rsidR="00E178B6" w:rsidRPr="00F67923">
        <w:t>např.</w:t>
      </w:r>
      <w:r w:rsidR="00B855BF" w:rsidRPr="00F67923">
        <w:t xml:space="preserve"> nátěry a další udržovací práce</w:t>
      </w:r>
      <w:r w:rsidR="00E178B6" w:rsidRPr="00F67923">
        <w:t xml:space="preserve"> pro nadzemní</w:t>
      </w:r>
      <w:r w:rsidR="00B855BF" w:rsidRPr="00F67923">
        <w:t xml:space="preserve"> prvk</w:t>
      </w:r>
      <w:r w:rsidR="00E178B6" w:rsidRPr="00F67923">
        <w:t xml:space="preserve">y, zajištění přístupů pro oprávněné osoby a podíl nákladů na informování a komunikaci </w:t>
      </w:r>
      <w:r w:rsidR="008C2E59" w:rsidRPr="00F67923">
        <w:t xml:space="preserve">s oprávněnými osobami </w:t>
      </w:r>
      <w:r w:rsidR="00E178B6" w:rsidRPr="00F67923">
        <w:t>o případných opravách, výlukách provozu apod.</w:t>
      </w:r>
      <w:r w:rsidR="008C2E59" w:rsidRPr="00F67923">
        <w:t xml:space="preserve"> Součástí provozních nákladů je i vedení operativní evidence o fyzické infrastruktuře a</w:t>
      </w:r>
      <w:r w:rsidR="00FE121A">
        <w:t> </w:t>
      </w:r>
      <w:r w:rsidR="008C2E59" w:rsidRPr="00F67923">
        <w:t>poskytování informací</w:t>
      </w:r>
      <w:r w:rsidR="00E178B6" w:rsidRPr="00F67923">
        <w:t xml:space="preserve"> </w:t>
      </w:r>
      <w:r w:rsidR="008C2E59" w:rsidRPr="00F67923">
        <w:t>a</w:t>
      </w:r>
      <w:r w:rsidR="00274CBF" w:rsidRPr="00F67923">
        <w:t> </w:t>
      </w:r>
      <w:r w:rsidR="008C2E59" w:rsidRPr="00F67923">
        <w:t>výpisů z této evidence.</w:t>
      </w:r>
      <w:r w:rsidR="00413B94">
        <w:t xml:space="preserve"> </w:t>
      </w:r>
    </w:p>
    <w:p w14:paraId="5C94986D" w14:textId="78B08121" w:rsidR="00B855BF" w:rsidRPr="004B3FEF" w:rsidRDefault="00413B94" w:rsidP="00F67923">
      <w:pPr>
        <w:pStyle w:val="Vvojcen-zkladntext"/>
      </w:pPr>
      <w:r>
        <w:t>Výše provozních nákladů na údržbu prvků fyzické infrastruktury bude pravděpodobně u každé povinné osoby rozdílná, v závislosti na sektoru, ve kterém působí a lokalitě, ve které se fyzická infrastruktura nachází. Každý povinný subjekt si proto s využitím podkladů</w:t>
      </w:r>
      <w:r w:rsidR="00090DD9" w:rsidRPr="00090DD9">
        <w:t xml:space="preserve"> </w:t>
      </w:r>
      <w:r w:rsidR="00090DD9">
        <w:t>z vlastní</w:t>
      </w:r>
      <w:r w:rsidR="00090DD9" w:rsidRPr="00090DD9">
        <w:t xml:space="preserve"> </w:t>
      </w:r>
      <w:r w:rsidR="00090DD9">
        <w:t>účetní a controllingové evidence definuje přiměřený rozsah provozních nákladů a stanoví</w:t>
      </w:r>
      <w:r w:rsidR="00090DD9" w:rsidRPr="00090DD9">
        <w:t xml:space="preserve"> </w:t>
      </w:r>
      <w:r w:rsidR="00090DD9">
        <w:t xml:space="preserve">poměr provozních </w:t>
      </w:r>
      <w:r w:rsidR="00090DD9" w:rsidRPr="008C444C">
        <w:t>nákladů k</w:t>
      </w:r>
      <w:r w:rsidR="002A311A">
        <w:t> </w:t>
      </w:r>
      <w:r w:rsidR="00090DD9" w:rsidRPr="008C444C">
        <w:t>aktuální</w:t>
      </w:r>
      <w:r w:rsidR="002A311A">
        <w:t xml:space="preserve"> pořizovací</w:t>
      </w:r>
      <w:r w:rsidR="00090DD9" w:rsidRPr="008C444C">
        <w:t xml:space="preserve"> hodnotě</w:t>
      </w:r>
      <w:r w:rsidR="00090DD9" w:rsidRPr="008C444C">
        <w:rPr>
          <w:rStyle w:val="Znakapoznpodarou"/>
        </w:rPr>
        <w:footnoteReference w:id="4"/>
      </w:r>
      <w:r w:rsidR="00090DD9" w:rsidRPr="008C444C">
        <w:t xml:space="preserve"> prvků fyzické infrastruktury, které mohou být předmětem zpřístupnění. </w:t>
      </w:r>
      <w:r w:rsidR="00C612A1" w:rsidRPr="008C444C">
        <w:t>D</w:t>
      </w:r>
      <w:r w:rsidR="00C612A1" w:rsidRPr="00F67923">
        <w:t xml:space="preserve">o procentní přirážky provozních nákladů ve vztahu k hodnotě daného prvku fyzické infrastruktury lze promítnout jen oprávněné a zdůvodněné náklady. </w:t>
      </w:r>
      <w:r w:rsidR="00C612A1">
        <w:t xml:space="preserve">Hodnoty pro výpočet přirážky provozních nákladů by měly vyjadřovat aktuální úroveň těchto nákladů a neměly by být čerpány z účetních podkladů za období starší než 3 roky. Tuto přirážku lze v pravidelných intervalech verifikovat a aktualizovat, nicméně v zájmu předvídatelnosti a stability podmínek pronájmu se předpokládá, že změna výpočtu této skupiny </w:t>
      </w:r>
      <w:r w:rsidR="00C612A1" w:rsidRPr="008C444C">
        <w:t>nákladů by se mohla uskutečnit zpravidla 1x za 3 roky.</w:t>
      </w:r>
    </w:p>
    <w:p w14:paraId="4BA87A05" w14:textId="35CD39CD" w:rsidR="007A7046" w:rsidRPr="008C444C" w:rsidRDefault="007A7046" w:rsidP="00F67923">
      <w:pPr>
        <w:pStyle w:val="Vvojcen-zkladntext"/>
      </w:pPr>
      <w:r w:rsidRPr="00F67923">
        <w:t>Do oblasti nákladů na provoz fyzické infrastruktury spadají také výdaje spojené se zajištěním úrovně garantované kvality SLA (Service Level Agreement).</w:t>
      </w:r>
      <w:r w:rsidR="003825CE" w:rsidRPr="00F67923">
        <w:t xml:space="preserve"> </w:t>
      </w:r>
      <w:r w:rsidRPr="00F67923">
        <w:t>Provozovatel daného prvku fyzické infrastruktury je oprávněn do ceny</w:t>
      </w:r>
      <w:r w:rsidR="00FB69BD" w:rsidRPr="00F67923">
        <w:t xml:space="preserve"> promítnout nezbytné náklady spojené s připraveností a rychlostí zásahů při obnovení funkčnosti</w:t>
      </w:r>
      <w:r w:rsidRPr="00F67923">
        <w:t xml:space="preserve"> </w:t>
      </w:r>
      <w:r w:rsidR="00FB69BD" w:rsidRPr="00F67923">
        <w:t>pronajímané infrastruktury. Základní úroveň kvality je vyjádřena koeficientem 1 a může být zvýšena po dohodě s oprávněnou osobou v závislosti na požadavcích zvýšené kvality. Pokud se obě strany dohodnou a</w:t>
      </w:r>
      <w:r w:rsidR="00274CBF" w:rsidRPr="00F67923">
        <w:t> </w:t>
      </w:r>
      <w:r w:rsidR="00FB69BD" w:rsidRPr="00F67923">
        <w:t>nebudou-li na straně povinné osoby existovat překážky, může starost o zajištění kvality převzít oprávněná osoba ve své režii.</w:t>
      </w:r>
      <w:r w:rsidR="003825CE" w:rsidRPr="00F67923">
        <w:t xml:space="preserve"> </w:t>
      </w:r>
    </w:p>
    <w:p w14:paraId="195DE54A" w14:textId="450AC282" w:rsidR="00B8390A" w:rsidRPr="00BC2B37" w:rsidRDefault="00913667" w:rsidP="00F67923">
      <w:pPr>
        <w:pStyle w:val="Vvojcen-zkladntext"/>
      </w:pPr>
      <w:r w:rsidRPr="00F67923">
        <w:t>Výpočet provozních nákladů se u</w:t>
      </w:r>
      <w:r w:rsidR="00C77F1D" w:rsidRPr="00F67923">
        <w:t xml:space="preserve"> všech prvk</w:t>
      </w:r>
      <w:r w:rsidRPr="00F67923">
        <w:t>ů</w:t>
      </w:r>
      <w:r w:rsidR="00C77F1D" w:rsidRPr="00F67923">
        <w:t xml:space="preserve"> </w:t>
      </w:r>
      <w:r w:rsidR="00100067" w:rsidRPr="00F67923">
        <w:t>proved</w:t>
      </w:r>
      <w:r w:rsidR="00B8390A" w:rsidRPr="00F67923">
        <w:t xml:space="preserve">e </w:t>
      </w:r>
      <w:r w:rsidR="00100067" w:rsidRPr="00F67923">
        <w:t xml:space="preserve">stanovenou </w:t>
      </w:r>
      <w:r w:rsidR="00B8390A" w:rsidRPr="00F67923">
        <w:t>procentní přirážkou</w:t>
      </w:r>
      <w:r w:rsidR="00100067" w:rsidRPr="00F67923">
        <w:t xml:space="preserve"> pro daný druh</w:t>
      </w:r>
      <w:r w:rsidR="00B8390A" w:rsidRPr="00F67923">
        <w:t xml:space="preserve"> </w:t>
      </w:r>
      <w:r w:rsidR="00100067" w:rsidRPr="00F67923">
        <w:t>fyzické infrastruktury.</w:t>
      </w:r>
    </w:p>
    <w:p w14:paraId="423208B2" w14:textId="48D4D702" w:rsidR="00B8390A" w:rsidRPr="00BC2B37" w:rsidRDefault="00C612A1" w:rsidP="00F67923">
      <w:pPr>
        <w:overflowPunct/>
        <w:autoSpaceDE/>
        <w:autoSpaceDN/>
        <w:adjustRightInd/>
        <w:spacing w:after="240"/>
        <w:jc w:val="both"/>
        <w:textAlignment w:val="auto"/>
        <w:rPr>
          <w:rFonts w:ascii="Cambria" w:hAnsi="Cambria"/>
          <w:sz w:val="24"/>
        </w:rPr>
      </w:pPr>
      <w:r w:rsidRPr="00C612A1" w:rsidDel="007A7046">
        <w:lastRenderedPageBreak/>
        <w:t xml:space="preserve"> </w:t>
      </w:r>
      <w:r w:rsidR="002A311A" w:rsidRPr="002A311A">
        <w:rPr>
          <w:noProof/>
        </w:rPr>
        <w:drawing>
          <wp:inline distT="0" distB="0" distL="0" distR="0" wp14:anchorId="5547C1D9" wp14:editId="25C634DF">
            <wp:extent cx="5760720" cy="7057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705700"/>
                    </a:xfrm>
                    <a:prstGeom prst="rect">
                      <a:avLst/>
                    </a:prstGeom>
                    <a:noFill/>
                    <a:ln>
                      <a:noFill/>
                    </a:ln>
                  </pic:spPr>
                </pic:pic>
              </a:graphicData>
            </a:graphic>
          </wp:inline>
        </w:drawing>
      </w:r>
    </w:p>
    <w:p w14:paraId="14847314" w14:textId="3EDB6F73" w:rsidR="00B8390A" w:rsidRDefault="00C612A1" w:rsidP="00F67923">
      <w:pPr>
        <w:overflowPunct/>
        <w:autoSpaceDE/>
        <w:autoSpaceDN/>
        <w:adjustRightInd/>
        <w:spacing w:after="240"/>
        <w:jc w:val="both"/>
        <w:textAlignment w:val="auto"/>
      </w:pPr>
      <w:r w:rsidRPr="00C612A1">
        <w:rPr>
          <w:noProof/>
        </w:rPr>
        <w:drawing>
          <wp:inline distT="0" distB="0" distL="0" distR="0" wp14:anchorId="725343A1" wp14:editId="7324BE21">
            <wp:extent cx="5769610" cy="760040"/>
            <wp:effectExtent l="0" t="0" r="2540" b="2540"/>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0662" cy="770717"/>
                    </a:xfrm>
                    <a:prstGeom prst="rect">
                      <a:avLst/>
                    </a:prstGeom>
                    <a:noFill/>
                    <a:ln>
                      <a:noFill/>
                    </a:ln>
                  </pic:spPr>
                </pic:pic>
              </a:graphicData>
            </a:graphic>
          </wp:inline>
        </w:drawing>
      </w:r>
      <w:r w:rsidRPr="00C612A1" w:rsidDel="00C612A1">
        <w:t xml:space="preserve"> </w:t>
      </w:r>
    </w:p>
    <w:p w14:paraId="034F73DC" w14:textId="0A86BE92" w:rsidR="009E2C85" w:rsidRPr="00BC2B37" w:rsidRDefault="009E2C85" w:rsidP="009E2C85">
      <w:pPr>
        <w:pStyle w:val="Vvojcen-zkladntext"/>
        <w:rPr>
          <w:rFonts w:ascii="Cambria" w:hAnsi="Cambria"/>
          <w:sz w:val="24"/>
        </w:rPr>
      </w:pPr>
      <w:r>
        <w:t>Cílem takto zvoleného výpočtu je zahrnout provozní náklady do ceny zpřístupňované infrastruktury maximálně jen v té míře, v jaké je (v průměru) povinný subjekt uplatňuje u svých ostatní služeb.</w:t>
      </w:r>
    </w:p>
    <w:p w14:paraId="1C9A487E" w14:textId="58B6C46D" w:rsidR="00C77F1D" w:rsidRPr="00BC2B37" w:rsidRDefault="00C77F1D" w:rsidP="00F67923">
      <w:pPr>
        <w:pStyle w:val="Vvojcen-nadpis2"/>
        <w:rPr>
          <w:rFonts w:eastAsia="MS Mincho"/>
          <w:lang w:eastAsia="ja-JP"/>
        </w:rPr>
      </w:pPr>
      <w:bookmarkStart w:id="119" w:name="_Toc484008774"/>
      <w:bookmarkStart w:id="120" w:name="_Toc484009766"/>
      <w:bookmarkStart w:id="121" w:name="_Toc484009823"/>
      <w:bookmarkStart w:id="122" w:name="_Toc484009880"/>
      <w:bookmarkStart w:id="123" w:name="_Toc484009958"/>
      <w:bookmarkStart w:id="124" w:name="_Toc484010736"/>
      <w:bookmarkStart w:id="125" w:name="_Toc484008775"/>
      <w:bookmarkStart w:id="126" w:name="_Toc484009767"/>
      <w:bookmarkStart w:id="127" w:name="_Toc484009824"/>
      <w:bookmarkStart w:id="128" w:name="_Toc484009881"/>
      <w:bookmarkStart w:id="129" w:name="_Toc484009959"/>
      <w:bookmarkStart w:id="130" w:name="_Toc484010737"/>
      <w:bookmarkStart w:id="131" w:name="_Toc484079660"/>
      <w:bookmarkEnd w:id="119"/>
      <w:bookmarkEnd w:id="120"/>
      <w:bookmarkEnd w:id="121"/>
      <w:bookmarkEnd w:id="122"/>
      <w:bookmarkEnd w:id="123"/>
      <w:bookmarkEnd w:id="124"/>
      <w:bookmarkEnd w:id="125"/>
      <w:bookmarkEnd w:id="126"/>
      <w:bookmarkEnd w:id="127"/>
      <w:bookmarkEnd w:id="128"/>
      <w:bookmarkEnd w:id="129"/>
      <w:bookmarkEnd w:id="130"/>
      <w:r w:rsidRPr="00BC2B37">
        <w:rPr>
          <w:rFonts w:eastAsia="MS Mincho"/>
          <w:lang w:eastAsia="ja-JP"/>
        </w:rPr>
        <w:t>Billing</w:t>
      </w:r>
      <w:bookmarkEnd w:id="131"/>
    </w:p>
    <w:p w14:paraId="65DBBE99" w14:textId="6CF77CAF" w:rsidR="00C77F1D" w:rsidRPr="002C52CF" w:rsidRDefault="002D33EF" w:rsidP="00F67923">
      <w:pPr>
        <w:pStyle w:val="Vvojcen-zkladntext"/>
      </w:pPr>
      <w:r w:rsidRPr="00F67923">
        <w:t xml:space="preserve">Náklady na billing zahrnují výdaje </w:t>
      </w:r>
      <w:r w:rsidR="00250BAF" w:rsidRPr="00F67923">
        <w:t xml:space="preserve">určené </w:t>
      </w:r>
      <w:r w:rsidRPr="00F67923">
        <w:t xml:space="preserve">na </w:t>
      </w:r>
      <w:r w:rsidR="00250BAF" w:rsidRPr="00F67923">
        <w:t>zajištění pravidelného vyúčtování a</w:t>
      </w:r>
      <w:r w:rsidR="00274CBF" w:rsidRPr="00F67923">
        <w:t> </w:t>
      </w:r>
      <w:r w:rsidR="00250BAF" w:rsidRPr="00F67923">
        <w:t xml:space="preserve">placení poskytnutých služeb pronájmu fyzické infrastruktury. </w:t>
      </w:r>
      <w:r w:rsidR="00C77F1D" w:rsidRPr="00F67923">
        <w:t xml:space="preserve">Výše nákladů na billing </w:t>
      </w:r>
      <w:r w:rsidR="00250BAF" w:rsidRPr="00F67923">
        <w:t>s</w:t>
      </w:r>
      <w:r w:rsidR="00EE1445" w:rsidRPr="00F67923">
        <w:t>e odvozuje od alokovaných osobních nákladů a</w:t>
      </w:r>
      <w:r w:rsidR="003825CE" w:rsidRPr="00F67923">
        <w:t xml:space="preserve"> </w:t>
      </w:r>
      <w:r w:rsidR="000F1305" w:rsidRPr="00F67923">
        <w:t xml:space="preserve">systémové IT podpory na </w:t>
      </w:r>
      <w:r w:rsidR="004A68E0" w:rsidRPr="00F67923">
        <w:t>pravidelnou fakturaci, sledování úhrad a pohledávek z této činnosti.</w:t>
      </w:r>
      <w:r w:rsidR="004A68E0" w:rsidRPr="008C444C">
        <w:t xml:space="preserve"> </w:t>
      </w:r>
    </w:p>
    <w:p w14:paraId="6BFCA8C6" w14:textId="70395ED5" w:rsidR="004E43CD" w:rsidRPr="00F67923" w:rsidRDefault="00495219" w:rsidP="00F67923">
      <w:pPr>
        <w:pStyle w:val="Vvojcen-zkladntext"/>
      </w:pPr>
      <w:r>
        <w:t>Náklady na billing se</w:t>
      </w:r>
      <w:r w:rsidR="004A68E0" w:rsidRPr="00F67923">
        <w:t xml:space="preserve"> do kalkulace ceny pronájmu fyzické infrastruktury </w:t>
      </w:r>
      <w:r w:rsidR="001837C9" w:rsidRPr="003C4263">
        <w:t>promítají</w:t>
      </w:r>
      <w:r w:rsidR="001837C9" w:rsidRPr="001837C9">
        <w:t xml:space="preserve"> </w:t>
      </w:r>
      <w:r w:rsidR="004A68E0" w:rsidRPr="00F67923">
        <w:t xml:space="preserve">paušální </w:t>
      </w:r>
      <w:r w:rsidR="00024287" w:rsidRPr="00F67923">
        <w:t>přirážkou</w:t>
      </w:r>
      <w:r w:rsidR="004A68E0" w:rsidRPr="00F67923">
        <w:t>.</w:t>
      </w:r>
    </w:p>
    <w:p w14:paraId="109D3ECD" w14:textId="7A600F44" w:rsidR="00E1246D" w:rsidRDefault="00BB77DA" w:rsidP="00F67923">
      <w:pPr>
        <w:pStyle w:val="Vvojcen-zkladntext"/>
        <w:ind w:firstLine="0"/>
        <w:rPr>
          <w:highlight w:val="yellow"/>
        </w:rPr>
      </w:pPr>
      <w:r w:rsidRPr="00495219">
        <w:rPr>
          <w:noProof/>
        </w:rPr>
        <w:drawing>
          <wp:inline distT="0" distB="0" distL="0" distR="0" wp14:anchorId="3CB335E4" wp14:editId="442850B0">
            <wp:extent cx="5808372" cy="592455"/>
            <wp:effectExtent l="0" t="0" r="1905" b="0"/>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17092" cy="593344"/>
                    </a:xfrm>
                    <a:prstGeom prst="rect">
                      <a:avLst/>
                    </a:prstGeom>
                    <a:noFill/>
                    <a:ln>
                      <a:noFill/>
                    </a:ln>
                  </pic:spPr>
                </pic:pic>
              </a:graphicData>
            </a:graphic>
          </wp:inline>
        </w:drawing>
      </w:r>
    </w:p>
    <w:p w14:paraId="115EFCEF" w14:textId="04CE8762" w:rsidR="004E43CD" w:rsidRPr="00BC2B37" w:rsidRDefault="004E43CD" w:rsidP="00F67923">
      <w:pPr>
        <w:pStyle w:val="Vvojcen-zkladntext"/>
        <w:rPr>
          <w:rFonts w:ascii="Cambria" w:hAnsi="Cambria"/>
          <w:sz w:val="24"/>
        </w:rPr>
      </w:pPr>
      <w:r>
        <w:t>Každý povinný subjekt si s využitím podkladů z vlastní</w:t>
      </w:r>
      <w:r w:rsidR="00090DD9" w:rsidRPr="00090DD9">
        <w:t xml:space="preserve"> </w:t>
      </w:r>
      <w:r w:rsidR="00090DD9">
        <w:t>účetní a controllingové evidence definuje přiměřený rozsah nákladů na billing. Na tomto základě stanoví porovnáním s objemem ročních provozních nákladů včetně ročních odpisů přirážku v procentech. Hodnoty pro výpočet přirážky nákladů na billing by měly vyjadřovat aktuální úroveň těchto nákladů a</w:t>
      </w:r>
      <w:r w:rsidR="001837C9">
        <w:t> </w:t>
      </w:r>
      <w:r w:rsidR="00090DD9">
        <w:t>neměly by být čerpány z účetních podkladů za období starší než 3 roky. Tuto přirážku lze v pravidelných intervalech verifikovat a aktualizovat, nicméně v zájmu předvídatelnosti a</w:t>
      </w:r>
      <w:r w:rsidR="001837C9">
        <w:t> </w:t>
      </w:r>
      <w:r w:rsidR="00090DD9">
        <w:t>stability podmínek pronájmu se předpokládá, že změna výpočtu této skupiny nákladů by se mohla uskutečnit zpravidla 1x za 3 roky.</w:t>
      </w:r>
      <w:r w:rsidR="009E2C85">
        <w:t xml:space="preserve"> Cílem takto zvoleného výpočtu je zahrnout billingové náklady do ceny zpřístupňované infrastruktury maximálně jen v té míře, v jaké je (v průměru) povinný subjekt uplatňuje u svých ostatní služeb.</w:t>
      </w:r>
    </w:p>
    <w:p w14:paraId="0175DD93" w14:textId="62F78AB7" w:rsidR="00C77F1D" w:rsidRPr="00C47F79" w:rsidRDefault="00C77F1D" w:rsidP="00F67923">
      <w:pPr>
        <w:pStyle w:val="Vvojcen-nadpis2"/>
        <w:rPr>
          <w:rFonts w:eastAsia="MS Mincho"/>
          <w:lang w:eastAsia="ja-JP"/>
        </w:rPr>
      </w:pPr>
      <w:bookmarkStart w:id="132" w:name="_Toc484008777"/>
      <w:bookmarkStart w:id="133" w:name="_Toc484009769"/>
      <w:bookmarkStart w:id="134" w:name="_Toc484009826"/>
      <w:bookmarkStart w:id="135" w:name="_Toc484009883"/>
      <w:bookmarkStart w:id="136" w:name="_Toc484009961"/>
      <w:bookmarkStart w:id="137" w:name="_Toc484010739"/>
      <w:bookmarkStart w:id="138" w:name="_Toc484079661"/>
      <w:bookmarkEnd w:id="132"/>
      <w:bookmarkEnd w:id="133"/>
      <w:bookmarkEnd w:id="134"/>
      <w:bookmarkEnd w:id="135"/>
      <w:bookmarkEnd w:id="136"/>
      <w:bookmarkEnd w:id="137"/>
      <w:r w:rsidRPr="00C47F79">
        <w:rPr>
          <w:rFonts w:eastAsia="MS Mincho"/>
          <w:lang w:eastAsia="ja-JP"/>
        </w:rPr>
        <w:t>Prodej a péče o zákazníka</w:t>
      </w:r>
      <w:bookmarkEnd w:id="138"/>
    </w:p>
    <w:p w14:paraId="21C20647" w14:textId="61D6FB5E" w:rsidR="00E011DE" w:rsidRPr="002C52CF" w:rsidRDefault="00E011DE" w:rsidP="00F67923">
      <w:pPr>
        <w:pStyle w:val="Vvojcen-zkladntext"/>
      </w:pPr>
      <w:r w:rsidRPr="00F67923">
        <w:t>Náklady na prodej a péči o zákazníka zahrnují výdaje určené na</w:t>
      </w:r>
      <w:r w:rsidR="00CB5A97" w:rsidRPr="00F67923">
        <w:t xml:space="preserve"> vytvoření administrativní a systémové podpory zákazníka, zejména komunikačních kanálů, sdílení důležitých informací např. o připravovaných investicích</w:t>
      </w:r>
      <w:r w:rsidR="003E4AD2" w:rsidRPr="00F67923">
        <w:t xml:space="preserve"> a rozvoji dotýkající se předmětné fyzické infrastruktury</w:t>
      </w:r>
      <w:r w:rsidR="00CB5A97" w:rsidRPr="00F67923">
        <w:t>, řešení podnětů</w:t>
      </w:r>
      <w:r w:rsidR="003E4AD2" w:rsidRPr="00F67923">
        <w:t>, stížností a reklamací</w:t>
      </w:r>
      <w:r w:rsidR="00CB5A97" w:rsidRPr="00F67923">
        <w:t xml:space="preserve"> oprávněné osoby</w:t>
      </w:r>
      <w:r w:rsidR="003E4AD2" w:rsidRPr="008C444C">
        <w:t>.</w:t>
      </w:r>
      <w:r w:rsidR="003825CE" w:rsidRPr="002C52CF">
        <w:t xml:space="preserve"> </w:t>
      </w:r>
    </w:p>
    <w:p w14:paraId="2B779C46" w14:textId="1BA92862" w:rsidR="003E4AD2" w:rsidRPr="003311A5" w:rsidRDefault="003E4AD2" w:rsidP="00F67923">
      <w:pPr>
        <w:pStyle w:val="Vvojcen-zkladntext"/>
      </w:pPr>
      <w:r w:rsidRPr="00F67923">
        <w:t>Ekonomicky zdůvodněné náklady na péči o zákazníka se promítnou do procentní přirážky k pořizovací ceně daného prvku fyzické infrastruktury. Lze předpokládat, že výše těchto nákladů se bude obecně vyvíjet v určité korelaci s objemem realizovaných pronájmů</w:t>
      </w:r>
      <w:r w:rsidR="00223322" w:rsidRPr="00F67923">
        <w:t xml:space="preserve"> fyzické infrastruktury</w:t>
      </w:r>
      <w:r w:rsidRPr="00F67923">
        <w:t xml:space="preserve">, proto pro výpočet uvedené </w:t>
      </w:r>
      <w:r w:rsidR="00223322" w:rsidRPr="00F67923">
        <w:t xml:space="preserve">nákladové </w:t>
      </w:r>
      <w:r w:rsidRPr="00F67923">
        <w:t>složky se využije procentní přirážka.</w:t>
      </w:r>
    </w:p>
    <w:p w14:paraId="3BB559A2" w14:textId="5F084408" w:rsidR="00C77F1D" w:rsidRDefault="00BB77DA" w:rsidP="00F67923">
      <w:pPr>
        <w:overflowPunct/>
        <w:autoSpaceDE/>
        <w:autoSpaceDN/>
        <w:adjustRightInd/>
        <w:spacing w:before="240" w:after="240"/>
        <w:jc w:val="both"/>
        <w:textAlignment w:val="auto"/>
        <w:rPr>
          <w:rFonts w:ascii="Cambria" w:hAnsi="Cambria"/>
          <w:sz w:val="24"/>
        </w:rPr>
      </w:pPr>
      <w:r w:rsidRPr="00BB77DA">
        <w:rPr>
          <w:noProof/>
        </w:rPr>
        <w:lastRenderedPageBreak/>
        <w:drawing>
          <wp:inline distT="0" distB="0" distL="0" distR="0" wp14:anchorId="5A931EE8" wp14:editId="2FE112F9">
            <wp:extent cx="5769735" cy="688975"/>
            <wp:effectExtent l="0" t="0" r="254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3039" cy="689370"/>
                    </a:xfrm>
                    <a:prstGeom prst="rect">
                      <a:avLst/>
                    </a:prstGeom>
                    <a:noFill/>
                    <a:ln>
                      <a:noFill/>
                    </a:ln>
                  </pic:spPr>
                </pic:pic>
              </a:graphicData>
            </a:graphic>
          </wp:inline>
        </w:drawing>
      </w:r>
    </w:p>
    <w:p w14:paraId="4F48CBA2" w14:textId="316F51A3" w:rsidR="000A06B5" w:rsidRPr="00BC2B37" w:rsidRDefault="00274CBF" w:rsidP="00F67923">
      <w:pPr>
        <w:pStyle w:val="Vvojcen-zkladntext"/>
        <w:rPr>
          <w:rFonts w:ascii="Cambria" w:hAnsi="Cambria"/>
          <w:sz w:val="24"/>
        </w:rPr>
      </w:pPr>
      <w:r>
        <w:t>Každý povinný subjekt s využitím podkladů z vlastní účetní</w:t>
      </w:r>
      <w:r w:rsidR="00223322">
        <w:t xml:space="preserve"> a controllingové evidence</w:t>
      </w:r>
      <w:r>
        <w:t xml:space="preserve"> </w:t>
      </w:r>
      <w:r w:rsidR="007932A3">
        <w:t>definuje</w:t>
      </w:r>
      <w:r>
        <w:t xml:space="preserve"> </w:t>
      </w:r>
      <w:r w:rsidR="00223322">
        <w:t>přiměřený rozsah</w:t>
      </w:r>
      <w:r>
        <w:t xml:space="preserve"> nákladů na prodej a péči o zákazníka</w:t>
      </w:r>
      <w:r w:rsidR="00E168E5">
        <w:t>. Na tomto</w:t>
      </w:r>
      <w:r w:rsidR="007932A3">
        <w:t xml:space="preserve"> základě</w:t>
      </w:r>
      <w:r w:rsidR="00E168E5">
        <w:t xml:space="preserve"> stanoví </w:t>
      </w:r>
      <w:r w:rsidR="007932A3">
        <w:t>porovnání</w:t>
      </w:r>
      <w:r w:rsidR="00E168E5">
        <w:t>m</w:t>
      </w:r>
      <w:r w:rsidR="007932A3">
        <w:t xml:space="preserve"> s objemem </w:t>
      </w:r>
      <w:r>
        <w:t>roční</w:t>
      </w:r>
      <w:r w:rsidR="007932A3">
        <w:t>ch</w:t>
      </w:r>
      <w:r>
        <w:t xml:space="preserve"> provozní</w:t>
      </w:r>
      <w:r w:rsidR="007932A3">
        <w:t>ch</w:t>
      </w:r>
      <w:r>
        <w:t xml:space="preserve"> nákladů </w:t>
      </w:r>
      <w:r w:rsidR="007932A3">
        <w:t>včetně</w:t>
      </w:r>
      <w:r>
        <w:t xml:space="preserve"> ročních odpisů</w:t>
      </w:r>
      <w:r w:rsidR="007932A3">
        <w:t xml:space="preserve"> přirážku v procentech</w:t>
      </w:r>
      <w:r>
        <w:t>.</w:t>
      </w:r>
      <w:r w:rsidR="00E168E5">
        <w:t xml:space="preserve"> </w:t>
      </w:r>
      <w:r w:rsidR="00AE4A88">
        <w:t xml:space="preserve">Hodnoty pro výpočet přirážky nákladů na prodej a péči o zákazníka by </w:t>
      </w:r>
      <w:r w:rsidR="00E168E5">
        <w:t xml:space="preserve">měly vyjadřovat aktuální úroveň těchto nákladů a </w:t>
      </w:r>
      <w:r w:rsidR="00AE4A88">
        <w:t>neměly</w:t>
      </w:r>
      <w:r w:rsidR="00E1246D">
        <w:t xml:space="preserve"> by</w:t>
      </w:r>
      <w:r w:rsidR="00AE4A88">
        <w:t xml:space="preserve"> být </w:t>
      </w:r>
      <w:r w:rsidR="00E168E5">
        <w:t xml:space="preserve">čerpány </w:t>
      </w:r>
      <w:r w:rsidR="00AE4A88">
        <w:t xml:space="preserve">z účetních podkladů za období </w:t>
      </w:r>
      <w:r w:rsidR="00E1246D">
        <w:t>starší než 3 roky.</w:t>
      </w:r>
      <w:r w:rsidR="00AE4A88">
        <w:t xml:space="preserve"> Tuto přirážku lze v pravidelných intervalech </w:t>
      </w:r>
      <w:r w:rsidR="00E168E5">
        <w:t xml:space="preserve">verifikovat a </w:t>
      </w:r>
      <w:r w:rsidR="00AE4A88">
        <w:t>aktualizovat</w:t>
      </w:r>
      <w:r w:rsidR="00E168E5">
        <w:t xml:space="preserve">, nicméně v zájmu předvídatelnosti a stability podmínek pronájmu </w:t>
      </w:r>
      <w:r w:rsidR="00E1246D">
        <w:t>se předpokládá, že</w:t>
      </w:r>
      <w:r w:rsidR="00E168E5">
        <w:t xml:space="preserve"> změna</w:t>
      </w:r>
      <w:r w:rsidR="00E1246D">
        <w:t xml:space="preserve"> výpočtu této skupiny</w:t>
      </w:r>
      <w:r w:rsidR="00E168E5">
        <w:t xml:space="preserve"> nákladů by se mohla uskutečnit zpravidla 1x za 3 roky</w:t>
      </w:r>
      <w:r w:rsidR="00AE4A88">
        <w:t>.</w:t>
      </w:r>
      <w:r w:rsidR="009E2C85">
        <w:t xml:space="preserve"> Cílem takto zvoleného výpočtu je zahrnout náklady na prodej a péči o zákazníka do ceny zpřístupňované infrastruktury maximálně jen v té míře, v jaké je (v průměru) povinný subjekt uplatňuje u svých ostatní služeb.</w:t>
      </w:r>
    </w:p>
    <w:p w14:paraId="46DBD13D" w14:textId="074D71AE" w:rsidR="00C77F1D" w:rsidRPr="00B43D6D" w:rsidRDefault="00C77F1D" w:rsidP="00F67923">
      <w:pPr>
        <w:pStyle w:val="Vvojcen-nadpis2"/>
        <w:rPr>
          <w:rFonts w:eastAsia="MS Mincho"/>
          <w:lang w:eastAsia="ja-JP"/>
        </w:rPr>
      </w:pPr>
      <w:bookmarkStart w:id="139" w:name="_Toc484008779"/>
      <w:bookmarkStart w:id="140" w:name="_Toc484009771"/>
      <w:bookmarkStart w:id="141" w:name="_Toc484009828"/>
      <w:bookmarkStart w:id="142" w:name="_Toc484009885"/>
      <w:bookmarkStart w:id="143" w:name="_Toc484009963"/>
      <w:bookmarkStart w:id="144" w:name="_Toc484010741"/>
      <w:bookmarkStart w:id="145" w:name="_Toc484008780"/>
      <w:bookmarkStart w:id="146" w:name="_Toc484009772"/>
      <w:bookmarkStart w:id="147" w:name="_Toc484009829"/>
      <w:bookmarkStart w:id="148" w:name="_Toc484009886"/>
      <w:bookmarkStart w:id="149" w:name="_Toc484009964"/>
      <w:bookmarkStart w:id="150" w:name="_Toc484010742"/>
      <w:bookmarkStart w:id="151" w:name="_Toc484079662"/>
      <w:bookmarkEnd w:id="139"/>
      <w:bookmarkEnd w:id="140"/>
      <w:bookmarkEnd w:id="141"/>
      <w:bookmarkEnd w:id="142"/>
      <w:bookmarkEnd w:id="143"/>
      <w:bookmarkEnd w:id="144"/>
      <w:bookmarkEnd w:id="145"/>
      <w:bookmarkEnd w:id="146"/>
      <w:bookmarkEnd w:id="147"/>
      <w:bookmarkEnd w:id="148"/>
      <w:bookmarkEnd w:id="149"/>
      <w:bookmarkEnd w:id="150"/>
      <w:r w:rsidRPr="00B43D6D">
        <w:rPr>
          <w:rFonts w:eastAsia="MS Mincho"/>
          <w:lang w:eastAsia="ja-JP"/>
        </w:rPr>
        <w:t>Režie</w:t>
      </w:r>
      <w:bookmarkEnd w:id="151"/>
      <w:r w:rsidRPr="00B43D6D">
        <w:rPr>
          <w:rFonts w:eastAsia="MS Mincho"/>
          <w:lang w:eastAsia="ja-JP"/>
        </w:rPr>
        <w:t xml:space="preserve"> </w:t>
      </w:r>
    </w:p>
    <w:p w14:paraId="79F6DE7C" w14:textId="6048E05B" w:rsidR="00C77F1D" w:rsidRPr="00BC2B37" w:rsidRDefault="00C77F1D" w:rsidP="00F67923">
      <w:pPr>
        <w:pStyle w:val="Vvojcen-zkladntext"/>
      </w:pPr>
      <w:r w:rsidRPr="008C444C">
        <w:t xml:space="preserve">Výše režijních nákladů na </w:t>
      </w:r>
      <w:r w:rsidR="00FB69BD" w:rsidRPr="00F67923">
        <w:t>všeobecnou</w:t>
      </w:r>
      <w:r w:rsidR="00FB69BD" w:rsidRPr="008C444C">
        <w:t xml:space="preserve"> </w:t>
      </w:r>
      <w:r w:rsidRPr="008C444C">
        <w:t xml:space="preserve">administrativu a </w:t>
      </w:r>
      <w:r w:rsidRPr="00F67923">
        <w:t xml:space="preserve">řízení </w:t>
      </w:r>
      <w:r w:rsidR="00FB69BD" w:rsidRPr="00F67923">
        <w:t>společnosti</w:t>
      </w:r>
      <w:r w:rsidR="00FB69BD" w:rsidRPr="008C444C">
        <w:t xml:space="preserve"> </w:t>
      </w:r>
      <w:r w:rsidRPr="008C444C">
        <w:t xml:space="preserve">poskytovatele </w:t>
      </w:r>
      <w:r w:rsidR="00A70DDA" w:rsidRPr="00F67923">
        <w:t>pronájmu</w:t>
      </w:r>
      <w:r w:rsidR="00A70DDA" w:rsidRPr="008C444C">
        <w:t xml:space="preserve"> </w:t>
      </w:r>
      <w:r w:rsidRPr="008C444C">
        <w:t xml:space="preserve">se pro všechny prvky fyzické infrastruktury vypočte procentní přirážkou </w:t>
      </w:r>
      <w:r w:rsidR="00A70DDA" w:rsidRPr="00F67923">
        <w:t xml:space="preserve">ke všem </w:t>
      </w:r>
      <w:r w:rsidR="00BB77DA" w:rsidRPr="00F67923">
        <w:t xml:space="preserve">doposud </w:t>
      </w:r>
      <w:r w:rsidR="00A70DDA" w:rsidRPr="00F67923">
        <w:t>přiřazeným nákladům.</w:t>
      </w:r>
      <w:r w:rsidR="00EA58E4">
        <w:t xml:space="preserve"> Cílem takto zvoleného výpočtu je zahrnout režijní náklady do ceny zpřístupňované infrastruktury maximálně jen v té míře, v jaké je (v průměru) povinný subjekt uplatňuje u svých ostatní služeb.</w:t>
      </w:r>
    </w:p>
    <w:p w14:paraId="0EC22646" w14:textId="410ECD78" w:rsidR="00C77F1D" w:rsidRPr="00BC2B37" w:rsidRDefault="00BB77DA" w:rsidP="00601CA4">
      <w:pPr>
        <w:overflowPunct/>
        <w:autoSpaceDE/>
        <w:autoSpaceDN/>
        <w:adjustRightInd/>
        <w:spacing w:before="120" w:after="120"/>
        <w:jc w:val="both"/>
        <w:textAlignment w:val="auto"/>
        <w:rPr>
          <w:rFonts w:ascii="Cambria" w:hAnsi="Cambria"/>
          <w:sz w:val="24"/>
        </w:rPr>
      </w:pPr>
      <w:r w:rsidRPr="00BB77DA">
        <w:rPr>
          <w:noProof/>
        </w:rPr>
        <w:drawing>
          <wp:inline distT="0" distB="0" distL="0" distR="0" wp14:anchorId="7D391A88" wp14:editId="6B5387E2">
            <wp:extent cx="5760720" cy="593734"/>
            <wp:effectExtent l="0" t="0" r="0" b="0"/>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0720" cy="593734"/>
                    </a:xfrm>
                    <a:prstGeom prst="rect">
                      <a:avLst/>
                    </a:prstGeom>
                    <a:noFill/>
                    <a:ln>
                      <a:noFill/>
                    </a:ln>
                  </pic:spPr>
                </pic:pic>
              </a:graphicData>
            </a:graphic>
          </wp:inline>
        </w:drawing>
      </w:r>
    </w:p>
    <w:p w14:paraId="29D2609C" w14:textId="77777777" w:rsidR="009406D8" w:rsidRPr="00C47F79" w:rsidRDefault="009406D8" w:rsidP="00F67923">
      <w:pPr>
        <w:pStyle w:val="Vvojcen-nadpis1"/>
        <w:rPr>
          <w:rFonts w:eastAsia="MS Mincho"/>
          <w:lang w:eastAsia="ja-JP"/>
        </w:rPr>
      </w:pPr>
      <w:bookmarkStart w:id="152" w:name="_Toc484008782"/>
      <w:bookmarkStart w:id="153" w:name="_Toc484009774"/>
      <w:bookmarkStart w:id="154" w:name="_Toc484009831"/>
      <w:bookmarkStart w:id="155" w:name="_Toc484009888"/>
      <w:bookmarkStart w:id="156" w:name="_Toc484009966"/>
      <w:bookmarkStart w:id="157" w:name="_Toc484010744"/>
      <w:bookmarkStart w:id="158" w:name="_Toc484079663"/>
      <w:bookmarkEnd w:id="152"/>
      <w:bookmarkEnd w:id="153"/>
      <w:bookmarkEnd w:id="154"/>
      <w:bookmarkEnd w:id="155"/>
      <w:bookmarkEnd w:id="156"/>
      <w:bookmarkEnd w:id="157"/>
      <w:r w:rsidRPr="00C47F79">
        <w:rPr>
          <w:rFonts w:eastAsia="MS Mincho"/>
          <w:lang w:eastAsia="ja-JP"/>
        </w:rPr>
        <w:t>Jednorázové ceny za služby</w:t>
      </w:r>
      <w:r w:rsidR="00C47F79">
        <w:rPr>
          <w:rFonts w:eastAsia="MS Mincho"/>
          <w:lang w:eastAsia="ja-JP"/>
        </w:rPr>
        <w:t xml:space="preserve"> spojené s pronájmem</w:t>
      </w:r>
      <w:r w:rsidRPr="00C47F79">
        <w:rPr>
          <w:rFonts w:eastAsia="MS Mincho"/>
          <w:lang w:eastAsia="ja-JP"/>
        </w:rPr>
        <w:t xml:space="preserve"> fyzické infrastruktury</w:t>
      </w:r>
      <w:bookmarkEnd w:id="158"/>
    </w:p>
    <w:p w14:paraId="06D114F8" w14:textId="77777777" w:rsidR="00601CA4" w:rsidRPr="008C444C" w:rsidRDefault="009406D8" w:rsidP="00F67923">
      <w:pPr>
        <w:pStyle w:val="Vvojcen-zkladntext"/>
      </w:pPr>
      <w:r w:rsidRPr="00F67923">
        <w:t xml:space="preserve">Vedle pravidelných měsíčních cen za pronájem fyzické infrastruktury </w:t>
      </w:r>
      <w:r w:rsidR="00877576" w:rsidRPr="00F67923">
        <w:t xml:space="preserve">je poskytovatel pronájmu oprávněn </w:t>
      </w:r>
      <w:r w:rsidR="00F978E5" w:rsidRPr="00F67923">
        <w:t>účtovat i jednorázové ceny za poskytnutí služby přístupu k fyzické infrastruktuře.</w:t>
      </w:r>
      <w:r w:rsidR="00F978E5" w:rsidRPr="008C444C">
        <w:t xml:space="preserve"> </w:t>
      </w:r>
    </w:p>
    <w:p w14:paraId="1E1E2ED6" w14:textId="77777777" w:rsidR="00F978E5" w:rsidRPr="002C52CF" w:rsidRDefault="00F978E5" w:rsidP="00F67923">
      <w:pPr>
        <w:pStyle w:val="Vvojcen-nadpis2"/>
      </w:pPr>
      <w:bookmarkStart w:id="159" w:name="_Toc484079664"/>
      <w:r w:rsidRPr="002C52CF">
        <w:t>Průzkum fyzické infrastruktury na místě</w:t>
      </w:r>
      <w:bookmarkEnd w:id="159"/>
    </w:p>
    <w:p w14:paraId="06F778D3" w14:textId="77777777" w:rsidR="009406D8" w:rsidRPr="008C444C" w:rsidRDefault="00F978E5" w:rsidP="00F67923">
      <w:pPr>
        <w:pStyle w:val="Vvojcen-zkladntext"/>
      </w:pPr>
      <w:r w:rsidRPr="00F67923">
        <w:t xml:space="preserve">Cenu vypočte poskytovatel služby na základě individuální kalkulace nezbytných úkonů odpovídající požadovanému typu fyzické infrastruktury. Kalkulace může zahrnovat úkony </w:t>
      </w:r>
      <w:r w:rsidR="00553DBB" w:rsidRPr="00F67923">
        <w:t>povinné osoby, které směřují ke zjišťování konkrétního stavu daného prvku, výdaje na cestovné a případně další výdaje např. v souvislosti s omezením vlastnického práva, a to v nezbytném odůvodněném rozsahu.</w:t>
      </w:r>
    </w:p>
    <w:p w14:paraId="5EE2E927" w14:textId="77777777" w:rsidR="00553DBB" w:rsidRPr="002C52CF" w:rsidRDefault="00553DBB" w:rsidP="00F67923">
      <w:pPr>
        <w:pStyle w:val="Vvojcen-nadpis2"/>
      </w:pPr>
      <w:bookmarkStart w:id="160" w:name="_Toc484079665"/>
      <w:r w:rsidRPr="008C444C">
        <w:t>Projekt technického provedení přístupu k fyzické infrastruktuře</w:t>
      </w:r>
      <w:bookmarkEnd w:id="160"/>
    </w:p>
    <w:p w14:paraId="42176757" w14:textId="349EA791" w:rsidR="007F54A6" w:rsidRPr="00F67923" w:rsidRDefault="007F54A6" w:rsidP="00F67923">
      <w:pPr>
        <w:pStyle w:val="Vvojcen-zkladntext"/>
      </w:pPr>
      <w:r w:rsidRPr="00F67923">
        <w:t>Součástí realizace přístupu k fyzické infrastruktuře je zpravidla i technický projekt, kde jsou stanoveny detaily a podmínky celého řešení, místa vstupu do infrastruktury</w:t>
      </w:r>
      <w:r w:rsidR="003825CE" w:rsidRPr="00F67923">
        <w:t xml:space="preserve"> či</w:t>
      </w:r>
      <w:r w:rsidRPr="00F67923">
        <w:t xml:space="preserve"> posouzení statických </w:t>
      </w:r>
      <w:r w:rsidR="00254E33" w:rsidRPr="00F67923">
        <w:t xml:space="preserve">parametrů pro nadzemní prvky. </w:t>
      </w:r>
      <w:r w:rsidR="003825CE" w:rsidRPr="00F67923">
        <w:t xml:space="preserve">V praxi se může jednat např. o problém umístění anténních systémů na stožáry a s tím spojené posouzení statiky a dynamického namáhání stožárů a anténních nosičů a další podobné otázky. </w:t>
      </w:r>
      <w:r w:rsidR="00254E33" w:rsidRPr="00F67923">
        <w:t>Vzhledem k tomu, že se jedná o specifické znalosti</w:t>
      </w:r>
      <w:r w:rsidR="00B719AA" w:rsidRPr="00F67923">
        <w:t xml:space="preserve"> a informace spadající do oblasti know-how provozovatele infrastruktury, je nutné, aby </w:t>
      </w:r>
      <w:r w:rsidR="00B719AA" w:rsidRPr="00F67923">
        <w:lastRenderedPageBreak/>
        <w:t>tento projekt byl vypracován přímo povinnou osobou nebo třetí stranou, která je k této činnosti povinnou osobou autorizována.</w:t>
      </w:r>
    </w:p>
    <w:p w14:paraId="16E45D35" w14:textId="49E5A9BB" w:rsidR="00254E33" w:rsidRPr="003825CE" w:rsidRDefault="004A7C11" w:rsidP="00F67923">
      <w:pPr>
        <w:pStyle w:val="Vvojcen-zkladntext"/>
        <w:spacing w:before="0" w:after="480"/>
      </w:pPr>
      <w:r w:rsidRPr="00F67923">
        <w:t>Oprávněná osoba uhradí dohodnutý rozsah výdajů na projekt povinnému subjektu nebo na základě dohody přímo autorizovanému dodavateli projektu</w:t>
      </w:r>
      <w:r w:rsidR="003825CE" w:rsidRPr="00F67923">
        <w:t>, na kterém se obě strany shodnou</w:t>
      </w:r>
      <w:r w:rsidRPr="00F67923">
        <w:t>. Kalkulace ceny může zahrnovat pouze úkony v nezbytném odůvodněném rozsahu. V každém případě je nezbytné, aby oprávněná osoba měla možnost dohodnou</w:t>
      </w:r>
      <w:r w:rsidR="00CA5A50" w:rsidRPr="00F67923">
        <w:t>t</w:t>
      </w:r>
      <w:r w:rsidRPr="00F67923">
        <w:t xml:space="preserve"> a odsouhlasit předpokládaný rozsah projektu, a tím </w:t>
      </w:r>
      <w:r w:rsidR="00CA5A50" w:rsidRPr="00F67923">
        <w:t>si zajistit</w:t>
      </w:r>
      <w:r w:rsidRPr="00F67923">
        <w:t xml:space="preserve"> kontrolu nad</w:t>
      </w:r>
      <w:r w:rsidR="00CA5A50" w:rsidRPr="00F67923">
        <w:t xml:space="preserve"> rozsahem kalkulovaných výdajů.</w:t>
      </w:r>
      <w:r w:rsidRPr="00BC2B37">
        <w:t xml:space="preserve"> </w:t>
      </w:r>
    </w:p>
    <w:p w14:paraId="535CCE93" w14:textId="4AB77F8B" w:rsidR="00076582" w:rsidRPr="00EA58E4" w:rsidRDefault="0011477D" w:rsidP="00EA58E4">
      <w:pPr>
        <w:pStyle w:val="Vvojcen-zkladntext"/>
        <w:ind w:firstLine="0"/>
      </w:pPr>
      <w:r w:rsidRPr="00BC2B37">
        <w:t xml:space="preserve">Příloha: Model kalkulace </w:t>
      </w:r>
      <w:r w:rsidR="00553DBB" w:rsidRPr="00BC2B37">
        <w:t xml:space="preserve">nákladů na přístup k </w:t>
      </w:r>
      <w:r w:rsidRPr="00BC2B37">
        <w:t>prvků</w:t>
      </w:r>
      <w:r w:rsidR="00553DBB" w:rsidRPr="00BC2B37">
        <w:t>m</w:t>
      </w:r>
      <w:r w:rsidRPr="00C47F79">
        <w:t xml:space="preserve"> </w:t>
      </w:r>
      <w:r w:rsidR="00553DBB" w:rsidRPr="00C47F79">
        <w:t>fyzické</w:t>
      </w:r>
      <w:r w:rsidR="00EA58E4">
        <w:t xml:space="preserve"> infrastruktury</w:t>
      </w:r>
    </w:p>
    <w:sectPr w:rsidR="00076582" w:rsidRPr="00EA58E4" w:rsidSect="00F67923">
      <w:footerReference w:type="default" r:id="rId26"/>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4ADBA" w14:textId="77777777" w:rsidR="007C0C8C" w:rsidRDefault="007C0C8C" w:rsidP="002B71CD">
      <w:r>
        <w:separator/>
      </w:r>
    </w:p>
  </w:endnote>
  <w:endnote w:type="continuationSeparator" w:id="0">
    <w:p w14:paraId="7417E9FB" w14:textId="77777777" w:rsidR="007C0C8C" w:rsidRDefault="007C0C8C" w:rsidP="002B7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Arial"/>
    <w:panose1 w:val="00000000000000000000"/>
    <w:charset w:val="EE"/>
    <w:family w:val="swiss"/>
    <w:notTrueType/>
    <w:pitch w:val="default"/>
    <w:sig w:usb0="00000001" w:usb1="00000000" w:usb2="00000000" w:usb3="00000000" w:csb0="00000003" w:csb1="00000000"/>
  </w:font>
  <w:font w:name="EUAlbertina-Regular-Identity-H">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991688"/>
      <w:docPartObj>
        <w:docPartGallery w:val="Page Numbers (Bottom of Page)"/>
        <w:docPartUnique/>
      </w:docPartObj>
    </w:sdtPr>
    <w:sdtEndPr>
      <w:rPr>
        <w:rFonts w:ascii="Arial" w:hAnsi="Arial" w:cs="Arial"/>
      </w:rPr>
    </w:sdtEndPr>
    <w:sdtContent>
      <w:p w14:paraId="2227DDDA" w14:textId="119C532D" w:rsidR="007C0C8C" w:rsidRPr="00F67923" w:rsidRDefault="007C0C8C">
        <w:pPr>
          <w:pStyle w:val="Zpat"/>
          <w:jc w:val="center"/>
          <w:rPr>
            <w:rFonts w:ascii="Arial" w:hAnsi="Arial" w:cs="Arial"/>
          </w:rPr>
        </w:pPr>
        <w:r w:rsidRPr="00F67923">
          <w:rPr>
            <w:rFonts w:ascii="Arial" w:hAnsi="Arial" w:cs="Arial"/>
          </w:rPr>
          <w:fldChar w:fldCharType="begin"/>
        </w:r>
        <w:r w:rsidRPr="00F67923">
          <w:rPr>
            <w:rFonts w:ascii="Arial" w:hAnsi="Arial" w:cs="Arial"/>
          </w:rPr>
          <w:instrText>PAGE   \* MERGEFORMAT</w:instrText>
        </w:r>
        <w:r w:rsidRPr="00F67923">
          <w:rPr>
            <w:rFonts w:ascii="Arial" w:hAnsi="Arial" w:cs="Arial"/>
          </w:rPr>
          <w:fldChar w:fldCharType="separate"/>
        </w:r>
        <w:r w:rsidR="00BE4E76">
          <w:rPr>
            <w:rFonts w:ascii="Arial" w:hAnsi="Arial" w:cs="Arial"/>
            <w:noProof/>
          </w:rPr>
          <w:t>7</w:t>
        </w:r>
        <w:r w:rsidRPr="00F67923">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MERGEFORMAT </w:instrText>
        </w:r>
        <w:r>
          <w:rPr>
            <w:rFonts w:ascii="Arial" w:hAnsi="Arial" w:cs="Arial"/>
          </w:rPr>
          <w:fldChar w:fldCharType="separate"/>
        </w:r>
        <w:r w:rsidR="00BE4E76">
          <w:rPr>
            <w:rFonts w:ascii="Arial" w:hAnsi="Arial" w:cs="Arial"/>
            <w:noProof/>
          </w:rPr>
          <w:t>12</w:t>
        </w:r>
        <w:r>
          <w:rPr>
            <w:rFonts w:ascii="Arial" w:hAnsi="Arial" w:cs="Arial"/>
          </w:rPr>
          <w:fldChar w:fldCharType="end"/>
        </w:r>
      </w:p>
    </w:sdtContent>
  </w:sdt>
  <w:p w14:paraId="6E76C112" w14:textId="77777777" w:rsidR="007C0C8C" w:rsidRDefault="007C0C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824D" w14:textId="77777777" w:rsidR="007C0C8C" w:rsidRDefault="007C0C8C" w:rsidP="002B71CD">
      <w:r>
        <w:separator/>
      </w:r>
    </w:p>
  </w:footnote>
  <w:footnote w:type="continuationSeparator" w:id="0">
    <w:p w14:paraId="7B815B20" w14:textId="77777777" w:rsidR="007C0C8C" w:rsidRDefault="007C0C8C" w:rsidP="002B71CD">
      <w:r>
        <w:continuationSeparator/>
      </w:r>
    </w:p>
  </w:footnote>
  <w:footnote w:id="1">
    <w:p w14:paraId="2A079D91" w14:textId="4BB0DE2B" w:rsidR="007C0C8C" w:rsidRPr="00F67923" w:rsidRDefault="007C0C8C" w:rsidP="007C0C8C">
      <w:pPr>
        <w:pStyle w:val="Textpoznpodarou"/>
        <w:spacing w:after="0" w:line="240" w:lineRule="auto"/>
        <w:jc w:val="both"/>
        <w:rPr>
          <w:rFonts w:ascii="Arial" w:hAnsi="Arial" w:cs="Arial"/>
          <w:sz w:val="18"/>
          <w:szCs w:val="18"/>
        </w:rPr>
      </w:pPr>
      <w:r w:rsidRPr="00F67923">
        <w:rPr>
          <w:rStyle w:val="Znakapoznpodarou"/>
          <w:rFonts w:ascii="Arial" w:hAnsi="Arial" w:cs="Arial"/>
          <w:sz w:val="18"/>
          <w:szCs w:val="18"/>
        </w:rPr>
        <w:footnoteRef/>
      </w:r>
      <w:r w:rsidRPr="00F67923">
        <w:rPr>
          <w:rFonts w:ascii="Arial" w:hAnsi="Arial" w:cs="Arial"/>
          <w:sz w:val="18"/>
          <w:szCs w:val="18"/>
        </w:rPr>
        <w:t xml:space="preserve"> Provozovatelé veřejné komunikační sítě, provozovatelé fyzické infrastruktury určené pro poskytování služeb přepravy, přenosu nebo distribuce plynu nebo elektřiny včetně veřejného osvětlení, rozvodu tepelné energie, rozvodu vody včetně odstraňování nebo čištění odpadních a kanalizačních vod a odvodňovacích systémů, provozovatelé fyzické infrastruktury určené k poskytování dopravních služeb včet</w:t>
      </w:r>
      <w:r w:rsidR="004113F0">
        <w:rPr>
          <w:rFonts w:ascii="Arial" w:hAnsi="Arial" w:cs="Arial"/>
          <w:sz w:val="18"/>
          <w:szCs w:val="18"/>
        </w:rPr>
        <w:t>ně železnic, silnic, přístavů a </w:t>
      </w:r>
      <w:r w:rsidRPr="00F67923">
        <w:rPr>
          <w:rFonts w:ascii="Arial" w:hAnsi="Arial" w:cs="Arial"/>
          <w:sz w:val="18"/>
          <w:szCs w:val="18"/>
        </w:rPr>
        <w:t>letišť, investoři pro účely poskytování údajů o stavebních pracích a pro účely koordinace stavebních prací financovaných z veřejných prostředků, vlastníci výše uvedené fyzické infrastruktury nebo osoby oprávněné z jiných práv k této fyzické infrastruktuře, není-li provozovatel této fyzické infrastruktury jejím vlastníkem a nemá k ní taková práva, která by mu umožňovala plnit povinnosti povinné osoby podle tohoto zákona; povinnou osobou nejsou Ministerstvo obrany, Ministerstvo vnitra a bezpečnostní sbory</w:t>
      </w:r>
      <w:r>
        <w:rPr>
          <w:rFonts w:ascii="Arial" w:hAnsi="Arial" w:cs="Arial"/>
          <w:sz w:val="18"/>
          <w:szCs w:val="18"/>
        </w:rPr>
        <w:t>.</w:t>
      </w:r>
    </w:p>
  </w:footnote>
  <w:footnote w:id="2">
    <w:p w14:paraId="2D6D021A" w14:textId="4BD63589" w:rsidR="007C0C8C" w:rsidRPr="00F67923" w:rsidRDefault="007C0C8C" w:rsidP="00F67923">
      <w:pPr>
        <w:pStyle w:val="Textpoznpodarou"/>
        <w:spacing w:after="0" w:line="240" w:lineRule="auto"/>
        <w:jc w:val="both"/>
        <w:rPr>
          <w:rFonts w:ascii="Arial" w:hAnsi="Arial" w:cs="Arial"/>
          <w:sz w:val="18"/>
          <w:szCs w:val="18"/>
        </w:rPr>
      </w:pPr>
      <w:r w:rsidRPr="00F67923">
        <w:rPr>
          <w:rStyle w:val="Znakapoznpodarou"/>
          <w:rFonts w:ascii="Arial" w:hAnsi="Arial" w:cs="Arial"/>
          <w:sz w:val="18"/>
          <w:szCs w:val="18"/>
        </w:rPr>
        <w:footnoteRef/>
      </w:r>
      <w:r w:rsidRPr="00F67923">
        <w:rPr>
          <w:rFonts w:ascii="Arial" w:hAnsi="Arial" w:cs="Arial"/>
          <w:sz w:val="18"/>
          <w:szCs w:val="18"/>
        </w:rPr>
        <w:t xml:space="preserve"> </w:t>
      </w:r>
      <w:r w:rsidR="004113F0">
        <w:rPr>
          <w:rFonts w:ascii="Arial" w:hAnsi="Arial" w:cs="Arial"/>
          <w:sz w:val="18"/>
          <w:szCs w:val="18"/>
        </w:rPr>
        <w:t>N</w:t>
      </w:r>
      <w:r w:rsidRPr="00F67923">
        <w:rPr>
          <w:rFonts w:ascii="Arial" w:hAnsi="Arial" w:cs="Arial"/>
          <w:sz w:val="18"/>
          <w:szCs w:val="18"/>
        </w:rPr>
        <w:t>a velkoobchodních</w:t>
      </w:r>
      <w:r w:rsidR="004113F0">
        <w:rPr>
          <w:rFonts w:ascii="Arial" w:hAnsi="Arial" w:cs="Arial"/>
          <w:sz w:val="18"/>
          <w:szCs w:val="18"/>
        </w:rPr>
        <w:t xml:space="preserve"> terminačních trzích č. 1 a 2 a</w:t>
      </w:r>
      <w:r w:rsidRPr="00F67923">
        <w:rPr>
          <w:rFonts w:ascii="Arial" w:hAnsi="Arial" w:cs="Arial"/>
          <w:sz w:val="18"/>
          <w:szCs w:val="18"/>
        </w:rPr>
        <w:t xml:space="preserve"> na trhu 3a (dříve 4) při stanovení cen LLU.</w:t>
      </w:r>
    </w:p>
  </w:footnote>
  <w:footnote w:id="3">
    <w:p w14:paraId="6AEAF761" w14:textId="7A4A55DB" w:rsidR="004113F0" w:rsidRPr="004113F0" w:rsidRDefault="004113F0" w:rsidP="004113F0">
      <w:pPr>
        <w:pStyle w:val="Textpoznpodarou"/>
        <w:spacing w:after="0" w:line="240" w:lineRule="auto"/>
        <w:jc w:val="both"/>
        <w:rPr>
          <w:rFonts w:ascii="Arial" w:hAnsi="Arial" w:cs="Arial"/>
          <w:sz w:val="18"/>
          <w:szCs w:val="18"/>
        </w:rPr>
      </w:pPr>
      <w:r w:rsidRPr="004113F0">
        <w:rPr>
          <w:rStyle w:val="Znakapoznpodarou"/>
          <w:rFonts w:ascii="Arial" w:hAnsi="Arial" w:cs="Arial"/>
          <w:sz w:val="18"/>
          <w:szCs w:val="18"/>
        </w:rPr>
        <w:footnoteRef/>
      </w:r>
      <w:r w:rsidRPr="004113F0">
        <w:rPr>
          <w:rFonts w:ascii="Arial" w:hAnsi="Arial" w:cs="Arial"/>
          <w:sz w:val="18"/>
          <w:szCs w:val="18"/>
        </w:rPr>
        <w:t xml:space="preserve"> </w:t>
      </w:r>
      <w:r>
        <w:rPr>
          <w:rFonts w:ascii="Arial" w:hAnsi="Arial" w:cs="Arial"/>
          <w:sz w:val="18"/>
          <w:szCs w:val="18"/>
        </w:rPr>
        <w:t>P</w:t>
      </w:r>
      <w:r w:rsidRPr="004113F0">
        <w:rPr>
          <w:rFonts w:ascii="Arial" w:eastAsiaTheme="minorHAnsi" w:hAnsi="Arial" w:cs="Arial"/>
          <w:color w:val="000000"/>
          <w:sz w:val="18"/>
          <w:szCs w:val="18"/>
        </w:rPr>
        <w:t xml:space="preserve">odle opatření obecné povahy ČTÚ č. </w:t>
      </w:r>
      <w:hyperlink r:id="rId1" w:history="1">
        <w:r w:rsidRPr="004113F0">
          <w:rPr>
            <w:rStyle w:val="Hypertextovodkaz"/>
            <w:rFonts w:ascii="Arial" w:eastAsiaTheme="minorHAnsi" w:hAnsi="Arial" w:cs="Arial"/>
            <w:sz w:val="18"/>
            <w:szCs w:val="18"/>
          </w:rPr>
          <w:t>OOP/4/12.2015-7</w:t>
        </w:r>
      </w:hyperlink>
      <w:r w:rsidRPr="004113F0">
        <w:rPr>
          <w:rFonts w:ascii="Arial" w:eastAsiaTheme="minorHAnsi" w:hAnsi="Arial" w:cs="Arial"/>
          <w:color w:val="000000"/>
          <w:sz w:val="18"/>
          <w:szCs w:val="18"/>
        </w:rPr>
        <w:t xml:space="preserve">, kterým se mění opatření obecné povahy ČTÚ </w:t>
      </w:r>
      <w:r>
        <w:rPr>
          <w:rFonts w:ascii="Arial" w:eastAsiaTheme="minorHAnsi" w:hAnsi="Arial" w:cs="Arial"/>
          <w:color w:val="000000"/>
          <w:sz w:val="18"/>
          <w:szCs w:val="18"/>
        </w:rPr>
        <w:t>č. </w:t>
      </w:r>
      <w:hyperlink r:id="rId2" w:history="1">
        <w:r w:rsidRPr="004113F0">
          <w:rPr>
            <w:rStyle w:val="Hypertextovodkaz"/>
            <w:rFonts w:ascii="Arial" w:eastAsiaTheme="minorHAnsi" w:hAnsi="Arial" w:cs="Arial"/>
            <w:sz w:val="18"/>
            <w:szCs w:val="18"/>
          </w:rPr>
          <w:t>OOP/4/09.2014-6</w:t>
        </w:r>
      </w:hyperlink>
      <w:r>
        <w:rPr>
          <w:rFonts w:ascii="Arial" w:eastAsiaTheme="minorHAnsi" w:hAnsi="Arial" w:cs="Arial"/>
          <w:color w:val="000000"/>
          <w:sz w:val="18"/>
          <w:szCs w:val="18"/>
        </w:rPr>
        <w:t>, kterým se stanoví metodika účelového členění nákladů a výnosů a jejich přiřazování a určuje se struktura vykazovaných informací</w:t>
      </w:r>
      <w:r w:rsidRPr="004113F0">
        <w:rPr>
          <w:rFonts w:ascii="Arial" w:eastAsiaTheme="minorHAnsi" w:hAnsi="Arial" w:cs="Arial"/>
          <w:color w:val="000000"/>
          <w:sz w:val="18"/>
          <w:szCs w:val="18"/>
        </w:rPr>
        <w:t>.</w:t>
      </w:r>
    </w:p>
  </w:footnote>
  <w:footnote w:id="4">
    <w:p w14:paraId="4C18AAB4" w14:textId="77777777" w:rsidR="007C0C8C" w:rsidRPr="00D0441A" w:rsidRDefault="007C0C8C" w:rsidP="00090DD9">
      <w:pPr>
        <w:pStyle w:val="Textpoznpodarou"/>
        <w:spacing w:after="0" w:line="240" w:lineRule="auto"/>
        <w:jc w:val="both"/>
        <w:rPr>
          <w:rFonts w:ascii="Arial" w:hAnsi="Arial" w:cs="Arial"/>
          <w:sz w:val="18"/>
          <w:szCs w:val="18"/>
        </w:rPr>
      </w:pPr>
      <w:r w:rsidRPr="00D0441A">
        <w:rPr>
          <w:rStyle w:val="Znakapoznpodarou"/>
          <w:rFonts w:ascii="Arial" w:hAnsi="Arial" w:cs="Arial"/>
          <w:sz w:val="18"/>
          <w:szCs w:val="18"/>
        </w:rPr>
        <w:footnoteRef/>
      </w:r>
      <w:r w:rsidRPr="00D0441A">
        <w:rPr>
          <w:rFonts w:ascii="Arial" w:hAnsi="Arial" w:cs="Arial"/>
          <w:sz w:val="18"/>
          <w:szCs w:val="18"/>
        </w:rPr>
        <w:t xml:space="preserve"> Pokud by přirážka provozních nákladů byla kalkulována poměrem výše provozních nákladů k historické hodnotě prvků fyzické infrastruktury zachycené v účetnictví, byla by tato přirážka větší a následně by při aplikaci na aktuální hodnotu prvků fyzické infrastruktury nadhodnocovala výši provozních nákladů.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EC1F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5CCB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4C6E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78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F9CC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6E1C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3C81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AC2A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1C10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CA80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E32E5"/>
    <w:multiLevelType w:val="multilevel"/>
    <w:tmpl w:val="25A243EC"/>
    <w:lvl w:ilvl="0">
      <w:start w:val="1"/>
      <w:numFmt w:val="decimal"/>
      <w:pStyle w:val="Nadpis1"/>
      <w:lvlText w:val="%1"/>
      <w:lvlJc w:val="left"/>
      <w:pPr>
        <w:tabs>
          <w:tab w:val="num" w:pos="432"/>
        </w:tabs>
        <w:ind w:left="432" w:hanging="432"/>
      </w:pPr>
      <w:rPr>
        <w:rFonts w:hint="default"/>
      </w:rPr>
    </w:lvl>
    <w:lvl w:ilvl="1">
      <w:start w:val="1"/>
      <w:numFmt w:val="decimal"/>
      <w:pStyle w:val="Vvojcen-nadpis2"/>
      <w:lvlText w:val="%1.%2"/>
      <w:lvlJc w:val="left"/>
      <w:pPr>
        <w:tabs>
          <w:tab w:val="num" w:pos="576"/>
        </w:tabs>
        <w:ind w:left="576" w:hanging="576"/>
      </w:pPr>
      <w:rPr>
        <w:rFonts w:hint="default"/>
      </w:rPr>
    </w:lvl>
    <w:lvl w:ilvl="2">
      <w:start w:val="1"/>
      <w:numFmt w:val="decimal"/>
      <w:pStyle w:val="Vvojcen-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69710F6"/>
    <w:multiLevelType w:val="hybridMultilevel"/>
    <w:tmpl w:val="48404948"/>
    <w:lvl w:ilvl="0" w:tplc="4A005D36">
      <w:start w:val="1"/>
      <w:numFmt w:val="bullet"/>
      <w:pStyle w:val="Vvojcen-odrkydel"/>
      <w:lvlText w:val="-"/>
      <w:lvlJc w:val="left"/>
      <w:pPr>
        <w:tabs>
          <w:tab w:val="num" w:pos="3627"/>
        </w:tabs>
        <w:ind w:left="3627"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7F4345"/>
    <w:multiLevelType w:val="hybridMultilevel"/>
    <w:tmpl w:val="62BAE3C8"/>
    <w:lvl w:ilvl="0" w:tplc="3B686530">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8C2501E"/>
    <w:multiLevelType w:val="hybridMultilevel"/>
    <w:tmpl w:val="BE50ABC2"/>
    <w:lvl w:ilvl="0" w:tplc="04050017">
      <w:start w:val="1"/>
      <w:numFmt w:val="lowerLetter"/>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4" w15:restartNumberingAfterBreak="0">
    <w:nsid w:val="30403DA4"/>
    <w:multiLevelType w:val="hybridMultilevel"/>
    <w:tmpl w:val="64BAB1A6"/>
    <w:lvl w:ilvl="0" w:tplc="04050011">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5" w15:restartNumberingAfterBreak="0">
    <w:nsid w:val="366D2A8F"/>
    <w:multiLevelType w:val="hybridMultilevel"/>
    <w:tmpl w:val="84BCB340"/>
    <w:lvl w:ilvl="0" w:tplc="5DC23142">
      <w:start w:val="1"/>
      <w:numFmt w:val="bullet"/>
      <w:pStyle w:val="Vvojcen-odrky"/>
      <w:lvlText w:val="-"/>
      <w:lvlJc w:val="left"/>
      <w:pPr>
        <w:tabs>
          <w:tab w:val="num" w:pos="720"/>
        </w:tabs>
        <w:ind w:left="720" w:hanging="360"/>
      </w:pPr>
      <w:rPr>
        <w:rFonts w:ascii="Arial" w:eastAsia="Times New Roman" w:hAnsi="Arial" w:cs="Aria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66BFF"/>
    <w:multiLevelType w:val="hybridMultilevel"/>
    <w:tmpl w:val="E95051A4"/>
    <w:lvl w:ilvl="0" w:tplc="0405000F">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7" w15:restartNumberingAfterBreak="0">
    <w:nsid w:val="636C6E58"/>
    <w:multiLevelType w:val="hybridMultilevel"/>
    <w:tmpl w:val="0DF4B22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23067FD"/>
    <w:multiLevelType w:val="hybridMultilevel"/>
    <w:tmpl w:val="64BAB1A6"/>
    <w:lvl w:ilvl="0" w:tplc="04050011">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9" w15:restartNumberingAfterBreak="0">
    <w:nsid w:val="7C6A35F9"/>
    <w:multiLevelType w:val="hybridMultilevel"/>
    <w:tmpl w:val="5D505F2A"/>
    <w:lvl w:ilvl="0" w:tplc="9F483AFA">
      <w:start w:val="1"/>
      <w:numFmt w:val="decimal"/>
      <w:pStyle w:val="Vvojcen-slovanseznam"/>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20" w15:restartNumberingAfterBreak="0">
    <w:nsid w:val="7FA65B73"/>
    <w:multiLevelType w:val="hybridMultilevel"/>
    <w:tmpl w:val="BED0DD92"/>
    <w:lvl w:ilvl="0" w:tplc="D74299B8">
      <w:numFmt w:val="bullet"/>
      <w:lvlText w:val="-"/>
      <w:lvlJc w:val="left"/>
      <w:pPr>
        <w:ind w:left="720" w:hanging="360"/>
      </w:pPr>
      <w:rPr>
        <w:rFonts w:ascii="Cambria" w:eastAsia="Times New Roman" w:hAnsi="Cambria"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14"/>
  </w:num>
  <w:num w:numId="4">
    <w:abstractNumId w:val="13"/>
  </w:num>
  <w:num w:numId="5">
    <w:abstractNumId w:val="12"/>
  </w:num>
  <w:num w:numId="6">
    <w:abstractNumId w:val="20"/>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9"/>
  </w:num>
  <w:num w:numId="18">
    <w:abstractNumId w:val="10"/>
  </w:num>
  <w:num w:numId="19">
    <w:abstractNumId w:val="10"/>
  </w:num>
  <w:num w:numId="20">
    <w:abstractNumId w:val="10"/>
  </w:num>
  <w:num w:numId="21">
    <w:abstractNumId w:val="10"/>
  </w:num>
  <w:num w:numId="22">
    <w:abstractNumId w:val="15"/>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B9"/>
    <w:rsid w:val="00001A50"/>
    <w:rsid w:val="00010FEF"/>
    <w:rsid w:val="000175D7"/>
    <w:rsid w:val="00022807"/>
    <w:rsid w:val="00024287"/>
    <w:rsid w:val="000255EE"/>
    <w:rsid w:val="00025B53"/>
    <w:rsid w:val="00051B37"/>
    <w:rsid w:val="00076582"/>
    <w:rsid w:val="0007694F"/>
    <w:rsid w:val="0008790C"/>
    <w:rsid w:val="00087AFD"/>
    <w:rsid w:val="00090DD9"/>
    <w:rsid w:val="00095AB3"/>
    <w:rsid w:val="00097988"/>
    <w:rsid w:val="000A06B5"/>
    <w:rsid w:val="000A230B"/>
    <w:rsid w:val="000A3F95"/>
    <w:rsid w:val="000A4AEB"/>
    <w:rsid w:val="000D1F89"/>
    <w:rsid w:val="000E260E"/>
    <w:rsid w:val="000E5336"/>
    <w:rsid w:val="000E7AFE"/>
    <w:rsid w:val="000F1305"/>
    <w:rsid w:val="00100067"/>
    <w:rsid w:val="0011477D"/>
    <w:rsid w:val="00120B0B"/>
    <w:rsid w:val="001265F7"/>
    <w:rsid w:val="001350AD"/>
    <w:rsid w:val="00136076"/>
    <w:rsid w:val="00143D26"/>
    <w:rsid w:val="00145402"/>
    <w:rsid w:val="00150F22"/>
    <w:rsid w:val="001627E9"/>
    <w:rsid w:val="00170F51"/>
    <w:rsid w:val="001809C5"/>
    <w:rsid w:val="00181F0B"/>
    <w:rsid w:val="001837C9"/>
    <w:rsid w:val="0019620D"/>
    <w:rsid w:val="001A3C9F"/>
    <w:rsid w:val="001D3975"/>
    <w:rsid w:val="001E1B16"/>
    <w:rsid w:val="00205F67"/>
    <w:rsid w:val="00223322"/>
    <w:rsid w:val="00223BE3"/>
    <w:rsid w:val="00244847"/>
    <w:rsid w:val="00250BAF"/>
    <w:rsid w:val="00254815"/>
    <w:rsid w:val="00254E33"/>
    <w:rsid w:val="00256736"/>
    <w:rsid w:val="00274CBF"/>
    <w:rsid w:val="0028374C"/>
    <w:rsid w:val="00287EEE"/>
    <w:rsid w:val="002A03B9"/>
    <w:rsid w:val="002A311A"/>
    <w:rsid w:val="002B71CD"/>
    <w:rsid w:val="002C4FF4"/>
    <w:rsid w:val="002C52CF"/>
    <w:rsid w:val="002D33EF"/>
    <w:rsid w:val="002D5CED"/>
    <w:rsid w:val="002D6F89"/>
    <w:rsid w:val="002E1A78"/>
    <w:rsid w:val="002E52E7"/>
    <w:rsid w:val="003031E0"/>
    <w:rsid w:val="00304DD6"/>
    <w:rsid w:val="00317C8A"/>
    <w:rsid w:val="003311A5"/>
    <w:rsid w:val="0033215C"/>
    <w:rsid w:val="0038133C"/>
    <w:rsid w:val="003825CE"/>
    <w:rsid w:val="0039053C"/>
    <w:rsid w:val="003A4CE0"/>
    <w:rsid w:val="003A7BAA"/>
    <w:rsid w:val="003D710F"/>
    <w:rsid w:val="003E4AD2"/>
    <w:rsid w:val="003F6844"/>
    <w:rsid w:val="004113F0"/>
    <w:rsid w:val="00413B94"/>
    <w:rsid w:val="00417A0A"/>
    <w:rsid w:val="004448DA"/>
    <w:rsid w:val="0046061A"/>
    <w:rsid w:val="0049013A"/>
    <w:rsid w:val="00490AE1"/>
    <w:rsid w:val="00495219"/>
    <w:rsid w:val="00497734"/>
    <w:rsid w:val="004A68E0"/>
    <w:rsid w:val="004A7C11"/>
    <w:rsid w:val="004B3FEF"/>
    <w:rsid w:val="004C23B2"/>
    <w:rsid w:val="004C5B01"/>
    <w:rsid w:val="004C7969"/>
    <w:rsid w:val="004D0ECD"/>
    <w:rsid w:val="004E43CD"/>
    <w:rsid w:val="004F1479"/>
    <w:rsid w:val="004F26D9"/>
    <w:rsid w:val="005211EA"/>
    <w:rsid w:val="00521BF1"/>
    <w:rsid w:val="00525F42"/>
    <w:rsid w:val="00553DBB"/>
    <w:rsid w:val="005551CE"/>
    <w:rsid w:val="00563BA3"/>
    <w:rsid w:val="00572DC6"/>
    <w:rsid w:val="00586C92"/>
    <w:rsid w:val="005A6C8B"/>
    <w:rsid w:val="005C37F5"/>
    <w:rsid w:val="005C3C8D"/>
    <w:rsid w:val="005D5882"/>
    <w:rsid w:val="005E6554"/>
    <w:rsid w:val="005E6AFC"/>
    <w:rsid w:val="00601CA4"/>
    <w:rsid w:val="00614987"/>
    <w:rsid w:val="00633D1F"/>
    <w:rsid w:val="00670885"/>
    <w:rsid w:val="00670D06"/>
    <w:rsid w:val="006710DE"/>
    <w:rsid w:val="00677F4D"/>
    <w:rsid w:val="00687E36"/>
    <w:rsid w:val="006B7AA2"/>
    <w:rsid w:val="006C2063"/>
    <w:rsid w:val="006F064B"/>
    <w:rsid w:val="00721784"/>
    <w:rsid w:val="00741566"/>
    <w:rsid w:val="007437B9"/>
    <w:rsid w:val="0075042D"/>
    <w:rsid w:val="00750F37"/>
    <w:rsid w:val="00772B6E"/>
    <w:rsid w:val="00773DF5"/>
    <w:rsid w:val="007821F7"/>
    <w:rsid w:val="007932A3"/>
    <w:rsid w:val="007A7046"/>
    <w:rsid w:val="007A7B4C"/>
    <w:rsid w:val="007C0C8C"/>
    <w:rsid w:val="007D2B33"/>
    <w:rsid w:val="007D4EDE"/>
    <w:rsid w:val="007F54A6"/>
    <w:rsid w:val="008400F7"/>
    <w:rsid w:val="00846E94"/>
    <w:rsid w:val="00850A9E"/>
    <w:rsid w:val="00853FF1"/>
    <w:rsid w:val="00854DCE"/>
    <w:rsid w:val="00877576"/>
    <w:rsid w:val="0089047E"/>
    <w:rsid w:val="008C2E59"/>
    <w:rsid w:val="008C444C"/>
    <w:rsid w:val="008D2A3B"/>
    <w:rsid w:val="008D4A78"/>
    <w:rsid w:val="008E009A"/>
    <w:rsid w:val="008E36F4"/>
    <w:rsid w:val="008E48AC"/>
    <w:rsid w:val="008F3571"/>
    <w:rsid w:val="00913667"/>
    <w:rsid w:val="00931588"/>
    <w:rsid w:val="00936BD6"/>
    <w:rsid w:val="009374BF"/>
    <w:rsid w:val="009406D8"/>
    <w:rsid w:val="00951ECC"/>
    <w:rsid w:val="00957BF3"/>
    <w:rsid w:val="009841CE"/>
    <w:rsid w:val="009854E7"/>
    <w:rsid w:val="00986BB8"/>
    <w:rsid w:val="009A0CEE"/>
    <w:rsid w:val="009B597C"/>
    <w:rsid w:val="009B7D22"/>
    <w:rsid w:val="009C59E4"/>
    <w:rsid w:val="009D1297"/>
    <w:rsid w:val="009E1D4B"/>
    <w:rsid w:val="009E2C85"/>
    <w:rsid w:val="009F39DE"/>
    <w:rsid w:val="00A017BB"/>
    <w:rsid w:val="00A01FE6"/>
    <w:rsid w:val="00A143B1"/>
    <w:rsid w:val="00A262DA"/>
    <w:rsid w:val="00A3406B"/>
    <w:rsid w:val="00A344A5"/>
    <w:rsid w:val="00A3464A"/>
    <w:rsid w:val="00A349A4"/>
    <w:rsid w:val="00A34FE9"/>
    <w:rsid w:val="00A425DA"/>
    <w:rsid w:val="00A425F1"/>
    <w:rsid w:val="00A6123E"/>
    <w:rsid w:val="00A70DDA"/>
    <w:rsid w:val="00A73026"/>
    <w:rsid w:val="00A73BA1"/>
    <w:rsid w:val="00A81FA5"/>
    <w:rsid w:val="00A860C3"/>
    <w:rsid w:val="00AA167E"/>
    <w:rsid w:val="00AA2082"/>
    <w:rsid w:val="00AA2753"/>
    <w:rsid w:val="00AA6DCC"/>
    <w:rsid w:val="00AB1A34"/>
    <w:rsid w:val="00AB2134"/>
    <w:rsid w:val="00AE4A88"/>
    <w:rsid w:val="00AE76D2"/>
    <w:rsid w:val="00AF418F"/>
    <w:rsid w:val="00B0298B"/>
    <w:rsid w:val="00B06450"/>
    <w:rsid w:val="00B204E4"/>
    <w:rsid w:val="00B43D6D"/>
    <w:rsid w:val="00B610C4"/>
    <w:rsid w:val="00B62EEC"/>
    <w:rsid w:val="00B63E88"/>
    <w:rsid w:val="00B67D2F"/>
    <w:rsid w:val="00B719AA"/>
    <w:rsid w:val="00B8390A"/>
    <w:rsid w:val="00B855BF"/>
    <w:rsid w:val="00BA04A6"/>
    <w:rsid w:val="00BB77DA"/>
    <w:rsid w:val="00BC2B37"/>
    <w:rsid w:val="00BC3F65"/>
    <w:rsid w:val="00BC569B"/>
    <w:rsid w:val="00BC5EDB"/>
    <w:rsid w:val="00BD3FA6"/>
    <w:rsid w:val="00BE4E76"/>
    <w:rsid w:val="00BE5B3F"/>
    <w:rsid w:val="00BE722E"/>
    <w:rsid w:val="00BF5274"/>
    <w:rsid w:val="00C03F96"/>
    <w:rsid w:val="00C10619"/>
    <w:rsid w:val="00C21AA2"/>
    <w:rsid w:val="00C3140D"/>
    <w:rsid w:val="00C34E58"/>
    <w:rsid w:val="00C47F79"/>
    <w:rsid w:val="00C6100E"/>
    <w:rsid w:val="00C612A1"/>
    <w:rsid w:val="00C73DB9"/>
    <w:rsid w:val="00C7605D"/>
    <w:rsid w:val="00C77F1D"/>
    <w:rsid w:val="00C81817"/>
    <w:rsid w:val="00CA5A50"/>
    <w:rsid w:val="00CB3346"/>
    <w:rsid w:val="00CB5A97"/>
    <w:rsid w:val="00CC22E1"/>
    <w:rsid w:val="00CC38C5"/>
    <w:rsid w:val="00CE0C5E"/>
    <w:rsid w:val="00CE4418"/>
    <w:rsid w:val="00CF7724"/>
    <w:rsid w:val="00D0199C"/>
    <w:rsid w:val="00D123E0"/>
    <w:rsid w:val="00D37A14"/>
    <w:rsid w:val="00D570B6"/>
    <w:rsid w:val="00D573F0"/>
    <w:rsid w:val="00D60C6C"/>
    <w:rsid w:val="00D80027"/>
    <w:rsid w:val="00DA0795"/>
    <w:rsid w:val="00DB0142"/>
    <w:rsid w:val="00DC42CE"/>
    <w:rsid w:val="00DC6ACA"/>
    <w:rsid w:val="00DF0409"/>
    <w:rsid w:val="00DF4C17"/>
    <w:rsid w:val="00E011DE"/>
    <w:rsid w:val="00E1246D"/>
    <w:rsid w:val="00E168E5"/>
    <w:rsid w:val="00E178B6"/>
    <w:rsid w:val="00E313DF"/>
    <w:rsid w:val="00E353E2"/>
    <w:rsid w:val="00E452AC"/>
    <w:rsid w:val="00E704C6"/>
    <w:rsid w:val="00E756CE"/>
    <w:rsid w:val="00E809DF"/>
    <w:rsid w:val="00E910B1"/>
    <w:rsid w:val="00EA096A"/>
    <w:rsid w:val="00EA2408"/>
    <w:rsid w:val="00EA58E4"/>
    <w:rsid w:val="00EB00C4"/>
    <w:rsid w:val="00EB34B8"/>
    <w:rsid w:val="00ED3F9E"/>
    <w:rsid w:val="00EE1445"/>
    <w:rsid w:val="00EE1CB7"/>
    <w:rsid w:val="00EE1E45"/>
    <w:rsid w:val="00EF6A4B"/>
    <w:rsid w:val="00F23C6D"/>
    <w:rsid w:val="00F319BE"/>
    <w:rsid w:val="00F5143B"/>
    <w:rsid w:val="00F53609"/>
    <w:rsid w:val="00F67923"/>
    <w:rsid w:val="00F67B20"/>
    <w:rsid w:val="00F72AB9"/>
    <w:rsid w:val="00F74D55"/>
    <w:rsid w:val="00F7785C"/>
    <w:rsid w:val="00F964E1"/>
    <w:rsid w:val="00F978E5"/>
    <w:rsid w:val="00FB69BD"/>
    <w:rsid w:val="00FE121A"/>
    <w:rsid w:val="00FE2048"/>
    <w:rsid w:val="00FF54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9D0E"/>
  <w15:chartTrackingRefBased/>
  <w15:docId w15:val="{4996E7F2-9FD6-40CC-AC16-AC980F25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2D5CE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2D5CED"/>
    <w:pPr>
      <w:keepNext/>
      <w:keepLines/>
      <w:numPr>
        <w:numId w:val="21"/>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2D5C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D5C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D5CED"/>
    <w:pPr>
      <w:keepNext/>
      <w:keepLines/>
      <w:numPr>
        <w:ilvl w:val="3"/>
        <w:numId w:val="21"/>
      </w:numPr>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B71CD"/>
    <w:pPr>
      <w:tabs>
        <w:tab w:val="center" w:pos="4536"/>
        <w:tab w:val="right" w:pos="9072"/>
      </w:tabs>
    </w:pPr>
  </w:style>
  <w:style w:type="character" w:customStyle="1" w:styleId="ZhlavChar">
    <w:name w:val="Záhlaví Char"/>
    <w:basedOn w:val="Standardnpsmoodstavce"/>
    <w:link w:val="Zhlav"/>
    <w:uiPriority w:val="99"/>
    <w:rsid w:val="002B71C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B71CD"/>
    <w:pPr>
      <w:tabs>
        <w:tab w:val="center" w:pos="4536"/>
        <w:tab w:val="right" w:pos="9072"/>
      </w:tabs>
    </w:pPr>
  </w:style>
  <w:style w:type="character" w:customStyle="1" w:styleId="ZpatChar">
    <w:name w:val="Zápatí Char"/>
    <w:basedOn w:val="Standardnpsmoodstavce"/>
    <w:link w:val="Zpat"/>
    <w:uiPriority w:val="99"/>
    <w:rsid w:val="002B71CD"/>
    <w:rPr>
      <w:rFonts w:ascii="Times New Roman" w:eastAsia="Times New Roman" w:hAnsi="Times New Roman" w:cs="Times New Roman"/>
      <w:sz w:val="20"/>
      <w:szCs w:val="20"/>
      <w:lang w:eastAsia="cs-CZ"/>
    </w:rPr>
  </w:style>
  <w:style w:type="paragraph" w:customStyle="1" w:styleId="nadpiszkona">
    <w:name w:val="nadpis zákona"/>
    <w:basedOn w:val="Normln"/>
    <w:qFormat/>
    <w:rsid w:val="002D6F89"/>
    <w:pPr>
      <w:keepNext/>
      <w:keepLines/>
      <w:overflowPunct/>
      <w:autoSpaceDE/>
      <w:autoSpaceDN/>
      <w:adjustRightInd/>
      <w:spacing w:before="120" w:after="200" w:line="276" w:lineRule="auto"/>
      <w:jc w:val="center"/>
      <w:textAlignment w:val="auto"/>
      <w:outlineLvl w:val="0"/>
    </w:pPr>
    <w:rPr>
      <w:rFonts w:ascii="Calibri" w:eastAsia="Calibri" w:hAnsi="Calibri" w:cs="Calibri"/>
      <w:b/>
      <w:sz w:val="22"/>
      <w:szCs w:val="22"/>
      <w:lang w:val="en-US" w:eastAsia="en-US"/>
    </w:rPr>
  </w:style>
  <w:style w:type="paragraph" w:styleId="Textbubliny">
    <w:name w:val="Balloon Text"/>
    <w:basedOn w:val="Normln"/>
    <w:link w:val="TextbublinyChar"/>
    <w:uiPriority w:val="99"/>
    <w:semiHidden/>
    <w:unhideWhenUsed/>
    <w:rsid w:val="002D6F8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6F89"/>
    <w:rPr>
      <w:rFonts w:ascii="Segoe UI" w:eastAsia="Times New Roman" w:hAnsi="Segoe UI" w:cs="Segoe UI"/>
      <w:sz w:val="18"/>
      <w:szCs w:val="18"/>
      <w:lang w:eastAsia="cs-CZ"/>
    </w:rPr>
  </w:style>
  <w:style w:type="character" w:customStyle="1" w:styleId="TextpoznpodarouChar">
    <w:name w:val="Text pozn. pod čarou Char"/>
    <w:link w:val="Textpoznpodarou"/>
    <w:uiPriority w:val="99"/>
    <w:qFormat/>
    <w:rsid w:val="002D6F89"/>
    <w:rPr>
      <w:rFonts w:ascii="Calibri" w:eastAsia="Calibri" w:hAnsi="Calibri"/>
    </w:rPr>
  </w:style>
  <w:style w:type="character" w:styleId="Znakapoznpodarou">
    <w:name w:val="footnote reference"/>
    <w:qFormat/>
    <w:rsid w:val="002D6F89"/>
    <w:rPr>
      <w:rFonts w:cs="Times New Roman"/>
      <w:vertAlign w:val="superscript"/>
    </w:rPr>
  </w:style>
  <w:style w:type="character" w:customStyle="1" w:styleId="Ukotvenpoznmkypodarou">
    <w:name w:val="Ukotvení poznámky pod čarou"/>
    <w:rsid w:val="002D6F89"/>
    <w:rPr>
      <w:vertAlign w:val="superscript"/>
    </w:rPr>
  </w:style>
  <w:style w:type="paragraph" w:styleId="Textpoznpodarou">
    <w:name w:val="footnote text"/>
    <w:basedOn w:val="Normln"/>
    <w:link w:val="TextpoznpodarouChar"/>
    <w:uiPriority w:val="99"/>
    <w:rsid w:val="002D6F89"/>
    <w:pPr>
      <w:overflowPunct/>
      <w:autoSpaceDE/>
      <w:autoSpaceDN/>
      <w:adjustRightInd/>
      <w:spacing w:after="200" w:line="276" w:lineRule="auto"/>
      <w:textAlignment w:val="auto"/>
    </w:pPr>
    <w:rPr>
      <w:rFonts w:ascii="Calibri" w:eastAsia="Calibri" w:hAnsi="Calibri" w:cstheme="minorBidi"/>
      <w:sz w:val="22"/>
      <w:szCs w:val="22"/>
      <w:lang w:eastAsia="en-US"/>
    </w:rPr>
  </w:style>
  <w:style w:type="character" w:customStyle="1" w:styleId="TextpoznpodarouChar1">
    <w:name w:val="Text pozn. pod čarou Char1"/>
    <w:basedOn w:val="Standardnpsmoodstavce"/>
    <w:uiPriority w:val="99"/>
    <w:semiHidden/>
    <w:rsid w:val="002D6F89"/>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EA096A"/>
    <w:pPr>
      <w:ind w:left="720"/>
      <w:contextualSpacing/>
    </w:pPr>
  </w:style>
  <w:style w:type="paragraph" w:customStyle="1" w:styleId="CM1">
    <w:name w:val="CM1"/>
    <w:basedOn w:val="Normln"/>
    <w:next w:val="Normln"/>
    <w:uiPriority w:val="99"/>
    <w:rsid w:val="00A01FE6"/>
    <w:pPr>
      <w:overflowPunct/>
      <w:textAlignment w:val="auto"/>
    </w:pPr>
    <w:rPr>
      <w:rFonts w:ascii="EUAlbertina" w:eastAsiaTheme="minorHAnsi" w:hAnsi="EUAlbertina" w:cstheme="minorBidi"/>
      <w:sz w:val="24"/>
      <w:szCs w:val="24"/>
      <w:lang w:eastAsia="en-US"/>
    </w:rPr>
  </w:style>
  <w:style w:type="paragraph" w:customStyle="1" w:styleId="CM3">
    <w:name w:val="CM3"/>
    <w:basedOn w:val="Normln"/>
    <w:next w:val="Normln"/>
    <w:uiPriority w:val="99"/>
    <w:rsid w:val="00A01FE6"/>
    <w:pPr>
      <w:overflowPunct/>
      <w:textAlignment w:val="auto"/>
    </w:pPr>
    <w:rPr>
      <w:rFonts w:ascii="EUAlbertina" w:eastAsiaTheme="minorHAnsi" w:hAnsi="EUAlbertina" w:cstheme="minorBidi"/>
      <w:sz w:val="24"/>
      <w:szCs w:val="24"/>
      <w:lang w:eastAsia="en-US"/>
    </w:rPr>
  </w:style>
  <w:style w:type="paragraph" w:customStyle="1" w:styleId="Default">
    <w:name w:val="Default"/>
    <w:rsid w:val="00A01FE6"/>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A01FE6"/>
    <w:rPr>
      <w:rFonts w:cstheme="minorBidi"/>
      <w:color w:val="auto"/>
    </w:rPr>
  </w:style>
  <w:style w:type="paragraph" w:customStyle="1" w:styleId="Vvojcen-ad">
    <w:name w:val="Vývoj cen - ad"/>
    <w:basedOn w:val="Normln"/>
    <w:rsid w:val="002D5CED"/>
    <w:pPr>
      <w:overflowPunct/>
      <w:autoSpaceDE/>
      <w:autoSpaceDN/>
      <w:adjustRightInd/>
      <w:spacing w:before="240" w:after="240"/>
      <w:textAlignment w:val="auto"/>
    </w:pPr>
    <w:rPr>
      <w:rFonts w:ascii="Arial" w:hAnsi="Arial"/>
      <w:b/>
      <w:sz w:val="24"/>
      <w:szCs w:val="24"/>
      <w:u w:val="single"/>
    </w:rPr>
  </w:style>
  <w:style w:type="paragraph" w:customStyle="1" w:styleId="Vvojcen-slovanseznam">
    <w:name w:val="Vývoj cen - číslovaný seznam"/>
    <w:basedOn w:val="Normln"/>
    <w:uiPriority w:val="99"/>
    <w:rsid w:val="002D5CED"/>
    <w:pPr>
      <w:numPr>
        <w:numId w:val="17"/>
      </w:numPr>
      <w:overflowPunct/>
      <w:autoSpaceDE/>
      <w:autoSpaceDN/>
      <w:adjustRightInd/>
      <w:spacing w:before="120" w:after="120"/>
      <w:jc w:val="both"/>
      <w:textAlignment w:val="auto"/>
    </w:pPr>
    <w:rPr>
      <w:rFonts w:ascii="Arial" w:hAnsi="Arial" w:cs="Arial"/>
      <w:sz w:val="22"/>
      <w:szCs w:val="22"/>
    </w:rPr>
  </w:style>
  <w:style w:type="paragraph" w:customStyle="1" w:styleId="Vvojcen-delodrky">
    <w:name w:val="Vývoj cen - delší odrážky"/>
    <w:basedOn w:val="Seznam"/>
    <w:rsid w:val="002D5CED"/>
    <w:pPr>
      <w:tabs>
        <w:tab w:val="left" w:pos="3402"/>
      </w:tabs>
      <w:overflowPunct/>
      <w:autoSpaceDE/>
      <w:autoSpaceDN/>
      <w:adjustRightInd/>
      <w:ind w:left="284" w:hanging="284"/>
      <w:contextualSpacing w:val="0"/>
      <w:textAlignment w:val="auto"/>
    </w:pPr>
    <w:rPr>
      <w:rFonts w:ascii="Arial" w:hAnsi="Arial"/>
      <w:sz w:val="22"/>
      <w:szCs w:val="22"/>
    </w:rPr>
  </w:style>
  <w:style w:type="paragraph" w:styleId="Seznam">
    <w:name w:val="List"/>
    <w:basedOn w:val="Normln"/>
    <w:uiPriority w:val="99"/>
    <w:semiHidden/>
    <w:unhideWhenUsed/>
    <w:rsid w:val="002D5CED"/>
    <w:pPr>
      <w:ind w:left="283" w:hanging="283"/>
      <w:contextualSpacing/>
    </w:pPr>
  </w:style>
  <w:style w:type="paragraph" w:customStyle="1" w:styleId="Vvojcen-Graf">
    <w:name w:val="Vývoj cen - Graf"/>
    <w:basedOn w:val="Normln"/>
    <w:next w:val="Normln"/>
    <w:rsid w:val="002D5CED"/>
    <w:pPr>
      <w:keepNext/>
      <w:overflowPunct/>
      <w:autoSpaceDE/>
      <w:autoSpaceDN/>
      <w:adjustRightInd/>
      <w:spacing w:before="240" w:after="240"/>
      <w:jc w:val="both"/>
      <w:textAlignment w:val="auto"/>
    </w:pPr>
    <w:rPr>
      <w:rFonts w:ascii="Arial" w:hAnsi="Arial"/>
      <w:sz w:val="22"/>
      <w:szCs w:val="22"/>
    </w:rPr>
  </w:style>
  <w:style w:type="paragraph" w:customStyle="1" w:styleId="Vvojcen-grafnzev">
    <w:name w:val="Vývoj cen - graf název"/>
    <w:basedOn w:val="Normln"/>
    <w:link w:val="Vvojcen-grafnzevChar"/>
    <w:rsid w:val="002D5CED"/>
    <w:pPr>
      <w:keepNext/>
      <w:overflowPunct/>
      <w:autoSpaceDE/>
      <w:autoSpaceDN/>
      <w:adjustRightInd/>
      <w:spacing w:before="240"/>
      <w:ind w:left="1418" w:hanging="1418"/>
      <w:jc w:val="both"/>
      <w:textAlignment w:val="auto"/>
    </w:pPr>
    <w:rPr>
      <w:rFonts w:ascii="Arial" w:hAnsi="Arial" w:cs="Arial"/>
      <w:b/>
      <w:sz w:val="22"/>
      <w:szCs w:val="22"/>
    </w:rPr>
  </w:style>
  <w:style w:type="character" w:customStyle="1" w:styleId="Vvojcen-grafnzevChar">
    <w:name w:val="Vývoj cen - graf název Char"/>
    <w:basedOn w:val="Standardnpsmoodstavce"/>
    <w:link w:val="Vvojcen-grafnzev"/>
    <w:rsid w:val="002D5CED"/>
    <w:rPr>
      <w:rFonts w:ascii="Arial" w:eastAsia="Times New Roman" w:hAnsi="Arial" w:cs="Arial"/>
      <w:b/>
      <w:lang w:eastAsia="cs-CZ"/>
    </w:rPr>
  </w:style>
  <w:style w:type="paragraph" w:customStyle="1" w:styleId="Vvojcen-hodnocen">
    <w:name w:val="Vývoj cen - hodnocení"/>
    <w:basedOn w:val="Normln"/>
    <w:next w:val="Normln"/>
    <w:rsid w:val="002D5CED"/>
    <w:pPr>
      <w:keepNext/>
      <w:overflowPunct/>
      <w:autoSpaceDE/>
      <w:autoSpaceDN/>
      <w:adjustRightInd/>
      <w:spacing w:before="240" w:after="240"/>
      <w:jc w:val="both"/>
      <w:textAlignment w:val="auto"/>
    </w:pPr>
    <w:rPr>
      <w:rFonts w:ascii="Arial" w:hAnsi="Arial" w:cs="Arial"/>
      <w:color w:val="666699"/>
      <w:sz w:val="22"/>
      <w:szCs w:val="22"/>
      <w:u w:val="single"/>
    </w:rPr>
  </w:style>
  <w:style w:type="paragraph" w:customStyle="1" w:styleId="Vvojcen-nagraf">
    <w:name w:val="Vývoj cen - na graf"/>
    <w:basedOn w:val="Normln"/>
    <w:rsid w:val="002D5CED"/>
    <w:pPr>
      <w:overflowPunct/>
      <w:autoSpaceDE/>
      <w:autoSpaceDN/>
      <w:adjustRightInd/>
      <w:jc w:val="center"/>
      <w:textAlignment w:val="auto"/>
    </w:pPr>
    <w:rPr>
      <w:rFonts w:ascii="Arial" w:hAnsi="Arial" w:cs="Arial"/>
      <w:sz w:val="22"/>
      <w:szCs w:val="22"/>
    </w:rPr>
  </w:style>
  <w:style w:type="paragraph" w:customStyle="1" w:styleId="Vvojcen-natabulku">
    <w:name w:val="Vývoj cen - na tabulku"/>
    <w:basedOn w:val="Normln"/>
    <w:next w:val="Normln"/>
    <w:uiPriority w:val="99"/>
    <w:rsid w:val="002D5CED"/>
    <w:pPr>
      <w:overflowPunct/>
      <w:autoSpaceDE/>
      <w:autoSpaceDN/>
      <w:adjustRightInd/>
      <w:jc w:val="center"/>
      <w:textAlignment w:val="auto"/>
    </w:pPr>
    <w:rPr>
      <w:rFonts w:ascii="Arial" w:hAnsi="Arial"/>
      <w:sz w:val="22"/>
      <w:szCs w:val="22"/>
    </w:rPr>
  </w:style>
  <w:style w:type="paragraph" w:customStyle="1" w:styleId="Vvojcen-nadpis">
    <w:name w:val="Vývoj cen - nadpis"/>
    <w:basedOn w:val="Nzev"/>
    <w:next w:val="Normln"/>
    <w:rsid w:val="002D5CED"/>
    <w:pPr>
      <w:overflowPunct/>
      <w:autoSpaceDE/>
      <w:autoSpaceDN/>
      <w:adjustRightInd/>
      <w:contextualSpacing w:val="0"/>
      <w:jc w:val="center"/>
      <w:textAlignment w:val="auto"/>
      <w:outlineLvl w:val="0"/>
    </w:pPr>
    <w:rPr>
      <w:rFonts w:ascii="Arial" w:eastAsia="Times New Roman" w:hAnsi="Arial" w:cs="Arial"/>
      <w:b/>
      <w:bCs/>
      <w:spacing w:val="0"/>
      <w:sz w:val="32"/>
      <w:szCs w:val="32"/>
    </w:rPr>
  </w:style>
  <w:style w:type="paragraph" w:styleId="Nzev">
    <w:name w:val="Title"/>
    <w:basedOn w:val="Normln"/>
    <w:next w:val="Normln"/>
    <w:link w:val="NzevChar"/>
    <w:uiPriority w:val="10"/>
    <w:qFormat/>
    <w:rsid w:val="002D5CED"/>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D5CED"/>
    <w:rPr>
      <w:rFonts w:asciiTheme="majorHAnsi" w:eastAsiaTheme="majorEastAsia" w:hAnsiTheme="majorHAnsi" w:cstheme="majorBidi"/>
      <w:spacing w:val="-10"/>
      <w:kern w:val="28"/>
      <w:sz w:val="56"/>
      <w:szCs w:val="56"/>
      <w:lang w:eastAsia="cs-CZ"/>
    </w:rPr>
  </w:style>
  <w:style w:type="paragraph" w:customStyle="1" w:styleId="Vvojcen-nadpis3">
    <w:name w:val="Vývoj cen - nadpis 3"/>
    <w:basedOn w:val="Nadpis3"/>
    <w:uiPriority w:val="99"/>
    <w:rsid w:val="002D5CED"/>
    <w:pPr>
      <w:keepLines w:val="0"/>
      <w:numPr>
        <w:ilvl w:val="2"/>
        <w:numId w:val="21"/>
      </w:numPr>
      <w:overflowPunct/>
      <w:autoSpaceDE/>
      <w:autoSpaceDN/>
      <w:adjustRightInd/>
      <w:spacing w:before="240" w:after="60"/>
      <w:jc w:val="both"/>
      <w:textAlignment w:val="auto"/>
    </w:pPr>
    <w:rPr>
      <w:rFonts w:ascii="Arial" w:eastAsia="Times New Roman" w:hAnsi="Arial" w:cs="Arial"/>
      <w:b/>
      <w:bCs/>
      <w:color w:val="auto"/>
      <w:sz w:val="22"/>
      <w:szCs w:val="22"/>
    </w:rPr>
  </w:style>
  <w:style w:type="character" w:customStyle="1" w:styleId="Nadpis3Char">
    <w:name w:val="Nadpis 3 Char"/>
    <w:basedOn w:val="Standardnpsmoodstavce"/>
    <w:link w:val="Nadpis3"/>
    <w:uiPriority w:val="9"/>
    <w:semiHidden/>
    <w:rsid w:val="002D5CED"/>
    <w:rPr>
      <w:rFonts w:asciiTheme="majorHAnsi" w:eastAsiaTheme="majorEastAsia" w:hAnsiTheme="majorHAnsi" w:cstheme="majorBidi"/>
      <w:color w:val="1F4D78" w:themeColor="accent1" w:themeShade="7F"/>
      <w:sz w:val="24"/>
      <w:szCs w:val="24"/>
      <w:lang w:eastAsia="cs-CZ"/>
    </w:rPr>
  </w:style>
  <w:style w:type="paragraph" w:customStyle="1" w:styleId="Vvojcen-nadpis4">
    <w:name w:val="Vývoj cen - nadpis 4"/>
    <w:basedOn w:val="Nadpis4"/>
    <w:next w:val="Normln"/>
    <w:uiPriority w:val="99"/>
    <w:rsid w:val="002D5CED"/>
    <w:pPr>
      <w:keepLines w:val="0"/>
      <w:overflowPunct/>
      <w:autoSpaceDE/>
      <w:autoSpaceDN/>
      <w:adjustRightInd/>
      <w:spacing w:before="240" w:after="60"/>
      <w:ind w:left="862" w:hanging="862"/>
      <w:jc w:val="both"/>
      <w:textAlignment w:val="auto"/>
    </w:pPr>
    <w:rPr>
      <w:rFonts w:ascii="Arial" w:eastAsia="EUAlbertina-Regular-Identity-H" w:hAnsi="Arial" w:cs="EUAlbertina-Regular-Identity-H"/>
      <w:b/>
      <w:i w:val="0"/>
      <w:iCs w:val="0"/>
      <w:color w:val="auto"/>
      <w:sz w:val="22"/>
      <w:szCs w:val="22"/>
    </w:rPr>
  </w:style>
  <w:style w:type="character" w:customStyle="1" w:styleId="Nadpis4Char">
    <w:name w:val="Nadpis 4 Char"/>
    <w:basedOn w:val="Standardnpsmoodstavce"/>
    <w:link w:val="Nadpis4"/>
    <w:uiPriority w:val="9"/>
    <w:semiHidden/>
    <w:rsid w:val="002D5CED"/>
    <w:rPr>
      <w:rFonts w:asciiTheme="majorHAnsi" w:eastAsiaTheme="majorEastAsia" w:hAnsiTheme="majorHAnsi" w:cstheme="majorBidi"/>
      <w:i/>
      <w:iCs/>
      <w:color w:val="2E74B5" w:themeColor="accent1" w:themeShade="BF"/>
      <w:sz w:val="20"/>
      <w:szCs w:val="20"/>
      <w:lang w:eastAsia="cs-CZ"/>
    </w:rPr>
  </w:style>
  <w:style w:type="paragraph" w:customStyle="1" w:styleId="Vvojcen-nadpis1">
    <w:name w:val="Vývoj cen - nadpis1"/>
    <w:basedOn w:val="Nadpis1"/>
    <w:link w:val="Vvojcen-nadpis1Char"/>
    <w:rsid w:val="002D5CED"/>
    <w:pPr>
      <w:keepLines w:val="0"/>
      <w:overflowPunct/>
      <w:autoSpaceDE/>
      <w:autoSpaceDN/>
      <w:adjustRightInd/>
      <w:spacing w:before="360" w:after="240"/>
      <w:ind w:left="431" w:hanging="431"/>
      <w:jc w:val="both"/>
      <w:textAlignment w:val="auto"/>
    </w:pPr>
    <w:rPr>
      <w:rFonts w:ascii="Arial" w:eastAsia="Times New Roman" w:hAnsi="Arial" w:cs="Arial"/>
      <w:b/>
      <w:bCs/>
      <w:color w:val="auto"/>
      <w:kern w:val="32"/>
      <w:sz w:val="28"/>
      <w:szCs w:val="28"/>
    </w:rPr>
  </w:style>
  <w:style w:type="character" w:customStyle="1" w:styleId="Vvojcen-nadpis1Char">
    <w:name w:val="Vývoj cen - nadpis1 Char"/>
    <w:basedOn w:val="Standardnpsmoodstavce"/>
    <w:link w:val="Vvojcen-nadpis1"/>
    <w:rsid w:val="002D5CED"/>
    <w:rPr>
      <w:rFonts w:ascii="Arial" w:eastAsia="Times New Roman" w:hAnsi="Arial" w:cs="Arial"/>
      <w:b/>
      <w:bCs/>
      <w:kern w:val="32"/>
      <w:sz w:val="28"/>
      <w:szCs w:val="28"/>
      <w:lang w:eastAsia="cs-CZ"/>
    </w:rPr>
  </w:style>
  <w:style w:type="character" w:customStyle="1" w:styleId="Nadpis1Char">
    <w:name w:val="Nadpis 1 Char"/>
    <w:basedOn w:val="Standardnpsmoodstavce"/>
    <w:link w:val="Nadpis1"/>
    <w:uiPriority w:val="9"/>
    <w:rsid w:val="002D5CED"/>
    <w:rPr>
      <w:rFonts w:asciiTheme="majorHAnsi" w:eastAsiaTheme="majorEastAsia" w:hAnsiTheme="majorHAnsi" w:cstheme="majorBidi"/>
      <w:color w:val="2E74B5" w:themeColor="accent1" w:themeShade="BF"/>
      <w:sz w:val="32"/>
      <w:szCs w:val="32"/>
      <w:lang w:eastAsia="cs-CZ"/>
    </w:rPr>
  </w:style>
  <w:style w:type="character" w:customStyle="1" w:styleId="Vvojcen-nadpis1CharChar">
    <w:name w:val="Vývoj cen - nadpis1 Char Char"/>
    <w:basedOn w:val="Standardnpsmoodstavce"/>
    <w:rsid w:val="002D5CED"/>
    <w:rPr>
      <w:rFonts w:ascii="Arial" w:hAnsi="Arial" w:cs="Arial"/>
      <w:b/>
      <w:bCs/>
      <w:kern w:val="32"/>
      <w:sz w:val="28"/>
      <w:szCs w:val="28"/>
      <w:lang w:val="cs-CZ" w:eastAsia="cs-CZ" w:bidi="ar-SA"/>
    </w:rPr>
  </w:style>
  <w:style w:type="paragraph" w:customStyle="1" w:styleId="Vvojcen-nadpis2">
    <w:name w:val="Vývoj cen - nadpis2"/>
    <w:basedOn w:val="Nadpis2"/>
    <w:next w:val="Normln"/>
    <w:link w:val="Vvojcen-nadpis2Char"/>
    <w:uiPriority w:val="99"/>
    <w:rsid w:val="002D5CED"/>
    <w:pPr>
      <w:keepLines w:val="0"/>
      <w:numPr>
        <w:ilvl w:val="1"/>
        <w:numId w:val="21"/>
      </w:numPr>
      <w:tabs>
        <w:tab w:val="left" w:pos="709"/>
      </w:tabs>
      <w:overflowPunct/>
      <w:autoSpaceDE/>
      <w:autoSpaceDN/>
      <w:adjustRightInd/>
      <w:spacing w:before="360" w:after="240"/>
      <w:jc w:val="both"/>
      <w:textAlignment w:val="auto"/>
    </w:pPr>
    <w:rPr>
      <w:rFonts w:ascii="Arial" w:eastAsia="Times New Roman" w:hAnsi="Arial" w:cs="Arial"/>
      <w:b/>
      <w:bCs/>
      <w:iCs/>
      <w:color w:val="auto"/>
      <w:sz w:val="22"/>
      <w:szCs w:val="28"/>
    </w:rPr>
  </w:style>
  <w:style w:type="character" w:customStyle="1" w:styleId="Vvojcen-nadpis2Char">
    <w:name w:val="Vývoj cen - nadpis2 Char"/>
    <w:basedOn w:val="Standardnpsmoodstavce"/>
    <w:link w:val="Vvojcen-nadpis2"/>
    <w:uiPriority w:val="99"/>
    <w:rsid w:val="002D5CED"/>
    <w:rPr>
      <w:rFonts w:ascii="Arial" w:eastAsia="Times New Roman" w:hAnsi="Arial" w:cs="Arial"/>
      <w:b/>
      <w:bCs/>
      <w:iCs/>
      <w:szCs w:val="28"/>
      <w:lang w:eastAsia="cs-CZ"/>
    </w:rPr>
  </w:style>
  <w:style w:type="character" w:customStyle="1" w:styleId="Nadpis2Char">
    <w:name w:val="Nadpis 2 Char"/>
    <w:basedOn w:val="Standardnpsmoodstavce"/>
    <w:link w:val="Nadpis2"/>
    <w:uiPriority w:val="9"/>
    <w:semiHidden/>
    <w:rsid w:val="002D5CED"/>
    <w:rPr>
      <w:rFonts w:asciiTheme="majorHAnsi" w:eastAsiaTheme="majorEastAsia" w:hAnsiTheme="majorHAnsi" w:cstheme="majorBidi"/>
      <w:color w:val="2E74B5" w:themeColor="accent1" w:themeShade="BF"/>
      <w:sz w:val="26"/>
      <w:szCs w:val="26"/>
      <w:lang w:eastAsia="cs-CZ"/>
    </w:rPr>
  </w:style>
  <w:style w:type="paragraph" w:customStyle="1" w:styleId="Vvojcen-nzevdokumentu">
    <w:name w:val="Vývoj cen - název dokumentu"/>
    <w:basedOn w:val="Normln"/>
    <w:rsid w:val="002D5CED"/>
    <w:pPr>
      <w:overflowPunct/>
      <w:autoSpaceDE/>
      <w:autoSpaceDN/>
      <w:adjustRightInd/>
      <w:spacing w:before="3000" w:after="720"/>
      <w:jc w:val="center"/>
      <w:textAlignment w:val="auto"/>
    </w:pPr>
    <w:rPr>
      <w:rFonts w:ascii="Arial" w:hAnsi="Arial"/>
      <w:b/>
      <w:bCs/>
      <w:sz w:val="40"/>
      <w:szCs w:val="40"/>
    </w:rPr>
  </w:style>
  <w:style w:type="paragraph" w:customStyle="1" w:styleId="Vvojcen-odrky">
    <w:name w:val="Vývoj cen - odrážky"/>
    <w:basedOn w:val="Seznam"/>
    <w:uiPriority w:val="99"/>
    <w:rsid w:val="002D5CED"/>
    <w:pPr>
      <w:numPr>
        <w:numId w:val="22"/>
      </w:numPr>
      <w:overflowPunct/>
      <w:autoSpaceDE/>
      <w:autoSpaceDN/>
      <w:adjustRightInd/>
      <w:spacing w:before="120"/>
      <w:contextualSpacing w:val="0"/>
      <w:jc w:val="both"/>
      <w:textAlignment w:val="auto"/>
    </w:pPr>
    <w:rPr>
      <w:rFonts w:ascii="Arial" w:hAnsi="Arial" w:cs="Arial"/>
      <w:sz w:val="22"/>
      <w:szCs w:val="22"/>
    </w:rPr>
  </w:style>
  <w:style w:type="paragraph" w:customStyle="1" w:styleId="Vvojcen-odrkydel">
    <w:name w:val="Vývoj cen - odrážky delší"/>
    <w:basedOn w:val="Seznam"/>
    <w:link w:val="Vvojcen-odrkydelChar"/>
    <w:uiPriority w:val="99"/>
    <w:rsid w:val="002D5CED"/>
    <w:pPr>
      <w:numPr>
        <w:numId w:val="23"/>
      </w:numPr>
      <w:tabs>
        <w:tab w:val="left" w:pos="3249"/>
      </w:tabs>
      <w:overflowPunct/>
      <w:autoSpaceDE/>
      <w:autoSpaceDN/>
      <w:adjustRightInd/>
      <w:contextualSpacing w:val="0"/>
      <w:textAlignment w:val="auto"/>
    </w:pPr>
    <w:rPr>
      <w:rFonts w:ascii="Arial" w:hAnsi="Arial"/>
      <w:sz w:val="22"/>
      <w:szCs w:val="22"/>
    </w:rPr>
  </w:style>
  <w:style w:type="character" w:customStyle="1" w:styleId="Vvojcen-odrkydelChar">
    <w:name w:val="Vývoj cen - odrážky delší Char"/>
    <w:basedOn w:val="Standardnpsmoodstavce"/>
    <w:link w:val="Vvojcen-odrkydel"/>
    <w:uiPriority w:val="99"/>
    <w:rsid w:val="002D5CED"/>
    <w:rPr>
      <w:rFonts w:ascii="Arial" w:eastAsia="Times New Roman" w:hAnsi="Arial" w:cs="Times New Roman"/>
      <w:lang w:eastAsia="cs-CZ"/>
    </w:rPr>
  </w:style>
  <w:style w:type="paragraph" w:customStyle="1" w:styleId="Vvojcen-podnadpis">
    <w:name w:val="Vývoj cen - podnadpis"/>
    <w:basedOn w:val="Normln"/>
    <w:next w:val="Normln"/>
    <w:uiPriority w:val="99"/>
    <w:rsid w:val="002D5CED"/>
    <w:pPr>
      <w:keepNext/>
      <w:overflowPunct/>
      <w:autoSpaceDE/>
      <w:autoSpaceDN/>
      <w:adjustRightInd/>
      <w:spacing w:before="360" w:after="120"/>
      <w:textAlignment w:val="auto"/>
    </w:pPr>
    <w:rPr>
      <w:rFonts w:ascii="Arial" w:hAnsi="Arial" w:cs="Arial"/>
      <w:b/>
      <w:sz w:val="22"/>
      <w:szCs w:val="22"/>
    </w:rPr>
  </w:style>
  <w:style w:type="paragraph" w:customStyle="1" w:styleId="Vvojcen-poznmka">
    <w:name w:val="Vývoj cen - poznámka"/>
    <w:basedOn w:val="Normln"/>
    <w:link w:val="Vvojcen-poznmkaChar"/>
    <w:rsid w:val="002D5CED"/>
    <w:pPr>
      <w:overflowPunct/>
      <w:autoSpaceDE/>
      <w:autoSpaceDN/>
      <w:adjustRightInd/>
      <w:spacing w:after="240"/>
      <w:textAlignment w:val="auto"/>
    </w:pPr>
    <w:rPr>
      <w:rFonts w:ascii="Arial" w:hAnsi="Arial" w:cs="Arial"/>
      <w:sz w:val="18"/>
      <w:szCs w:val="18"/>
    </w:rPr>
  </w:style>
  <w:style w:type="character" w:customStyle="1" w:styleId="Vvojcen-poznmkaChar">
    <w:name w:val="Vývoj cen - poznámka Char"/>
    <w:basedOn w:val="Standardnpsmoodstavce"/>
    <w:link w:val="Vvojcen-poznmka"/>
    <w:rsid w:val="002D5CED"/>
    <w:rPr>
      <w:rFonts w:ascii="Arial" w:eastAsia="Times New Roman" w:hAnsi="Arial" w:cs="Arial"/>
      <w:sz w:val="18"/>
      <w:szCs w:val="18"/>
      <w:lang w:eastAsia="cs-CZ"/>
    </w:rPr>
  </w:style>
  <w:style w:type="paragraph" w:customStyle="1" w:styleId="Vvojcen-tabulka">
    <w:name w:val="Vývoj cen - tabulka"/>
    <w:basedOn w:val="Zkladntext"/>
    <w:rsid w:val="002D5CED"/>
    <w:pPr>
      <w:keepNext/>
      <w:overflowPunct/>
      <w:autoSpaceDE/>
      <w:autoSpaceDN/>
      <w:adjustRightInd/>
      <w:spacing w:before="240" w:after="240"/>
      <w:textAlignment w:val="auto"/>
    </w:pPr>
    <w:rPr>
      <w:rFonts w:ascii="Arial" w:hAnsi="Arial" w:cs="Arial"/>
      <w:sz w:val="22"/>
      <w:lang w:eastAsia="en-US"/>
    </w:rPr>
  </w:style>
  <w:style w:type="paragraph" w:styleId="Zkladntext">
    <w:name w:val="Body Text"/>
    <w:basedOn w:val="Normln"/>
    <w:link w:val="ZkladntextChar"/>
    <w:uiPriority w:val="99"/>
    <w:semiHidden/>
    <w:unhideWhenUsed/>
    <w:rsid w:val="002D5CED"/>
    <w:pPr>
      <w:spacing w:after="120"/>
    </w:pPr>
  </w:style>
  <w:style w:type="character" w:customStyle="1" w:styleId="ZkladntextChar">
    <w:name w:val="Základní text Char"/>
    <w:basedOn w:val="Standardnpsmoodstavce"/>
    <w:link w:val="Zkladntext"/>
    <w:uiPriority w:val="99"/>
    <w:semiHidden/>
    <w:rsid w:val="002D5CED"/>
    <w:rPr>
      <w:rFonts w:ascii="Times New Roman" w:eastAsia="Times New Roman" w:hAnsi="Times New Roman" w:cs="Times New Roman"/>
      <w:sz w:val="20"/>
      <w:szCs w:val="20"/>
      <w:lang w:eastAsia="cs-CZ"/>
    </w:rPr>
  </w:style>
  <w:style w:type="paragraph" w:customStyle="1" w:styleId="Vvojcen-tabulkanzev">
    <w:name w:val="Vývoj cen - tabulka název"/>
    <w:basedOn w:val="Zkladntext"/>
    <w:next w:val="Normln"/>
    <w:link w:val="Vvojcen-tabulkanzevChar"/>
    <w:uiPriority w:val="99"/>
    <w:rsid w:val="002D5CED"/>
    <w:pPr>
      <w:keepNext/>
      <w:overflowPunct/>
      <w:autoSpaceDE/>
      <w:autoSpaceDN/>
      <w:adjustRightInd/>
      <w:spacing w:before="240"/>
      <w:ind w:left="1418" w:hanging="1418"/>
      <w:jc w:val="both"/>
      <w:textAlignment w:val="auto"/>
    </w:pPr>
    <w:rPr>
      <w:rFonts w:ascii="Arial" w:hAnsi="Arial" w:cs="Arial"/>
      <w:b/>
      <w:sz w:val="22"/>
      <w:szCs w:val="22"/>
      <w:lang w:eastAsia="en-US"/>
    </w:rPr>
  </w:style>
  <w:style w:type="character" w:customStyle="1" w:styleId="Vvojcen-tabulkanzevChar">
    <w:name w:val="Vývoj cen - tabulka název Char"/>
    <w:basedOn w:val="Standardnpsmoodstavce"/>
    <w:link w:val="Vvojcen-tabulkanzev"/>
    <w:uiPriority w:val="99"/>
    <w:rsid w:val="002D5CED"/>
    <w:rPr>
      <w:rFonts w:ascii="Arial" w:eastAsia="Times New Roman" w:hAnsi="Arial" w:cs="Arial"/>
      <w:b/>
    </w:rPr>
  </w:style>
  <w:style w:type="paragraph" w:customStyle="1" w:styleId="Vvojcen-zkladntext">
    <w:name w:val="Vývoj cen - základní text"/>
    <w:basedOn w:val="Normln"/>
    <w:link w:val="Vvojcen-zkladntextChar"/>
    <w:uiPriority w:val="99"/>
    <w:rsid w:val="002D5CED"/>
    <w:pPr>
      <w:overflowPunct/>
      <w:autoSpaceDE/>
      <w:autoSpaceDN/>
      <w:adjustRightInd/>
      <w:spacing w:before="120" w:after="120"/>
      <w:ind w:firstLine="709"/>
      <w:jc w:val="both"/>
      <w:textAlignment w:val="auto"/>
    </w:pPr>
    <w:rPr>
      <w:rFonts w:ascii="Arial" w:hAnsi="Arial"/>
      <w:sz w:val="22"/>
      <w:szCs w:val="22"/>
    </w:rPr>
  </w:style>
  <w:style w:type="character" w:customStyle="1" w:styleId="Vvojcen-zkladntextChar">
    <w:name w:val="Vývoj cen - základní text Char"/>
    <w:basedOn w:val="Standardnpsmoodstavce"/>
    <w:link w:val="Vvojcen-zkladntext"/>
    <w:uiPriority w:val="99"/>
    <w:rsid w:val="002D5CED"/>
    <w:rPr>
      <w:rFonts w:ascii="Arial" w:eastAsia="Times New Roman" w:hAnsi="Arial" w:cs="Times New Roman"/>
      <w:lang w:eastAsia="cs-CZ"/>
    </w:rPr>
  </w:style>
  <w:style w:type="character" w:styleId="slodku">
    <w:name w:val="line number"/>
    <w:basedOn w:val="Standardnpsmoodstavce"/>
    <w:uiPriority w:val="99"/>
    <w:semiHidden/>
    <w:unhideWhenUsed/>
    <w:rsid w:val="00BC2B37"/>
  </w:style>
  <w:style w:type="character" w:styleId="Odkaznakoment">
    <w:name w:val="annotation reference"/>
    <w:basedOn w:val="Standardnpsmoodstavce"/>
    <w:uiPriority w:val="99"/>
    <w:semiHidden/>
    <w:unhideWhenUsed/>
    <w:rsid w:val="00F5143B"/>
    <w:rPr>
      <w:sz w:val="16"/>
      <w:szCs w:val="16"/>
    </w:rPr>
  </w:style>
  <w:style w:type="paragraph" w:styleId="Textkomente">
    <w:name w:val="annotation text"/>
    <w:basedOn w:val="Normln"/>
    <w:link w:val="TextkomenteChar"/>
    <w:uiPriority w:val="99"/>
    <w:semiHidden/>
    <w:unhideWhenUsed/>
    <w:rsid w:val="00F5143B"/>
  </w:style>
  <w:style w:type="character" w:customStyle="1" w:styleId="TextkomenteChar">
    <w:name w:val="Text komentáře Char"/>
    <w:basedOn w:val="Standardnpsmoodstavce"/>
    <w:link w:val="Textkomente"/>
    <w:uiPriority w:val="99"/>
    <w:semiHidden/>
    <w:rsid w:val="00F5143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F5143B"/>
    <w:rPr>
      <w:b/>
      <w:bCs/>
    </w:rPr>
  </w:style>
  <w:style w:type="character" w:customStyle="1" w:styleId="PedmtkomenteChar">
    <w:name w:val="Předmět komentáře Char"/>
    <w:basedOn w:val="TextkomenteChar"/>
    <w:link w:val="Pedmtkomente"/>
    <w:uiPriority w:val="99"/>
    <w:semiHidden/>
    <w:rsid w:val="00F5143B"/>
    <w:rPr>
      <w:rFonts w:ascii="Times New Roman" w:eastAsia="Times New Roman" w:hAnsi="Times New Roman" w:cs="Times New Roman"/>
      <w:b/>
      <w:bCs/>
      <w:sz w:val="20"/>
      <w:szCs w:val="20"/>
      <w:lang w:eastAsia="cs-CZ"/>
    </w:rPr>
  </w:style>
  <w:style w:type="paragraph" w:styleId="Nadpisobsahu">
    <w:name w:val="TOC Heading"/>
    <w:basedOn w:val="Nadpis1"/>
    <w:next w:val="Normln"/>
    <w:uiPriority w:val="39"/>
    <w:unhideWhenUsed/>
    <w:qFormat/>
    <w:rsid w:val="002C52CF"/>
    <w:pPr>
      <w:numPr>
        <w:numId w:val="0"/>
      </w:numPr>
      <w:overflowPunct/>
      <w:autoSpaceDE/>
      <w:autoSpaceDN/>
      <w:adjustRightInd/>
      <w:spacing w:line="259" w:lineRule="auto"/>
      <w:textAlignment w:val="auto"/>
      <w:outlineLvl w:val="9"/>
    </w:pPr>
  </w:style>
  <w:style w:type="paragraph" w:styleId="Obsah1">
    <w:name w:val="toc 1"/>
    <w:basedOn w:val="Normln"/>
    <w:next w:val="Normln"/>
    <w:autoRedefine/>
    <w:uiPriority w:val="39"/>
    <w:unhideWhenUsed/>
    <w:rsid w:val="002C52CF"/>
    <w:pPr>
      <w:spacing w:before="120"/>
    </w:pPr>
    <w:rPr>
      <w:rFonts w:asciiTheme="minorHAnsi" w:hAnsiTheme="minorHAnsi"/>
      <w:b/>
      <w:bCs/>
      <w:i/>
      <w:iCs/>
      <w:sz w:val="24"/>
      <w:szCs w:val="24"/>
    </w:rPr>
  </w:style>
  <w:style w:type="paragraph" w:styleId="Obsah2">
    <w:name w:val="toc 2"/>
    <w:basedOn w:val="Normln"/>
    <w:next w:val="Normln"/>
    <w:autoRedefine/>
    <w:uiPriority w:val="39"/>
    <w:unhideWhenUsed/>
    <w:rsid w:val="002C52CF"/>
    <w:pPr>
      <w:spacing w:before="120"/>
      <w:ind w:left="200"/>
    </w:pPr>
    <w:rPr>
      <w:rFonts w:asciiTheme="minorHAnsi" w:hAnsiTheme="minorHAnsi"/>
      <w:b/>
      <w:bCs/>
      <w:sz w:val="22"/>
      <w:szCs w:val="22"/>
    </w:rPr>
  </w:style>
  <w:style w:type="paragraph" w:styleId="Obsah3">
    <w:name w:val="toc 3"/>
    <w:basedOn w:val="Normln"/>
    <w:next w:val="Normln"/>
    <w:autoRedefine/>
    <w:uiPriority w:val="39"/>
    <w:unhideWhenUsed/>
    <w:rsid w:val="002C52CF"/>
    <w:pPr>
      <w:ind w:left="400"/>
    </w:pPr>
    <w:rPr>
      <w:rFonts w:asciiTheme="minorHAnsi" w:hAnsiTheme="minorHAnsi"/>
    </w:rPr>
  </w:style>
  <w:style w:type="character" w:styleId="Hypertextovodkaz">
    <w:name w:val="Hyperlink"/>
    <w:basedOn w:val="Standardnpsmoodstavce"/>
    <w:uiPriority w:val="99"/>
    <w:unhideWhenUsed/>
    <w:rsid w:val="002C52CF"/>
    <w:rPr>
      <w:color w:val="0563C1" w:themeColor="hyperlink"/>
      <w:u w:val="single"/>
    </w:rPr>
  </w:style>
  <w:style w:type="paragraph" w:styleId="Obsah4">
    <w:name w:val="toc 4"/>
    <w:basedOn w:val="Normln"/>
    <w:next w:val="Normln"/>
    <w:autoRedefine/>
    <w:uiPriority w:val="39"/>
    <w:unhideWhenUsed/>
    <w:rsid w:val="002C52CF"/>
    <w:pPr>
      <w:ind w:left="600"/>
    </w:pPr>
    <w:rPr>
      <w:rFonts w:asciiTheme="minorHAnsi" w:hAnsiTheme="minorHAnsi"/>
    </w:rPr>
  </w:style>
  <w:style w:type="paragraph" w:styleId="Obsah5">
    <w:name w:val="toc 5"/>
    <w:basedOn w:val="Normln"/>
    <w:next w:val="Normln"/>
    <w:autoRedefine/>
    <w:uiPriority w:val="39"/>
    <w:unhideWhenUsed/>
    <w:rsid w:val="002C52CF"/>
    <w:pPr>
      <w:ind w:left="800"/>
    </w:pPr>
    <w:rPr>
      <w:rFonts w:asciiTheme="minorHAnsi" w:hAnsiTheme="minorHAnsi"/>
    </w:rPr>
  </w:style>
  <w:style w:type="paragraph" w:styleId="Obsah6">
    <w:name w:val="toc 6"/>
    <w:basedOn w:val="Normln"/>
    <w:next w:val="Normln"/>
    <w:autoRedefine/>
    <w:uiPriority w:val="39"/>
    <w:unhideWhenUsed/>
    <w:rsid w:val="002C52CF"/>
    <w:pPr>
      <w:ind w:left="1000"/>
    </w:pPr>
    <w:rPr>
      <w:rFonts w:asciiTheme="minorHAnsi" w:hAnsiTheme="minorHAnsi"/>
    </w:rPr>
  </w:style>
  <w:style w:type="paragraph" w:styleId="Obsah7">
    <w:name w:val="toc 7"/>
    <w:basedOn w:val="Normln"/>
    <w:next w:val="Normln"/>
    <w:autoRedefine/>
    <w:uiPriority w:val="39"/>
    <w:unhideWhenUsed/>
    <w:rsid w:val="002C52CF"/>
    <w:pPr>
      <w:ind w:left="1200"/>
    </w:pPr>
    <w:rPr>
      <w:rFonts w:asciiTheme="minorHAnsi" w:hAnsiTheme="minorHAnsi"/>
    </w:rPr>
  </w:style>
  <w:style w:type="paragraph" w:styleId="Obsah8">
    <w:name w:val="toc 8"/>
    <w:basedOn w:val="Normln"/>
    <w:next w:val="Normln"/>
    <w:autoRedefine/>
    <w:uiPriority w:val="39"/>
    <w:unhideWhenUsed/>
    <w:rsid w:val="002C52CF"/>
    <w:pPr>
      <w:ind w:left="1400"/>
    </w:pPr>
    <w:rPr>
      <w:rFonts w:asciiTheme="minorHAnsi" w:hAnsiTheme="minorHAnsi"/>
    </w:rPr>
  </w:style>
  <w:style w:type="paragraph" w:styleId="Obsah9">
    <w:name w:val="toc 9"/>
    <w:basedOn w:val="Normln"/>
    <w:next w:val="Normln"/>
    <w:autoRedefine/>
    <w:uiPriority w:val="39"/>
    <w:unhideWhenUsed/>
    <w:rsid w:val="002C52CF"/>
    <w:pPr>
      <w:ind w:left="160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3795">
      <w:bodyDiv w:val="1"/>
      <w:marLeft w:val="0"/>
      <w:marRight w:val="0"/>
      <w:marTop w:val="0"/>
      <w:marBottom w:val="0"/>
      <w:divBdr>
        <w:top w:val="none" w:sz="0" w:space="0" w:color="auto"/>
        <w:left w:val="none" w:sz="0" w:space="0" w:color="auto"/>
        <w:bottom w:val="none" w:sz="0" w:space="0" w:color="auto"/>
        <w:right w:val="none" w:sz="0" w:space="0" w:color="auto"/>
      </w:divBdr>
      <w:divsChild>
        <w:div w:id="534276778">
          <w:marLeft w:val="0"/>
          <w:marRight w:val="0"/>
          <w:marTop w:val="0"/>
          <w:marBottom w:val="0"/>
          <w:divBdr>
            <w:top w:val="none" w:sz="0" w:space="0" w:color="auto"/>
            <w:left w:val="none" w:sz="0" w:space="0" w:color="auto"/>
            <w:bottom w:val="none" w:sz="0" w:space="0" w:color="auto"/>
            <w:right w:val="none" w:sz="0" w:space="0" w:color="auto"/>
          </w:divBdr>
        </w:div>
        <w:div w:id="337195856">
          <w:marLeft w:val="0"/>
          <w:marRight w:val="0"/>
          <w:marTop w:val="0"/>
          <w:marBottom w:val="0"/>
          <w:divBdr>
            <w:top w:val="none" w:sz="0" w:space="0" w:color="auto"/>
            <w:left w:val="none" w:sz="0" w:space="0" w:color="auto"/>
            <w:bottom w:val="none" w:sz="0" w:space="0" w:color="auto"/>
            <w:right w:val="none" w:sz="0" w:space="0" w:color="auto"/>
          </w:divBdr>
        </w:div>
        <w:div w:id="602882442">
          <w:marLeft w:val="0"/>
          <w:marRight w:val="0"/>
          <w:marTop w:val="0"/>
          <w:marBottom w:val="0"/>
          <w:divBdr>
            <w:top w:val="none" w:sz="0" w:space="0" w:color="auto"/>
            <w:left w:val="none" w:sz="0" w:space="0" w:color="auto"/>
            <w:bottom w:val="none" w:sz="0" w:space="0" w:color="auto"/>
            <w:right w:val="none" w:sz="0" w:space="0" w:color="auto"/>
          </w:divBdr>
        </w:div>
        <w:div w:id="1540555480">
          <w:marLeft w:val="0"/>
          <w:marRight w:val="0"/>
          <w:marTop w:val="0"/>
          <w:marBottom w:val="0"/>
          <w:divBdr>
            <w:top w:val="none" w:sz="0" w:space="0" w:color="auto"/>
            <w:left w:val="none" w:sz="0" w:space="0" w:color="auto"/>
            <w:bottom w:val="none" w:sz="0" w:space="0" w:color="auto"/>
            <w:right w:val="none" w:sz="0" w:space="0" w:color="auto"/>
          </w:divBdr>
        </w:div>
        <w:div w:id="517893898">
          <w:marLeft w:val="0"/>
          <w:marRight w:val="0"/>
          <w:marTop w:val="0"/>
          <w:marBottom w:val="0"/>
          <w:divBdr>
            <w:top w:val="none" w:sz="0" w:space="0" w:color="auto"/>
            <w:left w:val="none" w:sz="0" w:space="0" w:color="auto"/>
            <w:bottom w:val="none" w:sz="0" w:space="0" w:color="auto"/>
            <w:right w:val="none" w:sz="0" w:space="0" w:color="auto"/>
          </w:divBdr>
        </w:div>
        <w:div w:id="1817723558">
          <w:marLeft w:val="0"/>
          <w:marRight w:val="0"/>
          <w:marTop w:val="0"/>
          <w:marBottom w:val="0"/>
          <w:divBdr>
            <w:top w:val="none" w:sz="0" w:space="0" w:color="auto"/>
            <w:left w:val="none" w:sz="0" w:space="0" w:color="auto"/>
            <w:bottom w:val="none" w:sz="0" w:space="0" w:color="auto"/>
            <w:right w:val="none" w:sz="0" w:space="0" w:color="auto"/>
          </w:divBdr>
        </w:div>
        <w:div w:id="2095472644">
          <w:marLeft w:val="0"/>
          <w:marRight w:val="0"/>
          <w:marTop w:val="0"/>
          <w:marBottom w:val="0"/>
          <w:divBdr>
            <w:top w:val="none" w:sz="0" w:space="0" w:color="auto"/>
            <w:left w:val="none" w:sz="0" w:space="0" w:color="auto"/>
            <w:bottom w:val="none" w:sz="0" w:space="0" w:color="auto"/>
            <w:right w:val="none" w:sz="0" w:space="0" w:color="auto"/>
          </w:divBdr>
        </w:div>
        <w:div w:id="358820660">
          <w:marLeft w:val="0"/>
          <w:marRight w:val="0"/>
          <w:marTop w:val="0"/>
          <w:marBottom w:val="0"/>
          <w:divBdr>
            <w:top w:val="none" w:sz="0" w:space="0" w:color="auto"/>
            <w:left w:val="none" w:sz="0" w:space="0" w:color="auto"/>
            <w:bottom w:val="none" w:sz="0" w:space="0" w:color="auto"/>
            <w:right w:val="none" w:sz="0" w:space="0" w:color="auto"/>
          </w:divBdr>
        </w:div>
        <w:div w:id="1847280906">
          <w:marLeft w:val="0"/>
          <w:marRight w:val="0"/>
          <w:marTop w:val="0"/>
          <w:marBottom w:val="0"/>
          <w:divBdr>
            <w:top w:val="none" w:sz="0" w:space="0" w:color="auto"/>
            <w:left w:val="none" w:sz="0" w:space="0" w:color="auto"/>
            <w:bottom w:val="none" w:sz="0" w:space="0" w:color="auto"/>
            <w:right w:val="none" w:sz="0" w:space="0" w:color="auto"/>
          </w:divBdr>
        </w:div>
        <w:div w:id="555091374">
          <w:marLeft w:val="0"/>
          <w:marRight w:val="0"/>
          <w:marTop w:val="0"/>
          <w:marBottom w:val="0"/>
          <w:divBdr>
            <w:top w:val="none" w:sz="0" w:space="0" w:color="auto"/>
            <w:left w:val="none" w:sz="0" w:space="0" w:color="auto"/>
            <w:bottom w:val="none" w:sz="0" w:space="0" w:color="auto"/>
            <w:right w:val="none" w:sz="0" w:space="0" w:color="auto"/>
          </w:divBdr>
        </w:div>
        <w:div w:id="1636181868">
          <w:marLeft w:val="0"/>
          <w:marRight w:val="0"/>
          <w:marTop w:val="0"/>
          <w:marBottom w:val="0"/>
          <w:divBdr>
            <w:top w:val="none" w:sz="0" w:space="0" w:color="auto"/>
            <w:left w:val="none" w:sz="0" w:space="0" w:color="auto"/>
            <w:bottom w:val="none" w:sz="0" w:space="0" w:color="auto"/>
            <w:right w:val="none" w:sz="0" w:space="0" w:color="auto"/>
          </w:divBdr>
        </w:div>
        <w:div w:id="2112234178">
          <w:marLeft w:val="0"/>
          <w:marRight w:val="0"/>
          <w:marTop w:val="0"/>
          <w:marBottom w:val="0"/>
          <w:divBdr>
            <w:top w:val="none" w:sz="0" w:space="0" w:color="auto"/>
            <w:left w:val="none" w:sz="0" w:space="0" w:color="auto"/>
            <w:bottom w:val="none" w:sz="0" w:space="0" w:color="auto"/>
            <w:right w:val="none" w:sz="0" w:space="0" w:color="auto"/>
          </w:divBdr>
        </w:div>
      </w:divsChild>
    </w:div>
    <w:div w:id="170804956">
      <w:bodyDiv w:val="1"/>
      <w:marLeft w:val="0"/>
      <w:marRight w:val="0"/>
      <w:marTop w:val="0"/>
      <w:marBottom w:val="0"/>
      <w:divBdr>
        <w:top w:val="none" w:sz="0" w:space="0" w:color="auto"/>
        <w:left w:val="none" w:sz="0" w:space="0" w:color="auto"/>
        <w:bottom w:val="none" w:sz="0" w:space="0" w:color="auto"/>
        <w:right w:val="none" w:sz="0" w:space="0" w:color="auto"/>
      </w:divBdr>
    </w:div>
    <w:div w:id="772093575">
      <w:bodyDiv w:val="1"/>
      <w:marLeft w:val="0"/>
      <w:marRight w:val="0"/>
      <w:marTop w:val="0"/>
      <w:marBottom w:val="0"/>
      <w:divBdr>
        <w:top w:val="none" w:sz="0" w:space="0" w:color="auto"/>
        <w:left w:val="none" w:sz="0" w:space="0" w:color="auto"/>
        <w:bottom w:val="none" w:sz="0" w:space="0" w:color="auto"/>
        <w:right w:val="none" w:sz="0" w:space="0" w:color="auto"/>
      </w:divBdr>
    </w:div>
    <w:div w:id="1160730113">
      <w:bodyDiv w:val="1"/>
      <w:marLeft w:val="0"/>
      <w:marRight w:val="0"/>
      <w:marTop w:val="0"/>
      <w:marBottom w:val="0"/>
      <w:divBdr>
        <w:top w:val="none" w:sz="0" w:space="0" w:color="auto"/>
        <w:left w:val="none" w:sz="0" w:space="0" w:color="auto"/>
        <w:bottom w:val="none" w:sz="0" w:space="0" w:color="auto"/>
        <w:right w:val="none" w:sz="0" w:space="0" w:color="auto"/>
      </w:divBdr>
    </w:div>
    <w:div w:id="1724018442">
      <w:bodyDiv w:val="1"/>
      <w:marLeft w:val="0"/>
      <w:marRight w:val="0"/>
      <w:marTop w:val="0"/>
      <w:marBottom w:val="0"/>
      <w:divBdr>
        <w:top w:val="none" w:sz="0" w:space="0" w:color="auto"/>
        <w:left w:val="none" w:sz="0" w:space="0" w:color="auto"/>
        <w:bottom w:val="none" w:sz="0" w:space="0" w:color="auto"/>
        <w:right w:val="none" w:sz="0" w:space="0" w:color="auto"/>
      </w:divBdr>
    </w:div>
    <w:div w:id="19441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tu.cz/cs/download/oop/oop_04/oop_04-09_2014-06.pdf" TargetMode="External"/><Relationship Id="rId1" Type="http://schemas.openxmlformats.org/officeDocument/2006/relationships/hyperlink" Target="https://www.ctu.cz/sites/default/files/obsah/ckeditor/oop_04-12_2015-07.pdf"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CFF5A-AA8D-4E30-8CC4-9244D8CEC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27ED25C6.dotm</Template>
  <TotalTime>0</TotalTime>
  <Pages>12</Pages>
  <Words>3575</Words>
  <Characters>21096</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ctu</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VOPALECKÝ Jaroslav</dc:creator>
  <cp:keywords/>
  <dc:description/>
  <cp:lastModifiedBy>ŠUBRT Pavel</cp:lastModifiedBy>
  <cp:revision>2</cp:revision>
  <dcterms:created xsi:type="dcterms:W3CDTF">2017-06-07T13:50:00Z</dcterms:created>
  <dcterms:modified xsi:type="dcterms:W3CDTF">2017-06-07T13:50:00Z</dcterms:modified>
</cp:coreProperties>
</file>