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416A" w14:textId="7923C8CE" w:rsidR="0070693C" w:rsidRPr="007771B7" w:rsidRDefault="00AD2FDE" w:rsidP="007771B7">
      <w:pPr>
        <w:pStyle w:val="Nadpis2"/>
        <w:rPr>
          <w:lang w:val="cs-CZ"/>
        </w:rPr>
      </w:pPr>
      <w:r w:rsidRPr="007771B7">
        <w:rPr>
          <w:lang w:val="cs-CZ"/>
        </w:rPr>
        <w:t>P</w:t>
      </w:r>
      <w:r w:rsidR="00C15E60" w:rsidRPr="007771B7">
        <w:rPr>
          <w:lang w:val="cs-CZ"/>
        </w:rPr>
        <w:t>řipomínk</w:t>
      </w:r>
      <w:r w:rsidRPr="007771B7">
        <w:rPr>
          <w:lang w:val="cs-CZ"/>
        </w:rPr>
        <w:t>y</w:t>
      </w:r>
      <w:r w:rsidR="00C15E60" w:rsidRPr="007771B7">
        <w:rPr>
          <w:lang w:val="cs-CZ"/>
        </w:rPr>
        <w:t xml:space="preserve"> </w:t>
      </w:r>
      <w:r w:rsidR="0070693C" w:rsidRPr="007771B7">
        <w:rPr>
          <w:lang w:val="cs-CZ"/>
        </w:rPr>
        <w:t>k návrhu Nákladového modelu</w:t>
      </w:r>
      <w:r w:rsidR="007771B7" w:rsidRPr="007771B7">
        <w:rPr>
          <w:lang w:val="cs-CZ"/>
        </w:rPr>
        <w:t xml:space="preserve"> </w:t>
      </w:r>
      <w:r w:rsidR="0070693C" w:rsidRPr="007771B7">
        <w:rPr>
          <w:lang w:val="cs-CZ"/>
        </w:rPr>
        <w:t>pro službu národního roamingu a služeb PPDR ve veřejné mobilní síti</w:t>
      </w:r>
    </w:p>
    <w:p w14:paraId="33837E17" w14:textId="2865A8C4" w:rsidR="00C15E60" w:rsidRDefault="00536AC9" w:rsidP="00B2169E">
      <w:pPr>
        <w:spacing w:before="240" w:after="240"/>
        <w:rPr>
          <w:lang w:val="cs-CZ"/>
        </w:rPr>
      </w:pPr>
      <w:r w:rsidRPr="002E77B6">
        <w:rPr>
          <w:lang w:val="cs-CZ"/>
        </w:rPr>
        <w:t>Zveřejněného pod č</w:t>
      </w:r>
      <w:r w:rsidR="00C15E60" w:rsidRPr="002E77B6">
        <w:rPr>
          <w:lang w:val="cs-CZ"/>
        </w:rPr>
        <w:t>j.</w:t>
      </w:r>
      <w:r w:rsidR="00C15E60">
        <w:rPr>
          <w:lang w:val="cs-CZ"/>
        </w:rPr>
        <w:t xml:space="preserve"> </w:t>
      </w:r>
      <w:r w:rsidR="0070693C" w:rsidRPr="0070693C">
        <w:rPr>
          <w:b/>
          <w:lang w:val="cs-CZ"/>
        </w:rPr>
        <w:t>ČTÚ-25 956/2019-611</w:t>
      </w:r>
    </w:p>
    <w:p w14:paraId="5688F545" w14:textId="2DA02420" w:rsidR="00AD2FDE" w:rsidRDefault="00AD2FDE" w:rsidP="00B2169E">
      <w:pPr>
        <w:spacing w:before="240" w:after="240"/>
        <w:rPr>
          <w:b/>
          <w:lang w:val="cs-CZ"/>
        </w:rPr>
      </w:pPr>
      <w:r w:rsidRPr="002E77B6">
        <w:rPr>
          <w:lang w:val="cs-CZ"/>
        </w:rPr>
        <w:t>Subjekt:</w:t>
      </w:r>
      <w:r w:rsidRPr="00AD2FDE">
        <w:rPr>
          <w:b/>
          <w:lang w:val="cs-CZ"/>
        </w:rPr>
        <w:t xml:space="preserve"> </w:t>
      </w:r>
      <w:r w:rsidR="0012573A" w:rsidRPr="0012573A">
        <w:rPr>
          <w:b/>
          <w:lang w:val="cs-CZ"/>
        </w:rPr>
        <w:t>O2 Czech Republic a.s.</w:t>
      </w:r>
    </w:p>
    <w:p w14:paraId="7396BC15" w14:textId="2357351A" w:rsidR="000B2AD7" w:rsidRPr="0012573A" w:rsidRDefault="000B2AD7" w:rsidP="00B2169E">
      <w:pPr>
        <w:spacing w:before="240" w:after="240"/>
        <w:rPr>
          <w:b/>
          <w:lang w:val="cs-CZ"/>
        </w:rPr>
      </w:pPr>
      <w:r w:rsidRPr="002E77B6">
        <w:rPr>
          <w:lang w:val="cs-CZ"/>
        </w:rPr>
        <w:t>Datum:</w:t>
      </w:r>
      <w:r>
        <w:rPr>
          <w:b/>
          <w:lang w:val="cs-CZ"/>
        </w:rPr>
        <w:t xml:space="preserve"> 26. </w:t>
      </w:r>
      <w:r w:rsidR="002E77B6">
        <w:rPr>
          <w:b/>
          <w:lang w:val="cs-CZ"/>
        </w:rPr>
        <w:t>července</w:t>
      </w:r>
      <w:r>
        <w:rPr>
          <w:b/>
          <w:lang w:val="cs-CZ"/>
        </w:rPr>
        <w:t xml:space="preserve"> 2019</w:t>
      </w:r>
    </w:p>
    <w:tbl>
      <w:tblPr>
        <w:tblStyle w:val="Svtltabulkasmkou1"/>
        <w:tblW w:w="13891" w:type="dxa"/>
        <w:tblLook w:val="0620" w:firstRow="1" w:lastRow="0" w:firstColumn="0" w:lastColumn="0" w:noHBand="1" w:noVBand="1"/>
      </w:tblPr>
      <w:tblGrid>
        <w:gridCol w:w="567"/>
        <w:gridCol w:w="1814"/>
        <w:gridCol w:w="3402"/>
        <w:gridCol w:w="4706"/>
        <w:gridCol w:w="3402"/>
      </w:tblGrid>
      <w:tr w:rsidR="00C57C2E" w14:paraId="1B72A6F4" w14:textId="77777777" w:rsidTr="00C57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1F3864" w:themeFill="accent5" w:themeFillShade="80"/>
            <w:vAlign w:val="center"/>
          </w:tcPr>
          <w:p w14:paraId="5F364BC1" w14:textId="77777777" w:rsidR="00C57C2E" w:rsidRPr="00B2169E" w:rsidRDefault="00C57C2E" w:rsidP="00DC492A">
            <w:pPr>
              <w:jc w:val="center"/>
              <w:rPr>
                <w:caps/>
                <w:lang w:val="cs-CZ"/>
              </w:rPr>
            </w:pPr>
            <w:r w:rsidRPr="00B2169E">
              <w:rPr>
                <w:caps/>
                <w:lang w:val="cs-CZ"/>
              </w:rPr>
              <w:t>Č.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1F3864" w:themeFill="accent5" w:themeFillShade="80"/>
            <w:vAlign w:val="center"/>
          </w:tcPr>
          <w:p w14:paraId="41051656" w14:textId="77777777" w:rsidR="00C57C2E" w:rsidRPr="00524E5C" w:rsidRDefault="00C57C2E" w:rsidP="00DC492A">
            <w:pPr>
              <w:jc w:val="center"/>
              <w:rPr>
                <w:caps/>
                <w:lang w:val="cs-CZ"/>
              </w:rPr>
            </w:pPr>
            <w:r w:rsidRPr="00524E5C">
              <w:rPr>
                <w:caps/>
                <w:lang w:val="cs-CZ"/>
              </w:rPr>
              <w:t>Kapitola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1F3864" w:themeFill="accent5" w:themeFillShade="80"/>
            <w:vAlign w:val="center"/>
          </w:tcPr>
          <w:p w14:paraId="7D498B15" w14:textId="77777777" w:rsidR="00C57C2E" w:rsidRPr="00524E5C" w:rsidRDefault="00C57C2E" w:rsidP="00DC492A">
            <w:pPr>
              <w:jc w:val="center"/>
              <w:rPr>
                <w:caps/>
                <w:lang w:val="cs-CZ"/>
              </w:rPr>
            </w:pPr>
            <w:r w:rsidRPr="00524E5C">
              <w:rPr>
                <w:caps/>
                <w:lang w:val="cs-CZ"/>
              </w:rPr>
              <w:t>Připomínka</w:t>
            </w:r>
          </w:p>
        </w:tc>
        <w:tc>
          <w:tcPr>
            <w:tcW w:w="47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1F3864" w:themeFill="accent5" w:themeFillShade="80"/>
            <w:vAlign w:val="center"/>
          </w:tcPr>
          <w:p w14:paraId="0969A37C" w14:textId="77777777" w:rsidR="00C57C2E" w:rsidRPr="00524E5C" w:rsidRDefault="00C57C2E" w:rsidP="001E3E01">
            <w:pPr>
              <w:ind w:left="48" w:right="122"/>
              <w:jc w:val="center"/>
              <w:rPr>
                <w:caps/>
                <w:lang w:val="cs-CZ"/>
              </w:rPr>
            </w:pPr>
            <w:r w:rsidRPr="00524E5C">
              <w:rPr>
                <w:caps/>
                <w:lang w:val="cs-CZ"/>
              </w:rPr>
              <w:t>Odůvodnění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14:paraId="34B19374" w14:textId="77777777" w:rsidR="00C57C2E" w:rsidRPr="00524E5C" w:rsidRDefault="00C57C2E" w:rsidP="00DC492A">
            <w:pPr>
              <w:jc w:val="center"/>
              <w:rPr>
                <w:caps/>
                <w:lang w:val="cs-CZ"/>
              </w:rPr>
            </w:pPr>
            <w:r w:rsidRPr="00524E5C">
              <w:rPr>
                <w:caps/>
                <w:lang w:val="cs-CZ"/>
              </w:rPr>
              <w:t>Návrh změny</w:t>
            </w:r>
          </w:p>
        </w:tc>
      </w:tr>
      <w:tr w:rsidR="0070693C" w:rsidRPr="003603F1" w14:paraId="626B68F6" w14:textId="77777777" w:rsidTr="00C57C2E">
        <w:tc>
          <w:tcPr>
            <w:tcW w:w="567" w:type="dxa"/>
            <w:tcBorders>
              <w:left w:val="single" w:sz="12" w:space="0" w:color="auto"/>
              <w:bottom w:val="double" w:sz="4" w:space="0" w:color="7F7F7F" w:themeColor="text1" w:themeTint="80"/>
            </w:tcBorders>
          </w:tcPr>
          <w:p w14:paraId="08446792" w14:textId="0924FE4D" w:rsidR="0070693C" w:rsidRPr="00B2169E" w:rsidRDefault="0070693C" w:rsidP="0070693C">
            <w:pPr>
              <w:spacing w:before="120" w:after="12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</w:t>
            </w:r>
          </w:p>
        </w:tc>
        <w:tc>
          <w:tcPr>
            <w:tcW w:w="1814" w:type="dxa"/>
            <w:tcBorders>
              <w:bottom w:val="double" w:sz="4" w:space="0" w:color="7F7F7F" w:themeColor="text1" w:themeTint="80"/>
            </w:tcBorders>
          </w:tcPr>
          <w:p w14:paraId="43460E20" w14:textId="6B3C7C2E" w:rsidR="0070693C" w:rsidRPr="0012573A" w:rsidRDefault="0070693C" w:rsidP="0070693C">
            <w:pPr>
              <w:spacing w:before="120" w:after="120"/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3402" w:type="dxa"/>
            <w:tcBorders>
              <w:bottom w:val="double" w:sz="4" w:space="0" w:color="7F7F7F" w:themeColor="text1" w:themeTint="80"/>
            </w:tcBorders>
          </w:tcPr>
          <w:p w14:paraId="0C8D4832" w14:textId="70CA7CA9" w:rsidR="0070693C" w:rsidRDefault="0070693C" w:rsidP="0070693C">
            <w:pPr>
              <w:spacing w:before="120" w:after="120"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Metodika a </w:t>
            </w:r>
            <w:r w:rsidRPr="0070693C">
              <w:rPr>
                <w:lang w:val="cs-CZ"/>
              </w:rPr>
              <w:t xml:space="preserve">Nákladový model pro službu národního roamingu a služeb PPDR ve veřejné mobilní síti </w:t>
            </w:r>
            <w:r>
              <w:rPr>
                <w:lang w:val="cs-CZ"/>
              </w:rPr>
              <w:t xml:space="preserve">musí být součástí přílohy </w:t>
            </w:r>
            <w:r w:rsidRPr="0070693C">
              <w:rPr>
                <w:lang w:val="cs-CZ"/>
              </w:rPr>
              <w:t>Vyhlášení výběrového řízení za účelem udělení práv k využívání rádiových kmitočtů pro zajištění sítí elektronických komunikací v kmitočtových pásmech 700 MHz a 3400-3600 MHz</w:t>
            </w:r>
            <w:r>
              <w:rPr>
                <w:lang w:val="cs-CZ"/>
              </w:rPr>
              <w:t xml:space="preserve">. </w:t>
            </w:r>
            <w:r w:rsidRPr="0070693C">
              <w:rPr>
                <w:lang w:val="cs-CZ"/>
              </w:rPr>
              <w:t>Společnost O2 nepovažuje odkaz na metodiku stanovení velkoobchodních cen za dostatečný a opakovaně žádá ČTÚ o to, aby byl Nákladový model pro službu národního roamingu a služeb PPDR ve veřejné mobilní síti ve formě přílohy součástí vyhlášení výběrového řízení.</w:t>
            </w:r>
          </w:p>
        </w:tc>
        <w:tc>
          <w:tcPr>
            <w:tcW w:w="4706" w:type="dxa"/>
            <w:tcBorders>
              <w:bottom w:val="double" w:sz="4" w:space="0" w:color="7F7F7F" w:themeColor="text1" w:themeTint="80"/>
            </w:tcBorders>
          </w:tcPr>
          <w:p w14:paraId="231D61FF" w14:textId="77777777" w:rsidR="0070693C" w:rsidRPr="0070693C" w:rsidRDefault="0070693C" w:rsidP="0070693C">
            <w:pPr>
              <w:spacing w:before="120" w:after="120" w:line="276" w:lineRule="auto"/>
              <w:ind w:left="48" w:right="122"/>
              <w:jc w:val="both"/>
              <w:rPr>
                <w:lang w:val="cs-CZ"/>
              </w:rPr>
            </w:pPr>
            <w:r w:rsidRPr="0070693C">
              <w:rPr>
                <w:lang w:val="cs-CZ"/>
              </w:rPr>
              <w:t xml:space="preserve">Společnost O2 považuje za podstatné, aby byl Nákladový model pro službu národního roamingu a služeb PPDR ve veřejné mobilní síti, na </w:t>
            </w:r>
            <w:proofErr w:type="gramStart"/>
            <w:r w:rsidRPr="0070693C">
              <w:rPr>
                <w:lang w:val="cs-CZ"/>
              </w:rPr>
              <w:t>základě</w:t>
            </w:r>
            <w:proofErr w:type="gramEnd"/>
            <w:r w:rsidRPr="0070693C">
              <w:rPr>
                <w:lang w:val="cs-CZ"/>
              </w:rPr>
              <w:t xml:space="preserve"> něhož budou určovány velkoobch</w:t>
            </w:r>
            <w:bookmarkStart w:id="0" w:name="_GoBack"/>
            <w:bookmarkEnd w:id="0"/>
            <w:r w:rsidRPr="0070693C">
              <w:rPr>
                <w:lang w:val="cs-CZ"/>
              </w:rPr>
              <w:t>odní jednotkové ceny pro účely závazku národního roamingu a závazků PPDR, a který je předmětem právě probíhající veřejné konzultace, součástí vyhlášení výběrového řízení.</w:t>
            </w:r>
          </w:p>
          <w:p w14:paraId="231770B8" w14:textId="39453E31" w:rsidR="0070693C" w:rsidRPr="00DC492A" w:rsidRDefault="0070693C" w:rsidP="0070693C">
            <w:pPr>
              <w:spacing w:before="120" w:after="120" w:line="276" w:lineRule="auto"/>
              <w:ind w:left="48" w:right="122"/>
              <w:jc w:val="both"/>
              <w:rPr>
                <w:lang w:val="cs-CZ"/>
              </w:rPr>
            </w:pPr>
            <w:r w:rsidRPr="0070693C">
              <w:rPr>
                <w:lang w:val="cs-CZ"/>
              </w:rPr>
              <w:t>Pro zajištění právní jistoty budoucích držitelů přídělů v kmitočtovém pásmu 700 MHz není dostatečné na tento model či metodiku odkázat tak, jak je v návrhu vyhlášení výběrového řízení učiněno nyní.</w:t>
            </w:r>
          </w:p>
        </w:tc>
        <w:tc>
          <w:tcPr>
            <w:tcW w:w="3402" w:type="dxa"/>
            <w:tcBorders>
              <w:bottom w:val="double" w:sz="4" w:space="0" w:color="7F7F7F" w:themeColor="text1" w:themeTint="80"/>
              <w:right w:val="single" w:sz="12" w:space="0" w:color="auto"/>
            </w:tcBorders>
          </w:tcPr>
          <w:p w14:paraId="554C126B" w14:textId="306FAD60" w:rsidR="0070693C" w:rsidRDefault="0070693C" w:rsidP="0070693C">
            <w:pPr>
              <w:spacing w:before="120" w:after="120"/>
              <w:jc w:val="both"/>
              <w:rPr>
                <w:lang w:val="cs-CZ"/>
              </w:rPr>
            </w:pPr>
            <w:r w:rsidRPr="0070693C">
              <w:rPr>
                <w:lang w:val="cs-CZ"/>
              </w:rPr>
              <w:t>Přiložit Nákladový model pro službu národního roamingu a služeb PPDR ve veřejné mobilní síti do vyhlášení výběrového řízení a odkazovat v textu vyhlášení přímo na danou přílohu obsahující tento model.</w:t>
            </w:r>
          </w:p>
        </w:tc>
      </w:tr>
      <w:tr w:rsidR="0070693C" w:rsidRPr="003603F1" w14:paraId="02D7D351" w14:textId="77777777" w:rsidTr="00C57C2E">
        <w:tc>
          <w:tcPr>
            <w:tcW w:w="567" w:type="dxa"/>
            <w:tcBorders>
              <w:left w:val="single" w:sz="12" w:space="0" w:color="auto"/>
              <w:bottom w:val="double" w:sz="4" w:space="0" w:color="7F7F7F" w:themeColor="text1" w:themeTint="80"/>
            </w:tcBorders>
          </w:tcPr>
          <w:p w14:paraId="32297D74" w14:textId="5460302D" w:rsidR="0070693C" w:rsidRPr="00B2169E" w:rsidRDefault="0070693C" w:rsidP="0070693C">
            <w:pPr>
              <w:spacing w:before="120" w:after="12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lastRenderedPageBreak/>
              <w:t>2</w:t>
            </w:r>
          </w:p>
        </w:tc>
        <w:tc>
          <w:tcPr>
            <w:tcW w:w="1814" w:type="dxa"/>
            <w:tcBorders>
              <w:bottom w:val="double" w:sz="4" w:space="0" w:color="7F7F7F" w:themeColor="text1" w:themeTint="80"/>
            </w:tcBorders>
          </w:tcPr>
          <w:p w14:paraId="7CBE92C5" w14:textId="60A1E8AC" w:rsidR="0070693C" w:rsidRPr="0012573A" w:rsidRDefault="0070693C" w:rsidP="0070693C">
            <w:pPr>
              <w:spacing w:before="120" w:after="120"/>
              <w:jc w:val="center"/>
              <w:rPr>
                <w:lang w:val="cs-CZ"/>
              </w:rPr>
            </w:pPr>
            <w:r w:rsidRPr="00C57C2E">
              <w:rPr>
                <w:lang w:val="cs-CZ"/>
              </w:rPr>
              <w:t>List RAN_BH_1 a RAN_BH_2</w:t>
            </w:r>
          </w:p>
        </w:tc>
        <w:tc>
          <w:tcPr>
            <w:tcW w:w="3402" w:type="dxa"/>
            <w:tcBorders>
              <w:bottom w:val="double" w:sz="4" w:space="0" w:color="7F7F7F" w:themeColor="text1" w:themeTint="80"/>
            </w:tcBorders>
          </w:tcPr>
          <w:p w14:paraId="58BFE197" w14:textId="5141F323" w:rsidR="0070693C" w:rsidRPr="0012573A" w:rsidRDefault="0070693C" w:rsidP="0070693C">
            <w:pPr>
              <w:spacing w:before="120" w:after="120"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Technologie 2G neumožňuje využití anténní konfigurace technologie MIMO.</w:t>
            </w:r>
          </w:p>
        </w:tc>
        <w:tc>
          <w:tcPr>
            <w:tcW w:w="4706" w:type="dxa"/>
            <w:tcBorders>
              <w:bottom w:val="double" w:sz="4" w:space="0" w:color="7F7F7F" w:themeColor="text1" w:themeTint="80"/>
            </w:tcBorders>
          </w:tcPr>
          <w:p w14:paraId="543E4B1A" w14:textId="3EFD50A4" w:rsidR="0070693C" w:rsidRPr="00DC492A" w:rsidRDefault="0070693C" w:rsidP="0070693C">
            <w:pPr>
              <w:spacing w:before="120" w:after="120" w:line="276" w:lineRule="auto"/>
              <w:ind w:left="48" w:right="122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V tuto chvíli nelze přiřadit reálnou anténní konfiguraci pro sektory vysílající na technologii 2G. </w:t>
            </w:r>
          </w:p>
        </w:tc>
        <w:tc>
          <w:tcPr>
            <w:tcW w:w="3402" w:type="dxa"/>
            <w:tcBorders>
              <w:bottom w:val="double" w:sz="4" w:space="0" w:color="7F7F7F" w:themeColor="text1" w:themeTint="80"/>
              <w:right w:val="single" w:sz="12" w:space="0" w:color="auto"/>
            </w:tcBorders>
          </w:tcPr>
          <w:p w14:paraId="74D3F7D6" w14:textId="19109302" w:rsidR="0070693C" w:rsidRPr="0012573A" w:rsidRDefault="0070693C" w:rsidP="0070693C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Mezi konfigurace antény na listu „Číselník“ přidat odpovídající anténní konfigurace využívané pro technologii 2G.</w:t>
            </w:r>
          </w:p>
        </w:tc>
      </w:tr>
      <w:tr w:rsidR="0070693C" w:rsidRPr="003603F1" w14:paraId="444B6D40" w14:textId="77777777" w:rsidTr="00C57C2E">
        <w:tc>
          <w:tcPr>
            <w:tcW w:w="567" w:type="dxa"/>
            <w:tcBorders>
              <w:top w:val="double" w:sz="4" w:space="0" w:color="7F7F7F" w:themeColor="text1" w:themeTint="80"/>
              <w:left w:val="single" w:sz="12" w:space="0" w:color="auto"/>
              <w:bottom w:val="double" w:sz="4" w:space="0" w:color="7F7F7F" w:themeColor="text1" w:themeTint="80"/>
            </w:tcBorders>
          </w:tcPr>
          <w:p w14:paraId="2CD28698" w14:textId="368F34CB" w:rsidR="0070693C" w:rsidRPr="00B2169E" w:rsidRDefault="0070693C" w:rsidP="0070693C">
            <w:pPr>
              <w:spacing w:before="120" w:after="12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</w:p>
        </w:tc>
        <w:tc>
          <w:tcPr>
            <w:tcW w:w="1814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23824998" w14:textId="2E47515C" w:rsidR="0070693C" w:rsidRPr="0012573A" w:rsidRDefault="0070693C" w:rsidP="0070693C">
            <w:pPr>
              <w:spacing w:before="120" w:after="120"/>
              <w:jc w:val="center"/>
              <w:rPr>
                <w:lang w:val="cs-CZ"/>
              </w:rPr>
            </w:pPr>
            <w:r>
              <w:rPr>
                <w:lang w:val="cs-CZ"/>
              </w:rPr>
              <w:t>List Další vstupy</w:t>
            </w:r>
          </w:p>
        </w:tc>
        <w:tc>
          <w:tcPr>
            <w:tcW w:w="3402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00879C87" w14:textId="2B57895C" w:rsidR="0070693C" w:rsidRPr="0012573A" w:rsidRDefault="0070693C" w:rsidP="0070693C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V rámci modelu ani metodiky není vysvětleno, jak se došlo k hodnotám konverzních faktorů. </w:t>
            </w:r>
          </w:p>
        </w:tc>
        <w:tc>
          <w:tcPr>
            <w:tcW w:w="4706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6D8CA741" w14:textId="6BB5BFE2" w:rsidR="0070693C" w:rsidRPr="005F39FC" w:rsidRDefault="0070693C" w:rsidP="0070693C">
            <w:pPr>
              <w:spacing w:before="120" w:after="120" w:line="276" w:lineRule="auto"/>
              <w:ind w:left="48" w:right="122"/>
              <w:jc w:val="both"/>
              <w:rPr>
                <w:lang w:val="cs-CZ"/>
              </w:rPr>
            </w:pPr>
            <w:r w:rsidRPr="005F39FC">
              <w:rPr>
                <w:lang w:val="cs-CZ"/>
              </w:rPr>
              <w:t>Konverzní faktory významným způsobem ovlivňují alokaci nákladů mezi jednotlivé technologie a tím i jednotlivé služby. Jejich hodnoty by měly odpovídat realitě a měla by být vysvětlena metodika jejich výpočtu pro jejich případné budoucí revize.</w:t>
            </w:r>
          </w:p>
        </w:tc>
        <w:tc>
          <w:tcPr>
            <w:tcW w:w="3402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single" w:sz="12" w:space="0" w:color="auto"/>
            </w:tcBorders>
          </w:tcPr>
          <w:p w14:paraId="47F95C01" w14:textId="4D618743" w:rsidR="0070693C" w:rsidRPr="0012573A" w:rsidRDefault="0070693C" w:rsidP="0070693C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Ověřit hodnoty konverzních faktorů, vysvětlit jejich metodiku a případně přikročit k jejich přepočítání.</w:t>
            </w:r>
          </w:p>
        </w:tc>
      </w:tr>
      <w:tr w:rsidR="0070693C" w:rsidRPr="003603F1" w14:paraId="08AEB278" w14:textId="77777777" w:rsidTr="002E77B6">
        <w:tc>
          <w:tcPr>
            <w:tcW w:w="567" w:type="dxa"/>
            <w:tcBorders>
              <w:top w:val="double" w:sz="4" w:space="0" w:color="7F7F7F" w:themeColor="text1" w:themeTint="80"/>
              <w:left w:val="single" w:sz="12" w:space="0" w:color="auto"/>
              <w:bottom w:val="single" w:sz="4" w:space="0" w:color="auto"/>
            </w:tcBorders>
          </w:tcPr>
          <w:p w14:paraId="1CAB16C1" w14:textId="4C8730BE" w:rsidR="0070693C" w:rsidRPr="00B2169E" w:rsidRDefault="005F39FC" w:rsidP="0070693C">
            <w:pPr>
              <w:spacing w:before="120" w:after="12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</w:p>
        </w:tc>
        <w:tc>
          <w:tcPr>
            <w:tcW w:w="1814" w:type="dxa"/>
            <w:tcBorders>
              <w:top w:val="double" w:sz="4" w:space="0" w:color="7F7F7F" w:themeColor="text1" w:themeTint="80"/>
              <w:bottom w:val="single" w:sz="4" w:space="0" w:color="auto"/>
            </w:tcBorders>
          </w:tcPr>
          <w:p w14:paraId="6A94B02B" w14:textId="0C384306" w:rsidR="0070693C" w:rsidRPr="0012573A" w:rsidRDefault="007771B7" w:rsidP="0070693C">
            <w:pPr>
              <w:spacing w:before="120" w:after="120"/>
              <w:jc w:val="center"/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3402" w:type="dxa"/>
            <w:tcBorders>
              <w:top w:val="double" w:sz="4" w:space="0" w:color="7F7F7F" w:themeColor="text1" w:themeTint="80"/>
              <w:bottom w:val="single" w:sz="4" w:space="0" w:color="auto"/>
            </w:tcBorders>
          </w:tcPr>
          <w:p w14:paraId="17BC5852" w14:textId="65B6E72F" w:rsidR="0070693C" w:rsidRPr="0012573A" w:rsidRDefault="007771B7" w:rsidP="0070693C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V rámci modelu ani metodiky není vysvětleno ani nijak analyzováno vypnutí některé ze současných </w:t>
            </w:r>
            <w:r w:rsidR="005F39FC">
              <w:rPr>
                <w:lang w:val="cs-CZ"/>
              </w:rPr>
              <w:t xml:space="preserve">mobilních </w:t>
            </w:r>
            <w:r>
              <w:rPr>
                <w:lang w:val="cs-CZ"/>
              </w:rPr>
              <w:t xml:space="preserve">technologií </w:t>
            </w:r>
            <w:r w:rsidR="005F39FC">
              <w:rPr>
                <w:lang w:val="cs-CZ"/>
              </w:rPr>
              <w:t>(2G, 3G či 4G).</w:t>
            </w:r>
          </w:p>
        </w:tc>
        <w:tc>
          <w:tcPr>
            <w:tcW w:w="4706" w:type="dxa"/>
            <w:tcBorders>
              <w:top w:val="double" w:sz="4" w:space="0" w:color="7F7F7F" w:themeColor="text1" w:themeTint="80"/>
              <w:bottom w:val="single" w:sz="4" w:space="0" w:color="auto"/>
            </w:tcBorders>
          </w:tcPr>
          <w:p w14:paraId="43EE424C" w14:textId="639CF498" w:rsidR="0070693C" w:rsidRPr="005F39FC" w:rsidRDefault="005F39FC" w:rsidP="0070693C">
            <w:pPr>
              <w:spacing w:before="120" w:after="120" w:line="276" w:lineRule="auto"/>
              <w:ind w:left="48" w:right="122"/>
              <w:jc w:val="both"/>
              <w:rPr>
                <w:lang w:val="cs-CZ"/>
              </w:rPr>
            </w:pPr>
            <w:r w:rsidRPr="005F39FC">
              <w:rPr>
                <w:lang w:val="cs-CZ"/>
              </w:rPr>
              <w:t xml:space="preserve">Vypnutí </w:t>
            </w:r>
            <w:r>
              <w:rPr>
                <w:lang w:val="cs-CZ"/>
              </w:rPr>
              <w:t>některé ze současných mobilních technologií je v horizontu příštího desetiletí vzhledem k mezinárodním zkušenostem pravděpodobné. Nákladový model může být absencí některé ze současných technologií významně ovlivněn a výsledek by nemusel odpovídat správné alokaci nákladů mezi jednotlivé služby</w:t>
            </w:r>
            <w:r w:rsidR="002E77B6">
              <w:rPr>
                <w:lang w:val="cs-CZ"/>
              </w:rPr>
              <w:t>,</w:t>
            </w:r>
            <w:r>
              <w:rPr>
                <w:lang w:val="cs-CZ"/>
              </w:rPr>
              <w:t xml:space="preserve"> respektive logické konzistence jednotkových nákladů mezi lety před a po vypnutí dané mobilní technologie. </w:t>
            </w:r>
          </w:p>
        </w:tc>
        <w:tc>
          <w:tcPr>
            <w:tcW w:w="3402" w:type="dxa"/>
            <w:tcBorders>
              <w:top w:val="double" w:sz="4" w:space="0" w:color="7F7F7F" w:themeColor="text1" w:themeTint="80"/>
              <w:bottom w:val="single" w:sz="4" w:space="0" w:color="auto"/>
              <w:right w:val="single" w:sz="12" w:space="0" w:color="auto"/>
            </w:tcBorders>
          </w:tcPr>
          <w:p w14:paraId="26724430" w14:textId="7965CDF3" w:rsidR="0070693C" w:rsidRPr="0012573A" w:rsidRDefault="005F39FC" w:rsidP="005F39FC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Analyzovat a vyhodnotit vliv vypnutí některé ze současných mobilních technologií na výsledky Nákladového modelu a zhodnotit, zda je výsledek v souladu s </w:t>
            </w:r>
            <w:r w:rsidRPr="005F39FC">
              <w:rPr>
                <w:lang w:val="cs-CZ"/>
              </w:rPr>
              <w:t>metodik</w:t>
            </w:r>
            <w:r>
              <w:rPr>
                <w:lang w:val="cs-CZ"/>
              </w:rPr>
              <w:t>ou</w:t>
            </w:r>
            <w:r w:rsidRPr="005F39FC">
              <w:rPr>
                <w:lang w:val="cs-CZ"/>
              </w:rPr>
              <w:t xml:space="preserve"> dlouhodobých</w:t>
            </w:r>
            <w:r>
              <w:rPr>
                <w:lang w:val="cs-CZ"/>
              </w:rPr>
              <w:t xml:space="preserve"> </w:t>
            </w:r>
            <w:r w:rsidRPr="005F39FC">
              <w:rPr>
                <w:lang w:val="cs-CZ"/>
              </w:rPr>
              <w:t>přírůstkových nákladů LRAIC+</w:t>
            </w:r>
            <w:r>
              <w:rPr>
                <w:lang w:val="cs-CZ"/>
              </w:rPr>
              <w:t xml:space="preserve">. </w:t>
            </w:r>
          </w:p>
        </w:tc>
      </w:tr>
    </w:tbl>
    <w:p w14:paraId="4A8CF479" w14:textId="77777777" w:rsidR="00C15E60" w:rsidRPr="00C15E60" w:rsidRDefault="00C15E60" w:rsidP="00C15E60">
      <w:pPr>
        <w:rPr>
          <w:lang w:val="cs-CZ"/>
        </w:rPr>
      </w:pPr>
    </w:p>
    <w:sectPr w:rsidR="00C15E60" w:rsidRPr="00C15E60" w:rsidSect="00AA3631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FDE2" w14:textId="77777777" w:rsidR="0096298E" w:rsidRDefault="0096298E" w:rsidP="006D4DE5">
      <w:pPr>
        <w:spacing w:after="0" w:line="240" w:lineRule="auto"/>
      </w:pPr>
      <w:r>
        <w:separator/>
      </w:r>
    </w:p>
  </w:endnote>
  <w:endnote w:type="continuationSeparator" w:id="0">
    <w:p w14:paraId="207ABA38" w14:textId="77777777" w:rsidR="0096298E" w:rsidRDefault="0096298E" w:rsidP="006D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4F02" w14:textId="77777777" w:rsidR="0096298E" w:rsidRPr="006D4DE5" w:rsidRDefault="0096298E">
    <w:pPr>
      <w:pStyle w:val="Zpat"/>
      <w:jc w:val="center"/>
      <w:rPr>
        <w:lang w:val="cs-CZ"/>
      </w:rPr>
    </w:pPr>
    <w:r w:rsidRPr="006D4DE5">
      <w:rPr>
        <w:lang w:val="cs-CZ"/>
      </w:rPr>
      <w:t xml:space="preserve">Stránka </w:t>
    </w:r>
    <w:sdt>
      <w:sdtPr>
        <w:rPr>
          <w:lang w:val="cs-CZ"/>
        </w:rPr>
        <w:id w:val="20787835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4DE5">
          <w:rPr>
            <w:lang w:val="cs-CZ"/>
          </w:rPr>
          <w:fldChar w:fldCharType="begin"/>
        </w:r>
        <w:r w:rsidRPr="006D4DE5">
          <w:rPr>
            <w:lang w:val="cs-CZ"/>
          </w:rPr>
          <w:instrText xml:space="preserve"> PAGE   \* MERGEFORMAT </w:instrText>
        </w:r>
        <w:r w:rsidRPr="006D4DE5">
          <w:rPr>
            <w:lang w:val="cs-CZ"/>
          </w:rPr>
          <w:fldChar w:fldCharType="separate"/>
        </w:r>
        <w:r>
          <w:rPr>
            <w:noProof/>
            <w:lang w:val="cs-CZ"/>
          </w:rPr>
          <w:t>2</w:t>
        </w:r>
        <w:r w:rsidRPr="006D4DE5">
          <w:rPr>
            <w:noProof/>
            <w:lang w:val="cs-CZ"/>
          </w:rPr>
          <w:fldChar w:fldCharType="end"/>
        </w:r>
        <w:r w:rsidRPr="006D4DE5">
          <w:rPr>
            <w:noProof/>
            <w:lang w:val="cs-CZ"/>
          </w:rPr>
          <w:t xml:space="preserve"> z </w:t>
        </w:r>
        <w:r w:rsidRPr="006D4DE5">
          <w:rPr>
            <w:noProof/>
            <w:lang w:val="cs-CZ"/>
          </w:rPr>
          <w:fldChar w:fldCharType="begin"/>
        </w:r>
        <w:r w:rsidRPr="006D4DE5">
          <w:rPr>
            <w:noProof/>
            <w:lang w:val="cs-CZ"/>
          </w:rPr>
          <w:instrText xml:space="preserve"> NUMPAGES   \* MERGEFORMAT </w:instrText>
        </w:r>
        <w:r w:rsidRPr="006D4DE5">
          <w:rPr>
            <w:noProof/>
            <w:lang w:val="cs-CZ"/>
          </w:rPr>
          <w:fldChar w:fldCharType="separate"/>
        </w:r>
        <w:r>
          <w:rPr>
            <w:noProof/>
            <w:lang w:val="cs-CZ"/>
          </w:rPr>
          <w:t>40</w:t>
        </w:r>
        <w:r w:rsidRPr="006D4DE5">
          <w:rPr>
            <w:noProof/>
            <w:lang w:val="cs-CZ"/>
          </w:rPr>
          <w:fldChar w:fldCharType="end"/>
        </w:r>
      </w:sdtContent>
    </w:sdt>
  </w:p>
  <w:p w14:paraId="050FAEEF" w14:textId="77777777" w:rsidR="0096298E" w:rsidRPr="006D4DE5" w:rsidRDefault="0096298E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10F0" w14:textId="77777777" w:rsidR="0096298E" w:rsidRPr="00AA3631" w:rsidRDefault="0096298E" w:rsidP="00AA3631">
    <w:pPr>
      <w:pStyle w:val="Zpat"/>
      <w:jc w:val="center"/>
      <w:rPr>
        <w:lang w:val="cs-CZ"/>
      </w:rPr>
    </w:pPr>
    <w:r w:rsidRPr="006D4DE5">
      <w:rPr>
        <w:lang w:val="cs-CZ"/>
      </w:rPr>
      <w:t xml:space="preserve">Stránka </w:t>
    </w:r>
    <w:sdt>
      <w:sdtPr>
        <w:rPr>
          <w:lang w:val="cs-CZ"/>
        </w:rPr>
        <w:id w:val="1320751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4DE5">
          <w:rPr>
            <w:lang w:val="cs-CZ"/>
          </w:rPr>
          <w:fldChar w:fldCharType="begin"/>
        </w:r>
        <w:r w:rsidRPr="006D4DE5">
          <w:rPr>
            <w:lang w:val="cs-CZ"/>
          </w:rPr>
          <w:instrText xml:space="preserve"> PAGE   \* MERGEFORMAT </w:instrText>
        </w:r>
        <w:r w:rsidRPr="006D4DE5">
          <w:rPr>
            <w:lang w:val="cs-CZ"/>
          </w:rPr>
          <w:fldChar w:fldCharType="separate"/>
        </w:r>
        <w:r>
          <w:rPr>
            <w:noProof/>
            <w:lang w:val="cs-CZ"/>
          </w:rPr>
          <w:t>1</w:t>
        </w:r>
        <w:r w:rsidRPr="006D4DE5">
          <w:rPr>
            <w:noProof/>
            <w:lang w:val="cs-CZ"/>
          </w:rPr>
          <w:fldChar w:fldCharType="end"/>
        </w:r>
        <w:r w:rsidRPr="006D4DE5">
          <w:rPr>
            <w:noProof/>
            <w:lang w:val="cs-CZ"/>
          </w:rPr>
          <w:t xml:space="preserve"> z </w:t>
        </w:r>
        <w:r w:rsidRPr="006D4DE5">
          <w:rPr>
            <w:noProof/>
            <w:lang w:val="cs-CZ"/>
          </w:rPr>
          <w:fldChar w:fldCharType="begin"/>
        </w:r>
        <w:r w:rsidRPr="006D4DE5">
          <w:rPr>
            <w:noProof/>
            <w:lang w:val="cs-CZ"/>
          </w:rPr>
          <w:instrText xml:space="preserve"> NUMPAGES   \* MERGEFORMAT </w:instrText>
        </w:r>
        <w:r w:rsidRPr="006D4DE5">
          <w:rPr>
            <w:noProof/>
            <w:lang w:val="cs-CZ"/>
          </w:rPr>
          <w:fldChar w:fldCharType="separate"/>
        </w:r>
        <w:r>
          <w:rPr>
            <w:noProof/>
            <w:lang w:val="cs-CZ"/>
          </w:rPr>
          <w:t>40</w:t>
        </w:r>
        <w:r w:rsidRPr="006D4DE5">
          <w:rPr>
            <w:noProof/>
            <w:lang w:val="cs-C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E937" w14:textId="77777777" w:rsidR="0096298E" w:rsidRDefault="0096298E" w:rsidP="006D4DE5">
      <w:pPr>
        <w:spacing w:after="0" w:line="240" w:lineRule="auto"/>
      </w:pPr>
      <w:r>
        <w:separator/>
      </w:r>
    </w:p>
  </w:footnote>
  <w:footnote w:type="continuationSeparator" w:id="0">
    <w:p w14:paraId="73140E68" w14:textId="77777777" w:rsidR="0096298E" w:rsidRDefault="0096298E" w:rsidP="006D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690"/>
    <w:multiLevelType w:val="hybridMultilevel"/>
    <w:tmpl w:val="F3F8F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891"/>
    <w:multiLevelType w:val="hybridMultilevel"/>
    <w:tmpl w:val="9C18B716"/>
    <w:lvl w:ilvl="0" w:tplc="5E905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32E"/>
    <w:multiLevelType w:val="hybridMultilevel"/>
    <w:tmpl w:val="9FB0A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70F"/>
    <w:multiLevelType w:val="hybridMultilevel"/>
    <w:tmpl w:val="16D43950"/>
    <w:lvl w:ilvl="0" w:tplc="91BC6A36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0D3D1677"/>
    <w:multiLevelType w:val="hybridMultilevel"/>
    <w:tmpl w:val="1112257C"/>
    <w:lvl w:ilvl="0" w:tplc="D6B2F4DA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7536D"/>
    <w:multiLevelType w:val="hybridMultilevel"/>
    <w:tmpl w:val="124EA75A"/>
    <w:lvl w:ilvl="0" w:tplc="50900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3C9B"/>
    <w:multiLevelType w:val="hybridMultilevel"/>
    <w:tmpl w:val="9ACCE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7198"/>
    <w:multiLevelType w:val="hybridMultilevel"/>
    <w:tmpl w:val="38F8DFDE"/>
    <w:lvl w:ilvl="0" w:tplc="887C85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707A"/>
    <w:multiLevelType w:val="hybridMultilevel"/>
    <w:tmpl w:val="99E6A7B4"/>
    <w:lvl w:ilvl="0" w:tplc="417E07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E24FB"/>
    <w:multiLevelType w:val="hybridMultilevel"/>
    <w:tmpl w:val="63701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258"/>
    <w:multiLevelType w:val="hybridMultilevel"/>
    <w:tmpl w:val="9628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92C47"/>
    <w:multiLevelType w:val="hybridMultilevel"/>
    <w:tmpl w:val="9D065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B2C15"/>
    <w:multiLevelType w:val="hybridMultilevel"/>
    <w:tmpl w:val="AAACF422"/>
    <w:lvl w:ilvl="0" w:tplc="B4EE9BD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10E4C"/>
    <w:multiLevelType w:val="hybridMultilevel"/>
    <w:tmpl w:val="D47C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26F35"/>
    <w:multiLevelType w:val="hybridMultilevel"/>
    <w:tmpl w:val="B768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207C1"/>
    <w:multiLevelType w:val="hybridMultilevel"/>
    <w:tmpl w:val="555A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09D3"/>
    <w:multiLevelType w:val="hybridMultilevel"/>
    <w:tmpl w:val="6EA2D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F190D"/>
    <w:multiLevelType w:val="hybridMultilevel"/>
    <w:tmpl w:val="62D6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D20D9"/>
    <w:multiLevelType w:val="hybridMultilevel"/>
    <w:tmpl w:val="C03689B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02230"/>
    <w:multiLevelType w:val="hybridMultilevel"/>
    <w:tmpl w:val="C86698CA"/>
    <w:lvl w:ilvl="0" w:tplc="1A8005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8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4"/>
  </w:num>
  <w:num w:numId="13">
    <w:abstractNumId w:val="11"/>
  </w:num>
  <w:num w:numId="14">
    <w:abstractNumId w:val="19"/>
  </w:num>
  <w:num w:numId="15">
    <w:abstractNumId w:val="15"/>
  </w:num>
  <w:num w:numId="16">
    <w:abstractNumId w:val="7"/>
  </w:num>
  <w:num w:numId="17">
    <w:abstractNumId w:val="1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60"/>
    <w:rsid w:val="000353BB"/>
    <w:rsid w:val="00037402"/>
    <w:rsid w:val="00055B81"/>
    <w:rsid w:val="00061E75"/>
    <w:rsid w:val="000726D0"/>
    <w:rsid w:val="0008239E"/>
    <w:rsid w:val="000841AD"/>
    <w:rsid w:val="0009283F"/>
    <w:rsid w:val="00095209"/>
    <w:rsid w:val="000B085F"/>
    <w:rsid w:val="000B2AD7"/>
    <w:rsid w:val="000B331D"/>
    <w:rsid w:val="000B720F"/>
    <w:rsid w:val="000D6BC8"/>
    <w:rsid w:val="001020B6"/>
    <w:rsid w:val="0011277E"/>
    <w:rsid w:val="00124358"/>
    <w:rsid w:val="0012573A"/>
    <w:rsid w:val="00135B94"/>
    <w:rsid w:val="00143942"/>
    <w:rsid w:val="00145119"/>
    <w:rsid w:val="00161C73"/>
    <w:rsid w:val="001755CA"/>
    <w:rsid w:val="001A47FB"/>
    <w:rsid w:val="001A52E3"/>
    <w:rsid w:val="001A61AB"/>
    <w:rsid w:val="001C1712"/>
    <w:rsid w:val="001D0A6E"/>
    <w:rsid w:val="001D357A"/>
    <w:rsid w:val="001D66E3"/>
    <w:rsid w:val="001D7752"/>
    <w:rsid w:val="001E0A8A"/>
    <w:rsid w:val="001E3E01"/>
    <w:rsid w:val="001E520E"/>
    <w:rsid w:val="001E5A1E"/>
    <w:rsid w:val="00211A3B"/>
    <w:rsid w:val="00261E9F"/>
    <w:rsid w:val="00262BF9"/>
    <w:rsid w:val="00267554"/>
    <w:rsid w:val="00272B2C"/>
    <w:rsid w:val="00284505"/>
    <w:rsid w:val="002A12DC"/>
    <w:rsid w:val="002A3167"/>
    <w:rsid w:val="002A63EA"/>
    <w:rsid w:val="002B2057"/>
    <w:rsid w:val="002E07E0"/>
    <w:rsid w:val="002E6C2D"/>
    <w:rsid w:val="002E77B6"/>
    <w:rsid w:val="0030177C"/>
    <w:rsid w:val="003022A5"/>
    <w:rsid w:val="0031039C"/>
    <w:rsid w:val="00335FF5"/>
    <w:rsid w:val="00356A41"/>
    <w:rsid w:val="003579AD"/>
    <w:rsid w:val="003603F1"/>
    <w:rsid w:val="0037247A"/>
    <w:rsid w:val="003725CD"/>
    <w:rsid w:val="00373ADC"/>
    <w:rsid w:val="003747AA"/>
    <w:rsid w:val="00380634"/>
    <w:rsid w:val="0038072E"/>
    <w:rsid w:val="003A0635"/>
    <w:rsid w:val="003A13A1"/>
    <w:rsid w:val="003A62F3"/>
    <w:rsid w:val="003C0D50"/>
    <w:rsid w:val="003D6C3E"/>
    <w:rsid w:val="003E2C97"/>
    <w:rsid w:val="00434511"/>
    <w:rsid w:val="00434AE1"/>
    <w:rsid w:val="00497534"/>
    <w:rsid w:val="004A2C33"/>
    <w:rsid w:val="004B3E17"/>
    <w:rsid w:val="004C308A"/>
    <w:rsid w:val="004C3104"/>
    <w:rsid w:val="004D209E"/>
    <w:rsid w:val="004E7C8B"/>
    <w:rsid w:val="00504941"/>
    <w:rsid w:val="00505F71"/>
    <w:rsid w:val="00524E5C"/>
    <w:rsid w:val="005264E1"/>
    <w:rsid w:val="00536AC9"/>
    <w:rsid w:val="0058256A"/>
    <w:rsid w:val="0059078E"/>
    <w:rsid w:val="005A2019"/>
    <w:rsid w:val="005C2B4D"/>
    <w:rsid w:val="005F0205"/>
    <w:rsid w:val="005F39FC"/>
    <w:rsid w:val="00605773"/>
    <w:rsid w:val="00614D3C"/>
    <w:rsid w:val="00621A26"/>
    <w:rsid w:val="00634D49"/>
    <w:rsid w:val="0064650F"/>
    <w:rsid w:val="006505F3"/>
    <w:rsid w:val="00671852"/>
    <w:rsid w:val="00673801"/>
    <w:rsid w:val="00687CE0"/>
    <w:rsid w:val="006A1F95"/>
    <w:rsid w:val="006C259F"/>
    <w:rsid w:val="006C31A9"/>
    <w:rsid w:val="006D4DE5"/>
    <w:rsid w:val="0070693C"/>
    <w:rsid w:val="00714AB2"/>
    <w:rsid w:val="00723682"/>
    <w:rsid w:val="00755CDF"/>
    <w:rsid w:val="00770111"/>
    <w:rsid w:val="007771B7"/>
    <w:rsid w:val="00791121"/>
    <w:rsid w:val="00797CD0"/>
    <w:rsid w:val="007B5F1B"/>
    <w:rsid w:val="007B7EC5"/>
    <w:rsid w:val="007D0F52"/>
    <w:rsid w:val="007D7458"/>
    <w:rsid w:val="007F0449"/>
    <w:rsid w:val="007F4AC2"/>
    <w:rsid w:val="00826025"/>
    <w:rsid w:val="00840E81"/>
    <w:rsid w:val="00863C58"/>
    <w:rsid w:val="00871635"/>
    <w:rsid w:val="00871922"/>
    <w:rsid w:val="00880A37"/>
    <w:rsid w:val="008A5968"/>
    <w:rsid w:val="008A6DE6"/>
    <w:rsid w:val="008C4299"/>
    <w:rsid w:val="008F54BC"/>
    <w:rsid w:val="00900EAD"/>
    <w:rsid w:val="009022D3"/>
    <w:rsid w:val="00911260"/>
    <w:rsid w:val="00911659"/>
    <w:rsid w:val="009221B9"/>
    <w:rsid w:val="0092624F"/>
    <w:rsid w:val="009268E3"/>
    <w:rsid w:val="0092725A"/>
    <w:rsid w:val="00931C8F"/>
    <w:rsid w:val="00937D70"/>
    <w:rsid w:val="00954994"/>
    <w:rsid w:val="0096298E"/>
    <w:rsid w:val="009868AC"/>
    <w:rsid w:val="009A0D69"/>
    <w:rsid w:val="009D792F"/>
    <w:rsid w:val="009E0CA8"/>
    <w:rsid w:val="009E6DD9"/>
    <w:rsid w:val="009F4085"/>
    <w:rsid w:val="00A05A4B"/>
    <w:rsid w:val="00A06C1C"/>
    <w:rsid w:val="00A5530D"/>
    <w:rsid w:val="00A616B6"/>
    <w:rsid w:val="00A71E6A"/>
    <w:rsid w:val="00A7311F"/>
    <w:rsid w:val="00A84973"/>
    <w:rsid w:val="00A9197B"/>
    <w:rsid w:val="00AA3631"/>
    <w:rsid w:val="00AB1F7B"/>
    <w:rsid w:val="00AC1076"/>
    <w:rsid w:val="00AD2FDE"/>
    <w:rsid w:val="00AE2737"/>
    <w:rsid w:val="00B0127E"/>
    <w:rsid w:val="00B021D9"/>
    <w:rsid w:val="00B0363E"/>
    <w:rsid w:val="00B20E1B"/>
    <w:rsid w:val="00B2169E"/>
    <w:rsid w:val="00B24047"/>
    <w:rsid w:val="00BD3B00"/>
    <w:rsid w:val="00BE6108"/>
    <w:rsid w:val="00BF75EE"/>
    <w:rsid w:val="00C02AF9"/>
    <w:rsid w:val="00C10875"/>
    <w:rsid w:val="00C15E60"/>
    <w:rsid w:val="00C1734D"/>
    <w:rsid w:val="00C370BE"/>
    <w:rsid w:val="00C43823"/>
    <w:rsid w:val="00C47460"/>
    <w:rsid w:val="00C57C2E"/>
    <w:rsid w:val="00C751F8"/>
    <w:rsid w:val="00C76817"/>
    <w:rsid w:val="00C92504"/>
    <w:rsid w:val="00C96FB2"/>
    <w:rsid w:val="00CA2211"/>
    <w:rsid w:val="00CA52B1"/>
    <w:rsid w:val="00CB5F47"/>
    <w:rsid w:val="00CC02CE"/>
    <w:rsid w:val="00CC1B9C"/>
    <w:rsid w:val="00CC2EAA"/>
    <w:rsid w:val="00CE0F71"/>
    <w:rsid w:val="00CF4A59"/>
    <w:rsid w:val="00CF4D83"/>
    <w:rsid w:val="00CF601A"/>
    <w:rsid w:val="00D01E19"/>
    <w:rsid w:val="00D0606B"/>
    <w:rsid w:val="00D06541"/>
    <w:rsid w:val="00D07017"/>
    <w:rsid w:val="00D17638"/>
    <w:rsid w:val="00D51177"/>
    <w:rsid w:val="00D67B53"/>
    <w:rsid w:val="00D7240B"/>
    <w:rsid w:val="00D72793"/>
    <w:rsid w:val="00D816B4"/>
    <w:rsid w:val="00D83220"/>
    <w:rsid w:val="00D91CF7"/>
    <w:rsid w:val="00DB55F0"/>
    <w:rsid w:val="00DB6EF0"/>
    <w:rsid w:val="00DC492A"/>
    <w:rsid w:val="00DC511E"/>
    <w:rsid w:val="00DD6F12"/>
    <w:rsid w:val="00DE0ACF"/>
    <w:rsid w:val="00DE7BB5"/>
    <w:rsid w:val="00E20E24"/>
    <w:rsid w:val="00E45818"/>
    <w:rsid w:val="00E51C12"/>
    <w:rsid w:val="00E5562B"/>
    <w:rsid w:val="00E56266"/>
    <w:rsid w:val="00E605F3"/>
    <w:rsid w:val="00E66701"/>
    <w:rsid w:val="00E7209F"/>
    <w:rsid w:val="00E87214"/>
    <w:rsid w:val="00EA3343"/>
    <w:rsid w:val="00EA6692"/>
    <w:rsid w:val="00EA6836"/>
    <w:rsid w:val="00EB684A"/>
    <w:rsid w:val="00EB7239"/>
    <w:rsid w:val="00EC1AEE"/>
    <w:rsid w:val="00EC7C86"/>
    <w:rsid w:val="00ED0034"/>
    <w:rsid w:val="00EE340C"/>
    <w:rsid w:val="00F2063D"/>
    <w:rsid w:val="00F223FB"/>
    <w:rsid w:val="00F2545E"/>
    <w:rsid w:val="00F279C3"/>
    <w:rsid w:val="00F71379"/>
    <w:rsid w:val="00F720CA"/>
    <w:rsid w:val="00F748B1"/>
    <w:rsid w:val="00F91782"/>
    <w:rsid w:val="00FA0E15"/>
    <w:rsid w:val="00FB47A1"/>
    <w:rsid w:val="00FC5891"/>
    <w:rsid w:val="00FC7181"/>
    <w:rsid w:val="00FF6333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96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FD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2169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71B7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5F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169E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71B7"/>
    <w:rPr>
      <w:rFonts w:ascii="Arial" w:eastAsiaTheme="majorEastAsia" w:hAnsi="Arial" w:cstheme="majorBidi"/>
      <w:b/>
      <w:sz w:val="32"/>
      <w:szCs w:val="26"/>
    </w:rPr>
  </w:style>
  <w:style w:type="table" w:styleId="Mkatabulky">
    <w:name w:val="Table Grid"/>
    <w:basedOn w:val="Normlntabulka"/>
    <w:uiPriority w:val="39"/>
    <w:rsid w:val="00C1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C15E6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D511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1E520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B55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Barevntabulkaseznamu6zvraznn3">
    <w:name w:val="List Table 6 Colorful Accent 3"/>
    <w:basedOn w:val="Normlntabulka"/>
    <w:uiPriority w:val="51"/>
    <w:rsid w:val="00536A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F63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DE5"/>
  </w:style>
  <w:style w:type="paragraph" w:styleId="Zpat">
    <w:name w:val="footer"/>
    <w:basedOn w:val="Normln"/>
    <w:link w:val="Zpat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DE5"/>
  </w:style>
  <w:style w:type="paragraph" w:styleId="Textbubliny">
    <w:name w:val="Balloon Text"/>
    <w:basedOn w:val="Normln"/>
    <w:link w:val="TextbublinyChar"/>
    <w:uiPriority w:val="99"/>
    <w:semiHidden/>
    <w:unhideWhenUsed/>
    <w:rsid w:val="0037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ADC"/>
    <w:rPr>
      <w:rFonts w:ascii="Segoe UI" w:hAnsi="Segoe UI" w:cs="Segoe UI"/>
      <w:sz w:val="18"/>
      <w:szCs w:val="18"/>
    </w:rPr>
  </w:style>
  <w:style w:type="table" w:styleId="Svtlmkatabulky">
    <w:name w:val="Grid Table Light"/>
    <w:basedOn w:val="Normlntabulka"/>
    <w:uiPriority w:val="40"/>
    <w:rsid w:val="00AD2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tavecseseznamemChar">
    <w:name w:val="Odstavec se seznamem Char"/>
    <w:link w:val="Odstavecseseznamem"/>
    <w:uiPriority w:val="34"/>
    <w:rsid w:val="00B021D9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24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E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E5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E5C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B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BB5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7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HuQBYKL3r5u+3B4sdUZc1FGut49KupfuXa+YB5Q4vDk=</DigestValue>
    </Reference>
    <Reference Type="http://www.w3.org/2000/09/xmldsig#Object" URI="#idOfficeObject">
      <DigestMethod Algorithm="http://www.w3.org/2001/04/xmlenc#sha256"/>
      <DigestValue>NwpUXjJ76J0evu7aocUECp2ee5O3sgEPFMp2Q0tTDbM=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/b3Qe8Ojym4xC/kwBY4sAA0n+uZmJIIB353UsPdSrLI=</DigestValue>
    </Reference>
  </SignedInfo>
  <SignatureValue>q59tdM5wn1RqMZGEtsgr9UrhB5QEHR3D1ezoHMnfoGBTBId2np7Baorw16ypNV8vvk4YxOJB1pt1
kj5FWzSRJ3HWSK76xDOfOeCD5hfUNASbJYejzk57UI0C3uOaGwhmw8tBp/pYmMJihwEJSMq8HpAZ
rIQyjjmtIH4bMjQtPLtSKmcYfaNCHNoNjsS8u7Zh6rH5gT/s8stvSURTgU+gadLtz5cfV//XxoQ0
+PnyrxR6kipWcLOb7E5n7p9fR+VSinilJ1rCrs+o2m4F0axG6xIJPd4jPk02HRIrTilAz3K8xtgg
1/3zLaC16ju+615CVIXx3v9oy1Z8ZBwPCEnT7A==</SignatureValue>
  <KeyInfo>
    <X509Data>
      <X509Certificate>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QZ8gOKFPEhqoOwtJLEofmMXuaTMA0GCSqGSIb3DQEBCwUAA4IBAQCiS0rG43xYiwIqtvBeLqmV0zxDP3HeDFYcnx2dy3/3Gmx+iunvTmQ/nEJdLLXAlCDmUQZrOWlNeYfWyLopwHYJSPdTXxsKCF0M3Ykx3lKDhVnj6b0T0UM15FrnNE1Aqe6l30XBG2fdv5xstjBDDp/ZV1NS/ZXhw9MifIu2f5FD7JzYmEKHnlqsbvc9PNKqtZK2GrrTApSJYMRSiX/tSlLkm5EV/iM1z0A7WGr69DuBbFp2en0pRjZAECphv/xQnnmBRNlEuRC98SbuVdyNg6YSj5geRyAHXADHSCqbtLMmVZDLIkf3i6mkNQuDT4KwDpi8QZCGCYmKCSWiW3zZyEv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yYeFz6KG0p/UBNYtM7xCx3cKl9NQ6Q7Fo2fUY5R1ih8=</DigestValue>
      </Reference>
      <Reference URI="/word/document.xml?ContentType=application/vnd.openxmlformats-officedocument.wordprocessingml.document.main+xml">
        <DigestMethod Algorithm="http://www.w3.org/2001/04/xmlenc#sha256"/>
        <DigestValue>jfPcszQO4F6uQdhbmPKSnVP3OgBvu4W0PhD9q/GEWWQ=</DigestValue>
      </Reference>
      <Reference URI="/word/endnotes.xml?ContentType=application/vnd.openxmlformats-officedocument.wordprocessingml.endnotes+xml">
        <DigestMethod Algorithm="http://www.w3.org/2001/04/xmlenc#sha256"/>
        <DigestValue>0NZo2GpwPNU+fwf5xhvoPqfVfCzkAzowavBmBDu8tE4=</DigestValue>
      </Reference>
      <Reference URI="/word/fontTable.xml?ContentType=application/vnd.openxmlformats-officedocument.wordprocessingml.fontTable+xml">
        <DigestMethod Algorithm="http://www.w3.org/2001/04/xmlenc#sha256"/>
        <DigestValue>i6SP+KH1mltbJYJi29U47MTil7lLwXbuGFgTZJsEmXI=</DigestValue>
      </Reference>
      <Reference URI="/word/footer1.xml?ContentType=application/vnd.openxmlformats-officedocument.wordprocessingml.footer+xml">
        <DigestMethod Algorithm="http://www.w3.org/2001/04/xmlenc#sha256"/>
        <DigestValue>I/8Ar97mYliWG/zZOeJZ05Z0psPEcv2etDdxiN+fBPE=</DigestValue>
      </Reference>
      <Reference URI="/word/footer2.xml?ContentType=application/vnd.openxmlformats-officedocument.wordprocessingml.footer+xml">
        <DigestMethod Algorithm="http://www.w3.org/2001/04/xmlenc#sha256"/>
        <DigestValue>mprPJnPM93C+5hBLmP6sPljGC0Rrwt9KnVnbfFREryA=</DigestValue>
      </Reference>
      <Reference URI="/word/footnotes.xml?ContentType=application/vnd.openxmlformats-officedocument.wordprocessingml.footnotes+xml">
        <DigestMethod Algorithm="http://www.w3.org/2001/04/xmlenc#sha256"/>
        <DigestValue>b0cOGV9/pYHbMYxo6W4nsNkcPIuwGs47o1EhVAs85v8=</DigestValue>
      </Reference>
      <Reference URI="/word/numbering.xml?ContentType=application/vnd.openxmlformats-officedocument.wordprocessingml.numbering+xml">
        <DigestMethod Algorithm="http://www.w3.org/2001/04/xmlenc#sha256"/>
        <DigestValue>eqwemSzdLCm8ZJcULrbTUpxhIc5bIsI44x5m8iIC7IA=</DigestValue>
      </Reference>
      <Reference URI="/word/settings.xml?ContentType=application/vnd.openxmlformats-officedocument.wordprocessingml.settings+xml">
        <DigestMethod Algorithm="http://www.w3.org/2001/04/xmlenc#sha256"/>
        <DigestValue>4c8rA74vQ+aCVNwP8YSeAYXO+1/ooa8X0ROd/WJV/Dw=</DigestValue>
      </Reference>
      <Reference URI="/word/styles.xml?ContentType=application/vnd.openxmlformats-officedocument.wordprocessingml.styles+xml">
        <DigestMethod Algorithm="http://www.w3.org/2001/04/xmlenc#sha256"/>
        <DigestValue>tqN16IalznCvXd140fxR31y/Y5ppvTL0ZiLHL+0wF9s=</DigestValue>
      </Reference>
      <Reference URI="/word/theme/theme1.xml?ContentType=application/vnd.openxmlformats-officedocument.theme+xml">
        <DigestMethod Algorithm="http://www.w3.org/2001/04/xmlenc#sha256"/>
        <DigestValue>1xyonulB3OMU7LB1nKGr6JcKXES6vggbEGfbbRQ9G7I=</DigestValue>
      </Reference>
      <Reference URI="/word/webSettings.xml?ContentType=application/vnd.openxmlformats-officedocument.wordprocessingml.webSettings+xml">
        <DigestMethod Algorithm="http://www.w3.org/2001/04/xmlenc#sha256"/>
        <DigestValue>6uycXTY3ZddL6dTgmHjcnBgJicSQVfGP13jpecj8wiM=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2019-07-26T13:27:12Z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16.0.10730/14</OfficeVersion>
          <ApplicationVersion>16.0.10730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2019-07-26T13:27:12Z</xd:SigningTime>
          <xd:SigningCertificate>
            <xd:Cert>
              <xd:CertDigest>
                <DigestMethod Algorithm="http://www.w3.org/2001/04/xmlenc#sha256"/>
                <DigestValue>N0cq2tfNiWIckKZBbLdvm2HeI+sMDnTWYO/AOar1tuc=</DigestValue>
              </xd:CertDigest>
              <xd:IssuerSerial>
                <X509IssuerName>CN=PostSignum Qualified CA 2, O="Česká pošta, s.p. [IČ 47114983]", C=CZ</X509IssuerName>
                <X509SerialNumber>3564718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4950-DDB5-4F17-BA05-A4024812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2019-07-26T07:54:00Z</dcterms:created>
  <dcterms:modified xsi:type="dcterms:W3CDTF">2019-07-26T07:55:00Z</dcterms:modified>
</cp:coreProperties>
</file>