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80" w:rsidRPr="004673B0" w:rsidRDefault="00A446BE" w:rsidP="00A446BE">
      <w:pPr>
        <w:pStyle w:val="Nzev"/>
        <w:ind w:firstLine="708"/>
        <w:jc w:val="center"/>
      </w:pPr>
      <w:bookmarkStart w:id="0" w:name="_Toc423356101"/>
      <w:bookmarkStart w:id="1" w:name="_Toc423425448"/>
      <w:bookmarkStart w:id="2" w:name="_Toc423443000"/>
      <w:bookmarkStart w:id="3" w:name="_Toc423443056"/>
      <w:bookmarkStart w:id="4" w:name="_Toc423443086"/>
      <w:r w:rsidRPr="004673B0">
        <w:t>M</w:t>
      </w:r>
      <w:r w:rsidR="00F30371" w:rsidRPr="004673B0">
        <w:t>etodika analýz</w:t>
      </w:r>
      <w:r w:rsidR="00F45280" w:rsidRPr="004673B0">
        <w:t xml:space="preserve"> relevantních trhů</w:t>
      </w:r>
      <w:bookmarkEnd w:id="0"/>
      <w:bookmarkEnd w:id="1"/>
      <w:bookmarkEnd w:id="2"/>
      <w:bookmarkEnd w:id="3"/>
      <w:bookmarkEnd w:id="4"/>
    </w:p>
    <w:p w:rsidR="006868A3" w:rsidRPr="004673B0" w:rsidRDefault="006868A3" w:rsidP="00667113">
      <w:pPr>
        <w:jc w:val="center"/>
      </w:pPr>
    </w:p>
    <w:p w:rsidR="00CC7E23" w:rsidRPr="004673B0" w:rsidRDefault="00CC7E23" w:rsidP="00667113">
      <w:pPr>
        <w:jc w:val="center"/>
        <w:sectPr w:rsidR="00CC7E23" w:rsidRPr="004673B0" w:rsidSect="00667113">
          <w:headerReference w:type="default" r:id="rId8"/>
          <w:footerReference w:type="default" r:id="rId9"/>
          <w:pgSz w:w="11906" w:h="16838" w:code="9"/>
          <w:pgMar w:top="1418" w:right="1418" w:bottom="1418" w:left="1418" w:header="624" w:footer="709" w:gutter="0"/>
          <w:pgNumType w:start="1"/>
          <w:cols w:space="708"/>
          <w:vAlign w:val="center"/>
          <w:docGrid w:linePitch="360"/>
        </w:sectPr>
      </w:pPr>
    </w:p>
    <w:p w:rsidR="00972080" w:rsidRPr="004673B0" w:rsidRDefault="00A73515">
      <w:pPr>
        <w:pStyle w:val="Obsah1"/>
        <w:rPr>
          <w:b/>
        </w:rPr>
      </w:pPr>
      <w:r w:rsidRPr="004673B0">
        <w:rPr>
          <w:b/>
          <w:sz w:val="28"/>
          <w:szCs w:val="28"/>
        </w:rPr>
        <w:t>Obsah</w:t>
      </w:r>
      <w:r w:rsidRPr="004673B0">
        <w:rPr>
          <w:b/>
        </w:rPr>
        <w:t xml:space="preserve"> </w:t>
      </w:r>
    </w:p>
    <w:p w:rsidR="00972080" w:rsidRPr="004673B0" w:rsidRDefault="00CB16F5">
      <w:pPr>
        <w:pStyle w:val="Obsah1"/>
        <w:rPr>
          <w:rFonts w:asciiTheme="minorBidi" w:eastAsiaTheme="minorEastAsia" w:hAnsiTheme="minorBidi" w:cstheme="minorBidi"/>
          <w:bCs w:val="0"/>
          <w:i w:val="0"/>
          <w:lang w:eastAsia="cs-CZ" w:bidi="he-IL"/>
        </w:rPr>
      </w:pPr>
      <w:r w:rsidRPr="004673B0">
        <w:rPr>
          <w:b/>
          <w:bCs w:val="0"/>
        </w:rPr>
        <w:fldChar w:fldCharType="begin"/>
      </w:r>
      <w:r w:rsidR="004035B4" w:rsidRPr="004673B0">
        <w:rPr>
          <w:b/>
        </w:rPr>
        <w:instrText xml:space="preserve"> TOC \h \z \t "N1;1;N2;2;N3;3;N4;4" </w:instrText>
      </w:r>
      <w:r w:rsidRPr="004673B0">
        <w:rPr>
          <w:b/>
          <w:bCs w:val="0"/>
        </w:rPr>
        <w:fldChar w:fldCharType="separate"/>
      </w:r>
      <w:hyperlink w:anchor="_Toc440374052" w:history="1">
        <w:r w:rsidR="00972080" w:rsidRPr="004673B0">
          <w:rPr>
            <w:rStyle w:val="Hypertextovodkaz"/>
            <w:rFonts w:asciiTheme="minorBidi" w:hAnsiTheme="minorBidi" w:cstheme="minorBidi"/>
          </w:rPr>
          <w:t>1</w:t>
        </w:r>
        <w:r w:rsidR="00972080" w:rsidRPr="004673B0">
          <w:rPr>
            <w:rFonts w:asciiTheme="minorBidi" w:eastAsiaTheme="minorEastAsia" w:hAnsiTheme="minorBidi" w:cstheme="minorBidi"/>
            <w:bCs w:val="0"/>
            <w:i w:val="0"/>
            <w:lang w:eastAsia="cs-CZ" w:bidi="he-IL"/>
          </w:rPr>
          <w:tab/>
        </w:r>
        <w:r w:rsidR="00972080" w:rsidRPr="004673B0">
          <w:rPr>
            <w:rStyle w:val="Hypertextovodkaz"/>
            <w:rFonts w:asciiTheme="minorBidi" w:hAnsiTheme="minorBidi" w:cstheme="minorBidi"/>
          </w:rPr>
          <w:t>Definice</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_Toc440374052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4</w:t>
        </w:r>
        <w:r w:rsidR="00972080" w:rsidRPr="004673B0">
          <w:rPr>
            <w:rFonts w:asciiTheme="minorBidi" w:hAnsiTheme="minorBidi" w:cstheme="minorBidi"/>
            <w:webHidden/>
          </w:rPr>
          <w:fldChar w:fldCharType="end"/>
        </w:r>
      </w:hyperlink>
    </w:p>
    <w:p w:rsidR="00972080" w:rsidRPr="004673B0" w:rsidRDefault="00974B66">
      <w:pPr>
        <w:pStyle w:val="Obsah1"/>
        <w:rPr>
          <w:rFonts w:asciiTheme="minorBidi" w:eastAsiaTheme="minorEastAsia" w:hAnsiTheme="minorBidi" w:cstheme="minorBidi"/>
          <w:bCs w:val="0"/>
          <w:i w:val="0"/>
          <w:lang w:eastAsia="cs-CZ" w:bidi="he-IL"/>
        </w:rPr>
      </w:pPr>
      <w:hyperlink w:anchor="_Toc440374053" w:history="1">
        <w:r w:rsidR="00972080" w:rsidRPr="004673B0">
          <w:rPr>
            <w:rStyle w:val="Hypertextovodkaz"/>
            <w:rFonts w:asciiTheme="minorBidi" w:hAnsiTheme="minorBidi" w:cstheme="minorBidi"/>
          </w:rPr>
          <w:t>2</w:t>
        </w:r>
        <w:r w:rsidR="00972080" w:rsidRPr="004673B0">
          <w:rPr>
            <w:rFonts w:asciiTheme="minorBidi" w:eastAsiaTheme="minorEastAsia" w:hAnsiTheme="minorBidi" w:cstheme="minorBidi"/>
            <w:bCs w:val="0"/>
            <w:i w:val="0"/>
            <w:lang w:eastAsia="cs-CZ" w:bidi="he-IL"/>
          </w:rPr>
          <w:tab/>
        </w:r>
        <w:r w:rsidR="00972080" w:rsidRPr="004673B0">
          <w:rPr>
            <w:rStyle w:val="Hypertextovodkaz"/>
            <w:rFonts w:asciiTheme="minorBidi" w:hAnsiTheme="minorBidi" w:cstheme="minorBidi"/>
          </w:rPr>
          <w:t>Metodika analýz relevantních trhů</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_Toc440374053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6</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54" w:history="1">
        <w:r w:rsidR="00972080" w:rsidRPr="004673B0">
          <w:rPr>
            <w:rStyle w:val="Hypertextovodkaz"/>
            <w:rFonts w:asciiTheme="minorBidi" w:hAnsiTheme="minorBidi" w:cstheme="minorBidi"/>
          </w:rPr>
          <w:t>2.1</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Účel metodiky</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_Toc440374054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6</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55" w:history="1">
        <w:r w:rsidR="00972080" w:rsidRPr="004673B0">
          <w:rPr>
            <w:rStyle w:val="Hypertextovodkaz"/>
            <w:rFonts w:asciiTheme="minorBidi" w:hAnsiTheme="minorBidi" w:cstheme="minorBidi"/>
          </w:rPr>
          <w:t>2.2</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Legislativní rámec</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_Toc440374055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6</w:t>
        </w:r>
        <w:r w:rsidR="00972080" w:rsidRPr="004673B0">
          <w:rPr>
            <w:rFonts w:asciiTheme="minorBidi" w:hAnsiTheme="minorBidi" w:cstheme="minorBidi"/>
            <w:webHidden/>
          </w:rPr>
          <w:fldChar w:fldCharType="end"/>
        </w:r>
      </w:hyperlink>
    </w:p>
    <w:p w:rsidR="00972080" w:rsidRPr="004673B0" w:rsidRDefault="00974B66">
      <w:pPr>
        <w:pStyle w:val="Obsah1"/>
        <w:rPr>
          <w:rFonts w:asciiTheme="minorBidi" w:eastAsiaTheme="minorEastAsia" w:hAnsiTheme="minorBidi" w:cstheme="minorBidi"/>
          <w:bCs w:val="0"/>
          <w:i w:val="0"/>
          <w:lang w:eastAsia="cs-CZ" w:bidi="he-IL"/>
        </w:rPr>
      </w:pPr>
      <w:hyperlink w:anchor="_Toc440374056" w:history="1">
        <w:r w:rsidR="00972080" w:rsidRPr="004673B0">
          <w:rPr>
            <w:rStyle w:val="Hypertextovodkaz"/>
            <w:rFonts w:asciiTheme="minorBidi" w:hAnsiTheme="minorBidi" w:cstheme="minorBidi"/>
          </w:rPr>
          <w:t>3</w:t>
        </w:r>
        <w:r w:rsidR="00972080" w:rsidRPr="004673B0">
          <w:rPr>
            <w:rFonts w:asciiTheme="minorBidi" w:eastAsiaTheme="minorEastAsia" w:hAnsiTheme="minorBidi" w:cstheme="minorBidi"/>
            <w:bCs w:val="0"/>
            <w:i w:val="0"/>
            <w:lang w:eastAsia="cs-CZ" w:bidi="he-IL"/>
          </w:rPr>
          <w:tab/>
        </w:r>
        <w:r w:rsidR="00972080" w:rsidRPr="004673B0">
          <w:rPr>
            <w:rStyle w:val="Hypertextovodkaz"/>
            <w:rFonts w:asciiTheme="minorBidi" w:hAnsiTheme="minorBidi" w:cstheme="minorBidi"/>
          </w:rPr>
          <w:t>Vymezení (definování) trhu</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_Toc440374056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8</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57" w:history="1">
        <w:r w:rsidR="00972080" w:rsidRPr="004673B0">
          <w:rPr>
            <w:rStyle w:val="Hypertextovodkaz"/>
            <w:rFonts w:asciiTheme="minorBidi" w:hAnsiTheme="minorBidi" w:cstheme="minorBidi"/>
          </w:rPr>
          <w:t>3.1</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Úvod</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_Toc440374057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8</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58" w:history="1">
        <w:r w:rsidR="00972080" w:rsidRPr="004673B0">
          <w:rPr>
            <w:rStyle w:val="Hypertextovodkaz"/>
            <w:rFonts w:asciiTheme="minorBidi" w:hAnsiTheme="minorBidi" w:cstheme="minorBidi"/>
          </w:rPr>
          <w:t>3.2</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Základní zásady a obecný přístup k vymezení trhu</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_Toc440374058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9</w:t>
        </w:r>
        <w:r w:rsidR="00972080" w:rsidRPr="004673B0">
          <w:rPr>
            <w:rFonts w:asciiTheme="minorBidi" w:hAnsiTheme="minorBidi" w:cs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59" w:history="1">
        <w:r w:rsidR="00972080" w:rsidRPr="004673B0">
          <w:rPr>
            <w:rStyle w:val="Hypertextovodkaz"/>
            <w:rFonts w:asciiTheme="minorBidi" w:hAnsiTheme="minorBidi"/>
          </w:rPr>
          <w:t>3.2.1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Zásady vyplývající z právních norem</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_Toc440374059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9</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60" w:history="1">
        <w:r w:rsidR="00972080" w:rsidRPr="004673B0">
          <w:rPr>
            <w:rStyle w:val="Hypertextovodkaz"/>
            <w:rFonts w:asciiTheme="minorBidi" w:hAnsiTheme="minorBidi"/>
          </w:rPr>
          <w:t>3.2.2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Přístup Úřadu k vymezení trhu</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_Toc440374060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9</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61" w:history="1">
        <w:r w:rsidR="00972080" w:rsidRPr="004673B0">
          <w:rPr>
            <w:rStyle w:val="Hypertextovodkaz"/>
            <w:rFonts w:asciiTheme="minorBidi" w:hAnsiTheme="minorBidi"/>
          </w:rPr>
          <w:t>3.2.3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Metody a postupy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_Toc440374061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11</w:t>
        </w:r>
        <w:r w:rsidR="00972080" w:rsidRPr="004673B0">
          <w:rPr>
            <w:rFonts w:asciiTheme="minorBidi" w:hAnsiTheme="minorBidi"/>
            <w:webHidden/>
          </w:rPr>
          <w:fldChar w:fldCharType="end"/>
        </w:r>
      </w:hyperlink>
    </w:p>
    <w:p w:rsidR="00972080" w:rsidRPr="004673B0" w:rsidRDefault="00974B66">
      <w:pPr>
        <w:pStyle w:val="Obsah4"/>
        <w:rPr>
          <w:rFonts w:asciiTheme="minorBidi" w:eastAsiaTheme="minorEastAsia" w:hAnsiTheme="minorBidi"/>
          <w:lang w:eastAsia="cs-CZ" w:bidi="he-IL"/>
        </w:rPr>
      </w:pPr>
      <w:hyperlink w:anchor="_Toc440374062" w:history="1">
        <w:r w:rsidR="00972080" w:rsidRPr="004673B0">
          <w:rPr>
            <w:rStyle w:val="Hypertextovodkaz"/>
            <w:rFonts w:asciiTheme="minorBidi" w:hAnsiTheme="minorBidi"/>
          </w:rPr>
          <w:t>3.2.3.1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Kvalitativní metody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_Toc440374062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11</w:t>
        </w:r>
        <w:r w:rsidR="00972080" w:rsidRPr="004673B0">
          <w:rPr>
            <w:rFonts w:asciiTheme="minorBidi" w:hAnsiTheme="minorBidi"/>
            <w:webHidden/>
          </w:rPr>
          <w:fldChar w:fldCharType="end"/>
        </w:r>
      </w:hyperlink>
    </w:p>
    <w:p w:rsidR="00972080" w:rsidRPr="004673B0" w:rsidRDefault="00974B66">
      <w:pPr>
        <w:pStyle w:val="Obsah4"/>
        <w:rPr>
          <w:rFonts w:asciiTheme="minorBidi" w:eastAsiaTheme="minorEastAsia" w:hAnsiTheme="minorBidi"/>
          <w:lang w:eastAsia="cs-CZ" w:bidi="he-IL"/>
        </w:rPr>
      </w:pPr>
      <w:hyperlink w:anchor="_Toc440374063" w:history="1">
        <w:r w:rsidR="00972080" w:rsidRPr="004673B0">
          <w:rPr>
            <w:rStyle w:val="Hypertextovodkaz"/>
            <w:rFonts w:asciiTheme="minorBidi" w:hAnsiTheme="minorBidi"/>
          </w:rPr>
          <w:t>3.2.3.2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Kvantitativní metody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_Toc440374063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12</w:t>
        </w:r>
        <w:r w:rsidR="00972080" w:rsidRPr="004673B0">
          <w:rPr>
            <w:rFonts w:asciiTheme="minorBidi" w:hAnsi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64" w:history="1">
        <w:r w:rsidR="00972080" w:rsidRPr="004673B0">
          <w:rPr>
            <w:rStyle w:val="Hypertextovodkaz"/>
            <w:rFonts w:asciiTheme="minorBidi" w:hAnsiTheme="minorBidi" w:cstheme="minorBidi"/>
          </w:rPr>
          <w:t>3.3</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Věcné vymezení</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_Toc440374064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12</w:t>
        </w:r>
        <w:r w:rsidR="00972080" w:rsidRPr="004673B0">
          <w:rPr>
            <w:rFonts w:asciiTheme="minorBidi" w:hAnsiTheme="minorBidi" w:cs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65" w:history="1">
        <w:r w:rsidR="00972080" w:rsidRPr="004673B0">
          <w:rPr>
            <w:rStyle w:val="Hypertextovodkaz"/>
            <w:rFonts w:asciiTheme="minorBidi" w:hAnsiTheme="minorBidi"/>
          </w:rPr>
          <w:t>3.3.1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Definice produktového trhu</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_Toc440374065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12</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66" w:history="1">
        <w:r w:rsidR="00972080" w:rsidRPr="004673B0">
          <w:rPr>
            <w:rStyle w:val="Hypertextovodkaz"/>
            <w:rFonts w:asciiTheme="minorBidi" w:hAnsiTheme="minorBidi"/>
          </w:rPr>
          <w:t>3.3.2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Zastupitelnost na straně poptávky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_Toc440374066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13</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67" w:history="1">
        <w:r w:rsidR="00972080" w:rsidRPr="004673B0">
          <w:rPr>
            <w:rStyle w:val="Hypertextovodkaz"/>
            <w:rFonts w:asciiTheme="minorBidi" w:hAnsiTheme="minorBidi"/>
          </w:rPr>
          <w:t>3.3.3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Zastupitelnost na straně nabídky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_Toc440374067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16</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68" w:history="1">
        <w:r w:rsidR="00972080" w:rsidRPr="004673B0">
          <w:rPr>
            <w:rStyle w:val="Hypertextovodkaz"/>
            <w:rFonts w:asciiTheme="minorBidi" w:hAnsiTheme="minorBidi"/>
          </w:rPr>
          <w:t>3.3.4</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SSNIP test</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_Toc440374068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16</w:t>
        </w:r>
        <w:r w:rsidR="00972080" w:rsidRPr="004673B0">
          <w:rPr>
            <w:rFonts w:asciiTheme="minorBidi" w:hAnsi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69" w:history="1">
        <w:r w:rsidR="00972080" w:rsidRPr="004673B0">
          <w:rPr>
            <w:rStyle w:val="Hypertextovodkaz"/>
            <w:rFonts w:asciiTheme="minorBidi" w:hAnsiTheme="minorBidi" w:cstheme="minorBidi"/>
          </w:rPr>
          <w:t>3.4</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Územní vymezení</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_Toc440374069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18</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70" w:history="1">
        <w:r w:rsidR="00972080" w:rsidRPr="004673B0">
          <w:rPr>
            <w:rStyle w:val="Hypertextovodkaz"/>
            <w:rFonts w:asciiTheme="minorBidi" w:hAnsiTheme="minorBidi" w:cstheme="minorBidi"/>
          </w:rPr>
          <w:t>3.5</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Časové vymezení</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_Toc440374070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19</w:t>
        </w:r>
        <w:r w:rsidR="00972080" w:rsidRPr="004673B0">
          <w:rPr>
            <w:rFonts w:asciiTheme="minorBidi" w:hAnsiTheme="minorBidi" w:cstheme="minorBidi"/>
            <w:webHidden/>
          </w:rPr>
          <w:fldChar w:fldCharType="end"/>
        </w:r>
      </w:hyperlink>
    </w:p>
    <w:p w:rsidR="00972080" w:rsidRPr="004673B0" w:rsidRDefault="00974B66">
      <w:pPr>
        <w:pStyle w:val="Obsah1"/>
        <w:rPr>
          <w:rFonts w:asciiTheme="minorBidi" w:eastAsiaTheme="minorEastAsia" w:hAnsiTheme="minorBidi" w:cstheme="minorBidi"/>
          <w:bCs w:val="0"/>
          <w:i w:val="0"/>
          <w:lang w:eastAsia="cs-CZ" w:bidi="he-IL"/>
        </w:rPr>
      </w:pPr>
      <w:hyperlink w:anchor="_Toc440374071" w:history="1">
        <w:r w:rsidR="00972080" w:rsidRPr="004673B0">
          <w:rPr>
            <w:rStyle w:val="Hypertextovodkaz"/>
            <w:rFonts w:asciiTheme="minorBidi" w:hAnsiTheme="minorBidi" w:cstheme="minorBidi"/>
          </w:rPr>
          <w:t>4</w:t>
        </w:r>
        <w:r w:rsidR="00972080" w:rsidRPr="004673B0">
          <w:rPr>
            <w:rFonts w:asciiTheme="minorBidi" w:eastAsiaTheme="minorEastAsia" w:hAnsiTheme="minorBidi" w:cstheme="minorBidi"/>
            <w:bCs w:val="0"/>
            <w:i w:val="0"/>
            <w:lang w:eastAsia="cs-CZ" w:bidi="he-IL"/>
          </w:rPr>
          <w:tab/>
        </w:r>
        <w:r w:rsidR="00972080" w:rsidRPr="004673B0">
          <w:rPr>
            <w:rStyle w:val="Hypertextovodkaz"/>
            <w:rFonts w:asciiTheme="minorBidi" w:hAnsiTheme="minorBidi" w:cstheme="minorBidi"/>
          </w:rPr>
          <w:t>Stanovení relevantního trhu</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_Toc440374071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20</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72" w:history="1">
        <w:r w:rsidR="00972080" w:rsidRPr="004673B0">
          <w:rPr>
            <w:rStyle w:val="Hypertextovodkaz"/>
            <w:rFonts w:asciiTheme="minorBidi" w:hAnsiTheme="minorBidi" w:cstheme="minorBidi"/>
          </w:rPr>
          <w:t>4.1</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Úvod</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_Toc440374072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20</w:t>
        </w:r>
        <w:r w:rsidR="00972080" w:rsidRPr="004673B0">
          <w:rPr>
            <w:rFonts w:asciiTheme="minorBidi" w:hAnsiTheme="minorBidi" w:cs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73" w:history="1">
        <w:r w:rsidR="00972080" w:rsidRPr="004673B0">
          <w:rPr>
            <w:rStyle w:val="Hypertextovodkaz"/>
            <w:rFonts w:asciiTheme="minorBidi" w:hAnsiTheme="minorBidi"/>
          </w:rPr>
          <w:t>4.1.1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Test tří kritérií</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_Toc440374073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20</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74" w:history="1">
        <w:r w:rsidR="00972080" w:rsidRPr="004673B0">
          <w:rPr>
            <w:rStyle w:val="Hypertextovodkaz"/>
            <w:rFonts w:asciiTheme="minorBidi" w:hAnsiTheme="minorBidi"/>
          </w:rPr>
          <w:t>4.1.2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Trhy uvedené v Doporučení o relevantních trzích</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_Toc440374074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20</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75" w:history="1">
        <w:r w:rsidR="00972080" w:rsidRPr="004673B0">
          <w:rPr>
            <w:rStyle w:val="Hypertextovodkaz"/>
            <w:rFonts w:asciiTheme="minorBidi" w:hAnsiTheme="minorBidi"/>
          </w:rPr>
          <w:t>4.1.3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Trhy neuvedené v Doporučení o relevantních trzích</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_Toc440374075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21</w:t>
        </w:r>
        <w:r w:rsidR="00972080" w:rsidRPr="004673B0">
          <w:rPr>
            <w:rFonts w:asciiTheme="minorBidi" w:hAnsi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76" w:history="1">
        <w:r w:rsidR="00972080" w:rsidRPr="004673B0">
          <w:rPr>
            <w:rStyle w:val="Hypertextovodkaz"/>
            <w:rFonts w:asciiTheme="minorBidi" w:hAnsiTheme="minorBidi" w:cstheme="minorBidi"/>
          </w:rPr>
          <w:t>4.2</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Vyhodnocení jednotlivých kritérií testu tří kritérií</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_Toc440374076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21</w:t>
        </w:r>
        <w:r w:rsidR="00972080" w:rsidRPr="004673B0">
          <w:rPr>
            <w:rFonts w:asciiTheme="minorBidi" w:hAnsiTheme="minorBidi" w:cs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77" w:history="1">
        <w:r w:rsidR="00972080" w:rsidRPr="004673B0">
          <w:rPr>
            <w:rStyle w:val="Hypertextovodkaz"/>
            <w:rFonts w:asciiTheme="minorBidi" w:hAnsiTheme="minorBidi"/>
          </w:rPr>
          <w:t>4.2.1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Přítomnost velkých a trvalých překážek vstupu na trh</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_Toc440374077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21</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78" w:history="1">
        <w:r w:rsidR="00972080" w:rsidRPr="004673B0">
          <w:rPr>
            <w:rStyle w:val="Hypertextovodkaz"/>
            <w:rFonts w:asciiTheme="minorBidi" w:hAnsiTheme="minorBidi"/>
          </w:rPr>
          <w:t>4.2.2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Struktura trhu nesměřuje v příslušném časovém období k účinné hospodářské soutěži</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_Toc440374078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21</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79" w:history="1">
        <w:r w:rsidR="00972080" w:rsidRPr="004673B0">
          <w:rPr>
            <w:rStyle w:val="Hypertextovodkaz"/>
            <w:rFonts w:asciiTheme="minorBidi" w:hAnsiTheme="minorBidi"/>
          </w:rPr>
          <w:t>4.2.3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Právo hospodářské soutěže není samo o sobě dostatečné při řešení selhání soutěže na trhu</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_Toc440374079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22</w:t>
        </w:r>
        <w:r w:rsidR="00972080" w:rsidRPr="004673B0">
          <w:rPr>
            <w:rFonts w:asciiTheme="minorBidi" w:hAnsiTheme="minorBidi"/>
            <w:webHidden/>
          </w:rPr>
          <w:fldChar w:fldCharType="end"/>
        </w:r>
      </w:hyperlink>
    </w:p>
    <w:p w:rsidR="00972080" w:rsidRPr="004673B0" w:rsidRDefault="00974B66">
      <w:pPr>
        <w:pStyle w:val="Obsah1"/>
        <w:rPr>
          <w:rFonts w:asciiTheme="minorBidi" w:eastAsiaTheme="minorEastAsia" w:hAnsiTheme="minorBidi" w:cstheme="minorBidi"/>
          <w:bCs w:val="0"/>
          <w:i w:val="0"/>
          <w:lang w:eastAsia="cs-CZ" w:bidi="he-IL"/>
        </w:rPr>
      </w:pPr>
      <w:hyperlink w:anchor="_Toc440374080" w:history="1">
        <w:r w:rsidR="00972080" w:rsidRPr="004673B0">
          <w:rPr>
            <w:rStyle w:val="Hypertextovodkaz"/>
            <w:rFonts w:asciiTheme="minorBidi" w:hAnsiTheme="minorBidi" w:cstheme="minorBidi"/>
          </w:rPr>
          <w:t>5</w:t>
        </w:r>
        <w:r w:rsidR="00972080" w:rsidRPr="004673B0">
          <w:rPr>
            <w:rFonts w:asciiTheme="minorBidi" w:eastAsiaTheme="minorEastAsia" w:hAnsiTheme="minorBidi" w:cstheme="minorBidi"/>
            <w:bCs w:val="0"/>
            <w:i w:val="0"/>
            <w:lang w:eastAsia="cs-CZ" w:bidi="he-IL"/>
          </w:rPr>
          <w:tab/>
        </w:r>
        <w:r w:rsidR="00972080" w:rsidRPr="004673B0">
          <w:rPr>
            <w:rStyle w:val="Hypertextovodkaz"/>
            <w:rFonts w:asciiTheme="minorBidi" w:hAnsiTheme="minorBidi" w:cstheme="minorBidi"/>
          </w:rPr>
          <w:t>Analýza relevantního trhu</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_Toc440374080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22</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81" w:history="1">
        <w:r w:rsidR="00972080" w:rsidRPr="004673B0">
          <w:rPr>
            <w:rStyle w:val="Hypertextovodkaz"/>
            <w:rFonts w:asciiTheme="minorBidi" w:hAnsiTheme="minorBidi" w:cstheme="minorBidi"/>
          </w:rPr>
          <w:t>5.1</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Úvod a základní zásady</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_Toc440374081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22</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82" w:history="1">
        <w:r w:rsidR="00972080" w:rsidRPr="004673B0">
          <w:rPr>
            <w:rStyle w:val="Hypertextovodkaz"/>
            <w:rFonts w:asciiTheme="minorBidi" w:hAnsiTheme="minorBidi" w:cstheme="minorBidi"/>
          </w:rPr>
          <w:t>5.2</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Analýza podřazeného maloobchodního trhu při vymezení nadřazeného velkoobchodního trhu</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_Toc440374082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22</w:t>
        </w:r>
        <w:r w:rsidR="00972080" w:rsidRPr="004673B0">
          <w:rPr>
            <w:rFonts w:asciiTheme="minorBidi" w:hAnsiTheme="minorBidi" w:cstheme="minorBidi"/>
            <w:webHidden/>
          </w:rPr>
          <w:fldChar w:fldCharType="end"/>
        </w:r>
      </w:hyperlink>
    </w:p>
    <w:p w:rsidR="00972080" w:rsidRPr="004673B0" w:rsidRDefault="00974B66">
      <w:pPr>
        <w:pStyle w:val="Obsah1"/>
        <w:rPr>
          <w:rFonts w:asciiTheme="minorBidi" w:eastAsiaTheme="minorEastAsia" w:hAnsiTheme="minorBidi" w:cstheme="minorBidi"/>
          <w:bCs w:val="0"/>
          <w:i w:val="0"/>
          <w:lang w:eastAsia="cs-CZ" w:bidi="he-IL"/>
        </w:rPr>
      </w:pPr>
      <w:hyperlink w:anchor="_Toc440374083" w:history="1">
        <w:r w:rsidR="00972080" w:rsidRPr="004673B0">
          <w:rPr>
            <w:rStyle w:val="Hypertextovodkaz"/>
            <w:rFonts w:asciiTheme="minorBidi" w:hAnsiTheme="minorBidi" w:cstheme="minorBidi"/>
          </w:rPr>
          <w:t>6</w:t>
        </w:r>
        <w:r w:rsidR="00972080" w:rsidRPr="004673B0">
          <w:rPr>
            <w:rFonts w:asciiTheme="minorBidi" w:eastAsiaTheme="minorEastAsia" w:hAnsiTheme="minorBidi" w:cstheme="minorBidi"/>
            <w:bCs w:val="0"/>
            <w:i w:val="0"/>
            <w:lang w:eastAsia="cs-CZ" w:bidi="he-IL"/>
          </w:rPr>
          <w:tab/>
        </w:r>
        <w:r w:rsidR="00972080" w:rsidRPr="004673B0">
          <w:rPr>
            <w:rStyle w:val="Hypertextovodkaz"/>
            <w:rFonts w:asciiTheme="minorBidi" w:hAnsiTheme="minorBidi" w:cstheme="minorBidi"/>
          </w:rPr>
          <w:t>Stanovení podniku s významnou tržní silou</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_Toc440374083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23</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84" w:history="1">
        <w:r w:rsidR="00972080" w:rsidRPr="004673B0">
          <w:rPr>
            <w:rStyle w:val="Hypertextovodkaz"/>
            <w:rFonts w:asciiTheme="minorBidi" w:hAnsiTheme="minorBidi" w:cstheme="minorBidi"/>
          </w:rPr>
          <w:t>6.1</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Úvod a základní zásady</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_Toc440374084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23</w:t>
        </w:r>
        <w:r w:rsidR="00972080" w:rsidRPr="004673B0">
          <w:rPr>
            <w:rFonts w:asciiTheme="minorBidi" w:hAnsiTheme="minorBidi" w:cs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85" w:history="1">
        <w:r w:rsidR="00972080" w:rsidRPr="004673B0">
          <w:rPr>
            <w:rStyle w:val="Hypertextovodkaz"/>
            <w:rFonts w:asciiTheme="minorBidi" w:hAnsiTheme="minorBidi"/>
          </w:rPr>
          <w:t>6.1.1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Samostatná významná tržní síla</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_Toc440374085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24</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86" w:history="1">
        <w:r w:rsidR="00972080" w:rsidRPr="004673B0">
          <w:rPr>
            <w:rStyle w:val="Hypertextovodkaz"/>
            <w:rFonts w:asciiTheme="minorBidi" w:hAnsiTheme="minorBidi"/>
          </w:rPr>
          <w:t>6.1.2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Společná významná tržní síla</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_Toc440374086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24</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87" w:history="1">
        <w:r w:rsidR="00972080" w:rsidRPr="004673B0">
          <w:rPr>
            <w:rStyle w:val="Hypertextovodkaz"/>
            <w:rFonts w:asciiTheme="minorBidi" w:hAnsiTheme="minorBidi"/>
          </w:rPr>
          <w:t>6.1.3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Přenesená tržní síla</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_Toc440374087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26</w:t>
        </w:r>
        <w:r w:rsidR="00972080" w:rsidRPr="004673B0">
          <w:rPr>
            <w:rFonts w:asciiTheme="minorBidi" w:hAnsi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088" w:history="1">
        <w:r w:rsidR="00972080" w:rsidRPr="004673B0">
          <w:rPr>
            <w:rStyle w:val="Hypertextovodkaz"/>
            <w:rFonts w:asciiTheme="minorBidi" w:hAnsiTheme="minorBidi" w:cstheme="minorBidi"/>
          </w:rPr>
          <w:t>6.2</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Kritéria při posuzování významné tržní síly</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_Toc440374088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26</w:t>
        </w:r>
        <w:r w:rsidR="00972080" w:rsidRPr="004673B0">
          <w:rPr>
            <w:rFonts w:asciiTheme="minorBidi" w:hAnsiTheme="minorBidi" w:cs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89" w:history="1">
        <w:r w:rsidR="00972080" w:rsidRPr="004673B0">
          <w:rPr>
            <w:rStyle w:val="Hypertextovodkaz"/>
            <w:rFonts w:asciiTheme="minorBidi" w:hAnsiTheme="minorBidi"/>
          </w:rPr>
          <w:t>6.2.1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Jednotlivá kritéria vhodná k posuzování samostatné významné tržní síly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_Toc440374089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26</w:t>
        </w:r>
        <w:r w:rsidR="00972080" w:rsidRPr="004673B0">
          <w:rPr>
            <w:rFonts w:asciiTheme="minorBidi" w:hAnsiTheme="minorBidi"/>
            <w:webHidden/>
          </w:rPr>
          <w:fldChar w:fldCharType="end"/>
        </w:r>
      </w:hyperlink>
    </w:p>
    <w:p w:rsidR="00972080" w:rsidRPr="004673B0" w:rsidRDefault="00974B66">
      <w:pPr>
        <w:pStyle w:val="Obsah4"/>
        <w:rPr>
          <w:rFonts w:asciiTheme="minorBidi" w:eastAsiaTheme="minorEastAsia" w:hAnsiTheme="minorBidi"/>
          <w:lang w:eastAsia="cs-CZ" w:bidi="he-IL"/>
        </w:rPr>
      </w:pPr>
      <w:hyperlink w:anchor="_Toc440374090" w:history="1">
        <w:r w:rsidR="00972080" w:rsidRPr="004673B0">
          <w:rPr>
            <w:rStyle w:val="Hypertextovodkaz"/>
            <w:rFonts w:asciiTheme="minorBidi" w:hAnsiTheme="minorBidi"/>
          </w:rPr>
          <w:t>6.2.1.3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Kritéria týkající se zákazníků</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_Toc440374090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30</w:t>
        </w:r>
        <w:r w:rsidR="00972080" w:rsidRPr="004673B0">
          <w:rPr>
            <w:rFonts w:asciiTheme="minorBidi" w:hAnsiTheme="minorBidi"/>
            <w:webHidden/>
          </w:rPr>
          <w:fldChar w:fldCharType="end"/>
        </w:r>
      </w:hyperlink>
    </w:p>
    <w:p w:rsidR="00972080" w:rsidRPr="004673B0" w:rsidRDefault="00974B66">
      <w:pPr>
        <w:pStyle w:val="Obsah4"/>
        <w:rPr>
          <w:rFonts w:asciiTheme="minorBidi" w:eastAsiaTheme="minorEastAsia" w:hAnsiTheme="minorBidi"/>
          <w:lang w:eastAsia="cs-CZ" w:bidi="he-IL"/>
        </w:rPr>
      </w:pPr>
      <w:hyperlink w:anchor="_Toc440374091" w:history="1">
        <w:r w:rsidR="00972080" w:rsidRPr="004673B0">
          <w:rPr>
            <w:rStyle w:val="Hypertextovodkaz"/>
            <w:rFonts w:asciiTheme="minorBidi" w:hAnsiTheme="minorBidi"/>
          </w:rPr>
          <w:t>6.2.1.4</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Kritéria týkající se konkurence na relevantním trhu</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_Toc440374091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31</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92" w:history="1">
        <w:r w:rsidR="00972080" w:rsidRPr="004673B0">
          <w:rPr>
            <w:rStyle w:val="Hypertextovodkaz"/>
            <w:rFonts w:asciiTheme="minorBidi" w:hAnsiTheme="minorBidi"/>
          </w:rPr>
          <w:t>6.2.2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Jednotlivá kritéria vhodná k posouzení společné významné tržní síly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_Toc440374092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32</w:t>
        </w:r>
        <w:r w:rsidR="00972080" w:rsidRPr="004673B0">
          <w:rPr>
            <w:rFonts w:asciiTheme="minorBidi" w:hAnsiTheme="minorBidi"/>
            <w:webHidden/>
          </w:rPr>
          <w:fldChar w:fldCharType="end"/>
        </w:r>
      </w:hyperlink>
    </w:p>
    <w:p w:rsidR="00972080" w:rsidRPr="004673B0" w:rsidRDefault="00974B66">
      <w:pPr>
        <w:pStyle w:val="Obsah4"/>
        <w:rPr>
          <w:rFonts w:asciiTheme="minorBidi" w:eastAsiaTheme="minorEastAsia" w:hAnsiTheme="minorBidi"/>
          <w:lang w:eastAsia="cs-CZ" w:bidi="he-IL"/>
        </w:rPr>
      </w:pPr>
      <w:hyperlink w:anchor="_Toc440374093" w:history="1">
        <w:r w:rsidR="00972080" w:rsidRPr="004673B0">
          <w:rPr>
            <w:rStyle w:val="Hypertextovodkaz"/>
            <w:rFonts w:asciiTheme="minorBidi" w:hAnsiTheme="minorBidi"/>
          </w:rPr>
          <w:t>6.2.2.1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Vztah mezi kritérii pro posouzení samostatné a společné tržní síly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_Toc440374093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32</w:t>
        </w:r>
        <w:r w:rsidR="00972080" w:rsidRPr="004673B0">
          <w:rPr>
            <w:rFonts w:asciiTheme="minorBidi" w:hAnsiTheme="minorBidi"/>
            <w:webHidden/>
          </w:rPr>
          <w:fldChar w:fldCharType="end"/>
        </w:r>
      </w:hyperlink>
    </w:p>
    <w:p w:rsidR="00972080" w:rsidRPr="004673B0" w:rsidRDefault="00974B66">
      <w:pPr>
        <w:pStyle w:val="Obsah4"/>
        <w:rPr>
          <w:rFonts w:asciiTheme="minorBidi" w:eastAsiaTheme="minorEastAsia" w:hAnsiTheme="minorBidi"/>
          <w:lang w:eastAsia="cs-CZ" w:bidi="he-IL"/>
        </w:rPr>
      </w:pPr>
      <w:hyperlink w:anchor="_Toc440374094" w:history="1">
        <w:r w:rsidR="00972080" w:rsidRPr="004673B0">
          <w:rPr>
            <w:rStyle w:val="Hypertextovodkaz"/>
            <w:rFonts w:asciiTheme="minorBidi" w:hAnsiTheme="minorBidi"/>
            <w:i/>
          </w:rPr>
          <w:t>6.2.2.2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 xml:space="preserve">Kritéria vyplývající z rozhodnutí SDEU ve věci </w:t>
        </w:r>
        <w:r w:rsidR="00972080" w:rsidRPr="004673B0">
          <w:rPr>
            <w:rStyle w:val="Hypertextovodkaz"/>
            <w:rFonts w:asciiTheme="minorBidi" w:hAnsiTheme="minorBidi"/>
            <w:i/>
          </w:rPr>
          <w:t xml:space="preserve">Airtours - </w:t>
        </w:r>
        <w:r w:rsidR="00972080" w:rsidRPr="004673B0">
          <w:rPr>
            <w:rStyle w:val="Hypertextovodkaz"/>
            <w:rFonts w:asciiTheme="minorBidi" w:hAnsiTheme="minorBidi"/>
          </w:rPr>
          <w:t>obecně</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_Toc440374094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32</w:t>
        </w:r>
        <w:r w:rsidR="00972080" w:rsidRPr="004673B0">
          <w:rPr>
            <w:rFonts w:asciiTheme="minorBidi" w:hAnsiTheme="minorBidi"/>
            <w:webHidden/>
          </w:rPr>
          <w:fldChar w:fldCharType="end"/>
        </w:r>
      </w:hyperlink>
    </w:p>
    <w:p w:rsidR="00972080" w:rsidRPr="004673B0" w:rsidRDefault="00974B66">
      <w:pPr>
        <w:pStyle w:val="Obsah4"/>
        <w:rPr>
          <w:rFonts w:asciiTheme="minorBidi" w:eastAsiaTheme="minorEastAsia" w:hAnsiTheme="minorBidi"/>
          <w:lang w:eastAsia="cs-CZ" w:bidi="he-IL"/>
        </w:rPr>
      </w:pPr>
      <w:hyperlink w:anchor="_Toc440374095" w:history="1">
        <w:r w:rsidR="00972080" w:rsidRPr="004673B0">
          <w:rPr>
            <w:rStyle w:val="Hypertextovodkaz"/>
            <w:rFonts w:asciiTheme="minorBidi" w:hAnsiTheme="minorBidi"/>
          </w:rPr>
          <w:t>6.2.2.3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i/>
          </w:rPr>
          <w:t>Airtours</w:t>
        </w:r>
        <w:r w:rsidR="00972080" w:rsidRPr="004673B0">
          <w:rPr>
            <w:rStyle w:val="Hypertextovodkaz"/>
            <w:rFonts w:asciiTheme="minorBidi" w:hAnsiTheme="minorBidi"/>
          </w:rPr>
          <w:t xml:space="preserve"> kritéria – jednotlivě</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_Toc440374095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32</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96" w:history="1">
        <w:r w:rsidR="00972080" w:rsidRPr="004673B0">
          <w:rPr>
            <w:rStyle w:val="Hypertextovodkaz"/>
            <w:rFonts w:asciiTheme="minorBidi" w:hAnsiTheme="minorBidi"/>
          </w:rPr>
          <w:t>6.2.3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Důkazní břemeno ve věci prokazování společné významné tržní síly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_Toc440374096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36</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97" w:history="1">
        <w:r w:rsidR="00972080" w:rsidRPr="004673B0">
          <w:rPr>
            <w:rStyle w:val="Hypertextovodkaz"/>
            <w:rFonts w:asciiTheme="minorBidi" w:hAnsiTheme="minorBidi"/>
          </w:rPr>
          <w:t>6.2.4</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Kritéria vyplývající z Vyhlášky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_Toc440374097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36</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098" w:history="1">
        <w:r w:rsidR="00972080" w:rsidRPr="004673B0">
          <w:rPr>
            <w:rStyle w:val="Hypertextovodkaz"/>
            <w:rFonts w:asciiTheme="minorBidi" w:hAnsiTheme="minorBidi"/>
          </w:rPr>
          <w:t>6.2.6</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Další kritéria</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_Toc440374098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38</w:t>
        </w:r>
        <w:r w:rsidR="00972080" w:rsidRPr="004673B0">
          <w:rPr>
            <w:rFonts w:asciiTheme="minorBidi" w:hAnsiTheme="minorBidi"/>
            <w:webHidden/>
          </w:rPr>
          <w:fldChar w:fldCharType="end"/>
        </w:r>
      </w:hyperlink>
    </w:p>
    <w:p w:rsidR="00972080" w:rsidRPr="004673B0" w:rsidRDefault="00974B66">
      <w:pPr>
        <w:pStyle w:val="Obsah1"/>
        <w:rPr>
          <w:rFonts w:asciiTheme="minorBidi" w:eastAsiaTheme="minorEastAsia" w:hAnsiTheme="minorBidi" w:cstheme="minorBidi"/>
          <w:bCs w:val="0"/>
          <w:i w:val="0"/>
          <w:lang w:eastAsia="cs-CZ" w:bidi="he-IL"/>
        </w:rPr>
      </w:pPr>
      <w:hyperlink w:anchor="_Toc440374099" w:history="1">
        <w:r w:rsidR="00972080" w:rsidRPr="004673B0">
          <w:rPr>
            <w:rStyle w:val="Hypertextovodkaz"/>
            <w:rFonts w:asciiTheme="minorBidi" w:hAnsiTheme="minorBidi" w:cstheme="minorBidi"/>
          </w:rPr>
          <w:t>7</w:t>
        </w:r>
        <w:r w:rsidR="00972080" w:rsidRPr="004673B0">
          <w:rPr>
            <w:rFonts w:asciiTheme="minorBidi" w:eastAsiaTheme="minorEastAsia" w:hAnsiTheme="minorBidi" w:cstheme="minorBidi"/>
            <w:bCs w:val="0"/>
            <w:i w:val="0"/>
            <w:lang w:eastAsia="cs-CZ" w:bidi="he-IL"/>
          </w:rPr>
          <w:tab/>
        </w:r>
        <w:r w:rsidR="00972080" w:rsidRPr="004673B0">
          <w:rPr>
            <w:rStyle w:val="Hypertextovodkaz"/>
            <w:rFonts w:asciiTheme="minorBidi" w:hAnsiTheme="minorBidi" w:cstheme="minorBidi"/>
          </w:rPr>
          <w:t>Identifikace potenciálních soutěžních problémů a určení nápravných opatření</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_Toc440374099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38</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100" w:history="1">
        <w:r w:rsidR="00972080" w:rsidRPr="004673B0">
          <w:rPr>
            <w:rStyle w:val="Hypertextovodkaz"/>
            <w:rFonts w:asciiTheme="minorBidi" w:hAnsiTheme="minorBidi" w:cstheme="minorBidi"/>
          </w:rPr>
          <w:t>7.1</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Identifikace potenciálních soutěžních problémů</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_Toc440374100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38</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Bidi" w:eastAsiaTheme="minorEastAsia" w:hAnsiTheme="minorBidi" w:cstheme="minorBidi"/>
          <w:iCs w:val="0"/>
          <w:lang w:eastAsia="cs-CZ" w:bidi="he-IL"/>
        </w:rPr>
      </w:pPr>
      <w:hyperlink w:anchor="_Toc440374101" w:history="1">
        <w:r w:rsidR="00972080" w:rsidRPr="004673B0">
          <w:rPr>
            <w:rStyle w:val="Hypertextovodkaz"/>
            <w:rFonts w:asciiTheme="minorBidi" w:hAnsiTheme="minorBidi" w:cstheme="minorBidi"/>
          </w:rPr>
          <w:t>7.2</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Postup při návrhu nápravných opatření</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_Toc440374101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40</w:t>
        </w:r>
        <w:r w:rsidR="00972080" w:rsidRPr="004673B0">
          <w:rPr>
            <w:rFonts w:asciiTheme="minorBidi" w:hAnsiTheme="minorBidi" w:cs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102" w:history="1">
        <w:r w:rsidR="00972080" w:rsidRPr="004673B0">
          <w:rPr>
            <w:rStyle w:val="Hypertextovodkaz"/>
            <w:rFonts w:asciiTheme="minorBidi" w:hAnsiTheme="minorBidi"/>
          </w:rPr>
          <w:t>7.2.1</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Návrh a uložení nápravných opatření</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_Toc440374102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41</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103" w:history="1">
        <w:r w:rsidR="00972080" w:rsidRPr="004673B0">
          <w:rPr>
            <w:rStyle w:val="Hypertextovodkaz"/>
            <w:rFonts w:asciiTheme="minorBidi" w:hAnsiTheme="minorBidi"/>
          </w:rPr>
          <w:t>7.2.2</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Zásada přiměřenosti</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_Toc440374103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41</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104" w:history="1">
        <w:r w:rsidR="00972080" w:rsidRPr="004673B0">
          <w:rPr>
            <w:rStyle w:val="Hypertextovodkaz"/>
            <w:rFonts w:asciiTheme="minorBidi" w:hAnsiTheme="minorBidi"/>
          </w:rPr>
          <w:t>7.2.3</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Nápravná opatření uvedená v Zákoně</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_Toc440374104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41</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105" w:history="1">
        <w:r w:rsidR="00972080" w:rsidRPr="004673B0">
          <w:rPr>
            <w:rStyle w:val="Hypertextovodkaz"/>
            <w:rFonts w:asciiTheme="minorBidi" w:hAnsiTheme="minorBidi"/>
          </w:rPr>
          <w:t>7.2.4</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Nápravná opatření neuvedená v Zákoně</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_Toc440374105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42</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106" w:history="1">
        <w:r w:rsidR="00972080" w:rsidRPr="004673B0">
          <w:rPr>
            <w:rStyle w:val="Hypertextovodkaz"/>
            <w:rFonts w:asciiTheme="minorBidi" w:hAnsiTheme="minorBidi"/>
          </w:rPr>
          <w:t>7.2.5</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Další zásady navrhování nápravných opatření</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_Toc440374106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42</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107" w:history="1">
        <w:r w:rsidR="00972080" w:rsidRPr="004673B0">
          <w:rPr>
            <w:rStyle w:val="Hypertextovodkaz"/>
            <w:rFonts w:asciiTheme="minorBidi" w:hAnsiTheme="minorBidi"/>
          </w:rPr>
          <w:t>7.2.6</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Nápravná opatření specifická pro maloobchodní relevantní trhy</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_Toc440374107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42</w:t>
        </w:r>
        <w:r w:rsidR="00972080" w:rsidRPr="004673B0">
          <w:rPr>
            <w:rFonts w:asciiTheme="minorBidi" w:hAnsiTheme="minorBidi"/>
            <w:webHidden/>
          </w:rPr>
          <w:fldChar w:fldCharType="end"/>
        </w:r>
      </w:hyperlink>
    </w:p>
    <w:p w:rsidR="00972080" w:rsidRPr="004673B0" w:rsidRDefault="00974B66">
      <w:pPr>
        <w:pStyle w:val="Obsah3"/>
        <w:rPr>
          <w:rFonts w:asciiTheme="minorBidi" w:eastAsiaTheme="minorEastAsia" w:hAnsiTheme="minorBidi"/>
          <w:lang w:eastAsia="cs-CZ" w:bidi="he-IL"/>
        </w:rPr>
      </w:pPr>
      <w:hyperlink w:anchor="_Toc440374108" w:history="1">
        <w:r w:rsidR="00972080" w:rsidRPr="004673B0">
          <w:rPr>
            <w:rStyle w:val="Hypertextovodkaz"/>
            <w:rFonts w:asciiTheme="minorBidi" w:hAnsiTheme="minorBidi"/>
          </w:rPr>
          <w:t>7.2.7</w:t>
        </w:r>
        <w:r w:rsidR="00972080" w:rsidRPr="004673B0">
          <w:rPr>
            <w:rFonts w:asciiTheme="minorBidi" w:eastAsiaTheme="minorEastAsia" w:hAnsiTheme="minorBidi"/>
            <w:lang w:eastAsia="cs-CZ" w:bidi="he-IL"/>
          </w:rPr>
          <w:tab/>
        </w:r>
        <w:r w:rsidR="00972080" w:rsidRPr="004673B0">
          <w:rPr>
            <w:rStyle w:val="Hypertextovodkaz"/>
            <w:rFonts w:asciiTheme="minorBidi" w:hAnsiTheme="minorBidi"/>
          </w:rPr>
          <w:t>Přiřazení nápravných opatření k identifikovanému potenciálnímu soutěžnímu problému</w:t>
        </w:r>
        <w:r w:rsidR="00972080" w:rsidRPr="004673B0">
          <w:rPr>
            <w:rFonts w:asciiTheme="minorBidi" w:hAnsiTheme="minorBidi"/>
            <w:webHidden/>
          </w:rPr>
          <w:tab/>
        </w:r>
        <w:r w:rsidR="00972080" w:rsidRPr="004673B0">
          <w:rPr>
            <w:rFonts w:asciiTheme="minorBidi" w:hAnsiTheme="minorBidi"/>
            <w:webHidden/>
          </w:rPr>
          <w:fldChar w:fldCharType="begin"/>
        </w:r>
        <w:r w:rsidR="00972080" w:rsidRPr="004673B0">
          <w:rPr>
            <w:rFonts w:asciiTheme="minorBidi" w:hAnsiTheme="minorBidi"/>
            <w:webHidden/>
          </w:rPr>
          <w:instrText xml:space="preserve"> PAGEREF _Toc440374108 \h </w:instrText>
        </w:r>
        <w:r w:rsidR="00972080" w:rsidRPr="004673B0">
          <w:rPr>
            <w:rFonts w:asciiTheme="minorBidi" w:hAnsiTheme="minorBidi"/>
            <w:webHidden/>
          </w:rPr>
        </w:r>
        <w:r w:rsidR="00972080" w:rsidRPr="004673B0">
          <w:rPr>
            <w:rFonts w:asciiTheme="minorBidi" w:hAnsiTheme="minorBidi"/>
            <w:webHidden/>
          </w:rPr>
          <w:fldChar w:fldCharType="separate"/>
        </w:r>
        <w:r w:rsidR="00067C1B">
          <w:rPr>
            <w:rFonts w:asciiTheme="minorBidi" w:hAnsiTheme="minorBidi"/>
            <w:webHidden/>
          </w:rPr>
          <w:t>43</w:t>
        </w:r>
        <w:r w:rsidR="00972080" w:rsidRPr="004673B0">
          <w:rPr>
            <w:rFonts w:asciiTheme="minorBidi" w:hAnsiTheme="minorBidi"/>
            <w:webHidden/>
          </w:rPr>
          <w:fldChar w:fldCharType="end"/>
        </w:r>
      </w:hyperlink>
    </w:p>
    <w:p w:rsidR="00972080" w:rsidRPr="004673B0" w:rsidRDefault="00974B66">
      <w:pPr>
        <w:pStyle w:val="Obsah1"/>
        <w:rPr>
          <w:rFonts w:asciiTheme="minorBidi" w:eastAsiaTheme="minorEastAsia" w:hAnsiTheme="minorBidi" w:cstheme="minorBidi"/>
          <w:bCs w:val="0"/>
          <w:i w:val="0"/>
          <w:lang w:eastAsia="cs-CZ" w:bidi="he-IL"/>
        </w:rPr>
      </w:pPr>
      <w:hyperlink w:anchor="_Toc440374109" w:history="1">
        <w:r w:rsidR="00972080" w:rsidRPr="004673B0">
          <w:rPr>
            <w:rStyle w:val="Hypertextovodkaz"/>
            <w:rFonts w:asciiTheme="minorBidi" w:hAnsiTheme="minorBidi" w:cstheme="minorBidi"/>
          </w:rPr>
          <w:t>8</w:t>
        </w:r>
        <w:r w:rsidR="00972080" w:rsidRPr="004673B0">
          <w:rPr>
            <w:rFonts w:asciiTheme="minorBidi" w:eastAsiaTheme="minorEastAsia" w:hAnsiTheme="minorBidi" w:cstheme="minorBidi"/>
            <w:bCs w:val="0"/>
            <w:i w:val="0"/>
            <w:lang w:eastAsia="cs-CZ" w:bidi="he-IL"/>
          </w:rPr>
          <w:tab/>
        </w:r>
        <w:r w:rsidR="00972080" w:rsidRPr="004673B0">
          <w:rPr>
            <w:rStyle w:val="Hypertextovodkaz"/>
            <w:rFonts w:asciiTheme="minorBidi" w:hAnsiTheme="minorBidi" w:cstheme="minorBidi"/>
          </w:rPr>
          <w:t>Vyhodnocení účinnosti nápravných opatření</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_Toc440374109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45</w:t>
        </w:r>
        <w:r w:rsidR="00972080" w:rsidRPr="004673B0">
          <w:rPr>
            <w:rFonts w:asciiTheme="minorBidi" w:hAnsiTheme="minorBidi" w:cstheme="minorBidi"/>
            <w:webHidden/>
          </w:rPr>
          <w:fldChar w:fldCharType="end"/>
        </w:r>
      </w:hyperlink>
    </w:p>
    <w:p w:rsidR="00972080" w:rsidRPr="004673B0" w:rsidRDefault="00974B66">
      <w:pPr>
        <w:pStyle w:val="Obsah2"/>
        <w:rPr>
          <w:rFonts w:asciiTheme="minorHAnsi" w:eastAsiaTheme="minorEastAsia" w:hAnsiTheme="minorHAnsi" w:cstheme="minorBidi"/>
          <w:iCs w:val="0"/>
          <w:sz w:val="22"/>
          <w:szCs w:val="22"/>
          <w:lang w:eastAsia="cs-CZ" w:bidi="he-IL"/>
        </w:rPr>
      </w:pPr>
      <w:hyperlink w:anchor="_Toc440374110" w:history="1">
        <w:r w:rsidR="00972080" w:rsidRPr="004673B0">
          <w:rPr>
            <w:rStyle w:val="Hypertextovodkaz"/>
            <w:rFonts w:asciiTheme="minorBidi" w:hAnsiTheme="minorBidi" w:cstheme="minorBidi"/>
          </w:rPr>
          <w:t>8.1</w:t>
        </w:r>
        <w:r w:rsidR="00972080" w:rsidRPr="004673B0">
          <w:rPr>
            <w:rFonts w:asciiTheme="minorBidi" w:eastAsiaTheme="minorEastAsia" w:hAnsiTheme="minorBidi" w:cstheme="minorBidi"/>
            <w:iCs w:val="0"/>
            <w:lang w:eastAsia="cs-CZ" w:bidi="he-IL"/>
          </w:rPr>
          <w:tab/>
        </w:r>
        <w:r w:rsidR="00972080" w:rsidRPr="004673B0">
          <w:rPr>
            <w:rStyle w:val="Hypertextovodkaz"/>
            <w:rFonts w:asciiTheme="minorBidi" w:hAnsiTheme="minorBidi" w:cstheme="minorBidi"/>
          </w:rPr>
          <w:t>Úvod a časové období, za které Úřad vyhodnocuje účinnost nápravných opatření</w:t>
        </w:r>
        <w:r w:rsidR="00972080" w:rsidRPr="004673B0">
          <w:rPr>
            <w:rFonts w:asciiTheme="minorBidi" w:hAnsiTheme="minorBidi" w:cstheme="minorBidi"/>
            <w:webHidden/>
          </w:rPr>
          <w:tab/>
        </w:r>
        <w:r w:rsidR="00972080" w:rsidRPr="004673B0">
          <w:rPr>
            <w:rFonts w:asciiTheme="minorBidi" w:hAnsiTheme="minorBidi" w:cstheme="minorBidi"/>
            <w:webHidden/>
          </w:rPr>
          <w:fldChar w:fldCharType="begin"/>
        </w:r>
        <w:r w:rsidR="00972080" w:rsidRPr="004673B0">
          <w:rPr>
            <w:rFonts w:asciiTheme="minorBidi" w:hAnsiTheme="minorBidi" w:cstheme="minorBidi"/>
            <w:webHidden/>
          </w:rPr>
          <w:instrText xml:space="preserve"> PAGEREF _Toc440374110 \h </w:instrText>
        </w:r>
        <w:r w:rsidR="00972080" w:rsidRPr="004673B0">
          <w:rPr>
            <w:rFonts w:asciiTheme="minorBidi" w:hAnsiTheme="minorBidi" w:cstheme="minorBidi"/>
            <w:webHidden/>
          </w:rPr>
        </w:r>
        <w:r w:rsidR="00972080" w:rsidRPr="004673B0">
          <w:rPr>
            <w:rFonts w:asciiTheme="minorBidi" w:hAnsiTheme="minorBidi" w:cstheme="minorBidi"/>
            <w:webHidden/>
          </w:rPr>
          <w:fldChar w:fldCharType="separate"/>
        </w:r>
        <w:r w:rsidR="00067C1B">
          <w:rPr>
            <w:rFonts w:asciiTheme="minorBidi" w:hAnsiTheme="minorBidi" w:cstheme="minorBidi"/>
            <w:webHidden/>
          </w:rPr>
          <w:t>45</w:t>
        </w:r>
        <w:r w:rsidR="00972080" w:rsidRPr="004673B0">
          <w:rPr>
            <w:rFonts w:asciiTheme="minorBidi" w:hAnsiTheme="minorBidi" w:cstheme="minorBidi"/>
            <w:webHidden/>
          </w:rPr>
          <w:fldChar w:fldCharType="end"/>
        </w:r>
      </w:hyperlink>
    </w:p>
    <w:p w:rsidR="001B3BED" w:rsidRPr="004673B0" w:rsidRDefault="00CB16F5" w:rsidP="001B3BED">
      <w:pPr>
        <w:rPr>
          <w:rFonts w:cs="Arial"/>
          <w:szCs w:val="20"/>
        </w:rPr>
      </w:pPr>
      <w:r w:rsidRPr="004673B0">
        <w:rPr>
          <w:rFonts w:cs="Arial"/>
          <w:b/>
          <w:bCs/>
          <w:szCs w:val="20"/>
        </w:rPr>
        <w:fldChar w:fldCharType="end"/>
      </w:r>
    </w:p>
    <w:p w:rsidR="001B3BED" w:rsidRPr="004673B0" w:rsidRDefault="001B3BED" w:rsidP="001B3BED">
      <w:pPr>
        <w:tabs>
          <w:tab w:val="left" w:pos="5126"/>
        </w:tabs>
        <w:rPr>
          <w:rFonts w:cs="Arial"/>
          <w:sz w:val="24"/>
          <w:szCs w:val="24"/>
        </w:rPr>
      </w:pPr>
      <w:r w:rsidRPr="004673B0">
        <w:rPr>
          <w:rFonts w:cs="Arial"/>
          <w:sz w:val="24"/>
          <w:szCs w:val="24"/>
        </w:rPr>
        <w:tab/>
      </w:r>
    </w:p>
    <w:p w:rsidR="001B3BED" w:rsidRPr="004673B0" w:rsidRDefault="001B3BED" w:rsidP="001B3BED">
      <w:pPr>
        <w:rPr>
          <w:rFonts w:cs="Arial"/>
          <w:sz w:val="24"/>
          <w:szCs w:val="24"/>
        </w:rPr>
      </w:pPr>
    </w:p>
    <w:p w:rsidR="006868A3" w:rsidRPr="004673B0" w:rsidRDefault="006868A3" w:rsidP="001B3BED">
      <w:pPr>
        <w:rPr>
          <w:rFonts w:cs="Arial"/>
          <w:sz w:val="24"/>
          <w:szCs w:val="24"/>
        </w:rPr>
        <w:sectPr w:rsidR="006868A3" w:rsidRPr="004673B0" w:rsidSect="00A2552A">
          <w:footerReference w:type="default" r:id="rId10"/>
          <w:pgSz w:w="11906" w:h="16838" w:code="9"/>
          <w:pgMar w:top="1417" w:right="1417" w:bottom="1417" w:left="1417" w:header="624" w:footer="708" w:gutter="0"/>
          <w:cols w:space="708"/>
          <w:docGrid w:linePitch="360"/>
        </w:sectPr>
      </w:pPr>
    </w:p>
    <w:p w:rsidR="00E32726" w:rsidRPr="004673B0" w:rsidRDefault="00E32726" w:rsidP="004035B4">
      <w:pPr>
        <w:pStyle w:val="N1"/>
      </w:pPr>
      <w:bookmarkStart w:id="5" w:name="_Toc440374052"/>
      <w:bookmarkStart w:id="6" w:name="_Toc423356103"/>
      <w:bookmarkStart w:id="7" w:name="_Toc423360981"/>
      <w:r w:rsidRPr="004673B0">
        <w:t>Definice</w:t>
      </w:r>
      <w:bookmarkEnd w:id="5"/>
    </w:p>
    <w:p w:rsidR="00E32726" w:rsidRPr="004673B0" w:rsidRDefault="00E32726" w:rsidP="00E32726">
      <w:r w:rsidRPr="004673B0">
        <w:t>Není-li v této Metodice uvedeno jinak, mají definovaná slova a spojení vyskytující se v této Metodice</w:t>
      </w:r>
      <w:r w:rsidR="00F52D3B" w:rsidRPr="004673B0">
        <w:t xml:space="preserve"> </w:t>
      </w:r>
      <w:r w:rsidRPr="004673B0">
        <w:t>dále uvedený význam</w:t>
      </w:r>
      <w:r w:rsidR="007B23A0" w:rsidRPr="004673B0">
        <w:t>:</w:t>
      </w:r>
      <w:r w:rsidR="00F96BB8" w:rsidRPr="004673B0">
        <w:rPr>
          <w:rStyle w:val="Znakapoznpodarou"/>
        </w:rPr>
        <w:footnoteReference w:id="2"/>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33"/>
      </w:tblGrid>
      <w:tr w:rsidR="00E32726" w:rsidRPr="004673B0" w:rsidTr="000D084C">
        <w:tc>
          <w:tcPr>
            <w:tcW w:w="4529" w:type="dxa"/>
          </w:tcPr>
          <w:p w:rsidR="00E32726" w:rsidRPr="004673B0" w:rsidRDefault="000D084C" w:rsidP="00E32726">
            <w:pPr>
              <w:rPr>
                <w:b/>
                <w:bCs/>
              </w:rPr>
            </w:pPr>
            <w:r w:rsidRPr="004673B0">
              <w:rPr>
                <w:b/>
                <w:bCs/>
              </w:rPr>
              <w:t>„</w:t>
            </w:r>
            <w:r w:rsidR="00E32726" w:rsidRPr="004673B0">
              <w:rPr>
                <w:b/>
                <w:bCs/>
              </w:rPr>
              <w:t>Metodika</w:t>
            </w:r>
            <w:r w:rsidRPr="004673B0">
              <w:rPr>
                <w:b/>
                <w:bCs/>
              </w:rPr>
              <w:t>“</w:t>
            </w:r>
          </w:p>
        </w:tc>
        <w:tc>
          <w:tcPr>
            <w:tcW w:w="4533" w:type="dxa"/>
          </w:tcPr>
          <w:p w:rsidR="00E32726" w:rsidRPr="004673B0" w:rsidRDefault="00E32726" w:rsidP="00E32726">
            <w:r w:rsidRPr="004673B0">
              <w:t>znamená tato metodika analýz relevantních trhů</w:t>
            </w:r>
            <w:r w:rsidR="00CB20DD">
              <w:t>;</w:t>
            </w:r>
          </w:p>
        </w:tc>
      </w:tr>
      <w:tr w:rsidR="00E32726" w:rsidRPr="004673B0" w:rsidTr="000D084C">
        <w:tc>
          <w:tcPr>
            <w:tcW w:w="4529" w:type="dxa"/>
          </w:tcPr>
          <w:p w:rsidR="00E32726" w:rsidRPr="004673B0" w:rsidRDefault="000D084C" w:rsidP="00E32726">
            <w:pPr>
              <w:rPr>
                <w:b/>
                <w:bCs/>
              </w:rPr>
            </w:pPr>
            <w:r w:rsidRPr="004673B0">
              <w:rPr>
                <w:b/>
                <w:bCs/>
              </w:rPr>
              <w:t>„</w:t>
            </w:r>
            <w:r w:rsidR="00E32726" w:rsidRPr="004673B0">
              <w:rPr>
                <w:b/>
                <w:bCs/>
              </w:rPr>
              <w:t>Úřad</w:t>
            </w:r>
            <w:r w:rsidRPr="004673B0">
              <w:rPr>
                <w:b/>
                <w:bCs/>
              </w:rPr>
              <w:t>“</w:t>
            </w:r>
          </w:p>
        </w:tc>
        <w:tc>
          <w:tcPr>
            <w:tcW w:w="4533" w:type="dxa"/>
          </w:tcPr>
          <w:p w:rsidR="00E32726" w:rsidRPr="004673B0" w:rsidRDefault="00E32726" w:rsidP="00E32726">
            <w:r w:rsidRPr="004673B0">
              <w:t>znamená Český telekomunikační úřad</w:t>
            </w:r>
            <w:r w:rsidR="00CB20DD">
              <w:t>;</w:t>
            </w:r>
          </w:p>
        </w:tc>
      </w:tr>
      <w:tr w:rsidR="00E32726" w:rsidRPr="004673B0" w:rsidTr="000D084C">
        <w:tc>
          <w:tcPr>
            <w:tcW w:w="4529" w:type="dxa"/>
          </w:tcPr>
          <w:p w:rsidR="00E32726" w:rsidRPr="004673B0" w:rsidRDefault="000D084C" w:rsidP="00E32726">
            <w:pPr>
              <w:rPr>
                <w:b/>
                <w:bCs/>
              </w:rPr>
            </w:pPr>
            <w:r w:rsidRPr="004673B0">
              <w:rPr>
                <w:b/>
                <w:bCs/>
              </w:rPr>
              <w:t>„</w:t>
            </w:r>
            <w:r w:rsidR="00E32726" w:rsidRPr="004673B0">
              <w:rPr>
                <w:b/>
                <w:bCs/>
              </w:rPr>
              <w:t>rámcová směrnice</w:t>
            </w:r>
            <w:r w:rsidRPr="004673B0">
              <w:rPr>
                <w:b/>
                <w:bCs/>
              </w:rPr>
              <w:t>“</w:t>
            </w:r>
            <w:r w:rsidR="00E32726" w:rsidRPr="004673B0">
              <w:rPr>
                <w:b/>
                <w:bCs/>
              </w:rPr>
              <w:t xml:space="preserve"> </w:t>
            </w:r>
          </w:p>
        </w:tc>
        <w:tc>
          <w:tcPr>
            <w:tcW w:w="4533" w:type="dxa"/>
          </w:tcPr>
          <w:p w:rsidR="000D084C" w:rsidRPr="004673B0" w:rsidRDefault="00801F79" w:rsidP="00E32726">
            <w:r w:rsidRPr="004673B0">
              <w:t>znamená s</w:t>
            </w:r>
            <w:r w:rsidR="009A5A8C" w:rsidRPr="004673B0">
              <w:t>měrnice Evropského parlamentu a </w:t>
            </w:r>
            <w:r w:rsidRPr="004673B0">
              <w:t>Rady 2002/21/ES o společném předpisovém rámci pro sítě a služby elektronických komunikací</w:t>
            </w:r>
            <w:r w:rsidR="000D084C" w:rsidRPr="004673B0">
              <w:t>, ve znění účinném ke dni vydání analýzy relevantních trhů</w:t>
            </w:r>
            <w:r w:rsidR="00CB20DD">
              <w:t>;</w:t>
            </w:r>
            <w:r w:rsidR="000D084C" w:rsidRPr="004673B0">
              <w:t xml:space="preserve"> </w:t>
            </w:r>
          </w:p>
        </w:tc>
      </w:tr>
      <w:tr w:rsidR="00E32726" w:rsidRPr="004673B0" w:rsidTr="000D084C">
        <w:tc>
          <w:tcPr>
            <w:tcW w:w="4529" w:type="dxa"/>
          </w:tcPr>
          <w:p w:rsidR="00E32726" w:rsidRPr="004673B0" w:rsidRDefault="000D084C" w:rsidP="00E32726">
            <w:pPr>
              <w:rPr>
                <w:b/>
                <w:bCs/>
              </w:rPr>
            </w:pPr>
            <w:r w:rsidRPr="004673B0">
              <w:rPr>
                <w:b/>
                <w:bCs/>
              </w:rPr>
              <w:t>„</w:t>
            </w:r>
            <w:r w:rsidR="00E32726" w:rsidRPr="004673B0">
              <w:rPr>
                <w:b/>
                <w:bCs/>
              </w:rPr>
              <w:t>přístupová směrnice</w:t>
            </w:r>
            <w:r w:rsidRPr="004673B0">
              <w:rPr>
                <w:b/>
                <w:bCs/>
              </w:rPr>
              <w:t>“</w:t>
            </w:r>
          </w:p>
        </w:tc>
        <w:tc>
          <w:tcPr>
            <w:tcW w:w="4533" w:type="dxa"/>
          </w:tcPr>
          <w:p w:rsidR="00E32726" w:rsidRPr="004673B0" w:rsidRDefault="00801F79" w:rsidP="00E32726">
            <w:r w:rsidRPr="004673B0">
              <w:t>znamená sm</w:t>
            </w:r>
            <w:r w:rsidR="00D377C3" w:rsidRPr="004673B0">
              <w:t>ěrnice Evropského parlamentu a </w:t>
            </w:r>
            <w:r w:rsidRPr="004673B0">
              <w:t>Rady 2002/19/ES o přístupu k sítím elektronických komunikací a přiřazeným zařízením a o jejich vzájemném propojení</w:t>
            </w:r>
            <w:r w:rsidR="000D084C" w:rsidRPr="004673B0">
              <w:t>, ve znění účinném ke dni vydání analýzy relevantních trhů</w:t>
            </w:r>
            <w:r w:rsidR="00CB20DD">
              <w:t>;</w:t>
            </w:r>
          </w:p>
        </w:tc>
      </w:tr>
      <w:tr w:rsidR="00E32726" w:rsidRPr="004673B0" w:rsidTr="000D084C">
        <w:tc>
          <w:tcPr>
            <w:tcW w:w="4529" w:type="dxa"/>
          </w:tcPr>
          <w:p w:rsidR="00E32726" w:rsidRPr="004673B0" w:rsidRDefault="000D084C" w:rsidP="00E32726">
            <w:pPr>
              <w:rPr>
                <w:b/>
                <w:bCs/>
              </w:rPr>
            </w:pPr>
            <w:r w:rsidRPr="004673B0">
              <w:rPr>
                <w:b/>
                <w:bCs/>
              </w:rPr>
              <w:t>„</w:t>
            </w:r>
            <w:r w:rsidR="00E32726" w:rsidRPr="004673B0">
              <w:rPr>
                <w:b/>
                <w:bCs/>
              </w:rPr>
              <w:t>autorizační směrnice</w:t>
            </w:r>
            <w:r w:rsidRPr="004673B0">
              <w:rPr>
                <w:b/>
                <w:bCs/>
              </w:rPr>
              <w:t>“</w:t>
            </w:r>
          </w:p>
        </w:tc>
        <w:tc>
          <w:tcPr>
            <w:tcW w:w="4533" w:type="dxa"/>
          </w:tcPr>
          <w:p w:rsidR="00E32726" w:rsidRPr="004673B0" w:rsidRDefault="00801F79" w:rsidP="00E32726">
            <w:r w:rsidRPr="004673B0">
              <w:t>znamená s</w:t>
            </w:r>
            <w:r w:rsidR="00D377C3" w:rsidRPr="004673B0">
              <w:t>měrnice Evropského parlamentu a </w:t>
            </w:r>
            <w:r w:rsidRPr="004673B0">
              <w:t>Rady 2002/20/ES o oprávnění pro sítě a služby elektronických komunikací</w:t>
            </w:r>
            <w:r w:rsidR="000D084C" w:rsidRPr="004673B0">
              <w:t>, ve znění účinném ke dni vydání analýzy relevantních trhů</w:t>
            </w:r>
            <w:r w:rsidR="00CB20DD">
              <w:t>;</w:t>
            </w:r>
          </w:p>
        </w:tc>
      </w:tr>
      <w:tr w:rsidR="00E32726" w:rsidRPr="004673B0" w:rsidTr="000D084C">
        <w:tc>
          <w:tcPr>
            <w:tcW w:w="4529" w:type="dxa"/>
          </w:tcPr>
          <w:p w:rsidR="00E32726" w:rsidRPr="004673B0" w:rsidRDefault="000D084C" w:rsidP="00E32726">
            <w:pPr>
              <w:rPr>
                <w:b/>
                <w:bCs/>
              </w:rPr>
            </w:pPr>
            <w:r w:rsidRPr="004673B0">
              <w:rPr>
                <w:b/>
                <w:bCs/>
              </w:rPr>
              <w:t>„</w:t>
            </w:r>
            <w:r w:rsidR="00E32726" w:rsidRPr="004673B0">
              <w:rPr>
                <w:b/>
                <w:bCs/>
              </w:rPr>
              <w:t>směrnice o univerzální službě</w:t>
            </w:r>
            <w:r w:rsidRPr="004673B0">
              <w:rPr>
                <w:b/>
                <w:bCs/>
              </w:rPr>
              <w:t>“</w:t>
            </w:r>
          </w:p>
        </w:tc>
        <w:tc>
          <w:tcPr>
            <w:tcW w:w="4533" w:type="dxa"/>
          </w:tcPr>
          <w:p w:rsidR="00E32726" w:rsidRPr="004673B0" w:rsidRDefault="00801F79" w:rsidP="00E32726">
            <w:r w:rsidRPr="004673B0">
              <w:t>znamená s</w:t>
            </w:r>
            <w:r w:rsidR="00474201" w:rsidRPr="004673B0">
              <w:t>měrnice Evropského parlamentu a </w:t>
            </w:r>
            <w:r w:rsidRPr="004673B0">
              <w:t>Rady 20</w:t>
            </w:r>
            <w:r w:rsidR="00474201" w:rsidRPr="004673B0">
              <w:t>02/22/ES o univerzální službě a </w:t>
            </w:r>
            <w:r w:rsidRPr="004673B0">
              <w:t>právech uživatelů týkajících se sítí a služeb elektronických komunikací</w:t>
            </w:r>
            <w:r w:rsidR="000D084C" w:rsidRPr="004673B0">
              <w:t>, ve znění účinném ke dni vydání analýzy relevantních trhů</w:t>
            </w:r>
            <w:r w:rsidR="00CB20DD">
              <w:t>;</w:t>
            </w:r>
          </w:p>
        </w:tc>
      </w:tr>
      <w:tr w:rsidR="00E32726" w:rsidRPr="004673B0" w:rsidTr="000D084C">
        <w:tc>
          <w:tcPr>
            <w:tcW w:w="4529" w:type="dxa"/>
          </w:tcPr>
          <w:p w:rsidR="00E32726" w:rsidRPr="004673B0" w:rsidRDefault="0093645B" w:rsidP="00E32726">
            <w:pPr>
              <w:rPr>
                <w:b/>
                <w:bCs/>
              </w:rPr>
            </w:pPr>
            <w:r w:rsidRPr="004673B0">
              <w:rPr>
                <w:b/>
                <w:bCs/>
              </w:rPr>
              <w:t>„</w:t>
            </w:r>
            <w:r w:rsidR="00E32726" w:rsidRPr="004673B0">
              <w:rPr>
                <w:b/>
                <w:bCs/>
              </w:rPr>
              <w:t>Vyhláška</w:t>
            </w:r>
            <w:r w:rsidRPr="004673B0">
              <w:rPr>
                <w:b/>
                <w:bCs/>
              </w:rPr>
              <w:t>“</w:t>
            </w:r>
          </w:p>
        </w:tc>
        <w:tc>
          <w:tcPr>
            <w:tcW w:w="4533" w:type="dxa"/>
          </w:tcPr>
          <w:p w:rsidR="00E32726" w:rsidRPr="004673B0" w:rsidRDefault="00801F79" w:rsidP="00801F79">
            <w:r w:rsidRPr="004673B0">
              <w:t>znamená v</w:t>
            </w:r>
            <w:r w:rsidR="00474201" w:rsidRPr="004673B0">
              <w:t>yhláška Ministerstva průmyslu a </w:t>
            </w:r>
            <w:r w:rsidRPr="004673B0">
              <w:t>obchodu č. 228/2012 Sb., o stanovení kritérií pro posuzování, zda má více subjektů společnou významnou tržní sílu na relevantním trhu elektronických komunikac</w:t>
            </w:r>
            <w:r w:rsidR="0093645B" w:rsidRPr="004673B0">
              <w:t>í, ve znění pozdějších předpisů</w:t>
            </w:r>
            <w:r w:rsidR="00CB20DD">
              <w:t>;</w:t>
            </w:r>
          </w:p>
        </w:tc>
      </w:tr>
      <w:tr w:rsidR="00E32726" w:rsidRPr="004673B0" w:rsidTr="000D084C">
        <w:tc>
          <w:tcPr>
            <w:tcW w:w="4529" w:type="dxa"/>
          </w:tcPr>
          <w:p w:rsidR="00E32726" w:rsidRPr="004673B0" w:rsidRDefault="0093645B" w:rsidP="00E32726">
            <w:pPr>
              <w:rPr>
                <w:b/>
                <w:bCs/>
              </w:rPr>
            </w:pPr>
            <w:r w:rsidRPr="004673B0">
              <w:rPr>
                <w:b/>
                <w:bCs/>
              </w:rPr>
              <w:t>„</w:t>
            </w:r>
            <w:r w:rsidR="00E32726" w:rsidRPr="004673B0">
              <w:rPr>
                <w:b/>
                <w:bCs/>
              </w:rPr>
              <w:t>Zákon</w:t>
            </w:r>
            <w:r w:rsidRPr="004673B0">
              <w:rPr>
                <w:b/>
                <w:bCs/>
              </w:rPr>
              <w:t>“</w:t>
            </w:r>
          </w:p>
        </w:tc>
        <w:tc>
          <w:tcPr>
            <w:tcW w:w="4533" w:type="dxa"/>
          </w:tcPr>
          <w:p w:rsidR="00E32726" w:rsidRPr="004673B0" w:rsidRDefault="00801F79" w:rsidP="00E32726">
            <w:r w:rsidRPr="004673B0">
              <w:t>z</w:t>
            </w:r>
            <w:r w:rsidR="00C03720" w:rsidRPr="004673B0">
              <w:t>namená zákon č. 127/2005 Sb., o </w:t>
            </w:r>
            <w:r w:rsidRPr="004673B0">
              <w:t>elektronických komunikacích a o změně některých souvisejících zákonů, ve znění pozdějších předpisů</w:t>
            </w:r>
            <w:r w:rsidR="00CB20DD">
              <w:t>;</w:t>
            </w:r>
          </w:p>
        </w:tc>
      </w:tr>
      <w:tr w:rsidR="00E32726" w:rsidRPr="004673B0" w:rsidTr="000D084C">
        <w:tc>
          <w:tcPr>
            <w:tcW w:w="4529" w:type="dxa"/>
          </w:tcPr>
          <w:p w:rsidR="00E32726" w:rsidRPr="004673B0" w:rsidRDefault="0093645B" w:rsidP="00E32726">
            <w:pPr>
              <w:rPr>
                <w:b/>
                <w:bCs/>
              </w:rPr>
            </w:pPr>
            <w:r w:rsidRPr="004673B0">
              <w:rPr>
                <w:b/>
                <w:bCs/>
              </w:rPr>
              <w:t>„</w:t>
            </w:r>
            <w:r w:rsidR="00E32726" w:rsidRPr="004673B0">
              <w:rPr>
                <w:b/>
                <w:bCs/>
              </w:rPr>
              <w:t>Opatření</w:t>
            </w:r>
            <w:r w:rsidRPr="004673B0">
              <w:rPr>
                <w:b/>
                <w:bCs/>
              </w:rPr>
              <w:t>“</w:t>
            </w:r>
            <w:r w:rsidR="00E32726" w:rsidRPr="004673B0">
              <w:rPr>
                <w:b/>
                <w:bCs/>
              </w:rPr>
              <w:t xml:space="preserve"> </w:t>
            </w:r>
          </w:p>
        </w:tc>
        <w:tc>
          <w:tcPr>
            <w:tcW w:w="4533" w:type="dxa"/>
          </w:tcPr>
          <w:p w:rsidR="00E32726" w:rsidRPr="004673B0" w:rsidRDefault="00801F79" w:rsidP="00801F79">
            <w:r w:rsidRPr="004673B0">
              <w:t>zn</w:t>
            </w:r>
            <w:r w:rsidR="00C03720" w:rsidRPr="004673B0">
              <w:t>amená opatření obecné povahy č. </w:t>
            </w:r>
            <w:r w:rsidRPr="004673B0">
              <w:t>OOP/1/04.2015-2, kterým se stanoví relevantní trhy v oboru elektronických komunikací, včetně kritérií pro hodnocení významné tržní síly</w:t>
            </w:r>
            <w:r w:rsidR="00CB20DD">
              <w:t>;</w:t>
            </w:r>
          </w:p>
        </w:tc>
      </w:tr>
      <w:tr w:rsidR="00E32726" w:rsidRPr="004673B0" w:rsidTr="000D084C">
        <w:tc>
          <w:tcPr>
            <w:tcW w:w="4529" w:type="dxa"/>
          </w:tcPr>
          <w:p w:rsidR="00E32726" w:rsidRPr="004673B0" w:rsidRDefault="0093645B" w:rsidP="00E32726">
            <w:pPr>
              <w:rPr>
                <w:b/>
                <w:bCs/>
              </w:rPr>
            </w:pPr>
            <w:r w:rsidRPr="004673B0">
              <w:rPr>
                <w:b/>
                <w:bCs/>
              </w:rPr>
              <w:t>„</w:t>
            </w:r>
            <w:r w:rsidR="00E32726" w:rsidRPr="004673B0">
              <w:rPr>
                <w:b/>
                <w:bCs/>
              </w:rPr>
              <w:t>Pokyny Komise</w:t>
            </w:r>
            <w:r w:rsidRPr="004673B0">
              <w:rPr>
                <w:b/>
                <w:bCs/>
              </w:rPr>
              <w:t>“</w:t>
            </w:r>
          </w:p>
        </w:tc>
        <w:tc>
          <w:tcPr>
            <w:tcW w:w="4533" w:type="dxa"/>
          </w:tcPr>
          <w:p w:rsidR="00E32726" w:rsidRPr="004673B0" w:rsidRDefault="00801F79" w:rsidP="0093645B">
            <w:r w:rsidRPr="004673B0">
              <w:t>znamen</w:t>
            </w:r>
            <w:r w:rsidR="0093645B" w:rsidRPr="004673B0">
              <w:t>ají</w:t>
            </w:r>
            <w:r w:rsidRPr="004673B0">
              <w:t xml:space="preserve"> pokyny Komise týkající se analýzy trhů a stanovení </w:t>
            </w:r>
            <w:r w:rsidR="00D231EB" w:rsidRPr="004673B0">
              <w:t>významné tržní síly v souladu s </w:t>
            </w:r>
            <w:r w:rsidRPr="004673B0">
              <w:t>regulačním rámcem EU pro sítě a služby elektronických komunikací ze dne 11. července 2002 (2002/C165/03)</w:t>
            </w:r>
            <w:r w:rsidR="00CB20DD">
              <w:t>;</w:t>
            </w:r>
          </w:p>
        </w:tc>
      </w:tr>
      <w:tr w:rsidR="00E32726" w:rsidRPr="004673B0" w:rsidTr="000D084C">
        <w:tc>
          <w:tcPr>
            <w:tcW w:w="4529" w:type="dxa"/>
          </w:tcPr>
          <w:p w:rsidR="00E32726" w:rsidRPr="004673B0" w:rsidRDefault="0093645B" w:rsidP="00E32726">
            <w:pPr>
              <w:rPr>
                <w:b/>
                <w:bCs/>
              </w:rPr>
            </w:pPr>
            <w:r w:rsidRPr="004673B0">
              <w:rPr>
                <w:b/>
                <w:bCs/>
              </w:rPr>
              <w:t>„</w:t>
            </w:r>
            <w:r w:rsidR="00E32726" w:rsidRPr="004673B0">
              <w:rPr>
                <w:b/>
                <w:bCs/>
              </w:rPr>
              <w:t>Doporučení o relevantních trzích</w:t>
            </w:r>
            <w:r w:rsidRPr="004673B0">
              <w:rPr>
                <w:b/>
                <w:bCs/>
              </w:rPr>
              <w:t>“</w:t>
            </w:r>
          </w:p>
        </w:tc>
        <w:tc>
          <w:tcPr>
            <w:tcW w:w="4533" w:type="dxa"/>
          </w:tcPr>
          <w:p w:rsidR="00E32726" w:rsidRPr="004673B0" w:rsidRDefault="00801F79" w:rsidP="00E32726">
            <w:r w:rsidRPr="004673B0">
              <w:t>znamená doporučení Komise 2014/710/EU ze dne 9. října 2014 o</w:t>
            </w:r>
            <w:r w:rsidR="00EA233F" w:rsidRPr="004673B0">
              <w:t xml:space="preserve"> relevantních trzích produktů a </w:t>
            </w:r>
            <w:r w:rsidRPr="004673B0">
              <w:t>služeb v odvětví elektronických komunikací, které připadají v úvahu pro regulaci ex ante podle směrnice Evropského parlamentu a Rady 2002/21/ES o společném předpisovém rámci pro sítě a služby elektronických komunikací</w:t>
            </w:r>
            <w:r w:rsidR="00CB20DD">
              <w:t>;</w:t>
            </w:r>
          </w:p>
        </w:tc>
      </w:tr>
      <w:tr w:rsidR="00E32726" w:rsidRPr="004673B0" w:rsidTr="000D084C">
        <w:tc>
          <w:tcPr>
            <w:tcW w:w="4529" w:type="dxa"/>
          </w:tcPr>
          <w:p w:rsidR="00E32726" w:rsidRPr="004673B0" w:rsidRDefault="0093645B" w:rsidP="00E32726">
            <w:pPr>
              <w:rPr>
                <w:b/>
                <w:bCs/>
              </w:rPr>
            </w:pPr>
            <w:r w:rsidRPr="004673B0">
              <w:rPr>
                <w:b/>
                <w:bCs/>
              </w:rPr>
              <w:t>„</w:t>
            </w:r>
            <w:r w:rsidR="00E32726" w:rsidRPr="004673B0">
              <w:rPr>
                <w:b/>
                <w:bCs/>
              </w:rPr>
              <w:t>Vysvětlující zpráva</w:t>
            </w:r>
            <w:r w:rsidRPr="004673B0">
              <w:rPr>
                <w:b/>
                <w:bCs/>
              </w:rPr>
              <w:t>“</w:t>
            </w:r>
          </w:p>
        </w:tc>
        <w:tc>
          <w:tcPr>
            <w:tcW w:w="4533" w:type="dxa"/>
          </w:tcPr>
          <w:p w:rsidR="00E32726" w:rsidRPr="004673B0" w:rsidRDefault="00801F79" w:rsidP="00E32726">
            <w:r w:rsidRPr="004673B0">
              <w:t xml:space="preserve">znamená vysvětlující zpráva týkající se doporučení </w:t>
            </w:r>
            <w:r w:rsidR="00C13C12" w:rsidRPr="004673B0">
              <w:t xml:space="preserve">Komise 2014/710/EU ze dne 9. října 2014 o relevantních trzích produktů </w:t>
            </w:r>
            <w:r w:rsidR="00D231EB" w:rsidRPr="004673B0">
              <w:t>a služeb v </w:t>
            </w:r>
            <w:r w:rsidR="00C13C12" w:rsidRPr="004673B0">
              <w:t>odvětví elektronických komunikací, které připadají v úvahu pro regulaci ex ante podle směrnice Evropského parlamentu a Rady 2002/21/ES o společném předpisovém rámci pro sítě a služby elektronických komunikací</w:t>
            </w:r>
            <w:r w:rsidRPr="004673B0">
              <w:t xml:space="preserve"> (SWD(2014) 298)</w:t>
            </w:r>
            <w:r w:rsidR="00CB20DD">
              <w:t>;</w:t>
            </w:r>
          </w:p>
        </w:tc>
      </w:tr>
      <w:tr w:rsidR="00E32726" w:rsidRPr="004673B0" w:rsidTr="000D084C">
        <w:tc>
          <w:tcPr>
            <w:tcW w:w="4529" w:type="dxa"/>
          </w:tcPr>
          <w:p w:rsidR="00E32726" w:rsidRPr="004673B0" w:rsidRDefault="00B91631" w:rsidP="00E32726">
            <w:pPr>
              <w:rPr>
                <w:b/>
                <w:bCs/>
              </w:rPr>
            </w:pPr>
            <w:r w:rsidRPr="004673B0">
              <w:rPr>
                <w:b/>
                <w:bCs/>
              </w:rPr>
              <w:t>„</w:t>
            </w:r>
            <w:r w:rsidR="00E32726" w:rsidRPr="004673B0">
              <w:rPr>
                <w:b/>
                <w:bCs/>
              </w:rPr>
              <w:t>Sdělení Komise</w:t>
            </w:r>
            <w:r w:rsidRPr="004673B0">
              <w:rPr>
                <w:b/>
                <w:bCs/>
              </w:rPr>
              <w:t>“</w:t>
            </w:r>
          </w:p>
        </w:tc>
        <w:tc>
          <w:tcPr>
            <w:tcW w:w="4533" w:type="dxa"/>
          </w:tcPr>
          <w:p w:rsidR="00E32726" w:rsidRPr="004673B0" w:rsidRDefault="00801F79" w:rsidP="00E32726">
            <w:r w:rsidRPr="004673B0">
              <w:t>znamená sdělení Komise o definici relevantního trhu pro účely práva hospodářské soutěže Společenství (97/C 372/03)</w:t>
            </w:r>
            <w:r w:rsidR="00CB20DD">
              <w:t>;</w:t>
            </w:r>
          </w:p>
        </w:tc>
      </w:tr>
      <w:tr w:rsidR="00E32726" w:rsidRPr="004673B0" w:rsidTr="000D084C">
        <w:tc>
          <w:tcPr>
            <w:tcW w:w="4529" w:type="dxa"/>
          </w:tcPr>
          <w:p w:rsidR="00E32726" w:rsidRPr="004673B0" w:rsidRDefault="00B91631" w:rsidP="00E32726">
            <w:pPr>
              <w:rPr>
                <w:b/>
                <w:bCs/>
              </w:rPr>
            </w:pPr>
            <w:r w:rsidRPr="004673B0">
              <w:rPr>
                <w:b/>
                <w:bCs/>
              </w:rPr>
              <w:t>„</w:t>
            </w:r>
            <w:r w:rsidR="00A813C3" w:rsidRPr="004673B0">
              <w:rPr>
                <w:b/>
                <w:bCs/>
              </w:rPr>
              <w:t>Doporučení o nediskriminaci</w:t>
            </w:r>
            <w:r w:rsidRPr="004673B0">
              <w:rPr>
                <w:b/>
                <w:bCs/>
              </w:rPr>
              <w:t>“</w:t>
            </w:r>
          </w:p>
        </w:tc>
        <w:tc>
          <w:tcPr>
            <w:tcW w:w="4533" w:type="dxa"/>
          </w:tcPr>
          <w:p w:rsidR="00E32726" w:rsidRPr="004673B0" w:rsidRDefault="00801F79" w:rsidP="00E32726">
            <w:r w:rsidRPr="004673B0">
              <w:t>znamen</w:t>
            </w:r>
            <w:r w:rsidR="00D231EB" w:rsidRPr="004673B0">
              <w:t>á doporučení Evropské komise č. </w:t>
            </w:r>
            <w:r w:rsidRPr="004673B0">
              <w:t>2013/466/EU o konzistentních povinnostech nediskriminace a metodikách výpo</w:t>
            </w:r>
            <w:r w:rsidR="007C6E55" w:rsidRPr="004673B0">
              <w:t>čtu nákladů s </w:t>
            </w:r>
            <w:r w:rsidRPr="004673B0">
              <w:t>cílem podpořit hospodářskou soutěž a zlepšit podmínky pro investice do širokopásmového připojení</w:t>
            </w:r>
            <w:r w:rsidR="00CB20DD">
              <w:t>;</w:t>
            </w:r>
          </w:p>
        </w:tc>
      </w:tr>
      <w:tr w:rsidR="00B75C2E" w:rsidRPr="004673B0" w:rsidTr="000D084C">
        <w:tc>
          <w:tcPr>
            <w:tcW w:w="4529" w:type="dxa"/>
          </w:tcPr>
          <w:p w:rsidR="00B75C2E" w:rsidRPr="004673B0" w:rsidRDefault="00E35CD5" w:rsidP="00E32726">
            <w:pPr>
              <w:rPr>
                <w:b/>
                <w:bCs/>
              </w:rPr>
            </w:pPr>
            <w:r w:rsidRPr="004673B0">
              <w:rPr>
                <w:b/>
                <w:bCs/>
              </w:rPr>
              <w:t>„</w:t>
            </w:r>
            <w:r w:rsidR="00B91631" w:rsidRPr="004673B0">
              <w:rPr>
                <w:b/>
                <w:bCs/>
              </w:rPr>
              <w:t>p</w:t>
            </w:r>
            <w:r w:rsidR="00B75C2E" w:rsidRPr="004673B0">
              <w:rPr>
                <w:b/>
                <w:bCs/>
              </w:rPr>
              <w:t>odnik</w:t>
            </w:r>
            <w:r w:rsidR="00B91631" w:rsidRPr="004673B0">
              <w:rPr>
                <w:b/>
                <w:bCs/>
              </w:rPr>
              <w:t>“</w:t>
            </w:r>
          </w:p>
        </w:tc>
        <w:tc>
          <w:tcPr>
            <w:tcW w:w="4533" w:type="dxa"/>
          </w:tcPr>
          <w:p w:rsidR="00B75C2E" w:rsidRPr="004673B0" w:rsidRDefault="001C3AE5" w:rsidP="001C3AE5">
            <w:r w:rsidRPr="004673B0">
              <w:t xml:space="preserve">je v této Metodice používán ve významu vysvětleném v posledním odstavci kapitoly </w:t>
            </w:r>
            <w:r w:rsidRPr="004673B0">
              <w:fldChar w:fldCharType="begin"/>
            </w:r>
            <w:r w:rsidRPr="004673B0">
              <w:instrText xml:space="preserve"> REF _Ref441160337 \r \h </w:instrText>
            </w:r>
            <w:r w:rsidR="004673B0">
              <w:instrText xml:space="preserve"> \* MERGEFORMAT </w:instrText>
            </w:r>
            <w:r w:rsidRPr="004673B0">
              <w:fldChar w:fldCharType="separate"/>
            </w:r>
            <w:r w:rsidR="00067C1B">
              <w:t>6.1.1</w:t>
            </w:r>
            <w:r w:rsidRPr="004673B0">
              <w:fldChar w:fldCharType="end"/>
            </w:r>
            <w:r w:rsidR="00CB20DD">
              <w:t>;</w:t>
            </w:r>
          </w:p>
        </w:tc>
      </w:tr>
      <w:tr w:rsidR="00E32726" w:rsidRPr="004673B0" w:rsidTr="000D084C">
        <w:tc>
          <w:tcPr>
            <w:tcW w:w="4529" w:type="dxa"/>
          </w:tcPr>
          <w:p w:rsidR="00E32726" w:rsidRPr="004673B0" w:rsidRDefault="00E35CD5" w:rsidP="00F57A5B">
            <w:pPr>
              <w:rPr>
                <w:b/>
                <w:bCs/>
              </w:rPr>
            </w:pPr>
            <w:r w:rsidRPr="004673B0">
              <w:rPr>
                <w:b/>
                <w:bCs/>
              </w:rPr>
              <w:t>„</w:t>
            </w:r>
            <w:r w:rsidR="00F57A5B" w:rsidRPr="004673B0">
              <w:rPr>
                <w:b/>
                <w:bCs/>
              </w:rPr>
              <w:t>podnik s významnou tržní silou</w:t>
            </w:r>
            <w:r w:rsidRPr="004673B0">
              <w:rPr>
                <w:b/>
                <w:bCs/>
              </w:rPr>
              <w:t>“</w:t>
            </w:r>
            <w:r w:rsidR="00F57A5B" w:rsidRPr="004673B0">
              <w:rPr>
                <w:b/>
                <w:bCs/>
              </w:rPr>
              <w:t xml:space="preserve"> </w:t>
            </w:r>
          </w:p>
        </w:tc>
        <w:tc>
          <w:tcPr>
            <w:tcW w:w="4533" w:type="dxa"/>
          </w:tcPr>
          <w:p w:rsidR="00E32726" w:rsidRPr="004673B0" w:rsidRDefault="00801F79" w:rsidP="0017270B">
            <w:r w:rsidRPr="004673B0">
              <w:t xml:space="preserve">znamená podnik s významnou tržní silou dle </w:t>
            </w:r>
            <w:r w:rsidR="00514CEF" w:rsidRPr="004673B0">
              <w:t xml:space="preserve">ustanovení </w:t>
            </w:r>
            <w:r w:rsidRPr="004673B0">
              <w:t>§ 53 odst. 1 Zákona</w:t>
            </w:r>
            <w:r w:rsidR="00937E08" w:rsidRPr="004673B0">
              <w:t xml:space="preserve">. Podnik s významnou tržní silou je </w:t>
            </w:r>
            <w:r w:rsidRPr="004673B0">
              <w:t xml:space="preserve">blíže </w:t>
            </w:r>
            <w:r w:rsidR="00937E08" w:rsidRPr="004673B0">
              <w:t>specifikován</w:t>
            </w:r>
            <w:r w:rsidRPr="004673B0">
              <w:t xml:space="preserve"> v kapitole </w:t>
            </w:r>
            <w:r w:rsidR="007F21A5" w:rsidRPr="004673B0">
              <w:fldChar w:fldCharType="begin"/>
            </w:r>
            <w:r w:rsidR="007F21A5" w:rsidRPr="004673B0">
              <w:instrText xml:space="preserve"> REF _Ref441217639 \r \h </w:instrText>
            </w:r>
            <w:r w:rsidR="004673B0">
              <w:instrText xml:space="preserve"> \* MERGEFORMAT </w:instrText>
            </w:r>
            <w:r w:rsidR="007F21A5" w:rsidRPr="004673B0">
              <w:fldChar w:fldCharType="separate"/>
            </w:r>
            <w:r w:rsidR="00067C1B">
              <w:t>6</w:t>
            </w:r>
            <w:r w:rsidR="007F21A5" w:rsidRPr="004673B0">
              <w:fldChar w:fldCharType="end"/>
            </w:r>
            <w:r w:rsidRPr="004673B0">
              <w:t xml:space="preserve"> této Metodiky</w:t>
            </w:r>
            <w:r w:rsidR="00CB20DD">
              <w:t>;</w:t>
            </w:r>
          </w:p>
        </w:tc>
      </w:tr>
      <w:tr w:rsidR="00E32726" w:rsidRPr="004673B0" w:rsidTr="000D084C">
        <w:tc>
          <w:tcPr>
            <w:tcW w:w="4529" w:type="dxa"/>
          </w:tcPr>
          <w:p w:rsidR="00E32726" w:rsidRPr="004673B0" w:rsidRDefault="00E35CD5" w:rsidP="00E32726">
            <w:pPr>
              <w:rPr>
                <w:b/>
                <w:bCs/>
              </w:rPr>
            </w:pPr>
            <w:r w:rsidRPr="004673B0">
              <w:rPr>
                <w:b/>
                <w:bCs/>
              </w:rPr>
              <w:t>„</w:t>
            </w:r>
            <w:r w:rsidR="00F57A5B" w:rsidRPr="004673B0">
              <w:rPr>
                <w:b/>
                <w:bCs/>
              </w:rPr>
              <w:t>samostatná významná tržní síla</w:t>
            </w:r>
            <w:r w:rsidRPr="004673B0">
              <w:rPr>
                <w:b/>
                <w:bCs/>
              </w:rPr>
              <w:t>“</w:t>
            </w:r>
          </w:p>
        </w:tc>
        <w:tc>
          <w:tcPr>
            <w:tcW w:w="4533" w:type="dxa"/>
          </w:tcPr>
          <w:p w:rsidR="00E32726" w:rsidRPr="004673B0" w:rsidRDefault="00801F79" w:rsidP="00233B2C">
            <w:r w:rsidRPr="004673B0">
              <w:t xml:space="preserve">znamená postavení odpovídající dominantnímu postavení, tj. postavení takové ekonomické síly, která </w:t>
            </w:r>
            <w:r w:rsidR="00514CEF" w:rsidRPr="004673B0">
              <w:t>podniku s významnou tržní silou</w:t>
            </w:r>
            <w:r w:rsidRPr="004673B0">
              <w:t xml:space="preserve"> umožňuje chovat se ve zjevné míře nezávisle na </w:t>
            </w:r>
            <w:r w:rsidR="00233B2C" w:rsidRPr="004673B0">
              <w:t>konkurentech</w:t>
            </w:r>
            <w:r w:rsidR="007C6E55" w:rsidRPr="004673B0">
              <w:t xml:space="preserve">, zákaznících a v </w:t>
            </w:r>
            <w:r w:rsidRPr="004673B0">
              <w:t xml:space="preserve">konečném důsledku i na spotřebitelích dle článku 14 odst. 2 rámcové směrnice, jak je blíže </w:t>
            </w:r>
            <w:r w:rsidR="00233B2C" w:rsidRPr="004673B0">
              <w:t>popsáno</w:t>
            </w:r>
            <w:r w:rsidRPr="004673B0">
              <w:t xml:space="preserve"> v kapitole </w:t>
            </w:r>
            <w:r w:rsidRPr="004673B0">
              <w:fldChar w:fldCharType="begin"/>
            </w:r>
            <w:r w:rsidRPr="004673B0">
              <w:instrText xml:space="preserve"> REF _Ref440392750 \r \h </w:instrText>
            </w:r>
            <w:r w:rsidR="004673B0">
              <w:instrText xml:space="preserve"> \* MERGEFORMAT </w:instrText>
            </w:r>
            <w:r w:rsidRPr="004673B0">
              <w:fldChar w:fldCharType="separate"/>
            </w:r>
            <w:r w:rsidR="00067C1B">
              <w:t>6.1.1</w:t>
            </w:r>
            <w:r w:rsidRPr="004673B0">
              <w:fldChar w:fldCharType="end"/>
            </w:r>
            <w:r w:rsidRPr="004673B0">
              <w:t xml:space="preserve"> této Metodiky</w:t>
            </w:r>
            <w:r w:rsidR="00CB20DD">
              <w:t>;</w:t>
            </w:r>
          </w:p>
        </w:tc>
      </w:tr>
      <w:tr w:rsidR="00E32726" w:rsidRPr="004673B0" w:rsidTr="000D084C">
        <w:tc>
          <w:tcPr>
            <w:tcW w:w="4529" w:type="dxa"/>
          </w:tcPr>
          <w:p w:rsidR="00E32726" w:rsidRPr="004673B0" w:rsidRDefault="00E35CD5" w:rsidP="00E32726">
            <w:pPr>
              <w:rPr>
                <w:b/>
                <w:bCs/>
                <w:u w:val="single"/>
              </w:rPr>
            </w:pPr>
            <w:r w:rsidRPr="004673B0">
              <w:rPr>
                <w:b/>
                <w:bCs/>
              </w:rPr>
              <w:t>„</w:t>
            </w:r>
            <w:r w:rsidR="00F57A5B" w:rsidRPr="004673B0">
              <w:rPr>
                <w:b/>
                <w:bCs/>
              </w:rPr>
              <w:t>společná významná tržní síla</w:t>
            </w:r>
            <w:r w:rsidRPr="004673B0">
              <w:rPr>
                <w:b/>
                <w:bCs/>
              </w:rPr>
              <w:t>“</w:t>
            </w:r>
          </w:p>
        </w:tc>
        <w:tc>
          <w:tcPr>
            <w:tcW w:w="4533" w:type="dxa"/>
          </w:tcPr>
          <w:p w:rsidR="00E32726" w:rsidRPr="004673B0" w:rsidRDefault="00233B2C" w:rsidP="00233B2C">
            <w:r w:rsidRPr="004673B0">
              <w:t>z</w:t>
            </w:r>
            <w:r w:rsidR="00801F79" w:rsidRPr="004673B0">
              <w:t xml:space="preserve">namená postavení odpovídající dominantnímu postavení, tj. postavení takové ekonomické síly, která </w:t>
            </w:r>
            <w:r w:rsidRPr="004673B0">
              <w:t>podnikům se společnou významnou tržní silou</w:t>
            </w:r>
            <w:r w:rsidR="00801F79" w:rsidRPr="004673B0">
              <w:t xml:space="preserve"> umožňuje chovat se ve zjevné míře nezávisle na </w:t>
            </w:r>
            <w:r w:rsidRPr="004673B0">
              <w:t>konkurentech</w:t>
            </w:r>
            <w:r w:rsidR="00801F79" w:rsidRPr="004673B0">
              <w:t xml:space="preserve">, zákaznících a v konečném důsledku i na spotřebitelích dle článku 14 odst. 2 rámcové směrnice, jak je blíže popsáno v kapitole </w:t>
            </w:r>
            <w:r w:rsidR="00801F79" w:rsidRPr="004673B0">
              <w:fldChar w:fldCharType="begin"/>
            </w:r>
            <w:r w:rsidR="00801F79" w:rsidRPr="004673B0">
              <w:instrText xml:space="preserve"> REF _Ref440392750 \r \h </w:instrText>
            </w:r>
            <w:r w:rsidR="004673B0">
              <w:instrText xml:space="preserve"> \* MERGEFORMAT </w:instrText>
            </w:r>
            <w:r w:rsidR="00801F79" w:rsidRPr="004673B0">
              <w:fldChar w:fldCharType="separate"/>
            </w:r>
            <w:r w:rsidR="00067C1B">
              <w:t>6.1.1</w:t>
            </w:r>
            <w:r w:rsidR="00801F79" w:rsidRPr="004673B0">
              <w:fldChar w:fldCharType="end"/>
            </w:r>
            <w:r w:rsidR="00801F79" w:rsidRPr="004673B0">
              <w:t xml:space="preserve"> této Metodiky</w:t>
            </w:r>
            <w:r w:rsidR="00CB20DD">
              <w:t>.</w:t>
            </w:r>
          </w:p>
        </w:tc>
      </w:tr>
    </w:tbl>
    <w:p w:rsidR="00F45280" w:rsidRPr="004673B0" w:rsidRDefault="00F45280" w:rsidP="004035B4">
      <w:pPr>
        <w:pStyle w:val="N1"/>
      </w:pPr>
      <w:bookmarkStart w:id="8" w:name="_Toc440374053"/>
      <w:bookmarkStart w:id="9" w:name="_Ref441242565"/>
      <w:r w:rsidRPr="004673B0">
        <w:t>Metodika analýz relevantních trhů</w:t>
      </w:r>
      <w:bookmarkEnd w:id="6"/>
      <w:bookmarkEnd w:id="7"/>
      <w:bookmarkEnd w:id="8"/>
      <w:bookmarkEnd w:id="9"/>
    </w:p>
    <w:p w:rsidR="00F45280" w:rsidRPr="004673B0" w:rsidRDefault="00F45280" w:rsidP="004035B4">
      <w:pPr>
        <w:pStyle w:val="N2"/>
      </w:pPr>
      <w:bookmarkStart w:id="10" w:name="_Toc423356104"/>
      <w:bookmarkStart w:id="11" w:name="_Toc423360982"/>
      <w:bookmarkStart w:id="12" w:name="_Toc440374054"/>
      <w:r w:rsidRPr="004673B0">
        <w:t xml:space="preserve">Účel </w:t>
      </w:r>
      <w:r w:rsidR="00E6708A" w:rsidRPr="004673B0">
        <w:t>m</w:t>
      </w:r>
      <w:r w:rsidRPr="004673B0">
        <w:t>etodiky</w:t>
      </w:r>
      <w:bookmarkEnd w:id="10"/>
      <w:bookmarkEnd w:id="11"/>
      <w:bookmarkEnd w:id="12"/>
    </w:p>
    <w:p w:rsidR="00F45280" w:rsidRPr="004673B0" w:rsidRDefault="00F45280" w:rsidP="00CC7E23">
      <w:r w:rsidRPr="004673B0">
        <w:t xml:space="preserve">Úřad provádí analýzy relevantních trhů elektronických komunikací za účelem zjištění, zda </w:t>
      </w:r>
      <w:r w:rsidR="00991A6C" w:rsidRPr="004673B0">
        <w:t>jsou tyto</w:t>
      </w:r>
      <w:r w:rsidRPr="004673B0">
        <w:t xml:space="preserve"> trhy efektivně konkurenční. Tato </w:t>
      </w:r>
      <w:r w:rsidR="00ED58ED" w:rsidRPr="004673B0">
        <w:t xml:space="preserve">Metodika </w:t>
      </w:r>
      <w:r w:rsidRPr="004673B0">
        <w:t>popisuje postup Úřadu při provádění analýz relevantních trhů, včetně popisu metod a principů, na jejichž základě Úřad postupuje v jednotlivých krocích provádění analýz</w:t>
      </w:r>
      <w:r w:rsidR="00F7498C" w:rsidRPr="004673B0">
        <w:t xml:space="preserve"> o</w:t>
      </w:r>
      <w:r w:rsidR="003A3023" w:rsidRPr="004673B0">
        <w:t>d</w:t>
      </w:r>
      <w:r w:rsidR="00F7498C" w:rsidRPr="004673B0">
        <w:t xml:space="preserve"> vymezení relevantního trhu až do návrh</w:t>
      </w:r>
      <w:r w:rsidR="005B1E5D" w:rsidRPr="004673B0">
        <w:t>u</w:t>
      </w:r>
      <w:r w:rsidR="00F7498C" w:rsidRPr="004673B0">
        <w:t xml:space="preserve"> vhodných nápravných opatření</w:t>
      </w:r>
      <w:r w:rsidRPr="004673B0">
        <w:t>.</w:t>
      </w:r>
    </w:p>
    <w:p w:rsidR="00F45280" w:rsidRPr="004673B0" w:rsidRDefault="00F45280" w:rsidP="00972080">
      <w:r w:rsidRPr="004673B0">
        <w:t>Tato Metodika popisuje obecný postup Úřadu ve vztahu ke všem relevantním trhům, nevztahuje se k žádnému konkrétnímu relevantnímu trhu a nezohledňu</w:t>
      </w:r>
      <w:r w:rsidR="00C05A3D" w:rsidRPr="004673B0">
        <w:t>je specifika kteréhokoli trhu.</w:t>
      </w:r>
    </w:p>
    <w:p w:rsidR="00F45280" w:rsidRPr="004673B0" w:rsidRDefault="00F45280" w:rsidP="00CC7E23">
      <w:r w:rsidRPr="004673B0">
        <w:t>Úřad při analýze trhu zohlední zejména své odborné znalosti, zkušenosti ve vztahu k relevantním trhům, informace o chování subjektů na daných trzích v</w:t>
      </w:r>
      <w:r w:rsidR="00424120" w:rsidRPr="004673B0">
        <w:t> </w:t>
      </w:r>
      <w:r w:rsidRPr="004673B0">
        <w:t>minulosti</w:t>
      </w:r>
      <w:r w:rsidR="00424120" w:rsidRPr="004673B0">
        <w:t>, informace získané od subjektů aktivních na trhu (poskytovatelé i uživatelé)</w:t>
      </w:r>
      <w:r w:rsidR="001F0228" w:rsidRPr="004673B0">
        <w:rPr>
          <w:rStyle w:val="Znakapoznpodarou"/>
        </w:rPr>
        <w:footnoteReference w:id="3"/>
      </w:r>
      <w:r w:rsidR="00424120" w:rsidRPr="004673B0">
        <w:t>, informace získané z veřejných zdrojů</w:t>
      </w:r>
      <w:r w:rsidR="001F0228" w:rsidRPr="004673B0">
        <w:rPr>
          <w:rStyle w:val="Znakapoznpodarou"/>
        </w:rPr>
        <w:footnoteReference w:id="4"/>
      </w:r>
      <w:r w:rsidRPr="004673B0">
        <w:t xml:space="preserve"> a faktory, které mohou ovlivnit vývoj hospodářské soutěže na relevantních trzích v nadcházejícím relevantním období, pro které Úřad trh analyzuje</w:t>
      </w:r>
      <w:r w:rsidR="00424120" w:rsidRPr="004673B0">
        <w:t xml:space="preserve"> (dále jen „dostupné informace“)</w:t>
      </w:r>
      <w:r w:rsidRPr="004673B0">
        <w:t>.</w:t>
      </w:r>
    </w:p>
    <w:p w:rsidR="00F45280" w:rsidRPr="004673B0" w:rsidRDefault="00F45280" w:rsidP="00CC7E23">
      <w:r w:rsidRPr="004673B0">
        <w:t xml:space="preserve">Úřad v rámci plnění svých regulačních úkolů postupuje při analýze relevantních trhů takovým způsobem, </w:t>
      </w:r>
      <w:r w:rsidR="009B7D94">
        <w:t>který</w:t>
      </w:r>
      <w:r w:rsidRPr="004673B0">
        <w:t xml:space="preserve"> zaj</w:t>
      </w:r>
      <w:r w:rsidR="009B7D94">
        <w:t>istí</w:t>
      </w:r>
      <w:r w:rsidRPr="004673B0">
        <w:t xml:space="preserve"> splnění cílů stanovených v čl. 8 rámcové směrnice, tj. podporuje hospodářskou soutěž, přispívá k rozvoji vnitřního trhu a prosazuje zájmy občanů</w:t>
      </w:r>
      <w:r w:rsidR="00DA4B99" w:rsidRPr="004673B0">
        <w:t xml:space="preserve"> členských států</w:t>
      </w:r>
      <w:r w:rsidR="00CF032E" w:rsidRPr="004673B0">
        <w:t xml:space="preserve"> Evropské unie.</w:t>
      </w:r>
    </w:p>
    <w:p w:rsidR="00F1715B" w:rsidRPr="004673B0" w:rsidRDefault="00F45280" w:rsidP="00972080">
      <w:r w:rsidRPr="004673B0">
        <w:t xml:space="preserve">Metodiku </w:t>
      </w:r>
      <w:r w:rsidR="004252E8" w:rsidRPr="004673B0">
        <w:t xml:space="preserve">Úřad </w:t>
      </w:r>
      <w:r w:rsidR="00972080" w:rsidRPr="004673B0">
        <w:t>aktualizuje</w:t>
      </w:r>
      <w:r w:rsidR="004252E8" w:rsidRPr="004673B0">
        <w:t>,</w:t>
      </w:r>
      <w:r w:rsidRPr="004673B0">
        <w:t xml:space="preserve"> když dojde</w:t>
      </w:r>
      <w:r w:rsidR="002B09AB" w:rsidRPr="004673B0">
        <w:t xml:space="preserve"> k zásadnímu posunu </w:t>
      </w:r>
      <w:r w:rsidR="00C05A3D" w:rsidRPr="004673B0">
        <w:t xml:space="preserve">v </w:t>
      </w:r>
      <w:r w:rsidR="002B09AB" w:rsidRPr="004673B0">
        <w:t>přístupu k některé části analýzy relevantní</w:t>
      </w:r>
      <w:r w:rsidR="00A576DB" w:rsidRPr="004673B0">
        <w:t>ch</w:t>
      </w:r>
      <w:r w:rsidR="002B09AB" w:rsidRPr="004673B0">
        <w:t xml:space="preserve"> </w:t>
      </w:r>
      <w:r w:rsidR="00A576DB" w:rsidRPr="004673B0">
        <w:t xml:space="preserve">trhů </w:t>
      </w:r>
      <w:r w:rsidR="002B09AB" w:rsidRPr="004673B0">
        <w:t>v důsledku</w:t>
      </w:r>
      <w:r w:rsidRPr="004673B0">
        <w:t> </w:t>
      </w:r>
      <w:r w:rsidR="002B09AB" w:rsidRPr="004673B0">
        <w:t xml:space="preserve">aktualizace </w:t>
      </w:r>
      <w:r w:rsidRPr="004673B0">
        <w:t>předpisů a dalších dokumentů, ze kterých Úřad při analýze</w:t>
      </w:r>
      <w:r w:rsidR="004252E8" w:rsidRPr="004673B0">
        <w:t xml:space="preserve"> relevantních trhů vychází</w:t>
      </w:r>
      <w:r w:rsidRPr="004673B0">
        <w:t>.</w:t>
      </w:r>
      <w:r w:rsidR="002B09AB" w:rsidRPr="004673B0">
        <w:t xml:space="preserve"> V případě aktualizace dokumentů, které jsou součástí legislativního rámce Metodiky, ale v důsledku kterých nedojde ke změně postupu Úřadu</w:t>
      </w:r>
      <w:r w:rsidR="005B1E5D" w:rsidRPr="004673B0">
        <w:t>,</w:t>
      </w:r>
      <w:r w:rsidR="002B09AB" w:rsidRPr="004673B0">
        <w:t xml:space="preserve"> nebude změna Metodi</w:t>
      </w:r>
      <w:r w:rsidR="00CF032E" w:rsidRPr="004673B0">
        <w:t>ky podléhat veřejné konzultaci.</w:t>
      </w:r>
    </w:p>
    <w:p w:rsidR="00F45280" w:rsidRPr="004673B0" w:rsidRDefault="00F45280" w:rsidP="004035B4">
      <w:pPr>
        <w:pStyle w:val="N2"/>
      </w:pPr>
      <w:bookmarkStart w:id="13" w:name="_Toc423356106"/>
      <w:bookmarkStart w:id="14" w:name="_Toc423360984"/>
      <w:bookmarkStart w:id="15" w:name="_Toc440374055"/>
      <w:r w:rsidRPr="004673B0">
        <w:t>Legislativní rámec</w:t>
      </w:r>
      <w:bookmarkEnd w:id="13"/>
      <w:bookmarkEnd w:id="14"/>
      <w:bookmarkEnd w:id="15"/>
      <w:r w:rsidRPr="004673B0">
        <w:t xml:space="preserve"> </w:t>
      </w:r>
    </w:p>
    <w:p w:rsidR="00F75BFA" w:rsidRPr="004673B0" w:rsidRDefault="00F45280" w:rsidP="00F75BFA">
      <w:r w:rsidRPr="004673B0">
        <w:t>Úřad provádí analýzu relevantních trhů v oboru elekt</w:t>
      </w:r>
      <w:r w:rsidR="005B7473" w:rsidRPr="004673B0">
        <w:t>ronických komunikací v souladu</w:t>
      </w:r>
      <w:r w:rsidR="009B7D94">
        <w:t>:</w:t>
      </w:r>
    </w:p>
    <w:p w:rsidR="00F45280" w:rsidRPr="004673B0" w:rsidRDefault="00F45280" w:rsidP="00F75BFA">
      <w:pPr>
        <w:pStyle w:val="Odstavecseseznamem"/>
        <w:numPr>
          <w:ilvl w:val="0"/>
          <w:numId w:val="42"/>
        </w:numPr>
      </w:pPr>
      <w:r w:rsidRPr="004673B0">
        <w:t xml:space="preserve">s platnými právními předpisy České republiky pro oblast elektronických komunikací, kterými ke dni vydání Metodiky jsou: </w:t>
      </w:r>
    </w:p>
    <w:p w:rsidR="00F45280" w:rsidRPr="004673B0" w:rsidRDefault="00F45280" w:rsidP="00CC7E23">
      <w:pPr>
        <w:pStyle w:val="Bulletpoint"/>
      </w:pPr>
      <w:r w:rsidRPr="004673B0">
        <w:t>Zákon č. 127/2005 Sb., o elektronických komunikacích a o změně některých souvisejících zákonů</w:t>
      </w:r>
      <w:r w:rsidR="005B7473" w:rsidRPr="004673B0">
        <w:t xml:space="preserve"> (zákon o elektronických komunikacích),</w:t>
      </w:r>
      <w:r w:rsidRPr="004673B0">
        <w:t xml:space="preserve"> ve znění pozdějších předpisů</w:t>
      </w:r>
      <w:r w:rsidR="00F75BFA" w:rsidRPr="004673B0">
        <w:t>,</w:t>
      </w:r>
      <w:r w:rsidR="005B7473" w:rsidRPr="004673B0">
        <w:t xml:space="preserve"> (dále jen „Zákon“),</w:t>
      </w:r>
    </w:p>
    <w:p w:rsidR="00F45280" w:rsidRPr="004673B0" w:rsidRDefault="00F45280" w:rsidP="00CC7E23">
      <w:pPr>
        <w:pStyle w:val="Bulletpoint"/>
      </w:pPr>
      <w:r w:rsidRPr="004673B0">
        <w:t>Vyhláška</w:t>
      </w:r>
      <w:r w:rsidR="00F75BFA" w:rsidRPr="004673B0">
        <w:t xml:space="preserve"> Ministerstva průmyslu a obchodu</w:t>
      </w:r>
      <w:r w:rsidRPr="004673B0">
        <w:t xml:space="preserve"> č. 228/2012 Sb., o stanovení kritérií pro posuzování, zda má více subjektů společnou významnou tržní sílu na relevantním trhu elektronických komunikací (dále jen „Vyhláška“)</w:t>
      </w:r>
      <w:r w:rsidR="00F75BFA" w:rsidRPr="004673B0">
        <w:t>,</w:t>
      </w:r>
    </w:p>
    <w:p w:rsidR="00F45280" w:rsidRPr="004673B0" w:rsidRDefault="00F45280" w:rsidP="00CC7E23">
      <w:pPr>
        <w:pStyle w:val="Bulletpoint"/>
      </w:pPr>
      <w:r w:rsidRPr="004673B0">
        <w:t>Opatření obecné povahy č. OOP/1/04.2015-2, kterým se stanoví relevantní trhy v oboru elektronických komunikací, včetně kritérií pro hodnocení významné tržní síly (dále jen „Opatření“)</w:t>
      </w:r>
      <w:r w:rsidR="009B7D94">
        <w:t>;</w:t>
      </w:r>
    </w:p>
    <w:p w:rsidR="00F45280" w:rsidRPr="004673B0" w:rsidRDefault="00F45280" w:rsidP="00F75BFA">
      <w:pPr>
        <w:pStyle w:val="abcd"/>
        <w:numPr>
          <w:ilvl w:val="0"/>
          <w:numId w:val="42"/>
        </w:numPr>
      </w:pPr>
      <w:r w:rsidRPr="004673B0">
        <w:t>s předpisy regulačního rámce EU pro ob</w:t>
      </w:r>
      <w:r w:rsidR="00C07B97" w:rsidRPr="004673B0">
        <w:t>last elektronických komunikací:</w:t>
      </w:r>
    </w:p>
    <w:p w:rsidR="00F45280" w:rsidRPr="004673B0" w:rsidRDefault="00F45280" w:rsidP="00CC7E23">
      <w:pPr>
        <w:pStyle w:val="Bulletpoint"/>
      </w:pPr>
      <w:r w:rsidRPr="004673B0">
        <w:t>Směrnice Evropského parlamentu a Rady 2002/21/ES o společn</w:t>
      </w:r>
      <w:r w:rsidR="006E3C0E" w:rsidRPr="004673B0">
        <w:t>ém předpisovém rámci pro sítě a </w:t>
      </w:r>
      <w:r w:rsidRPr="004673B0">
        <w:t>služby elektronických komunikací (dále jen „rámcová směrnice“), ve znění účinném ke dni vydání opatření obecné povahy, k</w:t>
      </w:r>
      <w:r w:rsidR="00F75BFA" w:rsidRPr="004673B0">
        <w:t>terým se stanoví relevantní trhy</w:t>
      </w:r>
      <w:r w:rsidR="006E3C0E" w:rsidRPr="004673B0">
        <w:t>,</w:t>
      </w:r>
    </w:p>
    <w:p w:rsidR="00F45280" w:rsidRPr="004673B0" w:rsidRDefault="00F45280" w:rsidP="00CC7E23">
      <w:pPr>
        <w:pStyle w:val="Bulletpoint"/>
      </w:pPr>
      <w:r w:rsidRPr="004673B0">
        <w:t>Směrnice Evropského parlamentu a Rady 2002/20/ES o oprávnění pro sítě a služby elektronických komunikací (dále jen „autorizační směrnice“), ve znění účinném ke dni vydání opatření obecné povahy, kterým se stanoví releva</w:t>
      </w:r>
      <w:r w:rsidR="006E3C0E" w:rsidRPr="004673B0">
        <w:t>ntní trhy,</w:t>
      </w:r>
    </w:p>
    <w:p w:rsidR="00F45280" w:rsidRPr="004673B0" w:rsidRDefault="00F45280" w:rsidP="00CC7E23">
      <w:pPr>
        <w:pStyle w:val="Bulletpoint"/>
      </w:pPr>
      <w:r w:rsidRPr="004673B0">
        <w:t>Směrnice Evropského parlamentu a Rady 2002/22/ES o univerzální službě a právech uživatelů týkajících se sítí a služeb elektronických komunikací (dále jen „směrnice o univerzální službě“), ve znění účinném ke dni vydání opatření obecné povahy, kte</w:t>
      </w:r>
      <w:r w:rsidR="006E3C0E" w:rsidRPr="004673B0">
        <w:t>rým se stanoví relevantní trhy,</w:t>
      </w:r>
    </w:p>
    <w:p w:rsidR="00F45280" w:rsidRPr="004673B0" w:rsidRDefault="00F45280" w:rsidP="00CC7E23">
      <w:pPr>
        <w:pStyle w:val="Bulletpoint"/>
      </w:pPr>
      <w:r w:rsidRPr="004673B0">
        <w:t>Směrnice Evropského parlamentu a Rady 2002/19/ES o přístupu k sítím elektronických komunikací a přiřazeným zařízením a o jejich vzájemném propojení (dále jen „přístupová směrnice“), ve znění účinném ke dni vydání opatření obecné povahy, kter</w:t>
      </w:r>
      <w:r w:rsidR="00CF032E" w:rsidRPr="004673B0">
        <w:t>ým se stanoví relevantní trhy,</w:t>
      </w:r>
    </w:p>
    <w:p w:rsidR="00F45280" w:rsidRPr="004673B0" w:rsidRDefault="00F45280" w:rsidP="00CC7E23">
      <w:pPr>
        <w:pStyle w:val="Bulletpoint"/>
      </w:pPr>
      <w:r w:rsidRPr="004673B0">
        <w:t>Směrnice Evropského parlamentu a Rady 2002/58/ES o zpracování osobních údajů a ochraně soukromí v odvětví elektronických komunikací (dále jen „</w:t>
      </w:r>
      <w:r w:rsidR="00FC1618" w:rsidRPr="004673B0">
        <w:t>s</w:t>
      </w:r>
      <w:r w:rsidRPr="004673B0">
        <w:t xml:space="preserve">měrnice o soukromí a elektronických komunikacích“), ve znění účinném ke dni vydání opatření obecné povahy, kterým se stanoví relevantní trhy, </w:t>
      </w:r>
    </w:p>
    <w:p w:rsidR="00F45280" w:rsidRPr="004673B0" w:rsidRDefault="00F45280" w:rsidP="00CC7E23">
      <w:pPr>
        <w:pStyle w:val="Bulletpoint"/>
      </w:pPr>
      <w:r w:rsidRPr="004673B0">
        <w:t>Směrnice Komise 2002/77/ES o hospodářské soutěži na trzích sítí a služeb elektronických komunikací ve znění účinném ke dni vydání opatření obecné povahy, kterým se stanoví relevantní trhy</w:t>
      </w:r>
      <w:r w:rsidR="009B7D94">
        <w:t>;</w:t>
      </w:r>
    </w:p>
    <w:p w:rsidR="00F45280" w:rsidRPr="004673B0" w:rsidRDefault="00F45280" w:rsidP="00F75BFA">
      <w:pPr>
        <w:pStyle w:val="abcd"/>
        <w:numPr>
          <w:ilvl w:val="0"/>
          <w:numId w:val="42"/>
        </w:numPr>
      </w:pPr>
      <w:r w:rsidRPr="004673B0">
        <w:t>s </w:t>
      </w:r>
      <w:r w:rsidR="00401BE9" w:rsidRPr="004673B0">
        <w:t>relevantními</w:t>
      </w:r>
      <w:r w:rsidR="006E3C0E" w:rsidRPr="004673B0">
        <w:t xml:space="preserve"> dokumenty Evropské komise:</w:t>
      </w:r>
    </w:p>
    <w:p w:rsidR="00F45280" w:rsidRPr="004673B0" w:rsidRDefault="00F45280" w:rsidP="00CC7E23">
      <w:pPr>
        <w:pStyle w:val="Bulletpoint"/>
      </w:pPr>
      <w:r w:rsidRPr="004673B0">
        <w:t>Doporučení Komise 2008/850/ES ze dne 15. října 2008 o oznámeních, lhůtách a konzultacích stanovených v článku 7 směrnice Evropského parlamentu a Rady 2002/21/ES o společném předpisovém rámci pro sítě a s</w:t>
      </w:r>
      <w:r w:rsidR="006E3C0E" w:rsidRPr="004673B0">
        <w:t>lužby elektronických komunikací,</w:t>
      </w:r>
    </w:p>
    <w:p w:rsidR="00F45280" w:rsidRPr="004673B0" w:rsidRDefault="00F45280" w:rsidP="00CC7E23">
      <w:pPr>
        <w:pStyle w:val="Bulletpoint"/>
      </w:pPr>
      <w:r w:rsidRPr="004673B0">
        <w:t>Doporučení Komise 2014/710/EU ze dne 9. října 2014 o relevant</w:t>
      </w:r>
      <w:r w:rsidR="006E3C0E" w:rsidRPr="004673B0">
        <w:t>ních trzích produktů a služeb v </w:t>
      </w:r>
      <w:r w:rsidRPr="004673B0">
        <w:t>odvětví elektronických komunikací, které připadají v úvahu pro regulaci ex ante podle směrnice Evropského parlamentu a Rady 2002/21/ES o společném předpisovém rámci pro sítě a služby elektronických komunikací (dále jen „Dop</w:t>
      </w:r>
      <w:r w:rsidR="006E3C0E" w:rsidRPr="004673B0">
        <w:t>oručení o relevantních trzích“),</w:t>
      </w:r>
    </w:p>
    <w:p w:rsidR="00F45280" w:rsidRPr="004673B0" w:rsidRDefault="00F45280" w:rsidP="006E3C0E">
      <w:pPr>
        <w:pStyle w:val="Bulletpoint"/>
      </w:pPr>
      <w:r w:rsidRPr="004673B0">
        <w:t xml:space="preserve">Vysvětlující </w:t>
      </w:r>
      <w:r w:rsidR="00C40E6A" w:rsidRPr="004673B0">
        <w:t xml:space="preserve">zpráva </w:t>
      </w:r>
      <w:r w:rsidRPr="004673B0">
        <w:t xml:space="preserve">týkající se doporučení </w:t>
      </w:r>
      <w:r w:rsidR="006E3C0E" w:rsidRPr="004673B0">
        <w:t>Komise 2014/710/EU ze dne 9. října 2014 o relevantních trzích produktů a služeb v odvětví elektronických komunikací, které připadají v úvahu pro regulaci ex ante podle směrnice Evropského parlamentu a Rady 2002/21/ES o společném předpisovém rámci pro sítě a služby elektronických komunikací</w:t>
      </w:r>
      <w:r w:rsidRPr="004673B0">
        <w:t xml:space="preserve"> (SWD(2014) 298) (dále jen „Vysvětlující </w:t>
      </w:r>
      <w:r w:rsidR="00C40E6A" w:rsidRPr="004673B0">
        <w:t>zpráva</w:t>
      </w:r>
      <w:r w:rsidR="006E3C0E" w:rsidRPr="004673B0">
        <w:t>“),</w:t>
      </w:r>
    </w:p>
    <w:p w:rsidR="00F45280" w:rsidRPr="004673B0" w:rsidRDefault="00F45280" w:rsidP="00CC7E23">
      <w:pPr>
        <w:pStyle w:val="Bulletpoint"/>
      </w:pPr>
      <w:r w:rsidRPr="004673B0">
        <w:t>Rozhodnutí Komise 2007/176/ES ze dne 11. prosince 2006 Seznam norem a/nebo specifikací pro sítě a služby elektronických komunikací a přiřazená zařízení a doplňkové služby, který nahrazuje všechny předchozí verze</w:t>
      </w:r>
      <w:r w:rsidR="00C10CF7" w:rsidRPr="004673B0">
        <w:t>,</w:t>
      </w:r>
    </w:p>
    <w:p w:rsidR="00F45280" w:rsidRPr="004673B0" w:rsidRDefault="00F45280" w:rsidP="00CC7E23">
      <w:pPr>
        <w:pStyle w:val="Bulletpoint"/>
      </w:pPr>
      <w:r w:rsidRPr="004673B0">
        <w:t>Pokyny Komise týkající se analýzy trhů a stanovení významné tržní síly v souladu s regulačním rámcem EU pro sítě a služby elektronických komunikací ze dne 11. července 2002 (2002/C165/</w:t>
      </w:r>
      <w:r w:rsidR="00C10CF7" w:rsidRPr="004673B0">
        <w:t>03), (dále jen „Pokyny Komise“),</w:t>
      </w:r>
    </w:p>
    <w:p w:rsidR="00F45280" w:rsidRPr="004673B0" w:rsidRDefault="00F45280" w:rsidP="00CC7E23">
      <w:pPr>
        <w:pStyle w:val="Bulletpoint"/>
      </w:pPr>
      <w:r w:rsidRPr="004673B0">
        <w:t>Doporučení Evropské komise č. 2010/572/EU o regulovaném přístupu k přístu</w:t>
      </w:r>
      <w:r w:rsidR="00C10CF7" w:rsidRPr="004673B0">
        <w:t>povým sítím nové generace (NGA),</w:t>
      </w:r>
    </w:p>
    <w:p w:rsidR="00F45280" w:rsidRPr="004673B0" w:rsidRDefault="00F45280" w:rsidP="00CC7E23">
      <w:pPr>
        <w:pStyle w:val="Bulletpoint"/>
      </w:pPr>
      <w:r w:rsidRPr="004673B0">
        <w:t>Doporučení Evropské komise č. 2013/466/EU o konzistentníc</w:t>
      </w:r>
      <w:r w:rsidR="00C10CF7" w:rsidRPr="004673B0">
        <w:t>h povinnostech nediskriminace a </w:t>
      </w:r>
      <w:r w:rsidRPr="004673B0">
        <w:t>metodikách výpočtu nákladů s cílem podpořit hospodářskou soutěž a zlepšit podmínky pro investice do širokopásmového připojení (dále jen „Doporučení o nediskriminaci“)</w:t>
      </w:r>
      <w:r w:rsidR="00C10CF7" w:rsidRPr="004673B0">
        <w:t>,</w:t>
      </w:r>
    </w:p>
    <w:p w:rsidR="00F45280" w:rsidRPr="004673B0" w:rsidRDefault="00F45280" w:rsidP="00CC7E23">
      <w:pPr>
        <w:pStyle w:val="Bulletpoint"/>
      </w:pPr>
      <w:r w:rsidRPr="004673B0">
        <w:t>Sdělení Komise o definici relevantního trhu pro účely práva hospodářské soutěže Společenství (97/C 372/03), (dále jen „Sdělení Komise“)</w:t>
      </w:r>
      <w:r w:rsidR="00F75BFA" w:rsidRPr="004673B0">
        <w:t>.</w:t>
      </w:r>
    </w:p>
    <w:p w:rsidR="00F45280" w:rsidRPr="004673B0" w:rsidRDefault="00F45280" w:rsidP="00F45280">
      <w:r w:rsidRPr="004673B0">
        <w:t>Seznam předpisů, v souladu se kterými Úřad postupuje</w:t>
      </w:r>
      <w:r w:rsidR="00973281" w:rsidRPr="004673B0">
        <w:t>,</w:t>
      </w:r>
      <w:r w:rsidRPr="004673B0">
        <w:t xml:space="preserve"> je platný ke dni vydání Metodiky. Úřad bude při každé analýze trhu postupovat v souladu s právními předpisy relevantními pro provádění analýz trhů účinnými v době vydání opatření obecné povahy, kterým se vydává analýza relevantního trhu</w:t>
      </w:r>
      <w:r w:rsidR="00B8270B" w:rsidRPr="004673B0">
        <w:t xml:space="preserve"> dle § 51 odst. 1 </w:t>
      </w:r>
      <w:r w:rsidR="00973281" w:rsidRPr="004673B0">
        <w:t>Zákona</w:t>
      </w:r>
      <w:r w:rsidRPr="004673B0">
        <w:t>.</w:t>
      </w:r>
    </w:p>
    <w:p w:rsidR="00F45280" w:rsidRPr="004673B0" w:rsidRDefault="00F45280" w:rsidP="004035B4">
      <w:pPr>
        <w:pStyle w:val="N1"/>
      </w:pPr>
      <w:bookmarkStart w:id="16" w:name="_Toc423356108"/>
      <w:bookmarkStart w:id="17" w:name="_Toc423360986"/>
      <w:bookmarkStart w:id="18" w:name="_Ref433022697"/>
      <w:bookmarkStart w:id="19" w:name="_Toc440374056"/>
      <w:bookmarkStart w:id="20" w:name="_Ref441157253"/>
      <w:bookmarkStart w:id="21" w:name="_Ref441221911"/>
      <w:bookmarkStart w:id="22" w:name="_Ref441241770"/>
      <w:r w:rsidRPr="004673B0">
        <w:t>Vymezení (definování) trhu</w:t>
      </w:r>
      <w:bookmarkEnd w:id="16"/>
      <w:bookmarkEnd w:id="17"/>
      <w:bookmarkEnd w:id="18"/>
      <w:bookmarkEnd w:id="19"/>
      <w:bookmarkEnd w:id="20"/>
      <w:bookmarkEnd w:id="21"/>
      <w:bookmarkEnd w:id="22"/>
    </w:p>
    <w:p w:rsidR="00F45280" w:rsidRPr="004673B0" w:rsidRDefault="00F45280" w:rsidP="004035B4">
      <w:pPr>
        <w:pStyle w:val="N2"/>
      </w:pPr>
      <w:bookmarkStart w:id="23" w:name="_Toc423356109"/>
      <w:bookmarkStart w:id="24" w:name="_Toc423360987"/>
      <w:bookmarkStart w:id="25" w:name="_Toc440374057"/>
      <w:r w:rsidRPr="004673B0">
        <w:t>Úvod</w:t>
      </w:r>
      <w:bookmarkEnd w:id="23"/>
      <w:bookmarkEnd w:id="24"/>
      <w:bookmarkEnd w:id="25"/>
      <w:r w:rsidRPr="004673B0">
        <w:t xml:space="preserve"> </w:t>
      </w:r>
      <w:bookmarkStart w:id="26" w:name="_Toc417381589"/>
      <w:bookmarkStart w:id="27" w:name="_Toc417381819"/>
      <w:bookmarkStart w:id="28" w:name="_Toc417381933"/>
      <w:bookmarkStart w:id="29" w:name="_Toc417382039"/>
      <w:bookmarkStart w:id="30" w:name="_Toc419213292"/>
      <w:bookmarkStart w:id="31" w:name="_Toc419213493"/>
      <w:bookmarkStart w:id="32" w:name="_Toc422494187"/>
      <w:bookmarkStart w:id="33" w:name="_Toc422741448"/>
      <w:bookmarkStart w:id="34" w:name="_Toc422741568"/>
      <w:bookmarkStart w:id="35" w:name="_Toc422852101"/>
      <w:bookmarkStart w:id="36" w:name="_Toc423004459"/>
      <w:bookmarkStart w:id="37" w:name="_Toc423356043"/>
      <w:bookmarkStart w:id="38" w:name="_Toc423356110"/>
      <w:bookmarkStart w:id="39" w:name="_Toc419213295"/>
      <w:bookmarkStart w:id="40" w:name="_Toc419213496"/>
      <w:bookmarkStart w:id="41" w:name="_Toc422494190"/>
      <w:bookmarkStart w:id="42" w:name="_Toc422741451"/>
      <w:bookmarkStart w:id="43" w:name="_Toc422741571"/>
      <w:bookmarkStart w:id="44" w:name="_Toc422852104"/>
      <w:bookmarkStart w:id="45" w:name="_Toc423004462"/>
      <w:bookmarkStart w:id="46" w:name="_Toc423356046"/>
      <w:bookmarkStart w:id="47" w:name="_Toc423356113"/>
      <w:bookmarkStart w:id="48" w:name="_Toc417381593"/>
      <w:bookmarkStart w:id="49" w:name="_Toc417381823"/>
      <w:bookmarkStart w:id="50" w:name="_Toc417381937"/>
      <w:bookmarkStart w:id="51" w:name="_Toc417382043"/>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84881" w:rsidRPr="004673B0" w:rsidRDefault="00F45280" w:rsidP="00F45280">
      <w:pPr>
        <w:keepNext/>
      </w:pPr>
      <w:bookmarkStart w:id="52" w:name="_Toc419213296"/>
      <w:bookmarkStart w:id="53" w:name="_Toc419213497"/>
      <w:r w:rsidRPr="004673B0">
        <w:t>Vymezení neboli definování</w:t>
      </w:r>
      <w:r w:rsidRPr="004673B0">
        <w:rPr>
          <w:rStyle w:val="Znakapoznpodarou"/>
        </w:rPr>
        <w:footnoteReference w:id="5"/>
      </w:r>
      <w:r w:rsidRPr="004673B0">
        <w:t xml:space="preserve"> trhu je prvním krokem, který Úřad provádí </w:t>
      </w:r>
      <w:r w:rsidR="000707FA" w:rsidRPr="004673B0">
        <w:t xml:space="preserve">v rámci procesu </w:t>
      </w:r>
      <w:r w:rsidRPr="004673B0">
        <w:t>analýz</w:t>
      </w:r>
      <w:r w:rsidR="000707FA" w:rsidRPr="004673B0">
        <w:t>y</w:t>
      </w:r>
      <w:r w:rsidRPr="004673B0">
        <w:t xml:space="preserve"> relevantní</w:t>
      </w:r>
      <w:r w:rsidR="000707FA" w:rsidRPr="004673B0">
        <w:t>ho</w:t>
      </w:r>
      <w:r w:rsidRPr="004673B0">
        <w:t xml:space="preserve"> trh</w:t>
      </w:r>
      <w:r w:rsidR="000707FA" w:rsidRPr="004673B0">
        <w:t>u</w:t>
      </w:r>
      <w:r w:rsidRPr="004673B0">
        <w:t>. Proces vymezení trhu není izolovanou činností Úřadu a</w:t>
      </w:r>
      <w:r w:rsidR="00973281" w:rsidRPr="004673B0">
        <w:t xml:space="preserve"> vymezení trhu</w:t>
      </w:r>
      <w:r w:rsidRPr="004673B0">
        <w:t xml:space="preserve"> není cílem samo o sobě, jedná se o součást komplexní analýzy relevantního trhu za účelem zjištění, zda je určitý trh efektivně konkurenční a zda je na něm potřebné ukládat </w:t>
      </w:r>
      <w:r w:rsidR="00FC4F43" w:rsidRPr="004673B0">
        <w:t xml:space="preserve">nápravná opatření </w:t>
      </w:r>
      <w:r w:rsidRPr="004673B0">
        <w:t>podnikům s významnou tržní silou. Vymezení trhu má zcela stěžejní důležitost pro další kroky Úřadu při analýze relevantního trhu, jelikož efektivní hospodářskou soutěž lze analyzovat pouze a jen s ohledem na vymezený relevantní trh.</w:t>
      </w:r>
      <w:r w:rsidRPr="004673B0">
        <w:rPr>
          <w:rStyle w:val="Znakapoznpodarou"/>
        </w:rPr>
        <w:footnoteReference w:id="6"/>
      </w:r>
      <w:r w:rsidRPr="004673B0">
        <w:t xml:space="preserve"> </w:t>
      </w:r>
      <w:r w:rsidR="007705F3" w:rsidRPr="004673B0">
        <w:t>Další činnosti Úřad</w:t>
      </w:r>
      <w:r w:rsidR="00973281" w:rsidRPr="004673B0">
        <w:t>u</w:t>
      </w:r>
      <w:r w:rsidR="007705F3" w:rsidRPr="004673B0">
        <w:t xml:space="preserve"> při analýze relevantních trhů, např</w:t>
      </w:r>
      <w:r w:rsidRPr="004673B0">
        <w:t>. zkoumání, zda na daném relevantním trhu existuje podnik s významnou tržní s</w:t>
      </w:r>
      <w:r w:rsidR="00E6708A" w:rsidRPr="004673B0">
        <w:t>i</w:t>
      </w:r>
      <w:r w:rsidRPr="004673B0">
        <w:t>lou</w:t>
      </w:r>
      <w:r w:rsidR="007705F3" w:rsidRPr="004673B0">
        <w:t>,</w:t>
      </w:r>
      <w:r w:rsidRPr="004673B0">
        <w:t xml:space="preserve"> nelze bez předchozího vymezení trhu provést.</w:t>
      </w:r>
    </w:p>
    <w:p w:rsidR="00684881" w:rsidRPr="004673B0" w:rsidRDefault="00684881" w:rsidP="00684881">
      <w:pPr>
        <w:pStyle w:val="Nadpis3"/>
      </w:pPr>
      <w:r w:rsidRPr="004673B0">
        <w:t>Trhy uvedené v Doporučení o relevantních trzích</w:t>
      </w:r>
    </w:p>
    <w:p w:rsidR="00684881" w:rsidRPr="004673B0" w:rsidRDefault="00684881" w:rsidP="00684881">
      <w:r w:rsidRPr="004673B0">
        <w:t>Úřad dle této kapitoly Metodiky vždy vymezí trhy uvedené v účinném Doporučení o relevantních trzích, které jsou dle Komise považovány za trhy náchylné k nedostatku efektivní konkurence. Po vymezení trhů uvedených v Doporučení o relevantních trzích pokračuje Úřad</w:t>
      </w:r>
      <w:r w:rsidR="00D465D0" w:rsidRPr="004673B0">
        <w:t xml:space="preserve"> v analýze</w:t>
      </w:r>
      <w:r w:rsidRPr="004673B0">
        <w:t xml:space="preserve"> ve vztahu k těmto vymezený</w:t>
      </w:r>
      <w:r w:rsidR="00D465D0" w:rsidRPr="004673B0">
        <w:t>m</w:t>
      </w:r>
      <w:r w:rsidRPr="004673B0">
        <w:t xml:space="preserve"> </w:t>
      </w:r>
      <w:r w:rsidR="00D465D0" w:rsidRPr="004673B0">
        <w:t xml:space="preserve">relevantním </w:t>
      </w:r>
      <w:r w:rsidRPr="004673B0">
        <w:t>trhů</w:t>
      </w:r>
      <w:r w:rsidR="00D465D0" w:rsidRPr="004673B0">
        <w:t>m</w:t>
      </w:r>
      <w:r w:rsidRPr="004673B0">
        <w:t xml:space="preserve"> dle kapitoly č. </w:t>
      </w:r>
      <w:r w:rsidR="00D465D0" w:rsidRPr="004673B0">
        <w:fldChar w:fldCharType="begin"/>
      </w:r>
      <w:r w:rsidR="00D465D0" w:rsidRPr="004673B0">
        <w:instrText xml:space="preserve"> REF _Ref441221772 \r \h </w:instrText>
      </w:r>
      <w:r w:rsidR="004673B0">
        <w:instrText xml:space="preserve"> \* MERGEFORMAT </w:instrText>
      </w:r>
      <w:r w:rsidR="00D465D0" w:rsidRPr="004673B0">
        <w:fldChar w:fldCharType="separate"/>
      </w:r>
      <w:r w:rsidR="00067C1B">
        <w:t>4</w:t>
      </w:r>
      <w:r w:rsidR="00D465D0" w:rsidRPr="004673B0">
        <w:fldChar w:fldCharType="end"/>
      </w:r>
      <w:r w:rsidRPr="004673B0">
        <w:t xml:space="preserve"> této Metodiky.</w:t>
      </w:r>
    </w:p>
    <w:p w:rsidR="00684881" w:rsidRPr="004673B0" w:rsidRDefault="00684881" w:rsidP="00684881">
      <w:r w:rsidRPr="004673B0">
        <w:rPr>
          <w:lang w:eastAsia="cs-CZ"/>
        </w:rPr>
        <w:drawing>
          <wp:inline distT="0" distB="0" distL="0" distR="0" wp14:anchorId="2718E835" wp14:editId="0191072F">
            <wp:extent cx="5486400" cy="1850795"/>
            <wp:effectExtent l="76200" t="0" r="952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84881" w:rsidRPr="004673B0" w:rsidRDefault="00684881" w:rsidP="00684881">
      <w:pPr>
        <w:pStyle w:val="Nadpis3"/>
      </w:pPr>
      <w:r w:rsidRPr="004673B0">
        <w:t>Trhy neuvedené v Doporučení o relevantnívh trzích</w:t>
      </w:r>
    </w:p>
    <w:p w:rsidR="00684881" w:rsidRPr="004673B0" w:rsidRDefault="00684881" w:rsidP="00684881">
      <w:r w:rsidRPr="004673B0">
        <w:t xml:space="preserve">Úřad může vymezit i jiné trhy než ty, které jsou uvedené v Doporučení o relevantních trzích. Úřad nejdříve takový trh předběžně identifikuje, tedy krátkým popisem označí trh k budoucímu vymezení, ve vazbě na konkrétní potenciální soutěžní problémy, které má analýza relevantního trhu adresovat. Následně trh vymezí v souladu s postupem dle této kapitoly č. </w:t>
      </w:r>
      <w:r w:rsidR="00D465D0" w:rsidRPr="004673B0">
        <w:fldChar w:fldCharType="begin"/>
      </w:r>
      <w:r w:rsidR="00D465D0" w:rsidRPr="004673B0">
        <w:instrText xml:space="preserve"> REF _Ref441221911 \r \h </w:instrText>
      </w:r>
      <w:r w:rsidR="004673B0">
        <w:instrText xml:space="preserve"> \* MERGEFORMAT </w:instrText>
      </w:r>
      <w:r w:rsidR="00D465D0" w:rsidRPr="004673B0">
        <w:fldChar w:fldCharType="separate"/>
      </w:r>
      <w:r w:rsidR="00067C1B">
        <w:t>3</w:t>
      </w:r>
      <w:r w:rsidR="00D465D0" w:rsidRPr="004673B0">
        <w:fldChar w:fldCharType="end"/>
      </w:r>
      <w:r w:rsidRPr="004673B0">
        <w:t xml:space="preserve"> Metodiky. Na věcně, územně i časově vymezeném relevantním trhu následně provede test tří kritérií dle kapitioly č. </w:t>
      </w:r>
      <w:r w:rsidR="00D465D0" w:rsidRPr="004673B0">
        <w:fldChar w:fldCharType="begin"/>
      </w:r>
      <w:r w:rsidR="00D465D0" w:rsidRPr="004673B0">
        <w:instrText xml:space="preserve"> REF _Ref441221931 \r \h </w:instrText>
      </w:r>
      <w:r w:rsidR="004673B0">
        <w:instrText xml:space="preserve"> \* MERGEFORMAT </w:instrText>
      </w:r>
      <w:r w:rsidR="00D465D0" w:rsidRPr="004673B0">
        <w:fldChar w:fldCharType="separate"/>
      </w:r>
      <w:r w:rsidR="00067C1B">
        <w:t>4</w:t>
      </w:r>
      <w:r w:rsidR="00D465D0" w:rsidRPr="004673B0">
        <w:fldChar w:fldCharType="end"/>
      </w:r>
      <w:r w:rsidRPr="004673B0">
        <w:t xml:space="preserve"> Metodiky. </w:t>
      </w:r>
    </w:p>
    <w:p w:rsidR="00F45280" w:rsidRPr="004673B0" w:rsidRDefault="00684881" w:rsidP="00232226">
      <w:r w:rsidRPr="004673B0">
        <w:rPr>
          <w:lang w:eastAsia="cs-CZ"/>
        </w:rPr>
        <w:drawing>
          <wp:inline distT="0" distB="0" distL="0" distR="0" wp14:anchorId="33CD45F4" wp14:editId="65017E1A">
            <wp:extent cx="5486400" cy="1850795"/>
            <wp:effectExtent l="76200" t="0" r="952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F45280" w:rsidRPr="004673B0" w:rsidRDefault="00F45280" w:rsidP="004035B4">
      <w:pPr>
        <w:pStyle w:val="N2"/>
      </w:pPr>
      <w:bookmarkStart w:id="54" w:name="_Toc423356114"/>
      <w:bookmarkStart w:id="55" w:name="_Toc423360988"/>
      <w:bookmarkStart w:id="56" w:name="_Toc440374058"/>
      <w:bookmarkStart w:id="57" w:name="_Toc419213297"/>
      <w:bookmarkStart w:id="58" w:name="_Toc419213498"/>
      <w:bookmarkEnd w:id="52"/>
      <w:bookmarkEnd w:id="53"/>
      <w:r w:rsidRPr="004673B0">
        <w:t>Základní zásady a obecný přístup k vymezení trhu</w:t>
      </w:r>
      <w:bookmarkEnd w:id="54"/>
      <w:bookmarkEnd w:id="55"/>
      <w:bookmarkEnd w:id="56"/>
    </w:p>
    <w:p w:rsidR="00F45280" w:rsidRPr="004673B0" w:rsidRDefault="00F45280" w:rsidP="004035B4">
      <w:pPr>
        <w:pStyle w:val="N3"/>
      </w:pPr>
      <w:bookmarkStart w:id="59" w:name="_Toc423356115"/>
      <w:bookmarkStart w:id="60" w:name="_Toc423360989"/>
      <w:bookmarkStart w:id="61" w:name="_Toc440374059"/>
      <w:r w:rsidRPr="004673B0">
        <w:t>Zásady vyplývající z právních norem</w:t>
      </w:r>
      <w:bookmarkEnd w:id="59"/>
      <w:bookmarkEnd w:id="60"/>
      <w:bookmarkEnd w:id="61"/>
      <w:r w:rsidRPr="004673B0">
        <w:t xml:space="preserve"> </w:t>
      </w:r>
    </w:p>
    <w:p w:rsidR="00F45280" w:rsidRPr="004673B0" w:rsidRDefault="00F45280" w:rsidP="00A813C3">
      <w:r w:rsidRPr="004673B0">
        <w:t xml:space="preserve">Dle článku 15 odst. 3 rámcové směrnice a </w:t>
      </w:r>
      <w:r w:rsidR="00D53D79" w:rsidRPr="004673B0">
        <w:t xml:space="preserve">bodu </w:t>
      </w:r>
      <w:r w:rsidRPr="004673B0">
        <w:t>5</w:t>
      </w:r>
      <w:r w:rsidR="00D53D79" w:rsidRPr="004673B0">
        <w:t xml:space="preserve"> odůvodnění</w:t>
      </w:r>
      <w:r w:rsidRPr="004673B0">
        <w:t xml:space="preserve"> Doporučení o relevantních trzích</w:t>
      </w:r>
      <w:r w:rsidR="00CF032E" w:rsidRPr="004673B0">
        <w:t xml:space="preserve"> </w:t>
      </w:r>
      <w:r w:rsidRPr="004673B0">
        <w:t>má Úřad povinnost vymezit relevantní trhy vždy s ohledem na situaci v konkrétním členském státě, zejména při vymezování relevantních zeměpisných trhů na svém území, a to v souladu s</w:t>
      </w:r>
      <w:r w:rsidR="00A813C3" w:rsidRPr="004673B0">
        <w:t xml:space="preserve"> principy</w:t>
      </w:r>
      <w:r w:rsidRPr="004673B0">
        <w:t xml:space="preserve"> soutěžního práva, přičemž v co nejvyšší míře zohlednění Doporučení o relevantních trzích</w:t>
      </w:r>
      <w:r w:rsidR="00F00F34" w:rsidRPr="004673B0">
        <w:t xml:space="preserve"> a Pokyny Komise</w:t>
      </w:r>
      <w:r w:rsidRPr="004673B0">
        <w:t>. Úřad má možnost vymezit jiné relevantní trhy než ty, které identifikovala Komise ve svém Doporučení</w:t>
      </w:r>
      <w:r w:rsidR="00113A63" w:rsidRPr="004673B0">
        <w:t xml:space="preserve"> o </w:t>
      </w:r>
      <w:r w:rsidRPr="004673B0">
        <w:t xml:space="preserve">relevantních trzích. </w:t>
      </w:r>
    </w:p>
    <w:p w:rsidR="00F45280" w:rsidRPr="004673B0" w:rsidRDefault="00F45280" w:rsidP="00F45280">
      <w:r w:rsidRPr="004673B0">
        <w:t xml:space="preserve">Dle </w:t>
      </w:r>
      <w:r w:rsidR="002B09AB" w:rsidRPr="004673B0">
        <w:t>bodu</w:t>
      </w:r>
      <w:r w:rsidRPr="004673B0">
        <w:t xml:space="preserve"> 7</w:t>
      </w:r>
      <w:r w:rsidR="002B09AB" w:rsidRPr="004673B0">
        <w:t xml:space="preserve"> odůvo</w:t>
      </w:r>
      <w:r w:rsidR="005B1E5D" w:rsidRPr="004673B0">
        <w:t>d</w:t>
      </w:r>
      <w:r w:rsidR="002B09AB" w:rsidRPr="004673B0">
        <w:t>nění</w:t>
      </w:r>
      <w:r w:rsidRPr="004673B0">
        <w:t xml:space="preserve"> Doporučení o relevantních trzích je výchozím bodem pro vymezení velkoobchodní</w:t>
      </w:r>
      <w:r w:rsidR="002B09AB" w:rsidRPr="004673B0">
        <w:t>c</w:t>
      </w:r>
      <w:r w:rsidRPr="004673B0">
        <w:t xml:space="preserve">h </w:t>
      </w:r>
      <w:r w:rsidR="002B09AB" w:rsidRPr="004673B0">
        <w:t xml:space="preserve">trhů </w:t>
      </w:r>
      <w:r w:rsidRPr="004673B0">
        <w:t xml:space="preserve">analýza </w:t>
      </w:r>
      <w:r w:rsidR="002B09AB" w:rsidRPr="004673B0">
        <w:t xml:space="preserve">podřazených </w:t>
      </w:r>
      <w:r w:rsidRPr="004673B0">
        <w:t>maloobchodní</w:t>
      </w:r>
      <w:r w:rsidR="002B09AB" w:rsidRPr="004673B0">
        <w:t>c</w:t>
      </w:r>
      <w:r w:rsidRPr="004673B0">
        <w:t xml:space="preserve">h </w:t>
      </w:r>
      <w:r w:rsidR="002B09AB" w:rsidRPr="004673B0">
        <w:t>trhů</w:t>
      </w:r>
      <w:r w:rsidRPr="004673B0">
        <w:t>.</w:t>
      </w:r>
      <w:r w:rsidRPr="004673B0">
        <w:rPr>
          <w:rStyle w:val="Znakapoznpodarou"/>
          <w:i/>
        </w:rPr>
        <w:footnoteReference w:id="7"/>
      </w:r>
    </w:p>
    <w:p w:rsidR="00F45280" w:rsidRPr="004673B0" w:rsidRDefault="00F45280" w:rsidP="004035B4">
      <w:pPr>
        <w:pStyle w:val="N3"/>
      </w:pPr>
      <w:bookmarkStart w:id="62" w:name="_Toc423356116"/>
      <w:bookmarkStart w:id="63" w:name="_Toc423360990"/>
      <w:bookmarkStart w:id="64" w:name="_Toc440374060"/>
      <w:bookmarkStart w:id="65" w:name="_Ref441242013"/>
      <w:bookmarkStart w:id="66" w:name="_Ref441242286"/>
      <w:bookmarkStart w:id="67" w:name="_Ref441247441"/>
      <w:r w:rsidRPr="004673B0">
        <w:t>Přístup Úřadu k vymezení trhu</w:t>
      </w:r>
      <w:bookmarkEnd w:id="62"/>
      <w:bookmarkEnd w:id="63"/>
      <w:bookmarkEnd w:id="64"/>
      <w:bookmarkEnd w:id="65"/>
      <w:bookmarkEnd w:id="66"/>
      <w:bookmarkEnd w:id="67"/>
    </w:p>
    <w:p w:rsidR="00F45280" w:rsidRPr="004673B0" w:rsidRDefault="00F45280" w:rsidP="00F45280">
      <w:r w:rsidRPr="004673B0">
        <w:t>Při vymezení relevantního trhu Úřad určuje hranice daného trhu, tj. zkoumá, které služby a produkty na daný trh patří</w:t>
      </w:r>
      <w:r w:rsidR="00C01013">
        <w:t>,</w:t>
      </w:r>
      <w:r w:rsidRPr="004673B0">
        <w:t xml:space="preserve"> a které nikoliv. Na základě postupů a metod </w:t>
      </w:r>
      <w:r w:rsidR="009C6EC5" w:rsidRPr="004673B0">
        <w:t xml:space="preserve">uvedených </w:t>
      </w:r>
      <w:r w:rsidRPr="004673B0">
        <w:t>v této části Metodiky Úřad vymezí relevantní trh, tj. sestaví seznam produktů a služeb, které tvoří</w:t>
      </w:r>
      <w:r w:rsidR="002B09AB" w:rsidRPr="004673B0">
        <w:t xml:space="preserve"> na vymezeném území</w:t>
      </w:r>
      <w:r w:rsidRPr="004673B0">
        <w:t xml:space="preserve"> relevantní trh</w:t>
      </w:r>
      <w:r w:rsidR="002B09AB" w:rsidRPr="004673B0">
        <w:t xml:space="preserve"> pro následující relevantní</w:t>
      </w:r>
      <w:r w:rsidR="00462C2B" w:rsidRPr="004673B0">
        <w:t xml:space="preserve"> časové</w:t>
      </w:r>
      <w:r w:rsidR="002B09AB" w:rsidRPr="004673B0">
        <w:t xml:space="preserve"> období</w:t>
      </w:r>
      <w:r w:rsidRPr="004673B0">
        <w:t xml:space="preserve">. </w:t>
      </w:r>
      <w:r w:rsidR="0085016A" w:rsidRPr="004673B0">
        <w:t>Úřad takto vymezí každý relevantní trh z</w:t>
      </w:r>
      <w:r w:rsidR="00282037">
        <w:t>e</w:t>
      </w:r>
      <w:r w:rsidR="0085016A" w:rsidRPr="004673B0">
        <w:t xml:space="preserve"> </w:t>
      </w:r>
      <w:r w:rsidR="00282037">
        <w:t>tří</w:t>
      </w:r>
      <w:r w:rsidR="0085016A" w:rsidRPr="004673B0">
        <w:t xml:space="preserve"> hledisek – věcného, územního a časového.</w:t>
      </w:r>
      <w:r w:rsidR="0085016A" w:rsidRPr="004673B0">
        <w:rPr>
          <w:rStyle w:val="Znakapoznpodarou"/>
          <w:i/>
        </w:rPr>
        <w:footnoteReference w:id="8"/>
      </w:r>
    </w:p>
    <w:p w:rsidR="00F45280" w:rsidRPr="004673B0" w:rsidRDefault="00F45280" w:rsidP="00F45280">
      <w:r w:rsidRPr="004673B0">
        <w:t>Úřad při definování relevantního trhu přihlíží zejména k tomu, zda jsou výrobci produktu nebo poskytovatelé služeb</w:t>
      </w:r>
      <w:r w:rsidRPr="004673B0">
        <w:rPr>
          <w:rStyle w:val="Znakapoznpodarou"/>
        </w:rPr>
        <w:footnoteReference w:id="9"/>
      </w:r>
      <w:r w:rsidRPr="004673B0">
        <w:t xml:space="preserve"> na určitém území omezeni při stanovení ceny existujícími konkurenčními překážkami.</w:t>
      </w:r>
      <w:r w:rsidRPr="004673B0">
        <w:rPr>
          <w:rStyle w:val="Znakapoznpodarou"/>
        </w:rPr>
        <w:footnoteReference w:id="10"/>
      </w:r>
      <w:r w:rsidRPr="004673B0">
        <w:t xml:space="preserve"> Mezi překážky, které poskytovatelům brání stanovit libovolnou výši ceny za své služby, patří zejména zaměnitelnost na straně poptávky a zaměnitelnost na straně nabídky.</w:t>
      </w:r>
      <w:r w:rsidRPr="004673B0">
        <w:rPr>
          <w:rStyle w:val="Znakapoznpodarou"/>
        </w:rPr>
        <w:footnoteReference w:id="11"/>
      </w:r>
      <w:r w:rsidRPr="004673B0">
        <w:t xml:space="preserve"> </w:t>
      </w:r>
    </w:p>
    <w:p w:rsidR="00F45280" w:rsidRPr="004673B0" w:rsidRDefault="00F45280" w:rsidP="00F45280">
      <w:r w:rsidRPr="004673B0">
        <w:t>Při určení hranic relevantního trhu z věcného i územního pohledu Úřad analyzuje jednotlivé služby</w:t>
      </w:r>
      <w:r w:rsidR="008D45C7" w:rsidRPr="004673B0">
        <w:t xml:space="preserve"> a </w:t>
      </w:r>
      <w:r w:rsidR="0085016A" w:rsidRPr="004673B0">
        <w:t>produkty</w:t>
      </w:r>
      <w:r w:rsidRPr="004673B0">
        <w:t xml:space="preserve"> z pohledu zastupitelnosti a zaměnitelnosti na straně poptávky a na straně nabídky</w:t>
      </w:r>
      <w:r w:rsidRPr="004673B0">
        <w:rPr>
          <w:rStyle w:val="Znakapoznpodarou"/>
        </w:rPr>
        <w:footnoteReference w:id="12"/>
      </w:r>
      <w:r w:rsidR="008D45C7" w:rsidRPr="004673B0">
        <w:t xml:space="preserve"> a </w:t>
      </w:r>
      <w:r w:rsidRPr="004673B0">
        <w:t>zohlední další principy uvedené v</w:t>
      </w:r>
      <w:r w:rsidR="00CF4A57" w:rsidRPr="004673B0">
        <w:t> </w:t>
      </w:r>
      <w:r w:rsidR="00317C01" w:rsidRPr="004673B0">
        <w:t>Metodice</w:t>
      </w:r>
      <w:r w:rsidR="009976B6" w:rsidRPr="004673B0">
        <w:rPr>
          <w:rStyle w:val="Znakapoznpodarou"/>
        </w:rPr>
        <w:footnoteReference w:id="13"/>
      </w:r>
      <w:r w:rsidRPr="004673B0">
        <w:t xml:space="preserve">. </w:t>
      </w:r>
    </w:p>
    <w:p w:rsidR="00F45280" w:rsidRPr="004673B0" w:rsidRDefault="00F45280" w:rsidP="00F45280">
      <w:r w:rsidRPr="004673B0">
        <w:t>Věcné vymezení trhu z praktických důvodů zpravidla předchází územnímu a časovému vymezení.</w:t>
      </w:r>
      <w:r w:rsidR="00A553C4" w:rsidRPr="004673B0">
        <w:rPr>
          <w:rStyle w:val="Znakapoznpodarou"/>
        </w:rPr>
        <w:footnoteReference w:id="14"/>
      </w:r>
      <w:r w:rsidRPr="004673B0">
        <w:t xml:space="preserve"> </w:t>
      </w:r>
    </w:p>
    <w:p w:rsidR="00EA4858" w:rsidRPr="004673B0" w:rsidRDefault="00F45280" w:rsidP="00F57A5B">
      <w:r w:rsidRPr="004673B0">
        <w:t>Úřad při vymezení relevantního trhu vychází zejména ze stávajících podmínek na trhu a z očekávaného budoucího vývoje, včetně vývoje technologií.</w:t>
      </w:r>
      <w:r w:rsidR="00091120" w:rsidRPr="004673B0">
        <w:rPr>
          <w:rStyle w:val="Znakapoznpodarou"/>
        </w:rPr>
        <w:footnoteReference w:id="15"/>
      </w:r>
      <w:r w:rsidRPr="004673B0">
        <w:t xml:space="preserve"> Ve vztahu k oč</w:t>
      </w:r>
      <w:r w:rsidR="00642AB8" w:rsidRPr="004673B0">
        <w:t>ekávanému vývoji Úřad uvažuje o </w:t>
      </w:r>
      <w:r w:rsidRPr="004673B0">
        <w:t xml:space="preserve">časovém horizontu, který dle informovaného odhadu Úřadu pokrývá jednak období do ukončení celého procesu analýzy dotčeného trhu, včetně vydání rozhodnutí o uložení </w:t>
      </w:r>
      <w:r w:rsidR="006A7E4B" w:rsidRPr="004673B0">
        <w:t>nápravných opatření</w:t>
      </w:r>
      <w:r w:rsidR="007D5665" w:rsidRPr="004673B0">
        <w:t xml:space="preserve"> či rozhodnutí o ceně,</w:t>
      </w:r>
      <w:r w:rsidR="006A7E4B" w:rsidRPr="004673B0">
        <w:t xml:space="preserve"> </w:t>
      </w:r>
      <w:r w:rsidRPr="004673B0">
        <w:t xml:space="preserve">a jednak období, po které budou </w:t>
      </w:r>
      <w:r w:rsidR="006A7E4B" w:rsidRPr="004673B0">
        <w:t xml:space="preserve">uložená nápravná opatření </w:t>
      </w:r>
      <w:r w:rsidRPr="004673B0">
        <w:t xml:space="preserve">pravděpodobně v účinnosti, tedy dokud nebude provedena nová analýza relevantního trhu. </w:t>
      </w:r>
      <w:bookmarkEnd w:id="57"/>
      <w:bookmarkEnd w:id="58"/>
      <w:r w:rsidR="000C5FB0" w:rsidRPr="004673B0">
        <w:t xml:space="preserve">Úřad </w:t>
      </w:r>
      <w:r w:rsidR="00B344FA" w:rsidRPr="004673B0">
        <w:t xml:space="preserve">zahájí </w:t>
      </w:r>
      <w:r w:rsidR="000C5FB0" w:rsidRPr="004673B0">
        <w:t>provád</w:t>
      </w:r>
      <w:r w:rsidR="00B344FA" w:rsidRPr="004673B0">
        <w:t>ěn</w:t>
      </w:r>
      <w:r w:rsidR="000C5FB0" w:rsidRPr="004673B0">
        <w:t>í</w:t>
      </w:r>
      <w:r w:rsidR="009038D4" w:rsidRPr="004673B0">
        <w:t xml:space="preserve"> </w:t>
      </w:r>
      <w:r w:rsidR="00F57A5B" w:rsidRPr="004673B0">
        <w:t>analýzy</w:t>
      </w:r>
      <w:r w:rsidR="009038D4" w:rsidRPr="004673B0">
        <w:rPr>
          <w:rStyle w:val="Znakapoznpodarou"/>
        </w:rPr>
        <w:footnoteReference w:id="16"/>
      </w:r>
      <w:r w:rsidR="000C5FB0" w:rsidRPr="004673B0">
        <w:t xml:space="preserve"> v intervalu </w:t>
      </w:r>
      <w:r w:rsidR="001C1C21" w:rsidRPr="004673B0">
        <w:t>jed</w:t>
      </w:r>
      <w:r w:rsidR="00125B28">
        <w:t>noho</w:t>
      </w:r>
      <w:r w:rsidR="000C5FB0" w:rsidRPr="004673B0">
        <w:t xml:space="preserve"> </w:t>
      </w:r>
      <w:r w:rsidR="00125B28">
        <w:t xml:space="preserve">roku </w:t>
      </w:r>
      <w:r w:rsidR="000C5FB0" w:rsidRPr="004673B0">
        <w:t xml:space="preserve">až </w:t>
      </w:r>
      <w:r w:rsidR="001C1C21" w:rsidRPr="004673B0">
        <w:t>tř</w:t>
      </w:r>
      <w:r w:rsidR="00125B28">
        <w:t>í</w:t>
      </w:r>
      <w:r w:rsidR="000C5FB0" w:rsidRPr="004673B0">
        <w:t xml:space="preserve"> </w:t>
      </w:r>
      <w:r w:rsidR="00125B28">
        <w:t>let</w:t>
      </w:r>
      <w:r w:rsidR="000C5FB0" w:rsidRPr="004673B0">
        <w:t xml:space="preserve"> od vydání původní analýzy relevantního trhu</w:t>
      </w:r>
      <w:r w:rsidR="000567C8" w:rsidRPr="004673B0">
        <w:t xml:space="preserve"> (kterou byl relevantní trh shledán efektivně konkurenčním)</w:t>
      </w:r>
      <w:r w:rsidR="000C5FB0" w:rsidRPr="004673B0">
        <w:t xml:space="preserve"> nebo od nabytí právní moci rozhodnutí o uložení nápravných opatření podniku s významnou tržní silou.</w:t>
      </w:r>
      <w:r w:rsidR="000C5FB0" w:rsidRPr="004673B0">
        <w:rPr>
          <w:rStyle w:val="Znakapoznpodarou"/>
        </w:rPr>
        <w:footnoteReference w:id="17"/>
      </w:r>
      <w:r w:rsidR="000C5FB0" w:rsidRPr="004673B0">
        <w:t xml:space="preserve"> </w:t>
      </w:r>
      <w:r w:rsidR="00CC5E87" w:rsidRPr="004673B0">
        <w:t xml:space="preserve">S ohledem na proces (správní řízení) ukládání </w:t>
      </w:r>
      <w:r w:rsidR="007D5665" w:rsidRPr="004673B0">
        <w:t>nápravných opatření</w:t>
      </w:r>
      <w:r w:rsidR="00CC5E87" w:rsidRPr="004673B0">
        <w:t xml:space="preserve"> podnikům s významnou tržní silou, který následuje až po vydání analýzy relevantního trhu,</w:t>
      </w:r>
      <w:r w:rsidR="000C5FB0" w:rsidRPr="004673B0">
        <w:t xml:space="preserve"> </w:t>
      </w:r>
      <w:r w:rsidR="009038D4" w:rsidRPr="004673B0">
        <w:t>bude</w:t>
      </w:r>
      <w:r w:rsidR="00CC5E87" w:rsidRPr="004673B0">
        <w:t xml:space="preserve"> Úřad</w:t>
      </w:r>
      <w:r w:rsidR="009038D4" w:rsidRPr="004673B0">
        <w:t xml:space="preserve"> </w:t>
      </w:r>
      <w:r w:rsidRPr="004673B0">
        <w:t xml:space="preserve">zpravidla </w:t>
      </w:r>
      <w:r w:rsidR="009539EB" w:rsidRPr="004673B0">
        <w:t>trh vymezovat</w:t>
      </w:r>
      <w:r w:rsidR="001C1C21" w:rsidRPr="004673B0">
        <w:t xml:space="preserve"> výhledově </w:t>
      </w:r>
      <w:r w:rsidR="009539EB" w:rsidRPr="004673B0">
        <w:t>na</w:t>
      </w:r>
      <w:r w:rsidRPr="004673B0">
        <w:t xml:space="preserve"> období mezi </w:t>
      </w:r>
      <w:r w:rsidR="00CA743A" w:rsidRPr="004673B0">
        <w:t>jedním</w:t>
      </w:r>
      <w:r w:rsidR="00125B28">
        <w:t xml:space="preserve"> rokem</w:t>
      </w:r>
      <w:r w:rsidR="00CA743A" w:rsidRPr="004673B0">
        <w:t xml:space="preserve"> </w:t>
      </w:r>
      <w:r w:rsidRPr="004673B0">
        <w:t xml:space="preserve">a </w:t>
      </w:r>
      <w:r w:rsidR="00CA743A" w:rsidRPr="004673B0">
        <w:t xml:space="preserve">čtyřmi </w:t>
      </w:r>
      <w:r w:rsidRPr="004673B0">
        <w:t>lety, podle okolností konkrétní prováděné analýzy trhu. Očekávaný budoucí vývoj Úřad zohledňuje jen do té míry, do které lze takový vývoj rozumně předvídat, ať již na základě vývoje na jiných geografických trzích, odborných zdrojů či dostupných informací Úřadu z jeho činnosti či z veřejně dostupných zdrojů.</w:t>
      </w:r>
      <w:r w:rsidR="00860069" w:rsidRPr="004673B0">
        <w:rPr>
          <w:rStyle w:val="Znakapoznpodarou"/>
        </w:rPr>
        <w:footnoteReference w:id="18"/>
      </w:r>
    </w:p>
    <w:p w:rsidR="00F45280" w:rsidRPr="004673B0" w:rsidRDefault="009038D4" w:rsidP="00F45280">
      <w:r w:rsidRPr="004673B0">
        <w:t xml:space="preserve">Při vymezování velkoobchodních trhů </w:t>
      </w:r>
      <w:r w:rsidR="00F45280" w:rsidRPr="004673B0">
        <w:t>Úřad vymezí</w:t>
      </w:r>
      <w:r w:rsidR="00341C92" w:rsidRPr="004673B0">
        <w:t xml:space="preserve"> podřazený</w:t>
      </w:r>
      <w:r w:rsidR="00F45280" w:rsidRPr="004673B0">
        <w:t xml:space="preserve"> maloobchodní trh</w:t>
      </w:r>
      <w:r w:rsidR="00341C92" w:rsidRPr="004673B0">
        <w:t xml:space="preserve"> či trhy, je-li jich více,</w:t>
      </w:r>
      <w:r w:rsidR="00F45280" w:rsidRPr="004673B0">
        <w:t xml:space="preserve"> před tím, </w:t>
      </w:r>
      <w:r w:rsidR="00E6708A" w:rsidRPr="004673B0">
        <w:t xml:space="preserve">než </w:t>
      </w:r>
      <w:r w:rsidR="00F45280" w:rsidRPr="004673B0">
        <w:t>vymezí hranice</w:t>
      </w:r>
      <w:r w:rsidR="00341C92" w:rsidRPr="004673B0">
        <w:t xml:space="preserve"> nadřazeného</w:t>
      </w:r>
      <w:r w:rsidR="00F45280" w:rsidRPr="004673B0">
        <w:t xml:space="preserve"> trhu velkoobchodního. </w:t>
      </w:r>
      <w:r w:rsidR="001672BC" w:rsidRPr="004673B0">
        <w:t xml:space="preserve">Vymezení </w:t>
      </w:r>
      <w:r w:rsidR="00F45280" w:rsidRPr="004673B0">
        <w:t xml:space="preserve">maloobchodního trhu musí předcházet vymezení velkoobchodního trhu, jelikož poptávka po velkoobchodních (upstream) vstupech je vždy odvozena od poptávky po službách na </w:t>
      </w:r>
      <w:r w:rsidR="00341C92" w:rsidRPr="004673B0">
        <w:t xml:space="preserve">maloobchodních trzích </w:t>
      </w:r>
      <w:r w:rsidR="00F45280" w:rsidRPr="004673B0">
        <w:t>(downstream). Zastupitelnost mezi různými službami na maloobchodním trhu pro koncové uživatele tedy významným způsobem form</w:t>
      </w:r>
      <w:r w:rsidR="00B87B96" w:rsidRPr="004673B0">
        <w:t>uje</w:t>
      </w:r>
      <w:r w:rsidR="00F45280" w:rsidRPr="004673B0">
        <w:t xml:space="preserve"> zastupitelnost a rozsah možných substitutů na trhu velkoobchodním. K posouzení, zda je určitý velkoobchodní trh dostatečně konkurenční, resp. k posouzení, zda je na daném velkoobchodním trhu vhodné zavést </w:t>
      </w:r>
      <w:r w:rsidR="00F45280" w:rsidRPr="004673B0">
        <w:rPr>
          <w:i/>
        </w:rPr>
        <w:t xml:space="preserve">ex ante </w:t>
      </w:r>
      <w:r w:rsidR="00F45280" w:rsidRPr="004673B0">
        <w:t>regulac</w:t>
      </w:r>
      <w:r w:rsidR="00213AB6" w:rsidRPr="004673B0">
        <w:t>i,</w:t>
      </w:r>
      <w:r w:rsidR="00F45280" w:rsidRPr="004673B0">
        <w:t xml:space="preserve"> Úřad vždy nejdříve analyzuje podřazen</w:t>
      </w:r>
      <w:r w:rsidR="000D440C" w:rsidRPr="004673B0">
        <w:t>é</w:t>
      </w:r>
      <w:r w:rsidR="00F45280" w:rsidRPr="004673B0">
        <w:t xml:space="preserve"> maloobchodní trh</w:t>
      </w:r>
      <w:r w:rsidR="000D440C" w:rsidRPr="004673B0">
        <w:t>y</w:t>
      </w:r>
      <w:r w:rsidR="00F45280" w:rsidRPr="004673B0">
        <w:t xml:space="preserve">. </w:t>
      </w:r>
      <w:r w:rsidR="00341C92" w:rsidRPr="004673B0">
        <w:t xml:space="preserve">Jedná se o </w:t>
      </w:r>
      <w:r w:rsidR="00B87B96" w:rsidRPr="004673B0">
        <w:t>věcně propojený</w:t>
      </w:r>
      <w:r w:rsidR="00341C92" w:rsidRPr="004673B0">
        <w:t xml:space="preserve"> postup</w:t>
      </w:r>
      <w:r w:rsidR="001675EF" w:rsidRPr="004673B0">
        <w:rPr>
          <w:rStyle w:val="Znakapoznpodarou"/>
        </w:rPr>
        <w:footnoteReference w:id="19"/>
      </w:r>
      <w:r w:rsidR="00341C92" w:rsidRPr="004673B0">
        <w:t xml:space="preserve"> Úřadu, jehož účelem je</w:t>
      </w:r>
      <w:r w:rsidR="00125B28">
        <w:t>:</w:t>
      </w:r>
      <w:r w:rsidR="00341C92" w:rsidRPr="004673B0">
        <w:t xml:space="preserve"> </w:t>
      </w:r>
    </w:p>
    <w:p w:rsidR="00341C92" w:rsidRPr="004673B0" w:rsidRDefault="001672BC" w:rsidP="001672BC">
      <w:pPr>
        <w:pStyle w:val="Odstavecseseznamem"/>
        <w:numPr>
          <w:ilvl w:val="0"/>
          <w:numId w:val="43"/>
        </w:numPr>
      </w:pPr>
      <w:r w:rsidRPr="004673B0">
        <w:t>Posoudit</w:t>
      </w:r>
      <w:r w:rsidR="00341C92" w:rsidRPr="004673B0">
        <w:t>, zda jsou podřazené maloobchodní trhy efektivně konkurenční.</w:t>
      </w:r>
      <w:r w:rsidR="001675EF" w:rsidRPr="004673B0">
        <w:rPr>
          <w:rStyle w:val="Znakapoznpodarou"/>
        </w:rPr>
        <w:footnoteReference w:id="20"/>
      </w:r>
      <w:r w:rsidR="00341C92" w:rsidRPr="004673B0">
        <w:t xml:space="preserve"> </w:t>
      </w:r>
    </w:p>
    <w:p w:rsidR="004D7640" w:rsidRPr="004673B0" w:rsidRDefault="00341C92" w:rsidP="00F62FFC">
      <w:r w:rsidRPr="006E0061">
        <w:t>Úřad při posouzení</w:t>
      </w:r>
      <w:r w:rsidRPr="004673B0">
        <w:t xml:space="preserve"> vychází z předpokladu, že se neuplatní</w:t>
      </w:r>
      <w:r w:rsidR="00E91FF5" w:rsidRPr="004673B0">
        <w:t xml:space="preserve"> </w:t>
      </w:r>
      <w:r w:rsidR="00E91FF5" w:rsidRPr="004673B0">
        <w:rPr>
          <w:i/>
        </w:rPr>
        <w:t>ex ante</w:t>
      </w:r>
      <w:r w:rsidRPr="004673B0">
        <w:t xml:space="preserve"> </w:t>
      </w:r>
      <w:r w:rsidR="001675EF" w:rsidRPr="004673B0">
        <w:t>regulace</w:t>
      </w:r>
      <w:r w:rsidR="00E91FF5" w:rsidRPr="004673B0">
        <w:t xml:space="preserve"> uložená v souvislosti s významnou tržní silou </w:t>
      </w:r>
      <w:r w:rsidRPr="004673B0">
        <w:t xml:space="preserve">na daném maloobchodním </w:t>
      </w:r>
      <w:r w:rsidR="00E81BF2" w:rsidRPr="004673B0">
        <w:t>trhu, ani na nadřazených</w:t>
      </w:r>
      <w:r w:rsidRPr="004673B0">
        <w:t xml:space="preserve"> velkoobchodní</w:t>
      </w:r>
      <w:r w:rsidR="00E81BF2" w:rsidRPr="004673B0">
        <w:t>ch</w:t>
      </w:r>
      <w:r w:rsidRPr="004673B0">
        <w:t xml:space="preserve"> tr</w:t>
      </w:r>
      <w:r w:rsidR="00E81BF2" w:rsidRPr="004673B0">
        <w:t>zích</w:t>
      </w:r>
      <w:r w:rsidRPr="004673B0">
        <w:t>.</w:t>
      </w:r>
      <w:r w:rsidR="001675EF" w:rsidRPr="004673B0">
        <w:rPr>
          <w:rStyle w:val="Znakapoznpodarou"/>
        </w:rPr>
        <w:footnoteReference w:id="21"/>
      </w:r>
      <w:r w:rsidRPr="004673B0">
        <w:t xml:space="preserve"> </w:t>
      </w:r>
      <w:r w:rsidR="00E91FF5" w:rsidRPr="004673B0">
        <w:t xml:space="preserve">Úřad na druhou stranu vezme v potaz </w:t>
      </w:r>
      <w:r w:rsidR="00D47671" w:rsidRPr="004673B0">
        <w:t xml:space="preserve">jinou regulaci (např. </w:t>
      </w:r>
      <w:r w:rsidR="009075F1" w:rsidRPr="004673B0">
        <w:t>vyplývající přímo z některého zákona</w:t>
      </w:r>
      <w:r w:rsidR="00E91FF5" w:rsidRPr="004673B0">
        <w:t>).</w:t>
      </w:r>
      <w:r w:rsidR="00E91FF5" w:rsidRPr="004673B0">
        <w:rPr>
          <w:rStyle w:val="Znakapoznpodarou"/>
        </w:rPr>
        <w:footnoteReference w:id="22"/>
      </w:r>
      <w:r w:rsidR="00E91FF5" w:rsidRPr="004673B0">
        <w:t xml:space="preserve"> </w:t>
      </w:r>
    </w:p>
    <w:p w:rsidR="000C3605" w:rsidRPr="004673B0" w:rsidRDefault="004D7640" w:rsidP="00F62FFC">
      <w:r w:rsidRPr="004673B0">
        <w:t xml:space="preserve">Pokud není daný maloobchodní trh efektivně konkurenční při </w:t>
      </w:r>
      <w:r w:rsidR="00186F63" w:rsidRPr="004673B0">
        <w:t xml:space="preserve">neuplatnění </w:t>
      </w:r>
      <w:r w:rsidRPr="004673B0">
        <w:rPr>
          <w:i/>
        </w:rPr>
        <w:t xml:space="preserve">ex ante </w:t>
      </w:r>
      <w:r w:rsidRPr="004673B0">
        <w:t xml:space="preserve">regulace, Úřad </w:t>
      </w:r>
      <w:r w:rsidR="00186F63" w:rsidRPr="004673B0">
        <w:t xml:space="preserve">na základě principů a postupů použitých při analýze relevantního trhu, </w:t>
      </w:r>
      <w:r w:rsidR="00F1715B" w:rsidRPr="004673B0">
        <w:t>které</w:t>
      </w:r>
      <w:r w:rsidR="00186F63" w:rsidRPr="004673B0">
        <w:t xml:space="preserve"> </w:t>
      </w:r>
      <w:r w:rsidR="00B96310" w:rsidRPr="004673B0">
        <w:t>jsou</w:t>
      </w:r>
      <w:r w:rsidR="00186F63" w:rsidRPr="004673B0">
        <w:t xml:space="preserve"> popsán</w:t>
      </w:r>
      <w:r w:rsidR="00B96310" w:rsidRPr="004673B0">
        <w:t>y</w:t>
      </w:r>
      <w:r w:rsidR="00186F63" w:rsidRPr="004673B0">
        <w:t xml:space="preserve"> v</w:t>
      </w:r>
      <w:r w:rsidR="003C5ADB" w:rsidRPr="004673B0">
        <w:t> </w:t>
      </w:r>
      <w:r w:rsidR="00F62FFC" w:rsidRPr="004673B0">
        <w:t>následujících</w:t>
      </w:r>
      <w:r w:rsidR="00186F63" w:rsidRPr="004673B0">
        <w:t> </w:t>
      </w:r>
      <w:r w:rsidR="00F62FFC" w:rsidRPr="004673B0">
        <w:t xml:space="preserve">kapitolách </w:t>
      </w:r>
      <w:r w:rsidR="00B96310" w:rsidRPr="004673B0">
        <w:t xml:space="preserve">této Metodiky, zhodnotí, zda </w:t>
      </w:r>
      <w:r w:rsidR="00F1715B" w:rsidRPr="004673B0">
        <w:t xml:space="preserve">daný </w:t>
      </w:r>
      <w:r w:rsidR="00B96310" w:rsidRPr="004673B0">
        <w:t xml:space="preserve">trh připadá do úvahy pro </w:t>
      </w:r>
      <w:r w:rsidR="00B96310" w:rsidRPr="004673B0">
        <w:rPr>
          <w:i/>
        </w:rPr>
        <w:t xml:space="preserve">ex ante </w:t>
      </w:r>
      <w:r w:rsidR="00B96310" w:rsidRPr="004673B0">
        <w:t>regulaci</w:t>
      </w:r>
      <w:r w:rsidR="004B2668" w:rsidRPr="004673B0">
        <w:t>.</w:t>
      </w:r>
      <w:r w:rsidR="004B2668" w:rsidRPr="004673B0">
        <w:rPr>
          <w:rStyle w:val="Znakapoznpodarou"/>
        </w:rPr>
        <w:footnoteReference w:id="23"/>
      </w:r>
      <w:r w:rsidR="004B2668" w:rsidRPr="004673B0">
        <w:t xml:space="preserve"> </w:t>
      </w:r>
      <w:r w:rsidR="00D47671" w:rsidRPr="004673B0">
        <w:t>Pokud</w:t>
      </w:r>
      <w:r w:rsidR="004B2668" w:rsidRPr="004673B0">
        <w:t xml:space="preserve"> Úřad identifikuje maloobchodní trh jako trh, který připadá v úvahu pro regulaci </w:t>
      </w:r>
      <w:r w:rsidR="004B2668" w:rsidRPr="004673B0">
        <w:rPr>
          <w:i/>
        </w:rPr>
        <w:t>ex ante</w:t>
      </w:r>
      <w:r w:rsidR="004B2668" w:rsidRPr="004673B0">
        <w:t xml:space="preserve">, Úřad analyzuje </w:t>
      </w:r>
      <w:r w:rsidR="00D47671" w:rsidRPr="004673B0">
        <w:t>nejdříve</w:t>
      </w:r>
      <w:r w:rsidR="004B2668" w:rsidRPr="004673B0">
        <w:t xml:space="preserve"> velkoobchodní trh, který je nejvíce nadřazený identifikovanému maloobchodnímu trhu, tj. trh</w:t>
      </w:r>
      <w:r w:rsidR="001672BC" w:rsidRPr="004673B0">
        <w:t>,</w:t>
      </w:r>
      <w:r w:rsidR="004B2668" w:rsidRPr="004673B0">
        <w:t xml:space="preserve"> který je ve vertikálním dodavatelském řetězci maloobchodnímu trhu nejvíce vzdálen.</w:t>
      </w:r>
      <w:r w:rsidR="004B2668" w:rsidRPr="004673B0">
        <w:rPr>
          <w:rStyle w:val="Znakapoznpodarou"/>
        </w:rPr>
        <w:footnoteReference w:id="24"/>
      </w:r>
      <w:r w:rsidR="004B2668" w:rsidRPr="004673B0">
        <w:t xml:space="preserve"> Úřad </w:t>
      </w:r>
      <w:r w:rsidR="000C3605" w:rsidRPr="004673B0">
        <w:t xml:space="preserve">uloží </w:t>
      </w:r>
      <w:r w:rsidR="000C3605" w:rsidRPr="004673B0">
        <w:rPr>
          <w:i/>
        </w:rPr>
        <w:t xml:space="preserve">ex ante </w:t>
      </w:r>
      <w:r w:rsidR="000C3605" w:rsidRPr="004673B0">
        <w:t>regulaci na úrovni maloobchodního trhu pouze v případě, že by regulace uložená na</w:t>
      </w:r>
      <w:r w:rsidR="003C1E4B" w:rsidRPr="004673B0">
        <w:t xml:space="preserve"> </w:t>
      </w:r>
      <w:r w:rsidR="000C3605" w:rsidRPr="004673B0">
        <w:t>nadřazeném</w:t>
      </w:r>
      <w:r w:rsidR="00F505A7" w:rsidRPr="004673B0">
        <w:t xml:space="preserve"> velkoobchodním trhu</w:t>
      </w:r>
      <w:r w:rsidR="003C5ADB" w:rsidRPr="004673B0">
        <w:t xml:space="preserve"> (či trzích)</w:t>
      </w:r>
      <w:r w:rsidR="000C3605" w:rsidRPr="004673B0">
        <w:t xml:space="preserve"> nepostačovala k tomu, aby byl maloobchodní trh efektivně konkurenční.</w:t>
      </w:r>
      <w:r w:rsidR="00F505A7" w:rsidRPr="004673B0">
        <w:t xml:space="preserve"> </w:t>
      </w:r>
    </w:p>
    <w:p w:rsidR="00341C92" w:rsidRPr="004673B0" w:rsidRDefault="000C3605" w:rsidP="00F62FFC">
      <w:r w:rsidRPr="004673B0">
        <w:t xml:space="preserve">Pokud je maloobchodní trh efektivně konkurenční, Úřad by měl </w:t>
      </w:r>
      <w:r w:rsidR="003C1E4B" w:rsidRPr="004673B0">
        <w:t>velkoobchodní trh, který je předmětem vymezení dle této kapitoly Metodiky, po</w:t>
      </w:r>
      <w:r w:rsidR="00E244AF" w:rsidRPr="004673B0">
        <w:t>važovat</w:t>
      </w:r>
      <w:r w:rsidR="003C1E4B" w:rsidRPr="004673B0">
        <w:t xml:space="preserve"> za efektivně konkurenční a </w:t>
      </w:r>
      <w:r w:rsidR="003C1E4B" w:rsidRPr="004673B0">
        <w:rPr>
          <w:i/>
        </w:rPr>
        <w:t xml:space="preserve">ex ante </w:t>
      </w:r>
      <w:r w:rsidR="00D47671" w:rsidRPr="004673B0">
        <w:t>regulaci neuložit nebo zrušit</w:t>
      </w:r>
      <w:r w:rsidR="003C1E4B" w:rsidRPr="004673B0">
        <w:t xml:space="preserve"> </w:t>
      </w:r>
      <w:r w:rsidR="00D47671" w:rsidRPr="004673B0">
        <w:t>v případě, že</w:t>
      </w:r>
      <w:r w:rsidR="003C1E4B" w:rsidRPr="004673B0">
        <w:t xml:space="preserve"> byla na daném trhu uložená.</w:t>
      </w:r>
      <w:r w:rsidR="00D47671" w:rsidRPr="004673B0">
        <w:rPr>
          <w:rStyle w:val="Znakapoznpodarou"/>
        </w:rPr>
        <w:footnoteReference w:id="25"/>
      </w:r>
    </w:p>
    <w:p w:rsidR="00341C92" w:rsidRPr="004673B0" w:rsidRDefault="001672BC" w:rsidP="001672BC">
      <w:pPr>
        <w:pStyle w:val="Odstavecseseznamem"/>
        <w:numPr>
          <w:ilvl w:val="0"/>
          <w:numId w:val="43"/>
        </w:numPr>
      </w:pPr>
      <w:r w:rsidRPr="004673B0">
        <w:t xml:space="preserve">Vymezit </w:t>
      </w:r>
      <w:r w:rsidR="00341C92" w:rsidRPr="004673B0">
        <w:t>velkoobchodní trhy</w:t>
      </w:r>
      <w:r w:rsidR="009038D4" w:rsidRPr="004673B0">
        <w:t xml:space="preserve">. </w:t>
      </w:r>
    </w:p>
    <w:p w:rsidR="007152F1" w:rsidRPr="004673B0" w:rsidRDefault="007152F1" w:rsidP="00F45280">
      <w:r w:rsidRPr="004673B0">
        <w:t>Po vymezení podřazeného maloobchodního trhu Úřad přiřadí produktům a službám, které tvoří maloobchodní trh</w:t>
      </w:r>
      <w:r w:rsidR="00CB4361">
        <w:t>,</w:t>
      </w:r>
      <w:r w:rsidRPr="004673B0">
        <w:t xml:space="preserve"> příslušné nadřazené (upstream) produkty a služby na trhu velkoobchodním.</w:t>
      </w:r>
      <w:r w:rsidR="0050109F" w:rsidRPr="004673B0">
        <w:t xml:space="preserve"> </w:t>
      </w:r>
    </w:p>
    <w:p w:rsidR="00221854" w:rsidRPr="004673B0" w:rsidRDefault="003216A1" w:rsidP="004035B4">
      <w:pPr>
        <w:pStyle w:val="N3"/>
      </w:pPr>
      <w:bookmarkStart w:id="68" w:name="_Toc423360991"/>
      <w:bookmarkStart w:id="69" w:name="_Toc440374061"/>
      <w:r w:rsidRPr="004673B0">
        <w:t>Metody a postupy</w:t>
      </w:r>
      <w:bookmarkEnd w:id="68"/>
      <w:bookmarkEnd w:id="69"/>
    </w:p>
    <w:p w:rsidR="00F45280" w:rsidRPr="004673B0" w:rsidRDefault="00F45280" w:rsidP="00F45280">
      <w:r w:rsidRPr="004673B0">
        <w:t xml:space="preserve">V této části metodiky Úřad uvádí, které metody a postupy používá při definování relevantních trhů z věcného, územního a časového hlediska. K posouzení zastupitelnosti Úřad využívá různé metody, testy, důkazy, kritéria a informace, jež lze rozlišit na kvalitativní a kvantitativní. </w:t>
      </w:r>
    </w:p>
    <w:p w:rsidR="00F45280" w:rsidRPr="004673B0" w:rsidRDefault="00F45280" w:rsidP="004035B4">
      <w:pPr>
        <w:pStyle w:val="N4"/>
      </w:pPr>
      <w:bookmarkStart w:id="70" w:name="_Toc423356118"/>
      <w:bookmarkStart w:id="71" w:name="_Toc423360992"/>
      <w:bookmarkStart w:id="72" w:name="_Ref423365996"/>
      <w:bookmarkStart w:id="73" w:name="_Toc440374062"/>
      <w:r w:rsidRPr="004673B0">
        <w:t>Kvalitativní metody</w:t>
      </w:r>
      <w:bookmarkEnd w:id="70"/>
      <w:bookmarkEnd w:id="71"/>
      <w:bookmarkEnd w:id="72"/>
      <w:bookmarkEnd w:id="73"/>
      <w:r w:rsidRPr="004673B0">
        <w:t xml:space="preserve"> </w:t>
      </w:r>
    </w:p>
    <w:p w:rsidR="00F45280" w:rsidRPr="004673B0" w:rsidRDefault="00F45280" w:rsidP="00F45280">
      <w:r w:rsidRPr="004673B0">
        <w:t>Při vymezení relevantního trhu a hledání substitutů služeb postupuje Úřad vždy s ohledem na konkrétní situaci. V souladu s postupem Komise dle Sdělení Komise</w:t>
      </w:r>
      <w:r w:rsidR="004566D9" w:rsidRPr="004673B0">
        <w:t xml:space="preserve"> si</w:t>
      </w:r>
      <w:r w:rsidRPr="004673B0">
        <w:t xml:space="preserve"> Úřad nejprve předběžně posoudí možné vymezení relevantního trhu na základě dostupných informací. V této fázi Úřad vypracuje seznam potenciálních produktů a služeb, které mohou být vzájemně </w:t>
      </w:r>
      <w:r w:rsidR="004566D9" w:rsidRPr="004673B0">
        <w:t xml:space="preserve">zastupitelné </w:t>
      </w:r>
      <w:r w:rsidRPr="004673B0">
        <w:t xml:space="preserve">z pohledu koncového uživatele. Obdobným způsobem Úřad předběžně vypracuje seznam potenciálních služeb pro posouzení zastupitelnosti na straně </w:t>
      </w:r>
      <w:r w:rsidR="006F5BBD" w:rsidRPr="004673B0">
        <w:t>nabídky</w:t>
      </w:r>
      <w:r w:rsidR="00F85F12" w:rsidRPr="004673B0">
        <w:t>.</w:t>
      </w:r>
    </w:p>
    <w:p w:rsidR="00F45280" w:rsidRPr="004673B0" w:rsidRDefault="00F45280" w:rsidP="00F45280">
      <w:r w:rsidRPr="004673B0">
        <w:t>Při následném hodnocení, zda jsou předběžně vybrané produkty součástí relevantního trhu, Úřad zohlední řadu kritérií</w:t>
      </w:r>
      <w:r w:rsidR="00F457B6" w:rsidRPr="004673B0">
        <w:t>, hledisek</w:t>
      </w:r>
      <w:r w:rsidRPr="004673B0">
        <w:t xml:space="preserve"> a dostupných informací. Úřad nemá stanovenu výslovnou hierarchii dostupných informací, podle které při vymezení trhu postupuje, ale naopak využívá veškerých dostupných informací, které mohou mít pro posouzení zastupitelnosti a věcné vymezení trhu význam. Úřad postupuje vždy s ohledem na konkrétní situaci na zkoumaném tr</w:t>
      </w:r>
      <w:r w:rsidR="0069166F" w:rsidRPr="004673B0">
        <w:t>hu a podle toho také rozhodne o </w:t>
      </w:r>
      <w:r w:rsidRPr="004673B0">
        <w:t>využití</w:t>
      </w:r>
      <w:r w:rsidR="00F457B6" w:rsidRPr="004673B0">
        <w:t xml:space="preserve"> dostupných</w:t>
      </w:r>
      <w:r w:rsidRPr="004673B0">
        <w:t xml:space="preserve"> informací. Úřad </w:t>
      </w:r>
      <w:r w:rsidR="00065819" w:rsidRPr="004673B0">
        <w:t>může</w:t>
      </w:r>
      <w:r w:rsidR="006F5BBD" w:rsidRPr="004673B0">
        <w:t xml:space="preserve"> při vymez</w:t>
      </w:r>
      <w:r w:rsidR="00E244AF" w:rsidRPr="004673B0">
        <w:t>e</w:t>
      </w:r>
      <w:r w:rsidR="006F5BBD" w:rsidRPr="004673B0">
        <w:t>ní trhu</w:t>
      </w:r>
      <w:r w:rsidR="00065819" w:rsidRPr="004673B0">
        <w:t xml:space="preserve"> </w:t>
      </w:r>
      <w:r w:rsidRPr="004673B0">
        <w:t>posoud</w:t>
      </w:r>
      <w:r w:rsidR="00065819" w:rsidRPr="004673B0">
        <w:t>it</w:t>
      </w:r>
      <w:r w:rsidRPr="004673B0">
        <w:t xml:space="preserve"> zejména kritéria (bez pořadí důležitosti) </w:t>
      </w:r>
      <w:r w:rsidR="006F5BBD" w:rsidRPr="004673B0">
        <w:t xml:space="preserve">uvedené níže. </w:t>
      </w:r>
    </w:p>
    <w:p w:rsidR="00F45280" w:rsidRPr="004673B0" w:rsidRDefault="006F5BBD" w:rsidP="00120585">
      <w:pPr>
        <w:pStyle w:val="abcd"/>
      </w:pPr>
      <w:r w:rsidRPr="004673B0">
        <w:t xml:space="preserve">Společná kritéria pro vymezení </w:t>
      </w:r>
      <w:r w:rsidR="00F45280" w:rsidRPr="004673B0">
        <w:t>trhu z pohledu věcného, územního i časového hlediska</w:t>
      </w:r>
      <w:r w:rsidR="000B6E57" w:rsidRPr="004673B0">
        <w:t xml:space="preserve"> jsou zejména</w:t>
      </w:r>
      <w:r w:rsidR="000050E5" w:rsidRPr="004673B0">
        <w:t>:</w:t>
      </w:r>
      <w:r w:rsidR="00C40E6A" w:rsidRPr="004673B0">
        <w:rPr>
          <w:rStyle w:val="Znakapoznpodarou"/>
        </w:rPr>
        <w:footnoteReference w:id="26"/>
      </w:r>
      <w:r w:rsidR="00F45280" w:rsidRPr="004673B0">
        <w:t xml:space="preserve"> </w:t>
      </w:r>
    </w:p>
    <w:p w:rsidR="000050E5" w:rsidRPr="004673B0" w:rsidRDefault="00F45280" w:rsidP="006868A3">
      <w:pPr>
        <w:pStyle w:val="Bulletpoint"/>
      </w:pPr>
      <w:r w:rsidRPr="004673B0">
        <w:t>objektivní vlastnosti jednotlivých služeb</w:t>
      </w:r>
      <w:r w:rsidR="000050E5" w:rsidRPr="004673B0">
        <w:t xml:space="preserve"> a </w:t>
      </w:r>
      <w:r w:rsidR="00135381" w:rsidRPr="004673B0">
        <w:t>jejich</w:t>
      </w:r>
      <w:r w:rsidR="000050E5" w:rsidRPr="004673B0">
        <w:t xml:space="preserve"> zamýšlené využití</w:t>
      </w:r>
      <w:r w:rsidR="00BD7C23">
        <w:t>:</w:t>
      </w:r>
      <w:r w:rsidRPr="004673B0">
        <w:t xml:space="preserve"> </w:t>
      </w:r>
    </w:p>
    <w:p w:rsidR="000050E5" w:rsidRPr="004673B0" w:rsidRDefault="00F45280" w:rsidP="007A37B4">
      <w:pPr>
        <w:pStyle w:val="Bullet2"/>
      </w:pPr>
      <w:r w:rsidRPr="004673B0">
        <w:t xml:space="preserve">cena, </w:t>
      </w:r>
    </w:p>
    <w:p w:rsidR="000050E5" w:rsidRPr="004673B0" w:rsidRDefault="00F45280" w:rsidP="007A37B4">
      <w:pPr>
        <w:pStyle w:val="Bullet2"/>
      </w:pPr>
      <w:r w:rsidRPr="004673B0">
        <w:t xml:space="preserve">rychlost, </w:t>
      </w:r>
    </w:p>
    <w:p w:rsidR="000050E5" w:rsidRPr="004673B0" w:rsidRDefault="00F45280" w:rsidP="007A37B4">
      <w:pPr>
        <w:pStyle w:val="Bullet2"/>
      </w:pPr>
      <w:r w:rsidRPr="004673B0">
        <w:t>latence</w:t>
      </w:r>
      <w:r w:rsidR="000050E5" w:rsidRPr="004673B0">
        <w:t xml:space="preserve">, </w:t>
      </w:r>
    </w:p>
    <w:p w:rsidR="000050E5" w:rsidRPr="004673B0" w:rsidRDefault="000050E5" w:rsidP="007A37B4">
      <w:pPr>
        <w:pStyle w:val="Bullet2"/>
      </w:pPr>
      <w:r w:rsidRPr="004673B0">
        <w:t>pokrytí</w:t>
      </w:r>
      <w:r w:rsidR="00F45280" w:rsidRPr="004673B0">
        <w:t xml:space="preserve"> a další vlastnosti,</w:t>
      </w:r>
    </w:p>
    <w:p w:rsidR="000B6E57" w:rsidRPr="004673B0" w:rsidRDefault="000050E5" w:rsidP="006868A3">
      <w:pPr>
        <w:pStyle w:val="Bulletpoint"/>
      </w:pPr>
      <w:r w:rsidRPr="004673B0">
        <w:t>historické události, chování koncových uživatelů a informace o zastupitelnosti v nedávné minulosti,</w:t>
      </w:r>
    </w:p>
    <w:p w:rsidR="00F45280" w:rsidRPr="004673B0" w:rsidRDefault="000B6E57" w:rsidP="006868A3">
      <w:pPr>
        <w:pStyle w:val="Bulletpoint"/>
      </w:pPr>
      <w:r w:rsidRPr="004673B0">
        <w:t>vývoj technologií,</w:t>
      </w:r>
    </w:p>
    <w:p w:rsidR="00F45280" w:rsidRPr="004673B0" w:rsidRDefault="00F45280" w:rsidP="006868A3">
      <w:pPr>
        <w:pStyle w:val="Bulletpoint"/>
      </w:pPr>
      <w:r w:rsidRPr="004673B0">
        <w:t>názory koncových uživatelů</w:t>
      </w:r>
      <w:r w:rsidR="000050E5" w:rsidRPr="004673B0">
        <w:t xml:space="preserve"> a </w:t>
      </w:r>
      <w:r w:rsidR="000B6E57" w:rsidRPr="004673B0">
        <w:t>poskytovatelů</w:t>
      </w:r>
      <w:r w:rsidRPr="004673B0">
        <w:t>,</w:t>
      </w:r>
    </w:p>
    <w:p w:rsidR="00153260" w:rsidRPr="004673B0" w:rsidRDefault="000050E5" w:rsidP="00153260">
      <w:pPr>
        <w:pStyle w:val="Bulletpoint"/>
      </w:pPr>
      <w:r w:rsidRPr="004673B0">
        <w:t>preference koncových uživatelů</w:t>
      </w:r>
      <w:r w:rsidR="00BD7C23">
        <w:t>:</w:t>
      </w:r>
      <w:r w:rsidRPr="004673B0">
        <w:t xml:space="preserve"> </w:t>
      </w:r>
    </w:p>
    <w:p w:rsidR="00F45280" w:rsidRPr="004673B0" w:rsidRDefault="00F45280" w:rsidP="00F57A5B">
      <w:pPr>
        <w:pStyle w:val="Bullet2"/>
      </w:pPr>
      <w:r w:rsidRPr="004673B0">
        <w:t>výsledky studií</w:t>
      </w:r>
      <w:r w:rsidR="001E6899" w:rsidRPr="004673B0">
        <w:t xml:space="preserve"> a průzkumů trhu,</w:t>
      </w:r>
    </w:p>
    <w:p w:rsidR="00F45280" w:rsidRPr="004673B0" w:rsidRDefault="00F45280" w:rsidP="006868A3">
      <w:pPr>
        <w:pStyle w:val="Bulletpoint"/>
      </w:pPr>
      <w:r w:rsidRPr="004673B0">
        <w:t>náklady a omezení spojené s převedením výrobních a dalších aktiv na jinak zastupitelnou službu</w:t>
      </w:r>
      <w:r w:rsidR="000050E5" w:rsidRPr="004673B0">
        <w:t>, resp. do jiných oblastí,</w:t>
      </w:r>
      <w:r w:rsidRPr="004673B0">
        <w:t xml:space="preserve"> z pohledu poskytovatelů</w:t>
      </w:r>
      <w:r w:rsidR="00BD7C23">
        <w:t>,</w:t>
      </w:r>
    </w:p>
    <w:p w:rsidR="00F45280" w:rsidRPr="004673B0" w:rsidRDefault="00F45280" w:rsidP="006868A3">
      <w:pPr>
        <w:pStyle w:val="Bulletpoint"/>
      </w:pPr>
      <w:r w:rsidRPr="004673B0">
        <w:t>překážky zastupitelnosti (</w:t>
      </w:r>
      <w:r w:rsidR="00DC32D5" w:rsidRPr="004673B0">
        <w:t xml:space="preserve">např. </w:t>
      </w:r>
      <w:r w:rsidR="00F85F12" w:rsidRPr="004673B0">
        <w:t>cenové, právní, fyzické),</w:t>
      </w:r>
    </w:p>
    <w:p w:rsidR="00F45280" w:rsidRPr="004673B0" w:rsidRDefault="00F45280" w:rsidP="006868A3">
      <w:pPr>
        <w:pStyle w:val="Bulletpoint"/>
      </w:pPr>
      <w:r w:rsidRPr="004673B0">
        <w:t>segmentace zákazníků</w:t>
      </w:r>
      <w:r w:rsidR="000050E5" w:rsidRPr="004673B0">
        <w:t xml:space="preserve"> a cenová diskriminace</w:t>
      </w:r>
      <w:r w:rsidRPr="004673B0">
        <w:t xml:space="preserve">, </w:t>
      </w:r>
    </w:p>
    <w:p w:rsidR="00F45280" w:rsidRPr="004673B0" w:rsidRDefault="00F45280" w:rsidP="006868A3">
      <w:pPr>
        <w:pStyle w:val="Bulletpoint"/>
      </w:pPr>
      <w:r w:rsidRPr="004673B0">
        <w:t xml:space="preserve">spojování jednotlivých služeb do balíčků, </w:t>
      </w:r>
    </w:p>
    <w:p w:rsidR="00F45280" w:rsidRPr="004673B0" w:rsidRDefault="00F45280" w:rsidP="006868A3">
      <w:pPr>
        <w:pStyle w:val="Bulletpoint"/>
      </w:pPr>
      <w:r w:rsidRPr="004673B0">
        <w:t>řetězení zastupitelnosti,</w:t>
      </w:r>
    </w:p>
    <w:p w:rsidR="00CD394F" w:rsidRPr="004673B0" w:rsidRDefault="00F45280" w:rsidP="006868A3">
      <w:pPr>
        <w:pStyle w:val="Bulletpoint"/>
      </w:pPr>
      <w:r w:rsidRPr="004673B0">
        <w:t>nepřímá omezení</w:t>
      </w:r>
      <w:r w:rsidR="00CD394F" w:rsidRPr="004673B0">
        <w:t xml:space="preserve">, </w:t>
      </w:r>
    </w:p>
    <w:p w:rsidR="00F45280" w:rsidRPr="004673B0" w:rsidRDefault="00CD394F" w:rsidP="006868A3">
      <w:pPr>
        <w:pStyle w:val="Bulletpoint"/>
      </w:pPr>
      <w:r w:rsidRPr="004673B0">
        <w:t>samozásobení</w:t>
      </w:r>
      <w:r w:rsidR="00702FBF" w:rsidRPr="004673B0">
        <w:t>,</w:t>
      </w:r>
    </w:p>
    <w:p w:rsidR="00F45280" w:rsidRPr="004673B0" w:rsidRDefault="00F45280" w:rsidP="006868A3">
      <w:pPr>
        <w:pStyle w:val="Bulletpoint"/>
      </w:pPr>
      <w:r w:rsidRPr="004673B0">
        <w:t xml:space="preserve">charakteristika poptávky, </w:t>
      </w:r>
    </w:p>
    <w:p w:rsidR="00F45280" w:rsidRPr="004673B0" w:rsidRDefault="00F45280" w:rsidP="006868A3">
      <w:pPr>
        <w:pStyle w:val="Bulletpoint"/>
      </w:pPr>
      <w:r w:rsidRPr="004673B0">
        <w:t>územní členění a geografická segmentace.</w:t>
      </w:r>
    </w:p>
    <w:p w:rsidR="00F45280" w:rsidRPr="004673B0" w:rsidRDefault="00F45280" w:rsidP="004035B4">
      <w:pPr>
        <w:pStyle w:val="N4"/>
      </w:pPr>
      <w:bookmarkStart w:id="74" w:name="_Toc423356119"/>
      <w:bookmarkStart w:id="75" w:name="_Toc423360993"/>
      <w:bookmarkStart w:id="76" w:name="_Toc440374063"/>
      <w:r w:rsidRPr="004673B0">
        <w:t>Kvantitativní metody</w:t>
      </w:r>
      <w:bookmarkEnd w:id="74"/>
      <w:bookmarkEnd w:id="75"/>
      <w:bookmarkEnd w:id="76"/>
    </w:p>
    <w:p w:rsidR="00F45280" w:rsidRPr="004673B0" w:rsidRDefault="00F45280" w:rsidP="00F45280">
      <w:r w:rsidRPr="004673B0">
        <w:t>Při vymezení relevantních trhů Úřad, je-li to relevantní a potřebné, zohlední také kvantitativní testy, které slouží k definování trhů. Kvantitativní testy slouží Úřadu jako komplementární metody, nikoliv jako substituty kvalitativního posouzení zastupitelnosti při vymezení trhu. V případě, že se Úřad rozhodne při vymezení relevantního trhu použít také kvantitativní test, zváží, zda daný test je vhodný pro posouzení konkrétního kritéria</w:t>
      </w:r>
      <w:r w:rsidR="0027049F" w:rsidRPr="004673B0">
        <w:t xml:space="preserve"> zastupitelnosti</w:t>
      </w:r>
      <w:r w:rsidRPr="004673B0">
        <w:t>, jakož i zvolené vstupní parametry testu (</w:t>
      </w:r>
      <w:r w:rsidRPr="004673B0">
        <w:rPr>
          <w:i/>
        </w:rPr>
        <w:t>např. bude-li Úřad posuzovat vliv „malého, ale významného a trvalého“ zvýšení cen, zváží volbu konkrétní cenové změny).</w:t>
      </w:r>
      <w:r w:rsidRPr="004673B0">
        <w:t xml:space="preserve"> S ohledem na nastavení parametrů kvantitativního testu musí Úřad vždy zvážit výsledky provedeného testu a zhodnotit, zda jsou dostatečně přesvědčivé a robustní. </w:t>
      </w:r>
    </w:p>
    <w:p w:rsidR="00F45280" w:rsidRPr="004673B0" w:rsidRDefault="00F45280" w:rsidP="00F45280">
      <w:r w:rsidRPr="004673B0">
        <w:t xml:space="preserve">Úřad při použití kvantitativních metod zváží, zda k jejich provedení má adekvátní data. Z důvodu praktických omezení bude Úřad moci kvantitativní testy zpravidla provádět na základě </w:t>
      </w:r>
      <w:r w:rsidR="00614148" w:rsidRPr="004673B0">
        <w:t xml:space="preserve">historických </w:t>
      </w:r>
      <w:r w:rsidRPr="004673B0">
        <w:t>dat či údajů z marketingového šetření.</w:t>
      </w:r>
      <w:r w:rsidR="0027049F" w:rsidRPr="004673B0">
        <w:rPr>
          <w:rStyle w:val="Znakapoznpodarou"/>
        </w:rPr>
        <w:footnoteReference w:id="27"/>
      </w:r>
      <w:r w:rsidRPr="004673B0">
        <w:t xml:space="preserve"> </w:t>
      </w:r>
    </w:p>
    <w:p w:rsidR="00CF4A57" w:rsidRPr="004673B0" w:rsidRDefault="00F45280" w:rsidP="00546F58">
      <w:r w:rsidRPr="004673B0">
        <w:t>Mezi kvantitativní testy patří zejména</w:t>
      </w:r>
      <w:r w:rsidR="00DC32D5" w:rsidRPr="004673B0">
        <w:t xml:space="preserve"> analýza křížové elasticity poptávky</w:t>
      </w:r>
      <w:r w:rsidR="00B87B96" w:rsidRPr="004673B0">
        <w:t>. Úřad může aplikovat</w:t>
      </w:r>
      <w:r w:rsidR="00DC32D5" w:rsidRPr="004673B0">
        <w:t xml:space="preserve"> i další ekonomické a statistické přístupy.</w:t>
      </w:r>
      <w:bookmarkStart w:id="77" w:name="_Toc417381827"/>
      <w:bookmarkStart w:id="78" w:name="_Toc417381941"/>
      <w:bookmarkStart w:id="79" w:name="_Toc417382047"/>
      <w:bookmarkStart w:id="80" w:name="_Toc419213301"/>
      <w:bookmarkStart w:id="81" w:name="_Toc419213502"/>
      <w:bookmarkStart w:id="82" w:name="_Toc422494196"/>
      <w:bookmarkStart w:id="83" w:name="_Toc422741457"/>
      <w:bookmarkStart w:id="84" w:name="_Toc422741573"/>
      <w:bookmarkStart w:id="85" w:name="_Toc422852110"/>
      <w:bookmarkStart w:id="86" w:name="_Toc423004469"/>
      <w:bookmarkStart w:id="87" w:name="_Toc423356053"/>
      <w:bookmarkStart w:id="88" w:name="_Toc423356120"/>
      <w:bookmarkStart w:id="89" w:name="_Toc423360951"/>
      <w:bookmarkStart w:id="90" w:name="_Toc423360994"/>
      <w:bookmarkStart w:id="91" w:name="_Toc423361991"/>
      <w:bookmarkEnd w:id="48"/>
      <w:bookmarkEnd w:id="49"/>
      <w:bookmarkEnd w:id="50"/>
      <w:bookmarkEnd w:id="5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F45280" w:rsidRPr="004673B0" w:rsidRDefault="00F45280" w:rsidP="004035B4">
      <w:pPr>
        <w:pStyle w:val="N2"/>
      </w:pPr>
      <w:bookmarkStart w:id="92" w:name="_Toc417381597"/>
      <w:bookmarkStart w:id="93" w:name="_Toc417381828"/>
      <w:bookmarkStart w:id="94" w:name="_Toc417381942"/>
      <w:bookmarkStart w:id="95" w:name="_Toc417382048"/>
      <w:bookmarkStart w:id="96" w:name="_Toc419213302"/>
      <w:bookmarkStart w:id="97" w:name="_Toc419213503"/>
      <w:bookmarkStart w:id="98" w:name="_Toc422494197"/>
      <w:bookmarkStart w:id="99" w:name="_Toc423356121"/>
      <w:bookmarkStart w:id="100" w:name="_Toc423360995"/>
      <w:bookmarkStart w:id="101" w:name="_Toc440374064"/>
      <w:bookmarkStart w:id="102" w:name="_Ref441238846"/>
      <w:bookmarkEnd w:id="92"/>
      <w:bookmarkEnd w:id="93"/>
      <w:bookmarkEnd w:id="94"/>
      <w:bookmarkEnd w:id="95"/>
      <w:bookmarkEnd w:id="96"/>
      <w:bookmarkEnd w:id="97"/>
      <w:bookmarkEnd w:id="98"/>
      <w:r w:rsidRPr="004673B0">
        <w:t>Věcné vymezení</w:t>
      </w:r>
      <w:bookmarkEnd w:id="99"/>
      <w:bookmarkEnd w:id="100"/>
      <w:bookmarkEnd w:id="101"/>
      <w:bookmarkEnd w:id="102"/>
    </w:p>
    <w:p w:rsidR="00F45280" w:rsidRPr="004673B0" w:rsidRDefault="00F45280" w:rsidP="004035B4">
      <w:pPr>
        <w:pStyle w:val="N3"/>
      </w:pPr>
      <w:bookmarkStart w:id="103" w:name="_Toc423356122"/>
      <w:bookmarkStart w:id="104" w:name="_Toc423360996"/>
      <w:bookmarkStart w:id="105" w:name="_Toc440374065"/>
      <w:r w:rsidRPr="004673B0">
        <w:t>Definice produktového trhu</w:t>
      </w:r>
      <w:bookmarkEnd w:id="103"/>
      <w:bookmarkEnd w:id="104"/>
      <w:bookmarkEnd w:id="105"/>
    </w:p>
    <w:p w:rsidR="00F45280" w:rsidRPr="004673B0" w:rsidRDefault="00F45280" w:rsidP="00F45280">
      <w:r w:rsidRPr="004673B0">
        <w:t>V souladu s článkem 7 Sdělení Komise zahrnuje relevantní produktový trh „</w:t>
      </w:r>
      <w:r w:rsidRPr="004673B0">
        <w:rPr>
          <w:i/>
        </w:rPr>
        <w:t>všechny výrobky a/nebo služby, které jsou spotřebitelem s ohledem na jejich vlastnosti, ceny a zamýšlené použití považovány za zaměnitelné nebo zastupitelné.</w:t>
      </w:r>
      <w:r w:rsidRPr="004673B0">
        <w:t>“</w:t>
      </w:r>
      <w:r w:rsidR="00E06EA6" w:rsidRPr="004673B0">
        <w:rPr>
          <w:rStyle w:val="Znakapoznpodarou"/>
        </w:rPr>
        <w:footnoteReference w:id="28"/>
      </w:r>
      <w:r w:rsidRPr="004673B0">
        <w:t xml:space="preserve"> Mezi relevantní kritéria pro stanovení produktového trhu dále patří podmínky konkurence a struktury poptávky a nabídky na daném trhu.</w:t>
      </w:r>
      <w:r w:rsidR="00E06EA6" w:rsidRPr="004673B0">
        <w:t xml:space="preserve"> Další hlediska, ke kterým Úřad přihlíží jsou uvedena v kapitole č. </w:t>
      </w:r>
      <w:r w:rsidR="00CB16F5" w:rsidRPr="004673B0">
        <w:fldChar w:fldCharType="begin"/>
      </w:r>
      <w:r w:rsidR="00E06EA6" w:rsidRPr="004673B0">
        <w:instrText xml:space="preserve"> REF _Ref423365996 \r \h </w:instrText>
      </w:r>
      <w:r w:rsidR="004673B0">
        <w:instrText xml:space="preserve"> \* MERGEFORMAT </w:instrText>
      </w:r>
      <w:r w:rsidR="00CB16F5" w:rsidRPr="004673B0">
        <w:fldChar w:fldCharType="separate"/>
      </w:r>
      <w:r w:rsidR="00067C1B">
        <w:t>3.2.3.1</w:t>
      </w:r>
      <w:r w:rsidR="00CB16F5" w:rsidRPr="004673B0">
        <w:fldChar w:fldCharType="end"/>
      </w:r>
      <w:r w:rsidR="00E06EA6" w:rsidRPr="004673B0">
        <w:t xml:space="preserve"> Metodiky.</w:t>
      </w:r>
    </w:p>
    <w:p w:rsidR="008E6C86" w:rsidRPr="004673B0" w:rsidRDefault="00F45280" w:rsidP="00F45280">
      <w:r w:rsidRPr="004673B0">
        <w:t>Úřad na základě níže uvedených kritérií a postupů zkoumá, které produkty a služby jsou dostatečně zastupitelné a jsou proto součástí jediného relevantního trhu. Proces definování trhu Úřad zahájí tím, že vypracuje seznam produktů a služeb, u kterých je rozumný předpoklad, že by je koncoví uživatelé mohli využívat ke stejným účelům.</w:t>
      </w:r>
      <w:r w:rsidR="00FE0754" w:rsidRPr="004673B0">
        <w:rPr>
          <w:rStyle w:val="Znakapoznpodarou"/>
        </w:rPr>
        <w:footnoteReference w:id="29"/>
      </w:r>
      <w:r w:rsidR="008E6C86" w:rsidRPr="004673B0">
        <w:t xml:space="preserve"> </w:t>
      </w:r>
    </w:p>
    <w:p w:rsidR="00F45280" w:rsidRPr="004673B0" w:rsidRDefault="00F45280" w:rsidP="00F45280">
      <w:r w:rsidRPr="004673B0">
        <w:t>Do</w:t>
      </w:r>
      <w:r w:rsidR="008E6C86" w:rsidRPr="004673B0">
        <w:t xml:space="preserve"> předběžného</w:t>
      </w:r>
      <w:r w:rsidRPr="004673B0">
        <w:t xml:space="preserve"> seznamu Úřad zahrne i služby a produkty, které jsou na trhu zpravidla nebo výhradně nabízeny v balíčku s jinými službami nebo produkty.</w:t>
      </w:r>
      <w:r w:rsidR="008E6C86" w:rsidRPr="004673B0">
        <w:t xml:space="preserve"> </w:t>
      </w:r>
      <w:r w:rsidR="003861A3" w:rsidRPr="004673B0">
        <w:t xml:space="preserve">Nejedná se o </w:t>
      </w:r>
      <w:r w:rsidR="00B87B96" w:rsidRPr="004673B0">
        <w:t>konečný</w:t>
      </w:r>
      <w:r w:rsidR="003861A3" w:rsidRPr="004673B0">
        <w:t xml:space="preserve"> seznam produktů a služeb zahrnutých na jeden relevantní trh; seznam se může během zkoumání zastupitelnosti</w:t>
      </w:r>
      <w:r w:rsidR="00FF7282" w:rsidRPr="004673B0">
        <w:t xml:space="preserve"> dle metod a </w:t>
      </w:r>
      <w:r w:rsidR="00500AF2" w:rsidRPr="004673B0">
        <w:t>postupů uvedených níže v Metodice</w:t>
      </w:r>
      <w:r w:rsidR="003861A3" w:rsidRPr="004673B0">
        <w:t xml:space="preserve"> rozšířit</w:t>
      </w:r>
      <w:r w:rsidR="00614148">
        <w:t>,</w:t>
      </w:r>
      <w:r w:rsidR="003861A3" w:rsidRPr="004673B0">
        <w:t xml:space="preserve"> či zúžit. </w:t>
      </w:r>
    </w:p>
    <w:p w:rsidR="00F45280" w:rsidRPr="004673B0" w:rsidRDefault="00F45280" w:rsidP="00F45280">
      <w:r w:rsidRPr="004673B0">
        <w:t>U vybraných produktů a služeb Úřad zkoumá, zda splňují podmínky pro zařazení do jediného produktového trhu, a to nejprve z hlediska zastupitelnosti na maloobchodním trhu a pokud je vymezován velkoobchodní trh, tak následně z hlediska zastupitelnosti na velkoobchodním trhu. Relevantní trh je potom vymezen jako seznam produktů a služeb, které jsou na základě provedené analýzy Úřadu zastupitelné při uspokojování konkrétních potřeb poptávkové části trhu.</w:t>
      </w:r>
    </w:p>
    <w:p w:rsidR="00F45280" w:rsidRPr="004673B0" w:rsidRDefault="00F45280" w:rsidP="004035B4">
      <w:pPr>
        <w:pStyle w:val="N3"/>
      </w:pPr>
      <w:bookmarkStart w:id="106" w:name="_Toc423356123"/>
      <w:bookmarkStart w:id="107" w:name="_Toc423360997"/>
      <w:bookmarkStart w:id="108" w:name="_Toc440374066"/>
      <w:r w:rsidRPr="004673B0">
        <w:t>Zastupitelnost na straně poptávky</w:t>
      </w:r>
      <w:bookmarkEnd w:id="106"/>
      <w:bookmarkEnd w:id="107"/>
      <w:bookmarkEnd w:id="108"/>
    </w:p>
    <w:p w:rsidR="00F45280" w:rsidRPr="004673B0" w:rsidRDefault="00F45280" w:rsidP="00F57A5B">
      <w:bookmarkStart w:id="109" w:name="_Toc417381603"/>
      <w:bookmarkStart w:id="110" w:name="_Toc417381950"/>
      <w:bookmarkStart w:id="111" w:name="_Toc417382056"/>
      <w:bookmarkStart w:id="112" w:name="_Toc419213510"/>
      <w:r w:rsidRPr="004673B0">
        <w:rPr>
          <w:b/>
        </w:rPr>
        <w:t xml:space="preserve">Zastupitelnost. </w:t>
      </w:r>
      <w:r w:rsidRPr="004673B0">
        <w:t xml:space="preserve">Zastupitelnost produktu (či služby) je analyzována za účelem identifikace takových produktů a služeb, které jsou z pohledu koncových uživatelů alternativami v uspokojování potřeb, </w:t>
      </w:r>
      <w:r w:rsidR="005B1E5D" w:rsidRPr="004673B0">
        <w:t xml:space="preserve">jež </w:t>
      </w:r>
      <w:r w:rsidRPr="004673B0">
        <w:t>jsou běžně uspokojovány daným produktem (či službou), který je předmětem analýzy. Zastupitelnost na straně poptávky zpravidla nastává, pokud jsou určité produkty pro koncového uživatele zastupitelné z pohledu charakteristiky, ceny či zamýšleného užití. Míra vzájemné zastupitelnosti je dostatečná pro koncového uživatele, pokud v případě malého, ale významného a trvalého zvýšení ceny</w:t>
      </w:r>
      <w:bookmarkEnd w:id="109"/>
      <w:bookmarkEnd w:id="110"/>
      <w:bookmarkEnd w:id="111"/>
      <w:bookmarkEnd w:id="112"/>
      <w:r w:rsidRPr="004673B0">
        <w:t xml:space="preserve"> (v rámci SSNIP testu) dotčeného produktu, a při zachování všech ostatních okolností, je koncový uživatel ochoten vyměnit původní produkt za jiný. Aby byl produkt považován za zastupitelný, není potřeba, aby přestoupili všichni či většina koncových uživatelů; důležité je, že na druhý produkt přejde dostatečný počet uživatelů, kvůli kterým bude malé, ale významné a trvalé zvýšení ceny původního produktu pro výrobce/poskytovatele nevýhodné. K naplnění znaků zastupitelnosti je tedy nutné, aby mezi vybranými produkty existovala alespoň „dostatečná míra vzájemné zastupitelnosti</w:t>
      </w:r>
      <w:r w:rsidR="000B4870" w:rsidRPr="004673B0">
        <w:t>.</w:t>
      </w:r>
      <w:r w:rsidRPr="004673B0">
        <w:t>“</w:t>
      </w:r>
      <w:r w:rsidRPr="004673B0">
        <w:rPr>
          <w:rStyle w:val="Znakapoznpodarou"/>
        </w:rPr>
        <w:footnoteReference w:id="30"/>
      </w:r>
      <w:r w:rsidRPr="004673B0">
        <w:t xml:space="preserve"> Dostatečná míra zastupitelnosti může být dána i u produktů rozdílné kvality a ceny. Důležité je, zda malé, ale významné a trvalé zvýšení ceny jednoho produktu povede ke zvýšení poptávky po druhém produktu. Úřad v takovém případě zkoumá, zda je cena kvalitnějšího produktu omezená na konkurenční úroveň produktem s nižší kvalitou, a naopak</w:t>
      </w:r>
      <w:r w:rsidR="00580A68" w:rsidRPr="004673B0">
        <w:t>.</w:t>
      </w:r>
    </w:p>
    <w:p w:rsidR="00F45280" w:rsidRPr="004673B0" w:rsidRDefault="00F45280" w:rsidP="00F45280">
      <w:r w:rsidRPr="004673B0">
        <w:rPr>
          <w:b/>
        </w:rPr>
        <w:t xml:space="preserve">Částečná zastupitelnost. </w:t>
      </w:r>
      <w:r w:rsidRPr="004673B0">
        <w:t xml:space="preserve">Produkty a služby, jež jsou </w:t>
      </w:r>
      <w:r w:rsidR="005B1E5D" w:rsidRPr="004673B0">
        <w:t xml:space="preserve">vzájemně </w:t>
      </w:r>
      <w:r w:rsidRPr="004673B0">
        <w:t>zastupitelné pouze v nepatrné míře, netvoří jeden relevantní trh.</w:t>
      </w:r>
      <w:r w:rsidRPr="004673B0">
        <w:rPr>
          <w:rStyle w:val="Znakapoznpodarou"/>
        </w:rPr>
        <w:footnoteReference w:id="31"/>
      </w:r>
      <w:r w:rsidRPr="004673B0">
        <w:t xml:space="preserve"> Při posuzování, zda určitý produkt nebo službu zařadit na relevantní trh, bude Úřad zkoumat míru zastupitelnosti a posoudí, zda míra zastupitelnosti u dotčené služby je dostatečná ve smyslu výše popsaného konceptu dostatečné míry zastupitelnosti přijatého Soudním dvorem EU v rozhodovací praxi. Důležitými faktory při zkoumání míry zastupitelnosti jsou kromě funkce produktu zejména jeho </w:t>
      </w:r>
      <w:r w:rsidR="00E06EA6" w:rsidRPr="004673B0">
        <w:t>kvalita a cena</w:t>
      </w:r>
      <w:r w:rsidR="00F85F12" w:rsidRPr="004673B0">
        <w:t>.</w:t>
      </w:r>
    </w:p>
    <w:p w:rsidR="00F45280" w:rsidRPr="004673B0" w:rsidRDefault="00F45280" w:rsidP="00F45280">
      <w:bookmarkStart w:id="113" w:name="_Toc417381605"/>
      <w:bookmarkStart w:id="114" w:name="_Toc417381952"/>
      <w:bookmarkStart w:id="115" w:name="_Toc417382058"/>
      <w:bookmarkStart w:id="116" w:name="_Toc419213512"/>
      <w:r w:rsidRPr="004673B0">
        <w:rPr>
          <w:b/>
        </w:rPr>
        <w:t xml:space="preserve">Náklady na změnu produktu. </w:t>
      </w:r>
      <w:r w:rsidRPr="004673B0">
        <w:t>Úřad při zkoumání zastupitelnosti zohlední také náklady spojené s přechodem mezi produkty/službami z pohledu koncového zákazníka a další případná omezení přechodu (např. časová)</w:t>
      </w:r>
      <w:bookmarkEnd w:id="113"/>
      <w:bookmarkEnd w:id="114"/>
      <w:bookmarkEnd w:id="115"/>
      <w:bookmarkEnd w:id="116"/>
      <w:r w:rsidRPr="004673B0">
        <w:t xml:space="preserve"> na jinak zastupitelný produkt. Na trzích elektronických komunikací mohou být náklady spojené s přechodem na jiný produkt reprezentovány např. tzv. vendor lock-in efektem, vysokými náklady na koupi nového koncového zařízení/terminálu nutného pro změnu produktu, či investicemi do technologie, které koncoví uživatelé již vynaložili.</w:t>
      </w:r>
      <w:r w:rsidRPr="004673B0">
        <w:rPr>
          <w:rStyle w:val="Znakapoznpodarou"/>
        </w:rPr>
        <w:footnoteReference w:id="32"/>
      </w:r>
    </w:p>
    <w:p w:rsidR="00500AF2" w:rsidRPr="004673B0" w:rsidRDefault="00500AF2" w:rsidP="00F45280">
      <w:pPr>
        <w:rPr>
          <w:b/>
        </w:rPr>
      </w:pPr>
      <w:bookmarkStart w:id="117" w:name="_Toc417381607"/>
      <w:bookmarkStart w:id="118" w:name="_Toc417381954"/>
      <w:bookmarkStart w:id="119" w:name="_Toc417382060"/>
      <w:bookmarkStart w:id="120" w:name="_Toc419213514"/>
      <w:r w:rsidRPr="004673B0">
        <w:rPr>
          <w:b/>
        </w:rPr>
        <w:t>Balíčky služeb.</w:t>
      </w:r>
      <w:r w:rsidRPr="004673B0">
        <w:t xml:space="preserve"> Úřad zkoumá zastupitelnost na straně poptávky s ohledem na to, zda operátoři poskytují produkty/služby v balíčcích či nikoliv (tzv. balíčkování), k němuž dochází v případě, že operátoři nabízejí produkty koncovým uživatelům v rámci určitého balíčku společně s dalšími produkty. Pokud operátoři jednotlivé produkty nenabízejí samostatně, nebude zpravidla možné konstatovat zastupitelnost z důvodu praktické nemožnosti pro koncové uživatele př</w:t>
      </w:r>
      <w:r w:rsidR="00AC74CB" w:rsidRPr="004673B0">
        <w:t>ejít při malém, ale významném a </w:t>
      </w:r>
      <w:r w:rsidRPr="004673B0">
        <w:t>trvalém zvýšení ceny balíčku na jednotlivé produkty odděleně. V situaci, kdy se produkty nabízí v balíčcích i samostatně, ale samostatně jsou dražší než v balíčku, Úřad posoudí zastupitelnost dle postupu v tomto odstavci. Úřad v případě, že jsou určité produkty poskytované v balíčcích, zkoumá ceny balíčků a případně i jednotlivě nabízených produktů z pohledu koncového zákazníka, jak nákladné by pro něj bylo poptávat služby/produkty odděleně mimo balíček. Úřad dále zkoumá, zda k nákupu balíčků dochází zejména za účelem nákupu jednoho konkrétního produktu nebo vícero produktů, případně všech produktů v balíčku. Úřad dále zkoumá, zda se tržní podíl poskytovatele balíčků liší na trzích jednotlivých produktů nabízených v balíčku a na trhu celého balíčku produktů</w:t>
      </w:r>
      <w:r w:rsidRPr="004673B0">
        <w:rPr>
          <w:rStyle w:val="Znakapoznpodarou"/>
        </w:rPr>
        <w:footnoteReference w:id="33"/>
      </w:r>
      <w:r w:rsidRPr="004673B0">
        <w:t xml:space="preserve">, pokud takový trh existuje. Úřad dále zkoumá, zda </w:t>
      </w:r>
      <w:r w:rsidR="009821F0" w:rsidRPr="004673B0">
        <w:t>by</w:t>
      </w:r>
      <w:r w:rsidRPr="004673B0">
        <w:t xml:space="preserve"> se v případě malého, ale významného a trvalého zvýšení ceny balíčku, zvýší</w:t>
      </w:r>
      <w:r w:rsidR="009821F0" w:rsidRPr="004673B0">
        <w:t>la</w:t>
      </w:r>
      <w:r w:rsidRPr="004673B0">
        <w:t xml:space="preserve"> poptávka po jednotlivých produktech na úkor poptávky po celém balíčku; v takovém případě budou jednotlivé produkty na stejném trhu jako balíček.</w:t>
      </w:r>
      <w:r w:rsidRPr="004673B0">
        <w:rPr>
          <w:rStyle w:val="Znakapoznpodarou"/>
        </w:rPr>
        <w:footnoteReference w:id="34"/>
      </w:r>
      <w:r w:rsidR="00B97FD7" w:rsidRPr="004673B0">
        <w:t xml:space="preserve"> V takovém případě balíček netvoří trh sám o sobě. </w:t>
      </w:r>
    </w:p>
    <w:p w:rsidR="00F45280" w:rsidRPr="004673B0" w:rsidRDefault="00F45280" w:rsidP="00F45280">
      <w:r w:rsidRPr="004673B0">
        <w:rPr>
          <w:b/>
        </w:rPr>
        <w:t>Řetězení zastupitelnosti.</w:t>
      </w:r>
      <w:r w:rsidR="00BF1800" w:rsidRPr="004673B0">
        <w:rPr>
          <w:rStyle w:val="Znakapoznpodarou"/>
          <w:b/>
        </w:rPr>
        <w:footnoteReference w:id="35"/>
      </w:r>
      <w:r w:rsidRPr="004673B0">
        <w:rPr>
          <w:b/>
        </w:rPr>
        <w:t xml:space="preserve"> </w:t>
      </w:r>
      <w:r w:rsidRPr="004673B0">
        <w:t>Úřad zohlední při zkoumání zastupitelnosti možnosti rozšíření relevantního trhu na základě tzv. „řetězení zastupitelnosti“ (</w:t>
      </w:r>
      <w:r w:rsidRPr="004673B0">
        <w:rPr>
          <w:i/>
        </w:rPr>
        <w:t>chain of substitution</w:t>
      </w:r>
      <w:r w:rsidRPr="004673B0">
        <w:t>, neboli řetězec alternativ či řetězec zastupitelnosti) navazujících služeb/produktů</w:t>
      </w:r>
      <w:bookmarkEnd w:id="117"/>
      <w:bookmarkEnd w:id="118"/>
      <w:bookmarkEnd w:id="119"/>
      <w:bookmarkEnd w:id="120"/>
      <w:r w:rsidRPr="004673B0">
        <w:t>. K řetězení zastupitelnosti do</w:t>
      </w:r>
      <w:r w:rsidR="00760D3E" w:rsidRPr="004673B0">
        <w:t>c</w:t>
      </w:r>
      <w:r w:rsidRPr="004673B0">
        <w:t>hází v případě, kdy služby</w:t>
      </w:r>
      <w:r w:rsidR="00760D3E" w:rsidRPr="004673B0">
        <w:t xml:space="preserve"> a </w:t>
      </w:r>
      <w:r w:rsidRPr="004673B0">
        <w:t>produkty, které nejsou blízkými substituty, jsou vzájemně zastupitelné z pohledu poptávky, tj. v případě, kdy mezi produkty „A“ a „C“ není přímá zastupitelnost, ale existuje produkt „B“, který je schopen nahradit jak produkt „A“ tak produkt „</w:t>
      </w:r>
      <w:r w:rsidR="00213AB6" w:rsidRPr="004673B0">
        <w:t>C</w:t>
      </w:r>
      <w:r w:rsidRPr="004673B0">
        <w:t>“, což vede k závěru, že produkty „A“ a „C“ mohou být součástí stejného trhu.</w:t>
      </w:r>
      <w:r w:rsidR="00E41139" w:rsidRPr="004673B0">
        <w:rPr>
          <w:rStyle w:val="Znakapoznpodarou"/>
        </w:rPr>
        <w:footnoteReference w:id="36"/>
      </w:r>
      <w:r w:rsidRPr="004673B0">
        <w:t xml:space="preserve"> </w:t>
      </w:r>
      <w:r w:rsidR="00635484" w:rsidRPr="004673B0">
        <w:t>Úřad při zkoumání řetězení zastupitelnosti vždy vezme v úvahu, zda se jedná o zastupitelnost obousměrnou či jednosměrnou. V případě, že se jedná o jednosměrnou zastupitelnost, Úřad postupuje při zkoumání řetězení od základního produktu</w:t>
      </w:r>
      <w:r w:rsidR="00971535" w:rsidRPr="004673B0">
        <w:t>.</w:t>
      </w:r>
      <w:r w:rsidR="00B24809" w:rsidRPr="004673B0">
        <w:rPr>
          <w:rStyle w:val="Znakapoznpodarou"/>
        </w:rPr>
        <w:footnoteReference w:id="37"/>
      </w:r>
      <w:r w:rsidR="00971535" w:rsidRPr="004673B0">
        <w:t xml:space="preserve"> </w:t>
      </w:r>
      <w:r w:rsidR="00D5161C" w:rsidRPr="004673B0">
        <w:t xml:space="preserve">Úřad při posouzení řetězení zastupitelnosti postupuje v souladu s cílem vymezení trhu, které není cílem samo o sobě, ale jedná se o první krok v rámci </w:t>
      </w:r>
      <w:r w:rsidR="00B76DA8" w:rsidRPr="004673B0">
        <w:t>procesu</w:t>
      </w:r>
      <w:bookmarkStart w:id="121" w:name="_Toc417381609"/>
      <w:bookmarkStart w:id="122" w:name="_Toc417381956"/>
      <w:bookmarkStart w:id="123" w:name="_Toc417382062"/>
      <w:bookmarkStart w:id="124" w:name="_Toc419213516"/>
      <w:r w:rsidR="00662AAF" w:rsidRPr="004673B0">
        <w:t xml:space="preserve"> analýzy trhu.</w:t>
      </w:r>
    </w:p>
    <w:p w:rsidR="00F45280" w:rsidRPr="004673B0" w:rsidRDefault="00F45280" w:rsidP="00F45280">
      <w:r w:rsidRPr="004673B0">
        <w:rPr>
          <w:b/>
        </w:rPr>
        <w:t xml:space="preserve">Jednosměrná zastupitelnost. </w:t>
      </w:r>
      <w:r w:rsidRPr="004673B0">
        <w:t>Úřad zkoumá, zda mezi určitými produkty neexistuje jednosměrná, asymetrická zastupitelnost (</w:t>
      </w:r>
      <w:r w:rsidRPr="004673B0">
        <w:rPr>
          <w:i/>
        </w:rPr>
        <w:t>např. fixed-to-mobile</w:t>
      </w:r>
      <w:r w:rsidRPr="004673B0">
        <w:t>)</w:t>
      </w:r>
      <w:bookmarkEnd w:id="121"/>
      <w:bookmarkEnd w:id="122"/>
      <w:bookmarkEnd w:id="123"/>
      <w:bookmarkEnd w:id="124"/>
      <w:r w:rsidR="002A38C6" w:rsidRPr="004673B0">
        <w:t>.</w:t>
      </w:r>
      <w:r w:rsidR="002A38C6" w:rsidRPr="004673B0">
        <w:rPr>
          <w:rStyle w:val="Znakapoznpodarou"/>
        </w:rPr>
        <w:footnoteReference w:id="38"/>
      </w:r>
      <w:r w:rsidRPr="004673B0">
        <w:t xml:space="preserve"> Jednosměrnou, asymetrickou zastupitelnost</w:t>
      </w:r>
      <w:r w:rsidR="00A2079E" w:rsidRPr="004673B0">
        <w:t>í</w:t>
      </w:r>
      <w:r w:rsidRPr="004673B0">
        <w:t xml:space="preserve"> se myslí případ, kdy v důsledku zvýšení ceny jednoho produktu dojde k přechodu koncových uživatelů na druhý, alternativní produkt </w:t>
      </w:r>
      <w:r w:rsidRPr="004673B0">
        <w:rPr>
          <w:i/>
        </w:rPr>
        <w:t>(</w:t>
      </w:r>
      <w:r w:rsidRPr="004673B0">
        <w:t xml:space="preserve">např. v případě zvýšení ceny pevného připojení k internetu si lze představit migraci některých zákazníků </w:t>
      </w:r>
      <w:r w:rsidR="005B1E5D" w:rsidRPr="004673B0">
        <w:t xml:space="preserve">k </w:t>
      </w:r>
      <w:r w:rsidRPr="004673B0">
        <w:t>mobilní</w:t>
      </w:r>
      <w:r w:rsidR="00205D9B" w:rsidRPr="004673B0">
        <w:t>mu internetu</w:t>
      </w:r>
      <w:r w:rsidRPr="004673B0">
        <w:rPr>
          <w:i/>
        </w:rPr>
        <w:t>),</w:t>
      </w:r>
      <w:r w:rsidRPr="004673B0">
        <w:t xml:space="preserve"> ovšem v případě zvýšení ceny druhého produktu k migraci koncových uživatelů nedojde, např. z důvodů technologických vlastností jednoho produktu (lze si jen těžko představit, že by v případě zvýšen</w:t>
      </w:r>
      <w:r w:rsidR="00A2079E" w:rsidRPr="004673B0">
        <w:t>í</w:t>
      </w:r>
      <w:r w:rsidRPr="004673B0">
        <w:t xml:space="preserve"> cen mobilního připojení zákazníci považovali pevný internet za zastupitelný). Úřad zkoumá zejména vlastnosti jednotlivých produktů, jejich ceny, preference koncových uživatelů, způsoby využití a další charakteristiky</w:t>
      </w:r>
      <w:r w:rsidR="002A38C6" w:rsidRPr="004673B0">
        <w:t>.</w:t>
      </w:r>
      <w:r w:rsidR="002A38C6" w:rsidRPr="004673B0">
        <w:rPr>
          <w:rStyle w:val="Znakapoznpodarou"/>
        </w:rPr>
        <w:footnoteReference w:id="39"/>
      </w:r>
      <w:r w:rsidR="002A38C6" w:rsidRPr="004673B0">
        <w:t xml:space="preserve"> </w:t>
      </w:r>
      <w:r w:rsidRPr="004673B0">
        <w:rPr>
          <w:rStyle w:val="Znakapoznpodarou"/>
        </w:rPr>
        <w:footnoteReference w:id="40"/>
      </w:r>
      <w:r w:rsidRPr="004673B0">
        <w:t xml:space="preserve"> Asymetrická zastupitelnost bude relevantní pouze pro některé trhy, nejedná se o základní kritérium k věcnému vymezení trhu. K takové zastupitelnosti může docházet např. v případě přechodu z pomalejších (méně kvalitních) sítí a služeb na rychlejší (kvalitnější) sítě a služby</w:t>
      </w:r>
      <w:r w:rsidR="002A38C6" w:rsidRPr="004673B0">
        <w:t>.</w:t>
      </w:r>
      <w:r w:rsidR="002A38C6" w:rsidRPr="004673B0">
        <w:rPr>
          <w:rStyle w:val="Znakapoznpodarou"/>
        </w:rPr>
        <w:footnoteReference w:id="41"/>
      </w:r>
      <w:r w:rsidRPr="004673B0">
        <w:t xml:space="preserve"> </w:t>
      </w:r>
    </w:p>
    <w:p w:rsidR="000B4870" w:rsidRPr="004673B0" w:rsidRDefault="00F45280" w:rsidP="00F45280">
      <w:r w:rsidRPr="004673B0">
        <w:rPr>
          <w:b/>
        </w:rPr>
        <w:t>Segmentace koncových uživatelů</w:t>
      </w:r>
      <w:r w:rsidRPr="004673B0">
        <w:t>. Úřad zkoumá, zda existují důvody pro zúžení relevantního trhu mezi různé segmenty/kategorie koncových uživatelů. Zastupitelnost na straně poptávky může být omezena rozdílností poptávky různých segmentů uživatelů, např. rezidenční vs. business uživatelé, uživatelé využívající předplatné či paušální tarify</w:t>
      </w:r>
      <w:r w:rsidR="00D0336A" w:rsidRPr="004673B0">
        <w:t xml:space="preserve"> apod.</w:t>
      </w:r>
      <w:r w:rsidRPr="004673B0">
        <w:t xml:space="preserve"> Segmentaci uživatelů na základě jejich rozdílné poptávky po stejném produktu Úřad zváží, pokud by se různé segmenty uživatelů staly předmětem cenové diskriminace.</w:t>
      </w:r>
      <w:r w:rsidR="000B4870" w:rsidRPr="004673B0">
        <w:t xml:space="preserve"> Cenová diskriminace nastává v případě, že jsou kumulativně splněny následující podmínky</w:t>
      </w:r>
      <w:r w:rsidR="002003E5">
        <w:t>:</w:t>
      </w:r>
      <w:r w:rsidR="000B4870" w:rsidRPr="004673B0">
        <w:t xml:space="preserve"> je možné jasně odlišit jednotlivé segmenty, jednotlivé segmenty uživatelů mají rozdílné elasticity svých poptávek a arbitráž mezi jednotlivými trhy není možná, ať už z regulatorních či tržních důvodů.</w:t>
      </w:r>
    </w:p>
    <w:p w:rsidR="00830F13" w:rsidRPr="004673B0" w:rsidRDefault="00830F13" w:rsidP="00F45280">
      <w:r w:rsidRPr="004673B0">
        <w:rPr>
          <w:b/>
        </w:rPr>
        <w:t xml:space="preserve">Nepřímé vlivy. </w:t>
      </w:r>
      <w:r w:rsidR="00585F0D" w:rsidRPr="004673B0">
        <w:t>Úřad při vymezování velkoobchodního trhu vždy zkoumá, zda neexistují nepřímé vlivy z podřazeného maloobchodního trhu na t</w:t>
      </w:r>
      <w:r w:rsidR="00B76DA8" w:rsidRPr="004673B0">
        <w:t>e</w:t>
      </w:r>
      <w:r w:rsidR="00585F0D" w:rsidRPr="004673B0">
        <w:t>nto velkoobchodní trh. K nepřímým vlivům dochází v situaci, kdy zastupitelnost na straně poptávky na podřazeném maloobchodním trhu ovlivní zastupitelnost na straně poptávky na nadřazeném velkoobchodním trhu a působí tak omezujícím způsobem na operátora, který působí na velkoobchodním trhu. Je tomu tak v případě, že malé, ale významné a trvalé zvýšení ceny na velkoobchodním trhu se projeví ve zvýšení ceny na maloobchodním trhu v takové míře, že koncoví uživatelé na maloobchodním trhu p</w:t>
      </w:r>
      <w:r w:rsidR="00662AAF" w:rsidRPr="004673B0">
        <w:t>řejdou na zastupitelný produkt</w:t>
      </w:r>
      <w:r w:rsidR="002003E5">
        <w:t>,</w:t>
      </w:r>
      <w:r w:rsidR="00662AAF" w:rsidRPr="004673B0">
        <w:t xml:space="preserve"> </w:t>
      </w:r>
      <w:r w:rsidR="00585F0D" w:rsidRPr="004673B0">
        <w:t>a tím pádem sníží poptávku po produktu, jehož cena byla na velkoobchodním trhu zvýšena.</w:t>
      </w:r>
      <w:r w:rsidR="00A720DB" w:rsidRPr="004673B0">
        <w:rPr>
          <w:rStyle w:val="Znakapoznpodarou"/>
        </w:rPr>
        <w:footnoteReference w:id="42"/>
      </w:r>
      <w:r w:rsidR="00585F0D" w:rsidRPr="004673B0">
        <w:t xml:space="preserve"> </w:t>
      </w:r>
      <w:r w:rsidR="00A720DB" w:rsidRPr="004673B0">
        <w:t>Úřad rozšíří velkoobchodní trh na základě nepřímých vlivů pouze v případě, že jsou nepřímé vlivy dostatečně silné. Pro posouzení síly nepřímých vlivů Úřad postupuje na základě níže specifikovaného testu, na který odkazuje Komise v rámci některých konzultací dle čl. 7 rámcové směrnice.</w:t>
      </w:r>
      <w:r w:rsidR="00A720DB" w:rsidRPr="004673B0">
        <w:rPr>
          <w:rStyle w:val="Znakapoznpodarou"/>
        </w:rPr>
        <w:footnoteReference w:id="43"/>
      </w:r>
    </w:p>
    <w:p w:rsidR="00A720DB" w:rsidRPr="004673B0" w:rsidRDefault="00A720DB" w:rsidP="00F45280">
      <w:r w:rsidRPr="004673B0">
        <w:t xml:space="preserve">Úřad zahrne na základě nepřímých vlivů produkt do velkoobchodního trhu pokud: </w:t>
      </w:r>
    </w:p>
    <w:p w:rsidR="00A720DB" w:rsidRPr="004673B0" w:rsidRDefault="00A720DB" w:rsidP="00A720DB">
      <w:pPr>
        <w:pStyle w:val="Odstavecseseznamem"/>
        <w:numPr>
          <w:ilvl w:val="0"/>
          <w:numId w:val="16"/>
        </w:numPr>
      </w:pPr>
      <w:r w:rsidRPr="004673B0">
        <w:t xml:space="preserve">budou poskytovatelé služeb </w:t>
      </w:r>
      <w:r w:rsidR="00B97FD7" w:rsidRPr="004673B0">
        <w:t>elektronických komunikací</w:t>
      </w:r>
      <w:r w:rsidR="000B518A" w:rsidRPr="004673B0">
        <w:t xml:space="preserve"> nuceni přenést zvýšení ceny (SSNIP) na velkoobchodní</w:t>
      </w:r>
      <w:r w:rsidR="0038077E" w:rsidRPr="004673B0">
        <w:t>m</w:t>
      </w:r>
      <w:r w:rsidR="000B518A" w:rsidRPr="004673B0">
        <w:t xml:space="preserve"> trhu na své zákazníky na maloobchodním trhu na základě poměru velkoobchodních a maloobchodních cen;</w:t>
      </w:r>
    </w:p>
    <w:p w:rsidR="000B518A" w:rsidRPr="004673B0" w:rsidRDefault="000B518A" w:rsidP="00A720DB">
      <w:pPr>
        <w:pStyle w:val="Odstavecseseznamem"/>
        <w:numPr>
          <w:ilvl w:val="0"/>
          <w:numId w:val="16"/>
        </w:numPr>
      </w:pPr>
      <w:r w:rsidRPr="004673B0">
        <w:t>na maloobchodním trhu by z důvodu zvýšení ceny došlo k dostatečné zastupitelnosti ze strany poptávky, že by zvýšení velkoobchodní ceny nebylo profitabilní;</w:t>
      </w:r>
    </w:p>
    <w:p w:rsidR="000B518A" w:rsidRPr="004673B0" w:rsidRDefault="000B518A" w:rsidP="00A720DB">
      <w:pPr>
        <w:pStyle w:val="Odstavecseseznamem"/>
        <w:numPr>
          <w:ilvl w:val="0"/>
          <w:numId w:val="16"/>
        </w:numPr>
      </w:pPr>
      <w:r w:rsidRPr="004673B0">
        <w:t xml:space="preserve">zákazníci poskytovatelů služeb </w:t>
      </w:r>
      <w:r w:rsidR="00B97FD7" w:rsidRPr="004673B0">
        <w:t>elektronických komunikací</w:t>
      </w:r>
      <w:r w:rsidRPr="004673B0">
        <w:t xml:space="preserve"> by v důsledku zvýšení ceny </w:t>
      </w:r>
      <w:r w:rsidR="00D0336A" w:rsidRPr="004673B0">
        <w:t xml:space="preserve">nepřecházeli </w:t>
      </w:r>
      <w:r w:rsidRPr="004673B0">
        <w:t>na služby/produkty nabízen</w:t>
      </w:r>
      <w:r w:rsidR="008A1EA6" w:rsidRPr="004673B0">
        <w:t>é</w:t>
      </w:r>
      <w:r w:rsidRPr="004673B0">
        <w:t xml:space="preserve"> </w:t>
      </w:r>
      <w:r w:rsidR="008A1EA6" w:rsidRPr="004673B0">
        <w:t>vertikálně</w:t>
      </w:r>
      <w:r w:rsidRPr="004673B0">
        <w:t xml:space="preserve"> </w:t>
      </w:r>
      <w:r w:rsidR="007C1052" w:rsidRPr="004673B0">
        <w:t>integrovaným hypotetickým monopolistou na maloobchodním trhu</w:t>
      </w:r>
      <w:r w:rsidRPr="004673B0">
        <w:t>, zejména v případě, že</w:t>
      </w:r>
      <w:r w:rsidR="00D0336A" w:rsidRPr="004673B0">
        <w:t xml:space="preserve"> by</w:t>
      </w:r>
      <w:r w:rsidRPr="004673B0">
        <w:t xml:space="preserve"> hypotetický monopolist</w:t>
      </w:r>
      <w:r w:rsidR="008A1EA6" w:rsidRPr="004673B0">
        <w:t>a</w:t>
      </w:r>
      <w:r w:rsidRPr="004673B0">
        <w:t xml:space="preserve"> své maloobchodní ceny </w:t>
      </w:r>
      <w:r w:rsidR="00D0336A" w:rsidRPr="004673B0">
        <w:t>nezvýšil</w:t>
      </w:r>
      <w:r w:rsidRPr="004673B0">
        <w:t>.</w:t>
      </w:r>
      <w:r w:rsidR="00DC23F1" w:rsidRPr="004673B0">
        <w:rPr>
          <w:rStyle w:val="Znakapoznpodarou"/>
        </w:rPr>
        <w:footnoteReference w:id="44"/>
      </w:r>
      <w:r w:rsidRPr="004673B0">
        <w:t xml:space="preserve"> </w:t>
      </w:r>
      <w:r w:rsidR="009278E6" w:rsidRPr="004673B0">
        <w:rPr>
          <w:rStyle w:val="Znakapoznpodarou"/>
        </w:rPr>
        <w:footnoteReference w:id="45"/>
      </w:r>
      <w:r w:rsidRPr="004673B0">
        <w:t xml:space="preserve"> </w:t>
      </w:r>
    </w:p>
    <w:p w:rsidR="00F45280" w:rsidRPr="004673B0" w:rsidRDefault="00F45280" w:rsidP="00F45280">
      <w:r w:rsidRPr="004673B0">
        <w:rPr>
          <w:b/>
        </w:rPr>
        <w:t>Samozásobení</w:t>
      </w:r>
      <w:r w:rsidRPr="004673B0">
        <w:t xml:space="preserve">. Úřad zkoumá, zda existují na trhu případy tzv. samozásobení, tj. jestli velkoobchodní služby poskytují vertikálně integrovaní operátoři sami sobě. Úřad zkoumá, jestli je </w:t>
      </w:r>
      <w:r w:rsidR="003F11CC" w:rsidRPr="004673B0">
        <w:t>na</w:t>
      </w:r>
      <w:r w:rsidRPr="004673B0">
        <w:t xml:space="preserve"> velkoobchodním trhu pouze jeden poskytovatel vstupu</w:t>
      </w:r>
      <w:r w:rsidR="002003E5">
        <w:t>,</w:t>
      </w:r>
      <w:r w:rsidRPr="004673B0">
        <w:t xml:space="preserve"> nebo jestli velkoobchodní vstup poskytují i další alternativní poskytovatelé. Úřad samozásobení vezme v úvahu při zkoumání zastupitelnosti na straně poptávky po velkoobchodním vstupu, přičemž přihlédne zejména ke kapacitám jedn</w:t>
      </w:r>
      <w:r w:rsidR="00F84F21" w:rsidRPr="004673B0">
        <w:t>otlivých poskytovatelů, k cenám a</w:t>
      </w:r>
      <w:r w:rsidRPr="004673B0">
        <w:t xml:space="preserve"> regulačním omezením. </w:t>
      </w:r>
    </w:p>
    <w:p w:rsidR="00F45280" w:rsidRPr="004673B0" w:rsidRDefault="00F45280" w:rsidP="004035B4">
      <w:pPr>
        <w:pStyle w:val="N3"/>
      </w:pPr>
      <w:bookmarkStart w:id="125" w:name="_Toc423356124"/>
      <w:bookmarkStart w:id="126" w:name="_Toc423360998"/>
      <w:bookmarkStart w:id="127" w:name="_Toc440374067"/>
      <w:r w:rsidRPr="004673B0">
        <w:t>Zastupitelnost na straně nabídky</w:t>
      </w:r>
      <w:bookmarkEnd w:id="125"/>
      <w:bookmarkEnd w:id="126"/>
      <w:bookmarkEnd w:id="127"/>
    </w:p>
    <w:p w:rsidR="00F45280" w:rsidRPr="004673B0" w:rsidRDefault="00F45280" w:rsidP="00F45280">
      <w:r w:rsidRPr="004673B0">
        <w:t>Při věcném vymezení relevantního trhu Úřad zkoumá nejen zastupitelnost na straně poptávky, ale také zastupitelnost na straně nabídky. Ke zkoumání zastupitelnosti na straně nabídky Úřad přistoupí v případě, kdy to je relevantní</w:t>
      </w:r>
      <w:r w:rsidR="004978C0">
        <w:t>,</w:t>
      </w:r>
      <w:r w:rsidRPr="004673B0">
        <w:t xml:space="preserve"> a kdy Úřad usoudí, že zastupitelnost na straně nabídky může omezit chování hypotetického monopolisty při určování ceny a taková omezení nebyla zjištěna v rámci analýzy zastupitelnosti na straně poptávky.</w:t>
      </w:r>
      <w:r w:rsidR="002A38C6" w:rsidRPr="004673B0">
        <w:rPr>
          <w:rStyle w:val="Znakapoznpodarou"/>
        </w:rPr>
        <w:footnoteReference w:id="46"/>
      </w:r>
      <w:r w:rsidRPr="004673B0">
        <w:t xml:space="preserve"> Zastupitelnost na straně nabídky tedy bere Úřad v souladu se Sdělením Komise v úvahu vždy „</w:t>
      </w:r>
      <w:r w:rsidRPr="004673B0">
        <w:rPr>
          <w:i/>
        </w:rPr>
        <w:t xml:space="preserve">při vymezování trhů v situacích, kdy se její vliv rovná nahrazení </w:t>
      </w:r>
      <w:r w:rsidRPr="004673B0">
        <w:t>(pozn. zastupitelnosti)</w:t>
      </w:r>
      <w:r w:rsidRPr="004673B0">
        <w:rPr>
          <w:i/>
        </w:rPr>
        <w:t xml:space="preserve"> poptávky ve smyslu účinnosti a bezprostřednosti</w:t>
      </w:r>
      <w:r w:rsidRPr="004673B0">
        <w:t>.“</w:t>
      </w:r>
      <w:r w:rsidR="002A38C6" w:rsidRPr="004673B0">
        <w:rPr>
          <w:rStyle w:val="Znakapoznpodarou"/>
        </w:rPr>
        <w:footnoteReference w:id="47"/>
      </w:r>
      <w:r w:rsidRPr="004673B0">
        <w:t xml:space="preserve"> Zastupitelnost na straně nabídky tudíž nemá ve většině případů tak výrazný vliv na vymezení trhu jako zastupitelnost na straně poptávky. </w:t>
      </w:r>
    </w:p>
    <w:p w:rsidR="00F45280" w:rsidRPr="004673B0" w:rsidRDefault="00F45280" w:rsidP="00F45280">
      <w:r w:rsidRPr="004673B0">
        <w:t>K zastupitelnosti na straně nabídky dochází v případě, když poskytovatelé, kteří nejsou doposud aktivní na daném produktovém trhu, mohou převést své zdroje na poskytování dané služby na základě zvýšení ceny dané služby dle SSNIP testu (zpravidla o 5 – 10 %) a vstoupit na tento trh v rozumném časovém horizontu.</w:t>
      </w:r>
      <w:r w:rsidR="002A38C6" w:rsidRPr="004673B0">
        <w:rPr>
          <w:rStyle w:val="Znakapoznpodarou"/>
        </w:rPr>
        <w:footnoteReference w:id="48"/>
      </w:r>
      <w:r w:rsidRPr="004673B0">
        <w:t xml:space="preserve"> Přechod by neměl poskytovatelům trvat dlouho, aby byla zajištěna dostatečná konkurence. Naopak k nabídkové zastupitelnosti nedochází v případě, že by takový přesun poskytovatelům způsobil dodatečné vysoké finanční nebo časové investice nebo riziko.</w:t>
      </w:r>
      <w:r w:rsidR="00FF4DCB" w:rsidRPr="004673B0">
        <w:rPr>
          <w:rStyle w:val="Znakapoznpodarou"/>
        </w:rPr>
        <w:footnoteReference w:id="49"/>
      </w:r>
      <w:r w:rsidRPr="004673B0">
        <w:t xml:space="preserve"> K tomu, aby Úřad zařadil do rozsahu relevantního trhu služby na základě jejich zastupitelnosti na straně nabídky, nestačí pouze hypotetická možnost ostatních poskytovatelů začít takovou službu nabízet, ale Úřad vždy musí zjistit, </w:t>
      </w:r>
      <w:r w:rsidR="00B24C23" w:rsidRPr="004673B0">
        <w:t xml:space="preserve">zda </w:t>
      </w:r>
      <w:r w:rsidRPr="004673B0">
        <w:t xml:space="preserve">by poskytovatel s vysokou mírou pravděpodobnosti skutečně </w:t>
      </w:r>
      <w:r w:rsidR="007531A6" w:rsidRPr="004673B0">
        <w:t>změnil svou nabídku služeb.</w:t>
      </w:r>
      <w:r w:rsidRPr="004673B0">
        <w:t xml:space="preserve"> Pro takové zjištění Úřad bere v úvahu různé druhy překážek, které takovému chování poskytovatele brání. </w:t>
      </w:r>
    </w:p>
    <w:p w:rsidR="00F45280" w:rsidRPr="004673B0" w:rsidRDefault="00F45280" w:rsidP="00F45280">
      <w:bookmarkStart w:id="128" w:name="_Toc417381613"/>
      <w:bookmarkStart w:id="129" w:name="_Toc417381960"/>
      <w:bookmarkStart w:id="130" w:name="_Toc417382066"/>
      <w:bookmarkStart w:id="131" w:name="_Toc419213520"/>
      <w:r w:rsidRPr="004673B0">
        <w:t>Úřad zkoumá překážky přechodu na danou službu z pohledu technického, funkčního a nákladového</w:t>
      </w:r>
      <w:bookmarkEnd w:id="128"/>
      <w:bookmarkEnd w:id="129"/>
      <w:bookmarkEnd w:id="130"/>
      <w:bookmarkEnd w:id="131"/>
      <w:r w:rsidRPr="004673B0">
        <w:t>. Dále bere Úřad v úvahu právní a jiné regulatorní překážky, jež mohou zabránit rychlému uvedení daného produktu na trh. Mezi takové překážky lze zařadit např. povinnost</w:t>
      </w:r>
      <w:r w:rsidR="00AC74CB" w:rsidRPr="004673B0">
        <w:t>i týkající se uzavírání smluv o </w:t>
      </w:r>
      <w:r w:rsidRPr="004673B0">
        <w:t>umístění, propojení či přístupu k určitým částem infrastruktury komunikační sítě.</w:t>
      </w:r>
      <w:r w:rsidR="00FF4DCB" w:rsidRPr="004673B0">
        <w:rPr>
          <w:rStyle w:val="Znakapoznpodarou"/>
        </w:rPr>
        <w:footnoteReference w:id="50"/>
      </w:r>
      <w:r w:rsidRPr="004673B0">
        <w:t xml:space="preserve"> </w:t>
      </w:r>
    </w:p>
    <w:p w:rsidR="00F45280" w:rsidRPr="004673B0" w:rsidRDefault="00F45280" w:rsidP="00F45280">
      <w:bookmarkStart w:id="132" w:name="_Toc417381615"/>
      <w:bookmarkStart w:id="133" w:name="_Toc417381962"/>
      <w:bookmarkStart w:id="134" w:name="_Toc417382068"/>
      <w:bookmarkStart w:id="135" w:name="_Toc419213522"/>
      <w:r w:rsidRPr="004673B0">
        <w:t>Úřad rozlišuje mezi zastupitelností na straně nabídky a zcela novým vstupem na trh</w:t>
      </w:r>
      <w:bookmarkEnd w:id="132"/>
      <w:bookmarkEnd w:id="133"/>
      <w:bookmarkEnd w:id="134"/>
      <w:bookmarkEnd w:id="135"/>
      <w:r w:rsidRPr="004673B0">
        <w:t xml:space="preserve">. Na rozdíl od nového vstupu na trh poskytovatelé již vlastní </w:t>
      </w:r>
      <w:r w:rsidR="00BE3088" w:rsidRPr="004673B0">
        <w:t xml:space="preserve">veškeré prostředky </w:t>
      </w:r>
      <w:r w:rsidRPr="004673B0">
        <w:t>(výrobní, produkční a marketingov</w:t>
      </w:r>
      <w:r w:rsidR="00BE3088" w:rsidRPr="004673B0">
        <w:t>é</w:t>
      </w:r>
      <w:r w:rsidRPr="004673B0">
        <w:t>)</w:t>
      </w:r>
      <w:r w:rsidR="00FF4DCB" w:rsidRPr="004673B0">
        <w:rPr>
          <w:rStyle w:val="Znakapoznpodarou"/>
        </w:rPr>
        <w:footnoteReference w:id="51"/>
      </w:r>
      <w:r w:rsidRPr="004673B0">
        <w:t xml:space="preserve"> potřebné k zahájení poskytování dané služby. Při převedení </w:t>
      </w:r>
      <w:r w:rsidR="00BE3088" w:rsidRPr="004673B0">
        <w:t>prostř</w:t>
      </w:r>
      <w:r w:rsidR="00205D9B" w:rsidRPr="004673B0">
        <w:t>e</w:t>
      </w:r>
      <w:r w:rsidR="00BE3088" w:rsidRPr="004673B0">
        <w:t xml:space="preserve">dků </w:t>
      </w:r>
      <w:r w:rsidRPr="004673B0">
        <w:t>na poskytování zastupitelné služby v důsledku zvýšení ceny poskytovatelům nevznikaj</w:t>
      </w:r>
      <w:r w:rsidR="00AC74CB" w:rsidRPr="004673B0">
        <w:t>í podstatné dodatečné náklady a </w:t>
      </w:r>
      <w:r w:rsidRPr="004673B0">
        <w:t xml:space="preserve">nepodstupují významná rizika, narozdíl od vstupu na celkově nový trh. V případě, že by poskytovatelům vznikly při přechodu na poskytování nového produktu výrazné náklady nebo by takový přechod měl trvat delší dobu, Úřad nezahrne takové produkty na daný relevantní trh, ale zohlední tyto závěry v pozdější fázi analýzy relevantního trhu. </w:t>
      </w:r>
      <w:r w:rsidR="00FF4DCB" w:rsidRPr="004673B0">
        <w:rPr>
          <w:rStyle w:val="Znakapoznpodarou"/>
        </w:rPr>
        <w:footnoteReference w:id="52"/>
      </w:r>
    </w:p>
    <w:p w:rsidR="00F45280" w:rsidRPr="004673B0" w:rsidRDefault="00F45280" w:rsidP="004035B4">
      <w:pPr>
        <w:pStyle w:val="N3"/>
      </w:pPr>
      <w:bookmarkStart w:id="136" w:name="_Toc423356125"/>
      <w:bookmarkStart w:id="137" w:name="_Toc423360999"/>
      <w:bookmarkStart w:id="138" w:name="_Toc440374068"/>
      <w:r w:rsidRPr="004673B0">
        <w:t>SSNIP test</w:t>
      </w:r>
      <w:bookmarkEnd w:id="136"/>
      <w:bookmarkEnd w:id="137"/>
      <w:bookmarkEnd w:id="138"/>
    </w:p>
    <w:p w:rsidR="00F45280" w:rsidRPr="004673B0" w:rsidRDefault="00F45280" w:rsidP="00F45280">
      <w:bookmarkStart w:id="139" w:name="_Toc417381617"/>
      <w:bookmarkStart w:id="140" w:name="_Toc417381964"/>
      <w:bookmarkStart w:id="141" w:name="_Toc417382070"/>
      <w:bookmarkStart w:id="142" w:name="_Toc419213524"/>
      <w:r w:rsidRPr="004673B0">
        <w:t>Metodou, která se používá v soutěžním právu k vymezení trhu</w:t>
      </w:r>
      <w:r w:rsidR="000E4C42">
        <w:t>,</w:t>
      </w:r>
      <w:r w:rsidRPr="004673B0">
        <w:t xml:space="preserve"> je tzv. SSNIP</w:t>
      </w:r>
      <w:r w:rsidRPr="004673B0">
        <w:rPr>
          <w:rStyle w:val="Znakapoznpodarou"/>
        </w:rPr>
        <w:footnoteReference w:id="53"/>
      </w:r>
      <w:r w:rsidRPr="004673B0">
        <w:t xml:space="preserve"> test neboli test hypotetického monopolisty (HMT). SSNIP test je „</w:t>
      </w:r>
      <w:r w:rsidRPr="004673B0">
        <w:rPr>
          <w:i/>
        </w:rPr>
        <w:t>spekulativní experiment, předpokládající malou, avšak trvalou změnu relativní</w:t>
      </w:r>
      <w:r w:rsidR="005B1E5D" w:rsidRPr="004673B0">
        <w:rPr>
          <w:i/>
        </w:rPr>
        <w:t>ch</w:t>
      </w:r>
      <w:r w:rsidRPr="004673B0">
        <w:rPr>
          <w:i/>
        </w:rPr>
        <w:t xml:space="preserve"> cen, a hodnotící pravděpodobné reakce zákazníků.“</w:t>
      </w:r>
      <w:r w:rsidRPr="004673B0">
        <w:rPr>
          <w:rStyle w:val="Znakapoznpodarou"/>
          <w:i/>
        </w:rPr>
        <w:footnoteReference w:id="54"/>
      </w:r>
      <w:r w:rsidRPr="004673B0">
        <w:rPr>
          <w:i/>
        </w:rPr>
        <w:t xml:space="preserve"> </w:t>
      </w:r>
      <w:r w:rsidR="00AC74CB" w:rsidRPr="004673B0">
        <w:t>Jedná se tedy o </w:t>
      </w:r>
      <w:r w:rsidRPr="004673B0">
        <w:t>konceptuální, teoretický nástroj, který Úřad může v případě pochybností využít při věcném i územním vymezení trhů k identifikaci zastupitelných služeb z pohledu poptávky i z pohledu nabídky. Úřad může SSNIP test aplikovat na vymezení celého trhu</w:t>
      </w:r>
      <w:r w:rsidR="00B67434" w:rsidRPr="004673B0">
        <w:t xml:space="preserve"> nebo</w:t>
      </w:r>
      <w:r w:rsidRPr="004673B0">
        <w:t xml:space="preserve"> na ověření zastupitelnosti konkrétní</w:t>
      </w:r>
      <w:r w:rsidR="00B24C23" w:rsidRPr="004673B0">
        <w:t>c</w:t>
      </w:r>
      <w:r w:rsidRPr="004673B0">
        <w:t xml:space="preserve">h </w:t>
      </w:r>
      <w:r w:rsidR="00B24C23" w:rsidRPr="004673B0">
        <w:t xml:space="preserve">produktů </w:t>
      </w:r>
      <w:r w:rsidRPr="004673B0">
        <w:t>nebo služ</w:t>
      </w:r>
      <w:r w:rsidR="00B24C23" w:rsidRPr="004673B0">
        <w:t>e</w:t>
      </w:r>
      <w:r w:rsidRPr="004673B0">
        <w:t xml:space="preserve">b, o </w:t>
      </w:r>
      <w:r w:rsidR="00B24C23" w:rsidRPr="004673B0">
        <w:t xml:space="preserve">kterých </w:t>
      </w:r>
      <w:r w:rsidRPr="004673B0">
        <w:t xml:space="preserve">na základě kritérií popsaných v kapitole </w:t>
      </w:r>
      <w:r w:rsidR="0010796E" w:rsidRPr="004673B0">
        <w:fldChar w:fldCharType="begin"/>
      </w:r>
      <w:r w:rsidR="0010796E" w:rsidRPr="004673B0">
        <w:instrText xml:space="preserve"> REF _Ref441238846 \r \h </w:instrText>
      </w:r>
      <w:r w:rsidR="004673B0">
        <w:instrText xml:space="preserve"> \* MERGEFORMAT </w:instrText>
      </w:r>
      <w:r w:rsidR="0010796E" w:rsidRPr="004673B0">
        <w:fldChar w:fldCharType="separate"/>
      </w:r>
      <w:r w:rsidR="00067C1B">
        <w:t>3.3</w:t>
      </w:r>
      <w:r w:rsidR="0010796E" w:rsidRPr="004673B0">
        <w:fldChar w:fldCharType="end"/>
      </w:r>
      <w:r w:rsidRPr="004673B0">
        <w:t xml:space="preserve"> existují pochybnosti.</w:t>
      </w:r>
    </w:p>
    <w:p w:rsidR="00F45280" w:rsidRPr="004673B0" w:rsidRDefault="00F45280" w:rsidP="00F45280">
      <w:r w:rsidRPr="004673B0">
        <w:t xml:space="preserve">Podstatou SSNIP testu je úvaha, jak </w:t>
      </w:r>
      <w:r w:rsidR="0010796E" w:rsidRPr="004673B0">
        <w:t xml:space="preserve">by zareagovali </w:t>
      </w:r>
      <w:r w:rsidRPr="004673B0">
        <w:t>koncoví uživatelé na malé, ale významné a trvalé zvýšení cen</w:t>
      </w:r>
      <w:r w:rsidR="00B67434" w:rsidRPr="004673B0">
        <w:t xml:space="preserve"> základní služby</w:t>
      </w:r>
      <w:r w:rsidRPr="004673B0">
        <w:t xml:space="preserve"> nad konkurenční úroveň hypotetickým monopolistou, který v důsledku svého postavení disponuje významnou tržní sílou. Úřad následně zkoumá, zda takové zvýšení ceny hypotetickým monopolistou povede k tomu, že na jinou, zastupitelnou službu přejde takové množství koncových zákazníků, že zvýšení ceny bude pro hypotetického monopolistu ziskové nebo ztrátové. V případě, že zvýšení ceny bude pro hypotetického monopolistu ziskové, </w:t>
      </w:r>
      <w:r w:rsidR="00B67434" w:rsidRPr="004673B0">
        <w:t xml:space="preserve">základní </w:t>
      </w:r>
      <w:r w:rsidRPr="004673B0">
        <w:t>služba bude tvořit samostatný relevantní trh.</w:t>
      </w:r>
      <w:r w:rsidR="00FC1618" w:rsidRPr="004673B0">
        <w:rPr>
          <w:rStyle w:val="Znakapoznpodarou"/>
        </w:rPr>
        <w:footnoteReference w:id="55"/>
      </w:r>
      <w:r w:rsidRPr="004673B0">
        <w:t xml:space="preserve"> Pokud by zvýšení ceny vedlo pro hypotetického monopolistu ke ztrátě, Úřad zařadí substituty </w:t>
      </w:r>
      <w:r w:rsidR="00B67434" w:rsidRPr="004673B0">
        <w:t xml:space="preserve">základní </w:t>
      </w:r>
      <w:r w:rsidRPr="004673B0">
        <w:t>služby na daný relevantní trh. Úřad tedy aplikuje SSNIP test za účelem, aby posoudil, zda by hypotetický monopolista mohl na vymezeném trhu trvale zvýšit ceny a dosáhnout navýšení zisku.</w:t>
      </w:r>
      <w:r w:rsidR="00FF4DCB" w:rsidRPr="004673B0">
        <w:rPr>
          <w:rStyle w:val="Znakapoznpodarou"/>
        </w:rPr>
        <w:footnoteReference w:id="56"/>
      </w:r>
      <w:r w:rsidR="008B297B" w:rsidRPr="004673B0">
        <w:t xml:space="preserve"> </w:t>
      </w:r>
      <w:r w:rsidRPr="004673B0">
        <w:t>Při aplikaci SSNIP testu Úřad uvažuje, že ceny ostatních služeb se nemění.</w:t>
      </w:r>
      <w:r w:rsidR="00FF4DCB" w:rsidRPr="004673B0">
        <w:rPr>
          <w:rStyle w:val="Znakapoznpodarou"/>
        </w:rPr>
        <w:footnoteReference w:id="57"/>
      </w:r>
      <w:r w:rsidRPr="004673B0">
        <w:t xml:space="preserve"> </w:t>
      </w:r>
      <w:r w:rsidR="00B67434" w:rsidRPr="004673B0">
        <w:t xml:space="preserve">Základní službou je služba, jež má takové charakteristiky, které opravňují uložení </w:t>
      </w:r>
      <w:r w:rsidR="00B67434" w:rsidRPr="004673B0">
        <w:rPr>
          <w:i/>
        </w:rPr>
        <w:t xml:space="preserve">ex ante </w:t>
      </w:r>
      <w:r w:rsidR="00B67434" w:rsidRPr="004673B0">
        <w:t>regulace.</w:t>
      </w:r>
      <w:r w:rsidR="00F5535C" w:rsidRPr="004673B0">
        <w:rPr>
          <w:rStyle w:val="Znakapoznpodarou"/>
        </w:rPr>
        <w:footnoteReference w:id="58"/>
      </w:r>
      <w:r w:rsidR="00B67434" w:rsidRPr="004673B0">
        <w:t xml:space="preserve"> V praxi Úřad při stanovení základní služby vezme v úvahu dokumenty Komise, zejména Vysvětlující zprávu vydanou k právě účinnému Doporučení o relevantních trzích, a přihlédne k specifické situaci v České republice</w:t>
      </w:r>
      <w:r w:rsidR="00644A01" w:rsidRPr="004673B0">
        <w:t>, včetně toho, kter</w:t>
      </w:r>
      <w:r w:rsidR="00C566FE" w:rsidRPr="004673B0">
        <w:t>á</w:t>
      </w:r>
      <w:r w:rsidR="00644A01" w:rsidRPr="004673B0">
        <w:t xml:space="preserve"> služba je nejvyužívanější koncovými uživateli. </w:t>
      </w:r>
    </w:p>
    <w:p w:rsidR="00F45280" w:rsidRPr="004673B0" w:rsidRDefault="00F45280" w:rsidP="00F45280">
      <w:pPr>
        <w:tabs>
          <w:tab w:val="left" w:pos="1701"/>
        </w:tabs>
      </w:pPr>
      <w:r w:rsidRPr="004673B0">
        <w:t>Za malé, ale významné a trvalé zvýšení ceny Úřad považuje za normálních okolností zvýšení ceny o 5 – 10 %.</w:t>
      </w:r>
      <w:r w:rsidR="00FF4DCB" w:rsidRPr="004673B0">
        <w:rPr>
          <w:rStyle w:val="Znakapoznpodarou"/>
        </w:rPr>
        <w:footnoteReference w:id="59"/>
      </w:r>
      <w:r w:rsidRPr="004673B0">
        <w:t xml:space="preserve"> </w:t>
      </w:r>
      <w:r w:rsidR="004570E8" w:rsidRPr="004673B0">
        <w:t xml:space="preserve">Úřad při provádění SSNIP testu </w:t>
      </w:r>
      <w:r w:rsidR="00B67434" w:rsidRPr="004673B0">
        <w:t>vychází z toho, že malé, ale významné a trvalé zvýšení ceny je zvýšení ceny</w:t>
      </w:r>
      <w:r w:rsidR="004570E8" w:rsidRPr="004673B0">
        <w:t xml:space="preserve"> o 10 %</w:t>
      </w:r>
      <w:r w:rsidR="00B67434" w:rsidRPr="004673B0">
        <w:t>.</w:t>
      </w:r>
      <w:r w:rsidR="004570E8" w:rsidRPr="004673B0">
        <w:t xml:space="preserve"> </w:t>
      </w:r>
      <w:r w:rsidR="00B67434" w:rsidRPr="004673B0">
        <w:t>J</w:t>
      </w:r>
      <w:r w:rsidR="004570E8" w:rsidRPr="004673B0">
        <w:t>edná</w:t>
      </w:r>
      <w:r w:rsidR="00B67434" w:rsidRPr="004673B0">
        <w:t xml:space="preserve"> se</w:t>
      </w:r>
      <w:r w:rsidR="004570E8" w:rsidRPr="004673B0">
        <w:t xml:space="preserve"> o konzervativní přístup</w:t>
      </w:r>
      <w:r w:rsidR="00B67434" w:rsidRPr="004673B0">
        <w:t xml:space="preserve"> Úřadu</w:t>
      </w:r>
      <w:r w:rsidR="004570E8" w:rsidRPr="004673B0">
        <w:t xml:space="preserve">, který vede k ukládání </w:t>
      </w:r>
      <w:r w:rsidR="004570E8" w:rsidRPr="004673B0">
        <w:rPr>
          <w:i/>
        </w:rPr>
        <w:t xml:space="preserve">ex ante </w:t>
      </w:r>
      <w:r w:rsidR="004570E8" w:rsidRPr="004673B0">
        <w:t>regulace</w:t>
      </w:r>
      <w:r w:rsidR="00B67434" w:rsidRPr="004673B0">
        <w:t xml:space="preserve"> </w:t>
      </w:r>
      <w:r w:rsidR="004570E8" w:rsidRPr="004673B0">
        <w:t>v</w:t>
      </w:r>
      <w:r w:rsidR="00B67434" w:rsidRPr="004673B0">
        <w:t> menším počtu</w:t>
      </w:r>
      <w:r w:rsidR="004570E8" w:rsidRPr="004673B0">
        <w:t> případ</w:t>
      </w:r>
      <w:r w:rsidR="00B67434" w:rsidRPr="004673B0">
        <w:t>ů</w:t>
      </w:r>
      <w:r w:rsidR="004570E8" w:rsidRPr="004673B0">
        <w:t xml:space="preserve">. </w:t>
      </w:r>
      <w:r w:rsidRPr="004673B0">
        <w:t>Úřad ale vždy zkoumá podmínky na konkrétním trhu a dle charakteristik daného trhu, ziskovosti poskytovatelů a dalších kritérií přizpůsobí analýzu pomo</w:t>
      </w:r>
      <w:r w:rsidR="00AC74CB" w:rsidRPr="004673B0">
        <w:t>cí SSNIP testu, tedy i </w:t>
      </w:r>
      <w:r w:rsidRPr="004673B0">
        <w:t xml:space="preserve">procentuální zvýšení ceny. </w:t>
      </w:r>
    </w:p>
    <w:p w:rsidR="00F45280" w:rsidRPr="004673B0" w:rsidRDefault="00F5535C" w:rsidP="00F45280">
      <w:pPr>
        <w:tabs>
          <w:tab w:val="left" w:pos="1701"/>
        </w:tabs>
      </w:pPr>
      <w:r w:rsidRPr="004673B0">
        <w:t>Pokud Úřad k vymezení trhu postupuje podle SSNIP testu od počátku bez toho, aby si předem vytvořil seznam produktů a služeb, které by mohly na základě kvalitativního posouzení patřit na stejný relevantní trh,</w:t>
      </w:r>
      <w:r w:rsidR="00644A01" w:rsidRPr="004673B0">
        <w:t xml:space="preserve"> postupuje Úřad </w:t>
      </w:r>
      <w:r w:rsidR="00B76DA8" w:rsidRPr="004673B0">
        <w:t>jak je popsáno v tomto odstavci</w:t>
      </w:r>
      <w:r w:rsidR="00644A01" w:rsidRPr="004673B0">
        <w:t>.</w:t>
      </w:r>
      <w:r w:rsidRPr="004673B0">
        <w:t xml:space="preserve"> </w:t>
      </w:r>
      <w:r w:rsidR="00F45280" w:rsidRPr="004673B0">
        <w:t>Úřad nejdříve vymezí relevantní trh, na který aplikuje SSNIP test v prvním kole. Takový trh se nazývá trhem kandidátským</w:t>
      </w:r>
      <w:r w:rsidR="00FF4DCB" w:rsidRPr="004673B0">
        <w:rPr>
          <w:rStyle w:val="Znakapoznpodarou"/>
        </w:rPr>
        <w:footnoteReference w:id="60"/>
      </w:r>
      <w:r w:rsidR="009625EC">
        <w:t>.</w:t>
      </w:r>
      <w:r w:rsidR="00AC74CB" w:rsidRPr="004673B0">
        <w:t xml:space="preserve"> </w:t>
      </w:r>
      <w:r w:rsidR="009625EC">
        <w:t>M</w:t>
      </w:r>
      <w:r w:rsidR="00AC74CB" w:rsidRPr="004673B0">
        <w:t>ěl by být co nejužší a </w:t>
      </w:r>
      <w:r w:rsidR="00F45280" w:rsidRPr="004673B0">
        <w:t>jeho součástí by měla být</w:t>
      </w:r>
      <w:r w:rsidR="00644A01" w:rsidRPr="004673B0">
        <w:t xml:space="preserve"> základní</w:t>
      </w:r>
      <w:r w:rsidR="00F45280" w:rsidRPr="004673B0">
        <w:t xml:space="preserve"> služba, která je nabízená na relevantním území a která splňuje podmínky pro zavedení regulatorních povinností.</w:t>
      </w:r>
      <w:r w:rsidR="00FF4DCB" w:rsidRPr="004673B0">
        <w:rPr>
          <w:rStyle w:val="Znakapoznpodarou"/>
        </w:rPr>
        <w:footnoteReference w:id="61"/>
      </w:r>
      <w:r w:rsidR="00FF4DCB" w:rsidRPr="004673B0">
        <w:t xml:space="preserve"> </w:t>
      </w:r>
      <w:r w:rsidR="00FF4DCB" w:rsidRPr="004673B0">
        <w:rPr>
          <w:rStyle w:val="Znakapoznpodarou"/>
        </w:rPr>
        <w:footnoteReference w:id="62"/>
      </w:r>
      <w:r w:rsidR="00F45280" w:rsidRPr="004673B0">
        <w:t xml:space="preserve"> </w:t>
      </w:r>
      <w:r w:rsidR="003861A3" w:rsidRPr="004673B0">
        <w:t>Výchozím bodem je tzv. základní produkt, který Úřad určí na základě dokumentů před</w:t>
      </w:r>
      <w:r w:rsidR="005F3815" w:rsidRPr="004673B0">
        <w:t>l</w:t>
      </w:r>
      <w:r w:rsidR="003861A3" w:rsidRPr="004673B0">
        <w:t>ožených Komisí, zejména z </w:t>
      </w:r>
      <w:r w:rsidR="003F11CC" w:rsidRPr="004673B0">
        <w:t>Vysvětlující zprávy</w:t>
      </w:r>
      <w:r w:rsidR="003861A3" w:rsidRPr="004673B0">
        <w:t>. V případě, že je situace na trhu</w:t>
      </w:r>
      <w:r w:rsidR="002D4517" w:rsidRPr="004673B0">
        <w:t xml:space="preserve"> elektronických komunikací</w:t>
      </w:r>
      <w:r w:rsidR="003861A3" w:rsidRPr="004673B0">
        <w:t xml:space="preserve"> v České republice natolik odlišná, že by základním produktem nebyl produkt, je</w:t>
      </w:r>
      <w:r w:rsidR="009625EC">
        <w:t>n</w:t>
      </w:r>
      <w:r w:rsidR="003861A3" w:rsidRPr="004673B0">
        <w:t>ž za základní brala Komise, Úřad za základní produkt určí takový produkt, který je v reáliích České republiky nejvíce zastupitelný, což Úřad zjistí např. na základě průzkumu či jiných statistických dat o rozšířenosti jednotlivých produktů či služeb, které v rámci jednotlivých trhů mají postavení základního produktu.</w:t>
      </w:r>
      <w:r w:rsidR="00B76DA8" w:rsidRPr="004673B0">
        <w:t xml:space="preserve"> </w:t>
      </w:r>
      <w:r w:rsidR="00F45280" w:rsidRPr="004673B0">
        <w:t>Pokud Úřad dospěje na základě výsledku SSNIP testu na úzce vymezeném trhu k závěru, že zvýšení ceny nebude pro hypotetického monopolistu ziskové, Úřad posuzovaný trh rozšíří o další nejbližší substitut. V případě, že v důsledku zvýšení ceny</w:t>
      </w:r>
      <w:r w:rsidR="00644A01" w:rsidRPr="004673B0">
        <w:t xml:space="preserve"> základní</w:t>
      </w:r>
      <w:r w:rsidR="00F45280" w:rsidRPr="004673B0">
        <w:t xml:space="preserve"> služby A by kritické množství koncových uživatelů přešlo na službu B, Úřad by službu B zahrnul do kandidátského trhu společně se</w:t>
      </w:r>
      <w:r w:rsidR="00644A01" w:rsidRPr="004673B0">
        <w:t xml:space="preserve"> základní</w:t>
      </w:r>
      <w:r w:rsidR="00F45280" w:rsidRPr="004673B0">
        <w:t xml:space="preserve"> službou A. Úřad postupně přidává další substituty a opakuje SSNIP test do té doby, než nalezne nejmenší možný relevantní trh, který se vyplatí monopolizovat, tj. na kterém je z</w:t>
      </w:r>
      <w:r w:rsidR="00B87BE7" w:rsidRPr="004673B0">
        <w:t>výšení ceny o 5 – 10 % ziskové.</w:t>
      </w:r>
    </w:p>
    <w:p w:rsidR="00F45280" w:rsidRPr="004673B0" w:rsidRDefault="00F45280" w:rsidP="00F45280">
      <w:bookmarkStart w:id="143" w:name="_Toc417381618"/>
      <w:bookmarkStart w:id="144" w:name="_Toc417381965"/>
      <w:bookmarkStart w:id="145" w:name="_Toc417382071"/>
      <w:bookmarkStart w:id="146" w:name="_Toc419213525"/>
      <w:bookmarkEnd w:id="139"/>
      <w:bookmarkEnd w:id="140"/>
      <w:bookmarkEnd w:id="141"/>
      <w:bookmarkEnd w:id="142"/>
      <w:r w:rsidRPr="004673B0">
        <w:t xml:space="preserve">K přechodu mezi produkty/službami by mělo dojít v relativně krátkém čase, aby byla zaručena dostatečná hospodářská soutěž na daném </w:t>
      </w:r>
      <w:bookmarkEnd w:id="143"/>
      <w:bookmarkEnd w:id="144"/>
      <w:bookmarkEnd w:id="145"/>
      <w:bookmarkEnd w:id="146"/>
      <w:r w:rsidRPr="004673B0">
        <w:t>relevantním trhu. Úřad vychází z předpokladu, že přechod mezi produkty v horizontu 12 měsíců je dostatečně krátké</w:t>
      </w:r>
      <w:r w:rsidR="00FF4DCB" w:rsidRPr="004673B0">
        <w:rPr>
          <w:rStyle w:val="Znakapoznpodarou"/>
        </w:rPr>
        <w:footnoteReference w:id="63"/>
      </w:r>
      <w:r w:rsidRPr="004673B0">
        <w:t xml:space="preserve"> období k zachování konkurence, avšak tento časový horizont vždy upraví v závislosti na konkrétní</w:t>
      </w:r>
      <w:r w:rsidR="002D4517" w:rsidRPr="004673B0">
        <w:t>m</w:t>
      </w:r>
      <w:r w:rsidRPr="004673B0">
        <w:t xml:space="preserve"> zkouman</w:t>
      </w:r>
      <w:r w:rsidR="002D4517" w:rsidRPr="004673B0">
        <w:t>ém</w:t>
      </w:r>
      <w:r w:rsidRPr="004673B0">
        <w:t xml:space="preserve"> trh</w:t>
      </w:r>
      <w:r w:rsidR="002D4517" w:rsidRPr="004673B0">
        <w:t>u</w:t>
      </w:r>
      <w:r w:rsidRPr="004673B0">
        <w:t>. Úřad nevylučuje, že v určitých případech bude za dostatečně rychlý přechod považovat přechod v podstatně kratším období, zejména na trzích, kde dochází ke změnám relativně často.</w:t>
      </w:r>
      <w:r w:rsidRPr="004673B0">
        <w:rPr>
          <w:rStyle w:val="Znakapoznpodarou"/>
        </w:rPr>
        <w:footnoteReference w:id="64"/>
      </w:r>
    </w:p>
    <w:p w:rsidR="00F45280" w:rsidRPr="004673B0" w:rsidRDefault="00F45280" w:rsidP="004035B4">
      <w:pPr>
        <w:pStyle w:val="N2"/>
      </w:pPr>
      <w:bookmarkStart w:id="147" w:name="_Toc423356126"/>
      <w:bookmarkStart w:id="148" w:name="_Toc423361000"/>
      <w:bookmarkStart w:id="149" w:name="_Toc440374069"/>
      <w:r w:rsidRPr="004673B0">
        <w:t>Územní vymezení</w:t>
      </w:r>
      <w:bookmarkEnd w:id="147"/>
      <w:bookmarkEnd w:id="148"/>
      <w:bookmarkEnd w:id="149"/>
      <w:r w:rsidRPr="004673B0">
        <w:t xml:space="preserve"> </w:t>
      </w:r>
    </w:p>
    <w:p w:rsidR="00F45280" w:rsidRPr="004673B0" w:rsidRDefault="00F45280" w:rsidP="00F45280">
      <w:r w:rsidRPr="004673B0">
        <w:t xml:space="preserve">Po vymezení produktového trhu, resp. relevantního trhu z věcného hlediska, </w:t>
      </w:r>
      <w:r w:rsidR="003B3390" w:rsidRPr="004673B0">
        <w:t>je</w:t>
      </w:r>
      <w:r w:rsidR="00EC4677" w:rsidRPr="004673B0">
        <w:t xml:space="preserve"> dalším krokem Úřadu</w:t>
      </w:r>
      <w:r w:rsidRPr="004673B0">
        <w:t xml:space="preserve"> vymezení územního trhu. Vymezení geografické dimenze trhu je nutnou podmínkou pro další části analýzy trhu. </w:t>
      </w:r>
    </w:p>
    <w:p w:rsidR="00F45280" w:rsidRPr="004673B0" w:rsidRDefault="00F45280" w:rsidP="00F45280">
      <w:r w:rsidRPr="004673B0">
        <w:t>Relevantním trhem z územního hlediska je „</w:t>
      </w:r>
      <w:r w:rsidRPr="004673B0">
        <w:rPr>
          <w:i/>
        </w:rPr>
        <w:t>oblast, ve které se do</w:t>
      </w:r>
      <w:r w:rsidR="00AC74CB" w:rsidRPr="004673B0">
        <w:rPr>
          <w:i/>
        </w:rPr>
        <w:t>tyčné podniky účastní dodávky a </w:t>
      </w:r>
      <w:r w:rsidRPr="004673B0">
        <w:rPr>
          <w:i/>
        </w:rPr>
        <w:t xml:space="preserve">poptávky výrobků nebo služeb, kde jsou podmínky hospodářské </w:t>
      </w:r>
      <w:r w:rsidR="00AC74CB" w:rsidRPr="004673B0">
        <w:rPr>
          <w:i/>
        </w:rPr>
        <w:t>soutěže dostatečně stejnorodé a </w:t>
      </w:r>
      <w:r w:rsidRPr="004673B0">
        <w:rPr>
          <w:i/>
        </w:rPr>
        <w:t>která může být odlišena od sousedních zeměpisných oblastí, protože zejména podmínky hospodářské soutěže jsou v těchto oblastech zjevně odlišné.</w:t>
      </w:r>
      <w:r w:rsidRPr="004673B0">
        <w:t>“</w:t>
      </w:r>
      <w:r w:rsidRPr="004673B0">
        <w:rPr>
          <w:rStyle w:val="Znakapoznpodarou"/>
        </w:rPr>
        <w:footnoteReference w:id="65"/>
      </w:r>
      <w:r w:rsidRPr="004673B0">
        <w:t xml:space="preserve"> Úřad určí oblast za relevantní trh, pokud jsou na daném území soutěžní podmínky podobné nebo dostatečně stejnorodé (nemusí být identické)</w:t>
      </w:r>
      <w:r w:rsidR="00FF4DCB" w:rsidRPr="004673B0">
        <w:rPr>
          <w:rStyle w:val="Znakapoznpodarou"/>
        </w:rPr>
        <w:footnoteReference w:id="66"/>
      </w:r>
      <w:r w:rsidR="00AC74CB" w:rsidRPr="004673B0">
        <w:t xml:space="preserve"> a </w:t>
      </w:r>
      <w:r w:rsidRPr="004673B0">
        <w:t xml:space="preserve">zároveň dostatečně odlišitelné od podmínek hospodářské soutěže na území sousedním. </w:t>
      </w:r>
    </w:p>
    <w:p w:rsidR="00F45280" w:rsidRPr="004673B0" w:rsidRDefault="00F45280" w:rsidP="00F45280">
      <w:r w:rsidRPr="004673B0">
        <w:t>Úřad při analýze územního rozsahu relevantního trhu nejdříve podle níže uvedených kritérií ověří, zda je geografickým rozsahem trhu celé území České republiky. Pokud budou indikace, že geografické vymezení trhu se liší od území České republiky, vymezí Úřad jednotlivé menší geografické trhy dle kritérií níže.</w:t>
      </w:r>
    </w:p>
    <w:p w:rsidR="00F45280" w:rsidRPr="004673B0" w:rsidRDefault="00F45280" w:rsidP="00F45280">
      <w:r w:rsidRPr="004673B0">
        <w:t>Úřad k vymezení relevantního trhu z územního hlediska postupuje obdobně jako v případě vymezení věcného hlediska trhu, tj. zkoumá zastupitelnost na straně poptávky a nabídky v souvislosti se zvýšením ceny daného produktu či služby. Narozdíl od vymezení produktového trhu ovšem Úřad neaplikuje SSNIP test</w:t>
      </w:r>
      <w:r w:rsidR="00BE3088" w:rsidRPr="004673B0">
        <w:t xml:space="preserve"> postupně od geograficky nejužšího možného trhu postupně rozšiřovaného. Takový postup </w:t>
      </w:r>
      <w:r w:rsidRPr="004673B0">
        <w:t>by mohl vést k vymezení vícero velmi úzkých trhů. Úřad při vymezení trhu z územního hlediska agreguje sousední oblasti, které se vyznačují dostatečně stejnorodou situací v oblasti hospodářské soutěže</w:t>
      </w:r>
      <w:r w:rsidR="00AC74CB" w:rsidRPr="004673B0">
        <w:t>, a </w:t>
      </w:r>
      <w:r w:rsidR="00BE3088" w:rsidRPr="004673B0">
        <w:t>teprve na dostatečně homogenní (agregované) oblasti zkoumá zastupitelnost</w:t>
      </w:r>
      <w:r w:rsidRPr="004673B0">
        <w:t>.</w:t>
      </w:r>
      <w:r w:rsidR="00FF4DCB" w:rsidRPr="004673B0">
        <w:rPr>
          <w:rStyle w:val="Znakapoznpodarou"/>
        </w:rPr>
        <w:footnoteReference w:id="67"/>
      </w:r>
      <w:r w:rsidRPr="004673B0">
        <w:t xml:space="preserve"> </w:t>
      </w:r>
    </w:p>
    <w:p w:rsidR="00F45280" w:rsidRPr="004673B0" w:rsidRDefault="00F45280" w:rsidP="00F45280">
      <w:r w:rsidRPr="004673B0">
        <w:t>Při zkoumání, zda jsou v jednotlivých oblastech dostatečně podobné soutěžní podmínky vezme Úřad v úvahu následující kritéria</w:t>
      </w:r>
      <w:r w:rsidR="002B14A7" w:rsidRPr="004673B0">
        <w:t>:</w:t>
      </w:r>
      <w:r w:rsidR="00FF4DCB" w:rsidRPr="004673B0">
        <w:rPr>
          <w:rStyle w:val="Znakapoznpodarou"/>
        </w:rPr>
        <w:footnoteReference w:id="68"/>
      </w:r>
    </w:p>
    <w:p w:rsidR="00F45280" w:rsidRPr="004673B0" w:rsidRDefault="00F45280" w:rsidP="0098652B">
      <w:pPr>
        <w:pStyle w:val="abcd"/>
        <w:numPr>
          <w:ilvl w:val="0"/>
          <w:numId w:val="13"/>
        </w:numPr>
      </w:pPr>
      <w:r w:rsidRPr="004673B0">
        <w:t>bariéry vstupu (právní, regulatorní, ekonomické a nákladové (</w:t>
      </w:r>
      <w:r w:rsidR="00D11360" w:rsidRPr="004673B0">
        <w:t>utopené</w:t>
      </w:r>
      <w:r w:rsidRPr="004673B0">
        <w:t xml:space="preserve"> náklady, výnosy z rozsahu)</w:t>
      </w:r>
      <w:r w:rsidR="00E53903" w:rsidRPr="004673B0">
        <w:t>)</w:t>
      </w:r>
      <w:r w:rsidRPr="004673B0">
        <w:t>,</w:t>
      </w:r>
    </w:p>
    <w:p w:rsidR="00D11360" w:rsidRPr="004673B0" w:rsidRDefault="00F45280" w:rsidP="006868A3">
      <w:pPr>
        <w:pStyle w:val="abcd"/>
        <w:numPr>
          <w:ilvl w:val="0"/>
          <w:numId w:val="13"/>
        </w:numPr>
      </w:pPr>
      <w:r w:rsidRPr="004673B0">
        <w:t xml:space="preserve">počet poskytovatelů v dané oblasti (s ohledem na tržní postavení, nejen na počet operátorů), </w:t>
      </w:r>
    </w:p>
    <w:p w:rsidR="00D11360" w:rsidRPr="004673B0" w:rsidRDefault="00F45280" w:rsidP="006868A3">
      <w:pPr>
        <w:pStyle w:val="abcd"/>
        <w:numPr>
          <w:ilvl w:val="0"/>
          <w:numId w:val="13"/>
        </w:numPr>
      </w:pPr>
      <w:r w:rsidRPr="004673B0">
        <w:t xml:space="preserve">tržní podíly poskytovatelů v jednotlivých oblastech (trendy, vývoj; rozdílné tržní podíly v jednotlivých oblastech </w:t>
      </w:r>
      <w:r w:rsidR="005B1E5D" w:rsidRPr="004673B0">
        <w:t xml:space="preserve">jsou </w:t>
      </w:r>
      <w:r w:rsidRPr="004673B0">
        <w:t xml:space="preserve">indikátorem rozdílných soutěžních podmínek), </w:t>
      </w:r>
    </w:p>
    <w:p w:rsidR="00D11360" w:rsidRPr="004673B0" w:rsidRDefault="00F45280" w:rsidP="006868A3">
      <w:pPr>
        <w:pStyle w:val="abcd"/>
        <w:numPr>
          <w:ilvl w:val="0"/>
          <w:numId w:val="13"/>
        </w:numPr>
      </w:pPr>
      <w:r w:rsidRPr="004673B0">
        <w:t xml:space="preserve">cenová diferenciace (Úřad zkoumá, zda se cenová politika jednotlivých poskytovatelů služeb liší na celém území republiky, při čemž zohlední cenové úrovně stanovené na základě regulačních zásahů (např. rozhodnutí o ceně)), </w:t>
      </w:r>
    </w:p>
    <w:p w:rsidR="00D11360" w:rsidRPr="004673B0" w:rsidRDefault="00F45280" w:rsidP="006868A3">
      <w:pPr>
        <w:pStyle w:val="abcd"/>
        <w:numPr>
          <w:ilvl w:val="0"/>
          <w:numId w:val="13"/>
        </w:numPr>
      </w:pPr>
      <w:r w:rsidRPr="004673B0">
        <w:t>další kritéria (např. různé marketingové a prodejní kategorie v jednotlivých oblastech, rozdílné vlastnosti služby v jednotlivých oblastech, vlastnosti poptávky (migrující uživatelé, uživatelé využívající službu pouze v jedné oblasti), atd.).</w:t>
      </w:r>
    </w:p>
    <w:p w:rsidR="00F45280" w:rsidRPr="004673B0" w:rsidRDefault="00D11360" w:rsidP="00D11360">
      <w:pPr>
        <w:pStyle w:val="abcd"/>
      </w:pPr>
      <w:r w:rsidRPr="004673B0">
        <w:t xml:space="preserve">Úřad přihlédne k rozsahu konkurence na infrastrukturní úrovni, zda je konkurence a vývoj relevantních technologií rovnoměrně rozšířen na celé území </w:t>
      </w:r>
      <w:r w:rsidR="00357D12">
        <w:t>České republiky</w:t>
      </w:r>
      <w:r w:rsidRPr="004673B0">
        <w:t xml:space="preserve"> či jen v určitých</w:t>
      </w:r>
      <w:r w:rsidR="00EC4677" w:rsidRPr="004673B0">
        <w:t xml:space="preserve"> oblastech (typicky městských).</w:t>
      </w:r>
    </w:p>
    <w:p w:rsidR="00F45280" w:rsidRPr="004673B0" w:rsidRDefault="00F45280" w:rsidP="00F45280">
      <w:pPr>
        <w:rPr>
          <w:i/>
        </w:rPr>
      </w:pPr>
      <w:r w:rsidRPr="004673B0">
        <w:t>Úřad při vymezení trhu přihlédne k tomu, „</w:t>
      </w:r>
      <w:r w:rsidRPr="004673B0">
        <w:rPr>
          <w:i/>
        </w:rPr>
        <w:t xml:space="preserve">zda potenciální operátor s významnou tržní silou </w:t>
      </w:r>
      <w:r w:rsidR="00EA233F" w:rsidRPr="004673B0">
        <w:rPr>
          <w:i/>
        </w:rPr>
        <w:t>působí v </w:t>
      </w:r>
      <w:r w:rsidRPr="004673B0">
        <w:rPr>
          <w:i/>
        </w:rPr>
        <w:t>celé oblasti své sítě jednotně nebo zda čelí značně odlišným podmínkám hospodářské soutěže do té míry, že jeho činnosti jsou v některých oblastech omezeny, zatímco v jiných nikoli.“</w:t>
      </w:r>
      <w:r w:rsidRPr="004673B0">
        <w:rPr>
          <w:rStyle w:val="Znakapoznpodarou"/>
        </w:rPr>
        <w:footnoteReference w:id="69"/>
      </w:r>
    </w:p>
    <w:p w:rsidR="00F45280" w:rsidRPr="004673B0" w:rsidRDefault="00F45280" w:rsidP="00F45280">
      <w:r w:rsidRPr="004673B0">
        <w:t xml:space="preserve">Úřad při územním vymezení relevantního trhu bere v úvahu, že oblastní rozdíly může reflektovat nejen v rámci vymezení trhu, ale také v části ukládání nápravných opatření. </w:t>
      </w:r>
    </w:p>
    <w:p w:rsidR="00F45280" w:rsidRPr="004673B0" w:rsidRDefault="00F45280" w:rsidP="004035B4">
      <w:pPr>
        <w:pStyle w:val="N2"/>
      </w:pPr>
      <w:bookmarkStart w:id="150" w:name="_Toc423356127"/>
      <w:bookmarkStart w:id="151" w:name="_Toc423361001"/>
      <w:bookmarkStart w:id="152" w:name="_Toc440374070"/>
      <w:r w:rsidRPr="004673B0">
        <w:t>Časové vymezení</w:t>
      </w:r>
      <w:bookmarkStart w:id="153" w:name="_Toc417381626"/>
      <w:bookmarkStart w:id="154" w:name="_Toc417381858"/>
      <w:bookmarkStart w:id="155" w:name="_Toc417381973"/>
      <w:bookmarkStart w:id="156" w:name="_Toc417382079"/>
      <w:bookmarkStart w:id="157" w:name="_Toc419213332"/>
      <w:bookmarkStart w:id="158" w:name="_Toc419213533"/>
      <w:bookmarkStart w:id="159" w:name="_Toc422494226"/>
      <w:bookmarkStart w:id="160" w:name="_Toc422741482"/>
      <w:bookmarkStart w:id="161" w:name="_Toc422741582"/>
      <w:bookmarkStart w:id="162" w:name="_Toc422852119"/>
      <w:bookmarkStart w:id="163" w:name="_Toc423004477"/>
      <w:bookmarkStart w:id="164" w:name="_Toc423356061"/>
      <w:bookmarkStart w:id="165" w:name="_Toc423356128"/>
      <w:bookmarkStart w:id="166" w:name="_Toc423360959"/>
      <w:bookmarkStart w:id="167" w:name="_Toc423361002"/>
      <w:bookmarkStart w:id="168" w:name="_Toc417381628"/>
      <w:bookmarkStart w:id="169" w:name="_Toc417381860"/>
      <w:bookmarkStart w:id="170" w:name="_Toc417381975"/>
      <w:bookmarkStart w:id="171" w:name="_Toc417382081"/>
      <w:bookmarkStart w:id="172" w:name="_Toc419213334"/>
      <w:bookmarkStart w:id="173" w:name="_Toc419213535"/>
      <w:bookmarkStart w:id="174" w:name="_Toc422494228"/>
      <w:bookmarkStart w:id="175" w:name="_Toc422741484"/>
      <w:bookmarkStart w:id="176" w:name="_Toc422741584"/>
      <w:bookmarkStart w:id="177" w:name="_Toc422852121"/>
      <w:bookmarkStart w:id="178" w:name="_Toc423004479"/>
      <w:bookmarkStart w:id="179" w:name="_Toc423356063"/>
      <w:bookmarkStart w:id="180" w:name="_Toc423356130"/>
      <w:bookmarkStart w:id="181" w:name="_Toc423360961"/>
      <w:bookmarkStart w:id="182" w:name="_Toc423361004"/>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F45280" w:rsidRPr="004673B0" w:rsidRDefault="0098652B" w:rsidP="00D55F01">
      <w:bookmarkStart w:id="183" w:name="_Toc417382082"/>
      <w:bookmarkStart w:id="184" w:name="_Toc419213536"/>
      <w:r w:rsidRPr="004673B0">
        <w:t xml:space="preserve">Úřad při vymezení relevantního trhu z časového hlediska bere v úvahu zejména zákonnou povinnost </w:t>
      </w:r>
      <w:r w:rsidR="00F45280" w:rsidRPr="004673B0">
        <w:t>provádět novou analýzu</w:t>
      </w:r>
      <w:bookmarkEnd w:id="183"/>
      <w:bookmarkEnd w:id="184"/>
      <w:r w:rsidRPr="004673B0">
        <w:t xml:space="preserve"> relevantního trhu každé 1</w:t>
      </w:r>
      <w:r w:rsidR="00F57A5B" w:rsidRPr="004673B0">
        <w:t xml:space="preserve"> – </w:t>
      </w:r>
      <w:r w:rsidRPr="004673B0">
        <w:t>3 roky</w:t>
      </w:r>
      <w:r w:rsidR="00F45280" w:rsidRPr="004673B0">
        <w:t>, tj. včetně vymezení</w:t>
      </w:r>
      <w:r w:rsidRPr="004673B0">
        <w:t xml:space="preserve"> trhu</w:t>
      </w:r>
      <w:r w:rsidR="00CA7446" w:rsidRPr="004673B0">
        <w:t>, ode dne nabytí právní moci rozhodnutí, kterým podniku s významnou tržní silou uložil povinnosti, popřípadě ode dne nabytí účinnosti opatření obecné povahy, kterým Úřad vydal analýzu relevantního trhu, kterou byl relevantní trh shledán efektivně konkurenčním</w:t>
      </w:r>
      <w:r w:rsidRPr="004673B0">
        <w:t>.</w:t>
      </w:r>
      <w:r w:rsidR="00A569CE" w:rsidRPr="004673B0">
        <w:t xml:space="preserve">Tuto lhůtu je Úřad oprávněn výjimečně prodloužit nejvýše o další 3 roky, schválí-li to Komise, dle § 51 odst. 2 </w:t>
      </w:r>
      <w:r w:rsidR="00202362" w:rsidRPr="004673B0">
        <w:t>Zákona</w:t>
      </w:r>
      <w:r w:rsidR="00A569CE" w:rsidRPr="004673B0">
        <w:t xml:space="preserve">. </w:t>
      </w:r>
      <w:r w:rsidR="006E6C0F" w:rsidRPr="004673B0">
        <w:t xml:space="preserve">Úřad by tak měl provádět časové vymezení na </w:t>
      </w:r>
      <w:r w:rsidR="00DE0CC4" w:rsidRPr="004673B0">
        <w:t xml:space="preserve">období </w:t>
      </w:r>
      <w:r w:rsidR="006E6C0F" w:rsidRPr="004673B0">
        <w:t xml:space="preserve">maximálně tří let po předpokládaném nabytí účinnosti rozhodnutí, kterým podniku s významnou tržní silou uloží </w:t>
      </w:r>
      <w:r w:rsidR="002B14A7" w:rsidRPr="004673B0">
        <w:t>nápravné opatření</w:t>
      </w:r>
      <w:r w:rsidR="006E6C0F" w:rsidRPr="004673B0">
        <w:t xml:space="preserve">. Protože správní řízení o uložení </w:t>
      </w:r>
      <w:r w:rsidR="002B14A7" w:rsidRPr="004673B0">
        <w:t>nápravných opatření</w:t>
      </w:r>
      <w:r w:rsidR="006E6C0F" w:rsidRPr="004673B0">
        <w:t xml:space="preserve"> zahajuje Úřad v souladu s § 51 odst. 5 Zákona až po vydání příslušné analýzy relevantního trhu, lze časové vymezení v rámci analýzy stanovit až na cca 4 </w:t>
      </w:r>
      <w:r w:rsidR="008946D4" w:rsidRPr="004673B0">
        <w:t>roky</w:t>
      </w:r>
      <w:r w:rsidR="006E6C0F" w:rsidRPr="004673B0">
        <w:t>.</w:t>
      </w:r>
    </w:p>
    <w:p w:rsidR="00FA78F8" w:rsidRPr="004673B0" w:rsidRDefault="0098652B" w:rsidP="00D55F01">
      <w:bookmarkStart w:id="185" w:name="_Toc417382083"/>
      <w:bookmarkStart w:id="186" w:name="_Toc419213537"/>
      <w:r w:rsidRPr="004673B0">
        <w:t xml:space="preserve">Úřad provádí definici trhu </w:t>
      </w:r>
      <w:r w:rsidR="00F45280" w:rsidRPr="004673B0">
        <w:t xml:space="preserve">na základě dat přístupných a aktuálních k datu vydání </w:t>
      </w:r>
      <w:r w:rsidRPr="004673B0">
        <w:t xml:space="preserve">analýzy relevantního trhu ve formě opatření obecné povahy dle § </w:t>
      </w:r>
      <w:r w:rsidR="00A569CE" w:rsidRPr="004673B0">
        <w:t xml:space="preserve">51 odst. 1 </w:t>
      </w:r>
      <w:r w:rsidR="00202362" w:rsidRPr="004673B0">
        <w:t>Zákona</w:t>
      </w:r>
      <w:r w:rsidR="00A569CE" w:rsidRPr="004673B0">
        <w:t xml:space="preserve">. </w:t>
      </w:r>
      <w:r w:rsidR="00FA78F8" w:rsidRPr="004673B0">
        <w:t xml:space="preserve">V případě, že Úřad nemá v době zahájení definice trhu k dispozici aktuální informace, provede vymezení trhu na základě </w:t>
      </w:r>
      <w:r w:rsidR="00F45280" w:rsidRPr="004673B0">
        <w:t>posledních dostupných</w:t>
      </w:r>
      <w:r w:rsidR="00FA78F8" w:rsidRPr="004673B0">
        <w:t xml:space="preserve"> dat</w:t>
      </w:r>
      <w:r w:rsidR="00B87BE7" w:rsidRPr="004673B0">
        <w:t>, nebo si aktuální data opatří.</w:t>
      </w:r>
    </w:p>
    <w:p w:rsidR="00B021AB" w:rsidRDefault="00FA78F8" w:rsidP="008A1DEE">
      <w:r w:rsidRPr="004673B0">
        <w:t>Úřad vymezí trh z časového hlediska, stejně jako při vymezení trhu z hlediska věcného a územn</w:t>
      </w:r>
      <w:r w:rsidR="00A045E2" w:rsidRPr="004673B0">
        <w:t>í</w:t>
      </w:r>
      <w:r w:rsidR="008E299E" w:rsidRPr="004673B0">
        <w:t>ho, s </w:t>
      </w:r>
      <w:r w:rsidRPr="004673B0">
        <w:t xml:space="preserve">ohledem na </w:t>
      </w:r>
      <w:r w:rsidR="00F45280" w:rsidRPr="004673B0">
        <w:t>výhled na další 1</w:t>
      </w:r>
      <w:r w:rsidR="00F57A5B" w:rsidRPr="004673B0">
        <w:t xml:space="preserve"> – </w:t>
      </w:r>
      <w:r w:rsidR="00CA7446" w:rsidRPr="004673B0">
        <w:t>4</w:t>
      </w:r>
      <w:r w:rsidR="00F45280" w:rsidRPr="004673B0">
        <w:t xml:space="preserve"> roky</w:t>
      </w:r>
      <w:bookmarkEnd w:id="185"/>
      <w:bookmarkEnd w:id="186"/>
      <w:r w:rsidR="00AE5C53" w:rsidRPr="004673B0">
        <w:t>, resp. na dobu</w:t>
      </w:r>
      <w:r w:rsidR="00F57A5B" w:rsidRPr="004673B0">
        <w:t xml:space="preserve"> předpokládané</w:t>
      </w:r>
      <w:r w:rsidR="00AE5C53" w:rsidRPr="004673B0">
        <w:t xml:space="preserve"> platnosti analýzy</w:t>
      </w:r>
      <w:r w:rsidR="009738E9" w:rsidRPr="004673B0">
        <w:t xml:space="preserve"> relevantního</w:t>
      </w:r>
      <w:r w:rsidR="00AE5C53" w:rsidRPr="004673B0">
        <w:t xml:space="preserve"> trhu</w:t>
      </w:r>
      <w:r w:rsidRPr="004673B0">
        <w:t>.</w:t>
      </w:r>
      <w:r w:rsidR="003648EF" w:rsidRPr="004673B0">
        <w:t xml:space="preserve"> </w:t>
      </w:r>
      <w:r w:rsidR="00B021AB" w:rsidRPr="00067C1B">
        <w:t>Nicméně uplynutím časového vymezení nepozbývá platnosti ani analýza</w:t>
      </w:r>
      <w:r w:rsidR="008C4A0B" w:rsidRPr="00067C1B">
        <w:t>,</w:t>
      </w:r>
      <w:r w:rsidR="00B021AB" w:rsidRPr="00067C1B">
        <w:t xml:space="preserve"> ani nápravná opatření na jejím základě uložená. </w:t>
      </w:r>
      <w:r w:rsidR="00910466" w:rsidRPr="00067C1B">
        <w:t>Úřad v případě nepředvídané a měnící se dynamiky soutěže na relevantním trhu přistoupí k analýze trhu předčasně před uplynutím časového vymezení. Pokud k žádné nepředvídané a výrazn</w:t>
      </w:r>
      <w:r w:rsidR="008C4A0B" w:rsidRPr="00067C1B">
        <w:t>é</w:t>
      </w:r>
      <w:r w:rsidR="00910466" w:rsidRPr="00067C1B">
        <w:t xml:space="preserve"> změně na trhu nedojde, Úřad v souladu s § 51 odst. 2 Zákona zahájí provádění analýzy nejpozději do 3 let od nabytí právní moci rozhodnutí, kterým podnikům s postavením SMP uložil povinnosti</w:t>
      </w:r>
      <w:r w:rsidR="00B021AB" w:rsidRPr="00067C1B">
        <w:rPr>
          <w:rStyle w:val="Znakapoznpodarou"/>
        </w:rPr>
        <w:footnoteReference w:id="70"/>
      </w:r>
      <w:r w:rsidR="00B021AB" w:rsidRPr="00067C1B">
        <w:t>.</w:t>
      </w:r>
    </w:p>
    <w:p w:rsidR="008A1DEE" w:rsidRPr="004673B0" w:rsidRDefault="003648EF" w:rsidP="008A1DEE">
      <w:r w:rsidRPr="004673B0">
        <w:t xml:space="preserve">Úřad v souladu s bodem 27 </w:t>
      </w:r>
      <w:r w:rsidR="002B14A7" w:rsidRPr="004673B0">
        <w:t>odůvodnění</w:t>
      </w:r>
      <w:r w:rsidRPr="004673B0">
        <w:t xml:space="preserve"> rámcové směrnice</w:t>
      </w:r>
      <w:r w:rsidR="009738E9" w:rsidRPr="004673B0">
        <w:t xml:space="preserve"> zkoumá zda je trh perspektivně konkurenční</w:t>
      </w:r>
      <w:r w:rsidR="008D2E64">
        <w:t>,</w:t>
      </w:r>
      <w:r w:rsidR="009738E9" w:rsidRPr="004673B0">
        <w:t>a</w:t>
      </w:r>
      <w:r w:rsidRPr="004673B0">
        <w:t xml:space="preserve"> vymezí</w:t>
      </w:r>
      <w:r w:rsidR="009738E9" w:rsidRPr="004673B0">
        <w:t xml:space="preserve"> tudíž relevantní</w:t>
      </w:r>
      <w:r w:rsidRPr="004673B0">
        <w:t xml:space="preserve"> trh s ohledem na předpokládaný vývoj efektivní hospodářské soutěže a</w:t>
      </w:r>
      <w:r w:rsidR="00357D12">
        <w:t> </w:t>
      </w:r>
      <w:r w:rsidRPr="004673B0">
        <w:t xml:space="preserve">s ohledem na dynamiku trhu. </w:t>
      </w:r>
    </w:p>
    <w:p w:rsidR="003648EF" w:rsidRPr="004673B0" w:rsidRDefault="003648EF" w:rsidP="008A1DEE">
      <w:r w:rsidRPr="004673B0">
        <w:t xml:space="preserve">Předpokládaný vývoj a dynamiku relevantního trhu Úřad posoudí zejména na </w:t>
      </w:r>
      <w:r w:rsidR="004322AB" w:rsidRPr="004673B0">
        <w:t>základě následujících kritérií:</w:t>
      </w:r>
    </w:p>
    <w:p w:rsidR="003648EF" w:rsidRPr="004673B0" w:rsidRDefault="003648EF" w:rsidP="003648EF">
      <w:pPr>
        <w:pStyle w:val="Odstavecseseznamem"/>
        <w:numPr>
          <w:ilvl w:val="0"/>
          <w:numId w:val="49"/>
        </w:numPr>
      </w:pPr>
      <w:r w:rsidRPr="004673B0">
        <w:t xml:space="preserve">technologický </w:t>
      </w:r>
      <w:r w:rsidR="00E15198" w:rsidRPr="004673B0">
        <w:t xml:space="preserve">vývoj a </w:t>
      </w:r>
      <w:r w:rsidRPr="004673B0">
        <w:t xml:space="preserve">pokrok na relevantním trhu, </w:t>
      </w:r>
    </w:p>
    <w:p w:rsidR="003648EF" w:rsidRPr="004673B0" w:rsidRDefault="003648EF" w:rsidP="003648EF">
      <w:pPr>
        <w:pStyle w:val="Odstavecseseznamem"/>
        <w:numPr>
          <w:ilvl w:val="0"/>
          <w:numId w:val="49"/>
        </w:numPr>
      </w:pPr>
      <w:r w:rsidRPr="004673B0">
        <w:t xml:space="preserve">změny a vývoj podílů na relevantním trhu, </w:t>
      </w:r>
    </w:p>
    <w:p w:rsidR="007404A0" w:rsidRPr="004673B0" w:rsidRDefault="003648EF" w:rsidP="004322AB">
      <w:pPr>
        <w:pStyle w:val="Odstavecseseznamem"/>
        <w:numPr>
          <w:ilvl w:val="0"/>
          <w:numId w:val="49"/>
        </w:numPr>
      </w:pPr>
      <w:r w:rsidRPr="004673B0">
        <w:t>existence jiných významných okolností (např. udělení přídělů pro novou technologii, se kterými jsou spojena rozvojová kritéria a očekávání rychl</w:t>
      </w:r>
      <w:r w:rsidR="00EC4677" w:rsidRPr="004673B0">
        <w:t>ého vývoje relevantního trhu).</w:t>
      </w:r>
      <w:bookmarkStart w:id="187" w:name="_Toc423356131"/>
      <w:bookmarkStart w:id="188" w:name="_Toc423361005"/>
    </w:p>
    <w:p w:rsidR="00D55F01" w:rsidRPr="004673B0" w:rsidRDefault="00F45280" w:rsidP="004035B4">
      <w:pPr>
        <w:pStyle w:val="N1"/>
      </w:pPr>
      <w:bookmarkStart w:id="189" w:name="_Toc440374071"/>
      <w:bookmarkStart w:id="190" w:name="_Ref441221772"/>
      <w:bookmarkStart w:id="191" w:name="_Ref441221931"/>
      <w:bookmarkStart w:id="192" w:name="_Ref441242155"/>
      <w:r w:rsidRPr="004673B0">
        <w:t>Stanovení relevantního trh</w:t>
      </w:r>
      <w:r w:rsidR="00D55F01" w:rsidRPr="004673B0">
        <w:t>u</w:t>
      </w:r>
      <w:bookmarkEnd w:id="189"/>
      <w:bookmarkEnd w:id="190"/>
      <w:bookmarkEnd w:id="191"/>
      <w:bookmarkEnd w:id="192"/>
    </w:p>
    <w:p w:rsidR="00D55F01" w:rsidRPr="004673B0" w:rsidRDefault="00D55F01" w:rsidP="004035B4">
      <w:pPr>
        <w:pStyle w:val="N2"/>
      </w:pPr>
      <w:bookmarkStart w:id="193" w:name="_Toc440374072"/>
      <w:bookmarkEnd w:id="187"/>
      <w:bookmarkEnd w:id="188"/>
      <w:r w:rsidRPr="004673B0">
        <w:t>Úvod</w:t>
      </w:r>
      <w:bookmarkEnd w:id="193"/>
    </w:p>
    <w:p w:rsidR="00A73515" w:rsidRPr="004673B0" w:rsidRDefault="00D55F01" w:rsidP="00A73515">
      <w:r w:rsidRPr="004673B0">
        <w:t xml:space="preserve">V této fázi analýzy trhu Úřad zkoumá, zda trh vymezený v předchozí fázi analýzy </w:t>
      </w:r>
      <w:r w:rsidR="00250BBC" w:rsidRPr="004673B0">
        <w:t xml:space="preserve">má vlastnosti, které </w:t>
      </w:r>
      <w:r w:rsidR="009B5081" w:rsidRPr="004673B0">
        <w:t>mohou opravňovat k uložení</w:t>
      </w:r>
      <w:r w:rsidR="00250BBC" w:rsidRPr="004673B0">
        <w:t xml:space="preserve"> </w:t>
      </w:r>
      <w:r w:rsidR="00250BBC" w:rsidRPr="004673B0">
        <w:rPr>
          <w:i/>
        </w:rPr>
        <w:t>ex ante</w:t>
      </w:r>
      <w:r w:rsidR="009B5081" w:rsidRPr="004673B0">
        <w:rPr>
          <w:i/>
        </w:rPr>
        <w:t xml:space="preserve"> </w:t>
      </w:r>
      <w:r w:rsidR="009B5081" w:rsidRPr="004673B0">
        <w:t>regulace</w:t>
      </w:r>
      <w:r w:rsidRPr="004673B0">
        <w:t>.</w:t>
      </w:r>
      <w:r w:rsidR="00FF4DCB" w:rsidRPr="004673B0">
        <w:rPr>
          <w:rStyle w:val="Znakapoznpodarou"/>
        </w:rPr>
        <w:footnoteReference w:id="71"/>
      </w:r>
      <w:r w:rsidR="00250BBC" w:rsidRPr="004673B0">
        <w:t xml:space="preserve"> V souladu s čl. 16 rámcové směrnice je </w:t>
      </w:r>
      <w:r w:rsidR="00250BBC" w:rsidRPr="004673B0">
        <w:rPr>
          <w:i/>
        </w:rPr>
        <w:t xml:space="preserve">ex ante </w:t>
      </w:r>
      <w:r w:rsidR="00250BBC" w:rsidRPr="004673B0">
        <w:t>regulace ukládána pouze na trzích, které nejsou efektivně konkurenční.</w:t>
      </w:r>
      <w:r w:rsidR="00250BBC" w:rsidRPr="004673B0">
        <w:rPr>
          <w:rStyle w:val="Znakapoznpodarou"/>
        </w:rPr>
        <w:footnoteReference w:id="72"/>
      </w:r>
      <w:r w:rsidR="00250BBC" w:rsidRPr="004673B0">
        <w:t xml:space="preserve"> </w:t>
      </w:r>
      <w:r w:rsidRPr="004673B0">
        <w:t>Pokud Úřad</w:t>
      </w:r>
      <w:r w:rsidR="00250BBC" w:rsidRPr="004673B0">
        <w:t xml:space="preserve"> na základě postupu dle této kapitoly Metodiky</w:t>
      </w:r>
      <w:r w:rsidRPr="004673B0">
        <w:t xml:space="preserve"> vyhodnotí, že vymezený trh </w:t>
      </w:r>
      <w:r w:rsidR="002A419C" w:rsidRPr="004673B0">
        <w:t>je náchylný k tomu nebýt</w:t>
      </w:r>
      <w:r w:rsidR="009B5081" w:rsidRPr="004673B0">
        <w:t xml:space="preserve"> </w:t>
      </w:r>
      <w:r w:rsidRPr="004673B0">
        <w:t xml:space="preserve">efektivně konkurenční, stanoví takový trh jako relevantní pro účely další analýzy a uložení povinnosti podnikům s významnou tržní silou. </w:t>
      </w:r>
    </w:p>
    <w:p w:rsidR="00D55F01" w:rsidRPr="004673B0" w:rsidRDefault="009B5081" w:rsidP="00A73515">
      <w:r w:rsidRPr="004673B0">
        <w:t>Při stanovení relevantních trhů Úřad vychází zejména z </w:t>
      </w:r>
      <w:r w:rsidR="00AA5F13" w:rsidRPr="004673B0">
        <w:t>rámcové směrnice</w:t>
      </w:r>
      <w:r w:rsidRPr="004673B0">
        <w:t>, Doporučení o relevantních trzích</w:t>
      </w:r>
      <w:r w:rsidR="00AA5F13" w:rsidRPr="004673B0">
        <w:t>,</w:t>
      </w:r>
      <w:r w:rsidRPr="004673B0">
        <w:t xml:space="preserve"> Pokynů Komise</w:t>
      </w:r>
      <w:r w:rsidR="00AA5F13" w:rsidRPr="004673B0">
        <w:t xml:space="preserve"> a </w:t>
      </w:r>
      <w:r w:rsidR="003F11CC" w:rsidRPr="004673B0">
        <w:t>Vysvětlující zprávy</w:t>
      </w:r>
      <w:r w:rsidRPr="004673B0">
        <w:t xml:space="preserve">. </w:t>
      </w:r>
    </w:p>
    <w:p w:rsidR="00D55F01" w:rsidRPr="004673B0" w:rsidRDefault="00D55F01" w:rsidP="004035B4">
      <w:pPr>
        <w:pStyle w:val="N3"/>
      </w:pPr>
      <w:bookmarkStart w:id="194" w:name="_Toc440374073"/>
      <w:r w:rsidRPr="004673B0">
        <w:t>Test tří kritérií</w:t>
      </w:r>
      <w:bookmarkEnd w:id="194"/>
    </w:p>
    <w:p w:rsidR="009B5081" w:rsidRPr="004673B0" w:rsidRDefault="009B5081" w:rsidP="009B5081">
      <w:r w:rsidRPr="004673B0">
        <w:t xml:space="preserve">Úřad stanoví vymezený trh relevantním trhem pouze v případě, že takový trh současně splňuje následující tři kritéria: </w:t>
      </w:r>
    </w:p>
    <w:p w:rsidR="009B5081" w:rsidRPr="004673B0" w:rsidRDefault="009B5081" w:rsidP="009B5081">
      <w:pPr>
        <w:ind w:left="227"/>
      </w:pPr>
      <w:r w:rsidRPr="004673B0">
        <w:t>a) existence značných a nikoli dočasných strukturálních, právních nebo regulačních překážek vstupu;</w:t>
      </w:r>
    </w:p>
    <w:p w:rsidR="009B5081" w:rsidRPr="004673B0" w:rsidRDefault="009B5081" w:rsidP="009B5081">
      <w:pPr>
        <w:ind w:left="227"/>
      </w:pPr>
      <w:r w:rsidRPr="004673B0">
        <w:t>b) struktura trhu, který v daném časovém horizontu nesměruje k účinné hospodářské soutěži, a to s</w:t>
      </w:r>
      <w:r w:rsidR="00357D12">
        <w:t> </w:t>
      </w:r>
      <w:r w:rsidRPr="004673B0">
        <w:t>ohledem na stav hospodářské soutěže založené na infrastruktuře a jiné hospodářské soutěže, které́ vyvolávají překážky vstupu;</w:t>
      </w:r>
    </w:p>
    <w:p w:rsidR="009B5081" w:rsidRPr="004673B0" w:rsidRDefault="009B5081" w:rsidP="009B5081">
      <w:pPr>
        <w:ind w:left="227"/>
      </w:pPr>
      <w:r w:rsidRPr="004673B0">
        <w:t xml:space="preserve">c) samo právo hospodářské soutěže </w:t>
      </w:r>
      <w:r w:rsidR="00F72188" w:rsidRPr="004673B0">
        <w:t>není schopno</w:t>
      </w:r>
      <w:r w:rsidRPr="004673B0">
        <w:t xml:space="preserve"> dostatečně </w:t>
      </w:r>
      <w:r w:rsidR="00F72188" w:rsidRPr="004673B0">
        <w:t xml:space="preserve">reagovat </w:t>
      </w:r>
      <w:r w:rsidRPr="004673B0">
        <w:t>na uvedené selhaní trhu.</w:t>
      </w:r>
      <w:r w:rsidRPr="004673B0">
        <w:rPr>
          <w:rStyle w:val="Znakapoznpodarou"/>
        </w:rPr>
        <w:footnoteReference w:id="73"/>
      </w:r>
    </w:p>
    <w:p w:rsidR="00C46979" w:rsidRPr="004673B0" w:rsidRDefault="00C46979" w:rsidP="00C46979">
      <w:r w:rsidRPr="004673B0">
        <w:t xml:space="preserve">Úřad při provádění testu tří kritérií vždy vychází z věcného, geografického i časového vymezení trhu dle kapitoly </w:t>
      </w:r>
      <w:r w:rsidR="00F72188" w:rsidRPr="004673B0">
        <w:fldChar w:fldCharType="begin"/>
      </w:r>
      <w:r w:rsidR="00F72188" w:rsidRPr="004673B0">
        <w:instrText xml:space="preserve"> REF _Ref433022697 \r \h </w:instrText>
      </w:r>
      <w:r w:rsidR="004673B0">
        <w:instrText xml:space="preserve"> \* MERGEFORMAT </w:instrText>
      </w:r>
      <w:r w:rsidR="00F72188" w:rsidRPr="004673B0">
        <w:fldChar w:fldCharType="separate"/>
      </w:r>
      <w:r w:rsidR="00067C1B">
        <w:t>3</w:t>
      </w:r>
      <w:r w:rsidR="00F72188" w:rsidRPr="004673B0">
        <w:fldChar w:fldCharType="end"/>
      </w:r>
      <w:r w:rsidRPr="004673B0">
        <w:t xml:space="preserve"> této Metodiky. </w:t>
      </w:r>
    </w:p>
    <w:p w:rsidR="00C46979" w:rsidRPr="004673B0" w:rsidRDefault="00D55F01" w:rsidP="004035B4">
      <w:pPr>
        <w:pStyle w:val="N3"/>
      </w:pPr>
      <w:bookmarkStart w:id="195" w:name="_Toc440374074"/>
      <w:r w:rsidRPr="004673B0">
        <w:t>Trhy uvedené v Doporučení o relevantních trzích</w:t>
      </w:r>
      <w:bookmarkEnd w:id="195"/>
    </w:p>
    <w:p w:rsidR="00C46979" w:rsidRPr="004673B0" w:rsidRDefault="00C46979" w:rsidP="00C46979">
      <w:r w:rsidRPr="004673B0">
        <w:t xml:space="preserve">Tato kritéria jsou považována za splněná u trhů uvedených v příloze Doporučení o relevantních trzích a Úřad se může rozhodnout na těchto trzích test tří kritérií neprovádět a stanovit tyto trhy jako relevantní pouze na základě jejich zahrnutí v Doporučení o relevantních trzích. </w:t>
      </w:r>
    </w:p>
    <w:p w:rsidR="00D55F01" w:rsidRPr="004673B0" w:rsidRDefault="00C46979" w:rsidP="00A446BE">
      <w:r w:rsidRPr="004673B0">
        <w:t>Pokud to Úřad přesto považuje za vhodné, na základě konkrétních podmínek v České republice,</w:t>
      </w:r>
      <w:r w:rsidR="0079478E">
        <w:t xml:space="preserve"> </w:t>
      </w:r>
      <w:r w:rsidR="0079478E" w:rsidRPr="00067C1B">
        <w:t>které Úřadu indikují, že trh uvedený v Doporučení o relevantních trzích by v České republice nemusel být trhem relevantním (protože na něm panuje větší úroveň kokurence než na většině ostatních trhů členských států EU),</w:t>
      </w:r>
      <w:r w:rsidRPr="004673B0">
        <w:t xml:space="preserve"> provede test tří kritérií i na t</w:t>
      </w:r>
      <w:r w:rsidR="0079478E">
        <w:t>omto</w:t>
      </w:r>
      <w:r w:rsidRPr="004673B0">
        <w:t xml:space="preserve"> tr</w:t>
      </w:r>
      <w:r w:rsidR="0079478E">
        <w:t>hu</w:t>
      </w:r>
      <w:r w:rsidRPr="004673B0">
        <w:t>. Pokud některý trh s</w:t>
      </w:r>
      <w:r w:rsidR="004322AB" w:rsidRPr="004673B0">
        <w:t>tanovený v příloze Doporučení o </w:t>
      </w:r>
      <w:r w:rsidRPr="004673B0">
        <w:t xml:space="preserve">relevantních trzích nesplní test tří kritérií, Úřad takový trh nebude považovat za trh náchylný k tomu nebýt efektivně konkurenční a neprovádí další kroky analýzy. Úřad v takovém případě musí prokázat, že </w:t>
      </w:r>
      <w:r w:rsidR="00644A01" w:rsidRPr="004673B0">
        <w:t xml:space="preserve">není </w:t>
      </w:r>
      <w:r w:rsidRPr="004673B0">
        <w:t>splněno alespoň jedno ze tří kritérií uvedených výše.</w:t>
      </w:r>
      <w:r w:rsidR="00FC1618" w:rsidRPr="004673B0">
        <w:rPr>
          <w:rStyle w:val="Znakapoznpodarou"/>
        </w:rPr>
        <w:footnoteReference w:id="74"/>
      </w:r>
      <w:r w:rsidRPr="004673B0">
        <w:t xml:space="preserve"> </w:t>
      </w:r>
    </w:p>
    <w:p w:rsidR="00D55F01" w:rsidRPr="004673B0" w:rsidRDefault="00D55F01" w:rsidP="004035B4">
      <w:pPr>
        <w:pStyle w:val="N3"/>
      </w:pPr>
      <w:bookmarkStart w:id="196" w:name="_Toc440374075"/>
      <w:r w:rsidRPr="004673B0">
        <w:t>Trhy neuvedené v Doporučení o relevantních trzích</w:t>
      </w:r>
      <w:bookmarkEnd w:id="196"/>
    </w:p>
    <w:p w:rsidR="00C46979" w:rsidRPr="004673B0" w:rsidRDefault="00C46979" w:rsidP="00C46979">
      <w:r w:rsidRPr="004673B0">
        <w:t xml:space="preserve">Úřad může jako relevantní stanovit i jiné trhy, než ty které jsou stanoveny v Doporučení </w:t>
      </w:r>
      <w:r w:rsidR="00E6708A" w:rsidRPr="004673B0">
        <w:t>o</w:t>
      </w:r>
      <w:r w:rsidRPr="004673B0">
        <w:t xml:space="preserve"> relevantních trzích, pokud tyto trhy v podmínkách České republiky nejsou efektivně konkurenční. Nedostatečná míra efektivní konkurence je prokázána kumulativním splněním výše uvedených tří kritérií. </w:t>
      </w:r>
    </w:p>
    <w:p w:rsidR="00C46979" w:rsidRPr="004673B0" w:rsidRDefault="00C46979" w:rsidP="00277562">
      <w:r w:rsidRPr="004673B0">
        <w:t xml:space="preserve">Úřad možný relevantní trh, který není zahrnutý v příloze Doporučení o relevantních trzích, nejprve identifikuje. Následně trh vymezí v souladu s postupem dle kapitoly č. </w:t>
      </w:r>
      <w:r w:rsidR="00277562" w:rsidRPr="004673B0">
        <w:t xml:space="preserve">3 </w:t>
      </w:r>
      <w:r w:rsidRPr="004673B0">
        <w:t>této Metodiky. Na věcně, územně i časově vymezeném relevantním trhu následně provede test tří kritérií. Pouze pokud jsou všechna tři kritéria na vymezeném trhu splněna, stanoví Úřad takový trh relevantním trhem</w:t>
      </w:r>
      <w:r w:rsidR="00557559" w:rsidRPr="004673B0">
        <w:t xml:space="preserve"> pro účely dalších kroků analýzy.</w:t>
      </w:r>
    </w:p>
    <w:p w:rsidR="00D55F01" w:rsidRPr="004673B0" w:rsidRDefault="00D55F01" w:rsidP="004035B4">
      <w:pPr>
        <w:pStyle w:val="N2"/>
      </w:pPr>
      <w:bookmarkStart w:id="197" w:name="_Toc440374076"/>
      <w:r w:rsidRPr="004673B0">
        <w:t>Vyhodnocení jednotlivých kritérií testu tří kritérií</w:t>
      </w:r>
      <w:bookmarkEnd w:id="197"/>
    </w:p>
    <w:p w:rsidR="00557559" w:rsidRPr="004673B0" w:rsidRDefault="00D55F01" w:rsidP="004035B4">
      <w:pPr>
        <w:pStyle w:val="N3"/>
      </w:pPr>
      <w:bookmarkStart w:id="198" w:name="_Toc440374077"/>
      <w:r w:rsidRPr="004673B0">
        <w:t>Přítomnost velkých a trvalých překážek vstupu na trh</w:t>
      </w:r>
      <w:bookmarkEnd w:id="198"/>
    </w:p>
    <w:p w:rsidR="00557559" w:rsidRPr="004673B0" w:rsidRDefault="00557559" w:rsidP="00557559">
      <w:pPr>
        <w:keepNext/>
        <w:outlineLvl w:val="2"/>
        <w:rPr>
          <w:bCs/>
        </w:rPr>
      </w:pPr>
      <w:r w:rsidRPr="004673B0">
        <w:rPr>
          <w:bCs/>
        </w:rPr>
        <w:t xml:space="preserve">Překážky mohou být strukturální, právní nebo regulační. Úřad při zkoumání zda jsou překážky trvalé vychází z úvahy, zda by daný trh byl efektivně konkurenční při neuplatnění regulace, ačkoliv by se na trhu vyskytoval podnik s významnou tržní silou. </w:t>
      </w:r>
    </w:p>
    <w:p w:rsidR="00557559" w:rsidRPr="004673B0" w:rsidRDefault="00557559" w:rsidP="00557559">
      <w:r w:rsidRPr="004673B0">
        <w:t xml:space="preserve">Úřad vyhodnotí zejména následující překážky: </w:t>
      </w:r>
    </w:p>
    <w:p w:rsidR="00557559" w:rsidRPr="004673B0" w:rsidRDefault="00557559" w:rsidP="00557559">
      <w:pPr>
        <w:numPr>
          <w:ilvl w:val="0"/>
          <w:numId w:val="7"/>
        </w:numPr>
      </w:pPr>
      <w:r w:rsidRPr="004673B0">
        <w:t>absolutní nákladové výhody,</w:t>
      </w:r>
      <w:r w:rsidR="008B6579" w:rsidRPr="004673B0">
        <w:t xml:space="preserve"> úspory z rozsahu a sortimentu,</w:t>
      </w:r>
      <w:r w:rsidRPr="004673B0">
        <w:t xml:space="preserve"> </w:t>
      </w:r>
      <w:r w:rsidR="00DA27F0" w:rsidRPr="004673B0">
        <w:t>dlouhodobé smlouvy,</w:t>
      </w:r>
      <w:r w:rsidRPr="004673B0">
        <w:t xml:space="preserve"> výše utopených nákladů určitého poskytovatele(ů) z důvodu strukturálních překážek vstupu, </w:t>
      </w:r>
    </w:p>
    <w:p w:rsidR="00557559" w:rsidRPr="004673B0" w:rsidRDefault="00557559" w:rsidP="00557559">
      <w:pPr>
        <w:numPr>
          <w:ilvl w:val="0"/>
          <w:numId w:val="7"/>
        </w:numPr>
      </w:pPr>
      <w:r w:rsidRPr="004673B0">
        <w:t xml:space="preserve">právní překážky, které mají přímý vliv na vstup nebo postavení operátorů na trh, </w:t>
      </w:r>
    </w:p>
    <w:p w:rsidR="00557559" w:rsidRPr="004673B0" w:rsidRDefault="00557559" w:rsidP="00557559">
      <w:pPr>
        <w:numPr>
          <w:ilvl w:val="0"/>
          <w:numId w:val="7"/>
        </w:numPr>
      </w:pPr>
      <w:r w:rsidRPr="004673B0">
        <w:t xml:space="preserve">možnost a pravděpodobnost odstranění právních nebo regulačních překážek v příslušné době. Za příslušnou dobu Úřad považuje stejné časové období, které Úřad uvažoval při zkoumání zastupitelnosti v rámci vymezení trhu, </w:t>
      </w:r>
    </w:p>
    <w:p w:rsidR="00D55F01" w:rsidRPr="004673B0" w:rsidRDefault="00557559" w:rsidP="00557559">
      <w:pPr>
        <w:numPr>
          <w:ilvl w:val="0"/>
          <w:numId w:val="7"/>
        </w:numPr>
      </w:pPr>
      <w:r w:rsidRPr="004673B0">
        <w:t>technologický pokrok na daném trhu. V případě inovativního a dynamického trhu je existence překážek méně závažná.</w:t>
      </w:r>
      <w:r w:rsidR="00D55F01" w:rsidRPr="004673B0">
        <w:t xml:space="preserve"> </w:t>
      </w:r>
    </w:p>
    <w:p w:rsidR="009F5413" w:rsidRPr="004673B0" w:rsidRDefault="00D55F01" w:rsidP="004035B4">
      <w:pPr>
        <w:pStyle w:val="N3"/>
      </w:pPr>
      <w:bookmarkStart w:id="199" w:name="_Toc440374078"/>
      <w:r w:rsidRPr="004673B0">
        <w:t>Struktura trhu nesměřuje v příslušném časovém období k účinné hospodářské soutěži</w:t>
      </w:r>
      <w:bookmarkEnd w:id="199"/>
      <w:r w:rsidRPr="004673B0">
        <w:t xml:space="preserve"> </w:t>
      </w:r>
    </w:p>
    <w:p w:rsidR="009F5413" w:rsidRPr="004673B0" w:rsidRDefault="009F5413" w:rsidP="009F5413">
      <w:r w:rsidRPr="004673B0">
        <w:t xml:space="preserve">Pokud Úřad shledá na trhu vysoké překážky vstupu, zkoumá, zda situace na daném trhu z pohledu hospodářské soutěže nevede k tomu, že se trh v příslušném časovém období stane konkurenčním. Za příslušné časové období Úřad považuje období, které uvažoval při zkoumání zastupitelnosti při vymezení trhu dle kapitoly </w:t>
      </w:r>
      <w:r w:rsidR="00D952BB" w:rsidRPr="004673B0">
        <w:t xml:space="preserve">č. </w:t>
      </w:r>
      <w:r w:rsidR="00D952BB" w:rsidRPr="004673B0">
        <w:fldChar w:fldCharType="begin"/>
      </w:r>
      <w:r w:rsidR="00D952BB" w:rsidRPr="004673B0">
        <w:instrText xml:space="preserve"> REF _Ref441241770 \r \h </w:instrText>
      </w:r>
      <w:r w:rsidR="004673B0">
        <w:instrText xml:space="preserve"> \* MERGEFORMAT </w:instrText>
      </w:r>
      <w:r w:rsidR="00D952BB" w:rsidRPr="004673B0">
        <w:fldChar w:fldCharType="separate"/>
      </w:r>
      <w:r w:rsidR="00067C1B">
        <w:t>3</w:t>
      </w:r>
      <w:r w:rsidR="00D952BB" w:rsidRPr="004673B0">
        <w:fldChar w:fldCharType="end"/>
      </w:r>
      <w:r w:rsidR="00D952BB" w:rsidRPr="004673B0">
        <w:t xml:space="preserve"> této </w:t>
      </w:r>
      <w:r w:rsidRPr="004673B0">
        <w:t xml:space="preserve">Metodiky. </w:t>
      </w:r>
    </w:p>
    <w:p w:rsidR="009F5413" w:rsidRPr="004673B0" w:rsidRDefault="009F5413" w:rsidP="009F5413">
      <w:r w:rsidRPr="004673B0">
        <w:t xml:space="preserve">Úřad přihlédne zejména k dynamice trhu, </w:t>
      </w:r>
      <w:r w:rsidR="005B1E5D" w:rsidRPr="004673B0">
        <w:t xml:space="preserve">vývoji </w:t>
      </w:r>
      <w:r w:rsidRPr="004673B0">
        <w:t>cen a tržních podílů, významným událostem na trhu v nedávném období, volné kapacitě na trhu a dalším indikátorům, které mohou mít vliv na postupné prosazování hospodářské soutěže bez uplatnění regulace.</w:t>
      </w:r>
    </w:p>
    <w:p w:rsidR="00CF4A57" w:rsidRPr="004673B0" w:rsidRDefault="00CF4A57" w:rsidP="009F5413">
      <w:r w:rsidRPr="004673B0">
        <w:t xml:space="preserve">Úřad při vyhodnocení </w:t>
      </w:r>
      <w:r w:rsidR="004F1E99" w:rsidRPr="004673B0">
        <w:t>podkritéria vývoje tržních podílů v případech, kdy to bude relevantní</w:t>
      </w:r>
      <w:r w:rsidR="00B70071">
        <w:t>,</w:t>
      </w:r>
      <w:r w:rsidR="004F1E99" w:rsidRPr="004673B0">
        <w:t xml:space="preserve"> přihlédne i</w:t>
      </w:r>
      <w:r w:rsidR="00357D12">
        <w:t> </w:t>
      </w:r>
      <w:r w:rsidR="004F1E99" w:rsidRPr="004673B0">
        <w:t>k</w:t>
      </w:r>
      <w:r w:rsidR="00FF4934" w:rsidRPr="004673B0">
        <w:t xml:space="preserve"> Úřadu známým </w:t>
      </w:r>
      <w:r w:rsidR="004F1E99" w:rsidRPr="004673B0">
        <w:t xml:space="preserve">majetkovým a jiným strukturálním vazbám mezi subjekty na trhu </w:t>
      </w:r>
      <w:r w:rsidRPr="004673B0">
        <w:t>v souladu se zásadami popsanými v kapitolách 6.1.1 a 6.1.2 Metodiky.</w:t>
      </w:r>
    </w:p>
    <w:p w:rsidR="00D55F01" w:rsidRPr="004673B0" w:rsidRDefault="00D55F01" w:rsidP="004035B4">
      <w:pPr>
        <w:pStyle w:val="N3"/>
      </w:pPr>
      <w:bookmarkStart w:id="200" w:name="_Toc440374079"/>
      <w:r w:rsidRPr="004673B0">
        <w:t>Právo hospodářské soutěže není samo o sobě dostatečné při řešení selhání soutěže na trhu</w:t>
      </w:r>
      <w:bookmarkEnd w:id="200"/>
    </w:p>
    <w:p w:rsidR="00186F63" w:rsidRPr="004673B0" w:rsidRDefault="009F5413" w:rsidP="00186F63">
      <w:pPr>
        <w:rPr>
          <w:noProof w:val="0"/>
        </w:rPr>
      </w:pPr>
      <w:r w:rsidRPr="004673B0">
        <w:t xml:space="preserve">Úřad při posuzování tohoto kritéria zohlední přiměřenost nápravných opatření, jsou-li na daném trhu </w:t>
      </w:r>
      <w:r w:rsidR="00E6708A" w:rsidRPr="004673B0">
        <w:t>uložena</w:t>
      </w:r>
      <w:r w:rsidRPr="004673B0">
        <w:t xml:space="preserve">. Úřad dále posoudí dosavadní četnost a úspěšnost zásahů do hospodářské soutěže na základě soutěžního práva; vysoká četnost při malých úspěších takových zásahů pravděpodobně značí nedostatečnou možnost konkurenci řešit nástroji soutěžního práva. </w:t>
      </w:r>
    </w:p>
    <w:p w:rsidR="00461FDA" w:rsidRPr="004673B0" w:rsidRDefault="00461FDA" w:rsidP="00357D12">
      <w:pPr>
        <w:pStyle w:val="N1"/>
        <w:keepNext w:val="0"/>
      </w:pPr>
      <w:bookmarkStart w:id="201" w:name="_Toc440374080"/>
      <w:bookmarkStart w:id="202" w:name="_Ref440392652"/>
      <w:bookmarkStart w:id="203" w:name="_Ref440392745"/>
      <w:bookmarkStart w:id="204" w:name="_Ref441229605"/>
      <w:r w:rsidRPr="004673B0">
        <w:t>Analýza relevantního trhu</w:t>
      </w:r>
      <w:bookmarkEnd w:id="201"/>
      <w:bookmarkEnd w:id="202"/>
      <w:bookmarkEnd w:id="203"/>
      <w:bookmarkEnd w:id="204"/>
    </w:p>
    <w:p w:rsidR="00461FDA" w:rsidRPr="004673B0" w:rsidRDefault="00461FDA" w:rsidP="00357D12">
      <w:pPr>
        <w:pStyle w:val="N2"/>
        <w:keepNext w:val="0"/>
      </w:pPr>
      <w:bookmarkStart w:id="205" w:name="_Toc440374081"/>
      <w:r w:rsidRPr="004673B0">
        <w:t>Úvod a základní zásady</w:t>
      </w:r>
      <w:bookmarkEnd w:id="205"/>
      <w:r w:rsidRPr="004673B0">
        <w:t xml:space="preserve"> </w:t>
      </w:r>
    </w:p>
    <w:p w:rsidR="00461FDA" w:rsidRPr="004673B0" w:rsidRDefault="00461FDA" w:rsidP="00357D12">
      <w:pPr>
        <w:pStyle w:val="Nadpis3"/>
        <w:keepNext w:val="0"/>
        <w:keepLines/>
        <w:widowControl w:val="0"/>
        <w:numPr>
          <w:ilvl w:val="0"/>
          <w:numId w:val="0"/>
        </w:numPr>
        <w:spacing w:before="200" w:after="0"/>
        <w:ind w:right="-6"/>
        <w:rPr>
          <w:i w:val="0"/>
          <w:noProof w:val="0"/>
        </w:rPr>
      </w:pPr>
      <w:r w:rsidRPr="004673B0">
        <w:rPr>
          <w:i w:val="0"/>
          <w:noProof w:val="0"/>
        </w:rPr>
        <w:t xml:space="preserve">Úřad poté, co vymezí a stanoví relevantní trh dle předchozích kapitol této Metodiky, přistoupí v souladu s § 51 </w:t>
      </w:r>
      <w:r w:rsidR="00202362" w:rsidRPr="004673B0">
        <w:rPr>
          <w:i w:val="0"/>
          <w:noProof w:val="0"/>
        </w:rPr>
        <w:t>Zákona</w:t>
      </w:r>
      <w:r w:rsidRPr="004673B0">
        <w:rPr>
          <w:i w:val="0"/>
          <w:noProof w:val="0"/>
        </w:rPr>
        <w:t xml:space="preserve"> a v souladu s článkem 16 rámcové směrnice</w:t>
      </w:r>
      <w:r w:rsidRPr="004673B0">
        <w:rPr>
          <w:rStyle w:val="Znakapoznpodarou"/>
          <w:noProof w:val="0"/>
        </w:rPr>
        <w:footnoteReference w:id="75"/>
      </w:r>
      <w:r w:rsidRPr="004673B0">
        <w:rPr>
          <w:i w:val="0"/>
          <w:noProof w:val="0"/>
        </w:rPr>
        <w:t xml:space="preserve"> k analýze relevantního trhu. Úřad analyzuje relevantní trh za účelem zhodnocení úrovně konkurenčního prostředí na daném trhu, tj. zda je trh </w:t>
      </w:r>
      <w:r w:rsidR="004D26DD" w:rsidRPr="004673B0">
        <w:rPr>
          <w:i w:val="0"/>
          <w:noProof w:val="0"/>
        </w:rPr>
        <w:t>účinně konkurenční</w:t>
      </w:r>
      <w:r w:rsidR="00DE2AE9">
        <w:rPr>
          <w:i w:val="0"/>
          <w:noProof w:val="0"/>
        </w:rPr>
        <w:t>,</w:t>
      </w:r>
      <w:r w:rsidR="004D26DD" w:rsidRPr="004673B0">
        <w:rPr>
          <w:i w:val="0"/>
          <w:noProof w:val="0"/>
        </w:rPr>
        <w:t xml:space="preserve"> či nikoliv.</w:t>
      </w:r>
    </w:p>
    <w:p w:rsidR="00461FDA" w:rsidRPr="004673B0" w:rsidRDefault="00461FDA" w:rsidP="00357D12">
      <w:pPr>
        <w:pStyle w:val="Nadpis3"/>
        <w:keepNext w:val="0"/>
        <w:keepLines/>
        <w:widowControl w:val="0"/>
        <w:numPr>
          <w:ilvl w:val="0"/>
          <w:numId w:val="0"/>
        </w:numPr>
        <w:spacing w:before="200" w:after="0"/>
        <w:ind w:right="-6"/>
        <w:rPr>
          <w:i w:val="0"/>
          <w:noProof w:val="0"/>
        </w:rPr>
      </w:pPr>
      <w:r w:rsidRPr="004673B0">
        <w:rPr>
          <w:i w:val="0"/>
          <w:noProof w:val="0"/>
        </w:rPr>
        <w:t>Relevantní trh není účinně konkurenční, pokud se na relevantním trhu nachází jeden či více podniků s významnou tržní silou</w:t>
      </w:r>
      <w:r w:rsidRPr="004673B0">
        <w:rPr>
          <w:rStyle w:val="Znakapoznpodarou"/>
          <w:noProof w:val="0"/>
        </w:rPr>
        <w:footnoteReference w:id="76"/>
      </w:r>
      <w:r w:rsidRPr="004673B0">
        <w:rPr>
          <w:i w:val="0"/>
          <w:noProof w:val="0"/>
        </w:rPr>
        <w:t xml:space="preserve"> </w:t>
      </w:r>
      <w:r w:rsidRPr="004673B0">
        <w:rPr>
          <w:rFonts w:cs="Arial"/>
          <w:i w:val="0"/>
          <w:noProof w:val="0"/>
        </w:rPr>
        <w:t>a nápravná opatření vnitrostátního soutěžního práva nebo práva EU nepostačují k řešení neúčinné konkurence.</w:t>
      </w:r>
      <w:r w:rsidRPr="004673B0">
        <w:rPr>
          <w:i w:val="0"/>
          <w:noProof w:val="0"/>
        </w:rPr>
        <w:t xml:space="preserve"> Úřad pro analýzu trhu níže stanoví kritéria,</w:t>
      </w:r>
      <w:r w:rsidRPr="004673B0">
        <w:rPr>
          <w:rStyle w:val="Znakapoznpodarou"/>
          <w:noProof w:val="0"/>
        </w:rPr>
        <w:footnoteReference w:id="77"/>
      </w:r>
      <w:r w:rsidRPr="004673B0">
        <w:rPr>
          <w:i w:val="0"/>
          <w:noProof w:val="0"/>
        </w:rPr>
        <w:t xml:space="preserve"> která bere v úvahu při hodnocení úrovně konkurenčního prostředí. Jednotlivá kritéria, včetně posouzení jejich relativní důležitosti, jsou blíže specifikována v následující kapitole této Metodiky věnující se stanovení podniku s významnou tržní silou. </w:t>
      </w:r>
    </w:p>
    <w:p w:rsidR="00461FDA" w:rsidRPr="004673B0" w:rsidRDefault="00461FDA" w:rsidP="00357D12">
      <w:pPr>
        <w:pStyle w:val="Nadpis3"/>
        <w:keepNext w:val="0"/>
        <w:keepLines/>
        <w:widowControl w:val="0"/>
        <w:numPr>
          <w:ilvl w:val="0"/>
          <w:numId w:val="0"/>
        </w:numPr>
        <w:spacing w:before="200" w:after="0"/>
        <w:ind w:right="-6"/>
        <w:rPr>
          <w:i w:val="0"/>
          <w:noProof w:val="0"/>
        </w:rPr>
      </w:pPr>
      <w:r w:rsidRPr="004673B0">
        <w:rPr>
          <w:i w:val="0"/>
          <w:noProof w:val="0"/>
        </w:rPr>
        <w:t>Úřad při analýze trhu vychází zejména ze současné situace a z očekávatelného vývoje na trhu za účelem zjištění, zda je trh perspektivně konkurenční a zda je případný nedostatek účinné hospodářské soutěže trvalým jevem.</w:t>
      </w:r>
      <w:r w:rsidRPr="004673B0">
        <w:rPr>
          <w:rStyle w:val="Znakapoznpodarou"/>
          <w:noProof w:val="0"/>
        </w:rPr>
        <w:footnoteReference w:id="78"/>
      </w:r>
    </w:p>
    <w:p w:rsidR="00461FDA" w:rsidRPr="004673B0" w:rsidRDefault="00461FDA" w:rsidP="00357D12">
      <w:pPr>
        <w:pStyle w:val="N2"/>
        <w:keepNext w:val="0"/>
        <w:widowControl w:val="0"/>
      </w:pPr>
      <w:bookmarkStart w:id="206" w:name="_Toc440374082"/>
      <w:r w:rsidRPr="004673B0">
        <w:t>Analýza podřazeného maloobchodního trhu při vymezení nadřazeného velkoobchodního trhu</w:t>
      </w:r>
      <w:bookmarkEnd w:id="206"/>
    </w:p>
    <w:p w:rsidR="00461FDA" w:rsidRPr="004673B0" w:rsidRDefault="00461FDA" w:rsidP="00357D12">
      <w:pPr>
        <w:pStyle w:val="Nadpis2"/>
        <w:keepNext w:val="0"/>
        <w:widowControl w:val="0"/>
        <w:numPr>
          <w:ilvl w:val="0"/>
          <w:numId w:val="0"/>
        </w:numPr>
        <w:ind w:right="-6"/>
        <w:rPr>
          <w:b w:val="0"/>
          <w:noProof w:val="0"/>
        </w:rPr>
      </w:pPr>
      <w:r w:rsidRPr="004673B0">
        <w:rPr>
          <w:b w:val="0"/>
          <w:noProof w:val="0"/>
        </w:rPr>
        <w:t xml:space="preserve">Když Úřad vymezuje velkoobchodní trh dle kapitoly </w:t>
      </w:r>
      <w:r w:rsidR="00531562" w:rsidRPr="004673B0">
        <w:rPr>
          <w:b w:val="0"/>
          <w:noProof w:val="0"/>
        </w:rPr>
        <w:fldChar w:fldCharType="begin"/>
      </w:r>
      <w:r w:rsidR="00531562" w:rsidRPr="004673B0">
        <w:rPr>
          <w:b w:val="0"/>
          <w:noProof w:val="0"/>
        </w:rPr>
        <w:instrText xml:space="preserve"> REF _Ref441242013 \r \h </w:instrText>
      </w:r>
      <w:r w:rsidR="004673B0">
        <w:rPr>
          <w:b w:val="0"/>
          <w:noProof w:val="0"/>
        </w:rPr>
        <w:instrText xml:space="preserve"> \* MERGEFORMAT </w:instrText>
      </w:r>
      <w:r w:rsidR="00531562" w:rsidRPr="004673B0">
        <w:rPr>
          <w:b w:val="0"/>
          <w:noProof w:val="0"/>
        </w:rPr>
      </w:r>
      <w:r w:rsidR="00531562" w:rsidRPr="004673B0">
        <w:rPr>
          <w:b w:val="0"/>
          <w:noProof w:val="0"/>
        </w:rPr>
        <w:fldChar w:fldCharType="separate"/>
      </w:r>
      <w:r w:rsidR="00067C1B">
        <w:rPr>
          <w:b w:val="0"/>
          <w:noProof w:val="0"/>
        </w:rPr>
        <w:t>3.2.2</w:t>
      </w:r>
      <w:r w:rsidR="00531562" w:rsidRPr="004673B0">
        <w:rPr>
          <w:b w:val="0"/>
          <w:noProof w:val="0"/>
        </w:rPr>
        <w:fldChar w:fldCharType="end"/>
      </w:r>
      <w:r w:rsidR="00357D12">
        <w:rPr>
          <w:b w:val="0"/>
          <w:noProof w:val="0"/>
        </w:rPr>
        <w:t xml:space="preserve"> </w:t>
      </w:r>
      <w:r w:rsidRPr="004673B0">
        <w:rPr>
          <w:b w:val="0"/>
          <w:noProof w:val="0"/>
        </w:rPr>
        <w:t>této Metodiky, musí vždy provést analýzu podřazených maloobchodních trhů. Analýza podřazených maloobchodních trhů je p</w:t>
      </w:r>
      <w:r w:rsidR="00261E7D" w:rsidRPr="004673B0">
        <w:rPr>
          <w:b w:val="0"/>
          <w:noProof w:val="0"/>
        </w:rPr>
        <w:t>odmínkou a </w:t>
      </w:r>
      <w:r w:rsidRPr="004673B0">
        <w:rPr>
          <w:b w:val="0"/>
          <w:noProof w:val="0"/>
        </w:rPr>
        <w:t>výchozím bodem pro správné vymezení nadřazeného velkoobchodního trhu.</w:t>
      </w:r>
      <w:r w:rsidRPr="004673B0">
        <w:rPr>
          <w:rStyle w:val="Znakapoznpodarou"/>
          <w:b w:val="0"/>
          <w:noProof w:val="0"/>
        </w:rPr>
        <w:footnoteReference w:id="79"/>
      </w:r>
      <w:r w:rsidRPr="004673B0">
        <w:rPr>
          <w:b w:val="0"/>
          <w:noProof w:val="0"/>
        </w:rPr>
        <w:t xml:space="preserve"> </w:t>
      </w:r>
    </w:p>
    <w:p w:rsidR="00461FDA" w:rsidRPr="004673B0" w:rsidRDefault="00461FDA" w:rsidP="00357D12">
      <w:pPr>
        <w:pStyle w:val="Nadpis2"/>
        <w:keepNext w:val="0"/>
        <w:widowControl w:val="0"/>
        <w:numPr>
          <w:ilvl w:val="0"/>
          <w:numId w:val="0"/>
        </w:numPr>
        <w:ind w:right="-6"/>
        <w:rPr>
          <w:noProof w:val="0"/>
        </w:rPr>
      </w:pPr>
      <w:r w:rsidRPr="004673B0">
        <w:rPr>
          <w:b w:val="0"/>
          <w:noProof w:val="0"/>
        </w:rPr>
        <w:t xml:space="preserve">Úřad při analýze maloobchodního trhu vychází z předpokladu, že se neuplatní </w:t>
      </w:r>
      <w:r w:rsidRPr="004673B0">
        <w:rPr>
          <w:b w:val="0"/>
          <w:i/>
          <w:noProof w:val="0"/>
        </w:rPr>
        <w:t>ex ante</w:t>
      </w:r>
      <w:r w:rsidRPr="004673B0">
        <w:rPr>
          <w:b w:val="0"/>
          <w:noProof w:val="0"/>
        </w:rPr>
        <w:t xml:space="preserve"> regulace uložená v souvislosti s významnou tržní silou (typicky nápravná opatření) na daném maloobchodním trhu, ani na nadřazených velkoobchodních trzích.</w:t>
      </w:r>
      <w:r w:rsidRPr="004673B0">
        <w:rPr>
          <w:rStyle w:val="Znakapoznpodarou"/>
          <w:b w:val="0"/>
          <w:noProof w:val="0"/>
        </w:rPr>
        <w:footnoteReference w:id="80"/>
      </w:r>
      <w:r w:rsidR="00113C1A" w:rsidRPr="004673B0">
        <w:rPr>
          <w:b w:val="0"/>
          <w:noProof w:val="0"/>
        </w:rPr>
        <w:t xml:space="preserve"> </w:t>
      </w:r>
      <w:r w:rsidRPr="004673B0">
        <w:rPr>
          <w:rStyle w:val="Znakapoznpodarou"/>
          <w:b w:val="0"/>
          <w:noProof w:val="0"/>
        </w:rPr>
        <w:footnoteReference w:id="81"/>
      </w:r>
      <w:r w:rsidRPr="004673B0">
        <w:rPr>
          <w:b w:val="0"/>
          <w:noProof w:val="0"/>
        </w:rPr>
        <w:t xml:space="preserve"> Úřad na druhou stranu vezme v potaz </w:t>
      </w:r>
      <w:r w:rsidR="007404A0" w:rsidRPr="004673B0">
        <w:rPr>
          <w:b w:val="0"/>
          <w:noProof w:val="0"/>
        </w:rPr>
        <w:t>dopady dřívější</w:t>
      </w:r>
      <w:r w:rsidRPr="004673B0">
        <w:rPr>
          <w:b w:val="0"/>
          <w:noProof w:val="0"/>
        </w:rPr>
        <w:t xml:space="preserve"> regulace (např. </w:t>
      </w:r>
      <w:r w:rsidR="0037431E" w:rsidRPr="004673B0">
        <w:rPr>
          <w:b w:val="0"/>
          <w:noProof w:val="0"/>
        </w:rPr>
        <w:t>specifická situace</w:t>
      </w:r>
      <w:r w:rsidRPr="004673B0">
        <w:rPr>
          <w:b w:val="0"/>
          <w:noProof w:val="0"/>
        </w:rPr>
        <w:t xml:space="preserve">, která je na některých trzích způsobená tím, že na nich byla uložena </w:t>
      </w:r>
      <w:r w:rsidRPr="004673B0">
        <w:rPr>
          <w:b w:val="0"/>
          <w:i/>
          <w:noProof w:val="0"/>
        </w:rPr>
        <w:t xml:space="preserve">ex ante </w:t>
      </w:r>
      <w:r w:rsidRPr="004673B0">
        <w:rPr>
          <w:b w:val="0"/>
          <w:noProof w:val="0"/>
        </w:rPr>
        <w:t>regulace déle než 10 let).</w:t>
      </w:r>
      <w:r w:rsidRPr="004673B0">
        <w:rPr>
          <w:rStyle w:val="Znakapoznpodarou"/>
          <w:b w:val="0"/>
          <w:noProof w:val="0"/>
        </w:rPr>
        <w:footnoteReference w:id="82"/>
      </w:r>
      <w:r w:rsidRPr="004673B0">
        <w:rPr>
          <w:b w:val="0"/>
          <w:noProof w:val="0"/>
        </w:rPr>
        <w:t xml:space="preserve"> </w:t>
      </w:r>
    </w:p>
    <w:p w:rsidR="00461FDA" w:rsidRPr="004673B0" w:rsidRDefault="00461FDA" w:rsidP="00357D12">
      <w:pPr>
        <w:pStyle w:val="Nadpis2"/>
        <w:keepNext w:val="0"/>
        <w:widowControl w:val="0"/>
        <w:numPr>
          <w:ilvl w:val="0"/>
          <w:numId w:val="0"/>
        </w:numPr>
        <w:ind w:right="-6"/>
        <w:rPr>
          <w:noProof w:val="0"/>
        </w:rPr>
      </w:pPr>
      <w:r w:rsidRPr="004673B0">
        <w:rPr>
          <w:b w:val="0"/>
          <w:noProof w:val="0"/>
        </w:rPr>
        <w:t xml:space="preserve">Pokud není daný maloobchodní trh efektivně konkurenční při neuplatnění </w:t>
      </w:r>
      <w:r w:rsidRPr="004673B0">
        <w:rPr>
          <w:b w:val="0"/>
          <w:i/>
          <w:noProof w:val="0"/>
        </w:rPr>
        <w:t xml:space="preserve">ex ante </w:t>
      </w:r>
      <w:r w:rsidRPr="004673B0">
        <w:rPr>
          <w:b w:val="0"/>
          <w:noProof w:val="0"/>
        </w:rPr>
        <w:t xml:space="preserve">regulace, Úřad </w:t>
      </w:r>
      <w:r w:rsidR="0037431E" w:rsidRPr="004673B0">
        <w:rPr>
          <w:b w:val="0"/>
          <w:noProof w:val="0"/>
        </w:rPr>
        <w:t>na základě principů a postupů použitých při analýze relevantního trhu, které jsou popsány v</w:t>
      </w:r>
      <w:r w:rsidR="00531562" w:rsidRPr="004673B0">
        <w:rPr>
          <w:b w:val="0"/>
          <w:noProof w:val="0"/>
        </w:rPr>
        <w:t xml:space="preserve"> této</w:t>
      </w:r>
      <w:r w:rsidR="0037431E" w:rsidRPr="004673B0">
        <w:rPr>
          <w:b w:val="0"/>
          <w:noProof w:val="0"/>
        </w:rPr>
        <w:t xml:space="preserve"> kapitole </w:t>
      </w:r>
      <w:r w:rsidR="00531562" w:rsidRPr="004673B0">
        <w:rPr>
          <w:b w:val="0"/>
          <w:noProof w:val="0"/>
        </w:rPr>
        <w:fldChar w:fldCharType="begin"/>
      </w:r>
      <w:r w:rsidR="00531562" w:rsidRPr="004673B0">
        <w:rPr>
          <w:b w:val="0"/>
          <w:noProof w:val="0"/>
        </w:rPr>
        <w:instrText xml:space="preserve"> REF _Ref441229605 \r \h </w:instrText>
      </w:r>
      <w:r w:rsidR="004673B0">
        <w:rPr>
          <w:b w:val="0"/>
          <w:noProof w:val="0"/>
        </w:rPr>
        <w:instrText xml:space="preserve"> \* MERGEFORMAT </w:instrText>
      </w:r>
      <w:r w:rsidR="00531562" w:rsidRPr="004673B0">
        <w:rPr>
          <w:b w:val="0"/>
          <w:noProof w:val="0"/>
        </w:rPr>
      </w:r>
      <w:r w:rsidR="00531562" w:rsidRPr="004673B0">
        <w:rPr>
          <w:b w:val="0"/>
          <w:noProof w:val="0"/>
        </w:rPr>
        <w:fldChar w:fldCharType="separate"/>
      </w:r>
      <w:r w:rsidR="00067C1B">
        <w:rPr>
          <w:b w:val="0"/>
          <w:noProof w:val="0"/>
        </w:rPr>
        <w:t>5</w:t>
      </w:r>
      <w:r w:rsidR="00531562" w:rsidRPr="004673B0">
        <w:rPr>
          <w:b w:val="0"/>
          <w:noProof w:val="0"/>
        </w:rPr>
        <w:fldChar w:fldCharType="end"/>
      </w:r>
      <w:r w:rsidR="00531562" w:rsidRPr="004673B0">
        <w:rPr>
          <w:b w:val="0"/>
          <w:noProof w:val="0"/>
        </w:rPr>
        <w:t xml:space="preserve"> a následující kapitole </w:t>
      </w:r>
      <w:r w:rsidR="00531562" w:rsidRPr="004673B0">
        <w:rPr>
          <w:b w:val="0"/>
          <w:noProof w:val="0"/>
        </w:rPr>
        <w:fldChar w:fldCharType="begin"/>
      </w:r>
      <w:r w:rsidR="00531562" w:rsidRPr="004673B0">
        <w:rPr>
          <w:b w:val="0"/>
          <w:noProof w:val="0"/>
        </w:rPr>
        <w:instrText xml:space="preserve"> REF _Ref441242230 \r \h </w:instrText>
      </w:r>
      <w:r w:rsidR="004673B0">
        <w:rPr>
          <w:b w:val="0"/>
          <w:noProof w:val="0"/>
        </w:rPr>
        <w:instrText xml:space="preserve"> \* MERGEFORMAT </w:instrText>
      </w:r>
      <w:r w:rsidR="00531562" w:rsidRPr="004673B0">
        <w:rPr>
          <w:b w:val="0"/>
          <w:noProof w:val="0"/>
        </w:rPr>
      </w:r>
      <w:r w:rsidR="00531562" w:rsidRPr="004673B0">
        <w:rPr>
          <w:b w:val="0"/>
          <w:noProof w:val="0"/>
        </w:rPr>
        <w:fldChar w:fldCharType="separate"/>
      </w:r>
      <w:r w:rsidR="00067C1B">
        <w:rPr>
          <w:b w:val="0"/>
          <w:noProof w:val="0"/>
        </w:rPr>
        <w:t>6</w:t>
      </w:r>
      <w:r w:rsidR="00531562" w:rsidRPr="004673B0">
        <w:rPr>
          <w:b w:val="0"/>
          <w:noProof w:val="0"/>
        </w:rPr>
        <w:fldChar w:fldCharType="end"/>
      </w:r>
      <w:r w:rsidR="0037431E" w:rsidRPr="004673B0">
        <w:rPr>
          <w:b w:val="0"/>
          <w:noProof w:val="0"/>
        </w:rPr>
        <w:t xml:space="preserve"> této Metodiky, zhodnotí, zda daný trh nepřipadá v úvahu pro regulaci </w:t>
      </w:r>
      <w:r w:rsidR="0037431E" w:rsidRPr="004673B0">
        <w:rPr>
          <w:b w:val="0"/>
          <w:i/>
          <w:noProof w:val="0"/>
        </w:rPr>
        <w:t>ex ante</w:t>
      </w:r>
      <w:r w:rsidRPr="004673B0">
        <w:rPr>
          <w:b w:val="0"/>
          <w:noProof w:val="0"/>
        </w:rPr>
        <w:t>.</w:t>
      </w:r>
      <w:r w:rsidRPr="004673B0">
        <w:rPr>
          <w:rStyle w:val="Znakapoznpodarou"/>
          <w:b w:val="0"/>
          <w:noProof w:val="0"/>
        </w:rPr>
        <w:footnoteReference w:id="83"/>
      </w:r>
      <w:r w:rsidRPr="004673B0">
        <w:rPr>
          <w:b w:val="0"/>
          <w:noProof w:val="0"/>
        </w:rPr>
        <w:t xml:space="preserve"> Pokud Úřad identifikuje maloobchodní trh jako trh, který připadá v úvahu pro regulaci </w:t>
      </w:r>
      <w:r w:rsidRPr="004673B0">
        <w:rPr>
          <w:b w:val="0"/>
          <w:i/>
          <w:noProof w:val="0"/>
        </w:rPr>
        <w:t>ex ante</w:t>
      </w:r>
      <w:r w:rsidRPr="004673B0">
        <w:rPr>
          <w:b w:val="0"/>
          <w:noProof w:val="0"/>
        </w:rPr>
        <w:t>, analyzuje nejdříve velkoobchodní trh, který je nejvíce nadřazený identifikovanému maloobchodnímu trhu, tj. trh, který je ve vertikálním dodavatelském řetězci maloobchodnímu trhu nejvíce vzdálen.</w:t>
      </w:r>
      <w:r w:rsidRPr="004673B0">
        <w:rPr>
          <w:rStyle w:val="Znakapoznpodarou"/>
          <w:b w:val="0"/>
          <w:noProof w:val="0"/>
        </w:rPr>
        <w:footnoteReference w:id="84"/>
      </w:r>
      <w:r w:rsidRPr="004673B0">
        <w:rPr>
          <w:b w:val="0"/>
          <w:noProof w:val="0"/>
        </w:rPr>
        <w:t xml:space="preserve"> Úřad uloží </w:t>
      </w:r>
      <w:r w:rsidRPr="004673B0">
        <w:rPr>
          <w:b w:val="0"/>
          <w:i/>
          <w:noProof w:val="0"/>
        </w:rPr>
        <w:t xml:space="preserve">ex ante </w:t>
      </w:r>
      <w:r w:rsidRPr="004673B0">
        <w:rPr>
          <w:b w:val="0"/>
          <w:noProof w:val="0"/>
        </w:rPr>
        <w:t>regulaci na úrovni maloobchodního trhu pouze v případě, že by regulace uložená na všech nadřazených velkoobchodních trzích</w:t>
      </w:r>
      <w:r w:rsidRPr="004673B0" w:rsidDel="002E0AFB">
        <w:rPr>
          <w:b w:val="0"/>
          <w:noProof w:val="0"/>
        </w:rPr>
        <w:t xml:space="preserve"> </w:t>
      </w:r>
      <w:r w:rsidRPr="004673B0">
        <w:rPr>
          <w:b w:val="0"/>
          <w:noProof w:val="0"/>
        </w:rPr>
        <w:t xml:space="preserve">nepostačovala k tomu, aby byl maloobchodní trh </w:t>
      </w:r>
      <w:r w:rsidR="00C31DE4" w:rsidRPr="004673B0">
        <w:rPr>
          <w:b w:val="0"/>
          <w:noProof w:val="0"/>
        </w:rPr>
        <w:t xml:space="preserve">efektivně </w:t>
      </w:r>
      <w:r w:rsidRPr="004673B0">
        <w:rPr>
          <w:b w:val="0"/>
          <w:noProof w:val="0"/>
        </w:rPr>
        <w:t xml:space="preserve">konkurenční. </w:t>
      </w:r>
    </w:p>
    <w:p w:rsidR="00C31DE4" w:rsidRPr="004673B0" w:rsidRDefault="00461FDA" w:rsidP="00261E7D">
      <w:pPr>
        <w:pStyle w:val="Nadpis2"/>
        <w:widowControl w:val="0"/>
        <w:numPr>
          <w:ilvl w:val="0"/>
          <w:numId w:val="0"/>
        </w:numPr>
        <w:ind w:right="-6"/>
        <w:rPr>
          <w:b w:val="0"/>
          <w:noProof w:val="0"/>
        </w:rPr>
      </w:pPr>
      <w:r w:rsidRPr="004673B0">
        <w:rPr>
          <w:b w:val="0"/>
          <w:noProof w:val="0"/>
        </w:rPr>
        <w:t>Pokud je maloobchodní trh efektivně konkurenční</w:t>
      </w:r>
      <w:r w:rsidR="00C31DE4" w:rsidRPr="004673B0">
        <w:rPr>
          <w:b w:val="0"/>
          <w:noProof w:val="0"/>
        </w:rPr>
        <w:t xml:space="preserve"> i při neuplatnění </w:t>
      </w:r>
      <w:r w:rsidR="00C31DE4" w:rsidRPr="004673B0">
        <w:rPr>
          <w:b w:val="0"/>
          <w:i/>
          <w:noProof w:val="0"/>
        </w:rPr>
        <w:t xml:space="preserve">ex ante </w:t>
      </w:r>
      <w:r w:rsidR="00C31DE4" w:rsidRPr="004673B0">
        <w:rPr>
          <w:b w:val="0"/>
          <w:noProof w:val="0"/>
        </w:rPr>
        <w:t>regulace</w:t>
      </w:r>
      <w:r w:rsidRPr="004673B0">
        <w:rPr>
          <w:b w:val="0"/>
          <w:noProof w:val="0"/>
        </w:rPr>
        <w:t xml:space="preserve">, Úřad by měl velkoobchodní trh, který je předmětem vymezení dle kapitoly </w:t>
      </w:r>
      <w:r w:rsidR="00531562" w:rsidRPr="004673B0">
        <w:rPr>
          <w:b w:val="0"/>
          <w:noProof w:val="0"/>
        </w:rPr>
        <w:fldChar w:fldCharType="begin"/>
      </w:r>
      <w:r w:rsidR="00531562" w:rsidRPr="004673B0">
        <w:rPr>
          <w:b w:val="0"/>
          <w:noProof w:val="0"/>
        </w:rPr>
        <w:instrText xml:space="preserve"> REF _Ref441242286 \r \h </w:instrText>
      </w:r>
      <w:r w:rsidR="004673B0">
        <w:rPr>
          <w:b w:val="0"/>
          <w:noProof w:val="0"/>
        </w:rPr>
        <w:instrText xml:space="preserve"> \* MERGEFORMAT </w:instrText>
      </w:r>
      <w:r w:rsidR="00531562" w:rsidRPr="004673B0">
        <w:rPr>
          <w:b w:val="0"/>
          <w:noProof w:val="0"/>
        </w:rPr>
      </w:r>
      <w:r w:rsidR="00531562" w:rsidRPr="004673B0">
        <w:rPr>
          <w:b w:val="0"/>
          <w:noProof w:val="0"/>
        </w:rPr>
        <w:fldChar w:fldCharType="separate"/>
      </w:r>
      <w:r w:rsidR="00067C1B">
        <w:rPr>
          <w:b w:val="0"/>
          <w:noProof w:val="0"/>
        </w:rPr>
        <w:t>3.2.2</w:t>
      </w:r>
      <w:r w:rsidR="00531562" w:rsidRPr="004673B0">
        <w:rPr>
          <w:b w:val="0"/>
          <w:noProof w:val="0"/>
        </w:rPr>
        <w:fldChar w:fldCharType="end"/>
      </w:r>
      <w:r w:rsidR="00357D12">
        <w:rPr>
          <w:b w:val="0"/>
          <w:noProof w:val="0"/>
        </w:rPr>
        <w:t xml:space="preserve"> </w:t>
      </w:r>
      <w:r w:rsidRPr="004673B0">
        <w:rPr>
          <w:b w:val="0"/>
          <w:noProof w:val="0"/>
        </w:rPr>
        <w:t xml:space="preserve">Metodiky, posoudit jako efektivně konkurenční a </w:t>
      </w:r>
      <w:r w:rsidRPr="004673B0">
        <w:rPr>
          <w:b w:val="0"/>
          <w:i/>
          <w:noProof w:val="0"/>
        </w:rPr>
        <w:t xml:space="preserve">ex ante </w:t>
      </w:r>
      <w:r w:rsidRPr="004673B0">
        <w:rPr>
          <w:b w:val="0"/>
          <w:noProof w:val="0"/>
        </w:rPr>
        <w:t>regulaci neuložit nebo zrušit v případě, že byla na daném trhu uložená.</w:t>
      </w:r>
      <w:r w:rsidRPr="004673B0">
        <w:rPr>
          <w:rStyle w:val="Znakapoznpodarou"/>
          <w:b w:val="0"/>
          <w:noProof w:val="0"/>
        </w:rPr>
        <w:footnoteReference w:id="85"/>
      </w:r>
    </w:p>
    <w:p w:rsidR="00461FDA" w:rsidRPr="004673B0" w:rsidRDefault="00461FDA" w:rsidP="005B1E5D">
      <w:pPr>
        <w:pStyle w:val="N1"/>
      </w:pPr>
      <w:bookmarkStart w:id="207" w:name="_Toc440374083"/>
      <w:bookmarkStart w:id="208" w:name="_Ref440392761"/>
      <w:bookmarkStart w:id="209" w:name="_Ref441153321"/>
      <w:bookmarkStart w:id="210" w:name="_Ref441217639"/>
      <w:bookmarkStart w:id="211" w:name="_Ref441242230"/>
      <w:r w:rsidRPr="004673B0">
        <w:t>Stanovení podniku s významnou tržní silou</w:t>
      </w:r>
      <w:bookmarkEnd w:id="207"/>
      <w:bookmarkEnd w:id="208"/>
      <w:bookmarkEnd w:id="209"/>
      <w:bookmarkEnd w:id="210"/>
      <w:bookmarkEnd w:id="211"/>
    </w:p>
    <w:p w:rsidR="00461FDA" w:rsidRPr="004673B0" w:rsidRDefault="00461FDA" w:rsidP="005B1E5D">
      <w:pPr>
        <w:pStyle w:val="N2"/>
      </w:pPr>
      <w:bookmarkStart w:id="212" w:name="_Toc440374084"/>
      <w:r w:rsidRPr="004673B0">
        <w:t>Úvod a základní zásady</w:t>
      </w:r>
      <w:bookmarkEnd w:id="212"/>
      <w:r w:rsidRPr="004673B0">
        <w:t xml:space="preserve"> </w:t>
      </w:r>
    </w:p>
    <w:p w:rsidR="00461FDA" w:rsidRPr="004673B0" w:rsidRDefault="00461FDA" w:rsidP="00B30F8A">
      <w:pPr>
        <w:pStyle w:val="Nadpis2"/>
        <w:keepNext w:val="0"/>
        <w:numPr>
          <w:ilvl w:val="0"/>
          <w:numId w:val="0"/>
        </w:numPr>
        <w:spacing w:before="200" w:after="0"/>
        <w:ind w:right="-6"/>
        <w:rPr>
          <w:b w:val="0"/>
          <w:noProof w:val="0"/>
        </w:rPr>
      </w:pPr>
      <w:r w:rsidRPr="004673B0">
        <w:rPr>
          <w:b w:val="0"/>
          <w:noProof w:val="0"/>
        </w:rPr>
        <w:t>Pokud Úřad na základě postupu dle této kapitoly Metodiky dojde k závěru, že relevantní trh není účinně konkurenční, určí jeden nebo více podniků s významnou tržní silou. Úřad zkoumá, zda se na relevantním trhu nachází jeden nebo více podniků s významnou tržní silou z perspek</w:t>
      </w:r>
      <w:r w:rsidR="00B30F8A" w:rsidRPr="004673B0">
        <w:rPr>
          <w:b w:val="0"/>
          <w:noProof w:val="0"/>
        </w:rPr>
        <w:t>tivního hlediska a </w:t>
      </w:r>
      <w:r w:rsidRPr="004673B0">
        <w:rPr>
          <w:b w:val="0"/>
          <w:noProof w:val="0"/>
        </w:rPr>
        <w:t>zkoumá, zda je případná existence takového podniku (či více podniků) trvalým jevem.</w:t>
      </w:r>
      <w:r w:rsidRPr="004673B0">
        <w:rPr>
          <w:rStyle w:val="Znakapoznpodarou"/>
          <w:b w:val="0"/>
          <w:noProof w:val="0"/>
        </w:rPr>
        <w:footnoteReference w:id="86"/>
      </w:r>
      <w:r w:rsidRPr="004673B0">
        <w:rPr>
          <w:b w:val="0"/>
          <w:noProof w:val="0"/>
        </w:rPr>
        <w:t xml:space="preserve"> Podobně jako v případě vymezení či stanovení relevantního trhu postupuje Úřad při stanovení podniku s významnou tržní silou na základě skutečné situace a s výhledem na nadcházející relevantní období do další analýzy relevantního trhu.</w:t>
      </w:r>
      <w:r w:rsidRPr="004673B0">
        <w:rPr>
          <w:rStyle w:val="Znakapoznpodarou"/>
          <w:b w:val="0"/>
          <w:noProof w:val="0"/>
        </w:rPr>
        <w:footnoteReference w:id="87"/>
      </w:r>
      <w:r w:rsidRPr="004673B0">
        <w:rPr>
          <w:b w:val="0"/>
          <w:noProof w:val="0"/>
        </w:rPr>
        <w:t xml:space="preserve"> </w:t>
      </w:r>
    </w:p>
    <w:p w:rsidR="00461FDA" w:rsidRPr="004673B0" w:rsidRDefault="00461FDA" w:rsidP="00B30F8A">
      <w:pPr>
        <w:pStyle w:val="Nadpis2"/>
        <w:keepNext w:val="0"/>
        <w:numPr>
          <w:ilvl w:val="0"/>
          <w:numId w:val="0"/>
        </w:numPr>
        <w:spacing w:before="200" w:after="0"/>
        <w:ind w:right="-6"/>
        <w:rPr>
          <w:b w:val="0"/>
          <w:i/>
          <w:noProof w:val="0"/>
        </w:rPr>
      </w:pPr>
      <w:r w:rsidRPr="004673B0">
        <w:rPr>
          <w:b w:val="0"/>
          <w:noProof w:val="0"/>
        </w:rPr>
        <w:t xml:space="preserve">Při stanovení podniku s významnou silou postupuje Úřad v souladu se </w:t>
      </w:r>
      <w:r w:rsidR="00D174FD" w:rsidRPr="004673B0">
        <w:rPr>
          <w:b w:val="0"/>
          <w:noProof w:val="0"/>
        </w:rPr>
        <w:t>Zákonem</w:t>
      </w:r>
      <w:r w:rsidRPr="004673B0">
        <w:rPr>
          <w:b w:val="0"/>
          <w:noProof w:val="0"/>
        </w:rPr>
        <w:t xml:space="preserve">, </w:t>
      </w:r>
      <w:r w:rsidR="003E4B88" w:rsidRPr="004673B0">
        <w:rPr>
          <w:b w:val="0"/>
          <w:noProof w:val="0"/>
        </w:rPr>
        <w:t xml:space="preserve">dále </w:t>
      </w:r>
      <w:r w:rsidRPr="004673B0">
        <w:rPr>
          <w:b w:val="0"/>
          <w:noProof w:val="0"/>
        </w:rPr>
        <w:t>s rámcovou směrnicí, Pokyny Komise a dalšími relevantními dokumenty EU a dále v souladu s judikaturou Soudního dvora Evropské unie</w:t>
      </w:r>
      <w:r w:rsidR="003E4B88" w:rsidRPr="004673B0">
        <w:rPr>
          <w:rStyle w:val="Znakapoznpodarou"/>
          <w:b w:val="0"/>
          <w:noProof w:val="0"/>
        </w:rPr>
        <w:footnoteReference w:id="88"/>
      </w:r>
      <w:r w:rsidRPr="004673B0">
        <w:rPr>
          <w:b w:val="0"/>
          <w:noProof w:val="0"/>
        </w:rPr>
        <w:t xml:space="preserve"> (ve všech instancích) (dále jen „</w:t>
      </w:r>
      <w:r w:rsidRPr="004673B0">
        <w:rPr>
          <w:noProof w:val="0"/>
        </w:rPr>
        <w:t>SDEU</w:t>
      </w:r>
      <w:r w:rsidRPr="004673B0">
        <w:rPr>
          <w:b w:val="0"/>
          <w:noProof w:val="0"/>
        </w:rPr>
        <w:t>“) a rozhodovací praxí Komise vztahující se k určování a posuzovaní dominantního postavení dle čl. 102 Smlouvy o fungování Evropské unie.</w:t>
      </w:r>
      <w:r w:rsidRPr="004673B0">
        <w:rPr>
          <w:rStyle w:val="Znakapoznpodarou"/>
          <w:b w:val="0"/>
          <w:noProof w:val="0"/>
        </w:rPr>
        <w:footnoteReference w:id="89"/>
      </w:r>
      <w:r w:rsidRPr="004673B0">
        <w:rPr>
          <w:b w:val="0"/>
          <w:noProof w:val="0"/>
        </w:rPr>
        <w:t xml:space="preserve"> Závěry, postupy a metody SDEU a Komise ve vztahu k dominantnímu postavení </w:t>
      </w:r>
      <w:r w:rsidRPr="004673B0">
        <w:rPr>
          <w:b w:val="0"/>
        </w:rPr>
        <w:t xml:space="preserve">posuzovanému z pohledu práva hospodářské soutěže </w:t>
      </w:r>
      <w:r w:rsidRPr="004673B0">
        <w:rPr>
          <w:b w:val="0"/>
          <w:i/>
        </w:rPr>
        <w:t>ex post</w:t>
      </w:r>
      <w:r w:rsidRPr="004673B0">
        <w:rPr>
          <w:b w:val="0"/>
        </w:rPr>
        <w:t xml:space="preserve"> musí Úřad přizpůsobit s ohledem na posuzování situace </w:t>
      </w:r>
      <w:r w:rsidRPr="004673B0">
        <w:rPr>
          <w:b w:val="0"/>
          <w:i/>
        </w:rPr>
        <w:t xml:space="preserve">ex ante </w:t>
      </w:r>
      <w:r w:rsidRPr="004673B0">
        <w:rPr>
          <w:b w:val="0"/>
        </w:rPr>
        <w:t xml:space="preserve">a </w:t>
      </w:r>
      <w:r w:rsidR="003A2051" w:rsidRPr="004673B0">
        <w:rPr>
          <w:b w:val="0"/>
        </w:rPr>
        <w:t>zohlednit</w:t>
      </w:r>
      <w:r w:rsidRPr="004673B0">
        <w:rPr>
          <w:b w:val="0"/>
        </w:rPr>
        <w:t xml:space="preserve">, že v rámci </w:t>
      </w:r>
      <w:r w:rsidRPr="004673B0">
        <w:rPr>
          <w:b w:val="0"/>
          <w:i/>
        </w:rPr>
        <w:t xml:space="preserve">ex ante </w:t>
      </w:r>
      <w:r w:rsidRPr="004673B0">
        <w:rPr>
          <w:b w:val="0"/>
        </w:rPr>
        <w:t>regulace je potřeba k zásadám soutěžního práva a určení významné tržní síly přistupovat</w:t>
      </w:r>
      <w:r w:rsidR="00D418C7" w:rsidRPr="004673B0">
        <w:rPr>
          <w:b w:val="0"/>
        </w:rPr>
        <w:t xml:space="preserve"> s ohledem na povahu </w:t>
      </w:r>
      <w:r w:rsidR="00D418C7" w:rsidRPr="004673B0">
        <w:rPr>
          <w:b w:val="0"/>
          <w:i/>
          <w:iCs/>
        </w:rPr>
        <w:t xml:space="preserve">ex ante </w:t>
      </w:r>
      <w:r w:rsidR="00D418C7" w:rsidRPr="004673B0">
        <w:rPr>
          <w:b w:val="0"/>
        </w:rPr>
        <w:t>regulace (zejména na skutečnost, že Úřad analyzuje efektivní konkurenci perspektivně s výhledem do budoucnosti)</w:t>
      </w:r>
      <w:r w:rsidRPr="004673B0">
        <w:rPr>
          <w:b w:val="0"/>
        </w:rPr>
        <w:t xml:space="preserve"> </w:t>
      </w:r>
      <w:r w:rsidR="00807C8E" w:rsidRPr="004673B0">
        <w:rPr>
          <w:b w:val="0"/>
        </w:rPr>
        <w:t xml:space="preserve">s </w:t>
      </w:r>
      <w:r w:rsidRPr="004673B0">
        <w:rPr>
          <w:b w:val="0"/>
        </w:rPr>
        <w:t xml:space="preserve">určitými metodologickými </w:t>
      </w:r>
      <w:r w:rsidR="00D418C7" w:rsidRPr="004673B0">
        <w:rPr>
          <w:b w:val="0"/>
        </w:rPr>
        <w:t>úpravami</w:t>
      </w:r>
      <w:r w:rsidRPr="004673B0">
        <w:rPr>
          <w:b w:val="0"/>
        </w:rPr>
        <w:t>.</w:t>
      </w:r>
      <w:r w:rsidRPr="004673B0">
        <w:rPr>
          <w:rStyle w:val="Znakapoznpodarou"/>
          <w:b w:val="0"/>
        </w:rPr>
        <w:footnoteReference w:id="90"/>
      </w:r>
    </w:p>
    <w:p w:rsidR="00461FDA" w:rsidRPr="004673B0" w:rsidRDefault="00461FDA" w:rsidP="00B30F8A">
      <w:pPr>
        <w:pStyle w:val="Nadpis3"/>
        <w:keepNext w:val="0"/>
        <w:keepLines/>
        <w:numPr>
          <w:ilvl w:val="0"/>
          <w:numId w:val="0"/>
        </w:numPr>
        <w:ind w:right="-6"/>
        <w:rPr>
          <w:rFonts w:cs="Arial"/>
          <w:i w:val="0"/>
          <w:noProof w:val="0"/>
          <w:szCs w:val="20"/>
        </w:rPr>
      </w:pPr>
      <w:r w:rsidRPr="004673B0">
        <w:rPr>
          <w:rFonts w:cs="Arial"/>
          <w:i w:val="0"/>
          <w:noProof w:val="0"/>
          <w:szCs w:val="20"/>
        </w:rPr>
        <w:t>Významnou tržní silou může podnik disponovat samostatně nebo společně s dalšími podniky. Rozdíly v přístupu k posouzení existence samostatné či společné významné tržní síly jsou specifikovány v následujících kapitolách Metodiky.</w:t>
      </w:r>
    </w:p>
    <w:p w:rsidR="00461FDA" w:rsidRPr="004673B0" w:rsidRDefault="00461FDA" w:rsidP="005B1E5D">
      <w:pPr>
        <w:pStyle w:val="N3"/>
        <w:keepLines/>
      </w:pPr>
      <w:bookmarkStart w:id="213" w:name="_Toc440374085"/>
      <w:bookmarkStart w:id="214" w:name="_Ref440392750"/>
      <w:bookmarkStart w:id="215" w:name="_Ref441160337"/>
      <w:bookmarkStart w:id="216" w:name="_Ref441782309"/>
      <w:r w:rsidRPr="004673B0">
        <w:t>Samostatná významná tržní síla</w:t>
      </w:r>
      <w:bookmarkEnd w:id="213"/>
      <w:bookmarkEnd w:id="214"/>
      <w:bookmarkEnd w:id="215"/>
      <w:bookmarkEnd w:id="216"/>
    </w:p>
    <w:p w:rsidR="00461FDA" w:rsidRPr="004673B0" w:rsidRDefault="00461FDA" w:rsidP="00B30F8A">
      <w:pPr>
        <w:pStyle w:val="Nadpis3"/>
        <w:keepNext w:val="0"/>
        <w:keepLines/>
        <w:numPr>
          <w:ilvl w:val="0"/>
          <w:numId w:val="0"/>
        </w:numPr>
        <w:ind w:right="-6"/>
        <w:rPr>
          <w:rFonts w:cs="Arial"/>
          <w:i w:val="0"/>
          <w:noProof w:val="0"/>
          <w:szCs w:val="20"/>
        </w:rPr>
      </w:pPr>
      <w:r w:rsidRPr="004673B0">
        <w:rPr>
          <w:rFonts w:cs="Arial"/>
          <w:i w:val="0"/>
          <w:noProof w:val="0"/>
          <w:szCs w:val="20"/>
        </w:rPr>
        <w:t xml:space="preserve">Úřad při určení podniku s významnou tržní </w:t>
      </w:r>
      <w:r w:rsidR="005B1E5D" w:rsidRPr="004673B0">
        <w:rPr>
          <w:rFonts w:cs="Arial"/>
          <w:i w:val="0"/>
          <w:noProof w:val="0"/>
          <w:szCs w:val="20"/>
        </w:rPr>
        <w:t xml:space="preserve">silou </w:t>
      </w:r>
      <w:r w:rsidRPr="004673B0">
        <w:rPr>
          <w:rFonts w:cs="Arial"/>
          <w:i w:val="0"/>
          <w:noProof w:val="0"/>
          <w:szCs w:val="20"/>
        </w:rPr>
        <w:t xml:space="preserve">vychází z definice významné tržní síly v § 53 </w:t>
      </w:r>
      <w:r w:rsidR="00202362" w:rsidRPr="004673B0">
        <w:rPr>
          <w:rFonts w:cs="Arial"/>
          <w:i w:val="0"/>
          <w:noProof w:val="0"/>
          <w:szCs w:val="20"/>
        </w:rPr>
        <w:t>Zákona</w:t>
      </w:r>
      <w:r w:rsidRPr="004673B0">
        <w:rPr>
          <w:rFonts w:cs="Arial"/>
          <w:i w:val="0"/>
          <w:noProof w:val="0"/>
          <w:szCs w:val="20"/>
        </w:rPr>
        <w:t xml:space="preserve">. Podle § 53 odst. 1 </w:t>
      </w:r>
      <w:r w:rsidR="00202362" w:rsidRPr="004673B0">
        <w:rPr>
          <w:rFonts w:cs="Arial"/>
          <w:i w:val="0"/>
          <w:noProof w:val="0"/>
          <w:szCs w:val="20"/>
        </w:rPr>
        <w:t>Zákona</w:t>
      </w:r>
      <w:r w:rsidRPr="004673B0">
        <w:rPr>
          <w:rFonts w:cs="Arial"/>
          <w:i w:val="0"/>
          <w:noProof w:val="0"/>
          <w:szCs w:val="20"/>
        </w:rPr>
        <w:t xml:space="preserve"> může být jako podnik s významnou tržní silou určena pouze právnická nebo fyzická osoba. Úřad tedy nemůže jako podnik se samostatnou významnou tržní silou určit např. skupinu právnických osob, a to ani za předpokladu, že by tato skupina právnických osob naplňovala znaky jedné hospodářské jednotky ve smyslu soutěžního práva. </w:t>
      </w:r>
    </w:p>
    <w:p w:rsidR="00461FDA" w:rsidRPr="004673B0" w:rsidRDefault="00461FDA" w:rsidP="00B30F8A">
      <w:pPr>
        <w:pStyle w:val="Nadpis3"/>
        <w:keepNext w:val="0"/>
        <w:keepLines/>
        <w:numPr>
          <w:ilvl w:val="0"/>
          <w:numId w:val="0"/>
        </w:numPr>
        <w:ind w:right="-6"/>
        <w:rPr>
          <w:rFonts w:cs="Arial"/>
          <w:i w:val="0"/>
          <w:noProof w:val="0"/>
          <w:szCs w:val="20"/>
        </w:rPr>
      </w:pPr>
      <w:r w:rsidRPr="004673B0">
        <w:rPr>
          <w:rFonts w:cs="Arial"/>
          <w:i w:val="0"/>
          <w:noProof w:val="0"/>
          <w:szCs w:val="20"/>
        </w:rPr>
        <w:t>Úřad dále při posouzení významné tržní síly vychází z definice významné tržní síly v </w:t>
      </w:r>
      <w:r w:rsidRPr="004673B0" w:rsidDel="00643184">
        <w:rPr>
          <w:rFonts w:cs="Arial"/>
          <w:i w:val="0"/>
          <w:noProof w:val="0"/>
          <w:szCs w:val="20"/>
        </w:rPr>
        <w:t>§ 53 odst. 1 Zákona</w:t>
      </w:r>
      <w:r w:rsidR="00AE64F6" w:rsidRPr="004673B0">
        <w:rPr>
          <w:rFonts w:cs="Arial"/>
          <w:i w:val="0"/>
          <w:noProof w:val="0"/>
          <w:szCs w:val="20"/>
        </w:rPr>
        <w:t>, dle které: „</w:t>
      </w:r>
      <w:r w:rsidR="00AE64F6" w:rsidRPr="004673B0">
        <w:rPr>
          <w:rFonts w:cs="Arial"/>
          <w:noProof w:val="0"/>
          <w:szCs w:val="20"/>
        </w:rPr>
        <w:t>Právnická nebo fyzická osoba podnikající v oblasti elektronických komunikací, která má samostatně nebo ve spojení s jedním nebo více subjekty na relevantním trhu takové ekonomické postavení, které jí umožňuje chovat se ve značné míře nezávisle na ko</w:t>
      </w:r>
      <w:r w:rsidR="00B30F8A" w:rsidRPr="004673B0">
        <w:rPr>
          <w:rFonts w:cs="Arial"/>
          <w:noProof w:val="0"/>
          <w:szCs w:val="20"/>
        </w:rPr>
        <w:t>nkurenci, zákaznících a </w:t>
      </w:r>
      <w:r w:rsidR="00AE64F6" w:rsidRPr="004673B0">
        <w:rPr>
          <w:rFonts w:cs="Arial"/>
          <w:noProof w:val="0"/>
          <w:szCs w:val="20"/>
        </w:rPr>
        <w:t>spotřebitelích, je podnikem s významnou tržní silou</w:t>
      </w:r>
      <w:r w:rsidR="00865689" w:rsidRPr="004673B0">
        <w:rPr>
          <w:rFonts w:cs="Arial"/>
          <w:noProof w:val="0"/>
          <w:szCs w:val="20"/>
        </w:rPr>
        <w:t>.</w:t>
      </w:r>
      <w:r w:rsidR="00AE64F6" w:rsidRPr="004673B0">
        <w:rPr>
          <w:rFonts w:cs="Arial"/>
          <w:i w:val="0"/>
          <w:noProof w:val="0"/>
          <w:szCs w:val="20"/>
        </w:rPr>
        <w:t>“</w:t>
      </w:r>
      <w:r w:rsidRPr="004673B0">
        <w:rPr>
          <w:rFonts w:cs="Arial"/>
          <w:i w:val="0"/>
          <w:noProof w:val="0"/>
          <w:szCs w:val="20"/>
        </w:rPr>
        <w:t xml:space="preserve">. </w:t>
      </w:r>
    </w:p>
    <w:p w:rsidR="00461FDA" w:rsidRPr="004673B0" w:rsidRDefault="00461FDA" w:rsidP="00B30F8A">
      <w:pPr>
        <w:pStyle w:val="Nadpis3"/>
        <w:keepNext w:val="0"/>
        <w:keepLines/>
        <w:numPr>
          <w:ilvl w:val="0"/>
          <w:numId w:val="0"/>
        </w:numPr>
        <w:ind w:right="-6"/>
        <w:rPr>
          <w:rFonts w:cs="Arial"/>
          <w:i w:val="0"/>
          <w:noProof w:val="0"/>
          <w:szCs w:val="20"/>
        </w:rPr>
      </w:pPr>
      <w:r w:rsidRPr="004673B0">
        <w:rPr>
          <w:rFonts w:cs="Arial"/>
          <w:i w:val="0"/>
          <w:noProof w:val="0"/>
          <w:szCs w:val="20"/>
        </w:rPr>
        <w:t>Úřad analyzuje existenci významné tržní síly dle kritérií sp</w:t>
      </w:r>
      <w:r w:rsidR="00D043E2" w:rsidRPr="004673B0">
        <w:rPr>
          <w:rFonts w:cs="Arial"/>
          <w:i w:val="0"/>
          <w:noProof w:val="0"/>
          <w:szCs w:val="20"/>
        </w:rPr>
        <w:t>ecifikovaných níže v Metodice.</w:t>
      </w:r>
    </w:p>
    <w:p w:rsidR="00461FDA" w:rsidRPr="004673B0" w:rsidRDefault="00807C8E" w:rsidP="00B30F8A">
      <w:pPr>
        <w:pStyle w:val="Nadpis3"/>
        <w:keepNext w:val="0"/>
        <w:keepLines/>
        <w:numPr>
          <w:ilvl w:val="0"/>
          <w:numId w:val="0"/>
        </w:numPr>
        <w:ind w:right="-6"/>
        <w:rPr>
          <w:rFonts w:cs="Arial"/>
          <w:i w:val="0"/>
          <w:noProof w:val="0"/>
          <w:szCs w:val="20"/>
        </w:rPr>
      </w:pPr>
      <w:r w:rsidRPr="004673B0">
        <w:rPr>
          <w:rFonts w:cs="Arial"/>
          <w:i w:val="0"/>
          <w:noProof w:val="0"/>
          <w:szCs w:val="20"/>
        </w:rPr>
        <w:t xml:space="preserve">Tato Metodika v souladu s rámcovou směrnicí </w:t>
      </w:r>
      <w:r w:rsidR="00461FDA" w:rsidRPr="004673B0">
        <w:rPr>
          <w:rFonts w:cs="Arial"/>
          <w:i w:val="0"/>
          <w:noProof w:val="0"/>
          <w:szCs w:val="20"/>
        </w:rPr>
        <w:t>i Zákon</w:t>
      </w:r>
      <w:r w:rsidRPr="004673B0">
        <w:rPr>
          <w:rFonts w:cs="Arial"/>
          <w:i w:val="0"/>
          <w:noProof w:val="0"/>
          <w:szCs w:val="20"/>
        </w:rPr>
        <w:t>em</w:t>
      </w:r>
      <w:r w:rsidR="00461FDA" w:rsidRPr="004673B0">
        <w:rPr>
          <w:rFonts w:cs="Arial"/>
          <w:i w:val="0"/>
          <w:noProof w:val="0"/>
          <w:szCs w:val="20"/>
        </w:rPr>
        <w:t xml:space="preserve"> používá </w:t>
      </w:r>
      <w:r w:rsidR="00CF0EAC" w:rsidRPr="004673B0">
        <w:rPr>
          <w:rFonts w:cs="Arial"/>
          <w:i w:val="0"/>
          <w:noProof w:val="0"/>
          <w:szCs w:val="20"/>
        </w:rPr>
        <w:t xml:space="preserve">pojem </w:t>
      </w:r>
      <w:r w:rsidR="00461FDA" w:rsidRPr="004673B0">
        <w:rPr>
          <w:rFonts w:cs="Arial"/>
          <w:i w:val="0"/>
          <w:noProof w:val="0"/>
          <w:szCs w:val="20"/>
        </w:rPr>
        <w:t>„podnik s významnou tržní silou</w:t>
      </w:r>
      <w:r w:rsidRPr="004673B0">
        <w:rPr>
          <w:rFonts w:cs="Arial"/>
          <w:i w:val="0"/>
          <w:noProof w:val="0"/>
          <w:szCs w:val="20"/>
        </w:rPr>
        <w:t>.</w:t>
      </w:r>
      <w:r w:rsidR="00461FDA" w:rsidRPr="004673B0">
        <w:rPr>
          <w:rFonts w:cs="Arial"/>
          <w:i w:val="0"/>
          <w:noProof w:val="0"/>
          <w:szCs w:val="20"/>
        </w:rPr>
        <w:t>“ Úřad při postupu dle této kapitoly Metodiky nepřistupuje k jednotlivým subjektům na relevantním trhu jako k „podnikům“ ve smyslu soutěžního práva, tj. jako k hospodářským jednotkám. Úřad se řídí ustanovením § 53 odst. 1 Zákona, ve kterém je výslovně stanoveno, že podnikem s významnou tržní silou je právnická nebo fyzická osoba</w:t>
      </w:r>
      <w:r w:rsidR="002E7DC2" w:rsidRPr="004673B0">
        <w:rPr>
          <w:rFonts w:cs="Arial"/>
          <w:i w:val="0"/>
          <w:noProof w:val="0"/>
          <w:szCs w:val="20"/>
        </w:rPr>
        <w:t xml:space="preserve"> samostatně nebo ve spojení s dalšími subjekty</w:t>
      </w:r>
      <w:r w:rsidR="00461FDA" w:rsidRPr="004673B0">
        <w:rPr>
          <w:rFonts w:cs="Arial"/>
          <w:i w:val="0"/>
          <w:noProof w:val="0"/>
          <w:szCs w:val="20"/>
        </w:rPr>
        <w:t>. Úřad tedy samostatnou významnou tržní sílu může přičíst pouze právnické nebo fyzické osobě</w:t>
      </w:r>
      <w:r w:rsidR="006B5DF9" w:rsidRPr="004673B0">
        <w:rPr>
          <w:rFonts w:cs="Arial"/>
          <w:i w:val="0"/>
          <w:noProof w:val="0"/>
          <w:szCs w:val="20"/>
        </w:rPr>
        <w:t>.</w:t>
      </w:r>
      <w:r w:rsidR="002E7DC2" w:rsidRPr="004673B0">
        <w:rPr>
          <w:rFonts w:cs="Arial"/>
          <w:i w:val="0"/>
          <w:noProof w:val="0"/>
          <w:szCs w:val="20"/>
        </w:rPr>
        <w:t xml:space="preserve"> Úřad ovšem zohlední spojení dané právnické či fyzické osoby </w:t>
      </w:r>
      <w:r w:rsidR="002E7DC2" w:rsidRPr="004673B0">
        <w:rPr>
          <w:i w:val="0"/>
        </w:rPr>
        <w:t xml:space="preserve">s jinými osobami. </w:t>
      </w:r>
      <w:r w:rsidR="002E7DC2" w:rsidRPr="004673B0">
        <w:rPr>
          <w:rFonts w:cs="Arial"/>
          <w:i w:val="0"/>
          <w:noProof w:val="0"/>
          <w:szCs w:val="20"/>
        </w:rPr>
        <w:t xml:space="preserve">Úřad může určit </w:t>
      </w:r>
      <w:r w:rsidR="00191E55" w:rsidRPr="004673B0">
        <w:rPr>
          <w:rFonts w:cs="Arial"/>
          <w:i w:val="0"/>
          <w:noProof w:val="0"/>
          <w:szCs w:val="20"/>
        </w:rPr>
        <w:t>samostatnou</w:t>
      </w:r>
      <w:r w:rsidR="00004DB9" w:rsidRPr="004673B0">
        <w:rPr>
          <w:rFonts w:cs="Arial"/>
          <w:i w:val="0"/>
          <w:noProof w:val="0"/>
          <w:szCs w:val="20"/>
        </w:rPr>
        <w:t xml:space="preserve"> </w:t>
      </w:r>
      <w:r w:rsidR="002E7DC2" w:rsidRPr="004673B0">
        <w:rPr>
          <w:rFonts w:cs="Arial"/>
          <w:i w:val="0"/>
          <w:noProof w:val="0"/>
          <w:szCs w:val="20"/>
        </w:rPr>
        <w:t xml:space="preserve">významnou tržní sílu ve vztahu k právnické či fyzické osobě </w:t>
      </w:r>
      <w:r w:rsidR="002E7DC2" w:rsidRPr="004673B0">
        <w:rPr>
          <w:i w:val="0"/>
          <w:iCs/>
        </w:rPr>
        <w:t xml:space="preserve">se zohledněním spojení </w:t>
      </w:r>
      <w:r w:rsidR="00004DB9" w:rsidRPr="004673B0">
        <w:rPr>
          <w:i w:val="0"/>
          <w:iCs/>
        </w:rPr>
        <w:t xml:space="preserve">této osoby </w:t>
      </w:r>
      <w:r w:rsidR="002E7DC2" w:rsidRPr="004673B0">
        <w:rPr>
          <w:i w:val="0"/>
          <w:iCs/>
        </w:rPr>
        <w:t>s dalšími subjekty</w:t>
      </w:r>
      <w:r w:rsidRPr="004673B0">
        <w:rPr>
          <w:i w:val="0"/>
          <w:iCs/>
        </w:rPr>
        <w:t xml:space="preserve"> </w:t>
      </w:r>
      <w:r w:rsidRPr="004673B0">
        <w:rPr>
          <w:i w:val="0"/>
        </w:rPr>
        <w:t>(např. zohlední tržní podíly či další kritéria vztahující se k těmto osobám)</w:t>
      </w:r>
      <w:r w:rsidR="00004DB9" w:rsidRPr="004673B0">
        <w:rPr>
          <w:i w:val="0"/>
          <w:iCs/>
        </w:rPr>
        <w:t>.</w:t>
      </w:r>
      <w:r w:rsidR="00461FDA" w:rsidRPr="004673B0">
        <w:rPr>
          <w:rFonts w:cs="Arial"/>
          <w:i w:val="0"/>
          <w:noProof w:val="0"/>
          <w:szCs w:val="20"/>
        </w:rPr>
        <w:t xml:space="preserve"> V případě, že by Úřad považoval více právnických či fyzických osob za subjekty, které společně disponují významnou tržní silou na relevantním trhu, posoudí</w:t>
      </w:r>
      <w:r w:rsidRPr="004673B0">
        <w:rPr>
          <w:rFonts w:cs="Arial"/>
          <w:i w:val="0"/>
          <w:noProof w:val="0"/>
          <w:szCs w:val="20"/>
        </w:rPr>
        <w:t xml:space="preserve"> Úřad</w:t>
      </w:r>
      <w:r w:rsidR="00461FDA" w:rsidRPr="004673B0">
        <w:rPr>
          <w:rFonts w:cs="Arial"/>
          <w:i w:val="0"/>
          <w:noProof w:val="0"/>
          <w:szCs w:val="20"/>
        </w:rPr>
        <w:t>, zda takové osoby nedisponují společnou významnou tržní silou ve smyslu následující podkapitoly této Metodiky</w:t>
      </w:r>
      <w:r w:rsidR="00004DB9" w:rsidRPr="004673B0">
        <w:rPr>
          <w:rStyle w:val="Znakapoznpodarou"/>
          <w:rFonts w:cs="Arial"/>
          <w:i w:val="0"/>
          <w:noProof w:val="0"/>
          <w:szCs w:val="20"/>
        </w:rPr>
        <w:footnoteReference w:id="91"/>
      </w:r>
      <w:r w:rsidR="00461FDA" w:rsidRPr="004673B0">
        <w:rPr>
          <w:rFonts w:cs="Arial"/>
          <w:i w:val="0"/>
          <w:noProof w:val="0"/>
          <w:szCs w:val="20"/>
        </w:rPr>
        <w:t xml:space="preserve">. </w:t>
      </w:r>
    </w:p>
    <w:p w:rsidR="00461FDA" w:rsidRPr="004673B0" w:rsidRDefault="00461FDA" w:rsidP="005B1E5D">
      <w:pPr>
        <w:pStyle w:val="N3"/>
        <w:keepLines/>
      </w:pPr>
      <w:bookmarkStart w:id="217" w:name="_Toc440374086"/>
      <w:bookmarkStart w:id="218" w:name="_Ref440392793"/>
      <w:bookmarkStart w:id="219" w:name="_Ref441782311"/>
      <w:r w:rsidRPr="004673B0">
        <w:t>Společná významná tržní síla</w:t>
      </w:r>
      <w:bookmarkEnd w:id="217"/>
      <w:bookmarkEnd w:id="218"/>
      <w:bookmarkEnd w:id="219"/>
      <w:r w:rsidRPr="004673B0">
        <w:t xml:space="preserve"> </w:t>
      </w:r>
    </w:p>
    <w:p w:rsidR="00461FDA" w:rsidRPr="004673B0" w:rsidRDefault="00461FDA" w:rsidP="00B30F8A">
      <w:pPr>
        <w:pStyle w:val="Nadpis4"/>
        <w:keepNext w:val="0"/>
        <w:numPr>
          <w:ilvl w:val="0"/>
          <w:numId w:val="0"/>
        </w:numPr>
        <w:ind w:right="-6"/>
        <w:rPr>
          <w:noProof w:val="0"/>
        </w:rPr>
      </w:pPr>
      <w:r w:rsidRPr="004673B0">
        <w:rPr>
          <w:noProof w:val="0"/>
        </w:rPr>
        <w:t xml:space="preserve">Významnou tržní silou může disponovat jeden subjekt samostatně nebo </w:t>
      </w:r>
      <w:r w:rsidR="00807C8E" w:rsidRPr="004673B0">
        <w:rPr>
          <w:noProof w:val="0"/>
        </w:rPr>
        <w:t>společně</w:t>
      </w:r>
      <w:r w:rsidRPr="004673B0">
        <w:rPr>
          <w:noProof w:val="0"/>
        </w:rPr>
        <w:t xml:space="preserve"> s jedním nebo více subjekty. Úřad může na relevantním trhu označit více subjektů za subjekty se společnou významnou tržní silou dle kritérií stanovených i) v rozhodovací praxi SDEU a Komise, ii) v Příloze II rámcové směrnice ve znění směrnice 2009/140/EC ze dne 25. listopadu 2009 a </w:t>
      </w:r>
      <w:r w:rsidR="00940667" w:rsidRPr="004673B0">
        <w:rPr>
          <w:noProof w:val="0"/>
        </w:rPr>
        <w:t xml:space="preserve">iii) </w:t>
      </w:r>
      <w:r w:rsidR="00D043E2" w:rsidRPr="004673B0">
        <w:rPr>
          <w:noProof w:val="0"/>
        </w:rPr>
        <w:t>v § 2 Vyhlášky.</w:t>
      </w:r>
    </w:p>
    <w:p w:rsidR="00461FDA" w:rsidRPr="004673B0" w:rsidRDefault="00461FDA" w:rsidP="00B30F8A">
      <w:pPr>
        <w:pStyle w:val="Nadpis4"/>
        <w:keepNext w:val="0"/>
        <w:numPr>
          <w:ilvl w:val="0"/>
          <w:numId w:val="0"/>
        </w:numPr>
        <w:ind w:right="-6"/>
        <w:rPr>
          <w:noProof w:val="0"/>
        </w:rPr>
      </w:pPr>
      <w:r w:rsidRPr="004673B0">
        <w:rPr>
          <w:noProof w:val="0"/>
        </w:rPr>
        <w:t>Na trzích elektronických komunikací dochází v Evropě v posledních několika letech ke změnám, které vedou ke konsolidaci a sbližování mezi jednotlivými trhy i hráči na těchto trzích. Stále častěji nastává situace, kdy na relevantním trhu soutěží nízký počet konkurentů a trhy se vyznačují oligopolními znaky.</w:t>
      </w:r>
      <w:r w:rsidRPr="004673B0">
        <w:rPr>
          <w:rStyle w:val="Znakapoznpodarou"/>
          <w:noProof w:val="0"/>
        </w:rPr>
        <w:footnoteReference w:id="92"/>
      </w:r>
      <w:r w:rsidR="00940667" w:rsidRPr="004673B0">
        <w:rPr>
          <w:noProof w:val="0"/>
        </w:rPr>
        <w:t> </w:t>
      </w:r>
      <w:r w:rsidR="005A41B9" w:rsidRPr="004673B0">
        <w:rPr>
          <w:rStyle w:val="Znakapoznpodarou"/>
          <w:noProof w:val="0"/>
        </w:rPr>
        <w:footnoteReference w:id="93"/>
      </w:r>
      <w:r w:rsidRPr="004673B0">
        <w:rPr>
          <w:noProof w:val="0"/>
        </w:rPr>
        <w:t xml:space="preserve"> V důsledku tohoto posunu se Úřad velmi pečlivě věnuje otázce existence společné významné tržní síl</w:t>
      </w:r>
      <w:r w:rsidR="00940667" w:rsidRPr="004673B0">
        <w:rPr>
          <w:noProof w:val="0"/>
        </w:rPr>
        <w:t>y</w:t>
      </w:r>
      <w:r w:rsidRPr="004673B0">
        <w:rPr>
          <w:noProof w:val="0"/>
        </w:rPr>
        <w:t>.</w:t>
      </w:r>
    </w:p>
    <w:p w:rsidR="00461FDA" w:rsidRPr="004673B0" w:rsidRDefault="00461FDA" w:rsidP="00B30F8A">
      <w:pPr>
        <w:pStyle w:val="Nadpis4"/>
        <w:keepNext w:val="0"/>
        <w:numPr>
          <w:ilvl w:val="0"/>
          <w:numId w:val="0"/>
        </w:numPr>
        <w:ind w:right="-6"/>
        <w:rPr>
          <w:noProof w:val="0"/>
        </w:rPr>
      </w:pPr>
      <w:r w:rsidRPr="004673B0">
        <w:rPr>
          <w:rFonts w:cs="Arial"/>
          <w:bCs w:val="0"/>
          <w:iCs w:val="0"/>
          <w:noProof w:val="0"/>
          <w:szCs w:val="20"/>
        </w:rPr>
        <w:t>Společná významná tržní síla dvou nebo více podniků může být Úřadem nalezena</w:t>
      </w:r>
      <w:r w:rsidR="00807C8E" w:rsidRPr="004673B0">
        <w:rPr>
          <w:rFonts w:cs="Arial"/>
          <w:bCs w:val="0"/>
          <w:iCs w:val="0"/>
          <w:noProof w:val="0"/>
          <w:szCs w:val="20"/>
        </w:rPr>
        <w:t xml:space="preserve"> buď při existenci strukturálních nebo jiných vazeb mezi podniky</w:t>
      </w:r>
      <w:r w:rsidR="00C852B0" w:rsidRPr="004673B0">
        <w:rPr>
          <w:rStyle w:val="Znakapoznpodarou"/>
          <w:rFonts w:cs="Arial"/>
          <w:bCs w:val="0"/>
          <w:iCs w:val="0"/>
          <w:noProof w:val="0"/>
          <w:szCs w:val="20"/>
        </w:rPr>
        <w:footnoteReference w:id="94"/>
      </w:r>
      <w:r w:rsidR="00933343">
        <w:rPr>
          <w:rFonts w:cs="Arial"/>
          <w:bCs w:val="0"/>
          <w:iCs w:val="0"/>
          <w:noProof w:val="0"/>
          <w:szCs w:val="20"/>
        </w:rPr>
        <w:t>,</w:t>
      </w:r>
      <w:r w:rsidR="00807C8E" w:rsidRPr="004673B0">
        <w:rPr>
          <w:rFonts w:cs="Arial"/>
          <w:bCs w:val="0"/>
          <w:iCs w:val="0"/>
          <w:noProof w:val="0"/>
          <w:szCs w:val="20"/>
        </w:rPr>
        <w:t xml:space="preserve"> nebo</w:t>
      </w:r>
      <w:r w:rsidRPr="004673B0">
        <w:rPr>
          <w:rFonts w:cs="Arial"/>
          <w:bCs w:val="0"/>
          <w:iCs w:val="0"/>
          <w:noProof w:val="0"/>
          <w:szCs w:val="20"/>
        </w:rPr>
        <w:t xml:space="preserve"> </w:t>
      </w:r>
      <w:r w:rsidRPr="004673B0">
        <w:rPr>
          <w:rFonts w:cs="Arial"/>
          <w:bCs w:val="0"/>
          <w:i/>
          <w:iCs w:val="0"/>
          <w:noProof w:val="0"/>
          <w:szCs w:val="20"/>
        </w:rPr>
        <w:t>„</w:t>
      </w:r>
      <w:r w:rsidRPr="004673B0">
        <w:rPr>
          <w:rFonts w:eastAsia="Arial Unicode MS" w:cs="Arial"/>
          <w:bCs w:val="0"/>
          <w:i/>
          <w:iCs w:val="0"/>
          <w:noProof w:val="0"/>
          <w:szCs w:val="20"/>
        </w:rPr>
        <w:t xml:space="preserve">jestliže i při neexistenci strukturálních nebo jiných vazeb mezi nimi působí </w:t>
      </w:r>
      <w:r w:rsidRPr="004673B0">
        <w:rPr>
          <w:rFonts w:eastAsia="Arial Unicode MS" w:cs="Arial"/>
          <w:bCs w:val="0"/>
          <w:iCs w:val="0"/>
          <w:noProof w:val="0"/>
          <w:szCs w:val="20"/>
        </w:rPr>
        <w:t>[podniky</w:t>
      </w:r>
      <w:r w:rsidRPr="004673B0">
        <w:rPr>
          <w:rFonts w:eastAsia="Arial Unicode MS" w:cs="Arial"/>
          <w:noProof w:val="0"/>
          <w:szCs w:val="20"/>
        </w:rPr>
        <w:t>, pozn. Úřadu]</w:t>
      </w:r>
      <w:r w:rsidRPr="004673B0">
        <w:rPr>
          <w:rFonts w:eastAsia="Arial Unicode MS" w:cs="Arial"/>
          <w:i/>
          <w:noProof w:val="0"/>
          <w:szCs w:val="20"/>
        </w:rPr>
        <w:t xml:space="preserve"> na trhu, </w:t>
      </w:r>
      <w:r w:rsidRPr="004673B0">
        <w:rPr>
          <w:rFonts w:eastAsia="Arial Unicode MS" w:cs="Arial"/>
          <w:bCs w:val="0"/>
          <w:i/>
          <w:iCs w:val="0"/>
          <w:noProof w:val="0"/>
          <w:szCs w:val="20"/>
        </w:rPr>
        <w:t xml:space="preserve">jenž je charakterizován nedostatkem účinné hospodářské soutěže a na němž nemá žádný podnik sám o sobě významnou tržní sílu.” </w:t>
      </w:r>
      <w:r w:rsidRPr="004673B0">
        <w:rPr>
          <w:rStyle w:val="Znakapoznpodarou"/>
          <w:rFonts w:eastAsia="Arial Unicode MS" w:cs="Arial"/>
          <w:bCs w:val="0"/>
          <w:noProof w:val="0"/>
          <w:szCs w:val="20"/>
        </w:rPr>
        <w:footnoteReference w:id="95"/>
      </w:r>
    </w:p>
    <w:p w:rsidR="00461FDA" w:rsidRPr="004673B0" w:rsidRDefault="00461FDA" w:rsidP="00B30F8A">
      <w:pPr>
        <w:pStyle w:val="Normlnweb"/>
        <w:keepLines/>
        <w:spacing w:before="200" w:beforeAutospacing="0" w:after="0" w:afterAutospacing="0" w:line="288" w:lineRule="auto"/>
        <w:ind w:right="-6"/>
        <w:jc w:val="both"/>
        <w:rPr>
          <w:rFonts w:ascii="Arial" w:hAnsi="Arial" w:cs="Arial"/>
          <w:sz w:val="20"/>
          <w:szCs w:val="20"/>
          <w:lang w:val="cs-CZ"/>
        </w:rPr>
      </w:pPr>
      <w:r w:rsidRPr="004673B0">
        <w:rPr>
          <w:rFonts w:ascii="Arial" w:hAnsi="Arial" w:cs="Arial"/>
          <w:sz w:val="20"/>
          <w:szCs w:val="20"/>
          <w:lang w:val="cs-CZ"/>
        </w:rPr>
        <w:t xml:space="preserve">Při posuzování společné významné tržní síly se Úřad řídí právem </w:t>
      </w:r>
      <w:r w:rsidR="00B30F8A" w:rsidRPr="004673B0">
        <w:rPr>
          <w:rFonts w:ascii="Arial" w:hAnsi="Arial" w:cs="Arial"/>
          <w:sz w:val="20"/>
          <w:szCs w:val="20"/>
          <w:lang w:val="cs-CZ"/>
        </w:rPr>
        <w:t>Evropské unie a závěry Komise a </w:t>
      </w:r>
      <w:r w:rsidRPr="004673B0">
        <w:rPr>
          <w:rFonts w:ascii="Arial" w:hAnsi="Arial" w:cs="Arial"/>
          <w:sz w:val="20"/>
          <w:szCs w:val="20"/>
          <w:lang w:val="cs-CZ"/>
        </w:rPr>
        <w:t>SDEU vztahující se ke společnému dominantnímu postavení dvou a více podniků dle čl. 102 Smlouvy o fungování Evropské unie (dříve čl. 82 Smlouvy o ES). Dále Úřad postupuje v souladu s Pokyny Komise,</w:t>
      </w:r>
      <w:r w:rsidRPr="004673B0">
        <w:rPr>
          <w:rStyle w:val="Znakapoznpodarou"/>
          <w:rFonts w:ascii="Arial" w:eastAsiaTheme="majorEastAsia" w:hAnsi="Arial" w:cs="Arial"/>
          <w:szCs w:val="20"/>
          <w:lang w:val="cs-CZ"/>
        </w:rPr>
        <w:footnoteReference w:id="96"/>
      </w:r>
      <w:r w:rsidRPr="004673B0">
        <w:rPr>
          <w:rFonts w:ascii="Arial" w:hAnsi="Arial" w:cs="Arial"/>
          <w:sz w:val="20"/>
          <w:szCs w:val="20"/>
          <w:lang w:val="cs-CZ"/>
        </w:rPr>
        <w:t xml:space="preserve"> Vyhláškou a dalšími relevantními předpisy uvedenými v kapitole </w:t>
      </w:r>
      <w:r w:rsidR="00404073" w:rsidRPr="004673B0">
        <w:rPr>
          <w:rFonts w:ascii="Arial" w:hAnsi="Arial" w:cs="Arial"/>
          <w:sz w:val="20"/>
          <w:szCs w:val="20"/>
          <w:lang w:val="cs-CZ"/>
        </w:rPr>
        <w:fldChar w:fldCharType="begin"/>
      </w:r>
      <w:r w:rsidR="00404073" w:rsidRPr="004673B0">
        <w:rPr>
          <w:rFonts w:ascii="Arial" w:hAnsi="Arial" w:cs="Arial"/>
          <w:sz w:val="20"/>
          <w:szCs w:val="20"/>
          <w:lang w:val="cs-CZ"/>
        </w:rPr>
        <w:instrText xml:space="preserve"> REF _Ref441242565 \r \h </w:instrText>
      </w:r>
      <w:r w:rsidR="004673B0">
        <w:rPr>
          <w:rFonts w:ascii="Arial" w:hAnsi="Arial" w:cs="Arial"/>
          <w:sz w:val="20"/>
          <w:szCs w:val="20"/>
          <w:lang w:val="cs-CZ"/>
        </w:rPr>
        <w:instrText xml:space="preserve"> \* MERGEFORMAT </w:instrText>
      </w:r>
      <w:r w:rsidR="00404073" w:rsidRPr="004673B0">
        <w:rPr>
          <w:rFonts w:ascii="Arial" w:hAnsi="Arial" w:cs="Arial"/>
          <w:sz w:val="20"/>
          <w:szCs w:val="20"/>
          <w:lang w:val="cs-CZ"/>
        </w:rPr>
      </w:r>
      <w:r w:rsidR="00404073" w:rsidRPr="004673B0">
        <w:rPr>
          <w:rFonts w:ascii="Arial" w:hAnsi="Arial" w:cs="Arial"/>
          <w:sz w:val="20"/>
          <w:szCs w:val="20"/>
          <w:lang w:val="cs-CZ"/>
        </w:rPr>
        <w:fldChar w:fldCharType="separate"/>
      </w:r>
      <w:r w:rsidR="00067C1B">
        <w:rPr>
          <w:rFonts w:ascii="Arial" w:hAnsi="Arial" w:cs="Arial"/>
          <w:sz w:val="20"/>
          <w:szCs w:val="20"/>
          <w:lang w:val="cs-CZ"/>
        </w:rPr>
        <w:t>2</w:t>
      </w:r>
      <w:r w:rsidR="00404073" w:rsidRPr="004673B0">
        <w:rPr>
          <w:rFonts w:ascii="Arial" w:hAnsi="Arial" w:cs="Arial"/>
          <w:sz w:val="20"/>
          <w:szCs w:val="20"/>
          <w:lang w:val="cs-CZ"/>
        </w:rPr>
        <w:fldChar w:fldCharType="end"/>
      </w:r>
      <w:r w:rsidRPr="004673B0">
        <w:rPr>
          <w:rFonts w:ascii="Arial" w:hAnsi="Arial" w:cs="Arial"/>
          <w:sz w:val="20"/>
          <w:szCs w:val="20"/>
          <w:lang w:val="cs-CZ"/>
        </w:rPr>
        <w:t xml:space="preserve"> této Metodiky.</w:t>
      </w:r>
    </w:p>
    <w:p w:rsidR="00461FDA" w:rsidRPr="004673B0" w:rsidRDefault="00461FDA" w:rsidP="00B30F8A">
      <w:pPr>
        <w:pStyle w:val="Normlnweb"/>
        <w:keepLines/>
        <w:spacing w:before="200" w:beforeAutospacing="0" w:after="0" w:afterAutospacing="0" w:line="288" w:lineRule="auto"/>
        <w:ind w:right="-6"/>
        <w:jc w:val="both"/>
        <w:rPr>
          <w:rFonts w:ascii="Arial" w:hAnsi="Arial" w:cs="Arial"/>
          <w:sz w:val="20"/>
          <w:szCs w:val="20"/>
          <w:lang w:val="cs-CZ"/>
        </w:rPr>
      </w:pPr>
      <w:r w:rsidRPr="004673B0">
        <w:rPr>
          <w:rFonts w:ascii="Arial" w:hAnsi="Arial" w:cs="Arial"/>
          <w:sz w:val="20"/>
          <w:szCs w:val="20"/>
          <w:lang w:val="cs-CZ"/>
        </w:rPr>
        <w:t>Úřad posuzuje společnou významnou tržní sílu vždy v kontextu pouze jednoho k</w:t>
      </w:r>
      <w:r w:rsidR="00D043E2" w:rsidRPr="004673B0">
        <w:rPr>
          <w:rFonts w:ascii="Arial" w:hAnsi="Arial" w:cs="Arial"/>
          <w:sz w:val="20"/>
          <w:szCs w:val="20"/>
          <w:lang w:val="cs-CZ"/>
        </w:rPr>
        <w:t>onkrétního relevantního trhu.</w:t>
      </w:r>
    </w:p>
    <w:p w:rsidR="00461FDA" w:rsidRPr="004673B0" w:rsidRDefault="00461FDA" w:rsidP="00B30F8A">
      <w:pPr>
        <w:pStyle w:val="Normlnweb"/>
        <w:keepLines/>
        <w:spacing w:before="200" w:beforeAutospacing="0" w:after="0" w:afterAutospacing="0" w:line="288" w:lineRule="auto"/>
        <w:ind w:right="-6"/>
        <w:jc w:val="both"/>
        <w:rPr>
          <w:rFonts w:ascii="Arial" w:hAnsi="Arial" w:cs="Arial"/>
          <w:sz w:val="20"/>
          <w:szCs w:val="20"/>
          <w:lang w:val="cs-CZ"/>
        </w:rPr>
      </w:pPr>
      <w:r w:rsidRPr="004673B0">
        <w:rPr>
          <w:rFonts w:ascii="Arial" w:hAnsi="Arial" w:cs="Arial"/>
          <w:sz w:val="20"/>
          <w:szCs w:val="20"/>
          <w:lang w:val="cs-CZ"/>
        </w:rPr>
        <w:t>Z rozhodování SDEU vyplývá, že k </w:t>
      </w:r>
      <w:r w:rsidRPr="004673B0" w:rsidDel="00643184">
        <w:rPr>
          <w:rFonts w:ascii="Arial" w:hAnsi="Arial" w:cs="Arial"/>
          <w:sz w:val="20"/>
          <w:szCs w:val="20"/>
          <w:lang w:val="cs-CZ"/>
        </w:rPr>
        <w:t>posouzení, zda</w:t>
      </w:r>
      <w:r w:rsidRPr="004673B0">
        <w:rPr>
          <w:rFonts w:ascii="Arial" w:hAnsi="Arial" w:cs="Arial"/>
          <w:sz w:val="20"/>
          <w:szCs w:val="20"/>
          <w:lang w:val="cs-CZ"/>
        </w:rPr>
        <w:t xml:space="preserve"> více podniků má společnou významnou tržní sílu, </w:t>
      </w:r>
      <w:r w:rsidRPr="004673B0" w:rsidDel="00643184">
        <w:rPr>
          <w:rFonts w:ascii="Arial" w:hAnsi="Arial" w:cs="Arial"/>
          <w:sz w:val="20"/>
          <w:szCs w:val="20"/>
          <w:lang w:val="cs-CZ"/>
        </w:rPr>
        <w:t>je nejdříve potřeba konstatovat, že</w:t>
      </w:r>
      <w:r w:rsidR="00CE5B2D" w:rsidRPr="004673B0">
        <w:rPr>
          <w:rFonts w:ascii="Arial" w:hAnsi="Arial" w:cs="Arial"/>
          <w:sz w:val="20"/>
          <w:szCs w:val="20"/>
          <w:lang w:val="cs-CZ"/>
        </w:rPr>
        <w:t xml:space="preserve"> </w:t>
      </w:r>
      <w:r w:rsidRPr="004673B0">
        <w:rPr>
          <w:rFonts w:ascii="Arial" w:hAnsi="Arial" w:cs="Arial"/>
          <w:sz w:val="20"/>
          <w:szCs w:val="20"/>
          <w:lang w:val="cs-CZ"/>
        </w:rPr>
        <w:t xml:space="preserve">tyto podniky vystupují vůči svým </w:t>
      </w:r>
      <w:r w:rsidR="00233B2C" w:rsidRPr="004673B0">
        <w:rPr>
          <w:rFonts w:ascii="Arial" w:hAnsi="Arial" w:cs="Arial"/>
          <w:sz w:val="20"/>
          <w:szCs w:val="20"/>
          <w:lang w:val="cs-CZ"/>
        </w:rPr>
        <w:t>konkurentům</w:t>
      </w:r>
      <w:r w:rsidRPr="004673B0">
        <w:rPr>
          <w:rFonts w:ascii="Arial" w:hAnsi="Arial" w:cs="Arial"/>
          <w:sz w:val="20"/>
          <w:szCs w:val="20"/>
          <w:lang w:val="cs-CZ"/>
        </w:rPr>
        <w:t>, obchodním partnerům a spotřebitelům jako jedna entita.</w:t>
      </w:r>
      <w:r w:rsidRPr="004673B0">
        <w:rPr>
          <w:rStyle w:val="Znakapoznpodarou"/>
          <w:rFonts w:ascii="Arial" w:eastAsiaTheme="majorEastAsia" w:hAnsi="Arial" w:cs="Arial"/>
          <w:szCs w:val="20"/>
          <w:lang w:val="cs-CZ"/>
        </w:rPr>
        <w:footnoteReference w:id="97"/>
      </w:r>
      <w:r w:rsidRPr="004673B0">
        <w:rPr>
          <w:rFonts w:ascii="Arial" w:hAnsi="Arial" w:cs="Arial"/>
          <w:sz w:val="20"/>
          <w:szCs w:val="20"/>
          <w:lang w:val="cs-CZ"/>
        </w:rPr>
        <w:t xml:space="preserve"> V případě, že tomu tak není, nemají posuzované podniky „</w:t>
      </w:r>
      <w:r w:rsidRPr="004673B0">
        <w:rPr>
          <w:rFonts w:ascii="Arial" w:hAnsi="Arial" w:cs="Arial"/>
          <w:i/>
          <w:sz w:val="20"/>
          <w:szCs w:val="20"/>
          <w:lang w:val="cs-CZ"/>
        </w:rPr>
        <w:t>sílu,</w:t>
      </w:r>
      <w:r w:rsidRPr="004673B0">
        <w:rPr>
          <w:rFonts w:ascii="Arial" w:hAnsi="Arial" w:cs="Arial"/>
          <w:sz w:val="20"/>
          <w:szCs w:val="20"/>
          <w:lang w:val="cs-CZ"/>
        </w:rPr>
        <w:t xml:space="preserve"> </w:t>
      </w:r>
      <w:r w:rsidRPr="004673B0">
        <w:rPr>
          <w:rFonts w:ascii="Arial" w:hAnsi="Arial" w:cs="Arial"/>
          <w:i/>
          <w:sz w:val="20"/>
          <w:szCs w:val="20"/>
          <w:lang w:val="cs-CZ"/>
        </w:rPr>
        <w:t>která je vlastní společné dominanci.</w:t>
      </w:r>
      <w:r w:rsidRPr="004673B0">
        <w:rPr>
          <w:rFonts w:ascii="Arial" w:hAnsi="Arial" w:cs="Arial"/>
          <w:sz w:val="20"/>
          <w:szCs w:val="20"/>
          <w:lang w:val="cs-CZ"/>
        </w:rPr>
        <w:t xml:space="preserve">“ </w:t>
      </w:r>
      <w:r w:rsidRPr="004673B0">
        <w:rPr>
          <w:rStyle w:val="Znakapoznpodarou"/>
          <w:rFonts w:ascii="Arial" w:eastAsiaTheme="majorEastAsia" w:hAnsi="Arial" w:cs="Arial"/>
          <w:szCs w:val="20"/>
          <w:lang w:val="cs-CZ"/>
        </w:rPr>
        <w:footnoteReference w:id="98"/>
      </w:r>
      <w:r w:rsidRPr="004673B0">
        <w:rPr>
          <w:rFonts w:ascii="Arial" w:hAnsi="Arial" w:cs="Arial"/>
          <w:sz w:val="20"/>
          <w:szCs w:val="20"/>
          <w:lang w:val="cs-CZ"/>
        </w:rPr>
        <w:t xml:space="preserve"> </w:t>
      </w:r>
      <w:r w:rsidR="00A20CD9" w:rsidRPr="004673B0">
        <w:rPr>
          <w:rFonts w:ascii="Arial" w:hAnsi="Arial" w:cs="Arial"/>
          <w:sz w:val="20"/>
          <w:szCs w:val="20"/>
          <w:lang w:val="cs-CZ"/>
        </w:rPr>
        <w:t>Určení společné významné síly Úřad provádí na základě kritérií</w:t>
      </w:r>
      <w:r w:rsidRPr="004673B0">
        <w:rPr>
          <w:rFonts w:ascii="Arial" w:hAnsi="Arial" w:cs="Arial"/>
          <w:sz w:val="20"/>
          <w:szCs w:val="20"/>
          <w:lang w:val="cs-CZ"/>
        </w:rPr>
        <w:t xml:space="preserve"> popsaných níže v kapitole </w:t>
      </w:r>
      <w:r w:rsidR="0068240A" w:rsidRPr="004673B0">
        <w:rPr>
          <w:rFonts w:ascii="Arial" w:hAnsi="Arial" w:cs="Arial"/>
          <w:sz w:val="20"/>
          <w:szCs w:val="20"/>
          <w:lang w:val="cs-CZ"/>
        </w:rPr>
        <w:fldChar w:fldCharType="begin"/>
      </w:r>
      <w:r w:rsidR="0068240A" w:rsidRPr="004673B0">
        <w:rPr>
          <w:rFonts w:ascii="Arial" w:hAnsi="Arial" w:cs="Arial"/>
          <w:sz w:val="20"/>
          <w:szCs w:val="20"/>
          <w:lang w:val="cs-CZ"/>
        </w:rPr>
        <w:instrText xml:space="preserve"> REF _Ref433024850 \r \h </w:instrText>
      </w:r>
      <w:r w:rsidR="004673B0">
        <w:rPr>
          <w:rFonts w:ascii="Arial" w:hAnsi="Arial" w:cs="Arial"/>
          <w:sz w:val="20"/>
          <w:szCs w:val="20"/>
          <w:lang w:val="cs-CZ"/>
        </w:rPr>
        <w:instrText xml:space="preserve"> \* MERGEFORMAT </w:instrText>
      </w:r>
      <w:r w:rsidR="0068240A" w:rsidRPr="004673B0">
        <w:rPr>
          <w:rFonts w:ascii="Arial" w:hAnsi="Arial" w:cs="Arial"/>
          <w:sz w:val="20"/>
          <w:szCs w:val="20"/>
          <w:lang w:val="cs-CZ"/>
        </w:rPr>
      </w:r>
      <w:r w:rsidR="0068240A" w:rsidRPr="004673B0">
        <w:rPr>
          <w:rFonts w:ascii="Arial" w:hAnsi="Arial" w:cs="Arial"/>
          <w:sz w:val="20"/>
          <w:szCs w:val="20"/>
          <w:lang w:val="cs-CZ"/>
        </w:rPr>
        <w:fldChar w:fldCharType="separate"/>
      </w:r>
      <w:r w:rsidR="00067C1B">
        <w:rPr>
          <w:rFonts w:ascii="Arial" w:hAnsi="Arial" w:cs="Arial"/>
          <w:sz w:val="20"/>
          <w:szCs w:val="20"/>
          <w:lang w:val="cs-CZ"/>
        </w:rPr>
        <w:t>6.2.2</w:t>
      </w:r>
      <w:r w:rsidR="0068240A" w:rsidRPr="004673B0">
        <w:rPr>
          <w:rFonts w:ascii="Arial" w:hAnsi="Arial" w:cs="Arial"/>
          <w:sz w:val="20"/>
          <w:szCs w:val="20"/>
          <w:lang w:val="cs-CZ"/>
        </w:rPr>
        <w:fldChar w:fldCharType="end"/>
      </w:r>
      <w:r w:rsidRPr="004673B0">
        <w:rPr>
          <w:rFonts w:ascii="Arial" w:hAnsi="Arial" w:cs="Arial"/>
          <w:sz w:val="20"/>
          <w:szCs w:val="20"/>
          <w:lang w:val="cs-CZ"/>
        </w:rPr>
        <w:t xml:space="preserve"> této Metodiky. </w:t>
      </w:r>
    </w:p>
    <w:p w:rsidR="00461FDA" w:rsidRPr="004673B0" w:rsidRDefault="00461FDA" w:rsidP="00B30F8A">
      <w:pPr>
        <w:pStyle w:val="Normlnweb"/>
        <w:keepLines/>
        <w:spacing w:before="200" w:beforeAutospacing="0" w:after="0" w:afterAutospacing="0" w:line="288" w:lineRule="auto"/>
        <w:ind w:right="-6"/>
        <w:jc w:val="both"/>
        <w:rPr>
          <w:rFonts w:ascii="Arial" w:hAnsi="Arial" w:cs="Arial"/>
          <w:sz w:val="20"/>
          <w:szCs w:val="20"/>
          <w:lang w:val="cs-CZ"/>
        </w:rPr>
      </w:pPr>
      <w:r w:rsidRPr="004673B0">
        <w:rPr>
          <w:rFonts w:ascii="Arial" w:hAnsi="Arial" w:cs="Arial"/>
          <w:sz w:val="20"/>
          <w:szCs w:val="20"/>
          <w:lang w:val="cs-CZ"/>
        </w:rPr>
        <w:t xml:space="preserve">Kritéria, na základě kterých Úřad posuzuje existenci společné významné tržní síly, směřují zejména, ale nikoliv výlučně, na tržní situace, kdy mezi podniky neexistují strukturální vazby nebo jiné faktory zakládající spolupráci. Strukturální a jiné vazby mezi konkurenty na relevantním trhu jsou znakem spolupráce, avšak existence </w:t>
      </w:r>
      <w:r w:rsidR="00B82D5A" w:rsidRPr="004673B0">
        <w:rPr>
          <w:rFonts w:ascii="Arial" w:hAnsi="Arial" w:cs="Arial"/>
          <w:sz w:val="20"/>
          <w:szCs w:val="20"/>
          <w:lang w:val="cs-CZ"/>
        </w:rPr>
        <w:t xml:space="preserve">společné strategie </w:t>
      </w:r>
      <w:r w:rsidR="00191E55" w:rsidRPr="004673B0">
        <w:rPr>
          <w:rFonts w:ascii="Arial" w:hAnsi="Arial" w:cs="Arial"/>
          <w:sz w:val="20"/>
          <w:szCs w:val="20"/>
          <w:lang w:val="cs-CZ"/>
        </w:rPr>
        <w:t>a významné</w:t>
      </w:r>
      <w:r w:rsidRPr="004673B0">
        <w:rPr>
          <w:rFonts w:ascii="Arial" w:hAnsi="Arial" w:cs="Arial"/>
          <w:sz w:val="20"/>
          <w:szCs w:val="20"/>
          <w:lang w:val="cs-CZ"/>
        </w:rPr>
        <w:t xml:space="preserve"> tržní síly není vyloučena ani v případech, kdy mezi podniky strukturální vazby neexistují. </w:t>
      </w:r>
    </w:p>
    <w:p w:rsidR="00461FDA" w:rsidRPr="004673B0" w:rsidRDefault="00461FDA" w:rsidP="00B30F8A">
      <w:pPr>
        <w:pStyle w:val="Normlnweb"/>
        <w:keepLines/>
        <w:spacing w:before="200" w:beforeAutospacing="0" w:after="0" w:afterAutospacing="0" w:line="288" w:lineRule="auto"/>
        <w:ind w:right="-6"/>
        <w:jc w:val="both"/>
        <w:rPr>
          <w:rFonts w:ascii="Arial" w:hAnsi="Arial" w:cs="Arial"/>
          <w:sz w:val="20"/>
          <w:szCs w:val="20"/>
          <w:lang w:val="cs-CZ"/>
        </w:rPr>
      </w:pPr>
      <w:r w:rsidRPr="004673B0">
        <w:rPr>
          <w:rFonts w:ascii="Arial" w:hAnsi="Arial" w:cs="Arial"/>
          <w:sz w:val="20"/>
          <w:szCs w:val="20"/>
          <w:lang w:val="cs-CZ"/>
        </w:rPr>
        <w:t>Na základě kritérií v této Metodice Úřad posoudí existenci společné významné tržní síly také v</w:t>
      </w:r>
      <w:r w:rsidR="00B82D5A" w:rsidRPr="004673B0">
        <w:rPr>
          <w:rFonts w:ascii="Arial" w:hAnsi="Arial" w:cs="Arial"/>
          <w:sz w:val="20"/>
          <w:szCs w:val="20"/>
          <w:lang w:val="cs-CZ"/>
        </w:rPr>
        <w:t> </w:t>
      </w:r>
      <w:r w:rsidRPr="004673B0">
        <w:rPr>
          <w:rFonts w:ascii="Arial" w:hAnsi="Arial" w:cs="Arial"/>
          <w:sz w:val="20"/>
          <w:szCs w:val="20"/>
          <w:lang w:val="cs-CZ"/>
        </w:rPr>
        <w:t>případě, kdy v důsledku uspořádání trhu by „</w:t>
      </w:r>
      <w:r w:rsidRPr="004673B0">
        <w:rPr>
          <w:rFonts w:ascii="Arial" w:hAnsi="Arial" w:cs="Arial"/>
          <w:i/>
          <w:sz w:val="20"/>
          <w:szCs w:val="20"/>
          <w:lang w:val="cs-CZ"/>
        </w:rPr>
        <w:t>k</w:t>
      </w:r>
      <w:r w:rsidRPr="004673B0">
        <w:rPr>
          <w:rFonts w:ascii="Arial" w:hAnsi="Arial" w:cs="Arial"/>
          <w:i/>
          <w:color w:val="262626"/>
          <w:sz w:val="20"/>
          <w:szCs w:val="20"/>
          <w:lang w:val="cs-CZ"/>
        </w:rPr>
        <w:t>aždý člen dominantního oligopolu, vědom si společných zájmů, považoval za možné a hospodářsky rozumné, a tedy i výhodnější, trvale uskutečňovat stejný způsob chování na trhu s cílem prodávat za ceny vyšší, než jsou ceny konkurenční, aniž by musel uzavřít smlouvu nebo postupovat ve vzájemné shodě ve smyslu článku 81 ES (viz v této věci výše uvedený rozsudek ve věci Gencor v. Komise, bod 277), a aniž by mohli skuteční nebo potenciální soutěžitelé nebo zákazníci a spotřebitelé účinně reagovat.“</w:t>
      </w:r>
      <w:r w:rsidRPr="004673B0">
        <w:rPr>
          <w:rStyle w:val="Znakapoznpodarou"/>
          <w:rFonts w:ascii="Arial" w:eastAsiaTheme="majorEastAsia" w:hAnsi="Arial" w:cs="Arial"/>
          <w:color w:val="262626"/>
          <w:szCs w:val="20"/>
          <w:lang w:val="cs-CZ"/>
        </w:rPr>
        <w:footnoteReference w:id="99"/>
      </w:r>
      <w:r w:rsidRPr="004673B0">
        <w:rPr>
          <w:rFonts w:ascii="Arial" w:hAnsi="Arial" w:cs="Arial"/>
          <w:color w:val="262626"/>
          <w:sz w:val="20"/>
          <w:szCs w:val="20"/>
          <w:lang w:val="cs-CZ"/>
        </w:rPr>
        <w:t xml:space="preserve"> </w:t>
      </w:r>
    </w:p>
    <w:p w:rsidR="00461FDA" w:rsidRPr="004673B0" w:rsidRDefault="00461FDA" w:rsidP="00B30F8A">
      <w:pPr>
        <w:pStyle w:val="Normlnweb"/>
        <w:keepLines/>
        <w:spacing w:before="200" w:beforeAutospacing="0" w:after="0" w:afterAutospacing="0" w:line="288" w:lineRule="auto"/>
        <w:ind w:right="-6"/>
        <w:jc w:val="both"/>
        <w:rPr>
          <w:rFonts w:ascii="Arial" w:eastAsiaTheme="minorEastAsia" w:hAnsi="Arial" w:cs="Arial"/>
          <w:sz w:val="20"/>
          <w:szCs w:val="20"/>
          <w:lang w:val="cs-CZ"/>
        </w:rPr>
      </w:pPr>
      <w:r w:rsidRPr="004673B0">
        <w:rPr>
          <w:rFonts w:ascii="Arial" w:hAnsi="Arial" w:cs="Arial"/>
          <w:sz w:val="20"/>
          <w:szCs w:val="20"/>
          <w:lang w:val="cs-CZ"/>
        </w:rPr>
        <w:t xml:space="preserve">Dle </w:t>
      </w:r>
      <w:r w:rsidR="00807C8E" w:rsidRPr="004673B0">
        <w:rPr>
          <w:rFonts w:ascii="Arial" w:hAnsi="Arial" w:cs="Arial"/>
          <w:sz w:val="20"/>
          <w:szCs w:val="20"/>
          <w:lang w:val="cs-CZ"/>
        </w:rPr>
        <w:t xml:space="preserve">zprávy </w:t>
      </w:r>
      <w:r w:rsidRPr="004673B0">
        <w:rPr>
          <w:rFonts w:ascii="Arial" w:hAnsi="Arial" w:cs="Arial"/>
          <w:sz w:val="20"/>
          <w:szCs w:val="20"/>
          <w:lang w:val="cs-CZ"/>
        </w:rPr>
        <w:t>BEREC</w:t>
      </w:r>
      <w:r w:rsidRPr="004673B0">
        <w:rPr>
          <w:rStyle w:val="Znakapoznpodarou"/>
          <w:rFonts w:ascii="Arial" w:eastAsiaTheme="majorEastAsia" w:hAnsi="Arial" w:cs="Arial"/>
          <w:szCs w:val="20"/>
          <w:lang w:val="cs-CZ"/>
        </w:rPr>
        <w:footnoteReference w:id="100"/>
      </w:r>
      <w:r w:rsidRPr="004673B0">
        <w:rPr>
          <w:rFonts w:ascii="Arial" w:hAnsi="Arial" w:cs="Arial"/>
          <w:sz w:val="20"/>
          <w:szCs w:val="20"/>
          <w:lang w:val="cs-CZ"/>
        </w:rPr>
        <w:t xml:space="preserve"> se zvýšená četnost oligopolního uspořádání může projevit zejména na trhu velkoobchodních služeb s místním přístupem poskytovaným v pevném místě (relevantní trh č. 3a dle Doporučení o relevantních trzích)</w:t>
      </w:r>
      <w:r w:rsidRPr="004673B0">
        <w:rPr>
          <w:rFonts w:ascii="Arial" w:eastAsiaTheme="minorEastAsia" w:hAnsi="Arial" w:cs="Arial"/>
          <w:sz w:val="20"/>
          <w:szCs w:val="20"/>
          <w:lang w:val="cs-CZ"/>
        </w:rPr>
        <w:t>, trhu velkoobchodní služby s centrálním přístupem poskytovaným v pevném místě pro výrobky pro širokou spotřebu (relevantní trh č. 3b dle Doporučení o relevantních trzích) a na trhu přístupu a originace volání ve veřejných mobilních telefonních sítích (relevantní trh č.</w:t>
      </w:r>
      <w:r w:rsidR="00BF1F0A" w:rsidRPr="004673B0">
        <w:rPr>
          <w:rFonts w:ascii="Arial" w:eastAsiaTheme="minorEastAsia" w:hAnsi="Arial" w:cs="Arial"/>
          <w:sz w:val="20"/>
          <w:szCs w:val="20"/>
          <w:lang w:val="cs-CZ"/>
        </w:rPr>
        <w:t> </w:t>
      </w:r>
      <w:r w:rsidRPr="004673B0">
        <w:rPr>
          <w:rFonts w:ascii="Arial" w:eastAsiaTheme="minorEastAsia" w:hAnsi="Arial" w:cs="Arial"/>
          <w:sz w:val="20"/>
          <w:szCs w:val="20"/>
          <w:lang w:val="cs-CZ"/>
        </w:rPr>
        <w:t xml:space="preserve">15 dle doporučení o relevantních trzích 2003/311/ES). </w:t>
      </w:r>
    </w:p>
    <w:p w:rsidR="00461FDA" w:rsidRPr="004673B0" w:rsidRDefault="00461FDA" w:rsidP="00B30F8A">
      <w:pPr>
        <w:pStyle w:val="Normlnweb"/>
        <w:keepLines/>
        <w:spacing w:before="200" w:beforeAutospacing="0" w:after="0" w:afterAutospacing="0" w:line="288" w:lineRule="auto"/>
        <w:ind w:right="-6"/>
        <w:jc w:val="both"/>
        <w:rPr>
          <w:rFonts w:ascii="Arial" w:eastAsiaTheme="minorEastAsia" w:hAnsi="Arial" w:cs="Arial"/>
          <w:sz w:val="20"/>
          <w:szCs w:val="20"/>
          <w:lang w:val="cs-CZ"/>
        </w:rPr>
      </w:pPr>
      <w:r w:rsidRPr="004673B0">
        <w:rPr>
          <w:rFonts w:ascii="Arial" w:eastAsiaTheme="minorEastAsia" w:hAnsi="Arial" w:cs="Arial"/>
          <w:sz w:val="20"/>
          <w:szCs w:val="20"/>
          <w:lang w:val="cs-CZ"/>
        </w:rPr>
        <w:t xml:space="preserve">Úřad nepovažuje každý trh s oligopolní tržní strukturou </w:t>
      </w:r>
      <w:r w:rsidR="00807C8E" w:rsidRPr="004673B0">
        <w:rPr>
          <w:rFonts w:ascii="Arial" w:eastAsiaTheme="minorEastAsia" w:hAnsi="Arial" w:cs="Arial"/>
          <w:sz w:val="20"/>
          <w:szCs w:val="20"/>
          <w:lang w:val="cs-CZ"/>
        </w:rPr>
        <w:t xml:space="preserve">a priori </w:t>
      </w:r>
      <w:r w:rsidRPr="004673B0">
        <w:rPr>
          <w:rFonts w:ascii="Arial" w:eastAsiaTheme="minorEastAsia" w:hAnsi="Arial" w:cs="Arial"/>
          <w:sz w:val="20"/>
          <w:szCs w:val="20"/>
          <w:lang w:val="cs-CZ"/>
        </w:rPr>
        <w:t>za trh,</w:t>
      </w:r>
      <w:r w:rsidR="00B30F8A" w:rsidRPr="004673B0">
        <w:rPr>
          <w:rFonts w:ascii="Arial" w:eastAsiaTheme="minorEastAsia" w:hAnsi="Arial" w:cs="Arial"/>
          <w:sz w:val="20"/>
          <w:szCs w:val="20"/>
          <w:lang w:val="cs-CZ"/>
        </w:rPr>
        <w:t xml:space="preserve"> jenž není účinně konkurenční a </w:t>
      </w:r>
      <w:r w:rsidRPr="004673B0">
        <w:rPr>
          <w:rFonts w:ascii="Arial" w:eastAsiaTheme="minorEastAsia" w:hAnsi="Arial" w:cs="Arial"/>
          <w:sz w:val="20"/>
          <w:szCs w:val="20"/>
          <w:lang w:val="cs-CZ"/>
        </w:rPr>
        <w:t>na němž existují podniky se společnou významnou tržní silou. Samotný počet konkurentů na trhu není dostatečným indikátorem toho, že na dotčeném trhu není účinná hospodářská soutěž. Úřad vždy dle kritérií uvedených níže zkoumá, zda</w:t>
      </w:r>
      <w:r w:rsidRPr="004673B0" w:rsidDel="00040BC9">
        <w:rPr>
          <w:rFonts w:ascii="Arial" w:eastAsiaTheme="minorEastAsia" w:hAnsi="Arial" w:cs="Arial"/>
          <w:sz w:val="20"/>
          <w:szCs w:val="20"/>
          <w:lang w:val="cs-CZ"/>
        </w:rPr>
        <w:t xml:space="preserve"> </w:t>
      </w:r>
      <w:r w:rsidRPr="004673B0">
        <w:rPr>
          <w:rFonts w:ascii="Arial" w:eastAsiaTheme="minorEastAsia" w:hAnsi="Arial" w:cs="Arial"/>
          <w:sz w:val="20"/>
          <w:szCs w:val="20"/>
          <w:lang w:val="cs-CZ"/>
        </w:rPr>
        <w:t xml:space="preserve">mezi konkurenty neexistuje takový vztah, který by zakládal společnou významnou tržní sílu. </w:t>
      </w:r>
    </w:p>
    <w:p w:rsidR="00461FDA" w:rsidRPr="004673B0" w:rsidRDefault="00461FDA" w:rsidP="00FF6D48">
      <w:pPr>
        <w:pStyle w:val="N3"/>
        <w:keepNext w:val="0"/>
        <w:keepLines/>
      </w:pPr>
      <w:bookmarkStart w:id="220" w:name="_Toc440374087"/>
      <w:r w:rsidRPr="004673B0">
        <w:t>Přenesená tržní síla</w:t>
      </w:r>
      <w:bookmarkEnd w:id="220"/>
      <w:r w:rsidRPr="004673B0">
        <w:t xml:space="preserve"> </w:t>
      </w:r>
    </w:p>
    <w:p w:rsidR="005B1E5D" w:rsidRPr="004673B0" w:rsidRDefault="00461FDA" w:rsidP="00FF6D48">
      <w:pPr>
        <w:pStyle w:val="Nadpis4"/>
        <w:keepNext w:val="0"/>
        <w:numPr>
          <w:ilvl w:val="0"/>
          <w:numId w:val="0"/>
        </w:numPr>
        <w:ind w:right="-6"/>
        <w:rPr>
          <w:noProof w:val="0"/>
        </w:rPr>
      </w:pPr>
      <w:r w:rsidRPr="004673B0">
        <w:rPr>
          <w:noProof w:val="0"/>
        </w:rPr>
        <w:t xml:space="preserve">Úřad může v konkrétní situaci, pokud by to okolnosti odůvodňovaly, určit jeden podnik jako podnik s významnou tržní silou na relevantním trhu a zároveň jej označit jako podnik s přenesenou tržní silou na souvisejícím relevantním trhu. Takový postup umožňuje § 51 odst. </w:t>
      </w:r>
      <w:r w:rsidR="00B82D5A" w:rsidRPr="004673B0">
        <w:rPr>
          <w:noProof w:val="0"/>
        </w:rPr>
        <w:t xml:space="preserve">13 </w:t>
      </w:r>
      <w:r w:rsidRPr="004673B0">
        <w:rPr>
          <w:noProof w:val="0"/>
        </w:rPr>
        <w:t xml:space="preserve">a § 53 odst. 2 </w:t>
      </w:r>
      <w:r w:rsidRPr="004673B0" w:rsidDel="00535210">
        <w:rPr>
          <w:noProof w:val="0"/>
        </w:rPr>
        <w:t>Z</w:t>
      </w:r>
      <w:r w:rsidRPr="004673B0">
        <w:rPr>
          <w:noProof w:val="0"/>
        </w:rPr>
        <w:t>ákona a čl. 14 odst. 3 rámcové směrnice, za podmínky, že jde o relevantní trh úzce související s prvním relevantním trhem a že „</w:t>
      </w:r>
      <w:r w:rsidRPr="004673B0">
        <w:rPr>
          <w:i/>
          <w:noProof w:val="0"/>
        </w:rPr>
        <w:t>jsou vazby mezi těmito trhy takové, že umožňují přenesení tržní síly z jednoho relevantního trhu na druhý, čímž se posiluje tržní síla tohoto podniku</w:t>
      </w:r>
      <w:r w:rsidRPr="004673B0">
        <w:rPr>
          <w:noProof w:val="0"/>
        </w:rPr>
        <w:t xml:space="preserve">“. </w:t>
      </w:r>
    </w:p>
    <w:p w:rsidR="00461FDA" w:rsidRPr="004673B0" w:rsidRDefault="00461FDA" w:rsidP="00FF6D48">
      <w:pPr>
        <w:pStyle w:val="N2"/>
        <w:keepNext w:val="0"/>
        <w:widowControl w:val="0"/>
      </w:pPr>
      <w:bookmarkStart w:id="221" w:name="_Toc440374088"/>
      <w:r w:rsidRPr="004673B0">
        <w:t>Kritéria při posuzování významné tržní síly</w:t>
      </w:r>
      <w:bookmarkEnd w:id="221"/>
      <w:r w:rsidRPr="004673B0">
        <w:t xml:space="preserve"> </w:t>
      </w:r>
    </w:p>
    <w:p w:rsidR="00461FDA" w:rsidRPr="004673B0" w:rsidRDefault="00461FDA" w:rsidP="00FF6D48">
      <w:pPr>
        <w:pStyle w:val="Nadpis3"/>
        <w:keepNext w:val="0"/>
        <w:keepLines/>
        <w:widowControl w:val="0"/>
        <w:numPr>
          <w:ilvl w:val="0"/>
          <w:numId w:val="0"/>
        </w:numPr>
        <w:spacing w:before="200" w:after="0"/>
        <w:ind w:right="-6"/>
        <w:rPr>
          <w:i w:val="0"/>
          <w:noProof w:val="0"/>
        </w:rPr>
      </w:pPr>
      <w:r w:rsidRPr="004673B0">
        <w:rPr>
          <w:i w:val="0"/>
          <w:noProof w:val="0"/>
        </w:rPr>
        <w:t>Při analýze Úřad zkoumá ekonomické vlastnosti relevantního trhu a existenci podniku s významnou tržní silou na základě různých relevantních kritérií. Kritéria uvedená níže jsou pouze demonstrativní, Úřad může zahrnout další kritéria, která uzná za vhodná vždy podle konkrétní situace na trhu.</w:t>
      </w:r>
      <w:r w:rsidRPr="004673B0">
        <w:rPr>
          <w:rStyle w:val="Znakapoznpodarou"/>
          <w:noProof w:val="0"/>
        </w:rPr>
        <w:footnoteReference w:id="101"/>
      </w:r>
      <w:r w:rsidRPr="004673B0">
        <w:rPr>
          <w:i w:val="0"/>
          <w:noProof w:val="0"/>
        </w:rPr>
        <w:t xml:space="preserve"> Posouzení existence významné tržní síly je komplexní činnost a nejedná se pouze o mechanické vyhodnocení níže uvedených kritérií.</w:t>
      </w:r>
      <w:r w:rsidRPr="004673B0">
        <w:rPr>
          <w:rStyle w:val="Znakapoznpodarou"/>
          <w:noProof w:val="0"/>
        </w:rPr>
        <w:footnoteReference w:id="102"/>
      </w:r>
      <w:r w:rsidRPr="004673B0">
        <w:rPr>
          <w:i w:val="0"/>
          <w:noProof w:val="0"/>
        </w:rPr>
        <w:t xml:space="preserve"> Níže uvedená kritéria Úřad vždy posoudí s ohledem na konkrétní situaci a dotčený relevantní trh a přisoudí jim důležitost a váhu pouze v kontextu konkrétní analýzy a s ohledem na konkrétní vývojové stádium relevantního trhu. </w:t>
      </w:r>
    </w:p>
    <w:p w:rsidR="00461FDA" w:rsidRPr="004673B0" w:rsidRDefault="00C87D1C" w:rsidP="00FF6D48">
      <w:pPr>
        <w:pStyle w:val="Nadpis3"/>
        <w:keepNext w:val="0"/>
        <w:keepLines/>
        <w:numPr>
          <w:ilvl w:val="0"/>
          <w:numId w:val="0"/>
        </w:numPr>
        <w:spacing w:before="200" w:after="0"/>
        <w:ind w:right="-6"/>
        <w:rPr>
          <w:i w:val="0"/>
          <w:noProof w:val="0"/>
        </w:rPr>
      </w:pPr>
      <w:r w:rsidRPr="004673B0">
        <w:rPr>
          <w:i w:val="0"/>
          <w:noProof w:val="0"/>
        </w:rPr>
        <w:t xml:space="preserve">Existenci významné tržní síly Úřad určí na základě analýzy dvou a vice následujících </w:t>
      </w:r>
      <w:r w:rsidR="008F32AD" w:rsidRPr="004673B0">
        <w:rPr>
          <w:i w:val="0"/>
          <w:noProof w:val="0"/>
        </w:rPr>
        <w:t>kritérií</w:t>
      </w:r>
      <w:r w:rsidRPr="004673B0">
        <w:rPr>
          <w:i w:val="0"/>
          <w:noProof w:val="0"/>
        </w:rPr>
        <w:t xml:space="preserve">, nikoliv </w:t>
      </w:r>
      <w:r w:rsidR="00461FDA" w:rsidRPr="004673B0">
        <w:rPr>
          <w:i w:val="0"/>
          <w:noProof w:val="0"/>
        </w:rPr>
        <w:t>pouze na základě jediného kritéria</w:t>
      </w:r>
      <w:r w:rsidRPr="004673B0">
        <w:rPr>
          <w:i w:val="0"/>
          <w:noProof w:val="0"/>
        </w:rPr>
        <w:t>.</w:t>
      </w:r>
      <w:r w:rsidR="00461FDA" w:rsidRPr="004673B0">
        <w:rPr>
          <w:i w:val="0"/>
          <w:noProof w:val="0"/>
        </w:rPr>
        <w:t xml:space="preserve"> </w:t>
      </w:r>
      <w:r w:rsidRPr="004673B0">
        <w:rPr>
          <w:i w:val="0"/>
          <w:noProof w:val="0"/>
        </w:rPr>
        <w:t>V</w:t>
      </w:r>
      <w:r w:rsidR="00461FDA" w:rsidRPr="004673B0">
        <w:rPr>
          <w:i w:val="0"/>
          <w:noProof w:val="0"/>
        </w:rPr>
        <w:t xml:space="preserve">ždy se </w:t>
      </w:r>
      <w:r w:rsidRPr="004673B0">
        <w:rPr>
          <w:i w:val="0"/>
          <w:noProof w:val="0"/>
        </w:rPr>
        <w:t xml:space="preserve">tedy </w:t>
      </w:r>
      <w:r w:rsidR="00461FDA" w:rsidRPr="004673B0">
        <w:rPr>
          <w:i w:val="0"/>
          <w:noProof w:val="0"/>
        </w:rPr>
        <w:t xml:space="preserve">musí jednat o komplexní analýzu a existence významné tržní síly musí vyplývat z kombinace vícero kritérií. </w:t>
      </w:r>
    </w:p>
    <w:p w:rsidR="001C135F" w:rsidRPr="004673B0" w:rsidRDefault="00461FDA" w:rsidP="00FF6D48">
      <w:pPr>
        <w:pStyle w:val="N3"/>
        <w:keepNext w:val="0"/>
        <w:keepLines/>
      </w:pPr>
      <w:bookmarkStart w:id="222" w:name="_Toc440374089"/>
      <w:r w:rsidRPr="004673B0">
        <w:t>Jednotlivá kritéria vhodná k posuzování samostatné významné tržní síl</w:t>
      </w:r>
      <w:r w:rsidR="001C135F" w:rsidRPr="004673B0">
        <w:t>y</w:t>
      </w:r>
      <w:bookmarkEnd w:id="222"/>
    </w:p>
    <w:p w:rsidR="00461FDA" w:rsidRPr="004673B0" w:rsidRDefault="001C135F" w:rsidP="00FF6D48">
      <w:pPr>
        <w:pStyle w:val="Nadpis4"/>
        <w:keepNext w:val="0"/>
      </w:pPr>
      <w:bookmarkStart w:id="223" w:name="_Kritéria_týkající_se"/>
      <w:bookmarkEnd w:id="223"/>
      <w:r w:rsidRPr="004673B0">
        <w:t>Kritéria týkající se tržního podílu</w:t>
      </w:r>
    </w:p>
    <w:p w:rsidR="00461FDA" w:rsidRPr="004673B0" w:rsidRDefault="00461FDA" w:rsidP="00FF6D48">
      <w:pPr>
        <w:pStyle w:val="Nadpis4"/>
        <w:keepNext w:val="0"/>
        <w:numPr>
          <w:ilvl w:val="0"/>
          <w:numId w:val="18"/>
        </w:numPr>
        <w:ind w:right="-6" w:hanging="218"/>
        <w:rPr>
          <w:noProof w:val="0"/>
        </w:rPr>
      </w:pPr>
      <w:r w:rsidRPr="004673B0">
        <w:rPr>
          <w:noProof w:val="0"/>
        </w:rPr>
        <w:t>Tržní podíl</w:t>
      </w:r>
    </w:p>
    <w:p w:rsidR="00461FDA" w:rsidRPr="004673B0" w:rsidRDefault="00461FDA" w:rsidP="00FF6D48">
      <w:pPr>
        <w:pStyle w:val="Nadpis4"/>
        <w:keepNext w:val="0"/>
        <w:numPr>
          <w:ilvl w:val="1"/>
          <w:numId w:val="18"/>
        </w:numPr>
        <w:ind w:right="-6"/>
        <w:rPr>
          <w:i/>
          <w:noProof w:val="0"/>
        </w:rPr>
      </w:pPr>
      <w:r w:rsidRPr="004673B0">
        <w:rPr>
          <w:i/>
          <w:noProof w:val="0"/>
        </w:rPr>
        <w:t xml:space="preserve">Velikost tržního podílu </w:t>
      </w:r>
    </w:p>
    <w:p w:rsidR="00461FDA" w:rsidRPr="004673B0" w:rsidRDefault="00461FDA" w:rsidP="00FF6D48">
      <w:pPr>
        <w:pStyle w:val="Nadpis4"/>
        <w:keepNext w:val="0"/>
        <w:numPr>
          <w:ilvl w:val="0"/>
          <w:numId w:val="0"/>
        </w:numPr>
        <w:ind w:right="-6"/>
        <w:rPr>
          <w:noProof w:val="0"/>
        </w:rPr>
      </w:pPr>
      <w:r w:rsidRPr="004673B0">
        <w:rPr>
          <w:noProof w:val="0"/>
        </w:rPr>
        <w:t xml:space="preserve">Velikost tržního podílu je jedním z hlavních znaků, které naznačují existenci významné tržní síly. Ačkoliv velký podíl na trhu není dostatečným důkazem o existenci významné tržní síly, je velmi nepravděpodobné, aby podnik disponoval významnou tržní silou bez toho, aby měl velký tržní podíl. </w:t>
      </w:r>
    </w:p>
    <w:p w:rsidR="00461FDA" w:rsidRPr="004673B0" w:rsidRDefault="00461FDA" w:rsidP="00FF6D48">
      <w:pPr>
        <w:pStyle w:val="Odstavecseseznamem"/>
        <w:keepLines/>
        <w:spacing w:before="200" w:after="0"/>
        <w:ind w:left="0" w:right="-6"/>
        <w:contextualSpacing w:val="0"/>
        <w:rPr>
          <w:noProof w:val="0"/>
        </w:rPr>
      </w:pPr>
      <w:r w:rsidRPr="004673B0">
        <w:rPr>
          <w:noProof w:val="0"/>
        </w:rPr>
        <w:t xml:space="preserve">Ačkoliv neexistuje jednoznačná souvislost mezi velikostí tržního podílu a </w:t>
      </w:r>
      <w:r w:rsidR="00FF6D48">
        <w:rPr>
          <w:noProof w:val="0"/>
        </w:rPr>
        <w:t>postavením s významnou tržní silou</w:t>
      </w:r>
      <w:r w:rsidRPr="004673B0">
        <w:rPr>
          <w:noProof w:val="0"/>
        </w:rPr>
        <w:t>, význam velikosti tržního podílu pro posouzení existence významné tržní síly se odvíjí od ekonomické teorie a empirických důkazů o souvislosti tržního podílu a ziskovosti.</w:t>
      </w:r>
      <w:r w:rsidRPr="004673B0">
        <w:rPr>
          <w:rStyle w:val="Znakapoznpodarou"/>
          <w:noProof w:val="0"/>
        </w:rPr>
        <w:footnoteReference w:id="103"/>
      </w:r>
      <w:r w:rsidRPr="004673B0">
        <w:rPr>
          <w:noProof w:val="0"/>
        </w:rPr>
        <w:t xml:space="preserve"> Dlouhodobé dosahování zisku vyššího než zisku dosažitelného na účinně konkurenčním trhu je znakem exi</w:t>
      </w:r>
      <w:r w:rsidR="00D043E2" w:rsidRPr="004673B0">
        <w:rPr>
          <w:noProof w:val="0"/>
        </w:rPr>
        <w:t>stence dominantního postavení.</w:t>
      </w:r>
    </w:p>
    <w:p w:rsidR="00461FDA" w:rsidRPr="004673B0" w:rsidRDefault="00461FDA" w:rsidP="00FF6D48">
      <w:pPr>
        <w:pStyle w:val="Odstavecseseznamem"/>
        <w:keepLines/>
        <w:spacing w:before="200" w:after="0"/>
        <w:ind w:left="0" w:right="-6"/>
        <w:contextualSpacing w:val="0"/>
        <w:rPr>
          <w:noProof w:val="0"/>
        </w:rPr>
      </w:pPr>
      <w:r w:rsidRPr="004673B0">
        <w:rPr>
          <w:noProof w:val="0"/>
        </w:rPr>
        <w:t xml:space="preserve">Úřad při stanovení výše tržních podílů postupuje na základě objemových parametrů (kapacita sítě, počet minut, počet přípojek, počet </w:t>
      </w:r>
      <w:r w:rsidRPr="004673B0" w:rsidDel="00547B0D">
        <w:rPr>
          <w:noProof w:val="0"/>
        </w:rPr>
        <w:t>míst</w:t>
      </w:r>
      <w:r w:rsidR="005B1E5D" w:rsidRPr="004673B0">
        <w:rPr>
          <w:noProof w:val="0"/>
        </w:rPr>
        <w:t xml:space="preserve"> či</w:t>
      </w:r>
      <w:r w:rsidRPr="004673B0" w:rsidDel="00547B0D">
        <w:rPr>
          <w:noProof w:val="0"/>
        </w:rPr>
        <w:t xml:space="preserve"> </w:t>
      </w:r>
      <w:r w:rsidRPr="004673B0">
        <w:rPr>
          <w:noProof w:val="0"/>
        </w:rPr>
        <w:t>minut terminace apod.) nebo na základě výše tržeb (prodejů apod.). Kritérium pro výběr způsobu stanovení tržních podílů závisí na charakteristice dotčeného relevantního trhu. Tržní podíl na základě objemových parametrů Úřad typicky použije při posouzení existence významné tržní síly na trhu hromadných a nediferenciovaných produktů a výši tržeb u produktů, které jsou diferenciované.</w:t>
      </w:r>
      <w:r w:rsidRPr="004673B0">
        <w:rPr>
          <w:rStyle w:val="Znakapoznpodarou"/>
          <w:noProof w:val="0"/>
        </w:rPr>
        <w:footnoteReference w:id="104"/>
      </w:r>
      <w:r w:rsidRPr="004673B0">
        <w:rPr>
          <w:noProof w:val="0"/>
        </w:rPr>
        <w:t xml:space="preserve"> Pro úplnou analýzu trhu a správné posouzení významné tržní síly je však vhodné provést posouzení na základě obou přístupů.</w:t>
      </w:r>
      <w:r w:rsidRPr="004673B0">
        <w:rPr>
          <w:rStyle w:val="Znakapoznpodarou"/>
          <w:noProof w:val="0"/>
        </w:rPr>
        <w:footnoteReference w:id="105"/>
      </w:r>
      <w:r w:rsidRPr="004673B0">
        <w:rPr>
          <w:noProof w:val="0"/>
        </w:rPr>
        <w:t xml:space="preserve"> </w:t>
      </w:r>
    </w:p>
    <w:p w:rsidR="00461FDA" w:rsidRPr="004673B0" w:rsidRDefault="00461FDA" w:rsidP="00FF6D48">
      <w:pPr>
        <w:pStyle w:val="Odstavecseseznamem"/>
        <w:keepLines/>
        <w:spacing w:before="200" w:after="0"/>
        <w:ind w:left="0" w:right="-6"/>
        <w:contextualSpacing w:val="0"/>
        <w:rPr>
          <w:noProof w:val="0"/>
        </w:rPr>
      </w:pPr>
      <w:r w:rsidRPr="004673B0">
        <w:rPr>
          <w:noProof w:val="0"/>
        </w:rPr>
        <w:t xml:space="preserve">Z rozdílných výší tržních podílů stanovených dle různých metod může Úřad vypozorovat určité závěry, např. když je na trhu relativně homogenního produktu tržní podíl podniku na základě tržeb vyšší než na základě objemových kritérií, jedná se o znak, že takový podnik je schopen si udržet vyšší ceny než konkurence, a tím pádem dosahovat nadstandardních zisků. </w:t>
      </w:r>
    </w:p>
    <w:p w:rsidR="00461FDA" w:rsidRPr="004673B0" w:rsidRDefault="00461FDA" w:rsidP="00FF6D48">
      <w:pPr>
        <w:pStyle w:val="Odstavecseseznamem"/>
        <w:keepLines/>
        <w:spacing w:before="200" w:after="0"/>
        <w:ind w:left="0" w:right="-6"/>
        <w:contextualSpacing w:val="0"/>
        <w:rPr>
          <w:noProof w:val="0"/>
        </w:rPr>
      </w:pPr>
      <w:r w:rsidRPr="004673B0">
        <w:rPr>
          <w:noProof w:val="0"/>
        </w:rPr>
        <w:t xml:space="preserve">Úřad při posouzení výše podílů na trhu vychází z rozhodovací praxe Komise a výše tržních podílů interpretuje následovně: </w:t>
      </w:r>
    </w:p>
    <w:p w:rsidR="00461FDA" w:rsidRPr="004673B0" w:rsidRDefault="00461FDA" w:rsidP="00FF6D48">
      <w:pPr>
        <w:pStyle w:val="Odstavecseseznamem"/>
        <w:keepLines/>
        <w:numPr>
          <w:ilvl w:val="0"/>
          <w:numId w:val="19"/>
        </w:numPr>
        <w:spacing w:before="200" w:after="0"/>
        <w:ind w:right="-6"/>
        <w:contextualSpacing w:val="0"/>
        <w:rPr>
          <w:noProof w:val="0"/>
        </w:rPr>
      </w:pPr>
      <w:r w:rsidRPr="004673B0">
        <w:rPr>
          <w:noProof w:val="0"/>
        </w:rPr>
        <w:t>tržní podíl menší než 25 % indikuje, že podnik nedisponuje významnou tržní silou,</w:t>
      </w:r>
      <w:r w:rsidRPr="004673B0">
        <w:rPr>
          <w:rStyle w:val="Znakapoznpodarou"/>
          <w:noProof w:val="0"/>
        </w:rPr>
        <w:footnoteReference w:id="106"/>
      </w:r>
      <w:r w:rsidRPr="004673B0">
        <w:rPr>
          <w:noProof w:val="0"/>
        </w:rPr>
        <w:t xml:space="preserve"> </w:t>
      </w:r>
    </w:p>
    <w:p w:rsidR="00461FDA" w:rsidRPr="004673B0" w:rsidRDefault="00461FDA" w:rsidP="00FF6D48">
      <w:pPr>
        <w:pStyle w:val="Odstavecseseznamem"/>
        <w:keepLines/>
        <w:numPr>
          <w:ilvl w:val="0"/>
          <w:numId w:val="19"/>
        </w:numPr>
        <w:spacing w:before="200" w:after="0"/>
        <w:ind w:right="-6"/>
        <w:contextualSpacing w:val="0"/>
        <w:rPr>
          <w:noProof w:val="0"/>
        </w:rPr>
      </w:pPr>
      <w:r w:rsidRPr="004673B0">
        <w:rPr>
          <w:noProof w:val="0"/>
        </w:rPr>
        <w:t xml:space="preserve">tržní podíl menší než 40 % může indikovat existenci významné tržní síly v případě, že existují velké rozdíly mezi tržním podílem zkoumaného podniku a ostatních subjektů na relevantním trhu, </w:t>
      </w:r>
    </w:p>
    <w:p w:rsidR="00461FDA" w:rsidRPr="004673B0" w:rsidRDefault="00461FDA" w:rsidP="00FF6D48">
      <w:pPr>
        <w:pStyle w:val="Odstavecseseznamem"/>
        <w:keepLines/>
        <w:numPr>
          <w:ilvl w:val="0"/>
          <w:numId w:val="19"/>
        </w:numPr>
        <w:spacing w:before="200" w:after="0"/>
        <w:ind w:right="-6"/>
        <w:contextualSpacing w:val="0"/>
        <w:rPr>
          <w:noProof w:val="0"/>
        </w:rPr>
      </w:pPr>
      <w:r w:rsidRPr="004673B0">
        <w:rPr>
          <w:noProof w:val="0"/>
        </w:rPr>
        <w:t xml:space="preserve">tržní podíl přesahující 40 % může naznačovat, že podnik disponuje významnou tržní silou, </w:t>
      </w:r>
    </w:p>
    <w:p w:rsidR="005B1E5D" w:rsidRPr="004673B0" w:rsidRDefault="00461FDA" w:rsidP="00FF6D48">
      <w:pPr>
        <w:pStyle w:val="Odstavecseseznamem"/>
        <w:keepLines/>
        <w:numPr>
          <w:ilvl w:val="0"/>
          <w:numId w:val="19"/>
        </w:numPr>
        <w:spacing w:before="200" w:after="0"/>
        <w:ind w:right="-6"/>
        <w:contextualSpacing w:val="0"/>
        <w:rPr>
          <w:noProof w:val="0"/>
        </w:rPr>
      </w:pPr>
      <w:r w:rsidRPr="004673B0">
        <w:rPr>
          <w:noProof w:val="0"/>
        </w:rPr>
        <w:t xml:space="preserve">tržní podíl větší než 50 % zakládá vyvratitelnou domněnku, že podnik disponuje významnou tržní silou. </w:t>
      </w:r>
    </w:p>
    <w:p w:rsidR="00461FDA" w:rsidRPr="004673B0" w:rsidDel="00535210" w:rsidRDefault="00461FDA" w:rsidP="00FF6D48">
      <w:pPr>
        <w:pStyle w:val="Nadpis4"/>
        <w:keepNext w:val="0"/>
        <w:numPr>
          <w:ilvl w:val="1"/>
          <w:numId w:val="18"/>
        </w:numPr>
        <w:ind w:right="-6"/>
        <w:rPr>
          <w:i/>
          <w:noProof w:val="0"/>
        </w:rPr>
      </w:pPr>
      <w:r w:rsidRPr="004673B0" w:rsidDel="00320775">
        <w:rPr>
          <w:i/>
          <w:noProof w:val="0"/>
        </w:rPr>
        <w:t>Vývoj tržního podílu v čase</w:t>
      </w:r>
    </w:p>
    <w:p w:rsidR="00461FDA" w:rsidRPr="004673B0" w:rsidRDefault="00461FDA" w:rsidP="00FF6D48">
      <w:pPr>
        <w:pStyle w:val="Nadpis4"/>
        <w:keepNext w:val="0"/>
        <w:numPr>
          <w:ilvl w:val="0"/>
          <w:numId w:val="0"/>
        </w:numPr>
        <w:ind w:right="-6" w:hanging="13"/>
        <w:rPr>
          <w:rFonts w:cs="Arial"/>
          <w:noProof w:val="0"/>
        </w:rPr>
      </w:pPr>
      <w:r w:rsidRPr="004673B0">
        <w:rPr>
          <w:rFonts w:cs="Arial"/>
          <w:noProof w:val="0"/>
        </w:rPr>
        <w:t>Úřad dále zkoumá vývoj tržních podílů v čase, stálost tržních podílů a jejich změny, včetně toho, zda se velikost tržních podílů jednotlivých podniků snižuje</w:t>
      </w:r>
      <w:r w:rsidR="00B13C69">
        <w:rPr>
          <w:rFonts w:cs="Arial"/>
          <w:noProof w:val="0"/>
        </w:rPr>
        <w:t>,</w:t>
      </w:r>
      <w:r w:rsidRPr="004673B0">
        <w:rPr>
          <w:rFonts w:cs="Arial"/>
          <w:noProof w:val="0"/>
        </w:rPr>
        <w:t xml:space="preserve"> či zvyšuje. Nestálost naznačuje absenci významné tržní síly na relevantním trhu. Dlouhodobý vysoký tržní podíl jednoho podniku naopak značí, že podnik je schopen si udržet významnou tržní sílu dlouhodobě. </w:t>
      </w:r>
    </w:p>
    <w:p w:rsidR="0015103A" w:rsidRPr="004673B0" w:rsidRDefault="0015103A" w:rsidP="00FF6D48">
      <w:pPr>
        <w:pStyle w:val="Nadpis4"/>
        <w:keepNext w:val="0"/>
        <w:rPr>
          <w:noProof w:val="0"/>
        </w:rPr>
      </w:pPr>
      <w:r w:rsidRPr="004673B0">
        <w:rPr>
          <w:noProof w:val="0"/>
        </w:rPr>
        <w:t xml:space="preserve">Kritéria </w:t>
      </w:r>
      <w:r w:rsidRPr="004673B0">
        <w:t>týkající</w:t>
      </w:r>
      <w:r w:rsidRPr="004673B0">
        <w:rPr>
          <w:noProof w:val="0"/>
        </w:rPr>
        <w:t xml:space="preserve"> se podniku</w:t>
      </w:r>
    </w:p>
    <w:p w:rsidR="00461FDA" w:rsidRPr="004673B0" w:rsidRDefault="00461FDA" w:rsidP="00FF6D48">
      <w:pPr>
        <w:pStyle w:val="Nadpis4"/>
        <w:keepNext w:val="0"/>
        <w:numPr>
          <w:ilvl w:val="0"/>
          <w:numId w:val="36"/>
        </w:numPr>
        <w:ind w:right="-6"/>
        <w:rPr>
          <w:noProof w:val="0"/>
        </w:rPr>
      </w:pPr>
      <w:r w:rsidRPr="004673B0">
        <w:rPr>
          <w:noProof w:val="0"/>
        </w:rPr>
        <w:t>Celková velikost podniku</w:t>
      </w:r>
    </w:p>
    <w:p w:rsidR="00461FDA" w:rsidRPr="004673B0" w:rsidRDefault="00461FDA" w:rsidP="00FF6D48">
      <w:pPr>
        <w:pStyle w:val="Nadpis4"/>
        <w:keepNext w:val="0"/>
        <w:numPr>
          <w:ilvl w:val="0"/>
          <w:numId w:val="0"/>
        </w:numPr>
        <w:ind w:right="-6" w:hanging="13"/>
        <w:rPr>
          <w:rFonts w:cs="Arial"/>
          <w:noProof w:val="0"/>
        </w:rPr>
      </w:pPr>
      <w:r w:rsidRPr="004673B0">
        <w:rPr>
          <w:rFonts w:cs="Arial"/>
          <w:noProof w:val="0"/>
        </w:rPr>
        <w:t>Posouzení velikosti podnikatelského subjektu je založeno na komplexním hodnocení jeho majetkové, finanční a výnosové situace a perspektivách vývoje.</w:t>
      </w:r>
    </w:p>
    <w:p w:rsidR="00461FDA" w:rsidRPr="004673B0" w:rsidRDefault="00461FDA" w:rsidP="00FF6D48">
      <w:pPr>
        <w:pStyle w:val="Nadpis4"/>
        <w:keepNext w:val="0"/>
        <w:numPr>
          <w:ilvl w:val="0"/>
          <w:numId w:val="0"/>
        </w:numPr>
        <w:ind w:right="-6"/>
        <w:rPr>
          <w:noProof w:val="0"/>
        </w:rPr>
      </w:pPr>
      <w:r w:rsidRPr="004673B0">
        <w:rPr>
          <w:noProof w:val="0"/>
        </w:rPr>
        <w:t>Úřad přihlíží zejména k velikosti podniku relativně k ostatním konkurentům. Podnik, který je oproti ostatním konkurentům výrazně větší, může disponovat různými výhodami, např. výnosy z rozsahu, výnosy z šíře sortimentu, nadbytečná kapacita sítě, vyšší kupní síla apod. Úřad zkoumá velikost podniku nejen ve vztahu k relevantnímu trhu, ale i mimo relevantní trh v případě, že jsou aktivity podniku mimo dotčený trh relevantní pro posouzení některých kritérií níže uvedených či obecně pro posouzení existence významné tržní síly.</w:t>
      </w:r>
    </w:p>
    <w:p w:rsidR="00461FDA" w:rsidRPr="004673B0" w:rsidRDefault="00461FDA" w:rsidP="00FF6D48">
      <w:pPr>
        <w:pStyle w:val="Nadpis4"/>
        <w:keepNext w:val="0"/>
        <w:numPr>
          <w:ilvl w:val="0"/>
          <w:numId w:val="0"/>
        </w:numPr>
        <w:ind w:right="-6"/>
        <w:rPr>
          <w:noProof w:val="0"/>
        </w:rPr>
      </w:pPr>
      <w:r w:rsidRPr="004673B0">
        <w:rPr>
          <w:noProof w:val="0"/>
        </w:rPr>
        <w:t xml:space="preserve">Existence nepoměrně většího podniku oproti konkurentům přispívá k nabytí a </w:t>
      </w:r>
      <w:r w:rsidR="00D043E2" w:rsidRPr="004673B0">
        <w:rPr>
          <w:noProof w:val="0"/>
        </w:rPr>
        <w:t>existenci významné tržní síly.</w:t>
      </w:r>
    </w:p>
    <w:p w:rsidR="00461FDA" w:rsidRPr="004673B0" w:rsidRDefault="00461FDA" w:rsidP="00FF6D48">
      <w:pPr>
        <w:pStyle w:val="Nadpis4"/>
        <w:keepNext w:val="0"/>
        <w:numPr>
          <w:ilvl w:val="0"/>
          <w:numId w:val="36"/>
        </w:numPr>
        <w:ind w:right="-6" w:hanging="218"/>
        <w:rPr>
          <w:noProof w:val="0"/>
        </w:rPr>
      </w:pPr>
      <w:r w:rsidRPr="004673B0">
        <w:rPr>
          <w:noProof w:val="0"/>
        </w:rPr>
        <w:t>Kontrola nesnadno duplikovatelné infrastruktury</w:t>
      </w:r>
    </w:p>
    <w:p w:rsidR="00461FDA" w:rsidRPr="004673B0" w:rsidRDefault="00461FDA" w:rsidP="00FF6D48">
      <w:pPr>
        <w:pStyle w:val="Nadpis4"/>
        <w:keepNext w:val="0"/>
        <w:numPr>
          <w:ilvl w:val="0"/>
          <w:numId w:val="0"/>
        </w:numPr>
        <w:ind w:right="-6"/>
        <w:rPr>
          <w:noProof w:val="0"/>
        </w:rPr>
      </w:pPr>
      <w:r w:rsidRPr="004673B0">
        <w:rPr>
          <w:rFonts w:cs="Arial"/>
          <w:noProof w:val="0"/>
        </w:rPr>
        <w:t>Ovládnutí infrastruktury, která není dostupná konkurenčním subjektům a která je nezbytná k poskytování určité služby či produktu, přispívá k nabytí a udržení významné tržní síly. Při posouzení ovládnutí infrastruktury Úřad zejména zvažuje, zda je infrastruktura neduplikovatelná, nebo jen těžko duplikovatelná.</w:t>
      </w:r>
    </w:p>
    <w:p w:rsidR="00461FDA" w:rsidRPr="004673B0" w:rsidRDefault="00461FDA" w:rsidP="00FF6D48">
      <w:pPr>
        <w:pStyle w:val="Nadpis4"/>
        <w:keepNext w:val="0"/>
        <w:numPr>
          <w:ilvl w:val="0"/>
          <w:numId w:val="0"/>
        </w:numPr>
        <w:ind w:right="-6"/>
        <w:rPr>
          <w:rFonts w:cs="Arial"/>
          <w:noProof w:val="0"/>
        </w:rPr>
      </w:pPr>
      <w:r w:rsidRPr="004673B0">
        <w:rPr>
          <w:rFonts w:cs="Arial"/>
          <w:noProof w:val="0"/>
        </w:rPr>
        <w:t>Ovládnutí může být realizováno různými způsoby, například prostřednictvím vlastnických práv (části nebo celé infrastruktury), užíváním nebo existencí přímého, případně nepřímého vlivu na infrastrukturu.</w:t>
      </w:r>
    </w:p>
    <w:p w:rsidR="00461FDA" w:rsidRPr="004673B0" w:rsidRDefault="00461FDA" w:rsidP="00FF6D48">
      <w:pPr>
        <w:pStyle w:val="Nadpis4"/>
        <w:keepNext w:val="0"/>
        <w:numPr>
          <w:ilvl w:val="0"/>
          <w:numId w:val="0"/>
        </w:numPr>
        <w:ind w:right="-6"/>
        <w:rPr>
          <w:rFonts w:cs="Arial"/>
          <w:noProof w:val="0"/>
        </w:rPr>
      </w:pPr>
      <w:r w:rsidRPr="004673B0">
        <w:rPr>
          <w:rFonts w:cs="Arial"/>
          <w:noProof w:val="0"/>
        </w:rPr>
        <w:t>Úřad při hodnocení tohoto kritéria přihlédne také k tomu, zda podnik, který kontroluje neduplikovatelnou infrastrukturu, využívá svou tržní pozici a sílu také ve vztahu k jiným relevantním trhům, zejména zda ji nevyužívá k ovlivnění horizontálních souvisejí</w:t>
      </w:r>
      <w:r w:rsidR="00D043E2" w:rsidRPr="004673B0">
        <w:rPr>
          <w:rFonts w:cs="Arial"/>
          <w:noProof w:val="0"/>
        </w:rPr>
        <w:t>cích trhů či trhů podřazených.</w:t>
      </w:r>
    </w:p>
    <w:p w:rsidR="00461FDA" w:rsidRPr="004673B0" w:rsidRDefault="00461FDA" w:rsidP="00FF6D48">
      <w:pPr>
        <w:pStyle w:val="Nadpis4"/>
        <w:keepNext w:val="0"/>
        <w:numPr>
          <w:ilvl w:val="0"/>
          <w:numId w:val="36"/>
        </w:numPr>
        <w:ind w:right="-6" w:hanging="218"/>
        <w:rPr>
          <w:noProof w:val="0"/>
        </w:rPr>
      </w:pPr>
      <w:r w:rsidRPr="004673B0">
        <w:rPr>
          <w:noProof w:val="0"/>
        </w:rPr>
        <w:t>Technologická výhoda nebo převaha</w:t>
      </w:r>
    </w:p>
    <w:p w:rsidR="00461FDA" w:rsidRPr="004673B0" w:rsidRDefault="00461FDA" w:rsidP="00FF6D48">
      <w:pPr>
        <w:pStyle w:val="Nadpis4"/>
        <w:keepNext w:val="0"/>
        <w:numPr>
          <w:ilvl w:val="0"/>
          <w:numId w:val="0"/>
        </w:numPr>
        <w:ind w:right="-6"/>
        <w:rPr>
          <w:rFonts w:cs="Arial"/>
          <w:noProof w:val="0"/>
        </w:rPr>
      </w:pPr>
      <w:r w:rsidRPr="004673B0">
        <w:rPr>
          <w:rFonts w:cs="Arial"/>
          <w:noProof w:val="0"/>
        </w:rPr>
        <w:t xml:space="preserve">Přednostní, popřípadě výlučný přístup k vyspělým technologiím naznačuje existenci významné tržní síly. Toto kritérium Úřad považuje za směrodatné, protože při poskytování služeb v rámci trhu elektronických komunikací se používají vyspělé technologie, avšak Úřad při hodnocení tohoto kritéria vždy přihlíží k udržitelnosti a trvalosti výhody. Úřad při posouzení významné tržní síly vychází z výhledu do budoucnosti, a proto hodnotí nejen současnou situaci na trhu, ale i očekávané změny v přístupu k technologiím. </w:t>
      </w:r>
    </w:p>
    <w:p w:rsidR="00461FDA" w:rsidRPr="004673B0" w:rsidRDefault="00461FDA" w:rsidP="00FF6D48">
      <w:pPr>
        <w:pStyle w:val="Nadpis4"/>
        <w:keepNext w:val="0"/>
        <w:numPr>
          <w:ilvl w:val="0"/>
          <w:numId w:val="0"/>
        </w:numPr>
        <w:ind w:right="-6"/>
        <w:rPr>
          <w:rFonts w:cs="Arial"/>
          <w:noProof w:val="0"/>
        </w:rPr>
      </w:pPr>
      <w:r w:rsidRPr="004673B0">
        <w:rPr>
          <w:rFonts w:cs="Arial"/>
          <w:noProof w:val="0"/>
        </w:rPr>
        <w:t>Úřad dále přihlíží k níže uvedeným faktorům/skutečnostem, které význam tohoto kritéria při posuzování existence významné tržní síly snižují.</w:t>
      </w:r>
    </w:p>
    <w:p w:rsidR="00461FDA" w:rsidRPr="004673B0" w:rsidRDefault="00461FDA" w:rsidP="00FF6D48">
      <w:pPr>
        <w:pStyle w:val="Nadpis4"/>
        <w:keepNext w:val="0"/>
        <w:numPr>
          <w:ilvl w:val="0"/>
          <w:numId w:val="28"/>
        </w:numPr>
        <w:ind w:right="-6"/>
        <w:rPr>
          <w:rFonts w:cs="Arial"/>
          <w:noProof w:val="0"/>
        </w:rPr>
      </w:pPr>
      <w:r w:rsidRPr="004673B0">
        <w:rPr>
          <w:rFonts w:cs="Arial"/>
          <w:noProof w:val="0"/>
        </w:rPr>
        <w:t>Požadavky na vzájemnou provozuschopnost a propojitelnost, zahrnuté v řadě mezinárodních úmluv a dohod, vedou k tomu, že v praxi komunikační technologie vykazují vysokou míru standardizace.</w:t>
      </w:r>
    </w:p>
    <w:p w:rsidR="00461FDA" w:rsidRPr="004673B0" w:rsidRDefault="00461FDA" w:rsidP="00FF6D48">
      <w:pPr>
        <w:pStyle w:val="Nadpis4"/>
        <w:keepNext w:val="0"/>
        <w:numPr>
          <w:ilvl w:val="0"/>
          <w:numId w:val="28"/>
        </w:numPr>
        <w:ind w:right="-6"/>
        <w:rPr>
          <w:noProof w:val="0"/>
        </w:rPr>
      </w:pPr>
      <w:r w:rsidRPr="004673B0">
        <w:rPr>
          <w:rFonts w:cs="Arial"/>
          <w:noProof w:val="0"/>
        </w:rPr>
        <w:t>Trhy pro tyto technologie (tj. zařízení, včetně software) jsou většinou otevřené.</w:t>
      </w:r>
    </w:p>
    <w:p w:rsidR="00461FDA" w:rsidRPr="004673B0" w:rsidRDefault="00461FDA" w:rsidP="00FF6D48">
      <w:pPr>
        <w:pStyle w:val="Nadpis4"/>
        <w:keepNext w:val="0"/>
        <w:numPr>
          <w:ilvl w:val="0"/>
          <w:numId w:val="28"/>
        </w:numPr>
        <w:ind w:right="-6"/>
        <w:rPr>
          <w:noProof w:val="0"/>
        </w:rPr>
      </w:pPr>
      <w:r w:rsidRPr="004673B0">
        <w:rPr>
          <w:rFonts w:cs="Arial"/>
          <w:noProof w:val="0"/>
        </w:rPr>
        <w:t>Příslušné technologie, byť složité, jsou ve většině případů vyspělé a stabilní.</w:t>
      </w:r>
    </w:p>
    <w:p w:rsidR="00461FDA" w:rsidRPr="004673B0" w:rsidRDefault="00461FDA" w:rsidP="00FF6D48">
      <w:pPr>
        <w:pStyle w:val="Nadpis4"/>
        <w:keepNext w:val="0"/>
        <w:numPr>
          <w:ilvl w:val="0"/>
          <w:numId w:val="28"/>
        </w:numPr>
        <w:ind w:right="-6"/>
        <w:rPr>
          <w:noProof w:val="0"/>
        </w:rPr>
      </w:pPr>
      <w:r w:rsidRPr="004673B0">
        <w:rPr>
          <w:rFonts w:cs="Arial"/>
          <w:noProof w:val="0"/>
        </w:rPr>
        <w:t xml:space="preserve">Úřad usiluje o to, aby zabránil uplatňování nepřiměřených omezení na nově vznikajících trzích (kde je nejpravděpodobnější, že se uplatní technická inovace). </w:t>
      </w:r>
    </w:p>
    <w:p w:rsidR="00461FDA" w:rsidRPr="004673B0" w:rsidRDefault="00461FDA" w:rsidP="00FF6D48">
      <w:pPr>
        <w:pStyle w:val="Nadpis4"/>
        <w:keepNext w:val="0"/>
        <w:numPr>
          <w:ilvl w:val="0"/>
          <w:numId w:val="0"/>
        </w:numPr>
        <w:ind w:right="-6"/>
        <w:rPr>
          <w:noProof w:val="0"/>
        </w:rPr>
      </w:pPr>
      <w:r w:rsidRPr="004673B0">
        <w:rPr>
          <w:rFonts w:cs="Arial"/>
          <w:noProof w:val="0"/>
        </w:rPr>
        <w:t>Úřad považuje za relevantní ukazatele při zkoumání technologického náskoku nebo převahy</w:t>
      </w:r>
      <w:r w:rsidR="00B13C69">
        <w:rPr>
          <w:rFonts w:cs="Arial"/>
          <w:noProof w:val="0"/>
        </w:rPr>
        <w:t>,</w:t>
      </w:r>
      <w:r w:rsidRPr="004673B0">
        <w:rPr>
          <w:rFonts w:cs="Arial"/>
          <w:noProof w:val="0"/>
        </w:rPr>
        <w:t xml:space="preserve"> zejména údaje o investicích do výzkumu a vývoje – včetně nákladů na rozvoj nových služeb.</w:t>
      </w:r>
    </w:p>
    <w:p w:rsidR="00461FDA" w:rsidRPr="004673B0" w:rsidRDefault="00461FDA" w:rsidP="00FF6D48">
      <w:pPr>
        <w:pStyle w:val="Nadpis4"/>
        <w:keepNext w:val="0"/>
        <w:numPr>
          <w:ilvl w:val="0"/>
          <w:numId w:val="36"/>
        </w:numPr>
        <w:ind w:right="-6" w:hanging="218"/>
        <w:rPr>
          <w:noProof w:val="0"/>
        </w:rPr>
      </w:pPr>
      <w:r w:rsidRPr="004673B0">
        <w:rPr>
          <w:noProof w:val="0"/>
        </w:rPr>
        <w:t>Snadný nebo privilegovaný přístup k finančním zdrojům či kapitálovým trhům</w:t>
      </w:r>
    </w:p>
    <w:p w:rsidR="00461FDA" w:rsidRPr="004673B0" w:rsidRDefault="00461FD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contextualSpacing w:val="0"/>
        <w:rPr>
          <w:rFonts w:cs="Arial"/>
          <w:noProof w:val="0"/>
        </w:rPr>
      </w:pPr>
      <w:r w:rsidRPr="004673B0">
        <w:rPr>
          <w:rFonts w:cs="Arial"/>
          <w:noProof w:val="0"/>
        </w:rPr>
        <w:t>Relativně snadný nebo přednostní přístup na kapitálové trhy nebo k jiným zdrojům kapitálu dává určitým podnikům výhodu, jelikož se v praxi projevuje v levnějších nákladech na financování investičních akcí, tj. nižšími WACC (v porovnání s konkurenty nebo potenciálními novými účastníky trhu) a může působit jako překážka vstupu na trh i jako zdroj zvýhodnění oproti stávajícím konkurentům.</w:t>
      </w:r>
    </w:p>
    <w:p w:rsidR="00461FDA" w:rsidRPr="004673B0" w:rsidRDefault="00461FD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contextualSpacing w:val="0"/>
        <w:rPr>
          <w:rFonts w:cs="Arial"/>
          <w:noProof w:val="0"/>
        </w:rPr>
      </w:pPr>
      <w:r w:rsidRPr="004673B0">
        <w:rPr>
          <w:rFonts w:cs="Arial"/>
          <w:noProof w:val="0"/>
        </w:rPr>
        <w:t xml:space="preserve">Kritérium je směrodatné zejména na trzích, kde je třeba realizovat nákladné investiční akce. </w:t>
      </w:r>
    </w:p>
    <w:p w:rsidR="00461FDA" w:rsidRPr="004673B0" w:rsidRDefault="00461FD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contextualSpacing w:val="0"/>
        <w:rPr>
          <w:rFonts w:cs="Arial"/>
          <w:noProof w:val="0"/>
        </w:rPr>
      </w:pPr>
      <w:r w:rsidRPr="004673B0">
        <w:rPr>
          <w:rFonts w:cs="Arial"/>
          <w:noProof w:val="0"/>
        </w:rPr>
        <w:t>Z hlediska posouzení přístupu na kapitálové trhy či k jiným finančním zdrojům Úřad zkoumá zejména podíl daného operátora na trhu, vývoj jeho majetkových, finančních a výnosových ukazatelů, vlastnickou strukturu</w:t>
      </w:r>
      <w:r w:rsidR="00F170B5" w:rsidRPr="004673B0">
        <w:rPr>
          <w:rFonts w:cs="Arial"/>
          <w:noProof w:val="0"/>
        </w:rPr>
        <w:t xml:space="preserve"> (tj.</w:t>
      </w:r>
      <w:r w:rsidR="00D86197" w:rsidRPr="004673B0">
        <w:rPr>
          <w:rFonts w:cs="Arial"/>
          <w:noProof w:val="0"/>
        </w:rPr>
        <w:t xml:space="preserve"> např.</w:t>
      </w:r>
      <w:r w:rsidR="00F170B5" w:rsidRPr="004673B0">
        <w:rPr>
          <w:rFonts w:cs="Arial"/>
          <w:noProof w:val="0"/>
        </w:rPr>
        <w:t xml:space="preserve"> zda je jeho mateřská společnost v pozici, kterou může usnadnit danému operátorovi</w:t>
      </w:r>
      <w:r w:rsidR="00B148BE" w:rsidRPr="004673B0">
        <w:rPr>
          <w:rFonts w:cs="Arial"/>
          <w:noProof w:val="0"/>
        </w:rPr>
        <w:t xml:space="preserve"> v pozici dceřiné společnosti</w:t>
      </w:r>
      <w:r w:rsidR="00F170B5" w:rsidRPr="004673B0">
        <w:rPr>
          <w:rFonts w:cs="Arial"/>
          <w:noProof w:val="0"/>
        </w:rPr>
        <w:t xml:space="preserve"> přístup na kapitálové trhy)</w:t>
      </w:r>
      <w:r w:rsidRPr="004673B0">
        <w:rPr>
          <w:rFonts w:cs="Arial"/>
          <w:noProof w:val="0"/>
        </w:rPr>
        <w:t>, podnikovou str</w:t>
      </w:r>
      <w:r w:rsidR="00B30F8A" w:rsidRPr="004673B0">
        <w:rPr>
          <w:rFonts w:cs="Arial"/>
          <w:noProof w:val="0"/>
        </w:rPr>
        <w:t>ategii a stabilitu managementu.</w:t>
      </w:r>
    </w:p>
    <w:p w:rsidR="00461FDA" w:rsidRPr="004673B0" w:rsidRDefault="00461FD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 xml:space="preserve">Při posuzování tohoto kritéria bere Úřad v potaz také vztahy mezi jednotlivými subjekty na relevantním trhu, i vztahy s dalšími, mimostojícími subjekty (např. vztahy uvnitř skupiny či jiné formy afilace), které mohou mít vliv na úroveň hospodářské soutěže na daném trhu. Je-li podnik členem skupiny s jednodušším </w:t>
      </w:r>
      <w:r w:rsidR="00826D46" w:rsidRPr="004673B0">
        <w:rPr>
          <w:rFonts w:cs="Arial"/>
          <w:noProof w:val="0"/>
        </w:rPr>
        <w:t>přístupem</w:t>
      </w:r>
      <w:r w:rsidRPr="004673B0">
        <w:rPr>
          <w:rFonts w:cs="Arial"/>
          <w:noProof w:val="0"/>
        </w:rPr>
        <w:t xml:space="preserve"> ke kapitálu, jedná se o indicii, že pro daný subjekt je jednodušší nabýt na relevantním trhu silnou pozici, případně až významnou tržní sílu. Mezipodnikové vztahy mezi konkurenty </w:t>
      </w:r>
      <w:r w:rsidR="0015103A" w:rsidRPr="004673B0">
        <w:rPr>
          <w:rFonts w:cs="Arial"/>
          <w:noProof w:val="0"/>
        </w:rPr>
        <w:t xml:space="preserve">mohou být </w:t>
      </w:r>
      <w:r w:rsidRPr="004673B0">
        <w:rPr>
          <w:rFonts w:cs="Arial"/>
          <w:noProof w:val="0"/>
        </w:rPr>
        <w:t xml:space="preserve">znakem nedostatečné úrovně hospodářské soutěže a mohou naznačovat existenci společné významné tržní síly. </w:t>
      </w:r>
    </w:p>
    <w:p w:rsidR="00461FDA" w:rsidRPr="004673B0" w:rsidRDefault="00461FDA" w:rsidP="00FF6D48">
      <w:pPr>
        <w:pStyle w:val="Nadpis4"/>
        <w:keepNext w:val="0"/>
        <w:numPr>
          <w:ilvl w:val="0"/>
          <w:numId w:val="36"/>
        </w:numPr>
        <w:ind w:right="-6" w:hanging="218"/>
        <w:rPr>
          <w:noProof w:val="0"/>
        </w:rPr>
      </w:pPr>
      <w:r w:rsidRPr="004673B0">
        <w:rPr>
          <w:noProof w:val="0"/>
        </w:rPr>
        <w:t>Diversifikace produktů/služeb</w:t>
      </w:r>
    </w:p>
    <w:p w:rsidR="00461FDA" w:rsidRPr="004673B0" w:rsidRDefault="00461FDA" w:rsidP="00FF6D48">
      <w:pPr>
        <w:pStyle w:val="Nadpis4"/>
        <w:keepNext w:val="0"/>
        <w:numPr>
          <w:ilvl w:val="0"/>
          <w:numId w:val="0"/>
        </w:numPr>
        <w:ind w:right="-6"/>
        <w:rPr>
          <w:noProof w:val="0"/>
        </w:rPr>
      </w:pPr>
      <w:r w:rsidRPr="004673B0">
        <w:rPr>
          <w:rFonts w:cs="Arial"/>
          <w:noProof w:val="0"/>
        </w:rPr>
        <w:t>Má-li jeden podnik portfolio různorodých služeb, ať již svázaných do balíčků</w:t>
      </w:r>
      <w:r w:rsidR="00F571D8">
        <w:rPr>
          <w:rFonts w:cs="Arial"/>
          <w:noProof w:val="0"/>
        </w:rPr>
        <w:t>,</w:t>
      </w:r>
      <w:r w:rsidRPr="004673B0">
        <w:rPr>
          <w:rFonts w:cs="Arial"/>
          <w:noProof w:val="0"/>
        </w:rPr>
        <w:t xml:space="preserve"> či nikoliv, Úřad zkoumá, zda tento fakt může omezovat hospodářskou soutěž v oblasti těchto služeb v případech, kdy konkurenti jsou schopni nabízet pouze podmnožiny takových služeb.</w:t>
      </w:r>
    </w:p>
    <w:p w:rsidR="00461FDA" w:rsidRPr="004673B0" w:rsidRDefault="00461FDA" w:rsidP="00FF6D48">
      <w:pPr>
        <w:pStyle w:val="Nadpis4"/>
        <w:keepNext w:val="0"/>
        <w:numPr>
          <w:ilvl w:val="0"/>
          <w:numId w:val="36"/>
        </w:numPr>
        <w:ind w:right="-6" w:hanging="218"/>
        <w:rPr>
          <w:noProof w:val="0"/>
        </w:rPr>
      </w:pPr>
      <w:r w:rsidRPr="004673B0">
        <w:rPr>
          <w:noProof w:val="0"/>
        </w:rPr>
        <w:t>Úspory z rozsahu</w:t>
      </w:r>
    </w:p>
    <w:p w:rsidR="00461FDA" w:rsidRPr="004673B0" w:rsidRDefault="00461FDA" w:rsidP="00FF6D48">
      <w:pPr>
        <w:pStyle w:val="Odstavecseseznamem"/>
        <w:keepLines/>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 xml:space="preserve">Úspory z rozsahu se vztahují k nižším jednotkovým nákladům výroby (a distribuce atd.) v důsledku výroby resp. poskytování velkého množství produktů nebo služeb. Tyto jsou také známy pod pojmem „rostoucí výnosy“ a mohou </w:t>
      </w:r>
      <w:r w:rsidR="00233B2C" w:rsidRPr="004673B0">
        <w:rPr>
          <w:rFonts w:cs="Arial"/>
          <w:noProof w:val="0"/>
        </w:rPr>
        <w:t xml:space="preserve">operátorovi </w:t>
      </w:r>
      <w:r w:rsidRPr="004673B0">
        <w:rPr>
          <w:rFonts w:cs="Arial"/>
          <w:noProof w:val="0"/>
        </w:rPr>
        <w:t xml:space="preserve">umožnit jednat nezávisle na konkurentech působících v menším rozsahu a bránit vstupu na trh potencionálním konkurentům, kteří by k účinné konkurenci potřebovali dosáhnout velkého „kritického objemu“. </w:t>
      </w:r>
    </w:p>
    <w:p w:rsidR="00461FDA" w:rsidRPr="004673B0" w:rsidRDefault="00461FDA" w:rsidP="00FF6D48">
      <w:pPr>
        <w:pStyle w:val="Odstavecseseznamem"/>
        <w:keepLines/>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461FDA" w:rsidRPr="004673B0" w:rsidRDefault="00461FDA" w:rsidP="00FF6D48">
      <w:pPr>
        <w:pStyle w:val="Odstavecseseznamem"/>
        <w:keepLines/>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Úspory z rozsahu umožní podniku na trhu získat v porovnání s menším konkurentem stejnou ziskovou marži při nižší ceně pro zákazníka. U tohoto kritéria Úřad posuzuje spíše relativní výhody než absolutní úspory z rozsahu a velikosti, které samy o sobě nejsou ukazatelem významné tržní síly.</w:t>
      </w:r>
    </w:p>
    <w:p w:rsidR="00461FDA" w:rsidRPr="004673B0" w:rsidRDefault="00461FDA" w:rsidP="00FF6D48">
      <w:pPr>
        <w:pStyle w:val="Odstavecseseznamem"/>
        <w:keepLines/>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461FDA" w:rsidRPr="004673B0" w:rsidRDefault="00461FDA" w:rsidP="00FF6D48">
      <w:pPr>
        <w:pStyle w:val="Odstavecseseznamem"/>
        <w:keepLines/>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 xml:space="preserve">Výhody, které úspory z rozsahu přinášejí, budou pravděpodobně trvat jen tak dlouho, než konkurenti vybudují stejně nebo obdobně rozsáhlou nabídku. Proto Úřad porovnává tuto dobu s časovým rámcem stanoveným pro daný trh a určuje, zda je tato doba dostatečně dlouhá na to, aby dávalo smysl toto kritérium brát v potaz. </w:t>
      </w:r>
    </w:p>
    <w:p w:rsidR="00461FDA" w:rsidRPr="004673B0" w:rsidRDefault="00461FDA" w:rsidP="00FF6D48">
      <w:pPr>
        <w:pStyle w:val="Odstavecseseznamem"/>
        <w:keepLines/>
        <w:ind w:left="0" w:right="-6"/>
        <w:rPr>
          <w:rFonts w:cs="Arial"/>
          <w:noProof w:val="0"/>
        </w:rPr>
      </w:pPr>
    </w:p>
    <w:p w:rsidR="00461FDA" w:rsidRPr="004673B0" w:rsidRDefault="00461FDA" w:rsidP="00FF6D48">
      <w:pPr>
        <w:pStyle w:val="Odstavecseseznamem"/>
        <w:keepLines/>
        <w:ind w:left="0" w:right="-6"/>
        <w:rPr>
          <w:noProof w:val="0"/>
        </w:rPr>
      </w:pPr>
      <w:r w:rsidRPr="004673B0">
        <w:rPr>
          <w:rFonts w:cs="Arial"/>
          <w:noProof w:val="0"/>
        </w:rPr>
        <w:t>Při hodnocení úspor z rozsahu Úřad zvažuje zejména faktory související s podílem na trhu a velikostí podnikatelského subjektu, existencí/tvorbou balíčků služeb a strukturou nákladů.</w:t>
      </w:r>
    </w:p>
    <w:p w:rsidR="00461FDA" w:rsidRPr="004673B0" w:rsidRDefault="00461FDA" w:rsidP="00FF6D48">
      <w:pPr>
        <w:pStyle w:val="Nadpis4"/>
        <w:keepNext w:val="0"/>
        <w:numPr>
          <w:ilvl w:val="0"/>
          <w:numId w:val="36"/>
        </w:numPr>
        <w:ind w:right="-6" w:hanging="218"/>
        <w:rPr>
          <w:noProof w:val="0"/>
        </w:rPr>
      </w:pPr>
      <w:r w:rsidRPr="004673B0">
        <w:rPr>
          <w:noProof w:val="0"/>
        </w:rPr>
        <w:t>Úspory z</w:t>
      </w:r>
      <w:r w:rsidR="00826D46" w:rsidRPr="004673B0">
        <w:rPr>
          <w:noProof w:val="0"/>
        </w:rPr>
        <w:t>e</w:t>
      </w:r>
      <w:r w:rsidRPr="004673B0">
        <w:rPr>
          <w:noProof w:val="0"/>
        </w:rPr>
        <w:t xml:space="preserve"> sortimentu</w:t>
      </w:r>
    </w:p>
    <w:p w:rsidR="00461FDA" w:rsidRPr="004673B0" w:rsidRDefault="00461FDA" w:rsidP="00FF6D48">
      <w:pPr>
        <w:pStyle w:val="Odstavecseseznamem"/>
        <w:keepLines/>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Úspory ze sortimentu znamenají nižší jednotkové náklady v důsledku výroby, respektive poskytování širokého sortimentu produktů nebo služeb pomocí (částečně) sdílených zdrojů. To může dotčenému podniku umožnit jednat nezávisle na konkurentech, kteří nenabízejí podobně široký sortiment produktů nebo služeb.</w:t>
      </w:r>
    </w:p>
    <w:p w:rsidR="00461FDA" w:rsidRPr="004673B0" w:rsidRDefault="00461FDA" w:rsidP="00FF6D48">
      <w:pPr>
        <w:pStyle w:val="Odstavecseseznamem"/>
        <w:keepLines/>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461FDA" w:rsidRPr="004673B0" w:rsidRDefault="00461FDA" w:rsidP="00FF6D48">
      <w:pPr>
        <w:pStyle w:val="Odstavecseseznamem"/>
        <w:keepLines/>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 xml:space="preserve">Úspory ze sortimentu umožní získat v porovnání s menším konkurentem stejnou ziskovou marži při nižší ceně pro zákazníka. Výhody, které úspory ze sortimentu přinášejí, budou pravděpodobně trvat jen tak dlouho, než konkurenční provozovatel vybuduje stejně různorodou nabídku. </w:t>
      </w:r>
    </w:p>
    <w:p w:rsidR="00461FDA" w:rsidRPr="004673B0" w:rsidRDefault="00461FDA" w:rsidP="00FF6D48">
      <w:pPr>
        <w:pStyle w:val="Odstavecseseznamem"/>
        <w:keepLines/>
        <w:ind w:left="0" w:right="-6"/>
        <w:rPr>
          <w:rFonts w:cs="Arial"/>
          <w:noProof w:val="0"/>
        </w:rPr>
      </w:pPr>
    </w:p>
    <w:p w:rsidR="00461FDA" w:rsidRPr="004673B0" w:rsidRDefault="00461FDA" w:rsidP="00FF6D48">
      <w:pPr>
        <w:pStyle w:val="Odstavecseseznamem"/>
        <w:keepLines/>
        <w:ind w:left="0" w:right="-6"/>
        <w:rPr>
          <w:noProof w:val="0"/>
        </w:rPr>
      </w:pPr>
      <w:r w:rsidRPr="004673B0">
        <w:rPr>
          <w:rFonts w:cs="Arial"/>
          <w:noProof w:val="0"/>
        </w:rPr>
        <w:t>Pro posouzení úspor ze sortimentu Úřad zkoumá zejména faktory souvis</w:t>
      </w:r>
      <w:r w:rsidR="00B30F8A" w:rsidRPr="004673B0">
        <w:rPr>
          <w:rFonts w:cs="Arial"/>
          <w:noProof w:val="0"/>
        </w:rPr>
        <w:t>ející s podílem na trhu a </w:t>
      </w:r>
      <w:r w:rsidRPr="004673B0">
        <w:rPr>
          <w:rFonts w:cs="Arial"/>
          <w:noProof w:val="0"/>
        </w:rPr>
        <w:t>velikostí podnikatelského subjektu a s existencí/tvorbou balíčků služeb.</w:t>
      </w:r>
    </w:p>
    <w:p w:rsidR="00461FDA" w:rsidRPr="004673B0" w:rsidRDefault="00461FDA" w:rsidP="00FF6D48">
      <w:pPr>
        <w:pStyle w:val="Nadpis4"/>
        <w:keepNext w:val="0"/>
        <w:numPr>
          <w:ilvl w:val="0"/>
          <w:numId w:val="36"/>
        </w:numPr>
        <w:ind w:left="284" w:right="-6" w:firstLine="0"/>
        <w:rPr>
          <w:noProof w:val="0"/>
        </w:rPr>
      </w:pPr>
      <w:r w:rsidRPr="004673B0">
        <w:rPr>
          <w:noProof w:val="0"/>
        </w:rPr>
        <w:t>Vertikální integrace</w:t>
      </w:r>
    </w:p>
    <w:p w:rsidR="00461FDA" w:rsidRPr="004673B0" w:rsidRDefault="00461FDA" w:rsidP="00FF6D48">
      <w:pPr>
        <w:pStyle w:val="Odstavecseseznamem"/>
        <w:keepLines/>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Jestliže podnik poskytuje celou řadu produktů na různých úrovních celého tržního řetězce, tj. produkt nebo službu a zároveň jeho velkoobchodní vstupy, Úřad zkoumá, zda je takový podnik schopen jednat nezávisle na svých konkurentech, kteří působí pouze na maloobchodní nebo velkoobchodní úrovni.</w:t>
      </w:r>
    </w:p>
    <w:p w:rsidR="00461FDA" w:rsidRPr="004673B0" w:rsidRDefault="00461FDA" w:rsidP="00FF6D48">
      <w:pPr>
        <w:pStyle w:val="Odstavecseseznamem"/>
        <w:keepLines/>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461FDA" w:rsidRPr="004673B0" w:rsidRDefault="00461FDA" w:rsidP="00FF6D48">
      <w:pPr>
        <w:pStyle w:val="Odstavecseseznamem"/>
        <w:keepLines/>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 xml:space="preserve">Pro posouzení vertikální integrace Úřad zkoumá zejména strukturální, kontrolní a řídící vztahy </w:t>
      </w:r>
      <w:r w:rsidR="005B1B96" w:rsidRPr="004673B0">
        <w:rPr>
          <w:rFonts w:cs="Arial"/>
          <w:noProof w:val="0"/>
        </w:rPr>
        <w:t xml:space="preserve">mezi jednotlivými částmi podniku </w:t>
      </w:r>
      <w:r w:rsidRPr="004673B0">
        <w:rPr>
          <w:rFonts w:cs="Arial"/>
          <w:noProof w:val="0"/>
        </w:rPr>
        <w:t>působící</w:t>
      </w:r>
      <w:r w:rsidR="007C1052" w:rsidRPr="004673B0">
        <w:rPr>
          <w:rFonts w:cs="Arial"/>
          <w:noProof w:val="0"/>
        </w:rPr>
        <w:t>mi</w:t>
      </w:r>
      <w:r w:rsidRPr="004673B0">
        <w:rPr>
          <w:rFonts w:cs="Arial"/>
          <w:noProof w:val="0"/>
        </w:rPr>
        <w:t xml:space="preserve"> na stejném trhu či na podřazených/nadřazených trzích. Úřad při hodnocení vertikální integrace přihlédne ke všem okolnostem, hist</w:t>
      </w:r>
      <w:r w:rsidR="00B30F8A" w:rsidRPr="004673B0">
        <w:rPr>
          <w:rFonts w:cs="Arial"/>
          <w:noProof w:val="0"/>
        </w:rPr>
        <w:t>orickému a očekávanému vývoji a </w:t>
      </w:r>
      <w:r w:rsidRPr="004673B0">
        <w:rPr>
          <w:rFonts w:cs="Arial"/>
          <w:noProof w:val="0"/>
        </w:rPr>
        <w:t xml:space="preserve">dalším faktorům, které mohou mít vliv na skutečnou situaci na trhu. </w:t>
      </w:r>
    </w:p>
    <w:p w:rsidR="00461FDA" w:rsidRPr="004673B0" w:rsidRDefault="00461FDA" w:rsidP="00FF6D48">
      <w:pPr>
        <w:pStyle w:val="Nadpis4"/>
        <w:keepNext w:val="0"/>
        <w:numPr>
          <w:ilvl w:val="0"/>
          <w:numId w:val="36"/>
        </w:numPr>
        <w:ind w:right="-6" w:hanging="218"/>
        <w:rPr>
          <w:noProof w:val="0"/>
        </w:rPr>
      </w:pPr>
      <w:r w:rsidRPr="004673B0">
        <w:rPr>
          <w:noProof w:val="0"/>
        </w:rPr>
        <w:t>Vysoce rozvinutá distribuční a prodejní síť</w:t>
      </w:r>
    </w:p>
    <w:p w:rsidR="00461FDA" w:rsidRPr="004673B0" w:rsidRDefault="00461FDA" w:rsidP="00FF6D48">
      <w:pPr>
        <w:pStyle w:val="Nadpis4"/>
        <w:keepNext w:val="0"/>
        <w:numPr>
          <w:ilvl w:val="0"/>
          <w:numId w:val="0"/>
        </w:numPr>
        <w:ind w:right="-6"/>
        <w:rPr>
          <w:rFonts w:cs="Arial"/>
          <w:noProof w:val="0"/>
        </w:rPr>
      </w:pPr>
      <w:r w:rsidRPr="004673B0">
        <w:rPr>
          <w:rFonts w:cs="Arial"/>
          <w:noProof w:val="0"/>
        </w:rPr>
        <w:t xml:space="preserve">Úřad zkoumá, zda rozvinuté prodejní a distribuční kanály jednoho či více subjektů na relevantním trhu působí jako překážka vstupu na trh a mohou jim umožnit jednání </w:t>
      </w:r>
      <w:r w:rsidR="00990502" w:rsidRPr="004673B0">
        <w:rPr>
          <w:rFonts w:cs="Arial"/>
          <w:noProof w:val="0"/>
        </w:rPr>
        <w:t>nezávislé na konkurentech</w:t>
      </w:r>
      <w:r w:rsidRPr="004673B0">
        <w:rPr>
          <w:rFonts w:cs="Arial"/>
          <w:noProof w:val="0"/>
        </w:rPr>
        <w:t>, kteří tyto sítě nemají (tj. kteří mají omezenou nebo vůbec žádnou trasu na trh), a pro které by bylo velmi těžké a nákladné je získat či vybudovat. V této souvislosti může Úřad zkoumat i další relevantní faktory, například schopnost rozvíjet a podporovat identitu své značky.</w:t>
      </w:r>
    </w:p>
    <w:p w:rsidR="0015103A" w:rsidRPr="004673B0" w:rsidRDefault="0015103A" w:rsidP="00FF6D48">
      <w:pPr>
        <w:pStyle w:val="Nadpis4"/>
        <w:keepNext w:val="0"/>
        <w:numPr>
          <w:ilvl w:val="0"/>
          <w:numId w:val="36"/>
        </w:numPr>
        <w:ind w:right="-6"/>
        <w:rPr>
          <w:noProof w:val="0"/>
        </w:rPr>
      </w:pPr>
      <w:r w:rsidRPr="004673B0">
        <w:rPr>
          <w:noProof w:val="0"/>
        </w:rPr>
        <w:t>Ceny a ziskovost</w:t>
      </w:r>
    </w:p>
    <w:p w:rsidR="0015103A" w:rsidRPr="004673B0" w:rsidRDefault="0015103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 xml:space="preserve">Soustavně vysoké ceny v porovnání s ostatními konkurenty (a </w:t>
      </w:r>
      <w:r w:rsidRPr="004673B0" w:rsidDel="0007290E">
        <w:rPr>
          <w:rFonts w:cs="Arial"/>
          <w:noProof w:val="0"/>
        </w:rPr>
        <w:t xml:space="preserve">dalšími </w:t>
      </w:r>
      <w:r w:rsidRPr="004673B0">
        <w:rPr>
          <w:rFonts w:cs="Arial"/>
          <w:noProof w:val="0"/>
        </w:rPr>
        <w:t xml:space="preserve">jinými </w:t>
      </w:r>
      <w:r w:rsidRPr="004673B0" w:rsidDel="0007290E">
        <w:rPr>
          <w:rFonts w:cs="Arial"/>
          <w:noProof w:val="0"/>
        </w:rPr>
        <w:t xml:space="preserve">vnitrostátními </w:t>
      </w:r>
      <w:r w:rsidRPr="004673B0">
        <w:rPr>
          <w:rFonts w:cs="Arial"/>
          <w:noProof w:val="0"/>
        </w:rPr>
        <w:t>územními trhy) mohou naznačovat existenci významné tržní síly.</w:t>
      </w:r>
    </w:p>
    <w:p w:rsidR="0015103A" w:rsidRPr="004673B0" w:rsidRDefault="0015103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15103A" w:rsidRPr="004673B0" w:rsidRDefault="0015103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Úřad zvažuje, zda ceny služeb, které jsou drženy vysoko, je možné zdůvodnit inovační aktivitou či prémiovými službami (servisem).</w:t>
      </w:r>
    </w:p>
    <w:p w:rsidR="0015103A" w:rsidRPr="004673B0" w:rsidRDefault="0015103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15103A" w:rsidRPr="004673B0" w:rsidRDefault="0015103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Jestliže ziskovost je výrazně vyšší než obvyklá, Úřad zkoumá, zda se jedná o ukazatel podporující existenci významné tržní síly.</w:t>
      </w:r>
    </w:p>
    <w:p w:rsidR="0015103A" w:rsidRPr="004673B0" w:rsidRDefault="0015103A" w:rsidP="00FF6D48">
      <w:pPr>
        <w:pStyle w:val="N4"/>
        <w:keepNext w:val="0"/>
        <w:rPr>
          <w:noProof w:val="0"/>
        </w:rPr>
      </w:pPr>
      <w:bookmarkStart w:id="224" w:name="_Toc440374090"/>
      <w:r w:rsidRPr="004673B0">
        <w:rPr>
          <w:noProof w:val="0"/>
        </w:rPr>
        <w:t>Kritéria týkající se zákazníků</w:t>
      </w:r>
      <w:bookmarkEnd w:id="224"/>
      <w:r w:rsidRPr="004673B0">
        <w:rPr>
          <w:noProof w:val="0"/>
        </w:rPr>
        <w:t xml:space="preserve"> </w:t>
      </w:r>
    </w:p>
    <w:p w:rsidR="0015103A" w:rsidRPr="004673B0" w:rsidRDefault="0015103A" w:rsidP="00FF6D48">
      <w:pPr>
        <w:pStyle w:val="Nadpis4"/>
        <w:keepNext w:val="0"/>
        <w:numPr>
          <w:ilvl w:val="0"/>
          <w:numId w:val="39"/>
        </w:numPr>
        <w:ind w:left="567" w:right="-6" w:hanging="141"/>
        <w:rPr>
          <w:noProof w:val="0"/>
        </w:rPr>
      </w:pPr>
      <w:r w:rsidRPr="004673B0">
        <w:rPr>
          <w:noProof w:val="0"/>
        </w:rPr>
        <w:t>Úplná absence nebo nízká úroveň kupní síly na straně poptávky</w:t>
      </w:r>
    </w:p>
    <w:p w:rsidR="0015103A" w:rsidRPr="004673B0" w:rsidRDefault="0015103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 xml:space="preserve">Nemají-li zákazníci dostatečně silnou vyjednávací pozici, aby mohli přejít k jinému poskytovateli služeb/produktů nebo přechodem alespoň pohrozit, může si poskytovatel vybudovat nebo udržovat významnou tržní sílu. Důvodů pro nedostatečnou vyjednávací pozici může být několik, zejména skutečnost (nebo domnělá skutečnost), že nemají možnost věrohodné alternativy. Vyjednávací pozice se naopak zlepšuje v případě, že zákazník odebírá velkou část produkce daného poskytovatele. </w:t>
      </w:r>
    </w:p>
    <w:p w:rsidR="0015103A" w:rsidRPr="004673B0" w:rsidRDefault="0015103A" w:rsidP="00FF6D48">
      <w:pPr>
        <w:pStyle w:val="Odstavecseseznamem"/>
        <w:keepLines/>
        <w:ind w:left="0" w:right="-6"/>
        <w:rPr>
          <w:rFonts w:cs="Arial"/>
          <w:noProof w:val="0"/>
        </w:rPr>
      </w:pPr>
    </w:p>
    <w:p w:rsidR="0015103A" w:rsidRPr="004673B0" w:rsidRDefault="0015103A" w:rsidP="00FF6D48">
      <w:pPr>
        <w:pStyle w:val="Odstavecseseznamem"/>
        <w:keepLines/>
        <w:ind w:left="0" w:right="-6"/>
        <w:rPr>
          <w:rFonts w:cs="Arial"/>
          <w:noProof w:val="0"/>
        </w:rPr>
      </w:pPr>
      <w:r w:rsidRPr="004673B0">
        <w:rPr>
          <w:rFonts w:cs="Arial"/>
          <w:noProof w:val="0"/>
        </w:rPr>
        <w:t>Úřad posuzuje, zda kupní síla zákazníků je dostatečná pro omezení tržní síly poskytovatele, tj. zda je dostatečná pro to, aby zabránila poskytovateli chovat se na trhu nezávisle na svých zákaznících.</w:t>
      </w:r>
    </w:p>
    <w:p w:rsidR="001907EB" w:rsidRPr="004673B0" w:rsidRDefault="001907EB" w:rsidP="00FF6D48">
      <w:pPr>
        <w:pStyle w:val="Nadpis4"/>
        <w:keepNext w:val="0"/>
        <w:numPr>
          <w:ilvl w:val="0"/>
          <w:numId w:val="39"/>
        </w:numPr>
        <w:ind w:left="567" w:right="-6" w:hanging="141"/>
        <w:rPr>
          <w:noProof w:val="0"/>
        </w:rPr>
      </w:pPr>
      <w:r w:rsidRPr="004673B0">
        <w:rPr>
          <w:noProof w:val="0"/>
        </w:rPr>
        <w:t>Překážky a náklady na přechod k jinému poskytovateli služby</w:t>
      </w:r>
    </w:p>
    <w:p w:rsidR="001907EB" w:rsidRPr="004673B0" w:rsidRDefault="001907EB"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Úřad zkoumá, zda relativní výše nákladů, které mohou vzniknout zákazníkovi při přechodu od stávajícího poskytovatele služeb k jinému, umožňuje poskytovatelům jednat nezávisle na zákaznících, protože ti mají omezenou schopnost využít služeb jiného poskytovatele.</w:t>
      </w:r>
    </w:p>
    <w:p w:rsidR="001907EB" w:rsidRPr="004673B0" w:rsidRDefault="001907EB"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1907EB" w:rsidRPr="004673B0" w:rsidRDefault="001907EB"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Úřad dále posuzuje existenci jiných překážek, které by mohly zákazníkovi</w:t>
      </w:r>
      <w:r w:rsidR="00B961F5" w:rsidRPr="004673B0">
        <w:rPr>
          <w:rStyle w:val="Znakapoznpodarou"/>
          <w:rFonts w:cs="Arial"/>
          <w:noProof w:val="0"/>
        </w:rPr>
        <w:footnoteReference w:id="107"/>
      </w:r>
      <w:r w:rsidRPr="004673B0">
        <w:rPr>
          <w:rFonts w:cs="Arial"/>
          <w:noProof w:val="0"/>
        </w:rPr>
        <w:t xml:space="preserve"> v přechodu k jinému poskytovateli zabránit, včetně omezení vyvolaných omezeními zákazníků na podřazených maloobchodních trzích (např. existence dlouhodobých smluv). </w:t>
      </w:r>
    </w:p>
    <w:p w:rsidR="001907EB" w:rsidRPr="004673B0" w:rsidRDefault="001907EB"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B961F5" w:rsidRPr="004673B0" w:rsidRDefault="001907EB"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Úřad toto kritérium zkoumá v souvislosti s kritériem úrovně kupní síly na straně poptávky, na základě kterého také hodnotí vyjednávací sílu zákazníků, resp. poskytovatelů na relevantním trhu.</w:t>
      </w:r>
    </w:p>
    <w:p w:rsidR="00B961F5" w:rsidRPr="004673B0" w:rsidRDefault="00B961F5"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p>
    <w:p w:rsidR="001907EB" w:rsidRPr="004673B0" w:rsidRDefault="00B961F5" w:rsidP="00E60029">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 xml:space="preserve">Překážky na </w:t>
      </w:r>
      <w:r w:rsidR="00FC49BF" w:rsidRPr="004673B0">
        <w:rPr>
          <w:rFonts w:cs="Arial"/>
          <w:noProof w:val="0"/>
        </w:rPr>
        <w:t>souvisejícím (podřazeném nebo nadřazeném)</w:t>
      </w:r>
      <w:r w:rsidRPr="004673B0">
        <w:rPr>
          <w:rFonts w:cs="Arial"/>
          <w:noProof w:val="0"/>
        </w:rPr>
        <w:t xml:space="preserve"> trhu </w:t>
      </w:r>
      <w:r w:rsidR="00FC49BF" w:rsidRPr="004673B0">
        <w:rPr>
          <w:rFonts w:cs="Arial"/>
          <w:noProof w:val="0"/>
        </w:rPr>
        <w:t>mohou mít</w:t>
      </w:r>
      <w:r w:rsidRPr="004673B0">
        <w:rPr>
          <w:rFonts w:cs="Arial"/>
          <w:noProof w:val="0"/>
        </w:rPr>
        <w:t xml:space="preserve"> vliv na situaci na zkoumaném</w:t>
      </w:r>
      <w:r w:rsidR="00FC49BF" w:rsidRPr="004673B0">
        <w:rPr>
          <w:rFonts w:cs="Arial"/>
          <w:noProof w:val="0"/>
        </w:rPr>
        <w:t xml:space="preserve"> relevantním</w:t>
      </w:r>
      <w:r w:rsidRPr="004673B0">
        <w:rPr>
          <w:rFonts w:cs="Arial"/>
          <w:noProof w:val="0"/>
        </w:rPr>
        <w:t xml:space="preserve"> trhu. </w:t>
      </w:r>
      <w:r w:rsidR="00FC49BF" w:rsidRPr="004673B0">
        <w:rPr>
          <w:rFonts w:cs="Arial"/>
          <w:noProof w:val="0"/>
        </w:rPr>
        <w:t>V</w:t>
      </w:r>
      <w:r w:rsidRPr="004673B0">
        <w:rPr>
          <w:rFonts w:cs="Arial"/>
          <w:noProof w:val="0"/>
        </w:rPr>
        <w:t> případě</w:t>
      </w:r>
      <w:r w:rsidR="00FC49BF" w:rsidRPr="004673B0">
        <w:rPr>
          <w:rFonts w:cs="Arial"/>
          <w:noProof w:val="0"/>
        </w:rPr>
        <w:t>, kdy</w:t>
      </w:r>
      <w:r w:rsidRPr="004673B0">
        <w:rPr>
          <w:rFonts w:cs="Arial"/>
          <w:noProof w:val="0"/>
        </w:rPr>
        <w:t xml:space="preserve"> na </w:t>
      </w:r>
      <w:r w:rsidR="00FC49BF" w:rsidRPr="004673B0">
        <w:rPr>
          <w:rFonts w:cs="Arial"/>
          <w:noProof w:val="0"/>
        </w:rPr>
        <w:t>podřazeném</w:t>
      </w:r>
      <w:r w:rsidRPr="004673B0">
        <w:rPr>
          <w:rFonts w:cs="Arial"/>
          <w:noProof w:val="0"/>
        </w:rPr>
        <w:t xml:space="preserve"> maloobchodním trhu</w:t>
      </w:r>
      <w:r w:rsidR="00FC49BF" w:rsidRPr="004673B0">
        <w:rPr>
          <w:rFonts w:cs="Arial"/>
          <w:noProof w:val="0"/>
        </w:rPr>
        <w:t xml:space="preserve"> nejsou překážky ani náklady na přechod významné pro nalezení významné tržní síly</w:t>
      </w:r>
      <w:r w:rsidRPr="004673B0">
        <w:rPr>
          <w:rFonts w:cs="Arial"/>
          <w:noProof w:val="0"/>
        </w:rPr>
        <w:t>, existence překážek na zkoumaném velkoobchodním trhu nemůže vést k</w:t>
      </w:r>
      <w:r w:rsidR="00FC49BF" w:rsidRPr="004673B0">
        <w:rPr>
          <w:rFonts w:cs="Arial"/>
          <w:noProof w:val="0"/>
        </w:rPr>
        <w:t>e zjištění </w:t>
      </w:r>
      <w:r w:rsidRPr="004673B0">
        <w:rPr>
          <w:rFonts w:cs="Arial"/>
          <w:noProof w:val="0"/>
        </w:rPr>
        <w:t>samostatné cenotvorb</w:t>
      </w:r>
      <w:r w:rsidR="00FC49BF" w:rsidRPr="004673B0">
        <w:rPr>
          <w:rFonts w:cs="Arial"/>
          <w:noProof w:val="0"/>
        </w:rPr>
        <w:t>y</w:t>
      </w:r>
      <w:r w:rsidRPr="004673B0">
        <w:rPr>
          <w:rFonts w:cs="Arial"/>
          <w:noProof w:val="0"/>
        </w:rPr>
        <w:t xml:space="preserve">. Úřad posoudí, zda překážky na </w:t>
      </w:r>
      <w:r w:rsidR="0068240A" w:rsidRPr="004673B0">
        <w:rPr>
          <w:rFonts w:cs="Arial"/>
          <w:noProof w:val="0"/>
        </w:rPr>
        <w:t xml:space="preserve">nadřazeném </w:t>
      </w:r>
      <w:r w:rsidRPr="004673B0">
        <w:rPr>
          <w:rFonts w:cs="Arial"/>
          <w:noProof w:val="0"/>
        </w:rPr>
        <w:t xml:space="preserve">či </w:t>
      </w:r>
      <w:r w:rsidR="0068240A" w:rsidRPr="004673B0">
        <w:rPr>
          <w:rFonts w:cs="Arial"/>
          <w:noProof w:val="0"/>
        </w:rPr>
        <w:t xml:space="preserve">podřazeném </w:t>
      </w:r>
      <w:r w:rsidRPr="004673B0">
        <w:rPr>
          <w:rFonts w:cs="Arial"/>
          <w:noProof w:val="0"/>
        </w:rPr>
        <w:t>trhu, resp. jejich neexistence, může mít vliv na posouzení existence významné tržní síly.</w:t>
      </w:r>
    </w:p>
    <w:p w:rsidR="0015103A" w:rsidRPr="004673B0" w:rsidRDefault="0015103A" w:rsidP="00FF6D48">
      <w:pPr>
        <w:pStyle w:val="N4"/>
        <w:keepNext w:val="0"/>
        <w:rPr>
          <w:noProof w:val="0"/>
        </w:rPr>
      </w:pPr>
      <w:bookmarkStart w:id="225" w:name="_Toc440374091"/>
      <w:r w:rsidRPr="004673B0">
        <w:rPr>
          <w:noProof w:val="0"/>
        </w:rPr>
        <w:t xml:space="preserve">Kritéria týkající se </w:t>
      </w:r>
      <w:r w:rsidRPr="004673B0">
        <w:t>konkurence</w:t>
      </w:r>
      <w:r w:rsidRPr="004673B0">
        <w:rPr>
          <w:noProof w:val="0"/>
        </w:rPr>
        <w:t xml:space="preserve"> na relevantním trhu</w:t>
      </w:r>
      <w:bookmarkEnd w:id="225"/>
    </w:p>
    <w:p w:rsidR="00461FDA" w:rsidRPr="004673B0" w:rsidRDefault="00D043E2" w:rsidP="00FF6D48">
      <w:pPr>
        <w:pStyle w:val="Nadpis4"/>
        <w:keepNext w:val="0"/>
        <w:numPr>
          <w:ilvl w:val="0"/>
          <w:numId w:val="40"/>
        </w:numPr>
        <w:ind w:right="-6"/>
        <w:rPr>
          <w:noProof w:val="0"/>
        </w:rPr>
      </w:pPr>
      <w:r w:rsidRPr="004673B0">
        <w:rPr>
          <w:noProof w:val="0"/>
        </w:rPr>
        <w:t>Absence potenciální konkurence</w:t>
      </w:r>
    </w:p>
    <w:p w:rsidR="00461FDA" w:rsidRPr="004673B0" w:rsidRDefault="00461FDA" w:rsidP="00FF6D48">
      <w:pPr>
        <w:pStyle w:val="Nadpis4"/>
        <w:keepNext w:val="0"/>
        <w:numPr>
          <w:ilvl w:val="0"/>
          <w:numId w:val="0"/>
        </w:numPr>
        <w:ind w:right="-6"/>
        <w:rPr>
          <w:rFonts w:cs="Arial"/>
          <w:noProof w:val="0"/>
        </w:rPr>
      </w:pPr>
      <w:r w:rsidRPr="004673B0">
        <w:rPr>
          <w:noProof w:val="0"/>
        </w:rPr>
        <w:t>N</w:t>
      </w:r>
      <w:r w:rsidRPr="004673B0">
        <w:rPr>
          <w:rFonts w:cs="Arial"/>
          <w:noProof w:val="0"/>
        </w:rPr>
        <w:t>eexistence potenciální konkurence nebo nových účastníků trhu může být způsobena i jinými faktory, avšak představuje silný ukazatel, že některý ze stávajících podniků může mít významnou tržní sílu. Toto kritérium je úzce svázáno s překážkami vstupu na trh; Úřad v tomto případě zkoumá, zda lze během časového horizontu posouzení očekávat vstup nových identifikovatelných účastníků trhu.</w:t>
      </w:r>
    </w:p>
    <w:p w:rsidR="00461FDA" w:rsidRPr="004673B0" w:rsidRDefault="00461FDA" w:rsidP="00FF6D48">
      <w:pPr>
        <w:pStyle w:val="Nadpis4"/>
        <w:keepNext w:val="0"/>
        <w:numPr>
          <w:ilvl w:val="0"/>
          <w:numId w:val="0"/>
        </w:numPr>
        <w:ind w:right="-6"/>
        <w:rPr>
          <w:noProof w:val="0"/>
        </w:rPr>
      </w:pPr>
      <w:r w:rsidRPr="004673B0">
        <w:rPr>
          <w:noProof w:val="0"/>
        </w:rPr>
        <w:t xml:space="preserve">Úřad zkoumá, zda existují potenciální konkurenti, kteří by mohli v případě hypotetického zvýšení ceny vstoupit na relevantní trh v časovém období, s výhledem pro které Úřad relevantní trh analyzuje. Úřad zejména zkoumá, zda existují takoví hráči, kteří by v případě zvýšení ceny byli schopní přejít na relevantní trh nebo rozšířit svou nabídku o produkty/služby patřící na relevantní trh. </w:t>
      </w:r>
    </w:p>
    <w:p w:rsidR="00461FDA" w:rsidRPr="004673B0" w:rsidRDefault="00461FDA" w:rsidP="00FF6D48">
      <w:pPr>
        <w:pStyle w:val="Nadpis4"/>
        <w:keepNext w:val="0"/>
        <w:numPr>
          <w:ilvl w:val="0"/>
          <w:numId w:val="0"/>
        </w:numPr>
        <w:ind w:right="-6"/>
        <w:rPr>
          <w:noProof w:val="0"/>
        </w:rPr>
      </w:pPr>
      <w:r w:rsidRPr="004673B0">
        <w:rPr>
          <w:noProof w:val="0"/>
        </w:rPr>
        <w:t>Úřad zkoumá chování konkurentů v minulosti, strukturální i právní překážky vstupu na trh a toto kritérium bere v úvahu společně s kritériem překážek vstupu na trh.</w:t>
      </w:r>
    </w:p>
    <w:p w:rsidR="00461FDA" w:rsidRPr="004673B0" w:rsidRDefault="00461FDA" w:rsidP="00FF6D48">
      <w:pPr>
        <w:pStyle w:val="Nadpis4"/>
        <w:keepNext w:val="0"/>
        <w:numPr>
          <w:ilvl w:val="0"/>
          <w:numId w:val="0"/>
        </w:numPr>
        <w:ind w:right="-6"/>
        <w:rPr>
          <w:noProof w:val="0"/>
        </w:rPr>
      </w:pPr>
      <w:r w:rsidRPr="004673B0">
        <w:rPr>
          <w:rFonts w:cs="Arial"/>
          <w:noProof w:val="0"/>
        </w:rPr>
        <w:t>Úřad zvažuje i další překážky vstupu/růstu, zejména výhodný přístup k infrastruktuře a rádiovému spektru, strategické překážky jako diskriminační ceny stanovené zavedenými provozovateli, vertikální nebo horizontální pákový efekt</w:t>
      </w:r>
      <w:r w:rsidR="00B961F5" w:rsidRPr="004673B0">
        <w:rPr>
          <w:rFonts w:cs="Arial"/>
          <w:noProof w:val="0"/>
        </w:rPr>
        <w:t xml:space="preserve"> při přenášení tržní síly</w:t>
      </w:r>
      <w:r w:rsidRPr="004673B0">
        <w:rPr>
          <w:rFonts w:cs="Arial"/>
          <w:noProof w:val="0"/>
        </w:rPr>
        <w:t xml:space="preserve"> na trh nebo utopené náklady.</w:t>
      </w:r>
    </w:p>
    <w:p w:rsidR="00461FDA" w:rsidRPr="004673B0" w:rsidRDefault="00461FDA" w:rsidP="00FF6D48">
      <w:pPr>
        <w:pStyle w:val="Nadpis4"/>
        <w:keepNext w:val="0"/>
        <w:numPr>
          <w:ilvl w:val="0"/>
          <w:numId w:val="40"/>
        </w:numPr>
        <w:ind w:right="-6"/>
        <w:rPr>
          <w:noProof w:val="0"/>
        </w:rPr>
      </w:pPr>
      <w:r w:rsidRPr="004673B0">
        <w:rPr>
          <w:noProof w:val="0"/>
        </w:rPr>
        <w:t xml:space="preserve">Překážky růstu </w:t>
      </w:r>
    </w:p>
    <w:p w:rsidR="00461FDA" w:rsidRPr="004673B0" w:rsidRDefault="00461FDA" w:rsidP="00FF6D48">
      <w:pPr>
        <w:pStyle w:val="Nadpis4"/>
        <w:keepNext w:val="0"/>
        <w:numPr>
          <w:ilvl w:val="0"/>
          <w:numId w:val="0"/>
        </w:numPr>
        <w:ind w:right="-6"/>
        <w:rPr>
          <w:noProof w:val="0"/>
        </w:rPr>
      </w:pPr>
      <w:r w:rsidRPr="004673B0">
        <w:rPr>
          <w:noProof w:val="0"/>
        </w:rPr>
        <w:t xml:space="preserve">Na trzích s nižšími překážkami pro vstup i pro růst je zpravidla vyšší úroveň hospodářské soutěže. Úřad zkoumá, zda je relevantní trh dostatečně flexibilní a v takovém stádiu rozvoje, že je na trhu prostor pro růst. V případě rozvíjejících se trhů Úřad vždy pečlivě posoudí existenci významné tržní síly s ohledem na očekávaný vývoj v časovém rámci pro konkrétní analýzu trhu. </w:t>
      </w:r>
    </w:p>
    <w:p w:rsidR="00461FDA" w:rsidRPr="004673B0" w:rsidRDefault="00461FDA" w:rsidP="00FF6D48">
      <w:pPr>
        <w:pStyle w:val="Nadpis4"/>
        <w:keepNext w:val="0"/>
        <w:numPr>
          <w:ilvl w:val="0"/>
          <w:numId w:val="40"/>
        </w:numPr>
        <w:ind w:right="-6"/>
        <w:rPr>
          <w:noProof w:val="0"/>
        </w:rPr>
      </w:pPr>
      <w:r w:rsidRPr="004673B0">
        <w:rPr>
          <w:noProof w:val="0"/>
        </w:rPr>
        <w:t>Překážky vstupu na relevantní trh</w:t>
      </w:r>
    </w:p>
    <w:p w:rsidR="00461FDA" w:rsidRPr="004673B0" w:rsidRDefault="00461FDA" w:rsidP="00FF6D48">
      <w:pPr>
        <w:pStyle w:val="Nadpis4"/>
        <w:keepNext w:val="0"/>
        <w:numPr>
          <w:ilvl w:val="0"/>
          <w:numId w:val="0"/>
        </w:numPr>
        <w:ind w:right="-6"/>
        <w:rPr>
          <w:noProof w:val="0"/>
        </w:rPr>
      </w:pPr>
      <w:r w:rsidRPr="004673B0">
        <w:rPr>
          <w:noProof w:val="0"/>
        </w:rPr>
        <w:t xml:space="preserve">Úřad zkoumá, zda mají na úroveň hospodářské soutěže na dotčeném relevantním trhu vliv zvýšené překážky vstupu (právní, ekonomické a další). Na trzích s vysokými překážkami vstupu nejsou stávající poskytovatelé služeb ohrožení vstupem </w:t>
      </w:r>
      <w:r w:rsidR="00990502" w:rsidRPr="004673B0">
        <w:rPr>
          <w:noProof w:val="0"/>
        </w:rPr>
        <w:t xml:space="preserve">dalších </w:t>
      </w:r>
      <w:r w:rsidRPr="004673B0">
        <w:rPr>
          <w:noProof w:val="0"/>
        </w:rPr>
        <w:t xml:space="preserve">konkurentů a mohou zvýšit ceny. Výše utopených nákladů je dobrým indikátorem pro posouzení přiměřenosti překážek vstupu. </w:t>
      </w:r>
    </w:p>
    <w:p w:rsidR="00461FDA" w:rsidRPr="004673B0" w:rsidRDefault="00461FDA" w:rsidP="00FF6D48">
      <w:pPr>
        <w:pStyle w:val="Nadpis4"/>
        <w:keepNext w:val="0"/>
        <w:numPr>
          <w:ilvl w:val="0"/>
          <w:numId w:val="0"/>
        </w:numPr>
        <w:ind w:right="-6"/>
        <w:rPr>
          <w:noProof w:val="0"/>
        </w:rPr>
      </w:pPr>
      <w:r w:rsidRPr="004673B0">
        <w:rPr>
          <w:noProof w:val="0"/>
        </w:rPr>
        <w:t xml:space="preserve">Úřad posoudí strukturální, historické, cenové a další vlastnosti relevantního trhu. </w:t>
      </w:r>
    </w:p>
    <w:p w:rsidR="00461FDA" w:rsidRPr="004673B0" w:rsidRDefault="00461FDA" w:rsidP="00FF6D48">
      <w:pPr>
        <w:pStyle w:val="Nadpis4"/>
        <w:keepNext w:val="0"/>
        <w:numPr>
          <w:ilvl w:val="0"/>
          <w:numId w:val="40"/>
        </w:numPr>
        <w:ind w:right="-6"/>
        <w:rPr>
          <w:noProof w:val="0"/>
        </w:rPr>
      </w:pPr>
      <w:r w:rsidRPr="004673B0">
        <w:rPr>
          <w:noProof w:val="0"/>
        </w:rPr>
        <w:t xml:space="preserve">Mezinárodní benchmark </w:t>
      </w:r>
    </w:p>
    <w:p w:rsidR="00990502" w:rsidRPr="004673B0" w:rsidRDefault="00461FDA" w:rsidP="00FF6D48">
      <w:pPr>
        <w:pStyle w:val="Nadpis4"/>
        <w:keepNext w:val="0"/>
        <w:numPr>
          <w:ilvl w:val="0"/>
          <w:numId w:val="0"/>
        </w:numPr>
        <w:ind w:right="-6"/>
        <w:rPr>
          <w:noProof w:val="0"/>
        </w:rPr>
      </w:pPr>
      <w:r w:rsidRPr="004673B0">
        <w:rPr>
          <w:noProof w:val="0"/>
        </w:rPr>
        <w:t>Pokud je to vhodné a pokud má Úřad k dispozici věrohodné vstupní údaje,</w:t>
      </w:r>
      <w:r w:rsidR="00B06607" w:rsidRPr="004673B0">
        <w:rPr>
          <w:noProof w:val="0"/>
        </w:rPr>
        <w:t xml:space="preserve"> </w:t>
      </w:r>
      <w:r w:rsidRPr="004673B0">
        <w:rPr>
          <w:noProof w:val="0"/>
        </w:rPr>
        <w:t>porovn</w:t>
      </w:r>
      <w:r w:rsidRPr="004673B0" w:rsidDel="0007290E">
        <w:rPr>
          <w:noProof w:val="0"/>
        </w:rPr>
        <w:t>á</w:t>
      </w:r>
      <w:r w:rsidRPr="004673B0">
        <w:rPr>
          <w:noProof w:val="0"/>
        </w:rPr>
        <w:t xml:space="preserve"> výsledky vyhodnocení jednotlivých kritérií se situací na trhu ve srovnatelných ekonomikách. Úřad při porovnání výsledků </w:t>
      </w:r>
      <w:r w:rsidRPr="004673B0" w:rsidDel="00363FC5">
        <w:rPr>
          <w:noProof w:val="0"/>
        </w:rPr>
        <w:t xml:space="preserve">vždy </w:t>
      </w:r>
      <w:r w:rsidRPr="004673B0">
        <w:rPr>
          <w:noProof w:val="0"/>
        </w:rPr>
        <w:t xml:space="preserve">bere v úvahu existenci významné tržní síly na jednotlivých trzích a své výsledky vyhodnotí s ohledem na tuto skutečnost. </w:t>
      </w:r>
    </w:p>
    <w:p w:rsidR="00461FDA" w:rsidRPr="004673B0" w:rsidRDefault="00461FDA" w:rsidP="00FF6D48">
      <w:pPr>
        <w:pStyle w:val="N3"/>
        <w:keepNext w:val="0"/>
        <w:keepLines/>
      </w:pPr>
      <w:bookmarkStart w:id="226" w:name="_Ref433024850"/>
      <w:bookmarkStart w:id="227" w:name="_Toc440374092"/>
      <w:r w:rsidRPr="004673B0">
        <w:t>Jednotlivá kritéria vhodná k posouzení společné významné tržní síly</w:t>
      </w:r>
      <w:bookmarkEnd w:id="226"/>
      <w:bookmarkEnd w:id="227"/>
    </w:p>
    <w:p w:rsidR="00461FDA" w:rsidRPr="004673B0" w:rsidRDefault="00461FDA" w:rsidP="00FF6D48">
      <w:pPr>
        <w:pStyle w:val="Nadpis4"/>
        <w:keepNext w:val="0"/>
        <w:numPr>
          <w:ilvl w:val="0"/>
          <w:numId w:val="0"/>
        </w:numPr>
        <w:ind w:right="-6"/>
        <w:rPr>
          <w:noProof w:val="0"/>
        </w:rPr>
      </w:pPr>
      <w:r w:rsidRPr="004673B0">
        <w:rPr>
          <w:noProof w:val="0"/>
        </w:rPr>
        <w:t xml:space="preserve">Úřad při posuzování společné významné tržní síly vždy bere v úvahu ta kritéria, která jsou relevantní ve vztahu k dotčeným podnikům a trhu. Úřad </w:t>
      </w:r>
      <w:r w:rsidR="00AF0531" w:rsidRPr="004673B0">
        <w:rPr>
          <w:noProof w:val="0"/>
        </w:rPr>
        <w:t>nečiní</w:t>
      </w:r>
      <w:r w:rsidRPr="004673B0">
        <w:rPr>
          <w:noProof w:val="0"/>
        </w:rPr>
        <w:t xml:space="preserve"> závěry o (ne)existenci společné významné tržní síly na základě </w:t>
      </w:r>
      <w:r w:rsidRPr="004673B0">
        <w:rPr>
          <w:bCs w:val="0"/>
          <w:iCs w:val="0"/>
          <w:noProof w:val="0"/>
        </w:rPr>
        <w:t>jediného kritéria (např</w:t>
      </w:r>
      <w:r w:rsidR="00D043E2" w:rsidRPr="004673B0">
        <w:rPr>
          <w:bCs w:val="0"/>
          <w:iCs w:val="0"/>
          <w:noProof w:val="0"/>
        </w:rPr>
        <w:t xml:space="preserve">. počet subjektů na trhu), ale </w:t>
      </w:r>
      <w:r w:rsidRPr="004673B0">
        <w:rPr>
          <w:bCs w:val="0"/>
          <w:iCs w:val="0"/>
          <w:noProof w:val="0"/>
        </w:rPr>
        <w:t>na základě závěrů plynoucích z vícera kritérií</w:t>
      </w:r>
      <w:r w:rsidRPr="004673B0">
        <w:rPr>
          <w:noProof w:val="0"/>
        </w:rPr>
        <w:t xml:space="preserve">, jejichž vyhodnocení poskytuje dostatečné důkazy o existenci společné významné tržní síly. Úřad kromě kritérií, která jsou stanovena v příloze č. II rámcové směrnice, Pokynech Komise či Vyhlášce vždy </w:t>
      </w:r>
      <w:r w:rsidRPr="004673B0">
        <w:t>musí společnou významnou tržní sílu posoudit také z pohledu závěrů judikatury SDEU a rozhodovací praxe Komise</w:t>
      </w:r>
      <w:r w:rsidRPr="004673B0">
        <w:rPr>
          <w:bCs w:val="0"/>
          <w:iCs w:val="0"/>
          <w:noProof w:val="0"/>
        </w:rPr>
        <w:t>.</w:t>
      </w:r>
      <w:r w:rsidRPr="004673B0">
        <w:rPr>
          <w:rStyle w:val="Znakapoznpodarou"/>
          <w:noProof w:val="0"/>
        </w:rPr>
        <w:footnoteReference w:id="108"/>
      </w:r>
    </w:p>
    <w:p w:rsidR="00461FDA" w:rsidRPr="004673B0" w:rsidRDefault="00461FDA" w:rsidP="00FF6D48">
      <w:pPr>
        <w:pStyle w:val="N4"/>
        <w:keepNext w:val="0"/>
      </w:pPr>
      <w:bookmarkStart w:id="228" w:name="_Toc440374093"/>
      <w:r w:rsidRPr="004673B0">
        <w:t>Vztah mezi kritérii pro posouzení samostatné a společné tržní síly</w:t>
      </w:r>
      <w:bookmarkEnd w:id="228"/>
    </w:p>
    <w:p w:rsidR="00461FDA" w:rsidRPr="004673B0" w:rsidRDefault="00461FDA" w:rsidP="00FF6D48">
      <w:pPr>
        <w:pStyle w:val="Nadpis4"/>
        <w:keepNext w:val="0"/>
        <w:numPr>
          <w:ilvl w:val="0"/>
          <w:numId w:val="0"/>
        </w:numPr>
        <w:ind w:right="-6"/>
        <w:rPr>
          <w:rFonts w:cs="Arial"/>
          <w:i/>
          <w:noProof w:val="0"/>
        </w:rPr>
      </w:pPr>
      <w:r w:rsidRPr="004673B0">
        <w:rPr>
          <w:rFonts w:cs="Arial"/>
          <w:noProof w:val="0"/>
        </w:rPr>
        <w:t>Společnou významnou tržní silou se rozumí společné obsazení dominantní pozice dvěma nebo více subjekty</w:t>
      </w:r>
      <w:r w:rsidR="008B4721" w:rsidRPr="004673B0">
        <w:rPr>
          <w:rFonts w:cs="Arial"/>
          <w:noProof w:val="0"/>
        </w:rPr>
        <w:t xml:space="preserve"> dle § 53 odst. 3 Zákona</w:t>
      </w:r>
      <w:r w:rsidRPr="004673B0">
        <w:rPr>
          <w:rFonts w:cs="Arial"/>
          <w:noProof w:val="0"/>
        </w:rPr>
        <w:t xml:space="preserve">. Pro Úřad jsou rozhodující také kritéria užívaná k vyhodnocení samostatné významné tržní síly. Je to zejména kritérium </w:t>
      </w:r>
      <w:r w:rsidRPr="004673B0">
        <w:rPr>
          <w:rFonts w:cs="Arial"/>
          <w:i/>
          <w:noProof w:val="0"/>
        </w:rPr>
        <w:t>překážky vstupu na trh</w:t>
      </w:r>
      <w:r w:rsidRPr="004673B0">
        <w:rPr>
          <w:rFonts w:cs="Arial"/>
          <w:noProof w:val="0"/>
        </w:rPr>
        <w:t xml:space="preserve">, </w:t>
      </w:r>
      <w:r w:rsidRPr="004673B0">
        <w:rPr>
          <w:rFonts w:cs="Arial"/>
          <w:i/>
          <w:noProof w:val="0"/>
        </w:rPr>
        <w:t>nedostatečná kupní síla na straně poptávky a</w:t>
      </w:r>
      <w:r w:rsidRPr="004673B0">
        <w:rPr>
          <w:rFonts w:cs="Arial"/>
          <w:noProof w:val="0"/>
        </w:rPr>
        <w:t xml:space="preserve"> </w:t>
      </w:r>
      <w:r w:rsidRPr="004673B0">
        <w:rPr>
          <w:rFonts w:cs="Arial"/>
          <w:i/>
          <w:noProof w:val="0"/>
        </w:rPr>
        <w:t>neexistující potenciální konkurence.</w:t>
      </w:r>
    </w:p>
    <w:p w:rsidR="00461FDA" w:rsidRPr="004673B0" w:rsidRDefault="00461FDA" w:rsidP="00FF6D48">
      <w:pPr>
        <w:pStyle w:val="N4"/>
        <w:keepNext w:val="0"/>
        <w:rPr>
          <w:i/>
        </w:rPr>
      </w:pPr>
      <w:bookmarkStart w:id="229" w:name="_Toc440374094"/>
      <w:r w:rsidRPr="004673B0">
        <w:t xml:space="preserve">Kritéria vyplývající z rozhodnutí SDEU ve věci </w:t>
      </w:r>
      <w:r w:rsidRPr="004673B0">
        <w:rPr>
          <w:i/>
        </w:rPr>
        <w:t xml:space="preserve">Airtours - </w:t>
      </w:r>
      <w:r w:rsidRPr="004673B0">
        <w:t>obecně</w:t>
      </w:r>
      <w:bookmarkEnd w:id="229"/>
    </w:p>
    <w:p w:rsidR="00461FDA" w:rsidRPr="004673B0" w:rsidRDefault="00461FDA" w:rsidP="00FF6D48">
      <w:pPr>
        <w:keepLines/>
        <w:spacing w:before="200"/>
        <w:ind w:right="-6"/>
        <w:rPr>
          <w:rFonts w:cs="Arial"/>
          <w:noProof w:val="0"/>
          <w:szCs w:val="20"/>
        </w:rPr>
      </w:pPr>
      <w:r w:rsidRPr="004673B0">
        <w:rPr>
          <w:rFonts w:cs="Arial"/>
          <w:noProof w:val="0"/>
          <w:szCs w:val="20"/>
        </w:rPr>
        <w:t xml:space="preserve">Při posouzení, zda na dotčeném trhu disponují společnou významnou tržní silou podniky, mezi kterými neexistují strukturální nebo podobné vazby, Úřad v první řadě zkoumá, zda jsou splněna kritéria stanovená rozhodovací praxí SDEU a Komise, a to konkrétně, že: </w:t>
      </w:r>
    </w:p>
    <w:p w:rsidR="00461FDA" w:rsidRPr="004673B0" w:rsidRDefault="00AF0531" w:rsidP="00FF6D48">
      <w:pPr>
        <w:pStyle w:val="Nadpis4"/>
        <w:keepNext w:val="0"/>
        <w:numPr>
          <w:ilvl w:val="0"/>
          <w:numId w:val="20"/>
        </w:numPr>
        <w:ind w:right="-6"/>
        <w:rPr>
          <w:noProof w:val="0"/>
        </w:rPr>
      </w:pPr>
      <w:r w:rsidRPr="004673B0">
        <w:rPr>
          <w:noProof w:val="0"/>
        </w:rPr>
        <w:t>trh je způsobilý k tomu, aby na něm došlo k tacitní koluzi mezi účastníky trhu</w:t>
      </w:r>
      <w:r w:rsidR="00461FDA" w:rsidRPr="004673B0">
        <w:rPr>
          <w:noProof w:val="0"/>
        </w:rPr>
        <w:t xml:space="preserve">, </w:t>
      </w:r>
    </w:p>
    <w:p w:rsidR="00461FDA" w:rsidRPr="004673B0" w:rsidRDefault="00461FDA" w:rsidP="00FF6D48">
      <w:pPr>
        <w:pStyle w:val="Nadpis4"/>
        <w:keepNext w:val="0"/>
        <w:numPr>
          <w:ilvl w:val="0"/>
          <w:numId w:val="20"/>
        </w:numPr>
        <w:ind w:right="-6"/>
        <w:rPr>
          <w:noProof w:val="0"/>
        </w:rPr>
      </w:pPr>
      <w:r w:rsidRPr="004673B0">
        <w:rPr>
          <w:noProof w:val="0"/>
        </w:rPr>
        <w:t xml:space="preserve">trh je dostatečně transparentní na to, aby bylo možné identifikovat odklon od </w:t>
      </w:r>
      <w:r w:rsidR="00AF0531" w:rsidRPr="004673B0">
        <w:rPr>
          <w:noProof w:val="0"/>
        </w:rPr>
        <w:t>společné strategie</w:t>
      </w:r>
      <w:r w:rsidRPr="004673B0">
        <w:rPr>
          <w:noProof w:val="0"/>
        </w:rPr>
        <w:t xml:space="preserve">, </w:t>
      </w:r>
    </w:p>
    <w:p w:rsidR="00461FDA" w:rsidRPr="004673B0" w:rsidRDefault="00461FDA" w:rsidP="00FF6D48">
      <w:pPr>
        <w:pStyle w:val="Nadpis4"/>
        <w:keepNext w:val="0"/>
        <w:numPr>
          <w:ilvl w:val="0"/>
          <w:numId w:val="20"/>
        </w:numPr>
        <w:ind w:right="-6"/>
        <w:rPr>
          <w:noProof w:val="0"/>
        </w:rPr>
      </w:pPr>
      <w:r w:rsidRPr="004673B0">
        <w:rPr>
          <w:noProof w:val="0"/>
        </w:rPr>
        <w:t xml:space="preserve">existuje účinné odvetné opatření, které slouží k zajištění trvalosti/dlouhodobosti </w:t>
      </w:r>
      <w:r w:rsidR="00AF0531" w:rsidRPr="004673B0">
        <w:rPr>
          <w:noProof w:val="0"/>
        </w:rPr>
        <w:t>společné strategie</w:t>
      </w:r>
      <w:r w:rsidR="00D043E2" w:rsidRPr="004673B0">
        <w:rPr>
          <w:noProof w:val="0"/>
        </w:rPr>
        <w:t>,</w:t>
      </w:r>
    </w:p>
    <w:p w:rsidR="00461FDA" w:rsidRPr="004673B0" w:rsidRDefault="00461FDA" w:rsidP="00FF6D48">
      <w:pPr>
        <w:pStyle w:val="Nadpis4"/>
        <w:keepNext w:val="0"/>
        <w:numPr>
          <w:ilvl w:val="0"/>
          <w:numId w:val="20"/>
        </w:numPr>
        <w:ind w:right="-6"/>
        <w:rPr>
          <w:noProof w:val="0"/>
        </w:rPr>
      </w:pPr>
      <w:r w:rsidRPr="004673B0">
        <w:rPr>
          <w:noProof w:val="0"/>
        </w:rPr>
        <w:t>reakce mimo stojících konkurentů a spotřebitelů není dostatečná k ohrožení výsledků společného postupu</w:t>
      </w:r>
      <w:r w:rsidR="00AF0531" w:rsidRPr="004673B0">
        <w:rPr>
          <w:noProof w:val="0"/>
        </w:rPr>
        <w:t>/společné strategie</w:t>
      </w:r>
      <w:r w:rsidRPr="004673B0">
        <w:rPr>
          <w:noProof w:val="0"/>
        </w:rPr>
        <w:t xml:space="preserve">. </w:t>
      </w:r>
    </w:p>
    <w:p w:rsidR="004D342B" w:rsidRPr="004673B0" w:rsidRDefault="00461FDA" w:rsidP="00FF6D48">
      <w:pPr>
        <w:pStyle w:val="Nadpis4"/>
        <w:keepNext w:val="0"/>
        <w:numPr>
          <w:ilvl w:val="0"/>
          <w:numId w:val="0"/>
        </w:numPr>
        <w:ind w:right="-6"/>
        <w:rPr>
          <w:noProof w:val="0"/>
        </w:rPr>
      </w:pPr>
      <w:r w:rsidRPr="004673B0">
        <w:rPr>
          <w:noProof w:val="0"/>
        </w:rPr>
        <w:t xml:space="preserve">Pokud se Úřadu nepodaří prokázat kumulativní naplnění výše uvedených kritérií, pak společnou </w:t>
      </w:r>
      <w:r w:rsidR="008B4721" w:rsidRPr="004673B0">
        <w:rPr>
          <w:noProof w:val="0"/>
        </w:rPr>
        <w:t xml:space="preserve">strategii </w:t>
      </w:r>
      <w:r w:rsidRPr="004673B0">
        <w:rPr>
          <w:noProof w:val="0"/>
        </w:rPr>
        <w:t>ve formě tacitní koluze, a tudíž ani společnou významnou tržní sílu, nebude zpravidla možné na dotčeném trhu nalézt.</w:t>
      </w:r>
      <w:r w:rsidRPr="004673B0">
        <w:rPr>
          <w:rStyle w:val="Znakapoznpodarou"/>
          <w:noProof w:val="0"/>
        </w:rPr>
        <w:footnoteReference w:id="109"/>
      </w:r>
      <w:r w:rsidRPr="004673B0">
        <w:rPr>
          <w:noProof w:val="0"/>
        </w:rPr>
        <w:t xml:space="preserve"> Výše uvedená kritéria vyplývající z rozhodnutí </w:t>
      </w:r>
      <w:r w:rsidRPr="004673B0">
        <w:rPr>
          <w:i/>
          <w:noProof w:val="0"/>
        </w:rPr>
        <w:t>Airtours</w:t>
      </w:r>
      <w:r w:rsidRPr="004673B0">
        <w:rPr>
          <w:noProof w:val="0"/>
        </w:rPr>
        <w:t xml:space="preserve"> směřují k prokázání, že koordinace mezi podniky a jejich společná významná tržní síla je udržitelná a dostatečně trvalá, aby dokázala omezit hospodářskou soutěž. Úřad musí prokázat, že </w:t>
      </w:r>
      <w:r w:rsidRPr="004673B0">
        <w:rPr>
          <w:i/>
          <w:noProof w:val="0"/>
        </w:rPr>
        <w:t xml:space="preserve">Airtours </w:t>
      </w:r>
      <w:r w:rsidRPr="004673B0">
        <w:rPr>
          <w:noProof w:val="0"/>
        </w:rPr>
        <w:t>kritéria jsou naplněna kumulativně, a nestačí prokázat, že dílčí tržní kritéria dle Vyhlášky směřují k situaci, kdy je společná významná tržní síla pravděpodobná.</w:t>
      </w:r>
    </w:p>
    <w:p w:rsidR="00990502" w:rsidRPr="004673B0" w:rsidRDefault="004D342B" w:rsidP="00FF6D48">
      <w:pPr>
        <w:pStyle w:val="Nadpis4"/>
        <w:keepNext w:val="0"/>
        <w:numPr>
          <w:ilvl w:val="0"/>
          <w:numId w:val="0"/>
        </w:numPr>
        <w:ind w:right="-6"/>
        <w:rPr>
          <w:noProof w:val="0"/>
        </w:rPr>
      </w:pPr>
      <w:r w:rsidRPr="004673B0">
        <w:rPr>
          <w:noProof w:val="0"/>
        </w:rPr>
        <w:t xml:space="preserve">Úřad </w:t>
      </w:r>
      <w:r w:rsidR="008358DF" w:rsidRPr="004673B0">
        <w:rPr>
          <w:noProof w:val="0"/>
        </w:rPr>
        <w:t>k</w:t>
      </w:r>
      <w:r w:rsidRPr="004673B0">
        <w:rPr>
          <w:noProof w:val="0"/>
        </w:rPr>
        <w:t xml:space="preserve"> posouzení existence tržní síly podle kritérií </w:t>
      </w:r>
      <w:r w:rsidRPr="004673B0">
        <w:rPr>
          <w:i/>
          <w:noProof w:val="0"/>
        </w:rPr>
        <w:t xml:space="preserve">Airtours </w:t>
      </w:r>
      <w:r w:rsidR="008358DF" w:rsidRPr="004673B0">
        <w:rPr>
          <w:noProof w:val="0"/>
        </w:rPr>
        <w:t>přistupuje s výhledem do budoucnosti.</w:t>
      </w:r>
    </w:p>
    <w:p w:rsidR="00461FDA" w:rsidRPr="004673B0" w:rsidRDefault="00461FDA" w:rsidP="00FF6D48">
      <w:pPr>
        <w:pStyle w:val="N4"/>
        <w:keepNext w:val="0"/>
      </w:pPr>
      <w:bookmarkStart w:id="230" w:name="_Toc440374095"/>
      <w:r w:rsidRPr="004673B0">
        <w:rPr>
          <w:i/>
        </w:rPr>
        <w:t>Airtours</w:t>
      </w:r>
      <w:r w:rsidRPr="004673B0">
        <w:t xml:space="preserve"> kritéria – jednotlivě</w:t>
      </w:r>
      <w:bookmarkEnd w:id="230"/>
    </w:p>
    <w:p w:rsidR="00461FDA" w:rsidRPr="004673B0" w:rsidRDefault="00BC44E0" w:rsidP="00FF6D48">
      <w:pPr>
        <w:pStyle w:val="Nadpis5"/>
        <w:keepNext w:val="0"/>
        <w:numPr>
          <w:ilvl w:val="0"/>
          <w:numId w:val="0"/>
        </w:numPr>
        <w:ind w:left="1008" w:right="-6" w:hanging="1008"/>
        <w:rPr>
          <w:rFonts w:ascii="Arial" w:hAnsi="Arial" w:cs="Arial"/>
          <w:b/>
          <w:noProof w:val="0"/>
          <w:color w:val="auto"/>
          <w:u w:val="single"/>
        </w:rPr>
      </w:pPr>
      <w:r w:rsidRPr="004673B0">
        <w:rPr>
          <w:rFonts w:ascii="Arial" w:hAnsi="Arial" w:cs="Arial"/>
          <w:b/>
          <w:noProof w:val="0"/>
          <w:color w:val="auto"/>
        </w:rPr>
        <w:t xml:space="preserve">Skupina kritérií týkajících </w:t>
      </w:r>
      <w:r w:rsidR="00AF0531" w:rsidRPr="004673B0">
        <w:rPr>
          <w:rFonts w:ascii="Arial" w:hAnsi="Arial" w:cs="Arial"/>
          <w:b/>
          <w:noProof w:val="0"/>
          <w:color w:val="auto"/>
        </w:rPr>
        <w:t>způsobilosti trhu k tomu, aby na něm došlo k tacitní koluzi</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Možnost tacitní koluze je vždy vyšší na trzích, které jsou stabilní, a naopak nižší na volatilních, rychle se měnících trzích. Úřad proto při posouzení tohoto kritéria bere v úvahu zejména charakteristiky dotčeného relevantního trhu, která se vztahují k posouzení stálosti. Pokud relevantní trh má níže uvedené vlastnosti, </w:t>
      </w:r>
      <w:r w:rsidR="008B4721" w:rsidRPr="004673B0">
        <w:rPr>
          <w:rFonts w:ascii="Arial" w:hAnsi="Arial" w:cs="Arial"/>
          <w:noProof w:val="0"/>
          <w:color w:val="auto"/>
        </w:rPr>
        <w:t>zakládá to možnost</w:t>
      </w:r>
      <w:r w:rsidRPr="004673B0">
        <w:rPr>
          <w:rFonts w:ascii="Arial" w:hAnsi="Arial" w:cs="Arial"/>
          <w:noProof w:val="0"/>
          <w:color w:val="auto"/>
        </w:rPr>
        <w:t xml:space="preserve"> existence tacitní koluze mezi účastníky daného trhu a jejich</w:t>
      </w:r>
      <w:r w:rsidR="00D043E2" w:rsidRPr="004673B0">
        <w:rPr>
          <w:rFonts w:ascii="Arial" w:hAnsi="Arial" w:cs="Arial"/>
          <w:noProof w:val="0"/>
          <w:color w:val="auto"/>
        </w:rPr>
        <w:t xml:space="preserve"> společné významné tržní síly.</w:t>
      </w:r>
    </w:p>
    <w:p w:rsidR="00461FDA" w:rsidRPr="004673B0" w:rsidRDefault="00461FDA"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Existence referenčního bodu</w:t>
      </w:r>
      <w:r w:rsidRPr="004673B0" w:rsidDel="009B4C5E">
        <w:rPr>
          <w:rFonts w:ascii="Arial" w:hAnsi="Arial" w:cs="Arial"/>
          <w:noProof w:val="0"/>
          <w:color w:val="auto"/>
        </w:rPr>
        <w:t>.</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Existence alespoň jednoho</w:t>
      </w:r>
      <w:r w:rsidR="00B30F8A" w:rsidRPr="004673B0">
        <w:rPr>
          <w:rFonts w:ascii="Arial" w:hAnsi="Arial" w:cs="Arial"/>
          <w:noProof w:val="0"/>
          <w:color w:val="auto"/>
        </w:rPr>
        <w:t xml:space="preserve"> referenčního bodu</w:t>
      </w:r>
      <w:r w:rsidRPr="004673B0">
        <w:rPr>
          <w:rFonts w:ascii="Arial" w:hAnsi="Arial" w:cs="Arial"/>
          <w:noProof w:val="0"/>
          <w:color w:val="auto"/>
        </w:rPr>
        <w:t xml:space="preserve"> neboli referenčního parametru, na základě kterého se podniky účastnící se tacitní koluze mohou orientovat a vzájemně spolupracovat bez toho, aby se výslovně dohodly. Referenční bod/parametr musí být dostatečně významný pro to, aby </w:t>
      </w:r>
      <w:r w:rsidR="00AF0531" w:rsidRPr="004673B0">
        <w:rPr>
          <w:rFonts w:ascii="Arial" w:hAnsi="Arial" w:cs="Arial"/>
          <w:noProof w:val="0"/>
          <w:color w:val="auto"/>
        </w:rPr>
        <w:t xml:space="preserve">společná strategie </w:t>
      </w:r>
      <w:r w:rsidRPr="004673B0">
        <w:rPr>
          <w:rFonts w:ascii="Arial" w:hAnsi="Arial" w:cs="Arial"/>
          <w:noProof w:val="0"/>
          <w:color w:val="auto"/>
        </w:rPr>
        <w:t>na jeho základě byla schopná omezit či jinak ovlivnit účinnou hospodářskou soutěž, a zároveň musí být dostatečně jednoduchý a snadno určitelný. Takovým referenčním parametrem může být např. cena</w:t>
      </w:r>
      <w:r w:rsidRPr="004673B0">
        <w:rPr>
          <w:rStyle w:val="Znakapoznpodarou"/>
          <w:rFonts w:ascii="Arial" w:hAnsi="Arial" w:cs="Arial"/>
          <w:noProof w:val="0"/>
          <w:color w:val="auto"/>
        </w:rPr>
        <w:footnoteReference w:id="110"/>
      </w:r>
      <w:r w:rsidRPr="004673B0">
        <w:rPr>
          <w:rFonts w:ascii="Arial" w:hAnsi="Arial" w:cs="Arial"/>
          <w:noProof w:val="0"/>
          <w:color w:val="auto"/>
        </w:rPr>
        <w:t xml:space="preserve"> či odmítnutí přístupu (denial of access,</w:t>
      </w:r>
      <w:r w:rsidRPr="004673B0">
        <w:rPr>
          <w:rStyle w:val="Znakapoznpodarou"/>
          <w:rFonts w:ascii="Arial" w:hAnsi="Arial" w:cs="Arial"/>
          <w:noProof w:val="0"/>
          <w:color w:val="auto"/>
        </w:rPr>
        <w:footnoteReference w:id="111"/>
      </w:r>
      <w:r w:rsidRPr="004673B0">
        <w:rPr>
          <w:rFonts w:ascii="Arial" w:hAnsi="Arial" w:cs="Arial"/>
          <w:noProof w:val="0"/>
          <w:color w:val="auto"/>
        </w:rPr>
        <w:t xml:space="preserve"> denial of wholesale access to third parties</w:t>
      </w:r>
      <w:r w:rsidRPr="004673B0">
        <w:rPr>
          <w:rStyle w:val="Znakapoznpodarou"/>
          <w:rFonts w:ascii="Arial" w:hAnsi="Arial" w:cs="Arial"/>
          <w:noProof w:val="0"/>
          <w:color w:val="auto"/>
        </w:rPr>
        <w:footnoteReference w:id="112"/>
      </w:r>
      <w:r w:rsidRPr="004673B0">
        <w:rPr>
          <w:rFonts w:ascii="Arial" w:hAnsi="Arial" w:cs="Arial"/>
          <w:noProof w:val="0"/>
          <w:color w:val="auto"/>
        </w:rPr>
        <w:t>), dále jím může být např. kvalita poskytovaných služeb, investice do sítí či samotné tržní podíly.</w:t>
      </w:r>
      <w:r w:rsidRPr="004673B0">
        <w:rPr>
          <w:rStyle w:val="Znakapoznpodarou"/>
          <w:rFonts w:ascii="Arial" w:hAnsi="Arial" w:cs="Arial"/>
          <w:noProof w:val="0"/>
          <w:color w:val="auto"/>
        </w:rPr>
        <w:footnoteReference w:id="113"/>
      </w:r>
    </w:p>
    <w:p w:rsidR="00461FDA" w:rsidRPr="004673B0" w:rsidRDefault="00461FDA"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Symetrické postavení</w:t>
      </w:r>
      <w:r w:rsidRPr="004673B0" w:rsidDel="009B4C5E">
        <w:rPr>
          <w:rFonts w:ascii="Arial" w:hAnsi="Arial" w:cs="Arial"/>
          <w:noProof w:val="0"/>
          <w:color w:val="auto"/>
        </w:rPr>
        <w:t>.</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Pokud je postavení dotčených podniků ve vztahu k relevantnímu trhu symetrické, jedná se o znak toho, že </w:t>
      </w:r>
      <w:r w:rsidR="00AF0531" w:rsidRPr="004673B0">
        <w:rPr>
          <w:rFonts w:ascii="Arial" w:hAnsi="Arial" w:cs="Arial"/>
          <w:noProof w:val="0"/>
          <w:color w:val="auto"/>
        </w:rPr>
        <w:t xml:space="preserve">společná strategie </w:t>
      </w:r>
      <w:r w:rsidRPr="004673B0">
        <w:rPr>
          <w:rFonts w:ascii="Arial" w:hAnsi="Arial" w:cs="Arial"/>
          <w:noProof w:val="0"/>
          <w:color w:val="auto"/>
        </w:rPr>
        <w:t xml:space="preserve">na základě tacitní koluze je pro podniky jednodušší. Naopak nesymetrické postavení dotčených podniků může značit, že každá ze stran se </w:t>
      </w:r>
      <w:r w:rsidR="00AF0531" w:rsidRPr="004673B0">
        <w:rPr>
          <w:rFonts w:ascii="Arial" w:hAnsi="Arial" w:cs="Arial"/>
          <w:noProof w:val="0"/>
          <w:color w:val="auto"/>
        </w:rPr>
        <w:t xml:space="preserve">společné strategie </w:t>
      </w:r>
      <w:r w:rsidRPr="004673B0">
        <w:rPr>
          <w:rFonts w:ascii="Arial" w:hAnsi="Arial" w:cs="Arial"/>
          <w:noProof w:val="0"/>
          <w:color w:val="auto"/>
        </w:rPr>
        <w:t>účastní z jiného důvodu než za účelem zajištění či udržení společné významné tržní síly. Součástí posouzení symetrického postavení stran je vyhodnocení jednotlivých kritérií uvedených níže.</w:t>
      </w:r>
    </w:p>
    <w:p w:rsidR="00461FDA" w:rsidRPr="004673B0" w:rsidRDefault="00461FDA"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Podobné podíly na trhu</w:t>
      </w:r>
      <w:r w:rsidRPr="004673B0" w:rsidDel="009B4C5E">
        <w:rPr>
          <w:rFonts w:ascii="Arial" w:hAnsi="Arial" w:cs="Arial"/>
          <w:noProof w:val="0"/>
          <w:color w:val="auto"/>
        </w:rPr>
        <w:t>.</w:t>
      </w:r>
      <w:r w:rsidRPr="004673B0">
        <w:rPr>
          <w:rFonts w:ascii="Arial" w:hAnsi="Arial" w:cs="Arial"/>
          <w:noProof w:val="0"/>
          <w:color w:val="auto"/>
        </w:rPr>
        <w:t xml:space="preserve"> </w:t>
      </w:r>
    </w:p>
    <w:p w:rsidR="00461FDA" w:rsidRPr="004673B0" w:rsidRDefault="00AF0531"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Společná strategie </w:t>
      </w:r>
      <w:r w:rsidR="00461FDA" w:rsidRPr="004673B0">
        <w:rPr>
          <w:rFonts w:ascii="Arial" w:hAnsi="Arial" w:cs="Arial"/>
          <w:noProof w:val="0"/>
          <w:color w:val="auto"/>
        </w:rPr>
        <w:t>mezi podniky se zásadně rozdílnými podíly na trhu je nepravděpodobná, avšak není vyloučená, zejména v případě, že je výše tržních podílů stabilní.</w:t>
      </w:r>
      <w:r w:rsidR="00461FDA" w:rsidRPr="004673B0">
        <w:rPr>
          <w:rStyle w:val="Znakapoznpodarou"/>
          <w:rFonts w:ascii="Arial" w:hAnsi="Arial" w:cs="Arial"/>
          <w:noProof w:val="0"/>
          <w:color w:val="auto"/>
        </w:rPr>
        <w:footnoteReference w:id="114"/>
      </w:r>
    </w:p>
    <w:p w:rsidR="00461FDA" w:rsidRPr="004673B0" w:rsidRDefault="00461FDA"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Podobné struktury nákladů</w:t>
      </w:r>
      <w:r w:rsidRPr="004673B0" w:rsidDel="009B4C5E">
        <w:rPr>
          <w:rFonts w:ascii="Arial" w:hAnsi="Arial" w:cs="Arial"/>
          <w:noProof w:val="0"/>
          <w:color w:val="auto"/>
        </w:rPr>
        <w:t>.</w:t>
      </w:r>
      <w:r w:rsidRPr="004673B0">
        <w:rPr>
          <w:rFonts w:ascii="Arial" w:hAnsi="Arial" w:cs="Arial"/>
          <w:noProof w:val="0"/>
          <w:color w:val="auto"/>
        </w:rPr>
        <w:t xml:space="preserve"> </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V oblasti elektronických komunikací je struktura nákladů konkurentů relativně podobná, jelikož fixní náklady související se vstupem na trh jsou vysoké pro všechny účastníky trhu a variabilní náklady většinou podstatně nižší. Proto, ačkoliv mohou být mezi podniky rozdíly ve výši variabilních nákladů, většinou tvoří variabilní náklady nízkou část celkových nákladů. </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Neexistence podobné nákladové struktury mezi jednotlivými podniky je pro Úřad znakem, že ke </w:t>
      </w:r>
      <w:r w:rsidR="00AF0531" w:rsidRPr="004673B0">
        <w:rPr>
          <w:rFonts w:ascii="Arial" w:hAnsi="Arial" w:cs="Arial"/>
          <w:noProof w:val="0"/>
          <w:color w:val="auto"/>
        </w:rPr>
        <w:t>společn</w:t>
      </w:r>
      <w:r w:rsidR="00FF6D48">
        <w:rPr>
          <w:rFonts w:ascii="Arial" w:hAnsi="Arial" w:cs="Arial"/>
          <w:noProof w:val="0"/>
          <w:color w:val="auto"/>
        </w:rPr>
        <w:t>é</w:t>
      </w:r>
      <w:r w:rsidR="00AF0531" w:rsidRPr="004673B0">
        <w:rPr>
          <w:rFonts w:ascii="Arial" w:hAnsi="Arial" w:cs="Arial"/>
          <w:noProof w:val="0"/>
          <w:color w:val="auto"/>
        </w:rPr>
        <w:t xml:space="preserve"> strategii </w:t>
      </w:r>
      <w:r w:rsidRPr="004673B0">
        <w:rPr>
          <w:rFonts w:ascii="Arial" w:hAnsi="Arial" w:cs="Arial"/>
          <w:noProof w:val="0"/>
          <w:color w:val="auto"/>
        </w:rPr>
        <w:t xml:space="preserve">mezi podniky spíše nedochází. </w:t>
      </w:r>
    </w:p>
    <w:p w:rsidR="00461FDA" w:rsidRPr="004673B0" w:rsidRDefault="00461FDA"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 xml:space="preserve">Vertikální integrace. </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Udržitelnou </w:t>
      </w:r>
      <w:r w:rsidR="00AF0531" w:rsidRPr="004673B0">
        <w:rPr>
          <w:rFonts w:ascii="Arial" w:hAnsi="Arial" w:cs="Arial"/>
          <w:noProof w:val="0"/>
          <w:color w:val="auto"/>
        </w:rPr>
        <w:t>společnou strategii</w:t>
      </w:r>
      <w:r w:rsidRPr="004673B0">
        <w:rPr>
          <w:rFonts w:ascii="Arial" w:hAnsi="Arial" w:cs="Arial"/>
          <w:noProof w:val="0"/>
          <w:color w:val="auto"/>
        </w:rPr>
        <w:t xml:space="preserve">, a případnou společnou významnou tržní sílu, mezi konkurenty zpravidla naznačuje skutečnost, že dotčené podniky jsou na stejné úrovni dodavatelského řetězce. Naopak je-li jeden </w:t>
      </w:r>
      <w:r w:rsidR="00CB72B7" w:rsidRPr="004673B0">
        <w:rPr>
          <w:rFonts w:ascii="Arial" w:hAnsi="Arial" w:cs="Arial"/>
          <w:noProof w:val="0"/>
          <w:color w:val="auto"/>
        </w:rPr>
        <w:t xml:space="preserve">subjekt </w:t>
      </w:r>
      <w:r w:rsidRPr="004673B0">
        <w:rPr>
          <w:rFonts w:ascii="Arial" w:hAnsi="Arial" w:cs="Arial"/>
          <w:noProof w:val="0"/>
          <w:color w:val="auto"/>
        </w:rPr>
        <w:t>vertikálně integrovaný</w:t>
      </w:r>
      <w:r w:rsidR="003342C9">
        <w:rPr>
          <w:rFonts w:ascii="Arial" w:hAnsi="Arial" w:cs="Arial"/>
          <w:noProof w:val="0"/>
          <w:color w:val="auto"/>
        </w:rPr>
        <w:t>,</w:t>
      </w:r>
      <w:r w:rsidRPr="004673B0">
        <w:rPr>
          <w:rFonts w:ascii="Arial" w:hAnsi="Arial" w:cs="Arial"/>
          <w:noProof w:val="0"/>
          <w:color w:val="auto"/>
        </w:rPr>
        <w:t xml:space="preserve"> a druhý nikoliv, druhý jmenovaný má menší kontrolu nad svými náklady a kapacitou. </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Úřad při posouzení existence společné významné tržní síly přihlédne k postavení jednotlivých </w:t>
      </w:r>
      <w:r w:rsidR="00CB72B7" w:rsidRPr="004673B0">
        <w:rPr>
          <w:rFonts w:ascii="Arial" w:hAnsi="Arial" w:cs="Arial"/>
          <w:noProof w:val="0"/>
          <w:color w:val="auto"/>
        </w:rPr>
        <w:t xml:space="preserve">subjektů </w:t>
      </w:r>
      <w:r w:rsidRPr="004673B0">
        <w:rPr>
          <w:rFonts w:ascii="Arial" w:hAnsi="Arial" w:cs="Arial"/>
          <w:noProof w:val="0"/>
          <w:color w:val="auto"/>
        </w:rPr>
        <w:t xml:space="preserve">v dodavatelském řetězci. </w:t>
      </w:r>
    </w:p>
    <w:p w:rsidR="00461FDA" w:rsidRPr="004673B0" w:rsidRDefault="00461FDA"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 xml:space="preserve">Homogenita produktů či služeb. </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Za účelem stanovení referenčního bodu je zpravidla jednodušší, pokud dotčené podniky nabízejí podobné produkty a služby. V odlišném případě je určení referenčního bodu komplikov</w:t>
      </w:r>
      <w:r w:rsidR="00B30F8A" w:rsidRPr="004673B0">
        <w:rPr>
          <w:rFonts w:ascii="Arial" w:hAnsi="Arial" w:cs="Arial"/>
          <w:noProof w:val="0"/>
          <w:color w:val="auto"/>
        </w:rPr>
        <w:t>anější a </w:t>
      </w:r>
      <w:r w:rsidRPr="004673B0">
        <w:rPr>
          <w:rFonts w:ascii="Arial" w:hAnsi="Arial" w:cs="Arial"/>
          <w:noProof w:val="0"/>
          <w:color w:val="auto"/>
        </w:rPr>
        <w:t>heterogenita portfolií nabízených služeb naznačuje nepravděpodobnost spolupráce na základě tacitní koluze. V případě poskytování služeb elektronických komunikací je důležitá homogenita produktu z pohledu koncového zákazníka.</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Úřad zkoumá, zda podniky na relevantním trhu nabízejí homogenní či podobné služby. V případě, že se nabídky jednotlivých podniků nepřekrývají nebo se překrývají pouze v malé části nebo jsou z různých důvodů nezpůsobilé k monitorování na základě jednotného referenčního bodu, Úřad takovou situaci bere jako náznak toho, že ke </w:t>
      </w:r>
      <w:r w:rsidR="00E07D26" w:rsidRPr="004673B0">
        <w:rPr>
          <w:rFonts w:ascii="Arial" w:hAnsi="Arial" w:cs="Arial"/>
          <w:noProof w:val="0"/>
          <w:color w:val="auto"/>
        </w:rPr>
        <w:t xml:space="preserve">společné strategii </w:t>
      </w:r>
      <w:r w:rsidR="00D043E2" w:rsidRPr="004673B0">
        <w:rPr>
          <w:rFonts w:ascii="Arial" w:hAnsi="Arial" w:cs="Arial"/>
          <w:noProof w:val="0"/>
          <w:color w:val="auto"/>
        </w:rPr>
        <w:t>nedochází.</w:t>
      </w:r>
    </w:p>
    <w:p w:rsidR="00461FDA" w:rsidRPr="004673B0" w:rsidRDefault="00461FDA"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Absence faktorů destabilizujících trh.</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Úřad zkoumá, zda existují další faktory, které by mohly vést k destabilizaci relevantního trhu. Existenci destabilizačních faktorů Úřad považuje za náznak toho, že </w:t>
      </w:r>
      <w:r w:rsidR="00E07D26" w:rsidRPr="004673B0">
        <w:rPr>
          <w:rFonts w:ascii="Arial" w:hAnsi="Arial" w:cs="Arial"/>
          <w:noProof w:val="0"/>
          <w:color w:val="auto"/>
        </w:rPr>
        <w:t xml:space="preserve">společná strategie </w:t>
      </w:r>
      <w:r w:rsidRPr="004673B0">
        <w:rPr>
          <w:rFonts w:ascii="Arial" w:hAnsi="Arial" w:cs="Arial"/>
          <w:noProof w:val="0"/>
          <w:color w:val="auto"/>
        </w:rPr>
        <w:t xml:space="preserve">mezi podniky není pravděpodobná, případně není udržitelná, a tudíž podniky zpravidla nedisponují společnou významnou tržní silou. </w:t>
      </w:r>
    </w:p>
    <w:p w:rsidR="00461FDA" w:rsidRPr="004673B0" w:rsidRDefault="00461FDA"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Dlouhodobý zisk musí převýšit krátkodobé náklady ušlé příležitosti odchýlit se od tacitní koluze.</w:t>
      </w:r>
      <w:r w:rsidRPr="004673B0">
        <w:rPr>
          <w:rStyle w:val="Znakapoznpodarou"/>
          <w:rFonts w:ascii="Arial" w:hAnsi="Arial" w:cs="Arial"/>
          <w:noProof w:val="0"/>
          <w:color w:val="auto"/>
        </w:rPr>
        <w:footnoteReference w:id="115"/>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Existence takových dlouhodobých zisků, které převýší náklady ušlé příležitosti odchýlení se od tacitní koluze</w:t>
      </w:r>
      <w:r w:rsidR="00990502" w:rsidRPr="004673B0">
        <w:rPr>
          <w:rFonts w:ascii="Arial" w:hAnsi="Arial" w:cs="Arial"/>
          <w:noProof w:val="0"/>
          <w:color w:val="auto"/>
        </w:rPr>
        <w:t>,</w:t>
      </w:r>
      <w:r w:rsidRPr="004673B0">
        <w:rPr>
          <w:rFonts w:ascii="Arial" w:hAnsi="Arial" w:cs="Arial"/>
          <w:noProof w:val="0"/>
          <w:color w:val="auto"/>
        </w:rPr>
        <w:t xml:space="preserve"> naznačuje, že </w:t>
      </w:r>
      <w:r w:rsidR="00E07D26" w:rsidRPr="004673B0">
        <w:rPr>
          <w:rFonts w:ascii="Arial" w:hAnsi="Arial" w:cs="Arial"/>
          <w:noProof w:val="0"/>
          <w:color w:val="auto"/>
        </w:rPr>
        <w:t xml:space="preserve">společná strategie </w:t>
      </w:r>
      <w:r w:rsidRPr="004673B0">
        <w:rPr>
          <w:rFonts w:ascii="Arial" w:hAnsi="Arial" w:cs="Arial"/>
          <w:noProof w:val="0"/>
          <w:color w:val="auto"/>
        </w:rPr>
        <w:t xml:space="preserve">je pro podniky výhodná a tudíž je pravděpodobnější její existence. </w:t>
      </w:r>
    </w:p>
    <w:p w:rsidR="00461FDA" w:rsidRPr="004673B0" w:rsidRDefault="00A539E8" w:rsidP="00FF6D48">
      <w:pPr>
        <w:pStyle w:val="Nadpis5"/>
        <w:keepNext w:val="0"/>
        <w:numPr>
          <w:ilvl w:val="0"/>
          <w:numId w:val="21"/>
        </w:numPr>
        <w:ind w:right="-6"/>
        <w:rPr>
          <w:rFonts w:ascii="Arial" w:hAnsi="Arial" w:cs="Arial"/>
          <w:noProof w:val="0"/>
          <w:color w:val="auto"/>
        </w:rPr>
      </w:pPr>
      <w:r w:rsidRPr="004673B0">
        <w:rPr>
          <w:rFonts w:ascii="Arial" w:hAnsi="Arial" w:cs="Arial"/>
          <w:noProof w:val="0"/>
          <w:color w:val="auto"/>
        </w:rPr>
        <w:t>Další relevantní kritéria.</w:t>
      </w:r>
    </w:p>
    <w:p w:rsidR="00461FDA" w:rsidRPr="004673B0" w:rsidRDefault="00BC44E0" w:rsidP="00FF6D48">
      <w:pPr>
        <w:pStyle w:val="Nadpis5"/>
        <w:keepNext w:val="0"/>
        <w:numPr>
          <w:ilvl w:val="0"/>
          <w:numId w:val="0"/>
        </w:numPr>
        <w:ind w:left="1008" w:right="-6" w:hanging="1008"/>
        <w:jc w:val="left"/>
        <w:rPr>
          <w:rFonts w:ascii="Arial" w:hAnsi="Arial" w:cs="Arial"/>
          <w:b/>
          <w:noProof w:val="0"/>
          <w:color w:val="auto"/>
        </w:rPr>
      </w:pPr>
      <w:r w:rsidRPr="004673B0">
        <w:rPr>
          <w:rFonts w:ascii="Arial" w:hAnsi="Arial" w:cs="Arial"/>
          <w:b/>
          <w:noProof w:val="0"/>
          <w:color w:val="auto"/>
        </w:rPr>
        <w:t xml:space="preserve">Skupina kritérií týkajících se možnosti </w:t>
      </w:r>
      <w:r w:rsidR="00461FDA" w:rsidRPr="004673B0">
        <w:rPr>
          <w:rFonts w:ascii="Arial" w:hAnsi="Arial" w:cs="Arial"/>
          <w:b/>
          <w:noProof w:val="0"/>
          <w:color w:val="auto"/>
        </w:rPr>
        <w:t xml:space="preserve">monitorování odklonů od podmínek </w:t>
      </w:r>
      <w:r w:rsidR="00E07D26" w:rsidRPr="004673B0">
        <w:rPr>
          <w:rFonts w:ascii="Arial" w:hAnsi="Arial" w:cs="Arial"/>
          <w:noProof w:val="0"/>
          <w:color w:val="auto"/>
        </w:rPr>
        <w:t>společná strategie</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Pokud dotčené podniky účastnící se </w:t>
      </w:r>
      <w:r w:rsidR="00E07D26" w:rsidRPr="004673B0">
        <w:rPr>
          <w:rFonts w:ascii="Arial" w:hAnsi="Arial" w:cs="Arial"/>
          <w:noProof w:val="0"/>
          <w:color w:val="auto"/>
        </w:rPr>
        <w:t xml:space="preserve">společná strategie </w:t>
      </w:r>
      <w:r w:rsidRPr="004673B0">
        <w:rPr>
          <w:rFonts w:ascii="Arial" w:hAnsi="Arial" w:cs="Arial"/>
          <w:noProof w:val="0"/>
          <w:color w:val="auto"/>
        </w:rPr>
        <w:t xml:space="preserve">formou tacitní koluze nemají dostatečné prostředky na monitorování a kontrolu ostatních dotčených subjektů, zda se neodklánějí od podmínek </w:t>
      </w:r>
      <w:r w:rsidR="00E07D26" w:rsidRPr="004673B0">
        <w:rPr>
          <w:rFonts w:ascii="Arial" w:hAnsi="Arial" w:cs="Arial"/>
          <w:noProof w:val="0"/>
          <w:color w:val="auto"/>
        </w:rPr>
        <w:t>společn</w:t>
      </w:r>
      <w:r w:rsidR="00FF6D48">
        <w:rPr>
          <w:rFonts w:ascii="Arial" w:hAnsi="Arial" w:cs="Arial"/>
          <w:noProof w:val="0"/>
          <w:color w:val="auto"/>
        </w:rPr>
        <w:t>é</w:t>
      </w:r>
      <w:r w:rsidR="00E07D26" w:rsidRPr="004673B0">
        <w:rPr>
          <w:rFonts w:ascii="Arial" w:hAnsi="Arial" w:cs="Arial"/>
          <w:noProof w:val="0"/>
          <w:color w:val="auto"/>
        </w:rPr>
        <w:t xml:space="preserve"> strategie</w:t>
      </w:r>
      <w:r w:rsidRPr="004673B0">
        <w:rPr>
          <w:rFonts w:ascii="Arial" w:hAnsi="Arial" w:cs="Arial"/>
          <w:noProof w:val="0"/>
          <w:color w:val="auto"/>
        </w:rPr>
        <w:t xml:space="preserve">, existuje velké riziko, že se jeden z dotčených subjektů rozhodne podmínky </w:t>
      </w:r>
      <w:r w:rsidR="00E07D26" w:rsidRPr="004673B0">
        <w:rPr>
          <w:rFonts w:ascii="Arial" w:hAnsi="Arial" w:cs="Arial"/>
          <w:noProof w:val="0"/>
          <w:color w:val="auto"/>
        </w:rPr>
        <w:t>společn</w:t>
      </w:r>
      <w:r w:rsidR="00FF6D48">
        <w:rPr>
          <w:rFonts w:ascii="Arial" w:hAnsi="Arial" w:cs="Arial"/>
          <w:noProof w:val="0"/>
          <w:color w:val="auto"/>
        </w:rPr>
        <w:t>é</w:t>
      </w:r>
      <w:r w:rsidR="00E07D26" w:rsidRPr="004673B0">
        <w:rPr>
          <w:rFonts w:ascii="Arial" w:hAnsi="Arial" w:cs="Arial"/>
          <w:noProof w:val="0"/>
          <w:color w:val="auto"/>
        </w:rPr>
        <w:t xml:space="preserve"> strategie </w:t>
      </w:r>
      <w:r w:rsidRPr="004673B0">
        <w:rPr>
          <w:rFonts w:ascii="Arial" w:hAnsi="Arial" w:cs="Arial"/>
          <w:noProof w:val="0"/>
          <w:color w:val="auto"/>
        </w:rPr>
        <w:t xml:space="preserve">nedodržet, jelikož z toho pro něj plynou minimálně krátkodobě vysoké výnosy. V takovém případě je vyloučená udržitelná společná významná tržní síla. Úřad při posouzení tohoto kritéria zkoumá zejména následující vlastnosti daného trhu: </w:t>
      </w:r>
    </w:p>
    <w:p w:rsidR="00461FDA" w:rsidRPr="004673B0" w:rsidRDefault="00461FDA" w:rsidP="00FF6D48">
      <w:pPr>
        <w:pStyle w:val="Nadpis5"/>
        <w:keepNext w:val="0"/>
        <w:numPr>
          <w:ilvl w:val="0"/>
          <w:numId w:val="22"/>
        </w:numPr>
        <w:ind w:right="-6"/>
        <w:rPr>
          <w:rFonts w:ascii="Arial" w:hAnsi="Arial" w:cs="Arial"/>
          <w:noProof w:val="0"/>
          <w:color w:val="auto"/>
        </w:rPr>
      </w:pPr>
      <w:r w:rsidRPr="004673B0">
        <w:rPr>
          <w:rFonts w:ascii="Arial" w:hAnsi="Arial" w:cs="Arial"/>
          <w:noProof w:val="0"/>
          <w:color w:val="auto"/>
        </w:rPr>
        <w:t xml:space="preserve">Transparentnost trhu. </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Transparentnost se vztahuje zejména k určeným referenčním bodům/parametrům. Pokud je jednoduché sledovat, zda všechny dotčené subjekty stanoví stejnou cenu koncovým zákazníkům, poskytují služby ve stejné kvalitě, odmítají třetím stranám přístup k síti či plní jiný určený referenční parametr, je to pro Úřad náznak, že trh je transparentní. Takové posouzení vždy závisí na konkrétních okolnostech daného trhu i na zvoleném referenčním bodě. </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Úřad zkoumá transparentnost trhu v souladu s ostatními kritérii dle této kapitoly. Posouzení transparentnosti trhu je pro Úřad zpravidla komplikovanější u velkoobchodních trhů, zejména pokud ani jednomu z dotčených podniků není ulo</w:t>
      </w:r>
      <w:r w:rsidR="00A539E8" w:rsidRPr="004673B0">
        <w:rPr>
          <w:rFonts w:ascii="Arial" w:hAnsi="Arial" w:cs="Arial"/>
          <w:noProof w:val="0"/>
          <w:color w:val="auto"/>
        </w:rPr>
        <w:t>ženo cenové nápravné opatření.</w:t>
      </w:r>
    </w:p>
    <w:p w:rsidR="00461FDA" w:rsidRPr="004673B0" w:rsidRDefault="00461FDA" w:rsidP="00FF6D48">
      <w:pPr>
        <w:pStyle w:val="Nadpis5"/>
        <w:keepNext w:val="0"/>
        <w:numPr>
          <w:ilvl w:val="0"/>
          <w:numId w:val="22"/>
        </w:numPr>
        <w:ind w:right="-6"/>
        <w:rPr>
          <w:rFonts w:ascii="Arial" w:hAnsi="Arial" w:cs="Arial"/>
          <w:noProof w:val="0"/>
          <w:color w:val="auto"/>
        </w:rPr>
      </w:pPr>
      <w:r w:rsidRPr="004673B0">
        <w:rPr>
          <w:rFonts w:ascii="Arial" w:hAnsi="Arial" w:cs="Arial"/>
          <w:noProof w:val="0"/>
          <w:color w:val="auto"/>
        </w:rPr>
        <w:t xml:space="preserve">Vazby mezi </w:t>
      </w:r>
      <w:r w:rsidR="00AD1C23" w:rsidRPr="004673B0">
        <w:rPr>
          <w:rFonts w:ascii="Arial" w:hAnsi="Arial" w:cs="Arial"/>
          <w:noProof w:val="0"/>
          <w:color w:val="auto"/>
        </w:rPr>
        <w:t>subjekty</w:t>
      </w:r>
      <w:r w:rsidRPr="004673B0">
        <w:rPr>
          <w:rFonts w:ascii="Arial" w:hAnsi="Arial" w:cs="Arial"/>
          <w:noProof w:val="0"/>
          <w:color w:val="auto"/>
        </w:rPr>
        <w:t>.</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Různé druhy vazeb mezi </w:t>
      </w:r>
      <w:r w:rsidR="00AD1C23" w:rsidRPr="004673B0">
        <w:rPr>
          <w:rFonts w:ascii="Arial" w:hAnsi="Arial" w:cs="Arial"/>
          <w:noProof w:val="0"/>
          <w:color w:val="auto"/>
        </w:rPr>
        <w:t>subjekty</w:t>
      </w:r>
      <w:r w:rsidRPr="004673B0">
        <w:rPr>
          <w:rFonts w:ascii="Arial" w:hAnsi="Arial" w:cs="Arial"/>
          <w:noProof w:val="0"/>
          <w:color w:val="auto"/>
        </w:rPr>
        <w:t xml:space="preserve">, ať už formální či neformální, se mohou projevit např. ve spolupráci na joint venture projektech, křížovém licencování, sdílení sítí či jiných formách spolupráce. Existence vazeb mezi konkurenty je pro Úřad náznakem, že </w:t>
      </w:r>
      <w:r w:rsidR="00E07D26" w:rsidRPr="004673B0">
        <w:rPr>
          <w:rFonts w:ascii="Arial" w:hAnsi="Arial" w:cs="Arial"/>
          <w:noProof w:val="0"/>
          <w:color w:val="auto"/>
        </w:rPr>
        <w:t xml:space="preserve">společná strategie </w:t>
      </w:r>
      <w:r w:rsidRPr="004673B0">
        <w:rPr>
          <w:rFonts w:ascii="Arial" w:hAnsi="Arial" w:cs="Arial"/>
          <w:noProof w:val="0"/>
          <w:color w:val="auto"/>
        </w:rPr>
        <w:t xml:space="preserve">mezi podniky je možná. Úřad si na základě síly a četnosti těchto vazeb, společně s vyhodnocením dalších kritérií dle této kapitoly, učiní představu o míře transparentnosti relevantního trhu a možnosti dotčených subjektů v dostatečném časovém horizontu zjistit odklon od podmínek </w:t>
      </w:r>
      <w:r w:rsidR="00E07D26" w:rsidRPr="004673B0">
        <w:rPr>
          <w:rFonts w:ascii="Arial" w:hAnsi="Arial" w:cs="Arial"/>
          <w:noProof w:val="0"/>
          <w:color w:val="auto"/>
        </w:rPr>
        <w:t>společn</w:t>
      </w:r>
      <w:r w:rsidR="00393C7B" w:rsidRPr="004673B0">
        <w:rPr>
          <w:rFonts w:ascii="Arial" w:hAnsi="Arial" w:cs="Arial"/>
          <w:noProof w:val="0"/>
          <w:color w:val="auto"/>
        </w:rPr>
        <w:t>é</w:t>
      </w:r>
      <w:r w:rsidR="00E07D26" w:rsidRPr="004673B0">
        <w:rPr>
          <w:rFonts w:ascii="Arial" w:hAnsi="Arial" w:cs="Arial"/>
          <w:noProof w:val="0"/>
          <w:color w:val="auto"/>
        </w:rPr>
        <w:t xml:space="preserve"> strategie</w:t>
      </w:r>
      <w:r w:rsidR="00A539E8" w:rsidRPr="004673B0">
        <w:rPr>
          <w:rFonts w:ascii="Arial" w:hAnsi="Arial" w:cs="Arial"/>
          <w:noProof w:val="0"/>
          <w:color w:val="auto"/>
        </w:rPr>
        <w:t>.</w:t>
      </w:r>
    </w:p>
    <w:p w:rsidR="00461FDA" w:rsidRPr="004673B0" w:rsidRDefault="00BC44E0" w:rsidP="00FF6D48">
      <w:pPr>
        <w:pStyle w:val="Nadpis5"/>
        <w:keepNext w:val="0"/>
        <w:numPr>
          <w:ilvl w:val="0"/>
          <w:numId w:val="0"/>
        </w:numPr>
        <w:ind w:right="-6" w:firstLine="708"/>
        <w:rPr>
          <w:rFonts w:ascii="Arial" w:hAnsi="Arial" w:cs="Arial"/>
          <w:b/>
          <w:noProof w:val="0"/>
          <w:color w:val="auto"/>
        </w:rPr>
      </w:pPr>
      <w:r w:rsidRPr="004673B0">
        <w:rPr>
          <w:rFonts w:ascii="Arial" w:hAnsi="Arial" w:cs="Arial"/>
          <w:b/>
          <w:noProof w:val="0"/>
          <w:color w:val="auto"/>
        </w:rPr>
        <w:t>Skupina kritérií týkajících se účinných odvetných mechanismů</w:t>
      </w:r>
    </w:p>
    <w:p w:rsidR="00461FDA" w:rsidRPr="004673B0" w:rsidRDefault="00461FDA" w:rsidP="00FF6D48">
      <w:pPr>
        <w:pStyle w:val="Nadpis5"/>
        <w:keepNext w:val="0"/>
        <w:numPr>
          <w:ilvl w:val="0"/>
          <w:numId w:val="0"/>
        </w:numPr>
        <w:ind w:right="-6"/>
        <w:rPr>
          <w:rFonts w:ascii="Arial" w:hAnsi="Arial" w:cs="Arial"/>
          <w:noProof w:val="0"/>
          <w:color w:val="auto"/>
        </w:rPr>
      </w:pPr>
      <w:r w:rsidRPr="004673B0">
        <w:rPr>
          <w:rFonts w:ascii="Arial" w:hAnsi="Arial" w:cs="Arial"/>
          <w:noProof w:val="0"/>
          <w:color w:val="auto"/>
        </w:rPr>
        <w:t xml:space="preserve">K zajištění udržitelné </w:t>
      </w:r>
      <w:r w:rsidR="00315CF0" w:rsidRPr="004673B0">
        <w:rPr>
          <w:rFonts w:ascii="Arial" w:hAnsi="Arial" w:cs="Arial"/>
          <w:noProof w:val="0"/>
          <w:color w:val="auto"/>
        </w:rPr>
        <w:t xml:space="preserve">společné strategie </w:t>
      </w:r>
      <w:r w:rsidRPr="004673B0">
        <w:rPr>
          <w:rFonts w:ascii="Arial" w:hAnsi="Arial" w:cs="Arial"/>
          <w:noProof w:val="0"/>
          <w:color w:val="auto"/>
        </w:rPr>
        <w:t xml:space="preserve">je potřebné, aby dotčené subjekty měly možnost odvetně reagovat na odchýlení se od dohodnutých podmínek </w:t>
      </w:r>
      <w:r w:rsidR="00E07D26" w:rsidRPr="004673B0">
        <w:rPr>
          <w:rFonts w:ascii="Arial" w:hAnsi="Arial" w:cs="Arial"/>
          <w:noProof w:val="0"/>
          <w:color w:val="auto"/>
        </w:rPr>
        <w:t>společn</w:t>
      </w:r>
      <w:r w:rsidR="00FF6D48">
        <w:rPr>
          <w:rFonts w:ascii="Arial" w:hAnsi="Arial" w:cs="Arial"/>
          <w:noProof w:val="0"/>
          <w:color w:val="auto"/>
        </w:rPr>
        <w:t>é</w:t>
      </w:r>
      <w:r w:rsidR="00E07D26" w:rsidRPr="004673B0">
        <w:rPr>
          <w:rFonts w:ascii="Arial" w:hAnsi="Arial" w:cs="Arial"/>
          <w:noProof w:val="0"/>
          <w:color w:val="auto"/>
        </w:rPr>
        <w:t xml:space="preserve"> strategie</w:t>
      </w:r>
      <w:r w:rsidRPr="004673B0">
        <w:rPr>
          <w:rFonts w:ascii="Arial" w:hAnsi="Arial" w:cs="Arial"/>
          <w:noProof w:val="0"/>
          <w:color w:val="auto"/>
        </w:rPr>
        <w:t xml:space="preserve">. Existence odvetných mechanismů působí preventivně k zachování udržitelné </w:t>
      </w:r>
      <w:r w:rsidR="00E07D26" w:rsidRPr="004673B0">
        <w:rPr>
          <w:rFonts w:ascii="Arial" w:hAnsi="Arial" w:cs="Arial"/>
          <w:noProof w:val="0"/>
          <w:color w:val="auto"/>
        </w:rPr>
        <w:t>společn</w:t>
      </w:r>
      <w:r w:rsidR="00FF6D48">
        <w:rPr>
          <w:rFonts w:ascii="Arial" w:hAnsi="Arial" w:cs="Arial"/>
          <w:noProof w:val="0"/>
          <w:color w:val="auto"/>
        </w:rPr>
        <w:t>é</w:t>
      </w:r>
      <w:r w:rsidR="00E07D26" w:rsidRPr="004673B0">
        <w:rPr>
          <w:rFonts w:ascii="Arial" w:hAnsi="Arial" w:cs="Arial"/>
          <w:noProof w:val="0"/>
          <w:color w:val="auto"/>
        </w:rPr>
        <w:t xml:space="preserve"> strategie</w:t>
      </w:r>
      <w:r w:rsidRPr="004673B0">
        <w:rPr>
          <w:rFonts w:ascii="Arial" w:hAnsi="Arial" w:cs="Arial"/>
          <w:noProof w:val="0"/>
          <w:color w:val="auto"/>
        </w:rPr>
        <w:t>. Odvetné mechanismy mohou existovat např. ve formě změny soutěžních podmínek jako je snížení ceny či zvýšení produkce/objemu, poskytování</w:t>
      </w:r>
      <w:r w:rsidR="00FF6D48">
        <w:rPr>
          <w:rFonts w:ascii="Arial" w:hAnsi="Arial" w:cs="Arial"/>
          <w:noProof w:val="0"/>
          <w:color w:val="auto"/>
        </w:rPr>
        <w:t xml:space="preserve"> přístupu</w:t>
      </w:r>
      <w:r w:rsidRPr="004673B0">
        <w:rPr>
          <w:rFonts w:ascii="Arial" w:hAnsi="Arial" w:cs="Arial"/>
          <w:noProof w:val="0"/>
          <w:color w:val="auto"/>
        </w:rPr>
        <w:t xml:space="preserve"> třetím stranám,</w:t>
      </w:r>
      <w:r w:rsidRPr="004673B0">
        <w:rPr>
          <w:rStyle w:val="Znakapoznpodarou"/>
          <w:rFonts w:ascii="Arial" w:hAnsi="Arial" w:cs="Arial"/>
          <w:noProof w:val="0"/>
          <w:color w:val="auto"/>
        </w:rPr>
        <w:footnoteReference w:id="116"/>
      </w:r>
      <w:r w:rsidRPr="004673B0">
        <w:rPr>
          <w:rFonts w:ascii="Arial" w:hAnsi="Arial" w:cs="Arial"/>
          <w:noProof w:val="0"/>
          <w:color w:val="auto"/>
        </w:rPr>
        <w:t xml:space="preserve"> případně nabízení služeb za podnákladovou cenu nebo zahájení cenové války.</w:t>
      </w:r>
      <w:r w:rsidRPr="004673B0">
        <w:rPr>
          <w:rStyle w:val="Znakapoznpodarou"/>
          <w:rFonts w:ascii="Arial" w:hAnsi="Arial" w:cs="Arial"/>
          <w:noProof w:val="0"/>
          <w:color w:val="auto"/>
        </w:rPr>
        <w:footnoteReference w:id="117"/>
      </w:r>
      <w:r w:rsidRPr="004673B0">
        <w:rPr>
          <w:rFonts w:ascii="Arial" w:hAnsi="Arial" w:cs="Arial"/>
          <w:noProof w:val="0"/>
          <w:color w:val="auto"/>
        </w:rPr>
        <w:t xml:space="preserve"> Mezi charakteristiky trhu, které Úřad zkoumá při posouzení existence odvetných mechanismů, patří zejména: </w:t>
      </w:r>
    </w:p>
    <w:p w:rsidR="00461FDA" w:rsidRPr="004673B0" w:rsidRDefault="00461FDA" w:rsidP="00FF6D48">
      <w:pPr>
        <w:pStyle w:val="Nadpis5"/>
        <w:keepNext w:val="0"/>
        <w:numPr>
          <w:ilvl w:val="0"/>
          <w:numId w:val="23"/>
        </w:numPr>
        <w:ind w:right="-6"/>
        <w:rPr>
          <w:rFonts w:ascii="Arial" w:hAnsi="Arial" w:cs="Arial"/>
          <w:noProof w:val="0"/>
          <w:color w:val="auto"/>
        </w:rPr>
      </w:pPr>
      <w:r w:rsidRPr="004673B0">
        <w:rPr>
          <w:rFonts w:ascii="Arial" w:hAnsi="Arial" w:cs="Arial"/>
          <w:noProof w:val="0"/>
          <w:color w:val="auto"/>
        </w:rPr>
        <w:t xml:space="preserve">Symetrické postavení dotčených </w:t>
      </w:r>
      <w:r w:rsidR="00BD53B5" w:rsidRPr="004673B0">
        <w:rPr>
          <w:rFonts w:ascii="Arial" w:hAnsi="Arial" w:cs="Arial"/>
          <w:noProof w:val="0"/>
          <w:color w:val="auto"/>
        </w:rPr>
        <w:t>subjektů</w:t>
      </w:r>
      <w:r w:rsidRPr="004673B0">
        <w:rPr>
          <w:rFonts w:ascii="Arial" w:hAnsi="Arial" w:cs="Arial"/>
          <w:noProof w:val="0"/>
          <w:color w:val="auto"/>
        </w:rPr>
        <w:t>.</w:t>
      </w:r>
    </w:p>
    <w:p w:rsidR="00461FDA" w:rsidRPr="004673B0" w:rsidRDefault="00461FDA" w:rsidP="00FF6D48">
      <w:pPr>
        <w:pStyle w:val="Nadpis5"/>
        <w:keepNext w:val="0"/>
        <w:numPr>
          <w:ilvl w:val="0"/>
          <w:numId w:val="23"/>
        </w:numPr>
        <w:ind w:right="-6"/>
        <w:rPr>
          <w:rFonts w:ascii="Arial" w:hAnsi="Arial" w:cs="Arial"/>
          <w:noProof w:val="0"/>
          <w:color w:val="auto"/>
        </w:rPr>
      </w:pPr>
      <w:r w:rsidRPr="004673B0">
        <w:rPr>
          <w:rFonts w:ascii="Arial" w:hAnsi="Arial" w:cs="Arial"/>
          <w:noProof w:val="0"/>
          <w:color w:val="auto"/>
        </w:rPr>
        <w:t xml:space="preserve">Povaha dlouhodobých a krátkodobých zisků. </w:t>
      </w:r>
    </w:p>
    <w:p w:rsidR="00461FDA" w:rsidRPr="004673B0" w:rsidRDefault="00461FDA" w:rsidP="00FF6D48">
      <w:pPr>
        <w:pStyle w:val="Nadpis5"/>
        <w:keepNext w:val="0"/>
        <w:numPr>
          <w:ilvl w:val="0"/>
          <w:numId w:val="23"/>
        </w:numPr>
        <w:ind w:right="-6"/>
        <w:rPr>
          <w:rFonts w:ascii="Arial" w:hAnsi="Arial" w:cs="Arial"/>
          <w:noProof w:val="0"/>
          <w:color w:val="auto"/>
        </w:rPr>
      </w:pPr>
      <w:r w:rsidRPr="004673B0">
        <w:rPr>
          <w:rFonts w:ascii="Arial" w:hAnsi="Arial" w:cs="Arial"/>
          <w:noProof w:val="0"/>
          <w:color w:val="auto"/>
        </w:rPr>
        <w:t>Povaha referenčního bodu.</w:t>
      </w:r>
    </w:p>
    <w:p w:rsidR="00461FDA" w:rsidRPr="004673B0" w:rsidRDefault="00461FDA" w:rsidP="00FF6D48">
      <w:pPr>
        <w:pStyle w:val="Nadpis5"/>
        <w:keepNext w:val="0"/>
        <w:numPr>
          <w:ilvl w:val="0"/>
          <w:numId w:val="0"/>
        </w:numPr>
        <w:ind w:left="1008" w:right="-6" w:hanging="1008"/>
        <w:rPr>
          <w:rFonts w:ascii="Arial" w:hAnsi="Arial" w:cs="Arial"/>
          <w:noProof w:val="0"/>
          <w:color w:val="auto"/>
        </w:rPr>
      </w:pPr>
      <w:r w:rsidRPr="004673B0">
        <w:rPr>
          <w:rFonts w:ascii="Arial" w:hAnsi="Arial" w:cs="Arial"/>
          <w:noProof w:val="0"/>
          <w:color w:val="auto"/>
        </w:rPr>
        <w:t>Blíže k jednotlivým vlastnostem trhu v</w:t>
      </w:r>
      <w:r w:rsidR="00A539E8" w:rsidRPr="004673B0">
        <w:rPr>
          <w:rFonts w:ascii="Arial" w:hAnsi="Arial" w:cs="Arial"/>
          <w:noProof w:val="0"/>
          <w:color w:val="auto"/>
        </w:rPr>
        <w:t>ýše v této kapitole Metodiky.</w:t>
      </w:r>
    </w:p>
    <w:p w:rsidR="00461FDA" w:rsidRPr="004673B0" w:rsidRDefault="00BC44E0" w:rsidP="00FF6D48">
      <w:pPr>
        <w:pStyle w:val="Nadpis5"/>
        <w:keepNext w:val="0"/>
        <w:numPr>
          <w:ilvl w:val="0"/>
          <w:numId w:val="0"/>
        </w:numPr>
        <w:ind w:left="1008" w:right="-6" w:hanging="300"/>
        <w:rPr>
          <w:rFonts w:ascii="Arial" w:hAnsi="Arial" w:cs="Arial"/>
          <w:b/>
          <w:noProof w:val="0"/>
          <w:color w:val="auto"/>
        </w:rPr>
      </w:pPr>
      <w:r w:rsidRPr="004673B0">
        <w:rPr>
          <w:rFonts w:ascii="Arial" w:hAnsi="Arial" w:cs="Arial"/>
          <w:b/>
          <w:noProof w:val="0"/>
          <w:color w:val="auto"/>
        </w:rPr>
        <w:t xml:space="preserve">Skupina kritérií týkajících se </w:t>
      </w:r>
      <w:r w:rsidR="00461FDA" w:rsidRPr="004673B0">
        <w:rPr>
          <w:rFonts w:ascii="Arial" w:hAnsi="Arial" w:cs="Arial"/>
          <w:b/>
          <w:noProof w:val="0"/>
          <w:color w:val="auto"/>
        </w:rPr>
        <w:t xml:space="preserve">reakce subjektů stojících mimo </w:t>
      </w:r>
      <w:r w:rsidR="00E07D26" w:rsidRPr="00FF6D48">
        <w:rPr>
          <w:rFonts w:ascii="Arial" w:hAnsi="Arial" w:cs="Arial"/>
          <w:b/>
          <w:noProof w:val="0"/>
          <w:color w:val="auto"/>
        </w:rPr>
        <w:t>společnou strategii</w:t>
      </w:r>
    </w:p>
    <w:p w:rsidR="00461FDA" w:rsidRPr="004673B0" w:rsidRDefault="00461FDA" w:rsidP="00FF6D48">
      <w:pPr>
        <w:pStyle w:val="Nadpis4"/>
        <w:keepNext w:val="0"/>
        <w:numPr>
          <w:ilvl w:val="0"/>
          <w:numId w:val="0"/>
        </w:numPr>
        <w:ind w:right="-6"/>
        <w:rPr>
          <w:noProof w:val="0"/>
        </w:rPr>
      </w:pPr>
      <w:r w:rsidRPr="004673B0">
        <w:rPr>
          <w:noProof w:val="0"/>
        </w:rPr>
        <w:t xml:space="preserve">K zajištění udržitelnosti </w:t>
      </w:r>
      <w:r w:rsidR="00E07D26" w:rsidRPr="004673B0">
        <w:rPr>
          <w:rFonts w:cs="Arial"/>
          <w:noProof w:val="0"/>
          <w:color w:val="auto"/>
        </w:rPr>
        <w:t>společn</w:t>
      </w:r>
      <w:r w:rsidR="006D0129" w:rsidRPr="004673B0">
        <w:rPr>
          <w:rFonts w:cs="Arial"/>
          <w:noProof w:val="0"/>
          <w:color w:val="auto"/>
        </w:rPr>
        <w:t>é</w:t>
      </w:r>
      <w:r w:rsidR="00E07D26" w:rsidRPr="004673B0">
        <w:rPr>
          <w:rFonts w:cs="Arial"/>
          <w:noProof w:val="0"/>
          <w:color w:val="auto"/>
        </w:rPr>
        <w:t xml:space="preserve"> strategie </w:t>
      </w:r>
      <w:r w:rsidRPr="004673B0">
        <w:rPr>
          <w:noProof w:val="0"/>
        </w:rPr>
        <w:t xml:space="preserve">mezi podniky na relevantním trhu je důležité, aby osoby stojící mimo nemohly ohrozit výsledky </w:t>
      </w:r>
      <w:r w:rsidR="00E07D26" w:rsidRPr="004673B0">
        <w:rPr>
          <w:rFonts w:cs="Arial"/>
          <w:noProof w:val="0"/>
          <w:color w:val="auto"/>
        </w:rPr>
        <w:t>společné strategie</w:t>
      </w:r>
      <w:r w:rsidRPr="004673B0">
        <w:rPr>
          <w:noProof w:val="0"/>
        </w:rPr>
        <w:t>. Reakce ze strany osob stojících mimo podniky</w:t>
      </w:r>
      <w:r w:rsidR="00E07D26" w:rsidRPr="004673B0">
        <w:rPr>
          <w:noProof w:val="0"/>
        </w:rPr>
        <w:t xml:space="preserve"> v tacitní koluzi</w:t>
      </w:r>
      <w:r w:rsidRPr="004673B0">
        <w:rPr>
          <w:noProof w:val="0"/>
        </w:rPr>
        <w:t xml:space="preserve"> je zpravidla nepravděpodobná v případě, že existují velké překážky vstupu na trh a kupní síla ze strany poptávky je relativně nízká. Mezi kritéria trhu, která Úřad v tomto kontextu zkoumá, patří zejména: </w:t>
      </w:r>
    </w:p>
    <w:p w:rsidR="00461FDA" w:rsidRPr="004673B0" w:rsidRDefault="00461FDA" w:rsidP="00FF6D48">
      <w:pPr>
        <w:pStyle w:val="Nadpis4"/>
        <w:keepNext w:val="0"/>
        <w:numPr>
          <w:ilvl w:val="0"/>
          <w:numId w:val="24"/>
        </w:numPr>
        <w:ind w:right="-6"/>
        <w:rPr>
          <w:noProof w:val="0"/>
        </w:rPr>
      </w:pPr>
      <w:r w:rsidRPr="004673B0">
        <w:rPr>
          <w:noProof w:val="0"/>
        </w:rPr>
        <w:t xml:space="preserve">Překážky vstupu na trh. </w:t>
      </w:r>
    </w:p>
    <w:p w:rsidR="00461FDA" w:rsidRPr="004673B0" w:rsidRDefault="00461FDA" w:rsidP="00FF6D48">
      <w:pPr>
        <w:pStyle w:val="Nadpis4"/>
        <w:keepNext w:val="0"/>
        <w:numPr>
          <w:ilvl w:val="0"/>
          <w:numId w:val="0"/>
        </w:numPr>
        <w:ind w:right="-6"/>
        <w:rPr>
          <w:noProof w:val="0"/>
        </w:rPr>
      </w:pPr>
      <w:r w:rsidRPr="004673B0">
        <w:rPr>
          <w:noProof w:val="0"/>
        </w:rPr>
        <w:t xml:space="preserve">Překážky vstupu na trh podporují stabilitu koluze mezi dotčenými podniky, jelikož absence překážek umožňuje vstup novým konkurentům na trh. Noví konkurenti mohou ke </w:t>
      </w:r>
      <w:r w:rsidR="00E07D26" w:rsidRPr="004673B0">
        <w:rPr>
          <w:rFonts w:cs="Arial"/>
          <w:noProof w:val="0"/>
          <w:color w:val="auto"/>
        </w:rPr>
        <w:t xml:space="preserve">společné strategii </w:t>
      </w:r>
      <w:r w:rsidRPr="004673B0">
        <w:rPr>
          <w:noProof w:val="0"/>
        </w:rPr>
        <w:t xml:space="preserve">buď přistoupit, čímž sníží výhodnost spolupráce pro všechny a tím pádem oslabí udržitelnost koluze, nebo ke </w:t>
      </w:r>
      <w:r w:rsidR="00E07D26" w:rsidRPr="004673B0">
        <w:rPr>
          <w:rFonts w:cs="Arial"/>
          <w:noProof w:val="0"/>
          <w:color w:val="auto"/>
        </w:rPr>
        <w:t xml:space="preserve">společné strategii </w:t>
      </w:r>
      <w:r w:rsidRPr="004673B0">
        <w:rPr>
          <w:noProof w:val="0"/>
        </w:rPr>
        <w:t xml:space="preserve">nepřistoupí a začnou se spolupracujícími podniky soutěžit. Obě možnosti zpravidla vedou ke snížení udržitelnosti </w:t>
      </w:r>
      <w:r w:rsidR="00E07D26" w:rsidRPr="004673B0">
        <w:rPr>
          <w:rFonts w:cs="Arial"/>
          <w:noProof w:val="0"/>
          <w:color w:val="auto"/>
        </w:rPr>
        <w:t>společn</w:t>
      </w:r>
      <w:r w:rsidR="00B24C05" w:rsidRPr="004673B0">
        <w:rPr>
          <w:rFonts w:cs="Arial"/>
          <w:noProof w:val="0"/>
          <w:color w:val="auto"/>
        </w:rPr>
        <w:t>é</w:t>
      </w:r>
      <w:r w:rsidR="00E07D26" w:rsidRPr="004673B0">
        <w:rPr>
          <w:rFonts w:cs="Arial"/>
          <w:noProof w:val="0"/>
          <w:color w:val="auto"/>
        </w:rPr>
        <w:t xml:space="preserve"> strategie</w:t>
      </w:r>
      <w:r w:rsidRPr="004673B0">
        <w:rPr>
          <w:noProof w:val="0"/>
        </w:rPr>
        <w:t>. V oblasti elektronických komunikací jsou překážky vstupu zpravidla vysoké</w:t>
      </w:r>
      <w:r w:rsidR="0076649B">
        <w:rPr>
          <w:noProof w:val="0"/>
        </w:rPr>
        <w:t>,</w:t>
      </w:r>
      <w:r w:rsidRPr="004673B0">
        <w:rPr>
          <w:noProof w:val="0"/>
        </w:rPr>
        <w:t xml:space="preserve"> ať už z důvodu vysokých vstupních investic a utopených nákladů, či z důvodu omezenosti rádiových kmitočtů.</w:t>
      </w:r>
      <w:r w:rsidRPr="004673B0">
        <w:rPr>
          <w:rStyle w:val="Znakapoznpodarou"/>
          <w:noProof w:val="0"/>
        </w:rPr>
        <w:footnoteReference w:id="118"/>
      </w:r>
    </w:p>
    <w:p w:rsidR="00461FDA" w:rsidRPr="004673B0" w:rsidRDefault="00461FDA" w:rsidP="00FF6D48">
      <w:pPr>
        <w:pStyle w:val="Nadpis4"/>
        <w:keepNext w:val="0"/>
        <w:numPr>
          <w:ilvl w:val="0"/>
          <w:numId w:val="0"/>
        </w:numPr>
        <w:ind w:right="-6"/>
        <w:rPr>
          <w:noProof w:val="0"/>
        </w:rPr>
      </w:pPr>
      <w:r w:rsidRPr="004673B0">
        <w:rPr>
          <w:noProof w:val="0"/>
        </w:rPr>
        <w:t xml:space="preserve">Absence překážek vstupu na trh nebo jejich nízká úroveň naznačují, že udržitelná </w:t>
      </w:r>
      <w:r w:rsidR="00E07D26" w:rsidRPr="004673B0">
        <w:rPr>
          <w:rFonts w:cs="Arial"/>
          <w:noProof w:val="0"/>
          <w:color w:val="auto"/>
        </w:rPr>
        <w:t xml:space="preserve">společná strategie </w:t>
      </w:r>
      <w:r w:rsidRPr="004673B0">
        <w:rPr>
          <w:noProof w:val="0"/>
        </w:rPr>
        <w:t>na relevantním trhu není pravděpodobná.</w:t>
      </w:r>
    </w:p>
    <w:p w:rsidR="00461FDA" w:rsidRPr="004673B0" w:rsidRDefault="00461FDA" w:rsidP="00FF6D48">
      <w:pPr>
        <w:pStyle w:val="Nadpis4"/>
        <w:keepNext w:val="0"/>
        <w:numPr>
          <w:ilvl w:val="0"/>
          <w:numId w:val="0"/>
        </w:numPr>
        <w:ind w:right="-6"/>
        <w:rPr>
          <w:noProof w:val="0"/>
        </w:rPr>
      </w:pPr>
      <w:r w:rsidRPr="004673B0">
        <w:rPr>
          <w:noProof w:val="0"/>
        </w:rPr>
        <w:t xml:space="preserve">Úřad zkoumá existenci a sílu překážek vstupu na trh společně s existencí a </w:t>
      </w:r>
      <w:r w:rsidR="00A539E8" w:rsidRPr="004673B0">
        <w:rPr>
          <w:noProof w:val="0"/>
        </w:rPr>
        <w:t>sílou potenciální konkurence.</w:t>
      </w:r>
    </w:p>
    <w:p w:rsidR="00461FDA" w:rsidRPr="004673B0" w:rsidRDefault="00461FDA" w:rsidP="00FF6D48">
      <w:pPr>
        <w:pStyle w:val="Nadpis4"/>
        <w:keepNext w:val="0"/>
        <w:numPr>
          <w:ilvl w:val="0"/>
          <w:numId w:val="24"/>
        </w:numPr>
        <w:ind w:right="-6"/>
        <w:rPr>
          <w:noProof w:val="0"/>
        </w:rPr>
      </w:pPr>
      <w:r w:rsidRPr="004673B0">
        <w:rPr>
          <w:noProof w:val="0"/>
        </w:rPr>
        <w:t xml:space="preserve">Kupní síla na straně poptávky. </w:t>
      </w:r>
    </w:p>
    <w:p w:rsidR="00461FDA" w:rsidRPr="004673B0" w:rsidRDefault="00461FDA" w:rsidP="00FF6D48">
      <w:pPr>
        <w:pStyle w:val="Nadpis4"/>
        <w:keepNext w:val="0"/>
        <w:numPr>
          <w:ilvl w:val="0"/>
          <w:numId w:val="0"/>
        </w:numPr>
        <w:ind w:right="-6"/>
        <w:rPr>
          <w:noProof w:val="0"/>
        </w:rPr>
      </w:pPr>
      <w:r w:rsidRPr="004673B0">
        <w:rPr>
          <w:noProof w:val="0"/>
        </w:rPr>
        <w:t xml:space="preserve">V případě, že má kupující kompenzující kupní sílu, kterou může ovlivnit nabídku, je udržitelnost </w:t>
      </w:r>
      <w:r w:rsidR="00E07D26" w:rsidRPr="004673B0">
        <w:rPr>
          <w:rFonts w:cs="Arial"/>
          <w:noProof w:val="0"/>
          <w:color w:val="auto"/>
        </w:rPr>
        <w:t>společn</w:t>
      </w:r>
      <w:r w:rsidR="005A1CA1" w:rsidRPr="004673B0">
        <w:rPr>
          <w:rFonts w:cs="Arial"/>
          <w:noProof w:val="0"/>
          <w:color w:val="auto"/>
        </w:rPr>
        <w:t>é</w:t>
      </w:r>
      <w:r w:rsidR="00E07D26" w:rsidRPr="004673B0">
        <w:rPr>
          <w:rFonts w:cs="Arial"/>
          <w:noProof w:val="0"/>
          <w:color w:val="auto"/>
        </w:rPr>
        <w:t xml:space="preserve"> strategie </w:t>
      </w:r>
      <w:r w:rsidRPr="004673B0">
        <w:rPr>
          <w:noProof w:val="0"/>
        </w:rPr>
        <w:t>mezi podniky na straně nabídky méně pravděpodobná, jelikož poptávkově určovaná cena bude zpravidla nižší než cena nabí</w:t>
      </w:r>
      <w:r w:rsidR="00A539E8" w:rsidRPr="004673B0">
        <w:rPr>
          <w:noProof w:val="0"/>
        </w:rPr>
        <w:t>zená spolupracujícími podniky.</w:t>
      </w:r>
    </w:p>
    <w:p w:rsidR="00461FDA" w:rsidRPr="004673B0" w:rsidRDefault="00461FDA" w:rsidP="00FF6D48">
      <w:pPr>
        <w:pStyle w:val="Nadpis4"/>
        <w:keepNext w:val="0"/>
        <w:numPr>
          <w:ilvl w:val="0"/>
          <w:numId w:val="24"/>
        </w:numPr>
        <w:ind w:right="-6"/>
        <w:rPr>
          <w:noProof w:val="0"/>
        </w:rPr>
      </w:pPr>
      <w:r w:rsidRPr="004673B0">
        <w:rPr>
          <w:noProof w:val="0"/>
        </w:rPr>
        <w:t xml:space="preserve">Potenciální konkurence. </w:t>
      </w:r>
    </w:p>
    <w:p w:rsidR="00461FDA" w:rsidRPr="004673B0" w:rsidRDefault="00461FDA" w:rsidP="00FF6D48">
      <w:pPr>
        <w:pStyle w:val="Nadpis4"/>
        <w:keepNext w:val="0"/>
        <w:numPr>
          <w:ilvl w:val="0"/>
          <w:numId w:val="0"/>
        </w:numPr>
        <w:ind w:right="-6"/>
        <w:rPr>
          <w:noProof w:val="0"/>
        </w:rPr>
      </w:pPr>
      <w:r w:rsidRPr="004673B0">
        <w:rPr>
          <w:noProof w:val="0"/>
        </w:rPr>
        <w:t>Možnost konkurence ovlivnit udržitelnost koluze zpravidla záleží na síle konkurence, případně na možnosti potenciální konkurence rychle přejít na poskytování dotčených produktů a služeb. V současné době lze za potenciální konkurenci pro poskytovatele služeb elektronických komunikací na maloobchodních trzích považovat poskytovatel</w:t>
      </w:r>
      <w:r w:rsidR="00E07D26" w:rsidRPr="004673B0">
        <w:rPr>
          <w:noProof w:val="0"/>
        </w:rPr>
        <w:t>e</w:t>
      </w:r>
      <w:r w:rsidRPr="004673B0">
        <w:rPr>
          <w:noProof w:val="0"/>
        </w:rPr>
        <w:t xml:space="preserve"> tzv. OTT (over-the-top) služeb. Perspektiva vybudování konkurenční infrastruktury může také ovlivnit existenci či alespoň udržitelnost </w:t>
      </w:r>
      <w:r w:rsidR="00E07D26" w:rsidRPr="004673B0">
        <w:rPr>
          <w:rFonts w:cs="Arial"/>
          <w:noProof w:val="0"/>
          <w:color w:val="auto"/>
        </w:rPr>
        <w:t>společné strategie</w:t>
      </w:r>
      <w:r w:rsidRPr="004673B0">
        <w:rPr>
          <w:noProof w:val="0"/>
        </w:rPr>
        <w:t>.</w:t>
      </w:r>
      <w:r w:rsidRPr="004673B0">
        <w:rPr>
          <w:rStyle w:val="Znakapoznpodarou"/>
          <w:noProof w:val="0"/>
        </w:rPr>
        <w:footnoteReference w:id="119"/>
      </w:r>
    </w:p>
    <w:p w:rsidR="00461FDA" w:rsidRPr="004673B0" w:rsidRDefault="00461FDA" w:rsidP="00FF6D48">
      <w:pPr>
        <w:pStyle w:val="N3"/>
        <w:keepNext w:val="0"/>
        <w:keepLines/>
      </w:pPr>
      <w:bookmarkStart w:id="231" w:name="_Toc440374096"/>
      <w:r w:rsidRPr="004673B0">
        <w:t>Důkazní břemeno ve věci prokazování společné významné tržní síly</w:t>
      </w:r>
      <w:bookmarkEnd w:id="231"/>
    </w:p>
    <w:p w:rsidR="00461FDA" w:rsidRPr="004673B0" w:rsidRDefault="00461FDA" w:rsidP="00FF6D48">
      <w:pPr>
        <w:pStyle w:val="Nadpis4"/>
        <w:keepNext w:val="0"/>
        <w:numPr>
          <w:ilvl w:val="0"/>
          <w:numId w:val="0"/>
        </w:numPr>
        <w:ind w:right="-6"/>
        <w:rPr>
          <w:noProof w:val="0"/>
        </w:rPr>
      </w:pPr>
      <w:r w:rsidRPr="004673B0">
        <w:rPr>
          <w:noProof w:val="0"/>
        </w:rPr>
        <w:t xml:space="preserve">Úřad posoudí, zda na relevantním trhu existují podniky se společnou významnou tržní silou na základě robustních, přesvědčivých a konzistentních skutečností, které mají spolehlivý faktický základ a na základě kterých lze s velkou pravděpodobností posoudit, že společná významná tržní síla povede k nedostatku účinné hospodářské soutěže na relevantním trhu v časovém rámci analýzy trhu. Úřad při zkoumání společné významné tržní síly vychází z absence </w:t>
      </w:r>
      <w:r w:rsidRPr="004673B0">
        <w:rPr>
          <w:i/>
          <w:noProof w:val="0"/>
        </w:rPr>
        <w:t xml:space="preserve">ex ante </w:t>
      </w:r>
      <w:r w:rsidRPr="004673B0">
        <w:rPr>
          <w:noProof w:val="0"/>
        </w:rPr>
        <w:t>regulace na daném trhu.</w:t>
      </w:r>
      <w:r w:rsidRPr="004673B0">
        <w:rPr>
          <w:rStyle w:val="Znakapoznpodarou"/>
          <w:noProof w:val="0"/>
        </w:rPr>
        <w:footnoteReference w:id="120"/>
      </w:r>
      <w:r w:rsidRPr="004673B0">
        <w:rPr>
          <w:noProof w:val="0"/>
        </w:rPr>
        <w:t xml:space="preserve"> </w:t>
      </w:r>
    </w:p>
    <w:p w:rsidR="00461FDA" w:rsidRPr="004673B0" w:rsidRDefault="00461FDA" w:rsidP="00FF6D48">
      <w:pPr>
        <w:pStyle w:val="Nadpis4"/>
        <w:keepNext w:val="0"/>
        <w:numPr>
          <w:ilvl w:val="0"/>
          <w:numId w:val="0"/>
        </w:numPr>
        <w:ind w:right="-6"/>
        <w:rPr>
          <w:rFonts w:cs="Arial"/>
          <w:noProof w:val="0"/>
        </w:rPr>
      </w:pPr>
      <w:r w:rsidRPr="004673B0">
        <w:rPr>
          <w:rFonts w:cs="Arial"/>
          <w:noProof w:val="0"/>
        </w:rPr>
        <w:t>Úřad posoudí existenci společné významné tržní síly vždy na základě dostatečných důkazů.</w:t>
      </w:r>
      <w:r w:rsidRPr="004673B0">
        <w:rPr>
          <w:rStyle w:val="Znakapoznpodarou"/>
          <w:rFonts w:cs="Arial"/>
          <w:noProof w:val="0"/>
        </w:rPr>
        <w:footnoteReference w:id="121"/>
      </w:r>
      <w:r w:rsidRPr="004673B0">
        <w:rPr>
          <w:rFonts w:cs="Arial"/>
          <w:noProof w:val="0"/>
        </w:rPr>
        <w:t xml:space="preserve"> V případě, že Úřad analyzuje velkoobchodní trh, vezme v potaz také strukturu a vlastnosti podřazeného maloobchodního trhu. Úřad v takovém případě vždy musí dostatečným způsobem prokázat propojení mezi maloobchodním a velkoobchodním trhem, zejména způsob, jakým se tržní podmínky na maloobchodní úrovni projeví na velkoobchodním trhu.</w:t>
      </w:r>
      <w:r w:rsidRPr="004673B0">
        <w:rPr>
          <w:rStyle w:val="Znakapoznpodarou"/>
          <w:rFonts w:cs="Arial"/>
          <w:noProof w:val="0"/>
        </w:rPr>
        <w:footnoteReference w:id="122"/>
      </w:r>
      <w:r w:rsidRPr="004673B0">
        <w:rPr>
          <w:rFonts w:cs="Arial"/>
          <w:noProof w:val="0"/>
        </w:rPr>
        <w:t xml:space="preserve"> Nalezení společné dominance na maloobchodním trhu automaticky neznamená, že existuje dominance</w:t>
      </w:r>
      <w:r w:rsidR="00EA233F" w:rsidRPr="004673B0">
        <w:rPr>
          <w:rFonts w:cs="Arial"/>
          <w:noProof w:val="0"/>
        </w:rPr>
        <w:t xml:space="preserve"> také na velkoobchodním trhu, a </w:t>
      </w:r>
      <w:r w:rsidRPr="004673B0">
        <w:rPr>
          <w:rFonts w:cs="Arial"/>
          <w:noProof w:val="0"/>
        </w:rPr>
        <w:t xml:space="preserve">naopak nenalezení společné dominance na maloobchodním trhu nevylučuje její existenci na trhu velkoobchodním. </w:t>
      </w:r>
    </w:p>
    <w:p w:rsidR="00461FDA" w:rsidRPr="004673B0" w:rsidRDefault="00461FDA" w:rsidP="00FF6D48">
      <w:pPr>
        <w:pStyle w:val="Nadpis4"/>
        <w:keepNext w:val="0"/>
        <w:numPr>
          <w:ilvl w:val="0"/>
          <w:numId w:val="0"/>
        </w:numPr>
        <w:ind w:right="-6"/>
        <w:rPr>
          <w:noProof w:val="0"/>
        </w:rPr>
      </w:pPr>
      <w:r w:rsidRPr="004673B0">
        <w:rPr>
          <w:rFonts w:cs="Arial"/>
          <w:noProof w:val="0"/>
        </w:rPr>
        <w:t>Úřad při posouzení</w:t>
      </w:r>
      <w:r w:rsidR="00B30F8A" w:rsidRPr="004673B0">
        <w:rPr>
          <w:rFonts w:cs="Arial"/>
          <w:noProof w:val="0"/>
        </w:rPr>
        <w:t>,</w:t>
      </w:r>
      <w:r w:rsidRPr="004673B0">
        <w:rPr>
          <w:rFonts w:cs="Arial"/>
          <w:noProof w:val="0"/>
        </w:rPr>
        <w:t xml:space="preserve"> zda existují podniky se společnou významnou tržní silou</w:t>
      </w:r>
      <w:r w:rsidR="00B30F8A" w:rsidRPr="004673B0">
        <w:rPr>
          <w:rFonts w:cs="Arial"/>
          <w:noProof w:val="0"/>
        </w:rPr>
        <w:t>,</w:t>
      </w:r>
      <w:r w:rsidRPr="004673B0">
        <w:rPr>
          <w:rFonts w:cs="Arial"/>
          <w:noProof w:val="0"/>
        </w:rPr>
        <w:t xml:space="preserve"> hodnotí, zda na základě výše uvedených kritérií vyplývajících z rozhodovací praxe orgánů Evropské unie a níže uvedených kritérií dle Vyhlášky existují podniky, které jsou v pozici disponovat společnou významnou tržní silou. Společná významná tržní síla mezi podniky existuje, pokud mají “</w:t>
      </w:r>
      <w:r w:rsidRPr="004673B0">
        <w:rPr>
          <w:rFonts w:cs="Arial"/>
          <w:i/>
          <w:noProof w:val="0"/>
        </w:rPr>
        <w:t xml:space="preserve">společně v podstatě stejné postavení vůči svým zákazníkům a konkurentům, jako má jediná společnost v dominantním postavení.“ </w:t>
      </w:r>
      <w:r w:rsidRPr="004673B0">
        <w:rPr>
          <w:rStyle w:val="Znakapoznpodarou"/>
          <w:rFonts w:cs="Arial"/>
          <w:noProof w:val="0"/>
        </w:rPr>
        <w:footnoteReference w:id="123"/>
      </w:r>
      <w:r w:rsidRPr="004673B0">
        <w:rPr>
          <w:noProof w:val="0"/>
        </w:rPr>
        <w:t xml:space="preserve"> </w:t>
      </w:r>
    </w:p>
    <w:p w:rsidR="00461FDA" w:rsidRPr="004673B0" w:rsidRDefault="00461FDA" w:rsidP="00FF6D48">
      <w:pPr>
        <w:pStyle w:val="N3"/>
        <w:keepNext w:val="0"/>
        <w:keepLines/>
      </w:pPr>
      <w:bookmarkStart w:id="232" w:name="_Toc440374097"/>
      <w:r w:rsidRPr="004673B0">
        <w:t>Kritéria vyplývající z</w:t>
      </w:r>
      <w:r w:rsidR="00060E05" w:rsidRPr="004673B0">
        <w:t> </w:t>
      </w:r>
      <w:r w:rsidR="00F75BFA" w:rsidRPr="004673B0">
        <w:t>Vyhlášky</w:t>
      </w:r>
      <w:bookmarkEnd w:id="232"/>
    </w:p>
    <w:p w:rsidR="00461FDA" w:rsidRPr="004673B0" w:rsidRDefault="00461FDA" w:rsidP="00FF6D48">
      <w:pPr>
        <w:pStyle w:val="Nadpis4"/>
        <w:keepNext w:val="0"/>
        <w:numPr>
          <w:ilvl w:val="0"/>
          <w:numId w:val="0"/>
        </w:numPr>
        <w:ind w:right="-6"/>
        <w:rPr>
          <w:noProof w:val="0"/>
        </w:rPr>
      </w:pPr>
      <w:r w:rsidRPr="004673B0">
        <w:rPr>
          <w:noProof w:val="0"/>
        </w:rPr>
        <w:t>Blíže specifikována jsou pouze ta kritéria, která nejsou popsána výše. Přístup</w:t>
      </w:r>
      <w:r w:rsidRPr="004673B0" w:rsidDel="007776EA">
        <w:rPr>
          <w:noProof w:val="0"/>
        </w:rPr>
        <w:t xml:space="preserve"> </w:t>
      </w:r>
      <w:r w:rsidRPr="004673B0">
        <w:rPr>
          <w:noProof w:val="0"/>
        </w:rPr>
        <w:t>Úřadu ke kritériím, která nejsou v této kapitole blíže popsána, je vysvětlen výše v rámci charakteristiky stejných/obdobných kritérií vyplývajících z ro</w:t>
      </w:r>
      <w:r w:rsidR="00A539E8" w:rsidRPr="004673B0">
        <w:rPr>
          <w:noProof w:val="0"/>
        </w:rPr>
        <w:t>zhodovací praxe SDEU a Komise.</w:t>
      </w:r>
    </w:p>
    <w:p w:rsidR="00461FDA" w:rsidRPr="004673B0" w:rsidRDefault="00461FDA" w:rsidP="00FF6D48">
      <w:pPr>
        <w:pStyle w:val="Nadpis4"/>
        <w:keepNext w:val="0"/>
        <w:numPr>
          <w:ilvl w:val="0"/>
          <w:numId w:val="25"/>
        </w:numPr>
        <w:ind w:right="-6"/>
        <w:rPr>
          <w:noProof w:val="0"/>
        </w:rPr>
      </w:pPr>
      <w:r w:rsidRPr="004673B0">
        <w:rPr>
          <w:noProof w:val="0"/>
        </w:rPr>
        <w:t>Malá pružnost poptávky</w:t>
      </w:r>
      <w:r w:rsidR="00232881">
        <w:rPr>
          <w:noProof w:val="0"/>
        </w:rPr>
        <w:t>.</w:t>
      </w:r>
    </w:p>
    <w:p w:rsidR="00461FDA" w:rsidRPr="004673B0" w:rsidRDefault="00461FDA" w:rsidP="00FF6D48">
      <w:pPr>
        <w:pStyle w:val="Odstavecseseznamem"/>
        <w:keepLines/>
        <w:tabs>
          <w:tab w:val="left" w:pos="127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Necitlivost zákazníků k cenovým změnám oslabuje motivaci k cenové konkurenci, neboť získat tržní podíl by vyžadovalo větší (a potenciálně ztrátové) snižování cen.</w:t>
      </w:r>
    </w:p>
    <w:p w:rsidR="00461FDA" w:rsidRPr="004673B0" w:rsidRDefault="00461FDA" w:rsidP="00FF6D48">
      <w:pPr>
        <w:pStyle w:val="Odstavecseseznamem"/>
        <w:keepLines/>
        <w:ind w:left="567" w:right="-6"/>
        <w:rPr>
          <w:rFonts w:cs="Arial"/>
          <w:noProof w:val="0"/>
        </w:rPr>
      </w:pPr>
    </w:p>
    <w:p w:rsidR="00461FDA" w:rsidRPr="004673B0" w:rsidRDefault="00461FDA" w:rsidP="00FF6D48">
      <w:pPr>
        <w:pStyle w:val="Odstavecseseznamem"/>
        <w:keepLines/>
        <w:ind w:left="0" w:right="-6"/>
        <w:rPr>
          <w:noProof w:val="0"/>
        </w:rPr>
      </w:pPr>
      <w:r w:rsidRPr="004673B0">
        <w:rPr>
          <w:rFonts w:cs="Arial"/>
          <w:noProof w:val="0"/>
        </w:rPr>
        <w:t>Empirická měření elasticity poptávky na trhu Úřad používá, pokud jsou dostupná, avšak velmi směrodatné jsou také strukturální faktory, neoficiální (skryté) důkazy a důkazy o nákupním chování zákazníků, např. pomocí průzkumů.</w:t>
      </w:r>
    </w:p>
    <w:p w:rsidR="00461FDA" w:rsidRPr="004673B0" w:rsidRDefault="00461FDA" w:rsidP="00FF6D48">
      <w:pPr>
        <w:pStyle w:val="Nadpis4"/>
        <w:keepNext w:val="0"/>
        <w:numPr>
          <w:ilvl w:val="0"/>
          <w:numId w:val="25"/>
        </w:numPr>
        <w:ind w:right="-6"/>
        <w:rPr>
          <w:noProof w:val="0"/>
        </w:rPr>
      </w:pPr>
      <w:r w:rsidRPr="004673B0">
        <w:rPr>
          <w:noProof w:val="0"/>
        </w:rPr>
        <w:t>Podobné tržní podíly</w:t>
      </w:r>
      <w:r w:rsidR="00232881">
        <w:rPr>
          <w:noProof w:val="0"/>
        </w:rPr>
        <w:t>.</w:t>
      </w:r>
    </w:p>
    <w:p w:rsidR="00461FDA" w:rsidRPr="004673B0" w:rsidRDefault="00461FDA" w:rsidP="00FF6D48">
      <w:pPr>
        <w:pStyle w:val="Nadpis4"/>
        <w:keepNext w:val="0"/>
        <w:numPr>
          <w:ilvl w:val="0"/>
          <w:numId w:val="0"/>
        </w:numPr>
        <w:ind w:right="-6"/>
        <w:rPr>
          <w:noProof w:val="0"/>
        </w:rPr>
      </w:pPr>
      <w:r w:rsidRPr="004673B0">
        <w:rPr>
          <w:rFonts w:cs="Arial"/>
          <w:noProof w:val="0"/>
        </w:rPr>
        <w:t xml:space="preserve">Podobné tržní podíly (zejména při vyšší koncentraci trhu) mají tendenci oslabovat motivaci k účinné konkurenci mezi dvěma a více </w:t>
      </w:r>
      <w:r w:rsidR="00233B2C" w:rsidRPr="004673B0">
        <w:rPr>
          <w:rFonts w:cs="Arial"/>
          <w:noProof w:val="0"/>
        </w:rPr>
        <w:t>konkurenty</w:t>
      </w:r>
      <w:r w:rsidRPr="004673B0">
        <w:rPr>
          <w:rFonts w:cs="Arial"/>
          <w:noProof w:val="0"/>
        </w:rPr>
        <w:t>, a proto je Úřad bere v potaz při stanovení existence společné tržní síly.</w:t>
      </w:r>
    </w:p>
    <w:p w:rsidR="00461FDA" w:rsidRPr="004673B0" w:rsidRDefault="00461FDA" w:rsidP="00FF6D48">
      <w:pPr>
        <w:pStyle w:val="Nadpis4"/>
        <w:keepNext w:val="0"/>
        <w:numPr>
          <w:ilvl w:val="0"/>
          <w:numId w:val="25"/>
        </w:numPr>
        <w:ind w:right="-6"/>
        <w:rPr>
          <w:noProof w:val="0"/>
        </w:rPr>
      </w:pPr>
      <w:r w:rsidRPr="004673B0">
        <w:rPr>
          <w:noProof w:val="0"/>
        </w:rPr>
        <w:t>Velké právní nebo ekonomické překážky vstupu na trh</w:t>
      </w:r>
      <w:r w:rsidR="00232881">
        <w:rPr>
          <w:noProof w:val="0"/>
        </w:rPr>
        <w:t>.</w:t>
      </w:r>
    </w:p>
    <w:p w:rsidR="00461FDA" w:rsidRPr="004673B0" w:rsidRDefault="00461FDA" w:rsidP="00FF6D48">
      <w:pPr>
        <w:pStyle w:val="Nadpis4"/>
        <w:keepNext w:val="0"/>
        <w:numPr>
          <w:ilvl w:val="0"/>
          <w:numId w:val="25"/>
        </w:numPr>
        <w:ind w:right="-6"/>
        <w:rPr>
          <w:noProof w:val="0"/>
        </w:rPr>
      </w:pPr>
      <w:r w:rsidRPr="004673B0">
        <w:rPr>
          <w:noProof w:val="0"/>
        </w:rPr>
        <w:t>Vertikální integrace se společným odmítáním dodávek</w:t>
      </w:r>
      <w:r w:rsidR="00232881">
        <w:rPr>
          <w:noProof w:val="0"/>
        </w:rPr>
        <w:t>.</w:t>
      </w:r>
    </w:p>
    <w:p w:rsidR="00461FDA" w:rsidRPr="004673B0" w:rsidRDefault="00461FDA" w:rsidP="00FF6D48">
      <w:pPr>
        <w:pStyle w:val="Nadpis4"/>
        <w:keepNext w:val="0"/>
        <w:numPr>
          <w:ilvl w:val="0"/>
          <w:numId w:val="25"/>
        </w:numPr>
        <w:ind w:right="-6"/>
        <w:rPr>
          <w:noProof w:val="0"/>
        </w:rPr>
      </w:pPr>
      <w:r w:rsidRPr="004673B0">
        <w:rPr>
          <w:noProof w:val="0"/>
        </w:rPr>
        <w:t>Nedostatečná kupní síla na straně poptávky</w:t>
      </w:r>
      <w:r w:rsidR="00232881">
        <w:rPr>
          <w:noProof w:val="0"/>
        </w:rPr>
        <w:t>.</w:t>
      </w:r>
    </w:p>
    <w:p w:rsidR="00461FDA" w:rsidRPr="004673B0" w:rsidRDefault="00461FDA" w:rsidP="00FF6D48">
      <w:pPr>
        <w:pStyle w:val="Nadpis4"/>
        <w:keepNext w:val="0"/>
        <w:numPr>
          <w:ilvl w:val="0"/>
          <w:numId w:val="25"/>
        </w:numPr>
        <w:ind w:right="-6"/>
        <w:rPr>
          <w:noProof w:val="0"/>
        </w:rPr>
      </w:pPr>
      <w:r w:rsidRPr="004673B0">
        <w:rPr>
          <w:noProof w:val="0"/>
        </w:rPr>
        <w:t>Nedostatečná potenciální konkurence</w:t>
      </w:r>
      <w:r w:rsidR="00232881">
        <w:rPr>
          <w:noProof w:val="0"/>
        </w:rPr>
        <w:t>.</w:t>
      </w:r>
      <w:r w:rsidRPr="004673B0">
        <w:rPr>
          <w:noProof w:val="0"/>
        </w:rPr>
        <w:t xml:space="preserve"> </w:t>
      </w:r>
    </w:p>
    <w:p w:rsidR="00461FDA" w:rsidRPr="004673B0" w:rsidRDefault="00461FDA" w:rsidP="00FF6D48">
      <w:pPr>
        <w:pStyle w:val="Nadpis3"/>
        <w:keepNext w:val="0"/>
        <w:keepLines/>
      </w:pPr>
      <w:r w:rsidRPr="004673B0">
        <w:t>Další kritéria vyplývající z dokumentů EU</w:t>
      </w:r>
      <w:r w:rsidRPr="004673B0">
        <w:rPr>
          <w:rStyle w:val="Znakapoznpodarou"/>
          <w:noProof w:val="0"/>
        </w:rPr>
        <w:footnoteReference w:id="124"/>
      </w:r>
    </w:p>
    <w:p w:rsidR="00461FDA" w:rsidRPr="004673B0" w:rsidRDefault="00461FDA" w:rsidP="00FF6D48">
      <w:pPr>
        <w:pStyle w:val="Odstavecseseznamem"/>
        <w:keepLines/>
        <w:numPr>
          <w:ilvl w:val="0"/>
          <w:numId w:val="26"/>
        </w:numPr>
        <w:spacing w:before="200" w:after="0"/>
        <w:ind w:right="-6"/>
        <w:contextualSpacing w:val="0"/>
        <w:rPr>
          <w:noProof w:val="0"/>
        </w:rPr>
      </w:pPr>
      <w:r w:rsidRPr="004673B0">
        <w:rPr>
          <w:noProof w:val="0"/>
        </w:rPr>
        <w:t>Vyspělost trhu</w:t>
      </w:r>
      <w:r w:rsidR="00232881">
        <w:rPr>
          <w:noProof w:val="0"/>
        </w:rPr>
        <w:t>.</w:t>
      </w:r>
    </w:p>
    <w:p w:rsidR="00461FDA" w:rsidRPr="004673B0" w:rsidRDefault="00461FD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567" w:right="-6"/>
        <w:rPr>
          <w:rFonts w:cs="Arial"/>
          <w:noProof w:val="0"/>
        </w:rPr>
      </w:pPr>
    </w:p>
    <w:p w:rsidR="00461FDA" w:rsidRPr="004673B0" w:rsidRDefault="00461FDA" w:rsidP="00FF6D48">
      <w:pPr>
        <w:pStyle w:val="Odstavecseseznamem"/>
        <w:keepLines/>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0" w:right="-6"/>
        <w:rPr>
          <w:rFonts w:cs="Arial"/>
          <w:noProof w:val="0"/>
        </w:rPr>
      </w:pPr>
      <w:r w:rsidRPr="004673B0">
        <w:rPr>
          <w:rFonts w:cs="Arial"/>
          <w:noProof w:val="0"/>
        </w:rPr>
        <w:t>Při posuzování vyspělosti trhu Úřad posuzuje zejména tempo růstu, míru penetrace a míru využití jednotlivých služeb.</w:t>
      </w:r>
    </w:p>
    <w:p w:rsidR="00461FDA" w:rsidRPr="004673B0" w:rsidRDefault="00461FDA" w:rsidP="00FF6D48">
      <w:pPr>
        <w:pStyle w:val="Odstavecseseznamem"/>
        <w:keepLines/>
        <w:numPr>
          <w:ilvl w:val="0"/>
          <w:numId w:val="26"/>
        </w:numPr>
        <w:spacing w:before="200" w:after="0"/>
        <w:ind w:right="-6"/>
        <w:contextualSpacing w:val="0"/>
        <w:rPr>
          <w:noProof w:val="0"/>
        </w:rPr>
      </w:pPr>
      <w:r w:rsidRPr="004673B0">
        <w:rPr>
          <w:noProof w:val="0"/>
        </w:rPr>
        <w:t>Stagnující nebo mírný růst poptávky</w:t>
      </w:r>
      <w:r w:rsidR="00232881">
        <w:rPr>
          <w:noProof w:val="0"/>
        </w:rPr>
        <w:t>.</w:t>
      </w:r>
      <w:r w:rsidRPr="004673B0">
        <w:rPr>
          <w:noProof w:val="0"/>
        </w:rPr>
        <w:t xml:space="preserve"> </w:t>
      </w:r>
    </w:p>
    <w:p w:rsidR="00461FDA" w:rsidRPr="004673B0" w:rsidRDefault="00461FD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ight="-6"/>
        <w:rPr>
          <w:rFonts w:cs="Arial"/>
          <w:noProof w:val="0"/>
        </w:rPr>
      </w:pPr>
    </w:p>
    <w:p w:rsidR="00461FDA" w:rsidRPr="004673B0" w:rsidRDefault="00461FDA" w:rsidP="00FF6D48">
      <w:pPr>
        <w:pStyle w:val="Odstavecseseznamem"/>
        <w:keepLines/>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Při posuzování vyspělosti trhu Úřad posuzuje zejména tempo růstu poptávky, kdy stagnující nebo jen mírný růst poptávky zvyšuje pravděpodobnost vzniku společné významné tržní síly.</w:t>
      </w:r>
    </w:p>
    <w:p w:rsidR="00461FDA" w:rsidRPr="004673B0" w:rsidRDefault="00461FDA" w:rsidP="00FF6D48">
      <w:pPr>
        <w:pStyle w:val="Odstavecseseznamem"/>
        <w:keepLines/>
        <w:numPr>
          <w:ilvl w:val="0"/>
          <w:numId w:val="26"/>
        </w:numPr>
        <w:spacing w:before="200" w:after="0"/>
        <w:ind w:right="-6"/>
        <w:contextualSpacing w:val="0"/>
        <w:rPr>
          <w:noProof w:val="0"/>
        </w:rPr>
      </w:pPr>
      <w:r w:rsidRPr="004673B0">
        <w:rPr>
          <w:noProof w:val="0"/>
        </w:rPr>
        <w:t>Homogenní produkt</w:t>
      </w:r>
      <w:r w:rsidR="00232881">
        <w:rPr>
          <w:noProof w:val="0"/>
        </w:rPr>
        <w:t>.</w:t>
      </w:r>
    </w:p>
    <w:p w:rsidR="00461FDA" w:rsidRPr="004673B0" w:rsidRDefault="00461FDA" w:rsidP="00FF6D48">
      <w:pPr>
        <w:pStyle w:val="Odstavecseseznamem"/>
        <w:keepLines/>
        <w:spacing w:before="200" w:after="0"/>
        <w:ind w:left="0" w:right="-6"/>
        <w:contextualSpacing w:val="0"/>
        <w:rPr>
          <w:noProof w:val="0"/>
        </w:rPr>
      </w:pPr>
      <w:r w:rsidRPr="004673B0">
        <w:rPr>
          <w:rFonts w:cs="Arial"/>
          <w:noProof w:val="0"/>
        </w:rPr>
        <w:t>Homogenní (stejnorodé) produkty</w:t>
      </w:r>
      <w:r w:rsidR="00ED1099" w:rsidRPr="004673B0">
        <w:rPr>
          <w:rFonts w:cs="Arial"/>
          <w:noProof w:val="0"/>
        </w:rPr>
        <w:t>,</w:t>
      </w:r>
      <w:r w:rsidR="00B30F8A" w:rsidRPr="004673B0">
        <w:rPr>
          <w:rFonts w:cs="Arial"/>
          <w:noProof w:val="0"/>
        </w:rPr>
        <w:t xml:space="preserve"> služ</w:t>
      </w:r>
      <w:r w:rsidRPr="004673B0">
        <w:rPr>
          <w:rFonts w:cs="Arial"/>
          <w:noProof w:val="0"/>
        </w:rPr>
        <w:t>b</w:t>
      </w:r>
      <w:r w:rsidR="00B30F8A" w:rsidRPr="004673B0">
        <w:rPr>
          <w:rFonts w:cs="Arial"/>
          <w:noProof w:val="0"/>
        </w:rPr>
        <w:t>y</w:t>
      </w:r>
      <w:r w:rsidRPr="004673B0">
        <w:rPr>
          <w:rFonts w:cs="Arial"/>
          <w:noProof w:val="0"/>
        </w:rPr>
        <w:t xml:space="preserve"> a vyspělé technologie (ty, co jsou již nějakou dobu k dispozici a jejichž rychlost inovace se zpomalila) činí porovnání nabídek přehlednější a usnadňují tak koordinaci. </w:t>
      </w:r>
    </w:p>
    <w:p w:rsidR="00461FDA" w:rsidRPr="004673B0" w:rsidRDefault="00461FDA" w:rsidP="00FF6D48">
      <w:pPr>
        <w:pStyle w:val="Odstavecseseznamem"/>
        <w:keepLines/>
        <w:numPr>
          <w:ilvl w:val="0"/>
          <w:numId w:val="26"/>
        </w:numPr>
        <w:spacing w:before="200" w:after="0"/>
        <w:ind w:right="-6"/>
        <w:contextualSpacing w:val="0"/>
        <w:rPr>
          <w:noProof w:val="0"/>
        </w:rPr>
      </w:pPr>
      <w:r w:rsidRPr="004673B0">
        <w:rPr>
          <w:noProof w:val="0"/>
        </w:rPr>
        <w:t>Podobné nákladové struktury</w:t>
      </w:r>
      <w:r w:rsidR="00232881">
        <w:rPr>
          <w:noProof w:val="0"/>
        </w:rPr>
        <w:t>.</w:t>
      </w:r>
    </w:p>
    <w:p w:rsidR="00461FDA" w:rsidRPr="004673B0" w:rsidRDefault="00461FDA" w:rsidP="00FF6D48">
      <w:pPr>
        <w:pStyle w:val="Odstavecseseznamem"/>
        <w:keepLines/>
        <w:spacing w:before="200" w:after="0"/>
        <w:ind w:left="0" w:right="-6"/>
        <w:contextualSpacing w:val="0"/>
        <w:rPr>
          <w:noProof w:val="0"/>
        </w:rPr>
      </w:pPr>
      <w:r w:rsidRPr="004673B0">
        <w:rPr>
          <w:rFonts w:cs="Arial"/>
          <w:noProof w:val="0"/>
        </w:rPr>
        <w:t>Subjekty, jejichž nákladové struktury se liší, jsou méně náchylné k</w:t>
      </w:r>
      <w:r w:rsidR="00ED1099" w:rsidRPr="004673B0">
        <w:rPr>
          <w:rFonts w:cs="Arial"/>
          <w:noProof w:val="0"/>
        </w:rPr>
        <w:t>e koluzi</w:t>
      </w:r>
      <w:r w:rsidRPr="004673B0">
        <w:rPr>
          <w:rFonts w:cs="Arial"/>
          <w:noProof w:val="0"/>
        </w:rPr>
        <w:t xml:space="preserve">, ať již formální, nebo neformální, o koordinované cenové politice. </w:t>
      </w:r>
    </w:p>
    <w:p w:rsidR="00461FDA" w:rsidRPr="004673B0" w:rsidRDefault="00461FDA" w:rsidP="00FF6D48">
      <w:pPr>
        <w:pStyle w:val="Odstavecseseznamem"/>
        <w:keepLines/>
        <w:numPr>
          <w:ilvl w:val="0"/>
          <w:numId w:val="26"/>
        </w:numPr>
        <w:spacing w:before="200" w:after="0"/>
        <w:ind w:right="-6"/>
        <w:contextualSpacing w:val="0"/>
        <w:rPr>
          <w:noProof w:val="0"/>
        </w:rPr>
      </w:pPr>
      <w:r w:rsidRPr="004673B0">
        <w:rPr>
          <w:noProof w:val="0"/>
        </w:rPr>
        <w:t>Nedostatek technické inovace a vyspělé technologie</w:t>
      </w:r>
      <w:r w:rsidR="00232881">
        <w:rPr>
          <w:noProof w:val="0"/>
        </w:rPr>
        <w:t>.</w:t>
      </w:r>
    </w:p>
    <w:p w:rsidR="00461FDA" w:rsidRPr="004673B0" w:rsidRDefault="00461FDA" w:rsidP="00FF6D48">
      <w:pPr>
        <w:pStyle w:val="Odstavecseseznamem"/>
        <w:keepLines/>
        <w:spacing w:before="200" w:after="0"/>
        <w:ind w:left="0" w:right="-6"/>
        <w:contextualSpacing w:val="0"/>
        <w:rPr>
          <w:noProof w:val="0"/>
        </w:rPr>
      </w:pPr>
      <w:r w:rsidRPr="004673B0">
        <w:rPr>
          <w:rFonts w:cs="Arial"/>
          <w:noProof w:val="0"/>
        </w:rPr>
        <w:t>Jedním z ukazatelů, které Úřad v této souvislosti zkoumá, je pravděpodobnost vstupu nových hráčů na trh. Vysoká míra inovace se vyznačuje i vyšší pravděpodobností vstupu nových hráčů na trh, což snižuje možnost vzniku společné významné tržní síly.</w:t>
      </w:r>
    </w:p>
    <w:p w:rsidR="00461FDA" w:rsidRPr="004673B0" w:rsidRDefault="00461FDA" w:rsidP="00FF6D48">
      <w:pPr>
        <w:pStyle w:val="Odstavecseseznamem"/>
        <w:keepLines/>
        <w:numPr>
          <w:ilvl w:val="0"/>
          <w:numId w:val="26"/>
        </w:numPr>
        <w:spacing w:before="200" w:after="0"/>
        <w:ind w:right="-6"/>
        <w:contextualSpacing w:val="0"/>
        <w:rPr>
          <w:noProof w:val="0"/>
        </w:rPr>
      </w:pPr>
      <w:r w:rsidRPr="004673B0">
        <w:rPr>
          <w:noProof w:val="0"/>
        </w:rPr>
        <w:t>Chybějící přebytek kapacity</w:t>
      </w:r>
      <w:r w:rsidR="00232881">
        <w:rPr>
          <w:noProof w:val="0"/>
        </w:rPr>
        <w:t>.</w:t>
      </w:r>
    </w:p>
    <w:p w:rsidR="00461FDA" w:rsidRPr="004673B0" w:rsidRDefault="00461FDA" w:rsidP="00FF6D48">
      <w:pPr>
        <w:pStyle w:val="Odstavecseseznamem"/>
        <w:keepLines/>
        <w:spacing w:before="200" w:after="0"/>
        <w:ind w:left="0" w:right="-6"/>
        <w:contextualSpacing w:val="0"/>
        <w:rPr>
          <w:noProof w:val="0"/>
        </w:rPr>
      </w:pPr>
      <w:r w:rsidRPr="004673B0">
        <w:rPr>
          <w:rFonts w:cs="Arial"/>
          <w:noProof w:val="0"/>
        </w:rPr>
        <w:t xml:space="preserve">Nemá-li žádný poskytovatel významnou nadbytečnou kapacitu, Úřad považuje existenci společné významné tržní síly za pravděpodobnější. </w:t>
      </w:r>
    </w:p>
    <w:p w:rsidR="00461FDA" w:rsidRPr="004673B0" w:rsidRDefault="00461FDA" w:rsidP="00FF6D48">
      <w:pPr>
        <w:pStyle w:val="Odstavecseseznamem"/>
        <w:keepLines/>
        <w:numPr>
          <w:ilvl w:val="0"/>
          <w:numId w:val="26"/>
        </w:numPr>
        <w:spacing w:before="200" w:after="0"/>
        <w:ind w:right="-6"/>
        <w:contextualSpacing w:val="0"/>
        <w:rPr>
          <w:noProof w:val="0"/>
        </w:rPr>
      </w:pPr>
      <w:r w:rsidRPr="004673B0">
        <w:rPr>
          <w:noProof w:val="0"/>
        </w:rPr>
        <w:t>Různé druhy neformální</w:t>
      </w:r>
      <w:r w:rsidR="00990502" w:rsidRPr="004673B0">
        <w:rPr>
          <w:noProof w:val="0"/>
        </w:rPr>
        <w:t>ch</w:t>
      </w:r>
      <w:r w:rsidRPr="004673B0">
        <w:rPr>
          <w:noProof w:val="0"/>
        </w:rPr>
        <w:t xml:space="preserve"> nebo jiných vazeb mezi dotčenými podniky</w:t>
      </w:r>
      <w:r w:rsidR="00232881">
        <w:rPr>
          <w:noProof w:val="0"/>
        </w:rPr>
        <w:t>.</w:t>
      </w:r>
    </w:p>
    <w:p w:rsidR="00461FDA" w:rsidRPr="004673B0" w:rsidRDefault="00461FDA" w:rsidP="00FF6D48">
      <w:pPr>
        <w:pStyle w:val="Odstavecseseznamem"/>
        <w:keepLines/>
        <w:spacing w:before="200" w:after="0"/>
        <w:ind w:left="0" w:right="-6"/>
        <w:contextualSpacing w:val="0"/>
        <w:rPr>
          <w:noProof w:val="0"/>
        </w:rPr>
      </w:pPr>
      <w:r w:rsidRPr="004673B0">
        <w:rPr>
          <w:rFonts w:cs="Arial"/>
          <w:noProof w:val="0"/>
        </w:rPr>
        <w:t xml:space="preserve">Úřad zkoumá strukturální a jiné neformální vazby mezi </w:t>
      </w:r>
      <w:r w:rsidR="00ED1099" w:rsidRPr="004673B0">
        <w:rPr>
          <w:rFonts w:cs="Arial"/>
          <w:noProof w:val="0"/>
        </w:rPr>
        <w:t>subjekty</w:t>
      </w:r>
      <w:r w:rsidRPr="004673B0">
        <w:rPr>
          <w:rFonts w:cs="Arial"/>
          <w:noProof w:val="0"/>
        </w:rPr>
        <w:t>, protože zvyšují pravděpodobnost, že budou vůči zákazníkům a konkurentům jednat jako jediný subjekt.</w:t>
      </w:r>
    </w:p>
    <w:p w:rsidR="00461FDA" w:rsidRPr="004673B0" w:rsidRDefault="00461FDA" w:rsidP="00FF6D48">
      <w:pPr>
        <w:pStyle w:val="Odstavecseseznamem"/>
        <w:keepLines/>
        <w:numPr>
          <w:ilvl w:val="0"/>
          <w:numId w:val="26"/>
        </w:numPr>
        <w:spacing w:before="200" w:after="0"/>
        <w:ind w:right="-6"/>
        <w:contextualSpacing w:val="0"/>
        <w:rPr>
          <w:noProof w:val="0"/>
        </w:rPr>
      </w:pPr>
      <w:r w:rsidRPr="004673B0">
        <w:rPr>
          <w:noProof w:val="0"/>
        </w:rPr>
        <w:t>Absence nebo nedostatečná cenová konkurence</w:t>
      </w:r>
      <w:r w:rsidR="00232881">
        <w:rPr>
          <w:noProof w:val="0"/>
        </w:rPr>
        <w:t>.</w:t>
      </w:r>
    </w:p>
    <w:p w:rsidR="00461FDA" w:rsidRPr="004673B0" w:rsidRDefault="00461FDA" w:rsidP="00FF6D48">
      <w:pPr>
        <w:pStyle w:val="Odstavecseseznamem"/>
        <w:keepLines/>
        <w:spacing w:before="200" w:after="0"/>
        <w:ind w:left="0" w:right="-6"/>
        <w:contextualSpacing w:val="0"/>
        <w:rPr>
          <w:noProof w:val="0"/>
        </w:rPr>
      </w:pPr>
      <w:r w:rsidRPr="004673B0">
        <w:rPr>
          <w:rFonts w:cs="Arial"/>
          <w:noProof w:val="0"/>
        </w:rPr>
        <w:t xml:space="preserve">Nedostatek nebo snížená cenová konkurence umožňuje </w:t>
      </w:r>
      <w:r w:rsidR="00233B2C" w:rsidRPr="004673B0">
        <w:rPr>
          <w:rFonts w:cs="Arial"/>
          <w:noProof w:val="0"/>
        </w:rPr>
        <w:t xml:space="preserve">podnikům s významnou tržní silou </w:t>
      </w:r>
      <w:r w:rsidRPr="004673B0">
        <w:rPr>
          <w:rFonts w:cs="Arial"/>
          <w:noProof w:val="0"/>
        </w:rPr>
        <w:t>zvyšovat ceny ziskově, tj. bez rizika s tím související ztráty podílu na trhu.</w:t>
      </w:r>
    </w:p>
    <w:p w:rsidR="00461FDA" w:rsidRPr="004673B0" w:rsidRDefault="00461FD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contextualSpacing w:val="0"/>
        <w:rPr>
          <w:rFonts w:cs="Arial"/>
          <w:noProof w:val="0"/>
        </w:rPr>
      </w:pPr>
      <w:r w:rsidRPr="004673B0">
        <w:rPr>
          <w:rFonts w:cs="Arial"/>
          <w:noProof w:val="0"/>
        </w:rPr>
        <w:t>Úřad zkoumá existenci konkurentů, kteří nejen že jsou schopni ceny snižovat, ale také je snižovat tak, aby to mělo výrazný dopad na tržní podíl – to snižuje pravděpodobnost existence společné význam</w:t>
      </w:r>
      <w:r w:rsidR="00B30F8A" w:rsidRPr="004673B0">
        <w:rPr>
          <w:rFonts w:cs="Arial"/>
          <w:noProof w:val="0"/>
        </w:rPr>
        <w:t>né tržní síly.</w:t>
      </w:r>
    </w:p>
    <w:p w:rsidR="00461FDA" w:rsidRPr="004673B0" w:rsidRDefault="00461FDA" w:rsidP="00FF6D48">
      <w:pPr>
        <w:pStyle w:val="Odstavecseseznamem"/>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6"/>
        <w:rPr>
          <w:rFonts w:cs="Arial"/>
          <w:noProof w:val="0"/>
        </w:rPr>
      </w:pPr>
      <w:r w:rsidRPr="004673B0">
        <w:rPr>
          <w:rFonts w:cs="Arial"/>
          <w:noProof w:val="0"/>
        </w:rPr>
        <w:t>Dále může Úřad zkoumat zejména necenové faktory při nákupních rozhodnutích zákazníků, jako je například image značky a sdílení stejných postojů, popřípadě přístup k distribučním kanálům.</w:t>
      </w:r>
    </w:p>
    <w:p w:rsidR="00461FDA" w:rsidRPr="004673B0" w:rsidRDefault="00461FDA" w:rsidP="00FF6D48">
      <w:pPr>
        <w:pStyle w:val="N3"/>
        <w:keepNext w:val="0"/>
        <w:keepLines/>
      </w:pPr>
      <w:bookmarkStart w:id="233" w:name="_Toc440374098"/>
      <w:r w:rsidRPr="004673B0">
        <w:t>Další kritéria</w:t>
      </w:r>
      <w:bookmarkEnd w:id="233"/>
      <w:r w:rsidR="00232881">
        <w:t>:</w:t>
      </w:r>
    </w:p>
    <w:p w:rsidR="00461FDA" w:rsidRPr="004673B0" w:rsidRDefault="00461FDA" w:rsidP="00FF6D48">
      <w:pPr>
        <w:pStyle w:val="Odstavecseseznamem"/>
        <w:keepLines/>
        <w:numPr>
          <w:ilvl w:val="0"/>
          <w:numId w:val="27"/>
        </w:numPr>
        <w:spacing w:before="200" w:after="0"/>
        <w:ind w:right="-6"/>
        <w:contextualSpacing w:val="0"/>
        <w:rPr>
          <w:noProof w:val="0"/>
        </w:rPr>
      </w:pPr>
      <w:r w:rsidRPr="004673B0">
        <w:rPr>
          <w:noProof w:val="0"/>
        </w:rPr>
        <w:t>Předchozí protisoutěžní chování</w:t>
      </w:r>
      <w:r w:rsidR="00232881">
        <w:rPr>
          <w:noProof w:val="0"/>
        </w:rPr>
        <w:t>.</w:t>
      </w:r>
    </w:p>
    <w:p w:rsidR="00461FDA" w:rsidRPr="004673B0" w:rsidRDefault="00461FDA" w:rsidP="00FF6D48">
      <w:pPr>
        <w:keepLines/>
        <w:spacing w:before="200"/>
        <w:ind w:right="-6"/>
        <w:rPr>
          <w:rFonts w:cs="Arial"/>
          <w:noProof w:val="0"/>
        </w:rPr>
      </w:pPr>
      <w:r w:rsidRPr="004673B0">
        <w:rPr>
          <w:rFonts w:cs="Arial"/>
          <w:noProof w:val="0"/>
        </w:rPr>
        <w:t>Na účinně konkurenčních relevantních trzích nedochází k explicitní či tacitní koluzi mezi konkurenty. Úřad při zkoumání úrovně hospodářské soutěže přihlíží k historickému chování konkurentů na dotčeném trhu, zda na trhu došlo k uzavření protisoutěžních dohod či k jiné formě spolupráce</w:t>
      </w:r>
      <w:r w:rsidR="00EB2E92" w:rsidRPr="004673B0">
        <w:rPr>
          <w:rFonts w:cs="Arial"/>
          <w:noProof w:val="0"/>
        </w:rPr>
        <w:t xml:space="preserve"> či společné strategie</w:t>
      </w:r>
      <w:r w:rsidR="00A539E8" w:rsidRPr="004673B0">
        <w:rPr>
          <w:rFonts w:cs="Arial"/>
          <w:noProof w:val="0"/>
        </w:rPr>
        <w:t>.</w:t>
      </w:r>
    </w:p>
    <w:p w:rsidR="00461FDA" w:rsidRPr="004673B0" w:rsidRDefault="00461FDA" w:rsidP="00FF6D48">
      <w:pPr>
        <w:pStyle w:val="Odstavecseseznamem"/>
        <w:keepLines/>
        <w:numPr>
          <w:ilvl w:val="0"/>
          <w:numId w:val="27"/>
        </w:numPr>
        <w:spacing w:before="200" w:after="0"/>
        <w:ind w:right="-6"/>
        <w:contextualSpacing w:val="0"/>
        <w:rPr>
          <w:noProof w:val="0"/>
        </w:rPr>
      </w:pPr>
      <w:r w:rsidRPr="004673B0">
        <w:rPr>
          <w:noProof w:val="0"/>
        </w:rPr>
        <w:t>Mezinárodní benchmark</w:t>
      </w:r>
      <w:r w:rsidR="00232881">
        <w:rPr>
          <w:noProof w:val="0"/>
        </w:rPr>
        <w:t>.</w:t>
      </w:r>
    </w:p>
    <w:p w:rsidR="00265E1D" w:rsidRPr="004673B0" w:rsidRDefault="00461FDA" w:rsidP="00FF6D48">
      <w:pPr>
        <w:pStyle w:val="Nadpis4"/>
        <w:keepNext w:val="0"/>
        <w:numPr>
          <w:ilvl w:val="0"/>
          <w:numId w:val="0"/>
        </w:numPr>
        <w:ind w:right="-6"/>
        <w:rPr>
          <w:noProof w:val="0"/>
        </w:rPr>
      </w:pPr>
      <w:r w:rsidRPr="004673B0">
        <w:rPr>
          <w:noProof w:val="0"/>
        </w:rPr>
        <w:t>Úřad porovná výsledky vyhodnocení jednotlivých kritérií se situací na trhu ve srovnatelných ekonomikách. Úřad při porovnání výsledků vždy bere v úvahu existenci významné tržní síly na jednotlivých trzích a své výsledky vyhodnotí s ohledem na tuto skutečnost.</w:t>
      </w:r>
      <w:r w:rsidRPr="004673B0">
        <w:rPr>
          <w:rStyle w:val="Znakapoznpodarou"/>
          <w:noProof w:val="0"/>
        </w:rPr>
        <w:footnoteReference w:id="125"/>
      </w:r>
      <w:r w:rsidRPr="004673B0">
        <w:rPr>
          <w:noProof w:val="0"/>
        </w:rPr>
        <w:t xml:space="preserve"> </w:t>
      </w:r>
    </w:p>
    <w:p w:rsidR="00D9127E" w:rsidRPr="004673B0" w:rsidRDefault="00D9127E" w:rsidP="004C3085">
      <w:pPr>
        <w:pStyle w:val="N1"/>
        <w:keepNext w:val="0"/>
      </w:pPr>
      <w:bookmarkStart w:id="234" w:name="_Ref433131728"/>
      <w:bookmarkStart w:id="235" w:name="_Toc440374099"/>
      <w:r w:rsidRPr="004673B0">
        <w:t>Identifikace potenciálních soutěžních problémů a určení nápravných opatření</w:t>
      </w:r>
      <w:bookmarkEnd w:id="234"/>
      <w:bookmarkEnd w:id="235"/>
    </w:p>
    <w:p w:rsidR="00D9127E" w:rsidRPr="004673B0" w:rsidRDefault="00D9127E" w:rsidP="004C3085">
      <w:pPr>
        <w:pStyle w:val="N2"/>
        <w:keepNext w:val="0"/>
      </w:pPr>
      <w:bookmarkStart w:id="236" w:name="_Ref433131715"/>
      <w:bookmarkStart w:id="237" w:name="_Toc440374100"/>
      <w:r w:rsidRPr="004673B0">
        <w:t>Identifikace potenciálních soutěžních problémů</w:t>
      </w:r>
      <w:bookmarkEnd w:id="236"/>
      <w:bookmarkEnd w:id="237"/>
    </w:p>
    <w:p w:rsidR="00D9127E" w:rsidRPr="004673B0" w:rsidRDefault="00D9127E" w:rsidP="00D9127E">
      <w:pPr>
        <w:spacing w:before="200" w:after="0"/>
      </w:pPr>
      <w:r w:rsidRPr="004673B0">
        <w:t>Pokud Úřad na základě vymezení a analýzy relevantního trhu zjistí, že daný relevantní trh není efektivně konkurenční, stanoví na relevantním trhu podnik s významnou tržní silou. Za účelem nápravy neefektivní konkurence a nahrazení chybějícíh účinků hospodářské soutěž</w:t>
      </w:r>
      <w:r w:rsidR="00FF6D48">
        <w:t>e</w:t>
      </w:r>
      <w:r w:rsidRPr="004673B0">
        <w:t xml:space="preserve"> Úřad navrhne na takovém trhu uložit </w:t>
      </w:r>
      <w:r w:rsidR="006A7E4B" w:rsidRPr="004673B0">
        <w:t xml:space="preserve">povinnosti neboli </w:t>
      </w:r>
      <w:r w:rsidRPr="004673B0">
        <w:t>nápravná opatření.</w:t>
      </w:r>
      <w:r w:rsidR="006A7E4B" w:rsidRPr="004673B0">
        <w:rPr>
          <w:rStyle w:val="Znakapoznpodarou"/>
        </w:rPr>
        <w:footnoteReference w:id="126"/>
      </w:r>
      <w:r w:rsidRPr="004673B0">
        <w:t xml:space="preserve"> </w:t>
      </w:r>
      <w:r w:rsidR="009108C7" w:rsidRPr="004673B0">
        <w:t>Pro určení</w:t>
      </w:r>
      <w:r w:rsidR="00BC44E0" w:rsidRPr="004673B0">
        <w:t>, kterého</w:t>
      </w:r>
      <w:r w:rsidRPr="004673B0">
        <w:t xml:space="preserve"> nápravné</w:t>
      </w:r>
      <w:r w:rsidR="009108C7" w:rsidRPr="004673B0">
        <w:t>ho</w:t>
      </w:r>
      <w:r w:rsidRPr="004673B0">
        <w:t xml:space="preserve"> opatření je vhodné využít na konkrétním relevantním trhu</w:t>
      </w:r>
      <w:r w:rsidR="00BC44E0" w:rsidRPr="004673B0">
        <w:t>,</w:t>
      </w:r>
      <w:r w:rsidRPr="004673B0">
        <w:t xml:space="preserve"> Úřad </w:t>
      </w:r>
      <w:r w:rsidR="009108C7" w:rsidRPr="004673B0">
        <w:t>předem</w:t>
      </w:r>
      <w:r w:rsidRPr="004673B0">
        <w:t xml:space="preserve"> </w:t>
      </w:r>
      <w:r w:rsidR="009108C7" w:rsidRPr="004673B0">
        <w:t xml:space="preserve">identifikuje </w:t>
      </w:r>
      <w:r w:rsidRPr="004673B0">
        <w:t>potenciální soutěžní problémy, zjist</w:t>
      </w:r>
      <w:r w:rsidR="009108C7" w:rsidRPr="004673B0">
        <w:t>í</w:t>
      </w:r>
      <w:r w:rsidRPr="004673B0">
        <w:t xml:space="preserve"> jejich povahu a rozsah. </w:t>
      </w:r>
    </w:p>
    <w:p w:rsidR="00CB36F1" w:rsidRPr="004673B0" w:rsidRDefault="00BF293D" w:rsidP="00CB36F1">
      <w:pPr>
        <w:pStyle w:val="Nadpis3"/>
      </w:pPr>
      <w:bookmarkStart w:id="238" w:name="_Ref433365819"/>
      <w:r w:rsidRPr="004673B0">
        <w:t>Příkladmý výčet nejčastějších</w:t>
      </w:r>
      <w:r w:rsidR="00CB36F1" w:rsidRPr="004673B0">
        <w:t xml:space="preserve"> potenciálních soutěžních problémů</w:t>
      </w:r>
      <w:bookmarkEnd w:id="238"/>
      <w:r w:rsidR="00CB36F1" w:rsidRPr="004673B0">
        <w:t xml:space="preserve"> </w:t>
      </w:r>
    </w:p>
    <w:p w:rsidR="00CB36F1" w:rsidRPr="004673B0" w:rsidRDefault="00A57748" w:rsidP="00252AAA">
      <w:pPr>
        <w:spacing w:before="200" w:after="0"/>
      </w:pPr>
      <w:r w:rsidRPr="004673B0">
        <w:t>Některé</w:t>
      </w:r>
      <w:r w:rsidR="00CB36F1" w:rsidRPr="004673B0">
        <w:t xml:space="preserve"> potenciální soutěžní problémy, kt</w:t>
      </w:r>
      <w:r w:rsidR="00FB2AD5" w:rsidRPr="004673B0">
        <w:t>eré se vyskytují na trzích elek</w:t>
      </w:r>
      <w:r w:rsidR="00CB36F1" w:rsidRPr="004673B0">
        <w:t>tr</w:t>
      </w:r>
      <w:r w:rsidR="00FB2AD5" w:rsidRPr="004673B0">
        <w:t>onických komunikací</w:t>
      </w:r>
      <w:r w:rsidR="00CB36F1" w:rsidRPr="004673B0">
        <w:t>,</w:t>
      </w:r>
      <w:r w:rsidR="003A4D4D" w:rsidRPr="004673B0">
        <w:t xml:space="preserve"> jsou uvedené v příkladmém </w:t>
      </w:r>
      <w:r w:rsidR="00BF293D" w:rsidRPr="004673B0">
        <w:t>výčtu</w:t>
      </w:r>
      <w:r w:rsidR="003A4D4D" w:rsidRPr="004673B0">
        <w:t xml:space="preserve"> níže. Při identifikaci </w:t>
      </w:r>
      <w:r w:rsidR="00CB36F1" w:rsidRPr="004673B0">
        <w:t xml:space="preserve">potenciálních soutěžních problémů dle této kapitoly </w:t>
      </w:r>
      <w:r w:rsidR="00CB36F1" w:rsidRPr="004673B0">
        <w:fldChar w:fldCharType="begin"/>
      </w:r>
      <w:r w:rsidR="00CB36F1" w:rsidRPr="004673B0">
        <w:instrText xml:space="preserve"> REF _Ref433131728 \r \h </w:instrText>
      </w:r>
      <w:r w:rsidR="004673B0">
        <w:instrText xml:space="preserve"> \* MERGEFORMAT </w:instrText>
      </w:r>
      <w:r w:rsidR="00CB36F1" w:rsidRPr="004673B0">
        <w:fldChar w:fldCharType="separate"/>
      </w:r>
      <w:r w:rsidR="00067C1B">
        <w:t>7</w:t>
      </w:r>
      <w:r w:rsidR="00CB36F1" w:rsidRPr="004673B0">
        <w:fldChar w:fldCharType="end"/>
      </w:r>
      <w:r w:rsidR="00CB36F1" w:rsidRPr="004673B0">
        <w:t xml:space="preserve"> Metodiky</w:t>
      </w:r>
      <w:r w:rsidR="003A4D4D" w:rsidRPr="004673B0">
        <w:t xml:space="preserve"> Úřad přihlédne k tomuto </w:t>
      </w:r>
      <w:r w:rsidR="00BF293D" w:rsidRPr="004673B0">
        <w:t>výčtu</w:t>
      </w:r>
      <w:r w:rsidR="003A4D4D" w:rsidRPr="004673B0">
        <w:t xml:space="preserve">; nejedná se </w:t>
      </w:r>
      <w:r w:rsidR="00BF293D" w:rsidRPr="004673B0">
        <w:t>však</w:t>
      </w:r>
      <w:r w:rsidR="003A4D4D" w:rsidRPr="004673B0">
        <w:t xml:space="preserve"> o závazný seznam</w:t>
      </w:r>
      <w:r w:rsidRPr="004673B0">
        <w:t xml:space="preserve"> a Úřad</w:t>
      </w:r>
      <w:r w:rsidR="00BF293D" w:rsidRPr="004673B0">
        <w:t xml:space="preserve"> s uložením nápravných opatření může adresovat i jiné potenciální soutěžní problémy </w:t>
      </w:r>
      <w:r w:rsidR="00252AAA" w:rsidRPr="004673B0">
        <w:t>zjištěné</w:t>
      </w:r>
      <w:r w:rsidR="00BF293D" w:rsidRPr="004673B0">
        <w:t xml:space="preserve"> na základě</w:t>
      </w:r>
      <w:r w:rsidRPr="004673B0">
        <w:t xml:space="preserve"> individuáln</w:t>
      </w:r>
      <w:r w:rsidR="00BF293D" w:rsidRPr="004673B0">
        <w:t>í</w:t>
      </w:r>
      <w:r w:rsidRPr="004673B0">
        <w:t xml:space="preserve"> situac</w:t>
      </w:r>
      <w:r w:rsidR="00BF293D" w:rsidRPr="004673B0">
        <w:t>e</w:t>
      </w:r>
      <w:r w:rsidRPr="004673B0">
        <w:t xml:space="preserve"> na relevantním trhu. Mezi</w:t>
      </w:r>
      <w:r w:rsidR="00BF293D" w:rsidRPr="004673B0">
        <w:t xml:space="preserve"> nejčastější</w:t>
      </w:r>
      <w:r w:rsidRPr="004673B0">
        <w:t xml:space="preserve"> potenciální soutěžní problémy vyskytující se na trzích elektronických komunikací</w:t>
      </w:r>
      <w:r w:rsidR="00CB36F1" w:rsidRPr="004673B0">
        <w:t xml:space="preserve"> patří:</w:t>
      </w:r>
      <w:r w:rsidR="00CB36F1" w:rsidRPr="004673B0">
        <w:rPr>
          <w:rStyle w:val="Znakapoznpodarou"/>
        </w:rPr>
        <w:footnoteReference w:id="127"/>
      </w:r>
      <w:r w:rsidR="00CB36F1" w:rsidRPr="004673B0">
        <w:rPr>
          <w:rStyle w:val="Znakapoznpodarou"/>
        </w:rPr>
        <w:footnoteReference w:id="128"/>
      </w:r>
    </w:p>
    <w:p w:rsidR="00CB36F1" w:rsidRPr="004673B0" w:rsidRDefault="00232881" w:rsidP="00A57748">
      <w:pPr>
        <w:pStyle w:val="Odstavecseseznamem"/>
        <w:numPr>
          <w:ilvl w:val="0"/>
          <w:numId w:val="45"/>
        </w:numPr>
        <w:spacing w:before="200" w:after="0"/>
      </w:pPr>
      <w:r>
        <w:rPr>
          <w:b/>
        </w:rPr>
        <w:t>o</w:t>
      </w:r>
      <w:r w:rsidR="00FF44ED" w:rsidRPr="004673B0">
        <w:rPr>
          <w:b/>
        </w:rPr>
        <w:t>dmítání</w:t>
      </w:r>
      <w:r w:rsidR="00CB36F1" w:rsidRPr="004673B0">
        <w:rPr>
          <w:b/>
        </w:rPr>
        <w:t xml:space="preserve"> přístupu</w:t>
      </w:r>
      <w:r>
        <w:rPr>
          <w:b/>
        </w:rPr>
        <w:t>;</w:t>
      </w:r>
      <w:r w:rsidR="00CB36F1" w:rsidRPr="004673B0">
        <w:t xml:space="preserve"> </w:t>
      </w:r>
    </w:p>
    <w:p w:rsidR="00977DEE" w:rsidRPr="004673B0" w:rsidRDefault="00232881" w:rsidP="001B0DD9">
      <w:pPr>
        <w:pStyle w:val="Odstavecseseznamem"/>
        <w:numPr>
          <w:ilvl w:val="0"/>
          <w:numId w:val="45"/>
        </w:numPr>
        <w:spacing w:before="200" w:after="0"/>
      </w:pPr>
      <w:r>
        <w:rPr>
          <w:b/>
        </w:rPr>
        <w:t>o</w:t>
      </w:r>
      <w:r w:rsidR="00FF44ED" w:rsidRPr="004673B0">
        <w:rPr>
          <w:b/>
        </w:rPr>
        <w:t>dmítání</w:t>
      </w:r>
      <w:r w:rsidR="00CB36F1" w:rsidRPr="004673B0">
        <w:rPr>
          <w:b/>
        </w:rPr>
        <w:t xml:space="preserve"> navázání jednání</w:t>
      </w:r>
      <w:r w:rsidR="00AA3F9C" w:rsidRPr="004673B0">
        <w:rPr>
          <w:b/>
        </w:rPr>
        <w:t xml:space="preserve"> či obchodního styku</w:t>
      </w:r>
      <w:r>
        <w:rPr>
          <w:b/>
        </w:rPr>
        <w:t>;</w:t>
      </w:r>
    </w:p>
    <w:p w:rsidR="00977DEE" w:rsidRPr="004673B0" w:rsidRDefault="00232881" w:rsidP="00A57748">
      <w:pPr>
        <w:pStyle w:val="Odstavecseseznamem"/>
        <w:numPr>
          <w:ilvl w:val="0"/>
          <w:numId w:val="45"/>
        </w:numPr>
        <w:spacing w:before="200" w:after="0"/>
      </w:pPr>
      <w:r>
        <w:rPr>
          <w:b/>
        </w:rPr>
        <w:t>d</w:t>
      </w:r>
      <w:r w:rsidR="00A57748" w:rsidRPr="004673B0">
        <w:rPr>
          <w:b/>
        </w:rPr>
        <w:t>iskriminační využití informací</w:t>
      </w:r>
      <w:r w:rsidR="00A57748" w:rsidRPr="004673B0">
        <w:t xml:space="preserve"> nebo </w:t>
      </w:r>
      <w:r w:rsidR="00A57748" w:rsidRPr="004673B0">
        <w:rPr>
          <w:b/>
        </w:rPr>
        <w:t>diskriminační omezení přístupu k</w:t>
      </w:r>
      <w:r>
        <w:rPr>
          <w:b/>
        </w:rPr>
        <w:t> </w:t>
      </w:r>
      <w:r w:rsidR="00AA3F9C" w:rsidRPr="004673B0">
        <w:rPr>
          <w:b/>
        </w:rPr>
        <w:t>informacím</w:t>
      </w:r>
      <w:r>
        <w:rPr>
          <w:b/>
        </w:rPr>
        <w:t>;</w:t>
      </w:r>
    </w:p>
    <w:p w:rsidR="00E67CFF" w:rsidRPr="004673B0" w:rsidRDefault="00232881" w:rsidP="00652340">
      <w:pPr>
        <w:pStyle w:val="Odstavecseseznamem"/>
        <w:numPr>
          <w:ilvl w:val="0"/>
          <w:numId w:val="45"/>
        </w:numPr>
        <w:spacing w:before="200" w:after="0"/>
      </w:pPr>
      <w:r>
        <w:rPr>
          <w:b/>
        </w:rPr>
        <w:t>z</w:t>
      </w:r>
      <w:r w:rsidR="00E67CFF" w:rsidRPr="004673B0">
        <w:rPr>
          <w:b/>
        </w:rPr>
        <w:t>držovací taktik</w:t>
      </w:r>
      <w:r w:rsidR="00FF44ED" w:rsidRPr="004673B0">
        <w:rPr>
          <w:b/>
        </w:rPr>
        <w:t>y</w:t>
      </w:r>
      <w:r>
        <w:rPr>
          <w:b/>
        </w:rPr>
        <w:t>;</w:t>
      </w:r>
    </w:p>
    <w:p w:rsidR="00AA3F9C" w:rsidRPr="004673B0" w:rsidRDefault="00232881" w:rsidP="00A57748">
      <w:pPr>
        <w:pStyle w:val="Odstavecseseznamem"/>
        <w:numPr>
          <w:ilvl w:val="0"/>
          <w:numId w:val="45"/>
        </w:numPr>
        <w:spacing w:before="200" w:after="0"/>
      </w:pPr>
      <w:r>
        <w:rPr>
          <w:b/>
        </w:rPr>
        <w:t>s</w:t>
      </w:r>
      <w:r w:rsidR="00BF293D" w:rsidRPr="004673B0">
        <w:rPr>
          <w:b/>
        </w:rPr>
        <w:t>outěžní problémy související s </w:t>
      </w:r>
      <w:r w:rsidR="00FF44ED" w:rsidRPr="004673B0">
        <w:rPr>
          <w:b/>
        </w:rPr>
        <w:t>vázán</w:t>
      </w:r>
      <w:r w:rsidR="00BF293D" w:rsidRPr="004673B0">
        <w:rPr>
          <w:b/>
        </w:rPr>
        <w:t>ím služeb</w:t>
      </w:r>
      <w:r w:rsidR="00FF44ED" w:rsidRPr="004673B0">
        <w:rPr>
          <w:b/>
        </w:rPr>
        <w:t>/produkt</w:t>
      </w:r>
      <w:r w:rsidR="00BF293D" w:rsidRPr="004673B0">
        <w:rPr>
          <w:b/>
        </w:rPr>
        <w:t>ů</w:t>
      </w:r>
      <w:r>
        <w:rPr>
          <w:b/>
        </w:rPr>
        <w:t>;</w:t>
      </w:r>
    </w:p>
    <w:p w:rsidR="00465F89" w:rsidRPr="004673B0" w:rsidRDefault="00232881" w:rsidP="00A57748">
      <w:pPr>
        <w:pStyle w:val="Odstavecseseznamem"/>
        <w:numPr>
          <w:ilvl w:val="0"/>
          <w:numId w:val="45"/>
        </w:numPr>
        <w:spacing w:before="200" w:after="0"/>
      </w:pPr>
      <w:r>
        <w:rPr>
          <w:b/>
        </w:rPr>
        <w:t>n</w:t>
      </w:r>
      <w:r w:rsidR="00E67CFF" w:rsidRPr="004673B0">
        <w:rPr>
          <w:b/>
        </w:rPr>
        <w:t>epřiměřené podmínky</w:t>
      </w:r>
      <w:r w:rsidR="00465F89" w:rsidRPr="004673B0">
        <w:t xml:space="preserve"> pro </w:t>
      </w:r>
      <w:r w:rsidR="00FF44ED" w:rsidRPr="004673B0">
        <w:t>konkurenci</w:t>
      </w:r>
      <w:r>
        <w:t>;</w:t>
      </w:r>
    </w:p>
    <w:p w:rsidR="00465F89" w:rsidRPr="004673B0" w:rsidRDefault="00232881" w:rsidP="00A57748">
      <w:pPr>
        <w:pStyle w:val="Odstavecseseznamem"/>
        <w:numPr>
          <w:ilvl w:val="0"/>
          <w:numId w:val="45"/>
        </w:numPr>
        <w:spacing w:before="200" w:after="0"/>
      </w:pPr>
      <w:r>
        <w:rPr>
          <w:b/>
        </w:rPr>
        <w:t>d</w:t>
      </w:r>
      <w:r w:rsidR="00DF5216" w:rsidRPr="004673B0">
        <w:rPr>
          <w:b/>
        </w:rPr>
        <w:t>iskriminace</w:t>
      </w:r>
      <w:r w:rsidR="00DF5216" w:rsidRPr="004673B0">
        <w:t xml:space="preserve"> spočívající v poskytování </w:t>
      </w:r>
      <w:r w:rsidR="00DF5216" w:rsidRPr="004673B0">
        <w:rPr>
          <w:b/>
        </w:rPr>
        <w:t>méně kvalititních služeb</w:t>
      </w:r>
      <w:r w:rsidR="00FF44ED" w:rsidRPr="004673B0">
        <w:rPr>
          <w:b/>
        </w:rPr>
        <w:t xml:space="preserve"> </w:t>
      </w:r>
      <w:r w:rsidR="00FF44ED" w:rsidRPr="004673B0">
        <w:t>konkurenci</w:t>
      </w:r>
      <w:r>
        <w:t>;</w:t>
      </w:r>
    </w:p>
    <w:p w:rsidR="00997940" w:rsidRPr="004673B0" w:rsidRDefault="00232881" w:rsidP="00997940">
      <w:pPr>
        <w:pStyle w:val="Odstavecseseznamem"/>
        <w:numPr>
          <w:ilvl w:val="0"/>
          <w:numId w:val="45"/>
        </w:numPr>
        <w:spacing w:before="200" w:after="0"/>
      </w:pPr>
      <w:r>
        <w:rPr>
          <w:b/>
        </w:rPr>
        <w:t>s</w:t>
      </w:r>
      <w:r w:rsidR="00FF44ED" w:rsidRPr="004673B0">
        <w:rPr>
          <w:b/>
        </w:rPr>
        <w:t>trategická</w:t>
      </w:r>
      <w:r w:rsidR="00997940" w:rsidRPr="004673B0">
        <w:rPr>
          <w:b/>
        </w:rPr>
        <w:t xml:space="preserve"> charakteristk</w:t>
      </w:r>
      <w:r w:rsidR="00FF44ED" w:rsidRPr="004673B0">
        <w:rPr>
          <w:b/>
        </w:rPr>
        <w:t xml:space="preserve">a a design služeb/produktů </w:t>
      </w:r>
      <w:r w:rsidR="00FF44ED" w:rsidRPr="004673B0">
        <w:t>(za účelem zvýšení nákladů na přechod)</w:t>
      </w:r>
      <w:r>
        <w:t>;</w:t>
      </w:r>
      <w:r w:rsidR="00997940" w:rsidRPr="004673B0">
        <w:rPr>
          <w:b/>
        </w:rPr>
        <w:t xml:space="preserve"> </w:t>
      </w:r>
    </w:p>
    <w:p w:rsidR="00997940" w:rsidRPr="004673B0" w:rsidRDefault="00232881" w:rsidP="00997940">
      <w:pPr>
        <w:pStyle w:val="Odstavecseseznamem"/>
        <w:numPr>
          <w:ilvl w:val="0"/>
          <w:numId w:val="45"/>
        </w:numPr>
        <w:spacing w:before="200" w:after="0"/>
      </w:pPr>
      <w:r>
        <w:rPr>
          <w:b/>
        </w:rPr>
        <w:t>n</w:t>
      </w:r>
      <w:r w:rsidR="00027420" w:rsidRPr="004673B0">
        <w:rPr>
          <w:b/>
        </w:rPr>
        <w:t>epřiměřené využívání informací o konkurentech</w:t>
      </w:r>
      <w:r>
        <w:rPr>
          <w:b/>
        </w:rPr>
        <w:t>;</w:t>
      </w:r>
      <w:r w:rsidR="00027420" w:rsidRPr="004673B0">
        <w:rPr>
          <w:b/>
        </w:rPr>
        <w:t xml:space="preserve"> </w:t>
      </w:r>
    </w:p>
    <w:p w:rsidR="00027420" w:rsidRPr="004673B0" w:rsidRDefault="00232881" w:rsidP="00027420">
      <w:pPr>
        <w:pStyle w:val="Odstavecseseznamem"/>
        <w:numPr>
          <w:ilvl w:val="0"/>
          <w:numId w:val="45"/>
        </w:numPr>
        <w:spacing w:before="200" w:after="0"/>
        <w:rPr>
          <w:b/>
        </w:rPr>
      </w:pPr>
      <w:r>
        <w:rPr>
          <w:b/>
        </w:rPr>
        <w:t>c</w:t>
      </w:r>
      <w:r w:rsidR="00027420" w:rsidRPr="004673B0">
        <w:rPr>
          <w:b/>
        </w:rPr>
        <w:t>enová diskriminace</w:t>
      </w:r>
      <w:r>
        <w:rPr>
          <w:b/>
        </w:rPr>
        <w:t>;</w:t>
      </w:r>
    </w:p>
    <w:p w:rsidR="00D64FC9" w:rsidRPr="004673B0" w:rsidRDefault="00232881" w:rsidP="00D64FC9">
      <w:pPr>
        <w:pStyle w:val="Odstavecseseznamem"/>
        <w:numPr>
          <w:ilvl w:val="0"/>
          <w:numId w:val="45"/>
        </w:numPr>
        <w:spacing w:before="200" w:after="0"/>
        <w:rPr>
          <w:b/>
        </w:rPr>
      </w:pPr>
      <w:r>
        <w:rPr>
          <w:b/>
        </w:rPr>
        <w:t>k</w:t>
      </w:r>
      <w:r w:rsidR="00D64FC9" w:rsidRPr="004673B0">
        <w:rPr>
          <w:b/>
        </w:rPr>
        <w:t>řížov</w:t>
      </w:r>
      <w:r w:rsidR="001B0DD9" w:rsidRPr="004673B0">
        <w:rPr>
          <w:b/>
        </w:rPr>
        <w:t>é financování</w:t>
      </w:r>
      <w:r>
        <w:rPr>
          <w:b/>
        </w:rPr>
        <w:t>;</w:t>
      </w:r>
    </w:p>
    <w:p w:rsidR="00D64FC9" w:rsidRPr="004673B0" w:rsidRDefault="00232881" w:rsidP="00D64FC9">
      <w:pPr>
        <w:pStyle w:val="Odstavecseseznamem"/>
        <w:numPr>
          <w:ilvl w:val="0"/>
          <w:numId w:val="45"/>
        </w:numPr>
        <w:spacing w:before="200" w:after="0"/>
        <w:rPr>
          <w:b/>
        </w:rPr>
      </w:pPr>
      <w:r>
        <w:rPr>
          <w:b/>
        </w:rPr>
        <w:t>p</w:t>
      </w:r>
      <w:r w:rsidR="00D64FC9" w:rsidRPr="004673B0">
        <w:rPr>
          <w:b/>
        </w:rPr>
        <w:t>redátorské</w:t>
      </w:r>
      <w:r w:rsidR="00FB4251" w:rsidRPr="004673B0">
        <w:rPr>
          <w:b/>
        </w:rPr>
        <w:t xml:space="preserve"> (dravé)</w:t>
      </w:r>
      <w:r w:rsidR="00D64FC9" w:rsidRPr="004673B0">
        <w:rPr>
          <w:b/>
        </w:rPr>
        <w:t xml:space="preserve"> ceny</w:t>
      </w:r>
      <w:r>
        <w:rPr>
          <w:b/>
        </w:rPr>
        <w:t>;</w:t>
      </w:r>
    </w:p>
    <w:p w:rsidR="00A72FF4" w:rsidRPr="004673B0" w:rsidRDefault="00232881" w:rsidP="00D64FC9">
      <w:pPr>
        <w:pStyle w:val="Odstavecseseznamem"/>
        <w:numPr>
          <w:ilvl w:val="0"/>
          <w:numId w:val="45"/>
        </w:numPr>
        <w:spacing w:before="200" w:after="0"/>
        <w:rPr>
          <w:b/>
        </w:rPr>
      </w:pPr>
      <w:r>
        <w:rPr>
          <w:b/>
        </w:rPr>
        <w:t>v</w:t>
      </w:r>
      <w:r w:rsidR="00A72FF4" w:rsidRPr="004673B0">
        <w:rPr>
          <w:b/>
        </w:rPr>
        <w:t>ýhradní spolupráce</w:t>
      </w:r>
      <w:r>
        <w:rPr>
          <w:b/>
        </w:rPr>
        <w:t>;</w:t>
      </w:r>
    </w:p>
    <w:p w:rsidR="00A72FF4" w:rsidRPr="004673B0" w:rsidRDefault="00232881" w:rsidP="00A72FF4">
      <w:pPr>
        <w:pStyle w:val="Odstavecseseznamem"/>
        <w:numPr>
          <w:ilvl w:val="0"/>
          <w:numId w:val="45"/>
        </w:numPr>
        <w:spacing w:before="200" w:after="0"/>
        <w:rPr>
          <w:b/>
        </w:rPr>
      </w:pPr>
      <w:r>
        <w:rPr>
          <w:b/>
        </w:rPr>
        <w:t>o</w:t>
      </w:r>
      <w:r w:rsidR="00FF44ED" w:rsidRPr="004673B0">
        <w:rPr>
          <w:b/>
        </w:rPr>
        <w:t xml:space="preserve">verinvestment </w:t>
      </w:r>
      <w:r w:rsidR="00FF44ED" w:rsidRPr="004673B0">
        <w:t>(nadměrný objem investic)</w:t>
      </w:r>
      <w:r>
        <w:t>;</w:t>
      </w:r>
    </w:p>
    <w:p w:rsidR="00A72FF4" w:rsidRPr="004673B0" w:rsidRDefault="00232881" w:rsidP="00A72FF4">
      <w:pPr>
        <w:pStyle w:val="Odstavecseseznamem"/>
        <w:numPr>
          <w:ilvl w:val="0"/>
          <w:numId w:val="45"/>
        </w:numPr>
        <w:spacing w:before="200" w:after="0"/>
        <w:rPr>
          <w:b/>
        </w:rPr>
      </w:pPr>
      <w:r>
        <w:rPr>
          <w:b/>
        </w:rPr>
        <w:t>n</w:t>
      </w:r>
      <w:r w:rsidR="00C17B60" w:rsidRPr="004673B0">
        <w:rPr>
          <w:b/>
        </w:rPr>
        <w:t>eefektivní chování typické pro monopolní trhy</w:t>
      </w:r>
    </w:p>
    <w:p w:rsidR="00C17B60" w:rsidRPr="004673B0" w:rsidRDefault="00C07B47" w:rsidP="00A72FF4">
      <w:pPr>
        <w:pStyle w:val="Odstavecseseznamem"/>
        <w:numPr>
          <w:ilvl w:val="1"/>
          <w:numId w:val="45"/>
        </w:numPr>
        <w:spacing w:before="200" w:after="0"/>
        <w:rPr>
          <w:b/>
        </w:rPr>
      </w:pPr>
      <w:r w:rsidRPr="004673B0">
        <w:t xml:space="preserve">podniky s významnou tržní silou nejsou, na rozdíl od </w:t>
      </w:r>
      <w:r w:rsidR="007C3FA2" w:rsidRPr="004673B0">
        <w:t xml:space="preserve">účinně konkurenčního </w:t>
      </w:r>
      <w:r w:rsidRPr="004673B0">
        <w:t xml:space="preserve">trhu, </w:t>
      </w:r>
      <w:r w:rsidR="007C3FA2" w:rsidRPr="004673B0">
        <w:t xml:space="preserve">motivovány </w:t>
      </w:r>
      <w:r w:rsidRPr="004673B0">
        <w:t>konkurenčním prostředím a proto jejich činnost typicky vykazuje některé znaky spočívající zejména v nedostatečných výdajích na investice, vyšších a</w:t>
      </w:r>
      <w:r w:rsidR="00E60029">
        <w:t> </w:t>
      </w:r>
      <w:r w:rsidRPr="004673B0">
        <w:t>neefektivních nákladech na služby/produkty či nížší kvalit</w:t>
      </w:r>
      <w:r w:rsidR="00A539E8" w:rsidRPr="004673B0">
        <w:t>ě poskytovanách služeb/produktů</w:t>
      </w:r>
    </w:p>
    <w:p w:rsidR="00C07B47" w:rsidRPr="004673B0" w:rsidRDefault="00232881" w:rsidP="00C07B47">
      <w:pPr>
        <w:pStyle w:val="Odstavecseseznamem"/>
        <w:numPr>
          <w:ilvl w:val="0"/>
          <w:numId w:val="45"/>
        </w:numPr>
        <w:spacing w:before="200" w:after="0"/>
        <w:rPr>
          <w:b/>
        </w:rPr>
      </w:pPr>
      <w:r>
        <w:rPr>
          <w:b/>
        </w:rPr>
        <w:t>t</w:t>
      </w:r>
      <w:r w:rsidR="00C07B47" w:rsidRPr="004673B0">
        <w:rPr>
          <w:b/>
        </w:rPr>
        <w:t>acitní koluze</w:t>
      </w:r>
      <w:r>
        <w:rPr>
          <w:b/>
        </w:rPr>
        <w:t>;</w:t>
      </w:r>
    </w:p>
    <w:p w:rsidR="00C07B47" w:rsidRPr="004673B0" w:rsidRDefault="00232881" w:rsidP="00C07B47">
      <w:pPr>
        <w:pStyle w:val="Odstavecseseznamem"/>
        <w:numPr>
          <w:ilvl w:val="0"/>
          <w:numId w:val="45"/>
        </w:numPr>
        <w:spacing w:before="200" w:after="0"/>
        <w:rPr>
          <w:b/>
        </w:rPr>
      </w:pPr>
      <w:r>
        <w:rPr>
          <w:b/>
        </w:rPr>
        <w:t>n</w:t>
      </w:r>
      <w:r w:rsidR="00C07B47" w:rsidRPr="004673B0">
        <w:rPr>
          <w:b/>
        </w:rPr>
        <w:t>epřiměřeně vysoké ceny</w:t>
      </w:r>
      <w:r w:rsidR="008B7626">
        <w:rPr>
          <w:b/>
        </w:rPr>
        <w:t>.</w:t>
      </w:r>
    </w:p>
    <w:p w:rsidR="00BF293D" w:rsidRPr="004673B0" w:rsidRDefault="00CB36F1" w:rsidP="00D9127E">
      <w:pPr>
        <w:spacing w:before="200" w:after="0"/>
      </w:pPr>
      <w:r w:rsidRPr="004673B0">
        <w:t>Některé z výše uvedených potenciáln</w:t>
      </w:r>
      <w:r w:rsidR="00FB2AD5" w:rsidRPr="004673B0">
        <w:t>ích soutěžních problémů se vysky</w:t>
      </w:r>
      <w:r w:rsidRPr="004673B0">
        <w:t>tují ve všech</w:t>
      </w:r>
      <w:r w:rsidR="00FB2AD5" w:rsidRPr="004673B0">
        <w:t xml:space="preserve"> či ve většině</w:t>
      </w:r>
      <w:r w:rsidRPr="004673B0">
        <w:t xml:space="preserve"> neefektivně k</w:t>
      </w:r>
      <w:r w:rsidR="00FB2AD5" w:rsidRPr="004673B0">
        <w:t>onkurenčních tržních struktur</w:t>
      </w:r>
      <w:r w:rsidR="00FF6D48">
        <w:t>ách</w:t>
      </w:r>
      <w:r w:rsidRPr="004673B0">
        <w:t xml:space="preserve"> (např. </w:t>
      </w:r>
      <w:r w:rsidR="00FB2AD5" w:rsidRPr="004673B0">
        <w:t xml:space="preserve">cenová diskriminace či predátorské ceny), některé pouze v určitých neefektivně konkurenčních tržních strukturách (např. tacitní koluze se bude vyskytovat pouze na trzích, kde existuje více podniků s významnou tržní silou). </w:t>
      </w:r>
      <w:r w:rsidR="00BF293D" w:rsidRPr="004673B0">
        <w:t xml:space="preserve">Pokud Úřad identifikuje jeden z výše uvedených příkladmých potenciálních soutěžních problémů, nemusí se vždy jednat o soutěžní problém na konkrétním relevantním trhu, pokud Úřad na základě dalších faktorů (např. struktura trhu, počet </w:t>
      </w:r>
      <w:r w:rsidR="00233B2C" w:rsidRPr="004673B0">
        <w:t>konkurentů</w:t>
      </w:r>
      <w:r w:rsidR="00BF293D" w:rsidRPr="004673B0">
        <w:t>, situace na sousedn</w:t>
      </w:r>
      <w:r w:rsidR="00852C9C" w:rsidRPr="004673B0">
        <w:t xml:space="preserve">ích trzích a další) zjistí, že existence zjištěného potenciálního soutěžního problému nevede ke snížení účinné konkurence (např. vázání služeb/produktů nemusí bez dalšího být soutěžním problémem, pokud takovou činností podnik s významnou tržní silou nevyužívá své postavení k zamezení efektivní konkurence). </w:t>
      </w:r>
    </w:p>
    <w:p w:rsidR="00CB36F1" w:rsidRPr="004673B0" w:rsidRDefault="00BF293D" w:rsidP="00D9127E">
      <w:pPr>
        <w:spacing w:before="200" w:after="0"/>
      </w:pPr>
      <w:r w:rsidRPr="004673B0">
        <w:t xml:space="preserve">Ne všechny potenciální soutěžní problémy je možné vyřešit v rámci </w:t>
      </w:r>
      <w:r w:rsidRPr="004673B0">
        <w:rPr>
          <w:i/>
        </w:rPr>
        <w:t xml:space="preserve">ex ante </w:t>
      </w:r>
      <w:r w:rsidRPr="004673B0">
        <w:t xml:space="preserve">regulace uložením vhodných nápravných opatření. Některé soutěžní problémy mohou být řešeny jen v rámci </w:t>
      </w:r>
      <w:r w:rsidRPr="004673B0">
        <w:rPr>
          <w:i/>
        </w:rPr>
        <w:t xml:space="preserve">ex post </w:t>
      </w:r>
      <w:r w:rsidRPr="004673B0">
        <w:t xml:space="preserve">regulace. Úřad se při identifikaci potenciálních soutěžních problémů zaměří na ty problémy, které je možné účinně řešit uložením vhodných nápravných opatření (viz tabulka v kapitole </w:t>
      </w:r>
      <w:r w:rsidRPr="004673B0">
        <w:fldChar w:fldCharType="begin"/>
      </w:r>
      <w:r w:rsidRPr="004673B0">
        <w:instrText xml:space="preserve"> REF _Ref433395411 \r \h </w:instrText>
      </w:r>
      <w:r w:rsidR="004673B0">
        <w:instrText xml:space="preserve"> \* MERGEFORMAT </w:instrText>
      </w:r>
      <w:r w:rsidRPr="004673B0">
        <w:fldChar w:fldCharType="separate"/>
      </w:r>
      <w:r w:rsidR="00067C1B">
        <w:t>7.2.7</w:t>
      </w:r>
      <w:r w:rsidRPr="004673B0">
        <w:fldChar w:fldCharType="end"/>
      </w:r>
      <w:r w:rsidRPr="004673B0">
        <w:t xml:space="preserve"> této Metodiky).</w:t>
      </w:r>
    </w:p>
    <w:p w:rsidR="006130AE" w:rsidRPr="004673B0" w:rsidRDefault="006130AE" w:rsidP="006130AE">
      <w:pPr>
        <w:pStyle w:val="Nadpis3"/>
      </w:pPr>
      <w:r w:rsidRPr="004673B0">
        <w:t>Postup při identifikaci potenciálních soutěžních problémů</w:t>
      </w:r>
    </w:p>
    <w:p w:rsidR="004F63B6" w:rsidRPr="004673B0" w:rsidRDefault="00D9127E" w:rsidP="00D9127E">
      <w:pPr>
        <w:spacing w:before="200" w:after="0"/>
      </w:pPr>
      <w:r w:rsidRPr="004673B0">
        <w:t xml:space="preserve">Při identifikaci </w:t>
      </w:r>
      <w:r w:rsidR="009108C7" w:rsidRPr="004673B0">
        <w:t xml:space="preserve">potenciálních </w:t>
      </w:r>
      <w:r w:rsidRPr="004673B0">
        <w:t xml:space="preserve">soutěžních problémů Úřad využije zejména skutečnosti zjištěné v rámci vymezení a analýzy relevantního trhu. Úřad provádí identifikaci potenciálních soutěžních problémů s výhledem do budoucnosti, konkrétně na období </w:t>
      </w:r>
      <w:r w:rsidR="009108C7" w:rsidRPr="004673B0">
        <w:t xml:space="preserve">jednoho až </w:t>
      </w:r>
      <w:r w:rsidR="00357306" w:rsidRPr="004673B0">
        <w:t xml:space="preserve">čtyř </w:t>
      </w:r>
      <w:r w:rsidR="009108C7" w:rsidRPr="004673B0">
        <w:t>let, jelikož Úřad provádí celou analýzu relevan</w:t>
      </w:r>
      <w:r w:rsidR="00D174FD" w:rsidRPr="004673B0">
        <w:t>tn</w:t>
      </w:r>
      <w:r w:rsidR="009108C7" w:rsidRPr="004673B0">
        <w:t xml:space="preserve">ího </w:t>
      </w:r>
      <w:r w:rsidR="00D174FD" w:rsidRPr="004673B0">
        <w:t>trhu</w:t>
      </w:r>
      <w:r w:rsidR="009108C7" w:rsidRPr="004673B0">
        <w:t xml:space="preserve"> v tomto období od vydání původní analýzy relevantního trhu nebo od nabytí právní moci rozhodnutí o uložení nápravných opatření podniku s významnou tržní silou.</w:t>
      </w:r>
      <w:r w:rsidR="009108C7" w:rsidRPr="004673B0">
        <w:rPr>
          <w:rStyle w:val="Znakapoznpodarou"/>
        </w:rPr>
        <w:footnoteReference w:id="129"/>
      </w:r>
      <w:r w:rsidRPr="004673B0">
        <w:t>. Úřad tedy při posouzení soutěžních překážek přihlédne také k dynamické povaze relevantního trhu a k trendům projevujícím se na daném trhu.</w:t>
      </w:r>
    </w:p>
    <w:p w:rsidR="00D9127E" w:rsidRPr="004673B0" w:rsidRDefault="004F63B6" w:rsidP="00D9127E">
      <w:pPr>
        <w:spacing w:before="200" w:after="0"/>
      </w:pPr>
      <w:r w:rsidRPr="004673B0">
        <w:t xml:space="preserve">Vzhledem k tomu, že nápravná opatření slouží pro účely </w:t>
      </w:r>
      <w:r w:rsidRPr="004673B0">
        <w:rPr>
          <w:i/>
        </w:rPr>
        <w:t xml:space="preserve">ex ante </w:t>
      </w:r>
      <w:r w:rsidRPr="004673B0">
        <w:t>regulace, Úřad neprovádí dokazování, že k identifikovaným potenciálním soutěžním problémům skutečně dochází, či s velkou pravděpodobností dojde. Úřad po</w:t>
      </w:r>
      <w:r w:rsidR="00363909" w:rsidRPr="004673B0">
        <w:t>u</w:t>
      </w:r>
      <w:r w:rsidRPr="004673B0">
        <w:t>ze úvahou hodnotí p</w:t>
      </w:r>
      <w:r w:rsidR="00BC44E0" w:rsidRPr="004673B0">
        <w:t>otenciální soutěžní rizika vyplý</w:t>
      </w:r>
      <w:r w:rsidR="00883949" w:rsidRPr="004673B0">
        <w:t>vající z dynamiky trhu.</w:t>
      </w:r>
    </w:p>
    <w:p w:rsidR="004F63B6" w:rsidRPr="004673B0" w:rsidRDefault="00D9127E" w:rsidP="00D9127E">
      <w:pPr>
        <w:spacing w:before="200" w:after="0"/>
      </w:pPr>
      <w:r w:rsidRPr="004673B0">
        <w:t>Úřad při hodnocení potenciálních soutěžních problémů také na druhou stranu přihlédne k historickým údajům a vývoji konkurence na daném relevantním trhu, případně k již uloženým nápravným opatřením v minulosti. V příp</w:t>
      </w:r>
      <w:r w:rsidR="00D158D9" w:rsidRPr="004673B0">
        <w:t>a</w:t>
      </w:r>
      <w:r w:rsidRPr="004673B0">
        <w:t xml:space="preserve">dě, že soutěžní problémy na konkrétním relevantním trhu existovaly již dříve, Úřad může v závislosti na </w:t>
      </w:r>
      <w:r w:rsidR="004F63B6" w:rsidRPr="004673B0">
        <w:t xml:space="preserve">aktuální </w:t>
      </w:r>
      <w:r w:rsidRPr="004673B0">
        <w:t>situaci</w:t>
      </w:r>
      <w:r w:rsidR="004F63B6" w:rsidRPr="004673B0">
        <w:t xml:space="preserve"> zhodnotit riziko jejich pokračování</w:t>
      </w:r>
      <w:r w:rsidRPr="004673B0">
        <w:t>.</w:t>
      </w:r>
    </w:p>
    <w:p w:rsidR="00D9127E" w:rsidRPr="004673B0" w:rsidRDefault="00B656E9" w:rsidP="00D9127E">
      <w:pPr>
        <w:spacing w:before="200" w:after="0"/>
      </w:pPr>
      <w:r w:rsidRPr="004673B0">
        <w:t>Úřad při identifikaci potenciálních soutěžních</w:t>
      </w:r>
      <w:r w:rsidR="00BC44E0" w:rsidRPr="004673B0">
        <w:t xml:space="preserve"> problémů</w:t>
      </w:r>
      <w:r w:rsidRPr="004673B0">
        <w:t xml:space="preserve"> reflektuje také skutečnosti zjištěné v rámci provedené analýzy relevantního trhu ve vztahu k </w:t>
      </w:r>
      <w:r w:rsidR="00CF6E90" w:rsidRPr="004673B0">
        <w:t>souvisejícím</w:t>
      </w:r>
      <w:r w:rsidR="00BC44E0" w:rsidRPr="004673B0">
        <w:t xml:space="preserve"> trhům. V rámci posuzování</w:t>
      </w:r>
      <w:r w:rsidRPr="004673B0">
        <w:t xml:space="preserve"> potenciálních soutěžních problémů na</w:t>
      </w:r>
      <w:r w:rsidR="00BC44E0" w:rsidRPr="004673B0">
        <w:t xml:space="preserve"> zkoumaném</w:t>
      </w:r>
      <w:r w:rsidRPr="004673B0">
        <w:t xml:space="preserve"> velkoobchodním trhu Úřad vezme v úvahu také potenciální soutěžní problémy na podřazeném trhu maloobchodním. Úřad při zohlednění po</w:t>
      </w:r>
      <w:r w:rsidR="00420A1A" w:rsidRPr="004673B0">
        <w:t>tenciálních soutěžních problémů</w:t>
      </w:r>
      <w:r w:rsidRPr="004673B0">
        <w:t xml:space="preserve"> na </w:t>
      </w:r>
      <w:r w:rsidR="00CF6E90" w:rsidRPr="004673B0">
        <w:t>souvisejících</w:t>
      </w:r>
      <w:r w:rsidRPr="004673B0">
        <w:t xml:space="preserve"> trzích postupuje v souladu s</w:t>
      </w:r>
      <w:r w:rsidR="00420A1A" w:rsidRPr="004673B0">
        <w:t xml:space="preserve"> postupem Úřadu popsaným v kapitole </w:t>
      </w:r>
      <w:r w:rsidR="00EA3F92" w:rsidRPr="004673B0">
        <w:fldChar w:fldCharType="begin"/>
      </w:r>
      <w:r w:rsidR="00EA3F92" w:rsidRPr="004673B0">
        <w:instrText xml:space="preserve"> REF _Ref441247441 \r \h </w:instrText>
      </w:r>
      <w:r w:rsidR="004673B0">
        <w:instrText xml:space="preserve"> \* MERGEFORMAT </w:instrText>
      </w:r>
      <w:r w:rsidR="00EA3F92" w:rsidRPr="004673B0">
        <w:fldChar w:fldCharType="separate"/>
      </w:r>
      <w:r w:rsidR="00067C1B">
        <w:t>3.2.2</w:t>
      </w:r>
      <w:r w:rsidR="00EA3F92" w:rsidRPr="004673B0">
        <w:fldChar w:fldCharType="end"/>
      </w:r>
      <w:r w:rsidR="00FF6D48">
        <w:t xml:space="preserve"> </w:t>
      </w:r>
      <w:r w:rsidR="00420A1A" w:rsidRPr="004673B0">
        <w:t xml:space="preserve">této Metodiky. </w:t>
      </w:r>
    </w:p>
    <w:p w:rsidR="00D9127E" w:rsidRPr="004673B0" w:rsidRDefault="00D9127E" w:rsidP="00D9127E">
      <w:pPr>
        <w:spacing w:before="200" w:after="0"/>
      </w:pPr>
      <w:r w:rsidRPr="004673B0">
        <w:t xml:space="preserve">Existuje-li relevantní stanovisko, doporučení, pokyn, </w:t>
      </w:r>
      <w:r w:rsidR="00BC44E0" w:rsidRPr="004673B0">
        <w:t xml:space="preserve">rada </w:t>
      </w:r>
      <w:r w:rsidRPr="004673B0">
        <w:t xml:space="preserve">či jiný dokument Evropské komise, </w:t>
      </w:r>
      <w:r w:rsidR="00BC44E0" w:rsidRPr="004673B0">
        <w:t>S</w:t>
      </w:r>
      <w:r w:rsidRPr="004673B0">
        <w:t>družení evropských regulačních orgánů v oblasti elektronický</w:t>
      </w:r>
      <w:r w:rsidR="00B06607" w:rsidRPr="004673B0">
        <w:t>c</w:t>
      </w:r>
      <w:r w:rsidRPr="004673B0">
        <w:t xml:space="preserve">h komunikací </w:t>
      </w:r>
      <w:r w:rsidR="00A17152" w:rsidRPr="004673B0">
        <w:t>(</w:t>
      </w:r>
      <w:r w:rsidRPr="004673B0">
        <w:t>BEREC</w:t>
      </w:r>
      <w:r w:rsidR="00A17152" w:rsidRPr="004673B0">
        <w:t>)</w:t>
      </w:r>
      <w:r w:rsidRPr="004673B0">
        <w:t xml:space="preserve"> či jiného vnitrostátního regulátora v oblasti telekomunkací</w:t>
      </w:r>
      <w:r w:rsidR="00B06607" w:rsidRPr="004673B0">
        <w:t xml:space="preserve"> v EU</w:t>
      </w:r>
      <w:r w:rsidRPr="004673B0">
        <w:t xml:space="preserve">, zohlední </w:t>
      </w:r>
      <w:r w:rsidR="00BC44E0" w:rsidRPr="004673B0">
        <w:t xml:space="preserve">je </w:t>
      </w:r>
      <w:r w:rsidRPr="004673B0">
        <w:t>Úřad v co nejvyšší míře při identifikaci potenciálních soutěžních problémů.</w:t>
      </w:r>
      <w:r w:rsidRPr="004673B0">
        <w:rPr>
          <w:rStyle w:val="Znakapoznpodarou"/>
        </w:rPr>
        <w:footnoteReference w:id="130"/>
      </w:r>
      <w:r w:rsidR="00D158D9" w:rsidRPr="004673B0">
        <w:t xml:space="preserve"> </w:t>
      </w:r>
      <w:r w:rsidRPr="004673B0">
        <w:rPr>
          <w:rStyle w:val="Znakapoznpodarou"/>
        </w:rPr>
        <w:footnoteReference w:id="131"/>
      </w:r>
    </w:p>
    <w:p w:rsidR="00D9127E" w:rsidRPr="004673B0" w:rsidRDefault="00D9127E" w:rsidP="004C3085">
      <w:pPr>
        <w:pStyle w:val="N2"/>
        <w:keepNext w:val="0"/>
      </w:pPr>
      <w:bookmarkStart w:id="239" w:name="_Toc440374101"/>
      <w:r w:rsidRPr="004673B0">
        <w:t xml:space="preserve">Postup při </w:t>
      </w:r>
      <w:r w:rsidR="00E750F8" w:rsidRPr="004673B0">
        <w:t xml:space="preserve">návrhu </w:t>
      </w:r>
      <w:r w:rsidRPr="004673B0">
        <w:t>nápravných opatření</w:t>
      </w:r>
      <w:bookmarkEnd w:id="239"/>
    </w:p>
    <w:p w:rsidR="00D9127E" w:rsidRPr="004673B0" w:rsidRDefault="00D9127E" w:rsidP="004C3085">
      <w:pPr>
        <w:pStyle w:val="Nadpis3"/>
        <w:keepNext w:val="0"/>
        <w:numPr>
          <w:ilvl w:val="0"/>
          <w:numId w:val="0"/>
        </w:numPr>
        <w:spacing w:before="200" w:after="0"/>
        <w:rPr>
          <w:i w:val="0"/>
        </w:rPr>
      </w:pPr>
      <w:r w:rsidRPr="004673B0">
        <w:rPr>
          <w:i w:val="0"/>
        </w:rPr>
        <w:t>Úřad v rámci celé analýzy trhu, včetně identifikace</w:t>
      </w:r>
      <w:r w:rsidR="00E750F8" w:rsidRPr="004673B0">
        <w:rPr>
          <w:i w:val="0"/>
        </w:rPr>
        <w:t xml:space="preserve"> potenciálních</w:t>
      </w:r>
      <w:r w:rsidRPr="004673B0">
        <w:rPr>
          <w:i w:val="0"/>
        </w:rPr>
        <w:t xml:space="preserve"> soutěžních problémů a návrhu vhodných nápravných opatření, postupuje v souladu s cíly a regulačními zásadami dle § 4 až 6 Zákona a čl. 8 </w:t>
      </w:r>
      <w:r w:rsidR="004138E4" w:rsidRPr="004673B0">
        <w:rPr>
          <w:i w:val="0"/>
        </w:rPr>
        <w:t>r</w:t>
      </w:r>
      <w:r w:rsidRPr="004673B0">
        <w:rPr>
          <w:i w:val="0"/>
        </w:rPr>
        <w:t xml:space="preserve">ámcové směrnice. </w:t>
      </w:r>
    </w:p>
    <w:p w:rsidR="00D9127E" w:rsidRPr="004673B0" w:rsidRDefault="00D9127E" w:rsidP="00D9127E">
      <w:r w:rsidRPr="004673B0">
        <w:t>V případě, že na relevantní</w:t>
      </w:r>
      <w:r w:rsidR="00E750F8" w:rsidRPr="004673B0">
        <w:t>m</w:t>
      </w:r>
      <w:r w:rsidRPr="004673B0">
        <w:t xml:space="preserve"> trhu bylo stanoveno více podniků se společnou významnou tržní silou, Úřad bude postupovat dle této části Metodiky přiměřeně jako v případě samostatné </w:t>
      </w:r>
      <w:r w:rsidR="00AD782A" w:rsidRPr="004673B0">
        <w:t>významné</w:t>
      </w:r>
      <w:r w:rsidRPr="004673B0">
        <w:t xml:space="preserve"> tržní síly</w:t>
      </w:r>
      <w:r w:rsidR="00CF7CF5" w:rsidRPr="004673B0">
        <w:t xml:space="preserve"> a navrhne přiměřené nápravné opatření</w:t>
      </w:r>
      <w:r w:rsidRPr="004673B0">
        <w:t>.</w:t>
      </w:r>
      <w:r w:rsidR="00CF7CF5" w:rsidRPr="004673B0">
        <w:rPr>
          <w:rStyle w:val="Znakapoznpodarou"/>
        </w:rPr>
        <w:footnoteReference w:id="132"/>
      </w:r>
      <w:r w:rsidRPr="004673B0">
        <w:t xml:space="preserve"> </w:t>
      </w:r>
    </w:p>
    <w:p w:rsidR="00B3471C" w:rsidRPr="004673B0" w:rsidRDefault="0068240A" w:rsidP="00D9127E">
      <w:r w:rsidRPr="004673B0">
        <w:t xml:space="preserve">V souladu s § 51 odst. 13 Zákona může podnik, </w:t>
      </w:r>
      <w:r w:rsidR="00B3471C" w:rsidRPr="004673B0">
        <w:t xml:space="preserve">který byl na jednom relevantním trhu stanoven jako podnik s významnou tržní silou, být jako takový podnik stanoven i na jiném úzce souvisejícím relevantním trhu, pokud jsou vazby mezi těmito trhy takové, že umožňují přenesení tržní síly z jednoho relevantního trhu na druhý, čímž se posiluje tržní síla tohoto podniku. Úřad může po provedení analýzy druhého trhu uložit i na tomto trhu </w:t>
      </w:r>
      <w:r w:rsidR="00053276" w:rsidRPr="004673B0">
        <w:t>nápravná opatření</w:t>
      </w:r>
      <w:r w:rsidRPr="004673B0">
        <w:t>.</w:t>
      </w:r>
    </w:p>
    <w:p w:rsidR="00D9127E" w:rsidRPr="004673B0" w:rsidRDefault="00D9127E" w:rsidP="004C3085">
      <w:pPr>
        <w:pStyle w:val="N3"/>
        <w:keepNext w:val="0"/>
      </w:pPr>
      <w:bookmarkStart w:id="240" w:name="_Toc440374102"/>
      <w:r w:rsidRPr="004673B0">
        <w:t>Návrh a uložení nápravných opatření</w:t>
      </w:r>
      <w:bookmarkEnd w:id="240"/>
      <w:r w:rsidRPr="004673B0">
        <w:t xml:space="preserve"> </w:t>
      </w:r>
    </w:p>
    <w:p w:rsidR="00D9127E" w:rsidRPr="004673B0" w:rsidRDefault="00D9127E" w:rsidP="004C3085">
      <w:pPr>
        <w:pStyle w:val="Nadpis3"/>
        <w:keepNext w:val="0"/>
        <w:numPr>
          <w:ilvl w:val="0"/>
          <w:numId w:val="0"/>
        </w:numPr>
        <w:spacing w:before="200" w:after="0"/>
        <w:rPr>
          <w:i w:val="0"/>
        </w:rPr>
      </w:pPr>
      <w:r w:rsidRPr="004673B0">
        <w:rPr>
          <w:i w:val="0"/>
        </w:rPr>
        <w:t>V závislosti na výsledcích analýzy relevantního trhu a na identifikaci potenciálních soutěžních problémů navrhne Úřad</w:t>
      </w:r>
      <w:r w:rsidR="00CF7CF5" w:rsidRPr="004673B0">
        <w:rPr>
          <w:i w:val="0"/>
        </w:rPr>
        <w:t xml:space="preserve"> dle § 51 odst. 4 Zákona</w:t>
      </w:r>
      <w:r w:rsidRPr="004673B0">
        <w:rPr>
          <w:i w:val="0"/>
        </w:rPr>
        <w:t xml:space="preserve"> vhodná nápravná opatření.</w:t>
      </w:r>
      <w:r w:rsidR="00CF7CF5" w:rsidRPr="004673B0">
        <w:rPr>
          <w:i w:val="0"/>
        </w:rPr>
        <w:t xml:space="preserve"> Návrh nápravných opatření je součástí analýzy relevantního trhu, kterou </w:t>
      </w:r>
      <w:r w:rsidR="00D174FD" w:rsidRPr="004673B0">
        <w:rPr>
          <w:i w:val="0"/>
        </w:rPr>
        <w:t xml:space="preserve">Úřad </w:t>
      </w:r>
      <w:r w:rsidR="00CF7CF5" w:rsidRPr="004673B0">
        <w:rPr>
          <w:i w:val="0"/>
        </w:rPr>
        <w:t xml:space="preserve">vydává jako opatření obecné povahy dle § 51 odst. 1 Zákona. </w:t>
      </w:r>
    </w:p>
    <w:p w:rsidR="00953981" w:rsidRPr="004673B0" w:rsidRDefault="00D9127E" w:rsidP="00447327">
      <w:pPr>
        <w:pStyle w:val="Nadpis3"/>
        <w:keepNext w:val="0"/>
        <w:numPr>
          <w:ilvl w:val="0"/>
          <w:numId w:val="0"/>
        </w:numPr>
        <w:spacing w:before="200" w:after="0"/>
      </w:pPr>
      <w:r w:rsidRPr="004673B0">
        <w:rPr>
          <w:i w:val="0"/>
        </w:rPr>
        <w:t xml:space="preserve">Dle § 51 odst. 5 Zákona Úřad následně vydá v separátním správním řízení rozhodnutí, kterým </w:t>
      </w:r>
      <w:r w:rsidR="003F679E" w:rsidRPr="004673B0">
        <w:rPr>
          <w:i w:val="0"/>
        </w:rPr>
        <w:t xml:space="preserve">stanoví podnik s významnou tržní silou a následně takovému </w:t>
      </w:r>
      <w:r w:rsidRPr="004673B0">
        <w:rPr>
          <w:i w:val="0"/>
        </w:rPr>
        <w:t xml:space="preserve">podniku </w:t>
      </w:r>
      <w:r w:rsidR="00A91A7E" w:rsidRPr="004673B0">
        <w:rPr>
          <w:i w:val="0"/>
        </w:rPr>
        <w:t xml:space="preserve">v samostatném správním řízení </w:t>
      </w:r>
      <w:r w:rsidR="00CF7CF5" w:rsidRPr="004673B0">
        <w:rPr>
          <w:i w:val="0"/>
        </w:rPr>
        <w:t>uloží</w:t>
      </w:r>
      <w:r w:rsidR="00A91A7E" w:rsidRPr="004673B0">
        <w:rPr>
          <w:i w:val="0"/>
        </w:rPr>
        <w:t xml:space="preserve"> </w:t>
      </w:r>
      <w:r w:rsidR="003F679E" w:rsidRPr="004673B0">
        <w:rPr>
          <w:i w:val="0"/>
        </w:rPr>
        <w:t>rozhodnutím</w:t>
      </w:r>
      <w:r w:rsidR="00CF7CF5" w:rsidRPr="004673B0">
        <w:rPr>
          <w:i w:val="0"/>
        </w:rPr>
        <w:t xml:space="preserve"> </w:t>
      </w:r>
      <w:r w:rsidRPr="004673B0">
        <w:rPr>
          <w:i w:val="0"/>
        </w:rPr>
        <w:t>konkrétní nápravná opatření. Úřad je oprávněn uložit nápravná opatření pouze na základě výsledků analýzy relevantního trhu. To však Úřadu nebrání navržená opatření specifikovat</w:t>
      </w:r>
      <w:r w:rsidR="0068240A" w:rsidRPr="004673B0">
        <w:rPr>
          <w:i w:val="0"/>
        </w:rPr>
        <w:t xml:space="preserve"> nebo ze závažných důvodů upravit</w:t>
      </w:r>
      <w:r w:rsidR="008B693E" w:rsidRPr="004673B0">
        <w:rPr>
          <w:rStyle w:val="Znakapoznpodarou"/>
          <w:i w:val="0"/>
        </w:rPr>
        <w:footnoteReference w:id="133"/>
      </w:r>
      <w:r w:rsidRPr="004673B0">
        <w:rPr>
          <w:i w:val="0"/>
        </w:rPr>
        <w:t xml:space="preserve"> v rámci správního řízení,</w:t>
      </w:r>
      <w:r w:rsidR="00202362" w:rsidRPr="004673B0">
        <w:rPr>
          <w:i w:val="0"/>
        </w:rPr>
        <w:t xml:space="preserve"> které není součá</w:t>
      </w:r>
      <w:r w:rsidR="00CF7CF5" w:rsidRPr="004673B0">
        <w:rPr>
          <w:i w:val="0"/>
        </w:rPr>
        <w:t>stí analýzy relevantního trhu a</w:t>
      </w:r>
      <w:r w:rsidR="00BD424D" w:rsidRPr="004673B0">
        <w:rPr>
          <w:i w:val="0"/>
        </w:rPr>
        <w:t> </w:t>
      </w:r>
      <w:r w:rsidRPr="004673B0">
        <w:rPr>
          <w:i w:val="0"/>
        </w:rPr>
        <w:t xml:space="preserve">jehož výsledkem bude vydání rozhodnutí o uložení nápravných opatření dle § 51 odst. 5 Zákona. Úřad má dále povinnost dle § 6 odst. 2 Zákona průběžně sledovat a vyhodnocovat účinky uložených nápravných opatření a případně je změnit či </w:t>
      </w:r>
      <w:r w:rsidR="00D174FD" w:rsidRPr="004673B0">
        <w:rPr>
          <w:i w:val="0"/>
        </w:rPr>
        <w:t>z</w:t>
      </w:r>
      <w:r w:rsidR="008B693E" w:rsidRPr="004673B0">
        <w:rPr>
          <w:i w:val="0"/>
        </w:rPr>
        <w:t>r</w:t>
      </w:r>
      <w:r w:rsidR="00D174FD" w:rsidRPr="004673B0">
        <w:rPr>
          <w:i w:val="0"/>
        </w:rPr>
        <w:t>ušit</w:t>
      </w:r>
      <w:r w:rsidR="00C56383" w:rsidRPr="004673B0">
        <w:rPr>
          <w:rStyle w:val="Znakapoznpodarou"/>
          <w:i w:val="0"/>
        </w:rPr>
        <w:footnoteReference w:id="134"/>
      </w:r>
      <w:r w:rsidRPr="004673B0">
        <w:rPr>
          <w:i w:val="0"/>
        </w:rPr>
        <w:t>.</w:t>
      </w:r>
    </w:p>
    <w:p w:rsidR="00D9127E" w:rsidRPr="004673B0" w:rsidRDefault="00D9127E" w:rsidP="004C3085">
      <w:pPr>
        <w:pStyle w:val="N3"/>
        <w:keepNext w:val="0"/>
      </w:pPr>
      <w:bookmarkStart w:id="241" w:name="_Toc440374103"/>
      <w:r w:rsidRPr="004673B0">
        <w:t>Zásada přiměřenosti</w:t>
      </w:r>
      <w:bookmarkEnd w:id="241"/>
    </w:p>
    <w:p w:rsidR="00D9127E" w:rsidRPr="004673B0" w:rsidRDefault="00D9127E" w:rsidP="00D9127E">
      <w:pPr>
        <w:spacing w:before="200" w:after="0"/>
      </w:pPr>
      <w:r w:rsidRPr="004673B0">
        <w:t xml:space="preserve">Úřad při návrhu </w:t>
      </w:r>
      <w:r w:rsidR="003F679E" w:rsidRPr="004673B0">
        <w:t>nápravných</w:t>
      </w:r>
      <w:r w:rsidRPr="004673B0">
        <w:t xml:space="preserve"> opatření </w:t>
      </w:r>
      <w:r w:rsidR="00C80049" w:rsidRPr="004673B0">
        <w:t xml:space="preserve">postupuje </w:t>
      </w:r>
      <w:r w:rsidRPr="004673B0">
        <w:t>v souladu se zásadou přiměřenosti. Úřad navrhne takové</w:t>
      </w:r>
      <w:r w:rsidR="00C80049" w:rsidRPr="004673B0">
        <w:t xml:space="preserve"> nápravné</w:t>
      </w:r>
      <w:r w:rsidRPr="004673B0">
        <w:t xml:space="preserve"> opatření (případně více</w:t>
      </w:r>
      <w:r w:rsidR="00C80049" w:rsidRPr="004673B0">
        <w:t xml:space="preserve"> nápravných</w:t>
      </w:r>
      <w:r w:rsidRPr="004673B0">
        <w:t xml:space="preserve"> opatření), které je přiměřené a nezbytné k zajištění stanoveného cíle, tj. k nápravě identifikovaného</w:t>
      </w:r>
      <w:r w:rsidR="00C45A38" w:rsidRPr="004673B0">
        <w:t xml:space="preserve"> potenciálního</w:t>
      </w:r>
      <w:r w:rsidRPr="004673B0">
        <w:t xml:space="preserve"> soutěžního problému. Úřad nesmí navrhnout a následně uložit opatření, které je způsobilé zajistit nápravu </w:t>
      </w:r>
      <w:r w:rsidR="00C45A38" w:rsidRPr="004673B0">
        <w:t xml:space="preserve">potenciálního </w:t>
      </w:r>
      <w:r w:rsidRPr="004673B0">
        <w:t xml:space="preserve">soutěžního problému, pokud zároveň existuje jiné, stejně vhodné, ale méně </w:t>
      </w:r>
      <w:r w:rsidR="00CF7CF5" w:rsidRPr="004673B0">
        <w:t xml:space="preserve">přísné </w:t>
      </w:r>
      <w:r w:rsidRPr="004673B0">
        <w:t>nápravné op</w:t>
      </w:r>
      <w:r w:rsidR="00BD424D" w:rsidRPr="004673B0">
        <w:t>atření. Jedná se o </w:t>
      </w:r>
      <w:r w:rsidRPr="004673B0">
        <w:t>promítnutí zásady přiměřenosti, která stanoví, že Úřad nesmí k zajištění určitého cíle využít více prostředků, než je přiměřené a nutné. Přiměřené nápravné opatření je tedy takové, které je schopné zajistit nápravu</w:t>
      </w:r>
      <w:r w:rsidR="00C45A38" w:rsidRPr="004673B0">
        <w:t xml:space="preserve"> potenciálního</w:t>
      </w:r>
      <w:r w:rsidRPr="004673B0">
        <w:t xml:space="preserve"> soutěžního problému, je k jeho zajištění nutné a zároveň je nejméně tíživé pro podnik s významnou tržní silou, tj. jedná se o opatření s nejmenším možným zásahem pro p</w:t>
      </w:r>
      <w:r w:rsidR="00883949" w:rsidRPr="004673B0">
        <w:t>odnik s významnou tržní silou.</w:t>
      </w:r>
    </w:p>
    <w:p w:rsidR="00D9127E" w:rsidRPr="004673B0" w:rsidRDefault="00D9127E" w:rsidP="004C3085">
      <w:pPr>
        <w:pStyle w:val="N3"/>
        <w:keepNext w:val="0"/>
      </w:pPr>
      <w:bookmarkStart w:id="242" w:name="_Toc440374104"/>
      <w:r w:rsidRPr="004673B0">
        <w:t>Nápravná opatření uvedená v Zákoně</w:t>
      </w:r>
      <w:bookmarkEnd w:id="242"/>
    </w:p>
    <w:p w:rsidR="00D9127E" w:rsidRPr="004673B0" w:rsidRDefault="00D9127E" w:rsidP="004C3085">
      <w:pPr>
        <w:pStyle w:val="Nadpis3"/>
        <w:keepNext w:val="0"/>
        <w:numPr>
          <w:ilvl w:val="0"/>
          <w:numId w:val="0"/>
        </w:numPr>
        <w:spacing w:before="200" w:after="0"/>
        <w:rPr>
          <w:i w:val="0"/>
        </w:rPr>
      </w:pPr>
      <w:r w:rsidRPr="004673B0">
        <w:rPr>
          <w:i w:val="0"/>
        </w:rPr>
        <w:t xml:space="preserve">Úřad na základě výsledků analýzy relevantního trhu navrhne v souladu s § 51 Zákona a čl. 9 až 13a </w:t>
      </w:r>
      <w:r w:rsidR="00C45A38" w:rsidRPr="004673B0">
        <w:rPr>
          <w:i w:val="0"/>
        </w:rPr>
        <w:t>p</w:t>
      </w:r>
      <w:r w:rsidRPr="004673B0">
        <w:rPr>
          <w:i w:val="0"/>
        </w:rPr>
        <w:t xml:space="preserve">řístupové směrnice a čl. 17 </w:t>
      </w:r>
      <w:r w:rsidR="00C45A38" w:rsidRPr="004673B0">
        <w:rPr>
          <w:i w:val="0"/>
        </w:rPr>
        <w:t xml:space="preserve">směrnice </w:t>
      </w:r>
      <w:r w:rsidRPr="004673B0">
        <w:rPr>
          <w:i w:val="0"/>
        </w:rPr>
        <w:t xml:space="preserve">o univerzální službě vhodná nápravná opatření. Nápravná opatření uvedená v § 51 odst. 12 Zákona či čl. 17 </w:t>
      </w:r>
      <w:r w:rsidR="00C45A38" w:rsidRPr="004673B0">
        <w:rPr>
          <w:i w:val="0"/>
        </w:rPr>
        <w:t xml:space="preserve">směrnice </w:t>
      </w:r>
      <w:r w:rsidRPr="004673B0">
        <w:rPr>
          <w:i w:val="0"/>
        </w:rPr>
        <w:t xml:space="preserve">o univerzální službě může Úřad uložit pouze na maloobchodním trhu. </w:t>
      </w:r>
    </w:p>
    <w:p w:rsidR="00D9127E" w:rsidRPr="004673B0" w:rsidRDefault="00D9127E" w:rsidP="00D9127E">
      <w:pPr>
        <w:spacing w:before="200" w:after="0"/>
      </w:pPr>
      <w:r w:rsidRPr="004673B0">
        <w:t xml:space="preserve">Úřad je oprávněn navrhnout podle Zákona pro podnik s významnou tržní sílou, jak na maloobchodním tak na velkoobchodním trhu, jedno nebo několik z následujících nápravných opatření: </w:t>
      </w:r>
    </w:p>
    <w:p w:rsidR="00D9127E" w:rsidRPr="004673B0" w:rsidRDefault="00D9127E" w:rsidP="00D9127E">
      <w:pPr>
        <w:spacing w:before="200" w:after="0"/>
        <w:ind w:left="708"/>
      </w:pPr>
      <w:r w:rsidRPr="004673B0">
        <w:t>a) průhlednost podle § 82 Zákona</w:t>
      </w:r>
      <w:r w:rsidR="00B01317" w:rsidRPr="004673B0">
        <w:rPr>
          <w:rStyle w:val="Znakapoznpodarou"/>
        </w:rPr>
        <w:footnoteReference w:id="135"/>
      </w:r>
      <w:r w:rsidRPr="004673B0">
        <w:t xml:space="preserve">, </w:t>
      </w:r>
    </w:p>
    <w:p w:rsidR="00D9127E" w:rsidRPr="004673B0" w:rsidRDefault="00D9127E" w:rsidP="00D9127E">
      <w:pPr>
        <w:spacing w:before="200" w:after="0"/>
        <w:ind w:left="708"/>
      </w:pPr>
      <w:r w:rsidRPr="004673B0">
        <w:t>b) nediskriminace podle § 81 Zákona</w:t>
      </w:r>
      <w:r w:rsidR="00B01317" w:rsidRPr="004673B0">
        <w:rPr>
          <w:rStyle w:val="Znakapoznpodarou"/>
        </w:rPr>
        <w:footnoteReference w:id="136"/>
      </w:r>
      <w:r w:rsidRPr="004673B0">
        <w:t xml:space="preserve">, </w:t>
      </w:r>
    </w:p>
    <w:p w:rsidR="00D9127E" w:rsidRPr="004673B0" w:rsidRDefault="00D9127E" w:rsidP="00D9127E">
      <w:pPr>
        <w:spacing w:before="200" w:after="0"/>
        <w:ind w:left="708"/>
      </w:pPr>
      <w:r w:rsidRPr="004673B0">
        <w:t xml:space="preserve">c) </w:t>
      </w:r>
      <w:r w:rsidR="00CF7CF5" w:rsidRPr="004673B0">
        <w:t xml:space="preserve">oddělená </w:t>
      </w:r>
      <w:r w:rsidRPr="004673B0">
        <w:t>evidence nákladů a výnosů podle § 86 Zákona</w:t>
      </w:r>
      <w:r w:rsidR="00B01317" w:rsidRPr="004673B0">
        <w:rPr>
          <w:rStyle w:val="Znakapoznpodarou"/>
        </w:rPr>
        <w:footnoteReference w:id="137"/>
      </w:r>
      <w:r w:rsidRPr="004673B0">
        <w:t xml:space="preserve">, </w:t>
      </w:r>
    </w:p>
    <w:p w:rsidR="00D9127E" w:rsidRPr="004673B0" w:rsidRDefault="00D9127E" w:rsidP="00D9127E">
      <w:pPr>
        <w:spacing w:before="200" w:after="0"/>
        <w:ind w:left="708"/>
      </w:pPr>
      <w:r w:rsidRPr="004673B0">
        <w:t>d) přístup k specifickým síťovým prvkům a přiřazeným prostředkům podle § 84 Zákona</w:t>
      </w:r>
      <w:r w:rsidR="00B01317" w:rsidRPr="004673B0">
        <w:rPr>
          <w:rStyle w:val="Znakapoznpodarou"/>
        </w:rPr>
        <w:footnoteReference w:id="138"/>
      </w:r>
      <w:r w:rsidRPr="004673B0">
        <w:t xml:space="preserve">, </w:t>
      </w:r>
    </w:p>
    <w:p w:rsidR="00D9127E" w:rsidRPr="004673B0" w:rsidRDefault="00D9127E" w:rsidP="00D9127E">
      <w:pPr>
        <w:spacing w:before="200" w:after="0"/>
        <w:ind w:left="708"/>
      </w:pPr>
      <w:r w:rsidRPr="004673B0">
        <w:t>e) umožnění volby a předvolby operátora podle § 70 odst. 1 Zákona</w:t>
      </w:r>
      <w:r w:rsidR="00B01317" w:rsidRPr="004673B0">
        <w:rPr>
          <w:rStyle w:val="Znakapoznpodarou"/>
        </w:rPr>
        <w:footnoteReference w:id="139"/>
      </w:r>
      <w:r w:rsidRPr="004673B0">
        <w:t xml:space="preserve">, </w:t>
      </w:r>
    </w:p>
    <w:p w:rsidR="00D9127E" w:rsidRPr="004673B0" w:rsidRDefault="00D9127E" w:rsidP="00D9127E">
      <w:pPr>
        <w:spacing w:before="200" w:after="0"/>
        <w:ind w:left="708"/>
      </w:pPr>
      <w:r w:rsidRPr="004673B0">
        <w:t xml:space="preserve">f) související s regulací cen podle § 56 a § </w:t>
      </w:r>
      <w:r w:rsidR="00CF7CF5" w:rsidRPr="004673B0">
        <w:t xml:space="preserve">57 </w:t>
      </w:r>
      <w:r w:rsidRPr="004673B0">
        <w:t>Zákona</w:t>
      </w:r>
      <w:r w:rsidR="00B01317" w:rsidRPr="004673B0">
        <w:rPr>
          <w:rStyle w:val="Znakapoznpodarou"/>
        </w:rPr>
        <w:footnoteReference w:id="140"/>
      </w:r>
      <w:r w:rsidRPr="004673B0">
        <w:t xml:space="preserve">, </w:t>
      </w:r>
    </w:p>
    <w:p w:rsidR="00D9127E" w:rsidRPr="004673B0" w:rsidRDefault="00D9127E" w:rsidP="00D9127E">
      <w:pPr>
        <w:spacing w:before="200" w:after="0"/>
        <w:ind w:left="708"/>
      </w:pPr>
      <w:r w:rsidRPr="004673B0">
        <w:t>g) funkční separace podle § 86a Zákona</w:t>
      </w:r>
      <w:r w:rsidR="00B01317" w:rsidRPr="004673B0">
        <w:rPr>
          <w:rStyle w:val="Znakapoznpodarou"/>
        </w:rPr>
        <w:footnoteReference w:id="141"/>
      </w:r>
      <w:r w:rsidRPr="004673B0">
        <w:t>.</w:t>
      </w:r>
    </w:p>
    <w:p w:rsidR="00650CAE" w:rsidRPr="004673B0" w:rsidRDefault="00743F20" w:rsidP="00CF6E90">
      <w:pPr>
        <w:spacing w:before="200" w:after="0"/>
      </w:pPr>
      <w:r w:rsidRPr="004673B0">
        <w:t>Úřad v rámci analýzy relevantního trhu navrhne rozsah</w:t>
      </w:r>
      <w:r w:rsidR="00C45A38" w:rsidRPr="004673B0">
        <w:t>, formu</w:t>
      </w:r>
      <w:r w:rsidRPr="004673B0">
        <w:t xml:space="preserve"> a další specifik</w:t>
      </w:r>
      <w:r w:rsidR="00C45A38" w:rsidRPr="004673B0">
        <w:t xml:space="preserve">a navržených nápravných opatření takovým způsobem, </w:t>
      </w:r>
      <w:r w:rsidR="00D174FD" w:rsidRPr="004673B0">
        <w:t xml:space="preserve">aby </w:t>
      </w:r>
      <w:r w:rsidR="00C45A38" w:rsidRPr="004673B0">
        <w:t xml:space="preserve">navržené nápravné opatření bylo </w:t>
      </w:r>
      <w:r w:rsidR="00BE3812" w:rsidRPr="004673B0">
        <w:t xml:space="preserve">co </w:t>
      </w:r>
      <w:r w:rsidR="00C45A38" w:rsidRPr="004673B0">
        <w:t>nejvhodnější k nápravě identifikovaných potenciálních soutěžních problémů.</w:t>
      </w:r>
      <w:r w:rsidRPr="004673B0">
        <w:t xml:space="preserve"> V rámci návrhu uložení povinnosti </w:t>
      </w:r>
      <w:r w:rsidR="00D55561" w:rsidRPr="004673B0">
        <w:t>nediskriminace dle § 81 Zákona</w:t>
      </w:r>
      <w:r w:rsidRPr="004673B0">
        <w:t xml:space="preserve"> může Úřad </w:t>
      </w:r>
      <w:r w:rsidR="00D55561" w:rsidRPr="004673B0">
        <w:t>např. stanovit povinnost</w:t>
      </w:r>
      <w:r w:rsidR="006E657B" w:rsidRPr="004673B0">
        <w:t xml:space="preserve"> tzv. replikovatelnosti, tj. povinnost poskytovat ostatním podniků</w:t>
      </w:r>
      <w:r w:rsidR="00D174FD" w:rsidRPr="004673B0">
        <w:t>m</w:t>
      </w:r>
      <w:r w:rsidR="006E657B" w:rsidRPr="004673B0">
        <w:t xml:space="preserve"> služby a informace za stejných podmínek a ve stejné kvalitě, v jaké </w:t>
      </w:r>
      <w:r w:rsidR="00C45A38" w:rsidRPr="004673B0">
        <w:t>je</w:t>
      </w:r>
      <w:r w:rsidR="006E657B" w:rsidRPr="004673B0">
        <w:t xml:space="preserve"> poskytuje pro služby vlastní. O návrhu nápravného opatření</w:t>
      </w:r>
      <w:r w:rsidR="00C45A38" w:rsidRPr="004673B0">
        <w:t xml:space="preserve"> nediskriminac</w:t>
      </w:r>
      <w:r w:rsidR="00F01380" w:rsidRPr="004673B0">
        <w:t>e</w:t>
      </w:r>
      <w:r w:rsidR="006E657B" w:rsidRPr="004673B0">
        <w:t xml:space="preserve"> ve formě povinnosti replikovatelnosti Úřad uvažuje zejména v případě, že podnik s významnou tržní silou je vertikálně integrovaný. </w:t>
      </w:r>
      <w:r w:rsidR="002B2F84" w:rsidRPr="004673B0">
        <w:t>Úřad při návrhu a specifikaci povinnosti replikovatelnosti ulož</w:t>
      </w:r>
      <w:r w:rsidR="00C45A38" w:rsidRPr="004673B0">
        <w:t>í také</w:t>
      </w:r>
      <w:r w:rsidR="002B2F84" w:rsidRPr="004673B0">
        <w:t xml:space="preserve"> související</w:t>
      </w:r>
      <w:r w:rsidR="00C45A38" w:rsidRPr="004673B0">
        <w:t xml:space="preserve"> informační</w:t>
      </w:r>
      <w:r w:rsidR="002B2F84" w:rsidRPr="004673B0">
        <w:t xml:space="preserve"> povinnost</w:t>
      </w:r>
      <w:r w:rsidR="00C45A38" w:rsidRPr="004673B0">
        <w:t>i</w:t>
      </w:r>
      <w:r w:rsidR="002B2F84" w:rsidRPr="004673B0">
        <w:t xml:space="preserve"> podle § 82 Zákona</w:t>
      </w:r>
      <w:r w:rsidR="00C45A38" w:rsidRPr="004673B0">
        <w:t>, pokud to je nezbytné pro zajištění nápravy potenciálních soutěžních problémů</w:t>
      </w:r>
      <w:r w:rsidR="002B2F84" w:rsidRPr="004673B0">
        <w:t>.</w:t>
      </w:r>
    </w:p>
    <w:p w:rsidR="00CF6E90" w:rsidRPr="004673B0" w:rsidRDefault="00650CAE" w:rsidP="00CF6E90">
      <w:pPr>
        <w:spacing w:before="200" w:after="0"/>
      </w:pPr>
      <w:r w:rsidRPr="004673B0">
        <w:t>V případě, když Úřad navrhne nápravné opatření průhlednosti dle § 82 Zákona, je podnik</w:t>
      </w:r>
      <w:r w:rsidR="00BE3812" w:rsidRPr="004673B0">
        <w:t xml:space="preserve"> s významnou tržní s</w:t>
      </w:r>
      <w:r w:rsidR="00FF6D48">
        <w:t>i</w:t>
      </w:r>
      <w:r w:rsidR="00BE3812" w:rsidRPr="004673B0">
        <w:t>lou</w:t>
      </w:r>
      <w:r w:rsidRPr="004673B0">
        <w:t>, kterému byla tato povinnost uložena povinen zároveň zveřejnit referenční nabídku.</w:t>
      </w:r>
      <w:r w:rsidRPr="004673B0">
        <w:rPr>
          <w:rStyle w:val="Znakapoznpodarou"/>
        </w:rPr>
        <w:footnoteReference w:id="142"/>
      </w:r>
      <w:r w:rsidR="002B2F84" w:rsidRPr="004673B0">
        <w:t xml:space="preserve"> </w:t>
      </w:r>
    </w:p>
    <w:p w:rsidR="00D9127E" w:rsidRPr="004673B0" w:rsidRDefault="00D9127E" w:rsidP="004C3085">
      <w:pPr>
        <w:pStyle w:val="N3"/>
        <w:keepNext w:val="0"/>
      </w:pPr>
      <w:bookmarkStart w:id="243" w:name="_Toc440374105"/>
      <w:r w:rsidRPr="004673B0">
        <w:t>Nápravná opatření neuvedená v Zákoně</w:t>
      </w:r>
      <w:bookmarkEnd w:id="243"/>
    </w:p>
    <w:p w:rsidR="00D9127E" w:rsidRPr="004673B0" w:rsidRDefault="00D9127E" w:rsidP="004C3085">
      <w:pPr>
        <w:pStyle w:val="Nadpis3"/>
        <w:keepNext w:val="0"/>
        <w:numPr>
          <w:ilvl w:val="0"/>
          <w:numId w:val="0"/>
        </w:numPr>
        <w:spacing w:before="200" w:after="0"/>
        <w:rPr>
          <w:i w:val="0"/>
        </w:rPr>
      </w:pPr>
      <w:r w:rsidRPr="004673B0">
        <w:rPr>
          <w:i w:val="0"/>
        </w:rPr>
        <w:t xml:space="preserve">Dále je Úřad oprávněn pro podnik s významnou tržní silou navrhnout i jiná nápravná opatření týkající se přístupu nebo propojení než ta uvedená v § 51 odst. 5 Zákona. Tato specifická opatření je Úřad oprávněn v rozhodnutí uložit pouze po získání souhlasného stanoviska Evropské </w:t>
      </w:r>
      <w:r w:rsidR="00FF6D48">
        <w:rPr>
          <w:i w:val="0"/>
        </w:rPr>
        <w:t>k</w:t>
      </w:r>
      <w:r w:rsidRPr="004673B0">
        <w:rPr>
          <w:i w:val="0"/>
        </w:rPr>
        <w:t xml:space="preserve">omise dle čl. 8 </w:t>
      </w:r>
      <w:r w:rsidR="00C21248" w:rsidRPr="004673B0">
        <w:rPr>
          <w:i w:val="0"/>
        </w:rPr>
        <w:t>p</w:t>
      </w:r>
      <w:r w:rsidRPr="004673B0">
        <w:rPr>
          <w:i w:val="0"/>
        </w:rPr>
        <w:t xml:space="preserve">řístupové směrnice. </w:t>
      </w:r>
    </w:p>
    <w:p w:rsidR="00D9127E" w:rsidRPr="004673B0" w:rsidRDefault="00D9127E" w:rsidP="004C3085">
      <w:pPr>
        <w:pStyle w:val="N3"/>
        <w:keepNext w:val="0"/>
      </w:pPr>
      <w:bookmarkStart w:id="244" w:name="_Toc440374106"/>
      <w:r w:rsidRPr="004673B0">
        <w:t>Další zásady navrhování nápravných opatření</w:t>
      </w:r>
      <w:bookmarkEnd w:id="244"/>
    </w:p>
    <w:p w:rsidR="00D9127E" w:rsidRPr="004673B0" w:rsidRDefault="00D9127E" w:rsidP="00CF0568">
      <w:pPr>
        <w:pStyle w:val="Nadpis3"/>
        <w:keepNext w:val="0"/>
        <w:numPr>
          <w:ilvl w:val="0"/>
          <w:numId w:val="0"/>
        </w:numPr>
        <w:spacing w:before="200" w:after="0"/>
        <w:rPr>
          <w:i w:val="0"/>
        </w:rPr>
      </w:pPr>
      <w:r w:rsidRPr="004673B0">
        <w:rPr>
          <w:i w:val="0"/>
        </w:rPr>
        <w:t xml:space="preserve">Úřad je oprávněn z demonstrativního seznamu nápravných opatření v § 51 odst. 5 Zákona navrhnout jedno či více </w:t>
      </w:r>
      <w:r w:rsidR="00CF0568" w:rsidRPr="004673B0">
        <w:rPr>
          <w:i w:val="0"/>
        </w:rPr>
        <w:t>nápravných</w:t>
      </w:r>
      <w:r w:rsidRPr="004673B0">
        <w:rPr>
          <w:i w:val="0"/>
        </w:rPr>
        <w:t xml:space="preserve"> opatření. Ovšem v případě, že výsledkem analýzy</w:t>
      </w:r>
      <w:r w:rsidR="00C21248" w:rsidRPr="004673B0">
        <w:rPr>
          <w:i w:val="0"/>
        </w:rPr>
        <w:t xml:space="preserve"> trhu</w:t>
      </w:r>
      <w:r w:rsidRPr="004673B0">
        <w:rPr>
          <w:i w:val="0"/>
        </w:rPr>
        <w:t xml:space="preserve"> bude zjištění, že relevantní trh není efektivně konkurenční, je Úřad povinen uložit nejméně jedno opatření.</w:t>
      </w:r>
      <w:r w:rsidRPr="004673B0">
        <w:rPr>
          <w:rStyle w:val="Znakapoznpodarou"/>
          <w:i w:val="0"/>
        </w:rPr>
        <w:footnoteReference w:id="143"/>
      </w:r>
      <w:r w:rsidRPr="004673B0">
        <w:rPr>
          <w:i w:val="0"/>
        </w:rPr>
        <w:t xml:space="preserve"> V případě, že bylo na relevantní</w:t>
      </w:r>
      <w:r w:rsidR="00B3471C" w:rsidRPr="004673B0">
        <w:rPr>
          <w:i w:val="0"/>
        </w:rPr>
        <w:t>m</w:t>
      </w:r>
      <w:r w:rsidRPr="004673B0">
        <w:rPr>
          <w:i w:val="0"/>
        </w:rPr>
        <w:t xml:space="preserve"> trhu stanoveno více podniků s významnou tržní silou, Úřad uloží nejvhodnější nápravné opatření či více opatření s o</w:t>
      </w:r>
      <w:r w:rsidR="00883949" w:rsidRPr="004673B0">
        <w:rPr>
          <w:i w:val="0"/>
        </w:rPr>
        <w:t>hledem na zásadu přiměřenosti.</w:t>
      </w:r>
    </w:p>
    <w:p w:rsidR="00D9127E" w:rsidRPr="004673B0" w:rsidRDefault="00D9127E" w:rsidP="004C3085">
      <w:pPr>
        <w:pStyle w:val="Nadpis3"/>
        <w:keepNext w:val="0"/>
        <w:numPr>
          <w:ilvl w:val="0"/>
          <w:numId w:val="0"/>
        </w:numPr>
        <w:spacing w:before="200" w:after="0"/>
        <w:rPr>
          <w:i w:val="0"/>
        </w:rPr>
      </w:pPr>
      <w:r w:rsidRPr="004673B0">
        <w:rPr>
          <w:i w:val="0"/>
        </w:rPr>
        <w:t>V případě nadnárodních trhů Úřad postupuje v souladu s právem Evr</w:t>
      </w:r>
      <w:r w:rsidR="00BD424D" w:rsidRPr="004673B0">
        <w:rPr>
          <w:i w:val="0"/>
        </w:rPr>
        <w:t>opské unie a provádí společně s </w:t>
      </w:r>
      <w:r w:rsidRPr="004673B0">
        <w:rPr>
          <w:i w:val="0"/>
        </w:rPr>
        <w:t>dotčenými národními regulátory analýzu relevantního trhu a popřípadě stanoví subjekt s významnou tržní silou. Po projednání s dotčenými národními regulačními úřady může Úřad rozhodnout o uložení povinností pro subjekt/subjekty s významnou tržní silou.</w:t>
      </w:r>
    </w:p>
    <w:p w:rsidR="00D9127E" w:rsidRPr="004673B0" w:rsidRDefault="00D9127E" w:rsidP="004C3085">
      <w:pPr>
        <w:pStyle w:val="N3"/>
        <w:keepNext w:val="0"/>
      </w:pPr>
      <w:bookmarkStart w:id="245" w:name="_Ref433378977"/>
      <w:bookmarkStart w:id="246" w:name="_Toc440374107"/>
      <w:r w:rsidRPr="004673B0">
        <w:t>Nápravná opatření specifická pro maloobchodní relevantní trhy</w:t>
      </w:r>
      <w:bookmarkEnd w:id="245"/>
      <w:bookmarkEnd w:id="246"/>
    </w:p>
    <w:p w:rsidR="00D9127E" w:rsidRPr="004673B0" w:rsidRDefault="00D9127E" w:rsidP="00CF0568">
      <w:pPr>
        <w:pStyle w:val="Nadpis3"/>
        <w:keepNext w:val="0"/>
        <w:numPr>
          <w:ilvl w:val="0"/>
          <w:numId w:val="0"/>
        </w:numPr>
        <w:spacing w:before="200" w:after="0"/>
        <w:rPr>
          <w:i w:val="0"/>
        </w:rPr>
      </w:pPr>
      <w:r w:rsidRPr="004673B0">
        <w:rPr>
          <w:i w:val="0"/>
        </w:rPr>
        <w:t>Stanovil-li Úřad podnik s významnou tržní silou na některém relevantn</w:t>
      </w:r>
      <w:r w:rsidR="00BD424D" w:rsidRPr="004673B0">
        <w:rPr>
          <w:i w:val="0"/>
        </w:rPr>
        <w:t>ím trhu pro koncové uživatele a </w:t>
      </w:r>
      <w:r w:rsidRPr="004673B0">
        <w:rPr>
          <w:i w:val="0"/>
        </w:rPr>
        <w:t xml:space="preserve">dospěl-li po provedení konzultace podle § 130 a § 131 Zákona k závěru, že uložením výše uvedených </w:t>
      </w:r>
      <w:r w:rsidR="00CF0568" w:rsidRPr="004673B0">
        <w:rPr>
          <w:i w:val="0"/>
        </w:rPr>
        <w:t xml:space="preserve">nápravných opatření </w:t>
      </w:r>
      <w:r w:rsidRPr="004673B0">
        <w:rPr>
          <w:i w:val="0"/>
        </w:rPr>
        <w:t xml:space="preserve">nebude sjednána náprava, je Úřad oprávněn dotčenému podniku rozhodnutím zakázat: </w:t>
      </w:r>
    </w:p>
    <w:p w:rsidR="00D9127E" w:rsidRPr="004673B0" w:rsidRDefault="00D9127E" w:rsidP="004C3085">
      <w:pPr>
        <w:pStyle w:val="Nadpis3"/>
        <w:keepNext w:val="0"/>
        <w:numPr>
          <w:ilvl w:val="0"/>
          <w:numId w:val="0"/>
        </w:numPr>
        <w:spacing w:before="200" w:after="0"/>
        <w:ind w:firstLine="708"/>
        <w:rPr>
          <w:i w:val="0"/>
        </w:rPr>
      </w:pPr>
      <w:r w:rsidRPr="004673B0">
        <w:rPr>
          <w:i w:val="0"/>
        </w:rPr>
        <w:t>a) neodůvodněné nebo nepřiměřené zvýhodňování některých koncových uživatelů,</w:t>
      </w:r>
      <w:r w:rsidR="00C21248" w:rsidRPr="004673B0">
        <w:rPr>
          <w:i w:val="0"/>
        </w:rPr>
        <w:t xml:space="preserve"> nebo</w:t>
      </w:r>
      <w:r w:rsidRPr="004673B0">
        <w:rPr>
          <w:i w:val="0"/>
        </w:rPr>
        <w:t xml:space="preserve"> </w:t>
      </w:r>
    </w:p>
    <w:p w:rsidR="00D9127E" w:rsidRPr="004673B0" w:rsidRDefault="00D9127E" w:rsidP="004C3085">
      <w:pPr>
        <w:pStyle w:val="Nadpis3"/>
        <w:keepNext w:val="0"/>
        <w:numPr>
          <w:ilvl w:val="0"/>
          <w:numId w:val="0"/>
        </w:numPr>
        <w:spacing w:before="200" w:after="0"/>
        <w:ind w:firstLine="708"/>
        <w:rPr>
          <w:i w:val="0"/>
        </w:rPr>
      </w:pPr>
      <w:r w:rsidRPr="004673B0">
        <w:rPr>
          <w:i w:val="0"/>
        </w:rPr>
        <w:t xml:space="preserve">b) nepřiměřené vzájemné vázání služeb, </w:t>
      </w:r>
      <w:r w:rsidR="00C21248" w:rsidRPr="004673B0">
        <w:rPr>
          <w:i w:val="0"/>
        </w:rPr>
        <w:t>nebo</w:t>
      </w:r>
    </w:p>
    <w:p w:rsidR="00D9127E" w:rsidRPr="004673B0" w:rsidRDefault="00D9127E" w:rsidP="004C3085">
      <w:pPr>
        <w:pStyle w:val="Nadpis3"/>
        <w:keepNext w:val="0"/>
        <w:numPr>
          <w:ilvl w:val="0"/>
          <w:numId w:val="0"/>
        </w:numPr>
        <w:spacing w:before="200" w:after="0"/>
        <w:ind w:firstLine="708"/>
        <w:rPr>
          <w:i w:val="0"/>
        </w:rPr>
      </w:pPr>
      <w:r w:rsidRPr="004673B0">
        <w:rPr>
          <w:i w:val="0"/>
        </w:rPr>
        <w:t xml:space="preserve">c) účtování neúměrně vysokých cen, </w:t>
      </w:r>
      <w:r w:rsidR="00C21248" w:rsidRPr="004673B0">
        <w:rPr>
          <w:i w:val="0"/>
        </w:rPr>
        <w:t>nebo</w:t>
      </w:r>
    </w:p>
    <w:p w:rsidR="00D9127E" w:rsidRPr="004673B0" w:rsidRDefault="00D9127E" w:rsidP="00CF0568">
      <w:pPr>
        <w:pStyle w:val="Nadpis3"/>
        <w:keepNext w:val="0"/>
        <w:numPr>
          <w:ilvl w:val="0"/>
          <w:numId w:val="0"/>
        </w:numPr>
        <w:spacing w:before="200" w:after="0"/>
        <w:ind w:firstLine="708"/>
        <w:rPr>
          <w:i w:val="0"/>
        </w:rPr>
      </w:pPr>
      <w:r w:rsidRPr="004673B0">
        <w:rPr>
          <w:i w:val="0"/>
        </w:rPr>
        <w:t>d) omezování hospodářské soutěže stanovením</w:t>
      </w:r>
      <w:r w:rsidR="00704E2D" w:rsidRPr="004673B0">
        <w:rPr>
          <w:i w:val="0"/>
        </w:rPr>
        <w:t xml:space="preserve"> predátorských</w:t>
      </w:r>
      <w:r w:rsidRPr="004673B0">
        <w:rPr>
          <w:i w:val="0"/>
        </w:rPr>
        <w:t xml:space="preserve"> </w:t>
      </w:r>
      <w:r w:rsidR="00704E2D" w:rsidRPr="004673B0">
        <w:rPr>
          <w:i w:val="0"/>
        </w:rPr>
        <w:t>(</w:t>
      </w:r>
      <w:r w:rsidR="00CF0568" w:rsidRPr="004673B0">
        <w:rPr>
          <w:i w:val="0"/>
        </w:rPr>
        <w:t>dravých</w:t>
      </w:r>
      <w:r w:rsidR="00704E2D" w:rsidRPr="004673B0">
        <w:rPr>
          <w:i w:val="0"/>
        </w:rPr>
        <w:t>)</w:t>
      </w:r>
      <w:r w:rsidR="00CF0568" w:rsidRPr="004673B0">
        <w:rPr>
          <w:i w:val="0"/>
        </w:rPr>
        <w:t xml:space="preserve"> </w:t>
      </w:r>
      <w:r w:rsidRPr="004673B0">
        <w:rPr>
          <w:i w:val="0"/>
        </w:rPr>
        <w:t xml:space="preserve">cen. </w:t>
      </w:r>
    </w:p>
    <w:p w:rsidR="00447327" w:rsidRPr="004673B0" w:rsidRDefault="00447327" w:rsidP="00447327">
      <w:pPr>
        <w:pStyle w:val="N3"/>
        <w:keepNext w:val="0"/>
      </w:pPr>
      <w:bookmarkStart w:id="247" w:name="_Ref433395411"/>
      <w:bookmarkStart w:id="248" w:name="_Toc440374108"/>
      <w:r w:rsidRPr="004673B0">
        <w:t>Přiřazení nápravných opatření k identifikovanému potenciálnímu soutěžnímu problému</w:t>
      </w:r>
      <w:bookmarkEnd w:id="247"/>
      <w:bookmarkEnd w:id="248"/>
    </w:p>
    <w:p w:rsidR="004C3085" w:rsidRPr="004673B0" w:rsidRDefault="004C3085" w:rsidP="004C3085">
      <w:pPr>
        <w:pStyle w:val="Nadpis2"/>
        <w:numPr>
          <w:ilvl w:val="0"/>
          <w:numId w:val="0"/>
        </w:numPr>
        <w:rPr>
          <w:b w:val="0"/>
        </w:rPr>
      </w:pPr>
      <w:r w:rsidRPr="004673B0">
        <w:rPr>
          <w:b w:val="0"/>
        </w:rPr>
        <w:t>Při přiřazování nápravných opatření k identifikovanému potenciálnímu soutěžnímu problému Úřad přihlédne k seznamu identifikovatelných potenciálních</w:t>
      </w:r>
      <w:r w:rsidR="001A6421" w:rsidRPr="004673B0">
        <w:rPr>
          <w:b w:val="0"/>
        </w:rPr>
        <w:t xml:space="preserve"> soutěžních</w:t>
      </w:r>
      <w:r w:rsidRPr="004673B0">
        <w:rPr>
          <w:b w:val="0"/>
        </w:rPr>
        <w:t xml:space="preserve"> problémů a doporučených</w:t>
      </w:r>
      <w:r w:rsidRPr="004673B0">
        <w:rPr>
          <w:rStyle w:val="Znakapoznpodarou"/>
          <w:b w:val="0"/>
        </w:rPr>
        <w:footnoteReference w:id="144"/>
      </w:r>
      <w:r w:rsidR="001A6421" w:rsidRPr="004673B0">
        <w:rPr>
          <w:b w:val="0"/>
        </w:rPr>
        <w:t xml:space="preserve"> nápravných opatření</w:t>
      </w:r>
      <w:r w:rsidRPr="004673B0">
        <w:rPr>
          <w:b w:val="0"/>
        </w:rPr>
        <w:t xml:space="preserve"> níže</w:t>
      </w:r>
      <w:r w:rsidR="001A6421" w:rsidRPr="004673B0">
        <w:rPr>
          <w:b w:val="0"/>
        </w:rPr>
        <w:t>. N</w:t>
      </w:r>
      <w:r w:rsidRPr="004673B0">
        <w:rPr>
          <w:b w:val="0"/>
        </w:rPr>
        <w:t xml:space="preserve">ejedná se </w:t>
      </w:r>
      <w:r w:rsidR="001A6421" w:rsidRPr="004673B0">
        <w:rPr>
          <w:b w:val="0"/>
        </w:rPr>
        <w:t>však</w:t>
      </w:r>
      <w:r w:rsidRPr="004673B0">
        <w:rPr>
          <w:b w:val="0"/>
        </w:rPr>
        <w:t xml:space="preserve"> o závazný seznam a Úřad vždy</w:t>
      </w:r>
      <w:r w:rsidR="001A6421" w:rsidRPr="004673B0">
        <w:rPr>
          <w:b w:val="0"/>
        </w:rPr>
        <w:t xml:space="preserve"> při ukládání nápravných opatření</w:t>
      </w:r>
      <w:r w:rsidRPr="004673B0">
        <w:rPr>
          <w:b w:val="0"/>
        </w:rPr>
        <w:t xml:space="preserve"> zohlední individuální situaci na relevantním trhu. </w:t>
      </w:r>
    </w:p>
    <w:tbl>
      <w:tblPr>
        <w:tblStyle w:val="Mkatabulky"/>
        <w:tblW w:w="0" w:type="auto"/>
        <w:tblLook w:val="04A0" w:firstRow="1" w:lastRow="0" w:firstColumn="1" w:lastColumn="0" w:noHBand="0" w:noVBand="1"/>
      </w:tblPr>
      <w:tblGrid>
        <w:gridCol w:w="4532"/>
        <w:gridCol w:w="4530"/>
      </w:tblGrid>
      <w:tr w:rsidR="004C3085" w:rsidRPr="004673B0" w:rsidTr="00BF293D">
        <w:tc>
          <w:tcPr>
            <w:tcW w:w="4606" w:type="dxa"/>
          </w:tcPr>
          <w:p w:rsidR="004C3085" w:rsidRPr="004673B0" w:rsidRDefault="004C3085" w:rsidP="00BF293D">
            <w:pPr>
              <w:jc w:val="center"/>
              <w:rPr>
                <w:b/>
              </w:rPr>
            </w:pPr>
            <w:r w:rsidRPr="004673B0">
              <w:rPr>
                <w:b/>
              </w:rPr>
              <w:t>Potenciální soutěžní problém</w:t>
            </w:r>
          </w:p>
        </w:tc>
        <w:tc>
          <w:tcPr>
            <w:tcW w:w="4606" w:type="dxa"/>
          </w:tcPr>
          <w:p w:rsidR="004C3085" w:rsidRPr="004673B0" w:rsidRDefault="004C3085" w:rsidP="00BF293D">
            <w:pPr>
              <w:jc w:val="center"/>
              <w:rPr>
                <w:b/>
              </w:rPr>
            </w:pPr>
            <w:r w:rsidRPr="004673B0">
              <w:rPr>
                <w:b/>
              </w:rPr>
              <w:t>Doporučené nápravné opatření</w:t>
            </w:r>
          </w:p>
        </w:tc>
      </w:tr>
      <w:tr w:rsidR="004C3085" w:rsidRPr="004673B0" w:rsidTr="00BF293D">
        <w:tc>
          <w:tcPr>
            <w:tcW w:w="4606" w:type="dxa"/>
          </w:tcPr>
          <w:p w:rsidR="004C3085" w:rsidRPr="004673B0" w:rsidRDefault="004C3085" w:rsidP="00B86541">
            <w:r w:rsidRPr="004673B0">
              <w:t>Odmít</w:t>
            </w:r>
            <w:r w:rsidR="00B86541" w:rsidRPr="004673B0">
              <w:t>ání</w:t>
            </w:r>
            <w:r w:rsidRPr="004673B0">
              <w:t xml:space="preserve"> přístupu</w:t>
            </w:r>
          </w:p>
        </w:tc>
        <w:tc>
          <w:tcPr>
            <w:tcW w:w="4606" w:type="dxa"/>
          </w:tcPr>
          <w:p w:rsidR="004C3085" w:rsidRPr="004673B0" w:rsidRDefault="004C3085" w:rsidP="00BF293D">
            <w:r w:rsidRPr="004673B0">
              <w:t xml:space="preserve">Povinnost přístupu podle § 51 odst. 5 písm. d) Zákona, a/nebo </w:t>
            </w:r>
          </w:p>
          <w:p w:rsidR="004C3085" w:rsidRPr="004673B0" w:rsidRDefault="004C3085" w:rsidP="00BF293D">
            <w:r w:rsidRPr="004673B0">
              <w:t xml:space="preserve">povinnost nediskriminace podle § 51 odst. 5 písm. b) Zákona. </w:t>
            </w:r>
          </w:p>
        </w:tc>
      </w:tr>
      <w:tr w:rsidR="004C3085" w:rsidRPr="004673B0" w:rsidTr="00BF293D">
        <w:tc>
          <w:tcPr>
            <w:tcW w:w="4606" w:type="dxa"/>
          </w:tcPr>
          <w:p w:rsidR="004C3085" w:rsidRPr="004673B0" w:rsidRDefault="00B86541" w:rsidP="00BF293D">
            <w:r w:rsidRPr="004673B0">
              <w:t>Odmítání</w:t>
            </w:r>
            <w:r w:rsidR="004C3085" w:rsidRPr="004673B0">
              <w:t xml:space="preserve"> navázání jednání či obchodního styku</w:t>
            </w:r>
          </w:p>
        </w:tc>
        <w:tc>
          <w:tcPr>
            <w:tcW w:w="4606" w:type="dxa"/>
          </w:tcPr>
          <w:p w:rsidR="004C3085" w:rsidRPr="004673B0" w:rsidRDefault="004C3085" w:rsidP="00BF293D">
            <w:r w:rsidRPr="004673B0">
              <w:t xml:space="preserve">Povinnost přístupu podle § 51 odst. 5 písm. d) Zákona, a/nebo </w:t>
            </w:r>
          </w:p>
          <w:p w:rsidR="004C3085" w:rsidRPr="004673B0" w:rsidRDefault="004C3085" w:rsidP="00BF293D">
            <w:r w:rsidRPr="004673B0">
              <w:t xml:space="preserve">povinnost nediskriminace podle § 51 odst. 5 písm. b) Zákona. </w:t>
            </w:r>
          </w:p>
        </w:tc>
      </w:tr>
      <w:tr w:rsidR="004C3085" w:rsidRPr="004673B0" w:rsidTr="00BF293D">
        <w:tc>
          <w:tcPr>
            <w:tcW w:w="4606" w:type="dxa"/>
          </w:tcPr>
          <w:p w:rsidR="004C3085" w:rsidRPr="004673B0" w:rsidRDefault="004C3085" w:rsidP="00BF293D">
            <w:r w:rsidRPr="004673B0">
              <w:t>Diskriminační vy</w:t>
            </w:r>
            <w:r w:rsidR="008A3275" w:rsidRPr="004673B0">
              <w:t>u</w:t>
            </w:r>
            <w:r w:rsidRPr="004673B0">
              <w:t xml:space="preserve">žití informací </w:t>
            </w:r>
            <w:r w:rsidR="00B86541" w:rsidRPr="004673B0">
              <w:t>nebo diskriminační omezení přístupu k</w:t>
            </w:r>
            <w:r w:rsidR="001D535D" w:rsidRPr="004673B0">
              <w:t> </w:t>
            </w:r>
            <w:r w:rsidR="00B86541" w:rsidRPr="004673B0">
              <w:t>informacím</w:t>
            </w:r>
          </w:p>
        </w:tc>
        <w:tc>
          <w:tcPr>
            <w:tcW w:w="4606" w:type="dxa"/>
          </w:tcPr>
          <w:p w:rsidR="004C3085" w:rsidRPr="004673B0" w:rsidRDefault="004C3085" w:rsidP="00BF293D">
            <w:r w:rsidRPr="004673B0">
              <w:t xml:space="preserve">povinnost průhlednosti podle § 51 odst. 5 písm. a) Zákona, a/nebo </w:t>
            </w:r>
          </w:p>
          <w:p w:rsidR="004C3085" w:rsidRPr="004673B0" w:rsidRDefault="004C3085" w:rsidP="00BF293D">
            <w:r w:rsidRPr="004673B0">
              <w:t>povinnost nediskriminace podle § 51 odst. 5 písm. b) Zákona.</w:t>
            </w:r>
          </w:p>
        </w:tc>
      </w:tr>
      <w:tr w:rsidR="004C3085" w:rsidRPr="004673B0" w:rsidTr="00BF293D">
        <w:tc>
          <w:tcPr>
            <w:tcW w:w="4606" w:type="dxa"/>
          </w:tcPr>
          <w:p w:rsidR="004C3085" w:rsidRPr="004673B0" w:rsidRDefault="00B86541" w:rsidP="00BF293D">
            <w:r w:rsidRPr="004673B0">
              <w:t>Zdržovací taktiky</w:t>
            </w:r>
          </w:p>
        </w:tc>
        <w:tc>
          <w:tcPr>
            <w:tcW w:w="4606" w:type="dxa"/>
          </w:tcPr>
          <w:p w:rsidR="004C3085" w:rsidRPr="004673B0" w:rsidRDefault="004C3085" w:rsidP="00BF293D">
            <w:r w:rsidRPr="004673B0">
              <w:t>povinnost nediskriminace podle § 51 odst. 5 písm. b) Zákona.</w:t>
            </w:r>
          </w:p>
        </w:tc>
      </w:tr>
      <w:tr w:rsidR="004C3085" w:rsidRPr="004673B0" w:rsidTr="00BF293D">
        <w:tc>
          <w:tcPr>
            <w:tcW w:w="4606" w:type="dxa"/>
          </w:tcPr>
          <w:p w:rsidR="004C3085" w:rsidRPr="004673B0" w:rsidRDefault="00B86541" w:rsidP="00BF293D">
            <w:r w:rsidRPr="004673B0">
              <w:t>Soutěžní problémy související s vázáním produktů/služeb</w:t>
            </w:r>
            <w:r w:rsidR="004C3085" w:rsidRPr="004673B0">
              <w:t xml:space="preserve"> </w:t>
            </w:r>
          </w:p>
        </w:tc>
        <w:tc>
          <w:tcPr>
            <w:tcW w:w="4606" w:type="dxa"/>
          </w:tcPr>
          <w:p w:rsidR="004C3085" w:rsidRPr="004673B0" w:rsidRDefault="004C3085" w:rsidP="00BF293D">
            <w:r w:rsidRPr="004673B0">
              <w:t xml:space="preserve">Povinnost průhlednosti podle § 51 odst. 5 písm. a) Zákona, a/nebo </w:t>
            </w:r>
          </w:p>
          <w:p w:rsidR="00A91A7E" w:rsidRPr="004673B0" w:rsidRDefault="00A91A7E" w:rsidP="00BF293D">
            <w:r w:rsidRPr="004673B0">
              <w:t>povinnost nediskriminace podle § 51 odst. 5 písm. b) Zákona</w:t>
            </w:r>
          </w:p>
          <w:p w:rsidR="004C3085" w:rsidRPr="004673B0" w:rsidRDefault="004C3085" w:rsidP="00BF293D"/>
        </w:tc>
      </w:tr>
      <w:tr w:rsidR="004C3085" w:rsidRPr="004673B0" w:rsidTr="00BF293D">
        <w:tc>
          <w:tcPr>
            <w:tcW w:w="4606" w:type="dxa"/>
          </w:tcPr>
          <w:p w:rsidR="004C3085" w:rsidRPr="004673B0" w:rsidRDefault="008A3275" w:rsidP="008A3275">
            <w:r w:rsidRPr="004673B0">
              <w:t xml:space="preserve">Nepřiměřené </w:t>
            </w:r>
            <w:r w:rsidR="004C3085" w:rsidRPr="004673B0">
              <w:t xml:space="preserve">podmínky </w:t>
            </w:r>
            <w:r w:rsidR="00B86541" w:rsidRPr="004673B0">
              <w:t>pro konkurenci</w:t>
            </w:r>
          </w:p>
        </w:tc>
        <w:tc>
          <w:tcPr>
            <w:tcW w:w="4606" w:type="dxa"/>
          </w:tcPr>
          <w:p w:rsidR="004C3085" w:rsidRPr="004673B0" w:rsidRDefault="004C3085" w:rsidP="00BF293D">
            <w:r w:rsidRPr="004673B0">
              <w:t>Povinnost průhlednosti podle § 51 odst. 5 písm. a) Zákona.</w:t>
            </w:r>
          </w:p>
        </w:tc>
      </w:tr>
      <w:tr w:rsidR="004C3085" w:rsidRPr="004673B0" w:rsidTr="00BF293D">
        <w:tc>
          <w:tcPr>
            <w:tcW w:w="4606" w:type="dxa"/>
          </w:tcPr>
          <w:p w:rsidR="004C3085" w:rsidRPr="004673B0" w:rsidRDefault="004C3085" w:rsidP="00B86541">
            <w:r w:rsidRPr="004673B0">
              <w:t>Diskriminace spočívající v</w:t>
            </w:r>
            <w:r w:rsidR="00B86541" w:rsidRPr="004673B0">
              <w:t> poskytování méně kvalitních služeb/produktů</w:t>
            </w:r>
            <w:r w:rsidRPr="004673B0">
              <w:t xml:space="preserve"> </w:t>
            </w:r>
            <w:r w:rsidR="00B86541" w:rsidRPr="004673B0">
              <w:t>konkurenci</w:t>
            </w:r>
          </w:p>
        </w:tc>
        <w:tc>
          <w:tcPr>
            <w:tcW w:w="4606" w:type="dxa"/>
          </w:tcPr>
          <w:p w:rsidR="004C3085" w:rsidRPr="004673B0" w:rsidRDefault="004C3085" w:rsidP="00BF293D">
            <w:r w:rsidRPr="004673B0">
              <w:t>Povinnost nediskriminace podle § 51 odst. 5 písm. b) Zákona, a/nebo</w:t>
            </w:r>
          </w:p>
          <w:p w:rsidR="004C3085" w:rsidRPr="004673B0" w:rsidRDefault="004C3085" w:rsidP="00BF293D">
            <w:r w:rsidRPr="004673B0">
              <w:t>povinnost průhlednosti podle § 51 odst. 5 písm. a) Zákona.</w:t>
            </w:r>
          </w:p>
          <w:p w:rsidR="00A91A7E" w:rsidRPr="004673B0" w:rsidRDefault="00A91A7E" w:rsidP="00BF293D">
            <w:r w:rsidRPr="004673B0">
              <w:t>-zejména prostřednictvím uložení KPI a SLA</w:t>
            </w:r>
          </w:p>
        </w:tc>
      </w:tr>
      <w:tr w:rsidR="004C3085" w:rsidRPr="004673B0" w:rsidTr="00BF293D">
        <w:tc>
          <w:tcPr>
            <w:tcW w:w="4606" w:type="dxa"/>
          </w:tcPr>
          <w:p w:rsidR="004C3085" w:rsidRPr="004673B0" w:rsidRDefault="00B86541" w:rsidP="00BF293D">
            <w:r w:rsidRPr="004673B0">
              <w:t>Strategická charakteristika a design produktů/služeb</w:t>
            </w:r>
          </w:p>
        </w:tc>
        <w:tc>
          <w:tcPr>
            <w:tcW w:w="4606" w:type="dxa"/>
          </w:tcPr>
          <w:p w:rsidR="004C3085" w:rsidRPr="004673B0" w:rsidRDefault="004C3085" w:rsidP="00BF293D">
            <w:r w:rsidRPr="004673B0">
              <w:t>Povinnost nediskriminace podle § 51 odst. 5 písm. b) Zákona, a/nebo</w:t>
            </w:r>
          </w:p>
          <w:p w:rsidR="004C3085" w:rsidRPr="004673B0" w:rsidRDefault="004C3085" w:rsidP="00BF293D">
            <w:r w:rsidRPr="004673B0">
              <w:t>povinnost průhlednosti podle § 51 odst. 5 písm. a) Zákona.</w:t>
            </w:r>
          </w:p>
        </w:tc>
      </w:tr>
      <w:tr w:rsidR="004C3085" w:rsidRPr="004673B0" w:rsidTr="00BF293D">
        <w:tc>
          <w:tcPr>
            <w:tcW w:w="4606" w:type="dxa"/>
          </w:tcPr>
          <w:p w:rsidR="004C3085" w:rsidRPr="004673B0" w:rsidRDefault="004C3085" w:rsidP="00BF293D">
            <w:r w:rsidRPr="004673B0">
              <w:t>Nepřiměřené využívání informací o konkurentech</w:t>
            </w:r>
          </w:p>
        </w:tc>
        <w:tc>
          <w:tcPr>
            <w:tcW w:w="4606" w:type="dxa"/>
          </w:tcPr>
          <w:p w:rsidR="004C3085" w:rsidRPr="004673B0" w:rsidRDefault="004C3085" w:rsidP="00BF293D">
            <w:r w:rsidRPr="004673B0">
              <w:t xml:space="preserve">Zakázáno dle čl. 81 odst. 2 Zákona. </w:t>
            </w:r>
          </w:p>
        </w:tc>
      </w:tr>
      <w:tr w:rsidR="004C3085" w:rsidRPr="004673B0" w:rsidTr="00BF293D">
        <w:tc>
          <w:tcPr>
            <w:tcW w:w="4606" w:type="dxa"/>
          </w:tcPr>
          <w:p w:rsidR="004C3085" w:rsidRPr="004673B0" w:rsidRDefault="004C3085" w:rsidP="00BF293D">
            <w:r w:rsidRPr="004673B0">
              <w:t>Cenová diskriminace</w:t>
            </w:r>
          </w:p>
        </w:tc>
        <w:tc>
          <w:tcPr>
            <w:tcW w:w="4606" w:type="dxa"/>
          </w:tcPr>
          <w:p w:rsidR="00A91A7E" w:rsidRPr="004673B0" w:rsidRDefault="00A91A7E" w:rsidP="00BF293D">
            <w:r w:rsidRPr="004673B0">
              <w:t>Povinnost (ekonomické) nediskriminace podle § 51 odst. 5 písm. b) Zákona</w:t>
            </w:r>
          </w:p>
          <w:p w:rsidR="004C3085" w:rsidRPr="004673B0" w:rsidRDefault="004C3085" w:rsidP="00BF293D">
            <w:r w:rsidRPr="004673B0">
              <w:t xml:space="preserve">povinnost související s regulací cen podle § 51 odst. 5 písm. f) Zákona, a/nebo </w:t>
            </w:r>
          </w:p>
          <w:p w:rsidR="004C3085" w:rsidRPr="004673B0" w:rsidRDefault="004C3085" w:rsidP="00BF293D">
            <w:r w:rsidRPr="004673B0">
              <w:t>povinnost oddělené evidence nákladů a výnosů podle § 51 odst. 5 písm. c) Zákona.</w:t>
            </w:r>
          </w:p>
        </w:tc>
      </w:tr>
      <w:tr w:rsidR="004C3085" w:rsidRPr="004673B0" w:rsidTr="00BF293D">
        <w:tc>
          <w:tcPr>
            <w:tcW w:w="4606" w:type="dxa"/>
          </w:tcPr>
          <w:p w:rsidR="004C3085" w:rsidRPr="004673B0" w:rsidRDefault="00B86541" w:rsidP="00B86541">
            <w:r w:rsidRPr="004673B0">
              <w:t>Rozdílné ceny a křížové financování</w:t>
            </w:r>
          </w:p>
        </w:tc>
        <w:tc>
          <w:tcPr>
            <w:tcW w:w="4606" w:type="dxa"/>
          </w:tcPr>
          <w:p w:rsidR="00A91A7E" w:rsidRPr="004673B0" w:rsidRDefault="00A91A7E" w:rsidP="00BF293D">
            <w:r w:rsidRPr="004673B0">
              <w:t>Povinnost (ekonomické) nediskriminace podle § 51 odst. 5 písm. b) Zákona</w:t>
            </w:r>
          </w:p>
          <w:p w:rsidR="004C3085" w:rsidRPr="004673B0" w:rsidRDefault="004C3085" w:rsidP="00BF293D">
            <w:r w:rsidRPr="004673B0">
              <w:t xml:space="preserve">povinnost související s regulací cen podle § 51 odst. 5 písm. f) Zákona, a/nebo </w:t>
            </w:r>
          </w:p>
          <w:p w:rsidR="004C3085" w:rsidRPr="004673B0" w:rsidRDefault="004C3085" w:rsidP="00BF293D">
            <w:r w:rsidRPr="004673B0">
              <w:t>povinnost oddělené evidence nákladů a výnosů podle § 51 odst. 5 písm. c) Zákona.</w:t>
            </w:r>
          </w:p>
        </w:tc>
      </w:tr>
      <w:tr w:rsidR="004C3085" w:rsidRPr="004673B0" w:rsidTr="00BF293D">
        <w:tc>
          <w:tcPr>
            <w:tcW w:w="4606" w:type="dxa"/>
          </w:tcPr>
          <w:p w:rsidR="004C3085" w:rsidRPr="004673B0" w:rsidRDefault="004C3085" w:rsidP="00BF293D">
            <w:r w:rsidRPr="004673B0">
              <w:t>Predátorské ceny</w:t>
            </w:r>
          </w:p>
        </w:tc>
        <w:tc>
          <w:tcPr>
            <w:tcW w:w="4606" w:type="dxa"/>
          </w:tcPr>
          <w:p w:rsidR="004C3085" w:rsidRPr="004673B0" w:rsidRDefault="008D604D" w:rsidP="00BF293D">
            <w:r w:rsidRPr="004673B0">
              <w:t xml:space="preserve">Povinnosti vztahující se na maloobchodní trhy podle § 51 odst. 12 Zákona. </w:t>
            </w:r>
          </w:p>
        </w:tc>
      </w:tr>
      <w:tr w:rsidR="004C3085" w:rsidRPr="004673B0" w:rsidTr="00BF293D">
        <w:tc>
          <w:tcPr>
            <w:tcW w:w="4606" w:type="dxa"/>
          </w:tcPr>
          <w:p w:rsidR="004C3085" w:rsidRPr="004673B0" w:rsidRDefault="004C3085" w:rsidP="00BF293D">
            <w:r w:rsidRPr="004673B0">
              <w:t>Výhradní spolupráce</w:t>
            </w:r>
          </w:p>
        </w:tc>
        <w:tc>
          <w:tcPr>
            <w:tcW w:w="4606" w:type="dxa"/>
          </w:tcPr>
          <w:p w:rsidR="00A91A7E" w:rsidRPr="004673B0" w:rsidRDefault="004C3085" w:rsidP="00A91A7E">
            <w:r w:rsidRPr="004673B0">
              <w:t>Povinnost průhlednosti podle § 51 odst. 5 písm. a) Zákona</w:t>
            </w:r>
          </w:p>
          <w:p w:rsidR="00A91A7E" w:rsidRPr="004673B0" w:rsidRDefault="00A91A7E" w:rsidP="00A91A7E">
            <w:r w:rsidRPr="004673B0">
              <w:t>povinnost nediskriminace podle § 51 odst. 5 písm. b) Zákona.</w:t>
            </w:r>
          </w:p>
        </w:tc>
      </w:tr>
      <w:tr w:rsidR="004C3085" w:rsidRPr="004673B0" w:rsidTr="00BF293D">
        <w:tc>
          <w:tcPr>
            <w:tcW w:w="4606" w:type="dxa"/>
          </w:tcPr>
          <w:p w:rsidR="004C3085" w:rsidRPr="004673B0" w:rsidRDefault="004C3085" w:rsidP="00BF293D">
            <w:r w:rsidRPr="004673B0">
              <w:t>Overinvestment</w:t>
            </w:r>
          </w:p>
        </w:tc>
        <w:tc>
          <w:tcPr>
            <w:tcW w:w="4606" w:type="dxa"/>
          </w:tcPr>
          <w:p w:rsidR="004C3085" w:rsidRPr="004673B0" w:rsidRDefault="004C3085" w:rsidP="00BF293D">
            <w:r w:rsidRPr="004673B0">
              <w:t xml:space="preserve">Nápravu lze efektivně zajistit pomocí nástrojů soutěžního práva, nikoliv prostřednictví </w:t>
            </w:r>
            <w:r w:rsidRPr="004673B0">
              <w:rPr>
                <w:i/>
              </w:rPr>
              <w:t xml:space="preserve">ex ante </w:t>
            </w:r>
            <w:r w:rsidRPr="004673B0">
              <w:t xml:space="preserve">regulace. </w:t>
            </w:r>
          </w:p>
        </w:tc>
      </w:tr>
      <w:tr w:rsidR="004C3085" w:rsidRPr="004673B0" w:rsidTr="00BF293D">
        <w:tc>
          <w:tcPr>
            <w:tcW w:w="4606" w:type="dxa"/>
          </w:tcPr>
          <w:p w:rsidR="004C3085" w:rsidRPr="004673B0" w:rsidRDefault="004C3085" w:rsidP="00BF293D">
            <w:r w:rsidRPr="004673B0">
              <w:t xml:space="preserve">Neefektivní chování </w:t>
            </w:r>
            <w:r w:rsidR="00B86541" w:rsidRPr="004673B0">
              <w:t>typické pro monopolní trhy</w:t>
            </w:r>
          </w:p>
        </w:tc>
        <w:tc>
          <w:tcPr>
            <w:tcW w:w="4606" w:type="dxa"/>
          </w:tcPr>
          <w:p w:rsidR="004C3085" w:rsidRPr="004673B0" w:rsidRDefault="004C3085" w:rsidP="00BF293D">
            <w:r w:rsidRPr="004673B0">
              <w:t>Povinnost oddělené evidence nákladů a výnosů podle § 51 odst. 5 písm. c) Zákona, a/nebo</w:t>
            </w:r>
          </w:p>
          <w:p w:rsidR="004C3085" w:rsidRPr="004673B0" w:rsidRDefault="004C3085" w:rsidP="00BF293D">
            <w:r w:rsidRPr="004673B0">
              <w:t>povinnost průhlednosti podle § 51 odst. 5 písm. a) Zákona, a/nebo</w:t>
            </w:r>
          </w:p>
          <w:p w:rsidR="004C3085" w:rsidRPr="004673B0" w:rsidRDefault="004C3085" w:rsidP="00BF293D">
            <w:r w:rsidRPr="004673B0">
              <w:t xml:space="preserve">povinnost přístupu podle § 51 odst. 5 písm. d) Zákona, a/nebo </w:t>
            </w:r>
          </w:p>
          <w:p w:rsidR="004C3085" w:rsidRPr="004673B0" w:rsidRDefault="004C3085" w:rsidP="00BF293D">
            <w:r w:rsidRPr="004673B0">
              <w:t>povinnost nediskriminace podle § 51 odst. 5 písm. b) Zákona.</w:t>
            </w:r>
          </w:p>
        </w:tc>
      </w:tr>
      <w:tr w:rsidR="004C3085" w:rsidRPr="004673B0" w:rsidTr="00BF293D">
        <w:tc>
          <w:tcPr>
            <w:tcW w:w="4606" w:type="dxa"/>
          </w:tcPr>
          <w:p w:rsidR="004C3085" w:rsidRPr="004673B0" w:rsidRDefault="004C3085" w:rsidP="00BF293D">
            <w:r w:rsidRPr="004673B0">
              <w:t>Tacitní koluze</w:t>
            </w:r>
          </w:p>
        </w:tc>
        <w:tc>
          <w:tcPr>
            <w:tcW w:w="4606" w:type="dxa"/>
          </w:tcPr>
          <w:p w:rsidR="00573644" w:rsidRPr="004673B0" w:rsidRDefault="00573644" w:rsidP="00573644">
            <w:r w:rsidRPr="004673B0">
              <w:t xml:space="preserve">Povinnost přístupu podle § 51 odst. 5 písm. d) Zákona, a/nebo </w:t>
            </w:r>
          </w:p>
          <w:p w:rsidR="004C3085" w:rsidRPr="004673B0" w:rsidRDefault="00573644" w:rsidP="00BF293D">
            <w:r w:rsidRPr="004673B0">
              <w:t>p</w:t>
            </w:r>
            <w:r w:rsidR="004C3085" w:rsidRPr="004673B0">
              <w:t>ovinnost oddělené evidence nákladů a výnosů podle § 51 odst. 5 písm. c) Zákona, a/nebo</w:t>
            </w:r>
          </w:p>
          <w:p w:rsidR="004C3085" w:rsidRPr="004673B0" w:rsidRDefault="004C3085" w:rsidP="00BF293D">
            <w:r w:rsidRPr="004673B0">
              <w:t xml:space="preserve">povinnost související s regulací cen podle § 51 odst. 5 písm. f) Zákona, a/nebo </w:t>
            </w:r>
          </w:p>
          <w:p w:rsidR="004C3085" w:rsidRPr="004673B0" w:rsidRDefault="004C3085" w:rsidP="00BF293D">
            <w:r w:rsidRPr="004673B0">
              <w:t>povinnost nediskriminace podle § 51 odst. 5 písm. b) Zákona, a/nebo</w:t>
            </w:r>
          </w:p>
          <w:p w:rsidR="004C3085" w:rsidRPr="004673B0" w:rsidRDefault="004C3085" w:rsidP="00BF293D">
            <w:r w:rsidRPr="004673B0">
              <w:t>povinnost průhlednosti podle § 51 odst. 5 písm. a) Zákona.</w:t>
            </w:r>
          </w:p>
        </w:tc>
      </w:tr>
      <w:tr w:rsidR="004C3085" w:rsidRPr="004673B0" w:rsidTr="00BF293D">
        <w:tc>
          <w:tcPr>
            <w:tcW w:w="4606" w:type="dxa"/>
          </w:tcPr>
          <w:p w:rsidR="004C3085" w:rsidRPr="004673B0" w:rsidRDefault="004C3085" w:rsidP="00BF293D">
            <w:r w:rsidRPr="004673B0">
              <w:t>Nepřiměřeně vysoké ceny</w:t>
            </w:r>
          </w:p>
        </w:tc>
        <w:tc>
          <w:tcPr>
            <w:tcW w:w="4606" w:type="dxa"/>
          </w:tcPr>
          <w:p w:rsidR="004C3085" w:rsidRPr="004673B0" w:rsidRDefault="004C3085" w:rsidP="00BF293D">
            <w:r w:rsidRPr="004673B0">
              <w:t xml:space="preserve">povinnost související s regulací cen podle § 51 odst. 5 písm. f) Zákona, a/nebo </w:t>
            </w:r>
          </w:p>
          <w:p w:rsidR="004C3085" w:rsidRPr="004673B0" w:rsidRDefault="004C3085" w:rsidP="00BF293D">
            <w:r w:rsidRPr="004673B0">
              <w:t xml:space="preserve">povinnost oddělené evidence nákladů a výnosů podle § 51 odst. 5 písm. c) Zákona. </w:t>
            </w:r>
          </w:p>
        </w:tc>
      </w:tr>
    </w:tbl>
    <w:p w:rsidR="004C3085" w:rsidRPr="004673B0" w:rsidRDefault="004C3085" w:rsidP="004C3085"/>
    <w:p w:rsidR="00FD38B6" w:rsidRPr="004673B0" w:rsidRDefault="004C3085" w:rsidP="00C8164B">
      <w:r w:rsidRPr="004673B0">
        <w:t>Kromě nápravných opatření uvedených v § 51 odst. 5 Zákona, kter</w:t>
      </w:r>
      <w:r w:rsidR="008464C9" w:rsidRPr="004673B0">
        <w:t>é lze uložit na maloobchodním i </w:t>
      </w:r>
      <w:r w:rsidRPr="004673B0">
        <w:t>velkoobchodním trhu, může Úřad uložit</w:t>
      </w:r>
      <w:r w:rsidR="001A6421" w:rsidRPr="004673B0">
        <w:t xml:space="preserve"> na</w:t>
      </w:r>
      <w:r w:rsidRPr="004673B0">
        <w:t xml:space="preserve"> maloobchodním trhu </w:t>
      </w:r>
      <w:r w:rsidR="001A6421" w:rsidRPr="004673B0">
        <w:t>i</w:t>
      </w:r>
      <w:r w:rsidRPr="004673B0">
        <w:t xml:space="preserve"> přiměřená nápravná opatření uvedená v § 51 odst. 12 Zákona dle podmínek v kapitole </w:t>
      </w:r>
      <w:r w:rsidRPr="004673B0">
        <w:fldChar w:fldCharType="begin"/>
      </w:r>
      <w:r w:rsidRPr="004673B0">
        <w:instrText xml:space="preserve"> REF _Ref433378977 \r \h </w:instrText>
      </w:r>
      <w:r w:rsidR="004673B0">
        <w:instrText xml:space="preserve"> \* MERGEFORMAT </w:instrText>
      </w:r>
      <w:r w:rsidRPr="004673B0">
        <w:fldChar w:fldCharType="separate"/>
      </w:r>
      <w:r w:rsidR="00067C1B">
        <w:t>7.2.6</w:t>
      </w:r>
      <w:r w:rsidRPr="004673B0">
        <w:fldChar w:fldCharType="end"/>
      </w:r>
      <w:r w:rsidRPr="004673B0">
        <w:t xml:space="preserve"> této Metodiky.</w:t>
      </w:r>
    </w:p>
    <w:p w:rsidR="00D9127E" w:rsidRPr="004673B0" w:rsidRDefault="00D9127E" w:rsidP="006A4686">
      <w:pPr>
        <w:pStyle w:val="N1"/>
        <w:keepNext w:val="0"/>
      </w:pPr>
      <w:bookmarkStart w:id="249" w:name="_Toc440374109"/>
      <w:r w:rsidRPr="004673B0">
        <w:t>Vyhodnocení účinnosti nápravných opatření</w:t>
      </w:r>
      <w:bookmarkEnd w:id="249"/>
    </w:p>
    <w:p w:rsidR="00D9127E" w:rsidRPr="004673B0" w:rsidRDefault="00060E05" w:rsidP="006A4686">
      <w:pPr>
        <w:pStyle w:val="N2"/>
        <w:keepNext w:val="0"/>
      </w:pPr>
      <w:bookmarkStart w:id="250" w:name="_Toc440374110"/>
      <w:r w:rsidRPr="004673B0">
        <w:t xml:space="preserve">Úvod a časové </w:t>
      </w:r>
      <w:r w:rsidR="00D9127E" w:rsidRPr="004673B0">
        <w:t>období, za které Úřad vyhodnocuje účinnost nápravných opatření</w:t>
      </w:r>
      <w:bookmarkEnd w:id="250"/>
    </w:p>
    <w:p w:rsidR="00D9127E" w:rsidRPr="004673B0" w:rsidRDefault="00D9127E" w:rsidP="00D9127E">
      <w:pPr>
        <w:spacing w:before="200" w:after="0"/>
      </w:pPr>
      <w:r w:rsidRPr="004673B0">
        <w:t xml:space="preserve">Úřad při návrhu nápravných opatření </w:t>
      </w:r>
      <w:r w:rsidR="00177E22" w:rsidRPr="004673B0">
        <w:t xml:space="preserve">zvažuje jejich </w:t>
      </w:r>
      <w:r w:rsidRPr="004673B0">
        <w:t>pravděpo</w:t>
      </w:r>
      <w:r w:rsidR="00C8164B" w:rsidRPr="004673B0">
        <w:t>dobné dopady, jejich účinnost a </w:t>
      </w:r>
      <w:r w:rsidRPr="004673B0">
        <w:t>přiměřenost ve vztahu k</w:t>
      </w:r>
      <w:r w:rsidR="00C21248" w:rsidRPr="004673B0">
        <w:t> </w:t>
      </w:r>
      <w:r w:rsidRPr="004673B0">
        <w:t>identifikovaný</w:t>
      </w:r>
      <w:r w:rsidR="00FF6D48">
        <w:t>m</w:t>
      </w:r>
      <w:r w:rsidR="00C21248" w:rsidRPr="004673B0">
        <w:t xml:space="preserve"> potenciálním</w:t>
      </w:r>
      <w:r w:rsidRPr="004673B0">
        <w:t xml:space="preserve"> soutěžním problémům. Při posouzení pravděpodobné účinnosti navržených opatření Úřad přihlíží </w:t>
      </w:r>
      <w:r w:rsidR="00C21248" w:rsidRPr="004673B0">
        <w:t xml:space="preserve">k výsledkům vyplývajícím z analýzy relevantního trhu, </w:t>
      </w:r>
      <w:r w:rsidRPr="004673B0">
        <w:t xml:space="preserve">k historickým zkušenostem, které má s ukládáním opatření na stejném či podobném relevantním trhu, dále bere v úvahu zkušenosti zahraničních národních regulátorů </w:t>
      </w:r>
      <w:r w:rsidR="00C21248" w:rsidRPr="004673B0">
        <w:t>s ukládáním nápravných opatření na obdobných trzích</w:t>
      </w:r>
      <w:r w:rsidRPr="004673B0">
        <w:t xml:space="preserve">. Úřad ale vždy musí pečlivě zvážit konkrétní situaci na daném trhu v čase provádění analýzy s výhledem </w:t>
      </w:r>
      <w:r w:rsidR="00617A06" w:rsidRPr="004673B0">
        <w:t xml:space="preserve">na období jednoho až </w:t>
      </w:r>
      <w:r w:rsidR="00A54B94">
        <w:t>čtyř</w:t>
      </w:r>
      <w:r w:rsidR="00617A06" w:rsidRPr="004673B0">
        <w:t xml:space="preserve"> let (Úřad provádí celou analýzu relevant</w:t>
      </w:r>
      <w:r w:rsidR="004556A9" w:rsidRPr="004673B0">
        <w:t>n</w:t>
      </w:r>
      <w:r w:rsidR="00617A06" w:rsidRPr="004673B0">
        <w:t>ího trh</w:t>
      </w:r>
      <w:r w:rsidR="004556A9" w:rsidRPr="004673B0">
        <w:t>u</w:t>
      </w:r>
      <w:r w:rsidR="00883949" w:rsidRPr="004673B0">
        <w:t xml:space="preserve"> v</w:t>
      </w:r>
      <w:r w:rsidR="00617A06" w:rsidRPr="004673B0">
        <w:t xml:space="preserve"> období</w:t>
      </w:r>
      <w:r w:rsidR="00573644" w:rsidRPr="004673B0">
        <w:t xml:space="preserve"> </w:t>
      </w:r>
      <w:r w:rsidR="00861AA8" w:rsidRPr="004673B0">
        <w:t>dle § 51 odst. 2 Zákona</w:t>
      </w:r>
      <w:r w:rsidR="00617A06" w:rsidRPr="004673B0">
        <w:t>)</w:t>
      </w:r>
      <w:r w:rsidR="00FC59A7" w:rsidRPr="004673B0">
        <w:t>,</w:t>
      </w:r>
      <w:r w:rsidRPr="004673B0">
        <w:t xml:space="preserve"> a posoudit specifika konkrétní situace. </w:t>
      </w:r>
    </w:p>
    <w:p w:rsidR="00D80142" w:rsidRPr="004673B0" w:rsidRDefault="00D9127E" w:rsidP="00FF6D48">
      <w:pPr>
        <w:spacing w:before="200" w:after="0"/>
      </w:pPr>
      <w:r w:rsidRPr="004673B0">
        <w:t>V případě, že v průběhu období, na které se nápravné opatření ukládá, Úřad zjistí, že opatření má na trhy nežádoucí účinek, neúměrně je deformuje, pominul důvod k jeho uložení neb</w:t>
      </w:r>
      <w:r w:rsidR="00883949" w:rsidRPr="004673B0">
        <w:t xml:space="preserve">o na relevantním trhu existuje </w:t>
      </w:r>
      <w:r w:rsidRPr="004673B0">
        <w:t>účinná a udržitelná hospodářská soutěž, Úřad může opatření změnit či zrušit na základ</w:t>
      </w:r>
      <w:r w:rsidR="00FD329E" w:rsidRPr="004673B0">
        <w:t>ě</w:t>
      </w:r>
      <w:r w:rsidRPr="004673B0">
        <w:t xml:space="preserve"> § 6 odst. 2 Zákona. </w:t>
      </w:r>
    </w:p>
    <w:p w:rsidR="00D80142" w:rsidRPr="004673B0" w:rsidRDefault="00D80142" w:rsidP="00265E1D">
      <w:r w:rsidRPr="004673B0">
        <w:t xml:space="preserve">Ve vztahu k již uloženým nápravným opatřením může Úřad postupovat i ve smyslu ustanovení § 51 odst. 8 Zákona. </w:t>
      </w:r>
    </w:p>
    <w:p w:rsidR="00237256" w:rsidRPr="004673B0" w:rsidRDefault="00177E22" w:rsidP="00FF6D48">
      <w:pPr>
        <w:spacing w:before="200"/>
      </w:pPr>
      <w:r w:rsidRPr="004673B0">
        <w:t>Úřad v rámci analýzy trhu vždy vyhodnotí</w:t>
      </w:r>
      <w:r w:rsidR="00DB0E92" w:rsidRPr="004673B0">
        <w:t xml:space="preserve"> i</w:t>
      </w:r>
      <w:r w:rsidRPr="004673B0">
        <w:t xml:space="preserve"> účinky nápravných opatření uložených na daném relevantním trhu dle předchozí analýzy relevantního trhu</w:t>
      </w:r>
      <w:r w:rsidR="00DB0E92" w:rsidRPr="004673B0">
        <w:t>, pokud taková nápravná opatření byla uložena</w:t>
      </w:r>
      <w:r w:rsidRPr="004673B0">
        <w:t>.</w:t>
      </w:r>
      <w:r w:rsidR="00DB0E92" w:rsidRPr="004673B0">
        <w:t xml:space="preserve"> Účinky </w:t>
      </w:r>
      <w:r w:rsidR="008A3275" w:rsidRPr="004673B0">
        <w:t xml:space="preserve">dříve </w:t>
      </w:r>
      <w:r w:rsidR="00DB0E92" w:rsidRPr="004673B0">
        <w:t xml:space="preserve">uložených nápravných opatření Úřad hodnotí úvahou o tom, jak by se relevantní trh </w:t>
      </w:r>
      <w:r w:rsidR="008A3275" w:rsidRPr="004673B0">
        <w:t>vyvíjel</w:t>
      </w:r>
      <w:r w:rsidR="00DB0E92" w:rsidRPr="004673B0">
        <w:t xml:space="preserve">, pokud by nápravná opatření nebyla uložena. Tuto úvahu ovšem není </w:t>
      </w:r>
      <w:r w:rsidR="008A3275" w:rsidRPr="004673B0">
        <w:t xml:space="preserve">možné </w:t>
      </w:r>
      <w:r w:rsidR="00DB0E92" w:rsidRPr="004673B0">
        <w:t>podložit věrohodnými daty, protože relevantní trh je formován nejen nápravnými opatřeními, ale i řadou dalších faktorů.</w:t>
      </w:r>
    </w:p>
    <w:p w:rsidR="003E1545" w:rsidRPr="004673B0" w:rsidRDefault="003E1545" w:rsidP="003E1545">
      <w:r w:rsidRPr="004673B0">
        <w:t>Při vyhodnocení předchozích nápravných opatření Úřad jako výchozí bod shrne všechna uložená nápravná opatření a soutěžní problémy, které tato nápravná opatření měla dle předchozí analýz</w:t>
      </w:r>
      <w:r w:rsidR="004D3931" w:rsidRPr="004673B0">
        <w:t>y</w:t>
      </w:r>
      <w:r w:rsidRPr="004673B0">
        <w:t xml:space="preserve"> trhu adresovat. </w:t>
      </w:r>
    </w:p>
    <w:p w:rsidR="003E1545" w:rsidRPr="004673B0" w:rsidRDefault="003E1545" w:rsidP="003E1545">
      <w:r w:rsidRPr="004673B0">
        <w:t>Následně Úřad shromáždí údaje dostupné z jeho činnosti týkající se sporů</w:t>
      </w:r>
      <w:r w:rsidR="00C8164B" w:rsidRPr="004673B0">
        <w:t>, správních řízení, stížností a </w:t>
      </w:r>
      <w:r w:rsidRPr="004673B0">
        <w:t>jiných podání a skutečností vztahujícíh se k poskytová</w:t>
      </w:r>
      <w:r w:rsidR="00883949" w:rsidRPr="004673B0">
        <w:t xml:space="preserve">ní služeb na daném relevantním </w:t>
      </w:r>
      <w:r w:rsidRPr="004673B0">
        <w:t xml:space="preserve">trhu za dobu od uložení nápravných opatření na základě předchozí analýzy daného relevantního trhu. Úřad shromáždí i údaje týkající se řízení vedených jinými orgány ve vztahu k dotčenému trhu, zejména pak řízení vedených Úřadem pro ochranu hospodářské soutěže. </w:t>
      </w:r>
    </w:p>
    <w:p w:rsidR="003E1545" w:rsidRPr="004673B0" w:rsidRDefault="003E1545" w:rsidP="003E1545">
      <w:r w:rsidRPr="004673B0">
        <w:t xml:space="preserve">Poté Úřad vyhodnotí, zda identifikované potenciální soutěžní problémy, které měly být adresovány nápravnými opatřeními, musely být po uložení nápravných opatření adresovány dodatečně i v rámci jiných řízení, či zda jejich přetrvávání indikovaly stížnosti a podání uživatelů, </w:t>
      </w:r>
      <w:r w:rsidR="00233B2C" w:rsidRPr="004673B0">
        <w:t>konkurentů</w:t>
      </w:r>
      <w:r w:rsidRPr="004673B0">
        <w:t xml:space="preserve"> či jiných dotčených subjektů. </w:t>
      </w:r>
    </w:p>
    <w:p w:rsidR="003E1545" w:rsidRPr="004673B0" w:rsidRDefault="003E1545" w:rsidP="003E1545">
      <w:r w:rsidRPr="004673B0">
        <w:t xml:space="preserve">Pokud Úřad zjistí, že některé identifikované potenciální soutěžní problémy, které měly být adresovány nápravným opatřením, pravděpodobně přetrvávaly i po uložení nápravného opatření, zváží Úřad, zda by dříve uložené nápravné opatření nemělo být doplněno, upřesněno či zpřísněno. </w:t>
      </w:r>
    </w:p>
    <w:p w:rsidR="003E1545" w:rsidRPr="004673B0" w:rsidRDefault="003E1545" w:rsidP="003E1545">
      <w:r w:rsidRPr="004673B0">
        <w:t>Pokud nebudou žádné indikace, že by identifikované potenciální soutěžní problémy, které měly být adresovány nápravným opatřením, přetrvávaly i po uložení tohoto nápravného opatření, lze předpokládat, že nápravné opatření bylo dostatečné k jejich adresování a</w:t>
      </w:r>
      <w:r w:rsidR="00C8164B" w:rsidRPr="004673B0">
        <w:t xml:space="preserve"> při absenci jiných okolností a </w:t>
      </w:r>
      <w:r w:rsidRPr="004673B0">
        <w:t>ve vztahu k danému identifikovanému potenciálnímu soutěžnímu problému nejsou důvody</w:t>
      </w:r>
      <w:r w:rsidR="00C8164B" w:rsidRPr="004673B0">
        <w:t xml:space="preserve"> pro jeho podstatné zpřísnění. </w:t>
      </w:r>
    </w:p>
    <w:p w:rsidR="003E1545" w:rsidRPr="004673B0" w:rsidRDefault="003E1545" w:rsidP="003E1545">
      <w:r w:rsidRPr="004673B0">
        <w:t>Identifikace stejného potenciálního soutěžního problému jako v předchozí analýze relevantního trhu nemusí znamenat, že uložená nápravná opatření byla neúčinná a Úřad v takovém případě nemusí uložit přísnější nápravná opatření. Může se jednat o situace, kdy dlouhodobé strukturální problémy trhu nápravná opatření účinně kompenzují</w:t>
      </w:r>
      <w:r w:rsidR="00CB6A00">
        <w:t>,</w:t>
      </w:r>
      <w:r w:rsidRPr="004673B0">
        <w:t xml:space="preserve"> a proto může být uložení stejného nápravného opatření nejvhodnějším řešením.</w:t>
      </w:r>
    </w:p>
    <w:p w:rsidR="00237256" w:rsidRPr="004673B0" w:rsidRDefault="008F64FB" w:rsidP="00265E1D">
      <w:r w:rsidRPr="004673B0">
        <w:t xml:space="preserve">Úřad při vyhodnocení předchozích nápravných opatření přihlédne nejen k pozitivním dopadům regulace na efektivní konkurenci, ale také k rizikům, které souvisí s uložením </w:t>
      </w:r>
      <w:r w:rsidRPr="004673B0">
        <w:rPr>
          <w:i/>
        </w:rPr>
        <w:t xml:space="preserve">ex ante </w:t>
      </w:r>
      <w:r w:rsidRPr="004673B0">
        <w:t xml:space="preserve">regulace. </w:t>
      </w:r>
      <w:r w:rsidR="00D5755F" w:rsidRPr="004673B0">
        <w:t>Úřad např. vyhodnotí, zda povinné referenční nabíd</w:t>
      </w:r>
      <w:r w:rsidRPr="004673B0">
        <w:t>k</w:t>
      </w:r>
      <w:r w:rsidR="00D5755F" w:rsidRPr="004673B0">
        <w:t>y</w:t>
      </w:r>
      <w:r w:rsidRPr="004673B0">
        <w:t xml:space="preserve"> přístupu </w:t>
      </w:r>
      <w:r w:rsidR="00D5755F" w:rsidRPr="004673B0">
        <w:t>splnily svou funkci a zda jejich existence nebyla na překážku v realizaci tržních vztahů přístupu.</w:t>
      </w:r>
      <w:r w:rsidR="00FD329E" w:rsidRPr="004673B0">
        <w:t xml:space="preserve"> </w:t>
      </w:r>
    </w:p>
    <w:p w:rsidR="00F45280" w:rsidRDefault="00237256" w:rsidP="00F45280">
      <w:r w:rsidRPr="004673B0">
        <w:t xml:space="preserve">Při hodnocení účinků nápravných opatření Úřad </w:t>
      </w:r>
      <w:r w:rsidR="00DB0E92" w:rsidRPr="004673B0">
        <w:t>zohledňuje</w:t>
      </w:r>
      <w:r w:rsidRPr="004673B0">
        <w:t xml:space="preserve">, že stav konkurence na daném relevantním trhu není pouze výsledkem působní </w:t>
      </w:r>
      <w:r w:rsidRPr="004673B0">
        <w:rPr>
          <w:i/>
        </w:rPr>
        <w:t xml:space="preserve">ex ante </w:t>
      </w:r>
      <w:r w:rsidRPr="004673B0">
        <w:t>regulace a zejména nápr</w:t>
      </w:r>
      <w:r w:rsidR="00C8164B" w:rsidRPr="004673B0">
        <w:t>avných opatření, ale jedná se o </w:t>
      </w:r>
      <w:r w:rsidRPr="004673B0">
        <w:t xml:space="preserve">výsledek způsobený </w:t>
      </w:r>
      <w:r w:rsidR="00DB0E92" w:rsidRPr="004673B0">
        <w:t>řadou</w:t>
      </w:r>
      <w:r w:rsidRPr="004673B0">
        <w:t xml:space="preserve"> fakto</w:t>
      </w:r>
      <w:r w:rsidR="00DB0E92" w:rsidRPr="004673B0">
        <w:t>rů</w:t>
      </w:r>
      <w:r w:rsidRPr="004673B0">
        <w:t xml:space="preserve">, z nichž mnohé nemají původ v činnosti Úřadu. </w:t>
      </w:r>
      <w:r w:rsidR="00DB0E92" w:rsidRPr="004673B0">
        <w:t>Proto n</w:t>
      </w:r>
      <w:r w:rsidRPr="004673B0">
        <w:t>apř. růst významné tržní síly jednoho z účastníků trhu od poslední analýzy trhu není s</w:t>
      </w:r>
      <w:r w:rsidR="00DB0E92" w:rsidRPr="004673B0">
        <w:t>ám</w:t>
      </w:r>
      <w:r w:rsidRPr="004673B0">
        <w:t xml:space="preserve"> o sobě důkazem toho, že uložená nápravná opatření nebyla účinná. Stejně tak např. nevyužití stanovených referenčních nabídek není samo o sobě důkazem o tom, že</w:t>
      </w:r>
      <w:r w:rsidR="00DB0E92" w:rsidRPr="004673B0">
        <w:t xml:space="preserve"> nápravné opatření o povinnosti přístupu spolu s povinností zveřejnit referenční nabídku nebylo na daném relevantním trhu vhodné a přiměřené</w:t>
      </w:r>
      <w:r w:rsidR="00883949" w:rsidRPr="004673B0">
        <w:t>.</w:t>
      </w:r>
    </w:p>
    <w:sectPr w:rsidR="00F45280" w:rsidSect="00E82130">
      <w:pgSz w:w="11906" w:h="16838" w:code="9"/>
      <w:pgMar w:top="1417" w:right="1417" w:bottom="1417" w:left="1417" w:header="624"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66" w:rsidRDefault="00974B66" w:rsidP="006862A4">
      <w:r>
        <w:separator/>
      </w:r>
    </w:p>
  </w:endnote>
  <w:endnote w:type="continuationSeparator" w:id="0">
    <w:p w:rsidR="00974B66" w:rsidRDefault="00974B66" w:rsidP="006862A4">
      <w:r>
        <w:continuationSeparator/>
      </w:r>
    </w:p>
  </w:endnote>
  <w:endnote w:type="continuationNotice" w:id="1">
    <w:p w:rsidR="00974B66" w:rsidRDefault="00974B6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67827"/>
      <w:docPartObj>
        <w:docPartGallery w:val="Page Numbers (Bottom of Page)"/>
        <w:docPartUnique/>
      </w:docPartObj>
    </w:sdtPr>
    <w:sdtEndPr/>
    <w:sdtContent>
      <w:p w:rsidR="006E0061" w:rsidRDefault="006E0061">
        <w:pPr>
          <w:pStyle w:val="Zpat"/>
          <w:jc w:val="center"/>
        </w:pPr>
        <w:r>
          <w:fldChar w:fldCharType="begin"/>
        </w:r>
        <w:r>
          <w:instrText xml:space="preserve"> PAGE   \* MERGEFORMAT </w:instrText>
        </w:r>
        <w:r>
          <w:fldChar w:fldCharType="separate"/>
        </w:r>
        <w:r w:rsidR="00067C1B">
          <w:t>1</w:t>
        </w:r>
        <w:r>
          <w:fldChar w:fldCharType="end"/>
        </w:r>
      </w:p>
    </w:sdtContent>
  </w:sdt>
  <w:p w:rsidR="006E0061" w:rsidRDefault="006E0061" w:rsidP="006868A3">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870188"/>
      <w:docPartObj>
        <w:docPartGallery w:val="Page Numbers (Bottom of Page)"/>
        <w:docPartUnique/>
      </w:docPartObj>
    </w:sdtPr>
    <w:sdtEndPr/>
    <w:sdtContent>
      <w:p w:rsidR="006E0061" w:rsidRDefault="006E0061">
        <w:pPr>
          <w:pStyle w:val="Zpat"/>
          <w:jc w:val="center"/>
        </w:pPr>
        <w:r>
          <w:fldChar w:fldCharType="begin"/>
        </w:r>
        <w:r>
          <w:instrText xml:space="preserve"> PAGE   \* MERGEFORMAT </w:instrText>
        </w:r>
        <w:r>
          <w:fldChar w:fldCharType="separate"/>
        </w:r>
        <w:r w:rsidR="00067C1B">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66" w:rsidRDefault="00974B66" w:rsidP="006862A4">
      <w:r>
        <w:separator/>
      </w:r>
    </w:p>
  </w:footnote>
  <w:footnote w:type="continuationSeparator" w:id="0">
    <w:p w:rsidR="00974B66" w:rsidRDefault="00974B66" w:rsidP="006862A4">
      <w:r>
        <w:continuationSeparator/>
      </w:r>
    </w:p>
  </w:footnote>
  <w:footnote w:type="continuationNotice" w:id="1">
    <w:p w:rsidR="00974B66" w:rsidRDefault="00974B66">
      <w:pPr>
        <w:spacing w:before="0" w:after="0" w:line="240" w:lineRule="auto"/>
      </w:pPr>
    </w:p>
  </w:footnote>
  <w:footnote w:id="2">
    <w:p w:rsidR="006E0061" w:rsidRDefault="006E0061" w:rsidP="00F96BB8">
      <w:pPr>
        <w:pStyle w:val="Textpoznpodarou"/>
        <w:ind w:left="0"/>
      </w:pPr>
      <w:r>
        <w:rPr>
          <w:rStyle w:val="Znakapoznpodarou"/>
        </w:rPr>
        <w:footnoteRef/>
      </w:r>
      <w:r>
        <w:t xml:space="preserve"> Pojmy používané v kontextu citace z jiného dokumentu mají význam stanovený ve zdrojovém dokumentu, ledaže je výslovně stanoveno jinak. </w:t>
      </w:r>
    </w:p>
  </w:footnote>
  <w:footnote w:id="3">
    <w:p w:rsidR="006E0061" w:rsidRDefault="006E0061">
      <w:pPr>
        <w:pStyle w:val="Textpoznpodarou"/>
      </w:pPr>
      <w:r>
        <w:rPr>
          <w:rStyle w:val="Znakapoznpodarou"/>
        </w:rPr>
        <w:footnoteRef/>
      </w:r>
      <w:r>
        <w:t xml:space="preserve"> Úřad získává data o subjektech působících na trzích elektronických komunikací především prostřednictvím pravidelného sběru v rámci Elektronického sběru dat, a dále z ad-hoc žádostí o předložení údajů podle § 115 Zákona nebo z dalších činností Úřadu. Blíze k systému elektronického sběru dat viz </w:t>
      </w:r>
      <w:hyperlink r:id="rId1" w:history="1">
        <w:r>
          <w:rPr>
            <w:rStyle w:val="Hypertextovodkaz"/>
          </w:rPr>
          <w:t>webové</w:t>
        </w:r>
        <w:r w:rsidRPr="00880642">
          <w:rPr>
            <w:rStyle w:val="Hypertextovodkaz"/>
          </w:rPr>
          <w:t xml:space="preserve"> stránky Úřadu</w:t>
        </w:r>
      </w:hyperlink>
      <w:r>
        <w:t xml:space="preserve"> (</w:t>
      </w:r>
      <w:r w:rsidRPr="003514B5">
        <w:t>http://www.ctu.cz/elektronicky-sber-dat-esd-elektronicke-komunikace</w:t>
      </w:r>
      <w:r>
        <w:t>).</w:t>
      </w:r>
    </w:p>
  </w:footnote>
  <w:footnote w:id="4">
    <w:p w:rsidR="006E0061" w:rsidRDefault="006E0061">
      <w:pPr>
        <w:pStyle w:val="Textpoznpodarou"/>
      </w:pPr>
      <w:r>
        <w:rPr>
          <w:rStyle w:val="Znakapoznpodarou"/>
        </w:rPr>
        <w:footnoteRef/>
      </w:r>
      <w:r>
        <w:t xml:space="preserve"> Z webových stránek operátorů (např. výročních a tiskových zpráv) a dalších relevantních zdrojů (např. mezinárodních organizací či uživatelských portálů měřících rychlost přístupu k síti internet).</w:t>
      </w:r>
    </w:p>
  </w:footnote>
  <w:footnote w:id="5">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Pojmy vymezení a definování trhu jsou v této </w:t>
      </w:r>
      <w:r>
        <w:rPr>
          <w:rFonts w:cs="Arial"/>
          <w:szCs w:val="16"/>
        </w:rPr>
        <w:t>M</w:t>
      </w:r>
      <w:r w:rsidRPr="00CE5B2D">
        <w:rPr>
          <w:rFonts w:cs="Arial"/>
          <w:szCs w:val="16"/>
        </w:rPr>
        <w:t xml:space="preserve">etodice používány zaměnitelně a mají stejný význam. </w:t>
      </w:r>
    </w:p>
  </w:footnote>
  <w:footnote w:id="6">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Pokyn</w:t>
      </w:r>
      <w:r>
        <w:rPr>
          <w:rFonts w:cs="Arial"/>
          <w:szCs w:val="16"/>
        </w:rPr>
        <w:t>y</w:t>
      </w:r>
      <w:r w:rsidRPr="00CE5B2D">
        <w:rPr>
          <w:rFonts w:cs="Arial"/>
          <w:szCs w:val="16"/>
        </w:rPr>
        <w:t xml:space="preserve"> Komise</w:t>
      </w:r>
      <w:r>
        <w:rPr>
          <w:rFonts w:cs="Arial"/>
          <w:szCs w:val="16"/>
        </w:rPr>
        <w:t>, odst. 38</w:t>
      </w:r>
      <w:r w:rsidRPr="00CE5B2D">
        <w:rPr>
          <w:rFonts w:cs="Arial"/>
          <w:szCs w:val="16"/>
        </w:rPr>
        <w:t xml:space="preserve"> či rozhodnutí ESD C-209/98, Entreprenør</w:t>
      </w:r>
      <w:r>
        <w:rPr>
          <w:rFonts w:cs="Arial"/>
          <w:szCs w:val="16"/>
        </w:rPr>
        <w:t xml:space="preserve">foreningens Affalds, odst. 57. </w:t>
      </w:r>
    </w:p>
  </w:footnote>
  <w:footnote w:id="7">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w:t>
      </w:r>
      <w:r>
        <w:rPr>
          <w:rFonts w:cs="Arial"/>
          <w:szCs w:val="16"/>
        </w:rPr>
        <w:t>Viz také č</w:t>
      </w:r>
      <w:r w:rsidRPr="00CE5B2D">
        <w:rPr>
          <w:rFonts w:cs="Arial"/>
          <w:szCs w:val="16"/>
        </w:rPr>
        <w:t xml:space="preserve">l. 4 odst. 2 Opatření. </w:t>
      </w:r>
    </w:p>
  </w:footnote>
  <w:footnote w:id="8">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Čl. 4 </w:t>
      </w:r>
      <w:r>
        <w:rPr>
          <w:rFonts w:cs="Arial"/>
          <w:szCs w:val="16"/>
        </w:rPr>
        <w:t xml:space="preserve">odst. 1 </w:t>
      </w:r>
      <w:r w:rsidRPr="00CE5B2D">
        <w:rPr>
          <w:rFonts w:cs="Arial"/>
          <w:szCs w:val="16"/>
        </w:rPr>
        <w:t>Opatření.</w:t>
      </w:r>
    </w:p>
  </w:footnote>
  <w:footnote w:id="9">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Pro účely metodiky jsou pojmy „služba“ a „produkt“, a „výrobce produktu“ a „poskytovatel služby“ používány zastupitelně. Metodika je dokument, který slouží k popsání postupu Úřadu k vymezení jakéhokoliv trhu bez ohledu na to, zda se jedná o trh služeb či produktů, a tudíž není vhodné mezi těmito pojmy pro účely </w:t>
      </w:r>
      <w:r>
        <w:rPr>
          <w:rFonts w:cs="Arial"/>
          <w:szCs w:val="16"/>
        </w:rPr>
        <w:t>M</w:t>
      </w:r>
      <w:r w:rsidRPr="00CE5B2D">
        <w:rPr>
          <w:rFonts w:cs="Arial"/>
          <w:szCs w:val="16"/>
        </w:rPr>
        <w:t>etodiky rozlišovat. Ve většině případů relevantních trhů ale bude Úřad zkoumat konkurenci na trhu služeb elektronických komunikací, proto jsou pojmy „služby“ a „poskytovatel služby“ používány v </w:t>
      </w:r>
      <w:r>
        <w:rPr>
          <w:rFonts w:cs="Arial"/>
          <w:szCs w:val="16"/>
        </w:rPr>
        <w:t>M</w:t>
      </w:r>
      <w:r w:rsidRPr="00CE5B2D">
        <w:rPr>
          <w:rFonts w:cs="Arial"/>
          <w:szCs w:val="16"/>
        </w:rPr>
        <w:t xml:space="preserve">etodice častěji. </w:t>
      </w:r>
    </w:p>
  </w:footnote>
  <w:footnote w:id="10">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Anglicky tzv. „competitive constraints.“ </w:t>
      </w:r>
    </w:p>
  </w:footnote>
  <w:footnote w:id="11">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Pokyny Komise, </w:t>
      </w:r>
      <w:r>
        <w:rPr>
          <w:rFonts w:cs="Arial"/>
          <w:szCs w:val="16"/>
        </w:rPr>
        <w:t>odst.</w:t>
      </w:r>
      <w:r w:rsidRPr="00CE5B2D">
        <w:rPr>
          <w:rFonts w:cs="Arial"/>
          <w:szCs w:val="16"/>
        </w:rPr>
        <w:t xml:space="preserve"> 38. </w:t>
      </w:r>
    </w:p>
  </w:footnote>
  <w:footnote w:id="12">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w:t>
      </w:r>
      <w:r>
        <w:rPr>
          <w:rFonts w:cs="Arial"/>
          <w:szCs w:val="16"/>
        </w:rPr>
        <w:t>Bod</w:t>
      </w:r>
      <w:r w:rsidRPr="00CE5B2D">
        <w:rPr>
          <w:rFonts w:cs="Arial"/>
          <w:szCs w:val="16"/>
        </w:rPr>
        <w:t xml:space="preserve"> 7</w:t>
      </w:r>
      <w:r>
        <w:rPr>
          <w:rFonts w:cs="Arial"/>
          <w:szCs w:val="16"/>
        </w:rPr>
        <w:t xml:space="preserve"> odůvodnění</w:t>
      </w:r>
      <w:r w:rsidRPr="00CE5B2D">
        <w:rPr>
          <w:rFonts w:cs="Arial"/>
          <w:szCs w:val="16"/>
        </w:rPr>
        <w:t xml:space="preserve"> Doporučení o relevantních trzích. </w:t>
      </w:r>
    </w:p>
  </w:footnote>
  <w:footnote w:id="13">
    <w:p w:rsidR="006E0061" w:rsidRPr="004673B0" w:rsidRDefault="006E0061" w:rsidP="009976B6">
      <w:pPr>
        <w:pStyle w:val="Textpoznpodarou"/>
        <w:ind w:left="0"/>
      </w:pPr>
      <w:r w:rsidRPr="004673B0">
        <w:rPr>
          <w:rStyle w:val="Znakapoznpodarou"/>
        </w:rPr>
        <w:footnoteRef/>
      </w:r>
      <w:r w:rsidRPr="004673B0">
        <w:t xml:space="preserve"> Včetně např. zohlednění majetkových a jiných vazeb mezi subjekty na trhu dle zásad popsaných v posledním odstavci kapitoly </w:t>
      </w:r>
      <w:r w:rsidRPr="004673B0">
        <w:fldChar w:fldCharType="begin"/>
      </w:r>
      <w:r w:rsidRPr="004673B0">
        <w:instrText xml:space="preserve"> REF _Ref441782309 \r \h  \* MERGEFORMAT </w:instrText>
      </w:r>
      <w:r w:rsidRPr="004673B0">
        <w:fldChar w:fldCharType="separate"/>
      </w:r>
      <w:r w:rsidR="00067C1B">
        <w:t>6.1.1</w:t>
      </w:r>
      <w:r w:rsidRPr="004673B0">
        <w:fldChar w:fldCharType="end"/>
      </w:r>
      <w:r w:rsidRPr="004673B0">
        <w:t xml:space="preserve"> Metodiky v pří</w:t>
      </w:r>
      <w:r>
        <w:t>p</w:t>
      </w:r>
      <w:r w:rsidRPr="004673B0">
        <w:t xml:space="preserve">adě, kdy by tyto majetkové vazby měly vliv na vyhodnocení některého kritéria. </w:t>
      </w:r>
    </w:p>
  </w:footnote>
  <w:footnote w:id="14">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OFCOM. </w:t>
      </w:r>
      <w:r w:rsidRPr="004673B0">
        <w:rPr>
          <w:rFonts w:cs="Arial"/>
          <w:i/>
          <w:szCs w:val="16"/>
        </w:rPr>
        <w:t>Genereal analytical approach to market definition and SMP assessment</w:t>
      </w:r>
      <w:r w:rsidRPr="004673B0">
        <w:rPr>
          <w:rFonts w:cs="Arial"/>
          <w:szCs w:val="16"/>
        </w:rPr>
        <w:t xml:space="preserve"> (Annex 4 to Review of the wholesale broadband access markets 2014), bod A4.5.</w:t>
      </w:r>
    </w:p>
  </w:footnote>
  <w:footnote w:id="15">
    <w:p w:rsidR="006E0061" w:rsidRPr="004673B0" w:rsidRDefault="006E0061" w:rsidP="00091120">
      <w:pPr>
        <w:pStyle w:val="Textpoznpodarou"/>
        <w:ind w:left="0"/>
        <w:rPr>
          <w:i/>
          <w:iCs/>
        </w:rPr>
      </w:pPr>
      <w:r w:rsidRPr="004673B0">
        <w:rPr>
          <w:rStyle w:val="Znakapoznpodarou"/>
        </w:rPr>
        <w:footnoteRef/>
      </w:r>
      <w:r w:rsidRPr="004673B0">
        <w:t xml:space="preserve"> Bod 27 odůvodnění rámcové směrnice stanoví, že „</w:t>
      </w:r>
      <w:r w:rsidRPr="004673B0">
        <w:rPr>
          <w:i/>
          <w:iCs/>
        </w:rPr>
        <w:t>analýza činné hospodářské soutěže by měla obsahovat analýzu toho, zda je trh perspektivně konkurenční, a tedy zda je případný nedostatek účinné hospodářské soutěže trvalým jevem."</w:t>
      </w:r>
    </w:p>
  </w:footnote>
  <w:footnote w:id="16">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Dle § 51 a násl. Zákona</w:t>
      </w:r>
    </w:p>
  </w:footnote>
  <w:footnote w:id="17">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 51 odst. 2 Zákona. </w:t>
      </w:r>
    </w:p>
  </w:footnote>
  <w:footnote w:id="18">
    <w:p w:rsidR="006E0061" w:rsidRPr="004673B0" w:rsidRDefault="006E0061" w:rsidP="00860069">
      <w:pPr>
        <w:pStyle w:val="Textpoznpodarou"/>
        <w:ind w:left="0"/>
      </w:pPr>
      <w:r w:rsidRPr="004673B0">
        <w:rPr>
          <w:rStyle w:val="Znakapoznpodarou"/>
        </w:rPr>
        <w:footnoteRef/>
      </w:r>
      <w:r w:rsidRPr="004673B0">
        <w:t xml:space="preserve"> Sběr dat je blíže popsán v poznámce pod čarou č. 2 a 3.</w:t>
      </w:r>
    </w:p>
  </w:footnote>
  <w:footnote w:id="19">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OFCOM. </w:t>
      </w:r>
      <w:r w:rsidRPr="004673B0">
        <w:rPr>
          <w:rFonts w:cs="Arial"/>
          <w:i/>
          <w:szCs w:val="16"/>
        </w:rPr>
        <w:t>Genereal analytical approach to market definition and SMP assessment</w:t>
      </w:r>
      <w:r w:rsidRPr="004673B0">
        <w:rPr>
          <w:rFonts w:cs="Arial"/>
          <w:szCs w:val="16"/>
        </w:rPr>
        <w:t xml:space="preserve"> (Annex 4 to Review of the wholesale broadband access markets 2014), bod A4.14.</w:t>
      </w:r>
    </w:p>
  </w:footnote>
  <w:footnote w:id="20">
    <w:p w:rsidR="006E0061" w:rsidRPr="00CE5B2D"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Body 8, 9 odůvodnění Doporučení o relevantních trzích.</w:t>
      </w:r>
    </w:p>
  </w:footnote>
  <w:footnote w:id="21">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Jedná se o tzv. Modified Greenfield Approach, která je zmiňována např. v bodě 8 odůvodnění Doporučení o relevantních trzích nebo v kapitolách 2.5 a 2.6 Vysvětlující zprávy. </w:t>
      </w:r>
    </w:p>
  </w:footnote>
  <w:footnote w:id="22">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Kapitola 2.6 Vysvětlující zprávy. </w:t>
      </w:r>
    </w:p>
  </w:footnote>
  <w:footnote w:id="23">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Doporučení o relevantních trzích, bod 21 odůvodnění. </w:t>
      </w:r>
    </w:p>
  </w:footnote>
  <w:footnote w:id="24">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Ibid. </w:t>
      </w:r>
    </w:p>
  </w:footnote>
  <w:footnote w:id="25">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BEREC ve svém dokumentu BEREC’s opinion on </w:t>
      </w:r>
      <w:r w:rsidRPr="004673B0">
        <w:rPr>
          <w:rFonts w:cs="Arial"/>
          <w:i/>
          <w:szCs w:val="16"/>
        </w:rPr>
        <w:t>Commission Recommendation on relevant product and service markets susceptible to ex ante regulation</w:t>
      </w:r>
      <w:r w:rsidRPr="004673B0">
        <w:rPr>
          <w:rFonts w:cs="Arial"/>
          <w:szCs w:val="16"/>
        </w:rPr>
        <w:t xml:space="preserve"> v kapitole 3.2.4 navrhuje, že požadavek, aby národní regulátor analyzoval velkoobchodní trh, pokud zjistil, že podřazený maloobchodní trhu je efektivně konkurenční, je neopodstatněný v případě většiny trhů. BEREC navrhuje, aby národní regulátoři mohli prohlásit takový velkoobchodní trh za efektivně konkurenční.</w:t>
      </w:r>
    </w:p>
  </w:footnote>
  <w:footnote w:id="26">
    <w:p w:rsidR="006E0061" w:rsidRPr="00CE5B2D"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Sdělení Komise, odst. 38 a násl.</w:t>
      </w:r>
    </w:p>
  </w:footnote>
  <w:footnote w:id="27">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Metodika se nezabývá způsobem, jakým se Úřad dostane k relevatním datům. Postup při sběru dat je nad rámec této Metodiky.</w:t>
      </w:r>
    </w:p>
  </w:footnote>
  <w:footnote w:id="28">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Dále také</w:t>
      </w:r>
      <w:r>
        <w:rPr>
          <w:rFonts w:cs="Arial"/>
          <w:szCs w:val="16"/>
        </w:rPr>
        <w:t xml:space="preserve"> v článku 4 písm. b) Opatření.</w:t>
      </w:r>
    </w:p>
  </w:footnote>
  <w:footnote w:id="29">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Např. Pokyny Komise, odst. 44 a 45 či rozhodnutí 31/80 L'Oréal [1980] ECR3775, odstavec 25. </w:t>
      </w:r>
    </w:p>
  </w:footnote>
  <w:footnote w:id="30">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Např. rozhodnutí C-333/94 P, Tetra Pak v Commission [1996] ECRI-5951, odstavec 13, rozhodnutí 85/76, Hoffmann La-Roche v Commission [1979] ECR461, odstavec 23 či rozhodnutí 31/80 L'Oréal [1980]</w:t>
      </w:r>
      <w:r>
        <w:rPr>
          <w:rFonts w:cs="Arial"/>
          <w:szCs w:val="16"/>
        </w:rPr>
        <w:t xml:space="preserve"> ECR3775, odstavec 25 a další.</w:t>
      </w:r>
    </w:p>
  </w:footnote>
  <w:footnote w:id="31">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Pokyny Komise, odst. 44. Koncept zastupitelnosti mezi produkty v nepatrné míře vyplývá z rozhodovací praxe Soudního dvora EU, např. z rozhodnutí 66/86, Ahmed Saeed Flugreisen and Silver Line Reisebüro GmbH v Zentrale zur Bekämpfung unlauteren Wettbewerbs [1989] ECR 803, odstavec 40.</w:t>
      </w:r>
    </w:p>
  </w:footnote>
  <w:footnote w:id="32">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Sdělení Komise, odst. 42 a Pokyny Komise, odst. 50</w:t>
      </w:r>
      <w:r>
        <w:rPr>
          <w:rFonts w:cs="Arial"/>
          <w:szCs w:val="16"/>
        </w:rPr>
        <w:t>.</w:t>
      </w:r>
    </w:p>
  </w:footnote>
  <w:footnote w:id="33">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Rozhodnutí Komise 98/190/EC ze dne 14. ledna 1998, IV/34.801, FAG/Flughafen Frankfurt/Main AG, O.J. [1998] L 72/30. </w:t>
      </w:r>
    </w:p>
  </w:footnote>
  <w:footnote w:id="34">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OECD. </w:t>
      </w:r>
      <w:r w:rsidRPr="004673B0">
        <w:rPr>
          <w:rFonts w:cs="Arial"/>
          <w:i/>
          <w:szCs w:val="16"/>
        </w:rPr>
        <w:t xml:space="preserve">Defining the relevant market in telecommunications. Review of selected OECD countries and Colombia. </w:t>
      </w:r>
      <w:r w:rsidRPr="004673B0">
        <w:rPr>
          <w:rFonts w:cs="Arial"/>
          <w:szCs w:val="16"/>
        </w:rPr>
        <w:t>2014, str. 23.</w:t>
      </w:r>
    </w:p>
  </w:footnote>
  <w:footnote w:id="35">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Ofcom použil kritérium řetězení zastupitelnosti ve své </w:t>
      </w:r>
      <w:r w:rsidRPr="004673B0">
        <w:rPr>
          <w:rFonts w:cs="Arial"/>
          <w:i/>
          <w:szCs w:val="16"/>
        </w:rPr>
        <w:t>Review of the wholesale broadband access markets 2013</w:t>
      </w:r>
      <w:r w:rsidRPr="004673B0">
        <w:rPr>
          <w:rFonts w:cs="Arial"/>
          <w:szCs w:val="16"/>
        </w:rPr>
        <w:t xml:space="preserve">, např. v bodech 3.13, odst. 3.33 a násl., 3.75 a násl. (dostupné z: </w:t>
      </w:r>
      <w:hyperlink r:id="rId2" w:history="1">
        <w:r w:rsidRPr="004673B0">
          <w:rPr>
            <w:rStyle w:val="Hypertextovodkaz"/>
            <w:rFonts w:cs="Arial"/>
            <w:szCs w:val="16"/>
          </w:rPr>
          <w:t>http://stakeholders.ofcom.org.uk/binaries/consultations/review-wba-markets/summary/WBA_July_2013.pdf</w:t>
        </w:r>
      </w:hyperlink>
      <w:r w:rsidRPr="004673B0">
        <w:rPr>
          <w:rFonts w:cs="Arial"/>
          <w:szCs w:val="16"/>
        </w:rPr>
        <w:t>).</w:t>
      </w:r>
    </w:p>
  </w:footnote>
  <w:footnote w:id="36">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Pokyny Komise, odst. 62. </w:t>
      </w:r>
    </w:p>
  </w:footnote>
  <w:footnote w:id="37">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Základním produktem nebo službou je produkt nebo služba, jež má takové charakteristiky, které opravňují uložení </w:t>
      </w:r>
      <w:r w:rsidRPr="004673B0">
        <w:rPr>
          <w:rFonts w:cs="Arial"/>
          <w:i/>
          <w:szCs w:val="16"/>
        </w:rPr>
        <w:t xml:space="preserve">ex ante </w:t>
      </w:r>
      <w:r w:rsidRPr="004673B0">
        <w:rPr>
          <w:rFonts w:cs="Arial"/>
          <w:szCs w:val="16"/>
        </w:rPr>
        <w:t xml:space="preserve">regulace. V praxi Úřad při stanovení základního produktu vezme v úvahu dokumenty Komise, zejména Vysvětlující zprávu vydanou k právě účinnému Doporučení o relevantních trzích, a k specifické situaci v České republice. Úřad tímto způsobem přihlíží k tomu, která služba je z těch, které přicházejí v úvahu, nejvyužívanější. </w:t>
      </w:r>
    </w:p>
  </w:footnote>
  <w:footnote w:id="38">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OECD </w:t>
      </w:r>
      <w:r w:rsidRPr="004673B0">
        <w:rPr>
          <w:rFonts w:cs="Arial"/>
          <w:i/>
          <w:szCs w:val="16"/>
        </w:rPr>
        <w:t xml:space="preserve">Defining the relevant market in telecommunications. Review of selected OECD countries and Colombia. </w:t>
      </w:r>
      <w:r w:rsidRPr="004673B0">
        <w:rPr>
          <w:rFonts w:cs="Arial"/>
          <w:szCs w:val="16"/>
        </w:rPr>
        <w:t>2014, kapitola 2.3.</w:t>
      </w:r>
    </w:p>
  </w:footnote>
  <w:footnote w:id="39">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Tato kritéria zmiňuje např. BEREC v BEREC (2012), Report on Impact of Fixed-Mobile Substitution in Market Definition, BoR (12) 52.</w:t>
      </w:r>
    </w:p>
  </w:footnote>
  <w:footnote w:id="40">
    <w:p w:rsidR="006E0061" w:rsidRPr="00CE5B2D"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Pokud Úřad posoudí některé produkty jako asymetricky zastupitelné, zařadí produkt, na který koncoví uživatelé při zvýšení ceny prvního</w:t>
      </w:r>
      <w:r w:rsidRPr="00CE5B2D">
        <w:rPr>
          <w:rFonts w:cs="Arial"/>
          <w:szCs w:val="16"/>
        </w:rPr>
        <w:t xml:space="preserve"> produktu přecházejí, na stejný relevantní trh jako první produkt.</w:t>
      </w:r>
    </w:p>
  </w:footnote>
  <w:footnote w:id="41">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OECD. </w:t>
      </w:r>
      <w:r w:rsidRPr="004673B0">
        <w:rPr>
          <w:rFonts w:cs="Arial"/>
          <w:i/>
          <w:szCs w:val="16"/>
        </w:rPr>
        <w:t>Defining the relevant market in telecommunications,</w:t>
      </w:r>
      <w:r w:rsidRPr="004673B0">
        <w:rPr>
          <w:rFonts w:cs="Arial"/>
          <w:szCs w:val="16"/>
        </w:rPr>
        <w:t xml:space="preserve"> str. 23. </w:t>
      </w:r>
    </w:p>
  </w:footnote>
  <w:footnote w:id="42">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OFCOM. </w:t>
      </w:r>
      <w:r w:rsidRPr="004673B0">
        <w:rPr>
          <w:rFonts w:cs="Arial"/>
          <w:i/>
          <w:szCs w:val="16"/>
        </w:rPr>
        <w:t>Genereal analytical approach to market definition and SMP assessment</w:t>
      </w:r>
      <w:r w:rsidRPr="004673B0">
        <w:rPr>
          <w:rFonts w:cs="Arial"/>
          <w:szCs w:val="16"/>
        </w:rPr>
        <w:t xml:space="preserve"> (Annex 4 to Review of the wholesale broadband access markets 2014), bod A4.13.</w:t>
      </w:r>
    </w:p>
  </w:footnote>
  <w:footnote w:id="43">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BEREC, BoR (10) 09. </w:t>
      </w:r>
      <w:r w:rsidRPr="004673B0">
        <w:rPr>
          <w:rFonts w:cs="Arial"/>
          <w:i/>
          <w:szCs w:val="16"/>
        </w:rPr>
        <w:t xml:space="preserve">BEREC Report on self-supply, </w:t>
      </w:r>
      <w:r w:rsidRPr="004673B0">
        <w:rPr>
          <w:rFonts w:cs="Arial"/>
          <w:szCs w:val="16"/>
        </w:rPr>
        <w:t>2010. Kapitola 5.</w:t>
      </w:r>
    </w:p>
  </w:footnote>
  <w:footnote w:id="44">
    <w:p w:rsidR="006E0061" w:rsidRPr="00CE5B2D"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Ibid.</w:t>
      </w:r>
      <w:r w:rsidRPr="00CE5B2D">
        <w:rPr>
          <w:rFonts w:cs="Arial"/>
          <w:szCs w:val="16"/>
        </w:rPr>
        <w:t xml:space="preserve"> </w:t>
      </w:r>
    </w:p>
  </w:footnote>
  <w:footnote w:id="45">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Rozhodnutí Komise č.</w:t>
      </w:r>
      <w:r>
        <w:rPr>
          <w:rFonts w:cs="Arial"/>
          <w:szCs w:val="16"/>
        </w:rPr>
        <w:t xml:space="preserve"> UK/2010/1123 či UK/2014/1608.</w:t>
      </w:r>
    </w:p>
  </w:footnote>
  <w:footnote w:id="46">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OFCOM. </w:t>
      </w:r>
      <w:r w:rsidRPr="004673B0">
        <w:rPr>
          <w:rFonts w:cs="Arial"/>
          <w:i/>
          <w:szCs w:val="16"/>
        </w:rPr>
        <w:t>Genereal analytical approach to market definition and SMP assessment</w:t>
      </w:r>
      <w:r w:rsidRPr="004673B0">
        <w:rPr>
          <w:rFonts w:cs="Arial"/>
          <w:szCs w:val="16"/>
        </w:rPr>
        <w:t xml:space="preserve"> (Annex 4 to Review of the wholesale broadband access markets 2014), bod A4.20. </w:t>
      </w:r>
    </w:p>
  </w:footnote>
  <w:footnote w:id="47">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Sdělení Komise, odst. 20. </w:t>
      </w:r>
    </w:p>
  </w:footnote>
  <w:footnote w:id="48">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Round table market definition z 31. 5. 2012, DAF/COMP/WD(2012)28. </w:t>
      </w:r>
    </w:p>
  </w:footnote>
  <w:footnote w:id="49">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Sdělení Komise, odst. 23.</w:t>
      </w:r>
    </w:p>
  </w:footnote>
  <w:footnote w:id="50">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Pokyny Komise, odst. 53.</w:t>
      </w:r>
    </w:p>
  </w:footnote>
  <w:footnote w:id="51">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OFCOM. </w:t>
      </w:r>
      <w:r w:rsidRPr="004673B0">
        <w:rPr>
          <w:rFonts w:cs="Arial"/>
          <w:i/>
          <w:szCs w:val="16"/>
        </w:rPr>
        <w:t>Market definition methodology</w:t>
      </w:r>
      <w:r w:rsidRPr="004673B0">
        <w:rPr>
          <w:rFonts w:cs="Arial"/>
          <w:szCs w:val="16"/>
        </w:rPr>
        <w:t xml:space="preserve"> (Annex 2 to Review of the wholesale broadband access markets 2010), bod A2.16.</w:t>
      </w:r>
    </w:p>
  </w:footnote>
  <w:footnote w:id="52">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w:t>
      </w:r>
      <w:r w:rsidRPr="004673B0">
        <w:rPr>
          <w:rFonts w:cs="Arial"/>
          <w:szCs w:val="16"/>
          <w:lang w:val="en-US"/>
        </w:rPr>
        <w:t xml:space="preserve">Sdělení Komie, odst. 23. </w:t>
      </w:r>
    </w:p>
  </w:footnote>
  <w:footnote w:id="53">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Small but significant, non-transitory increase in price, neboli malé, ale významné a trvalé zvýšení ceny.</w:t>
      </w:r>
    </w:p>
  </w:footnote>
  <w:footnote w:id="54">
    <w:p w:rsidR="006E0061" w:rsidRPr="00CE5B2D"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Sdělení Komise, odst. 15.</w:t>
      </w:r>
      <w:r w:rsidRPr="00CE5B2D">
        <w:rPr>
          <w:rFonts w:cs="Arial"/>
          <w:szCs w:val="16"/>
        </w:rPr>
        <w:t xml:space="preserve"> </w:t>
      </w:r>
    </w:p>
  </w:footnote>
  <w:footnote w:id="55">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OFCOM. </w:t>
      </w:r>
      <w:r w:rsidRPr="004673B0">
        <w:rPr>
          <w:rFonts w:cs="Arial"/>
          <w:i/>
          <w:szCs w:val="16"/>
        </w:rPr>
        <w:t>Market definition methodology</w:t>
      </w:r>
      <w:r w:rsidRPr="004673B0">
        <w:rPr>
          <w:rFonts w:cs="Arial"/>
          <w:szCs w:val="16"/>
        </w:rPr>
        <w:t xml:space="preserve"> (Annex 2 to Review of the wholesale broadband access markets 2010)</w:t>
      </w:r>
      <w:r w:rsidRPr="004673B0">
        <w:rPr>
          <w:rFonts w:cs="Arial"/>
          <w:szCs w:val="16"/>
          <w:lang w:val="en-US"/>
        </w:rPr>
        <w:t>, bod A2.10</w:t>
      </w:r>
    </w:p>
  </w:footnote>
  <w:footnote w:id="56">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ÚOHS v rozhodutí ze dne 3. 11. 2010 ve věci Student Agency. </w:t>
      </w:r>
    </w:p>
  </w:footnote>
  <w:footnote w:id="57">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Pokyny Komise, odst. 40.</w:t>
      </w:r>
    </w:p>
  </w:footnote>
  <w:footnote w:id="58">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Pokyny Komise, odst. 41 nebo OFCOM. </w:t>
      </w:r>
      <w:r w:rsidRPr="004673B0">
        <w:rPr>
          <w:rFonts w:cs="Arial"/>
          <w:i/>
          <w:szCs w:val="16"/>
        </w:rPr>
        <w:t>Genereal analytical approach to market definition and SMP assessment</w:t>
      </w:r>
      <w:r w:rsidRPr="004673B0">
        <w:rPr>
          <w:rFonts w:cs="Arial"/>
          <w:szCs w:val="16"/>
        </w:rPr>
        <w:t xml:space="preserve"> (Annex 4 to Review of the wholesale broadband access markets 2014), bod A4.18.</w:t>
      </w:r>
    </w:p>
  </w:footnote>
  <w:footnote w:id="59">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Vypývá ze Sdělení Komise, odst. 17, dále také z metodiky Ofcomu a další metodik. </w:t>
      </w:r>
    </w:p>
  </w:footnote>
  <w:footnote w:id="60">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Terminolgie Úřadu pro ochranu hospodářské soutěže.</w:t>
      </w:r>
    </w:p>
  </w:footnote>
  <w:footnote w:id="61">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Pokyny Komise, odst. 41.</w:t>
      </w:r>
    </w:p>
  </w:footnote>
  <w:footnote w:id="62">
    <w:p w:rsidR="006E0061" w:rsidRPr="00B97FD7"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BEREC takovou službu nazývá „focal product“ neboli „základní produkt“ např. ve své zprávě </w:t>
      </w:r>
      <w:r w:rsidRPr="004673B0">
        <w:rPr>
          <w:rFonts w:cs="Arial"/>
          <w:i/>
          <w:szCs w:val="16"/>
        </w:rPr>
        <w:t>BEREC Report impact of fixed-mobile substitution (FMS) in market definition</w:t>
      </w:r>
      <w:r w:rsidRPr="004673B0">
        <w:rPr>
          <w:rFonts w:cs="Arial"/>
          <w:szCs w:val="16"/>
        </w:rPr>
        <w:t>, 2012. Kapitola</w:t>
      </w:r>
      <w:r>
        <w:rPr>
          <w:rFonts w:cs="Arial"/>
          <w:szCs w:val="16"/>
        </w:rPr>
        <w:t xml:space="preserve"> 3.1, str. 12. </w:t>
      </w:r>
    </w:p>
  </w:footnote>
  <w:footnote w:id="63">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OFCOM. </w:t>
      </w:r>
      <w:r w:rsidRPr="004673B0">
        <w:rPr>
          <w:rFonts w:cs="Arial"/>
          <w:i/>
          <w:szCs w:val="16"/>
        </w:rPr>
        <w:t>Market definition methodology</w:t>
      </w:r>
      <w:r w:rsidRPr="004673B0">
        <w:rPr>
          <w:rFonts w:cs="Arial"/>
          <w:szCs w:val="16"/>
        </w:rPr>
        <w:t xml:space="preserve"> (Annex 2 to Review of the wholesale broadband access markets 2010), bod A2.11.</w:t>
      </w:r>
    </w:p>
  </w:footnote>
  <w:footnote w:id="64">
    <w:p w:rsidR="006E0061" w:rsidRPr="00CE5B2D" w:rsidRDefault="006E0061" w:rsidP="00CE5B2D">
      <w:pPr>
        <w:spacing w:before="0" w:after="0" w:line="240" w:lineRule="auto"/>
        <w:rPr>
          <w:rFonts w:cs="Arial"/>
          <w:sz w:val="16"/>
          <w:szCs w:val="16"/>
        </w:rPr>
      </w:pPr>
      <w:r w:rsidRPr="004673B0">
        <w:rPr>
          <w:rStyle w:val="Znakapoznpodarou"/>
          <w:rFonts w:cs="Arial"/>
          <w:sz w:val="16"/>
          <w:szCs w:val="16"/>
        </w:rPr>
        <w:footnoteRef/>
      </w:r>
      <w:r w:rsidRPr="004673B0">
        <w:rPr>
          <w:rFonts w:cs="Arial"/>
          <w:sz w:val="16"/>
          <w:szCs w:val="16"/>
        </w:rPr>
        <w:t xml:space="preserve"> Úřad se při aplikaci SSNIP testu vyhne tzv. celofánovému klamavému efektu (cellophane fallacy), doktríně Nejvyššího soudu USA, kdy SSNIP test nesmí</w:t>
      </w:r>
      <w:r w:rsidRPr="00CE5B2D">
        <w:rPr>
          <w:rFonts w:cs="Arial"/>
          <w:sz w:val="16"/>
          <w:szCs w:val="16"/>
        </w:rPr>
        <w:t xml:space="preserve"> být prováděn na základě cen, které již jsou podstatně vyšší, než by byly v případě konkurenčního trhu. Základní cena, která se pro posouzení pomocí SSNIP testu zvyšuje o 5 – 10% musí vždy být taková cena, která by na trhu byla přítomna v situaci efektivní hospodářské soutěže, nikoliv cena, která je již vyšší z důvodu nedokonalé konkurence na daném trhu. Pokud by Úřad zvýšil cenu, která již byla v důsledku nedokonalé hospodářské soutěže vyšší než cena konkurenční, výsledek SSNIP testu mohl vést k tomu, že Úřad na jeden relevantní trh zahrne také služby, které jsou vzájemně zastupitelné jen v případě zásadního zvýšení ceny (rozdíl mezi konkurenční cenou a vyšší cenou na nekonkurenčním trhu + zvýšená o 5 – 10 %). </w:t>
      </w:r>
    </w:p>
  </w:footnote>
  <w:footnote w:id="65">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Sdělení Komise, odst. 8.</w:t>
      </w:r>
    </w:p>
  </w:footnote>
  <w:footnote w:id="66">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Pokyny Komise, odst. 56.</w:t>
      </w:r>
    </w:p>
  </w:footnote>
  <w:footnote w:id="67">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BEREC</w:t>
      </w:r>
      <w:r>
        <w:rPr>
          <w:rFonts w:cs="Arial"/>
          <w:szCs w:val="16"/>
        </w:rPr>
        <w:t xml:space="preserve"> BoR (14) 73</w:t>
      </w:r>
      <w:r w:rsidRPr="00CE5B2D">
        <w:rPr>
          <w:rFonts w:cs="Arial"/>
          <w:szCs w:val="16"/>
        </w:rPr>
        <w:t xml:space="preserve">. </w:t>
      </w:r>
      <w:r w:rsidRPr="00CE5B2D">
        <w:rPr>
          <w:rFonts w:cs="Arial"/>
          <w:i/>
          <w:szCs w:val="16"/>
        </w:rPr>
        <w:t xml:space="preserve">BEREC common position of geographical aspects of market </w:t>
      </w:r>
      <w:r>
        <w:rPr>
          <w:rFonts w:cs="Arial"/>
          <w:i/>
          <w:szCs w:val="16"/>
        </w:rPr>
        <w:t>analysis (definition and remedies)</w:t>
      </w:r>
      <w:r w:rsidRPr="00CE5B2D">
        <w:rPr>
          <w:rFonts w:cs="Arial"/>
          <w:szCs w:val="16"/>
        </w:rPr>
        <w:t>,</w:t>
      </w:r>
      <w:r>
        <w:rPr>
          <w:rFonts w:cs="Arial"/>
          <w:szCs w:val="16"/>
        </w:rPr>
        <w:t xml:space="preserve"> 2014,</w:t>
      </w:r>
      <w:r w:rsidRPr="00CE5B2D">
        <w:rPr>
          <w:rFonts w:cs="Arial"/>
          <w:szCs w:val="16"/>
        </w:rPr>
        <w:t xml:space="preserve"> str. 8, </w:t>
      </w:r>
      <w:r>
        <w:rPr>
          <w:rFonts w:cs="Arial"/>
          <w:szCs w:val="16"/>
        </w:rPr>
        <w:t>bod</w:t>
      </w:r>
      <w:r w:rsidRPr="00CE5B2D">
        <w:rPr>
          <w:rFonts w:cs="Arial"/>
          <w:szCs w:val="16"/>
        </w:rPr>
        <w:t xml:space="preserve">. 16. </w:t>
      </w:r>
    </w:p>
  </w:footnote>
  <w:footnote w:id="68">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BEREC</w:t>
      </w:r>
      <w:r>
        <w:rPr>
          <w:rFonts w:cs="Arial"/>
          <w:szCs w:val="16"/>
        </w:rPr>
        <w:t xml:space="preserve"> BoR (14) 73</w:t>
      </w:r>
      <w:r w:rsidRPr="00CE5B2D">
        <w:rPr>
          <w:rFonts w:cs="Arial"/>
          <w:szCs w:val="16"/>
        </w:rPr>
        <w:t xml:space="preserve">. </w:t>
      </w:r>
      <w:r w:rsidRPr="00CE5B2D">
        <w:rPr>
          <w:rFonts w:cs="Arial"/>
          <w:i/>
          <w:szCs w:val="16"/>
        </w:rPr>
        <w:t xml:space="preserve">BEREC common position of geographical aspects of market </w:t>
      </w:r>
      <w:r>
        <w:rPr>
          <w:rFonts w:cs="Arial"/>
          <w:i/>
          <w:szCs w:val="16"/>
        </w:rPr>
        <w:t>analysis (definition and remedies)</w:t>
      </w:r>
      <w:r w:rsidRPr="00CE5B2D">
        <w:rPr>
          <w:rFonts w:cs="Arial"/>
          <w:szCs w:val="16"/>
        </w:rPr>
        <w:t>,</w:t>
      </w:r>
      <w:r>
        <w:rPr>
          <w:rFonts w:cs="Arial"/>
          <w:szCs w:val="16"/>
        </w:rPr>
        <w:t xml:space="preserve"> 2014</w:t>
      </w:r>
      <w:r w:rsidRPr="00CE5B2D">
        <w:rPr>
          <w:rFonts w:cs="Arial"/>
          <w:szCs w:val="16"/>
        </w:rPr>
        <w:t>, bod 103 a násl.</w:t>
      </w:r>
    </w:p>
  </w:footnote>
  <w:footnote w:id="69">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Doporučení o relevantních trzách, bod 7 odůvodnění. </w:t>
      </w:r>
    </w:p>
  </w:footnote>
  <w:footnote w:id="70">
    <w:p w:rsidR="006E0061" w:rsidRDefault="006E0061" w:rsidP="00B021AB">
      <w:pPr>
        <w:pStyle w:val="Textpoznpodarou"/>
        <w:ind w:left="0"/>
      </w:pPr>
      <w:r w:rsidRPr="00067C1B">
        <w:rPr>
          <w:rStyle w:val="Znakapoznpodarou"/>
        </w:rPr>
        <w:footnoteRef/>
      </w:r>
      <w:r w:rsidRPr="00067C1B">
        <w:t xml:space="preserve"> Pokud tuto lhůtu v souladu s § 51 odst. 2 Zákona neprodlouží o další 3 roky, po oznámení s odůvodněním Evropské komise a ta do jednoho měsíce od oznámení nevznese proti prodloužení lhůty námitky.</w:t>
      </w:r>
    </w:p>
  </w:footnote>
  <w:footnote w:id="71">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Doporučení o relevantních trzích, bod 11 odůvodnění. </w:t>
      </w:r>
    </w:p>
  </w:footnote>
  <w:footnote w:id="72">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Dle bodu 27 odůvodnění rámcové směrnice se jedná o trhy, na nichž se nachází jeden nebo více podniků s významnou tržní silou, a kde nápravná opatření vnitrostátního práva, nebo práva EU v oblasti hospodářské soutěže nepostačují k řešení zjištěného problému v oblasti hospodářské soutěže. </w:t>
      </w:r>
    </w:p>
  </w:footnote>
  <w:footnote w:id="73">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Doporučení o relevantních trzích, čl. 2.</w:t>
      </w:r>
    </w:p>
  </w:footnote>
  <w:footnote w:id="74">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Doporučení o relevantních trzích, čl. 3.</w:t>
      </w:r>
    </w:p>
  </w:footnote>
  <w:footnote w:id="75">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Z ustanovení Pokynů Komise, odst. 107 plyne, že článek 16 rámcové směrnice stanoví rámec pro analýzu trhu za účelem zjištění, zda je relevantní trh účinně konkurenční. </w:t>
      </w:r>
    </w:p>
  </w:footnote>
  <w:footnote w:id="76">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Rámcová směrnice, bod 27 odůvodnění a Pokyny Komise, odst. 19 a 107</w:t>
      </w:r>
      <w:r>
        <w:rPr>
          <w:rFonts w:cs="Arial"/>
          <w:noProof w:val="0"/>
          <w:szCs w:val="16"/>
        </w:rPr>
        <w:t xml:space="preserve"> a § 51 odst. 1 Zákona</w:t>
      </w:r>
      <w:r w:rsidRPr="00CE5B2D">
        <w:rPr>
          <w:rFonts w:cs="Arial"/>
          <w:noProof w:val="0"/>
          <w:szCs w:val="16"/>
        </w:rPr>
        <w:t xml:space="preserve">. </w:t>
      </w:r>
    </w:p>
  </w:footnote>
  <w:footnote w:id="77">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Seznam kritérií není vyčerpávající a Úřad jej stanoví na základě Pokynů Komise, rozhodovací praxe SDEU a Komise či dalších dokumentů věnujících se stanovení významné tržní síly dle soutěžního práva (např. BEREC). </w:t>
      </w:r>
    </w:p>
  </w:footnote>
  <w:footnote w:id="78">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Rámcová směrnice, bod 27 odůvodnění, Pokyny Komise, odst. 20, nebo Doporučení o relevant</w:t>
      </w:r>
      <w:r>
        <w:rPr>
          <w:rFonts w:cs="Arial"/>
          <w:noProof w:val="0"/>
          <w:szCs w:val="16"/>
        </w:rPr>
        <w:t>ních trzích, bod 9 odůvodnění.</w:t>
      </w:r>
    </w:p>
  </w:footnote>
  <w:footnote w:id="79">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Doporučení o relevantních trzích, bod 7</w:t>
      </w:r>
      <w:r>
        <w:rPr>
          <w:rFonts w:cs="Arial"/>
          <w:noProof w:val="0"/>
          <w:szCs w:val="16"/>
        </w:rPr>
        <w:t xml:space="preserve"> odůvodnění</w:t>
      </w:r>
      <w:r w:rsidRPr="00CE5B2D">
        <w:rPr>
          <w:rFonts w:cs="Arial"/>
          <w:noProof w:val="0"/>
          <w:szCs w:val="16"/>
        </w:rPr>
        <w:t xml:space="preserve">. </w:t>
      </w:r>
    </w:p>
  </w:footnote>
  <w:footnote w:id="80">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Jedná se o tzv. Modified Greenfield Approach, která je zmiňována např. v bodě 8 odůvodnění Doporučení o relevantních trzích nebo v kapitolách 2.5 a 2.6 Vysvětlující zprávy. </w:t>
      </w:r>
    </w:p>
  </w:footnote>
  <w:footnote w:id="81">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Doporučení o relevantních trzích, bod 8</w:t>
      </w:r>
      <w:r>
        <w:rPr>
          <w:rFonts w:cs="Arial"/>
          <w:noProof w:val="0"/>
          <w:szCs w:val="16"/>
        </w:rPr>
        <w:t xml:space="preserve"> odůvodnění</w:t>
      </w:r>
      <w:r w:rsidRPr="00CE5B2D">
        <w:rPr>
          <w:rFonts w:cs="Arial"/>
          <w:noProof w:val="0"/>
          <w:szCs w:val="16"/>
        </w:rPr>
        <w:t xml:space="preserve">. </w:t>
      </w:r>
    </w:p>
  </w:footnote>
  <w:footnote w:id="82">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Kapitola 2.6 Vysvětlující zprávy. </w:t>
      </w:r>
    </w:p>
  </w:footnote>
  <w:footnote w:id="83">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Doporučení o relevantních trzích, bod 21 odůvodnění. </w:t>
      </w:r>
    </w:p>
  </w:footnote>
  <w:footnote w:id="84">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Pr>
          <w:rFonts w:cs="Arial"/>
          <w:noProof w:val="0"/>
          <w:szCs w:val="16"/>
        </w:rPr>
        <w:t xml:space="preserve"> Ibid.</w:t>
      </w:r>
    </w:p>
  </w:footnote>
  <w:footnote w:id="85">
    <w:p w:rsidR="006E0061" w:rsidRPr="004673B0" w:rsidRDefault="006E0061" w:rsidP="001B3417">
      <w:pPr>
        <w:pStyle w:val="Textpoznpodarou"/>
        <w:ind w:left="0"/>
        <w:rPr>
          <w:rFonts w:cs="Arial"/>
          <w:noProof w:val="0"/>
          <w:szCs w:val="16"/>
        </w:rPr>
      </w:pPr>
      <w:r w:rsidRPr="004673B0">
        <w:rPr>
          <w:rStyle w:val="Znakapoznpodarou"/>
          <w:rFonts w:cs="Arial"/>
          <w:noProof w:val="0"/>
          <w:szCs w:val="16"/>
        </w:rPr>
        <w:footnoteRef/>
      </w:r>
      <w:r w:rsidRPr="004673B0">
        <w:rPr>
          <w:rFonts w:cs="Arial"/>
          <w:noProof w:val="0"/>
          <w:szCs w:val="16"/>
        </w:rPr>
        <w:t xml:space="preserve"> BEREC ve svém dokumentu BEREC’s opinion on </w:t>
      </w:r>
      <w:r w:rsidRPr="004673B0">
        <w:rPr>
          <w:rFonts w:cs="Arial"/>
          <w:i/>
          <w:noProof w:val="0"/>
          <w:szCs w:val="16"/>
        </w:rPr>
        <w:t>Commission Recommendation on relevant product and service markets susceptible to ex ante regulation</w:t>
      </w:r>
      <w:r w:rsidRPr="004673B0">
        <w:rPr>
          <w:rFonts w:cs="Arial"/>
          <w:noProof w:val="0"/>
          <w:szCs w:val="16"/>
        </w:rPr>
        <w:t xml:space="preserve"> v kapitole 3.2.4 navrhuje, že požadavek, aby národní regulátor analyzoval velkoobchodní trh, pokud zjistil, že podřazený maloobchodní trh je efektivně konkurenční, je neopodstatněný v případě většiny trhů. BEREC navrhuje, aby národní regulátoři mohli prohlásit takový velkoobchodní trh za efektivně konkurenční</w:t>
      </w:r>
      <w:r w:rsidRPr="004673B0">
        <w:rPr>
          <w:rFonts w:cs="Arial"/>
          <w:noProof w:val="0"/>
          <w:szCs w:val="16"/>
          <w:u w:val="single"/>
        </w:rPr>
        <w:t>.</w:t>
      </w:r>
    </w:p>
  </w:footnote>
  <w:footnote w:id="86">
    <w:p w:rsidR="006E0061" w:rsidRPr="004673B0" w:rsidRDefault="006E0061" w:rsidP="00CE5B2D">
      <w:pPr>
        <w:pStyle w:val="Textpoznpodarou"/>
        <w:ind w:left="0" w:right="515"/>
        <w:rPr>
          <w:rFonts w:cs="Arial"/>
          <w:noProof w:val="0"/>
          <w:szCs w:val="16"/>
        </w:rPr>
      </w:pPr>
      <w:r w:rsidRPr="004673B0">
        <w:rPr>
          <w:rStyle w:val="Znakapoznpodarou"/>
          <w:rFonts w:cs="Arial"/>
          <w:noProof w:val="0"/>
          <w:szCs w:val="16"/>
        </w:rPr>
        <w:footnoteRef/>
      </w:r>
      <w:r w:rsidRPr="004673B0">
        <w:rPr>
          <w:rFonts w:cs="Arial"/>
          <w:noProof w:val="0"/>
          <w:szCs w:val="16"/>
        </w:rPr>
        <w:t xml:space="preserve"> Rámcová směrnice, bod 27 odůvodnění. </w:t>
      </w:r>
    </w:p>
  </w:footnote>
  <w:footnote w:id="87">
    <w:p w:rsidR="006E0061" w:rsidRPr="004673B0" w:rsidRDefault="006E0061" w:rsidP="00CE5B2D">
      <w:pPr>
        <w:pStyle w:val="Textpoznpodarou"/>
        <w:ind w:left="0"/>
        <w:rPr>
          <w:rFonts w:cs="Arial"/>
          <w:noProof w:val="0"/>
          <w:szCs w:val="16"/>
        </w:rPr>
      </w:pPr>
      <w:r w:rsidRPr="004673B0">
        <w:rPr>
          <w:rStyle w:val="Znakapoznpodarou"/>
          <w:rFonts w:cs="Arial"/>
          <w:noProof w:val="0"/>
          <w:szCs w:val="16"/>
        </w:rPr>
        <w:footnoteRef/>
      </w:r>
      <w:r w:rsidRPr="004673B0">
        <w:rPr>
          <w:rFonts w:cs="Arial"/>
          <w:noProof w:val="0"/>
          <w:szCs w:val="16"/>
        </w:rPr>
        <w:t xml:space="preserve"> Dle § 51 odst. 2 Zákona provádí Úřad analýzu relevantních trhů v intervalu 1 až 3 roky.</w:t>
      </w:r>
    </w:p>
  </w:footnote>
  <w:footnote w:id="88">
    <w:p w:rsidR="006E0061" w:rsidRPr="00CE5B2D"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Např. rozhodnutí 85</w:t>
      </w:r>
      <w:r w:rsidRPr="00CE5B2D">
        <w:rPr>
          <w:rFonts w:cs="Arial"/>
          <w:szCs w:val="16"/>
        </w:rPr>
        <w:t xml:space="preserve">/76, </w:t>
      </w:r>
      <w:r w:rsidRPr="00CE5B2D">
        <w:rPr>
          <w:rFonts w:cs="Arial"/>
          <w:i/>
          <w:szCs w:val="16"/>
        </w:rPr>
        <w:t xml:space="preserve">Hoffmann-La Roche, </w:t>
      </w:r>
      <w:r w:rsidRPr="00CE5B2D">
        <w:rPr>
          <w:rFonts w:cs="Arial"/>
          <w:szCs w:val="16"/>
        </w:rPr>
        <w:t xml:space="preserve">rozhodnutí 27/76, </w:t>
      </w:r>
      <w:r w:rsidRPr="00CE5B2D">
        <w:rPr>
          <w:rFonts w:cs="Arial"/>
          <w:i/>
          <w:szCs w:val="16"/>
        </w:rPr>
        <w:t>United Brands v Commission</w:t>
      </w:r>
      <w:r w:rsidRPr="00CE5B2D">
        <w:rPr>
          <w:rFonts w:cs="Arial"/>
          <w:szCs w:val="16"/>
        </w:rPr>
        <w:t xml:space="preserve">, rozhodnutí C-62/86, </w:t>
      </w:r>
      <w:r w:rsidRPr="00CE5B2D">
        <w:rPr>
          <w:rFonts w:cs="Arial"/>
          <w:i/>
          <w:szCs w:val="16"/>
        </w:rPr>
        <w:t>AKZO v Commission</w:t>
      </w:r>
      <w:r w:rsidRPr="00CE5B2D">
        <w:rPr>
          <w:rFonts w:cs="Arial"/>
          <w:szCs w:val="16"/>
        </w:rPr>
        <w:t xml:space="preserve">, rozhodnutí T109/96, </w:t>
      </w:r>
      <w:r w:rsidRPr="00CE5B2D">
        <w:rPr>
          <w:rFonts w:cs="Arial"/>
          <w:i/>
          <w:szCs w:val="16"/>
        </w:rPr>
        <w:t xml:space="preserve">Gencor v Commission, </w:t>
      </w:r>
      <w:r w:rsidRPr="00CE5B2D">
        <w:rPr>
          <w:rFonts w:cs="Arial"/>
          <w:szCs w:val="16"/>
        </w:rPr>
        <w:t xml:space="preserve">rozhodnutí C-396/96, </w:t>
      </w:r>
      <w:r w:rsidRPr="00CE5B2D">
        <w:rPr>
          <w:rFonts w:cs="Arial"/>
          <w:i/>
          <w:szCs w:val="16"/>
        </w:rPr>
        <w:t>Campagnie maritime belge and other v Commission</w:t>
      </w:r>
      <w:r w:rsidRPr="00CE5B2D">
        <w:rPr>
          <w:rFonts w:cs="Arial"/>
          <w:szCs w:val="16"/>
        </w:rPr>
        <w:t xml:space="preserve">. </w:t>
      </w:r>
    </w:p>
  </w:footnote>
  <w:footnote w:id="89">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Pokyny Komise, odst. 70. </w:t>
      </w:r>
    </w:p>
  </w:footnote>
  <w:footnote w:id="90">
    <w:p w:rsidR="006E0061" w:rsidRPr="00CE5B2D" w:rsidRDefault="006E0061" w:rsidP="00D418C7">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Pokyny Komise, odst. </w:t>
      </w:r>
      <w:r>
        <w:rPr>
          <w:rFonts w:cs="Arial"/>
          <w:noProof w:val="0"/>
          <w:szCs w:val="16"/>
        </w:rPr>
        <w:t>37 a odst. 70 a 71</w:t>
      </w:r>
      <w:r w:rsidRPr="00CE5B2D">
        <w:rPr>
          <w:rFonts w:cs="Arial"/>
          <w:noProof w:val="0"/>
          <w:szCs w:val="16"/>
        </w:rPr>
        <w:t xml:space="preserve">. </w:t>
      </w:r>
    </w:p>
  </w:footnote>
  <w:footnote w:id="91">
    <w:p w:rsidR="006E0061" w:rsidRDefault="006E0061" w:rsidP="00807C8E">
      <w:pPr>
        <w:pStyle w:val="Textpoznpodarou"/>
        <w:ind w:left="0"/>
      </w:pPr>
      <w:r>
        <w:rPr>
          <w:rStyle w:val="Znakapoznpodarou"/>
        </w:rPr>
        <w:footnoteRef/>
      </w:r>
      <w:r>
        <w:t xml:space="preserve"> Při rozhodování, zda strukturální či jiné vazby mezi osobami vedou spíše k tomu, že jedna právnická či fyzická osoba disponuje ve spojení s dalšími osobami samostatnou významnou tržní silou či zda více právnických či fyzických osob disponuje společnou významou tržní silou přihlédne Úřad zejména k charakteru vazeb mezi těmito osobami, jakož i k tomu, zda je významná tržní síla primárně koncentrována u jedné osoby a spojení s ostaními osobami k této významné tržní síle pouze přispívá nebo zda je významná tržní síla více rovnoměrně rozdělena mezi jednotlivé osoby, které touto významnou tržní silou disponují společně. </w:t>
      </w:r>
    </w:p>
  </w:footnote>
  <w:footnote w:id="92">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BEREC, BEREC’s opinion on </w:t>
      </w:r>
      <w:r w:rsidRPr="00CE5B2D">
        <w:rPr>
          <w:rFonts w:cs="Arial"/>
          <w:i/>
          <w:noProof w:val="0"/>
          <w:szCs w:val="16"/>
        </w:rPr>
        <w:t xml:space="preserve">Commission Recommendation on relevant product and service markets susceptible to ex ante regulation. </w:t>
      </w:r>
    </w:p>
  </w:footnote>
  <w:footnote w:id="93">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Obdobná situace nas</w:t>
      </w:r>
      <w:r>
        <w:rPr>
          <w:rFonts w:cs="Arial"/>
          <w:szCs w:val="16"/>
        </w:rPr>
        <w:t xml:space="preserve">tala v České republice na trhu </w:t>
      </w:r>
      <w:r w:rsidRPr="00CE5B2D">
        <w:rPr>
          <w:rFonts w:cs="Arial"/>
          <w:szCs w:val="16"/>
        </w:rPr>
        <w:t>s optickým připojením</w:t>
      </w:r>
      <w:r>
        <w:rPr>
          <w:rFonts w:cs="Arial"/>
          <w:szCs w:val="16"/>
        </w:rPr>
        <w:t>.</w:t>
      </w:r>
    </w:p>
  </w:footnote>
  <w:footnote w:id="94">
    <w:p w:rsidR="006E0061" w:rsidRDefault="006E0061" w:rsidP="00C852B0">
      <w:pPr>
        <w:pStyle w:val="Textpoznpodarou"/>
        <w:ind w:left="0"/>
      </w:pPr>
      <w:r>
        <w:rPr>
          <w:rStyle w:val="Znakapoznpodarou"/>
        </w:rPr>
        <w:footnoteRef/>
      </w:r>
      <w:r>
        <w:t xml:space="preserve"> Pokyny Komise, bod 98. </w:t>
      </w:r>
    </w:p>
  </w:footnote>
  <w:footnote w:id="95">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Čl. 1 odst. 28 směrnice č. 2009/140/ES ze dne 25. listopadu 2009, kterou se mění rámcová směrnice, autorizační směrnice a přístupová směrnice. Stejnou definici obsahuje v § 1 odst. 1</w:t>
      </w:r>
      <w:r>
        <w:rPr>
          <w:rFonts w:cs="Arial"/>
          <w:noProof w:val="0"/>
          <w:szCs w:val="16"/>
        </w:rPr>
        <w:t xml:space="preserve"> také vyhláška č. 228/2012 Sb.</w:t>
      </w:r>
    </w:p>
  </w:footnote>
  <w:footnote w:id="96">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Čl</w:t>
      </w:r>
      <w:r>
        <w:rPr>
          <w:rFonts w:cs="Arial"/>
          <w:noProof w:val="0"/>
          <w:szCs w:val="16"/>
        </w:rPr>
        <w:t>. 12 odst. 2 rámcové směrnice.</w:t>
      </w:r>
    </w:p>
  </w:footnote>
  <w:footnote w:id="97">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Rozhodnutí T-342/99 </w:t>
      </w:r>
      <w:r w:rsidRPr="00CE5B2D">
        <w:rPr>
          <w:rFonts w:cs="Arial"/>
          <w:i/>
          <w:noProof w:val="0"/>
          <w:szCs w:val="16"/>
        </w:rPr>
        <w:t>Airtours/Commission</w:t>
      </w:r>
      <w:r w:rsidRPr="00CE5B2D">
        <w:rPr>
          <w:rFonts w:cs="Arial"/>
          <w:noProof w:val="0"/>
          <w:szCs w:val="16"/>
        </w:rPr>
        <w:t xml:space="preserve"> [2002] ECRII-0000, para 76 či rozhodnutí C-395/96 a C-396/96 P </w:t>
      </w:r>
      <w:r w:rsidRPr="00CE5B2D">
        <w:rPr>
          <w:rFonts w:cs="Arial"/>
          <w:i/>
          <w:noProof w:val="0"/>
          <w:szCs w:val="16"/>
        </w:rPr>
        <w:t xml:space="preserve">Compagnie maritime belge transports and Others/Commission </w:t>
      </w:r>
      <w:r w:rsidRPr="00CE5B2D">
        <w:rPr>
          <w:rFonts w:cs="Arial"/>
          <w:noProof w:val="0"/>
          <w:szCs w:val="16"/>
        </w:rPr>
        <w:t xml:space="preserve">[2000] ECR I-1365, para 39. </w:t>
      </w:r>
    </w:p>
  </w:footnote>
  <w:footnote w:id="98">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Ibid. </w:t>
      </w:r>
    </w:p>
  </w:footnote>
  <w:footnote w:id="99">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Rozhodnutí T-342/99, Airtours, </w:t>
      </w:r>
      <w:r>
        <w:rPr>
          <w:rFonts w:cs="Arial"/>
          <w:noProof w:val="0"/>
          <w:szCs w:val="16"/>
        </w:rPr>
        <w:t>para.</w:t>
      </w:r>
      <w:r w:rsidRPr="00CE5B2D">
        <w:rPr>
          <w:rFonts w:cs="Arial"/>
          <w:noProof w:val="0"/>
          <w:szCs w:val="16"/>
        </w:rPr>
        <w:t xml:space="preserve"> 61. </w:t>
      </w:r>
    </w:p>
  </w:footnote>
  <w:footnote w:id="100">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BEREC, </w:t>
      </w:r>
      <w:r w:rsidRPr="00CE5B2D">
        <w:rPr>
          <w:rFonts w:cs="Arial"/>
          <w:i/>
          <w:noProof w:val="0"/>
          <w:szCs w:val="16"/>
        </w:rPr>
        <w:t xml:space="preserve">BEREC Report on oligopoly analysis and regulation, </w:t>
      </w:r>
      <w:r w:rsidRPr="00CE5B2D">
        <w:rPr>
          <w:rFonts w:cs="Arial"/>
          <w:noProof w:val="0"/>
          <w:szCs w:val="16"/>
        </w:rPr>
        <w:t xml:space="preserve">BoR (15) </w:t>
      </w:r>
      <w:r>
        <w:rPr>
          <w:rFonts w:cs="Arial"/>
          <w:noProof w:val="0"/>
          <w:szCs w:val="16"/>
        </w:rPr>
        <w:t>195</w:t>
      </w:r>
      <w:r w:rsidRPr="00CE5B2D">
        <w:rPr>
          <w:rFonts w:cs="Arial"/>
          <w:noProof w:val="0"/>
          <w:szCs w:val="16"/>
        </w:rPr>
        <w:t xml:space="preserve">, ze dne </w:t>
      </w:r>
      <w:r>
        <w:rPr>
          <w:rFonts w:cs="Arial"/>
          <w:noProof w:val="0"/>
          <w:szCs w:val="16"/>
        </w:rPr>
        <w:t>27</w:t>
      </w:r>
      <w:r w:rsidRPr="00CE5B2D">
        <w:rPr>
          <w:rFonts w:cs="Arial"/>
          <w:noProof w:val="0"/>
          <w:szCs w:val="16"/>
        </w:rPr>
        <w:t xml:space="preserve">. </w:t>
      </w:r>
      <w:r>
        <w:rPr>
          <w:rFonts w:cs="Arial"/>
          <w:noProof w:val="0"/>
          <w:szCs w:val="16"/>
        </w:rPr>
        <w:t>11</w:t>
      </w:r>
      <w:r w:rsidRPr="00CE5B2D">
        <w:rPr>
          <w:rFonts w:cs="Arial"/>
          <w:noProof w:val="0"/>
          <w:szCs w:val="16"/>
        </w:rPr>
        <w:t xml:space="preserve">. 2015. </w:t>
      </w:r>
    </w:p>
  </w:footnote>
  <w:footnote w:id="101">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Pokyny Komise, odst. 77 a násl. </w:t>
      </w:r>
    </w:p>
  </w:footnote>
  <w:footnote w:id="102">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w:t>
      </w:r>
      <w:r>
        <w:rPr>
          <w:rFonts w:cs="Arial"/>
          <w:noProof w:val="0"/>
          <w:szCs w:val="16"/>
        </w:rPr>
        <w:t>Pokyny Komise, bod 98</w:t>
      </w:r>
      <w:r w:rsidRPr="00CE5B2D">
        <w:rPr>
          <w:rFonts w:cs="Arial"/>
          <w:noProof w:val="0"/>
          <w:szCs w:val="16"/>
        </w:rPr>
        <w:t xml:space="preserve"> se vztahuje zejména na posouzení společné významné tržní síly, ale přeneseně také na posouzení samostatné tržní síly. </w:t>
      </w:r>
    </w:p>
  </w:footnote>
  <w:footnote w:id="103">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ERG Working paper on the SMP concept for the new regulatory framework (9/2005), str. 4. </w:t>
      </w:r>
    </w:p>
  </w:footnote>
  <w:footnote w:id="104">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Pokyny Komise, odst. 76. </w:t>
      </w:r>
    </w:p>
  </w:footnote>
  <w:footnote w:id="105">
    <w:p w:rsidR="006E0061" w:rsidRPr="00CE5B2D" w:rsidRDefault="006E0061" w:rsidP="00CE5B2D">
      <w:pPr>
        <w:pStyle w:val="Normlnweb"/>
        <w:spacing w:before="0" w:beforeAutospacing="0" w:after="0" w:afterAutospacing="0"/>
        <w:ind w:right="515"/>
        <w:jc w:val="both"/>
        <w:rPr>
          <w:rFonts w:ascii="Arial" w:eastAsiaTheme="minorHAnsi" w:hAnsi="Arial" w:cs="Arial"/>
          <w:sz w:val="16"/>
          <w:szCs w:val="16"/>
          <w:lang w:val="cs-CZ"/>
        </w:rPr>
      </w:pPr>
      <w:r w:rsidRPr="00CE5B2D">
        <w:rPr>
          <w:rStyle w:val="Znakapoznpodarou"/>
          <w:rFonts w:ascii="Arial" w:eastAsiaTheme="majorEastAsia" w:hAnsi="Arial" w:cs="Arial"/>
          <w:sz w:val="16"/>
          <w:szCs w:val="16"/>
          <w:lang w:val="cs-CZ"/>
        </w:rPr>
        <w:footnoteRef/>
      </w:r>
      <w:r w:rsidRPr="00CE5B2D">
        <w:rPr>
          <w:rFonts w:ascii="Arial" w:hAnsi="Arial" w:cs="Arial"/>
          <w:sz w:val="16"/>
          <w:szCs w:val="16"/>
          <w:lang w:val="cs-CZ"/>
        </w:rPr>
        <w:t xml:space="preserve"> Rozhodnutí Komise </w:t>
      </w:r>
      <w:r>
        <w:rPr>
          <w:rFonts w:ascii="Arial" w:eastAsiaTheme="minorHAnsi" w:hAnsi="Arial" w:cs="Arial"/>
          <w:sz w:val="16"/>
          <w:szCs w:val="16"/>
          <w:lang w:val="cs-CZ"/>
        </w:rPr>
        <w:t>FI/2003/0024 a FI/2003/0027.</w:t>
      </w:r>
    </w:p>
  </w:footnote>
  <w:footnote w:id="106">
    <w:p w:rsidR="006E0061" w:rsidRPr="00CE5B2D" w:rsidRDefault="006E0061" w:rsidP="00CE5B2D">
      <w:pPr>
        <w:pStyle w:val="Normlnweb"/>
        <w:spacing w:before="0" w:beforeAutospacing="0" w:after="0" w:afterAutospacing="0"/>
        <w:ind w:right="515"/>
        <w:jc w:val="both"/>
        <w:rPr>
          <w:rFonts w:ascii="Arial" w:eastAsiaTheme="minorEastAsia" w:hAnsi="Arial" w:cs="Arial"/>
          <w:sz w:val="16"/>
          <w:szCs w:val="16"/>
          <w:lang w:val="cs-CZ"/>
        </w:rPr>
      </w:pPr>
      <w:r w:rsidRPr="00CE5B2D">
        <w:rPr>
          <w:rStyle w:val="Znakapoznpodarou"/>
          <w:rFonts w:ascii="Arial" w:eastAsiaTheme="majorEastAsia" w:hAnsi="Arial" w:cs="Arial"/>
          <w:sz w:val="16"/>
          <w:szCs w:val="16"/>
          <w:lang w:val="cs-CZ"/>
        </w:rPr>
        <w:footnoteRef/>
      </w:r>
      <w:r w:rsidRPr="00CE5B2D">
        <w:rPr>
          <w:rFonts w:ascii="Arial" w:hAnsi="Arial" w:cs="Arial"/>
          <w:sz w:val="16"/>
          <w:szCs w:val="16"/>
          <w:lang w:val="cs-CZ"/>
        </w:rPr>
        <w:t xml:space="preserve"> V bodě 14 odůvodnění </w:t>
      </w:r>
      <w:r>
        <w:rPr>
          <w:rFonts w:ascii="Arial" w:hAnsi="Arial" w:cs="Arial"/>
          <w:sz w:val="16"/>
          <w:szCs w:val="16"/>
          <w:lang w:val="cs-CZ"/>
        </w:rPr>
        <w:t>s</w:t>
      </w:r>
      <w:r w:rsidRPr="00CE5B2D">
        <w:rPr>
          <w:rFonts w:ascii="Arial" w:hAnsi="Arial" w:cs="Arial"/>
          <w:sz w:val="16"/>
          <w:szCs w:val="16"/>
          <w:lang w:val="cs-CZ"/>
        </w:rPr>
        <w:t xml:space="preserve">dělení Komise </w:t>
      </w:r>
      <w:r>
        <w:rPr>
          <w:rFonts w:ascii="Arial" w:hAnsi="Arial" w:cs="Arial"/>
          <w:sz w:val="16"/>
          <w:szCs w:val="16"/>
          <w:lang w:val="cs-CZ"/>
        </w:rPr>
        <w:t>(</w:t>
      </w:r>
      <w:r w:rsidRPr="00CE5B2D">
        <w:rPr>
          <w:rFonts w:ascii="Arial" w:hAnsi="Arial" w:cs="Arial"/>
          <w:sz w:val="16"/>
          <w:szCs w:val="16"/>
          <w:lang w:val="cs-CZ"/>
        </w:rPr>
        <w:t xml:space="preserve">Pokyny k prioritám </w:t>
      </w:r>
      <w:r w:rsidRPr="00CE5B2D">
        <w:rPr>
          <w:rFonts w:ascii="Arial" w:eastAsiaTheme="minorEastAsia" w:hAnsi="Arial" w:cs="Arial"/>
          <w:sz w:val="16"/>
          <w:szCs w:val="16"/>
          <w:lang w:val="cs-CZ"/>
        </w:rPr>
        <w:t xml:space="preserve">Komise v oblasti prosazování práva při používání článku 82 Smlouvy o ES na zneužívající chování dominantních podniků vylučující ostatní </w:t>
      </w:r>
      <w:r>
        <w:rPr>
          <w:rFonts w:ascii="Arial" w:eastAsiaTheme="minorEastAsia" w:hAnsi="Arial" w:cs="Arial"/>
          <w:sz w:val="16"/>
          <w:szCs w:val="16"/>
          <w:lang w:val="cs-CZ"/>
        </w:rPr>
        <w:t>konkurenty</w:t>
      </w:r>
      <w:r w:rsidRPr="00CE5B2D">
        <w:rPr>
          <w:rFonts w:ascii="Arial" w:eastAsiaTheme="minorEastAsia" w:hAnsi="Arial" w:cs="Arial"/>
          <w:sz w:val="16"/>
          <w:szCs w:val="16"/>
          <w:lang w:val="cs-CZ"/>
        </w:rPr>
        <w:t xml:space="preserve"> č. 2009/C 45/02 z roku 2009</w:t>
      </w:r>
      <w:r>
        <w:rPr>
          <w:rFonts w:ascii="Arial" w:eastAsiaTheme="minorEastAsia" w:hAnsi="Arial" w:cs="Arial"/>
          <w:sz w:val="16"/>
          <w:szCs w:val="16"/>
          <w:lang w:val="cs-CZ"/>
        </w:rPr>
        <w:t>)</w:t>
      </w:r>
      <w:r w:rsidRPr="00CE5B2D">
        <w:rPr>
          <w:rFonts w:ascii="Arial" w:eastAsiaTheme="minorEastAsia" w:hAnsi="Arial" w:cs="Arial"/>
          <w:sz w:val="16"/>
          <w:szCs w:val="16"/>
          <w:lang w:val="cs-CZ"/>
        </w:rPr>
        <w:t xml:space="preserve"> Komise stanovila, že z její zkušenosti vyplývá, že dominantní postavení není pravděpodobné v případě, že podíl podniku na relevantním trhu nepřekročí 40 %. </w:t>
      </w:r>
    </w:p>
  </w:footnote>
  <w:footnote w:id="107">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Zákazníkem může být zákazník na maloobchodním i velkoobchodním trhu.</w:t>
      </w:r>
    </w:p>
  </w:footnote>
  <w:footnote w:id="108">
    <w:p w:rsidR="006E0061" w:rsidRPr="00CE5B2D" w:rsidRDefault="006E0061" w:rsidP="00CE5B2D">
      <w:pPr>
        <w:widowControl w:val="0"/>
        <w:autoSpaceDE w:val="0"/>
        <w:autoSpaceDN w:val="0"/>
        <w:adjustRightInd w:val="0"/>
        <w:spacing w:before="0" w:after="0" w:line="240" w:lineRule="auto"/>
        <w:ind w:right="516"/>
        <w:rPr>
          <w:rFonts w:cs="Arial"/>
          <w:noProof w:val="0"/>
          <w:sz w:val="16"/>
          <w:szCs w:val="16"/>
        </w:rPr>
      </w:pPr>
      <w:r w:rsidRPr="00CE5B2D">
        <w:rPr>
          <w:rStyle w:val="Znakapoznpodarou"/>
          <w:rFonts w:cs="Arial"/>
          <w:noProof w:val="0"/>
          <w:sz w:val="16"/>
          <w:szCs w:val="16"/>
        </w:rPr>
        <w:footnoteRef/>
      </w:r>
      <w:r w:rsidRPr="00CE5B2D">
        <w:rPr>
          <w:rFonts w:cs="Arial"/>
          <w:noProof w:val="0"/>
          <w:sz w:val="16"/>
          <w:szCs w:val="16"/>
        </w:rPr>
        <w:t xml:space="preserve"> Mezi relevantní případy týkající se společného dominantního postavení, které se vztahují dle čl. 14 odst. 2 rámcové směrnice také na posouzení společné významné tržní síly pro účely </w:t>
      </w:r>
      <w:r w:rsidRPr="00CE5B2D">
        <w:rPr>
          <w:rFonts w:cs="Arial"/>
          <w:i/>
          <w:noProof w:val="0"/>
          <w:sz w:val="16"/>
          <w:szCs w:val="16"/>
        </w:rPr>
        <w:t xml:space="preserve">ex ante </w:t>
      </w:r>
      <w:r w:rsidRPr="00CE5B2D">
        <w:rPr>
          <w:rFonts w:cs="Arial"/>
          <w:noProof w:val="0"/>
          <w:sz w:val="16"/>
          <w:szCs w:val="16"/>
        </w:rPr>
        <w:t xml:space="preserve">regulace, patří zejména rozhodnutí </w:t>
      </w:r>
      <w:r w:rsidRPr="00CE5B2D">
        <w:rPr>
          <w:rFonts w:cs="Arial"/>
          <w:i/>
          <w:noProof w:val="0"/>
          <w:sz w:val="16"/>
          <w:szCs w:val="16"/>
        </w:rPr>
        <w:t>Gencor Limited v Commission</w:t>
      </w:r>
      <w:r w:rsidRPr="00CE5B2D">
        <w:rPr>
          <w:rFonts w:cs="Arial"/>
          <w:noProof w:val="0"/>
          <w:sz w:val="16"/>
          <w:szCs w:val="16"/>
        </w:rPr>
        <w:t xml:space="preserve">, čj. T-102/96 [1999], ECR II-753, </w:t>
      </w:r>
      <w:r w:rsidRPr="00CE5B2D">
        <w:rPr>
          <w:rFonts w:cs="Arial"/>
          <w:i/>
          <w:noProof w:val="0"/>
          <w:sz w:val="16"/>
          <w:szCs w:val="16"/>
        </w:rPr>
        <w:t>Compagnie Maritime Belge Transports and Others v. Commission</w:t>
      </w:r>
      <w:r w:rsidRPr="00CE5B2D">
        <w:rPr>
          <w:rFonts w:cs="Arial"/>
          <w:noProof w:val="0"/>
          <w:sz w:val="16"/>
          <w:szCs w:val="16"/>
        </w:rPr>
        <w:t xml:space="preserve">, čj. T-276/04 [2008], ECR II-1277, </w:t>
      </w:r>
      <w:r w:rsidRPr="00CE5B2D">
        <w:rPr>
          <w:rFonts w:cs="Arial"/>
          <w:i/>
          <w:noProof w:val="0"/>
          <w:sz w:val="16"/>
          <w:szCs w:val="16"/>
        </w:rPr>
        <w:t>Airtours v. Commission</w:t>
      </w:r>
      <w:r w:rsidRPr="00CE5B2D">
        <w:rPr>
          <w:rFonts w:cs="Arial"/>
          <w:noProof w:val="0"/>
          <w:sz w:val="16"/>
          <w:szCs w:val="16"/>
        </w:rPr>
        <w:t xml:space="preserve">, čj. T-342/99 [2002] ECR II-2585, a </w:t>
      </w:r>
      <w:r w:rsidRPr="00CE5B2D">
        <w:rPr>
          <w:rFonts w:cs="Arial"/>
          <w:i/>
          <w:noProof w:val="0"/>
          <w:sz w:val="16"/>
          <w:szCs w:val="16"/>
        </w:rPr>
        <w:t>Independent Music Publishers and Labels Association (Impala) v. Commission</w:t>
      </w:r>
      <w:r w:rsidRPr="00CE5B2D">
        <w:rPr>
          <w:rFonts w:cs="Arial"/>
          <w:noProof w:val="0"/>
          <w:sz w:val="16"/>
          <w:szCs w:val="16"/>
        </w:rPr>
        <w:t>, čj. T-464/04 [2006] ECR II-2289.</w:t>
      </w:r>
    </w:p>
  </w:footnote>
  <w:footnote w:id="109">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V rozhodnutí UK/2004/0111 Komise nepotvrdila závěry Ofcomu, který prokázal společnou významnou tržní sílu na základě demonstrativních kritérií uvedených v Pokynech Komise, avšak nevzal v úvahu kritéria dle rozhodnutí Airtours. </w:t>
      </w:r>
    </w:p>
  </w:footnote>
  <w:footnote w:id="110">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Rozhodnutí Komise IE/2004/0121 či rozhodnutí MT/2006/0443. </w:t>
      </w:r>
    </w:p>
  </w:footnote>
  <w:footnote w:id="111">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Rozhodnutí Komise IT/2006/0424. </w:t>
      </w:r>
    </w:p>
  </w:footnote>
  <w:footnote w:id="112">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Rozhodnutí Komise ES/2005/0330 či MT/2006/0443. </w:t>
      </w:r>
    </w:p>
  </w:footnote>
  <w:footnote w:id="113">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BEREC,</w:t>
      </w:r>
      <w:r w:rsidRPr="00CE5B2D">
        <w:rPr>
          <w:rFonts w:cs="Arial"/>
          <w:i/>
          <w:noProof w:val="0"/>
          <w:szCs w:val="16"/>
        </w:rPr>
        <w:t>BEREC report on oligopoly analysis and regulation</w:t>
      </w:r>
      <w:r w:rsidRPr="00CE5B2D">
        <w:rPr>
          <w:rFonts w:cs="Arial"/>
          <w:noProof w:val="0"/>
          <w:szCs w:val="16"/>
        </w:rPr>
        <w:t>,</w:t>
      </w:r>
      <w:r w:rsidRPr="00CE5B2D">
        <w:rPr>
          <w:rFonts w:cs="Arial"/>
          <w:i/>
          <w:noProof w:val="0"/>
          <w:szCs w:val="16"/>
        </w:rPr>
        <w:t xml:space="preserve"> </w:t>
      </w:r>
      <w:r>
        <w:rPr>
          <w:rFonts w:cs="Arial"/>
          <w:noProof w:val="0"/>
          <w:szCs w:val="16"/>
        </w:rPr>
        <w:t>2015.</w:t>
      </w:r>
    </w:p>
  </w:footnote>
  <w:footnote w:id="114">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Např. rozhodnutí Komise ES/2005/0330, které potvrdilo společnou významnou tržní sílu a tržní podíly spolupracujících stran</w:t>
      </w:r>
      <w:r>
        <w:rPr>
          <w:rFonts w:cs="Arial"/>
          <w:noProof w:val="0"/>
          <w:szCs w:val="16"/>
        </w:rPr>
        <w:t xml:space="preserve"> byly 52,3 %, 31,8 % a 15,9 %.</w:t>
      </w:r>
    </w:p>
  </w:footnote>
  <w:footnote w:id="115">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Např. v rozhodnutí Komise ES/2005/0330 bylo toto kritérium potvrzeno, když Komise zmínila, že ačkoliv by byly krátkodobé zisky ze snížení ceny lukrativní pro jednu ze stran, dlouhodobé cenové optimum by bylo v důsledku vzniklé cenové války níže, a tudíž by i dlouhodobé zisky dotčených podniků byly nižší. </w:t>
      </w:r>
    </w:p>
  </w:footnote>
  <w:footnote w:id="116">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Např. rozhodnutí Komise ES/2005/0330, IE/2004/0121 či MT/2006/0443. </w:t>
      </w:r>
    </w:p>
  </w:footnote>
  <w:footnote w:id="117">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Např. rozhodnutí Komise IT/2006/0424 či UK/2004/0111. </w:t>
      </w:r>
    </w:p>
  </w:footnote>
  <w:footnote w:id="118">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Vysoké překážky vstupu na trh jsou zmíněny např. v rozhodnutích Komise ES/2005/0330,</w:t>
      </w:r>
      <w:r>
        <w:rPr>
          <w:rFonts w:cs="Arial"/>
          <w:noProof w:val="0"/>
          <w:szCs w:val="16"/>
        </w:rPr>
        <w:t xml:space="preserve"> IT/2006/0424 či UK/2004/0111.</w:t>
      </w:r>
    </w:p>
  </w:footnote>
  <w:footnote w:id="119">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Např. Komise v rozhodnutí MT/2012/1375 rozhodla, že vyhlídka výstavby infrastruktury optických vláken je dostatečně zásadním důvodem, že spolupráce mezi stávajícími operátory </w:t>
      </w:r>
      <w:r>
        <w:rPr>
          <w:rFonts w:cs="Arial"/>
          <w:noProof w:val="0"/>
          <w:szCs w:val="16"/>
        </w:rPr>
        <w:t>nebude dostatečně udržitelná.</w:t>
      </w:r>
    </w:p>
  </w:footnote>
  <w:footnote w:id="120">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Jedná se o tzv. Modified Greenfield Approach, která je zmíněná v kapitole o Vymezení rel</w:t>
      </w:r>
      <w:r>
        <w:rPr>
          <w:rFonts w:cs="Arial"/>
          <w:noProof w:val="0"/>
          <w:szCs w:val="16"/>
        </w:rPr>
        <w:t>evantního trhu této Metodiky.</w:t>
      </w:r>
    </w:p>
  </w:footnote>
  <w:footnote w:id="121">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K povinnosti dostatečného prokázání tvrzené společné významné tržní síly se Komise vyjádřila např. v rozhodnutí MT/2006/0443, ES/2005/0330 či FR/2005/0179. </w:t>
      </w:r>
    </w:p>
  </w:footnote>
  <w:footnote w:id="122">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Existenci propojení mezi maloobchodním a velkoobchodním trhem Komise vyžadovala doplnit např. v rozhodnutí MT/2006/0443 či IE/2004/0121. </w:t>
      </w:r>
    </w:p>
  </w:footnote>
  <w:footnote w:id="123">
    <w:p w:rsidR="006E0061" w:rsidRPr="00CE5B2D" w:rsidRDefault="006E0061" w:rsidP="00CE5B2D">
      <w:pPr>
        <w:widowControl w:val="0"/>
        <w:autoSpaceDE w:val="0"/>
        <w:autoSpaceDN w:val="0"/>
        <w:adjustRightInd w:val="0"/>
        <w:spacing w:before="0" w:after="0" w:line="240" w:lineRule="auto"/>
        <w:ind w:right="515"/>
        <w:rPr>
          <w:rFonts w:cs="Arial"/>
          <w:noProof w:val="0"/>
          <w:sz w:val="16"/>
          <w:szCs w:val="16"/>
        </w:rPr>
      </w:pPr>
      <w:r w:rsidRPr="00CE5B2D">
        <w:rPr>
          <w:rStyle w:val="Znakapoznpodarou"/>
          <w:rFonts w:cs="Arial"/>
          <w:noProof w:val="0"/>
          <w:sz w:val="16"/>
          <w:szCs w:val="16"/>
        </w:rPr>
        <w:footnoteRef/>
      </w:r>
      <w:r w:rsidRPr="00CE5B2D">
        <w:rPr>
          <w:rFonts w:cs="Arial"/>
          <w:noProof w:val="0"/>
          <w:sz w:val="16"/>
          <w:szCs w:val="16"/>
        </w:rPr>
        <w:t xml:space="preserve"> Sdělení Komise o použití pravidel hospodářské soutěže na dohody o přístupu v odvětví telekomunikací (98/C 265/02), bod 78. </w:t>
      </w:r>
    </w:p>
  </w:footnote>
  <w:footnote w:id="124">
    <w:p w:rsidR="006E0061" w:rsidRPr="00CE5B2D" w:rsidRDefault="006E0061" w:rsidP="00CE5B2D">
      <w:pPr>
        <w:pStyle w:val="Textpoznpodarou"/>
        <w:ind w:left="0" w:right="515"/>
        <w:rPr>
          <w:rFonts w:cs="Arial"/>
          <w:noProof w:val="0"/>
          <w:szCs w:val="16"/>
        </w:rPr>
      </w:pPr>
      <w:r w:rsidRPr="00CE5B2D">
        <w:rPr>
          <w:rStyle w:val="Znakapoznpodarou"/>
          <w:rFonts w:cs="Arial"/>
          <w:noProof w:val="0"/>
          <w:szCs w:val="16"/>
        </w:rPr>
        <w:footnoteRef/>
      </w:r>
      <w:r w:rsidRPr="00CE5B2D">
        <w:rPr>
          <w:rFonts w:cs="Arial"/>
          <w:noProof w:val="0"/>
          <w:szCs w:val="16"/>
        </w:rPr>
        <w:t xml:space="preserve"> Příloha č. 2 k rámcové směrnici a Pokyny Komise, odst. 97. </w:t>
      </w:r>
    </w:p>
  </w:footnote>
  <w:footnote w:id="125">
    <w:p w:rsidR="006E0061" w:rsidRPr="00CE5B2D" w:rsidRDefault="006E0061" w:rsidP="00CE5B2D">
      <w:pPr>
        <w:pStyle w:val="Textpoznpodarou"/>
        <w:ind w:left="0"/>
        <w:rPr>
          <w:rFonts w:cs="Arial"/>
          <w:noProof w:val="0"/>
          <w:szCs w:val="16"/>
        </w:rPr>
      </w:pPr>
      <w:r w:rsidRPr="00CE5B2D">
        <w:rPr>
          <w:rStyle w:val="Znakapoznpodarou"/>
          <w:rFonts w:cs="Arial"/>
          <w:noProof w:val="0"/>
          <w:szCs w:val="16"/>
        </w:rPr>
        <w:footnoteRef/>
      </w:r>
      <w:r w:rsidRPr="00CE5B2D">
        <w:rPr>
          <w:rFonts w:cs="Arial"/>
          <w:noProof w:val="0"/>
          <w:szCs w:val="16"/>
        </w:rPr>
        <w:t xml:space="preserve"> Benchmark cen mezi jednotlivými členskými státy EU byl použit např. v rozhodnutí Komise MT/2006/0443. </w:t>
      </w:r>
    </w:p>
  </w:footnote>
  <w:footnote w:id="126">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Ačkoliv Zákon v § 51 odst. 4 i v dalších ustanoveních používá výraz „povinnosti“, tato Metodik</w:t>
      </w:r>
      <w:r>
        <w:rPr>
          <w:rFonts w:cs="Arial"/>
          <w:szCs w:val="16"/>
        </w:rPr>
        <w:t>a</w:t>
      </w:r>
      <w:r w:rsidRPr="00CE5B2D">
        <w:rPr>
          <w:rFonts w:cs="Arial"/>
          <w:szCs w:val="16"/>
        </w:rPr>
        <w:t xml:space="preserve"> pracuje s pojmem „nápravné opatření.“ </w:t>
      </w:r>
    </w:p>
  </w:footnote>
  <w:footnote w:id="127">
    <w:p w:rsidR="006E0061" w:rsidRDefault="006E0061" w:rsidP="00CB36F1">
      <w:pPr>
        <w:pStyle w:val="Textpoznpodarou"/>
        <w:ind w:left="0"/>
      </w:pPr>
      <w:r>
        <w:rPr>
          <w:rStyle w:val="Znakapoznpodarou"/>
        </w:rPr>
        <w:footnoteRef/>
      </w:r>
      <w:r>
        <w:t xml:space="preserve"> Seznam potenciálních soutěžních problémů je pouze demonstrativní, není v žádném případě výlučný. </w:t>
      </w:r>
    </w:p>
  </w:footnote>
  <w:footnote w:id="128">
    <w:p w:rsidR="006E0061" w:rsidRDefault="006E0061" w:rsidP="00CB36F1">
      <w:pPr>
        <w:pStyle w:val="Textpoznpodarou"/>
        <w:ind w:left="0"/>
      </w:pPr>
      <w:r>
        <w:rPr>
          <w:rStyle w:val="Znakapoznpodarou"/>
        </w:rPr>
        <w:footnoteRef/>
      </w:r>
      <w:r>
        <w:t xml:space="preserve"> ERG. </w:t>
      </w:r>
      <w:r>
        <w:rPr>
          <w:i/>
        </w:rPr>
        <w:t xml:space="preserve">Revised ERG Common Position on the approach to Appropriate remedies in the ECNS regulatory framework. </w:t>
      </w:r>
      <w:r>
        <w:t>ERG (06) 33.</w:t>
      </w:r>
    </w:p>
  </w:footnote>
  <w:footnote w:id="129">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 51 odst. 2 Zákona. </w:t>
      </w:r>
    </w:p>
  </w:footnote>
  <w:footnote w:id="130">
    <w:p w:rsidR="006E0061" w:rsidRPr="004673B0" w:rsidRDefault="006E0061" w:rsidP="00CE5B2D">
      <w:pPr>
        <w:pStyle w:val="Textpoznpodarou"/>
        <w:ind w:left="0"/>
        <w:rPr>
          <w:rFonts w:cs="Arial"/>
          <w:szCs w:val="16"/>
        </w:rPr>
      </w:pPr>
      <w:r w:rsidRPr="004673B0">
        <w:rPr>
          <w:rStyle w:val="Znakapoznpodarou"/>
          <w:rFonts w:cs="Arial"/>
          <w:szCs w:val="16"/>
        </w:rPr>
        <w:footnoteRef/>
      </w:r>
      <w:r w:rsidRPr="004673B0">
        <w:rPr>
          <w:rFonts w:cs="Arial"/>
          <w:szCs w:val="16"/>
        </w:rPr>
        <w:t xml:space="preserve"> Existují dokumenty BEREC pro některé vybrané trhy, které se zabývají ukládáním nápravných opatření na daných trzích. Jedná se např. o </w:t>
      </w:r>
      <w:r w:rsidRPr="004673B0">
        <w:rPr>
          <w:rFonts w:cs="Arial"/>
          <w:caps/>
          <w:szCs w:val="16"/>
        </w:rPr>
        <w:t>Revised BEREC Common Position on best practices in remedies as a consequence of a SMP position in the relevant markets for wholesale leased lines</w:t>
      </w:r>
      <w:r w:rsidRPr="004673B0">
        <w:rPr>
          <w:rFonts w:cs="Arial"/>
          <w:szCs w:val="16"/>
        </w:rPr>
        <w:t xml:space="preserve"> či BEREC COMMON POSITION ON BEST PRACTICE IN REMEDIES ON THE MARKET FOR WHOLESALE (PHYSICAL) NETWORK INFRASTRUCTURE ACCESS. </w:t>
      </w:r>
    </w:p>
  </w:footnote>
  <w:footnote w:id="131">
    <w:p w:rsidR="006E0061" w:rsidRPr="00CE5B2D" w:rsidRDefault="006E0061" w:rsidP="00166403">
      <w:pPr>
        <w:pStyle w:val="Textpoznpodarou"/>
        <w:ind w:left="0"/>
        <w:rPr>
          <w:rFonts w:cs="Arial"/>
          <w:szCs w:val="16"/>
        </w:rPr>
      </w:pPr>
      <w:r w:rsidRPr="004673B0">
        <w:rPr>
          <w:rStyle w:val="Znakapoznpodarou"/>
          <w:rFonts w:cs="Arial"/>
          <w:szCs w:val="16"/>
        </w:rPr>
        <w:footnoteRef/>
      </w:r>
      <w:r w:rsidRPr="004673B0">
        <w:rPr>
          <w:rFonts w:cs="Arial"/>
          <w:szCs w:val="16"/>
        </w:rPr>
        <w:t xml:space="preserve"> Tato povinnost vyplývá z nařízení 1211/2009 ze dne 25. listopadu 2009 o zřízení Sdružení evropských regulačních orgánů v oblasti elektronických komunikací (BEREC) a Úřadu.</w:t>
      </w:r>
    </w:p>
  </w:footnote>
  <w:footnote w:id="132">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w:t>
      </w:r>
      <w:r>
        <w:rPr>
          <w:rFonts w:cs="Arial"/>
          <w:szCs w:val="16"/>
        </w:rPr>
        <w:t>Pokyny Komise, bod 114</w:t>
      </w:r>
      <w:r w:rsidRPr="00CE5B2D">
        <w:rPr>
          <w:rFonts w:cs="Arial"/>
          <w:szCs w:val="16"/>
        </w:rPr>
        <w:t>.</w:t>
      </w:r>
    </w:p>
  </w:footnote>
  <w:footnote w:id="133">
    <w:p w:rsidR="006E0061" w:rsidRDefault="006E0061" w:rsidP="008B693E">
      <w:pPr>
        <w:pStyle w:val="Textpoznpodarou"/>
        <w:ind w:left="0"/>
      </w:pPr>
      <w:r>
        <w:rPr>
          <w:rStyle w:val="Znakapoznpodarou"/>
        </w:rPr>
        <w:footnoteRef/>
      </w:r>
      <w:r>
        <w:t xml:space="preserve"> </w:t>
      </w:r>
      <w:r w:rsidRPr="008B693E">
        <w:t xml:space="preserve">Např. </w:t>
      </w:r>
      <w:r>
        <w:t xml:space="preserve">pokud by soud v rámci řízení o žalobě proti rozhodnutí o uložení nápravných opatření podle § 51 odst. 5 Zákona uložil Úřadu nápravná opatření zrušit či změnit. </w:t>
      </w:r>
    </w:p>
  </w:footnote>
  <w:footnote w:id="134">
    <w:p w:rsidR="006E0061" w:rsidRDefault="006E0061" w:rsidP="00C56383">
      <w:pPr>
        <w:pStyle w:val="Textpoznpodarou"/>
        <w:ind w:left="0"/>
      </w:pPr>
      <w:r>
        <w:rPr>
          <w:rStyle w:val="Znakapoznpodarou"/>
        </w:rPr>
        <w:footnoteRef/>
      </w:r>
      <w:r>
        <w:t xml:space="preserve"> Podle § 51 odst. 8 Zákona.</w:t>
      </w:r>
    </w:p>
  </w:footnote>
  <w:footnote w:id="135">
    <w:p w:rsidR="006E0061" w:rsidRDefault="006E0061" w:rsidP="00B01317">
      <w:pPr>
        <w:pStyle w:val="Textpoznpodarou"/>
        <w:ind w:left="0"/>
      </w:pPr>
      <w:r>
        <w:rPr>
          <w:rStyle w:val="Znakapoznpodarou"/>
        </w:rPr>
        <w:footnoteRef/>
      </w:r>
      <w:r>
        <w:t xml:space="preserve"> Článek 9 Přístupové směrnice.</w:t>
      </w:r>
    </w:p>
  </w:footnote>
  <w:footnote w:id="136">
    <w:p w:rsidR="006E0061" w:rsidRDefault="006E0061" w:rsidP="00B01317">
      <w:pPr>
        <w:pStyle w:val="Textpoznpodarou"/>
        <w:ind w:left="0"/>
      </w:pPr>
      <w:r>
        <w:rPr>
          <w:rStyle w:val="Znakapoznpodarou"/>
        </w:rPr>
        <w:footnoteRef/>
      </w:r>
      <w:r>
        <w:t xml:space="preserve"> Článek 10 Přístupové směrnice.</w:t>
      </w:r>
    </w:p>
  </w:footnote>
  <w:footnote w:id="137">
    <w:p w:rsidR="006E0061" w:rsidRDefault="006E0061" w:rsidP="00B01317">
      <w:pPr>
        <w:pStyle w:val="Textpoznpodarou"/>
        <w:ind w:left="0"/>
      </w:pPr>
      <w:r>
        <w:rPr>
          <w:rStyle w:val="Znakapoznpodarou"/>
        </w:rPr>
        <w:footnoteRef/>
      </w:r>
      <w:r>
        <w:t xml:space="preserve"> Článek 11 Přístupové směrnice.</w:t>
      </w:r>
    </w:p>
  </w:footnote>
  <w:footnote w:id="138">
    <w:p w:rsidR="006E0061" w:rsidRDefault="006E0061" w:rsidP="00B01317">
      <w:pPr>
        <w:pStyle w:val="Textpoznpodarou"/>
        <w:ind w:left="0"/>
      </w:pPr>
      <w:r>
        <w:rPr>
          <w:rStyle w:val="Znakapoznpodarou"/>
        </w:rPr>
        <w:footnoteRef/>
      </w:r>
      <w:r>
        <w:t xml:space="preserve"> Článek 12 Přístupové směrnice.</w:t>
      </w:r>
    </w:p>
  </w:footnote>
  <w:footnote w:id="139">
    <w:p w:rsidR="006E0061" w:rsidRDefault="006E0061" w:rsidP="00B01317">
      <w:pPr>
        <w:pStyle w:val="Textpoznpodarou"/>
        <w:ind w:left="0"/>
      </w:pPr>
      <w:r>
        <w:rPr>
          <w:rStyle w:val="Znakapoznpodarou"/>
        </w:rPr>
        <w:footnoteRef/>
      </w:r>
      <w:r>
        <w:t xml:space="preserve"> Článek 12 Přístupové směrnice.</w:t>
      </w:r>
    </w:p>
  </w:footnote>
  <w:footnote w:id="140">
    <w:p w:rsidR="006E0061" w:rsidRDefault="006E0061" w:rsidP="00B01317">
      <w:pPr>
        <w:pStyle w:val="Textpoznpodarou"/>
        <w:ind w:left="0"/>
      </w:pPr>
      <w:r>
        <w:rPr>
          <w:rStyle w:val="Znakapoznpodarou"/>
        </w:rPr>
        <w:footnoteRef/>
      </w:r>
      <w:r>
        <w:t xml:space="preserve"> Článek 13 Přístupové směrnice.</w:t>
      </w:r>
    </w:p>
  </w:footnote>
  <w:footnote w:id="141">
    <w:p w:rsidR="006E0061" w:rsidRDefault="006E0061" w:rsidP="00B01317">
      <w:pPr>
        <w:pStyle w:val="Textpoznpodarou"/>
        <w:ind w:left="0"/>
      </w:pPr>
      <w:r>
        <w:rPr>
          <w:rStyle w:val="Znakapoznpodarou"/>
        </w:rPr>
        <w:footnoteRef/>
      </w:r>
      <w:r>
        <w:t xml:space="preserve"> Článek 13a Přístupové směrnice.</w:t>
      </w:r>
    </w:p>
  </w:footnote>
  <w:footnote w:id="142">
    <w:p w:rsidR="006E0061" w:rsidRDefault="006E0061" w:rsidP="00650CAE">
      <w:pPr>
        <w:pStyle w:val="Textpoznpodarou"/>
        <w:ind w:left="0"/>
      </w:pPr>
      <w:r>
        <w:rPr>
          <w:rStyle w:val="Znakapoznpodarou"/>
        </w:rPr>
        <w:footnoteRef/>
      </w:r>
      <w:r>
        <w:t xml:space="preserve"> § 84 odst. 3 Zákona a § 85 odst. 1 Zákona.</w:t>
      </w:r>
    </w:p>
  </w:footnote>
  <w:footnote w:id="143">
    <w:p w:rsidR="006E0061" w:rsidRPr="00CE5B2D" w:rsidRDefault="006E0061" w:rsidP="00CE5B2D">
      <w:pPr>
        <w:pStyle w:val="Textpoznpodarou"/>
        <w:ind w:left="0"/>
        <w:rPr>
          <w:rFonts w:cs="Arial"/>
          <w:szCs w:val="16"/>
        </w:rPr>
      </w:pPr>
      <w:r w:rsidRPr="00CE5B2D">
        <w:rPr>
          <w:rStyle w:val="Znakapoznpodarou"/>
          <w:rFonts w:cs="Arial"/>
          <w:szCs w:val="16"/>
        </w:rPr>
        <w:footnoteRef/>
      </w:r>
      <w:r w:rsidRPr="00CE5B2D">
        <w:rPr>
          <w:rFonts w:cs="Arial"/>
          <w:szCs w:val="16"/>
        </w:rPr>
        <w:t xml:space="preserve"> </w:t>
      </w:r>
      <w:r>
        <w:rPr>
          <w:rFonts w:cs="Arial"/>
          <w:szCs w:val="16"/>
        </w:rPr>
        <w:t>Pokyny Komise, odst. 21 a 114.</w:t>
      </w:r>
      <w:r w:rsidRPr="00CE5B2D">
        <w:rPr>
          <w:rFonts w:cs="Arial"/>
          <w:szCs w:val="16"/>
        </w:rPr>
        <w:t xml:space="preserve"> </w:t>
      </w:r>
    </w:p>
  </w:footnote>
  <w:footnote w:id="144">
    <w:p w:rsidR="006E0061" w:rsidRDefault="006E0061" w:rsidP="004C3085">
      <w:pPr>
        <w:pStyle w:val="Textpoznpodarou"/>
        <w:ind w:left="0"/>
      </w:pPr>
      <w:r>
        <w:rPr>
          <w:rStyle w:val="Znakapoznpodarou"/>
        </w:rPr>
        <w:footnoteRef/>
      </w:r>
      <w:r>
        <w:t xml:space="preserve"> </w:t>
      </w:r>
      <w:r w:rsidRPr="00BE3EF9">
        <w:t>ERG. Revised ERG Common Position on the approach to Appropriate remedies in the ECNS regulatory framework. ERG (06)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061" w:rsidRPr="002D1619" w:rsidRDefault="006E0061" w:rsidP="00B251DD">
    <w:pPr>
      <w:pStyle w:val="Zhlav"/>
      <w:tabs>
        <w:tab w:val="clear" w:pos="4536"/>
        <w:tab w:val="clear" w:pos="9072"/>
        <w:tab w:val="left" w:pos="16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B7F"/>
    <w:multiLevelType w:val="hybridMultilevel"/>
    <w:tmpl w:val="D6E6DD60"/>
    <w:lvl w:ilvl="0" w:tplc="713C64C4">
      <w:start w:val="1"/>
      <w:numFmt w:val="lowerRoman"/>
      <w:lvlText w:val="%1)"/>
      <w:lvlJc w:val="righ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250"/>
    <w:multiLevelType w:val="hybridMultilevel"/>
    <w:tmpl w:val="D2EE782E"/>
    <w:lvl w:ilvl="0" w:tplc="3BF246EA">
      <w:start w:val="1"/>
      <w:numFmt w:val="lowerRoman"/>
      <w:lvlText w:val="%1)"/>
      <w:lvlJc w:val="righ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140CC"/>
    <w:multiLevelType w:val="hybridMultilevel"/>
    <w:tmpl w:val="4C443682"/>
    <w:lvl w:ilvl="0" w:tplc="E70E89B6">
      <w:start w:val="1"/>
      <w:numFmt w:val="lowerRoman"/>
      <w:lvlText w:val="%1)"/>
      <w:lvlJc w:val="righ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00D31"/>
    <w:multiLevelType w:val="hybridMultilevel"/>
    <w:tmpl w:val="DB5E4A18"/>
    <w:lvl w:ilvl="0" w:tplc="4218E986">
      <w:start w:val="1"/>
      <w:numFmt w:val="lowerRoman"/>
      <w:lvlText w:val="%1)"/>
      <w:lvlJc w:val="right"/>
      <w:pPr>
        <w:ind w:left="624" w:hanging="57"/>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D02D786">
      <w:start w:val="1"/>
      <w:numFmt w:val="lowerRoman"/>
      <w:lvlText w:val="%4)"/>
      <w:lvlJc w:val="righ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E3984"/>
    <w:multiLevelType w:val="hybridMultilevel"/>
    <w:tmpl w:val="DB5E4A18"/>
    <w:lvl w:ilvl="0" w:tplc="4218E986">
      <w:start w:val="1"/>
      <w:numFmt w:val="lowerRoman"/>
      <w:lvlText w:val="%1)"/>
      <w:lvlJc w:val="right"/>
      <w:pPr>
        <w:ind w:left="624" w:hanging="57"/>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D02D786">
      <w:start w:val="1"/>
      <w:numFmt w:val="lowerRoman"/>
      <w:lvlText w:val="%4)"/>
      <w:lvlJc w:val="righ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EE700C"/>
    <w:multiLevelType w:val="hybridMultilevel"/>
    <w:tmpl w:val="94E0BD20"/>
    <w:lvl w:ilvl="0" w:tplc="62A6E48E">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93068"/>
    <w:multiLevelType w:val="hybridMultilevel"/>
    <w:tmpl w:val="7C6251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4CC680E"/>
    <w:multiLevelType w:val="hybridMultilevel"/>
    <w:tmpl w:val="1A629B2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6AB3948"/>
    <w:multiLevelType w:val="hybridMultilevel"/>
    <w:tmpl w:val="21263280"/>
    <w:lvl w:ilvl="0" w:tplc="F4121F5A">
      <w:start w:val="1"/>
      <w:numFmt w:val="bullet"/>
      <w:pStyle w:val="Zkladntextodsazen2"/>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C1392"/>
    <w:multiLevelType w:val="hybridMultilevel"/>
    <w:tmpl w:val="F1CA6440"/>
    <w:lvl w:ilvl="0" w:tplc="A3D6C0BC">
      <w:start w:val="1"/>
      <w:numFmt w:val="lowerRoman"/>
      <w:lvlText w:val="%1)"/>
      <w:lvlJc w:val="righ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2ADB5905"/>
    <w:multiLevelType w:val="hybridMultilevel"/>
    <w:tmpl w:val="96B2CA78"/>
    <w:lvl w:ilvl="0" w:tplc="04050001">
      <w:start w:val="1"/>
      <w:numFmt w:val="bullet"/>
      <w:lvlText w:val=""/>
      <w:lvlJc w:val="left"/>
      <w:pPr>
        <w:ind w:left="360" w:hanging="360"/>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8966F0"/>
    <w:multiLevelType w:val="hybridMultilevel"/>
    <w:tmpl w:val="00E497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8836E5"/>
    <w:multiLevelType w:val="hybridMultilevel"/>
    <w:tmpl w:val="9732E7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C70698"/>
    <w:multiLevelType w:val="hybridMultilevel"/>
    <w:tmpl w:val="402C41F4"/>
    <w:lvl w:ilvl="0" w:tplc="0DF24BBC">
      <w:start w:val="3"/>
      <w:numFmt w:val="bullet"/>
      <w:lvlText w:val="-"/>
      <w:lvlJc w:val="left"/>
      <w:pPr>
        <w:ind w:left="360" w:hanging="360"/>
      </w:pPr>
      <w:rPr>
        <w:rFonts w:ascii="Calibri" w:eastAsia="Cambria" w:hAnsi="Calibri"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9D175A"/>
    <w:multiLevelType w:val="hybridMultilevel"/>
    <w:tmpl w:val="D438244C"/>
    <w:lvl w:ilvl="0" w:tplc="4218E986">
      <w:start w:val="1"/>
      <w:numFmt w:val="lowerRoman"/>
      <w:lvlText w:val="%1)"/>
      <w:lvlJc w:val="right"/>
      <w:pPr>
        <w:ind w:left="624" w:hanging="57"/>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D02D786">
      <w:start w:val="1"/>
      <w:numFmt w:val="lowerRoman"/>
      <w:lvlText w:val="%4)"/>
      <w:lvlJc w:val="righ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B2605"/>
    <w:multiLevelType w:val="hybridMultilevel"/>
    <w:tmpl w:val="A81A9FDC"/>
    <w:lvl w:ilvl="0" w:tplc="63B46946">
      <w:start w:val="1"/>
      <w:numFmt w:val="decimal"/>
      <w:lvlText w:val="%1)"/>
      <w:lvlJc w:val="left"/>
      <w:pPr>
        <w:ind w:left="720" w:hanging="360"/>
      </w:pPr>
      <w:rPr>
        <w:rFonts w:ascii="Arial" w:eastAsia="Times New Roman"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1720D2"/>
    <w:multiLevelType w:val="hybridMultilevel"/>
    <w:tmpl w:val="DC9601BC"/>
    <w:lvl w:ilvl="0" w:tplc="6CCC5076">
      <w:start w:val="1"/>
      <w:numFmt w:val="lowerRoman"/>
      <w:lvlText w:val="%1)"/>
      <w:lvlJc w:val="right"/>
      <w:pPr>
        <w:ind w:left="567" w:hanging="283"/>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1686F"/>
    <w:multiLevelType w:val="hybridMultilevel"/>
    <w:tmpl w:val="C374E6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D383C8E"/>
    <w:multiLevelType w:val="multilevel"/>
    <w:tmpl w:val="8BF0EACC"/>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Nadpis3"/>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3D726F0F"/>
    <w:multiLevelType w:val="hybridMultilevel"/>
    <w:tmpl w:val="D438244C"/>
    <w:lvl w:ilvl="0" w:tplc="4218E986">
      <w:start w:val="1"/>
      <w:numFmt w:val="lowerRoman"/>
      <w:lvlText w:val="%1)"/>
      <w:lvlJc w:val="right"/>
      <w:pPr>
        <w:ind w:left="624" w:hanging="57"/>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9D02D786">
      <w:start w:val="1"/>
      <w:numFmt w:val="lowerRoman"/>
      <w:lvlText w:val="%4)"/>
      <w:lvlJc w:val="righ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AD231E"/>
    <w:multiLevelType w:val="hybridMultilevel"/>
    <w:tmpl w:val="D2187C52"/>
    <w:lvl w:ilvl="0" w:tplc="A3D6C0BC">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6732D7"/>
    <w:multiLevelType w:val="hybridMultilevel"/>
    <w:tmpl w:val="44B4320C"/>
    <w:lvl w:ilvl="0" w:tplc="CF8A6108">
      <w:start w:val="1"/>
      <w:numFmt w:val="lowerRoman"/>
      <w:lvlText w:val="%1)"/>
      <w:lvlJc w:val="righ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B30CB"/>
    <w:multiLevelType w:val="hybridMultilevel"/>
    <w:tmpl w:val="165AD6D4"/>
    <w:lvl w:ilvl="0" w:tplc="3400500E">
      <w:start w:val="1"/>
      <w:numFmt w:val="lowerRoman"/>
      <w:lvlText w:val="%1)"/>
      <w:lvlJc w:val="right"/>
      <w:pPr>
        <w:ind w:left="720" w:hanging="360"/>
      </w:pPr>
      <w:rPr>
        <w:rFonts w:hint="default"/>
        <w:b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C74D3F"/>
    <w:multiLevelType w:val="hybridMultilevel"/>
    <w:tmpl w:val="40E63FC6"/>
    <w:lvl w:ilvl="0" w:tplc="27E4DC5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22F1822"/>
    <w:multiLevelType w:val="hybridMultilevel"/>
    <w:tmpl w:val="26DC1280"/>
    <w:lvl w:ilvl="0" w:tplc="C276A7EE">
      <w:start w:val="1"/>
      <w:numFmt w:val="lowerRoman"/>
      <w:lvlText w:val="%1)"/>
      <w:lvlJc w:val="righ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11ED7"/>
    <w:multiLevelType w:val="hybridMultilevel"/>
    <w:tmpl w:val="C05C1452"/>
    <w:lvl w:ilvl="0" w:tplc="D71E1AF6">
      <w:start w:val="1"/>
      <w:numFmt w:val="decimal"/>
      <w:pStyle w:val="slovnvtabulce"/>
      <w:lvlText w:val="%1"/>
      <w:lvlJc w:val="left"/>
      <w:pPr>
        <w:ind w:left="786" w:hanging="360"/>
      </w:pPr>
      <w:rPr>
        <w:b w:val="0"/>
        <w:bCs w:val="0"/>
        <w:i w:val="0"/>
        <w:iCs w:val="0"/>
        <w:caps w:val="0"/>
        <w:smallCaps w:val="0"/>
        <w:strike w:val="0"/>
        <w:dstrike w:val="0"/>
        <w:vanish w:val="0"/>
        <w:color w:val="000000"/>
        <w:spacing w:val="0"/>
        <w:kern w:val="0"/>
        <w:position w:val="0"/>
        <w:u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46D1533"/>
    <w:multiLevelType w:val="hybridMultilevel"/>
    <w:tmpl w:val="DC9601BC"/>
    <w:lvl w:ilvl="0" w:tplc="6CCC5076">
      <w:start w:val="1"/>
      <w:numFmt w:val="lowerRoman"/>
      <w:lvlText w:val="%1)"/>
      <w:lvlJc w:val="right"/>
      <w:pPr>
        <w:ind w:left="567" w:hanging="283"/>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D62DA"/>
    <w:multiLevelType w:val="hybridMultilevel"/>
    <w:tmpl w:val="E042EF8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47396A"/>
    <w:multiLevelType w:val="hybridMultilevel"/>
    <w:tmpl w:val="98742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A72186"/>
    <w:multiLevelType w:val="hybridMultilevel"/>
    <w:tmpl w:val="450E78C0"/>
    <w:lvl w:ilvl="0" w:tplc="EDCEAF32">
      <w:start w:val="1"/>
      <w:numFmt w:val="upperLetter"/>
      <w:pStyle w:val="Zad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3B46AA"/>
    <w:multiLevelType w:val="hybridMultilevel"/>
    <w:tmpl w:val="30F462CA"/>
    <w:lvl w:ilvl="0" w:tplc="BEB482E2">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1" w15:restartNumberingAfterBreak="0">
    <w:nsid w:val="68612482"/>
    <w:multiLevelType w:val="hybridMultilevel"/>
    <w:tmpl w:val="8744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8062C"/>
    <w:multiLevelType w:val="hybridMultilevel"/>
    <w:tmpl w:val="F5288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2F565B6"/>
    <w:multiLevelType w:val="multilevel"/>
    <w:tmpl w:val="EFC4EC70"/>
    <w:lvl w:ilvl="0">
      <w:start w:val="1"/>
      <w:numFmt w:val="bullet"/>
      <w:pStyle w:val="Bulletpoint"/>
      <w:lvlText w:val=""/>
      <w:lvlJc w:val="left"/>
      <w:pPr>
        <w:ind w:left="432" w:hanging="432"/>
      </w:pPr>
      <w:rPr>
        <w:rFonts w:ascii="Symbol" w:hAnsi="Symbol" w:hint="default"/>
      </w:rPr>
    </w:lvl>
    <w:lvl w:ilvl="1">
      <w:start w:val="1"/>
      <w:numFmt w:val="bullet"/>
      <w:pStyle w:val="Bullet2"/>
      <w:lvlText w:val=""/>
      <w:lvlJc w:val="left"/>
      <w:pPr>
        <w:ind w:left="576" w:hanging="576"/>
      </w:pPr>
      <w:rPr>
        <w:rFonts w:ascii="Wingdings" w:hAnsi="Wingdings" w:hint="default"/>
      </w:rPr>
    </w:lvl>
    <w:lvl w:ilvl="2">
      <w:start w:val="1"/>
      <w:numFmt w:val="bullet"/>
      <w:pStyle w:val="Bullet3"/>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5260622"/>
    <w:multiLevelType w:val="hybridMultilevel"/>
    <w:tmpl w:val="F7AAFB66"/>
    <w:lvl w:ilvl="0" w:tplc="BEB48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B5ED6"/>
    <w:multiLevelType w:val="hybridMultilevel"/>
    <w:tmpl w:val="F8D0EE8C"/>
    <w:lvl w:ilvl="0" w:tplc="CDCCBD56">
      <w:start w:val="1"/>
      <w:numFmt w:val="lowerRoman"/>
      <w:lvlText w:val="%1)"/>
      <w:lvlJc w:val="righ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8"/>
  </w:num>
  <w:num w:numId="4">
    <w:abstractNumId w:val="29"/>
  </w:num>
  <w:num w:numId="5">
    <w:abstractNumId w:val="10"/>
  </w:num>
  <w:num w:numId="6">
    <w:abstractNumId w:val="25"/>
  </w:num>
  <w:num w:numId="7">
    <w:abstractNumId w:val="27"/>
  </w:num>
  <w:num w:numId="8">
    <w:abstractNumId w:val="13"/>
  </w:num>
  <w:num w:numId="9">
    <w:abstractNumId w:val="30"/>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6"/>
  </w:num>
  <w:num w:numId="14">
    <w:abstractNumId w:val="7"/>
  </w:num>
  <w:num w:numId="15">
    <w:abstractNumId w:val="23"/>
  </w:num>
  <w:num w:numId="16">
    <w:abstractNumId w:val="20"/>
  </w:num>
  <w:num w:numId="17">
    <w:abstractNumId w:val="31"/>
  </w:num>
  <w:num w:numId="18">
    <w:abstractNumId w:val="19"/>
  </w:num>
  <w:num w:numId="19">
    <w:abstractNumId w:val="5"/>
  </w:num>
  <w:num w:numId="20">
    <w:abstractNumId w:val="26"/>
  </w:num>
  <w:num w:numId="21">
    <w:abstractNumId w:val="35"/>
  </w:num>
  <w:num w:numId="22">
    <w:abstractNumId w:val="0"/>
  </w:num>
  <w:num w:numId="23">
    <w:abstractNumId w:val="2"/>
  </w:num>
  <w:num w:numId="24">
    <w:abstractNumId w:val="21"/>
  </w:num>
  <w:num w:numId="25">
    <w:abstractNumId w:val="24"/>
  </w:num>
  <w:num w:numId="26">
    <w:abstractNumId w:val="1"/>
  </w:num>
  <w:num w:numId="27">
    <w:abstractNumId w:val="16"/>
  </w:num>
  <w:num w:numId="28">
    <w:abstractNumId w:val="34"/>
  </w:num>
  <w:num w:numId="29">
    <w:abstractNumId w:val="18"/>
  </w:num>
  <w:num w:numId="30">
    <w:abstractNumId w:val="18"/>
  </w:num>
  <w:num w:numId="31">
    <w:abstractNumId w:val="18"/>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4"/>
  </w:num>
  <w:num w:numId="37">
    <w:abstractNumId w:val="18"/>
  </w:num>
  <w:num w:numId="38">
    <w:abstractNumId w:val="14"/>
  </w:num>
  <w:num w:numId="39">
    <w:abstractNumId w:val="9"/>
  </w:num>
  <w:num w:numId="40">
    <w:abstractNumId w:val="3"/>
  </w:num>
  <w:num w:numId="41">
    <w:abstractNumId w:val="18"/>
  </w:num>
  <w:num w:numId="42">
    <w:abstractNumId w:val="17"/>
  </w:num>
  <w:num w:numId="43">
    <w:abstractNumId w:val="12"/>
  </w:num>
  <w:num w:numId="44">
    <w:abstractNumId w:val="15"/>
  </w:num>
  <w:num w:numId="45">
    <w:abstractNumId w:val="22"/>
  </w:num>
  <w:num w:numId="46">
    <w:abstractNumId w:val="18"/>
  </w:num>
  <w:num w:numId="47">
    <w:abstractNumId w:val="28"/>
  </w:num>
  <w:num w:numId="48">
    <w:abstractNumId w:val="11"/>
  </w:num>
  <w:num w:numId="49">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doNotTrackFormatting/>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A4"/>
    <w:rsid w:val="0000061B"/>
    <w:rsid w:val="00004B31"/>
    <w:rsid w:val="00004DB9"/>
    <w:rsid w:val="000050E5"/>
    <w:rsid w:val="000061A7"/>
    <w:rsid w:val="00010AB5"/>
    <w:rsid w:val="00012DB9"/>
    <w:rsid w:val="0001713F"/>
    <w:rsid w:val="00022181"/>
    <w:rsid w:val="000234F6"/>
    <w:rsid w:val="00024A87"/>
    <w:rsid w:val="00024AF8"/>
    <w:rsid w:val="00025BD6"/>
    <w:rsid w:val="0002607E"/>
    <w:rsid w:val="00027420"/>
    <w:rsid w:val="00027E56"/>
    <w:rsid w:val="0003135E"/>
    <w:rsid w:val="0003212E"/>
    <w:rsid w:val="00037ADB"/>
    <w:rsid w:val="00043AC0"/>
    <w:rsid w:val="00043B93"/>
    <w:rsid w:val="00044201"/>
    <w:rsid w:val="00046C7A"/>
    <w:rsid w:val="00047133"/>
    <w:rsid w:val="000527CE"/>
    <w:rsid w:val="00053276"/>
    <w:rsid w:val="00054ED8"/>
    <w:rsid w:val="000550FF"/>
    <w:rsid w:val="00055596"/>
    <w:rsid w:val="000563E4"/>
    <w:rsid w:val="000567C8"/>
    <w:rsid w:val="000603EA"/>
    <w:rsid w:val="00060E05"/>
    <w:rsid w:val="00060EBC"/>
    <w:rsid w:val="00064227"/>
    <w:rsid w:val="00065401"/>
    <w:rsid w:val="00065819"/>
    <w:rsid w:val="00066359"/>
    <w:rsid w:val="00067C1B"/>
    <w:rsid w:val="000707FA"/>
    <w:rsid w:val="00072C11"/>
    <w:rsid w:val="0007706A"/>
    <w:rsid w:val="0008297A"/>
    <w:rsid w:val="000860AF"/>
    <w:rsid w:val="00091120"/>
    <w:rsid w:val="00091F92"/>
    <w:rsid w:val="00092698"/>
    <w:rsid w:val="000943F5"/>
    <w:rsid w:val="000A3DD0"/>
    <w:rsid w:val="000A4404"/>
    <w:rsid w:val="000A7884"/>
    <w:rsid w:val="000B2738"/>
    <w:rsid w:val="000B4870"/>
    <w:rsid w:val="000B4F44"/>
    <w:rsid w:val="000B505E"/>
    <w:rsid w:val="000B518A"/>
    <w:rsid w:val="000B59D4"/>
    <w:rsid w:val="000B6E57"/>
    <w:rsid w:val="000C06B0"/>
    <w:rsid w:val="000C211D"/>
    <w:rsid w:val="000C25D1"/>
    <w:rsid w:val="000C3605"/>
    <w:rsid w:val="000C5FB0"/>
    <w:rsid w:val="000D084C"/>
    <w:rsid w:val="000D440C"/>
    <w:rsid w:val="000D77A3"/>
    <w:rsid w:val="000E08C5"/>
    <w:rsid w:val="000E096C"/>
    <w:rsid w:val="000E15DC"/>
    <w:rsid w:val="000E1C32"/>
    <w:rsid w:val="000E238D"/>
    <w:rsid w:val="000E4C42"/>
    <w:rsid w:val="000E50E1"/>
    <w:rsid w:val="000E51F6"/>
    <w:rsid w:val="000E5B4D"/>
    <w:rsid w:val="000E60F3"/>
    <w:rsid w:val="000E69E7"/>
    <w:rsid w:val="000E7AA3"/>
    <w:rsid w:val="000F1231"/>
    <w:rsid w:val="000F25D9"/>
    <w:rsid w:val="000F6C7C"/>
    <w:rsid w:val="00100A9E"/>
    <w:rsid w:val="0010370E"/>
    <w:rsid w:val="001038CB"/>
    <w:rsid w:val="0010767D"/>
    <w:rsid w:val="0010796E"/>
    <w:rsid w:val="00111883"/>
    <w:rsid w:val="00113A63"/>
    <w:rsid w:val="00113C1A"/>
    <w:rsid w:val="001146C3"/>
    <w:rsid w:val="00114C69"/>
    <w:rsid w:val="00116492"/>
    <w:rsid w:val="00120585"/>
    <w:rsid w:val="00123063"/>
    <w:rsid w:val="001241BC"/>
    <w:rsid w:val="00125B28"/>
    <w:rsid w:val="001267F6"/>
    <w:rsid w:val="00130289"/>
    <w:rsid w:val="0013311A"/>
    <w:rsid w:val="00133AD6"/>
    <w:rsid w:val="00133F63"/>
    <w:rsid w:val="00134546"/>
    <w:rsid w:val="00135381"/>
    <w:rsid w:val="00136A66"/>
    <w:rsid w:val="00145EFC"/>
    <w:rsid w:val="00146185"/>
    <w:rsid w:val="00147E7C"/>
    <w:rsid w:val="00150952"/>
    <w:rsid w:val="0015103A"/>
    <w:rsid w:val="001528C8"/>
    <w:rsid w:val="00152E2C"/>
    <w:rsid w:val="00153260"/>
    <w:rsid w:val="00156AA7"/>
    <w:rsid w:val="00160A08"/>
    <w:rsid w:val="00160B6A"/>
    <w:rsid w:val="0016164B"/>
    <w:rsid w:val="00166403"/>
    <w:rsid w:val="001672BC"/>
    <w:rsid w:val="001675EF"/>
    <w:rsid w:val="001713C0"/>
    <w:rsid w:val="001718C8"/>
    <w:rsid w:val="0017270B"/>
    <w:rsid w:val="00172A23"/>
    <w:rsid w:val="001730AB"/>
    <w:rsid w:val="00174104"/>
    <w:rsid w:val="00177E22"/>
    <w:rsid w:val="00180EA1"/>
    <w:rsid w:val="00186F63"/>
    <w:rsid w:val="00187104"/>
    <w:rsid w:val="001907EB"/>
    <w:rsid w:val="00191E55"/>
    <w:rsid w:val="0019421A"/>
    <w:rsid w:val="00195671"/>
    <w:rsid w:val="001A00A1"/>
    <w:rsid w:val="001A04D0"/>
    <w:rsid w:val="001A12B5"/>
    <w:rsid w:val="001A6421"/>
    <w:rsid w:val="001B0927"/>
    <w:rsid w:val="001B0DD9"/>
    <w:rsid w:val="001B3417"/>
    <w:rsid w:val="001B3BED"/>
    <w:rsid w:val="001B4F98"/>
    <w:rsid w:val="001B57DE"/>
    <w:rsid w:val="001B5E32"/>
    <w:rsid w:val="001B6658"/>
    <w:rsid w:val="001C135F"/>
    <w:rsid w:val="001C1C21"/>
    <w:rsid w:val="001C2818"/>
    <w:rsid w:val="001C33DF"/>
    <w:rsid w:val="001C3AE5"/>
    <w:rsid w:val="001C79A2"/>
    <w:rsid w:val="001C7CA5"/>
    <w:rsid w:val="001D535D"/>
    <w:rsid w:val="001E0E88"/>
    <w:rsid w:val="001E6738"/>
    <w:rsid w:val="001E6899"/>
    <w:rsid w:val="001F0228"/>
    <w:rsid w:val="002000D2"/>
    <w:rsid w:val="002001AC"/>
    <w:rsid w:val="002003E5"/>
    <w:rsid w:val="002004B3"/>
    <w:rsid w:val="00202362"/>
    <w:rsid w:val="00205D9B"/>
    <w:rsid w:val="002064DE"/>
    <w:rsid w:val="00207DBB"/>
    <w:rsid w:val="00213AB6"/>
    <w:rsid w:val="00214311"/>
    <w:rsid w:val="00215AC0"/>
    <w:rsid w:val="0021707E"/>
    <w:rsid w:val="00217C24"/>
    <w:rsid w:val="0022029E"/>
    <w:rsid w:val="0022099F"/>
    <w:rsid w:val="00221432"/>
    <w:rsid w:val="00221854"/>
    <w:rsid w:val="00221C14"/>
    <w:rsid w:val="00223560"/>
    <w:rsid w:val="0022398B"/>
    <w:rsid w:val="0022444B"/>
    <w:rsid w:val="00224A95"/>
    <w:rsid w:val="00224D63"/>
    <w:rsid w:val="00224E91"/>
    <w:rsid w:val="00225306"/>
    <w:rsid w:val="0022573F"/>
    <w:rsid w:val="00232226"/>
    <w:rsid w:val="00232881"/>
    <w:rsid w:val="00233B2C"/>
    <w:rsid w:val="00237256"/>
    <w:rsid w:val="0024051B"/>
    <w:rsid w:val="00245850"/>
    <w:rsid w:val="00245CC9"/>
    <w:rsid w:val="002461CF"/>
    <w:rsid w:val="00250BBC"/>
    <w:rsid w:val="002512F9"/>
    <w:rsid w:val="00252AAA"/>
    <w:rsid w:val="00253BBC"/>
    <w:rsid w:val="002551C4"/>
    <w:rsid w:val="00261E7D"/>
    <w:rsid w:val="00261F42"/>
    <w:rsid w:val="002629CC"/>
    <w:rsid w:val="00263788"/>
    <w:rsid w:val="00265E1D"/>
    <w:rsid w:val="00266A53"/>
    <w:rsid w:val="0027049F"/>
    <w:rsid w:val="002704E5"/>
    <w:rsid w:val="00270F52"/>
    <w:rsid w:val="002726FB"/>
    <w:rsid w:val="0027405E"/>
    <w:rsid w:val="0027423A"/>
    <w:rsid w:val="00274A00"/>
    <w:rsid w:val="00274D96"/>
    <w:rsid w:val="00274DE7"/>
    <w:rsid w:val="002758E4"/>
    <w:rsid w:val="00277562"/>
    <w:rsid w:val="00280D2A"/>
    <w:rsid w:val="00282037"/>
    <w:rsid w:val="002822E0"/>
    <w:rsid w:val="002857AF"/>
    <w:rsid w:val="00292CBF"/>
    <w:rsid w:val="00294CEE"/>
    <w:rsid w:val="002964D6"/>
    <w:rsid w:val="002A1C32"/>
    <w:rsid w:val="002A3209"/>
    <w:rsid w:val="002A36F0"/>
    <w:rsid w:val="002A38C6"/>
    <w:rsid w:val="002A419C"/>
    <w:rsid w:val="002A5D8C"/>
    <w:rsid w:val="002A61A4"/>
    <w:rsid w:val="002A71AF"/>
    <w:rsid w:val="002A74D0"/>
    <w:rsid w:val="002B059D"/>
    <w:rsid w:val="002B09AB"/>
    <w:rsid w:val="002B108B"/>
    <w:rsid w:val="002B14A7"/>
    <w:rsid w:val="002B2F84"/>
    <w:rsid w:val="002B33CD"/>
    <w:rsid w:val="002B41DD"/>
    <w:rsid w:val="002C00C3"/>
    <w:rsid w:val="002C0C1B"/>
    <w:rsid w:val="002C4071"/>
    <w:rsid w:val="002C45C3"/>
    <w:rsid w:val="002C4908"/>
    <w:rsid w:val="002C7B0F"/>
    <w:rsid w:val="002C7E70"/>
    <w:rsid w:val="002D1619"/>
    <w:rsid w:val="002D20AA"/>
    <w:rsid w:val="002D32A1"/>
    <w:rsid w:val="002D43C4"/>
    <w:rsid w:val="002D4517"/>
    <w:rsid w:val="002D63E0"/>
    <w:rsid w:val="002D68E8"/>
    <w:rsid w:val="002D69D1"/>
    <w:rsid w:val="002E03B1"/>
    <w:rsid w:val="002E042E"/>
    <w:rsid w:val="002E242A"/>
    <w:rsid w:val="002E24F5"/>
    <w:rsid w:val="002E675B"/>
    <w:rsid w:val="002E7DC2"/>
    <w:rsid w:val="002F0E6F"/>
    <w:rsid w:val="002F1BF4"/>
    <w:rsid w:val="002F1DF9"/>
    <w:rsid w:val="002F3AC0"/>
    <w:rsid w:val="002F5835"/>
    <w:rsid w:val="003030A1"/>
    <w:rsid w:val="003053C8"/>
    <w:rsid w:val="003066E4"/>
    <w:rsid w:val="003124EE"/>
    <w:rsid w:val="003125C4"/>
    <w:rsid w:val="00312DEB"/>
    <w:rsid w:val="00312DF5"/>
    <w:rsid w:val="00314256"/>
    <w:rsid w:val="00314565"/>
    <w:rsid w:val="00315CF0"/>
    <w:rsid w:val="00316390"/>
    <w:rsid w:val="00317C01"/>
    <w:rsid w:val="00320E98"/>
    <w:rsid w:val="003216A1"/>
    <w:rsid w:val="003244BE"/>
    <w:rsid w:val="00325501"/>
    <w:rsid w:val="00333B2E"/>
    <w:rsid w:val="00333CF5"/>
    <w:rsid w:val="003342C9"/>
    <w:rsid w:val="00335627"/>
    <w:rsid w:val="003359E4"/>
    <w:rsid w:val="0033729B"/>
    <w:rsid w:val="00340907"/>
    <w:rsid w:val="0034181E"/>
    <w:rsid w:val="00341C92"/>
    <w:rsid w:val="00342098"/>
    <w:rsid w:val="00343AF7"/>
    <w:rsid w:val="0034484E"/>
    <w:rsid w:val="00347711"/>
    <w:rsid w:val="003514B5"/>
    <w:rsid w:val="00352757"/>
    <w:rsid w:val="00353648"/>
    <w:rsid w:val="0035632B"/>
    <w:rsid w:val="00357306"/>
    <w:rsid w:val="00357D12"/>
    <w:rsid w:val="00360912"/>
    <w:rsid w:val="00361AD1"/>
    <w:rsid w:val="00362727"/>
    <w:rsid w:val="00363909"/>
    <w:rsid w:val="0036439E"/>
    <w:rsid w:val="003648EF"/>
    <w:rsid w:val="00366224"/>
    <w:rsid w:val="00370C6C"/>
    <w:rsid w:val="003723CC"/>
    <w:rsid w:val="00373388"/>
    <w:rsid w:val="0037431E"/>
    <w:rsid w:val="003773F9"/>
    <w:rsid w:val="0038077E"/>
    <w:rsid w:val="00381030"/>
    <w:rsid w:val="00382143"/>
    <w:rsid w:val="00384432"/>
    <w:rsid w:val="003861A3"/>
    <w:rsid w:val="00386A55"/>
    <w:rsid w:val="0039231A"/>
    <w:rsid w:val="0039236C"/>
    <w:rsid w:val="003929B9"/>
    <w:rsid w:val="00393AC5"/>
    <w:rsid w:val="00393C7B"/>
    <w:rsid w:val="00394138"/>
    <w:rsid w:val="003951D4"/>
    <w:rsid w:val="003954A9"/>
    <w:rsid w:val="003A1B1D"/>
    <w:rsid w:val="003A2051"/>
    <w:rsid w:val="003A28CE"/>
    <w:rsid w:val="003A3023"/>
    <w:rsid w:val="003A4D4D"/>
    <w:rsid w:val="003A5BBD"/>
    <w:rsid w:val="003A6C7C"/>
    <w:rsid w:val="003B0C38"/>
    <w:rsid w:val="003B3390"/>
    <w:rsid w:val="003B3958"/>
    <w:rsid w:val="003B6BD4"/>
    <w:rsid w:val="003B773F"/>
    <w:rsid w:val="003C1E4B"/>
    <w:rsid w:val="003C2768"/>
    <w:rsid w:val="003C4E10"/>
    <w:rsid w:val="003C5ADB"/>
    <w:rsid w:val="003C757F"/>
    <w:rsid w:val="003D428F"/>
    <w:rsid w:val="003D475E"/>
    <w:rsid w:val="003D52FC"/>
    <w:rsid w:val="003D5533"/>
    <w:rsid w:val="003E1353"/>
    <w:rsid w:val="003E1545"/>
    <w:rsid w:val="003E3E40"/>
    <w:rsid w:val="003E4200"/>
    <w:rsid w:val="003E4543"/>
    <w:rsid w:val="003E4B88"/>
    <w:rsid w:val="003E4D4B"/>
    <w:rsid w:val="003E6B6C"/>
    <w:rsid w:val="003E7462"/>
    <w:rsid w:val="003F0B7B"/>
    <w:rsid w:val="003F0DB2"/>
    <w:rsid w:val="003F11CC"/>
    <w:rsid w:val="003F313B"/>
    <w:rsid w:val="003F479E"/>
    <w:rsid w:val="003F52E7"/>
    <w:rsid w:val="003F5B67"/>
    <w:rsid w:val="003F679E"/>
    <w:rsid w:val="0040184A"/>
    <w:rsid w:val="00401BE9"/>
    <w:rsid w:val="00401C96"/>
    <w:rsid w:val="00402BFA"/>
    <w:rsid w:val="004031CC"/>
    <w:rsid w:val="004035B4"/>
    <w:rsid w:val="00404073"/>
    <w:rsid w:val="00405125"/>
    <w:rsid w:val="00405B8F"/>
    <w:rsid w:val="0040672A"/>
    <w:rsid w:val="00406A68"/>
    <w:rsid w:val="004070EA"/>
    <w:rsid w:val="00407E25"/>
    <w:rsid w:val="0041165A"/>
    <w:rsid w:val="004134B4"/>
    <w:rsid w:val="004138E4"/>
    <w:rsid w:val="00414987"/>
    <w:rsid w:val="004157DC"/>
    <w:rsid w:val="00416685"/>
    <w:rsid w:val="00417050"/>
    <w:rsid w:val="00417B25"/>
    <w:rsid w:val="00420484"/>
    <w:rsid w:val="00420A1A"/>
    <w:rsid w:val="00424120"/>
    <w:rsid w:val="004252E8"/>
    <w:rsid w:val="00426AA2"/>
    <w:rsid w:val="004304E2"/>
    <w:rsid w:val="00431CEA"/>
    <w:rsid w:val="004322AB"/>
    <w:rsid w:val="00433CEA"/>
    <w:rsid w:val="004347D8"/>
    <w:rsid w:val="00434CFC"/>
    <w:rsid w:val="00443B7F"/>
    <w:rsid w:val="004461E0"/>
    <w:rsid w:val="00447327"/>
    <w:rsid w:val="00451904"/>
    <w:rsid w:val="004538A7"/>
    <w:rsid w:val="004556A9"/>
    <w:rsid w:val="004566D9"/>
    <w:rsid w:val="004570E8"/>
    <w:rsid w:val="00460BE4"/>
    <w:rsid w:val="00461448"/>
    <w:rsid w:val="00461FDA"/>
    <w:rsid w:val="00462C2B"/>
    <w:rsid w:val="00463783"/>
    <w:rsid w:val="00465F89"/>
    <w:rsid w:val="00466A4C"/>
    <w:rsid w:val="004673B0"/>
    <w:rsid w:val="00472A3F"/>
    <w:rsid w:val="00474201"/>
    <w:rsid w:val="00476A62"/>
    <w:rsid w:val="00476EEB"/>
    <w:rsid w:val="0048074C"/>
    <w:rsid w:val="004808A9"/>
    <w:rsid w:val="004808CD"/>
    <w:rsid w:val="00486A42"/>
    <w:rsid w:val="00486EA6"/>
    <w:rsid w:val="0049497E"/>
    <w:rsid w:val="004978C0"/>
    <w:rsid w:val="004A1454"/>
    <w:rsid w:val="004A207F"/>
    <w:rsid w:val="004A20F3"/>
    <w:rsid w:val="004A2334"/>
    <w:rsid w:val="004A49EF"/>
    <w:rsid w:val="004A5F78"/>
    <w:rsid w:val="004B01AA"/>
    <w:rsid w:val="004B0B4A"/>
    <w:rsid w:val="004B1CB4"/>
    <w:rsid w:val="004B2668"/>
    <w:rsid w:val="004B3083"/>
    <w:rsid w:val="004B517D"/>
    <w:rsid w:val="004C3085"/>
    <w:rsid w:val="004C46D6"/>
    <w:rsid w:val="004C4889"/>
    <w:rsid w:val="004C6D01"/>
    <w:rsid w:val="004C6FB5"/>
    <w:rsid w:val="004D05D8"/>
    <w:rsid w:val="004D219A"/>
    <w:rsid w:val="004D24AD"/>
    <w:rsid w:val="004D26DD"/>
    <w:rsid w:val="004D28A9"/>
    <w:rsid w:val="004D342B"/>
    <w:rsid w:val="004D3931"/>
    <w:rsid w:val="004D401E"/>
    <w:rsid w:val="004D4237"/>
    <w:rsid w:val="004D42DE"/>
    <w:rsid w:val="004D70C3"/>
    <w:rsid w:val="004D7640"/>
    <w:rsid w:val="004E0A14"/>
    <w:rsid w:val="004E22C2"/>
    <w:rsid w:val="004E3887"/>
    <w:rsid w:val="004E56B9"/>
    <w:rsid w:val="004E734C"/>
    <w:rsid w:val="004F0A31"/>
    <w:rsid w:val="004F1E99"/>
    <w:rsid w:val="004F257A"/>
    <w:rsid w:val="004F5710"/>
    <w:rsid w:val="004F63B6"/>
    <w:rsid w:val="004F6A62"/>
    <w:rsid w:val="00500AF2"/>
    <w:rsid w:val="0050109F"/>
    <w:rsid w:val="00501840"/>
    <w:rsid w:val="00501933"/>
    <w:rsid w:val="005048ED"/>
    <w:rsid w:val="00510CD7"/>
    <w:rsid w:val="005111A1"/>
    <w:rsid w:val="005112DE"/>
    <w:rsid w:val="00512B92"/>
    <w:rsid w:val="00513C1A"/>
    <w:rsid w:val="00514CEF"/>
    <w:rsid w:val="005150B7"/>
    <w:rsid w:val="0051669B"/>
    <w:rsid w:val="00517C9D"/>
    <w:rsid w:val="0052094D"/>
    <w:rsid w:val="00522C78"/>
    <w:rsid w:val="00522FBE"/>
    <w:rsid w:val="00523BEE"/>
    <w:rsid w:val="0052571E"/>
    <w:rsid w:val="00525BAB"/>
    <w:rsid w:val="00525D5B"/>
    <w:rsid w:val="0053004E"/>
    <w:rsid w:val="00531562"/>
    <w:rsid w:val="005377B1"/>
    <w:rsid w:val="00541E2B"/>
    <w:rsid w:val="005436CC"/>
    <w:rsid w:val="00543CE2"/>
    <w:rsid w:val="00544CC4"/>
    <w:rsid w:val="005461A4"/>
    <w:rsid w:val="00546F58"/>
    <w:rsid w:val="00546F9F"/>
    <w:rsid w:val="00552163"/>
    <w:rsid w:val="00552C3B"/>
    <w:rsid w:val="005533EE"/>
    <w:rsid w:val="005536F8"/>
    <w:rsid w:val="005553A7"/>
    <w:rsid w:val="0055686A"/>
    <w:rsid w:val="00557559"/>
    <w:rsid w:val="00557E3C"/>
    <w:rsid w:val="0056229A"/>
    <w:rsid w:val="005628F4"/>
    <w:rsid w:val="00563EFC"/>
    <w:rsid w:val="005655BF"/>
    <w:rsid w:val="00565C47"/>
    <w:rsid w:val="0057033F"/>
    <w:rsid w:val="00572FB8"/>
    <w:rsid w:val="00573644"/>
    <w:rsid w:val="00575383"/>
    <w:rsid w:val="00577391"/>
    <w:rsid w:val="00580A68"/>
    <w:rsid w:val="00581D35"/>
    <w:rsid w:val="005820A7"/>
    <w:rsid w:val="0058223D"/>
    <w:rsid w:val="005844BA"/>
    <w:rsid w:val="005847F7"/>
    <w:rsid w:val="00585F0D"/>
    <w:rsid w:val="0058621B"/>
    <w:rsid w:val="00586591"/>
    <w:rsid w:val="0058708E"/>
    <w:rsid w:val="00587904"/>
    <w:rsid w:val="00594FFC"/>
    <w:rsid w:val="005972E5"/>
    <w:rsid w:val="005A1C1E"/>
    <w:rsid w:val="005A1CA1"/>
    <w:rsid w:val="005A357A"/>
    <w:rsid w:val="005A3587"/>
    <w:rsid w:val="005A41B9"/>
    <w:rsid w:val="005A586C"/>
    <w:rsid w:val="005B0B29"/>
    <w:rsid w:val="005B0B6C"/>
    <w:rsid w:val="005B1B96"/>
    <w:rsid w:val="005B1E5D"/>
    <w:rsid w:val="005B2D0A"/>
    <w:rsid w:val="005B3E0E"/>
    <w:rsid w:val="005B7473"/>
    <w:rsid w:val="005C4B66"/>
    <w:rsid w:val="005C52BD"/>
    <w:rsid w:val="005C6BAB"/>
    <w:rsid w:val="005C70C6"/>
    <w:rsid w:val="005D0C7A"/>
    <w:rsid w:val="005D0D30"/>
    <w:rsid w:val="005D0FF1"/>
    <w:rsid w:val="005D2E72"/>
    <w:rsid w:val="005D31E7"/>
    <w:rsid w:val="005D32E8"/>
    <w:rsid w:val="005D6F16"/>
    <w:rsid w:val="005D7F54"/>
    <w:rsid w:val="005E36C5"/>
    <w:rsid w:val="005E4663"/>
    <w:rsid w:val="005E6240"/>
    <w:rsid w:val="005E6C86"/>
    <w:rsid w:val="005F0D56"/>
    <w:rsid w:val="005F3815"/>
    <w:rsid w:val="005F3B4D"/>
    <w:rsid w:val="005F7055"/>
    <w:rsid w:val="006025B6"/>
    <w:rsid w:val="00603FC4"/>
    <w:rsid w:val="006046BD"/>
    <w:rsid w:val="00604837"/>
    <w:rsid w:val="0060717E"/>
    <w:rsid w:val="00607E75"/>
    <w:rsid w:val="006107B0"/>
    <w:rsid w:val="00611559"/>
    <w:rsid w:val="006130AE"/>
    <w:rsid w:val="00614148"/>
    <w:rsid w:val="00617A06"/>
    <w:rsid w:val="00620946"/>
    <w:rsid w:val="00622C88"/>
    <w:rsid w:val="00626825"/>
    <w:rsid w:val="00632363"/>
    <w:rsid w:val="006344FD"/>
    <w:rsid w:val="00635484"/>
    <w:rsid w:val="006358A2"/>
    <w:rsid w:val="006370C9"/>
    <w:rsid w:val="00640277"/>
    <w:rsid w:val="0064028D"/>
    <w:rsid w:val="006419FC"/>
    <w:rsid w:val="00642AB8"/>
    <w:rsid w:val="00643C89"/>
    <w:rsid w:val="00644A01"/>
    <w:rsid w:val="006464D9"/>
    <w:rsid w:val="00646BC7"/>
    <w:rsid w:val="00646F43"/>
    <w:rsid w:val="006471C4"/>
    <w:rsid w:val="0064794E"/>
    <w:rsid w:val="00647B62"/>
    <w:rsid w:val="006506D3"/>
    <w:rsid w:val="00650CAE"/>
    <w:rsid w:val="00650FFA"/>
    <w:rsid w:val="00652340"/>
    <w:rsid w:val="006527A5"/>
    <w:rsid w:val="00654C7F"/>
    <w:rsid w:val="00655BF2"/>
    <w:rsid w:val="00655E0F"/>
    <w:rsid w:val="0066115F"/>
    <w:rsid w:val="00661D2E"/>
    <w:rsid w:val="00662AAF"/>
    <w:rsid w:val="00662EFF"/>
    <w:rsid w:val="006642FE"/>
    <w:rsid w:val="00667113"/>
    <w:rsid w:val="006678C8"/>
    <w:rsid w:val="00670FE5"/>
    <w:rsid w:val="00674022"/>
    <w:rsid w:val="00676886"/>
    <w:rsid w:val="006803EF"/>
    <w:rsid w:val="0068240A"/>
    <w:rsid w:val="00684881"/>
    <w:rsid w:val="006852DD"/>
    <w:rsid w:val="0068540E"/>
    <w:rsid w:val="006862A4"/>
    <w:rsid w:val="006868A3"/>
    <w:rsid w:val="00687360"/>
    <w:rsid w:val="00690C33"/>
    <w:rsid w:val="0069166F"/>
    <w:rsid w:val="00691EBC"/>
    <w:rsid w:val="00692534"/>
    <w:rsid w:val="0069363F"/>
    <w:rsid w:val="00694A84"/>
    <w:rsid w:val="00696CCA"/>
    <w:rsid w:val="0069723E"/>
    <w:rsid w:val="006A0602"/>
    <w:rsid w:val="006A213E"/>
    <w:rsid w:val="006A31FB"/>
    <w:rsid w:val="006A4686"/>
    <w:rsid w:val="006A4AF4"/>
    <w:rsid w:val="006A4E72"/>
    <w:rsid w:val="006A6B6A"/>
    <w:rsid w:val="006A7B27"/>
    <w:rsid w:val="006A7C4B"/>
    <w:rsid w:val="006A7E4B"/>
    <w:rsid w:val="006B5547"/>
    <w:rsid w:val="006B5DF9"/>
    <w:rsid w:val="006B614D"/>
    <w:rsid w:val="006B6A55"/>
    <w:rsid w:val="006C2AF5"/>
    <w:rsid w:val="006C72C9"/>
    <w:rsid w:val="006D0129"/>
    <w:rsid w:val="006D4C52"/>
    <w:rsid w:val="006D72B9"/>
    <w:rsid w:val="006D7F0A"/>
    <w:rsid w:val="006E0061"/>
    <w:rsid w:val="006E03E8"/>
    <w:rsid w:val="006E1D38"/>
    <w:rsid w:val="006E24BD"/>
    <w:rsid w:val="006E372B"/>
    <w:rsid w:val="006E3C0E"/>
    <w:rsid w:val="006E3CC4"/>
    <w:rsid w:val="006E5A7B"/>
    <w:rsid w:val="006E657B"/>
    <w:rsid w:val="006E6C0F"/>
    <w:rsid w:val="006F16B2"/>
    <w:rsid w:val="006F17E1"/>
    <w:rsid w:val="006F2E87"/>
    <w:rsid w:val="006F470B"/>
    <w:rsid w:val="006F5BBD"/>
    <w:rsid w:val="006F622C"/>
    <w:rsid w:val="006F69AF"/>
    <w:rsid w:val="006F6DCB"/>
    <w:rsid w:val="00702FBF"/>
    <w:rsid w:val="00704E2D"/>
    <w:rsid w:val="007056E7"/>
    <w:rsid w:val="00705D7B"/>
    <w:rsid w:val="00706ABA"/>
    <w:rsid w:val="0070765D"/>
    <w:rsid w:val="007103E2"/>
    <w:rsid w:val="00712B20"/>
    <w:rsid w:val="007139D2"/>
    <w:rsid w:val="007152F1"/>
    <w:rsid w:val="00715831"/>
    <w:rsid w:val="00716B03"/>
    <w:rsid w:val="007176C2"/>
    <w:rsid w:val="00722EE3"/>
    <w:rsid w:val="00723551"/>
    <w:rsid w:val="00725581"/>
    <w:rsid w:val="0072571D"/>
    <w:rsid w:val="007272E0"/>
    <w:rsid w:val="007301AB"/>
    <w:rsid w:val="00730253"/>
    <w:rsid w:val="00734ECC"/>
    <w:rsid w:val="00735789"/>
    <w:rsid w:val="0073742B"/>
    <w:rsid w:val="007404A0"/>
    <w:rsid w:val="00743F20"/>
    <w:rsid w:val="007448E8"/>
    <w:rsid w:val="00746FED"/>
    <w:rsid w:val="00747219"/>
    <w:rsid w:val="0075147B"/>
    <w:rsid w:val="00751F00"/>
    <w:rsid w:val="007529EB"/>
    <w:rsid w:val="007531A6"/>
    <w:rsid w:val="00755D3A"/>
    <w:rsid w:val="007569EE"/>
    <w:rsid w:val="00760D3E"/>
    <w:rsid w:val="00761176"/>
    <w:rsid w:val="00761DB8"/>
    <w:rsid w:val="0076422F"/>
    <w:rsid w:val="007648BB"/>
    <w:rsid w:val="0076502A"/>
    <w:rsid w:val="0076649B"/>
    <w:rsid w:val="007705F3"/>
    <w:rsid w:val="00776545"/>
    <w:rsid w:val="0078126D"/>
    <w:rsid w:val="007854B0"/>
    <w:rsid w:val="0079478E"/>
    <w:rsid w:val="00796C60"/>
    <w:rsid w:val="00797977"/>
    <w:rsid w:val="0079798F"/>
    <w:rsid w:val="007A100E"/>
    <w:rsid w:val="007A30F5"/>
    <w:rsid w:val="007A37B4"/>
    <w:rsid w:val="007A6C1D"/>
    <w:rsid w:val="007A7FBB"/>
    <w:rsid w:val="007B23A0"/>
    <w:rsid w:val="007B62AA"/>
    <w:rsid w:val="007B6553"/>
    <w:rsid w:val="007C1052"/>
    <w:rsid w:val="007C10A6"/>
    <w:rsid w:val="007C302A"/>
    <w:rsid w:val="007C3526"/>
    <w:rsid w:val="007C3FA2"/>
    <w:rsid w:val="007C5059"/>
    <w:rsid w:val="007C52CE"/>
    <w:rsid w:val="007C6787"/>
    <w:rsid w:val="007C6E55"/>
    <w:rsid w:val="007D16DD"/>
    <w:rsid w:val="007D5665"/>
    <w:rsid w:val="007E04E1"/>
    <w:rsid w:val="007E0A45"/>
    <w:rsid w:val="007E1966"/>
    <w:rsid w:val="007E39FA"/>
    <w:rsid w:val="007E4C5C"/>
    <w:rsid w:val="007E5B6A"/>
    <w:rsid w:val="007E63CB"/>
    <w:rsid w:val="007E739B"/>
    <w:rsid w:val="007E7E1B"/>
    <w:rsid w:val="007F0062"/>
    <w:rsid w:val="007F021A"/>
    <w:rsid w:val="007F06AA"/>
    <w:rsid w:val="007F0A5C"/>
    <w:rsid w:val="007F1AA8"/>
    <w:rsid w:val="007F21A5"/>
    <w:rsid w:val="007F4058"/>
    <w:rsid w:val="00801F79"/>
    <w:rsid w:val="00804CE8"/>
    <w:rsid w:val="00806A52"/>
    <w:rsid w:val="00807C8E"/>
    <w:rsid w:val="00813885"/>
    <w:rsid w:val="00814F1D"/>
    <w:rsid w:val="00815E93"/>
    <w:rsid w:val="008167CF"/>
    <w:rsid w:val="0081759F"/>
    <w:rsid w:val="00821BD1"/>
    <w:rsid w:val="00823D01"/>
    <w:rsid w:val="00825A19"/>
    <w:rsid w:val="00826D46"/>
    <w:rsid w:val="00830938"/>
    <w:rsid w:val="00830F13"/>
    <w:rsid w:val="008316F1"/>
    <w:rsid w:val="00831D33"/>
    <w:rsid w:val="008358DF"/>
    <w:rsid w:val="0083774E"/>
    <w:rsid w:val="0084164E"/>
    <w:rsid w:val="00843C91"/>
    <w:rsid w:val="00844153"/>
    <w:rsid w:val="008464C9"/>
    <w:rsid w:val="0085016A"/>
    <w:rsid w:val="0085088A"/>
    <w:rsid w:val="0085096B"/>
    <w:rsid w:val="008516BA"/>
    <w:rsid w:val="00852C9C"/>
    <w:rsid w:val="00852D40"/>
    <w:rsid w:val="00853C41"/>
    <w:rsid w:val="00860069"/>
    <w:rsid w:val="00861427"/>
    <w:rsid w:val="00861AA8"/>
    <w:rsid w:val="008640F2"/>
    <w:rsid w:val="0086431D"/>
    <w:rsid w:val="00864CCB"/>
    <w:rsid w:val="00864D30"/>
    <w:rsid w:val="00865689"/>
    <w:rsid w:val="0087025F"/>
    <w:rsid w:val="00874905"/>
    <w:rsid w:val="00880642"/>
    <w:rsid w:val="00881564"/>
    <w:rsid w:val="00883949"/>
    <w:rsid w:val="00884A05"/>
    <w:rsid w:val="00884BC7"/>
    <w:rsid w:val="008862F4"/>
    <w:rsid w:val="00890775"/>
    <w:rsid w:val="00890F2A"/>
    <w:rsid w:val="008925AF"/>
    <w:rsid w:val="008946D4"/>
    <w:rsid w:val="008948A5"/>
    <w:rsid w:val="00895BAE"/>
    <w:rsid w:val="00896102"/>
    <w:rsid w:val="008A0D21"/>
    <w:rsid w:val="008A128C"/>
    <w:rsid w:val="008A1DEE"/>
    <w:rsid w:val="008A1EA6"/>
    <w:rsid w:val="008A3275"/>
    <w:rsid w:val="008A45D4"/>
    <w:rsid w:val="008A4BBE"/>
    <w:rsid w:val="008A70F1"/>
    <w:rsid w:val="008B13DA"/>
    <w:rsid w:val="008B297B"/>
    <w:rsid w:val="008B4294"/>
    <w:rsid w:val="008B4721"/>
    <w:rsid w:val="008B6579"/>
    <w:rsid w:val="008B693E"/>
    <w:rsid w:val="008B7469"/>
    <w:rsid w:val="008B7626"/>
    <w:rsid w:val="008C0270"/>
    <w:rsid w:val="008C02D5"/>
    <w:rsid w:val="008C0709"/>
    <w:rsid w:val="008C1692"/>
    <w:rsid w:val="008C41A2"/>
    <w:rsid w:val="008C4A0B"/>
    <w:rsid w:val="008C4ABF"/>
    <w:rsid w:val="008C6108"/>
    <w:rsid w:val="008C7364"/>
    <w:rsid w:val="008D13EC"/>
    <w:rsid w:val="008D1EFD"/>
    <w:rsid w:val="008D2E64"/>
    <w:rsid w:val="008D326A"/>
    <w:rsid w:val="008D45C7"/>
    <w:rsid w:val="008D604D"/>
    <w:rsid w:val="008E079A"/>
    <w:rsid w:val="008E299E"/>
    <w:rsid w:val="008E3D25"/>
    <w:rsid w:val="008E5E8A"/>
    <w:rsid w:val="008E6C86"/>
    <w:rsid w:val="008E7D4D"/>
    <w:rsid w:val="008F0F83"/>
    <w:rsid w:val="008F32AD"/>
    <w:rsid w:val="008F4323"/>
    <w:rsid w:val="008F438E"/>
    <w:rsid w:val="008F64FB"/>
    <w:rsid w:val="009038D4"/>
    <w:rsid w:val="0090491B"/>
    <w:rsid w:val="009075CB"/>
    <w:rsid w:val="009075F1"/>
    <w:rsid w:val="00910466"/>
    <w:rsid w:val="009108C7"/>
    <w:rsid w:val="009108EE"/>
    <w:rsid w:val="0091753A"/>
    <w:rsid w:val="009237FD"/>
    <w:rsid w:val="009256BA"/>
    <w:rsid w:val="00926481"/>
    <w:rsid w:val="009278E6"/>
    <w:rsid w:val="009303CA"/>
    <w:rsid w:val="00932473"/>
    <w:rsid w:val="00933343"/>
    <w:rsid w:val="0093645B"/>
    <w:rsid w:val="00937E08"/>
    <w:rsid w:val="00940667"/>
    <w:rsid w:val="00940B86"/>
    <w:rsid w:val="00944576"/>
    <w:rsid w:val="00945A86"/>
    <w:rsid w:val="00946C33"/>
    <w:rsid w:val="0094770B"/>
    <w:rsid w:val="00947730"/>
    <w:rsid w:val="009477E7"/>
    <w:rsid w:val="00950722"/>
    <w:rsid w:val="00950F07"/>
    <w:rsid w:val="009511DA"/>
    <w:rsid w:val="00953981"/>
    <w:rsid w:val="009539EB"/>
    <w:rsid w:val="00953A8C"/>
    <w:rsid w:val="00954E00"/>
    <w:rsid w:val="009550B3"/>
    <w:rsid w:val="00957710"/>
    <w:rsid w:val="00960180"/>
    <w:rsid w:val="00960426"/>
    <w:rsid w:val="009625EC"/>
    <w:rsid w:val="00964785"/>
    <w:rsid w:val="00966673"/>
    <w:rsid w:val="0096731B"/>
    <w:rsid w:val="00971287"/>
    <w:rsid w:val="00971535"/>
    <w:rsid w:val="00972080"/>
    <w:rsid w:val="00973183"/>
    <w:rsid w:val="00973281"/>
    <w:rsid w:val="009738E9"/>
    <w:rsid w:val="00974B66"/>
    <w:rsid w:val="00975225"/>
    <w:rsid w:val="00976025"/>
    <w:rsid w:val="00977DEE"/>
    <w:rsid w:val="00977EC0"/>
    <w:rsid w:val="00980048"/>
    <w:rsid w:val="0098075E"/>
    <w:rsid w:val="009821F0"/>
    <w:rsid w:val="009853DC"/>
    <w:rsid w:val="009853DE"/>
    <w:rsid w:val="0098652B"/>
    <w:rsid w:val="00986CB9"/>
    <w:rsid w:val="00987A13"/>
    <w:rsid w:val="00990502"/>
    <w:rsid w:val="009908A2"/>
    <w:rsid w:val="00991A6C"/>
    <w:rsid w:val="009935D8"/>
    <w:rsid w:val="009952CA"/>
    <w:rsid w:val="009976B6"/>
    <w:rsid w:val="00997940"/>
    <w:rsid w:val="009A183A"/>
    <w:rsid w:val="009A5A8C"/>
    <w:rsid w:val="009A5C76"/>
    <w:rsid w:val="009B09A6"/>
    <w:rsid w:val="009B0B63"/>
    <w:rsid w:val="009B1E96"/>
    <w:rsid w:val="009B2095"/>
    <w:rsid w:val="009B34C6"/>
    <w:rsid w:val="009B3BBE"/>
    <w:rsid w:val="009B3C0B"/>
    <w:rsid w:val="009B5081"/>
    <w:rsid w:val="009B5B9B"/>
    <w:rsid w:val="009B662F"/>
    <w:rsid w:val="009B667B"/>
    <w:rsid w:val="009B6B7C"/>
    <w:rsid w:val="009B7D94"/>
    <w:rsid w:val="009C14E4"/>
    <w:rsid w:val="009C3A28"/>
    <w:rsid w:val="009C4763"/>
    <w:rsid w:val="009C607E"/>
    <w:rsid w:val="009C6EC5"/>
    <w:rsid w:val="009C6EC9"/>
    <w:rsid w:val="009D0249"/>
    <w:rsid w:val="009D075B"/>
    <w:rsid w:val="009D09ED"/>
    <w:rsid w:val="009D18E1"/>
    <w:rsid w:val="009D1AD8"/>
    <w:rsid w:val="009D3574"/>
    <w:rsid w:val="009D44CF"/>
    <w:rsid w:val="009D5DA7"/>
    <w:rsid w:val="009E3D32"/>
    <w:rsid w:val="009E54DD"/>
    <w:rsid w:val="009E7955"/>
    <w:rsid w:val="009F1CD1"/>
    <w:rsid w:val="009F428F"/>
    <w:rsid w:val="009F5413"/>
    <w:rsid w:val="009F5A1F"/>
    <w:rsid w:val="009F5FF9"/>
    <w:rsid w:val="00A00CAF"/>
    <w:rsid w:val="00A01A03"/>
    <w:rsid w:val="00A031AC"/>
    <w:rsid w:val="00A04366"/>
    <w:rsid w:val="00A045E2"/>
    <w:rsid w:val="00A05D1D"/>
    <w:rsid w:val="00A061F7"/>
    <w:rsid w:val="00A124A0"/>
    <w:rsid w:val="00A14CE4"/>
    <w:rsid w:val="00A152D5"/>
    <w:rsid w:val="00A17152"/>
    <w:rsid w:val="00A2079E"/>
    <w:rsid w:val="00A20BA3"/>
    <w:rsid w:val="00A20CD9"/>
    <w:rsid w:val="00A20CF7"/>
    <w:rsid w:val="00A23292"/>
    <w:rsid w:val="00A23706"/>
    <w:rsid w:val="00A23D2B"/>
    <w:rsid w:val="00A2552A"/>
    <w:rsid w:val="00A319C9"/>
    <w:rsid w:val="00A31AC1"/>
    <w:rsid w:val="00A32B00"/>
    <w:rsid w:val="00A33AE9"/>
    <w:rsid w:val="00A35577"/>
    <w:rsid w:val="00A404BC"/>
    <w:rsid w:val="00A4186D"/>
    <w:rsid w:val="00A41BD4"/>
    <w:rsid w:val="00A446BE"/>
    <w:rsid w:val="00A453E4"/>
    <w:rsid w:val="00A539E8"/>
    <w:rsid w:val="00A53E3A"/>
    <w:rsid w:val="00A54B94"/>
    <w:rsid w:val="00A553C4"/>
    <w:rsid w:val="00A569CE"/>
    <w:rsid w:val="00A576DB"/>
    <w:rsid w:val="00A57748"/>
    <w:rsid w:val="00A578EE"/>
    <w:rsid w:val="00A601EE"/>
    <w:rsid w:val="00A63FE3"/>
    <w:rsid w:val="00A645B9"/>
    <w:rsid w:val="00A64C1B"/>
    <w:rsid w:val="00A67A2B"/>
    <w:rsid w:val="00A70E09"/>
    <w:rsid w:val="00A7194C"/>
    <w:rsid w:val="00A720DB"/>
    <w:rsid w:val="00A72667"/>
    <w:rsid w:val="00A72FF4"/>
    <w:rsid w:val="00A73515"/>
    <w:rsid w:val="00A7362B"/>
    <w:rsid w:val="00A806F7"/>
    <w:rsid w:val="00A813C3"/>
    <w:rsid w:val="00A8325E"/>
    <w:rsid w:val="00A83E4E"/>
    <w:rsid w:val="00A83FAC"/>
    <w:rsid w:val="00A84DB2"/>
    <w:rsid w:val="00A868D2"/>
    <w:rsid w:val="00A877B8"/>
    <w:rsid w:val="00A910E1"/>
    <w:rsid w:val="00A91A7E"/>
    <w:rsid w:val="00A95A14"/>
    <w:rsid w:val="00A97103"/>
    <w:rsid w:val="00A97636"/>
    <w:rsid w:val="00AA291A"/>
    <w:rsid w:val="00AA3F9C"/>
    <w:rsid w:val="00AA5788"/>
    <w:rsid w:val="00AA5F13"/>
    <w:rsid w:val="00AB0271"/>
    <w:rsid w:val="00AB4314"/>
    <w:rsid w:val="00AB4F9A"/>
    <w:rsid w:val="00AB574F"/>
    <w:rsid w:val="00AB76CC"/>
    <w:rsid w:val="00AB78C4"/>
    <w:rsid w:val="00AC40E5"/>
    <w:rsid w:val="00AC74CB"/>
    <w:rsid w:val="00AD10AF"/>
    <w:rsid w:val="00AD1C23"/>
    <w:rsid w:val="00AD1C7D"/>
    <w:rsid w:val="00AD3085"/>
    <w:rsid w:val="00AD4A0A"/>
    <w:rsid w:val="00AD617C"/>
    <w:rsid w:val="00AD6D7A"/>
    <w:rsid w:val="00AD782A"/>
    <w:rsid w:val="00AD7BC9"/>
    <w:rsid w:val="00AD7E41"/>
    <w:rsid w:val="00AE28E4"/>
    <w:rsid w:val="00AE3AA8"/>
    <w:rsid w:val="00AE4DA6"/>
    <w:rsid w:val="00AE525A"/>
    <w:rsid w:val="00AE5C53"/>
    <w:rsid w:val="00AE64F6"/>
    <w:rsid w:val="00AE74CB"/>
    <w:rsid w:val="00AE7693"/>
    <w:rsid w:val="00AF0531"/>
    <w:rsid w:val="00AF07A1"/>
    <w:rsid w:val="00AF3C4F"/>
    <w:rsid w:val="00AF63A8"/>
    <w:rsid w:val="00AF7246"/>
    <w:rsid w:val="00B004CB"/>
    <w:rsid w:val="00B01317"/>
    <w:rsid w:val="00B01BB0"/>
    <w:rsid w:val="00B021AB"/>
    <w:rsid w:val="00B02514"/>
    <w:rsid w:val="00B02FB9"/>
    <w:rsid w:val="00B055B6"/>
    <w:rsid w:val="00B06363"/>
    <w:rsid w:val="00B06607"/>
    <w:rsid w:val="00B07641"/>
    <w:rsid w:val="00B07E44"/>
    <w:rsid w:val="00B1039E"/>
    <w:rsid w:val="00B12905"/>
    <w:rsid w:val="00B13A5E"/>
    <w:rsid w:val="00B13C69"/>
    <w:rsid w:val="00B148BE"/>
    <w:rsid w:val="00B2031F"/>
    <w:rsid w:val="00B22017"/>
    <w:rsid w:val="00B24809"/>
    <w:rsid w:val="00B24C05"/>
    <w:rsid w:val="00B24C23"/>
    <w:rsid w:val="00B251DD"/>
    <w:rsid w:val="00B26B8F"/>
    <w:rsid w:val="00B27164"/>
    <w:rsid w:val="00B30F8A"/>
    <w:rsid w:val="00B32C6B"/>
    <w:rsid w:val="00B33284"/>
    <w:rsid w:val="00B33C56"/>
    <w:rsid w:val="00B344FA"/>
    <w:rsid w:val="00B3471C"/>
    <w:rsid w:val="00B402EE"/>
    <w:rsid w:val="00B41AF0"/>
    <w:rsid w:val="00B437F9"/>
    <w:rsid w:val="00B470A5"/>
    <w:rsid w:val="00B4719E"/>
    <w:rsid w:val="00B473B6"/>
    <w:rsid w:val="00B50524"/>
    <w:rsid w:val="00B54EDE"/>
    <w:rsid w:val="00B57680"/>
    <w:rsid w:val="00B656E9"/>
    <w:rsid w:val="00B66C7A"/>
    <w:rsid w:val="00B67434"/>
    <w:rsid w:val="00B6775C"/>
    <w:rsid w:val="00B70071"/>
    <w:rsid w:val="00B75C2E"/>
    <w:rsid w:val="00B75F5B"/>
    <w:rsid w:val="00B76DA8"/>
    <w:rsid w:val="00B820E8"/>
    <w:rsid w:val="00B8270B"/>
    <w:rsid w:val="00B82A11"/>
    <w:rsid w:val="00B82D5A"/>
    <w:rsid w:val="00B847DB"/>
    <w:rsid w:val="00B84C7A"/>
    <w:rsid w:val="00B859C6"/>
    <w:rsid w:val="00B86541"/>
    <w:rsid w:val="00B86841"/>
    <w:rsid w:val="00B87B96"/>
    <w:rsid w:val="00B87BE7"/>
    <w:rsid w:val="00B91631"/>
    <w:rsid w:val="00B91B22"/>
    <w:rsid w:val="00B93C00"/>
    <w:rsid w:val="00B94FE3"/>
    <w:rsid w:val="00B960AB"/>
    <w:rsid w:val="00B961F5"/>
    <w:rsid w:val="00B96310"/>
    <w:rsid w:val="00B97F67"/>
    <w:rsid w:val="00B97FD7"/>
    <w:rsid w:val="00BA4DAD"/>
    <w:rsid w:val="00BA58CF"/>
    <w:rsid w:val="00BA6BEB"/>
    <w:rsid w:val="00BA7228"/>
    <w:rsid w:val="00BA7B63"/>
    <w:rsid w:val="00BA7E59"/>
    <w:rsid w:val="00BB1C25"/>
    <w:rsid w:val="00BB28D4"/>
    <w:rsid w:val="00BB6DE1"/>
    <w:rsid w:val="00BC3328"/>
    <w:rsid w:val="00BC4475"/>
    <w:rsid w:val="00BC44E0"/>
    <w:rsid w:val="00BC630E"/>
    <w:rsid w:val="00BC6854"/>
    <w:rsid w:val="00BD3641"/>
    <w:rsid w:val="00BD424D"/>
    <w:rsid w:val="00BD53B5"/>
    <w:rsid w:val="00BD5646"/>
    <w:rsid w:val="00BD7888"/>
    <w:rsid w:val="00BD7C23"/>
    <w:rsid w:val="00BE0E03"/>
    <w:rsid w:val="00BE0EFA"/>
    <w:rsid w:val="00BE1D9C"/>
    <w:rsid w:val="00BE3088"/>
    <w:rsid w:val="00BE3812"/>
    <w:rsid w:val="00BE3EF9"/>
    <w:rsid w:val="00BE66E0"/>
    <w:rsid w:val="00BF0DD1"/>
    <w:rsid w:val="00BF123A"/>
    <w:rsid w:val="00BF133C"/>
    <w:rsid w:val="00BF1800"/>
    <w:rsid w:val="00BF1F0A"/>
    <w:rsid w:val="00BF293D"/>
    <w:rsid w:val="00BF3E55"/>
    <w:rsid w:val="00BF4165"/>
    <w:rsid w:val="00BF4535"/>
    <w:rsid w:val="00BF4C76"/>
    <w:rsid w:val="00BF4C88"/>
    <w:rsid w:val="00BF63C7"/>
    <w:rsid w:val="00BF6F20"/>
    <w:rsid w:val="00C01013"/>
    <w:rsid w:val="00C01BB4"/>
    <w:rsid w:val="00C036B8"/>
    <w:rsid w:val="00C03720"/>
    <w:rsid w:val="00C03C0B"/>
    <w:rsid w:val="00C04AFF"/>
    <w:rsid w:val="00C05A3D"/>
    <w:rsid w:val="00C05E5B"/>
    <w:rsid w:val="00C07B47"/>
    <w:rsid w:val="00C07B97"/>
    <w:rsid w:val="00C10CF7"/>
    <w:rsid w:val="00C13C12"/>
    <w:rsid w:val="00C16FF3"/>
    <w:rsid w:val="00C17B60"/>
    <w:rsid w:val="00C20417"/>
    <w:rsid w:val="00C21248"/>
    <w:rsid w:val="00C22243"/>
    <w:rsid w:val="00C22E99"/>
    <w:rsid w:val="00C23457"/>
    <w:rsid w:val="00C23884"/>
    <w:rsid w:val="00C239A2"/>
    <w:rsid w:val="00C27787"/>
    <w:rsid w:val="00C31DE4"/>
    <w:rsid w:val="00C33996"/>
    <w:rsid w:val="00C33D92"/>
    <w:rsid w:val="00C340E8"/>
    <w:rsid w:val="00C34593"/>
    <w:rsid w:val="00C34DA3"/>
    <w:rsid w:val="00C35069"/>
    <w:rsid w:val="00C36819"/>
    <w:rsid w:val="00C377C2"/>
    <w:rsid w:val="00C40E6A"/>
    <w:rsid w:val="00C4131C"/>
    <w:rsid w:val="00C41A9D"/>
    <w:rsid w:val="00C42D3D"/>
    <w:rsid w:val="00C436A4"/>
    <w:rsid w:val="00C43756"/>
    <w:rsid w:val="00C44B59"/>
    <w:rsid w:val="00C45A38"/>
    <w:rsid w:val="00C45EC7"/>
    <w:rsid w:val="00C4637B"/>
    <w:rsid w:val="00C46979"/>
    <w:rsid w:val="00C509B7"/>
    <w:rsid w:val="00C54259"/>
    <w:rsid w:val="00C54B69"/>
    <w:rsid w:val="00C557EE"/>
    <w:rsid w:val="00C55975"/>
    <w:rsid w:val="00C55C93"/>
    <w:rsid w:val="00C56013"/>
    <w:rsid w:val="00C56383"/>
    <w:rsid w:val="00C566FE"/>
    <w:rsid w:val="00C60CBA"/>
    <w:rsid w:val="00C61004"/>
    <w:rsid w:val="00C7075C"/>
    <w:rsid w:val="00C713BE"/>
    <w:rsid w:val="00C73E61"/>
    <w:rsid w:val="00C76422"/>
    <w:rsid w:val="00C77C01"/>
    <w:rsid w:val="00C80049"/>
    <w:rsid w:val="00C8164B"/>
    <w:rsid w:val="00C82465"/>
    <w:rsid w:val="00C82CBF"/>
    <w:rsid w:val="00C83870"/>
    <w:rsid w:val="00C84F4E"/>
    <w:rsid w:val="00C852B0"/>
    <w:rsid w:val="00C8688B"/>
    <w:rsid w:val="00C87861"/>
    <w:rsid w:val="00C87A69"/>
    <w:rsid w:val="00C87CBC"/>
    <w:rsid w:val="00C87D1C"/>
    <w:rsid w:val="00C902B5"/>
    <w:rsid w:val="00C90A31"/>
    <w:rsid w:val="00C91307"/>
    <w:rsid w:val="00C92571"/>
    <w:rsid w:val="00CA1689"/>
    <w:rsid w:val="00CA16DE"/>
    <w:rsid w:val="00CA37AD"/>
    <w:rsid w:val="00CA4794"/>
    <w:rsid w:val="00CA4865"/>
    <w:rsid w:val="00CA743A"/>
    <w:rsid w:val="00CA7446"/>
    <w:rsid w:val="00CA7C2A"/>
    <w:rsid w:val="00CB16F5"/>
    <w:rsid w:val="00CB20DD"/>
    <w:rsid w:val="00CB36F1"/>
    <w:rsid w:val="00CB4361"/>
    <w:rsid w:val="00CB5F14"/>
    <w:rsid w:val="00CB6A00"/>
    <w:rsid w:val="00CB72B7"/>
    <w:rsid w:val="00CC4A4A"/>
    <w:rsid w:val="00CC5E87"/>
    <w:rsid w:val="00CC5F44"/>
    <w:rsid w:val="00CC75F8"/>
    <w:rsid w:val="00CC7E23"/>
    <w:rsid w:val="00CC7F26"/>
    <w:rsid w:val="00CD0582"/>
    <w:rsid w:val="00CD0E67"/>
    <w:rsid w:val="00CD208D"/>
    <w:rsid w:val="00CD28DE"/>
    <w:rsid w:val="00CD394F"/>
    <w:rsid w:val="00CD6289"/>
    <w:rsid w:val="00CD6AA6"/>
    <w:rsid w:val="00CE44EF"/>
    <w:rsid w:val="00CE4FB6"/>
    <w:rsid w:val="00CE5B2D"/>
    <w:rsid w:val="00CE7EBF"/>
    <w:rsid w:val="00CF032E"/>
    <w:rsid w:val="00CF0568"/>
    <w:rsid w:val="00CF0EAC"/>
    <w:rsid w:val="00CF2A2E"/>
    <w:rsid w:val="00CF47D2"/>
    <w:rsid w:val="00CF49B1"/>
    <w:rsid w:val="00CF4A57"/>
    <w:rsid w:val="00CF5165"/>
    <w:rsid w:val="00CF575F"/>
    <w:rsid w:val="00CF6E90"/>
    <w:rsid w:val="00CF7CF5"/>
    <w:rsid w:val="00D00068"/>
    <w:rsid w:val="00D01494"/>
    <w:rsid w:val="00D0336A"/>
    <w:rsid w:val="00D03ABC"/>
    <w:rsid w:val="00D0438A"/>
    <w:rsid w:val="00D043E2"/>
    <w:rsid w:val="00D11360"/>
    <w:rsid w:val="00D12774"/>
    <w:rsid w:val="00D15032"/>
    <w:rsid w:val="00D153B4"/>
    <w:rsid w:val="00D158D9"/>
    <w:rsid w:val="00D16720"/>
    <w:rsid w:val="00D174FD"/>
    <w:rsid w:val="00D20E0C"/>
    <w:rsid w:val="00D231EB"/>
    <w:rsid w:val="00D25E85"/>
    <w:rsid w:val="00D26F97"/>
    <w:rsid w:val="00D27324"/>
    <w:rsid w:val="00D27B57"/>
    <w:rsid w:val="00D32F28"/>
    <w:rsid w:val="00D33B97"/>
    <w:rsid w:val="00D3688E"/>
    <w:rsid w:val="00D3725C"/>
    <w:rsid w:val="00D377C3"/>
    <w:rsid w:val="00D418C7"/>
    <w:rsid w:val="00D446CE"/>
    <w:rsid w:val="00D45C82"/>
    <w:rsid w:val="00D465D0"/>
    <w:rsid w:val="00D46624"/>
    <w:rsid w:val="00D47671"/>
    <w:rsid w:val="00D5161C"/>
    <w:rsid w:val="00D52446"/>
    <w:rsid w:val="00D53D79"/>
    <w:rsid w:val="00D54AFF"/>
    <w:rsid w:val="00D55561"/>
    <w:rsid w:val="00D55F01"/>
    <w:rsid w:val="00D5755F"/>
    <w:rsid w:val="00D6025A"/>
    <w:rsid w:val="00D61AE1"/>
    <w:rsid w:val="00D61ECB"/>
    <w:rsid w:val="00D61F00"/>
    <w:rsid w:val="00D627A7"/>
    <w:rsid w:val="00D64FC9"/>
    <w:rsid w:val="00D70915"/>
    <w:rsid w:val="00D71660"/>
    <w:rsid w:val="00D72D54"/>
    <w:rsid w:val="00D74735"/>
    <w:rsid w:val="00D74E13"/>
    <w:rsid w:val="00D76A82"/>
    <w:rsid w:val="00D80142"/>
    <w:rsid w:val="00D82112"/>
    <w:rsid w:val="00D8295B"/>
    <w:rsid w:val="00D82AFC"/>
    <w:rsid w:val="00D834BE"/>
    <w:rsid w:val="00D8397A"/>
    <w:rsid w:val="00D85450"/>
    <w:rsid w:val="00D86197"/>
    <w:rsid w:val="00D908BF"/>
    <w:rsid w:val="00D9127E"/>
    <w:rsid w:val="00D91554"/>
    <w:rsid w:val="00D931E4"/>
    <w:rsid w:val="00D9347C"/>
    <w:rsid w:val="00D94B54"/>
    <w:rsid w:val="00D952BB"/>
    <w:rsid w:val="00D96726"/>
    <w:rsid w:val="00D96F6D"/>
    <w:rsid w:val="00DA17D6"/>
    <w:rsid w:val="00DA27F0"/>
    <w:rsid w:val="00DA33E3"/>
    <w:rsid w:val="00DA3EED"/>
    <w:rsid w:val="00DA4B99"/>
    <w:rsid w:val="00DB0E92"/>
    <w:rsid w:val="00DB12A3"/>
    <w:rsid w:val="00DB3168"/>
    <w:rsid w:val="00DB6748"/>
    <w:rsid w:val="00DB675A"/>
    <w:rsid w:val="00DB69A8"/>
    <w:rsid w:val="00DC23F1"/>
    <w:rsid w:val="00DC2BC9"/>
    <w:rsid w:val="00DC322B"/>
    <w:rsid w:val="00DC32D5"/>
    <w:rsid w:val="00DC6DC3"/>
    <w:rsid w:val="00DC710A"/>
    <w:rsid w:val="00DC7585"/>
    <w:rsid w:val="00DD239E"/>
    <w:rsid w:val="00DD2C36"/>
    <w:rsid w:val="00DD352F"/>
    <w:rsid w:val="00DD4DDA"/>
    <w:rsid w:val="00DD5A62"/>
    <w:rsid w:val="00DD5DDA"/>
    <w:rsid w:val="00DD62D4"/>
    <w:rsid w:val="00DE07AC"/>
    <w:rsid w:val="00DE0CC4"/>
    <w:rsid w:val="00DE2AE9"/>
    <w:rsid w:val="00DE370B"/>
    <w:rsid w:val="00DE3C87"/>
    <w:rsid w:val="00DF33D6"/>
    <w:rsid w:val="00DF5216"/>
    <w:rsid w:val="00DF523E"/>
    <w:rsid w:val="00DF5457"/>
    <w:rsid w:val="00DF6DFF"/>
    <w:rsid w:val="00E01DA2"/>
    <w:rsid w:val="00E03823"/>
    <w:rsid w:val="00E04FC1"/>
    <w:rsid w:val="00E06EA6"/>
    <w:rsid w:val="00E076E8"/>
    <w:rsid w:val="00E07D26"/>
    <w:rsid w:val="00E1126D"/>
    <w:rsid w:val="00E114EE"/>
    <w:rsid w:val="00E11583"/>
    <w:rsid w:val="00E125C9"/>
    <w:rsid w:val="00E1304A"/>
    <w:rsid w:val="00E15198"/>
    <w:rsid w:val="00E162EE"/>
    <w:rsid w:val="00E166AA"/>
    <w:rsid w:val="00E16E6A"/>
    <w:rsid w:val="00E227A9"/>
    <w:rsid w:val="00E2301F"/>
    <w:rsid w:val="00E232C1"/>
    <w:rsid w:val="00E23BF5"/>
    <w:rsid w:val="00E244AF"/>
    <w:rsid w:val="00E244FE"/>
    <w:rsid w:val="00E24B15"/>
    <w:rsid w:val="00E25643"/>
    <w:rsid w:val="00E32726"/>
    <w:rsid w:val="00E35CD5"/>
    <w:rsid w:val="00E41139"/>
    <w:rsid w:val="00E4508C"/>
    <w:rsid w:val="00E46589"/>
    <w:rsid w:val="00E473B9"/>
    <w:rsid w:val="00E50849"/>
    <w:rsid w:val="00E53903"/>
    <w:rsid w:val="00E54DCF"/>
    <w:rsid w:val="00E55136"/>
    <w:rsid w:val="00E60029"/>
    <w:rsid w:val="00E61B3B"/>
    <w:rsid w:val="00E62751"/>
    <w:rsid w:val="00E6495D"/>
    <w:rsid w:val="00E6708A"/>
    <w:rsid w:val="00E67313"/>
    <w:rsid w:val="00E67CFF"/>
    <w:rsid w:val="00E750F8"/>
    <w:rsid w:val="00E81835"/>
    <w:rsid w:val="00E81A62"/>
    <w:rsid w:val="00E81BF2"/>
    <w:rsid w:val="00E82130"/>
    <w:rsid w:val="00E84365"/>
    <w:rsid w:val="00E85656"/>
    <w:rsid w:val="00E864D8"/>
    <w:rsid w:val="00E87B8F"/>
    <w:rsid w:val="00E91423"/>
    <w:rsid w:val="00E91FF5"/>
    <w:rsid w:val="00E94A13"/>
    <w:rsid w:val="00E9558F"/>
    <w:rsid w:val="00E9740E"/>
    <w:rsid w:val="00EA0B16"/>
    <w:rsid w:val="00EA0EBA"/>
    <w:rsid w:val="00EA0F8D"/>
    <w:rsid w:val="00EA233F"/>
    <w:rsid w:val="00EA3048"/>
    <w:rsid w:val="00EA3F92"/>
    <w:rsid w:val="00EA4858"/>
    <w:rsid w:val="00EA58C2"/>
    <w:rsid w:val="00EA69EA"/>
    <w:rsid w:val="00EA6B35"/>
    <w:rsid w:val="00EB2E92"/>
    <w:rsid w:val="00EB4F75"/>
    <w:rsid w:val="00EB66F3"/>
    <w:rsid w:val="00EC1D2C"/>
    <w:rsid w:val="00EC2309"/>
    <w:rsid w:val="00EC3698"/>
    <w:rsid w:val="00EC4677"/>
    <w:rsid w:val="00EC63E8"/>
    <w:rsid w:val="00EC6A2E"/>
    <w:rsid w:val="00EC70F4"/>
    <w:rsid w:val="00EC7458"/>
    <w:rsid w:val="00ED0DD6"/>
    <w:rsid w:val="00ED1099"/>
    <w:rsid w:val="00ED1924"/>
    <w:rsid w:val="00ED3BB6"/>
    <w:rsid w:val="00ED3D97"/>
    <w:rsid w:val="00ED41F0"/>
    <w:rsid w:val="00ED58ED"/>
    <w:rsid w:val="00ED67A2"/>
    <w:rsid w:val="00EE48B1"/>
    <w:rsid w:val="00EE4BC0"/>
    <w:rsid w:val="00EE4BCF"/>
    <w:rsid w:val="00EF081A"/>
    <w:rsid w:val="00EF22B1"/>
    <w:rsid w:val="00EF2895"/>
    <w:rsid w:val="00EF4C48"/>
    <w:rsid w:val="00EF597E"/>
    <w:rsid w:val="00F007A6"/>
    <w:rsid w:val="00F00F14"/>
    <w:rsid w:val="00F00F34"/>
    <w:rsid w:val="00F01380"/>
    <w:rsid w:val="00F013A7"/>
    <w:rsid w:val="00F06CB9"/>
    <w:rsid w:val="00F10495"/>
    <w:rsid w:val="00F11474"/>
    <w:rsid w:val="00F125F9"/>
    <w:rsid w:val="00F136B9"/>
    <w:rsid w:val="00F1376F"/>
    <w:rsid w:val="00F15290"/>
    <w:rsid w:val="00F15380"/>
    <w:rsid w:val="00F15F02"/>
    <w:rsid w:val="00F170B5"/>
    <w:rsid w:val="00F1715B"/>
    <w:rsid w:val="00F227BE"/>
    <w:rsid w:val="00F22F96"/>
    <w:rsid w:val="00F25FDC"/>
    <w:rsid w:val="00F30371"/>
    <w:rsid w:val="00F30C65"/>
    <w:rsid w:val="00F32E9F"/>
    <w:rsid w:val="00F33215"/>
    <w:rsid w:val="00F376B3"/>
    <w:rsid w:val="00F37E96"/>
    <w:rsid w:val="00F40B8E"/>
    <w:rsid w:val="00F4116C"/>
    <w:rsid w:val="00F424C4"/>
    <w:rsid w:val="00F45280"/>
    <w:rsid w:val="00F457B6"/>
    <w:rsid w:val="00F47B4C"/>
    <w:rsid w:val="00F505A7"/>
    <w:rsid w:val="00F52D3B"/>
    <w:rsid w:val="00F542E4"/>
    <w:rsid w:val="00F54A5F"/>
    <w:rsid w:val="00F5535C"/>
    <w:rsid w:val="00F571D8"/>
    <w:rsid w:val="00F57A5B"/>
    <w:rsid w:val="00F57E07"/>
    <w:rsid w:val="00F61363"/>
    <w:rsid w:val="00F617F6"/>
    <w:rsid w:val="00F623A2"/>
    <w:rsid w:val="00F62FFC"/>
    <w:rsid w:val="00F67635"/>
    <w:rsid w:val="00F6798C"/>
    <w:rsid w:val="00F67CC6"/>
    <w:rsid w:val="00F67FDC"/>
    <w:rsid w:val="00F72188"/>
    <w:rsid w:val="00F72224"/>
    <w:rsid w:val="00F726DB"/>
    <w:rsid w:val="00F73143"/>
    <w:rsid w:val="00F7498C"/>
    <w:rsid w:val="00F75BFA"/>
    <w:rsid w:val="00F762DA"/>
    <w:rsid w:val="00F81B18"/>
    <w:rsid w:val="00F83FB4"/>
    <w:rsid w:val="00F84F21"/>
    <w:rsid w:val="00F85F12"/>
    <w:rsid w:val="00F86089"/>
    <w:rsid w:val="00F87E86"/>
    <w:rsid w:val="00F90BEC"/>
    <w:rsid w:val="00F92830"/>
    <w:rsid w:val="00F94D9C"/>
    <w:rsid w:val="00F96A7D"/>
    <w:rsid w:val="00F96B33"/>
    <w:rsid w:val="00F96BB8"/>
    <w:rsid w:val="00FA08D0"/>
    <w:rsid w:val="00FA137D"/>
    <w:rsid w:val="00FA2BAA"/>
    <w:rsid w:val="00FA5A55"/>
    <w:rsid w:val="00FA78F8"/>
    <w:rsid w:val="00FA7A53"/>
    <w:rsid w:val="00FB058F"/>
    <w:rsid w:val="00FB1717"/>
    <w:rsid w:val="00FB2AD5"/>
    <w:rsid w:val="00FB37E6"/>
    <w:rsid w:val="00FB4251"/>
    <w:rsid w:val="00FB4967"/>
    <w:rsid w:val="00FB5999"/>
    <w:rsid w:val="00FB724F"/>
    <w:rsid w:val="00FB7A41"/>
    <w:rsid w:val="00FC04E8"/>
    <w:rsid w:val="00FC1618"/>
    <w:rsid w:val="00FC430F"/>
    <w:rsid w:val="00FC49BF"/>
    <w:rsid w:val="00FC4F43"/>
    <w:rsid w:val="00FC59A7"/>
    <w:rsid w:val="00FC6D45"/>
    <w:rsid w:val="00FD329E"/>
    <w:rsid w:val="00FD38B6"/>
    <w:rsid w:val="00FD3D43"/>
    <w:rsid w:val="00FD3DD2"/>
    <w:rsid w:val="00FD582A"/>
    <w:rsid w:val="00FE0754"/>
    <w:rsid w:val="00FE0991"/>
    <w:rsid w:val="00FE24F7"/>
    <w:rsid w:val="00FE2ED1"/>
    <w:rsid w:val="00FE5636"/>
    <w:rsid w:val="00FF15FF"/>
    <w:rsid w:val="00FF271E"/>
    <w:rsid w:val="00FF44ED"/>
    <w:rsid w:val="00FF4934"/>
    <w:rsid w:val="00FF4DCB"/>
    <w:rsid w:val="00FF6D48"/>
    <w:rsid w:val="00FF7282"/>
    <w:rsid w:val="00FF7802"/>
    <w:rsid w:val="00FF7ED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39E"/>
    <w:pPr>
      <w:spacing w:before="120" w:after="120" w:line="288" w:lineRule="auto"/>
      <w:jc w:val="both"/>
    </w:pPr>
    <w:rPr>
      <w:rFonts w:ascii="Arial" w:hAnsi="Arial"/>
      <w:noProof/>
      <w:sz w:val="20"/>
      <w:lang w:eastAsia="lv-LV"/>
    </w:rPr>
  </w:style>
  <w:style w:type="paragraph" w:styleId="Nadpis1">
    <w:name w:val="heading 1"/>
    <w:basedOn w:val="Normln"/>
    <w:next w:val="Normln"/>
    <w:link w:val="Nadpis1Char"/>
    <w:uiPriority w:val="9"/>
    <w:qFormat/>
    <w:rsid w:val="00643C89"/>
    <w:pPr>
      <w:keepNext/>
      <w:keepLines/>
      <w:numPr>
        <w:numId w:val="2"/>
      </w:numPr>
      <w:spacing w:before="240" w:after="240"/>
      <w:outlineLvl w:val="0"/>
    </w:pPr>
    <w:rPr>
      <w:rFonts w:eastAsia="Times New Roman" w:cs="Arial"/>
      <w:b/>
      <w:bCs/>
      <w:color w:val="000000" w:themeColor="text1"/>
      <w:sz w:val="24"/>
      <w:szCs w:val="28"/>
    </w:rPr>
  </w:style>
  <w:style w:type="paragraph" w:styleId="Nadpis2">
    <w:name w:val="heading 2"/>
    <w:basedOn w:val="Normln"/>
    <w:next w:val="Normln"/>
    <w:link w:val="Nadpis2Char"/>
    <w:uiPriority w:val="9"/>
    <w:unhideWhenUsed/>
    <w:qFormat/>
    <w:rsid w:val="001730AB"/>
    <w:pPr>
      <w:keepNext/>
      <w:keepLines/>
      <w:numPr>
        <w:ilvl w:val="1"/>
        <w:numId w:val="2"/>
      </w:numPr>
      <w:spacing w:before="240"/>
      <w:outlineLvl w:val="1"/>
    </w:pPr>
    <w:rPr>
      <w:rFonts w:eastAsiaTheme="majorEastAsia" w:cs="Arial"/>
      <w:b/>
      <w:bCs/>
      <w:color w:val="000000" w:themeColor="text1"/>
      <w:szCs w:val="24"/>
    </w:rPr>
  </w:style>
  <w:style w:type="paragraph" w:styleId="Nadpis3">
    <w:name w:val="heading 3"/>
    <w:basedOn w:val="Normln"/>
    <w:next w:val="Normln"/>
    <w:link w:val="Nadpis3Char"/>
    <w:uiPriority w:val="9"/>
    <w:unhideWhenUsed/>
    <w:qFormat/>
    <w:rsid w:val="003216A1"/>
    <w:pPr>
      <w:keepNext/>
      <w:numPr>
        <w:ilvl w:val="2"/>
        <w:numId w:val="2"/>
      </w:numPr>
      <w:spacing w:before="240"/>
      <w:outlineLvl w:val="2"/>
    </w:pPr>
    <w:rPr>
      <w:i/>
    </w:rPr>
  </w:style>
  <w:style w:type="paragraph" w:styleId="Nadpis4">
    <w:name w:val="heading 4"/>
    <w:basedOn w:val="Normln"/>
    <w:next w:val="Normln"/>
    <w:link w:val="Nadpis4Char"/>
    <w:uiPriority w:val="9"/>
    <w:unhideWhenUsed/>
    <w:qFormat/>
    <w:rsid w:val="003216A1"/>
    <w:pPr>
      <w:keepNext/>
      <w:keepLines/>
      <w:numPr>
        <w:ilvl w:val="3"/>
        <w:numId w:val="2"/>
      </w:numPr>
      <w:spacing w:before="200" w:after="0"/>
      <w:outlineLvl w:val="3"/>
    </w:pPr>
    <w:rPr>
      <w:rFonts w:eastAsiaTheme="majorEastAsia" w:cstheme="majorBidi"/>
      <w:bCs/>
      <w:iCs/>
      <w:color w:val="000000" w:themeColor="text1"/>
    </w:rPr>
  </w:style>
  <w:style w:type="paragraph" w:styleId="Nadpis5">
    <w:name w:val="heading 5"/>
    <w:basedOn w:val="Normln"/>
    <w:next w:val="Normln"/>
    <w:link w:val="Nadpis5Char"/>
    <w:uiPriority w:val="9"/>
    <w:unhideWhenUsed/>
    <w:qFormat/>
    <w:rsid w:val="006862A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862A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6862A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6862A4"/>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6862A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862A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862A4"/>
  </w:style>
  <w:style w:type="paragraph" w:styleId="Zpat">
    <w:name w:val="footer"/>
    <w:basedOn w:val="Normln"/>
    <w:link w:val="ZpatChar"/>
    <w:uiPriority w:val="99"/>
    <w:unhideWhenUsed/>
    <w:rsid w:val="006862A4"/>
    <w:pPr>
      <w:tabs>
        <w:tab w:val="center" w:pos="4536"/>
        <w:tab w:val="right" w:pos="9072"/>
      </w:tabs>
      <w:spacing w:after="0" w:line="240" w:lineRule="auto"/>
    </w:pPr>
  </w:style>
  <w:style w:type="character" w:customStyle="1" w:styleId="ZpatChar">
    <w:name w:val="Zápatí Char"/>
    <w:basedOn w:val="Standardnpsmoodstavce"/>
    <w:link w:val="Zpat"/>
    <w:uiPriority w:val="99"/>
    <w:rsid w:val="006862A4"/>
  </w:style>
  <w:style w:type="paragraph" w:customStyle="1" w:styleId="Kines">
    <w:name w:val="Kines"/>
    <w:basedOn w:val="Nzev"/>
    <w:rsid w:val="006862A4"/>
  </w:style>
  <w:style w:type="paragraph" w:styleId="Nzev">
    <w:name w:val="Title"/>
    <w:basedOn w:val="Normln"/>
    <w:next w:val="Normln"/>
    <w:link w:val="NzevChar"/>
    <w:uiPriority w:val="10"/>
    <w:qFormat/>
    <w:rsid w:val="004E3887"/>
    <w:pPr>
      <w:spacing w:before="480" w:after="240"/>
    </w:pPr>
    <w:rPr>
      <w:b/>
      <w:smallCaps/>
      <w:color w:val="000000" w:themeColor="text1"/>
      <w:kern w:val="28"/>
      <w:sz w:val="28"/>
      <w:szCs w:val="28"/>
    </w:rPr>
  </w:style>
  <w:style w:type="character" w:customStyle="1" w:styleId="NzevChar">
    <w:name w:val="Název Char"/>
    <w:basedOn w:val="Standardnpsmoodstavce"/>
    <w:link w:val="Nzev"/>
    <w:uiPriority w:val="10"/>
    <w:rsid w:val="004E3887"/>
    <w:rPr>
      <w:rFonts w:ascii="Arial" w:hAnsi="Arial"/>
      <w:b/>
      <w:smallCaps/>
      <w:noProof/>
      <w:color w:val="000000" w:themeColor="text1"/>
      <w:kern w:val="28"/>
      <w:sz w:val="28"/>
      <w:szCs w:val="28"/>
      <w:lang w:eastAsia="lv-LV"/>
    </w:rPr>
  </w:style>
  <w:style w:type="character" w:customStyle="1" w:styleId="Nadpis1Char">
    <w:name w:val="Nadpis 1 Char"/>
    <w:basedOn w:val="Standardnpsmoodstavce"/>
    <w:link w:val="Nadpis1"/>
    <w:uiPriority w:val="9"/>
    <w:rsid w:val="00643C89"/>
    <w:rPr>
      <w:rFonts w:ascii="Arial" w:eastAsia="Times New Roman" w:hAnsi="Arial" w:cs="Arial"/>
      <w:b/>
      <w:bCs/>
      <w:noProof/>
      <w:color w:val="000000" w:themeColor="text1"/>
      <w:sz w:val="24"/>
      <w:szCs w:val="28"/>
      <w:lang w:eastAsia="lv-LV"/>
    </w:rPr>
  </w:style>
  <w:style w:type="character" w:customStyle="1" w:styleId="Nadpis2Char">
    <w:name w:val="Nadpis 2 Char"/>
    <w:basedOn w:val="Standardnpsmoodstavce"/>
    <w:link w:val="Nadpis2"/>
    <w:uiPriority w:val="9"/>
    <w:rsid w:val="001730AB"/>
    <w:rPr>
      <w:rFonts w:ascii="Arial" w:eastAsiaTheme="majorEastAsia" w:hAnsi="Arial" w:cs="Arial"/>
      <w:b/>
      <w:bCs/>
      <w:noProof/>
      <w:color w:val="000000" w:themeColor="text1"/>
      <w:sz w:val="20"/>
      <w:szCs w:val="24"/>
      <w:lang w:eastAsia="lv-LV"/>
    </w:rPr>
  </w:style>
  <w:style w:type="character" w:customStyle="1" w:styleId="Nadpis3Char">
    <w:name w:val="Nadpis 3 Char"/>
    <w:basedOn w:val="Standardnpsmoodstavce"/>
    <w:link w:val="Nadpis3"/>
    <w:uiPriority w:val="9"/>
    <w:rsid w:val="003216A1"/>
    <w:rPr>
      <w:rFonts w:ascii="Arial" w:hAnsi="Arial"/>
      <w:i/>
      <w:noProof/>
      <w:sz w:val="20"/>
      <w:lang w:eastAsia="lv-LV"/>
    </w:rPr>
  </w:style>
  <w:style w:type="character" w:customStyle="1" w:styleId="Nadpis4Char">
    <w:name w:val="Nadpis 4 Char"/>
    <w:basedOn w:val="Standardnpsmoodstavce"/>
    <w:link w:val="Nadpis4"/>
    <w:uiPriority w:val="9"/>
    <w:rsid w:val="003216A1"/>
    <w:rPr>
      <w:rFonts w:ascii="Arial" w:eastAsiaTheme="majorEastAsia" w:hAnsi="Arial" w:cstheme="majorBidi"/>
      <w:bCs/>
      <w:iCs/>
      <w:noProof/>
      <w:color w:val="000000" w:themeColor="text1"/>
      <w:sz w:val="20"/>
      <w:lang w:eastAsia="lv-LV"/>
    </w:rPr>
  </w:style>
  <w:style w:type="character" w:customStyle="1" w:styleId="Nadpis5Char">
    <w:name w:val="Nadpis 5 Char"/>
    <w:basedOn w:val="Standardnpsmoodstavce"/>
    <w:link w:val="Nadpis5"/>
    <w:uiPriority w:val="9"/>
    <w:rsid w:val="006862A4"/>
    <w:rPr>
      <w:rFonts w:asciiTheme="majorHAnsi" w:eastAsiaTheme="majorEastAsia" w:hAnsiTheme="majorHAnsi" w:cstheme="majorBidi"/>
      <w:noProof/>
      <w:color w:val="243F60" w:themeColor="accent1" w:themeShade="7F"/>
      <w:sz w:val="20"/>
      <w:lang w:eastAsia="lv-LV"/>
    </w:rPr>
  </w:style>
  <w:style w:type="character" w:customStyle="1" w:styleId="Nadpis6Char">
    <w:name w:val="Nadpis 6 Char"/>
    <w:basedOn w:val="Standardnpsmoodstavce"/>
    <w:link w:val="Nadpis6"/>
    <w:uiPriority w:val="9"/>
    <w:semiHidden/>
    <w:rsid w:val="006862A4"/>
    <w:rPr>
      <w:rFonts w:asciiTheme="majorHAnsi" w:eastAsiaTheme="majorEastAsia" w:hAnsiTheme="majorHAnsi" w:cstheme="majorBidi"/>
      <w:i/>
      <w:iCs/>
      <w:noProof/>
      <w:color w:val="243F60" w:themeColor="accent1" w:themeShade="7F"/>
      <w:sz w:val="20"/>
      <w:lang w:eastAsia="lv-LV"/>
    </w:rPr>
  </w:style>
  <w:style w:type="character" w:customStyle="1" w:styleId="Nadpis7Char">
    <w:name w:val="Nadpis 7 Char"/>
    <w:basedOn w:val="Standardnpsmoodstavce"/>
    <w:link w:val="Nadpis7"/>
    <w:uiPriority w:val="9"/>
    <w:semiHidden/>
    <w:rsid w:val="006862A4"/>
    <w:rPr>
      <w:rFonts w:asciiTheme="majorHAnsi" w:eastAsiaTheme="majorEastAsia" w:hAnsiTheme="majorHAnsi" w:cstheme="majorBidi"/>
      <w:i/>
      <w:iCs/>
      <w:noProof/>
      <w:color w:val="404040" w:themeColor="text1" w:themeTint="BF"/>
      <w:sz w:val="20"/>
      <w:lang w:eastAsia="lv-LV"/>
    </w:rPr>
  </w:style>
  <w:style w:type="character" w:customStyle="1" w:styleId="Nadpis8Char">
    <w:name w:val="Nadpis 8 Char"/>
    <w:basedOn w:val="Standardnpsmoodstavce"/>
    <w:link w:val="Nadpis8"/>
    <w:uiPriority w:val="9"/>
    <w:semiHidden/>
    <w:rsid w:val="006862A4"/>
    <w:rPr>
      <w:rFonts w:asciiTheme="majorHAnsi" w:eastAsiaTheme="majorEastAsia" w:hAnsiTheme="majorHAnsi" w:cstheme="majorBidi"/>
      <w:noProof/>
      <w:color w:val="404040" w:themeColor="text1" w:themeTint="BF"/>
      <w:sz w:val="20"/>
      <w:szCs w:val="20"/>
      <w:lang w:eastAsia="lv-LV"/>
    </w:rPr>
  </w:style>
  <w:style w:type="character" w:customStyle="1" w:styleId="Nadpis9Char">
    <w:name w:val="Nadpis 9 Char"/>
    <w:basedOn w:val="Standardnpsmoodstavce"/>
    <w:link w:val="Nadpis9"/>
    <w:uiPriority w:val="9"/>
    <w:semiHidden/>
    <w:rsid w:val="006862A4"/>
    <w:rPr>
      <w:rFonts w:asciiTheme="majorHAnsi" w:eastAsiaTheme="majorEastAsia" w:hAnsiTheme="majorHAnsi" w:cstheme="majorBidi"/>
      <w:i/>
      <w:iCs/>
      <w:noProof/>
      <w:color w:val="404040" w:themeColor="text1" w:themeTint="BF"/>
      <w:sz w:val="20"/>
      <w:szCs w:val="20"/>
      <w:lang w:eastAsia="lv-LV"/>
    </w:rPr>
  </w:style>
  <w:style w:type="paragraph" w:styleId="Odstavecseseznamem">
    <w:name w:val="List Paragraph"/>
    <w:basedOn w:val="Normln"/>
    <w:link w:val="OdstavecseseznamemChar"/>
    <w:uiPriority w:val="34"/>
    <w:rsid w:val="006862A4"/>
    <w:pPr>
      <w:ind w:left="720"/>
      <w:contextualSpacing/>
    </w:pPr>
  </w:style>
  <w:style w:type="paragraph" w:customStyle="1" w:styleId="Bulletpoint">
    <w:name w:val="Bullet point"/>
    <w:basedOn w:val="Odstavecseseznamem"/>
    <w:link w:val="BulletpointChar"/>
    <w:qFormat/>
    <w:rsid w:val="0036439E"/>
    <w:pPr>
      <w:numPr>
        <w:numId w:val="1"/>
      </w:numPr>
      <w:spacing w:before="60" w:after="60"/>
      <w:ind w:left="357" w:hanging="357"/>
      <w:contextualSpacing w:val="0"/>
    </w:pPr>
  </w:style>
  <w:style w:type="paragraph" w:customStyle="1" w:styleId="Bullet2">
    <w:name w:val="Bullet 2"/>
    <w:basedOn w:val="Odstavecseseznamem"/>
    <w:link w:val="Bullet2Char"/>
    <w:rsid w:val="00E6495D"/>
    <w:pPr>
      <w:numPr>
        <w:ilvl w:val="1"/>
        <w:numId w:val="1"/>
      </w:numPr>
      <w:ind w:left="850" w:hanging="425"/>
    </w:pPr>
  </w:style>
  <w:style w:type="character" w:customStyle="1" w:styleId="OdstavecseseznamemChar">
    <w:name w:val="Odstavec se seznamem Char"/>
    <w:basedOn w:val="Standardnpsmoodstavce"/>
    <w:link w:val="Odstavecseseznamem"/>
    <w:uiPriority w:val="34"/>
    <w:rsid w:val="00E6495D"/>
    <w:rPr>
      <w:rFonts w:ascii="Arial" w:hAnsi="Arial"/>
      <w:noProof/>
      <w:sz w:val="20"/>
      <w:lang w:eastAsia="lv-LV"/>
    </w:rPr>
  </w:style>
  <w:style w:type="character" w:customStyle="1" w:styleId="BulletpointChar">
    <w:name w:val="Bullet point Char"/>
    <w:basedOn w:val="OdstavecseseznamemChar"/>
    <w:link w:val="Bulletpoint"/>
    <w:rsid w:val="0036439E"/>
    <w:rPr>
      <w:rFonts w:ascii="Arial" w:hAnsi="Arial"/>
      <w:noProof/>
      <w:sz w:val="20"/>
      <w:lang w:eastAsia="lv-LV"/>
    </w:rPr>
  </w:style>
  <w:style w:type="paragraph" w:customStyle="1" w:styleId="Bullet3">
    <w:name w:val="Bullet 3"/>
    <w:basedOn w:val="Odstavecseseznamem"/>
    <w:link w:val="Bullet3Char"/>
    <w:rsid w:val="00E6495D"/>
    <w:pPr>
      <w:numPr>
        <w:ilvl w:val="2"/>
        <w:numId w:val="1"/>
      </w:numPr>
      <w:ind w:left="425" w:firstLine="426"/>
    </w:pPr>
  </w:style>
  <w:style w:type="character" w:customStyle="1" w:styleId="Bullet2Char">
    <w:name w:val="Bullet 2 Char"/>
    <w:basedOn w:val="OdstavecseseznamemChar"/>
    <w:link w:val="Bullet2"/>
    <w:rsid w:val="00E6495D"/>
    <w:rPr>
      <w:rFonts w:ascii="Arial" w:hAnsi="Arial"/>
      <w:noProof/>
      <w:sz w:val="20"/>
      <w:lang w:eastAsia="lv-LV"/>
    </w:rPr>
  </w:style>
  <w:style w:type="paragraph" w:styleId="Prosttext">
    <w:name w:val="Plain Text"/>
    <w:basedOn w:val="Normln"/>
    <w:link w:val="ProsttextChar"/>
    <w:uiPriority w:val="99"/>
    <w:unhideWhenUsed/>
    <w:rsid w:val="005461A4"/>
    <w:pPr>
      <w:spacing w:before="0" w:after="0" w:line="240" w:lineRule="auto"/>
    </w:pPr>
    <w:rPr>
      <w:rFonts w:ascii="Consolas" w:eastAsia="Times New Roman" w:hAnsi="Consolas" w:cs="Times New Roman"/>
      <w:noProof w:val="0"/>
      <w:sz w:val="21"/>
      <w:szCs w:val="21"/>
    </w:rPr>
  </w:style>
  <w:style w:type="character" w:customStyle="1" w:styleId="Bullet3Char">
    <w:name w:val="Bullet 3 Char"/>
    <w:basedOn w:val="OdstavecseseznamemChar"/>
    <w:link w:val="Bullet3"/>
    <w:rsid w:val="00E6495D"/>
    <w:rPr>
      <w:rFonts w:ascii="Arial" w:hAnsi="Arial"/>
      <w:noProof/>
      <w:sz w:val="20"/>
      <w:lang w:eastAsia="lv-LV"/>
    </w:rPr>
  </w:style>
  <w:style w:type="character" w:customStyle="1" w:styleId="ProsttextChar">
    <w:name w:val="Prostý text Char"/>
    <w:basedOn w:val="Standardnpsmoodstavce"/>
    <w:link w:val="Prosttext"/>
    <w:uiPriority w:val="99"/>
    <w:rsid w:val="005461A4"/>
    <w:rPr>
      <w:rFonts w:ascii="Consolas" w:eastAsia="Times New Roman" w:hAnsi="Consolas" w:cs="Times New Roman"/>
      <w:sz w:val="21"/>
      <w:szCs w:val="21"/>
    </w:rPr>
  </w:style>
  <w:style w:type="paragraph" w:styleId="Textpoznpodarou">
    <w:name w:val="footnote text"/>
    <w:basedOn w:val="Normln"/>
    <w:link w:val="TextpoznpodarouChar"/>
    <w:unhideWhenUsed/>
    <w:rsid w:val="004461E0"/>
    <w:pPr>
      <w:spacing w:before="0" w:after="0" w:line="240" w:lineRule="auto"/>
      <w:ind w:left="284"/>
    </w:pPr>
    <w:rPr>
      <w:sz w:val="16"/>
      <w:szCs w:val="20"/>
    </w:rPr>
  </w:style>
  <w:style w:type="character" w:customStyle="1" w:styleId="TextpoznpodarouChar">
    <w:name w:val="Text pozn. pod čarou Char"/>
    <w:basedOn w:val="Standardnpsmoodstavce"/>
    <w:link w:val="Textpoznpodarou"/>
    <w:rsid w:val="004461E0"/>
    <w:rPr>
      <w:rFonts w:ascii="Arial" w:hAnsi="Arial"/>
      <w:noProof/>
      <w:sz w:val="16"/>
      <w:szCs w:val="20"/>
      <w:lang w:eastAsia="lv-LV"/>
    </w:rPr>
  </w:style>
  <w:style w:type="character" w:styleId="Znakapoznpodarou">
    <w:name w:val="footnote reference"/>
    <w:basedOn w:val="Standardnpsmoodstavce"/>
    <w:unhideWhenUsed/>
    <w:rsid w:val="00FE0991"/>
    <w:rPr>
      <w:vertAlign w:val="superscript"/>
    </w:rPr>
  </w:style>
  <w:style w:type="paragraph" w:styleId="Zkladntextodsazen2">
    <w:name w:val="Body Text Indent 2"/>
    <w:basedOn w:val="Normln"/>
    <w:link w:val="Zkladntextodsazen2Char"/>
    <w:rsid w:val="004D24AD"/>
    <w:pPr>
      <w:numPr>
        <w:numId w:val="3"/>
      </w:numPr>
      <w:autoSpaceDE w:val="0"/>
      <w:autoSpaceDN w:val="0"/>
      <w:adjustRightInd w:val="0"/>
      <w:spacing w:line="312" w:lineRule="auto"/>
    </w:pPr>
    <w:rPr>
      <w:rFonts w:eastAsia="Times New Roman" w:cs="Arial"/>
      <w:noProof w:val="0"/>
      <w:szCs w:val="24"/>
      <w:lang w:val="en-GB" w:eastAsia="en-US"/>
    </w:rPr>
  </w:style>
  <w:style w:type="character" w:customStyle="1" w:styleId="Zkladntextodsazen2Char">
    <w:name w:val="Základní text odsazený 2 Char"/>
    <w:basedOn w:val="Standardnpsmoodstavce"/>
    <w:link w:val="Zkladntextodsazen2"/>
    <w:rsid w:val="004D24AD"/>
    <w:rPr>
      <w:rFonts w:ascii="Arial" w:eastAsia="Times New Roman" w:hAnsi="Arial" w:cs="Arial"/>
      <w:sz w:val="20"/>
      <w:szCs w:val="24"/>
      <w:lang w:val="en-GB"/>
    </w:rPr>
  </w:style>
  <w:style w:type="paragraph" w:customStyle="1" w:styleId="Zadn">
    <w:name w:val="Zadání"/>
    <w:aliases w:val="shrnutí,analýza"/>
    <w:basedOn w:val="Odstavecseseznamem"/>
    <w:next w:val="Nadpis1"/>
    <w:link w:val="ZadnChar"/>
    <w:qFormat/>
    <w:rsid w:val="004E3887"/>
    <w:pPr>
      <w:numPr>
        <w:numId w:val="4"/>
      </w:numPr>
      <w:spacing w:before="240" w:after="240"/>
      <w:ind w:left="425" w:hanging="425"/>
      <w:contextualSpacing w:val="0"/>
    </w:pPr>
    <w:rPr>
      <w:b/>
      <w:color w:val="000000" w:themeColor="text1"/>
      <w:sz w:val="24"/>
      <w:szCs w:val="24"/>
    </w:rPr>
  </w:style>
  <w:style w:type="paragraph" w:customStyle="1" w:styleId="abcd">
    <w:name w:val="abcd"/>
    <w:basedOn w:val="Odstavecseseznamem"/>
    <w:link w:val="abcdChar"/>
    <w:qFormat/>
    <w:rsid w:val="00716B03"/>
    <w:pPr>
      <w:ind w:left="0"/>
      <w:contextualSpacing w:val="0"/>
    </w:pPr>
  </w:style>
  <w:style w:type="character" w:customStyle="1" w:styleId="ZadnChar">
    <w:name w:val="Zadání Char"/>
    <w:aliases w:val="shrnutí Char,analýza Char"/>
    <w:basedOn w:val="OdstavecseseznamemChar"/>
    <w:link w:val="Zadn"/>
    <w:rsid w:val="004E3887"/>
    <w:rPr>
      <w:rFonts w:ascii="Arial" w:hAnsi="Arial"/>
      <w:b/>
      <w:noProof/>
      <w:color w:val="000000" w:themeColor="text1"/>
      <w:sz w:val="24"/>
      <w:szCs w:val="24"/>
      <w:lang w:eastAsia="lv-LV"/>
    </w:rPr>
  </w:style>
  <w:style w:type="paragraph" w:customStyle="1" w:styleId="Otzka">
    <w:name w:val="Otázka"/>
    <w:basedOn w:val="Normln"/>
    <w:link w:val="OtzkaChar"/>
    <w:qFormat/>
    <w:rsid w:val="00EB66F3"/>
    <w:pPr>
      <w:pBdr>
        <w:top w:val="single" w:sz="4" w:space="1" w:color="auto"/>
        <w:left w:val="single" w:sz="4" w:space="4" w:color="auto"/>
        <w:bottom w:val="single" w:sz="4" w:space="1" w:color="auto"/>
        <w:right w:val="single" w:sz="4" w:space="4" w:color="auto"/>
      </w:pBdr>
    </w:pPr>
  </w:style>
  <w:style w:type="character" w:customStyle="1" w:styleId="abcdChar">
    <w:name w:val="abcd Char"/>
    <w:basedOn w:val="OdstavecseseznamemChar"/>
    <w:link w:val="abcd"/>
    <w:rsid w:val="00716B03"/>
    <w:rPr>
      <w:rFonts w:ascii="Arial" w:hAnsi="Arial"/>
      <w:noProof/>
      <w:sz w:val="20"/>
      <w:lang w:eastAsia="lv-LV"/>
    </w:rPr>
  </w:style>
  <w:style w:type="paragraph" w:customStyle="1" w:styleId="Schedules">
    <w:name w:val="Schedules"/>
    <w:basedOn w:val="Nzev"/>
    <w:link w:val="SchedulesChar"/>
    <w:qFormat/>
    <w:rsid w:val="004E3887"/>
  </w:style>
  <w:style w:type="character" w:customStyle="1" w:styleId="OtzkaChar">
    <w:name w:val="Otázka Char"/>
    <w:basedOn w:val="Standardnpsmoodstavce"/>
    <w:link w:val="Otzka"/>
    <w:rsid w:val="00EB66F3"/>
    <w:rPr>
      <w:rFonts w:ascii="Arial" w:hAnsi="Arial"/>
      <w:noProof/>
      <w:sz w:val="20"/>
      <w:lang w:eastAsia="lv-LV"/>
    </w:rPr>
  </w:style>
  <w:style w:type="paragraph" w:styleId="Obsah1">
    <w:name w:val="toc 1"/>
    <w:basedOn w:val="Normln"/>
    <w:next w:val="Normln"/>
    <w:autoRedefine/>
    <w:uiPriority w:val="39"/>
    <w:unhideWhenUsed/>
    <w:rsid w:val="00F57E07"/>
    <w:pPr>
      <w:tabs>
        <w:tab w:val="left" w:pos="567"/>
        <w:tab w:val="right" w:leader="dot" w:pos="9062"/>
      </w:tabs>
      <w:spacing w:after="0"/>
      <w:jc w:val="left"/>
    </w:pPr>
    <w:rPr>
      <w:rFonts w:cs="Arial"/>
      <w:bCs/>
      <w:i/>
      <w:szCs w:val="20"/>
    </w:rPr>
  </w:style>
  <w:style w:type="character" w:customStyle="1" w:styleId="SchedulesChar">
    <w:name w:val="Schedules Char"/>
    <w:basedOn w:val="NzevChar"/>
    <w:link w:val="Schedules"/>
    <w:rsid w:val="004E3887"/>
    <w:rPr>
      <w:rFonts w:ascii="Arial" w:hAnsi="Arial"/>
      <w:b/>
      <w:smallCaps/>
      <w:noProof/>
      <w:color w:val="000000" w:themeColor="text1"/>
      <w:kern w:val="28"/>
      <w:sz w:val="28"/>
      <w:szCs w:val="28"/>
      <w:lang w:eastAsia="lv-LV"/>
    </w:rPr>
  </w:style>
  <w:style w:type="character" w:styleId="Hypertextovodkaz">
    <w:name w:val="Hyperlink"/>
    <w:basedOn w:val="Standardnpsmoodstavce"/>
    <w:uiPriority w:val="99"/>
    <w:unhideWhenUsed/>
    <w:rsid w:val="00245850"/>
    <w:rPr>
      <w:color w:val="0000FF" w:themeColor="hyperlink"/>
      <w:u w:val="single"/>
    </w:rPr>
  </w:style>
  <w:style w:type="paragraph" w:customStyle="1" w:styleId="slovnvtabulce">
    <w:name w:val="Číslování v tabulce"/>
    <w:basedOn w:val="Odstavecseseznamem"/>
    <w:link w:val="slovnvtabulceChar"/>
    <w:qFormat/>
    <w:rsid w:val="004E3887"/>
    <w:pPr>
      <w:numPr>
        <w:numId w:val="6"/>
      </w:numPr>
      <w:spacing w:before="60" w:after="60" w:line="240" w:lineRule="auto"/>
      <w:ind w:left="113" w:right="113" w:firstLine="0"/>
      <w:contextualSpacing w:val="0"/>
    </w:pPr>
    <w:rPr>
      <w:szCs w:val="20"/>
      <w:lang w:val="en-US"/>
    </w:rPr>
  </w:style>
  <w:style w:type="table" w:styleId="Mkatabulky">
    <w:name w:val="Table Grid"/>
    <w:basedOn w:val="Normlntabulka"/>
    <w:uiPriority w:val="59"/>
    <w:rsid w:val="006E3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vnvtabulceChar">
    <w:name w:val="Číslování v tabulce Char"/>
    <w:basedOn w:val="OdstavecseseznamemChar"/>
    <w:link w:val="slovnvtabulce"/>
    <w:rsid w:val="004E3887"/>
    <w:rPr>
      <w:rFonts w:ascii="Arial" w:hAnsi="Arial"/>
      <w:noProof/>
      <w:sz w:val="20"/>
      <w:szCs w:val="20"/>
      <w:lang w:val="en-US" w:eastAsia="lv-LV"/>
    </w:rPr>
  </w:style>
  <w:style w:type="character" w:styleId="Odkaznakoment">
    <w:name w:val="annotation reference"/>
    <w:uiPriority w:val="99"/>
    <w:semiHidden/>
    <w:rsid w:val="00F45280"/>
    <w:rPr>
      <w:sz w:val="16"/>
      <w:szCs w:val="16"/>
    </w:rPr>
  </w:style>
  <w:style w:type="paragraph" w:styleId="Textkomente">
    <w:name w:val="annotation text"/>
    <w:basedOn w:val="Normln"/>
    <w:link w:val="TextkomenteChar"/>
    <w:uiPriority w:val="99"/>
    <w:semiHidden/>
    <w:rsid w:val="00F45280"/>
    <w:rPr>
      <w:rFonts w:eastAsia="Times New Roman" w:cs="Times New Roman"/>
      <w:noProof w:val="0"/>
      <w:szCs w:val="20"/>
      <w:lang w:val="en-US" w:eastAsia="en-US"/>
    </w:rPr>
  </w:style>
  <w:style w:type="character" w:customStyle="1" w:styleId="TextkomenteChar">
    <w:name w:val="Text komentáře Char"/>
    <w:basedOn w:val="Standardnpsmoodstavce"/>
    <w:link w:val="Textkomente"/>
    <w:uiPriority w:val="99"/>
    <w:semiHidden/>
    <w:rsid w:val="00F45280"/>
    <w:rPr>
      <w:rFonts w:ascii="Arial" w:eastAsia="Times New Roman" w:hAnsi="Arial" w:cs="Times New Roman"/>
      <w:sz w:val="20"/>
      <w:szCs w:val="20"/>
      <w:lang w:val="en-US"/>
    </w:rPr>
  </w:style>
  <w:style w:type="paragraph" w:styleId="Normlnweb">
    <w:name w:val="Normal (Web)"/>
    <w:basedOn w:val="Normln"/>
    <w:uiPriority w:val="99"/>
    <w:rsid w:val="00F45280"/>
    <w:pPr>
      <w:spacing w:before="100" w:beforeAutospacing="1" w:after="100" w:afterAutospacing="1" w:line="240" w:lineRule="auto"/>
      <w:jc w:val="left"/>
    </w:pPr>
    <w:rPr>
      <w:rFonts w:ascii="Times New Roman" w:eastAsia="Times New Roman" w:hAnsi="Times New Roman" w:cs="Times New Roman"/>
      <w:noProof w:val="0"/>
      <w:sz w:val="24"/>
      <w:szCs w:val="24"/>
      <w:lang w:val="en-US" w:eastAsia="en-US"/>
    </w:rPr>
  </w:style>
  <w:style w:type="character" w:styleId="Zdraznn">
    <w:name w:val="Emphasis"/>
    <w:uiPriority w:val="20"/>
    <w:qFormat/>
    <w:rsid w:val="00F45280"/>
    <w:rPr>
      <w:i/>
      <w:iCs/>
    </w:rPr>
  </w:style>
  <w:style w:type="paragraph" w:styleId="Textbubliny">
    <w:name w:val="Balloon Text"/>
    <w:basedOn w:val="Normln"/>
    <w:link w:val="TextbublinyChar"/>
    <w:uiPriority w:val="99"/>
    <w:semiHidden/>
    <w:unhideWhenUsed/>
    <w:rsid w:val="00F45280"/>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280"/>
    <w:rPr>
      <w:rFonts w:ascii="Tahoma" w:hAnsi="Tahoma" w:cs="Tahoma"/>
      <w:noProof/>
      <w:sz w:val="16"/>
      <w:szCs w:val="16"/>
      <w:lang w:eastAsia="lv-LV"/>
    </w:rPr>
  </w:style>
  <w:style w:type="paragraph" w:styleId="Obsah2">
    <w:name w:val="toc 2"/>
    <w:basedOn w:val="Normln"/>
    <w:next w:val="Normln"/>
    <w:autoRedefine/>
    <w:uiPriority w:val="39"/>
    <w:unhideWhenUsed/>
    <w:rsid w:val="0066115F"/>
    <w:pPr>
      <w:tabs>
        <w:tab w:val="left" w:pos="851"/>
        <w:tab w:val="right" w:leader="dot" w:pos="9062"/>
      </w:tabs>
      <w:spacing w:after="0"/>
      <w:ind w:left="851" w:hanging="851"/>
      <w:jc w:val="left"/>
    </w:pPr>
    <w:rPr>
      <w:rFonts w:cs="Arial"/>
      <w:iCs/>
      <w:szCs w:val="20"/>
    </w:rPr>
  </w:style>
  <w:style w:type="paragraph" w:styleId="Obsah3">
    <w:name w:val="toc 3"/>
    <w:basedOn w:val="Normln"/>
    <w:next w:val="Normln"/>
    <w:autoRedefine/>
    <w:uiPriority w:val="39"/>
    <w:unhideWhenUsed/>
    <w:rsid w:val="00F57E07"/>
    <w:pPr>
      <w:tabs>
        <w:tab w:val="right" w:leader="dot" w:pos="9062"/>
      </w:tabs>
      <w:spacing w:after="0"/>
      <w:ind w:left="1134" w:hanging="1134"/>
      <w:jc w:val="left"/>
    </w:pPr>
    <w:rPr>
      <w:rFonts w:asciiTheme="minorHAnsi" w:hAnsiTheme="minorHAnsi"/>
      <w:szCs w:val="20"/>
    </w:rPr>
  </w:style>
  <w:style w:type="paragraph" w:styleId="Obsah4">
    <w:name w:val="toc 4"/>
    <w:basedOn w:val="Normln"/>
    <w:next w:val="Normln"/>
    <w:autoRedefine/>
    <w:uiPriority w:val="39"/>
    <w:unhideWhenUsed/>
    <w:rsid w:val="00F57E07"/>
    <w:pPr>
      <w:tabs>
        <w:tab w:val="left" w:pos="1418"/>
        <w:tab w:val="right" w:leader="dot" w:pos="9062"/>
      </w:tabs>
      <w:spacing w:after="0"/>
      <w:jc w:val="left"/>
    </w:pPr>
    <w:rPr>
      <w:rFonts w:asciiTheme="minorHAnsi" w:hAnsiTheme="minorHAnsi"/>
      <w:szCs w:val="20"/>
    </w:rPr>
  </w:style>
  <w:style w:type="paragraph" w:styleId="Obsah5">
    <w:name w:val="toc 5"/>
    <w:basedOn w:val="Normln"/>
    <w:next w:val="Normln"/>
    <w:autoRedefine/>
    <w:uiPriority w:val="39"/>
    <w:unhideWhenUsed/>
    <w:rsid w:val="00667113"/>
    <w:pPr>
      <w:tabs>
        <w:tab w:val="left" w:pos="1418"/>
        <w:tab w:val="right" w:leader="dot" w:pos="9062"/>
      </w:tabs>
      <w:spacing w:before="0" w:after="0"/>
      <w:jc w:val="left"/>
    </w:pPr>
    <w:rPr>
      <w:rFonts w:asciiTheme="minorHAnsi" w:hAnsiTheme="minorHAnsi"/>
      <w:szCs w:val="20"/>
    </w:rPr>
  </w:style>
  <w:style w:type="paragraph" w:styleId="Obsah6">
    <w:name w:val="toc 6"/>
    <w:basedOn w:val="Normln"/>
    <w:next w:val="Normln"/>
    <w:autoRedefine/>
    <w:uiPriority w:val="39"/>
    <w:unhideWhenUsed/>
    <w:rsid w:val="00BF133C"/>
    <w:pPr>
      <w:spacing w:before="0" w:after="0"/>
      <w:ind w:left="1000"/>
      <w:jc w:val="left"/>
    </w:pPr>
    <w:rPr>
      <w:rFonts w:asciiTheme="minorHAnsi" w:hAnsiTheme="minorHAnsi"/>
      <w:szCs w:val="20"/>
    </w:rPr>
  </w:style>
  <w:style w:type="paragraph" w:styleId="Obsah7">
    <w:name w:val="toc 7"/>
    <w:basedOn w:val="Normln"/>
    <w:next w:val="Normln"/>
    <w:autoRedefine/>
    <w:uiPriority w:val="39"/>
    <w:unhideWhenUsed/>
    <w:rsid w:val="00BF133C"/>
    <w:pPr>
      <w:spacing w:before="0" w:after="0"/>
      <w:ind w:left="1200"/>
      <w:jc w:val="left"/>
    </w:pPr>
    <w:rPr>
      <w:rFonts w:asciiTheme="minorHAnsi" w:hAnsiTheme="minorHAnsi"/>
      <w:szCs w:val="20"/>
    </w:rPr>
  </w:style>
  <w:style w:type="paragraph" w:styleId="Obsah8">
    <w:name w:val="toc 8"/>
    <w:basedOn w:val="Normln"/>
    <w:next w:val="Normln"/>
    <w:autoRedefine/>
    <w:uiPriority w:val="39"/>
    <w:unhideWhenUsed/>
    <w:rsid w:val="00BF133C"/>
    <w:pPr>
      <w:spacing w:before="0" w:after="0"/>
      <w:ind w:left="1400"/>
      <w:jc w:val="left"/>
    </w:pPr>
    <w:rPr>
      <w:rFonts w:asciiTheme="minorHAnsi" w:hAnsiTheme="minorHAnsi"/>
      <w:szCs w:val="20"/>
    </w:rPr>
  </w:style>
  <w:style w:type="paragraph" w:styleId="Obsah9">
    <w:name w:val="toc 9"/>
    <w:basedOn w:val="Normln"/>
    <w:next w:val="Normln"/>
    <w:autoRedefine/>
    <w:uiPriority w:val="39"/>
    <w:unhideWhenUsed/>
    <w:rsid w:val="00BF133C"/>
    <w:pPr>
      <w:spacing w:before="0" w:after="0"/>
      <w:ind w:left="1600"/>
      <w:jc w:val="left"/>
    </w:pPr>
    <w:rPr>
      <w:rFonts w:asciiTheme="minorHAnsi" w:hAnsiTheme="minorHAnsi"/>
      <w:szCs w:val="20"/>
    </w:rPr>
  </w:style>
  <w:style w:type="paragraph" w:styleId="Pedmtkomente">
    <w:name w:val="annotation subject"/>
    <w:basedOn w:val="Textkomente"/>
    <w:next w:val="Textkomente"/>
    <w:link w:val="PedmtkomenteChar"/>
    <w:uiPriority w:val="99"/>
    <w:semiHidden/>
    <w:unhideWhenUsed/>
    <w:rsid w:val="00E227A9"/>
    <w:pPr>
      <w:spacing w:line="240" w:lineRule="auto"/>
    </w:pPr>
    <w:rPr>
      <w:rFonts w:eastAsiaTheme="minorHAnsi" w:cstheme="minorBidi"/>
      <w:b/>
      <w:bCs/>
      <w:noProof/>
      <w:lang w:val="cs-CZ" w:eastAsia="lv-LV"/>
    </w:rPr>
  </w:style>
  <w:style w:type="character" w:customStyle="1" w:styleId="PedmtkomenteChar">
    <w:name w:val="Předmět komentáře Char"/>
    <w:basedOn w:val="TextkomenteChar"/>
    <w:link w:val="Pedmtkomente"/>
    <w:uiPriority w:val="99"/>
    <w:semiHidden/>
    <w:rsid w:val="00E227A9"/>
    <w:rPr>
      <w:rFonts w:ascii="Arial" w:eastAsia="Times New Roman" w:hAnsi="Arial" w:cs="Times New Roman"/>
      <w:b/>
      <w:bCs/>
      <w:noProof/>
      <w:sz w:val="20"/>
      <w:szCs w:val="20"/>
      <w:lang w:val="en-US" w:eastAsia="lv-LV"/>
    </w:rPr>
  </w:style>
  <w:style w:type="paragraph" w:styleId="Revize">
    <w:name w:val="Revision"/>
    <w:hidden/>
    <w:uiPriority w:val="99"/>
    <w:semiHidden/>
    <w:rsid w:val="00E06EA6"/>
    <w:pPr>
      <w:spacing w:after="0" w:line="240" w:lineRule="auto"/>
    </w:pPr>
    <w:rPr>
      <w:rFonts w:ascii="Arial" w:hAnsi="Arial"/>
      <w:noProof/>
      <w:sz w:val="20"/>
      <w:lang w:eastAsia="lv-LV"/>
    </w:rPr>
  </w:style>
  <w:style w:type="character" w:styleId="Sledovanodkaz">
    <w:name w:val="FollowedHyperlink"/>
    <w:basedOn w:val="Standardnpsmoodstavce"/>
    <w:uiPriority w:val="99"/>
    <w:semiHidden/>
    <w:unhideWhenUsed/>
    <w:rsid w:val="00316390"/>
    <w:rPr>
      <w:color w:val="800080" w:themeColor="followedHyperlink"/>
      <w:u w:val="single"/>
    </w:rPr>
  </w:style>
  <w:style w:type="paragraph" w:customStyle="1" w:styleId="N1">
    <w:name w:val="N1"/>
    <w:basedOn w:val="Nadpis1"/>
    <w:qFormat/>
    <w:rsid w:val="004035B4"/>
  </w:style>
  <w:style w:type="paragraph" w:customStyle="1" w:styleId="N2">
    <w:name w:val="N2"/>
    <w:basedOn w:val="Nadpis2"/>
    <w:qFormat/>
    <w:rsid w:val="004035B4"/>
  </w:style>
  <w:style w:type="paragraph" w:customStyle="1" w:styleId="N3">
    <w:name w:val="N3"/>
    <w:basedOn w:val="Nadpis3"/>
    <w:qFormat/>
    <w:rsid w:val="004035B4"/>
  </w:style>
  <w:style w:type="paragraph" w:customStyle="1" w:styleId="N4">
    <w:name w:val="N4"/>
    <w:basedOn w:val="Nadpis4"/>
    <w:qFormat/>
    <w:rsid w:val="004035B4"/>
  </w:style>
  <w:style w:type="character" w:styleId="slodku">
    <w:name w:val="line number"/>
    <w:basedOn w:val="Standardnpsmoodstavce"/>
    <w:uiPriority w:val="99"/>
    <w:semiHidden/>
    <w:unhideWhenUsed/>
    <w:rsid w:val="00E82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483628">
      <w:bodyDiv w:val="1"/>
      <w:marLeft w:val="0"/>
      <w:marRight w:val="0"/>
      <w:marTop w:val="0"/>
      <w:marBottom w:val="0"/>
      <w:divBdr>
        <w:top w:val="none" w:sz="0" w:space="0" w:color="auto"/>
        <w:left w:val="none" w:sz="0" w:space="0" w:color="auto"/>
        <w:bottom w:val="none" w:sz="0" w:space="0" w:color="auto"/>
        <w:right w:val="none" w:sz="0" w:space="0" w:color="auto"/>
      </w:divBdr>
      <w:divsChild>
        <w:div w:id="75637231">
          <w:marLeft w:val="0"/>
          <w:marRight w:val="0"/>
          <w:marTop w:val="0"/>
          <w:marBottom w:val="0"/>
          <w:divBdr>
            <w:top w:val="none" w:sz="0" w:space="0" w:color="auto"/>
            <w:left w:val="none" w:sz="0" w:space="0" w:color="auto"/>
            <w:bottom w:val="none" w:sz="0" w:space="0" w:color="auto"/>
            <w:right w:val="none" w:sz="0" w:space="0" w:color="auto"/>
          </w:divBdr>
        </w:div>
        <w:div w:id="415323622">
          <w:marLeft w:val="0"/>
          <w:marRight w:val="0"/>
          <w:marTop w:val="0"/>
          <w:marBottom w:val="0"/>
          <w:divBdr>
            <w:top w:val="none" w:sz="0" w:space="0" w:color="auto"/>
            <w:left w:val="none" w:sz="0" w:space="0" w:color="auto"/>
            <w:bottom w:val="none" w:sz="0" w:space="0" w:color="auto"/>
            <w:right w:val="none" w:sz="0" w:space="0" w:color="auto"/>
          </w:divBdr>
        </w:div>
        <w:div w:id="561672621">
          <w:marLeft w:val="0"/>
          <w:marRight w:val="0"/>
          <w:marTop w:val="0"/>
          <w:marBottom w:val="0"/>
          <w:divBdr>
            <w:top w:val="none" w:sz="0" w:space="0" w:color="auto"/>
            <w:left w:val="none" w:sz="0" w:space="0" w:color="auto"/>
            <w:bottom w:val="none" w:sz="0" w:space="0" w:color="auto"/>
            <w:right w:val="none" w:sz="0" w:space="0" w:color="auto"/>
          </w:divBdr>
        </w:div>
        <w:div w:id="600071606">
          <w:marLeft w:val="0"/>
          <w:marRight w:val="0"/>
          <w:marTop w:val="0"/>
          <w:marBottom w:val="0"/>
          <w:divBdr>
            <w:top w:val="none" w:sz="0" w:space="0" w:color="auto"/>
            <w:left w:val="none" w:sz="0" w:space="0" w:color="auto"/>
            <w:bottom w:val="none" w:sz="0" w:space="0" w:color="auto"/>
            <w:right w:val="none" w:sz="0" w:space="0" w:color="auto"/>
          </w:divBdr>
        </w:div>
        <w:div w:id="864710612">
          <w:marLeft w:val="0"/>
          <w:marRight w:val="0"/>
          <w:marTop w:val="0"/>
          <w:marBottom w:val="0"/>
          <w:divBdr>
            <w:top w:val="none" w:sz="0" w:space="0" w:color="auto"/>
            <w:left w:val="none" w:sz="0" w:space="0" w:color="auto"/>
            <w:bottom w:val="none" w:sz="0" w:space="0" w:color="auto"/>
            <w:right w:val="none" w:sz="0" w:space="0" w:color="auto"/>
          </w:divBdr>
        </w:div>
        <w:div w:id="917246183">
          <w:marLeft w:val="0"/>
          <w:marRight w:val="0"/>
          <w:marTop w:val="0"/>
          <w:marBottom w:val="0"/>
          <w:divBdr>
            <w:top w:val="none" w:sz="0" w:space="0" w:color="auto"/>
            <w:left w:val="none" w:sz="0" w:space="0" w:color="auto"/>
            <w:bottom w:val="none" w:sz="0" w:space="0" w:color="auto"/>
            <w:right w:val="none" w:sz="0" w:space="0" w:color="auto"/>
          </w:divBdr>
        </w:div>
        <w:div w:id="1290936578">
          <w:marLeft w:val="0"/>
          <w:marRight w:val="0"/>
          <w:marTop w:val="0"/>
          <w:marBottom w:val="0"/>
          <w:divBdr>
            <w:top w:val="none" w:sz="0" w:space="0" w:color="auto"/>
            <w:left w:val="none" w:sz="0" w:space="0" w:color="auto"/>
            <w:bottom w:val="none" w:sz="0" w:space="0" w:color="auto"/>
            <w:right w:val="none" w:sz="0" w:space="0" w:color="auto"/>
          </w:divBdr>
        </w:div>
        <w:div w:id="1382286719">
          <w:marLeft w:val="0"/>
          <w:marRight w:val="0"/>
          <w:marTop w:val="0"/>
          <w:marBottom w:val="0"/>
          <w:divBdr>
            <w:top w:val="none" w:sz="0" w:space="0" w:color="auto"/>
            <w:left w:val="none" w:sz="0" w:space="0" w:color="auto"/>
            <w:bottom w:val="none" w:sz="0" w:space="0" w:color="auto"/>
            <w:right w:val="none" w:sz="0" w:space="0" w:color="auto"/>
          </w:divBdr>
        </w:div>
        <w:div w:id="1408114727">
          <w:marLeft w:val="0"/>
          <w:marRight w:val="0"/>
          <w:marTop w:val="0"/>
          <w:marBottom w:val="0"/>
          <w:divBdr>
            <w:top w:val="none" w:sz="0" w:space="0" w:color="auto"/>
            <w:left w:val="none" w:sz="0" w:space="0" w:color="auto"/>
            <w:bottom w:val="none" w:sz="0" w:space="0" w:color="auto"/>
            <w:right w:val="none" w:sz="0" w:space="0" w:color="auto"/>
          </w:divBdr>
        </w:div>
        <w:div w:id="1782606319">
          <w:marLeft w:val="0"/>
          <w:marRight w:val="0"/>
          <w:marTop w:val="0"/>
          <w:marBottom w:val="0"/>
          <w:divBdr>
            <w:top w:val="none" w:sz="0" w:space="0" w:color="auto"/>
            <w:left w:val="none" w:sz="0" w:space="0" w:color="auto"/>
            <w:bottom w:val="none" w:sz="0" w:space="0" w:color="auto"/>
            <w:right w:val="none" w:sz="0" w:space="0" w:color="auto"/>
          </w:divBdr>
        </w:div>
        <w:div w:id="1953196901">
          <w:marLeft w:val="0"/>
          <w:marRight w:val="0"/>
          <w:marTop w:val="0"/>
          <w:marBottom w:val="0"/>
          <w:divBdr>
            <w:top w:val="none" w:sz="0" w:space="0" w:color="auto"/>
            <w:left w:val="none" w:sz="0" w:space="0" w:color="auto"/>
            <w:bottom w:val="none" w:sz="0" w:space="0" w:color="auto"/>
            <w:right w:val="none" w:sz="0" w:space="0" w:color="auto"/>
          </w:divBdr>
        </w:div>
        <w:div w:id="2024740480">
          <w:marLeft w:val="0"/>
          <w:marRight w:val="0"/>
          <w:marTop w:val="0"/>
          <w:marBottom w:val="0"/>
          <w:divBdr>
            <w:top w:val="none" w:sz="0" w:space="0" w:color="auto"/>
            <w:left w:val="none" w:sz="0" w:space="0" w:color="auto"/>
            <w:bottom w:val="none" w:sz="0" w:space="0" w:color="auto"/>
            <w:right w:val="none" w:sz="0" w:space="0" w:color="auto"/>
          </w:divBdr>
        </w:div>
      </w:divsChild>
    </w:div>
    <w:div w:id="361320181">
      <w:bodyDiv w:val="1"/>
      <w:marLeft w:val="0"/>
      <w:marRight w:val="0"/>
      <w:marTop w:val="0"/>
      <w:marBottom w:val="0"/>
      <w:divBdr>
        <w:top w:val="none" w:sz="0" w:space="0" w:color="auto"/>
        <w:left w:val="none" w:sz="0" w:space="0" w:color="auto"/>
        <w:bottom w:val="none" w:sz="0" w:space="0" w:color="auto"/>
        <w:right w:val="none" w:sz="0" w:space="0" w:color="auto"/>
      </w:divBdr>
    </w:div>
    <w:div w:id="869224655">
      <w:bodyDiv w:val="1"/>
      <w:marLeft w:val="0"/>
      <w:marRight w:val="0"/>
      <w:marTop w:val="0"/>
      <w:marBottom w:val="0"/>
      <w:divBdr>
        <w:top w:val="none" w:sz="0" w:space="0" w:color="auto"/>
        <w:left w:val="none" w:sz="0" w:space="0" w:color="auto"/>
        <w:bottom w:val="none" w:sz="0" w:space="0" w:color="auto"/>
        <w:right w:val="none" w:sz="0" w:space="0" w:color="auto"/>
      </w:divBdr>
      <w:divsChild>
        <w:div w:id="1247689830">
          <w:marLeft w:val="0"/>
          <w:marRight w:val="0"/>
          <w:marTop w:val="0"/>
          <w:marBottom w:val="0"/>
          <w:divBdr>
            <w:top w:val="none" w:sz="0" w:space="0" w:color="auto"/>
            <w:left w:val="none" w:sz="0" w:space="0" w:color="auto"/>
            <w:bottom w:val="none" w:sz="0" w:space="0" w:color="auto"/>
            <w:right w:val="none" w:sz="0" w:space="0" w:color="auto"/>
          </w:divBdr>
        </w:div>
        <w:div w:id="792483137">
          <w:marLeft w:val="0"/>
          <w:marRight w:val="0"/>
          <w:marTop w:val="0"/>
          <w:marBottom w:val="0"/>
          <w:divBdr>
            <w:top w:val="none" w:sz="0" w:space="0" w:color="auto"/>
            <w:left w:val="none" w:sz="0" w:space="0" w:color="auto"/>
            <w:bottom w:val="none" w:sz="0" w:space="0" w:color="auto"/>
            <w:right w:val="none" w:sz="0" w:space="0" w:color="auto"/>
          </w:divBdr>
        </w:div>
        <w:div w:id="820655910">
          <w:marLeft w:val="0"/>
          <w:marRight w:val="0"/>
          <w:marTop w:val="0"/>
          <w:marBottom w:val="0"/>
          <w:divBdr>
            <w:top w:val="none" w:sz="0" w:space="0" w:color="auto"/>
            <w:left w:val="none" w:sz="0" w:space="0" w:color="auto"/>
            <w:bottom w:val="none" w:sz="0" w:space="0" w:color="auto"/>
            <w:right w:val="none" w:sz="0" w:space="0" w:color="auto"/>
          </w:divBdr>
        </w:div>
        <w:div w:id="882863536">
          <w:marLeft w:val="0"/>
          <w:marRight w:val="0"/>
          <w:marTop w:val="0"/>
          <w:marBottom w:val="0"/>
          <w:divBdr>
            <w:top w:val="none" w:sz="0" w:space="0" w:color="auto"/>
            <w:left w:val="none" w:sz="0" w:space="0" w:color="auto"/>
            <w:bottom w:val="none" w:sz="0" w:space="0" w:color="auto"/>
            <w:right w:val="none" w:sz="0" w:space="0" w:color="auto"/>
          </w:divBdr>
        </w:div>
      </w:divsChild>
    </w:div>
    <w:div w:id="1633634271">
      <w:bodyDiv w:val="1"/>
      <w:marLeft w:val="0"/>
      <w:marRight w:val="0"/>
      <w:marTop w:val="0"/>
      <w:marBottom w:val="0"/>
      <w:divBdr>
        <w:top w:val="none" w:sz="0" w:space="0" w:color="auto"/>
        <w:left w:val="none" w:sz="0" w:space="0" w:color="auto"/>
        <w:bottom w:val="none" w:sz="0" w:space="0" w:color="auto"/>
        <w:right w:val="none" w:sz="0" w:space="0" w:color="auto"/>
      </w:divBdr>
      <w:divsChild>
        <w:div w:id="225186819">
          <w:marLeft w:val="0"/>
          <w:marRight w:val="0"/>
          <w:marTop w:val="0"/>
          <w:marBottom w:val="0"/>
          <w:divBdr>
            <w:top w:val="none" w:sz="0" w:space="0" w:color="auto"/>
            <w:left w:val="none" w:sz="0" w:space="0" w:color="auto"/>
            <w:bottom w:val="none" w:sz="0" w:space="0" w:color="auto"/>
            <w:right w:val="none" w:sz="0" w:space="0" w:color="auto"/>
          </w:divBdr>
        </w:div>
        <w:div w:id="1049912112">
          <w:marLeft w:val="0"/>
          <w:marRight w:val="0"/>
          <w:marTop w:val="0"/>
          <w:marBottom w:val="0"/>
          <w:divBdr>
            <w:top w:val="none" w:sz="0" w:space="0" w:color="auto"/>
            <w:left w:val="none" w:sz="0" w:space="0" w:color="auto"/>
            <w:bottom w:val="none" w:sz="0" w:space="0" w:color="auto"/>
            <w:right w:val="none" w:sz="0" w:space="0" w:color="auto"/>
          </w:divBdr>
        </w:div>
        <w:div w:id="1039477958">
          <w:marLeft w:val="0"/>
          <w:marRight w:val="0"/>
          <w:marTop w:val="0"/>
          <w:marBottom w:val="0"/>
          <w:divBdr>
            <w:top w:val="none" w:sz="0" w:space="0" w:color="auto"/>
            <w:left w:val="none" w:sz="0" w:space="0" w:color="auto"/>
            <w:bottom w:val="none" w:sz="0" w:space="0" w:color="auto"/>
            <w:right w:val="none" w:sz="0" w:space="0" w:color="auto"/>
          </w:divBdr>
        </w:div>
        <w:div w:id="808597700">
          <w:marLeft w:val="0"/>
          <w:marRight w:val="0"/>
          <w:marTop w:val="0"/>
          <w:marBottom w:val="0"/>
          <w:divBdr>
            <w:top w:val="none" w:sz="0" w:space="0" w:color="auto"/>
            <w:left w:val="none" w:sz="0" w:space="0" w:color="auto"/>
            <w:bottom w:val="none" w:sz="0" w:space="0" w:color="auto"/>
            <w:right w:val="none" w:sz="0" w:space="0" w:color="auto"/>
          </w:divBdr>
        </w:div>
        <w:div w:id="1161190639">
          <w:marLeft w:val="0"/>
          <w:marRight w:val="0"/>
          <w:marTop w:val="0"/>
          <w:marBottom w:val="0"/>
          <w:divBdr>
            <w:top w:val="none" w:sz="0" w:space="0" w:color="auto"/>
            <w:left w:val="none" w:sz="0" w:space="0" w:color="auto"/>
            <w:bottom w:val="none" w:sz="0" w:space="0" w:color="auto"/>
            <w:right w:val="none" w:sz="0" w:space="0" w:color="auto"/>
          </w:divBdr>
        </w:div>
        <w:div w:id="1602642910">
          <w:marLeft w:val="0"/>
          <w:marRight w:val="0"/>
          <w:marTop w:val="0"/>
          <w:marBottom w:val="0"/>
          <w:divBdr>
            <w:top w:val="none" w:sz="0" w:space="0" w:color="auto"/>
            <w:left w:val="none" w:sz="0" w:space="0" w:color="auto"/>
            <w:bottom w:val="none" w:sz="0" w:space="0" w:color="auto"/>
            <w:right w:val="none" w:sz="0" w:space="0" w:color="auto"/>
          </w:divBdr>
        </w:div>
      </w:divsChild>
    </w:div>
    <w:div w:id="1738818057">
      <w:bodyDiv w:val="1"/>
      <w:marLeft w:val="0"/>
      <w:marRight w:val="0"/>
      <w:marTop w:val="0"/>
      <w:marBottom w:val="0"/>
      <w:divBdr>
        <w:top w:val="none" w:sz="0" w:space="0" w:color="auto"/>
        <w:left w:val="none" w:sz="0" w:space="0" w:color="auto"/>
        <w:bottom w:val="none" w:sz="0" w:space="0" w:color="auto"/>
        <w:right w:val="none" w:sz="0" w:space="0" w:color="auto"/>
      </w:divBdr>
    </w:div>
    <w:div w:id="1887638536">
      <w:bodyDiv w:val="1"/>
      <w:marLeft w:val="0"/>
      <w:marRight w:val="0"/>
      <w:marTop w:val="0"/>
      <w:marBottom w:val="0"/>
      <w:divBdr>
        <w:top w:val="none" w:sz="0" w:space="0" w:color="auto"/>
        <w:left w:val="none" w:sz="0" w:space="0" w:color="auto"/>
        <w:bottom w:val="none" w:sz="0" w:space="0" w:color="auto"/>
        <w:right w:val="none" w:sz="0" w:space="0" w:color="auto"/>
      </w:divBdr>
      <w:divsChild>
        <w:div w:id="1104032443">
          <w:marLeft w:val="0"/>
          <w:marRight w:val="0"/>
          <w:marTop w:val="0"/>
          <w:marBottom w:val="0"/>
          <w:divBdr>
            <w:top w:val="none" w:sz="0" w:space="0" w:color="auto"/>
            <w:left w:val="none" w:sz="0" w:space="0" w:color="auto"/>
            <w:bottom w:val="none" w:sz="0" w:space="0" w:color="auto"/>
            <w:right w:val="none" w:sz="0" w:space="0" w:color="auto"/>
          </w:divBdr>
        </w:div>
        <w:div w:id="924996669">
          <w:marLeft w:val="0"/>
          <w:marRight w:val="0"/>
          <w:marTop w:val="0"/>
          <w:marBottom w:val="0"/>
          <w:divBdr>
            <w:top w:val="none" w:sz="0" w:space="0" w:color="auto"/>
            <w:left w:val="none" w:sz="0" w:space="0" w:color="auto"/>
            <w:bottom w:val="none" w:sz="0" w:space="0" w:color="auto"/>
            <w:right w:val="none" w:sz="0" w:space="0" w:color="auto"/>
          </w:divBdr>
        </w:div>
        <w:div w:id="1075320272">
          <w:marLeft w:val="0"/>
          <w:marRight w:val="0"/>
          <w:marTop w:val="0"/>
          <w:marBottom w:val="0"/>
          <w:divBdr>
            <w:top w:val="none" w:sz="0" w:space="0" w:color="auto"/>
            <w:left w:val="none" w:sz="0" w:space="0" w:color="auto"/>
            <w:bottom w:val="none" w:sz="0" w:space="0" w:color="auto"/>
            <w:right w:val="none" w:sz="0" w:space="0" w:color="auto"/>
          </w:divBdr>
        </w:div>
        <w:div w:id="1529486239">
          <w:marLeft w:val="0"/>
          <w:marRight w:val="0"/>
          <w:marTop w:val="0"/>
          <w:marBottom w:val="0"/>
          <w:divBdr>
            <w:top w:val="none" w:sz="0" w:space="0" w:color="auto"/>
            <w:left w:val="none" w:sz="0" w:space="0" w:color="auto"/>
            <w:bottom w:val="none" w:sz="0" w:space="0" w:color="auto"/>
            <w:right w:val="none" w:sz="0" w:space="0" w:color="auto"/>
          </w:divBdr>
        </w:div>
        <w:div w:id="802894238">
          <w:marLeft w:val="0"/>
          <w:marRight w:val="0"/>
          <w:marTop w:val="0"/>
          <w:marBottom w:val="0"/>
          <w:divBdr>
            <w:top w:val="none" w:sz="0" w:space="0" w:color="auto"/>
            <w:left w:val="none" w:sz="0" w:space="0" w:color="auto"/>
            <w:bottom w:val="none" w:sz="0" w:space="0" w:color="auto"/>
            <w:right w:val="none" w:sz="0" w:space="0" w:color="auto"/>
          </w:divBdr>
        </w:div>
        <w:div w:id="420490792">
          <w:marLeft w:val="0"/>
          <w:marRight w:val="0"/>
          <w:marTop w:val="0"/>
          <w:marBottom w:val="0"/>
          <w:divBdr>
            <w:top w:val="none" w:sz="0" w:space="0" w:color="auto"/>
            <w:left w:val="none" w:sz="0" w:space="0" w:color="auto"/>
            <w:bottom w:val="none" w:sz="0" w:space="0" w:color="auto"/>
            <w:right w:val="none" w:sz="0" w:space="0" w:color="auto"/>
          </w:divBdr>
        </w:div>
        <w:div w:id="996804264">
          <w:marLeft w:val="0"/>
          <w:marRight w:val="0"/>
          <w:marTop w:val="0"/>
          <w:marBottom w:val="0"/>
          <w:divBdr>
            <w:top w:val="none" w:sz="0" w:space="0" w:color="auto"/>
            <w:left w:val="none" w:sz="0" w:space="0" w:color="auto"/>
            <w:bottom w:val="none" w:sz="0" w:space="0" w:color="auto"/>
            <w:right w:val="none" w:sz="0" w:space="0" w:color="auto"/>
          </w:divBdr>
        </w:div>
        <w:div w:id="1982685679">
          <w:marLeft w:val="0"/>
          <w:marRight w:val="0"/>
          <w:marTop w:val="0"/>
          <w:marBottom w:val="0"/>
          <w:divBdr>
            <w:top w:val="none" w:sz="0" w:space="0" w:color="auto"/>
            <w:left w:val="none" w:sz="0" w:space="0" w:color="auto"/>
            <w:bottom w:val="none" w:sz="0" w:space="0" w:color="auto"/>
            <w:right w:val="none" w:sz="0" w:space="0" w:color="auto"/>
          </w:divBdr>
        </w:div>
        <w:div w:id="86286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keholders.ofcom.org.uk/binaries/consultations/review-wba-markets/summary/WBA_July_2013.pdf" TargetMode="External"/><Relationship Id="rId1" Type="http://schemas.openxmlformats.org/officeDocument/2006/relationships/hyperlink" Target="http://www.ctu.cz/elektronicky-sber-dat-esd-elektronicke-komunikac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FFEDFC-3862-6045-B714-E365AA7404EB}" type="doc">
      <dgm:prSet loTypeId="urn:microsoft.com/office/officeart/2005/8/layout/process1" loCatId="" qsTypeId="urn:microsoft.com/office/officeart/2005/8/quickstyle/simple4" qsCatId="simple" csTypeId="urn:microsoft.com/office/officeart/2005/8/colors/accent0_1" csCatId="mainScheme" phldr="1"/>
      <dgm:spPr/>
    </dgm:pt>
    <dgm:pt modelId="{EB7D9176-4D9D-724A-9D02-D8C55AF6B7DE}">
      <dgm:prSet phldrT="[Text]" custT="1"/>
      <dgm:spPr/>
      <dgm:t>
        <a:bodyPr/>
        <a:lstStyle/>
        <a:p>
          <a:r>
            <a:rPr lang="en-US" sz="1000" b="1">
              <a:latin typeface="Arial" charset="0"/>
              <a:ea typeface="Arial" charset="0"/>
              <a:cs typeface="Arial" charset="0"/>
            </a:rPr>
            <a:t>Vymezení relevantního</a:t>
          </a:r>
          <a:r>
            <a:rPr lang="en-US" sz="1000" b="1" baseline="0">
              <a:latin typeface="Arial" charset="0"/>
              <a:ea typeface="Arial" charset="0"/>
              <a:cs typeface="Arial" charset="0"/>
            </a:rPr>
            <a:t> trhu</a:t>
          </a:r>
        </a:p>
      </dgm:t>
    </dgm:pt>
    <dgm:pt modelId="{C40A290D-5A91-164B-99BF-B6747E8E51B4}" type="parTrans" cxnId="{08871174-F76F-CD46-AE64-F502913C24B2}">
      <dgm:prSet/>
      <dgm:spPr/>
      <dgm:t>
        <a:bodyPr/>
        <a:lstStyle/>
        <a:p>
          <a:endParaRPr lang="en-US"/>
        </a:p>
      </dgm:t>
    </dgm:pt>
    <dgm:pt modelId="{B87D69FE-B146-4F43-BFC7-43DCBA2FEC1F}" type="sibTrans" cxnId="{08871174-F76F-CD46-AE64-F502913C24B2}">
      <dgm:prSet/>
      <dgm:spPr/>
      <dgm:t>
        <a:bodyPr/>
        <a:lstStyle/>
        <a:p>
          <a:endParaRPr lang="en-US"/>
        </a:p>
      </dgm:t>
    </dgm:pt>
    <dgm:pt modelId="{AE3B5212-F1D5-7748-9B3C-286107EA28E7}">
      <dgm:prSet phldrT="[Text]" custT="1"/>
      <dgm:spPr/>
      <dgm:t>
        <a:bodyPr/>
        <a:lstStyle/>
        <a:p>
          <a:pPr algn="l"/>
          <a:r>
            <a:rPr lang="en-US" sz="1000" b="1">
              <a:latin typeface="Arial" charset="0"/>
              <a:ea typeface="Arial" charset="0"/>
              <a:cs typeface="Arial" charset="0"/>
            </a:rPr>
            <a:t>Stanovení</a:t>
          </a:r>
          <a:r>
            <a:rPr lang="en-US" sz="1000" b="1" baseline="0">
              <a:latin typeface="Arial" charset="0"/>
              <a:ea typeface="Arial" charset="0"/>
              <a:cs typeface="Arial" charset="0"/>
            </a:rPr>
            <a:t> relevantního trhu</a:t>
          </a:r>
          <a:endParaRPr lang="en-US" sz="1000" b="1">
            <a:latin typeface="Arial" charset="0"/>
            <a:ea typeface="Arial" charset="0"/>
            <a:cs typeface="Arial" charset="0"/>
          </a:endParaRPr>
        </a:p>
      </dgm:t>
    </dgm:pt>
    <dgm:pt modelId="{EA5321FD-2C03-AD45-BBF3-36A8709237D0}" type="parTrans" cxnId="{ECC393EF-C04A-B241-A532-3348F5A71843}">
      <dgm:prSet/>
      <dgm:spPr/>
      <dgm:t>
        <a:bodyPr/>
        <a:lstStyle/>
        <a:p>
          <a:endParaRPr lang="en-US"/>
        </a:p>
      </dgm:t>
    </dgm:pt>
    <dgm:pt modelId="{11E344C8-1080-F040-AECC-B312439FFDD7}" type="sibTrans" cxnId="{ECC393EF-C04A-B241-A532-3348F5A71843}">
      <dgm:prSet/>
      <dgm:spPr/>
      <dgm:t>
        <a:bodyPr/>
        <a:lstStyle/>
        <a:p>
          <a:endParaRPr lang="en-US"/>
        </a:p>
      </dgm:t>
    </dgm:pt>
    <dgm:pt modelId="{10205D1C-DD12-3E44-B917-1D40D18683FE}">
      <dgm:prSet phldrT="[Text]" custT="1"/>
      <dgm:spPr/>
      <dgm:t>
        <a:bodyPr/>
        <a:lstStyle/>
        <a:p>
          <a:r>
            <a:rPr lang="en-US" sz="1000" baseline="0">
              <a:latin typeface="Arial" charset="0"/>
              <a:ea typeface="Arial" charset="0"/>
              <a:cs typeface="Arial" charset="0"/>
            </a:rPr>
            <a:t>věcné, územní a časové vymezení trhů uvedených v Doporučení o relevantních trzích dle této kapitoly č. </a:t>
          </a:r>
          <a:r>
            <a:rPr lang="cs-CZ" sz="1000" baseline="0">
              <a:latin typeface="Arial" charset="0"/>
              <a:ea typeface="Arial" charset="0"/>
              <a:cs typeface="Arial" charset="0"/>
            </a:rPr>
            <a:t>3</a:t>
          </a:r>
          <a:r>
            <a:rPr lang="en-US" sz="1000" baseline="0">
              <a:latin typeface="Arial" charset="0"/>
              <a:ea typeface="Arial" charset="0"/>
              <a:cs typeface="Arial" charset="0"/>
            </a:rPr>
            <a:t> Metodiky</a:t>
          </a:r>
        </a:p>
      </dgm:t>
    </dgm:pt>
    <dgm:pt modelId="{50B1BBBD-A492-7942-88F9-F92D2D2FAB9E}" type="parTrans" cxnId="{9759F3FE-8A7D-6D4B-B20D-B7088010DD1D}">
      <dgm:prSet/>
      <dgm:spPr/>
      <dgm:t>
        <a:bodyPr/>
        <a:lstStyle/>
        <a:p>
          <a:endParaRPr lang="en-US"/>
        </a:p>
      </dgm:t>
    </dgm:pt>
    <dgm:pt modelId="{D48036DA-9A3E-1648-B8B3-3D6748CEECCD}" type="sibTrans" cxnId="{9759F3FE-8A7D-6D4B-B20D-B7088010DD1D}">
      <dgm:prSet/>
      <dgm:spPr/>
      <dgm:t>
        <a:bodyPr/>
        <a:lstStyle/>
        <a:p>
          <a:endParaRPr lang="en-US"/>
        </a:p>
      </dgm:t>
    </dgm:pt>
    <dgm:pt modelId="{2B6A6DCB-4DCA-D940-845F-B29A4663B3DF}">
      <dgm:prSet phldrT="[Text]" custT="1"/>
      <dgm:spPr/>
      <dgm:t>
        <a:bodyPr/>
        <a:lstStyle/>
        <a:p>
          <a:pPr algn="l"/>
          <a:r>
            <a:rPr lang="en-US" sz="1000">
              <a:latin typeface="Arial" charset="0"/>
              <a:ea typeface="Arial" charset="0"/>
              <a:cs typeface="Arial" charset="0"/>
            </a:rPr>
            <a:t>test 3 kritérií je považován za splněný u relevantních trhů uvedených v Doporučení o relevantních trzích</a:t>
          </a:r>
        </a:p>
      </dgm:t>
    </dgm:pt>
    <dgm:pt modelId="{E580019E-D007-B24D-9A9C-846CD76C3D67}" type="parTrans" cxnId="{91F71D5C-C742-FA4D-948F-D3CBCA5FB134}">
      <dgm:prSet/>
      <dgm:spPr/>
      <dgm:t>
        <a:bodyPr/>
        <a:lstStyle/>
        <a:p>
          <a:endParaRPr lang="en-US"/>
        </a:p>
      </dgm:t>
    </dgm:pt>
    <dgm:pt modelId="{F732C38F-79A2-2944-8418-37A0070AF37C}" type="sibTrans" cxnId="{91F71D5C-C742-FA4D-948F-D3CBCA5FB134}">
      <dgm:prSet/>
      <dgm:spPr/>
      <dgm:t>
        <a:bodyPr/>
        <a:lstStyle/>
        <a:p>
          <a:endParaRPr lang="en-US"/>
        </a:p>
      </dgm:t>
    </dgm:pt>
    <dgm:pt modelId="{CFF5F2C3-5DF7-2C42-92AB-9CA483EA66C2}">
      <dgm:prSet phldrT="[Text]" custT="1"/>
      <dgm:spPr/>
      <dgm:t>
        <a:bodyPr/>
        <a:lstStyle/>
        <a:p>
          <a:pPr algn="l"/>
          <a:r>
            <a:rPr lang="en-US" sz="1000">
              <a:latin typeface="Arial" charset="0"/>
              <a:ea typeface="Arial" charset="0"/>
              <a:cs typeface="Arial" charset="0"/>
            </a:rPr>
            <a:t>Úřa</a:t>
          </a:r>
          <a:r>
            <a:rPr lang="cs-CZ" sz="1000">
              <a:latin typeface="Arial" charset="0"/>
              <a:ea typeface="Arial" charset="0"/>
              <a:cs typeface="Arial" charset="0"/>
            </a:rPr>
            <a:t>d</a:t>
          </a:r>
          <a:r>
            <a:rPr lang="en-US" sz="1000">
              <a:latin typeface="Arial" charset="0"/>
              <a:ea typeface="Arial" charset="0"/>
              <a:cs typeface="Arial" charset="0"/>
            </a:rPr>
            <a:t> se může rozhodnout test 3 kritérií provést</a:t>
          </a:r>
        </a:p>
      </dgm:t>
    </dgm:pt>
    <dgm:pt modelId="{12ED4025-0A60-BF47-B3AE-FBDC0CDE9045}" type="parTrans" cxnId="{75866F62-CA12-D646-B683-BA7E064C811F}">
      <dgm:prSet/>
      <dgm:spPr/>
      <dgm:t>
        <a:bodyPr/>
        <a:lstStyle/>
        <a:p>
          <a:endParaRPr lang="en-US"/>
        </a:p>
      </dgm:t>
    </dgm:pt>
    <dgm:pt modelId="{68364085-4371-DF4D-BFBB-FE57AA8F13CB}" type="sibTrans" cxnId="{75866F62-CA12-D646-B683-BA7E064C811F}">
      <dgm:prSet/>
      <dgm:spPr/>
      <dgm:t>
        <a:bodyPr/>
        <a:lstStyle/>
        <a:p>
          <a:endParaRPr lang="en-US"/>
        </a:p>
      </dgm:t>
    </dgm:pt>
    <dgm:pt modelId="{F21FF0B6-404E-6F4D-90DC-C3C2B8798ED0}">
      <dgm:prSet phldrT="[Text]" custT="1"/>
      <dgm:spPr/>
      <dgm:t>
        <a:bodyPr/>
        <a:lstStyle/>
        <a:p>
          <a:endParaRPr lang="en-US" sz="1000" baseline="0">
            <a:latin typeface="Arial" charset="0"/>
            <a:ea typeface="Arial" charset="0"/>
            <a:cs typeface="Arial" charset="0"/>
          </a:endParaRPr>
        </a:p>
      </dgm:t>
    </dgm:pt>
    <dgm:pt modelId="{D2481630-9930-C342-A22D-2F6F2DDD52C6}" type="parTrans" cxnId="{3A13B484-16D3-5240-896A-026F066E38AD}">
      <dgm:prSet/>
      <dgm:spPr/>
      <dgm:t>
        <a:bodyPr/>
        <a:lstStyle/>
        <a:p>
          <a:endParaRPr lang="en-US"/>
        </a:p>
      </dgm:t>
    </dgm:pt>
    <dgm:pt modelId="{F5FA817C-19E1-CA47-B622-C6AE91D413B9}" type="sibTrans" cxnId="{3A13B484-16D3-5240-896A-026F066E38AD}">
      <dgm:prSet/>
      <dgm:spPr/>
      <dgm:t>
        <a:bodyPr/>
        <a:lstStyle/>
        <a:p>
          <a:endParaRPr lang="en-US"/>
        </a:p>
      </dgm:t>
    </dgm:pt>
    <dgm:pt modelId="{BF49074D-F834-5B4E-AC74-62EA47B288AE}">
      <dgm:prSet phldrT="[Text]" custT="1"/>
      <dgm:spPr/>
      <dgm:t>
        <a:bodyPr/>
        <a:lstStyle/>
        <a:p>
          <a:pPr algn="l"/>
          <a:endParaRPr lang="en-US" sz="1000">
            <a:latin typeface="Arial" charset="0"/>
            <a:ea typeface="Arial" charset="0"/>
            <a:cs typeface="Arial" charset="0"/>
          </a:endParaRPr>
        </a:p>
      </dgm:t>
    </dgm:pt>
    <dgm:pt modelId="{2B12A0D4-6A27-8F49-B7D9-6EDCCC0F3268}" type="parTrans" cxnId="{D73A232E-F398-0E4A-8DFE-931051DB8612}">
      <dgm:prSet/>
      <dgm:spPr/>
      <dgm:t>
        <a:bodyPr/>
        <a:lstStyle/>
        <a:p>
          <a:endParaRPr lang="en-US"/>
        </a:p>
      </dgm:t>
    </dgm:pt>
    <dgm:pt modelId="{453AD56E-9F26-E546-B7EC-03464DB044E0}" type="sibTrans" cxnId="{D73A232E-F398-0E4A-8DFE-931051DB8612}">
      <dgm:prSet/>
      <dgm:spPr/>
      <dgm:t>
        <a:bodyPr/>
        <a:lstStyle/>
        <a:p>
          <a:endParaRPr lang="en-US"/>
        </a:p>
      </dgm:t>
    </dgm:pt>
    <dgm:pt modelId="{D9A9C60A-6527-6A4E-B270-B166A00ECCCF}" type="pres">
      <dgm:prSet presAssocID="{ECFFEDFC-3862-6045-B714-E365AA7404EB}" presName="Name0" presStyleCnt="0">
        <dgm:presLayoutVars>
          <dgm:dir/>
          <dgm:resizeHandles val="exact"/>
        </dgm:presLayoutVars>
      </dgm:prSet>
      <dgm:spPr/>
    </dgm:pt>
    <dgm:pt modelId="{FE044522-9AAC-AF41-B8E9-9028B44555E2}" type="pres">
      <dgm:prSet presAssocID="{EB7D9176-4D9D-724A-9D02-D8C55AF6B7DE}" presName="node" presStyleLbl="node1" presStyleIdx="0" presStyleCnt="2">
        <dgm:presLayoutVars>
          <dgm:bulletEnabled val="1"/>
        </dgm:presLayoutVars>
      </dgm:prSet>
      <dgm:spPr/>
      <dgm:t>
        <a:bodyPr/>
        <a:lstStyle/>
        <a:p>
          <a:endParaRPr lang="en-US"/>
        </a:p>
      </dgm:t>
    </dgm:pt>
    <dgm:pt modelId="{79B4E2C3-1229-6F46-892D-A0839EB22095}" type="pres">
      <dgm:prSet presAssocID="{B87D69FE-B146-4F43-BFC7-43DCBA2FEC1F}" presName="sibTrans" presStyleLbl="sibTrans2D1" presStyleIdx="0" presStyleCnt="1"/>
      <dgm:spPr/>
      <dgm:t>
        <a:bodyPr/>
        <a:lstStyle/>
        <a:p>
          <a:endParaRPr lang="cs-CZ"/>
        </a:p>
      </dgm:t>
    </dgm:pt>
    <dgm:pt modelId="{5285BA96-E21D-524C-A207-E12CF5021633}" type="pres">
      <dgm:prSet presAssocID="{B87D69FE-B146-4F43-BFC7-43DCBA2FEC1F}" presName="connectorText" presStyleLbl="sibTrans2D1" presStyleIdx="0" presStyleCnt="1"/>
      <dgm:spPr/>
      <dgm:t>
        <a:bodyPr/>
        <a:lstStyle/>
        <a:p>
          <a:endParaRPr lang="cs-CZ"/>
        </a:p>
      </dgm:t>
    </dgm:pt>
    <dgm:pt modelId="{AC8E568F-DB14-5649-A655-18638E480272}" type="pres">
      <dgm:prSet presAssocID="{AE3B5212-F1D5-7748-9B3C-286107EA28E7}" presName="node" presStyleLbl="node1" presStyleIdx="1" presStyleCnt="2">
        <dgm:presLayoutVars>
          <dgm:bulletEnabled val="1"/>
        </dgm:presLayoutVars>
      </dgm:prSet>
      <dgm:spPr/>
      <dgm:t>
        <a:bodyPr/>
        <a:lstStyle/>
        <a:p>
          <a:endParaRPr lang="en-US"/>
        </a:p>
      </dgm:t>
    </dgm:pt>
  </dgm:ptLst>
  <dgm:cxnLst>
    <dgm:cxn modelId="{32B72AEA-F720-48A4-B1BF-C64091F1E1DA}" type="presOf" srcId="{B87D69FE-B146-4F43-BFC7-43DCBA2FEC1F}" destId="{5285BA96-E21D-524C-A207-E12CF5021633}" srcOrd="1" destOrd="0" presId="urn:microsoft.com/office/officeart/2005/8/layout/process1"/>
    <dgm:cxn modelId="{10E84C0A-AD7A-44D6-AAB7-C2870A51FA0C}" type="presOf" srcId="{2B6A6DCB-4DCA-D940-845F-B29A4663B3DF}" destId="{AC8E568F-DB14-5649-A655-18638E480272}" srcOrd="0" destOrd="2" presId="urn:microsoft.com/office/officeart/2005/8/layout/process1"/>
    <dgm:cxn modelId="{8E5FE9FA-C6BB-4346-B1C7-B30D592D7589}" type="presOf" srcId="{ECFFEDFC-3862-6045-B714-E365AA7404EB}" destId="{D9A9C60A-6527-6A4E-B270-B166A00ECCCF}" srcOrd="0" destOrd="0" presId="urn:microsoft.com/office/officeart/2005/8/layout/process1"/>
    <dgm:cxn modelId="{1443654D-800C-4359-916B-8D40309ABC6B}" type="presOf" srcId="{B87D69FE-B146-4F43-BFC7-43DCBA2FEC1F}" destId="{79B4E2C3-1229-6F46-892D-A0839EB22095}" srcOrd="0" destOrd="0" presId="urn:microsoft.com/office/officeart/2005/8/layout/process1"/>
    <dgm:cxn modelId="{CE66BB5F-FD54-4455-B468-E6BFAEDA057D}" type="presOf" srcId="{F21FF0B6-404E-6F4D-90DC-C3C2B8798ED0}" destId="{FE044522-9AAC-AF41-B8E9-9028B44555E2}" srcOrd="0" destOrd="1" presId="urn:microsoft.com/office/officeart/2005/8/layout/process1"/>
    <dgm:cxn modelId="{3A13B484-16D3-5240-896A-026F066E38AD}" srcId="{EB7D9176-4D9D-724A-9D02-D8C55AF6B7DE}" destId="{F21FF0B6-404E-6F4D-90DC-C3C2B8798ED0}" srcOrd="0" destOrd="0" parTransId="{D2481630-9930-C342-A22D-2F6F2DDD52C6}" sibTransId="{F5FA817C-19E1-CA47-B622-C6AE91D413B9}"/>
    <dgm:cxn modelId="{CC6243F4-010C-43FC-833F-B84AC8BFB60D}" type="presOf" srcId="{EB7D9176-4D9D-724A-9D02-D8C55AF6B7DE}" destId="{FE044522-9AAC-AF41-B8E9-9028B44555E2}" srcOrd="0" destOrd="0" presId="urn:microsoft.com/office/officeart/2005/8/layout/process1"/>
    <dgm:cxn modelId="{24942DCE-B454-4308-90CF-B538C6719472}" type="presOf" srcId="{BF49074D-F834-5B4E-AC74-62EA47B288AE}" destId="{AC8E568F-DB14-5649-A655-18638E480272}" srcOrd="0" destOrd="1" presId="urn:microsoft.com/office/officeart/2005/8/layout/process1"/>
    <dgm:cxn modelId="{91F71D5C-C742-FA4D-948F-D3CBCA5FB134}" srcId="{AE3B5212-F1D5-7748-9B3C-286107EA28E7}" destId="{2B6A6DCB-4DCA-D940-845F-B29A4663B3DF}" srcOrd="1" destOrd="0" parTransId="{E580019E-D007-B24D-9A9C-846CD76C3D67}" sibTransId="{F732C38F-79A2-2944-8418-37A0070AF37C}"/>
    <dgm:cxn modelId="{074357A8-52D4-48E7-9801-AC5E1874DCD8}" type="presOf" srcId="{CFF5F2C3-5DF7-2C42-92AB-9CA483EA66C2}" destId="{AC8E568F-DB14-5649-A655-18638E480272}" srcOrd="0" destOrd="3" presId="urn:microsoft.com/office/officeart/2005/8/layout/process1"/>
    <dgm:cxn modelId="{9759F3FE-8A7D-6D4B-B20D-B7088010DD1D}" srcId="{EB7D9176-4D9D-724A-9D02-D8C55AF6B7DE}" destId="{10205D1C-DD12-3E44-B917-1D40D18683FE}" srcOrd="1" destOrd="0" parTransId="{50B1BBBD-A492-7942-88F9-F92D2D2FAB9E}" sibTransId="{D48036DA-9A3E-1648-B8B3-3D6748CEECCD}"/>
    <dgm:cxn modelId="{75866F62-CA12-D646-B683-BA7E064C811F}" srcId="{AE3B5212-F1D5-7748-9B3C-286107EA28E7}" destId="{CFF5F2C3-5DF7-2C42-92AB-9CA483EA66C2}" srcOrd="2" destOrd="0" parTransId="{12ED4025-0A60-BF47-B3AE-FBDC0CDE9045}" sibTransId="{68364085-4371-DF4D-BFBB-FE57AA8F13CB}"/>
    <dgm:cxn modelId="{D73A232E-F398-0E4A-8DFE-931051DB8612}" srcId="{AE3B5212-F1D5-7748-9B3C-286107EA28E7}" destId="{BF49074D-F834-5B4E-AC74-62EA47B288AE}" srcOrd="0" destOrd="0" parTransId="{2B12A0D4-6A27-8F49-B7D9-6EDCCC0F3268}" sibTransId="{453AD56E-9F26-E546-B7EC-03464DB044E0}"/>
    <dgm:cxn modelId="{D4E7E210-20FA-43CA-8A5F-C22F9FF8179D}" type="presOf" srcId="{AE3B5212-F1D5-7748-9B3C-286107EA28E7}" destId="{AC8E568F-DB14-5649-A655-18638E480272}" srcOrd="0" destOrd="0" presId="urn:microsoft.com/office/officeart/2005/8/layout/process1"/>
    <dgm:cxn modelId="{204B0027-03C2-4FA5-91F0-B1ECD6AF627D}" type="presOf" srcId="{10205D1C-DD12-3E44-B917-1D40D18683FE}" destId="{FE044522-9AAC-AF41-B8E9-9028B44555E2}" srcOrd="0" destOrd="2" presId="urn:microsoft.com/office/officeart/2005/8/layout/process1"/>
    <dgm:cxn modelId="{ECC393EF-C04A-B241-A532-3348F5A71843}" srcId="{ECFFEDFC-3862-6045-B714-E365AA7404EB}" destId="{AE3B5212-F1D5-7748-9B3C-286107EA28E7}" srcOrd="1" destOrd="0" parTransId="{EA5321FD-2C03-AD45-BBF3-36A8709237D0}" sibTransId="{11E344C8-1080-F040-AECC-B312439FFDD7}"/>
    <dgm:cxn modelId="{08871174-F76F-CD46-AE64-F502913C24B2}" srcId="{ECFFEDFC-3862-6045-B714-E365AA7404EB}" destId="{EB7D9176-4D9D-724A-9D02-D8C55AF6B7DE}" srcOrd="0" destOrd="0" parTransId="{C40A290D-5A91-164B-99BF-B6747E8E51B4}" sibTransId="{B87D69FE-B146-4F43-BFC7-43DCBA2FEC1F}"/>
    <dgm:cxn modelId="{F4ABB8BA-D280-41FE-B71F-A632D844187B}" type="presParOf" srcId="{D9A9C60A-6527-6A4E-B270-B166A00ECCCF}" destId="{FE044522-9AAC-AF41-B8E9-9028B44555E2}" srcOrd="0" destOrd="0" presId="urn:microsoft.com/office/officeart/2005/8/layout/process1"/>
    <dgm:cxn modelId="{5881195C-01AB-4170-B7AC-84FE821606ED}" type="presParOf" srcId="{D9A9C60A-6527-6A4E-B270-B166A00ECCCF}" destId="{79B4E2C3-1229-6F46-892D-A0839EB22095}" srcOrd="1" destOrd="0" presId="urn:microsoft.com/office/officeart/2005/8/layout/process1"/>
    <dgm:cxn modelId="{9955638C-F8D3-471D-B670-D1C4F31B51B0}" type="presParOf" srcId="{79B4E2C3-1229-6F46-892D-A0839EB22095}" destId="{5285BA96-E21D-524C-A207-E12CF5021633}" srcOrd="0" destOrd="0" presId="urn:microsoft.com/office/officeart/2005/8/layout/process1"/>
    <dgm:cxn modelId="{3260B478-BBA5-47EB-9A73-56C49C7B903F}" type="presParOf" srcId="{D9A9C60A-6527-6A4E-B270-B166A00ECCCF}" destId="{AC8E568F-DB14-5649-A655-18638E480272}" srcOrd="2"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FFEDFC-3862-6045-B714-E365AA7404EB}" type="doc">
      <dgm:prSet loTypeId="urn:microsoft.com/office/officeart/2005/8/layout/process1" loCatId="" qsTypeId="urn:microsoft.com/office/officeart/2005/8/quickstyle/simple4" qsCatId="simple" csTypeId="urn:microsoft.com/office/officeart/2005/8/colors/accent0_1" csCatId="mainScheme" phldr="1"/>
      <dgm:spPr/>
    </dgm:pt>
    <dgm:pt modelId="{EB7D9176-4D9D-724A-9D02-D8C55AF6B7DE}">
      <dgm:prSet phldrT="[Text]" custT="1"/>
      <dgm:spPr/>
      <dgm:t>
        <a:bodyPr/>
        <a:lstStyle/>
        <a:p>
          <a:r>
            <a:rPr lang="en-US" sz="1000" b="1">
              <a:latin typeface="Arial" charset="0"/>
              <a:ea typeface="Arial" charset="0"/>
              <a:cs typeface="Arial" charset="0"/>
            </a:rPr>
            <a:t>Vymezení relevantního</a:t>
          </a:r>
          <a:r>
            <a:rPr lang="en-US" sz="1000" b="1" baseline="0">
              <a:latin typeface="Arial" charset="0"/>
              <a:ea typeface="Arial" charset="0"/>
              <a:cs typeface="Arial" charset="0"/>
            </a:rPr>
            <a:t> trhu</a:t>
          </a:r>
        </a:p>
      </dgm:t>
    </dgm:pt>
    <dgm:pt modelId="{C40A290D-5A91-164B-99BF-B6747E8E51B4}" type="parTrans" cxnId="{08871174-F76F-CD46-AE64-F502913C24B2}">
      <dgm:prSet/>
      <dgm:spPr/>
      <dgm:t>
        <a:bodyPr/>
        <a:lstStyle/>
        <a:p>
          <a:endParaRPr lang="en-US"/>
        </a:p>
      </dgm:t>
    </dgm:pt>
    <dgm:pt modelId="{B87D69FE-B146-4F43-BFC7-43DCBA2FEC1F}" type="sibTrans" cxnId="{08871174-F76F-CD46-AE64-F502913C24B2}">
      <dgm:prSet/>
      <dgm:spPr/>
      <dgm:t>
        <a:bodyPr/>
        <a:lstStyle/>
        <a:p>
          <a:endParaRPr lang="en-US"/>
        </a:p>
      </dgm:t>
    </dgm:pt>
    <dgm:pt modelId="{AE3B5212-F1D5-7748-9B3C-286107EA28E7}">
      <dgm:prSet phldrT="[Text]" custT="1"/>
      <dgm:spPr/>
      <dgm:t>
        <a:bodyPr/>
        <a:lstStyle/>
        <a:p>
          <a:pPr lvl="0" algn="l" defTabSz="444500">
            <a:lnSpc>
              <a:spcPct val="90000"/>
            </a:lnSpc>
            <a:spcBef>
              <a:spcPct val="0"/>
            </a:spcBef>
            <a:spcAft>
              <a:spcPct val="35000"/>
            </a:spcAft>
          </a:pPr>
          <a:r>
            <a:rPr lang="en-US" sz="1000" b="1">
              <a:latin typeface="Arial" charset="0"/>
              <a:ea typeface="Arial" charset="0"/>
              <a:cs typeface="Arial" charset="0"/>
            </a:rPr>
            <a:t>Stanovení</a:t>
          </a:r>
          <a:r>
            <a:rPr lang="en-US" sz="1000" b="1" baseline="0">
              <a:latin typeface="Arial" charset="0"/>
              <a:ea typeface="Arial" charset="0"/>
              <a:cs typeface="Arial" charset="0"/>
            </a:rPr>
            <a:t> relevantního trhu</a:t>
          </a:r>
          <a:endParaRPr lang="en-US" sz="1000" b="1">
            <a:latin typeface="Arial" charset="0"/>
            <a:ea typeface="Arial" charset="0"/>
            <a:cs typeface="Arial" charset="0"/>
          </a:endParaRPr>
        </a:p>
      </dgm:t>
    </dgm:pt>
    <dgm:pt modelId="{EA5321FD-2C03-AD45-BBF3-36A8709237D0}" type="parTrans" cxnId="{ECC393EF-C04A-B241-A532-3348F5A71843}">
      <dgm:prSet/>
      <dgm:spPr/>
      <dgm:t>
        <a:bodyPr/>
        <a:lstStyle/>
        <a:p>
          <a:endParaRPr lang="en-US"/>
        </a:p>
      </dgm:t>
    </dgm:pt>
    <dgm:pt modelId="{11E344C8-1080-F040-AECC-B312439FFDD7}" type="sibTrans" cxnId="{ECC393EF-C04A-B241-A532-3348F5A71843}">
      <dgm:prSet/>
      <dgm:spPr/>
      <dgm:t>
        <a:bodyPr/>
        <a:lstStyle/>
        <a:p>
          <a:endParaRPr lang="en-US"/>
        </a:p>
      </dgm:t>
    </dgm:pt>
    <dgm:pt modelId="{10205D1C-DD12-3E44-B917-1D40D18683FE}">
      <dgm:prSet phldrT="[Text]" custT="1"/>
      <dgm:spPr/>
      <dgm:t>
        <a:bodyPr/>
        <a:lstStyle/>
        <a:p>
          <a:r>
            <a:rPr lang="en-US" sz="1000" baseline="0">
              <a:latin typeface="Arial" charset="0"/>
              <a:ea typeface="Arial" charset="0"/>
              <a:cs typeface="Arial" charset="0"/>
            </a:rPr>
            <a:t>věcné, územní a časové vymezení dle této kapitoly č. </a:t>
          </a:r>
          <a:r>
            <a:rPr lang="cs-CZ" sz="1000" baseline="0">
              <a:latin typeface="Arial" charset="0"/>
              <a:ea typeface="Arial" charset="0"/>
              <a:cs typeface="Arial" charset="0"/>
            </a:rPr>
            <a:t>3</a:t>
          </a:r>
          <a:r>
            <a:rPr lang="en-US" sz="1000" baseline="0">
              <a:latin typeface="Arial" charset="0"/>
              <a:ea typeface="Arial" charset="0"/>
              <a:cs typeface="Arial" charset="0"/>
            </a:rPr>
            <a:t> Metodiky</a:t>
          </a:r>
        </a:p>
      </dgm:t>
    </dgm:pt>
    <dgm:pt modelId="{50B1BBBD-A492-7942-88F9-F92D2D2FAB9E}" type="parTrans" cxnId="{9759F3FE-8A7D-6D4B-B20D-B7088010DD1D}">
      <dgm:prSet/>
      <dgm:spPr/>
      <dgm:t>
        <a:bodyPr/>
        <a:lstStyle/>
        <a:p>
          <a:endParaRPr lang="en-US"/>
        </a:p>
      </dgm:t>
    </dgm:pt>
    <dgm:pt modelId="{D48036DA-9A3E-1648-B8B3-3D6748CEECCD}" type="sibTrans" cxnId="{9759F3FE-8A7D-6D4B-B20D-B7088010DD1D}">
      <dgm:prSet/>
      <dgm:spPr/>
      <dgm:t>
        <a:bodyPr/>
        <a:lstStyle/>
        <a:p>
          <a:endParaRPr lang="en-US"/>
        </a:p>
      </dgm:t>
    </dgm:pt>
    <dgm:pt modelId="{2B6A6DCB-4DCA-D940-845F-B29A4663B3DF}">
      <dgm:prSet phldrT="[Text]" custT="1"/>
      <dgm:spPr/>
      <dgm:t>
        <a:bodyPr/>
        <a:lstStyle/>
        <a:p>
          <a:pPr marL="57150" lvl="1" indent="0" algn="l" defTabSz="444500">
            <a:lnSpc>
              <a:spcPct val="90000"/>
            </a:lnSpc>
            <a:spcBef>
              <a:spcPct val="0"/>
            </a:spcBef>
            <a:spcAft>
              <a:spcPct val="15000"/>
            </a:spcAft>
            <a:buNone/>
          </a:pPr>
          <a:r>
            <a:rPr lang="en-US" sz="1000">
              <a:latin typeface="Arial" charset="0"/>
              <a:ea typeface="Arial" charset="0"/>
              <a:cs typeface="Arial" charset="0"/>
            </a:rPr>
            <a:t>test 3 kritérií</a:t>
          </a:r>
          <a:r>
            <a:rPr lang="en-US" sz="1000" baseline="0">
              <a:latin typeface="Arial" charset="0"/>
              <a:ea typeface="Arial" charset="0"/>
              <a:cs typeface="Arial" charset="0"/>
            </a:rPr>
            <a:t> na každém vymezeném trhu neuvedeném v Doporučení o relevantních trzích</a:t>
          </a:r>
          <a:endParaRPr lang="en-US" sz="1000">
            <a:latin typeface="Arial" charset="0"/>
            <a:ea typeface="Arial" charset="0"/>
            <a:cs typeface="Arial" charset="0"/>
          </a:endParaRPr>
        </a:p>
      </dgm:t>
    </dgm:pt>
    <dgm:pt modelId="{E580019E-D007-B24D-9A9C-846CD76C3D67}" type="parTrans" cxnId="{91F71D5C-C742-FA4D-948F-D3CBCA5FB134}">
      <dgm:prSet/>
      <dgm:spPr/>
      <dgm:t>
        <a:bodyPr/>
        <a:lstStyle/>
        <a:p>
          <a:endParaRPr lang="en-US"/>
        </a:p>
      </dgm:t>
    </dgm:pt>
    <dgm:pt modelId="{F732C38F-79A2-2944-8418-37A0070AF37C}" type="sibTrans" cxnId="{91F71D5C-C742-FA4D-948F-D3CBCA5FB134}">
      <dgm:prSet/>
      <dgm:spPr/>
      <dgm:t>
        <a:bodyPr/>
        <a:lstStyle/>
        <a:p>
          <a:endParaRPr lang="en-US"/>
        </a:p>
      </dgm:t>
    </dgm:pt>
    <dgm:pt modelId="{CFF5F2C3-5DF7-2C42-92AB-9CA483EA66C2}">
      <dgm:prSet phldrT="[Text]" custT="1"/>
      <dgm:spPr/>
      <dgm:t>
        <a:bodyPr/>
        <a:lstStyle/>
        <a:p>
          <a:pPr marL="57150" marR="0" lvl="1" indent="-57150" algn="l" defTabSz="444500" rtl="0" eaLnBrk="1" fontAlgn="auto" latinLnBrk="0" hangingPunct="1">
            <a:lnSpc>
              <a:spcPct val="90000"/>
            </a:lnSpc>
            <a:spcBef>
              <a:spcPct val="0"/>
            </a:spcBef>
            <a:spcAft>
              <a:spcPct val="15000"/>
            </a:spcAft>
            <a:buClrTx/>
            <a:buSzTx/>
            <a:buFontTx/>
            <a:buNone/>
            <a:tabLst/>
            <a:defRPr/>
          </a:pPr>
          <a:endParaRPr lang="en-US" sz="1000">
            <a:latin typeface="Arial" charset="0"/>
            <a:ea typeface="Arial" charset="0"/>
            <a:cs typeface="Arial" charset="0"/>
          </a:endParaRPr>
        </a:p>
      </dgm:t>
    </dgm:pt>
    <dgm:pt modelId="{12ED4025-0A60-BF47-B3AE-FBDC0CDE9045}" type="parTrans" cxnId="{75866F62-CA12-D646-B683-BA7E064C811F}">
      <dgm:prSet/>
      <dgm:spPr/>
      <dgm:t>
        <a:bodyPr/>
        <a:lstStyle/>
        <a:p>
          <a:endParaRPr lang="en-US"/>
        </a:p>
      </dgm:t>
    </dgm:pt>
    <dgm:pt modelId="{68364085-4371-DF4D-BFBB-FE57AA8F13CB}" type="sibTrans" cxnId="{75866F62-CA12-D646-B683-BA7E064C811F}">
      <dgm:prSet/>
      <dgm:spPr/>
      <dgm:t>
        <a:bodyPr/>
        <a:lstStyle/>
        <a:p>
          <a:endParaRPr lang="en-US"/>
        </a:p>
      </dgm:t>
    </dgm:pt>
    <dgm:pt modelId="{F21FF0B6-404E-6F4D-90DC-C3C2B8798ED0}">
      <dgm:prSet phldrT="[Text]" custT="1"/>
      <dgm:spPr/>
      <dgm:t>
        <a:bodyPr/>
        <a:lstStyle/>
        <a:p>
          <a:endParaRPr lang="en-US" sz="1000" baseline="0">
            <a:latin typeface="Arial" charset="0"/>
            <a:ea typeface="Arial" charset="0"/>
            <a:cs typeface="Arial" charset="0"/>
          </a:endParaRPr>
        </a:p>
      </dgm:t>
    </dgm:pt>
    <dgm:pt modelId="{D2481630-9930-C342-A22D-2F6F2DDD52C6}" type="parTrans" cxnId="{3A13B484-16D3-5240-896A-026F066E38AD}">
      <dgm:prSet/>
      <dgm:spPr/>
      <dgm:t>
        <a:bodyPr/>
        <a:lstStyle/>
        <a:p>
          <a:endParaRPr lang="en-US"/>
        </a:p>
      </dgm:t>
    </dgm:pt>
    <dgm:pt modelId="{F5FA817C-19E1-CA47-B622-C6AE91D413B9}" type="sibTrans" cxnId="{3A13B484-16D3-5240-896A-026F066E38AD}">
      <dgm:prSet/>
      <dgm:spPr/>
      <dgm:t>
        <a:bodyPr/>
        <a:lstStyle/>
        <a:p>
          <a:endParaRPr lang="en-US"/>
        </a:p>
      </dgm:t>
    </dgm:pt>
    <dgm:pt modelId="{BF49074D-F834-5B4E-AC74-62EA47B288AE}">
      <dgm:prSet phldrT="[Text]" custT="1"/>
      <dgm:spPr/>
      <dgm:t>
        <a:bodyPr/>
        <a:lstStyle/>
        <a:p>
          <a:pPr marL="57150" lvl="1" indent="0" algn="l" defTabSz="444500">
            <a:lnSpc>
              <a:spcPct val="90000"/>
            </a:lnSpc>
            <a:spcBef>
              <a:spcPct val="0"/>
            </a:spcBef>
            <a:spcAft>
              <a:spcPct val="15000"/>
            </a:spcAft>
            <a:buNone/>
          </a:pPr>
          <a:endParaRPr lang="en-US" sz="1000">
            <a:latin typeface="Arial" charset="0"/>
            <a:ea typeface="Arial" charset="0"/>
            <a:cs typeface="Arial" charset="0"/>
          </a:endParaRPr>
        </a:p>
      </dgm:t>
    </dgm:pt>
    <dgm:pt modelId="{2B12A0D4-6A27-8F49-B7D9-6EDCCC0F3268}" type="parTrans" cxnId="{D73A232E-F398-0E4A-8DFE-931051DB8612}">
      <dgm:prSet/>
      <dgm:spPr/>
      <dgm:t>
        <a:bodyPr/>
        <a:lstStyle/>
        <a:p>
          <a:endParaRPr lang="en-US"/>
        </a:p>
      </dgm:t>
    </dgm:pt>
    <dgm:pt modelId="{453AD56E-9F26-E546-B7EC-03464DB044E0}" type="sibTrans" cxnId="{D73A232E-F398-0E4A-8DFE-931051DB8612}">
      <dgm:prSet/>
      <dgm:spPr/>
      <dgm:t>
        <a:bodyPr/>
        <a:lstStyle/>
        <a:p>
          <a:endParaRPr lang="en-US"/>
        </a:p>
      </dgm:t>
    </dgm:pt>
    <dgm:pt modelId="{08D127C0-F68C-D946-A8C3-8FD1A5BC3195}">
      <dgm:prSet phldrT="[Text]" custT="1"/>
      <dgm:spPr/>
      <dgm:t>
        <a:bodyPr/>
        <a:lstStyle/>
        <a:p>
          <a:r>
            <a:rPr lang="en-US" sz="1000" baseline="0">
              <a:latin typeface="Arial" charset="0"/>
              <a:ea typeface="Arial" charset="0"/>
              <a:cs typeface="Arial" charset="0"/>
            </a:rPr>
            <a:t>identifikace potenciáln</a:t>
          </a:r>
          <a:r>
            <a:rPr lang="cs-CZ" sz="1000" baseline="0">
              <a:latin typeface="Arial" charset="0"/>
              <a:ea typeface="Arial" charset="0"/>
              <a:cs typeface="Arial" charset="0"/>
            </a:rPr>
            <a:t>í</a:t>
          </a:r>
          <a:r>
            <a:rPr lang="en-US" sz="1000" baseline="0">
              <a:latin typeface="Arial" charset="0"/>
              <a:ea typeface="Arial" charset="0"/>
              <a:cs typeface="Arial" charset="0"/>
            </a:rPr>
            <a:t>ho relevantního trhu</a:t>
          </a:r>
        </a:p>
      </dgm:t>
    </dgm:pt>
    <dgm:pt modelId="{E55B8723-2F12-6341-80C5-4A13A144E860}" type="parTrans" cxnId="{6867CCAB-95DF-8F45-AD3D-3DD8AB39BD57}">
      <dgm:prSet/>
      <dgm:spPr/>
      <dgm:t>
        <a:bodyPr/>
        <a:lstStyle/>
        <a:p>
          <a:endParaRPr lang="cs-CZ"/>
        </a:p>
      </dgm:t>
    </dgm:pt>
    <dgm:pt modelId="{8DA67CF9-82F8-1C4A-A6D5-7D14B4BED0E5}" type="sibTrans" cxnId="{6867CCAB-95DF-8F45-AD3D-3DD8AB39BD57}">
      <dgm:prSet/>
      <dgm:spPr/>
      <dgm:t>
        <a:bodyPr/>
        <a:lstStyle/>
        <a:p>
          <a:endParaRPr lang="cs-CZ"/>
        </a:p>
      </dgm:t>
    </dgm:pt>
    <dgm:pt modelId="{D9A9C60A-6527-6A4E-B270-B166A00ECCCF}" type="pres">
      <dgm:prSet presAssocID="{ECFFEDFC-3862-6045-B714-E365AA7404EB}" presName="Name0" presStyleCnt="0">
        <dgm:presLayoutVars>
          <dgm:dir/>
          <dgm:resizeHandles val="exact"/>
        </dgm:presLayoutVars>
      </dgm:prSet>
      <dgm:spPr/>
    </dgm:pt>
    <dgm:pt modelId="{FE044522-9AAC-AF41-B8E9-9028B44555E2}" type="pres">
      <dgm:prSet presAssocID="{EB7D9176-4D9D-724A-9D02-D8C55AF6B7DE}" presName="node" presStyleLbl="node1" presStyleIdx="0" presStyleCnt="2">
        <dgm:presLayoutVars>
          <dgm:bulletEnabled val="1"/>
        </dgm:presLayoutVars>
      </dgm:prSet>
      <dgm:spPr/>
      <dgm:t>
        <a:bodyPr/>
        <a:lstStyle/>
        <a:p>
          <a:endParaRPr lang="en-US"/>
        </a:p>
      </dgm:t>
    </dgm:pt>
    <dgm:pt modelId="{79B4E2C3-1229-6F46-892D-A0839EB22095}" type="pres">
      <dgm:prSet presAssocID="{B87D69FE-B146-4F43-BFC7-43DCBA2FEC1F}" presName="sibTrans" presStyleLbl="sibTrans2D1" presStyleIdx="0" presStyleCnt="1"/>
      <dgm:spPr/>
      <dgm:t>
        <a:bodyPr/>
        <a:lstStyle/>
        <a:p>
          <a:endParaRPr lang="cs-CZ"/>
        </a:p>
      </dgm:t>
    </dgm:pt>
    <dgm:pt modelId="{5285BA96-E21D-524C-A207-E12CF5021633}" type="pres">
      <dgm:prSet presAssocID="{B87D69FE-B146-4F43-BFC7-43DCBA2FEC1F}" presName="connectorText" presStyleLbl="sibTrans2D1" presStyleIdx="0" presStyleCnt="1"/>
      <dgm:spPr/>
      <dgm:t>
        <a:bodyPr/>
        <a:lstStyle/>
        <a:p>
          <a:endParaRPr lang="cs-CZ"/>
        </a:p>
      </dgm:t>
    </dgm:pt>
    <dgm:pt modelId="{AC8E568F-DB14-5649-A655-18638E480272}" type="pres">
      <dgm:prSet presAssocID="{AE3B5212-F1D5-7748-9B3C-286107EA28E7}" presName="node" presStyleLbl="node1" presStyleIdx="1" presStyleCnt="2">
        <dgm:presLayoutVars>
          <dgm:bulletEnabled val="1"/>
        </dgm:presLayoutVars>
      </dgm:prSet>
      <dgm:spPr/>
      <dgm:t>
        <a:bodyPr/>
        <a:lstStyle/>
        <a:p>
          <a:endParaRPr lang="en-US"/>
        </a:p>
      </dgm:t>
    </dgm:pt>
  </dgm:ptLst>
  <dgm:cxnLst>
    <dgm:cxn modelId="{A83A791F-085C-41AA-A9BB-2D19C0CD87E0}" type="presOf" srcId="{EB7D9176-4D9D-724A-9D02-D8C55AF6B7DE}" destId="{FE044522-9AAC-AF41-B8E9-9028B44555E2}" srcOrd="0" destOrd="0" presId="urn:microsoft.com/office/officeart/2005/8/layout/process1"/>
    <dgm:cxn modelId="{FDB1931D-4071-49FC-A5BD-D93E95899331}" type="presOf" srcId="{ECFFEDFC-3862-6045-B714-E365AA7404EB}" destId="{D9A9C60A-6527-6A4E-B270-B166A00ECCCF}" srcOrd="0" destOrd="0" presId="urn:microsoft.com/office/officeart/2005/8/layout/process1"/>
    <dgm:cxn modelId="{2BE731E0-AA2E-4236-8913-D3C61B162668}" type="presOf" srcId="{B87D69FE-B146-4F43-BFC7-43DCBA2FEC1F}" destId="{79B4E2C3-1229-6F46-892D-A0839EB22095}" srcOrd="0" destOrd="0" presId="urn:microsoft.com/office/officeart/2005/8/layout/process1"/>
    <dgm:cxn modelId="{6F2D2EAF-A674-4E21-9CCB-959D4760BEEB}" type="presOf" srcId="{2B6A6DCB-4DCA-D940-845F-B29A4663B3DF}" destId="{AC8E568F-DB14-5649-A655-18638E480272}" srcOrd="0" destOrd="2" presId="urn:microsoft.com/office/officeart/2005/8/layout/process1"/>
    <dgm:cxn modelId="{CEF7358F-EA60-428D-B502-BDA429871D68}" type="presOf" srcId="{B87D69FE-B146-4F43-BFC7-43DCBA2FEC1F}" destId="{5285BA96-E21D-524C-A207-E12CF5021633}" srcOrd="1" destOrd="0" presId="urn:microsoft.com/office/officeart/2005/8/layout/process1"/>
    <dgm:cxn modelId="{7CA4A9E2-BB1B-4D72-AD50-1E6177E8F560}" type="presOf" srcId="{AE3B5212-F1D5-7748-9B3C-286107EA28E7}" destId="{AC8E568F-DB14-5649-A655-18638E480272}" srcOrd="0" destOrd="0" presId="urn:microsoft.com/office/officeart/2005/8/layout/process1"/>
    <dgm:cxn modelId="{19BD6741-28B0-4138-8FD0-24C5E48B1B7D}" type="presOf" srcId="{10205D1C-DD12-3E44-B917-1D40D18683FE}" destId="{FE044522-9AAC-AF41-B8E9-9028B44555E2}" srcOrd="0" destOrd="3" presId="urn:microsoft.com/office/officeart/2005/8/layout/process1"/>
    <dgm:cxn modelId="{0A6DAC10-F5D4-4428-A707-AC48E0E97A80}" type="presOf" srcId="{08D127C0-F68C-D946-A8C3-8FD1A5BC3195}" destId="{FE044522-9AAC-AF41-B8E9-9028B44555E2}" srcOrd="0" destOrd="2" presId="urn:microsoft.com/office/officeart/2005/8/layout/process1"/>
    <dgm:cxn modelId="{3A13B484-16D3-5240-896A-026F066E38AD}" srcId="{EB7D9176-4D9D-724A-9D02-D8C55AF6B7DE}" destId="{F21FF0B6-404E-6F4D-90DC-C3C2B8798ED0}" srcOrd="0" destOrd="0" parTransId="{D2481630-9930-C342-A22D-2F6F2DDD52C6}" sibTransId="{F5FA817C-19E1-CA47-B622-C6AE91D413B9}"/>
    <dgm:cxn modelId="{6867CCAB-95DF-8F45-AD3D-3DD8AB39BD57}" srcId="{EB7D9176-4D9D-724A-9D02-D8C55AF6B7DE}" destId="{08D127C0-F68C-D946-A8C3-8FD1A5BC3195}" srcOrd="1" destOrd="0" parTransId="{E55B8723-2F12-6341-80C5-4A13A144E860}" sibTransId="{8DA67CF9-82F8-1C4A-A6D5-7D14B4BED0E5}"/>
    <dgm:cxn modelId="{91F71D5C-C742-FA4D-948F-D3CBCA5FB134}" srcId="{AE3B5212-F1D5-7748-9B3C-286107EA28E7}" destId="{2B6A6DCB-4DCA-D940-845F-B29A4663B3DF}" srcOrd="1" destOrd="0" parTransId="{E580019E-D007-B24D-9A9C-846CD76C3D67}" sibTransId="{F732C38F-79A2-2944-8418-37A0070AF37C}"/>
    <dgm:cxn modelId="{9759F3FE-8A7D-6D4B-B20D-B7088010DD1D}" srcId="{EB7D9176-4D9D-724A-9D02-D8C55AF6B7DE}" destId="{10205D1C-DD12-3E44-B917-1D40D18683FE}" srcOrd="2" destOrd="0" parTransId="{50B1BBBD-A492-7942-88F9-F92D2D2FAB9E}" sibTransId="{D48036DA-9A3E-1648-B8B3-3D6748CEECCD}"/>
    <dgm:cxn modelId="{75866F62-CA12-D646-B683-BA7E064C811F}" srcId="{AE3B5212-F1D5-7748-9B3C-286107EA28E7}" destId="{CFF5F2C3-5DF7-2C42-92AB-9CA483EA66C2}" srcOrd="2" destOrd="0" parTransId="{12ED4025-0A60-BF47-B3AE-FBDC0CDE9045}" sibTransId="{68364085-4371-DF4D-BFBB-FE57AA8F13CB}"/>
    <dgm:cxn modelId="{DD46F19C-EF3A-4DE6-A1FF-ADC99EBB9E09}" type="presOf" srcId="{BF49074D-F834-5B4E-AC74-62EA47B288AE}" destId="{AC8E568F-DB14-5649-A655-18638E480272}" srcOrd="0" destOrd="1" presId="urn:microsoft.com/office/officeart/2005/8/layout/process1"/>
    <dgm:cxn modelId="{D73A232E-F398-0E4A-8DFE-931051DB8612}" srcId="{AE3B5212-F1D5-7748-9B3C-286107EA28E7}" destId="{BF49074D-F834-5B4E-AC74-62EA47B288AE}" srcOrd="0" destOrd="0" parTransId="{2B12A0D4-6A27-8F49-B7D9-6EDCCC0F3268}" sibTransId="{453AD56E-9F26-E546-B7EC-03464DB044E0}"/>
    <dgm:cxn modelId="{9B427EEC-2647-4B96-A768-E9AACCF2F632}" type="presOf" srcId="{F21FF0B6-404E-6F4D-90DC-C3C2B8798ED0}" destId="{FE044522-9AAC-AF41-B8E9-9028B44555E2}" srcOrd="0" destOrd="1" presId="urn:microsoft.com/office/officeart/2005/8/layout/process1"/>
    <dgm:cxn modelId="{ECC393EF-C04A-B241-A532-3348F5A71843}" srcId="{ECFFEDFC-3862-6045-B714-E365AA7404EB}" destId="{AE3B5212-F1D5-7748-9B3C-286107EA28E7}" srcOrd="1" destOrd="0" parTransId="{EA5321FD-2C03-AD45-BBF3-36A8709237D0}" sibTransId="{11E344C8-1080-F040-AECC-B312439FFDD7}"/>
    <dgm:cxn modelId="{08871174-F76F-CD46-AE64-F502913C24B2}" srcId="{ECFFEDFC-3862-6045-B714-E365AA7404EB}" destId="{EB7D9176-4D9D-724A-9D02-D8C55AF6B7DE}" srcOrd="0" destOrd="0" parTransId="{C40A290D-5A91-164B-99BF-B6747E8E51B4}" sibTransId="{B87D69FE-B146-4F43-BFC7-43DCBA2FEC1F}"/>
    <dgm:cxn modelId="{04894AE9-D902-47CC-B2E0-0C7AC4CB8132}" type="presOf" srcId="{CFF5F2C3-5DF7-2C42-92AB-9CA483EA66C2}" destId="{AC8E568F-DB14-5649-A655-18638E480272}" srcOrd="0" destOrd="3" presId="urn:microsoft.com/office/officeart/2005/8/layout/process1"/>
    <dgm:cxn modelId="{34502506-853D-42AA-9DF1-C920E0DA242F}" type="presParOf" srcId="{D9A9C60A-6527-6A4E-B270-B166A00ECCCF}" destId="{FE044522-9AAC-AF41-B8E9-9028B44555E2}" srcOrd="0" destOrd="0" presId="urn:microsoft.com/office/officeart/2005/8/layout/process1"/>
    <dgm:cxn modelId="{D1A4D03F-5762-4791-9B54-216AF149752E}" type="presParOf" srcId="{D9A9C60A-6527-6A4E-B270-B166A00ECCCF}" destId="{79B4E2C3-1229-6F46-892D-A0839EB22095}" srcOrd="1" destOrd="0" presId="urn:microsoft.com/office/officeart/2005/8/layout/process1"/>
    <dgm:cxn modelId="{E73F005A-7401-4633-80B2-11F3638E6D8B}" type="presParOf" srcId="{79B4E2C3-1229-6F46-892D-A0839EB22095}" destId="{5285BA96-E21D-524C-A207-E12CF5021633}" srcOrd="0" destOrd="0" presId="urn:microsoft.com/office/officeart/2005/8/layout/process1"/>
    <dgm:cxn modelId="{257B8633-90E6-4A61-9DE4-1C8F1CE15E81}" type="presParOf" srcId="{D9A9C60A-6527-6A4E-B270-B166A00ECCCF}" destId="{AC8E568F-DB14-5649-A655-18638E480272}" srcOrd="2"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44522-9AAC-AF41-B8E9-9028B44555E2}">
      <dsp:nvSpPr>
        <dsp:cNvPr id="0" name=""/>
        <dsp:cNvSpPr/>
      </dsp:nvSpPr>
      <dsp:spPr>
        <a:xfrm>
          <a:off x="1071" y="239865"/>
          <a:ext cx="2285107" cy="1371064"/>
        </a:xfrm>
        <a:prstGeom prst="roundRect">
          <a:avLst>
            <a:gd name="adj" fmla="val 10000"/>
          </a:avLst>
        </a:prstGeom>
        <a:solidFill>
          <a:schemeClr val="lt1">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lt1">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Arial" charset="0"/>
              <a:ea typeface="Arial" charset="0"/>
              <a:cs typeface="Arial" charset="0"/>
            </a:rPr>
            <a:t>Vymezení relevantního</a:t>
          </a:r>
          <a:r>
            <a:rPr lang="en-US" sz="1000" b="1" kern="1200" baseline="0">
              <a:latin typeface="Arial" charset="0"/>
              <a:ea typeface="Arial" charset="0"/>
              <a:cs typeface="Arial" charset="0"/>
            </a:rPr>
            <a:t> trhu</a:t>
          </a:r>
        </a:p>
        <a:p>
          <a:pPr marL="57150" lvl="1" indent="-57150" algn="l" defTabSz="444500">
            <a:lnSpc>
              <a:spcPct val="90000"/>
            </a:lnSpc>
            <a:spcBef>
              <a:spcPct val="0"/>
            </a:spcBef>
            <a:spcAft>
              <a:spcPct val="15000"/>
            </a:spcAft>
            <a:buChar char="••"/>
          </a:pPr>
          <a:endParaRPr lang="en-US" sz="1000" kern="1200" baseline="0">
            <a:latin typeface="Arial" charset="0"/>
            <a:ea typeface="Arial" charset="0"/>
            <a:cs typeface="Arial" charset="0"/>
          </a:endParaRPr>
        </a:p>
        <a:p>
          <a:pPr marL="57150" lvl="1" indent="-57150" algn="l" defTabSz="444500">
            <a:lnSpc>
              <a:spcPct val="90000"/>
            </a:lnSpc>
            <a:spcBef>
              <a:spcPct val="0"/>
            </a:spcBef>
            <a:spcAft>
              <a:spcPct val="15000"/>
            </a:spcAft>
            <a:buChar char="••"/>
          </a:pPr>
          <a:r>
            <a:rPr lang="en-US" sz="1000" kern="1200" baseline="0">
              <a:latin typeface="Arial" charset="0"/>
              <a:ea typeface="Arial" charset="0"/>
              <a:cs typeface="Arial" charset="0"/>
            </a:rPr>
            <a:t>věcné, územní a časové vymezení trhů uvedených v Doporučení o relevantních trzích dle této kapitoly č. </a:t>
          </a:r>
          <a:r>
            <a:rPr lang="cs-CZ" sz="1000" kern="1200" baseline="0">
              <a:latin typeface="Arial" charset="0"/>
              <a:ea typeface="Arial" charset="0"/>
              <a:cs typeface="Arial" charset="0"/>
            </a:rPr>
            <a:t>3</a:t>
          </a:r>
          <a:r>
            <a:rPr lang="en-US" sz="1000" kern="1200" baseline="0">
              <a:latin typeface="Arial" charset="0"/>
              <a:ea typeface="Arial" charset="0"/>
              <a:cs typeface="Arial" charset="0"/>
            </a:rPr>
            <a:t> Metodiky</a:t>
          </a:r>
        </a:p>
      </dsp:txBody>
      <dsp:txXfrm>
        <a:off x="41228" y="280022"/>
        <a:ext cx="2204793" cy="1290750"/>
      </dsp:txXfrm>
    </dsp:sp>
    <dsp:sp modelId="{79B4E2C3-1229-6F46-892D-A0839EB22095}">
      <dsp:nvSpPr>
        <dsp:cNvPr id="0" name=""/>
        <dsp:cNvSpPr/>
      </dsp:nvSpPr>
      <dsp:spPr>
        <a:xfrm>
          <a:off x="2514689" y="642044"/>
          <a:ext cx="484442" cy="566706"/>
        </a:xfrm>
        <a:prstGeom prst="rightArrow">
          <a:avLst>
            <a:gd name="adj1" fmla="val 60000"/>
            <a:gd name="adj2" fmla="val 50000"/>
          </a:avLst>
        </a:prstGeom>
        <a:solidFill>
          <a:schemeClr val="dk1">
            <a:tint val="60000"/>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dk1">
              <a:tint val="60000"/>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p>
      </dsp:txBody>
      <dsp:txXfrm>
        <a:off x="2514689" y="755385"/>
        <a:ext cx="339109" cy="340024"/>
      </dsp:txXfrm>
    </dsp:sp>
    <dsp:sp modelId="{AC8E568F-DB14-5649-A655-18638E480272}">
      <dsp:nvSpPr>
        <dsp:cNvPr id="0" name=""/>
        <dsp:cNvSpPr/>
      </dsp:nvSpPr>
      <dsp:spPr>
        <a:xfrm>
          <a:off x="3200221" y="239865"/>
          <a:ext cx="2285107" cy="1371064"/>
        </a:xfrm>
        <a:prstGeom prst="roundRect">
          <a:avLst>
            <a:gd name="adj" fmla="val 10000"/>
          </a:avLst>
        </a:prstGeom>
        <a:solidFill>
          <a:schemeClr val="lt1">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lt1">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Arial" charset="0"/>
              <a:ea typeface="Arial" charset="0"/>
              <a:cs typeface="Arial" charset="0"/>
            </a:rPr>
            <a:t>Stanovení</a:t>
          </a:r>
          <a:r>
            <a:rPr lang="en-US" sz="1000" b="1" kern="1200" baseline="0">
              <a:latin typeface="Arial" charset="0"/>
              <a:ea typeface="Arial" charset="0"/>
              <a:cs typeface="Arial" charset="0"/>
            </a:rPr>
            <a:t> relevantního trhu</a:t>
          </a:r>
          <a:endParaRPr lang="en-US" sz="1000" b="1" kern="1200">
            <a:latin typeface="Arial" charset="0"/>
            <a:ea typeface="Arial" charset="0"/>
            <a:cs typeface="Arial" charset="0"/>
          </a:endParaRPr>
        </a:p>
        <a:p>
          <a:pPr marL="57150" lvl="1" indent="-57150" algn="l" defTabSz="444500">
            <a:lnSpc>
              <a:spcPct val="90000"/>
            </a:lnSpc>
            <a:spcBef>
              <a:spcPct val="0"/>
            </a:spcBef>
            <a:spcAft>
              <a:spcPct val="15000"/>
            </a:spcAft>
            <a:buChar char="••"/>
          </a:pPr>
          <a:endParaRPr lang="en-US" sz="1000" kern="1200">
            <a:latin typeface="Arial" charset="0"/>
            <a:ea typeface="Arial" charset="0"/>
            <a:cs typeface="Arial" charset="0"/>
          </a:endParaRPr>
        </a:p>
        <a:p>
          <a:pPr marL="57150" lvl="1" indent="-57150" algn="l" defTabSz="444500">
            <a:lnSpc>
              <a:spcPct val="90000"/>
            </a:lnSpc>
            <a:spcBef>
              <a:spcPct val="0"/>
            </a:spcBef>
            <a:spcAft>
              <a:spcPct val="15000"/>
            </a:spcAft>
            <a:buChar char="••"/>
          </a:pPr>
          <a:r>
            <a:rPr lang="en-US" sz="1000" kern="1200">
              <a:latin typeface="Arial" charset="0"/>
              <a:ea typeface="Arial" charset="0"/>
              <a:cs typeface="Arial" charset="0"/>
            </a:rPr>
            <a:t>test 3 kritérií je považován za splněný u relevantních trhů uvedených v Doporučení o relevantních trzích</a:t>
          </a:r>
        </a:p>
        <a:p>
          <a:pPr marL="57150" lvl="1" indent="-57150" algn="l" defTabSz="444500">
            <a:lnSpc>
              <a:spcPct val="90000"/>
            </a:lnSpc>
            <a:spcBef>
              <a:spcPct val="0"/>
            </a:spcBef>
            <a:spcAft>
              <a:spcPct val="15000"/>
            </a:spcAft>
            <a:buChar char="••"/>
          </a:pPr>
          <a:r>
            <a:rPr lang="en-US" sz="1000" kern="1200">
              <a:latin typeface="Arial" charset="0"/>
              <a:ea typeface="Arial" charset="0"/>
              <a:cs typeface="Arial" charset="0"/>
            </a:rPr>
            <a:t>Úřa</a:t>
          </a:r>
          <a:r>
            <a:rPr lang="cs-CZ" sz="1000" kern="1200">
              <a:latin typeface="Arial" charset="0"/>
              <a:ea typeface="Arial" charset="0"/>
              <a:cs typeface="Arial" charset="0"/>
            </a:rPr>
            <a:t>d</a:t>
          </a:r>
          <a:r>
            <a:rPr lang="en-US" sz="1000" kern="1200">
              <a:latin typeface="Arial" charset="0"/>
              <a:ea typeface="Arial" charset="0"/>
              <a:cs typeface="Arial" charset="0"/>
            </a:rPr>
            <a:t> se může rozhodnout test 3 kritérií provést</a:t>
          </a:r>
        </a:p>
      </dsp:txBody>
      <dsp:txXfrm>
        <a:off x="3240378" y="280022"/>
        <a:ext cx="2204793" cy="129075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44522-9AAC-AF41-B8E9-9028B44555E2}">
      <dsp:nvSpPr>
        <dsp:cNvPr id="0" name=""/>
        <dsp:cNvSpPr/>
      </dsp:nvSpPr>
      <dsp:spPr>
        <a:xfrm>
          <a:off x="1071" y="239865"/>
          <a:ext cx="2285107" cy="1371064"/>
        </a:xfrm>
        <a:prstGeom prst="roundRect">
          <a:avLst>
            <a:gd name="adj" fmla="val 10000"/>
          </a:avLst>
        </a:prstGeom>
        <a:solidFill>
          <a:schemeClr val="lt1">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lt1">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Arial" charset="0"/>
              <a:ea typeface="Arial" charset="0"/>
              <a:cs typeface="Arial" charset="0"/>
            </a:rPr>
            <a:t>Vymezení relevantního</a:t>
          </a:r>
          <a:r>
            <a:rPr lang="en-US" sz="1000" b="1" kern="1200" baseline="0">
              <a:latin typeface="Arial" charset="0"/>
              <a:ea typeface="Arial" charset="0"/>
              <a:cs typeface="Arial" charset="0"/>
            </a:rPr>
            <a:t> trhu</a:t>
          </a:r>
        </a:p>
        <a:p>
          <a:pPr marL="57150" lvl="1" indent="-57150" algn="l" defTabSz="444500">
            <a:lnSpc>
              <a:spcPct val="90000"/>
            </a:lnSpc>
            <a:spcBef>
              <a:spcPct val="0"/>
            </a:spcBef>
            <a:spcAft>
              <a:spcPct val="15000"/>
            </a:spcAft>
            <a:buChar char="••"/>
          </a:pPr>
          <a:endParaRPr lang="en-US" sz="1000" kern="1200" baseline="0">
            <a:latin typeface="Arial" charset="0"/>
            <a:ea typeface="Arial" charset="0"/>
            <a:cs typeface="Arial" charset="0"/>
          </a:endParaRPr>
        </a:p>
        <a:p>
          <a:pPr marL="57150" lvl="1" indent="-57150" algn="l" defTabSz="444500">
            <a:lnSpc>
              <a:spcPct val="90000"/>
            </a:lnSpc>
            <a:spcBef>
              <a:spcPct val="0"/>
            </a:spcBef>
            <a:spcAft>
              <a:spcPct val="15000"/>
            </a:spcAft>
            <a:buChar char="••"/>
          </a:pPr>
          <a:r>
            <a:rPr lang="en-US" sz="1000" kern="1200" baseline="0">
              <a:latin typeface="Arial" charset="0"/>
              <a:ea typeface="Arial" charset="0"/>
              <a:cs typeface="Arial" charset="0"/>
            </a:rPr>
            <a:t>identifikace potenciáln</a:t>
          </a:r>
          <a:r>
            <a:rPr lang="cs-CZ" sz="1000" kern="1200" baseline="0">
              <a:latin typeface="Arial" charset="0"/>
              <a:ea typeface="Arial" charset="0"/>
              <a:cs typeface="Arial" charset="0"/>
            </a:rPr>
            <a:t>í</a:t>
          </a:r>
          <a:r>
            <a:rPr lang="en-US" sz="1000" kern="1200" baseline="0">
              <a:latin typeface="Arial" charset="0"/>
              <a:ea typeface="Arial" charset="0"/>
              <a:cs typeface="Arial" charset="0"/>
            </a:rPr>
            <a:t>ho relevantního trhu</a:t>
          </a:r>
        </a:p>
        <a:p>
          <a:pPr marL="57150" lvl="1" indent="-57150" algn="l" defTabSz="444500">
            <a:lnSpc>
              <a:spcPct val="90000"/>
            </a:lnSpc>
            <a:spcBef>
              <a:spcPct val="0"/>
            </a:spcBef>
            <a:spcAft>
              <a:spcPct val="15000"/>
            </a:spcAft>
            <a:buChar char="••"/>
          </a:pPr>
          <a:r>
            <a:rPr lang="en-US" sz="1000" kern="1200" baseline="0">
              <a:latin typeface="Arial" charset="0"/>
              <a:ea typeface="Arial" charset="0"/>
              <a:cs typeface="Arial" charset="0"/>
            </a:rPr>
            <a:t>věcné, územní a časové vymezení dle této kapitoly č. </a:t>
          </a:r>
          <a:r>
            <a:rPr lang="cs-CZ" sz="1000" kern="1200" baseline="0">
              <a:latin typeface="Arial" charset="0"/>
              <a:ea typeface="Arial" charset="0"/>
              <a:cs typeface="Arial" charset="0"/>
            </a:rPr>
            <a:t>3</a:t>
          </a:r>
          <a:r>
            <a:rPr lang="en-US" sz="1000" kern="1200" baseline="0">
              <a:latin typeface="Arial" charset="0"/>
              <a:ea typeface="Arial" charset="0"/>
              <a:cs typeface="Arial" charset="0"/>
            </a:rPr>
            <a:t> Metodiky</a:t>
          </a:r>
        </a:p>
      </dsp:txBody>
      <dsp:txXfrm>
        <a:off x="41228" y="280022"/>
        <a:ext cx="2204793" cy="1290750"/>
      </dsp:txXfrm>
    </dsp:sp>
    <dsp:sp modelId="{79B4E2C3-1229-6F46-892D-A0839EB22095}">
      <dsp:nvSpPr>
        <dsp:cNvPr id="0" name=""/>
        <dsp:cNvSpPr/>
      </dsp:nvSpPr>
      <dsp:spPr>
        <a:xfrm>
          <a:off x="2514689" y="642044"/>
          <a:ext cx="484442" cy="566706"/>
        </a:xfrm>
        <a:prstGeom prst="rightArrow">
          <a:avLst>
            <a:gd name="adj1" fmla="val 60000"/>
            <a:gd name="adj2" fmla="val 50000"/>
          </a:avLst>
        </a:prstGeom>
        <a:solidFill>
          <a:schemeClr val="dk1">
            <a:tint val="60000"/>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dk1">
              <a:tint val="60000"/>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US" sz="2400" kern="1200"/>
        </a:p>
      </dsp:txBody>
      <dsp:txXfrm>
        <a:off x="2514689" y="755385"/>
        <a:ext cx="339109" cy="340024"/>
      </dsp:txXfrm>
    </dsp:sp>
    <dsp:sp modelId="{AC8E568F-DB14-5649-A655-18638E480272}">
      <dsp:nvSpPr>
        <dsp:cNvPr id="0" name=""/>
        <dsp:cNvSpPr/>
      </dsp:nvSpPr>
      <dsp:spPr>
        <a:xfrm>
          <a:off x="3200221" y="239865"/>
          <a:ext cx="2285107" cy="1371064"/>
        </a:xfrm>
        <a:prstGeom prst="roundRect">
          <a:avLst>
            <a:gd name="adj" fmla="val 10000"/>
          </a:avLst>
        </a:prstGeom>
        <a:solidFill>
          <a:schemeClr val="lt1">
            <a:hueOff val="0"/>
            <a:satOff val="0"/>
            <a:lumOff val="0"/>
            <a:alphaOff val="0"/>
          </a:schemeClr>
        </a:solidFill>
        <a:ln>
          <a:noFill/>
        </a:ln>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lt1">
              <a:hueOff val="0"/>
              <a:satOff val="0"/>
              <a:lumOff val="0"/>
              <a:alphaOff val="0"/>
              <a:shade val="70000"/>
              <a:satMod val="105000"/>
            </a:schemeClr>
          </a:contourClr>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US" sz="1000" b="1" kern="1200">
              <a:latin typeface="Arial" charset="0"/>
              <a:ea typeface="Arial" charset="0"/>
              <a:cs typeface="Arial" charset="0"/>
            </a:rPr>
            <a:t>Stanovení</a:t>
          </a:r>
          <a:r>
            <a:rPr lang="en-US" sz="1000" b="1" kern="1200" baseline="0">
              <a:latin typeface="Arial" charset="0"/>
              <a:ea typeface="Arial" charset="0"/>
              <a:cs typeface="Arial" charset="0"/>
            </a:rPr>
            <a:t> relevantního trhu</a:t>
          </a:r>
          <a:endParaRPr lang="en-US" sz="1000" b="1" kern="1200">
            <a:latin typeface="Arial" charset="0"/>
            <a:ea typeface="Arial" charset="0"/>
            <a:cs typeface="Arial" charset="0"/>
          </a:endParaRPr>
        </a:p>
        <a:p>
          <a:pPr marL="57150" lvl="1" indent="0" algn="l" defTabSz="444500">
            <a:lnSpc>
              <a:spcPct val="90000"/>
            </a:lnSpc>
            <a:spcBef>
              <a:spcPct val="0"/>
            </a:spcBef>
            <a:spcAft>
              <a:spcPct val="15000"/>
            </a:spcAft>
            <a:buChar char="••"/>
          </a:pPr>
          <a:endParaRPr lang="en-US" sz="1000" kern="1200">
            <a:latin typeface="Arial" charset="0"/>
            <a:ea typeface="Arial" charset="0"/>
            <a:cs typeface="Arial" charset="0"/>
          </a:endParaRPr>
        </a:p>
        <a:p>
          <a:pPr marL="57150" lvl="1" indent="0" algn="l" defTabSz="444500">
            <a:lnSpc>
              <a:spcPct val="90000"/>
            </a:lnSpc>
            <a:spcBef>
              <a:spcPct val="0"/>
            </a:spcBef>
            <a:spcAft>
              <a:spcPct val="15000"/>
            </a:spcAft>
            <a:buChar char="••"/>
          </a:pPr>
          <a:r>
            <a:rPr lang="en-US" sz="1000" kern="1200">
              <a:latin typeface="Arial" charset="0"/>
              <a:ea typeface="Arial" charset="0"/>
              <a:cs typeface="Arial" charset="0"/>
            </a:rPr>
            <a:t>test 3 kritérií</a:t>
          </a:r>
          <a:r>
            <a:rPr lang="en-US" sz="1000" kern="1200" baseline="0">
              <a:latin typeface="Arial" charset="0"/>
              <a:ea typeface="Arial" charset="0"/>
              <a:cs typeface="Arial" charset="0"/>
            </a:rPr>
            <a:t> na každém vymezeném trhu neuvedeném v Doporučení o relevantních trzích</a:t>
          </a:r>
          <a:endParaRPr lang="en-US" sz="1000" kern="1200">
            <a:latin typeface="Arial" charset="0"/>
            <a:ea typeface="Arial" charset="0"/>
            <a:cs typeface="Arial" charset="0"/>
          </a:endParaRPr>
        </a:p>
        <a:p>
          <a:pPr marL="57150" marR="0" lvl="1" indent="-57150" algn="l" defTabSz="444500" rtl="0" eaLnBrk="1" fontAlgn="auto" latinLnBrk="0" hangingPunct="1">
            <a:lnSpc>
              <a:spcPct val="90000"/>
            </a:lnSpc>
            <a:spcBef>
              <a:spcPct val="0"/>
            </a:spcBef>
            <a:spcAft>
              <a:spcPct val="15000"/>
            </a:spcAft>
            <a:buClrTx/>
            <a:buSzTx/>
            <a:buFontTx/>
            <a:buChar char="••"/>
            <a:tabLst/>
            <a:defRPr/>
          </a:pPr>
          <a:endParaRPr lang="en-US" sz="1000" kern="1200">
            <a:latin typeface="Arial" charset="0"/>
            <a:ea typeface="Arial" charset="0"/>
            <a:cs typeface="Arial" charset="0"/>
          </a:endParaRPr>
        </a:p>
      </dsp:txBody>
      <dsp:txXfrm>
        <a:off x="3240378" y="280022"/>
        <a:ext cx="2204793" cy="12907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ministrativní">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0367E-B3F9-4899-B120-7455FF4A6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8AF58457.dotm</Template>
  <TotalTime>0</TotalTime>
  <Pages>1</Pages>
  <Words>18403</Words>
  <Characters>108579</Characters>
  <Application>Microsoft Office Word</Application>
  <DocSecurity>0</DocSecurity>
  <Lines>904</Lines>
  <Paragraphs>253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2016-03-03T07:56:00Z</dcterms:created>
  <dcterms:modified xsi:type="dcterms:W3CDTF">2016-03-08T13:35:00Z</dcterms:modified>
</cp:coreProperties>
</file>