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66"/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20"/>
        <w:gridCol w:w="480"/>
        <w:gridCol w:w="480"/>
        <w:gridCol w:w="480"/>
        <w:gridCol w:w="480"/>
        <w:gridCol w:w="480"/>
      </w:tblGrid>
      <w:tr w:rsidR="00E96E8C" w:rsidRPr="009B7495" w:rsidTr="00E96E8C">
        <w:trPr>
          <w:trHeight w:val="300"/>
        </w:trPr>
        <w:tc>
          <w:tcPr>
            <w:tcW w:w="872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CE4D6"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9B7495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Formulář pro posouzení akreditačních kritérií pro provozovatele cenové kalkulačky</w:t>
            </w:r>
          </w:p>
        </w:tc>
      </w:tr>
      <w:tr w:rsidR="00E96E8C" w:rsidRPr="009B7495" w:rsidTr="00E96E8C">
        <w:trPr>
          <w:trHeight w:val="300"/>
        </w:trPr>
        <w:tc>
          <w:tcPr>
            <w:tcW w:w="872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E96E8C" w:rsidRPr="009B7495" w:rsidTr="00E96E8C">
        <w:trPr>
          <w:trHeight w:val="300"/>
        </w:trPr>
        <w:tc>
          <w:tcPr>
            <w:tcW w:w="6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96E8C" w:rsidRPr="009B7495" w:rsidTr="00E96E8C">
        <w:trPr>
          <w:trHeight w:val="1305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6E8C" w:rsidRPr="009B7495" w:rsidRDefault="00E96E8C" w:rsidP="00E96E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495">
              <w:rPr>
                <w:rFonts w:ascii="Calibri" w:eastAsia="Times New Roman" w:hAnsi="Calibri" w:cs="Times New Roman"/>
                <w:color w:val="000000"/>
                <w:lang w:eastAsia="cs-CZ"/>
              </w:rPr>
              <w:t>Vysvětlivky: popis nabízené služby slouží k bližší specifikaci daného kritéria ze strany provozovatele cenové kalkulačky.  Hypertextový odkaz slouží k vložení odkazu na stránky poskytovatele, kde jsou dané informace k dohledání.</w:t>
            </w:r>
          </w:p>
        </w:tc>
      </w:tr>
    </w:tbl>
    <w:p w:rsidR="00FC2E51" w:rsidRDefault="00FC2E51" w:rsidP="006911B9"/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79"/>
      </w:tblGrid>
      <w:tr w:rsidR="003E367B" w:rsidRPr="009B7495" w:rsidTr="003E367B">
        <w:trPr>
          <w:trHeight w:val="810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3E367B" w:rsidRPr="009B7495" w:rsidRDefault="005A1220" w:rsidP="00FC2E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Ú</w:t>
            </w:r>
            <w:r w:rsidR="003E367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daje o provozovateli cenové kalkulačky</w:t>
            </w:r>
          </w:p>
        </w:tc>
      </w:tr>
      <w:tr w:rsidR="00FC2E51" w:rsidRPr="009B7495" w:rsidTr="00F60EFD">
        <w:trPr>
          <w:trHeight w:val="567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FC2E51" w:rsidRPr="009B7495" w:rsidRDefault="008C7FFE" w:rsidP="00F60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Provozovatel cenové kalkulačky</w:t>
            </w:r>
          </w:p>
        </w:tc>
      </w:tr>
      <w:tr w:rsidR="00C90301" w:rsidRPr="009B7495" w:rsidTr="00AA5437">
        <w:trPr>
          <w:trHeight w:hRule="exact"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90301" w:rsidRPr="009B7495" w:rsidRDefault="00C90301" w:rsidP="00FC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C7FFE" w:rsidRPr="009B7495" w:rsidTr="00F60EFD">
        <w:trPr>
          <w:trHeight w:hRule="exact"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noWrap/>
            <w:vAlign w:val="center"/>
          </w:tcPr>
          <w:p w:rsidR="008C7FFE" w:rsidRPr="009B7495" w:rsidRDefault="008C7FFE" w:rsidP="008C7F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Název cenové kalkulačky</w:t>
            </w:r>
          </w:p>
        </w:tc>
      </w:tr>
      <w:tr w:rsidR="00AA5437" w:rsidRPr="009B7495" w:rsidTr="00AA5437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37" w:rsidRPr="009B7495" w:rsidRDefault="00AA5437" w:rsidP="00FC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0301" w:rsidRPr="009B7495" w:rsidTr="00F60EFD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C90301" w:rsidRPr="009B7495" w:rsidRDefault="00C90301" w:rsidP="00AA5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Zástupce provozovatele</w:t>
            </w:r>
          </w:p>
        </w:tc>
      </w:tr>
      <w:tr w:rsidR="00AA5437" w:rsidRPr="009B7495" w:rsidTr="00AA5437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37" w:rsidRPr="009B7495" w:rsidRDefault="00AA5437" w:rsidP="00FC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0301" w:rsidRPr="009B7495" w:rsidTr="00F60EFD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C90301" w:rsidRPr="009B7495" w:rsidRDefault="00C90301" w:rsidP="00AA5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údaje (adresa, telefon, e-mail)</w:t>
            </w:r>
          </w:p>
        </w:tc>
      </w:tr>
      <w:tr w:rsidR="00AA5437" w:rsidRPr="009B7495" w:rsidTr="00AA5437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A5437" w:rsidRPr="009B7495" w:rsidRDefault="00AA5437" w:rsidP="00FC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C90301" w:rsidRPr="009B7495" w:rsidTr="00F60EFD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C90301" w:rsidRPr="009B7495" w:rsidRDefault="00C90301" w:rsidP="00AA5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na webové stránky</w:t>
            </w:r>
            <w:r w:rsidR="0042595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provozovatele cenové kalkulačky</w:t>
            </w:r>
          </w:p>
        </w:tc>
      </w:tr>
      <w:tr w:rsidR="00AA5437" w:rsidRPr="009B7495" w:rsidTr="00AA5437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A5437" w:rsidRPr="009B7495" w:rsidRDefault="00AA5437" w:rsidP="00FC2E5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90301" w:rsidRPr="009B7495" w:rsidTr="00F60EFD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BD4B4" w:themeFill="accent6" w:themeFillTint="66"/>
            <w:vAlign w:val="center"/>
          </w:tcPr>
          <w:p w:rsidR="00C90301" w:rsidRPr="009B7495" w:rsidRDefault="00C90301" w:rsidP="00AA54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Kontaktní osoby</w:t>
            </w:r>
            <w:r>
              <w:rPr>
                <w:rStyle w:val="Znakapoznpodarou"/>
                <w:rFonts w:ascii="Arial" w:eastAsia="Times New Roman" w:hAnsi="Arial" w:cs="Arial"/>
                <w:sz w:val="20"/>
                <w:szCs w:val="20"/>
                <w:lang w:eastAsia="cs-CZ"/>
              </w:rPr>
              <w:footnoteReference w:id="1"/>
            </w:r>
          </w:p>
        </w:tc>
      </w:tr>
      <w:tr w:rsidR="00C90301" w:rsidRPr="009B7495" w:rsidTr="00AA5437">
        <w:trPr>
          <w:trHeight w:val="567"/>
        </w:trPr>
        <w:tc>
          <w:tcPr>
            <w:tcW w:w="8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90301" w:rsidRDefault="00C90301" w:rsidP="00AA54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C2E51" w:rsidRPr="009B7495" w:rsidTr="00F60EFD">
        <w:trPr>
          <w:trHeight w:val="567"/>
        </w:trPr>
        <w:tc>
          <w:tcPr>
            <w:tcW w:w="87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FC2E51" w:rsidRPr="009B7495" w:rsidRDefault="00F10A36" w:rsidP="00FC2E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Seznam akreditovaných služeb</w:t>
            </w:r>
            <w:r w:rsidR="00FC2E51" w:rsidRPr="009B74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</w:t>
            </w:r>
          </w:p>
        </w:tc>
      </w:tr>
      <w:tr w:rsidR="008C7FFE" w:rsidRPr="009B7495" w:rsidTr="00B43BDB">
        <w:trPr>
          <w:trHeight w:val="1134"/>
        </w:trPr>
        <w:tc>
          <w:tcPr>
            <w:tcW w:w="87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7FFE" w:rsidRPr="009B7495" w:rsidRDefault="008C7FFE" w:rsidP="008C7F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  <w:bookmarkStart w:id="0" w:name="_GoBack"/>
            <w:bookmarkEnd w:id="0"/>
          </w:p>
        </w:tc>
      </w:tr>
    </w:tbl>
    <w:p w:rsidR="009B7495" w:rsidRPr="004F331D" w:rsidRDefault="009B7495" w:rsidP="006911B9"/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240"/>
        <w:gridCol w:w="6231"/>
      </w:tblGrid>
      <w:tr w:rsidR="009B7495" w:rsidRPr="009B7495" w:rsidTr="009B7495">
        <w:trPr>
          <w:trHeight w:val="810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9B749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I. Dostupnost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</w:p>
        </w:tc>
      </w:tr>
      <w:tr w:rsidR="009B7495" w:rsidRPr="009B7495" w:rsidTr="009B7495">
        <w:trPr>
          <w:trHeight w:val="31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bottom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495">
              <w:rPr>
                <w:rFonts w:ascii="Calibri" w:eastAsia="Times New Roman" w:hAnsi="Calibri" w:cs="Times New Roman"/>
                <w:color w:val="000000"/>
                <w:lang w:eastAsia="cs-CZ"/>
              </w:rPr>
              <w:t>Nabídka on-line cenového srovnání služeb</w:t>
            </w:r>
          </w:p>
        </w:tc>
      </w:tr>
      <w:tr w:rsidR="009B7495" w:rsidRPr="009B7495" w:rsidTr="009B7495">
        <w:trPr>
          <w:trHeight w:hRule="exact" w:val="992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kritéria / nabízené služby</w:t>
            </w:r>
          </w:p>
        </w:tc>
        <w:tc>
          <w:tcPr>
            <w:tcW w:w="7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7495" w:rsidRPr="009B7495" w:rsidTr="009B7495">
        <w:trPr>
          <w:trHeight w:val="64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7495" w:rsidRPr="009B7495" w:rsidTr="009B7495">
        <w:trPr>
          <w:trHeight w:val="690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495">
              <w:rPr>
                <w:rFonts w:ascii="Calibri" w:eastAsia="Times New Roman" w:hAnsi="Calibri" w:cs="Times New Roman"/>
                <w:color w:val="000000"/>
                <w:lang w:eastAsia="cs-CZ"/>
              </w:rPr>
              <w:t>Provozovatel poskytne koncovému uživateli na vyžádání bližší informace k provedenému cenovému srovnání</w:t>
            </w:r>
          </w:p>
        </w:tc>
      </w:tr>
      <w:tr w:rsidR="009B7495" w:rsidRPr="009B7495" w:rsidTr="009B7495">
        <w:trPr>
          <w:trHeight w:val="88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7495" w:rsidRPr="009B7495" w:rsidTr="009B7495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7495" w:rsidRPr="009B7495" w:rsidTr="009B7495">
        <w:trPr>
          <w:trHeight w:val="930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9B7495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Provozovatel umožní výběr tarifu pro speciální kategorie koncových uživatelů v závislosti na existenci speciálních nabídek pro určité kategorie koncových uživatelů u operátorů. </w:t>
            </w:r>
          </w:p>
        </w:tc>
      </w:tr>
      <w:tr w:rsidR="009B7495" w:rsidRPr="009B7495" w:rsidTr="009B7495">
        <w:trPr>
          <w:trHeight w:val="111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9B7495" w:rsidRPr="009B7495" w:rsidTr="009B7495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B7495" w:rsidRPr="009B7495" w:rsidRDefault="009B7495" w:rsidP="009B74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9B749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8A641E" w:rsidRDefault="008A641E" w:rsidP="006911B9"/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1240"/>
        <w:gridCol w:w="6231"/>
      </w:tblGrid>
      <w:tr w:rsidR="00D54A60" w:rsidRPr="00D54A60" w:rsidTr="00D54A60">
        <w:trPr>
          <w:trHeight w:val="375"/>
        </w:trPr>
        <w:tc>
          <w:tcPr>
            <w:tcW w:w="25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4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II. Účtování</w:t>
            </w:r>
          </w:p>
        </w:tc>
        <w:tc>
          <w:tcPr>
            <w:tcW w:w="6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u w:val="single"/>
                <w:lang w:eastAsia="cs-CZ"/>
              </w:rPr>
            </w:pPr>
          </w:p>
        </w:tc>
      </w:tr>
      <w:tr w:rsidR="00D54A60" w:rsidRPr="00D54A60" w:rsidTr="00D54A60">
        <w:trPr>
          <w:trHeight w:val="315"/>
        </w:trPr>
        <w:tc>
          <w:tcPr>
            <w:tcW w:w="8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noWrap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Nabídka cenového srovnání pro koncové uživatele zdarma</w:t>
            </w:r>
          </w:p>
        </w:tc>
      </w:tr>
      <w:tr w:rsidR="00D54A60" w:rsidRPr="00D54A60" w:rsidTr="00D54A60">
        <w:trPr>
          <w:trHeight w:val="96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54A60" w:rsidRDefault="00D54A60" w:rsidP="006911B9">
      <w:pPr>
        <w:rPr>
          <w:b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471"/>
      </w:tblGrid>
      <w:tr w:rsidR="00D54A60" w:rsidRPr="00D54A60" w:rsidTr="00D54A60">
        <w:trPr>
          <w:trHeight w:val="37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4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III. Přesnost a aktuálnost</w:t>
            </w:r>
          </w:p>
        </w:tc>
      </w:tr>
      <w:tr w:rsidR="00D54A60" w:rsidRPr="00D54A60" w:rsidTr="00CF7703">
        <w:trPr>
          <w:trHeight w:val="86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Provozovatel poskytne přesné informace o cenách a tarifech včetně speciálních (akčních) nabídek, a to i podle individuální spotřeby každého koncového uživatele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112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lastRenderedPageBreak/>
              <w:t>Provozovatel poskytuje aktuální údaje, které jsou aktualizovány nejméně jednou za měsíc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,</w:t>
            </w: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a údaj o poslední provedené aktualizaci je zveřejněn na úvodní stránce poskytovatele cenové kalkulačky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54A60" w:rsidRDefault="00D54A60" w:rsidP="006911B9">
      <w:pPr>
        <w:rPr>
          <w:b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471"/>
      </w:tblGrid>
      <w:tr w:rsidR="00D54A60" w:rsidRPr="00D54A60" w:rsidTr="00D54A60">
        <w:trPr>
          <w:trHeight w:val="37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4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IV. Transparentnost a nezávislost</w:t>
            </w:r>
          </w:p>
        </w:tc>
      </w:tr>
      <w:tr w:rsidR="00D54A60" w:rsidRPr="00D54A60" w:rsidTr="00D54A60">
        <w:trPr>
          <w:trHeight w:val="112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1" w:name="RANGE!C33"/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 uvede na webové stránce, zda je či není majetkově závislý na operátorovi, jehož ceny srovnává, případně jakým způsobem je na jednom či několika operátorech majetkově závislý</w:t>
            </w:r>
            <w:bookmarkEnd w:id="1"/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73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bookmarkStart w:id="2" w:name="RANGE!C36"/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 uvede v informacích na webové stránce, jakým způsobem získává prostředky pro svou činnost</w:t>
            </w:r>
            <w:bookmarkEnd w:id="2"/>
          </w:p>
        </w:tc>
      </w:tr>
      <w:tr w:rsidR="00D54A60" w:rsidRPr="00D54A60" w:rsidTr="00D54A60">
        <w:trPr>
          <w:trHeight w:val="780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CF7703">
        <w:trPr>
          <w:trHeight w:val="951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Zveřejňování výsledků provedeného srovnání objektivním způsobem (např. v případě dvou tarifů se stejnou cenou, budou operátoři řazeni abecedně)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CF7703">
        <w:trPr>
          <w:trHeight w:val="1407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 zajistí, aby v případě, že cenová kalkulačka zveřejňuje přímé odkazy na stránky operátorů (např. za účelem objednání služby), byl tento odkaz uveden pro všechny operátory tak, aby nebyl některý z operátorů znevýhodněn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AA5437">
        <w:trPr>
          <w:trHeight w:val="79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theme="minorHAnsi"/>
                <w:color w:val="000000"/>
                <w:lang w:eastAsia="cs-CZ"/>
              </w:rPr>
              <w:t>Poskytovatel uvede alespoň tři nejvýhodnější tarify pro koncové uživatele na základě zadaných vstupních údajů</w:t>
            </w:r>
          </w:p>
        </w:tc>
      </w:tr>
      <w:tr w:rsidR="00D54A60" w:rsidRPr="00D54A60" w:rsidTr="00AA5437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Popis nabízené služby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54A60" w:rsidRDefault="00D54A60" w:rsidP="006911B9">
      <w:pPr>
        <w:rPr>
          <w:b/>
        </w:rPr>
      </w:pPr>
    </w:p>
    <w:tbl>
      <w:tblPr>
        <w:tblW w:w="0" w:type="auto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8"/>
        <w:gridCol w:w="7471"/>
      </w:tblGrid>
      <w:tr w:rsidR="00D54A60" w:rsidRPr="00D54A60" w:rsidTr="00D54A60">
        <w:trPr>
          <w:trHeight w:val="37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54A60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V. Komplexnost</w:t>
            </w:r>
          </w:p>
        </w:tc>
      </w:tr>
      <w:tr w:rsidR="00D54A60" w:rsidRPr="00D54A60" w:rsidTr="00D54A60">
        <w:trPr>
          <w:trHeight w:val="720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Poskytovatel zahrne dostatečný počet operátorů na trhu a tento seznam na stránkách cenové kalkulačky zveřejní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CF7703">
        <w:trPr>
          <w:trHeight w:val="89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Zahrnutí všech nabízených tarifů dané služby u všech srovnávaných operátorů (včetně krátkodobých akvizičních nabídek)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977A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CF7703">
        <w:trPr>
          <w:trHeight w:val="783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theme="minorHAnsi"/>
                <w:color w:val="000000"/>
                <w:lang w:eastAsia="cs-CZ"/>
              </w:rPr>
              <w:t>Zohlednění tarifikace v případě hlasových služeb a případně další podmínky účtování (např. volné minuty)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CF7703">
        <w:trPr>
          <w:trHeight w:val="1832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theme="minorHAnsi"/>
                <w:color w:val="000000"/>
                <w:lang w:eastAsia="cs-CZ"/>
              </w:rPr>
              <w:t>Poskytovatel u každého tarifu uvede více informací (detailní ceny, tarifní podmínky a další parametry služeb, aby koncový uživatel mohl při výběru zohlednit nejen cenu, ale i jiné podmínky), koncový uživatel by měl mít možnost dostat se snadným způsobem ze stránek cenové kalkulačky (</w:t>
            </w:r>
            <w:proofErr w:type="spellStart"/>
            <w:r w:rsidRPr="00D54A60">
              <w:rPr>
                <w:rFonts w:ascii="Calibri" w:eastAsia="Times New Roman" w:hAnsi="Calibri" w:cstheme="minorHAnsi"/>
                <w:color w:val="000000"/>
                <w:lang w:eastAsia="cs-CZ"/>
              </w:rPr>
              <w:t>proklikem</w:t>
            </w:r>
            <w:proofErr w:type="spellEnd"/>
            <w:r w:rsidRPr="00D54A60">
              <w:rPr>
                <w:rFonts w:ascii="Calibri" w:eastAsia="Times New Roman" w:hAnsi="Calibri" w:cstheme="minorHAnsi"/>
                <w:color w:val="000000"/>
                <w:lang w:eastAsia="cs-CZ"/>
              </w:rPr>
              <w:t>) na všeobecné podmínky poskytovatelů srovnávaných služeb tak, aby se před objednáním nového tarifu mohl seznámit se svými právy a povinnostmi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163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V případě, kdy je to vhodné (např. jsou-li srovnávané služby poskytovány prostřednictvím různých technologií), jsou koncoví uživatelé poučeni i o jiných faktorech než je cena služby a jsou odkázáni na webové stránky poskytující informace o kvalitě služeb</w:t>
            </w:r>
          </w:p>
        </w:tc>
      </w:tr>
      <w:tr w:rsidR="00D54A60" w:rsidRPr="00D54A60" w:rsidTr="00AA5437">
        <w:trPr>
          <w:trHeight w:val="765"/>
        </w:trPr>
        <w:tc>
          <w:tcPr>
            <w:tcW w:w="1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1245"/>
        </w:trPr>
        <w:tc>
          <w:tcPr>
            <w:tcW w:w="87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8CBAD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54A60">
              <w:rPr>
                <w:rFonts w:ascii="Calibri" w:eastAsia="Times New Roman" w:hAnsi="Calibri" w:cs="Times New Roman"/>
                <w:color w:val="000000"/>
                <w:lang w:eastAsia="cs-CZ"/>
              </w:rPr>
              <w:t>V případě, že srovnávaný operátor nepůsobí na celém území ČR, bere poskytovatel do úvahy i lokalizaci koncového uživatele, případně uvede informace o geografické dostupnosti služby daného operátora.</w:t>
            </w:r>
          </w:p>
        </w:tc>
      </w:tr>
      <w:tr w:rsidR="00D54A60" w:rsidRPr="00D54A60" w:rsidTr="00D54A60">
        <w:trPr>
          <w:trHeight w:val="76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Popis nabízené služby</w:t>
            </w:r>
          </w:p>
        </w:tc>
        <w:tc>
          <w:tcPr>
            <w:tcW w:w="74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54A60" w:rsidRPr="00D54A60" w:rsidRDefault="00D54A60" w:rsidP="00D54A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D54A60" w:rsidRPr="00D54A60" w:rsidTr="00D54A60">
        <w:trPr>
          <w:trHeight w:val="525"/>
        </w:trPr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Hypertextový odkaz</w:t>
            </w:r>
          </w:p>
        </w:tc>
        <w:tc>
          <w:tcPr>
            <w:tcW w:w="74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4A60" w:rsidRPr="00D54A60" w:rsidRDefault="00D54A60" w:rsidP="00D54A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54A60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D54A60" w:rsidRPr="00D54A60" w:rsidRDefault="00D54A60" w:rsidP="006911B9">
      <w:pPr>
        <w:rPr>
          <w:b/>
        </w:rPr>
      </w:pPr>
    </w:p>
    <w:sectPr w:rsidR="00D54A60" w:rsidRPr="00D54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D0E" w:rsidRDefault="00EF6D0E" w:rsidP="006911B9">
      <w:pPr>
        <w:spacing w:after="0" w:line="240" w:lineRule="auto"/>
      </w:pPr>
      <w:r>
        <w:separator/>
      </w:r>
    </w:p>
  </w:endnote>
  <w:endnote w:type="continuationSeparator" w:id="0">
    <w:p w:rsidR="00EF6D0E" w:rsidRDefault="00EF6D0E" w:rsidP="0069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D0E" w:rsidRDefault="00EF6D0E" w:rsidP="006911B9">
      <w:pPr>
        <w:spacing w:after="0" w:line="240" w:lineRule="auto"/>
      </w:pPr>
      <w:r>
        <w:separator/>
      </w:r>
    </w:p>
  </w:footnote>
  <w:footnote w:type="continuationSeparator" w:id="0">
    <w:p w:rsidR="00EF6D0E" w:rsidRDefault="00EF6D0E" w:rsidP="006911B9">
      <w:pPr>
        <w:spacing w:after="0" w:line="240" w:lineRule="auto"/>
      </w:pPr>
      <w:r>
        <w:continuationSeparator/>
      </w:r>
    </w:p>
  </w:footnote>
  <w:footnote w:id="1">
    <w:p w:rsidR="00EF6D0E" w:rsidRDefault="00EF6D0E" w:rsidP="00C90301">
      <w:pPr>
        <w:pStyle w:val="Textpoznpodarou"/>
      </w:pPr>
      <w:r>
        <w:rPr>
          <w:rStyle w:val="Znakapoznpodarou"/>
        </w:rPr>
        <w:footnoteRef/>
      </w:r>
      <w:r>
        <w:t xml:space="preserve"> Je-li kontaktní osobou sám provozovatel, není třeba toto pole vyplňovat.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6C6B"/>
    <w:multiLevelType w:val="hybridMultilevel"/>
    <w:tmpl w:val="C0BEB4F8"/>
    <w:lvl w:ilvl="0" w:tplc="DC8446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4B26"/>
    <w:multiLevelType w:val="hybridMultilevel"/>
    <w:tmpl w:val="E92A8CDE"/>
    <w:lvl w:ilvl="0" w:tplc="4F54A1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F6D27"/>
    <w:multiLevelType w:val="hybridMultilevel"/>
    <w:tmpl w:val="6044A70A"/>
    <w:lvl w:ilvl="0" w:tplc="B47A60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D1477"/>
    <w:multiLevelType w:val="hybridMultilevel"/>
    <w:tmpl w:val="F39C6826"/>
    <w:lvl w:ilvl="0" w:tplc="D258F3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BE4228"/>
    <w:multiLevelType w:val="hybridMultilevel"/>
    <w:tmpl w:val="CE5071CC"/>
    <w:lvl w:ilvl="0" w:tplc="5E8EF0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C2E0C"/>
    <w:multiLevelType w:val="hybridMultilevel"/>
    <w:tmpl w:val="20C21312"/>
    <w:lvl w:ilvl="0" w:tplc="D71007A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3438A3"/>
    <w:multiLevelType w:val="hybridMultilevel"/>
    <w:tmpl w:val="380EEACE"/>
    <w:lvl w:ilvl="0" w:tplc="84E4B07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A1E80"/>
    <w:multiLevelType w:val="hybridMultilevel"/>
    <w:tmpl w:val="8DD6F696"/>
    <w:lvl w:ilvl="0" w:tplc="5A54D9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984B2F"/>
    <w:multiLevelType w:val="hybridMultilevel"/>
    <w:tmpl w:val="9DAE9C8C"/>
    <w:lvl w:ilvl="0" w:tplc="BE904DF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93"/>
    <w:rsid w:val="000E1AAF"/>
    <w:rsid w:val="000E5AD3"/>
    <w:rsid w:val="003E367B"/>
    <w:rsid w:val="0042595C"/>
    <w:rsid w:val="004F331D"/>
    <w:rsid w:val="005519DE"/>
    <w:rsid w:val="005A1220"/>
    <w:rsid w:val="00610C9D"/>
    <w:rsid w:val="006911B9"/>
    <w:rsid w:val="007E2611"/>
    <w:rsid w:val="00836793"/>
    <w:rsid w:val="008A641E"/>
    <w:rsid w:val="008C4CF3"/>
    <w:rsid w:val="008C7FFE"/>
    <w:rsid w:val="008E6957"/>
    <w:rsid w:val="00977A0E"/>
    <w:rsid w:val="009B7495"/>
    <w:rsid w:val="00AA5437"/>
    <w:rsid w:val="00B002B2"/>
    <w:rsid w:val="00B43BDB"/>
    <w:rsid w:val="00BC05A3"/>
    <w:rsid w:val="00C61BD1"/>
    <w:rsid w:val="00C67721"/>
    <w:rsid w:val="00C90301"/>
    <w:rsid w:val="00CC5D8B"/>
    <w:rsid w:val="00CF7703"/>
    <w:rsid w:val="00D54A60"/>
    <w:rsid w:val="00E05E8A"/>
    <w:rsid w:val="00E96E8C"/>
    <w:rsid w:val="00EF67D7"/>
    <w:rsid w:val="00EF6D0E"/>
    <w:rsid w:val="00F10A36"/>
    <w:rsid w:val="00F21093"/>
    <w:rsid w:val="00F60EFD"/>
    <w:rsid w:val="00FC2E51"/>
    <w:rsid w:val="00FE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ACB137-9573-4394-982A-97E0D41B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641E"/>
    <w:pPr>
      <w:ind w:left="720"/>
      <w:contextualSpacing/>
    </w:pPr>
  </w:style>
  <w:style w:type="paragraph" w:styleId="Textpoznpodarou">
    <w:name w:val="footnote text"/>
    <w:basedOn w:val="Normln"/>
    <w:link w:val="TextpoznpodarouChar"/>
    <w:rsid w:val="006911B9"/>
    <w:pPr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6911B9"/>
    <w:rPr>
      <w:rFonts w:ascii="Arial" w:eastAsia="Times New Roman" w:hAnsi="Arial" w:cs="Arial"/>
      <w:sz w:val="20"/>
      <w:szCs w:val="20"/>
      <w:lang w:eastAsia="cs-CZ"/>
    </w:rPr>
  </w:style>
  <w:style w:type="character" w:styleId="Znakapoznpodarou">
    <w:name w:val="footnote reference"/>
    <w:aliases w:val="Nota,Footnote symbol,Footnote"/>
    <w:rsid w:val="006911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C2DEC-165A-4791-8ED0-52B8B4DF5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4FA25572</Template>
  <TotalTime>32</TotalTime>
  <Pages>5</Pages>
  <Words>622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PROCHÁZKA Pavel</dc:creator>
  <cp:keywords/>
  <dc:description/>
  <cp:lastModifiedBy>PROCHÁZKA Pavel</cp:lastModifiedBy>
  <cp:revision>3</cp:revision>
  <dcterms:created xsi:type="dcterms:W3CDTF">2014-02-14T14:03:00Z</dcterms:created>
  <dcterms:modified xsi:type="dcterms:W3CDTF">2014-07-07T14:30:00Z</dcterms:modified>
</cp:coreProperties>
</file>