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87807" w14:textId="77777777" w:rsidR="003B6DF2" w:rsidRPr="00F07CFA" w:rsidRDefault="00407B72" w:rsidP="007D2ECF">
      <w:pPr>
        <w:pStyle w:val="Default"/>
        <w:ind w:left="-426" w:right="-740"/>
        <w:jc w:val="both"/>
        <w:rPr>
          <w:b/>
          <w:sz w:val="23"/>
          <w:szCs w:val="23"/>
        </w:rPr>
      </w:pPr>
      <w:bookmarkStart w:id="0" w:name="_GoBack"/>
      <w:bookmarkEnd w:id="0"/>
      <w:r w:rsidRPr="00F07CFA">
        <w:rPr>
          <w:b/>
          <w:bCs/>
          <w:sz w:val="23"/>
          <w:szCs w:val="23"/>
        </w:rPr>
        <w:t xml:space="preserve">Tabulka vypořádání připomínek </w:t>
      </w:r>
      <w:r w:rsidR="00F07CFA" w:rsidRPr="00F07CFA">
        <w:rPr>
          <w:b/>
          <w:bCs/>
          <w:sz w:val="23"/>
          <w:szCs w:val="23"/>
        </w:rPr>
        <w:t>k návrhu rozhodnutí o ceně ve věci uložení povinnosti souvi</w:t>
      </w:r>
      <w:r w:rsidR="007D2ECF">
        <w:rPr>
          <w:b/>
          <w:bCs/>
          <w:sz w:val="23"/>
          <w:szCs w:val="23"/>
        </w:rPr>
        <w:t>sející s regulací cen podniku s </w:t>
      </w:r>
      <w:r w:rsidR="00F07CFA" w:rsidRPr="00F07CFA">
        <w:rPr>
          <w:b/>
          <w:bCs/>
          <w:sz w:val="23"/>
          <w:szCs w:val="23"/>
        </w:rPr>
        <w:t>významnou tržní silou na relevantním trhu č. 4 – Velkoobchodní (fyzický) přístup k infrastruktuře sítě (včetně sdíleného nebo plného zpřístupnění účastnického vedení) v pevném místě</w:t>
      </w:r>
    </w:p>
    <w:tbl>
      <w:tblPr>
        <w:tblStyle w:val="Mkatabulky"/>
        <w:tblW w:w="15169" w:type="dxa"/>
        <w:tblInd w:w="-431" w:type="dxa"/>
        <w:tblLayout w:type="fixed"/>
        <w:tblLook w:val="04A0" w:firstRow="1" w:lastRow="0" w:firstColumn="1" w:lastColumn="0" w:noHBand="0" w:noVBand="1"/>
      </w:tblPr>
      <w:tblGrid>
        <w:gridCol w:w="1135"/>
        <w:gridCol w:w="3011"/>
        <w:gridCol w:w="2234"/>
        <w:gridCol w:w="4111"/>
        <w:gridCol w:w="4678"/>
      </w:tblGrid>
      <w:tr w:rsidR="001E73D0" w:rsidRPr="00F07CFA" w14:paraId="585DA13F" w14:textId="77777777" w:rsidTr="00603E63">
        <w:tc>
          <w:tcPr>
            <w:tcW w:w="1135" w:type="dxa"/>
            <w:vAlign w:val="center"/>
          </w:tcPr>
          <w:p w14:paraId="35B192B0" w14:textId="77777777" w:rsidR="00407B72" w:rsidRPr="00F07CFA" w:rsidRDefault="00407B72" w:rsidP="00C94863">
            <w:pPr>
              <w:pStyle w:val="Default"/>
              <w:rPr>
                <w:b/>
                <w:sz w:val="22"/>
                <w:szCs w:val="22"/>
              </w:rPr>
            </w:pPr>
            <w:r w:rsidRPr="00F07CFA">
              <w:rPr>
                <w:b/>
                <w:bCs/>
                <w:sz w:val="22"/>
                <w:szCs w:val="22"/>
              </w:rPr>
              <w:t>Výrok, odst., písm., bod</w:t>
            </w:r>
          </w:p>
        </w:tc>
        <w:tc>
          <w:tcPr>
            <w:tcW w:w="3011" w:type="dxa"/>
            <w:vAlign w:val="center"/>
          </w:tcPr>
          <w:p w14:paraId="78554439" w14:textId="77777777" w:rsidR="00407B72" w:rsidRPr="00F07CFA" w:rsidRDefault="00407B72" w:rsidP="00C94863">
            <w:pPr>
              <w:pStyle w:val="Default"/>
              <w:jc w:val="center"/>
              <w:rPr>
                <w:b/>
                <w:sz w:val="22"/>
                <w:szCs w:val="22"/>
              </w:rPr>
            </w:pPr>
            <w:r w:rsidRPr="00F07CFA">
              <w:rPr>
                <w:b/>
                <w:bCs/>
                <w:sz w:val="22"/>
                <w:szCs w:val="22"/>
              </w:rPr>
              <w:t>Původní text návrhu</w:t>
            </w:r>
          </w:p>
        </w:tc>
        <w:tc>
          <w:tcPr>
            <w:tcW w:w="2234" w:type="dxa"/>
            <w:vAlign w:val="center"/>
          </w:tcPr>
          <w:p w14:paraId="7A273A30" w14:textId="77777777" w:rsidR="00407B72" w:rsidRPr="00F07CFA" w:rsidRDefault="00407B72" w:rsidP="00C94863">
            <w:pPr>
              <w:pStyle w:val="Default"/>
              <w:jc w:val="center"/>
              <w:rPr>
                <w:b/>
                <w:sz w:val="22"/>
                <w:szCs w:val="22"/>
              </w:rPr>
            </w:pPr>
            <w:r w:rsidRPr="00F07CFA">
              <w:rPr>
                <w:b/>
                <w:bCs/>
                <w:sz w:val="22"/>
                <w:szCs w:val="22"/>
              </w:rPr>
              <w:t>Připomínkující subjekt (pořadové číslo připomínky)</w:t>
            </w:r>
          </w:p>
        </w:tc>
        <w:tc>
          <w:tcPr>
            <w:tcW w:w="4111" w:type="dxa"/>
            <w:vAlign w:val="center"/>
          </w:tcPr>
          <w:p w14:paraId="4DF02A77" w14:textId="77777777" w:rsidR="00407B72" w:rsidRPr="00F07CFA" w:rsidRDefault="00407B72" w:rsidP="00C94863">
            <w:pPr>
              <w:pStyle w:val="Default"/>
              <w:jc w:val="center"/>
              <w:rPr>
                <w:b/>
                <w:sz w:val="22"/>
                <w:szCs w:val="22"/>
              </w:rPr>
            </w:pPr>
            <w:r w:rsidRPr="00F07CFA">
              <w:rPr>
                <w:b/>
                <w:bCs/>
                <w:sz w:val="22"/>
                <w:szCs w:val="22"/>
              </w:rPr>
              <w:t>Pozměňovací návrh</w:t>
            </w:r>
          </w:p>
        </w:tc>
        <w:tc>
          <w:tcPr>
            <w:tcW w:w="4678" w:type="dxa"/>
            <w:vAlign w:val="center"/>
          </w:tcPr>
          <w:p w14:paraId="1199E7C8" w14:textId="77777777" w:rsidR="00407B72" w:rsidRPr="00F07CFA" w:rsidRDefault="00407B72" w:rsidP="00C94863">
            <w:pPr>
              <w:pStyle w:val="Default"/>
              <w:jc w:val="center"/>
              <w:rPr>
                <w:b/>
                <w:sz w:val="22"/>
                <w:szCs w:val="22"/>
              </w:rPr>
            </w:pPr>
            <w:r w:rsidRPr="00F07CFA">
              <w:rPr>
                <w:b/>
                <w:bCs/>
                <w:sz w:val="22"/>
                <w:szCs w:val="22"/>
              </w:rPr>
              <w:t>Stanovisko ČTÚ</w:t>
            </w:r>
          </w:p>
        </w:tc>
      </w:tr>
      <w:tr w:rsidR="00C932CD" w:rsidRPr="00F07CFA" w14:paraId="27BF7DB0" w14:textId="77777777" w:rsidTr="00603E63">
        <w:tc>
          <w:tcPr>
            <w:tcW w:w="1135" w:type="dxa"/>
          </w:tcPr>
          <w:p w14:paraId="1AFFD391" w14:textId="77777777" w:rsidR="00C932CD" w:rsidRPr="00F07CFA" w:rsidRDefault="00725A7A" w:rsidP="008A128E">
            <w:pPr>
              <w:pStyle w:val="Default"/>
              <w:rPr>
                <w:sz w:val="18"/>
                <w:szCs w:val="18"/>
              </w:rPr>
            </w:pPr>
            <w:r w:rsidRPr="00F07CFA">
              <w:rPr>
                <w:sz w:val="18"/>
                <w:szCs w:val="18"/>
              </w:rPr>
              <w:t>Výrok </w:t>
            </w:r>
            <w:r w:rsidR="00284297" w:rsidRPr="00F07CFA">
              <w:rPr>
                <w:sz w:val="18"/>
                <w:szCs w:val="18"/>
              </w:rPr>
              <w:t xml:space="preserve">I, </w:t>
            </w:r>
            <w:r w:rsidR="008A128E" w:rsidRPr="00F07CFA">
              <w:rPr>
                <w:sz w:val="18"/>
                <w:szCs w:val="18"/>
              </w:rPr>
              <w:t xml:space="preserve">odst. </w:t>
            </w:r>
            <w:r w:rsidR="002D7E70" w:rsidRPr="00F07CFA">
              <w:rPr>
                <w:sz w:val="18"/>
                <w:szCs w:val="18"/>
              </w:rPr>
              <w:t>2</w:t>
            </w:r>
          </w:p>
        </w:tc>
        <w:tc>
          <w:tcPr>
            <w:tcW w:w="3011" w:type="dxa"/>
          </w:tcPr>
          <w:p w14:paraId="636427CF" w14:textId="4AA2EEAB" w:rsidR="002D7E70" w:rsidRPr="00F07CFA" w:rsidRDefault="00E01715" w:rsidP="00B749D8">
            <w:pPr>
              <w:jc w:val="both"/>
              <w:rPr>
                <w:rFonts w:ascii="Arial" w:hAnsi="Arial" w:cs="Arial"/>
                <w:color w:val="000000" w:themeColor="text1"/>
                <w:sz w:val="18"/>
                <w:szCs w:val="18"/>
              </w:rPr>
            </w:pPr>
            <w:r w:rsidRPr="00F07CFA">
              <w:rPr>
                <w:rFonts w:ascii="Arial" w:hAnsi="Arial" w:cs="Arial"/>
                <w:color w:val="000000" w:themeColor="text1"/>
                <w:sz w:val="18"/>
                <w:szCs w:val="18"/>
              </w:rPr>
              <w:t>C</w:t>
            </w:r>
            <w:r w:rsidR="002D7E70" w:rsidRPr="00F07CFA">
              <w:rPr>
                <w:rFonts w:ascii="Arial" w:hAnsi="Arial" w:cs="Arial"/>
                <w:color w:val="000000" w:themeColor="text1"/>
                <w:sz w:val="18"/>
                <w:szCs w:val="18"/>
              </w:rPr>
              <w:t>eny za poskytnutí služeb přístupu k přiřazeným prostředkům byly stanoveny na základě zásady nákladové orientace. Kalkulace ceny zahrnuje efektivně a účelně vynaložené náklady a přiměřený zisk. Nákladová orientace je založena na metodice LRIC+. Prvky inženýrských sítí jsou oceněny běžnými náklady. Opakovaně použitelné již existující starší pasivní prvky inženýrských sítí (jako jsou kabelovody, ochranné HDPE trubky a výkopy) jsou oceněny běžnými náklady, zohledňujícími uplynulou ekonomickou životnost aktiv. Počáteční hodnota těchto starších aktiv je oceněna účetní hodnotou sníženou o oprávky k okamžiku výpočtu ceny, která je navýšena odpovídajícím cenovým indexem za dobu od pořízení aktiva do výpočtu jeho ceny. Plně odepsané prvky inženýrských sítí již netvoří součást počáteční regulační báze aktiv. Přiměřená výše zisku je určena procentem návratnosti vloženého kapitálu a je určena správním orgánem v opatření o</w:t>
            </w:r>
            <w:r w:rsidR="005B7ABF">
              <w:rPr>
                <w:rFonts w:ascii="Arial" w:hAnsi="Arial" w:cs="Arial"/>
                <w:color w:val="000000" w:themeColor="text1"/>
                <w:sz w:val="18"/>
                <w:szCs w:val="18"/>
              </w:rPr>
              <w:t>becné povahy podle ustanovení § </w:t>
            </w:r>
            <w:r w:rsidR="002D7E70" w:rsidRPr="00F07CFA">
              <w:rPr>
                <w:rFonts w:ascii="Arial" w:hAnsi="Arial" w:cs="Arial"/>
                <w:color w:val="000000" w:themeColor="text1"/>
                <w:sz w:val="18"/>
                <w:szCs w:val="18"/>
              </w:rPr>
              <w:t>86 odst. 3 Zákona.</w:t>
            </w:r>
          </w:p>
          <w:p w14:paraId="14580AA4" w14:textId="77777777" w:rsidR="00C932CD" w:rsidRPr="00F07CFA" w:rsidRDefault="00C932CD" w:rsidP="001E73D0">
            <w:pPr>
              <w:pStyle w:val="Default"/>
              <w:rPr>
                <w:sz w:val="18"/>
                <w:szCs w:val="18"/>
              </w:rPr>
            </w:pPr>
          </w:p>
        </w:tc>
        <w:tc>
          <w:tcPr>
            <w:tcW w:w="2234" w:type="dxa"/>
          </w:tcPr>
          <w:p w14:paraId="109CF246" w14:textId="77777777" w:rsidR="002A2D3B" w:rsidRPr="002A2D3B" w:rsidRDefault="002D7E70" w:rsidP="002A2D3B">
            <w:pPr>
              <w:autoSpaceDE w:val="0"/>
              <w:autoSpaceDN w:val="0"/>
              <w:adjustRightInd w:val="0"/>
              <w:rPr>
                <w:rFonts w:ascii="Arial" w:hAnsi="Arial" w:cs="Arial"/>
                <w:b/>
                <w:sz w:val="23"/>
                <w:szCs w:val="23"/>
              </w:rPr>
            </w:pPr>
            <w:r w:rsidRPr="00F07CFA">
              <w:rPr>
                <w:rFonts w:ascii="Arial" w:hAnsi="Arial" w:cs="Arial"/>
                <w:color w:val="000000"/>
                <w:sz w:val="18"/>
                <w:szCs w:val="18"/>
              </w:rPr>
              <w:t>O2</w:t>
            </w:r>
            <w:r w:rsidR="00C932CD" w:rsidRPr="00F07CFA">
              <w:rPr>
                <w:rFonts w:ascii="Arial" w:hAnsi="Arial" w:cs="Arial"/>
                <w:color w:val="000000"/>
                <w:sz w:val="18"/>
                <w:szCs w:val="18"/>
              </w:rPr>
              <w:t xml:space="preserve"> Czech Republic a.s. </w:t>
            </w:r>
            <w:r w:rsidR="00C932CD" w:rsidRPr="00F07CFA">
              <w:rPr>
                <w:rFonts w:ascii="Arial" w:hAnsi="Arial" w:cs="Arial"/>
                <w:sz w:val="18"/>
                <w:szCs w:val="18"/>
              </w:rPr>
              <w:t>(1)</w:t>
            </w:r>
          </w:p>
          <w:p w14:paraId="70071FD9" w14:textId="77777777" w:rsidR="00C932CD" w:rsidRPr="002A2D3B" w:rsidRDefault="00C932CD" w:rsidP="002A2D3B">
            <w:pPr>
              <w:ind w:firstLine="708"/>
              <w:rPr>
                <w:rFonts w:ascii="Arial" w:hAnsi="Arial" w:cs="Arial"/>
                <w:sz w:val="23"/>
                <w:szCs w:val="23"/>
              </w:rPr>
            </w:pPr>
          </w:p>
        </w:tc>
        <w:tc>
          <w:tcPr>
            <w:tcW w:w="4111" w:type="dxa"/>
          </w:tcPr>
          <w:p w14:paraId="5C5DBF6B" w14:textId="72B5420E" w:rsidR="002D7E70" w:rsidRPr="00F07CFA" w:rsidRDefault="002D7E70" w:rsidP="00B749D8">
            <w:pPr>
              <w:autoSpaceDE w:val="0"/>
              <w:autoSpaceDN w:val="0"/>
              <w:adjustRightInd w:val="0"/>
              <w:jc w:val="both"/>
              <w:rPr>
                <w:rFonts w:ascii="Arial" w:hAnsi="Arial" w:cs="Arial"/>
                <w:color w:val="000000"/>
                <w:sz w:val="18"/>
                <w:szCs w:val="18"/>
              </w:rPr>
            </w:pPr>
            <w:r w:rsidRPr="00F07CFA">
              <w:rPr>
                <w:rFonts w:ascii="Arial" w:hAnsi="Arial" w:cs="Arial"/>
                <w:color w:val="000000"/>
                <w:sz w:val="18"/>
                <w:szCs w:val="18"/>
              </w:rPr>
              <w:t>Úřad navrhuje metodiku nákladové orientace ceny za zpřístupnění prvků pasivní infrastruktury včetně zohlednění uplynulé ekonomické životnosti aktiv. Zohlednění uplynulé ekonom</w:t>
            </w:r>
            <w:r w:rsidR="00E1564E">
              <w:rPr>
                <w:rFonts w:ascii="Arial" w:hAnsi="Arial" w:cs="Arial"/>
                <w:color w:val="000000"/>
                <w:sz w:val="18"/>
                <w:szCs w:val="18"/>
              </w:rPr>
              <w:t>ické životnosti aktiv považuje společnost O2</w:t>
            </w:r>
            <w:r w:rsidRPr="00F07CFA">
              <w:rPr>
                <w:rFonts w:ascii="Arial" w:hAnsi="Arial" w:cs="Arial"/>
                <w:color w:val="000000"/>
                <w:sz w:val="18"/>
                <w:szCs w:val="18"/>
              </w:rPr>
              <w:t xml:space="preserve"> za umělé zvýhodnění žadatelů o přístup. Obecně vnímá</w:t>
            </w:r>
            <w:r w:rsidR="00E1564E">
              <w:rPr>
                <w:rFonts w:ascii="Arial" w:hAnsi="Arial" w:cs="Arial"/>
                <w:color w:val="000000"/>
                <w:sz w:val="18"/>
                <w:szCs w:val="18"/>
              </w:rPr>
              <w:t xml:space="preserve"> společnost O2</w:t>
            </w:r>
            <w:r w:rsidRPr="00F07CFA">
              <w:rPr>
                <w:rFonts w:ascii="Arial" w:hAnsi="Arial" w:cs="Arial"/>
                <w:color w:val="000000"/>
                <w:sz w:val="18"/>
                <w:szCs w:val="18"/>
              </w:rPr>
              <w:t xml:space="preserve"> smysl sdílení pasivní infrastruktury především jako prostředek pro urychlení (zásadní zkrácení a</w:t>
            </w:r>
            <w:r w:rsidR="005B7ABF">
              <w:rPr>
                <w:rFonts w:ascii="Arial" w:hAnsi="Arial" w:cs="Arial"/>
                <w:color w:val="000000"/>
                <w:sz w:val="18"/>
                <w:szCs w:val="18"/>
              </w:rPr>
              <w:t>nebo přeskočení fáze územních a </w:t>
            </w:r>
            <w:r w:rsidRPr="00F07CFA">
              <w:rPr>
                <w:rFonts w:ascii="Arial" w:hAnsi="Arial" w:cs="Arial"/>
                <w:color w:val="000000"/>
                <w:sz w:val="18"/>
                <w:szCs w:val="18"/>
              </w:rPr>
              <w:t>stavebních řízení) a pro zefektivnění rozvoje NGA sítí, což jsou i cíle vyplývající ze Směrnice 2014/61/EU o opatřeních ke snížení nákladů na budování vysokorychlostních sítí elektronických komunikací. Zohlednění uplynulé ekonomické životnosti aktiv při stanovení cen za přístup do prvků pasivní infrastruktury nadto uměle snižuje cenu, kterou by jinak musel operátor hradit za výstavbu nové infrastruktury. Protože uvedená směrnice podobnou nákladovou orientaci cen neuklád</w:t>
            </w:r>
            <w:r w:rsidR="00E1564E">
              <w:rPr>
                <w:rFonts w:ascii="Arial" w:hAnsi="Arial" w:cs="Arial"/>
                <w:color w:val="000000"/>
                <w:sz w:val="18"/>
                <w:szCs w:val="18"/>
              </w:rPr>
              <w:t>á, lze předpokládat, že navržená</w:t>
            </w:r>
            <w:r w:rsidRPr="00F07CFA">
              <w:rPr>
                <w:rFonts w:ascii="Arial" w:hAnsi="Arial" w:cs="Arial"/>
                <w:color w:val="000000"/>
                <w:sz w:val="18"/>
                <w:szCs w:val="18"/>
              </w:rPr>
              <w:t xml:space="preserve"> nákladová </w:t>
            </w:r>
            <w:r w:rsidR="005B7ABF">
              <w:rPr>
                <w:rFonts w:ascii="Arial" w:hAnsi="Arial" w:cs="Arial"/>
                <w:color w:val="000000"/>
                <w:sz w:val="18"/>
                <w:szCs w:val="18"/>
              </w:rPr>
              <w:t>orientace cen zpřístupnění by v </w:t>
            </w:r>
            <w:r w:rsidRPr="00F07CFA">
              <w:rPr>
                <w:rFonts w:ascii="Arial" w:hAnsi="Arial" w:cs="Arial"/>
                <w:color w:val="000000"/>
                <w:sz w:val="18"/>
                <w:szCs w:val="18"/>
              </w:rPr>
              <w:t xml:space="preserve">budoucnu mohla křivit trh vzniklý na jejím základě. Úřad by měl blíže posoudit budoucí „soužití“ režimů zpřístupnění na základě SMP regulace a na základě Směrnice i z cenového pohledu a upravit předmětný bod. </w:t>
            </w:r>
          </w:p>
          <w:p w14:paraId="138541D1" w14:textId="77777777" w:rsidR="00C932CD" w:rsidRPr="00F07CFA" w:rsidRDefault="00C932CD" w:rsidP="00A769F8">
            <w:pPr>
              <w:autoSpaceDE w:val="0"/>
              <w:autoSpaceDN w:val="0"/>
              <w:adjustRightInd w:val="0"/>
              <w:spacing w:after="120"/>
              <w:jc w:val="both"/>
              <w:rPr>
                <w:rFonts w:ascii="Arial" w:hAnsi="Arial" w:cs="Arial"/>
                <w:b/>
                <w:sz w:val="23"/>
                <w:szCs w:val="23"/>
              </w:rPr>
            </w:pPr>
          </w:p>
        </w:tc>
        <w:tc>
          <w:tcPr>
            <w:tcW w:w="4678" w:type="dxa"/>
          </w:tcPr>
          <w:p w14:paraId="7A3AAF83" w14:textId="77777777" w:rsidR="00D7336B" w:rsidRPr="00F07CFA" w:rsidRDefault="002D7E70"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Nea</w:t>
            </w:r>
            <w:r w:rsidR="00D7336B" w:rsidRPr="00F07CFA">
              <w:rPr>
                <w:rFonts w:eastAsia="Times New Roman"/>
                <w:color w:val="auto"/>
                <w:sz w:val="18"/>
                <w:szCs w:val="18"/>
                <w:lang w:eastAsia="cs-CZ"/>
              </w:rPr>
              <w:t>kceptováno</w:t>
            </w:r>
          </w:p>
          <w:p w14:paraId="386C2475" w14:textId="654A4655" w:rsidR="00126573" w:rsidRPr="00F07CFA" w:rsidRDefault="00B749D8" w:rsidP="002A2D3B">
            <w:pPr>
              <w:pStyle w:val="CM1"/>
              <w:jc w:val="both"/>
              <w:rPr>
                <w:rFonts w:ascii="Arial" w:hAnsi="Arial" w:cs="Arial"/>
              </w:rPr>
            </w:pPr>
            <w:r w:rsidRPr="00F07CFA">
              <w:rPr>
                <w:rFonts w:ascii="Arial" w:eastAsia="Times New Roman" w:hAnsi="Arial" w:cs="Arial"/>
                <w:sz w:val="18"/>
                <w:szCs w:val="18"/>
                <w:lang w:eastAsia="cs-CZ"/>
              </w:rPr>
              <w:t xml:space="preserve">Záměrem </w:t>
            </w:r>
            <w:r w:rsidRPr="00F07CFA">
              <w:rPr>
                <w:rFonts w:ascii="Arial" w:hAnsi="Arial" w:cs="Arial"/>
                <w:sz w:val="18"/>
                <w:szCs w:val="18"/>
              </w:rPr>
              <w:t>Směrnice 2014/61/EU o opatřeních ke snížení nákladů na budování vysokorychlostních sítí elektronických komunikací je podpora urychleného zavádění vysokorychlostního širokopásmového připojení k</w:t>
            </w:r>
            <w:r w:rsidR="00126573" w:rsidRPr="00F07CFA">
              <w:rPr>
                <w:rFonts w:ascii="Arial" w:hAnsi="Arial" w:cs="Arial"/>
                <w:sz w:val="18"/>
                <w:szCs w:val="18"/>
              </w:rPr>
              <w:t> </w:t>
            </w:r>
            <w:r w:rsidRPr="00F07CFA">
              <w:rPr>
                <w:rFonts w:ascii="Arial" w:hAnsi="Arial" w:cs="Arial"/>
                <w:sz w:val="18"/>
                <w:szCs w:val="18"/>
              </w:rPr>
              <w:t>Internetu</w:t>
            </w:r>
            <w:r w:rsidR="00126573" w:rsidRPr="00F07CFA">
              <w:rPr>
                <w:rFonts w:ascii="Arial" w:hAnsi="Arial" w:cs="Arial"/>
                <w:sz w:val="18"/>
                <w:szCs w:val="18"/>
              </w:rPr>
              <w:t>,</w:t>
            </w:r>
            <w:r w:rsidR="005B7ABF">
              <w:rPr>
                <w:rFonts w:ascii="Arial" w:hAnsi="Arial" w:cs="Arial"/>
                <w:sz w:val="18"/>
                <w:szCs w:val="18"/>
              </w:rPr>
              <w:t xml:space="preserve"> mimo jiné snižováním nákladů a </w:t>
            </w:r>
            <w:r w:rsidRPr="00F07CFA">
              <w:rPr>
                <w:rFonts w:ascii="Arial" w:hAnsi="Arial" w:cs="Arial"/>
                <w:sz w:val="18"/>
                <w:szCs w:val="18"/>
              </w:rPr>
              <w:t>administrativní zátěže. Vzhledem k tomu, že významnou část nákladů představují stavební práce</w:t>
            </w:r>
            <w:r w:rsidR="004B630A" w:rsidRPr="00F07CFA">
              <w:rPr>
                <w:rFonts w:ascii="Arial" w:hAnsi="Arial" w:cs="Arial"/>
                <w:sz w:val="18"/>
                <w:szCs w:val="18"/>
              </w:rPr>
              <w:t>, je důraz položen na efektivnější využití existující pasivní infrastruktury. Opětovné využití existující pasivní infrastruktury snižuje společenské a ekologické náklady při budování nové fyzické infrastruktury, které nemusí být v řadě případů ani</w:t>
            </w:r>
            <w:r w:rsidR="005B7624" w:rsidRPr="00F07CFA">
              <w:rPr>
                <w:rFonts w:ascii="Arial" w:hAnsi="Arial" w:cs="Arial"/>
                <w:sz w:val="18"/>
                <w:szCs w:val="18"/>
              </w:rPr>
              <w:t xml:space="preserve"> </w:t>
            </w:r>
            <w:r w:rsidR="004B630A" w:rsidRPr="00F07CFA">
              <w:rPr>
                <w:rFonts w:ascii="Arial" w:hAnsi="Arial" w:cs="Arial"/>
                <w:sz w:val="18"/>
                <w:szCs w:val="18"/>
              </w:rPr>
              <w:t xml:space="preserve">proveditelné. </w:t>
            </w:r>
            <w:r w:rsidR="00BA537B" w:rsidRPr="00F07CFA">
              <w:rPr>
                <w:rFonts w:ascii="Arial" w:hAnsi="Arial" w:cs="Arial"/>
                <w:sz w:val="18"/>
                <w:szCs w:val="18"/>
              </w:rPr>
              <w:t xml:space="preserve">Proto Evropská komise </w:t>
            </w:r>
            <w:r w:rsidR="00126573" w:rsidRPr="00F07CFA">
              <w:rPr>
                <w:rFonts w:ascii="Arial" w:hAnsi="Arial" w:cs="Arial"/>
                <w:sz w:val="18"/>
                <w:szCs w:val="18"/>
              </w:rPr>
              <w:t xml:space="preserve">dále </w:t>
            </w:r>
            <w:r w:rsidR="00BA537B" w:rsidRPr="00F07CFA">
              <w:rPr>
                <w:rFonts w:ascii="Arial" w:hAnsi="Arial" w:cs="Arial"/>
                <w:sz w:val="18"/>
                <w:szCs w:val="18"/>
              </w:rPr>
              <w:t xml:space="preserve">v Doporučení 2013/466/EU </w:t>
            </w:r>
            <w:r w:rsidR="00BA537B" w:rsidRPr="00F07CFA">
              <w:rPr>
                <w:rFonts w:ascii="Arial" w:hAnsi="Arial" w:cs="Arial"/>
                <w:bCs/>
                <w:sz w:val="18"/>
                <w:szCs w:val="18"/>
              </w:rPr>
              <w:t xml:space="preserve">o konzistentních povinnostech nediskriminace a metodikách výpočtu nákladů s cílem podpořit hospodářskou soutěž a zlepšit podmínky pro investice do širokopásmového připojení </w:t>
            </w:r>
            <w:r w:rsidR="00F42BE7">
              <w:rPr>
                <w:rFonts w:ascii="Arial" w:hAnsi="Arial" w:cs="Arial"/>
                <w:bCs/>
                <w:sz w:val="18"/>
                <w:szCs w:val="18"/>
              </w:rPr>
              <w:t>doporučuje</w:t>
            </w:r>
            <w:r w:rsidR="00C80ADD" w:rsidRPr="00F07CFA">
              <w:rPr>
                <w:rFonts w:ascii="Arial" w:hAnsi="Arial" w:cs="Arial"/>
                <w:bCs/>
                <w:sz w:val="18"/>
                <w:szCs w:val="18"/>
              </w:rPr>
              <w:t xml:space="preserve"> </w:t>
            </w:r>
            <w:r w:rsidR="00BA537B" w:rsidRPr="00F07CFA">
              <w:rPr>
                <w:rFonts w:ascii="Arial" w:hAnsi="Arial" w:cs="Arial"/>
                <w:bCs/>
                <w:sz w:val="18"/>
                <w:szCs w:val="18"/>
              </w:rPr>
              <w:t>použít k</w:t>
            </w:r>
            <w:r w:rsidR="00E1564E">
              <w:rPr>
                <w:rFonts w:ascii="Arial" w:hAnsi="Arial" w:cs="Arial"/>
                <w:sz w:val="18"/>
                <w:szCs w:val="18"/>
              </w:rPr>
              <w:t xml:space="preserve"> výpočtu</w:t>
            </w:r>
            <w:r w:rsidR="00BA537B" w:rsidRPr="00F07CFA">
              <w:rPr>
                <w:rFonts w:ascii="Arial" w:hAnsi="Arial" w:cs="Arial"/>
                <w:sz w:val="18"/>
                <w:szCs w:val="18"/>
              </w:rPr>
              <w:t xml:space="preserve"> nákladů na starší opakovaně použitelná aktiva inženýrských sítí účetní hodnotu sníženou</w:t>
            </w:r>
            <w:r w:rsidR="005B7ABF">
              <w:rPr>
                <w:rFonts w:ascii="Arial" w:hAnsi="Arial" w:cs="Arial"/>
                <w:sz w:val="18"/>
                <w:szCs w:val="18"/>
              </w:rPr>
              <w:t xml:space="preserve"> o oprávky k okamžiku výpočtu s </w:t>
            </w:r>
            <w:r w:rsidR="00BA537B" w:rsidRPr="00F07CFA">
              <w:rPr>
                <w:rFonts w:ascii="Arial" w:hAnsi="Arial" w:cs="Arial"/>
                <w:sz w:val="18"/>
                <w:szCs w:val="18"/>
              </w:rPr>
              <w:t xml:space="preserve">cenovou indexací. </w:t>
            </w:r>
            <w:r w:rsidR="00126573" w:rsidRPr="00F07CFA">
              <w:rPr>
                <w:rFonts w:ascii="Arial" w:hAnsi="Arial" w:cs="Arial"/>
                <w:sz w:val="18"/>
                <w:szCs w:val="18"/>
              </w:rPr>
              <w:t xml:space="preserve">Tento postup brání riziku nadměrné návratnosti nákladů na opakovaně použitelnou starší inženýrskou infrastrukturu, která byla již z velké části ekonomicky realizována v minulosti u </w:t>
            </w:r>
            <w:r w:rsidR="00C80ADD" w:rsidRPr="00F07CFA">
              <w:rPr>
                <w:rFonts w:ascii="Arial" w:hAnsi="Arial" w:cs="Arial"/>
                <w:sz w:val="18"/>
                <w:szCs w:val="18"/>
              </w:rPr>
              <w:t xml:space="preserve">již </w:t>
            </w:r>
            <w:r w:rsidR="00126573" w:rsidRPr="00F07CFA">
              <w:rPr>
                <w:rFonts w:ascii="Arial" w:hAnsi="Arial" w:cs="Arial"/>
                <w:sz w:val="18"/>
                <w:szCs w:val="18"/>
              </w:rPr>
              <w:t>poskytn</w:t>
            </w:r>
            <w:r w:rsidR="00C80ADD" w:rsidRPr="00F07CFA">
              <w:rPr>
                <w:rFonts w:ascii="Arial" w:hAnsi="Arial" w:cs="Arial"/>
                <w:sz w:val="18"/>
                <w:szCs w:val="18"/>
              </w:rPr>
              <w:t>ut</w:t>
            </w:r>
            <w:r w:rsidR="00126573" w:rsidRPr="00F07CFA">
              <w:rPr>
                <w:rFonts w:ascii="Arial" w:hAnsi="Arial" w:cs="Arial"/>
                <w:sz w:val="18"/>
                <w:szCs w:val="18"/>
              </w:rPr>
              <w:t>ých služeb.</w:t>
            </w:r>
          </w:p>
        </w:tc>
      </w:tr>
      <w:tr w:rsidR="00126573" w:rsidRPr="00F07CFA" w14:paraId="6151D404" w14:textId="77777777" w:rsidTr="00603E63">
        <w:tc>
          <w:tcPr>
            <w:tcW w:w="1135" w:type="dxa"/>
          </w:tcPr>
          <w:p w14:paraId="784592F7" w14:textId="77777777" w:rsidR="00126573" w:rsidRPr="00F07CFA" w:rsidRDefault="00DF720F" w:rsidP="00DF720F">
            <w:pPr>
              <w:pStyle w:val="Default"/>
              <w:ind w:right="-108"/>
              <w:rPr>
                <w:sz w:val="18"/>
                <w:szCs w:val="18"/>
              </w:rPr>
            </w:pPr>
            <w:r w:rsidRPr="00F07CFA">
              <w:rPr>
                <w:bCs/>
                <w:sz w:val="18"/>
                <w:szCs w:val="18"/>
              </w:rPr>
              <w:t>Obecně</w:t>
            </w:r>
          </w:p>
        </w:tc>
        <w:tc>
          <w:tcPr>
            <w:tcW w:w="3011" w:type="dxa"/>
          </w:tcPr>
          <w:p w14:paraId="2023F941" w14:textId="77777777" w:rsidR="00126573" w:rsidRPr="00F07CFA" w:rsidRDefault="00126573" w:rsidP="00DF720F">
            <w:pPr>
              <w:rPr>
                <w:rFonts w:ascii="Arial" w:hAnsi="Arial" w:cs="Arial"/>
              </w:rPr>
            </w:pPr>
          </w:p>
        </w:tc>
        <w:tc>
          <w:tcPr>
            <w:tcW w:w="2234" w:type="dxa"/>
          </w:tcPr>
          <w:p w14:paraId="1F1DFF44" w14:textId="77777777" w:rsidR="002A2D3B" w:rsidRDefault="00126573" w:rsidP="00DF720F">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5CD6A693" w14:textId="77777777" w:rsidR="00126573" w:rsidRPr="00F07CFA" w:rsidRDefault="00126573" w:rsidP="00DF720F">
            <w:pPr>
              <w:autoSpaceDE w:val="0"/>
              <w:autoSpaceDN w:val="0"/>
              <w:adjustRightInd w:val="0"/>
              <w:rPr>
                <w:rFonts w:ascii="Arial" w:hAnsi="Arial" w:cs="Arial"/>
                <w:color w:val="000000"/>
                <w:sz w:val="18"/>
                <w:szCs w:val="18"/>
              </w:rPr>
            </w:pPr>
            <w:r w:rsidRPr="00F07CFA">
              <w:rPr>
                <w:rFonts w:ascii="Arial" w:hAnsi="Arial" w:cs="Arial"/>
                <w:sz w:val="18"/>
                <w:szCs w:val="18"/>
              </w:rPr>
              <w:t>(2)</w:t>
            </w:r>
          </w:p>
        </w:tc>
        <w:tc>
          <w:tcPr>
            <w:tcW w:w="4111" w:type="dxa"/>
          </w:tcPr>
          <w:p w14:paraId="31C12B32" w14:textId="77777777" w:rsidR="00DF720F" w:rsidRPr="00F07CFA" w:rsidRDefault="00DF720F" w:rsidP="00DF720F">
            <w:pPr>
              <w:autoSpaceDE w:val="0"/>
              <w:autoSpaceDN w:val="0"/>
              <w:adjustRightInd w:val="0"/>
              <w:jc w:val="both"/>
              <w:rPr>
                <w:rFonts w:ascii="Arial" w:hAnsi="Arial" w:cs="Arial"/>
                <w:color w:val="000000"/>
                <w:sz w:val="18"/>
                <w:szCs w:val="18"/>
              </w:rPr>
            </w:pPr>
            <w:r w:rsidRPr="00F07CFA">
              <w:rPr>
                <w:rFonts w:ascii="Arial" w:hAnsi="Arial" w:cs="Arial"/>
                <w:color w:val="000000"/>
                <w:sz w:val="18"/>
                <w:szCs w:val="18"/>
              </w:rPr>
              <w:t xml:space="preserve">Vodafone v první řadě považuje za nutné při zvažování a odůvodňování cenové regulace přijmout s ohledem na dosavadní zkušenosti základní přístup, že pro rozvoj soutěže na daném trhu a souvisejících trzích je bezpodmínečně nutné zajistit, aby v každé lokalitě byl cenově regulován (formou maximální ceny) minimálně „nejnižší“ produkt na investičním žebříku, který je v dané lokalitě dostupný. V současné době je „nejnižším“ produktem zpřístupnění účastnického vedení (LLU). V budoucnu by měly být za nejnižší považovány produkty postupně v následujícím pořadí: </w:t>
            </w:r>
          </w:p>
          <w:p w14:paraId="5AA2F62D" w14:textId="77777777" w:rsidR="00DF720F" w:rsidRPr="00F07CFA" w:rsidRDefault="00DF720F" w:rsidP="00DF720F">
            <w:pPr>
              <w:autoSpaceDE w:val="0"/>
              <w:autoSpaceDN w:val="0"/>
              <w:adjustRightInd w:val="0"/>
              <w:spacing w:after="58"/>
              <w:rPr>
                <w:rFonts w:ascii="Arial" w:hAnsi="Arial" w:cs="Arial"/>
                <w:color w:val="000000"/>
                <w:sz w:val="18"/>
                <w:szCs w:val="18"/>
              </w:rPr>
            </w:pPr>
            <w:r w:rsidRPr="00F07CFA">
              <w:rPr>
                <w:rFonts w:ascii="Arial" w:hAnsi="Arial" w:cs="Arial"/>
                <w:color w:val="000000"/>
                <w:sz w:val="18"/>
                <w:szCs w:val="18"/>
              </w:rPr>
              <w:t xml:space="preserve"> přístup k pasivní infrastruktuře, </w:t>
            </w:r>
          </w:p>
          <w:p w14:paraId="38CB1475" w14:textId="77777777" w:rsidR="00DF720F" w:rsidRPr="00F07CFA" w:rsidRDefault="00DF720F" w:rsidP="00DF720F">
            <w:pPr>
              <w:autoSpaceDE w:val="0"/>
              <w:autoSpaceDN w:val="0"/>
              <w:adjustRightInd w:val="0"/>
              <w:spacing w:after="58"/>
              <w:rPr>
                <w:rFonts w:ascii="Arial" w:hAnsi="Arial" w:cs="Arial"/>
                <w:color w:val="000000"/>
                <w:sz w:val="18"/>
                <w:szCs w:val="18"/>
              </w:rPr>
            </w:pPr>
            <w:r w:rsidRPr="00F07CFA">
              <w:rPr>
                <w:rFonts w:ascii="Arial" w:hAnsi="Arial" w:cs="Arial"/>
                <w:color w:val="000000"/>
                <w:sz w:val="18"/>
                <w:szCs w:val="18"/>
              </w:rPr>
              <w:t xml:space="preserve"> přístup k nenasvícenému vláknu, </w:t>
            </w:r>
          </w:p>
          <w:p w14:paraId="61DCACDC" w14:textId="77777777" w:rsidR="00DF720F" w:rsidRPr="00F07CFA" w:rsidRDefault="00DF720F" w:rsidP="00DF720F">
            <w:pPr>
              <w:autoSpaceDE w:val="0"/>
              <w:autoSpaceDN w:val="0"/>
              <w:adjustRightInd w:val="0"/>
              <w:spacing w:after="58"/>
              <w:rPr>
                <w:rFonts w:ascii="Arial" w:hAnsi="Arial" w:cs="Arial"/>
                <w:color w:val="000000"/>
                <w:sz w:val="18"/>
                <w:szCs w:val="18"/>
              </w:rPr>
            </w:pPr>
            <w:r w:rsidRPr="00F07CFA">
              <w:rPr>
                <w:rFonts w:ascii="Arial" w:hAnsi="Arial" w:cs="Arial"/>
                <w:color w:val="000000"/>
                <w:sz w:val="18"/>
                <w:szCs w:val="18"/>
              </w:rPr>
              <w:lastRenderedPageBreak/>
              <w:t xml:space="preserve"> přístup k FTTH, </w:t>
            </w:r>
          </w:p>
          <w:p w14:paraId="69E06463" w14:textId="77777777" w:rsidR="00DF720F" w:rsidRPr="00F07CFA" w:rsidRDefault="00DF720F" w:rsidP="00DF720F">
            <w:pPr>
              <w:autoSpaceDE w:val="0"/>
              <w:autoSpaceDN w:val="0"/>
              <w:adjustRightInd w:val="0"/>
              <w:spacing w:after="58"/>
              <w:rPr>
                <w:rFonts w:ascii="Arial" w:hAnsi="Arial" w:cs="Arial"/>
                <w:color w:val="000000"/>
                <w:sz w:val="18"/>
                <w:szCs w:val="18"/>
              </w:rPr>
            </w:pPr>
            <w:r w:rsidRPr="00F07CFA">
              <w:rPr>
                <w:rFonts w:ascii="Arial" w:hAnsi="Arial" w:cs="Arial"/>
                <w:color w:val="000000"/>
                <w:sz w:val="18"/>
                <w:szCs w:val="18"/>
              </w:rPr>
              <w:t xml:space="preserve"> VULA, </w:t>
            </w:r>
          </w:p>
          <w:p w14:paraId="60781C74" w14:textId="77777777" w:rsidR="00DF720F" w:rsidRPr="00F07CFA" w:rsidRDefault="00DF720F" w:rsidP="00DF720F">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 velkoobchodní služby (v současnosti na trzích č. 5 a 6). </w:t>
            </w:r>
          </w:p>
          <w:p w14:paraId="7AE87CF5" w14:textId="77777777" w:rsidR="00126573" w:rsidRPr="00F07CFA" w:rsidRDefault="00801BFC" w:rsidP="00801BFC">
            <w:pPr>
              <w:autoSpaceDE w:val="0"/>
              <w:autoSpaceDN w:val="0"/>
              <w:adjustRightInd w:val="0"/>
              <w:jc w:val="both"/>
              <w:rPr>
                <w:rFonts w:ascii="Arial" w:hAnsi="Arial" w:cs="Arial"/>
                <w:color w:val="000000"/>
                <w:sz w:val="18"/>
                <w:szCs w:val="18"/>
              </w:rPr>
            </w:pPr>
            <w:r>
              <w:rPr>
                <w:rFonts w:ascii="Arial" w:hAnsi="Arial" w:cs="Arial"/>
                <w:color w:val="000000"/>
                <w:sz w:val="18"/>
                <w:szCs w:val="18"/>
              </w:rPr>
              <w:t>Společnost Vodafone je přesvědčena</w:t>
            </w:r>
            <w:r w:rsidR="00DF720F" w:rsidRPr="00F07CFA">
              <w:rPr>
                <w:rFonts w:ascii="Arial" w:hAnsi="Arial" w:cs="Arial"/>
                <w:color w:val="000000"/>
                <w:sz w:val="18"/>
                <w:szCs w:val="18"/>
              </w:rPr>
              <w:t>, že cenová regulace v podobě CEN</w:t>
            </w:r>
            <w:r>
              <w:rPr>
                <w:rFonts w:ascii="Arial" w:hAnsi="Arial" w:cs="Arial"/>
                <w:color w:val="000000"/>
                <w:sz w:val="18"/>
                <w:szCs w:val="18"/>
              </w:rPr>
              <w:t xml:space="preserve"> </w:t>
            </w:r>
            <w:r w:rsidR="00DF720F" w:rsidRPr="00F07CFA">
              <w:rPr>
                <w:rFonts w:ascii="Arial" w:hAnsi="Arial" w:cs="Arial"/>
                <w:color w:val="000000"/>
                <w:sz w:val="18"/>
                <w:szCs w:val="18"/>
              </w:rPr>
              <w:t>4 musí k cíli zajištění rozvoje soutěže na daném trhu a souvisejících trzích bezpochyby přispívat. V navrhované podobě CEN</w:t>
            </w:r>
            <w:r>
              <w:rPr>
                <w:rFonts w:ascii="Arial" w:hAnsi="Arial" w:cs="Arial"/>
                <w:color w:val="000000"/>
                <w:sz w:val="18"/>
                <w:szCs w:val="18"/>
              </w:rPr>
              <w:t xml:space="preserve"> </w:t>
            </w:r>
            <w:r w:rsidR="00DF720F" w:rsidRPr="00F07CFA">
              <w:rPr>
                <w:rFonts w:ascii="Arial" w:hAnsi="Arial" w:cs="Arial"/>
                <w:color w:val="000000"/>
                <w:sz w:val="18"/>
                <w:szCs w:val="18"/>
              </w:rPr>
              <w:t>4 tomu tak žel dle přesvěd</w:t>
            </w:r>
            <w:r>
              <w:rPr>
                <w:rFonts w:ascii="Arial" w:hAnsi="Arial" w:cs="Arial"/>
                <w:color w:val="000000"/>
                <w:sz w:val="18"/>
                <w:szCs w:val="18"/>
              </w:rPr>
              <w:t>čení společnosti Vodafone není.</w:t>
            </w:r>
          </w:p>
        </w:tc>
        <w:tc>
          <w:tcPr>
            <w:tcW w:w="4678" w:type="dxa"/>
          </w:tcPr>
          <w:p w14:paraId="440EB5A5" w14:textId="77777777" w:rsidR="000804FA" w:rsidRPr="00F07CFA" w:rsidRDefault="000804FA"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lastRenderedPageBreak/>
              <w:t>Neakceptováno</w:t>
            </w:r>
          </w:p>
          <w:p w14:paraId="035B517D" w14:textId="562091F6" w:rsidR="00126573" w:rsidRPr="00F07CFA" w:rsidRDefault="000804FA" w:rsidP="0003067A">
            <w:pPr>
              <w:autoSpaceDE w:val="0"/>
              <w:autoSpaceDN w:val="0"/>
              <w:adjustRightInd w:val="0"/>
              <w:spacing w:after="60"/>
              <w:jc w:val="both"/>
              <w:rPr>
                <w:rFonts w:ascii="Arial" w:eastAsia="Times New Roman" w:hAnsi="Arial" w:cs="Arial"/>
                <w:sz w:val="18"/>
                <w:szCs w:val="18"/>
                <w:lang w:eastAsia="cs-CZ"/>
              </w:rPr>
            </w:pPr>
            <w:r w:rsidRPr="00F07CFA">
              <w:rPr>
                <w:rFonts w:ascii="Arial" w:eastAsia="Times New Roman" w:hAnsi="Arial" w:cs="Arial"/>
                <w:sz w:val="18"/>
                <w:szCs w:val="18"/>
                <w:lang w:eastAsia="cs-CZ"/>
              </w:rPr>
              <w:t xml:space="preserve">Úřad vydává rozhodnutí o ceně </w:t>
            </w:r>
            <w:r w:rsidRPr="00F07CFA">
              <w:rPr>
                <w:rFonts w:ascii="Arial" w:hAnsi="Arial" w:cs="Arial"/>
                <w:sz w:val="18"/>
                <w:szCs w:val="18"/>
              </w:rPr>
              <w:t>č. CEN/4/XX.2015-Y</w:t>
            </w:r>
            <w:r w:rsidR="00B8114E">
              <w:rPr>
                <w:rFonts w:ascii="Arial" w:hAnsi="Arial" w:cs="Arial"/>
                <w:sz w:val="18"/>
                <w:szCs w:val="18"/>
              </w:rPr>
              <w:t xml:space="preserve"> </w:t>
            </w:r>
            <w:r w:rsidRPr="00F07CFA">
              <w:rPr>
                <w:rFonts w:ascii="Arial" w:hAnsi="Arial" w:cs="Arial"/>
                <w:sz w:val="18"/>
                <w:szCs w:val="18"/>
              </w:rPr>
              <w:t xml:space="preserve">k naplnění závěrů </w:t>
            </w:r>
            <w:r w:rsidRPr="00F07CFA">
              <w:rPr>
                <w:rFonts w:ascii="Arial" w:hAnsi="Arial" w:cs="Arial"/>
                <w:bCs/>
                <w:sz w:val="18"/>
                <w:szCs w:val="18"/>
              </w:rPr>
              <w:t>analýzy trhu č. A/4/10.2014-8,</w:t>
            </w:r>
            <w:r w:rsidRPr="00F07CFA">
              <w:rPr>
                <w:rFonts w:ascii="Arial" w:hAnsi="Arial" w:cs="Arial"/>
                <w:sz w:val="18"/>
                <w:szCs w:val="18"/>
              </w:rPr>
              <w:t xml:space="preserve"> </w:t>
            </w:r>
            <w:r w:rsidR="00AE52EA" w:rsidRPr="00F07CFA">
              <w:rPr>
                <w:rFonts w:ascii="Arial" w:hAnsi="Arial" w:cs="Arial"/>
                <w:sz w:val="18"/>
                <w:szCs w:val="18"/>
              </w:rPr>
              <w:t>která klasifikovala</w:t>
            </w:r>
            <w:r w:rsidRPr="00F07CFA">
              <w:rPr>
                <w:rFonts w:ascii="Arial" w:hAnsi="Arial" w:cs="Arial"/>
                <w:sz w:val="18"/>
                <w:szCs w:val="18"/>
              </w:rPr>
              <w:t xml:space="preserve"> </w:t>
            </w:r>
            <w:r w:rsidR="00AE52EA" w:rsidRPr="00F07CFA">
              <w:rPr>
                <w:rFonts w:ascii="Arial" w:hAnsi="Arial" w:cs="Arial"/>
                <w:sz w:val="18"/>
                <w:szCs w:val="18"/>
              </w:rPr>
              <w:t xml:space="preserve">společnost O2 Czech Republic a.s. jako </w:t>
            </w:r>
            <w:r w:rsidRPr="00F07CFA">
              <w:rPr>
                <w:rFonts w:ascii="Arial" w:hAnsi="Arial" w:cs="Arial"/>
                <w:sz w:val="18"/>
                <w:szCs w:val="18"/>
              </w:rPr>
              <w:t>podnik s</w:t>
            </w:r>
            <w:r w:rsidR="00AE52EA" w:rsidRPr="00F07CFA">
              <w:rPr>
                <w:rFonts w:ascii="Arial" w:hAnsi="Arial" w:cs="Arial"/>
                <w:sz w:val="18"/>
                <w:szCs w:val="18"/>
              </w:rPr>
              <w:t> </w:t>
            </w:r>
            <w:r w:rsidRPr="00F07CFA">
              <w:rPr>
                <w:rFonts w:ascii="Arial" w:hAnsi="Arial" w:cs="Arial"/>
                <w:sz w:val="18"/>
                <w:szCs w:val="18"/>
              </w:rPr>
              <w:t>význam</w:t>
            </w:r>
            <w:r w:rsidR="00AE52EA" w:rsidRPr="00F07CFA">
              <w:rPr>
                <w:rFonts w:ascii="Arial" w:hAnsi="Arial" w:cs="Arial"/>
                <w:sz w:val="18"/>
                <w:szCs w:val="18"/>
              </w:rPr>
              <w:t>nou tržní silou</w:t>
            </w:r>
            <w:r w:rsidR="00B8114E">
              <w:rPr>
                <w:rFonts w:ascii="Arial" w:hAnsi="Arial" w:cs="Arial"/>
                <w:sz w:val="18"/>
                <w:szCs w:val="18"/>
              </w:rPr>
              <w:t>, identifikovala potenciální tržní problémy a k nim definovala rozsah potřebných nápravných opatření</w:t>
            </w:r>
            <w:r w:rsidR="00AE52EA" w:rsidRPr="00F07CFA">
              <w:rPr>
                <w:rFonts w:ascii="Arial" w:hAnsi="Arial" w:cs="Arial"/>
                <w:sz w:val="18"/>
                <w:szCs w:val="18"/>
              </w:rPr>
              <w:t>. Závěry analýzy</w:t>
            </w:r>
            <w:r w:rsidR="00B8114E">
              <w:rPr>
                <w:rFonts w:ascii="Arial" w:hAnsi="Arial" w:cs="Arial"/>
                <w:sz w:val="18"/>
                <w:szCs w:val="18"/>
              </w:rPr>
              <w:t xml:space="preserve"> identifikují s ohledem na zjištěný stav trhu jako potřebné uplatnit </w:t>
            </w:r>
            <w:r w:rsidR="00AE52EA" w:rsidRPr="00F07CFA">
              <w:rPr>
                <w:rFonts w:ascii="Arial" w:hAnsi="Arial" w:cs="Arial"/>
                <w:sz w:val="18"/>
                <w:szCs w:val="18"/>
              </w:rPr>
              <w:t>podle</w:t>
            </w:r>
            <w:r w:rsidR="00B8114E">
              <w:rPr>
                <w:rFonts w:ascii="Arial" w:hAnsi="Arial" w:cs="Arial"/>
                <w:sz w:val="18"/>
                <w:szCs w:val="18"/>
              </w:rPr>
              <w:t xml:space="preserve"> </w:t>
            </w:r>
            <w:r w:rsidR="00AE52EA" w:rsidRPr="00F07CFA">
              <w:rPr>
                <w:rFonts w:ascii="Arial" w:hAnsi="Arial" w:cs="Arial"/>
                <w:sz w:val="18"/>
                <w:szCs w:val="18"/>
              </w:rPr>
              <w:t xml:space="preserve">§ 56 a 57 Zákona </w:t>
            </w:r>
            <w:r w:rsidR="005B7ABF">
              <w:rPr>
                <w:rFonts w:ascii="Arial" w:hAnsi="Arial" w:cs="Arial"/>
                <w:sz w:val="18"/>
                <w:szCs w:val="18"/>
              </w:rPr>
              <w:t>nápravná opatření související s </w:t>
            </w:r>
            <w:r w:rsidR="00AE52EA" w:rsidRPr="00F07CFA">
              <w:rPr>
                <w:rFonts w:ascii="Arial" w:hAnsi="Arial" w:cs="Arial"/>
                <w:sz w:val="18"/>
                <w:szCs w:val="18"/>
              </w:rPr>
              <w:t xml:space="preserve">regulací cen pro přístupy poskytované prostřednictvím účastnických kovových vedení a pro přístup ke specifickým prvkům pasivní infrastruktury. </w:t>
            </w:r>
            <w:r w:rsidR="00801BFC">
              <w:rPr>
                <w:rFonts w:ascii="Arial" w:hAnsi="Arial" w:cs="Arial"/>
                <w:sz w:val="18"/>
                <w:szCs w:val="18"/>
              </w:rPr>
              <w:t>R</w:t>
            </w:r>
            <w:r w:rsidR="00AE52EA" w:rsidRPr="00F07CFA">
              <w:rPr>
                <w:rFonts w:ascii="Arial" w:hAnsi="Arial" w:cs="Arial"/>
                <w:sz w:val="18"/>
                <w:szCs w:val="18"/>
              </w:rPr>
              <w:t>ozhodnutí</w:t>
            </w:r>
            <w:r w:rsidR="005B7ABF">
              <w:rPr>
                <w:rFonts w:ascii="Arial" w:hAnsi="Arial" w:cs="Arial"/>
                <w:sz w:val="18"/>
                <w:szCs w:val="18"/>
              </w:rPr>
              <w:t xml:space="preserve"> o </w:t>
            </w:r>
            <w:r w:rsidR="00801BFC">
              <w:rPr>
                <w:rFonts w:ascii="Arial" w:hAnsi="Arial" w:cs="Arial"/>
                <w:sz w:val="18"/>
                <w:szCs w:val="18"/>
              </w:rPr>
              <w:t>ceně</w:t>
            </w:r>
            <w:r w:rsidR="00AE52EA" w:rsidRPr="00F07CFA">
              <w:rPr>
                <w:rFonts w:ascii="Arial" w:hAnsi="Arial" w:cs="Arial"/>
                <w:sz w:val="18"/>
                <w:szCs w:val="18"/>
              </w:rPr>
              <w:t xml:space="preserve"> </w:t>
            </w:r>
            <w:r w:rsidR="00B8114E">
              <w:rPr>
                <w:rFonts w:ascii="Arial" w:hAnsi="Arial" w:cs="Arial"/>
                <w:sz w:val="18"/>
                <w:szCs w:val="18"/>
              </w:rPr>
              <w:t>je proto v tomto směru v souladu s rozsahem nápravných</w:t>
            </w:r>
            <w:r w:rsidR="001D3AEB" w:rsidRPr="00F07CFA">
              <w:rPr>
                <w:rFonts w:ascii="Arial" w:hAnsi="Arial" w:cs="Arial"/>
                <w:sz w:val="18"/>
                <w:szCs w:val="18"/>
              </w:rPr>
              <w:t xml:space="preserve"> opatření</w:t>
            </w:r>
            <w:r w:rsidR="00801BFC">
              <w:rPr>
                <w:rFonts w:ascii="Arial" w:hAnsi="Arial" w:cs="Arial"/>
                <w:sz w:val="18"/>
                <w:szCs w:val="18"/>
              </w:rPr>
              <w:t xml:space="preserve"> navržených v analýze relevantního trhu č. </w:t>
            </w:r>
            <w:hyperlink r:id="rId8" w:history="1">
              <w:r w:rsidR="00801BFC" w:rsidRPr="00801BFC">
                <w:rPr>
                  <w:rStyle w:val="Hypertextovodkaz"/>
                  <w:rFonts w:ascii="Arial" w:hAnsi="Arial" w:cs="Arial"/>
                  <w:sz w:val="18"/>
                  <w:szCs w:val="18"/>
                </w:rPr>
                <w:t>A/4/10.2014-8</w:t>
              </w:r>
            </w:hyperlink>
            <w:r w:rsidR="00B8114E">
              <w:rPr>
                <w:rStyle w:val="Hypertextovodkaz"/>
                <w:rFonts w:ascii="Arial" w:hAnsi="Arial" w:cs="Arial"/>
                <w:sz w:val="18"/>
                <w:szCs w:val="18"/>
              </w:rPr>
              <w:t xml:space="preserve"> a nemůže jít nad jeho rámec</w:t>
            </w:r>
            <w:r w:rsidR="00AE52EA" w:rsidRPr="00F07CFA">
              <w:rPr>
                <w:rFonts w:ascii="Arial" w:hAnsi="Arial" w:cs="Arial"/>
                <w:sz w:val="18"/>
                <w:szCs w:val="18"/>
              </w:rPr>
              <w:t>.</w:t>
            </w:r>
            <w:r w:rsidR="009A5A04">
              <w:rPr>
                <w:rFonts w:ascii="Arial" w:hAnsi="Arial" w:cs="Arial"/>
                <w:sz w:val="18"/>
                <w:szCs w:val="18"/>
              </w:rPr>
              <w:t xml:space="preserve"> Nadto </w:t>
            </w:r>
            <w:r w:rsidR="009A5A04">
              <w:rPr>
                <w:rFonts w:ascii="Arial" w:hAnsi="Arial" w:cs="Arial"/>
                <w:sz w:val="18"/>
                <w:szCs w:val="18"/>
              </w:rPr>
              <w:lastRenderedPageBreak/>
              <w:t>Úřad připomíná, že povinnost poskytovat virtuální zpřístupnění (VULA) ukládá v případech, kdy nebude možné zpřístupnit účastnické kovové vedení či jeho úsek z důvodu nasazení technologie vectoringu, nebo v případě, kdy nebude možné nabídnout fyzické zpřístupnění účastnického optického vedení či jeho úseku. Úřad tak předpokládá, že prostřednictvím virtuálního zpřístupnění budou poskytovány služby s rychlostí alespoň 30 Mbit/s, tedy s rychlostí charakterizující sítě NGA. Pro tento typ sítě pak Úřad nenavrhl uložit striktní povinnost související s regulací cen ve formě maximálních cen či nákladové orientace, ale pouze ve formě ekonomické replikovatelnosti služeb</w:t>
            </w:r>
            <w:r w:rsidR="00A23A89">
              <w:rPr>
                <w:rFonts w:ascii="Arial" w:hAnsi="Arial" w:cs="Arial"/>
                <w:sz w:val="18"/>
                <w:szCs w:val="18"/>
              </w:rPr>
              <w:t xml:space="preserve"> na souvisejícím relevantním trhu č. 5 (v souhrnu za všechny služby poskytované na NGA přístupech)</w:t>
            </w:r>
            <w:r w:rsidR="009A5A04">
              <w:rPr>
                <w:rFonts w:ascii="Arial" w:hAnsi="Arial" w:cs="Arial"/>
                <w:sz w:val="18"/>
                <w:szCs w:val="18"/>
              </w:rPr>
              <w:t>.</w:t>
            </w:r>
            <w:r w:rsidR="00A23A89">
              <w:rPr>
                <w:rFonts w:ascii="Arial" w:hAnsi="Arial" w:cs="Arial"/>
                <w:sz w:val="18"/>
                <w:szCs w:val="18"/>
              </w:rPr>
              <w:t xml:space="preserve"> Dále viz odůvodnění cenové </w:t>
            </w:r>
            <w:r w:rsidR="005B7ABF">
              <w:rPr>
                <w:rFonts w:ascii="Arial" w:hAnsi="Arial" w:cs="Arial"/>
                <w:sz w:val="18"/>
                <w:szCs w:val="18"/>
              </w:rPr>
              <w:t>regulace na relevantním trhu č. </w:t>
            </w:r>
            <w:hyperlink r:id="rId9" w:history="1">
              <w:r w:rsidR="00A23A89" w:rsidRPr="00A23A89">
                <w:rPr>
                  <w:rStyle w:val="Hypertextovodkaz"/>
                  <w:rFonts w:ascii="Arial" w:hAnsi="Arial" w:cs="Arial"/>
                  <w:sz w:val="18"/>
                  <w:szCs w:val="18"/>
                </w:rPr>
                <w:t>A/4/10.2014-8</w:t>
              </w:r>
            </w:hyperlink>
            <w:r w:rsidR="00A23A89">
              <w:rPr>
                <w:rFonts w:ascii="Arial" w:hAnsi="Arial" w:cs="Arial"/>
                <w:sz w:val="18"/>
                <w:szCs w:val="18"/>
              </w:rPr>
              <w:t>, str. 115-116.</w:t>
            </w:r>
          </w:p>
        </w:tc>
      </w:tr>
      <w:tr w:rsidR="00126573" w:rsidRPr="00F07CFA" w14:paraId="0D87FC8F" w14:textId="77777777" w:rsidTr="00603E63">
        <w:tc>
          <w:tcPr>
            <w:tcW w:w="1135" w:type="dxa"/>
          </w:tcPr>
          <w:p w14:paraId="1B3F92B8" w14:textId="77777777" w:rsidR="00126573" w:rsidRPr="00F07CFA" w:rsidRDefault="00126573" w:rsidP="00DF720F">
            <w:pPr>
              <w:pStyle w:val="Default"/>
              <w:jc w:val="both"/>
              <w:rPr>
                <w:sz w:val="18"/>
                <w:szCs w:val="18"/>
              </w:rPr>
            </w:pPr>
          </w:p>
        </w:tc>
        <w:tc>
          <w:tcPr>
            <w:tcW w:w="3011" w:type="dxa"/>
          </w:tcPr>
          <w:p w14:paraId="70EC5A95" w14:textId="77777777" w:rsidR="00126573" w:rsidRPr="00F07CFA" w:rsidRDefault="00126573" w:rsidP="00DF720F">
            <w:pPr>
              <w:jc w:val="both"/>
              <w:rPr>
                <w:rFonts w:ascii="Arial" w:hAnsi="Arial" w:cs="Arial"/>
                <w:sz w:val="18"/>
                <w:szCs w:val="18"/>
              </w:rPr>
            </w:pPr>
          </w:p>
        </w:tc>
        <w:tc>
          <w:tcPr>
            <w:tcW w:w="2234" w:type="dxa"/>
          </w:tcPr>
          <w:p w14:paraId="365BF9BF" w14:textId="77777777" w:rsidR="002A2D3B" w:rsidRDefault="00F06C44" w:rsidP="00F06C44">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0188D25B" w14:textId="77777777" w:rsidR="00126573" w:rsidRPr="00F07CFA" w:rsidRDefault="00F06C44" w:rsidP="00F06C44">
            <w:pPr>
              <w:autoSpaceDE w:val="0"/>
              <w:autoSpaceDN w:val="0"/>
              <w:adjustRightInd w:val="0"/>
              <w:rPr>
                <w:rFonts w:ascii="Arial" w:hAnsi="Arial" w:cs="Arial"/>
                <w:color w:val="000000"/>
                <w:sz w:val="18"/>
                <w:szCs w:val="18"/>
              </w:rPr>
            </w:pPr>
            <w:r w:rsidRPr="00F07CFA">
              <w:rPr>
                <w:rFonts w:ascii="Arial" w:hAnsi="Arial" w:cs="Arial"/>
                <w:sz w:val="18"/>
                <w:szCs w:val="18"/>
              </w:rPr>
              <w:t>(3)</w:t>
            </w:r>
          </w:p>
        </w:tc>
        <w:tc>
          <w:tcPr>
            <w:tcW w:w="4111" w:type="dxa"/>
          </w:tcPr>
          <w:p w14:paraId="78FAA8D9" w14:textId="0101F9BF" w:rsidR="00DF720F" w:rsidRPr="000A7E58" w:rsidRDefault="00A36395" w:rsidP="0034356E">
            <w:pPr>
              <w:autoSpaceDE w:val="0"/>
              <w:autoSpaceDN w:val="0"/>
              <w:adjustRightInd w:val="0"/>
              <w:jc w:val="both"/>
              <w:rPr>
                <w:rFonts w:ascii="Arial" w:hAnsi="Arial" w:cs="Arial"/>
                <w:bCs/>
                <w:sz w:val="18"/>
                <w:szCs w:val="18"/>
              </w:rPr>
            </w:pPr>
            <w:r w:rsidRPr="000A7E58">
              <w:rPr>
                <w:rFonts w:ascii="Arial" w:hAnsi="Arial" w:cs="Arial"/>
                <w:bCs/>
                <w:sz w:val="18"/>
                <w:szCs w:val="18"/>
              </w:rPr>
              <w:t>S o</w:t>
            </w:r>
            <w:r w:rsidR="00A5209D">
              <w:rPr>
                <w:rFonts w:ascii="Arial" w:hAnsi="Arial" w:cs="Arial"/>
                <w:bCs/>
                <w:sz w:val="18"/>
                <w:szCs w:val="18"/>
              </w:rPr>
              <w:t>hledem na výše uvedené, navrhuje</w:t>
            </w:r>
            <w:r w:rsidRPr="000A7E58">
              <w:rPr>
                <w:rFonts w:ascii="Arial" w:hAnsi="Arial" w:cs="Arial"/>
                <w:bCs/>
                <w:sz w:val="18"/>
                <w:szCs w:val="18"/>
              </w:rPr>
              <w:t xml:space="preserve"> </w:t>
            </w:r>
            <w:r w:rsidR="00A5209D">
              <w:rPr>
                <w:rFonts w:ascii="Arial" w:hAnsi="Arial" w:cs="Arial"/>
                <w:bCs/>
                <w:sz w:val="18"/>
                <w:szCs w:val="18"/>
              </w:rPr>
              <w:t>společnost</w:t>
            </w:r>
            <w:r w:rsidR="00A5209D">
              <w:rPr>
                <w:rFonts w:ascii="Arial" w:hAnsi="Arial" w:cs="Arial"/>
                <w:sz w:val="18"/>
                <w:szCs w:val="18"/>
              </w:rPr>
              <w:t xml:space="preserve"> Vodafone</w:t>
            </w:r>
            <w:r w:rsidRPr="000A7E58">
              <w:rPr>
                <w:rFonts w:ascii="Arial" w:hAnsi="Arial" w:cs="Arial"/>
                <w:sz w:val="18"/>
                <w:szCs w:val="18"/>
              </w:rPr>
              <w:t xml:space="preserve"> </w:t>
            </w:r>
            <w:r w:rsidRPr="000A7E58">
              <w:rPr>
                <w:rFonts w:ascii="Arial" w:hAnsi="Arial" w:cs="Arial"/>
                <w:bCs/>
                <w:sz w:val="18"/>
                <w:szCs w:val="18"/>
              </w:rPr>
              <w:t>zavede</w:t>
            </w:r>
            <w:r w:rsidR="005B7ABF">
              <w:rPr>
                <w:rFonts w:ascii="Arial" w:hAnsi="Arial" w:cs="Arial"/>
                <w:bCs/>
                <w:sz w:val="18"/>
                <w:szCs w:val="18"/>
              </w:rPr>
              <w:t>ní cenové regulace i </w:t>
            </w:r>
            <w:r w:rsidR="00A5209D">
              <w:rPr>
                <w:rFonts w:ascii="Arial" w:hAnsi="Arial" w:cs="Arial"/>
                <w:bCs/>
                <w:sz w:val="18"/>
                <w:szCs w:val="18"/>
              </w:rPr>
              <w:t>na přístup</w:t>
            </w:r>
            <w:r w:rsidRPr="000A7E58">
              <w:rPr>
                <w:rFonts w:ascii="Arial" w:hAnsi="Arial" w:cs="Arial"/>
                <w:bCs/>
                <w:sz w:val="18"/>
                <w:szCs w:val="18"/>
              </w:rPr>
              <w:t xml:space="preserve"> do FTTx vedení. Apelujeme proto na pozornost a připravenost Úřadu zahájit cenovou regulaci optických přípojek v co nejkratších možných termínech</w:t>
            </w:r>
            <w:r w:rsidR="005B7ABF">
              <w:rPr>
                <w:rFonts w:ascii="Arial" w:hAnsi="Arial" w:cs="Arial"/>
                <w:bCs/>
                <w:sz w:val="18"/>
                <w:szCs w:val="18"/>
              </w:rPr>
              <w:t xml:space="preserve"> na základě vývoje trhu, a to i </w:t>
            </w:r>
            <w:r w:rsidRPr="000A7E58">
              <w:rPr>
                <w:rFonts w:ascii="Arial" w:hAnsi="Arial" w:cs="Arial"/>
                <w:bCs/>
                <w:sz w:val="18"/>
                <w:szCs w:val="18"/>
              </w:rPr>
              <w:t>v průběhu časového rámce a</w:t>
            </w:r>
            <w:r w:rsidR="00A5209D">
              <w:rPr>
                <w:rFonts w:ascii="Arial" w:hAnsi="Arial" w:cs="Arial"/>
                <w:bCs/>
                <w:sz w:val="18"/>
                <w:szCs w:val="18"/>
              </w:rPr>
              <w:t>ktuální ART4</w:t>
            </w:r>
          </w:p>
          <w:p w14:paraId="432C8B16" w14:textId="446ED074" w:rsidR="00A36395" w:rsidRPr="00F07CFA" w:rsidRDefault="00A36395" w:rsidP="00F153B9">
            <w:pPr>
              <w:autoSpaceDE w:val="0"/>
              <w:autoSpaceDN w:val="0"/>
              <w:adjustRightInd w:val="0"/>
              <w:jc w:val="both"/>
              <w:rPr>
                <w:rFonts w:ascii="Arial" w:hAnsi="Arial" w:cs="Arial"/>
                <w:color w:val="000000"/>
                <w:sz w:val="18"/>
                <w:szCs w:val="18"/>
              </w:rPr>
            </w:pPr>
            <w:r w:rsidRPr="000A7E58">
              <w:rPr>
                <w:rFonts w:ascii="Arial" w:hAnsi="Arial" w:cs="Arial"/>
                <w:bCs/>
                <w:color w:val="000000"/>
                <w:sz w:val="18"/>
                <w:szCs w:val="18"/>
              </w:rPr>
              <w:t xml:space="preserve">(úplné znění připomínky </w:t>
            </w:r>
            <w:hyperlink r:id="rId10" w:history="1">
              <w:r w:rsidRPr="00F42126">
                <w:rPr>
                  <w:rStyle w:val="Hypertextovodkaz"/>
                  <w:rFonts w:ascii="Arial" w:hAnsi="Arial" w:cs="Arial"/>
                  <w:bCs/>
                  <w:sz w:val="18"/>
                  <w:szCs w:val="18"/>
                </w:rPr>
                <w:t>zde</w:t>
              </w:r>
            </w:hyperlink>
            <w:r w:rsidR="00F153B9" w:rsidRPr="00F153B9">
              <w:rPr>
                <w:rFonts w:ascii="Arial" w:hAnsi="Arial" w:cs="Arial"/>
                <w:bCs/>
                <w:sz w:val="18"/>
                <w:szCs w:val="18"/>
              </w:rPr>
              <w:t>,</w:t>
            </w:r>
            <w:r w:rsidR="00F42126" w:rsidRPr="00F153B9">
              <w:rPr>
                <w:rFonts w:ascii="Arial" w:hAnsi="Arial" w:cs="Arial"/>
                <w:bCs/>
                <w:sz w:val="18"/>
                <w:szCs w:val="18"/>
              </w:rPr>
              <w:t xml:space="preserve"> str.</w:t>
            </w:r>
            <w:r w:rsidR="00F153B9" w:rsidRPr="00F153B9">
              <w:rPr>
                <w:rFonts w:ascii="Arial" w:hAnsi="Arial" w:cs="Arial"/>
                <w:bCs/>
                <w:sz w:val="18"/>
                <w:szCs w:val="18"/>
              </w:rPr>
              <w:t xml:space="preserve"> 8</w:t>
            </w:r>
            <w:r w:rsidR="00F42126" w:rsidRPr="00F153B9">
              <w:rPr>
                <w:rFonts w:ascii="Arial" w:hAnsi="Arial" w:cs="Arial"/>
                <w:bCs/>
                <w:sz w:val="18"/>
                <w:szCs w:val="18"/>
                <w:u w:val="single"/>
              </w:rPr>
              <w:t xml:space="preserve"> </w:t>
            </w:r>
            <w:r w:rsidRPr="000A7E58">
              <w:rPr>
                <w:rFonts w:ascii="Arial" w:hAnsi="Arial" w:cs="Arial"/>
                <w:bCs/>
                <w:color w:val="000000"/>
                <w:sz w:val="18"/>
                <w:szCs w:val="18"/>
              </w:rPr>
              <w:t>)</w:t>
            </w:r>
            <w:r w:rsidR="00A5209D">
              <w:rPr>
                <w:rFonts w:ascii="Arial" w:hAnsi="Arial" w:cs="Arial"/>
                <w:bCs/>
                <w:color w:val="000000"/>
                <w:sz w:val="18"/>
                <w:szCs w:val="18"/>
              </w:rPr>
              <w:t>.</w:t>
            </w:r>
          </w:p>
        </w:tc>
        <w:tc>
          <w:tcPr>
            <w:tcW w:w="4678" w:type="dxa"/>
          </w:tcPr>
          <w:p w14:paraId="1EE0B2EC" w14:textId="77777777" w:rsidR="00126573" w:rsidRPr="00F07CFA" w:rsidRDefault="00A81071"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Neakceptováno</w:t>
            </w:r>
          </w:p>
          <w:p w14:paraId="2D3CB8BD" w14:textId="6036344A" w:rsidR="00A81071" w:rsidRPr="00F07CFA" w:rsidRDefault="00A81071" w:rsidP="002A2D3B">
            <w:pPr>
              <w:autoSpaceDE w:val="0"/>
              <w:autoSpaceDN w:val="0"/>
              <w:adjustRightInd w:val="0"/>
              <w:spacing w:after="60"/>
              <w:jc w:val="both"/>
              <w:rPr>
                <w:rFonts w:ascii="Arial" w:eastAsia="Times New Roman" w:hAnsi="Arial" w:cs="Arial"/>
                <w:sz w:val="18"/>
                <w:szCs w:val="18"/>
                <w:lang w:eastAsia="cs-CZ"/>
              </w:rPr>
            </w:pPr>
            <w:r w:rsidRPr="00F07CFA">
              <w:rPr>
                <w:rFonts w:ascii="Arial" w:hAnsi="Arial" w:cs="Arial"/>
                <w:sz w:val="18"/>
                <w:szCs w:val="18"/>
              </w:rPr>
              <w:t xml:space="preserve">Úřad postupuje v souladu se závěry </w:t>
            </w:r>
            <w:r w:rsidR="005B7ABF">
              <w:rPr>
                <w:rFonts w:ascii="Arial" w:hAnsi="Arial" w:cs="Arial"/>
                <w:bCs/>
                <w:sz w:val="18"/>
                <w:szCs w:val="18"/>
              </w:rPr>
              <w:t>analýzy trhu č. </w:t>
            </w:r>
            <w:hyperlink r:id="rId11" w:history="1">
              <w:r w:rsidRPr="00E27F91">
                <w:rPr>
                  <w:rStyle w:val="Hypertextovodkaz"/>
                  <w:rFonts w:ascii="Arial" w:hAnsi="Arial" w:cs="Arial"/>
                  <w:bCs/>
                  <w:sz w:val="18"/>
                  <w:szCs w:val="18"/>
                </w:rPr>
                <w:t>A/4/10.2014-8</w:t>
              </w:r>
            </w:hyperlink>
            <w:r w:rsidRPr="00F07CFA">
              <w:rPr>
                <w:rFonts w:ascii="Arial" w:hAnsi="Arial" w:cs="Arial"/>
                <w:bCs/>
                <w:sz w:val="18"/>
                <w:szCs w:val="18"/>
              </w:rPr>
              <w:t xml:space="preserve">, kde </w:t>
            </w:r>
            <w:r w:rsidR="00C80ADD" w:rsidRPr="00F07CFA">
              <w:rPr>
                <w:rFonts w:ascii="Arial" w:hAnsi="Arial" w:cs="Arial"/>
                <w:bCs/>
                <w:sz w:val="18"/>
                <w:szCs w:val="18"/>
              </w:rPr>
              <w:t xml:space="preserve">se </w:t>
            </w:r>
            <w:r w:rsidRPr="00F07CFA">
              <w:rPr>
                <w:rFonts w:ascii="Arial" w:hAnsi="Arial" w:cs="Arial"/>
                <w:bCs/>
                <w:sz w:val="18"/>
                <w:szCs w:val="18"/>
              </w:rPr>
              <w:t xml:space="preserve">na str. 115 konstatuje, že </w:t>
            </w:r>
            <w:r w:rsidRPr="00F07CFA">
              <w:rPr>
                <w:rFonts w:ascii="Arial" w:hAnsi="Arial" w:cs="Arial"/>
                <w:sz w:val="18"/>
                <w:szCs w:val="18"/>
              </w:rPr>
              <w:t>považuje uplatnění ex ante nápravného opatření formou maximálních cen pro optické přístupové sítě (FTTx sítě) za předčasné a nepřiměřené. Naopak nadměrná regulace by v tomto pří</w:t>
            </w:r>
            <w:r w:rsidR="005B7ABF">
              <w:rPr>
                <w:rFonts w:ascii="Arial" w:hAnsi="Arial" w:cs="Arial"/>
                <w:sz w:val="18"/>
                <w:szCs w:val="18"/>
              </w:rPr>
              <w:t>padě mohla odradit incumbenta a </w:t>
            </w:r>
            <w:r w:rsidRPr="00F07CFA">
              <w:rPr>
                <w:rFonts w:ascii="Arial" w:hAnsi="Arial" w:cs="Arial"/>
                <w:sz w:val="18"/>
                <w:szCs w:val="18"/>
              </w:rPr>
              <w:t xml:space="preserve">další operátory od investování do budování nových optických sítí. </w:t>
            </w:r>
            <w:r w:rsidR="00910BCF" w:rsidRPr="00F07CFA">
              <w:rPr>
                <w:rFonts w:ascii="Arial" w:hAnsi="Arial" w:cs="Arial"/>
                <w:sz w:val="18"/>
                <w:szCs w:val="18"/>
              </w:rPr>
              <w:t>Úřad b</w:t>
            </w:r>
            <w:r w:rsidRPr="00F07CFA">
              <w:rPr>
                <w:rFonts w:ascii="Arial" w:hAnsi="Arial" w:cs="Arial"/>
                <w:sz w:val="18"/>
                <w:szCs w:val="18"/>
              </w:rPr>
              <w:t>ude proto uplatňovat zpřísněný dohled nad c</w:t>
            </w:r>
            <w:r w:rsidR="00766884" w:rsidRPr="00F07CFA">
              <w:rPr>
                <w:rFonts w:ascii="Arial" w:hAnsi="Arial" w:cs="Arial"/>
                <w:sz w:val="18"/>
                <w:szCs w:val="18"/>
              </w:rPr>
              <w:t>hováním vertikálně integrovaného</w:t>
            </w:r>
            <w:r w:rsidRPr="00F07CFA">
              <w:rPr>
                <w:rFonts w:ascii="Arial" w:hAnsi="Arial" w:cs="Arial"/>
                <w:sz w:val="18"/>
                <w:szCs w:val="18"/>
              </w:rPr>
              <w:t xml:space="preserve"> operátor</w:t>
            </w:r>
            <w:r w:rsidR="00766884" w:rsidRPr="00F07CFA">
              <w:rPr>
                <w:rFonts w:ascii="Arial" w:hAnsi="Arial" w:cs="Arial"/>
                <w:sz w:val="18"/>
                <w:szCs w:val="18"/>
              </w:rPr>
              <w:t>a</w:t>
            </w:r>
            <w:r w:rsidRPr="00F07CFA">
              <w:rPr>
                <w:rFonts w:ascii="Arial" w:hAnsi="Arial" w:cs="Arial"/>
                <w:sz w:val="18"/>
                <w:szCs w:val="18"/>
              </w:rPr>
              <w:t xml:space="preserve"> prostřednictvím uložené povinnosti </w:t>
            </w:r>
            <w:r w:rsidR="001C107B">
              <w:rPr>
                <w:rFonts w:ascii="Arial" w:hAnsi="Arial" w:cs="Arial"/>
                <w:sz w:val="18"/>
                <w:szCs w:val="18"/>
              </w:rPr>
              <w:t xml:space="preserve">ekonomické replikovatelnosti (uložené v rámci povinnosti </w:t>
            </w:r>
            <w:r w:rsidRPr="00F07CFA">
              <w:rPr>
                <w:rFonts w:ascii="Arial" w:hAnsi="Arial" w:cs="Arial"/>
                <w:sz w:val="18"/>
                <w:szCs w:val="18"/>
              </w:rPr>
              <w:t>nediskriminace</w:t>
            </w:r>
            <w:r w:rsidR="001C107B">
              <w:rPr>
                <w:rFonts w:ascii="Arial" w:hAnsi="Arial" w:cs="Arial"/>
                <w:sz w:val="18"/>
                <w:szCs w:val="18"/>
              </w:rPr>
              <w:t>)</w:t>
            </w:r>
            <w:r w:rsidRPr="00F07CFA">
              <w:rPr>
                <w:rFonts w:ascii="Arial" w:hAnsi="Arial" w:cs="Arial"/>
                <w:sz w:val="18"/>
                <w:szCs w:val="18"/>
              </w:rPr>
              <w:t>.</w:t>
            </w:r>
          </w:p>
        </w:tc>
      </w:tr>
      <w:tr w:rsidR="00A36395" w:rsidRPr="00F07CFA" w14:paraId="48F2C043" w14:textId="77777777" w:rsidTr="00603E63">
        <w:tc>
          <w:tcPr>
            <w:tcW w:w="1135" w:type="dxa"/>
          </w:tcPr>
          <w:p w14:paraId="34F0C1E2" w14:textId="77777777" w:rsidR="00A36395" w:rsidRPr="00F07CFA" w:rsidRDefault="00A36395" w:rsidP="00A36395">
            <w:pPr>
              <w:pStyle w:val="Default"/>
              <w:ind w:right="-108"/>
              <w:rPr>
                <w:sz w:val="18"/>
                <w:szCs w:val="18"/>
              </w:rPr>
            </w:pPr>
          </w:p>
        </w:tc>
        <w:tc>
          <w:tcPr>
            <w:tcW w:w="3011" w:type="dxa"/>
          </w:tcPr>
          <w:p w14:paraId="134ABCF7" w14:textId="77777777" w:rsidR="00A36395" w:rsidRPr="00F07CFA" w:rsidRDefault="00A36395" w:rsidP="00A36395">
            <w:pPr>
              <w:jc w:val="both"/>
              <w:rPr>
                <w:rFonts w:ascii="Arial" w:hAnsi="Arial" w:cs="Arial"/>
                <w:sz w:val="18"/>
                <w:szCs w:val="18"/>
              </w:rPr>
            </w:pPr>
          </w:p>
        </w:tc>
        <w:tc>
          <w:tcPr>
            <w:tcW w:w="2234" w:type="dxa"/>
          </w:tcPr>
          <w:p w14:paraId="35401C9C" w14:textId="77777777" w:rsidR="002A2D3B" w:rsidRDefault="00F06C44" w:rsidP="00F06C44">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77964E15" w14:textId="77777777" w:rsidR="00A36395" w:rsidRPr="00F07CFA" w:rsidRDefault="00F06C44" w:rsidP="00F06C44">
            <w:pPr>
              <w:autoSpaceDE w:val="0"/>
              <w:autoSpaceDN w:val="0"/>
              <w:adjustRightInd w:val="0"/>
              <w:rPr>
                <w:rFonts w:ascii="Arial" w:hAnsi="Arial" w:cs="Arial"/>
                <w:color w:val="000000"/>
                <w:sz w:val="18"/>
                <w:szCs w:val="18"/>
              </w:rPr>
            </w:pPr>
            <w:r w:rsidRPr="00F07CFA">
              <w:rPr>
                <w:rFonts w:ascii="Arial" w:hAnsi="Arial" w:cs="Arial"/>
                <w:sz w:val="18"/>
                <w:szCs w:val="18"/>
              </w:rPr>
              <w:t>(4)</w:t>
            </w:r>
          </w:p>
        </w:tc>
        <w:tc>
          <w:tcPr>
            <w:tcW w:w="4111" w:type="dxa"/>
          </w:tcPr>
          <w:p w14:paraId="5C3E6B6C" w14:textId="77777777" w:rsidR="00A36395" w:rsidRPr="00F07CFA" w:rsidRDefault="00A36395" w:rsidP="00A36395">
            <w:pPr>
              <w:autoSpaceDE w:val="0"/>
              <w:autoSpaceDN w:val="0"/>
              <w:adjustRightInd w:val="0"/>
              <w:jc w:val="both"/>
              <w:rPr>
                <w:rFonts w:ascii="Arial" w:hAnsi="Arial" w:cs="Arial"/>
                <w:color w:val="000000"/>
                <w:sz w:val="18"/>
                <w:szCs w:val="18"/>
              </w:rPr>
            </w:pPr>
            <w:r w:rsidRPr="00F07CFA">
              <w:rPr>
                <w:rFonts w:ascii="Arial" w:hAnsi="Arial" w:cs="Arial"/>
                <w:color w:val="000000"/>
                <w:sz w:val="18"/>
                <w:szCs w:val="18"/>
              </w:rPr>
              <w:t xml:space="preserve">Společnost Vodafone je přesvědčena, že virtuální zpřístupnění by mělo podléhat cenové regulaci, neboť je technologickou náhradou zpřístupnění účastnického kovového vedení a je pro něj využíváno kovové účastnické vedení. </w:t>
            </w:r>
          </w:p>
          <w:p w14:paraId="61ABE85F" w14:textId="77777777" w:rsidR="00A36395" w:rsidRPr="00F07CFA" w:rsidRDefault="00A36395" w:rsidP="00A36395">
            <w:pPr>
              <w:autoSpaceDE w:val="0"/>
              <w:autoSpaceDN w:val="0"/>
              <w:adjustRightInd w:val="0"/>
              <w:jc w:val="both"/>
              <w:rPr>
                <w:rFonts w:ascii="Arial" w:hAnsi="Arial" w:cs="Arial"/>
                <w:color w:val="000000"/>
                <w:sz w:val="18"/>
                <w:szCs w:val="18"/>
              </w:rPr>
            </w:pPr>
            <w:r w:rsidRPr="00F07CFA">
              <w:rPr>
                <w:rFonts w:ascii="Arial" w:hAnsi="Arial" w:cs="Arial"/>
                <w:color w:val="000000"/>
                <w:sz w:val="18"/>
                <w:szCs w:val="18"/>
              </w:rPr>
              <w:t xml:space="preserve">Návrh CEN 4 obsahuje několik kategorií regulovaných cen: </w:t>
            </w:r>
          </w:p>
          <w:p w14:paraId="1AFE720F" w14:textId="77777777" w:rsidR="00A36395" w:rsidRPr="00F07CFA" w:rsidRDefault="00A36395" w:rsidP="00A36395">
            <w:pPr>
              <w:autoSpaceDE w:val="0"/>
              <w:autoSpaceDN w:val="0"/>
              <w:adjustRightInd w:val="0"/>
              <w:jc w:val="both"/>
              <w:rPr>
                <w:rFonts w:ascii="Arial" w:hAnsi="Arial" w:cs="Arial"/>
                <w:color w:val="000000"/>
                <w:sz w:val="18"/>
                <w:szCs w:val="18"/>
              </w:rPr>
            </w:pPr>
            <w:r w:rsidRPr="00F07CFA">
              <w:rPr>
                <w:rFonts w:ascii="Arial" w:hAnsi="Arial" w:cs="Arial"/>
                <w:color w:val="000000"/>
                <w:sz w:val="18"/>
                <w:szCs w:val="18"/>
              </w:rPr>
              <w:t xml:space="preserve">1) jednorázové a měsíční ceny za poskytnutí služeb zpřístupnění účastnického kovového vedení nebo jeho úseku (maximální ceny); </w:t>
            </w:r>
          </w:p>
          <w:p w14:paraId="2E6A725B" w14:textId="77777777" w:rsidR="00A36395" w:rsidRPr="00F07CFA" w:rsidRDefault="00A36395" w:rsidP="00A36395">
            <w:pPr>
              <w:autoSpaceDE w:val="0"/>
              <w:autoSpaceDN w:val="0"/>
              <w:adjustRightInd w:val="0"/>
              <w:jc w:val="both"/>
              <w:rPr>
                <w:rFonts w:ascii="Arial" w:hAnsi="Arial" w:cs="Arial"/>
                <w:color w:val="000000"/>
                <w:sz w:val="18"/>
                <w:szCs w:val="18"/>
              </w:rPr>
            </w:pPr>
            <w:r w:rsidRPr="00F07CFA">
              <w:rPr>
                <w:rFonts w:ascii="Arial" w:hAnsi="Arial" w:cs="Arial"/>
                <w:color w:val="000000"/>
                <w:sz w:val="18"/>
                <w:szCs w:val="18"/>
              </w:rPr>
              <w:t xml:space="preserve">2) jednorázové a měsíční ceny za poskytnutí služeb kolokace (maximální ceny); </w:t>
            </w:r>
          </w:p>
          <w:p w14:paraId="44B1DCC8" w14:textId="5E338EEF" w:rsidR="00A36395" w:rsidRPr="00F07CFA" w:rsidRDefault="00A36395" w:rsidP="00A36395">
            <w:pPr>
              <w:autoSpaceDE w:val="0"/>
              <w:autoSpaceDN w:val="0"/>
              <w:adjustRightInd w:val="0"/>
              <w:jc w:val="both"/>
              <w:rPr>
                <w:rFonts w:ascii="Arial" w:hAnsi="Arial" w:cs="Arial"/>
                <w:color w:val="000000"/>
                <w:sz w:val="18"/>
                <w:szCs w:val="18"/>
              </w:rPr>
            </w:pPr>
            <w:r w:rsidRPr="00F07CFA">
              <w:rPr>
                <w:rFonts w:ascii="Arial" w:hAnsi="Arial" w:cs="Arial"/>
                <w:color w:val="000000"/>
                <w:sz w:val="18"/>
                <w:szCs w:val="18"/>
              </w:rPr>
              <w:t xml:space="preserve">3) ceny </w:t>
            </w:r>
            <w:r w:rsidR="005B7ABF">
              <w:rPr>
                <w:rFonts w:ascii="Arial" w:hAnsi="Arial" w:cs="Arial"/>
                <w:color w:val="000000"/>
                <w:sz w:val="18"/>
                <w:szCs w:val="18"/>
              </w:rPr>
              <w:t>za poskytnutí služeb přístupu k </w:t>
            </w:r>
            <w:r w:rsidRPr="00F07CFA">
              <w:rPr>
                <w:rFonts w:ascii="Arial" w:hAnsi="Arial" w:cs="Arial"/>
                <w:color w:val="000000"/>
                <w:sz w:val="18"/>
                <w:szCs w:val="18"/>
              </w:rPr>
              <w:t xml:space="preserve">přiřazeným prostředkům (nákladová orientace založená na metodice LRIC+). </w:t>
            </w:r>
          </w:p>
          <w:p w14:paraId="766FC8AF" w14:textId="2FFE4D4C" w:rsidR="00A36395" w:rsidRPr="00F07CFA" w:rsidRDefault="00A36395" w:rsidP="00A36395">
            <w:pPr>
              <w:autoSpaceDE w:val="0"/>
              <w:autoSpaceDN w:val="0"/>
              <w:adjustRightInd w:val="0"/>
              <w:jc w:val="both"/>
              <w:rPr>
                <w:rFonts w:ascii="Arial" w:hAnsi="Arial" w:cs="Arial"/>
                <w:bCs/>
                <w:color w:val="000000"/>
                <w:sz w:val="18"/>
                <w:szCs w:val="18"/>
              </w:rPr>
            </w:pPr>
            <w:r w:rsidRPr="00F07CFA">
              <w:rPr>
                <w:rFonts w:ascii="Arial" w:hAnsi="Arial" w:cs="Arial"/>
                <w:color w:val="000000"/>
                <w:sz w:val="18"/>
                <w:szCs w:val="18"/>
              </w:rPr>
              <w:t>Z návrhu regu</w:t>
            </w:r>
            <w:r w:rsidR="005B7ABF">
              <w:rPr>
                <w:rFonts w:ascii="Arial" w:hAnsi="Arial" w:cs="Arial"/>
                <w:color w:val="000000"/>
                <w:sz w:val="18"/>
                <w:szCs w:val="18"/>
              </w:rPr>
              <w:t>lovaných cen však vyplývá, že v </w:t>
            </w:r>
            <w:r w:rsidRPr="00F07CFA">
              <w:rPr>
                <w:rFonts w:ascii="Arial" w:hAnsi="Arial" w:cs="Arial"/>
                <w:color w:val="000000"/>
                <w:sz w:val="18"/>
                <w:szCs w:val="18"/>
              </w:rPr>
              <w:t xml:space="preserve">případě VULA Úřad nezamýšlí žádnou formu cenové regulace, i když se jedná o produkt, který je v určitém smyslu nástupcem, resp. náhradou zpřístupnění. Zároveň jde o produkt, který využívá metalická vedení. </w:t>
            </w:r>
            <w:r w:rsidR="001C107B">
              <w:rPr>
                <w:rFonts w:ascii="Arial" w:hAnsi="Arial" w:cs="Arial"/>
                <w:bCs/>
                <w:color w:val="000000"/>
                <w:sz w:val="18"/>
                <w:szCs w:val="18"/>
              </w:rPr>
              <w:t xml:space="preserve">Společnost Vodafone žádá </w:t>
            </w:r>
            <w:r w:rsidRPr="00F07CFA">
              <w:rPr>
                <w:rFonts w:ascii="Arial" w:hAnsi="Arial" w:cs="Arial"/>
                <w:bCs/>
                <w:color w:val="000000"/>
                <w:sz w:val="18"/>
                <w:szCs w:val="18"/>
              </w:rPr>
              <w:t>Ú</w:t>
            </w:r>
            <w:r w:rsidR="001C107B">
              <w:rPr>
                <w:rFonts w:ascii="Arial" w:hAnsi="Arial" w:cs="Arial"/>
                <w:bCs/>
                <w:color w:val="000000"/>
                <w:sz w:val="18"/>
                <w:szCs w:val="18"/>
              </w:rPr>
              <w:t>řad, aby</w:t>
            </w:r>
            <w:r w:rsidRPr="00F07CFA">
              <w:rPr>
                <w:rFonts w:ascii="Arial" w:hAnsi="Arial" w:cs="Arial"/>
                <w:bCs/>
                <w:color w:val="000000"/>
                <w:sz w:val="18"/>
                <w:szCs w:val="18"/>
              </w:rPr>
              <w:t xml:space="preserve"> do rozhodnutí CEN 4 doplnil ceny platné pro zpřístupnění typu VULA do seznamu regulovaných cen formou maximální ceny. </w:t>
            </w:r>
          </w:p>
          <w:p w14:paraId="3972CE39" w14:textId="0E3355FF" w:rsidR="00A36395" w:rsidRPr="00F07CFA" w:rsidRDefault="00A36395" w:rsidP="00A36395">
            <w:pPr>
              <w:autoSpaceDE w:val="0"/>
              <w:autoSpaceDN w:val="0"/>
              <w:adjustRightInd w:val="0"/>
              <w:jc w:val="both"/>
              <w:rPr>
                <w:rFonts w:ascii="Arial" w:hAnsi="Arial" w:cs="Arial"/>
                <w:color w:val="000000"/>
                <w:sz w:val="18"/>
                <w:szCs w:val="18"/>
              </w:rPr>
            </w:pPr>
            <w:r w:rsidRPr="00F07CFA">
              <w:rPr>
                <w:rFonts w:ascii="Arial" w:hAnsi="Arial" w:cs="Arial"/>
                <w:bCs/>
                <w:color w:val="000000"/>
                <w:sz w:val="18"/>
                <w:szCs w:val="18"/>
              </w:rPr>
              <w:t xml:space="preserve">(úplné znění připomínky </w:t>
            </w:r>
            <w:hyperlink r:id="rId12" w:history="1">
              <w:r w:rsidRPr="00F42126">
                <w:rPr>
                  <w:rStyle w:val="Hypertextovodkaz"/>
                  <w:rFonts w:ascii="Arial" w:hAnsi="Arial" w:cs="Arial"/>
                  <w:bCs/>
                  <w:sz w:val="18"/>
                  <w:szCs w:val="18"/>
                </w:rPr>
                <w:t>zde</w:t>
              </w:r>
            </w:hyperlink>
            <w:r w:rsidR="00F153B9">
              <w:rPr>
                <w:rFonts w:ascii="Arial" w:hAnsi="Arial" w:cs="Arial"/>
                <w:bCs/>
                <w:color w:val="000000"/>
                <w:sz w:val="18"/>
                <w:szCs w:val="18"/>
              </w:rPr>
              <w:t>, str. 2)</w:t>
            </w:r>
          </w:p>
        </w:tc>
        <w:tc>
          <w:tcPr>
            <w:tcW w:w="4678" w:type="dxa"/>
          </w:tcPr>
          <w:p w14:paraId="045E22DF" w14:textId="77777777" w:rsidR="00A36395" w:rsidRPr="00F07CFA" w:rsidRDefault="00A36395"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Neakceptováno</w:t>
            </w:r>
          </w:p>
          <w:p w14:paraId="2A6C8766" w14:textId="77777777" w:rsidR="00A36395" w:rsidRPr="00F07CFA" w:rsidRDefault="007D2ECF" w:rsidP="002A2D3B">
            <w:pPr>
              <w:pStyle w:val="Default"/>
              <w:spacing w:after="60"/>
              <w:jc w:val="both"/>
              <w:rPr>
                <w:rFonts w:eastAsia="Times New Roman"/>
                <w:sz w:val="18"/>
                <w:szCs w:val="18"/>
                <w:lang w:eastAsia="cs-CZ"/>
              </w:rPr>
            </w:pPr>
            <w:r>
              <w:rPr>
                <w:rFonts w:eastAsia="Times New Roman"/>
                <w:sz w:val="18"/>
                <w:szCs w:val="18"/>
                <w:lang w:eastAsia="cs-CZ"/>
              </w:rPr>
              <w:t>Viz vypořádání připomínky č. 2</w:t>
            </w:r>
            <w:r w:rsidR="001C107B">
              <w:rPr>
                <w:rFonts w:eastAsia="Times New Roman"/>
                <w:sz w:val="18"/>
                <w:szCs w:val="18"/>
                <w:lang w:eastAsia="cs-CZ"/>
              </w:rPr>
              <w:t>.</w:t>
            </w:r>
          </w:p>
          <w:p w14:paraId="20932B59" w14:textId="77777777" w:rsidR="00A36395" w:rsidRPr="00F07CFA" w:rsidRDefault="00A36395" w:rsidP="002A2D3B">
            <w:pPr>
              <w:pStyle w:val="Default"/>
              <w:spacing w:after="60"/>
              <w:jc w:val="both"/>
              <w:rPr>
                <w:rFonts w:eastAsia="Times New Roman"/>
                <w:color w:val="auto"/>
                <w:sz w:val="18"/>
                <w:szCs w:val="18"/>
                <w:lang w:eastAsia="cs-CZ"/>
              </w:rPr>
            </w:pPr>
          </w:p>
        </w:tc>
      </w:tr>
      <w:tr w:rsidR="00642F45" w:rsidRPr="00F07CFA" w14:paraId="2BB7AA8E" w14:textId="77777777" w:rsidTr="00603E63">
        <w:tc>
          <w:tcPr>
            <w:tcW w:w="1135" w:type="dxa"/>
          </w:tcPr>
          <w:p w14:paraId="23C69665" w14:textId="77777777" w:rsidR="00642F45" w:rsidRPr="00F07CFA" w:rsidRDefault="00642F45" w:rsidP="00642F45">
            <w:pPr>
              <w:pStyle w:val="Default"/>
              <w:ind w:right="-108"/>
              <w:rPr>
                <w:sz w:val="18"/>
                <w:szCs w:val="18"/>
              </w:rPr>
            </w:pPr>
          </w:p>
        </w:tc>
        <w:tc>
          <w:tcPr>
            <w:tcW w:w="3011" w:type="dxa"/>
          </w:tcPr>
          <w:p w14:paraId="1484622F" w14:textId="77777777" w:rsidR="00642F45" w:rsidRPr="00F07CFA" w:rsidRDefault="00642F45" w:rsidP="00642F45">
            <w:pPr>
              <w:autoSpaceDE w:val="0"/>
              <w:autoSpaceDN w:val="0"/>
              <w:adjustRightInd w:val="0"/>
              <w:rPr>
                <w:rFonts w:ascii="Arial" w:hAnsi="Arial" w:cs="Arial"/>
                <w:color w:val="000000"/>
                <w:sz w:val="18"/>
                <w:szCs w:val="18"/>
              </w:rPr>
            </w:pPr>
          </w:p>
        </w:tc>
        <w:tc>
          <w:tcPr>
            <w:tcW w:w="2234" w:type="dxa"/>
          </w:tcPr>
          <w:p w14:paraId="35B74F1C" w14:textId="77777777" w:rsidR="002A2D3B" w:rsidRDefault="00F06C44" w:rsidP="00F06C44">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5462BB30" w14:textId="77777777" w:rsidR="00642F45" w:rsidRPr="00F07CFA" w:rsidRDefault="00F06C44" w:rsidP="00F06C44">
            <w:pPr>
              <w:autoSpaceDE w:val="0"/>
              <w:autoSpaceDN w:val="0"/>
              <w:adjustRightInd w:val="0"/>
              <w:rPr>
                <w:rFonts w:ascii="Arial" w:hAnsi="Arial" w:cs="Arial"/>
                <w:color w:val="000000"/>
                <w:sz w:val="18"/>
                <w:szCs w:val="18"/>
              </w:rPr>
            </w:pPr>
            <w:r w:rsidRPr="00F07CFA">
              <w:rPr>
                <w:rFonts w:ascii="Arial" w:hAnsi="Arial" w:cs="Arial"/>
                <w:sz w:val="18"/>
                <w:szCs w:val="18"/>
              </w:rPr>
              <w:t>(5)</w:t>
            </w:r>
          </w:p>
        </w:tc>
        <w:tc>
          <w:tcPr>
            <w:tcW w:w="4111" w:type="dxa"/>
          </w:tcPr>
          <w:p w14:paraId="6AB40E5B" w14:textId="77777777" w:rsidR="00A36395" w:rsidRPr="00F07CFA" w:rsidRDefault="00A36395" w:rsidP="00A36395">
            <w:pPr>
              <w:autoSpaceDE w:val="0"/>
              <w:autoSpaceDN w:val="0"/>
              <w:adjustRightInd w:val="0"/>
              <w:jc w:val="both"/>
              <w:rPr>
                <w:rFonts w:ascii="Arial" w:hAnsi="Arial" w:cs="Arial"/>
                <w:color w:val="000000"/>
                <w:sz w:val="18"/>
                <w:szCs w:val="18"/>
              </w:rPr>
            </w:pPr>
            <w:r w:rsidRPr="00F07CFA">
              <w:rPr>
                <w:rFonts w:ascii="Arial" w:hAnsi="Arial" w:cs="Arial"/>
                <w:color w:val="000000"/>
                <w:sz w:val="18"/>
                <w:szCs w:val="18"/>
              </w:rPr>
              <w:t xml:space="preserve">Podle ART4 započala společnost O2 poskytovat vysunuté kolokace koncem r. 2012, přičemž se jedná o rozšíření pokrytí službami kolokace. Protože se jedná o nástupnickou či doplňkovou službu, nevidíme důvod, proč by na tyto služby neměla rovněž být uplatněna cenová regulace. </w:t>
            </w:r>
          </w:p>
          <w:p w14:paraId="1897A4CF" w14:textId="77777777" w:rsidR="00642F45" w:rsidRPr="00F07CFA" w:rsidRDefault="00A36395" w:rsidP="00A36395">
            <w:pPr>
              <w:pStyle w:val="Default"/>
              <w:jc w:val="both"/>
              <w:rPr>
                <w:sz w:val="18"/>
                <w:szCs w:val="18"/>
              </w:rPr>
            </w:pPr>
            <w:r w:rsidRPr="00F07CFA">
              <w:rPr>
                <w:bCs/>
                <w:sz w:val="18"/>
                <w:szCs w:val="18"/>
              </w:rPr>
              <w:t>Žádáme, aby ČTÚ do rozhodnutí CEN 4 doplnil ceny platné pro vysunutou kolokaci.</w:t>
            </w:r>
          </w:p>
        </w:tc>
        <w:tc>
          <w:tcPr>
            <w:tcW w:w="4678" w:type="dxa"/>
          </w:tcPr>
          <w:p w14:paraId="0C9A5452" w14:textId="77777777" w:rsidR="0007130C" w:rsidRPr="00F07CFA" w:rsidRDefault="0007130C"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Neakceptováno</w:t>
            </w:r>
          </w:p>
          <w:p w14:paraId="17A18D55" w14:textId="4122805D" w:rsidR="0007130C" w:rsidRPr="00F07CFA" w:rsidRDefault="00A25485" w:rsidP="0003067A">
            <w:pPr>
              <w:pStyle w:val="Default"/>
              <w:spacing w:after="60"/>
              <w:jc w:val="both"/>
              <w:rPr>
                <w:rFonts w:eastAsia="Times New Roman"/>
                <w:color w:val="auto"/>
                <w:sz w:val="18"/>
                <w:szCs w:val="18"/>
                <w:lang w:eastAsia="cs-CZ"/>
              </w:rPr>
            </w:pPr>
            <w:r>
              <w:rPr>
                <w:rFonts w:eastAsia="Times New Roman"/>
                <w:color w:val="auto"/>
                <w:sz w:val="18"/>
                <w:szCs w:val="18"/>
                <w:lang w:eastAsia="cs-CZ"/>
              </w:rPr>
              <w:t>Úřad nenavrhuje separátní cenovou regulaci pro službu vysunuté kolokace</w:t>
            </w:r>
            <w:r w:rsidR="0038281B">
              <w:rPr>
                <w:rFonts w:eastAsia="Times New Roman"/>
                <w:color w:val="auto"/>
                <w:sz w:val="18"/>
                <w:szCs w:val="18"/>
                <w:lang w:eastAsia="cs-CZ"/>
              </w:rPr>
              <w:t>, neboť v</w:t>
            </w:r>
            <w:r w:rsidR="008E0B7E">
              <w:rPr>
                <w:rFonts w:eastAsia="Times New Roman"/>
                <w:color w:val="auto"/>
                <w:sz w:val="18"/>
                <w:szCs w:val="18"/>
                <w:lang w:eastAsia="cs-CZ"/>
              </w:rPr>
              <w:t> souladu se záv</w:t>
            </w:r>
            <w:r w:rsidR="00DB0B51">
              <w:rPr>
                <w:rFonts w:eastAsia="Times New Roman"/>
                <w:color w:val="auto"/>
                <w:sz w:val="18"/>
                <w:szCs w:val="18"/>
                <w:lang w:eastAsia="cs-CZ"/>
              </w:rPr>
              <w:t>ě</w:t>
            </w:r>
            <w:r w:rsidR="008E0B7E">
              <w:rPr>
                <w:rFonts w:eastAsia="Times New Roman"/>
                <w:color w:val="auto"/>
                <w:sz w:val="18"/>
                <w:szCs w:val="18"/>
                <w:lang w:eastAsia="cs-CZ"/>
              </w:rPr>
              <w:t xml:space="preserve">ry analýzy tohoto trhu </w:t>
            </w:r>
            <w:r w:rsidR="0038281B">
              <w:rPr>
                <w:rFonts w:eastAsia="Times New Roman"/>
                <w:color w:val="auto"/>
                <w:sz w:val="18"/>
                <w:szCs w:val="18"/>
                <w:lang w:eastAsia="cs-CZ"/>
              </w:rPr>
              <w:t>nepovažuje tento zásah za opodstatněný pro řešení potenciálních soutěžních problémů. Předně je třeba konstatovat, že tam, kde může být vysunutá kolokace umístěna v prostorách (budovách) společnosti O2</w:t>
            </w:r>
            <w:r w:rsidR="00F81B52">
              <w:rPr>
                <w:rFonts w:eastAsia="Times New Roman"/>
                <w:color w:val="auto"/>
                <w:sz w:val="18"/>
                <w:szCs w:val="18"/>
                <w:lang w:eastAsia="cs-CZ"/>
              </w:rPr>
              <w:t>, lze standardně využít služeb kolokace za regulovaných podmínek (tj. za Úřadem nastavené ceny služeb kolokace). Dochází-li k realizaci vysunuté kolokace v souvislosti s</w:t>
            </w:r>
            <w:r w:rsidR="00C10DBF">
              <w:rPr>
                <w:rFonts w:eastAsia="Times New Roman"/>
                <w:color w:val="auto"/>
                <w:sz w:val="18"/>
                <w:szCs w:val="18"/>
                <w:lang w:eastAsia="cs-CZ"/>
              </w:rPr>
              <w:t>e společností O2 nově budovanými</w:t>
            </w:r>
            <w:r w:rsidR="00F81B52">
              <w:rPr>
                <w:rFonts w:eastAsia="Times New Roman"/>
                <w:color w:val="auto"/>
                <w:sz w:val="18"/>
                <w:szCs w:val="18"/>
                <w:lang w:eastAsia="cs-CZ"/>
              </w:rPr>
              <w:t xml:space="preserve"> prvky síťové infrastruktury (typicky síťov</w:t>
            </w:r>
            <w:r w:rsidR="00BB6B90">
              <w:rPr>
                <w:rFonts w:eastAsia="Times New Roman"/>
                <w:color w:val="auto"/>
                <w:sz w:val="18"/>
                <w:szCs w:val="18"/>
                <w:lang w:eastAsia="cs-CZ"/>
              </w:rPr>
              <w:t>ými rozvaděči, resp. kabinety</w:t>
            </w:r>
            <w:r w:rsidR="00F81B52">
              <w:rPr>
                <w:rFonts w:eastAsia="Times New Roman"/>
                <w:color w:val="auto"/>
                <w:sz w:val="18"/>
                <w:szCs w:val="18"/>
                <w:lang w:eastAsia="cs-CZ"/>
              </w:rPr>
              <w:t>)</w:t>
            </w:r>
            <w:r w:rsidR="00BB6B90">
              <w:rPr>
                <w:rFonts w:eastAsia="Times New Roman"/>
                <w:color w:val="auto"/>
                <w:sz w:val="18"/>
                <w:szCs w:val="18"/>
                <w:lang w:eastAsia="cs-CZ"/>
              </w:rPr>
              <w:t xml:space="preserve">, pak investice do zřízení separátního zařízení </w:t>
            </w:r>
            <w:r w:rsidR="00BB6B90">
              <w:rPr>
                <w:rFonts w:eastAsia="Times New Roman"/>
                <w:color w:val="auto"/>
                <w:sz w:val="18"/>
                <w:szCs w:val="18"/>
                <w:lang w:eastAsia="cs-CZ"/>
              </w:rPr>
              <w:lastRenderedPageBreak/>
              <w:t xml:space="preserve">pro kolokaci je </w:t>
            </w:r>
            <w:r w:rsidR="00A2184E">
              <w:rPr>
                <w:rFonts w:eastAsia="Times New Roman"/>
                <w:color w:val="auto"/>
                <w:sz w:val="18"/>
                <w:szCs w:val="18"/>
                <w:lang w:eastAsia="cs-CZ"/>
              </w:rPr>
              <w:t xml:space="preserve">investicí do nových síťových prvků, která může být prostřednictvím „jiného technického řešení“ realizována přímo alternativním operátorem, nikoliv SMP operátorem. </w:t>
            </w:r>
            <w:r w:rsidR="000A7E58">
              <w:rPr>
                <w:rFonts w:eastAsia="Times New Roman"/>
                <w:color w:val="auto"/>
                <w:sz w:val="18"/>
                <w:szCs w:val="18"/>
                <w:lang w:eastAsia="cs-CZ"/>
              </w:rPr>
              <w:t>Úřad se bude</w:t>
            </w:r>
            <w:r w:rsidR="00A5209D">
              <w:rPr>
                <w:rFonts w:eastAsia="Times New Roman"/>
                <w:color w:val="auto"/>
                <w:sz w:val="18"/>
                <w:szCs w:val="18"/>
                <w:lang w:eastAsia="cs-CZ"/>
              </w:rPr>
              <w:t xml:space="preserve"> obecně</w:t>
            </w:r>
            <w:r w:rsidR="000A7E58">
              <w:rPr>
                <w:rFonts w:eastAsia="Times New Roman"/>
                <w:color w:val="auto"/>
                <w:sz w:val="18"/>
                <w:szCs w:val="18"/>
                <w:lang w:eastAsia="cs-CZ"/>
              </w:rPr>
              <w:t xml:space="preserve"> problematice kolokace věnovat v souvislosti s chystanou úpravou a aktualizací broadbandového modelu a nevylučuje</w:t>
            </w:r>
            <w:r w:rsidR="00A5209D">
              <w:rPr>
                <w:rFonts w:eastAsia="Times New Roman"/>
                <w:color w:val="auto"/>
                <w:sz w:val="18"/>
                <w:szCs w:val="18"/>
                <w:lang w:eastAsia="cs-CZ"/>
              </w:rPr>
              <w:t xml:space="preserve"> případnou změnu struktury cen regulovaných</w:t>
            </w:r>
            <w:r w:rsidR="000A7E58">
              <w:rPr>
                <w:rFonts w:eastAsia="Times New Roman"/>
                <w:color w:val="auto"/>
                <w:sz w:val="18"/>
                <w:szCs w:val="18"/>
                <w:lang w:eastAsia="cs-CZ"/>
              </w:rPr>
              <w:t xml:space="preserve"> služeb kolokace</w:t>
            </w:r>
            <w:r w:rsidR="0003067A">
              <w:rPr>
                <w:rFonts w:eastAsia="Times New Roman"/>
                <w:color w:val="auto"/>
                <w:sz w:val="18"/>
                <w:szCs w:val="18"/>
                <w:lang w:eastAsia="cs-CZ"/>
              </w:rPr>
              <w:t xml:space="preserve"> a </w:t>
            </w:r>
            <w:r w:rsidR="00007567">
              <w:rPr>
                <w:rFonts w:eastAsia="Times New Roman"/>
                <w:color w:val="auto"/>
                <w:sz w:val="18"/>
                <w:szCs w:val="18"/>
                <w:lang w:eastAsia="cs-CZ"/>
              </w:rPr>
              <w:t xml:space="preserve">případné </w:t>
            </w:r>
            <w:r w:rsidR="0003067A">
              <w:rPr>
                <w:rFonts w:eastAsia="Times New Roman"/>
                <w:color w:val="auto"/>
                <w:sz w:val="18"/>
                <w:szCs w:val="18"/>
                <w:lang w:eastAsia="cs-CZ"/>
              </w:rPr>
              <w:t>r</w:t>
            </w:r>
            <w:r w:rsidR="002136DF">
              <w:rPr>
                <w:rFonts w:eastAsia="Times New Roman"/>
                <w:color w:val="auto"/>
                <w:sz w:val="18"/>
                <w:szCs w:val="18"/>
                <w:lang w:eastAsia="cs-CZ"/>
              </w:rPr>
              <w:t>ozšíření stávajících nápravných opatření v návaznosti na závěry nové analýzy tohoto trhu, kterou se Úřad chystá zahájit, v reakci na plánované rozdělení SMP operátora, ještě tento rok.</w:t>
            </w:r>
          </w:p>
        </w:tc>
      </w:tr>
      <w:tr w:rsidR="002C4241" w:rsidRPr="00F07CFA" w14:paraId="509FF760" w14:textId="77777777" w:rsidTr="00603E63">
        <w:tc>
          <w:tcPr>
            <w:tcW w:w="1135" w:type="dxa"/>
          </w:tcPr>
          <w:p w14:paraId="4016D7A9" w14:textId="77777777" w:rsidR="002C4241" w:rsidRPr="00F07CFA" w:rsidRDefault="002C4241" w:rsidP="00014E01">
            <w:pPr>
              <w:pStyle w:val="Default"/>
              <w:rPr>
                <w:sz w:val="18"/>
                <w:szCs w:val="18"/>
              </w:rPr>
            </w:pPr>
            <w:r>
              <w:rPr>
                <w:sz w:val="18"/>
                <w:szCs w:val="18"/>
              </w:rPr>
              <w:lastRenderedPageBreak/>
              <w:t>Obecná</w:t>
            </w:r>
          </w:p>
        </w:tc>
        <w:tc>
          <w:tcPr>
            <w:tcW w:w="3011" w:type="dxa"/>
          </w:tcPr>
          <w:p w14:paraId="475C5293" w14:textId="77777777" w:rsidR="002C4241" w:rsidRPr="00F07CFA" w:rsidRDefault="002C4241" w:rsidP="00EE052B">
            <w:pPr>
              <w:ind w:right="57"/>
              <w:rPr>
                <w:rFonts w:ascii="Arial" w:hAnsi="Arial" w:cs="Arial"/>
                <w:snapToGrid w:val="0"/>
                <w:sz w:val="18"/>
                <w:szCs w:val="18"/>
              </w:rPr>
            </w:pPr>
          </w:p>
        </w:tc>
        <w:tc>
          <w:tcPr>
            <w:tcW w:w="2234" w:type="dxa"/>
          </w:tcPr>
          <w:p w14:paraId="3BD8A59F" w14:textId="77777777" w:rsidR="002A2D3B" w:rsidRDefault="002C4241" w:rsidP="00F06C44">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0156A4E6" w14:textId="77777777" w:rsidR="002C4241" w:rsidRPr="00F07CFA" w:rsidRDefault="002C4241" w:rsidP="00F06C44">
            <w:pPr>
              <w:autoSpaceDE w:val="0"/>
              <w:autoSpaceDN w:val="0"/>
              <w:adjustRightInd w:val="0"/>
              <w:rPr>
                <w:rFonts w:ascii="Arial" w:hAnsi="Arial" w:cs="Arial"/>
                <w:color w:val="000000"/>
                <w:sz w:val="18"/>
                <w:szCs w:val="18"/>
              </w:rPr>
            </w:pPr>
            <w:r w:rsidRPr="00F07CFA">
              <w:rPr>
                <w:rFonts w:ascii="Arial" w:hAnsi="Arial" w:cs="Arial"/>
                <w:sz w:val="18"/>
                <w:szCs w:val="18"/>
              </w:rPr>
              <w:t>(6)</w:t>
            </w:r>
          </w:p>
        </w:tc>
        <w:tc>
          <w:tcPr>
            <w:tcW w:w="4111" w:type="dxa"/>
          </w:tcPr>
          <w:p w14:paraId="7400C0C0" w14:textId="77777777" w:rsidR="002C4241" w:rsidRPr="00F07CFA" w:rsidRDefault="002C4241" w:rsidP="00BD05E5">
            <w:pPr>
              <w:pStyle w:val="Default"/>
              <w:jc w:val="both"/>
              <w:rPr>
                <w:sz w:val="18"/>
                <w:szCs w:val="18"/>
              </w:rPr>
            </w:pPr>
            <w:r>
              <w:rPr>
                <w:sz w:val="18"/>
                <w:szCs w:val="18"/>
              </w:rPr>
              <w:t>Pro stanovení maximálních cen Úřad deklaruje použití modelu LRIC+. V odůvodnění však není vysvětleno, proč byl právě tento model použit. Otázka důvodů použití konkrétního modelu vyvstává zejména při srovnání způsobu cenové regulace např. v případě ukončení volání v mobilní síti, kde byl použit model pure BU-LRIC.</w:t>
            </w:r>
          </w:p>
        </w:tc>
        <w:tc>
          <w:tcPr>
            <w:tcW w:w="4678" w:type="dxa"/>
          </w:tcPr>
          <w:p w14:paraId="5BEF849A" w14:textId="77777777" w:rsidR="002C4241" w:rsidRDefault="002C4241"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t>Neakceptováno</w:t>
            </w:r>
          </w:p>
          <w:p w14:paraId="0EBF0142" w14:textId="3512DFDE" w:rsidR="002C4241" w:rsidRPr="00F07CFA" w:rsidRDefault="002C4241"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t>Úřad v odůvodnění k část</w:t>
            </w:r>
            <w:r w:rsidR="005B7ABF">
              <w:rPr>
                <w:rFonts w:eastAsia="Times New Roman"/>
                <w:color w:val="auto"/>
                <w:sz w:val="18"/>
                <w:szCs w:val="18"/>
                <w:lang w:eastAsia="cs-CZ"/>
              </w:rPr>
              <w:t>i I. výroku návrhu rozhodnutí o </w:t>
            </w:r>
            <w:r>
              <w:rPr>
                <w:rFonts w:eastAsia="Times New Roman"/>
                <w:color w:val="auto"/>
                <w:sz w:val="18"/>
                <w:szCs w:val="18"/>
                <w:lang w:eastAsia="cs-CZ"/>
              </w:rPr>
              <w:t xml:space="preserve">ceně neuvedl jen metodu postupu pro výpočet maximálních cen (jak po něm požaduje ZEK v § 59 odst. 1), ale i odůvodnění pro výběr dané metody. Tím je odkaz na Doporučení </w:t>
            </w:r>
            <w:r w:rsidRPr="002C4241">
              <w:rPr>
                <w:rFonts w:eastAsia="Times New Roman"/>
                <w:color w:val="auto"/>
                <w:sz w:val="18"/>
                <w:szCs w:val="18"/>
                <w:lang w:eastAsia="cs-CZ"/>
              </w:rPr>
              <w:t>Komise č. 2013/466/EU ze dne 11</w:t>
            </w:r>
            <w:r w:rsidR="003070B5">
              <w:rPr>
                <w:rFonts w:eastAsia="Times New Roman"/>
                <w:color w:val="auto"/>
                <w:sz w:val="18"/>
                <w:szCs w:val="18"/>
                <w:lang w:eastAsia="cs-CZ"/>
              </w:rPr>
              <w:t>.</w:t>
            </w:r>
            <w:r w:rsidRPr="002C4241">
              <w:rPr>
                <w:rFonts w:eastAsia="Times New Roman"/>
                <w:color w:val="auto"/>
                <w:sz w:val="18"/>
                <w:szCs w:val="18"/>
                <w:lang w:eastAsia="cs-CZ"/>
              </w:rPr>
              <w:t xml:space="preserve"> září 2013 o konzistentních povinnostech nediskriminace a metodikách výpočtu nákladů s cílem podpořit hospodářskou soutěž a zlepšit podmínky pro investice do širokopásmového připojení</w:t>
            </w:r>
            <w:r w:rsidR="003070B5">
              <w:rPr>
                <w:rFonts w:eastAsia="Times New Roman"/>
                <w:color w:val="auto"/>
                <w:sz w:val="18"/>
                <w:szCs w:val="18"/>
                <w:lang w:eastAsia="cs-CZ"/>
              </w:rPr>
              <w:t xml:space="preserve">, a snaha o konzistentní postup s metodou pro hodnocení ekonomické replikovatelnosti na (původních) relevantních trzích č. 4 a 5. Důvody pro výběr metody čistého BU-LRIC modelu pro vyčíslení </w:t>
            </w:r>
            <w:r w:rsidR="005B7ABF">
              <w:rPr>
                <w:rFonts w:eastAsia="Times New Roman"/>
                <w:color w:val="auto"/>
                <w:sz w:val="18"/>
                <w:szCs w:val="18"/>
                <w:lang w:eastAsia="cs-CZ"/>
              </w:rPr>
              <w:t>terminačních cen jsou uvedeny v </w:t>
            </w:r>
            <w:r w:rsidR="003070B5">
              <w:rPr>
                <w:rFonts w:eastAsia="Times New Roman"/>
                <w:color w:val="auto"/>
                <w:sz w:val="18"/>
                <w:szCs w:val="18"/>
                <w:lang w:eastAsia="cs-CZ"/>
              </w:rPr>
              <w:t xml:space="preserve">odůvodnění příslušných rozhodnutích o ceně, na která tak Úřad </w:t>
            </w:r>
            <w:hyperlink r:id="rId13" w:history="1">
              <w:r w:rsidR="003070B5" w:rsidRPr="003070B5">
                <w:rPr>
                  <w:rStyle w:val="Hypertextovodkaz"/>
                  <w:rFonts w:eastAsia="Times New Roman"/>
                  <w:sz w:val="18"/>
                  <w:szCs w:val="18"/>
                  <w:lang w:eastAsia="cs-CZ"/>
                </w:rPr>
                <w:t>odkazuje</w:t>
              </w:r>
            </w:hyperlink>
            <w:r w:rsidR="003070B5">
              <w:rPr>
                <w:rFonts w:eastAsia="Times New Roman"/>
                <w:color w:val="auto"/>
                <w:sz w:val="18"/>
                <w:szCs w:val="18"/>
                <w:lang w:eastAsia="cs-CZ"/>
              </w:rPr>
              <w:t>.</w:t>
            </w:r>
          </w:p>
        </w:tc>
      </w:tr>
      <w:tr w:rsidR="0034356E" w:rsidRPr="00F07CFA" w14:paraId="2545EA66" w14:textId="77777777" w:rsidTr="00603E63">
        <w:tc>
          <w:tcPr>
            <w:tcW w:w="1135" w:type="dxa"/>
          </w:tcPr>
          <w:p w14:paraId="23E1F2C5" w14:textId="77777777" w:rsidR="0034356E" w:rsidRPr="00F07CFA" w:rsidRDefault="008A128E" w:rsidP="00014E01">
            <w:pPr>
              <w:pStyle w:val="Default"/>
              <w:rPr>
                <w:sz w:val="18"/>
                <w:szCs w:val="18"/>
              </w:rPr>
            </w:pPr>
            <w:r w:rsidRPr="00F07CFA">
              <w:rPr>
                <w:sz w:val="18"/>
                <w:szCs w:val="18"/>
              </w:rPr>
              <w:t>Výrok I, odst. 1,</w:t>
            </w:r>
          </w:p>
          <w:p w14:paraId="2E2B41B0" w14:textId="77777777" w:rsidR="008A128E" w:rsidRPr="00F07CFA" w:rsidRDefault="008A128E" w:rsidP="008A128E">
            <w:pPr>
              <w:pStyle w:val="Default"/>
              <w:jc w:val="both"/>
              <w:rPr>
                <w:sz w:val="18"/>
                <w:szCs w:val="18"/>
              </w:rPr>
            </w:pPr>
            <w:r w:rsidRPr="00F07CFA">
              <w:rPr>
                <w:sz w:val="18"/>
                <w:szCs w:val="18"/>
              </w:rPr>
              <w:t>písm. c,</w:t>
            </w:r>
          </w:p>
          <w:p w14:paraId="4C83D9C6" w14:textId="77777777" w:rsidR="008A128E" w:rsidRPr="00F07CFA" w:rsidRDefault="008A128E" w:rsidP="008A128E">
            <w:pPr>
              <w:pStyle w:val="Default"/>
              <w:jc w:val="both"/>
              <w:rPr>
                <w:sz w:val="18"/>
                <w:szCs w:val="18"/>
              </w:rPr>
            </w:pPr>
            <w:r w:rsidRPr="00F07CFA">
              <w:rPr>
                <w:sz w:val="18"/>
                <w:szCs w:val="18"/>
              </w:rPr>
              <w:t>bod 3.1</w:t>
            </w:r>
          </w:p>
        </w:tc>
        <w:tc>
          <w:tcPr>
            <w:tcW w:w="3011" w:type="dxa"/>
          </w:tcPr>
          <w:p w14:paraId="79465CCA" w14:textId="77777777" w:rsidR="00BD05E5" w:rsidRPr="00F07CFA" w:rsidRDefault="00BD05E5" w:rsidP="00EE052B">
            <w:pPr>
              <w:ind w:right="57"/>
              <w:rPr>
                <w:rFonts w:ascii="Arial" w:hAnsi="Arial" w:cs="Arial"/>
                <w:snapToGrid w:val="0"/>
                <w:sz w:val="18"/>
                <w:szCs w:val="18"/>
              </w:rPr>
            </w:pPr>
            <w:r w:rsidRPr="00F07CFA">
              <w:rPr>
                <w:rFonts w:ascii="Arial" w:hAnsi="Arial" w:cs="Arial"/>
                <w:snapToGrid w:val="0"/>
                <w:sz w:val="18"/>
                <w:szCs w:val="18"/>
              </w:rPr>
              <w:t>Předběžné místní šetření</w:t>
            </w:r>
          </w:p>
          <w:p w14:paraId="1B62A5C0" w14:textId="77777777" w:rsidR="0034356E" w:rsidRPr="00F07CFA" w:rsidRDefault="00EE052B" w:rsidP="00EE052B">
            <w:pPr>
              <w:rPr>
                <w:rFonts w:ascii="Arial" w:hAnsi="Arial" w:cs="Arial"/>
                <w:sz w:val="18"/>
                <w:szCs w:val="18"/>
              </w:rPr>
            </w:pPr>
            <w:r w:rsidRPr="00F07CFA">
              <w:rPr>
                <w:rFonts w:ascii="Arial" w:hAnsi="Arial" w:cs="Arial"/>
              </w:rPr>
              <w:t>•</w:t>
            </w:r>
            <w:r w:rsidR="00BD05E5" w:rsidRPr="00F07CFA">
              <w:rPr>
                <w:rFonts w:ascii="Arial" w:hAnsi="Arial" w:cs="Arial"/>
                <w:snapToGrid w:val="0"/>
                <w:sz w:val="18"/>
                <w:szCs w:val="18"/>
              </w:rPr>
              <w:t xml:space="preserve"> 1 zpráva předběžného místního šetření </w:t>
            </w:r>
            <w:r w:rsidR="00BB5495" w:rsidRPr="00F07CFA">
              <w:rPr>
                <w:rFonts w:ascii="Arial" w:hAnsi="Arial" w:cs="Arial"/>
                <w:snapToGrid w:val="0"/>
                <w:sz w:val="18"/>
                <w:szCs w:val="18"/>
              </w:rPr>
              <w:t>(</w:t>
            </w:r>
            <w:r w:rsidR="00BD05E5" w:rsidRPr="00F07CFA">
              <w:rPr>
                <w:rFonts w:ascii="Arial" w:hAnsi="Arial" w:cs="Arial"/>
                <w:i/>
                <w:snapToGrid w:val="0"/>
                <w:sz w:val="18"/>
                <w:szCs w:val="18"/>
              </w:rPr>
              <w:t xml:space="preserve">1 971,- </w:t>
            </w:r>
            <w:r w:rsidR="00BD05E5" w:rsidRPr="00F07CFA">
              <w:rPr>
                <w:rFonts w:ascii="Arial" w:hAnsi="Arial" w:cs="Arial"/>
                <w:snapToGrid w:val="0"/>
                <w:sz w:val="18"/>
                <w:szCs w:val="18"/>
              </w:rPr>
              <w:t>Kč</w:t>
            </w:r>
            <w:r w:rsidR="00BB5495" w:rsidRPr="00F07CFA">
              <w:rPr>
                <w:rFonts w:ascii="Arial" w:hAnsi="Arial" w:cs="Arial"/>
                <w:snapToGrid w:val="0"/>
                <w:sz w:val="18"/>
                <w:szCs w:val="18"/>
              </w:rPr>
              <w:t>)</w:t>
            </w:r>
          </w:p>
        </w:tc>
        <w:tc>
          <w:tcPr>
            <w:tcW w:w="2234" w:type="dxa"/>
          </w:tcPr>
          <w:p w14:paraId="327D6DAC" w14:textId="77777777" w:rsidR="002A2D3B" w:rsidRDefault="00F06C44" w:rsidP="003070B5">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10E53ECC" w14:textId="77777777" w:rsidR="0034356E" w:rsidRPr="00F07CFA" w:rsidRDefault="00F06C44" w:rsidP="003070B5">
            <w:pPr>
              <w:autoSpaceDE w:val="0"/>
              <w:autoSpaceDN w:val="0"/>
              <w:adjustRightInd w:val="0"/>
              <w:rPr>
                <w:rFonts w:ascii="Arial" w:hAnsi="Arial" w:cs="Arial"/>
                <w:color w:val="000000"/>
                <w:sz w:val="18"/>
                <w:szCs w:val="18"/>
              </w:rPr>
            </w:pPr>
            <w:r w:rsidRPr="003070B5">
              <w:rPr>
                <w:rFonts w:ascii="Arial" w:hAnsi="Arial" w:cs="Arial"/>
                <w:sz w:val="18"/>
                <w:szCs w:val="18"/>
              </w:rPr>
              <w:t>(</w:t>
            </w:r>
            <w:r w:rsidR="003070B5" w:rsidRPr="003070B5">
              <w:rPr>
                <w:rFonts w:ascii="Arial" w:hAnsi="Arial" w:cs="Arial"/>
                <w:sz w:val="18"/>
                <w:szCs w:val="18"/>
              </w:rPr>
              <w:t>7</w:t>
            </w:r>
            <w:r w:rsidRPr="003070B5">
              <w:rPr>
                <w:rFonts w:ascii="Arial" w:hAnsi="Arial" w:cs="Arial"/>
                <w:sz w:val="18"/>
                <w:szCs w:val="18"/>
              </w:rPr>
              <w:t>)</w:t>
            </w:r>
          </w:p>
        </w:tc>
        <w:tc>
          <w:tcPr>
            <w:tcW w:w="4111" w:type="dxa"/>
          </w:tcPr>
          <w:p w14:paraId="45A6CD62" w14:textId="4CC6013B" w:rsidR="0034356E" w:rsidRPr="00F07CFA" w:rsidRDefault="00BD05E5" w:rsidP="003070B5">
            <w:pPr>
              <w:pStyle w:val="Default"/>
              <w:jc w:val="both"/>
              <w:rPr>
                <w:sz w:val="18"/>
                <w:szCs w:val="18"/>
              </w:rPr>
            </w:pPr>
            <w:r w:rsidRPr="00F07CFA">
              <w:rPr>
                <w:sz w:val="18"/>
                <w:szCs w:val="18"/>
              </w:rPr>
              <w:t xml:space="preserve">Jaký je předpokládaný rozsah? Provedení </w:t>
            </w:r>
            <w:r w:rsidRPr="00F07CFA">
              <w:rPr>
                <w:bCs/>
                <w:sz w:val="18"/>
                <w:szCs w:val="18"/>
              </w:rPr>
              <w:t xml:space="preserve">detailního </w:t>
            </w:r>
            <w:r w:rsidRPr="00F07CFA">
              <w:rPr>
                <w:sz w:val="18"/>
                <w:szCs w:val="18"/>
              </w:rPr>
              <w:t>šetře</w:t>
            </w:r>
            <w:r w:rsidR="005B7ABF">
              <w:rPr>
                <w:sz w:val="18"/>
                <w:szCs w:val="18"/>
              </w:rPr>
              <w:t>ní nám naši dodavatelé účtují v </w:t>
            </w:r>
            <w:r w:rsidRPr="00F07CFA">
              <w:rPr>
                <w:sz w:val="18"/>
                <w:szCs w:val="18"/>
              </w:rPr>
              <w:t xml:space="preserve">průměrné výši </w:t>
            </w:r>
            <w:r w:rsidRPr="00007567">
              <w:rPr>
                <w:color w:val="auto"/>
                <w:sz w:val="18"/>
                <w:szCs w:val="18"/>
                <w:highlight w:val="black"/>
                <w:shd w:val="clear" w:color="auto" w:fill="FFFFFF" w:themeFill="background1"/>
              </w:rPr>
              <w:t>XXXXX</w:t>
            </w:r>
            <w:r w:rsidRPr="00F07CFA">
              <w:rPr>
                <w:sz w:val="18"/>
                <w:szCs w:val="18"/>
              </w:rPr>
              <w:t xml:space="preserve"> Kč. </w:t>
            </w:r>
          </w:p>
        </w:tc>
        <w:tc>
          <w:tcPr>
            <w:tcW w:w="4678" w:type="dxa"/>
          </w:tcPr>
          <w:p w14:paraId="2B220810" w14:textId="77777777" w:rsidR="007D2ECF" w:rsidRDefault="007D2ECF" w:rsidP="007D2ECF">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539C1106" w14:textId="50D01989" w:rsidR="0034356E" w:rsidRPr="00F07CFA" w:rsidRDefault="00766884" w:rsidP="005B7ABF">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 xml:space="preserve">Cena vychází z délky procesů v minutách a </w:t>
            </w:r>
            <w:r w:rsidR="00627576" w:rsidRPr="00F07CFA">
              <w:rPr>
                <w:rFonts w:eastAsia="Times New Roman"/>
                <w:color w:val="auto"/>
                <w:sz w:val="18"/>
                <w:szCs w:val="18"/>
                <w:lang w:eastAsia="cs-CZ"/>
              </w:rPr>
              <w:t xml:space="preserve">nákladů včetně vloženého kapitálu na tyto procesy. </w:t>
            </w:r>
            <w:r w:rsidR="007030B6" w:rsidRPr="00F07CFA">
              <w:rPr>
                <w:rFonts w:eastAsia="Times New Roman"/>
                <w:color w:val="auto"/>
                <w:sz w:val="18"/>
                <w:szCs w:val="18"/>
                <w:lang w:eastAsia="cs-CZ"/>
              </w:rPr>
              <w:t>Přitom v</w:t>
            </w:r>
            <w:r w:rsidR="00627576" w:rsidRPr="00F07CFA">
              <w:rPr>
                <w:rFonts w:eastAsia="Times New Roman"/>
                <w:color w:val="auto"/>
                <w:sz w:val="18"/>
                <w:szCs w:val="18"/>
                <w:lang w:eastAsia="cs-CZ"/>
              </w:rPr>
              <w:t xml:space="preserve">ložený kapitál tvoří </w:t>
            </w:r>
            <w:r w:rsidR="00910BCF" w:rsidRPr="00F07CFA">
              <w:rPr>
                <w:rFonts w:eastAsia="Times New Roman"/>
                <w:color w:val="auto"/>
                <w:sz w:val="18"/>
                <w:szCs w:val="18"/>
                <w:lang w:eastAsia="cs-CZ"/>
              </w:rPr>
              <w:t xml:space="preserve">jen </w:t>
            </w:r>
            <w:r w:rsidR="00C80ADD" w:rsidRPr="00F07CFA">
              <w:rPr>
                <w:rFonts w:eastAsia="Times New Roman"/>
                <w:color w:val="auto"/>
                <w:sz w:val="18"/>
                <w:szCs w:val="18"/>
                <w:lang w:eastAsia="cs-CZ"/>
              </w:rPr>
              <w:t>minimální složku té</w:t>
            </w:r>
            <w:r w:rsidR="00627576" w:rsidRPr="00F07CFA">
              <w:rPr>
                <w:rFonts w:eastAsia="Times New Roman"/>
                <w:color w:val="auto"/>
                <w:sz w:val="18"/>
                <w:szCs w:val="18"/>
                <w:lang w:eastAsia="cs-CZ"/>
              </w:rPr>
              <w:t xml:space="preserve">to </w:t>
            </w:r>
            <w:r w:rsidR="00C80ADD" w:rsidRPr="00F07CFA">
              <w:rPr>
                <w:rFonts w:eastAsia="Times New Roman"/>
                <w:color w:val="auto"/>
                <w:sz w:val="18"/>
                <w:szCs w:val="18"/>
                <w:lang w:eastAsia="cs-CZ"/>
              </w:rPr>
              <w:t>ceny</w:t>
            </w:r>
            <w:r w:rsidR="00627576" w:rsidRPr="00F07CFA">
              <w:rPr>
                <w:rFonts w:eastAsia="Times New Roman"/>
                <w:color w:val="auto"/>
                <w:sz w:val="18"/>
                <w:szCs w:val="18"/>
                <w:lang w:eastAsia="cs-CZ"/>
              </w:rPr>
              <w:t xml:space="preserve"> (</w:t>
            </w:r>
            <w:r w:rsidR="00C80ADD" w:rsidRPr="00F07CFA">
              <w:rPr>
                <w:rFonts w:eastAsia="Times New Roman"/>
                <w:color w:val="auto"/>
                <w:sz w:val="18"/>
                <w:szCs w:val="18"/>
                <w:lang w:eastAsia="cs-CZ"/>
              </w:rPr>
              <w:t xml:space="preserve">na základě </w:t>
            </w:r>
            <w:r w:rsidR="00910BCF" w:rsidRPr="00F07CFA">
              <w:rPr>
                <w:rFonts w:eastAsia="Times New Roman"/>
                <w:color w:val="auto"/>
                <w:sz w:val="18"/>
                <w:szCs w:val="18"/>
                <w:lang w:eastAsia="cs-CZ"/>
              </w:rPr>
              <w:t xml:space="preserve">vybavení </w:t>
            </w:r>
            <w:r w:rsidR="00C80ADD" w:rsidRPr="00F07CFA">
              <w:rPr>
                <w:rFonts w:eastAsia="Times New Roman"/>
                <w:color w:val="auto"/>
                <w:sz w:val="18"/>
                <w:szCs w:val="18"/>
                <w:lang w:eastAsia="cs-CZ"/>
              </w:rPr>
              <w:t xml:space="preserve">pracovníků </w:t>
            </w:r>
            <w:r w:rsidR="00910BCF" w:rsidRPr="00F07CFA">
              <w:rPr>
                <w:rFonts w:eastAsia="Times New Roman"/>
                <w:color w:val="auto"/>
                <w:sz w:val="18"/>
                <w:szCs w:val="18"/>
                <w:lang w:eastAsia="cs-CZ"/>
              </w:rPr>
              <w:t>dlouhodobým</w:t>
            </w:r>
            <w:r w:rsidR="003070B5">
              <w:rPr>
                <w:rFonts w:eastAsia="Times New Roman"/>
                <w:color w:val="auto"/>
                <w:sz w:val="18"/>
                <w:szCs w:val="18"/>
                <w:lang w:eastAsia="cs-CZ"/>
              </w:rPr>
              <w:t xml:space="preserve"> </w:t>
            </w:r>
            <w:r w:rsidR="00910BCF" w:rsidRPr="00F07CFA">
              <w:rPr>
                <w:rFonts w:eastAsia="Times New Roman"/>
                <w:color w:val="auto"/>
                <w:sz w:val="18"/>
                <w:szCs w:val="18"/>
                <w:lang w:eastAsia="cs-CZ"/>
              </w:rPr>
              <w:t>majetkem</w:t>
            </w:r>
            <w:r w:rsidR="007030B6" w:rsidRPr="00F07CFA">
              <w:rPr>
                <w:rFonts w:eastAsia="Times New Roman"/>
                <w:color w:val="auto"/>
                <w:sz w:val="18"/>
                <w:szCs w:val="18"/>
                <w:lang w:eastAsia="cs-CZ"/>
              </w:rPr>
              <w:t>)</w:t>
            </w:r>
            <w:r w:rsidR="00627576" w:rsidRPr="00F07CFA">
              <w:rPr>
                <w:rFonts w:eastAsia="Times New Roman"/>
                <w:color w:val="auto"/>
                <w:sz w:val="18"/>
                <w:szCs w:val="18"/>
                <w:lang w:eastAsia="cs-CZ"/>
              </w:rPr>
              <w:t xml:space="preserve">. Po věcné stránce se jedná </w:t>
            </w:r>
            <w:r w:rsidR="00CF10EF" w:rsidRPr="00F07CFA">
              <w:rPr>
                <w:rFonts w:eastAsia="Times New Roman"/>
                <w:color w:val="auto"/>
                <w:sz w:val="18"/>
                <w:szCs w:val="18"/>
                <w:lang w:eastAsia="cs-CZ"/>
              </w:rPr>
              <w:t xml:space="preserve">u této ceny </w:t>
            </w:r>
            <w:r w:rsidR="00627576" w:rsidRPr="00F07CFA">
              <w:rPr>
                <w:rFonts w:eastAsia="Times New Roman"/>
                <w:color w:val="auto"/>
                <w:sz w:val="18"/>
                <w:szCs w:val="18"/>
                <w:lang w:eastAsia="cs-CZ"/>
              </w:rPr>
              <w:t xml:space="preserve">o procesy </w:t>
            </w:r>
            <w:r w:rsidR="00CF10EF" w:rsidRPr="00F07CFA">
              <w:rPr>
                <w:rFonts w:eastAsia="Times New Roman"/>
                <w:color w:val="auto"/>
                <w:sz w:val="18"/>
                <w:szCs w:val="18"/>
                <w:lang w:eastAsia="cs-CZ"/>
              </w:rPr>
              <w:t xml:space="preserve">spojené s </w:t>
            </w:r>
            <w:r w:rsidR="00627576" w:rsidRPr="00F07CFA">
              <w:rPr>
                <w:rFonts w:eastAsia="Times New Roman"/>
                <w:color w:val="auto"/>
                <w:sz w:val="18"/>
                <w:szCs w:val="18"/>
                <w:lang w:eastAsia="cs-CZ"/>
              </w:rPr>
              <w:t>šetření</w:t>
            </w:r>
            <w:r w:rsidR="00CF10EF" w:rsidRPr="00F07CFA">
              <w:rPr>
                <w:rFonts w:eastAsia="Times New Roman"/>
                <w:color w:val="auto"/>
                <w:sz w:val="18"/>
                <w:szCs w:val="18"/>
                <w:lang w:eastAsia="cs-CZ"/>
              </w:rPr>
              <w:t>m</w:t>
            </w:r>
            <w:r w:rsidR="00627576" w:rsidRPr="00F07CFA">
              <w:rPr>
                <w:rFonts w:eastAsia="Times New Roman"/>
                <w:color w:val="auto"/>
                <w:sz w:val="18"/>
                <w:szCs w:val="18"/>
                <w:lang w:eastAsia="cs-CZ"/>
              </w:rPr>
              <w:t xml:space="preserve"> v registrech operátora a zajištění bezpečnosti</w:t>
            </w:r>
            <w:r w:rsidR="00910BCF" w:rsidRPr="00F07CFA">
              <w:rPr>
                <w:rFonts w:eastAsia="Times New Roman"/>
                <w:color w:val="auto"/>
                <w:sz w:val="18"/>
                <w:szCs w:val="18"/>
                <w:lang w:eastAsia="cs-CZ"/>
              </w:rPr>
              <w:t xml:space="preserve"> koloka</w:t>
            </w:r>
            <w:r w:rsidR="00883347" w:rsidRPr="00F07CFA">
              <w:rPr>
                <w:rFonts w:eastAsia="Times New Roman"/>
                <w:color w:val="auto"/>
                <w:sz w:val="18"/>
                <w:szCs w:val="18"/>
                <w:lang w:eastAsia="cs-CZ"/>
              </w:rPr>
              <w:t>ce</w:t>
            </w:r>
            <w:r w:rsidR="00627576" w:rsidRPr="00F07CFA">
              <w:rPr>
                <w:rFonts w:eastAsia="Times New Roman"/>
                <w:color w:val="auto"/>
                <w:sz w:val="18"/>
                <w:szCs w:val="18"/>
                <w:lang w:eastAsia="cs-CZ"/>
              </w:rPr>
              <w:t>. Struktura cen služeb kolokace a jejich výše bude v blízké budoucnosti</w:t>
            </w:r>
            <w:r w:rsidR="00910BCF" w:rsidRPr="00F07CFA">
              <w:rPr>
                <w:rFonts w:eastAsia="Times New Roman"/>
                <w:color w:val="auto"/>
                <w:sz w:val="18"/>
                <w:szCs w:val="18"/>
                <w:lang w:eastAsia="cs-CZ"/>
              </w:rPr>
              <w:t xml:space="preserve"> nově</w:t>
            </w:r>
            <w:r w:rsidR="00627576" w:rsidRPr="00F07CFA">
              <w:rPr>
                <w:rFonts w:eastAsia="Times New Roman"/>
                <w:color w:val="auto"/>
                <w:sz w:val="18"/>
                <w:szCs w:val="18"/>
                <w:lang w:eastAsia="cs-CZ"/>
              </w:rPr>
              <w:t xml:space="preserve"> podrobena revizi</w:t>
            </w:r>
            <w:r w:rsidR="00910BCF" w:rsidRPr="00F07CFA">
              <w:rPr>
                <w:rFonts w:eastAsia="Times New Roman"/>
                <w:color w:val="auto"/>
                <w:sz w:val="18"/>
                <w:szCs w:val="18"/>
                <w:lang w:eastAsia="cs-CZ"/>
              </w:rPr>
              <w:t xml:space="preserve"> mimo jiné i </w:t>
            </w:r>
            <w:r w:rsidR="00627576" w:rsidRPr="00F07CFA">
              <w:rPr>
                <w:rFonts w:eastAsia="Times New Roman"/>
                <w:color w:val="auto"/>
                <w:sz w:val="18"/>
                <w:szCs w:val="18"/>
                <w:lang w:eastAsia="cs-CZ"/>
              </w:rPr>
              <w:t>v</w:t>
            </w:r>
            <w:r w:rsidR="00883347" w:rsidRPr="00F07CFA">
              <w:rPr>
                <w:rFonts w:eastAsia="Times New Roman"/>
                <w:color w:val="auto"/>
                <w:sz w:val="18"/>
                <w:szCs w:val="18"/>
                <w:lang w:eastAsia="cs-CZ"/>
              </w:rPr>
              <w:t xml:space="preserve"> </w:t>
            </w:r>
            <w:r w:rsidR="00627576" w:rsidRPr="00F07CFA">
              <w:rPr>
                <w:rFonts w:eastAsia="Times New Roman"/>
                <w:color w:val="auto"/>
                <w:sz w:val="18"/>
                <w:szCs w:val="18"/>
                <w:lang w:eastAsia="cs-CZ"/>
              </w:rPr>
              <w:t xml:space="preserve">návaznosti na </w:t>
            </w:r>
            <w:r w:rsidR="007030B6" w:rsidRPr="00F07CFA">
              <w:rPr>
                <w:rFonts w:eastAsia="Times New Roman"/>
                <w:color w:val="auto"/>
                <w:sz w:val="18"/>
                <w:szCs w:val="18"/>
                <w:lang w:eastAsia="cs-CZ"/>
              </w:rPr>
              <w:t>rozdělení společnosti O2 Czech Republic a.s.</w:t>
            </w:r>
            <w:r w:rsidR="007654B9">
              <w:rPr>
                <w:rFonts w:eastAsia="Times New Roman"/>
                <w:color w:val="auto"/>
                <w:sz w:val="18"/>
                <w:szCs w:val="18"/>
                <w:lang w:eastAsia="cs-CZ"/>
              </w:rPr>
              <w:t xml:space="preserve"> Úřad připomínky vznesené společností Vodadafone Czech Republic a.s. k výši cen jednotlivých služeb kolokace </w:t>
            </w:r>
            <w:r w:rsidR="005B7ABF">
              <w:rPr>
                <w:rFonts w:eastAsia="Times New Roman"/>
                <w:color w:val="auto"/>
                <w:sz w:val="18"/>
                <w:szCs w:val="18"/>
                <w:lang w:eastAsia="cs-CZ"/>
              </w:rPr>
              <w:t xml:space="preserve">využije </w:t>
            </w:r>
            <w:r w:rsidR="007654B9">
              <w:rPr>
                <w:rFonts w:eastAsia="Times New Roman"/>
                <w:color w:val="auto"/>
                <w:sz w:val="18"/>
                <w:szCs w:val="18"/>
                <w:lang w:eastAsia="cs-CZ"/>
              </w:rPr>
              <w:t>při zmíněné revizi</w:t>
            </w:r>
            <w:r w:rsidR="005B7ABF">
              <w:rPr>
                <w:rFonts w:eastAsia="Times New Roman"/>
                <w:color w:val="auto"/>
                <w:sz w:val="18"/>
                <w:szCs w:val="18"/>
                <w:lang w:eastAsia="cs-CZ"/>
              </w:rPr>
              <w:t xml:space="preserve"> cen</w:t>
            </w:r>
            <w:r w:rsidR="007654B9">
              <w:rPr>
                <w:rFonts w:eastAsia="Times New Roman"/>
                <w:color w:val="auto"/>
                <w:sz w:val="18"/>
                <w:szCs w:val="18"/>
                <w:lang w:eastAsia="cs-CZ"/>
              </w:rPr>
              <w:t>.</w:t>
            </w:r>
          </w:p>
        </w:tc>
      </w:tr>
      <w:tr w:rsidR="0034356E" w:rsidRPr="00F07CFA" w14:paraId="1E8F062C" w14:textId="77777777" w:rsidTr="00603E63">
        <w:tc>
          <w:tcPr>
            <w:tcW w:w="1135" w:type="dxa"/>
          </w:tcPr>
          <w:p w14:paraId="063E0F05" w14:textId="77777777" w:rsidR="00BD05E5" w:rsidRPr="00F07CFA" w:rsidRDefault="00BD05E5" w:rsidP="00014E01">
            <w:pPr>
              <w:pStyle w:val="Default"/>
              <w:rPr>
                <w:sz w:val="18"/>
                <w:szCs w:val="18"/>
              </w:rPr>
            </w:pPr>
            <w:r w:rsidRPr="00F07CFA">
              <w:rPr>
                <w:sz w:val="18"/>
                <w:szCs w:val="18"/>
              </w:rPr>
              <w:t>Výrok I, odst. 1,</w:t>
            </w:r>
          </w:p>
          <w:p w14:paraId="15D2DCA1" w14:textId="77777777" w:rsidR="00BD05E5" w:rsidRPr="00F07CFA" w:rsidRDefault="00BD05E5" w:rsidP="00BD05E5">
            <w:pPr>
              <w:pStyle w:val="Default"/>
              <w:jc w:val="both"/>
              <w:rPr>
                <w:sz w:val="18"/>
                <w:szCs w:val="18"/>
              </w:rPr>
            </w:pPr>
            <w:r w:rsidRPr="00F07CFA">
              <w:rPr>
                <w:sz w:val="18"/>
                <w:szCs w:val="18"/>
              </w:rPr>
              <w:t>písm. c,</w:t>
            </w:r>
          </w:p>
          <w:p w14:paraId="5566CD9A" w14:textId="77777777" w:rsidR="0034356E" w:rsidRPr="00F07CFA" w:rsidRDefault="00BD05E5" w:rsidP="00BD05E5">
            <w:pPr>
              <w:pStyle w:val="Default"/>
              <w:jc w:val="both"/>
              <w:rPr>
                <w:sz w:val="18"/>
                <w:szCs w:val="18"/>
              </w:rPr>
            </w:pPr>
            <w:r w:rsidRPr="00F07CFA">
              <w:rPr>
                <w:sz w:val="18"/>
                <w:szCs w:val="18"/>
              </w:rPr>
              <w:t>bod 3.2a</w:t>
            </w:r>
          </w:p>
        </w:tc>
        <w:tc>
          <w:tcPr>
            <w:tcW w:w="3011" w:type="dxa"/>
          </w:tcPr>
          <w:p w14:paraId="63EA60DD" w14:textId="77777777" w:rsidR="00BD05E5" w:rsidRPr="00F07CFA" w:rsidRDefault="00BD05E5" w:rsidP="00EE052B">
            <w:pPr>
              <w:ind w:right="57"/>
              <w:rPr>
                <w:rFonts w:ascii="Arial" w:hAnsi="Arial" w:cs="Arial"/>
                <w:snapToGrid w:val="0"/>
                <w:sz w:val="18"/>
                <w:szCs w:val="18"/>
              </w:rPr>
            </w:pPr>
            <w:r w:rsidRPr="00F07CFA">
              <w:rPr>
                <w:rFonts w:ascii="Arial" w:hAnsi="Arial" w:cs="Arial"/>
                <w:snapToGrid w:val="0"/>
                <w:sz w:val="18"/>
                <w:szCs w:val="18"/>
              </w:rPr>
              <w:t>Podrobné místní šetření</w:t>
            </w:r>
          </w:p>
          <w:p w14:paraId="3192E8E9" w14:textId="77777777" w:rsidR="0034356E" w:rsidRPr="00F07CFA" w:rsidRDefault="00EE052B" w:rsidP="00EE052B">
            <w:pPr>
              <w:rPr>
                <w:rFonts w:ascii="Arial" w:hAnsi="Arial" w:cs="Arial"/>
                <w:sz w:val="18"/>
                <w:szCs w:val="18"/>
              </w:rPr>
            </w:pPr>
            <w:r w:rsidRPr="00F07CFA">
              <w:rPr>
                <w:rFonts w:ascii="Arial" w:hAnsi="Arial" w:cs="Arial"/>
              </w:rPr>
              <w:t>•</w:t>
            </w:r>
            <w:r w:rsidR="00BD05E5" w:rsidRPr="00F07CFA">
              <w:rPr>
                <w:rFonts w:ascii="Arial" w:hAnsi="Arial" w:cs="Arial"/>
                <w:snapToGrid w:val="0"/>
                <w:sz w:val="18"/>
                <w:szCs w:val="18"/>
              </w:rPr>
              <w:t xml:space="preserve"> 1 zpráva podrobného místního š</w:t>
            </w:r>
            <w:r w:rsidR="00591432">
              <w:rPr>
                <w:rFonts w:ascii="Arial" w:hAnsi="Arial" w:cs="Arial"/>
                <w:snapToGrid w:val="0"/>
                <w:sz w:val="18"/>
                <w:szCs w:val="18"/>
              </w:rPr>
              <w:t xml:space="preserve">etření pro kolokační místnost </w:t>
            </w:r>
            <w:r w:rsidR="00BB5495" w:rsidRPr="00F07CFA">
              <w:rPr>
                <w:rFonts w:ascii="Arial" w:hAnsi="Arial" w:cs="Arial"/>
                <w:snapToGrid w:val="0"/>
                <w:sz w:val="18"/>
                <w:szCs w:val="18"/>
              </w:rPr>
              <w:t>(</w:t>
            </w:r>
            <w:r w:rsidR="00BD05E5" w:rsidRPr="00F07CFA">
              <w:rPr>
                <w:rFonts w:ascii="Arial" w:hAnsi="Arial" w:cs="Arial"/>
                <w:i/>
                <w:snapToGrid w:val="0"/>
                <w:sz w:val="18"/>
                <w:szCs w:val="18"/>
              </w:rPr>
              <w:t xml:space="preserve">12 499,- </w:t>
            </w:r>
            <w:r w:rsidR="00BD05E5" w:rsidRPr="00F07CFA">
              <w:rPr>
                <w:rFonts w:ascii="Arial" w:hAnsi="Arial" w:cs="Arial"/>
                <w:snapToGrid w:val="0"/>
                <w:sz w:val="18"/>
                <w:szCs w:val="18"/>
              </w:rPr>
              <w:t>Kč</w:t>
            </w:r>
            <w:r w:rsidR="00BB5495" w:rsidRPr="00F07CFA">
              <w:rPr>
                <w:rFonts w:ascii="Arial" w:hAnsi="Arial" w:cs="Arial"/>
                <w:snapToGrid w:val="0"/>
                <w:sz w:val="18"/>
                <w:szCs w:val="18"/>
              </w:rPr>
              <w:t>)</w:t>
            </w:r>
          </w:p>
        </w:tc>
        <w:tc>
          <w:tcPr>
            <w:tcW w:w="2234" w:type="dxa"/>
          </w:tcPr>
          <w:p w14:paraId="6BFDF853" w14:textId="77777777" w:rsidR="002A2D3B" w:rsidRDefault="00F06C44" w:rsidP="00B30847">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092C8583" w14:textId="77777777" w:rsidR="0034356E" w:rsidRPr="00F07CFA" w:rsidRDefault="00F06C44" w:rsidP="00B30847">
            <w:pPr>
              <w:autoSpaceDE w:val="0"/>
              <w:autoSpaceDN w:val="0"/>
              <w:adjustRightInd w:val="0"/>
              <w:rPr>
                <w:rFonts w:ascii="Arial" w:hAnsi="Arial" w:cs="Arial"/>
                <w:color w:val="000000"/>
                <w:sz w:val="18"/>
                <w:szCs w:val="18"/>
              </w:rPr>
            </w:pPr>
            <w:r w:rsidRPr="00F07CFA">
              <w:rPr>
                <w:rFonts w:ascii="Arial" w:hAnsi="Arial" w:cs="Arial"/>
                <w:sz w:val="18"/>
                <w:szCs w:val="18"/>
              </w:rPr>
              <w:t>(</w:t>
            </w:r>
            <w:r w:rsidR="00B30847">
              <w:rPr>
                <w:rFonts w:ascii="Arial" w:hAnsi="Arial" w:cs="Arial"/>
                <w:sz w:val="18"/>
                <w:szCs w:val="18"/>
              </w:rPr>
              <w:t>8</w:t>
            </w:r>
            <w:r w:rsidRPr="00F07CFA">
              <w:rPr>
                <w:rFonts w:ascii="Arial" w:hAnsi="Arial" w:cs="Arial"/>
                <w:sz w:val="18"/>
                <w:szCs w:val="18"/>
              </w:rPr>
              <w:t>)</w:t>
            </w:r>
          </w:p>
        </w:tc>
        <w:tc>
          <w:tcPr>
            <w:tcW w:w="4111" w:type="dxa"/>
          </w:tcPr>
          <w:p w14:paraId="0C0AA1B9" w14:textId="77777777" w:rsidR="00BD05E5" w:rsidRPr="00F07CFA" w:rsidRDefault="00BD05E5" w:rsidP="00BD05E5">
            <w:pPr>
              <w:pStyle w:val="Default"/>
              <w:jc w:val="both"/>
              <w:rPr>
                <w:sz w:val="18"/>
                <w:szCs w:val="18"/>
              </w:rPr>
            </w:pPr>
            <w:r w:rsidRPr="00F07CFA">
              <w:rPr>
                <w:sz w:val="18"/>
                <w:szCs w:val="18"/>
              </w:rPr>
              <w:t xml:space="preserve">Jaký je předpokládaný rozsah? Provedení </w:t>
            </w:r>
            <w:r w:rsidRPr="00F07CFA">
              <w:rPr>
                <w:bCs/>
                <w:sz w:val="18"/>
                <w:szCs w:val="18"/>
              </w:rPr>
              <w:t xml:space="preserve">detailního </w:t>
            </w:r>
            <w:r w:rsidRPr="00F07CFA">
              <w:rPr>
                <w:sz w:val="18"/>
                <w:szCs w:val="18"/>
              </w:rPr>
              <w:t xml:space="preserve">šetření nám naši dodavatelé účtují ve výši </w:t>
            </w:r>
            <w:r w:rsidRPr="00F07CFA">
              <w:rPr>
                <w:sz w:val="18"/>
                <w:szCs w:val="18"/>
                <w:highlight w:val="black"/>
              </w:rPr>
              <w:t>XXXXX</w:t>
            </w:r>
            <w:r w:rsidRPr="00F07CFA">
              <w:rPr>
                <w:sz w:val="18"/>
                <w:szCs w:val="18"/>
              </w:rPr>
              <w:t xml:space="preserve"> Kč. </w:t>
            </w:r>
          </w:p>
          <w:p w14:paraId="0EEAF35A" w14:textId="77777777" w:rsidR="0034356E" w:rsidRPr="00F07CFA" w:rsidRDefault="0034356E" w:rsidP="00DF720F">
            <w:pPr>
              <w:autoSpaceDE w:val="0"/>
              <w:autoSpaceDN w:val="0"/>
              <w:adjustRightInd w:val="0"/>
              <w:jc w:val="both"/>
              <w:rPr>
                <w:rFonts w:ascii="Arial" w:hAnsi="Arial" w:cs="Arial"/>
                <w:color w:val="000000"/>
                <w:sz w:val="18"/>
                <w:szCs w:val="18"/>
              </w:rPr>
            </w:pPr>
          </w:p>
        </w:tc>
        <w:tc>
          <w:tcPr>
            <w:tcW w:w="4678" w:type="dxa"/>
          </w:tcPr>
          <w:p w14:paraId="66867F90" w14:textId="77777777" w:rsidR="00230736" w:rsidRDefault="00230736"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50D8962C" w14:textId="77777777" w:rsidR="00883347" w:rsidRPr="00F07CFA" w:rsidRDefault="003070B5"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t xml:space="preserve">Viz vyjádření </w:t>
            </w:r>
            <w:r w:rsidR="00B30847">
              <w:rPr>
                <w:rFonts w:eastAsia="Times New Roman"/>
                <w:color w:val="auto"/>
                <w:sz w:val="18"/>
                <w:szCs w:val="18"/>
                <w:lang w:eastAsia="cs-CZ"/>
              </w:rPr>
              <w:t>Úřadu k připomínce</w:t>
            </w:r>
            <w:r w:rsidR="00883347" w:rsidRPr="00F07CFA">
              <w:rPr>
                <w:rFonts w:eastAsia="Times New Roman"/>
                <w:color w:val="auto"/>
                <w:sz w:val="18"/>
                <w:szCs w:val="18"/>
                <w:lang w:eastAsia="cs-CZ"/>
              </w:rPr>
              <w:t xml:space="preserve"> č. </w:t>
            </w:r>
            <w:r w:rsidR="00B30847">
              <w:rPr>
                <w:rFonts w:eastAsia="Times New Roman"/>
                <w:color w:val="auto"/>
                <w:sz w:val="18"/>
                <w:szCs w:val="18"/>
                <w:lang w:eastAsia="cs-CZ"/>
              </w:rPr>
              <w:t>7</w:t>
            </w:r>
            <w:r w:rsidR="00883347" w:rsidRPr="00F07CFA">
              <w:rPr>
                <w:rFonts w:eastAsia="Times New Roman"/>
                <w:color w:val="auto"/>
                <w:sz w:val="18"/>
                <w:szCs w:val="18"/>
                <w:lang w:eastAsia="cs-CZ"/>
              </w:rPr>
              <w:t>.</w:t>
            </w:r>
          </w:p>
          <w:p w14:paraId="2005EE2D" w14:textId="77777777" w:rsidR="0034356E" w:rsidRPr="00F07CFA" w:rsidRDefault="008450B4"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 xml:space="preserve">Po věcné stránce tato cena zahrnuje </w:t>
            </w:r>
            <w:r w:rsidR="00991D1E" w:rsidRPr="00F07CFA">
              <w:rPr>
                <w:rFonts w:eastAsia="Times New Roman"/>
                <w:color w:val="auto"/>
                <w:sz w:val="18"/>
                <w:szCs w:val="18"/>
                <w:lang w:eastAsia="cs-CZ"/>
              </w:rPr>
              <w:t xml:space="preserve">zejména </w:t>
            </w:r>
            <w:r w:rsidRPr="00F07CFA">
              <w:rPr>
                <w:rFonts w:eastAsia="Times New Roman"/>
                <w:color w:val="auto"/>
                <w:sz w:val="18"/>
                <w:szCs w:val="18"/>
                <w:lang w:eastAsia="cs-CZ"/>
              </w:rPr>
              <w:t>procesy</w:t>
            </w:r>
            <w:r w:rsidR="00991D1E" w:rsidRPr="00F07CFA">
              <w:rPr>
                <w:rFonts w:eastAsia="Times New Roman"/>
                <w:color w:val="auto"/>
                <w:sz w:val="18"/>
                <w:szCs w:val="18"/>
                <w:lang w:eastAsia="cs-CZ"/>
              </w:rPr>
              <w:t xml:space="preserve"> spojené s pořízením projektové dokumentace na výstavbu spojovací kabeláže,</w:t>
            </w:r>
            <w:r w:rsidR="00883347" w:rsidRPr="00F07CFA">
              <w:rPr>
                <w:rFonts w:eastAsia="Times New Roman"/>
                <w:color w:val="auto"/>
                <w:sz w:val="18"/>
                <w:szCs w:val="18"/>
                <w:lang w:eastAsia="cs-CZ"/>
              </w:rPr>
              <w:t xml:space="preserve"> </w:t>
            </w:r>
            <w:r w:rsidR="00991D1E" w:rsidRPr="00F07CFA">
              <w:rPr>
                <w:rFonts w:eastAsia="Times New Roman"/>
                <w:color w:val="auto"/>
                <w:sz w:val="18"/>
                <w:szCs w:val="18"/>
                <w:lang w:eastAsia="cs-CZ"/>
              </w:rPr>
              <w:t>návrh stavebních úprav apod.</w:t>
            </w:r>
            <w:r w:rsidR="00240550" w:rsidRPr="00F07CFA">
              <w:rPr>
                <w:rFonts w:eastAsia="Times New Roman"/>
                <w:color w:val="auto"/>
                <w:sz w:val="18"/>
                <w:szCs w:val="18"/>
                <w:lang w:eastAsia="cs-CZ"/>
              </w:rPr>
              <w:t xml:space="preserve"> </w:t>
            </w:r>
          </w:p>
        </w:tc>
      </w:tr>
      <w:tr w:rsidR="00991D1E" w:rsidRPr="00F07CFA" w14:paraId="5E54D974" w14:textId="77777777" w:rsidTr="00603E63">
        <w:tc>
          <w:tcPr>
            <w:tcW w:w="1135" w:type="dxa"/>
          </w:tcPr>
          <w:p w14:paraId="6FEC86F2" w14:textId="77777777" w:rsidR="00991D1E" w:rsidRPr="00F07CFA" w:rsidRDefault="00991D1E" w:rsidP="00991D1E">
            <w:pPr>
              <w:pStyle w:val="Default"/>
              <w:rPr>
                <w:sz w:val="18"/>
                <w:szCs w:val="18"/>
              </w:rPr>
            </w:pPr>
            <w:r w:rsidRPr="00F07CFA">
              <w:rPr>
                <w:sz w:val="18"/>
                <w:szCs w:val="18"/>
              </w:rPr>
              <w:t>Výrok I, odst. 1,</w:t>
            </w:r>
          </w:p>
          <w:p w14:paraId="6001DE42" w14:textId="77777777" w:rsidR="00991D1E" w:rsidRPr="00F07CFA" w:rsidRDefault="00991D1E" w:rsidP="00991D1E">
            <w:pPr>
              <w:pStyle w:val="Default"/>
              <w:jc w:val="both"/>
              <w:rPr>
                <w:sz w:val="18"/>
                <w:szCs w:val="18"/>
              </w:rPr>
            </w:pPr>
            <w:r w:rsidRPr="00F07CFA">
              <w:rPr>
                <w:sz w:val="18"/>
                <w:szCs w:val="18"/>
              </w:rPr>
              <w:t>písm. c,</w:t>
            </w:r>
          </w:p>
          <w:p w14:paraId="42B87CFE" w14:textId="77777777" w:rsidR="00991D1E" w:rsidRPr="00F07CFA" w:rsidRDefault="00991D1E" w:rsidP="00991D1E">
            <w:pPr>
              <w:pStyle w:val="Default"/>
              <w:jc w:val="both"/>
              <w:rPr>
                <w:sz w:val="18"/>
                <w:szCs w:val="18"/>
              </w:rPr>
            </w:pPr>
            <w:r w:rsidRPr="00F07CFA">
              <w:rPr>
                <w:sz w:val="18"/>
                <w:szCs w:val="18"/>
              </w:rPr>
              <w:t>bod 3.2b</w:t>
            </w:r>
          </w:p>
        </w:tc>
        <w:tc>
          <w:tcPr>
            <w:tcW w:w="3011" w:type="dxa"/>
          </w:tcPr>
          <w:p w14:paraId="3A9FEF25" w14:textId="77777777" w:rsidR="00991D1E" w:rsidRPr="00F07CFA" w:rsidRDefault="00991D1E" w:rsidP="00991D1E">
            <w:pPr>
              <w:ind w:right="57"/>
              <w:rPr>
                <w:rFonts w:ascii="Arial" w:hAnsi="Arial" w:cs="Arial"/>
                <w:snapToGrid w:val="0"/>
                <w:sz w:val="18"/>
                <w:szCs w:val="18"/>
              </w:rPr>
            </w:pPr>
            <w:r w:rsidRPr="00F07CFA">
              <w:rPr>
                <w:rFonts w:ascii="Arial" w:hAnsi="Arial" w:cs="Arial"/>
                <w:snapToGrid w:val="0"/>
                <w:sz w:val="18"/>
                <w:szCs w:val="18"/>
              </w:rPr>
              <w:t>Podrobné místní šetření</w:t>
            </w:r>
          </w:p>
          <w:p w14:paraId="24A6343C" w14:textId="77777777" w:rsidR="00991D1E" w:rsidRPr="00F07CFA" w:rsidRDefault="00991D1E" w:rsidP="00991D1E">
            <w:pPr>
              <w:rPr>
                <w:rFonts w:ascii="Arial" w:hAnsi="Arial" w:cs="Arial"/>
                <w:sz w:val="18"/>
                <w:szCs w:val="18"/>
              </w:rPr>
            </w:pPr>
            <w:r w:rsidRPr="00F07CFA">
              <w:rPr>
                <w:rFonts w:ascii="Arial" w:hAnsi="Arial" w:cs="Arial"/>
              </w:rPr>
              <w:t>•</w:t>
            </w:r>
            <w:r w:rsidRPr="00F07CFA">
              <w:rPr>
                <w:rFonts w:ascii="Arial" w:hAnsi="Arial" w:cs="Arial"/>
                <w:snapToGrid w:val="0"/>
                <w:sz w:val="18"/>
                <w:szCs w:val="18"/>
              </w:rPr>
              <w:t xml:space="preserve"> další zpráva podrobného místního šetře</w:t>
            </w:r>
            <w:r w:rsidR="00591432">
              <w:rPr>
                <w:rFonts w:ascii="Arial" w:hAnsi="Arial" w:cs="Arial"/>
                <w:snapToGrid w:val="0"/>
                <w:sz w:val="18"/>
                <w:szCs w:val="18"/>
              </w:rPr>
              <w:t>ní pro kolokační místnost</w:t>
            </w:r>
            <w:r w:rsidRPr="00F07CFA">
              <w:rPr>
                <w:rFonts w:ascii="Arial" w:hAnsi="Arial" w:cs="Arial"/>
                <w:i/>
                <w:snapToGrid w:val="0"/>
                <w:sz w:val="18"/>
                <w:szCs w:val="18"/>
              </w:rPr>
              <w:t xml:space="preserve"> (8 512,- </w:t>
            </w:r>
            <w:r w:rsidRPr="00F07CFA">
              <w:rPr>
                <w:rFonts w:ascii="Arial" w:hAnsi="Arial" w:cs="Arial"/>
                <w:snapToGrid w:val="0"/>
                <w:sz w:val="18"/>
                <w:szCs w:val="18"/>
              </w:rPr>
              <w:t>Kč)</w:t>
            </w:r>
          </w:p>
        </w:tc>
        <w:tc>
          <w:tcPr>
            <w:tcW w:w="2234" w:type="dxa"/>
          </w:tcPr>
          <w:p w14:paraId="172EBAD1" w14:textId="77777777" w:rsidR="002A2D3B" w:rsidRDefault="00991D1E" w:rsidP="00B30847">
            <w:pPr>
              <w:autoSpaceDE w:val="0"/>
              <w:autoSpaceDN w:val="0"/>
              <w:adjustRightInd w:val="0"/>
              <w:rPr>
                <w:rFonts w:ascii="Arial" w:hAnsi="Arial" w:cs="Arial"/>
                <w:color w:val="000000"/>
                <w:sz w:val="18"/>
                <w:szCs w:val="18"/>
              </w:rPr>
            </w:pPr>
            <w:r w:rsidRPr="00F07CFA">
              <w:rPr>
                <w:rFonts w:ascii="Arial" w:hAnsi="Arial" w:cs="Arial"/>
                <w:color w:val="000000"/>
                <w:sz w:val="18"/>
                <w:szCs w:val="18"/>
              </w:rPr>
              <w:t>Vodafone Czech Republic a.s.</w:t>
            </w:r>
          </w:p>
          <w:p w14:paraId="76C18F4E" w14:textId="77777777" w:rsidR="00991D1E" w:rsidRPr="00F07CFA" w:rsidRDefault="00991D1E" w:rsidP="00B30847">
            <w:pPr>
              <w:autoSpaceDE w:val="0"/>
              <w:autoSpaceDN w:val="0"/>
              <w:adjustRightInd w:val="0"/>
              <w:rPr>
                <w:rFonts w:ascii="Arial" w:hAnsi="Arial" w:cs="Arial"/>
                <w:color w:val="000000"/>
                <w:sz w:val="18"/>
                <w:szCs w:val="18"/>
              </w:rPr>
            </w:pPr>
            <w:r w:rsidRPr="00F07CFA">
              <w:rPr>
                <w:rFonts w:ascii="Arial" w:hAnsi="Arial" w:cs="Arial"/>
                <w:sz w:val="18"/>
                <w:szCs w:val="18"/>
              </w:rPr>
              <w:t>(</w:t>
            </w:r>
            <w:r w:rsidR="00B30847">
              <w:rPr>
                <w:rFonts w:ascii="Arial" w:hAnsi="Arial" w:cs="Arial"/>
                <w:sz w:val="18"/>
                <w:szCs w:val="18"/>
              </w:rPr>
              <w:t>9</w:t>
            </w:r>
            <w:r w:rsidRPr="00F07CFA">
              <w:rPr>
                <w:rFonts w:ascii="Arial" w:hAnsi="Arial" w:cs="Arial"/>
                <w:sz w:val="18"/>
                <w:szCs w:val="18"/>
              </w:rPr>
              <w:t>)</w:t>
            </w:r>
          </w:p>
        </w:tc>
        <w:tc>
          <w:tcPr>
            <w:tcW w:w="4111" w:type="dxa"/>
          </w:tcPr>
          <w:p w14:paraId="7AA3AA0E" w14:textId="77777777" w:rsidR="00991D1E" w:rsidRPr="00F07CFA" w:rsidRDefault="00991D1E" w:rsidP="00991D1E">
            <w:pPr>
              <w:pStyle w:val="Default"/>
              <w:jc w:val="both"/>
              <w:rPr>
                <w:sz w:val="18"/>
                <w:szCs w:val="18"/>
              </w:rPr>
            </w:pPr>
            <w:r w:rsidRPr="00F07CFA">
              <w:rPr>
                <w:sz w:val="18"/>
                <w:szCs w:val="18"/>
              </w:rPr>
              <w:t xml:space="preserve">Jaký je předpokládaný rozsah? Provedení </w:t>
            </w:r>
            <w:r w:rsidRPr="00F07CFA">
              <w:rPr>
                <w:bCs/>
                <w:sz w:val="18"/>
                <w:szCs w:val="18"/>
              </w:rPr>
              <w:t xml:space="preserve">detailního </w:t>
            </w:r>
            <w:r w:rsidRPr="00F07CFA">
              <w:rPr>
                <w:sz w:val="18"/>
                <w:szCs w:val="18"/>
              </w:rPr>
              <w:t xml:space="preserve">šetření nám naši dodavatelé účtují ve výši </w:t>
            </w:r>
            <w:r w:rsidRPr="00F07CFA">
              <w:rPr>
                <w:sz w:val="18"/>
                <w:szCs w:val="18"/>
                <w:highlight w:val="black"/>
              </w:rPr>
              <w:t>XXXXX</w:t>
            </w:r>
            <w:r w:rsidRPr="00F07CFA">
              <w:rPr>
                <w:sz w:val="18"/>
                <w:szCs w:val="18"/>
              </w:rPr>
              <w:t xml:space="preserve"> Kč. </w:t>
            </w:r>
          </w:p>
          <w:p w14:paraId="73BFCBB3" w14:textId="77777777" w:rsidR="00991D1E" w:rsidRPr="00F07CFA" w:rsidRDefault="00991D1E" w:rsidP="00991D1E">
            <w:pPr>
              <w:autoSpaceDE w:val="0"/>
              <w:autoSpaceDN w:val="0"/>
              <w:adjustRightInd w:val="0"/>
              <w:jc w:val="both"/>
              <w:rPr>
                <w:rFonts w:ascii="Arial" w:hAnsi="Arial" w:cs="Arial"/>
                <w:color w:val="000000"/>
                <w:sz w:val="18"/>
                <w:szCs w:val="18"/>
              </w:rPr>
            </w:pPr>
          </w:p>
        </w:tc>
        <w:tc>
          <w:tcPr>
            <w:tcW w:w="4678" w:type="dxa"/>
          </w:tcPr>
          <w:p w14:paraId="1FF69288"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516032AA" w14:textId="77777777" w:rsidR="00991D1E" w:rsidRPr="00F07CFA" w:rsidRDefault="00B30847"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t>Viz vyjádření Úřadu k připomínce</w:t>
            </w:r>
            <w:r w:rsidRPr="00F07CFA">
              <w:rPr>
                <w:rFonts w:eastAsia="Times New Roman"/>
                <w:color w:val="auto"/>
                <w:sz w:val="18"/>
                <w:szCs w:val="18"/>
                <w:lang w:eastAsia="cs-CZ"/>
              </w:rPr>
              <w:t xml:space="preserve"> č. </w:t>
            </w:r>
            <w:r>
              <w:rPr>
                <w:rFonts w:eastAsia="Times New Roman"/>
                <w:color w:val="auto"/>
                <w:sz w:val="18"/>
                <w:szCs w:val="18"/>
                <w:lang w:eastAsia="cs-CZ"/>
              </w:rPr>
              <w:t>7</w:t>
            </w:r>
            <w:r w:rsidRPr="00F07CFA">
              <w:rPr>
                <w:rFonts w:eastAsia="Times New Roman"/>
                <w:color w:val="auto"/>
                <w:sz w:val="18"/>
                <w:szCs w:val="18"/>
                <w:lang w:eastAsia="cs-CZ"/>
              </w:rPr>
              <w:t>.</w:t>
            </w:r>
          </w:p>
          <w:p w14:paraId="728473A1" w14:textId="77777777" w:rsidR="00991D1E" w:rsidRPr="00F07CFA" w:rsidRDefault="00991D1E"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V porovnání s </w:t>
            </w:r>
            <w:r w:rsidR="00C80ADD" w:rsidRPr="00F07CFA">
              <w:rPr>
                <w:rFonts w:eastAsia="Times New Roman"/>
                <w:color w:val="auto"/>
                <w:sz w:val="18"/>
                <w:szCs w:val="18"/>
                <w:lang w:eastAsia="cs-CZ"/>
              </w:rPr>
              <w:t>ceno</w:t>
            </w:r>
            <w:r w:rsidRPr="00F07CFA">
              <w:rPr>
                <w:rFonts w:eastAsia="Times New Roman"/>
                <w:color w:val="auto"/>
                <w:sz w:val="18"/>
                <w:szCs w:val="18"/>
                <w:lang w:eastAsia="cs-CZ"/>
              </w:rPr>
              <w:t xml:space="preserve">u pro první místní šetření tato </w:t>
            </w:r>
            <w:r w:rsidR="00C80ADD" w:rsidRPr="00F07CFA">
              <w:rPr>
                <w:rFonts w:eastAsia="Times New Roman"/>
                <w:color w:val="auto"/>
                <w:sz w:val="18"/>
                <w:szCs w:val="18"/>
                <w:lang w:eastAsia="cs-CZ"/>
              </w:rPr>
              <w:t>položka</w:t>
            </w:r>
            <w:r w:rsidRPr="00F07CFA">
              <w:rPr>
                <w:rFonts w:eastAsia="Times New Roman"/>
                <w:color w:val="auto"/>
                <w:sz w:val="18"/>
                <w:szCs w:val="18"/>
                <w:lang w:eastAsia="cs-CZ"/>
              </w:rPr>
              <w:t xml:space="preserve"> již nezahrnuje fyzické návštěvy kolokačního místa.</w:t>
            </w:r>
          </w:p>
        </w:tc>
      </w:tr>
      <w:tr w:rsidR="00276667" w:rsidRPr="00F07CFA" w14:paraId="5D323585" w14:textId="77777777" w:rsidTr="00603E63">
        <w:tc>
          <w:tcPr>
            <w:tcW w:w="1135" w:type="dxa"/>
          </w:tcPr>
          <w:p w14:paraId="78271B9E" w14:textId="77777777" w:rsidR="00276667" w:rsidRPr="00F07CFA" w:rsidRDefault="00276667" w:rsidP="00276667">
            <w:pPr>
              <w:pStyle w:val="Default"/>
              <w:rPr>
                <w:sz w:val="18"/>
                <w:szCs w:val="18"/>
              </w:rPr>
            </w:pPr>
            <w:r w:rsidRPr="00F07CFA">
              <w:rPr>
                <w:sz w:val="18"/>
                <w:szCs w:val="18"/>
              </w:rPr>
              <w:t>Výrok I, odst. 1,</w:t>
            </w:r>
          </w:p>
          <w:p w14:paraId="0F5B6C7F" w14:textId="77777777" w:rsidR="00276667" w:rsidRPr="00F07CFA" w:rsidRDefault="00276667" w:rsidP="00276667">
            <w:pPr>
              <w:pStyle w:val="Default"/>
              <w:jc w:val="both"/>
              <w:rPr>
                <w:sz w:val="18"/>
                <w:szCs w:val="18"/>
              </w:rPr>
            </w:pPr>
            <w:r w:rsidRPr="00F07CFA">
              <w:rPr>
                <w:sz w:val="18"/>
                <w:szCs w:val="18"/>
              </w:rPr>
              <w:t>písm. c,</w:t>
            </w:r>
          </w:p>
          <w:p w14:paraId="415DED6C" w14:textId="77777777" w:rsidR="00276667" w:rsidRPr="00F07CFA" w:rsidRDefault="00276667" w:rsidP="00276667">
            <w:pPr>
              <w:pStyle w:val="Default"/>
              <w:jc w:val="both"/>
              <w:rPr>
                <w:sz w:val="18"/>
                <w:szCs w:val="18"/>
              </w:rPr>
            </w:pPr>
            <w:r w:rsidRPr="00F07CFA">
              <w:rPr>
                <w:sz w:val="18"/>
                <w:szCs w:val="18"/>
              </w:rPr>
              <w:t>bod 3.3</w:t>
            </w:r>
          </w:p>
        </w:tc>
        <w:tc>
          <w:tcPr>
            <w:tcW w:w="3011" w:type="dxa"/>
          </w:tcPr>
          <w:p w14:paraId="4B6A254C" w14:textId="77777777" w:rsidR="00276667" w:rsidRPr="00F07CFA" w:rsidRDefault="00276667" w:rsidP="00276667">
            <w:pPr>
              <w:pStyle w:val="Default"/>
              <w:rPr>
                <w:sz w:val="18"/>
                <w:szCs w:val="18"/>
              </w:rPr>
            </w:pPr>
            <w:r w:rsidRPr="00F07CFA">
              <w:rPr>
                <w:sz w:val="18"/>
                <w:szCs w:val="18"/>
              </w:rPr>
              <w:t xml:space="preserve">Poskytnutí kolokačního prostoru </w:t>
            </w:r>
          </w:p>
          <w:p w14:paraId="42259F03" w14:textId="77777777" w:rsidR="00276667" w:rsidRPr="00F07CFA" w:rsidRDefault="00276667" w:rsidP="00276667">
            <w:pPr>
              <w:pStyle w:val="Default"/>
              <w:rPr>
                <w:sz w:val="21"/>
                <w:szCs w:val="21"/>
              </w:rPr>
            </w:pPr>
            <w:r w:rsidRPr="00F07CFA">
              <w:t xml:space="preserve">• </w:t>
            </w:r>
            <w:r w:rsidR="00591432">
              <w:rPr>
                <w:sz w:val="18"/>
                <w:szCs w:val="18"/>
              </w:rPr>
              <w:t>skříň</w:t>
            </w:r>
            <w:r w:rsidRPr="00F07CFA">
              <w:rPr>
                <w:sz w:val="18"/>
                <w:szCs w:val="18"/>
              </w:rPr>
              <w:t xml:space="preserve"> (</w:t>
            </w:r>
            <w:r w:rsidRPr="00F07CFA">
              <w:rPr>
                <w:i/>
                <w:snapToGrid w:val="0"/>
                <w:sz w:val="18"/>
                <w:szCs w:val="18"/>
              </w:rPr>
              <w:t xml:space="preserve">35 067,- </w:t>
            </w:r>
            <w:r w:rsidRPr="00F07CFA">
              <w:rPr>
                <w:snapToGrid w:val="0"/>
                <w:sz w:val="18"/>
                <w:szCs w:val="18"/>
              </w:rPr>
              <w:t>Kč)</w:t>
            </w:r>
          </w:p>
          <w:p w14:paraId="38521E17" w14:textId="77777777" w:rsidR="00276667" w:rsidRPr="00F07CFA" w:rsidRDefault="00276667" w:rsidP="00276667">
            <w:pPr>
              <w:ind w:right="57"/>
              <w:rPr>
                <w:rFonts w:ascii="Arial" w:hAnsi="Arial" w:cs="Arial"/>
                <w:snapToGrid w:val="0"/>
                <w:sz w:val="18"/>
                <w:szCs w:val="18"/>
              </w:rPr>
            </w:pPr>
          </w:p>
        </w:tc>
        <w:tc>
          <w:tcPr>
            <w:tcW w:w="2234" w:type="dxa"/>
          </w:tcPr>
          <w:p w14:paraId="415936B1" w14:textId="77777777" w:rsidR="002A2D3B" w:rsidRDefault="00276667" w:rsidP="00B30847">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1693F214" w14:textId="77777777" w:rsidR="00276667" w:rsidRPr="00F07CFA" w:rsidRDefault="00276667" w:rsidP="00B30847">
            <w:pPr>
              <w:autoSpaceDE w:val="0"/>
              <w:autoSpaceDN w:val="0"/>
              <w:adjustRightInd w:val="0"/>
              <w:rPr>
                <w:rFonts w:ascii="Arial" w:hAnsi="Arial" w:cs="Arial"/>
                <w:color w:val="000000"/>
                <w:sz w:val="18"/>
                <w:szCs w:val="18"/>
              </w:rPr>
            </w:pPr>
            <w:r w:rsidRPr="00F07CFA">
              <w:rPr>
                <w:rFonts w:ascii="Arial" w:hAnsi="Arial" w:cs="Arial"/>
                <w:sz w:val="18"/>
                <w:szCs w:val="18"/>
              </w:rPr>
              <w:t>(</w:t>
            </w:r>
            <w:r w:rsidR="00B30847">
              <w:rPr>
                <w:rFonts w:ascii="Arial" w:hAnsi="Arial" w:cs="Arial"/>
                <w:sz w:val="18"/>
                <w:szCs w:val="18"/>
              </w:rPr>
              <w:t>10</w:t>
            </w:r>
            <w:r w:rsidRPr="00F07CFA">
              <w:rPr>
                <w:rFonts w:ascii="Arial" w:hAnsi="Arial" w:cs="Arial"/>
                <w:sz w:val="18"/>
                <w:szCs w:val="18"/>
              </w:rPr>
              <w:t>)</w:t>
            </w:r>
          </w:p>
        </w:tc>
        <w:tc>
          <w:tcPr>
            <w:tcW w:w="4111" w:type="dxa"/>
          </w:tcPr>
          <w:p w14:paraId="44BAB192" w14:textId="77777777" w:rsidR="00276667" w:rsidRPr="00F07CFA" w:rsidRDefault="00276667" w:rsidP="00276667">
            <w:pPr>
              <w:pStyle w:val="Default"/>
              <w:jc w:val="both"/>
              <w:rPr>
                <w:sz w:val="18"/>
                <w:szCs w:val="18"/>
              </w:rPr>
            </w:pPr>
            <w:r w:rsidRPr="00F07CFA">
              <w:rPr>
                <w:sz w:val="18"/>
                <w:szCs w:val="18"/>
              </w:rPr>
              <w:t xml:space="preserve">Dle našich údajů například nabídky e-shopů je MC za rack 600x600 10.000,- Kč. Předpokládáme dále nejvýše 10.000,- Kč za instalaci vč. marže. Cena celkem by tak měla být max. 20.000 Kč. </w:t>
            </w:r>
          </w:p>
          <w:p w14:paraId="493B12BE" w14:textId="77777777" w:rsidR="00276667" w:rsidRPr="00F07CFA" w:rsidRDefault="00276667" w:rsidP="00276667">
            <w:pPr>
              <w:pStyle w:val="Default"/>
              <w:jc w:val="both"/>
              <w:rPr>
                <w:sz w:val="18"/>
                <w:szCs w:val="18"/>
              </w:rPr>
            </w:pPr>
            <w:r w:rsidRPr="00F07CFA">
              <w:rPr>
                <w:sz w:val="18"/>
                <w:szCs w:val="18"/>
              </w:rPr>
              <w:t xml:space="preserve">V této souvislosti je potřeba zdůraznit těžko uvěřitelnou skutečnost, a sice že tato cena je prakticky beze změny od r. 2006 (viz rozhodnutí o ceně CEN/11/04.2006-25) </w:t>
            </w:r>
          </w:p>
          <w:p w14:paraId="7A4AE1A8" w14:textId="77777777" w:rsidR="00276667" w:rsidRPr="00F07CFA" w:rsidRDefault="00276667" w:rsidP="00276667">
            <w:pPr>
              <w:pStyle w:val="Default"/>
              <w:jc w:val="both"/>
              <w:rPr>
                <w:sz w:val="18"/>
                <w:szCs w:val="18"/>
              </w:rPr>
            </w:pPr>
            <w:r w:rsidRPr="00F07CFA">
              <w:rPr>
                <w:sz w:val="18"/>
                <w:szCs w:val="18"/>
              </w:rPr>
              <w:t xml:space="preserve">Navíc tato cena nezohledňuje možnost využít vlastní stojan dle přílohy 12 (položka 9.5.1). </w:t>
            </w:r>
          </w:p>
        </w:tc>
        <w:tc>
          <w:tcPr>
            <w:tcW w:w="4678" w:type="dxa"/>
          </w:tcPr>
          <w:p w14:paraId="25BFD3AF"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4B28988C" w14:textId="77777777" w:rsidR="00276667" w:rsidRPr="00F07CFA" w:rsidRDefault="00B30847"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t>Viz vyjádření Úřadu k připomínce</w:t>
            </w:r>
            <w:r w:rsidRPr="00F07CFA">
              <w:rPr>
                <w:rFonts w:eastAsia="Times New Roman"/>
                <w:color w:val="auto"/>
                <w:sz w:val="18"/>
                <w:szCs w:val="18"/>
                <w:lang w:eastAsia="cs-CZ"/>
              </w:rPr>
              <w:t xml:space="preserve"> č. </w:t>
            </w:r>
            <w:r>
              <w:rPr>
                <w:rFonts w:eastAsia="Times New Roman"/>
                <w:color w:val="auto"/>
                <w:sz w:val="18"/>
                <w:szCs w:val="18"/>
                <w:lang w:eastAsia="cs-CZ"/>
              </w:rPr>
              <w:t>7</w:t>
            </w:r>
            <w:r w:rsidRPr="00F07CFA">
              <w:rPr>
                <w:rFonts w:eastAsia="Times New Roman"/>
                <w:color w:val="auto"/>
                <w:sz w:val="18"/>
                <w:szCs w:val="18"/>
                <w:lang w:eastAsia="cs-CZ"/>
              </w:rPr>
              <w:t>.</w:t>
            </w:r>
          </w:p>
          <w:p w14:paraId="6F7100A2" w14:textId="34FF91B6" w:rsidR="00276667" w:rsidRPr="00F07CFA" w:rsidRDefault="009156B4" w:rsidP="001C3DB7">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Po věcné stránce tato cena zahrnuje zejména procesy spojené s realizac</w:t>
            </w:r>
            <w:r w:rsidR="00D01ABD" w:rsidRPr="00F07CFA">
              <w:rPr>
                <w:rFonts w:eastAsia="Times New Roman"/>
                <w:color w:val="auto"/>
                <w:sz w:val="18"/>
                <w:szCs w:val="18"/>
                <w:lang w:eastAsia="cs-CZ"/>
              </w:rPr>
              <w:t>í</w:t>
            </w:r>
            <w:r w:rsidRPr="00F07CFA">
              <w:rPr>
                <w:rFonts w:eastAsia="Times New Roman"/>
                <w:color w:val="auto"/>
                <w:sz w:val="18"/>
                <w:szCs w:val="18"/>
                <w:lang w:eastAsia="cs-CZ"/>
              </w:rPr>
              <w:t xml:space="preserve"> projektu kolokačního místa</w:t>
            </w:r>
            <w:r w:rsidR="00D01ABD" w:rsidRPr="00F07CFA">
              <w:rPr>
                <w:rFonts w:eastAsia="Times New Roman"/>
                <w:color w:val="auto"/>
                <w:sz w:val="18"/>
                <w:szCs w:val="18"/>
                <w:lang w:eastAsia="cs-CZ"/>
              </w:rPr>
              <w:t>,</w:t>
            </w:r>
            <w:r w:rsidRPr="00F07CFA">
              <w:rPr>
                <w:rFonts w:eastAsia="Times New Roman"/>
                <w:color w:val="auto"/>
                <w:sz w:val="18"/>
                <w:szCs w:val="18"/>
                <w:lang w:eastAsia="cs-CZ"/>
              </w:rPr>
              <w:t xml:space="preserve"> revizemi instalovaných zařízení</w:t>
            </w:r>
            <w:r w:rsidR="00D01ABD" w:rsidRPr="00F07CFA">
              <w:rPr>
                <w:rFonts w:eastAsia="Times New Roman"/>
                <w:color w:val="auto"/>
                <w:sz w:val="18"/>
                <w:szCs w:val="18"/>
                <w:lang w:eastAsia="cs-CZ"/>
              </w:rPr>
              <w:t xml:space="preserve"> a dozoru investora na stavbě</w:t>
            </w:r>
            <w:r w:rsidRPr="00F07CFA">
              <w:rPr>
                <w:rFonts w:eastAsia="Times New Roman"/>
                <w:color w:val="auto"/>
                <w:sz w:val="18"/>
                <w:szCs w:val="18"/>
                <w:lang w:eastAsia="cs-CZ"/>
              </w:rPr>
              <w:t>.</w:t>
            </w:r>
            <w:r w:rsidR="00240550" w:rsidRPr="00F07CFA">
              <w:rPr>
                <w:rFonts w:eastAsia="Times New Roman"/>
                <w:color w:val="auto"/>
                <w:sz w:val="18"/>
                <w:szCs w:val="18"/>
                <w:lang w:eastAsia="cs-CZ"/>
              </w:rPr>
              <w:t xml:space="preserve"> </w:t>
            </w:r>
          </w:p>
        </w:tc>
      </w:tr>
      <w:tr w:rsidR="00276667" w:rsidRPr="00F07CFA" w14:paraId="52491757" w14:textId="77777777" w:rsidTr="00603E63">
        <w:tc>
          <w:tcPr>
            <w:tcW w:w="1135" w:type="dxa"/>
          </w:tcPr>
          <w:p w14:paraId="6A3C1418" w14:textId="77777777" w:rsidR="00276667" w:rsidRPr="00F07CFA" w:rsidRDefault="00276667" w:rsidP="00276667">
            <w:pPr>
              <w:pStyle w:val="Default"/>
              <w:rPr>
                <w:sz w:val="18"/>
                <w:szCs w:val="18"/>
              </w:rPr>
            </w:pPr>
            <w:r w:rsidRPr="00F07CFA">
              <w:rPr>
                <w:sz w:val="18"/>
                <w:szCs w:val="18"/>
              </w:rPr>
              <w:t>Výrok I, odst. 1,</w:t>
            </w:r>
          </w:p>
          <w:p w14:paraId="1DDBC253" w14:textId="77777777" w:rsidR="00276667" w:rsidRPr="00F07CFA" w:rsidRDefault="00276667" w:rsidP="00276667">
            <w:pPr>
              <w:pStyle w:val="Default"/>
              <w:rPr>
                <w:sz w:val="18"/>
                <w:szCs w:val="18"/>
              </w:rPr>
            </w:pPr>
            <w:r w:rsidRPr="00F07CFA">
              <w:rPr>
                <w:sz w:val="18"/>
                <w:szCs w:val="18"/>
              </w:rPr>
              <w:t>písm. c,</w:t>
            </w:r>
          </w:p>
          <w:p w14:paraId="12BAA952" w14:textId="77777777" w:rsidR="00276667" w:rsidRPr="00F07CFA" w:rsidRDefault="00276667" w:rsidP="00276667">
            <w:pPr>
              <w:pStyle w:val="Default"/>
              <w:jc w:val="both"/>
              <w:rPr>
                <w:sz w:val="18"/>
                <w:szCs w:val="18"/>
              </w:rPr>
            </w:pPr>
            <w:r w:rsidRPr="00F07CFA">
              <w:rPr>
                <w:sz w:val="18"/>
                <w:szCs w:val="18"/>
              </w:rPr>
              <w:t>bod 3.4</w:t>
            </w:r>
          </w:p>
        </w:tc>
        <w:tc>
          <w:tcPr>
            <w:tcW w:w="3011" w:type="dxa"/>
          </w:tcPr>
          <w:p w14:paraId="1DFE66FD" w14:textId="77777777" w:rsidR="00276667" w:rsidRPr="00F07CFA" w:rsidRDefault="00276667" w:rsidP="00276667">
            <w:pPr>
              <w:ind w:right="57"/>
              <w:rPr>
                <w:rFonts w:ascii="Arial" w:hAnsi="Arial" w:cs="Arial"/>
                <w:snapToGrid w:val="0"/>
                <w:sz w:val="18"/>
                <w:szCs w:val="18"/>
              </w:rPr>
            </w:pPr>
            <w:r w:rsidRPr="00F07CFA">
              <w:rPr>
                <w:rFonts w:ascii="Arial" w:hAnsi="Arial" w:cs="Arial"/>
                <w:snapToGrid w:val="0"/>
                <w:sz w:val="18"/>
                <w:szCs w:val="18"/>
              </w:rPr>
              <w:t>Poskytnutí nebo rozšíření technologického napájen</w:t>
            </w:r>
            <w:r w:rsidR="00591432">
              <w:rPr>
                <w:rFonts w:ascii="Arial" w:hAnsi="Arial" w:cs="Arial"/>
                <w:snapToGrid w:val="0"/>
                <w:sz w:val="18"/>
                <w:szCs w:val="18"/>
              </w:rPr>
              <w:t>í 48V nebo 230V (nezálohované)</w:t>
            </w:r>
            <w:r w:rsidRPr="00F07CFA">
              <w:rPr>
                <w:rFonts w:ascii="Arial" w:hAnsi="Arial" w:cs="Arial"/>
                <w:snapToGrid w:val="0"/>
                <w:sz w:val="18"/>
                <w:szCs w:val="18"/>
              </w:rPr>
              <w:t xml:space="preserve"> (</w:t>
            </w:r>
            <w:r w:rsidRPr="00F07CFA">
              <w:rPr>
                <w:rFonts w:ascii="Arial" w:hAnsi="Arial" w:cs="Arial"/>
                <w:i/>
                <w:snapToGrid w:val="0"/>
                <w:sz w:val="18"/>
                <w:szCs w:val="18"/>
              </w:rPr>
              <w:t xml:space="preserve">2 919,- </w:t>
            </w:r>
            <w:r w:rsidRPr="00F07CFA">
              <w:rPr>
                <w:rFonts w:ascii="Arial" w:hAnsi="Arial" w:cs="Arial"/>
                <w:snapToGrid w:val="0"/>
                <w:sz w:val="18"/>
                <w:szCs w:val="18"/>
              </w:rPr>
              <w:t>Kč)</w:t>
            </w:r>
          </w:p>
        </w:tc>
        <w:tc>
          <w:tcPr>
            <w:tcW w:w="2234" w:type="dxa"/>
          </w:tcPr>
          <w:p w14:paraId="43C1B43A" w14:textId="77777777" w:rsidR="002A2D3B" w:rsidRDefault="00276667" w:rsidP="00276667">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792BF760" w14:textId="77777777" w:rsidR="00276667" w:rsidRPr="00F07CFA" w:rsidRDefault="00B30847" w:rsidP="00276667">
            <w:pPr>
              <w:autoSpaceDE w:val="0"/>
              <w:autoSpaceDN w:val="0"/>
              <w:adjustRightInd w:val="0"/>
              <w:rPr>
                <w:rFonts w:ascii="Arial" w:hAnsi="Arial" w:cs="Arial"/>
                <w:color w:val="000000"/>
                <w:sz w:val="18"/>
                <w:szCs w:val="18"/>
              </w:rPr>
            </w:pPr>
            <w:r>
              <w:rPr>
                <w:rFonts w:ascii="Arial" w:hAnsi="Arial" w:cs="Arial"/>
                <w:sz w:val="18"/>
                <w:szCs w:val="18"/>
              </w:rPr>
              <w:t>(11</w:t>
            </w:r>
            <w:r w:rsidR="00276667" w:rsidRPr="00F07CFA">
              <w:rPr>
                <w:rFonts w:ascii="Arial" w:hAnsi="Arial" w:cs="Arial"/>
                <w:sz w:val="18"/>
                <w:szCs w:val="18"/>
              </w:rPr>
              <w:t>)</w:t>
            </w:r>
          </w:p>
        </w:tc>
        <w:tc>
          <w:tcPr>
            <w:tcW w:w="4111" w:type="dxa"/>
          </w:tcPr>
          <w:p w14:paraId="26BE03B4" w14:textId="77777777" w:rsidR="00276667" w:rsidRPr="00F07CFA" w:rsidRDefault="00276667" w:rsidP="00276667">
            <w:pPr>
              <w:pStyle w:val="Default"/>
              <w:jc w:val="both"/>
              <w:rPr>
                <w:sz w:val="18"/>
                <w:szCs w:val="18"/>
              </w:rPr>
            </w:pPr>
            <w:r w:rsidRPr="00F07CFA">
              <w:rPr>
                <w:sz w:val="18"/>
                <w:szCs w:val="18"/>
              </w:rPr>
              <w:t xml:space="preserve">Jedná se dle našeho předpokladu o přidání jističe, naši dodavatelé účtují za tuto činnost </w:t>
            </w:r>
            <w:r w:rsidRPr="00F07CFA">
              <w:rPr>
                <w:sz w:val="18"/>
                <w:szCs w:val="18"/>
                <w:highlight w:val="black"/>
              </w:rPr>
              <w:t>XXXXX</w:t>
            </w:r>
            <w:r w:rsidRPr="00F07CFA">
              <w:rPr>
                <w:sz w:val="18"/>
                <w:szCs w:val="18"/>
              </w:rPr>
              <w:t xml:space="preserve"> Kč. </w:t>
            </w:r>
          </w:p>
        </w:tc>
        <w:tc>
          <w:tcPr>
            <w:tcW w:w="4678" w:type="dxa"/>
          </w:tcPr>
          <w:p w14:paraId="62A0E489"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516C34EF" w14:textId="77777777" w:rsidR="00240550" w:rsidRPr="00F07CFA" w:rsidRDefault="00B30847"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t>Viz vyjádření Úřadu k připomínce</w:t>
            </w:r>
            <w:r w:rsidRPr="00F07CFA">
              <w:rPr>
                <w:rFonts w:eastAsia="Times New Roman"/>
                <w:color w:val="auto"/>
                <w:sz w:val="18"/>
                <w:szCs w:val="18"/>
                <w:lang w:eastAsia="cs-CZ"/>
              </w:rPr>
              <w:t xml:space="preserve"> č. </w:t>
            </w:r>
            <w:r>
              <w:rPr>
                <w:rFonts w:eastAsia="Times New Roman"/>
                <w:color w:val="auto"/>
                <w:sz w:val="18"/>
                <w:szCs w:val="18"/>
                <w:lang w:eastAsia="cs-CZ"/>
              </w:rPr>
              <w:t>7</w:t>
            </w:r>
            <w:r w:rsidRPr="00F07CFA">
              <w:rPr>
                <w:rFonts w:eastAsia="Times New Roman"/>
                <w:color w:val="auto"/>
                <w:sz w:val="18"/>
                <w:szCs w:val="18"/>
                <w:lang w:eastAsia="cs-CZ"/>
              </w:rPr>
              <w:t>.</w:t>
            </w:r>
          </w:p>
          <w:p w14:paraId="3F379482" w14:textId="62DEB180" w:rsidR="00276667" w:rsidRPr="00F07CFA" w:rsidRDefault="00240550" w:rsidP="001C3DB7">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Po věcné stránce tato cena zahrnuje zejména procesy spojené se</w:t>
            </w:r>
            <w:r w:rsidRPr="00F07CFA">
              <w:t xml:space="preserve"> </w:t>
            </w:r>
            <w:r w:rsidRPr="00F07CFA">
              <w:rPr>
                <w:rFonts w:eastAsia="Times New Roman"/>
                <w:color w:val="auto"/>
                <w:sz w:val="18"/>
                <w:szCs w:val="18"/>
                <w:lang w:eastAsia="cs-CZ"/>
              </w:rPr>
              <w:t>zpracováním elektro projektu, zajištěním revizních zpráv.</w:t>
            </w:r>
          </w:p>
        </w:tc>
      </w:tr>
      <w:tr w:rsidR="00276667" w:rsidRPr="00F07CFA" w14:paraId="1333D1DB" w14:textId="77777777" w:rsidTr="00603E63">
        <w:tc>
          <w:tcPr>
            <w:tcW w:w="1135" w:type="dxa"/>
          </w:tcPr>
          <w:p w14:paraId="591155D2" w14:textId="77777777" w:rsidR="00276667" w:rsidRPr="00F07CFA" w:rsidRDefault="00276667" w:rsidP="00276667">
            <w:pPr>
              <w:pStyle w:val="Default"/>
              <w:rPr>
                <w:sz w:val="18"/>
                <w:szCs w:val="18"/>
              </w:rPr>
            </w:pPr>
            <w:r w:rsidRPr="00F07CFA">
              <w:rPr>
                <w:sz w:val="18"/>
                <w:szCs w:val="18"/>
              </w:rPr>
              <w:lastRenderedPageBreak/>
              <w:t>Výrok I, odst. 1,</w:t>
            </w:r>
          </w:p>
          <w:p w14:paraId="091644BD" w14:textId="77777777" w:rsidR="00276667" w:rsidRPr="00F07CFA" w:rsidRDefault="00276667" w:rsidP="00276667">
            <w:pPr>
              <w:pStyle w:val="Default"/>
              <w:rPr>
                <w:sz w:val="18"/>
                <w:szCs w:val="18"/>
              </w:rPr>
            </w:pPr>
            <w:r w:rsidRPr="00F07CFA">
              <w:rPr>
                <w:sz w:val="18"/>
                <w:szCs w:val="18"/>
              </w:rPr>
              <w:t>písm. c,</w:t>
            </w:r>
          </w:p>
          <w:p w14:paraId="3657CC45" w14:textId="77777777" w:rsidR="00276667" w:rsidRPr="00F07CFA" w:rsidRDefault="00276667" w:rsidP="00276667">
            <w:pPr>
              <w:pStyle w:val="Default"/>
              <w:rPr>
                <w:sz w:val="18"/>
                <w:szCs w:val="18"/>
              </w:rPr>
            </w:pPr>
            <w:r w:rsidRPr="00F07CFA">
              <w:rPr>
                <w:sz w:val="18"/>
                <w:szCs w:val="18"/>
              </w:rPr>
              <w:t>bod 3.5</w:t>
            </w:r>
          </w:p>
        </w:tc>
        <w:tc>
          <w:tcPr>
            <w:tcW w:w="3011" w:type="dxa"/>
          </w:tcPr>
          <w:p w14:paraId="61444317" w14:textId="77777777" w:rsidR="00276667" w:rsidRPr="00F07CFA" w:rsidRDefault="00276667" w:rsidP="00276667">
            <w:pPr>
              <w:ind w:right="57"/>
              <w:rPr>
                <w:rFonts w:ascii="Arial" w:hAnsi="Arial" w:cs="Arial"/>
                <w:snapToGrid w:val="0"/>
                <w:sz w:val="18"/>
                <w:szCs w:val="18"/>
              </w:rPr>
            </w:pPr>
            <w:r w:rsidRPr="00F07CFA">
              <w:rPr>
                <w:rFonts w:ascii="Arial" w:hAnsi="Arial" w:cs="Arial"/>
                <w:snapToGrid w:val="0"/>
                <w:sz w:val="18"/>
                <w:szCs w:val="18"/>
              </w:rPr>
              <w:t>Stíněný vnitřní spojovací kabel a pásek na hlavním rozvodu přidělený Poskytovateli</w:t>
            </w:r>
          </w:p>
          <w:p w14:paraId="12CEA2E6" w14:textId="77777777" w:rsidR="00276667" w:rsidRPr="00F07CFA" w:rsidRDefault="00276667" w:rsidP="00276667">
            <w:pPr>
              <w:ind w:right="57"/>
              <w:rPr>
                <w:rFonts w:ascii="Arial" w:hAnsi="Arial" w:cs="Arial"/>
                <w:snapToGrid w:val="0"/>
                <w:sz w:val="18"/>
                <w:szCs w:val="18"/>
              </w:rPr>
            </w:pPr>
            <w:r w:rsidRPr="00F07CFA">
              <w:rPr>
                <w:rFonts w:ascii="Arial" w:hAnsi="Arial" w:cs="Arial"/>
                <w:snapToGrid w:val="0"/>
                <w:sz w:val="18"/>
                <w:szCs w:val="18"/>
              </w:rPr>
              <w:t>– spojovací kabely v kapacitě 96 párů – poskytnutí nebo rozšíření</w:t>
            </w:r>
          </w:p>
          <w:p w14:paraId="1C4C075B" w14:textId="77777777" w:rsidR="00276667" w:rsidRPr="00F07CFA" w:rsidRDefault="00276667" w:rsidP="00276667">
            <w:pPr>
              <w:ind w:right="57"/>
              <w:rPr>
                <w:rFonts w:ascii="Arial" w:hAnsi="Arial" w:cs="Arial"/>
                <w:snapToGrid w:val="0"/>
                <w:sz w:val="18"/>
                <w:szCs w:val="18"/>
              </w:rPr>
            </w:pPr>
            <w:r w:rsidRPr="00F07CFA">
              <w:rPr>
                <w:rFonts w:ascii="Arial" w:hAnsi="Arial" w:cs="Arial"/>
                <w:snapToGrid w:val="0"/>
                <w:sz w:val="18"/>
                <w:szCs w:val="18"/>
              </w:rPr>
              <w:t>(</w:t>
            </w:r>
            <w:r w:rsidRPr="00F07CFA">
              <w:rPr>
                <w:rFonts w:ascii="Arial" w:hAnsi="Arial" w:cs="Arial"/>
                <w:i/>
                <w:snapToGrid w:val="0"/>
                <w:sz w:val="18"/>
                <w:szCs w:val="18"/>
              </w:rPr>
              <w:t>1 930,-</w:t>
            </w:r>
            <w:r w:rsidRPr="00F07CFA">
              <w:rPr>
                <w:rFonts w:ascii="Arial" w:hAnsi="Arial" w:cs="Arial"/>
                <w:snapToGrid w:val="0"/>
                <w:sz w:val="18"/>
                <w:szCs w:val="18"/>
              </w:rPr>
              <w:t xml:space="preserve"> Kč)</w:t>
            </w:r>
          </w:p>
        </w:tc>
        <w:tc>
          <w:tcPr>
            <w:tcW w:w="2234" w:type="dxa"/>
          </w:tcPr>
          <w:p w14:paraId="2BC2F192" w14:textId="77777777" w:rsidR="002A2D3B" w:rsidRDefault="00276667" w:rsidP="00B30847">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70BA3AC3" w14:textId="77777777" w:rsidR="00276667" w:rsidRPr="00F07CFA" w:rsidRDefault="00276667" w:rsidP="00B30847">
            <w:pPr>
              <w:autoSpaceDE w:val="0"/>
              <w:autoSpaceDN w:val="0"/>
              <w:adjustRightInd w:val="0"/>
              <w:rPr>
                <w:rFonts w:ascii="Arial" w:hAnsi="Arial" w:cs="Arial"/>
                <w:color w:val="000000"/>
                <w:sz w:val="18"/>
                <w:szCs w:val="18"/>
              </w:rPr>
            </w:pPr>
            <w:r w:rsidRPr="00F07CFA">
              <w:rPr>
                <w:rFonts w:ascii="Arial" w:hAnsi="Arial" w:cs="Arial"/>
                <w:sz w:val="18"/>
                <w:szCs w:val="18"/>
              </w:rPr>
              <w:t>(1</w:t>
            </w:r>
            <w:r w:rsidR="00B30847">
              <w:rPr>
                <w:rFonts w:ascii="Arial" w:hAnsi="Arial" w:cs="Arial"/>
                <w:sz w:val="18"/>
                <w:szCs w:val="18"/>
              </w:rPr>
              <w:t>2</w:t>
            </w:r>
            <w:r w:rsidRPr="00F07CFA">
              <w:rPr>
                <w:rFonts w:ascii="Arial" w:hAnsi="Arial" w:cs="Arial"/>
                <w:sz w:val="18"/>
                <w:szCs w:val="18"/>
              </w:rPr>
              <w:t>)</w:t>
            </w:r>
          </w:p>
        </w:tc>
        <w:tc>
          <w:tcPr>
            <w:tcW w:w="4111" w:type="dxa"/>
          </w:tcPr>
          <w:p w14:paraId="336D4B0B" w14:textId="77777777" w:rsidR="00276667" w:rsidRPr="00F07CFA" w:rsidRDefault="00276667" w:rsidP="00276667">
            <w:pPr>
              <w:pStyle w:val="Default"/>
              <w:jc w:val="both"/>
              <w:rPr>
                <w:sz w:val="18"/>
                <w:szCs w:val="18"/>
              </w:rPr>
            </w:pPr>
            <w:r w:rsidRPr="00F07CFA">
              <w:rPr>
                <w:sz w:val="18"/>
                <w:szCs w:val="18"/>
              </w:rPr>
              <w:t>V jednorázové ceně mohou být v principu kalkulovány jen mzdové náklady a drobný materiál. Cena se jeví excesivní (vzniká podezření na dvojí započítání nákladů na materiál, případně je instalace časově nadhodnocena).</w:t>
            </w:r>
          </w:p>
        </w:tc>
        <w:tc>
          <w:tcPr>
            <w:tcW w:w="4678" w:type="dxa"/>
          </w:tcPr>
          <w:p w14:paraId="02E4B6BF"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1B437762" w14:textId="77777777" w:rsidR="00CF10EF" w:rsidRPr="00F07CFA" w:rsidRDefault="000006D1"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t>Viz vyjádření Úřadu k připomínce</w:t>
            </w:r>
            <w:r w:rsidRPr="00F07CFA">
              <w:rPr>
                <w:rFonts w:eastAsia="Times New Roman"/>
                <w:color w:val="auto"/>
                <w:sz w:val="18"/>
                <w:szCs w:val="18"/>
                <w:lang w:eastAsia="cs-CZ"/>
              </w:rPr>
              <w:t xml:space="preserve"> č. </w:t>
            </w:r>
            <w:r>
              <w:rPr>
                <w:rFonts w:eastAsia="Times New Roman"/>
                <w:color w:val="auto"/>
                <w:sz w:val="18"/>
                <w:szCs w:val="18"/>
                <w:lang w:eastAsia="cs-CZ"/>
              </w:rPr>
              <w:t>7</w:t>
            </w:r>
            <w:r w:rsidRPr="00F07CFA">
              <w:rPr>
                <w:rFonts w:eastAsia="Times New Roman"/>
                <w:color w:val="auto"/>
                <w:sz w:val="18"/>
                <w:szCs w:val="18"/>
                <w:lang w:eastAsia="cs-CZ"/>
              </w:rPr>
              <w:t>.</w:t>
            </w:r>
          </w:p>
          <w:p w14:paraId="0647B4B6" w14:textId="2041287C" w:rsidR="00276667" w:rsidRDefault="00CF10EF"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Po věcné stránce tato cena zahrnuje zejména procesy spojené se</w:t>
            </w:r>
            <w:r w:rsidRPr="00F07CFA">
              <w:t xml:space="preserve"> </w:t>
            </w:r>
            <w:r w:rsidRPr="00F07CFA">
              <w:rPr>
                <w:rFonts w:eastAsia="Times New Roman"/>
                <w:color w:val="auto"/>
                <w:sz w:val="18"/>
                <w:szCs w:val="18"/>
                <w:lang w:eastAsia="cs-CZ"/>
              </w:rPr>
              <w:t>zpracováním podkladů k instalaci a instalací vnitřních spojovacích</w:t>
            </w:r>
            <w:r w:rsidR="000006D1">
              <w:rPr>
                <w:rFonts w:eastAsia="Times New Roman"/>
                <w:color w:val="auto"/>
                <w:sz w:val="18"/>
                <w:szCs w:val="18"/>
                <w:lang w:eastAsia="cs-CZ"/>
              </w:rPr>
              <w:t xml:space="preserve"> kabelů a pásků na HR.</w:t>
            </w:r>
          </w:p>
          <w:p w14:paraId="07EC66E3" w14:textId="3A8C67F4" w:rsidR="000006D1" w:rsidRPr="00F07CFA" w:rsidRDefault="00492E26" w:rsidP="00007567">
            <w:pPr>
              <w:pStyle w:val="Default"/>
              <w:spacing w:after="60"/>
              <w:jc w:val="both"/>
              <w:rPr>
                <w:rFonts w:eastAsia="Times New Roman"/>
                <w:color w:val="auto"/>
                <w:sz w:val="18"/>
                <w:szCs w:val="18"/>
                <w:lang w:eastAsia="cs-CZ"/>
              </w:rPr>
            </w:pPr>
            <w:r w:rsidRPr="00492E26">
              <w:rPr>
                <w:rFonts w:eastAsia="Times New Roman"/>
                <w:color w:val="auto"/>
                <w:sz w:val="18"/>
                <w:szCs w:val="18"/>
                <w:lang w:eastAsia="cs-CZ"/>
              </w:rPr>
              <w:t>Pro nákladové ocenění délky procesů (činností) se nevychází striktně</w:t>
            </w:r>
            <w:r w:rsidR="005B7ABF">
              <w:rPr>
                <w:rFonts w:eastAsia="Times New Roman"/>
                <w:color w:val="auto"/>
                <w:sz w:val="18"/>
                <w:szCs w:val="18"/>
                <w:lang w:eastAsia="cs-CZ"/>
              </w:rPr>
              <w:t xml:space="preserve"> jen ze mzdových nákladů, ale z </w:t>
            </w:r>
            <w:r w:rsidRPr="00492E26">
              <w:rPr>
                <w:rFonts w:eastAsia="Times New Roman"/>
                <w:color w:val="auto"/>
                <w:sz w:val="18"/>
                <w:szCs w:val="18"/>
                <w:lang w:eastAsia="cs-CZ"/>
              </w:rPr>
              <w:t>osobních nákladů alokovaných v rámci oddělené evidence nákladů a výnosů na nákladová střediska, která jsou základní jednotkou pro alokaci (viz pravidla nastavená v </w:t>
            </w:r>
            <w:hyperlink r:id="rId14" w:history="1">
              <w:r w:rsidRPr="00492E26">
                <w:rPr>
                  <w:rStyle w:val="Hypertextovodkaz"/>
                  <w:rFonts w:eastAsia="Times New Roman"/>
                  <w:sz w:val="18"/>
                  <w:szCs w:val="18"/>
                  <w:lang w:eastAsia="cs-CZ"/>
                </w:rPr>
                <w:t>OOP č. 4</w:t>
              </w:r>
            </w:hyperlink>
            <w:r w:rsidRPr="00492E26">
              <w:rPr>
                <w:rFonts w:eastAsia="Times New Roman"/>
                <w:color w:val="auto"/>
                <w:sz w:val="18"/>
                <w:szCs w:val="18"/>
                <w:lang w:eastAsia="cs-CZ"/>
              </w:rPr>
              <w:t>).</w:t>
            </w:r>
            <w:r w:rsidR="00761987">
              <w:rPr>
                <w:rFonts w:eastAsia="Times New Roman"/>
                <w:color w:val="auto"/>
                <w:sz w:val="18"/>
                <w:szCs w:val="18"/>
                <w:lang w:eastAsia="cs-CZ"/>
              </w:rPr>
              <w:t xml:space="preserve"> Vzhledem k tomu, že se součet celkových nákladů alokovaných v oddělené evidenci musí rovnat nákladům vykázaným v účetních výkazech, </w:t>
            </w:r>
            <w:r w:rsidR="00161769" w:rsidRPr="00492E26">
              <w:rPr>
                <w:rFonts w:eastAsia="Times New Roman"/>
                <w:color w:val="auto"/>
                <w:sz w:val="18"/>
                <w:szCs w:val="18"/>
                <w:lang w:eastAsia="cs-CZ"/>
              </w:rPr>
              <w:t xml:space="preserve">je riziko dvojího započítání nákladů vyloučeno. </w:t>
            </w:r>
            <w:r w:rsidR="00925069" w:rsidRPr="00492E26">
              <w:rPr>
                <w:rFonts w:eastAsia="Times New Roman"/>
                <w:color w:val="auto"/>
                <w:sz w:val="18"/>
                <w:szCs w:val="18"/>
                <w:lang w:eastAsia="cs-CZ"/>
              </w:rPr>
              <w:t>Časov</w:t>
            </w:r>
            <w:r w:rsidR="00925069">
              <w:rPr>
                <w:rFonts w:eastAsia="Times New Roman"/>
                <w:color w:val="auto"/>
                <w:sz w:val="18"/>
                <w:szCs w:val="18"/>
                <w:lang w:eastAsia="cs-CZ"/>
              </w:rPr>
              <w:t>ou</w:t>
            </w:r>
            <w:r w:rsidR="00925069" w:rsidRPr="00492E26">
              <w:rPr>
                <w:rFonts w:eastAsia="Times New Roman"/>
                <w:color w:val="auto"/>
                <w:sz w:val="18"/>
                <w:szCs w:val="18"/>
                <w:lang w:eastAsia="cs-CZ"/>
              </w:rPr>
              <w:t xml:space="preserve"> </w:t>
            </w:r>
            <w:r w:rsidR="00161769" w:rsidRPr="00492E26">
              <w:rPr>
                <w:rFonts w:eastAsia="Times New Roman"/>
                <w:color w:val="auto"/>
                <w:sz w:val="18"/>
                <w:szCs w:val="18"/>
                <w:lang w:eastAsia="cs-CZ"/>
              </w:rPr>
              <w:t xml:space="preserve">náročnost jednotlivých úkonů </w:t>
            </w:r>
            <w:r w:rsidR="00925069">
              <w:rPr>
                <w:rFonts w:eastAsia="Times New Roman"/>
                <w:color w:val="auto"/>
                <w:sz w:val="18"/>
                <w:szCs w:val="18"/>
                <w:lang w:eastAsia="cs-CZ"/>
              </w:rPr>
              <w:t>Úřad prověřil v rámci</w:t>
            </w:r>
            <w:r w:rsidR="00161769" w:rsidRPr="00492E26">
              <w:rPr>
                <w:rFonts w:eastAsia="Times New Roman"/>
                <w:color w:val="auto"/>
                <w:sz w:val="18"/>
                <w:szCs w:val="18"/>
                <w:lang w:eastAsia="cs-CZ"/>
              </w:rPr>
              <w:t xml:space="preserve"> kontroly</w:t>
            </w:r>
            <w:r w:rsidR="00925069">
              <w:rPr>
                <w:rFonts w:eastAsia="Times New Roman"/>
                <w:color w:val="auto"/>
                <w:sz w:val="18"/>
                <w:szCs w:val="18"/>
                <w:lang w:eastAsia="cs-CZ"/>
              </w:rPr>
              <w:t xml:space="preserve">. </w:t>
            </w:r>
          </w:p>
        </w:tc>
      </w:tr>
      <w:tr w:rsidR="00CF10EF" w:rsidRPr="00F07CFA" w14:paraId="28A26387" w14:textId="77777777" w:rsidTr="00603E63">
        <w:tc>
          <w:tcPr>
            <w:tcW w:w="1135" w:type="dxa"/>
          </w:tcPr>
          <w:p w14:paraId="46068BA9" w14:textId="77777777" w:rsidR="00CF10EF" w:rsidRPr="00F07CFA" w:rsidRDefault="00CF10EF" w:rsidP="00CF10EF">
            <w:pPr>
              <w:pStyle w:val="Default"/>
              <w:rPr>
                <w:sz w:val="18"/>
                <w:szCs w:val="18"/>
              </w:rPr>
            </w:pPr>
            <w:r w:rsidRPr="00F07CFA">
              <w:rPr>
                <w:sz w:val="18"/>
                <w:szCs w:val="18"/>
              </w:rPr>
              <w:t>Výrok I, odst. 1,</w:t>
            </w:r>
          </w:p>
          <w:p w14:paraId="0428A8B7" w14:textId="77777777" w:rsidR="00CF10EF" w:rsidRPr="00F07CFA" w:rsidRDefault="00CF10EF" w:rsidP="00CF10EF">
            <w:pPr>
              <w:pStyle w:val="Default"/>
              <w:rPr>
                <w:sz w:val="18"/>
                <w:szCs w:val="18"/>
              </w:rPr>
            </w:pPr>
            <w:r w:rsidRPr="00F07CFA">
              <w:rPr>
                <w:sz w:val="18"/>
                <w:szCs w:val="18"/>
              </w:rPr>
              <w:t>písm. c,</w:t>
            </w:r>
          </w:p>
          <w:p w14:paraId="26DD318D" w14:textId="77777777" w:rsidR="00CF10EF" w:rsidRPr="00F07CFA" w:rsidRDefault="00CF10EF" w:rsidP="00CF10EF">
            <w:pPr>
              <w:pStyle w:val="Default"/>
              <w:rPr>
                <w:sz w:val="18"/>
                <w:szCs w:val="18"/>
              </w:rPr>
            </w:pPr>
            <w:r w:rsidRPr="00F07CFA">
              <w:rPr>
                <w:sz w:val="18"/>
                <w:szCs w:val="18"/>
              </w:rPr>
              <w:t>bod 3.6</w:t>
            </w:r>
          </w:p>
        </w:tc>
        <w:tc>
          <w:tcPr>
            <w:tcW w:w="3011" w:type="dxa"/>
          </w:tcPr>
          <w:p w14:paraId="0EC2A320"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Nestíněný vnitřní spojovací kabel a pásek na hlavním rozvodu přidělený Poskytovateli</w:t>
            </w:r>
          </w:p>
          <w:p w14:paraId="5BF8BF3E"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 spojovací kabely v kapacitě 96 párů – poskytnutí nebo rozšíření</w:t>
            </w:r>
          </w:p>
          <w:p w14:paraId="70CD8556"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w:t>
            </w:r>
            <w:r w:rsidRPr="00F07CFA">
              <w:rPr>
                <w:rFonts w:ascii="Arial" w:hAnsi="Arial" w:cs="Arial"/>
                <w:i/>
                <w:snapToGrid w:val="0"/>
                <w:sz w:val="18"/>
                <w:szCs w:val="18"/>
              </w:rPr>
              <w:t>1 930,-</w:t>
            </w:r>
            <w:r w:rsidRPr="00F07CFA">
              <w:rPr>
                <w:rFonts w:ascii="Arial" w:hAnsi="Arial" w:cs="Arial"/>
                <w:snapToGrid w:val="0"/>
                <w:sz w:val="18"/>
                <w:szCs w:val="18"/>
              </w:rPr>
              <w:t xml:space="preserve"> Kč)</w:t>
            </w:r>
          </w:p>
        </w:tc>
        <w:tc>
          <w:tcPr>
            <w:tcW w:w="2234" w:type="dxa"/>
          </w:tcPr>
          <w:p w14:paraId="17812FF4" w14:textId="77777777" w:rsidR="002A2D3B" w:rsidRDefault="00CF10EF" w:rsidP="000016FD">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521952EB" w14:textId="77777777" w:rsidR="00CF10EF" w:rsidRPr="00F07CFA" w:rsidRDefault="00CF10EF" w:rsidP="000016FD">
            <w:pPr>
              <w:autoSpaceDE w:val="0"/>
              <w:autoSpaceDN w:val="0"/>
              <w:adjustRightInd w:val="0"/>
              <w:rPr>
                <w:rFonts w:ascii="Arial" w:hAnsi="Arial" w:cs="Arial"/>
                <w:color w:val="000000"/>
                <w:sz w:val="18"/>
                <w:szCs w:val="18"/>
              </w:rPr>
            </w:pPr>
            <w:r w:rsidRPr="00F07CFA">
              <w:rPr>
                <w:rFonts w:ascii="Arial" w:hAnsi="Arial" w:cs="Arial"/>
                <w:sz w:val="18"/>
                <w:szCs w:val="18"/>
              </w:rPr>
              <w:t>(1</w:t>
            </w:r>
            <w:r w:rsidR="000016FD">
              <w:rPr>
                <w:rFonts w:ascii="Arial" w:hAnsi="Arial" w:cs="Arial"/>
                <w:sz w:val="18"/>
                <w:szCs w:val="18"/>
              </w:rPr>
              <w:t>3</w:t>
            </w:r>
            <w:r w:rsidRPr="00F07CFA">
              <w:rPr>
                <w:rFonts w:ascii="Arial" w:hAnsi="Arial" w:cs="Arial"/>
                <w:sz w:val="18"/>
                <w:szCs w:val="18"/>
              </w:rPr>
              <w:t>)</w:t>
            </w:r>
          </w:p>
        </w:tc>
        <w:tc>
          <w:tcPr>
            <w:tcW w:w="4111" w:type="dxa"/>
          </w:tcPr>
          <w:p w14:paraId="308EF2D0" w14:textId="77777777" w:rsidR="00CF10EF" w:rsidRPr="00F07CFA" w:rsidRDefault="00CF10EF" w:rsidP="00CF10EF">
            <w:pPr>
              <w:pStyle w:val="Default"/>
              <w:jc w:val="both"/>
              <w:rPr>
                <w:sz w:val="18"/>
                <w:szCs w:val="18"/>
              </w:rPr>
            </w:pPr>
            <w:r w:rsidRPr="00F07CFA">
              <w:rPr>
                <w:sz w:val="18"/>
                <w:szCs w:val="18"/>
              </w:rPr>
              <w:t>V jednorázové ceně mohou být v principu kalkulovány jen mzdové náklady a drobný materiál. Cena se jeví excesivní (vzniká podezření na dvojí započítání nákladů na materiál, případně je instalace časově nadhodnocena).</w:t>
            </w:r>
          </w:p>
        </w:tc>
        <w:tc>
          <w:tcPr>
            <w:tcW w:w="4678" w:type="dxa"/>
          </w:tcPr>
          <w:p w14:paraId="7705EF8C"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39C3D3D5" w14:textId="77777777" w:rsidR="00CF10EF" w:rsidRPr="00F07CFA" w:rsidRDefault="000016FD"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t>Viz vyjádření Úřadu k připomínce</w:t>
            </w:r>
            <w:r w:rsidRPr="00F07CFA">
              <w:rPr>
                <w:rFonts w:eastAsia="Times New Roman"/>
                <w:color w:val="auto"/>
                <w:sz w:val="18"/>
                <w:szCs w:val="18"/>
                <w:lang w:eastAsia="cs-CZ"/>
              </w:rPr>
              <w:t xml:space="preserve"> č.</w:t>
            </w:r>
            <w:r>
              <w:rPr>
                <w:rFonts w:eastAsia="Times New Roman"/>
                <w:color w:val="auto"/>
                <w:sz w:val="18"/>
                <w:szCs w:val="18"/>
                <w:lang w:eastAsia="cs-CZ"/>
              </w:rPr>
              <w:t xml:space="preserve"> 12</w:t>
            </w:r>
            <w:r w:rsidR="00CF10EF" w:rsidRPr="00F07CFA">
              <w:rPr>
                <w:rFonts w:eastAsia="Times New Roman"/>
                <w:color w:val="auto"/>
                <w:sz w:val="18"/>
                <w:szCs w:val="18"/>
                <w:lang w:eastAsia="cs-CZ"/>
              </w:rPr>
              <w:t>.</w:t>
            </w:r>
          </w:p>
        </w:tc>
      </w:tr>
      <w:tr w:rsidR="00CF10EF" w:rsidRPr="00F07CFA" w14:paraId="05062E05" w14:textId="77777777" w:rsidTr="00603E63">
        <w:tc>
          <w:tcPr>
            <w:tcW w:w="1135" w:type="dxa"/>
          </w:tcPr>
          <w:p w14:paraId="78D10104" w14:textId="77777777" w:rsidR="00CF10EF" w:rsidRPr="00F07CFA" w:rsidRDefault="00CF10EF" w:rsidP="00CF10EF">
            <w:pPr>
              <w:pStyle w:val="Default"/>
              <w:rPr>
                <w:sz w:val="18"/>
                <w:szCs w:val="18"/>
              </w:rPr>
            </w:pPr>
            <w:r w:rsidRPr="00F07CFA">
              <w:rPr>
                <w:sz w:val="18"/>
                <w:szCs w:val="18"/>
              </w:rPr>
              <w:t>Výrok I, odst. 1,</w:t>
            </w:r>
          </w:p>
          <w:p w14:paraId="0520E188" w14:textId="77777777" w:rsidR="00CF10EF" w:rsidRPr="00F07CFA" w:rsidRDefault="00CF10EF" w:rsidP="00CF10EF">
            <w:pPr>
              <w:pStyle w:val="Default"/>
              <w:jc w:val="both"/>
              <w:rPr>
                <w:sz w:val="18"/>
                <w:szCs w:val="18"/>
              </w:rPr>
            </w:pPr>
            <w:r w:rsidRPr="00F07CFA">
              <w:rPr>
                <w:sz w:val="18"/>
                <w:szCs w:val="18"/>
              </w:rPr>
              <w:t>písm. c,</w:t>
            </w:r>
          </w:p>
          <w:p w14:paraId="5978C13F" w14:textId="77777777" w:rsidR="00CF10EF" w:rsidRPr="00F07CFA" w:rsidRDefault="00CF10EF" w:rsidP="00CF10EF">
            <w:pPr>
              <w:pStyle w:val="Default"/>
              <w:jc w:val="both"/>
              <w:rPr>
                <w:sz w:val="18"/>
                <w:szCs w:val="18"/>
              </w:rPr>
            </w:pPr>
            <w:r w:rsidRPr="00F07CFA">
              <w:rPr>
                <w:sz w:val="18"/>
                <w:szCs w:val="18"/>
              </w:rPr>
              <w:t>bod 3.8</w:t>
            </w:r>
          </w:p>
        </w:tc>
        <w:tc>
          <w:tcPr>
            <w:tcW w:w="3011" w:type="dxa"/>
          </w:tcPr>
          <w:p w14:paraId="089A797D"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Optický vnitřní spojovací kabel včetně optického rozvaděče – pár vláken – poskytnutí nebo rozšíření/Kabel sběrného okruhu – optický, včetně optického rozvaděče – pá</w:t>
            </w:r>
            <w:r w:rsidR="00591432">
              <w:rPr>
                <w:rFonts w:ascii="Arial" w:hAnsi="Arial" w:cs="Arial"/>
                <w:snapToGrid w:val="0"/>
                <w:sz w:val="18"/>
                <w:szCs w:val="18"/>
              </w:rPr>
              <w:t xml:space="preserve">r – poskytnutí nebo rozšíření </w:t>
            </w:r>
            <w:r w:rsidRPr="00F07CFA">
              <w:rPr>
                <w:rFonts w:ascii="Arial" w:hAnsi="Arial" w:cs="Arial"/>
                <w:snapToGrid w:val="0"/>
                <w:sz w:val="18"/>
                <w:szCs w:val="18"/>
              </w:rPr>
              <w:t>(</w:t>
            </w:r>
            <w:r w:rsidRPr="00F07CFA">
              <w:rPr>
                <w:rFonts w:ascii="Arial" w:hAnsi="Arial" w:cs="Arial"/>
                <w:i/>
                <w:snapToGrid w:val="0"/>
                <w:sz w:val="18"/>
                <w:szCs w:val="18"/>
              </w:rPr>
              <w:t xml:space="preserve">5 034,- </w:t>
            </w:r>
            <w:r w:rsidRPr="00F07CFA">
              <w:rPr>
                <w:rFonts w:ascii="Arial" w:hAnsi="Arial" w:cs="Arial"/>
                <w:snapToGrid w:val="0"/>
                <w:sz w:val="18"/>
                <w:szCs w:val="18"/>
              </w:rPr>
              <w:t>Kč)</w:t>
            </w:r>
          </w:p>
        </w:tc>
        <w:tc>
          <w:tcPr>
            <w:tcW w:w="2234" w:type="dxa"/>
          </w:tcPr>
          <w:p w14:paraId="29335D98" w14:textId="77777777" w:rsidR="002A2D3B" w:rsidRDefault="00CF10EF" w:rsidP="00CF10EF">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329A5800" w14:textId="77777777" w:rsidR="00CF10EF" w:rsidRPr="00F07CFA" w:rsidRDefault="000016FD" w:rsidP="00CF10EF">
            <w:pPr>
              <w:autoSpaceDE w:val="0"/>
              <w:autoSpaceDN w:val="0"/>
              <w:adjustRightInd w:val="0"/>
              <w:rPr>
                <w:rFonts w:ascii="Arial" w:hAnsi="Arial" w:cs="Arial"/>
                <w:color w:val="000000"/>
                <w:sz w:val="18"/>
                <w:szCs w:val="18"/>
              </w:rPr>
            </w:pPr>
            <w:r>
              <w:rPr>
                <w:rFonts w:ascii="Arial" w:hAnsi="Arial" w:cs="Arial"/>
                <w:sz w:val="18"/>
                <w:szCs w:val="18"/>
              </w:rPr>
              <w:t>(14</w:t>
            </w:r>
            <w:r w:rsidR="00CF10EF" w:rsidRPr="00F07CFA">
              <w:rPr>
                <w:rFonts w:ascii="Arial" w:hAnsi="Arial" w:cs="Arial"/>
                <w:sz w:val="18"/>
                <w:szCs w:val="18"/>
              </w:rPr>
              <w:t>)</w:t>
            </w:r>
          </w:p>
        </w:tc>
        <w:tc>
          <w:tcPr>
            <w:tcW w:w="4111" w:type="dxa"/>
          </w:tcPr>
          <w:p w14:paraId="662ED249" w14:textId="77777777" w:rsidR="00CF10EF" w:rsidRPr="00F07CFA" w:rsidRDefault="00CF10EF" w:rsidP="00CF10EF">
            <w:pPr>
              <w:pStyle w:val="Default"/>
              <w:jc w:val="both"/>
              <w:rPr>
                <w:sz w:val="18"/>
                <w:szCs w:val="18"/>
              </w:rPr>
            </w:pPr>
            <w:r w:rsidRPr="00F07CFA">
              <w:rPr>
                <w:sz w:val="18"/>
                <w:szCs w:val="18"/>
              </w:rPr>
              <w:t xml:space="preserve">Podle cen našich dodavatelů je cena 24vl ODF cca </w:t>
            </w:r>
            <w:r w:rsidRPr="00F07CFA">
              <w:rPr>
                <w:sz w:val="18"/>
                <w:szCs w:val="18"/>
                <w:highlight w:val="black"/>
              </w:rPr>
              <w:t>XXXXX</w:t>
            </w:r>
            <w:r w:rsidRPr="00F07CFA">
              <w:rPr>
                <w:sz w:val="18"/>
                <w:szCs w:val="18"/>
              </w:rPr>
              <w:t xml:space="preserve"> Kč. Na základě takové ceny by jeden pár měl stát </w:t>
            </w:r>
            <w:r w:rsidRPr="00F07CFA">
              <w:rPr>
                <w:sz w:val="18"/>
                <w:szCs w:val="18"/>
                <w:highlight w:val="black"/>
              </w:rPr>
              <w:t>XXXXX</w:t>
            </w:r>
            <w:r w:rsidRPr="00F07CFA">
              <w:rPr>
                <w:sz w:val="18"/>
                <w:szCs w:val="18"/>
              </w:rPr>
              <w:t xml:space="preserve"> Kč. Zároveň považujeme cenu za značně nadhodnocenou i vzhledem k tomu, že zřejmě nebyla uplatněna živostnost kabelu, která je stejně jako u ostatních kabelů přinejmenším 20 let.</w:t>
            </w:r>
          </w:p>
        </w:tc>
        <w:tc>
          <w:tcPr>
            <w:tcW w:w="4678" w:type="dxa"/>
          </w:tcPr>
          <w:p w14:paraId="2D463601"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79928506" w14:textId="77777777" w:rsidR="00CF10EF" w:rsidRPr="00F07CFA" w:rsidRDefault="00A0347B"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Jedná se o jednorázovou cenu, která vychází z délky procesů v minutách a nákladů včetně vloženého kapitálu na tyto procesy. Po věcné stránce tato cena zahrnuje f</w:t>
            </w:r>
            <w:r w:rsidR="00CF10EF" w:rsidRPr="00F07CFA">
              <w:rPr>
                <w:rFonts w:eastAsia="Times New Roman"/>
                <w:color w:val="auto"/>
                <w:sz w:val="18"/>
                <w:szCs w:val="18"/>
                <w:lang w:eastAsia="cs-CZ"/>
              </w:rPr>
              <w:t>yzick</w:t>
            </w:r>
            <w:r w:rsidRPr="00F07CFA">
              <w:rPr>
                <w:rFonts w:eastAsia="Times New Roman"/>
                <w:color w:val="auto"/>
                <w:sz w:val="18"/>
                <w:szCs w:val="18"/>
                <w:lang w:eastAsia="cs-CZ"/>
              </w:rPr>
              <w:t>ou</w:t>
            </w:r>
            <w:r w:rsidR="00CF10EF" w:rsidRPr="00F07CFA">
              <w:rPr>
                <w:rFonts w:eastAsia="Times New Roman"/>
                <w:color w:val="auto"/>
                <w:sz w:val="18"/>
                <w:szCs w:val="18"/>
                <w:lang w:eastAsia="cs-CZ"/>
              </w:rPr>
              <w:t xml:space="preserve"> instalac</w:t>
            </w:r>
            <w:r w:rsidRPr="00F07CFA">
              <w:rPr>
                <w:rFonts w:eastAsia="Times New Roman"/>
                <w:color w:val="auto"/>
                <w:sz w:val="18"/>
                <w:szCs w:val="18"/>
                <w:lang w:eastAsia="cs-CZ"/>
              </w:rPr>
              <w:t>i, která</w:t>
            </w:r>
            <w:r w:rsidR="00CF10EF" w:rsidRPr="00F07CFA">
              <w:rPr>
                <w:rFonts w:eastAsia="Times New Roman"/>
                <w:color w:val="auto"/>
                <w:sz w:val="18"/>
                <w:szCs w:val="18"/>
                <w:lang w:eastAsia="cs-CZ"/>
              </w:rPr>
              <w:t xml:space="preserve"> je prováděna externími subjekty,</w:t>
            </w:r>
            <w:r w:rsidRPr="00F07CFA">
              <w:rPr>
                <w:rFonts w:eastAsia="Times New Roman"/>
                <w:color w:val="auto"/>
                <w:sz w:val="18"/>
                <w:szCs w:val="18"/>
                <w:lang w:eastAsia="cs-CZ"/>
              </w:rPr>
              <w:t xml:space="preserve"> asistence operátora ve formě dohledu a </w:t>
            </w:r>
            <w:r w:rsidR="00CF10EF" w:rsidRPr="00F07CFA">
              <w:rPr>
                <w:rFonts w:eastAsia="Times New Roman"/>
                <w:color w:val="auto"/>
                <w:sz w:val="18"/>
                <w:szCs w:val="18"/>
                <w:lang w:eastAsia="cs-CZ"/>
              </w:rPr>
              <w:t>protokolárn</w:t>
            </w:r>
            <w:r w:rsidRPr="00F07CFA">
              <w:rPr>
                <w:rFonts w:eastAsia="Times New Roman"/>
                <w:color w:val="auto"/>
                <w:sz w:val="18"/>
                <w:szCs w:val="18"/>
                <w:lang w:eastAsia="cs-CZ"/>
              </w:rPr>
              <w:t>ího</w:t>
            </w:r>
            <w:r w:rsidR="00CF10EF" w:rsidRPr="00F07CFA">
              <w:rPr>
                <w:rFonts w:eastAsia="Times New Roman"/>
                <w:color w:val="auto"/>
                <w:sz w:val="18"/>
                <w:szCs w:val="18"/>
                <w:lang w:eastAsia="cs-CZ"/>
              </w:rPr>
              <w:t xml:space="preserve"> převz</w:t>
            </w:r>
            <w:r w:rsidRPr="00F07CFA">
              <w:rPr>
                <w:rFonts w:eastAsia="Times New Roman"/>
                <w:color w:val="auto"/>
                <w:sz w:val="18"/>
                <w:szCs w:val="18"/>
                <w:lang w:eastAsia="cs-CZ"/>
              </w:rPr>
              <w:t>etí prací</w:t>
            </w:r>
            <w:r w:rsidR="00CF10EF" w:rsidRPr="00F07CFA">
              <w:rPr>
                <w:rFonts w:eastAsia="Times New Roman"/>
                <w:color w:val="auto"/>
                <w:sz w:val="18"/>
                <w:szCs w:val="18"/>
                <w:lang w:eastAsia="cs-CZ"/>
              </w:rPr>
              <w:t>.</w:t>
            </w:r>
          </w:p>
        </w:tc>
      </w:tr>
      <w:tr w:rsidR="00CF10EF" w:rsidRPr="00F07CFA" w14:paraId="1F0DEC3A" w14:textId="77777777" w:rsidTr="00603E63">
        <w:tc>
          <w:tcPr>
            <w:tcW w:w="1135" w:type="dxa"/>
          </w:tcPr>
          <w:p w14:paraId="59202C96" w14:textId="77777777" w:rsidR="00CF10EF" w:rsidRPr="00F07CFA" w:rsidRDefault="00CF10EF" w:rsidP="00CF10EF">
            <w:pPr>
              <w:pStyle w:val="Default"/>
              <w:rPr>
                <w:sz w:val="18"/>
                <w:szCs w:val="18"/>
              </w:rPr>
            </w:pPr>
            <w:r w:rsidRPr="00F07CFA">
              <w:rPr>
                <w:sz w:val="18"/>
                <w:szCs w:val="18"/>
              </w:rPr>
              <w:t>Výrok I, odst. 1,</w:t>
            </w:r>
          </w:p>
          <w:p w14:paraId="425B6E3A" w14:textId="77777777" w:rsidR="00CF10EF" w:rsidRPr="00F07CFA" w:rsidRDefault="00CF10EF" w:rsidP="00CF10EF">
            <w:pPr>
              <w:pStyle w:val="Default"/>
              <w:jc w:val="both"/>
              <w:rPr>
                <w:sz w:val="18"/>
                <w:szCs w:val="18"/>
              </w:rPr>
            </w:pPr>
            <w:r w:rsidRPr="00F07CFA">
              <w:rPr>
                <w:sz w:val="18"/>
                <w:szCs w:val="18"/>
              </w:rPr>
              <w:t>písm. c,</w:t>
            </w:r>
          </w:p>
          <w:p w14:paraId="48A08AF3" w14:textId="77777777" w:rsidR="00CF10EF" w:rsidRPr="00F07CFA" w:rsidRDefault="00CF10EF" w:rsidP="00CF10EF">
            <w:pPr>
              <w:pStyle w:val="Default"/>
              <w:jc w:val="both"/>
              <w:rPr>
                <w:sz w:val="18"/>
                <w:szCs w:val="18"/>
              </w:rPr>
            </w:pPr>
            <w:r w:rsidRPr="00F07CFA">
              <w:rPr>
                <w:sz w:val="18"/>
                <w:szCs w:val="18"/>
              </w:rPr>
              <w:t>bod 3.10</w:t>
            </w:r>
          </w:p>
        </w:tc>
        <w:tc>
          <w:tcPr>
            <w:tcW w:w="3011" w:type="dxa"/>
          </w:tcPr>
          <w:p w14:paraId="51FF6AFC" w14:textId="77777777" w:rsidR="00CF10EF" w:rsidRPr="00F07CFA" w:rsidRDefault="00CF10EF" w:rsidP="00CF10EF">
            <w:pPr>
              <w:ind w:left="57" w:right="57"/>
              <w:jc w:val="both"/>
              <w:rPr>
                <w:rFonts w:ascii="Arial" w:hAnsi="Arial" w:cs="Arial"/>
                <w:snapToGrid w:val="0"/>
                <w:sz w:val="18"/>
                <w:szCs w:val="18"/>
              </w:rPr>
            </w:pPr>
            <w:r w:rsidRPr="00F07CFA">
              <w:rPr>
                <w:rFonts w:ascii="Arial" w:hAnsi="Arial" w:cs="Arial"/>
                <w:snapToGrid w:val="0"/>
                <w:sz w:val="18"/>
                <w:szCs w:val="18"/>
              </w:rPr>
              <w:t>Vnější spojovací kabel – metalický – pro vnitřní nebo vnější prostředí, včetně pásku na hlavním rozvodu i pásku na předávacím rozvodu</w:t>
            </w:r>
          </w:p>
          <w:p w14:paraId="4EB8362A"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 spojovací kabely v kapacitě 96 p</w:t>
            </w:r>
            <w:r w:rsidR="00591432">
              <w:rPr>
                <w:rFonts w:ascii="Arial" w:hAnsi="Arial" w:cs="Arial"/>
                <w:snapToGrid w:val="0"/>
                <w:sz w:val="18"/>
                <w:szCs w:val="18"/>
              </w:rPr>
              <w:t>árů – poskytnutí nebo rozšíření</w:t>
            </w:r>
            <w:r w:rsidRPr="00F07CFA">
              <w:rPr>
                <w:rFonts w:ascii="Arial" w:hAnsi="Arial" w:cs="Arial"/>
                <w:snapToGrid w:val="0"/>
                <w:sz w:val="18"/>
                <w:szCs w:val="18"/>
              </w:rPr>
              <w:t xml:space="preserve"> (</w:t>
            </w:r>
            <w:r w:rsidRPr="00F07CFA">
              <w:rPr>
                <w:rFonts w:ascii="Arial" w:hAnsi="Arial" w:cs="Arial"/>
                <w:i/>
                <w:snapToGrid w:val="0"/>
                <w:sz w:val="18"/>
                <w:szCs w:val="18"/>
              </w:rPr>
              <w:t xml:space="preserve">2 316,- </w:t>
            </w:r>
            <w:r w:rsidRPr="00F07CFA">
              <w:rPr>
                <w:rFonts w:ascii="Arial" w:hAnsi="Arial" w:cs="Arial"/>
                <w:snapToGrid w:val="0"/>
                <w:sz w:val="18"/>
                <w:szCs w:val="18"/>
              </w:rPr>
              <w:t>Kč)</w:t>
            </w:r>
          </w:p>
        </w:tc>
        <w:tc>
          <w:tcPr>
            <w:tcW w:w="2234" w:type="dxa"/>
          </w:tcPr>
          <w:p w14:paraId="0C02C353" w14:textId="77777777" w:rsidR="002A2D3B" w:rsidRDefault="00CF10EF" w:rsidP="00CF10EF">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610C075D" w14:textId="77777777" w:rsidR="00CF10EF" w:rsidRPr="00F07CFA" w:rsidRDefault="000016FD" w:rsidP="00CF10EF">
            <w:pPr>
              <w:autoSpaceDE w:val="0"/>
              <w:autoSpaceDN w:val="0"/>
              <w:adjustRightInd w:val="0"/>
              <w:rPr>
                <w:rFonts w:ascii="Arial" w:hAnsi="Arial" w:cs="Arial"/>
                <w:color w:val="000000"/>
                <w:sz w:val="18"/>
                <w:szCs w:val="18"/>
              </w:rPr>
            </w:pPr>
            <w:r>
              <w:rPr>
                <w:rFonts w:ascii="Arial" w:hAnsi="Arial" w:cs="Arial"/>
                <w:sz w:val="18"/>
                <w:szCs w:val="18"/>
              </w:rPr>
              <w:t>(15</w:t>
            </w:r>
            <w:r w:rsidR="00CF10EF" w:rsidRPr="00F07CFA">
              <w:rPr>
                <w:rFonts w:ascii="Arial" w:hAnsi="Arial" w:cs="Arial"/>
                <w:sz w:val="18"/>
                <w:szCs w:val="18"/>
              </w:rPr>
              <w:t>)</w:t>
            </w:r>
          </w:p>
        </w:tc>
        <w:tc>
          <w:tcPr>
            <w:tcW w:w="4111" w:type="dxa"/>
          </w:tcPr>
          <w:p w14:paraId="25836E2D" w14:textId="77777777" w:rsidR="00CF10EF" w:rsidRPr="00F07CFA" w:rsidRDefault="00CF10EF" w:rsidP="00CF10EF">
            <w:pPr>
              <w:pStyle w:val="Default"/>
              <w:jc w:val="both"/>
              <w:rPr>
                <w:sz w:val="18"/>
                <w:szCs w:val="18"/>
              </w:rPr>
            </w:pPr>
            <w:r w:rsidRPr="00F07CFA">
              <w:rPr>
                <w:sz w:val="18"/>
                <w:szCs w:val="18"/>
              </w:rPr>
              <w:t xml:space="preserve">Text v popisu položky („- pro vnitřní nebo vnější prostředí není srozumitelný“) </w:t>
            </w:r>
          </w:p>
          <w:p w14:paraId="3E2683B2" w14:textId="77777777" w:rsidR="00CF10EF" w:rsidRPr="00F07CFA" w:rsidRDefault="00CF10EF" w:rsidP="00CF10EF">
            <w:pPr>
              <w:pStyle w:val="Default"/>
              <w:jc w:val="both"/>
              <w:rPr>
                <w:sz w:val="21"/>
                <w:szCs w:val="21"/>
              </w:rPr>
            </w:pPr>
            <w:r w:rsidRPr="00F07CFA">
              <w:rPr>
                <w:sz w:val="18"/>
                <w:szCs w:val="18"/>
              </w:rPr>
              <w:t>Pokud jde o cenu, dle našeho přesvědčení by měla být shodná s cenou položek 3.5 a 3.6.</w:t>
            </w:r>
            <w:r w:rsidRPr="00F07CFA">
              <w:rPr>
                <w:sz w:val="21"/>
                <w:szCs w:val="21"/>
              </w:rPr>
              <w:t xml:space="preserve"> </w:t>
            </w:r>
          </w:p>
          <w:p w14:paraId="66972B37" w14:textId="77777777" w:rsidR="00CF10EF" w:rsidRPr="00F07CFA" w:rsidRDefault="00CF10EF" w:rsidP="00CF10EF">
            <w:pPr>
              <w:pStyle w:val="Default"/>
              <w:jc w:val="both"/>
              <w:rPr>
                <w:sz w:val="18"/>
                <w:szCs w:val="18"/>
              </w:rPr>
            </w:pPr>
            <w:r w:rsidRPr="00F07CFA">
              <w:rPr>
                <w:sz w:val="18"/>
                <w:szCs w:val="18"/>
              </w:rPr>
              <w:t>Cena se jeví excesivní (vzniká podezření na dvojí započítání nákladů na materiál, případně je instalace časově nadhodnocena).</w:t>
            </w:r>
          </w:p>
        </w:tc>
        <w:tc>
          <w:tcPr>
            <w:tcW w:w="4678" w:type="dxa"/>
          </w:tcPr>
          <w:p w14:paraId="5061B7DE"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4FD7A626" w14:textId="77777777" w:rsidR="00CF10EF" w:rsidRPr="00F07CFA" w:rsidRDefault="00A0347B"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Cena vychází z délky procesů v minutách a nákladů včetně vloženého kapitálu na tyto procesy</w:t>
            </w:r>
            <w:r w:rsidR="009738DD" w:rsidRPr="00F07CFA">
              <w:rPr>
                <w:rFonts w:eastAsia="Times New Roman"/>
                <w:color w:val="auto"/>
                <w:sz w:val="18"/>
                <w:szCs w:val="18"/>
                <w:lang w:eastAsia="cs-CZ"/>
              </w:rPr>
              <w:t>.</w:t>
            </w:r>
            <w:r w:rsidRPr="00F07CFA">
              <w:rPr>
                <w:rFonts w:eastAsia="Times New Roman"/>
                <w:color w:val="auto"/>
                <w:sz w:val="18"/>
                <w:szCs w:val="18"/>
                <w:lang w:eastAsia="cs-CZ"/>
              </w:rPr>
              <w:t xml:space="preserve"> Po věcné stránce tato cena zahrnuje zejména procesy spojené se</w:t>
            </w:r>
            <w:r w:rsidRPr="00F07CFA">
              <w:t xml:space="preserve"> </w:t>
            </w:r>
            <w:r w:rsidRPr="00F07CFA">
              <w:rPr>
                <w:rFonts w:eastAsia="Times New Roman"/>
                <w:color w:val="auto"/>
                <w:sz w:val="18"/>
                <w:szCs w:val="18"/>
                <w:lang w:eastAsia="cs-CZ"/>
              </w:rPr>
              <w:t xml:space="preserve">zpracováním podkladů k instalaci a instalací vnějších spojovacích kabelů a pásků na HR. </w:t>
            </w:r>
          </w:p>
        </w:tc>
      </w:tr>
      <w:tr w:rsidR="00CF10EF" w:rsidRPr="00F07CFA" w14:paraId="3C171AB0" w14:textId="77777777" w:rsidTr="00603E63">
        <w:tc>
          <w:tcPr>
            <w:tcW w:w="1135" w:type="dxa"/>
          </w:tcPr>
          <w:p w14:paraId="742C408A" w14:textId="77777777" w:rsidR="00CF10EF" w:rsidRPr="00F07CFA" w:rsidRDefault="00CF10EF" w:rsidP="00CF10EF">
            <w:pPr>
              <w:pStyle w:val="Default"/>
              <w:rPr>
                <w:sz w:val="18"/>
                <w:szCs w:val="18"/>
              </w:rPr>
            </w:pPr>
            <w:r w:rsidRPr="00F07CFA">
              <w:rPr>
                <w:sz w:val="18"/>
                <w:szCs w:val="18"/>
              </w:rPr>
              <w:t>Výrok I, odst. 1,</w:t>
            </w:r>
          </w:p>
          <w:p w14:paraId="60B4D54F" w14:textId="77777777" w:rsidR="00CF10EF" w:rsidRPr="00F07CFA" w:rsidRDefault="00CF10EF" w:rsidP="00CF10EF">
            <w:pPr>
              <w:pStyle w:val="Default"/>
              <w:jc w:val="both"/>
              <w:rPr>
                <w:sz w:val="18"/>
                <w:szCs w:val="18"/>
              </w:rPr>
            </w:pPr>
            <w:r w:rsidRPr="00F07CFA">
              <w:rPr>
                <w:sz w:val="18"/>
                <w:szCs w:val="18"/>
              </w:rPr>
              <w:t>písm. c,</w:t>
            </w:r>
          </w:p>
          <w:p w14:paraId="14681630" w14:textId="77777777" w:rsidR="00CF10EF" w:rsidRPr="00F07CFA" w:rsidRDefault="00CF10EF" w:rsidP="00CF10EF">
            <w:pPr>
              <w:pStyle w:val="Default"/>
              <w:jc w:val="both"/>
              <w:rPr>
                <w:sz w:val="18"/>
                <w:szCs w:val="18"/>
              </w:rPr>
            </w:pPr>
            <w:r w:rsidRPr="00F07CFA">
              <w:rPr>
                <w:sz w:val="18"/>
                <w:szCs w:val="18"/>
              </w:rPr>
              <w:t>bod 3.11</w:t>
            </w:r>
          </w:p>
        </w:tc>
        <w:tc>
          <w:tcPr>
            <w:tcW w:w="3011" w:type="dxa"/>
          </w:tcPr>
          <w:p w14:paraId="7827E4C9"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Vnější spojovací kabel stíněný – metalický – pro vnitřní nebo vnější prostředí, včetně pásku na hlavním rozvodu i pásku na předávacím rozvodu – spojovací kabely v kapacitě 96 pá</w:t>
            </w:r>
            <w:r w:rsidR="00591432">
              <w:rPr>
                <w:rFonts w:ascii="Arial" w:hAnsi="Arial" w:cs="Arial"/>
                <w:snapToGrid w:val="0"/>
                <w:sz w:val="18"/>
                <w:szCs w:val="18"/>
              </w:rPr>
              <w:t xml:space="preserve">rů – poskytnutí nebo rozšíření </w:t>
            </w:r>
            <w:r w:rsidRPr="00F07CFA">
              <w:rPr>
                <w:rFonts w:ascii="Arial" w:hAnsi="Arial" w:cs="Arial"/>
                <w:snapToGrid w:val="0"/>
                <w:sz w:val="18"/>
                <w:szCs w:val="18"/>
              </w:rPr>
              <w:t>(</w:t>
            </w:r>
            <w:r w:rsidRPr="00F07CFA">
              <w:rPr>
                <w:rFonts w:ascii="Arial" w:hAnsi="Arial" w:cs="Arial"/>
                <w:i/>
                <w:snapToGrid w:val="0"/>
                <w:sz w:val="18"/>
                <w:szCs w:val="18"/>
              </w:rPr>
              <w:t xml:space="preserve">2 316,- </w:t>
            </w:r>
            <w:r w:rsidRPr="00F07CFA">
              <w:rPr>
                <w:rFonts w:ascii="Arial" w:hAnsi="Arial" w:cs="Arial"/>
                <w:snapToGrid w:val="0"/>
                <w:sz w:val="18"/>
                <w:szCs w:val="18"/>
              </w:rPr>
              <w:t>Kč)</w:t>
            </w:r>
          </w:p>
        </w:tc>
        <w:tc>
          <w:tcPr>
            <w:tcW w:w="2234" w:type="dxa"/>
          </w:tcPr>
          <w:p w14:paraId="2D80D973" w14:textId="77777777" w:rsidR="002A2D3B" w:rsidRDefault="00CF10EF" w:rsidP="00CF10EF">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4322CFF1" w14:textId="77777777" w:rsidR="00CF10EF" w:rsidRPr="00F07CFA" w:rsidRDefault="006B7986" w:rsidP="00CF10EF">
            <w:pPr>
              <w:autoSpaceDE w:val="0"/>
              <w:autoSpaceDN w:val="0"/>
              <w:adjustRightInd w:val="0"/>
              <w:rPr>
                <w:rFonts w:ascii="Arial" w:hAnsi="Arial" w:cs="Arial"/>
                <w:color w:val="000000"/>
                <w:sz w:val="18"/>
                <w:szCs w:val="18"/>
              </w:rPr>
            </w:pPr>
            <w:r>
              <w:rPr>
                <w:rFonts w:ascii="Arial" w:hAnsi="Arial" w:cs="Arial"/>
                <w:sz w:val="18"/>
                <w:szCs w:val="18"/>
              </w:rPr>
              <w:t>(16</w:t>
            </w:r>
            <w:r w:rsidR="00CF10EF" w:rsidRPr="00F07CFA">
              <w:rPr>
                <w:rFonts w:ascii="Arial" w:hAnsi="Arial" w:cs="Arial"/>
                <w:sz w:val="18"/>
                <w:szCs w:val="18"/>
              </w:rPr>
              <w:t>)</w:t>
            </w:r>
          </w:p>
        </w:tc>
        <w:tc>
          <w:tcPr>
            <w:tcW w:w="4111" w:type="dxa"/>
          </w:tcPr>
          <w:p w14:paraId="29902F1D" w14:textId="77777777" w:rsidR="00CF10EF" w:rsidRPr="00F07CFA" w:rsidRDefault="00CF10EF" w:rsidP="00CF10EF">
            <w:pPr>
              <w:pStyle w:val="Default"/>
              <w:jc w:val="both"/>
              <w:rPr>
                <w:sz w:val="18"/>
                <w:szCs w:val="18"/>
              </w:rPr>
            </w:pPr>
            <w:r w:rsidRPr="00F07CFA">
              <w:rPr>
                <w:sz w:val="18"/>
                <w:szCs w:val="18"/>
              </w:rPr>
              <w:t xml:space="preserve">Dle našeho přesvědčení by cena měla být shodná s cenou položek 3.5 a 3.6. </w:t>
            </w:r>
          </w:p>
          <w:p w14:paraId="1B6C27DB" w14:textId="77777777" w:rsidR="00CF10EF" w:rsidRPr="00F07CFA" w:rsidRDefault="00CF10EF" w:rsidP="00CF10EF">
            <w:pPr>
              <w:pStyle w:val="Default"/>
              <w:jc w:val="both"/>
              <w:rPr>
                <w:sz w:val="18"/>
                <w:szCs w:val="18"/>
              </w:rPr>
            </w:pPr>
            <w:r w:rsidRPr="00F07CFA">
              <w:rPr>
                <w:sz w:val="18"/>
                <w:szCs w:val="18"/>
              </w:rPr>
              <w:t>Cena se jeví excesivní (vzniká podezření na dvojí započítání nákladů na materiál, případně je instalace časově nadhodnocena). Cena se jeví excesivní (vzniká podezření na dvojí započítání nákladů na materiál, případně je instalace časově nadhodnocena).</w:t>
            </w:r>
          </w:p>
        </w:tc>
        <w:tc>
          <w:tcPr>
            <w:tcW w:w="4678" w:type="dxa"/>
          </w:tcPr>
          <w:p w14:paraId="1F41B881"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374FEC54" w14:textId="77777777" w:rsidR="000D2D8C" w:rsidRPr="00F07CFA" w:rsidRDefault="000D2D8C"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Vyjádřen</w:t>
            </w:r>
            <w:r w:rsidR="006B7986">
              <w:rPr>
                <w:rFonts w:eastAsia="Times New Roman"/>
                <w:color w:val="auto"/>
                <w:sz w:val="18"/>
                <w:szCs w:val="18"/>
                <w:lang w:eastAsia="cs-CZ"/>
              </w:rPr>
              <w:t xml:space="preserve">í </w:t>
            </w:r>
            <w:r w:rsidR="000445FD">
              <w:rPr>
                <w:rFonts w:eastAsia="Times New Roman"/>
                <w:color w:val="auto"/>
                <w:sz w:val="18"/>
                <w:szCs w:val="18"/>
                <w:lang w:eastAsia="cs-CZ"/>
              </w:rPr>
              <w:t>obdobné</w:t>
            </w:r>
            <w:r w:rsidR="006B7986">
              <w:rPr>
                <w:rFonts w:eastAsia="Times New Roman"/>
                <w:color w:val="auto"/>
                <w:sz w:val="18"/>
                <w:szCs w:val="18"/>
                <w:lang w:eastAsia="cs-CZ"/>
              </w:rPr>
              <w:t xml:space="preserve"> jako u připomínky č. 15</w:t>
            </w:r>
            <w:r w:rsidRPr="00F07CFA">
              <w:rPr>
                <w:rFonts w:eastAsia="Times New Roman"/>
                <w:color w:val="auto"/>
                <w:sz w:val="18"/>
                <w:szCs w:val="18"/>
                <w:lang w:eastAsia="cs-CZ"/>
              </w:rPr>
              <w:t>.</w:t>
            </w:r>
          </w:p>
          <w:p w14:paraId="102A2697" w14:textId="77777777" w:rsidR="00CF10EF" w:rsidRPr="00F07CFA" w:rsidRDefault="00CF10EF" w:rsidP="002A2D3B">
            <w:pPr>
              <w:pStyle w:val="Default"/>
              <w:spacing w:after="60"/>
              <w:jc w:val="both"/>
              <w:rPr>
                <w:rFonts w:eastAsia="Times New Roman"/>
                <w:color w:val="auto"/>
                <w:sz w:val="18"/>
                <w:szCs w:val="18"/>
                <w:lang w:eastAsia="cs-CZ"/>
              </w:rPr>
            </w:pPr>
          </w:p>
        </w:tc>
      </w:tr>
      <w:tr w:rsidR="00CF10EF" w:rsidRPr="00F07CFA" w14:paraId="60AE46E7" w14:textId="77777777" w:rsidTr="00603E63">
        <w:tc>
          <w:tcPr>
            <w:tcW w:w="1135" w:type="dxa"/>
          </w:tcPr>
          <w:p w14:paraId="5D67B5BE" w14:textId="77777777" w:rsidR="00CF10EF" w:rsidRPr="00F07CFA" w:rsidRDefault="00CF10EF" w:rsidP="00CF10EF">
            <w:pPr>
              <w:pStyle w:val="Default"/>
              <w:rPr>
                <w:sz w:val="18"/>
                <w:szCs w:val="18"/>
              </w:rPr>
            </w:pPr>
            <w:r w:rsidRPr="00F07CFA">
              <w:rPr>
                <w:sz w:val="18"/>
                <w:szCs w:val="18"/>
              </w:rPr>
              <w:t>Výrok I, odst. 1,</w:t>
            </w:r>
          </w:p>
          <w:p w14:paraId="6EB411C3" w14:textId="77777777" w:rsidR="00CF10EF" w:rsidRPr="00F07CFA" w:rsidRDefault="00CF10EF" w:rsidP="00CF10EF">
            <w:pPr>
              <w:pStyle w:val="Default"/>
              <w:jc w:val="both"/>
              <w:rPr>
                <w:sz w:val="18"/>
                <w:szCs w:val="18"/>
              </w:rPr>
            </w:pPr>
            <w:r w:rsidRPr="00F07CFA">
              <w:rPr>
                <w:sz w:val="18"/>
                <w:szCs w:val="18"/>
              </w:rPr>
              <w:t>písm. c,</w:t>
            </w:r>
          </w:p>
          <w:p w14:paraId="0D1A5A95" w14:textId="77777777" w:rsidR="00CF10EF" w:rsidRPr="00F07CFA" w:rsidRDefault="00CF10EF" w:rsidP="00CF10EF">
            <w:pPr>
              <w:pStyle w:val="Default"/>
              <w:jc w:val="both"/>
              <w:rPr>
                <w:sz w:val="18"/>
                <w:szCs w:val="18"/>
              </w:rPr>
            </w:pPr>
            <w:r w:rsidRPr="00F07CFA">
              <w:rPr>
                <w:sz w:val="18"/>
                <w:szCs w:val="18"/>
              </w:rPr>
              <w:t>bod 3.12</w:t>
            </w:r>
          </w:p>
        </w:tc>
        <w:tc>
          <w:tcPr>
            <w:tcW w:w="3011" w:type="dxa"/>
          </w:tcPr>
          <w:p w14:paraId="4711B99B" w14:textId="77777777" w:rsidR="00CF10EF" w:rsidRPr="00F07CFA" w:rsidRDefault="00CF10EF" w:rsidP="00CF10EF">
            <w:pPr>
              <w:ind w:left="57" w:right="57"/>
              <w:rPr>
                <w:rFonts w:ascii="Arial" w:hAnsi="Arial" w:cs="Arial"/>
                <w:snapToGrid w:val="0"/>
                <w:sz w:val="18"/>
                <w:szCs w:val="18"/>
              </w:rPr>
            </w:pPr>
            <w:r w:rsidRPr="00F07CFA">
              <w:rPr>
                <w:rFonts w:ascii="Arial" w:hAnsi="Arial" w:cs="Arial"/>
                <w:snapToGrid w:val="0"/>
                <w:sz w:val="18"/>
                <w:szCs w:val="18"/>
              </w:rPr>
              <w:t xml:space="preserve">Výdej čipové karty a realizace požadavku na jeden přístup do kolokačního prostoru </w:t>
            </w:r>
          </w:p>
          <w:p w14:paraId="0E0A40FC" w14:textId="77777777" w:rsidR="00CF10EF" w:rsidRPr="00F07CFA" w:rsidRDefault="00CF10EF" w:rsidP="00CF10EF">
            <w:pPr>
              <w:ind w:right="57"/>
              <w:jc w:val="both"/>
              <w:rPr>
                <w:rFonts w:ascii="Arial" w:hAnsi="Arial" w:cs="Arial"/>
                <w:snapToGrid w:val="0"/>
                <w:sz w:val="18"/>
                <w:szCs w:val="18"/>
              </w:rPr>
            </w:pPr>
            <w:r w:rsidRPr="00F07CFA">
              <w:rPr>
                <w:rFonts w:ascii="Arial" w:hAnsi="Arial" w:cs="Arial"/>
                <w:snapToGrid w:val="0"/>
                <w:sz w:val="18"/>
                <w:szCs w:val="18"/>
              </w:rPr>
              <w:t>– za jednoho zaměstnanc</w:t>
            </w:r>
            <w:r w:rsidR="00591432">
              <w:rPr>
                <w:rFonts w:ascii="Arial" w:hAnsi="Arial" w:cs="Arial"/>
                <w:snapToGrid w:val="0"/>
                <w:sz w:val="18"/>
                <w:szCs w:val="18"/>
              </w:rPr>
              <w:t>e Nájemce a kolokační místnost</w:t>
            </w:r>
            <w:r w:rsidRPr="00F07CFA">
              <w:rPr>
                <w:rFonts w:ascii="Arial" w:hAnsi="Arial" w:cs="Arial"/>
                <w:snapToGrid w:val="0"/>
                <w:sz w:val="18"/>
                <w:szCs w:val="18"/>
              </w:rPr>
              <w:t xml:space="preserve"> (</w:t>
            </w:r>
            <w:r w:rsidRPr="00F07CFA">
              <w:rPr>
                <w:rFonts w:ascii="Arial" w:hAnsi="Arial" w:cs="Arial"/>
                <w:i/>
                <w:snapToGrid w:val="0"/>
                <w:sz w:val="18"/>
                <w:szCs w:val="18"/>
              </w:rPr>
              <w:t>1 140,- Kč)</w:t>
            </w:r>
          </w:p>
        </w:tc>
        <w:tc>
          <w:tcPr>
            <w:tcW w:w="2234" w:type="dxa"/>
          </w:tcPr>
          <w:p w14:paraId="3A6BB693" w14:textId="77777777" w:rsidR="002A2D3B" w:rsidRDefault="00CF10EF" w:rsidP="00CF10EF">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5147F3A0" w14:textId="77777777" w:rsidR="00CF10EF" w:rsidRPr="00F07CFA" w:rsidRDefault="002E08AF" w:rsidP="00CF10EF">
            <w:pPr>
              <w:autoSpaceDE w:val="0"/>
              <w:autoSpaceDN w:val="0"/>
              <w:adjustRightInd w:val="0"/>
              <w:rPr>
                <w:rFonts w:ascii="Arial" w:hAnsi="Arial" w:cs="Arial"/>
                <w:color w:val="000000"/>
                <w:sz w:val="18"/>
                <w:szCs w:val="18"/>
              </w:rPr>
            </w:pPr>
            <w:r>
              <w:rPr>
                <w:rFonts w:ascii="Arial" w:hAnsi="Arial" w:cs="Arial"/>
                <w:sz w:val="18"/>
                <w:szCs w:val="18"/>
              </w:rPr>
              <w:t>(17</w:t>
            </w:r>
            <w:r w:rsidR="00CF10EF" w:rsidRPr="00F07CFA">
              <w:rPr>
                <w:rFonts w:ascii="Arial" w:hAnsi="Arial" w:cs="Arial"/>
                <w:sz w:val="18"/>
                <w:szCs w:val="18"/>
              </w:rPr>
              <w:t>)</w:t>
            </w:r>
          </w:p>
        </w:tc>
        <w:tc>
          <w:tcPr>
            <w:tcW w:w="4111" w:type="dxa"/>
          </w:tcPr>
          <w:p w14:paraId="505A333D" w14:textId="77777777" w:rsidR="00CF10EF" w:rsidRPr="00F07CFA" w:rsidRDefault="00CF10EF" w:rsidP="00CF10EF">
            <w:pPr>
              <w:pStyle w:val="Default"/>
              <w:jc w:val="both"/>
              <w:rPr>
                <w:sz w:val="18"/>
                <w:szCs w:val="18"/>
              </w:rPr>
            </w:pPr>
            <w:r w:rsidRPr="00F07CFA">
              <w:rPr>
                <w:sz w:val="18"/>
                <w:szCs w:val="18"/>
              </w:rPr>
              <w:t xml:space="preserve">Není zřejmé, co je důvodem účtování této ceny a kdy může být účtována. Karta běžně bývá v obdobných komerčních případech zdarma, bývá součástí služby. Navíc dle přílohy č. 6, čl. 3.3.1 musí zájemce dodat vlastní karty. </w:t>
            </w:r>
          </w:p>
          <w:p w14:paraId="2F6C9D81" w14:textId="77777777" w:rsidR="00CF10EF" w:rsidRPr="00F07CFA" w:rsidRDefault="00CF10EF" w:rsidP="00CF10EF">
            <w:pPr>
              <w:pStyle w:val="Default"/>
              <w:jc w:val="both"/>
              <w:rPr>
                <w:sz w:val="18"/>
                <w:szCs w:val="18"/>
              </w:rPr>
            </w:pPr>
          </w:p>
        </w:tc>
        <w:tc>
          <w:tcPr>
            <w:tcW w:w="4678" w:type="dxa"/>
          </w:tcPr>
          <w:p w14:paraId="74E31861"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472B3C1F" w14:textId="77777777" w:rsidR="00CF10EF" w:rsidRPr="00F07CFA" w:rsidRDefault="009738DD"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 xml:space="preserve">Cena vychází z délky procesů v minutách a nákladů včetně vloženého kapitálu na tyto procesy. Po věcné stránce tato cena zahrnuje zejména procesy spojené s aktivací přístupové karty, zadání dat a přístupových práv </w:t>
            </w:r>
            <w:r w:rsidR="002E08AF">
              <w:rPr>
                <w:rFonts w:eastAsia="Times New Roman"/>
                <w:color w:val="auto"/>
                <w:sz w:val="18"/>
                <w:szCs w:val="18"/>
                <w:lang w:eastAsia="cs-CZ"/>
              </w:rPr>
              <w:t>do databáze úsekem bezpečnosti.</w:t>
            </w:r>
          </w:p>
        </w:tc>
      </w:tr>
      <w:tr w:rsidR="00CF10EF" w:rsidRPr="00F07CFA" w14:paraId="127D1D55" w14:textId="77777777" w:rsidTr="00603E63">
        <w:tc>
          <w:tcPr>
            <w:tcW w:w="1135" w:type="dxa"/>
          </w:tcPr>
          <w:p w14:paraId="18E2FD5D" w14:textId="77777777" w:rsidR="00CF10EF" w:rsidRPr="00F07CFA" w:rsidRDefault="00CF10EF" w:rsidP="00CF10EF">
            <w:pPr>
              <w:pStyle w:val="Default"/>
              <w:rPr>
                <w:sz w:val="18"/>
                <w:szCs w:val="18"/>
              </w:rPr>
            </w:pPr>
            <w:r w:rsidRPr="00F07CFA">
              <w:rPr>
                <w:sz w:val="18"/>
                <w:szCs w:val="18"/>
              </w:rPr>
              <w:t>Výrok I, odst. 1,</w:t>
            </w:r>
          </w:p>
          <w:p w14:paraId="571E8C69" w14:textId="77777777" w:rsidR="00CF10EF" w:rsidRPr="00F07CFA" w:rsidRDefault="00CF10EF" w:rsidP="00CF10EF">
            <w:pPr>
              <w:pStyle w:val="Default"/>
              <w:jc w:val="both"/>
              <w:rPr>
                <w:sz w:val="18"/>
                <w:szCs w:val="18"/>
              </w:rPr>
            </w:pPr>
            <w:r w:rsidRPr="00F07CFA">
              <w:rPr>
                <w:sz w:val="18"/>
                <w:szCs w:val="18"/>
              </w:rPr>
              <w:t>písm. c,</w:t>
            </w:r>
          </w:p>
          <w:p w14:paraId="49FD77C1" w14:textId="77777777" w:rsidR="00CF10EF" w:rsidRPr="00F07CFA" w:rsidRDefault="00CF10EF" w:rsidP="00CF10EF">
            <w:pPr>
              <w:pStyle w:val="Default"/>
              <w:jc w:val="both"/>
              <w:rPr>
                <w:sz w:val="18"/>
                <w:szCs w:val="18"/>
              </w:rPr>
            </w:pPr>
            <w:r w:rsidRPr="00F07CFA">
              <w:rPr>
                <w:sz w:val="18"/>
                <w:szCs w:val="18"/>
              </w:rPr>
              <w:t>bod 3.13</w:t>
            </w:r>
          </w:p>
        </w:tc>
        <w:tc>
          <w:tcPr>
            <w:tcW w:w="3011" w:type="dxa"/>
          </w:tcPr>
          <w:p w14:paraId="1BE7F843" w14:textId="77777777" w:rsidR="00CF10EF" w:rsidRPr="00F07CFA" w:rsidRDefault="00CF10EF" w:rsidP="00CF10EF">
            <w:pPr>
              <w:ind w:left="57" w:right="57"/>
              <w:jc w:val="both"/>
              <w:rPr>
                <w:rFonts w:ascii="Arial" w:hAnsi="Arial" w:cs="Arial"/>
                <w:snapToGrid w:val="0"/>
                <w:sz w:val="18"/>
                <w:szCs w:val="18"/>
              </w:rPr>
            </w:pPr>
            <w:r w:rsidRPr="00F07CFA">
              <w:rPr>
                <w:rFonts w:ascii="Arial" w:hAnsi="Arial" w:cs="Arial"/>
                <w:snapToGrid w:val="0"/>
                <w:sz w:val="18"/>
                <w:szCs w:val="18"/>
              </w:rPr>
              <w:t xml:space="preserve">Realizace požadavku na jeden další přístup do kolokačního prostoru </w:t>
            </w:r>
          </w:p>
          <w:p w14:paraId="2D2BF151"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 za jednoho zaměstnanc</w:t>
            </w:r>
            <w:r w:rsidR="00591432">
              <w:rPr>
                <w:rFonts w:ascii="Arial" w:hAnsi="Arial" w:cs="Arial"/>
                <w:snapToGrid w:val="0"/>
                <w:sz w:val="18"/>
                <w:szCs w:val="18"/>
              </w:rPr>
              <w:t xml:space="preserve">e Nájemce a kolokační místnost </w:t>
            </w:r>
            <w:r w:rsidRPr="00F07CFA">
              <w:rPr>
                <w:rFonts w:ascii="Arial" w:hAnsi="Arial" w:cs="Arial"/>
                <w:snapToGrid w:val="0"/>
                <w:sz w:val="18"/>
                <w:szCs w:val="18"/>
              </w:rPr>
              <w:t>(</w:t>
            </w:r>
            <w:r w:rsidRPr="00F07CFA">
              <w:rPr>
                <w:rFonts w:ascii="Arial" w:hAnsi="Arial" w:cs="Arial"/>
                <w:i/>
                <w:snapToGrid w:val="0"/>
                <w:sz w:val="18"/>
                <w:szCs w:val="18"/>
              </w:rPr>
              <w:t xml:space="preserve">684,- </w:t>
            </w:r>
            <w:r w:rsidRPr="00F07CFA">
              <w:rPr>
                <w:rFonts w:ascii="Arial" w:hAnsi="Arial" w:cs="Arial"/>
                <w:snapToGrid w:val="0"/>
                <w:sz w:val="18"/>
                <w:szCs w:val="18"/>
              </w:rPr>
              <w:t>Kč)</w:t>
            </w:r>
          </w:p>
        </w:tc>
        <w:tc>
          <w:tcPr>
            <w:tcW w:w="2234" w:type="dxa"/>
          </w:tcPr>
          <w:p w14:paraId="09D57523" w14:textId="77777777" w:rsidR="002A2D3B" w:rsidRDefault="00CF10EF" w:rsidP="00CF10EF">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5CFB88D8" w14:textId="77777777" w:rsidR="00CF10EF" w:rsidRPr="00F07CFA" w:rsidRDefault="002E08AF" w:rsidP="00CF10EF">
            <w:pPr>
              <w:autoSpaceDE w:val="0"/>
              <w:autoSpaceDN w:val="0"/>
              <w:adjustRightInd w:val="0"/>
              <w:rPr>
                <w:rFonts w:ascii="Arial" w:hAnsi="Arial" w:cs="Arial"/>
                <w:color w:val="000000"/>
                <w:sz w:val="18"/>
                <w:szCs w:val="18"/>
              </w:rPr>
            </w:pPr>
            <w:r>
              <w:rPr>
                <w:rFonts w:ascii="Arial" w:hAnsi="Arial" w:cs="Arial"/>
                <w:sz w:val="18"/>
                <w:szCs w:val="18"/>
              </w:rPr>
              <w:t>(18</w:t>
            </w:r>
            <w:r w:rsidR="00CF10EF" w:rsidRPr="00F07CFA">
              <w:rPr>
                <w:rFonts w:ascii="Arial" w:hAnsi="Arial" w:cs="Arial"/>
                <w:sz w:val="18"/>
                <w:szCs w:val="18"/>
              </w:rPr>
              <w:t>)</w:t>
            </w:r>
          </w:p>
        </w:tc>
        <w:tc>
          <w:tcPr>
            <w:tcW w:w="4111" w:type="dxa"/>
          </w:tcPr>
          <w:p w14:paraId="38BDAB19" w14:textId="77777777" w:rsidR="00CF10EF" w:rsidRPr="00F07CFA" w:rsidRDefault="00CF10EF" w:rsidP="00CF10EF">
            <w:pPr>
              <w:pStyle w:val="Default"/>
              <w:jc w:val="both"/>
              <w:rPr>
                <w:sz w:val="18"/>
                <w:szCs w:val="18"/>
              </w:rPr>
            </w:pPr>
            <w:r w:rsidRPr="00F07CFA">
              <w:rPr>
                <w:sz w:val="18"/>
                <w:szCs w:val="18"/>
              </w:rPr>
              <w:t xml:space="preserve">Není zřejmé, co tato položka představuje. Jde o přidání další karty? Nebo jeden přístup na sítě? </w:t>
            </w:r>
          </w:p>
          <w:p w14:paraId="5F59B5BF" w14:textId="77777777" w:rsidR="00CF10EF" w:rsidRPr="00F07CFA" w:rsidRDefault="00CF10EF" w:rsidP="00CF10EF">
            <w:pPr>
              <w:pStyle w:val="Default"/>
              <w:jc w:val="both"/>
              <w:rPr>
                <w:sz w:val="18"/>
                <w:szCs w:val="18"/>
              </w:rPr>
            </w:pPr>
          </w:p>
        </w:tc>
        <w:tc>
          <w:tcPr>
            <w:tcW w:w="4678" w:type="dxa"/>
          </w:tcPr>
          <w:p w14:paraId="0F9E4E29"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47293257" w14:textId="77777777" w:rsidR="00CF10EF" w:rsidRPr="00F07CFA" w:rsidRDefault="00202D96"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Vyjádřen</w:t>
            </w:r>
            <w:r w:rsidR="000445FD">
              <w:rPr>
                <w:rFonts w:eastAsia="Times New Roman"/>
                <w:color w:val="auto"/>
                <w:sz w:val="18"/>
                <w:szCs w:val="18"/>
                <w:lang w:eastAsia="cs-CZ"/>
              </w:rPr>
              <w:t>í obdobné jako u připomínky č. 17</w:t>
            </w:r>
            <w:r w:rsidRPr="00F07CFA">
              <w:rPr>
                <w:rFonts w:eastAsia="Times New Roman"/>
                <w:color w:val="auto"/>
                <w:sz w:val="18"/>
                <w:szCs w:val="18"/>
                <w:lang w:eastAsia="cs-CZ"/>
              </w:rPr>
              <w:t xml:space="preserve">. V zásadě se jedná o stejné procesy jako u </w:t>
            </w:r>
            <w:r w:rsidR="00250AA6" w:rsidRPr="00F07CFA">
              <w:rPr>
                <w:rFonts w:eastAsia="Times New Roman"/>
                <w:color w:val="auto"/>
                <w:sz w:val="18"/>
                <w:szCs w:val="18"/>
                <w:lang w:eastAsia="cs-CZ"/>
              </w:rPr>
              <w:t xml:space="preserve">aktivace čipové karty, avšak s menší náročností procesů. Cena představuje rozšíření oprávnění ke </w:t>
            </w:r>
            <w:r w:rsidR="000445FD">
              <w:rPr>
                <w:rFonts w:eastAsia="Times New Roman"/>
                <w:color w:val="auto"/>
                <w:sz w:val="18"/>
                <w:szCs w:val="18"/>
                <w:lang w:eastAsia="cs-CZ"/>
              </w:rPr>
              <w:t>vstupům do kolokačních prostor.</w:t>
            </w:r>
          </w:p>
        </w:tc>
      </w:tr>
      <w:tr w:rsidR="00CF10EF" w:rsidRPr="00F07CFA" w14:paraId="0E03A56A" w14:textId="77777777" w:rsidTr="00603E63">
        <w:tc>
          <w:tcPr>
            <w:tcW w:w="1135" w:type="dxa"/>
          </w:tcPr>
          <w:p w14:paraId="64DB04AB" w14:textId="77777777" w:rsidR="00CF10EF" w:rsidRPr="00F07CFA" w:rsidRDefault="00CF10EF" w:rsidP="00CF10EF">
            <w:pPr>
              <w:pStyle w:val="Default"/>
              <w:rPr>
                <w:sz w:val="18"/>
                <w:szCs w:val="18"/>
              </w:rPr>
            </w:pPr>
            <w:r w:rsidRPr="00F07CFA">
              <w:rPr>
                <w:sz w:val="18"/>
                <w:szCs w:val="18"/>
              </w:rPr>
              <w:t>Výrok I, odst. 1,</w:t>
            </w:r>
          </w:p>
          <w:p w14:paraId="414EF634" w14:textId="77777777" w:rsidR="00CF10EF" w:rsidRPr="00F07CFA" w:rsidRDefault="00CF10EF" w:rsidP="00CF10EF">
            <w:pPr>
              <w:pStyle w:val="Default"/>
              <w:jc w:val="both"/>
              <w:rPr>
                <w:sz w:val="18"/>
                <w:szCs w:val="18"/>
              </w:rPr>
            </w:pPr>
            <w:r w:rsidRPr="00F07CFA">
              <w:rPr>
                <w:sz w:val="18"/>
                <w:szCs w:val="18"/>
              </w:rPr>
              <w:t>písm. c,</w:t>
            </w:r>
          </w:p>
          <w:p w14:paraId="0D47F9D1" w14:textId="77777777" w:rsidR="00CF10EF" w:rsidRPr="00F07CFA" w:rsidRDefault="00CF10EF" w:rsidP="00CF10EF">
            <w:pPr>
              <w:pStyle w:val="Default"/>
              <w:jc w:val="both"/>
              <w:rPr>
                <w:sz w:val="18"/>
                <w:szCs w:val="18"/>
              </w:rPr>
            </w:pPr>
            <w:r w:rsidRPr="00F07CFA">
              <w:rPr>
                <w:sz w:val="18"/>
                <w:szCs w:val="18"/>
              </w:rPr>
              <w:t>bod 3.14</w:t>
            </w:r>
          </w:p>
        </w:tc>
        <w:tc>
          <w:tcPr>
            <w:tcW w:w="3011" w:type="dxa"/>
          </w:tcPr>
          <w:p w14:paraId="1D4780FF" w14:textId="77777777" w:rsidR="00CF10EF" w:rsidRPr="00F07CFA" w:rsidRDefault="00CF10EF" w:rsidP="00CF10EF">
            <w:pPr>
              <w:ind w:left="57" w:right="57"/>
              <w:jc w:val="both"/>
              <w:rPr>
                <w:rFonts w:ascii="Arial" w:hAnsi="Arial" w:cs="Arial"/>
                <w:snapToGrid w:val="0"/>
                <w:sz w:val="18"/>
                <w:szCs w:val="18"/>
              </w:rPr>
            </w:pPr>
            <w:r w:rsidRPr="00F07CFA">
              <w:rPr>
                <w:rFonts w:ascii="Arial" w:hAnsi="Arial" w:cs="Arial"/>
                <w:snapToGrid w:val="0"/>
                <w:sz w:val="18"/>
                <w:szCs w:val="18"/>
              </w:rPr>
              <w:t>Vstup s doprovodem – paušální poplatek</w:t>
            </w:r>
          </w:p>
          <w:p w14:paraId="5B2C87B5"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 jedna návštěva libovolného počtu pracovníků Nájemc</w:t>
            </w:r>
            <w:r w:rsidR="00591432">
              <w:rPr>
                <w:rFonts w:ascii="Arial" w:hAnsi="Arial" w:cs="Arial"/>
                <w:snapToGrid w:val="0"/>
                <w:sz w:val="18"/>
                <w:szCs w:val="18"/>
              </w:rPr>
              <w:t>e v jednom kolokačním prostoru</w:t>
            </w:r>
            <w:r w:rsidRPr="00F07CFA">
              <w:rPr>
                <w:rFonts w:ascii="Arial" w:hAnsi="Arial" w:cs="Arial"/>
                <w:snapToGrid w:val="0"/>
                <w:sz w:val="18"/>
                <w:szCs w:val="18"/>
              </w:rPr>
              <w:t xml:space="preserve"> (</w:t>
            </w:r>
            <w:r w:rsidR="00591432">
              <w:rPr>
                <w:rFonts w:ascii="Arial" w:hAnsi="Arial" w:cs="Arial"/>
                <w:i/>
                <w:snapToGrid w:val="0"/>
                <w:sz w:val="18"/>
                <w:szCs w:val="18"/>
              </w:rPr>
              <w:t>1 </w:t>
            </w:r>
            <w:r w:rsidRPr="00F07CFA">
              <w:rPr>
                <w:rFonts w:ascii="Arial" w:hAnsi="Arial" w:cs="Arial"/>
                <w:i/>
                <w:snapToGrid w:val="0"/>
                <w:sz w:val="18"/>
                <w:szCs w:val="18"/>
              </w:rPr>
              <w:t xml:space="preserve">975,- </w:t>
            </w:r>
            <w:r w:rsidRPr="00F07CFA">
              <w:rPr>
                <w:rFonts w:ascii="Arial" w:hAnsi="Arial" w:cs="Arial"/>
                <w:snapToGrid w:val="0"/>
                <w:sz w:val="18"/>
                <w:szCs w:val="18"/>
              </w:rPr>
              <w:t>Kč)</w:t>
            </w:r>
          </w:p>
        </w:tc>
        <w:tc>
          <w:tcPr>
            <w:tcW w:w="2234" w:type="dxa"/>
          </w:tcPr>
          <w:p w14:paraId="565F191F" w14:textId="77777777" w:rsidR="002A2D3B" w:rsidRDefault="00CF10EF" w:rsidP="000445FD">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1953A975" w14:textId="77777777" w:rsidR="00CF10EF" w:rsidRPr="00F07CFA" w:rsidRDefault="00CF10EF" w:rsidP="000445FD">
            <w:pPr>
              <w:autoSpaceDE w:val="0"/>
              <w:autoSpaceDN w:val="0"/>
              <w:adjustRightInd w:val="0"/>
              <w:rPr>
                <w:rFonts w:ascii="Arial" w:hAnsi="Arial" w:cs="Arial"/>
                <w:color w:val="000000"/>
                <w:sz w:val="18"/>
                <w:szCs w:val="18"/>
              </w:rPr>
            </w:pPr>
            <w:r w:rsidRPr="00F07CFA">
              <w:rPr>
                <w:rFonts w:ascii="Arial" w:hAnsi="Arial" w:cs="Arial"/>
                <w:sz w:val="18"/>
                <w:szCs w:val="18"/>
              </w:rPr>
              <w:t>(1</w:t>
            </w:r>
            <w:r w:rsidR="000445FD">
              <w:rPr>
                <w:rFonts w:ascii="Arial" w:hAnsi="Arial" w:cs="Arial"/>
                <w:sz w:val="18"/>
                <w:szCs w:val="18"/>
              </w:rPr>
              <w:t>9</w:t>
            </w:r>
            <w:r w:rsidRPr="00F07CFA">
              <w:rPr>
                <w:rFonts w:ascii="Arial" w:hAnsi="Arial" w:cs="Arial"/>
                <w:sz w:val="18"/>
                <w:szCs w:val="18"/>
              </w:rPr>
              <w:t>)</w:t>
            </w:r>
          </w:p>
        </w:tc>
        <w:tc>
          <w:tcPr>
            <w:tcW w:w="4111" w:type="dxa"/>
          </w:tcPr>
          <w:p w14:paraId="3998B643" w14:textId="1AEEF97A" w:rsidR="00CF10EF" w:rsidRPr="00F07CFA" w:rsidRDefault="00CF10EF" w:rsidP="00CF10EF">
            <w:pPr>
              <w:pStyle w:val="Default"/>
              <w:jc w:val="both"/>
              <w:rPr>
                <w:sz w:val="18"/>
                <w:szCs w:val="18"/>
              </w:rPr>
            </w:pPr>
            <w:r w:rsidRPr="00F07CFA">
              <w:rPr>
                <w:sz w:val="18"/>
                <w:szCs w:val="18"/>
              </w:rPr>
              <w:t>Předpokládáme, ž</w:t>
            </w:r>
            <w:r w:rsidR="005B7ABF">
              <w:rPr>
                <w:sz w:val="18"/>
                <w:szCs w:val="18"/>
              </w:rPr>
              <w:t>e tento poplatek se neuplatní v </w:t>
            </w:r>
            <w:r w:rsidRPr="00F07CFA">
              <w:rPr>
                <w:sz w:val="18"/>
                <w:szCs w:val="18"/>
              </w:rPr>
              <w:t xml:space="preserve">případě, kdy je doprovod nutný z důvodů na straně O2 (např. nemají v lokalitě instalováno elektronické zabezpečení, jeho porucha atp.), ale pouze při žádosti nájemce o doprovod. </w:t>
            </w:r>
          </w:p>
          <w:p w14:paraId="3294EA21" w14:textId="77777777" w:rsidR="00CF10EF" w:rsidRPr="00F07CFA" w:rsidRDefault="00CF10EF" w:rsidP="00CF10EF">
            <w:pPr>
              <w:pStyle w:val="Default"/>
              <w:jc w:val="both"/>
              <w:rPr>
                <w:sz w:val="18"/>
                <w:szCs w:val="18"/>
              </w:rPr>
            </w:pPr>
          </w:p>
        </w:tc>
        <w:tc>
          <w:tcPr>
            <w:tcW w:w="4678" w:type="dxa"/>
          </w:tcPr>
          <w:p w14:paraId="15E6B9E6" w14:textId="79B394C5" w:rsidR="00230736" w:rsidRDefault="006C2895"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Akceptováno</w:t>
            </w:r>
          </w:p>
          <w:p w14:paraId="4F767216" w14:textId="6BB1966C" w:rsidR="00CF10EF" w:rsidRPr="00F07CFA" w:rsidRDefault="00355A4B" w:rsidP="00DB0B51">
            <w:pPr>
              <w:pStyle w:val="Default"/>
              <w:spacing w:after="60"/>
              <w:jc w:val="both"/>
              <w:rPr>
                <w:rFonts w:eastAsia="Times New Roman"/>
                <w:color w:val="auto"/>
                <w:sz w:val="18"/>
                <w:szCs w:val="18"/>
                <w:lang w:eastAsia="cs-CZ"/>
              </w:rPr>
            </w:pPr>
            <w:r>
              <w:rPr>
                <w:rFonts w:eastAsia="Times New Roman"/>
                <w:color w:val="auto"/>
                <w:sz w:val="18"/>
                <w:szCs w:val="18"/>
                <w:lang w:eastAsia="cs-CZ"/>
              </w:rPr>
              <w:t>K připomínce Úřad uvádí, že cena se uplatňuje v případě, že o službu vstupu požádá alternativní operátor</w:t>
            </w:r>
            <w:r w:rsidR="000445FD">
              <w:rPr>
                <w:sz w:val="18"/>
                <w:szCs w:val="18"/>
              </w:rPr>
              <w:t>.</w:t>
            </w:r>
            <w:r w:rsidR="001C3DB7">
              <w:rPr>
                <w:sz w:val="18"/>
                <w:szCs w:val="18"/>
              </w:rPr>
              <w:t xml:space="preserve"> </w:t>
            </w:r>
            <w:r w:rsidR="00DB0B51">
              <w:rPr>
                <w:sz w:val="18"/>
                <w:szCs w:val="18"/>
              </w:rPr>
              <w:t>Tuto skutečnos</w:t>
            </w:r>
            <w:r w:rsidR="005B7ABF">
              <w:rPr>
                <w:sz w:val="18"/>
                <w:szCs w:val="18"/>
              </w:rPr>
              <w:t>t doplní Úřad i do rozhodnutí o </w:t>
            </w:r>
            <w:r w:rsidR="00DB0B51">
              <w:rPr>
                <w:sz w:val="18"/>
                <w:szCs w:val="18"/>
              </w:rPr>
              <w:t>ceně.</w:t>
            </w:r>
            <w:r w:rsidR="001C3DB7">
              <w:rPr>
                <w:sz w:val="18"/>
                <w:szCs w:val="18"/>
              </w:rPr>
              <w:t xml:space="preserve"> </w:t>
            </w:r>
          </w:p>
        </w:tc>
      </w:tr>
      <w:tr w:rsidR="00CF10EF" w:rsidRPr="00F07CFA" w14:paraId="364FF09B" w14:textId="77777777" w:rsidTr="00603E63">
        <w:tc>
          <w:tcPr>
            <w:tcW w:w="1135" w:type="dxa"/>
          </w:tcPr>
          <w:p w14:paraId="3CED8ACE" w14:textId="77777777" w:rsidR="00CF10EF" w:rsidRPr="00F07CFA" w:rsidRDefault="00CF10EF" w:rsidP="00CF10EF">
            <w:pPr>
              <w:pStyle w:val="Default"/>
              <w:rPr>
                <w:sz w:val="18"/>
                <w:szCs w:val="18"/>
              </w:rPr>
            </w:pPr>
            <w:r w:rsidRPr="00F07CFA">
              <w:rPr>
                <w:sz w:val="18"/>
                <w:szCs w:val="18"/>
              </w:rPr>
              <w:t>Výrok I, odst. 1,</w:t>
            </w:r>
          </w:p>
          <w:p w14:paraId="7FF2DC9F" w14:textId="77777777" w:rsidR="00CF10EF" w:rsidRPr="00F07CFA" w:rsidRDefault="00CF10EF" w:rsidP="00CF10EF">
            <w:pPr>
              <w:pStyle w:val="Default"/>
              <w:jc w:val="both"/>
              <w:rPr>
                <w:sz w:val="18"/>
                <w:szCs w:val="18"/>
              </w:rPr>
            </w:pPr>
            <w:r w:rsidRPr="00F07CFA">
              <w:rPr>
                <w:sz w:val="18"/>
                <w:szCs w:val="18"/>
              </w:rPr>
              <w:t>písm. c,</w:t>
            </w:r>
          </w:p>
          <w:p w14:paraId="2306AD29" w14:textId="77777777" w:rsidR="00CF10EF" w:rsidRPr="00F07CFA" w:rsidRDefault="00CF10EF" w:rsidP="00CF10EF">
            <w:pPr>
              <w:pStyle w:val="Default"/>
              <w:jc w:val="both"/>
              <w:rPr>
                <w:sz w:val="18"/>
                <w:szCs w:val="18"/>
              </w:rPr>
            </w:pPr>
            <w:r w:rsidRPr="00F07CFA">
              <w:rPr>
                <w:sz w:val="18"/>
                <w:szCs w:val="18"/>
              </w:rPr>
              <w:t>bod 3.15</w:t>
            </w:r>
          </w:p>
        </w:tc>
        <w:tc>
          <w:tcPr>
            <w:tcW w:w="3011" w:type="dxa"/>
          </w:tcPr>
          <w:p w14:paraId="522DB8DD" w14:textId="77777777" w:rsidR="00CF10EF" w:rsidRPr="00F07CFA" w:rsidRDefault="00CF10EF" w:rsidP="00CF10EF">
            <w:pPr>
              <w:ind w:left="57" w:right="57"/>
              <w:jc w:val="both"/>
              <w:rPr>
                <w:rFonts w:ascii="Arial" w:hAnsi="Arial" w:cs="Arial"/>
                <w:snapToGrid w:val="0"/>
                <w:sz w:val="18"/>
                <w:szCs w:val="18"/>
              </w:rPr>
            </w:pPr>
            <w:r w:rsidRPr="00F07CFA">
              <w:rPr>
                <w:rFonts w:ascii="Arial" w:hAnsi="Arial" w:cs="Arial"/>
                <w:snapToGrid w:val="0"/>
                <w:sz w:val="18"/>
                <w:szCs w:val="18"/>
              </w:rPr>
              <w:t xml:space="preserve">Vstup s doprovodem – využití </w:t>
            </w:r>
          </w:p>
          <w:p w14:paraId="3F19CE40"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 xml:space="preserve">– jedna započatá hodina přístupu s doprovodem v jednom kolokačním prostoru </w:t>
            </w:r>
            <w:r w:rsidRPr="00F07CFA">
              <w:rPr>
                <w:rFonts w:ascii="Arial" w:hAnsi="Arial" w:cs="Arial"/>
                <w:snapToGrid w:val="0"/>
                <w:sz w:val="18"/>
                <w:szCs w:val="18"/>
              </w:rPr>
              <w:lastRenderedPageBreak/>
              <w:t>libovol</w:t>
            </w:r>
            <w:r w:rsidR="00591432">
              <w:rPr>
                <w:rFonts w:ascii="Arial" w:hAnsi="Arial" w:cs="Arial"/>
                <w:snapToGrid w:val="0"/>
                <w:sz w:val="18"/>
                <w:szCs w:val="18"/>
              </w:rPr>
              <w:t xml:space="preserve">ného počtu pracovníků Nájemce </w:t>
            </w:r>
            <w:r w:rsidRPr="00F07CFA">
              <w:rPr>
                <w:rFonts w:ascii="Arial" w:hAnsi="Arial" w:cs="Arial"/>
                <w:snapToGrid w:val="0"/>
                <w:sz w:val="18"/>
                <w:szCs w:val="18"/>
              </w:rPr>
              <w:t>(</w:t>
            </w:r>
            <w:r w:rsidRPr="00F07CFA">
              <w:rPr>
                <w:rFonts w:ascii="Arial" w:hAnsi="Arial" w:cs="Arial"/>
                <w:i/>
                <w:snapToGrid w:val="0"/>
                <w:sz w:val="18"/>
                <w:szCs w:val="18"/>
              </w:rPr>
              <w:t>622,-</w:t>
            </w:r>
            <w:r w:rsidRPr="00F07CFA">
              <w:rPr>
                <w:rFonts w:ascii="Arial" w:hAnsi="Arial" w:cs="Arial"/>
                <w:i/>
                <w:snapToGrid w:val="0"/>
              </w:rPr>
              <w:t xml:space="preserve"> </w:t>
            </w:r>
            <w:r w:rsidRPr="00F07CFA">
              <w:rPr>
                <w:rFonts w:ascii="Arial" w:hAnsi="Arial" w:cs="Arial"/>
                <w:snapToGrid w:val="0"/>
                <w:sz w:val="18"/>
                <w:szCs w:val="18"/>
              </w:rPr>
              <w:t>Kč)</w:t>
            </w:r>
          </w:p>
        </w:tc>
        <w:tc>
          <w:tcPr>
            <w:tcW w:w="2234" w:type="dxa"/>
          </w:tcPr>
          <w:p w14:paraId="5C0A5087" w14:textId="77777777" w:rsidR="002A2D3B" w:rsidRDefault="00CF10EF" w:rsidP="00CF10EF">
            <w:pPr>
              <w:autoSpaceDE w:val="0"/>
              <w:autoSpaceDN w:val="0"/>
              <w:adjustRightInd w:val="0"/>
              <w:rPr>
                <w:rFonts w:ascii="Arial" w:hAnsi="Arial" w:cs="Arial"/>
                <w:color w:val="000000"/>
                <w:sz w:val="18"/>
                <w:szCs w:val="18"/>
              </w:rPr>
            </w:pPr>
            <w:r w:rsidRPr="00F07CFA">
              <w:rPr>
                <w:rFonts w:ascii="Arial" w:hAnsi="Arial" w:cs="Arial"/>
                <w:color w:val="000000"/>
                <w:sz w:val="18"/>
                <w:szCs w:val="18"/>
              </w:rPr>
              <w:lastRenderedPageBreak/>
              <w:t xml:space="preserve">Vodafone Czech Republic a.s. </w:t>
            </w:r>
          </w:p>
          <w:p w14:paraId="12C03EBC" w14:textId="77777777" w:rsidR="00CF10EF" w:rsidRPr="00F07CFA" w:rsidRDefault="000445FD" w:rsidP="00CF10EF">
            <w:pPr>
              <w:autoSpaceDE w:val="0"/>
              <w:autoSpaceDN w:val="0"/>
              <w:adjustRightInd w:val="0"/>
              <w:rPr>
                <w:rFonts w:ascii="Arial" w:hAnsi="Arial" w:cs="Arial"/>
                <w:color w:val="000000"/>
                <w:sz w:val="18"/>
                <w:szCs w:val="18"/>
              </w:rPr>
            </w:pPr>
            <w:r>
              <w:rPr>
                <w:rFonts w:ascii="Arial" w:hAnsi="Arial" w:cs="Arial"/>
                <w:sz w:val="18"/>
                <w:szCs w:val="18"/>
              </w:rPr>
              <w:t>(20</w:t>
            </w:r>
            <w:r w:rsidR="00CF10EF" w:rsidRPr="00F07CFA">
              <w:rPr>
                <w:rFonts w:ascii="Arial" w:hAnsi="Arial" w:cs="Arial"/>
                <w:sz w:val="18"/>
                <w:szCs w:val="18"/>
              </w:rPr>
              <w:t>)</w:t>
            </w:r>
          </w:p>
        </w:tc>
        <w:tc>
          <w:tcPr>
            <w:tcW w:w="4111" w:type="dxa"/>
          </w:tcPr>
          <w:p w14:paraId="74337727" w14:textId="77777777" w:rsidR="00CF10EF" w:rsidRPr="00F07CFA" w:rsidRDefault="00CF10EF" w:rsidP="00CF10EF">
            <w:pPr>
              <w:pStyle w:val="Default"/>
              <w:jc w:val="both"/>
              <w:rPr>
                <w:sz w:val="18"/>
                <w:szCs w:val="18"/>
              </w:rPr>
            </w:pPr>
            <w:r w:rsidRPr="00F07CFA">
              <w:rPr>
                <w:sz w:val="18"/>
                <w:szCs w:val="18"/>
              </w:rPr>
              <w:t xml:space="preserve">Předpokládáme, že tento poplatek se neuplatní v případě, kdy je doprovod nutný z důvodů na straně O2 (např. nemají v lokalitě instalováno elektronické </w:t>
            </w:r>
            <w:r w:rsidR="002A2D3B">
              <w:rPr>
                <w:sz w:val="18"/>
                <w:szCs w:val="18"/>
              </w:rPr>
              <w:t>zabezpečení, jeho porucha atp.)</w:t>
            </w:r>
            <w:r w:rsidRPr="00F07CFA">
              <w:rPr>
                <w:sz w:val="18"/>
                <w:szCs w:val="18"/>
              </w:rPr>
              <w:t xml:space="preserve">, ale pouze při žádosti nájemce o doprovod. </w:t>
            </w:r>
          </w:p>
          <w:p w14:paraId="756F1098" w14:textId="77777777" w:rsidR="00CF10EF" w:rsidRPr="00F07CFA" w:rsidRDefault="00CF10EF" w:rsidP="00CF10EF">
            <w:pPr>
              <w:pStyle w:val="Default"/>
              <w:jc w:val="both"/>
              <w:rPr>
                <w:sz w:val="18"/>
                <w:szCs w:val="18"/>
              </w:rPr>
            </w:pPr>
          </w:p>
        </w:tc>
        <w:tc>
          <w:tcPr>
            <w:tcW w:w="4678" w:type="dxa"/>
          </w:tcPr>
          <w:p w14:paraId="40DC9A1E" w14:textId="5858B3D5" w:rsidR="00230736" w:rsidRDefault="006C2895"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lastRenderedPageBreak/>
              <w:t>Akceptováno</w:t>
            </w:r>
          </w:p>
          <w:p w14:paraId="6A115753" w14:textId="084FEDE5" w:rsidR="00CF10EF" w:rsidRPr="00F07CFA" w:rsidRDefault="00B45D02"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t>Viz vypořádání připomínky č. 19.</w:t>
            </w:r>
            <w:r w:rsidR="007B0B0C" w:rsidRPr="00F07CFA">
              <w:rPr>
                <w:sz w:val="18"/>
                <w:szCs w:val="18"/>
              </w:rPr>
              <w:t xml:space="preserve"> </w:t>
            </w:r>
          </w:p>
        </w:tc>
      </w:tr>
      <w:tr w:rsidR="00CF10EF" w:rsidRPr="00F07CFA" w14:paraId="4F78BAC8" w14:textId="77777777" w:rsidTr="00603E63">
        <w:tc>
          <w:tcPr>
            <w:tcW w:w="1135" w:type="dxa"/>
          </w:tcPr>
          <w:p w14:paraId="33CE41E7" w14:textId="77777777" w:rsidR="00CF10EF" w:rsidRPr="00F07CFA" w:rsidRDefault="00CF10EF" w:rsidP="00CF10EF">
            <w:pPr>
              <w:pStyle w:val="Default"/>
              <w:rPr>
                <w:sz w:val="18"/>
                <w:szCs w:val="18"/>
              </w:rPr>
            </w:pPr>
            <w:r w:rsidRPr="00F07CFA">
              <w:rPr>
                <w:sz w:val="18"/>
                <w:szCs w:val="18"/>
              </w:rPr>
              <w:lastRenderedPageBreak/>
              <w:t>Výrok I, odst. 1,</w:t>
            </w:r>
          </w:p>
          <w:p w14:paraId="0AC2FB5C" w14:textId="77777777" w:rsidR="00CF10EF" w:rsidRPr="00F07CFA" w:rsidRDefault="00CF10EF" w:rsidP="00CF10EF">
            <w:pPr>
              <w:pStyle w:val="Default"/>
              <w:jc w:val="both"/>
              <w:rPr>
                <w:sz w:val="18"/>
                <w:szCs w:val="18"/>
              </w:rPr>
            </w:pPr>
            <w:r w:rsidRPr="00F07CFA">
              <w:rPr>
                <w:sz w:val="18"/>
                <w:szCs w:val="18"/>
              </w:rPr>
              <w:t>písm. c,</w:t>
            </w:r>
          </w:p>
          <w:p w14:paraId="7531B3FD" w14:textId="77777777" w:rsidR="00CF10EF" w:rsidRPr="00F07CFA" w:rsidRDefault="00CF10EF" w:rsidP="00CF10EF">
            <w:pPr>
              <w:pStyle w:val="Default"/>
              <w:jc w:val="both"/>
              <w:rPr>
                <w:sz w:val="18"/>
                <w:szCs w:val="18"/>
              </w:rPr>
            </w:pPr>
            <w:r w:rsidRPr="00F07CFA">
              <w:rPr>
                <w:sz w:val="18"/>
                <w:szCs w:val="18"/>
              </w:rPr>
              <w:t>bod 3.18</w:t>
            </w:r>
          </w:p>
        </w:tc>
        <w:tc>
          <w:tcPr>
            <w:tcW w:w="3011" w:type="dxa"/>
          </w:tcPr>
          <w:p w14:paraId="0ED2DA43"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Deinstalace stíněného vnitřního spojovacího kabelu a pásku n</w:t>
            </w:r>
            <w:r w:rsidR="00591432">
              <w:rPr>
                <w:rFonts w:ascii="Arial" w:hAnsi="Arial" w:cs="Arial"/>
                <w:snapToGrid w:val="0"/>
                <w:sz w:val="18"/>
                <w:szCs w:val="18"/>
              </w:rPr>
              <w:t xml:space="preserve">a HR přiděleného Poskytovateli </w:t>
            </w:r>
            <w:r w:rsidRPr="00F07CFA">
              <w:rPr>
                <w:rFonts w:ascii="Arial" w:hAnsi="Arial" w:cs="Arial"/>
                <w:snapToGrid w:val="0"/>
                <w:sz w:val="18"/>
                <w:szCs w:val="18"/>
              </w:rPr>
              <w:t>(</w:t>
            </w:r>
            <w:r w:rsidRPr="00F07CFA">
              <w:rPr>
                <w:rFonts w:ascii="Arial" w:hAnsi="Arial" w:cs="Arial"/>
                <w:i/>
                <w:snapToGrid w:val="0"/>
                <w:sz w:val="18"/>
                <w:szCs w:val="18"/>
              </w:rPr>
              <w:t xml:space="preserve">1 934,- </w:t>
            </w:r>
            <w:r w:rsidRPr="00F07CFA">
              <w:rPr>
                <w:rFonts w:ascii="Arial" w:hAnsi="Arial" w:cs="Arial"/>
                <w:snapToGrid w:val="0"/>
                <w:sz w:val="18"/>
                <w:szCs w:val="18"/>
              </w:rPr>
              <w:t>Kč</w:t>
            </w:r>
            <w:r w:rsidRPr="00F07CFA">
              <w:rPr>
                <w:rFonts w:ascii="Arial" w:hAnsi="Arial" w:cs="Arial"/>
                <w:i/>
                <w:snapToGrid w:val="0"/>
                <w:sz w:val="18"/>
                <w:szCs w:val="18"/>
              </w:rPr>
              <w:t>)</w:t>
            </w:r>
          </w:p>
        </w:tc>
        <w:tc>
          <w:tcPr>
            <w:tcW w:w="2234" w:type="dxa"/>
          </w:tcPr>
          <w:p w14:paraId="4A0BFECD" w14:textId="77777777" w:rsidR="002A2D3B" w:rsidRDefault="00CF10EF" w:rsidP="000445FD">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493ADCBB" w14:textId="77777777" w:rsidR="00CF10EF" w:rsidRPr="00F07CFA" w:rsidRDefault="00CF10EF" w:rsidP="000445FD">
            <w:pPr>
              <w:autoSpaceDE w:val="0"/>
              <w:autoSpaceDN w:val="0"/>
              <w:adjustRightInd w:val="0"/>
              <w:rPr>
                <w:rFonts w:ascii="Arial" w:hAnsi="Arial" w:cs="Arial"/>
                <w:color w:val="000000"/>
                <w:sz w:val="18"/>
                <w:szCs w:val="18"/>
              </w:rPr>
            </w:pPr>
            <w:r w:rsidRPr="00F07CFA">
              <w:rPr>
                <w:rFonts w:ascii="Arial" w:hAnsi="Arial" w:cs="Arial"/>
                <w:sz w:val="18"/>
                <w:szCs w:val="18"/>
              </w:rPr>
              <w:t>(2</w:t>
            </w:r>
            <w:r w:rsidR="000445FD">
              <w:rPr>
                <w:rFonts w:ascii="Arial" w:hAnsi="Arial" w:cs="Arial"/>
                <w:sz w:val="18"/>
                <w:szCs w:val="18"/>
              </w:rPr>
              <w:t>1</w:t>
            </w:r>
            <w:r w:rsidRPr="00F07CFA">
              <w:rPr>
                <w:rFonts w:ascii="Arial" w:hAnsi="Arial" w:cs="Arial"/>
                <w:sz w:val="18"/>
                <w:szCs w:val="18"/>
              </w:rPr>
              <w:t>)</w:t>
            </w:r>
          </w:p>
        </w:tc>
        <w:tc>
          <w:tcPr>
            <w:tcW w:w="4111" w:type="dxa"/>
          </w:tcPr>
          <w:p w14:paraId="7232DF1A" w14:textId="77777777" w:rsidR="00CF10EF" w:rsidRPr="00F07CFA" w:rsidRDefault="00CF10EF" w:rsidP="00CF10EF">
            <w:pPr>
              <w:pStyle w:val="Default"/>
              <w:jc w:val="both"/>
              <w:rPr>
                <w:sz w:val="18"/>
                <w:szCs w:val="18"/>
              </w:rPr>
            </w:pPr>
            <w:r w:rsidRPr="00F07CFA">
              <w:rPr>
                <w:sz w:val="18"/>
                <w:szCs w:val="18"/>
              </w:rPr>
              <w:t xml:space="preserve">Není zřejmé, proč je deinstalace dražší než instalace (položka 3.5). Cena deinstalace by měla být pouze cena práce (tj. od ceny instalace odečíst cenu materiálu). </w:t>
            </w:r>
          </w:p>
        </w:tc>
        <w:tc>
          <w:tcPr>
            <w:tcW w:w="4678" w:type="dxa"/>
          </w:tcPr>
          <w:p w14:paraId="24A5DB3D"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09D87121" w14:textId="5B96ED9C" w:rsidR="00CF10EF" w:rsidRPr="00F07CFA" w:rsidRDefault="00144EE1" w:rsidP="002A2D3B">
            <w:pPr>
              <w:pStyle w:val="Default"/>
              <w:spacing w:after="60"/>
              <w:jc w:val="both"/>
              <w:rPr>
                <w:rFonts w:eastAsia="Times New Roman"/>
                <w:b/>
                <w:color w:val="auto"/>
                <w:sz w:val="18"/>
                <w:szCs w:val="18"/>
                <w:lang w:eastAsia="cs-CZ"/>
              </w:rPr>
            </w:pPr>
            <w:r w:rsidRPr="00F07CFA">
              <w:rPr>
                <w:rFonts w:eastAsia="Times New Roman"/>
                <w:color w:val="auto"/>
                <w:sz w:val="18"/>
                <w:szCs w:val="18"/>
                <w:lang w:eastAsia="cs-CZ"/>
              </w:rPr>
              <w:t>Cena vychází z délky procesů v minutách a nákladů včetně vloženého kapitálu na tyto procesy. Po věcné stránce tato cena zahrnu</w:t>
            </w:r>
            <w:r w:rsidR="005B7ABF">
              <w:rPr>
                <w:rFonts w:eastAsia="Times New Roman"/>
                <w:color w:val="auto"/>
                <w:sz w:val="18"/>
                <w:szCs w:val="18"/>
                <w:lang w:eastAsia="cs-CZ"/>
              </w:rPr>
              <w:t>je procesy spojené s evidencí a </w:t>
            </w:r>
            <w:r w:rsidRPr="00F07CFA">
              <w:rPr>
                <w:rFonts w:eastAsia="Times New Roman"/>
                <w:color w:val="auto"/>
                <w:sz w:val="18"/>
                <w:szCs w:val="18"/>
                <w:lang w:eastAsia="cs-CZ"/>
              </w:rPr>
              <w:t>a</w:t>
            </w:r>
            <w:r w:rsidR="000445FD">
              <w:rPr>
                <w:rFonts w:eastAsia="Times New Roman"/>
                <w:color w:val="auto"/>
                <w:sz w:val="18"/>
                <w:szCs w:val="18"/>
                <w:lang w:eastAsia="cs-CZ"/>
              </w:rPr>
              <w:t>dministrativou služeb kolokace.</w:t>
            </w:r>
          </w:p>
        </w:tc>
      </w:tr>
      <w:tr w:rsidR="00CF10EF" w:rsidRPr="00F07CFA" w14:paraId="0760D98D" w14:textId="77777777" w:rsidTr="00603E63">
        <w:tc>
          <w:tcPr>
            <w:tcW w:w="1135" w:type="dxa"/>
          </w:tcPr>
          <w:p w14:paraId="65A2628C" w14:textId="77777777" w:rsidR="00CF10EF" w:rsidRPr="00F07CFA" w:rsidRDefault="00CF10EF" w:rsidP="00CF10EF">
            <w:pPr>
              <w:pStyle w:val="Default"/>
              <w:rPr>
                <w:sz w:val="18"/>
                <w:szCs w:val="18"/>
              </w:rPr>
            </w:pPr>
            <w:r w:rsidRPr="00F07CFA">
              <w:rPr>
                <w:sz w:val="18"/>
                <w:szCs w:val="18"/>
              </w:rPr>
              <w:t>Výrok I, odst. 1,</w:t>
            </w:r>
          </w:p>
          <w:p w14:paraId="21AB712C" w14:textId="77777777" w:rsidR="00CF10EF" w:rsidRPr="00F07CFA" w:rsidRDefault="00CF10EF" w:rsidP="00CF10EF">
            <w:pPr>
              <w:pStyle w:val="Default"/>
              <w:jc w:val="both"/>
              <w:rPr>
                <w:sz w:val="18"/>
                <w:szCs w:val="18"/>
              </w:rPr>
            </w:pPr>
            <w:r w:rsidRPr="00F07CFA">
              <w:rPr>
                <w:sz w:val="18"/>
                <w:szCs w:val="18"/>
              </w:rPr>
              <w:t>písm. c,</w:t>
            </w:r>
          </w:p>
          <w:p w14:paraId="4921766E" w14:textId="77777777" w:rsidR="00CF10EF" w:rsidRPr="00F07CFA" w:rsidRDefault="00CF10EF" w:rsidP="00CF10EF">
            <w:pPr>
              <w:pStyle w:val="Default"/>
              <w:jc w:val="both"/>
              <w:rPr>
                <w:sz w:val="18"/>
                <w:szCs w:val="18"/>
              </w:rPr>
            </w:pPr>
            <w:r w:rsidRPr="00F07CFA">
              <w:rPr>
                <w:sz w:val="18"/>
                <w:szCs w:val="18"/>
              </w:rPr>
              <w:t>bod 3.19</w:t>
            </w:r>
          </w:p>
        </w:tc>
        <w:tc>
          <w:tcPr>
            <w:tcW w:w="3011" w:type="dxa"/>
          </w:tcPr>
          <w:p w14:paraId="23C944D0"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Deinstalace stíněného vnitřního spojovacího kabelu, metalický 2 Mbit/s, včetně digitálního rozvaděče/Kab</w:t>
            </w:r>
            <w:r w:rsidR="00591432">
              <w:rPr>
                <w:rFonts w:ascii="Arial" w:hAnsi="Arial" w:cs="Arial"/>
                <w:snapToGrid w:val="0"/>
                <w:sz w:val="18"/>
                <w:szCs w:val="18"/>
              </w:rPr>
              <w:t>elu sběrného okruhu – metalický</w:t>
            </w:r>
            <w:r w:rsidRPr="00F07CFA">
              <w:rPr>
                <w:rFonts w:ascii="Arial" w:hAnsi="Arial" w:cs="Arial"/>
                <w:snapToGrid w:val="0"/>
                <w:sz w:val="18"/>
                <w:szCs w:val="18"/>
              </w:rPr>
              <w:t xml:space="preserve"> (</w:t>
            </w:r>
            <w:r w:rsidRPr="00F07CFA">
              <w:rPr>
                <w:rFonts w:ascii="Arial" w:hAnsi="Arial" w:cs="Arial"/>
                <w:i/>
                <w:snapToGrid w:val="0"/>
                <w:sz w:val="18"/>
                <w:szCs w:val="18"/>
              </w:rPr>
              <w:t xml:space="preserve">3 938,- </w:t>
            </w:r>
            <w:r w:rsidRPr="00F07CFA">
              <w:rPr>
                <w:rFonts w:ascii="Arial" w:hAnsi="Arial" w:cs="Arial"/>
                <w:snapToGrid w:val="0"/>
                <w:sz w:val="18"/>
                <w:szCs w:val="18"/>
              </w:rPr>
              <w:t>Kč</w:t>
            </w:r>
            <w:r w:rsidRPr="00F07CFA">
              <w:rPr>
                <w:rFonts w:ascii="Arial" w:hAnsi="Arial" w:cs="Arial"/>
                <w:i/>
                <w:snapToGrid w:val="0"/>
                <w:sz w:val="18"/>
                <w:szCs w:val="18"/>
              </w:rPr>
              <w:t>)</w:t>
            </w:r>
          </w:p>
        </w:tc>
        <w:tc>
          <w:tcPr>
            <w:tcW w:w="2234" w:type="dxa"/>
          </w:tcPr>
          <w:p w14:paraId="7B6193C9" w14:textId="77777777" w:rsidR="002A2D3B" w:rsidRDefault="00CF10EF" w:rsidP="000445FD">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696F7702" w14:textId="77777777" w:rsidR="00CF10EF" w:rsidRPr="00F07CFA" w:rsidRDefault="00CF10EF" w:rsidP="000445FD">
            <w:pPr>
              <w:autoSpaceDE w:val="0"/>
              <w:autoSpaceDN w:val="0"/>
              <w:adjustRightInd w:val="0"/>
              <w:rPr>
                <w:rFonts w:ascii="Arial" w:hAnsi="Arial" w:cs="Arial"/>
                <w:color w:val="000000"/>
                <w:sz w:val="18"/>
                <w:szCs w:val="18"/>
              </w:rPr>
            </w:pPr>
            <w:r w:rsidRPr="00F07CFA">
              <w:rPr>
                <w:rFonts w:ascii="Arial" w:hAnsi="Arial" w:cs="Arial"/>
                <w:sz w:val="18"/>
                <w:szCs w:val="18"/>
              </w:rPr>
              <w:t>(2</w:t>
            </w:r>
            <w:r w:rsidR="000445FD">
              <w:rPr>
                <w:rFonts w:ascii="Arial" w:hAnsi="Arial" w:cs="Arial"/>
                <w:sz w:val="18"/>
                <w:szCs w:val="18"/>
              </w:rPr>
              <w:t>2</w:t>
            </w:r>
            <w:r w:rsidRPr="00F07CFA">
              <w:rPr>
                <w:rFonts w:ascii="Arial" w:hAnsi="Arial" w:cs="Arial"/>
                <w:sz w:val="18"/>
                <w:szCs w:val="18"/>
              </w:rPr>
              <w:t>)</w:t>
            </w:r>
          </w:p>
        </w:tc>
        <w:tc>
          <w:tcPr>
            <w:tcW w:w="4111" w:type="dxa"/>
          </w:tcPr>
          <w:p w14:paraId="743584A1" w14:textId="77777777" w:rsidR="00CF10EF" w:rsidRPr="00F07CFA" w:rsidRDefault="00CF10EF" w:rsidP="00CF10EF">
            <w:pPr>
              <w:pStyle w:val="Default"/>
              <w:jc w:val="both"/>
              <w:rPr>
                <w:sz w:val="18"/>
                <w:szCs w:val="18"/>
              </w:rPr>
            </w:pPr>
            <w:r w:rsidRPr="00F07CFA">
              <w:rPr>
                <w:sz w:val="18"/>
                <w:szCs w:val="18"/>
              </w:rPr>
              <w:t xml:space="preserve">Není zřejmé, proč je cena odlišná v závislosti na druhu kabelu. Cena by měla být stejná, jelikož se jedná pouze o cenu práce, pracnost je stejná nezávisle na typu kabelu. </w:t>
            </w:r>
          </w:p>
          <w:p w14:paraId="442E0CD3" w14:textId="77777777" w:rsidR="00CF10EF" w:rsidRPr="00F07CFA" w:rsidRDefault="00CF10EF" w:rsidP="00CF10EF">
            <w:pPr>
              <w:pStyle w:val="Default"/>
              <w:jc w:val="both"/>
              <w:rPr>
                <w:sz w:val="18"/>
                <w:szCs w:val="18"/>
              </w:rPr>
            </w:pPr>
            <w:r w:rsidRPr="00F07CFA">
              <w:rPr>
                <w:sz w:val="18"/>
                <w:szCs w:val="18"/>
              </w:rPr>
              <w:t>Z ceny vyplývá časová náročnost (deinstalace) cca 9 hodin. Takovou časovou náročnost je třeba považovat za nepřiměřenou (neefektivní). Průměrný náklad na zaměstnance O2 v období 2012-2014 byl na základě výročních zpráv (bez započtení odstupného) cca 70-74 tis Kč, tj. hodinová mzda cca 415-435 Kč. U položek, kde nelze předpokládat spotřebu materiálu, energie, nájem apod. tj. jedná se čistě o lidskou práci, je možné regulovanou cenu vydělit průměrným mzdovým (hodinovým) nákladem, čímž se získá představa o časové náročnosti daného úkonu.</w:t>
            </w:r>
          </w:p>
        </w:tc>
        <w:tc>
          <w:tcPr>
            <w:tcW w:w="4678" w:type="dxa"/>
          </w:tcPr>
          <w:p w14:paraId="35AEC9B4"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0D7CCA12" w14:textId="77777777" w:rsidR="00CF10EF" w:rsidRPr="00F07CFA" w:rsidRDefault="00144EE1"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 xml:space="preserve">Cena vychází z délky procesů v minutách a nákladů včetně vloženého kapitálu na tyto procesy. Po věcné stránce tato cena zahrnuje </w:t>
            </w:r>
            <w:r w:rsidR="00FE5770" w:rsidRPr="00F07CFA">
              <w:rPr>
                <w:rFonts w:eastAsia="Times New Roman"/>
                <w:color w:val="auto"/>
                <w:sz w:val="18"/>
                <w:szCs w:val="18"/>
                <w:lang w:eastAsia="cs-CZ"/>
              </w:rPr>
              <w:t xml:space="preserve">stejné </w:t>
            </w:r>
            <w:r w:rsidRPr="00F07CFA">
              <w:rPr>
                <w:rFonts w:eastAsia="Times New Roman"/>
                <w:color w:val="auto"/>
                <w:sz w:val="18"/>
                <w:szCs w:val="18"/>
                <w:lang w:eastAsia="cs-CZ"/>
              </w:rPr>
              <w:t>procesy</w:t>
            </w:r>
            <w:r w:rsidR="00FE5770" w:rsidRPr="00F07CFA">
              <w:rPr>
                <w:rFonts w:eastAsia="Times New Roman"/>
                <w:color w:val="auto"/>
                <w:sz w:val="18"/>
                <w:szCs w:val="18"/>
                <w:lang w:eastAsia="cs-CZ"/>
              </w:rPr>
              <w:t xml:space="preserve"> jako u položky 3.18, navíc obsahuje subdodavatelsky zajišťovanou deinstalaci</w:t>
            </w:r>
            <w:r w:rsidR="00004455" w:rsidRPr="00F07CFA">
              <w:rPr>
                <w:rFonts w:eastAsia="Times New Roman"/>
                <w:color w:val="auto"/>
                <w:sz w:val="18"/>
                <w:szCs w:val="18"/>
                <w:lang w:eastAsia="cs-CZ"/>
              </w:rPr>
              <w:t xml:space="preserve"> </w:t>
            </w:r>
            <w:r w:rsidR="001D18B8">
              <w:rPr>
                <w:rFonts w:eastAsia="Times New Roman"/>
                <w:color w:val="auto"/>
                <w:sz w:val="18"/>
                <w:szCs w:val="18"/>
                <w:lang w:eastAsia="cs-CZ"/>
              </w:rPr>
              <w:t>napájení.</w:t>
            </w:r>
          </w:p>
        </w:tc>
      </w:tr>
      <w:tr w:rsidR="00CF10EF" w:rsidRPr="00F07CFA" w14:paraId="715A077E" w14:textId="77777777" w:rsidTr="00603E63">
        <w:tc>
          <w:tcPr>
            <w:tcW w:w="1135" w:type="dxa"/>
          </w:tcPr>
          <w:p w14:paraId="2986B4DD" w14:textId="77777777" w:rsidR="00CF10EF" w:rsidRPr="00F07CFA" w:rsidRDefault="00CF10EF" w:rsidP="00CF10EF">
            <w:pPr>
              <w:pStyle w:val="Default"/>
              <w:rPr>
                <w:sz w:val="18"/>
                <w:szCs w:val="18"/>
              </w:rPr>
            </w:pPr>
            <w:r w:rsidRPr="00F07CFA">
              <w:rPr>
                <w:sz w:val="18"/>
                <w:szCs w:val="18"/>
              </w:rPr>
              <w:t>Výrok I, odst. 1,</w:t>
            </w:r>
          </w:p>
          <w:p w14:paraId="2FD5566E" w14:textId="77777777" w:rsidR="00CF10EF" w:rsidRPr="00F07CFA" w:rsidRDefault="00CF10EF" w:rsidP="00CF10EF">
            <w:pPr>
              <w:pStyle w:val="Default"/>
              <w:jc w:val="both"/>
              <w:rPr>
                <w:sz w:val="18"/>
                <w:szCs w:val="18"/>
              </w:rPr>
            </w:pPr>
            <w:r w:rsidRPr="00F07CFA">
              <w:rPr>
                <w:sz w:val="18"/>
                <w:szCs w:val="18"/>
              </w:rPr>
              <w:t>písm. c,</w:t>
            </w:r>
          </w:p>
          <w:p w14:paraId="26619321" w14:textId="77777777" w:rsidR="00CF10EF" w:rsidRPr="00F07CFA" w:rsidRDefault="00CF10EF" w:rsidP="00CF10EF">
            <w:pPr>
              <w:pStyle w:val="Default"/>
              <w:rPr>
                <w:sz w:val="18"/>
                <w:szCs w:val="18"/>
              </w:rPr>
            </w:pPr>
            <w:r w:rsidRPr="00F07CFA">
              <w:rPr>
                <w:sz w:val="18"/>
                <w:szCs w:val="18"/>
              </w:rPr>
              <w:t>bod 3.20</w:t>
            </w:r>
          </w:p>
        </w:tc>
        <w:tc>
          <w:tcPr>
            <w:tcW w:w="3011" w:type="dxa"/>
          </w:tcPr>
          <w:p w14:paraId="08561250"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Deinstalace optického vnitřního spojovacího kabelu včetně optického rozvaděče/Kabelu sběrného okruhu – optický</w:t>
            </w:r>
          </w:p>
          <w:p w14:paraId="690938D0"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w:t>
            </w:r>
            <w:r w:rsidRPr="00F07CFA">
              <w:rPr>
                <w:rFonts w:ascii="Arial" w:hAnsi="Arial" w:cs="Arial"/>
                <w:i/>
                <w:snapToGrid w:val="0"/>
                <w:sz w:val="18"/>
                <w:szCs w:val="18"/>
              </w:rPr>
              <w:t xml:space="preserve">3 938,- </w:t>
            </w:r>
            <w:r w:rsidRPr="00F07CFA">
              <w:rPr>
                <w:rFonts w:ascii="Arial" w:hAnsi="Arial" w:cs="Arial"/>
                <w:snapToGrid w:val="0"/>
                <w:sz w:val="18"/>
                <w:szCs w:val="18"/>
              </w:rPr>
              <w:t>Kč</w:t>
            </w:r>
            <w:r w:rsidRPr="00F07CFA">
              <w:rPr>
                <w:rFonts w:ascii="Arial" w:hAnsi="Arial" w:cs="Arial"/>
                <w:i/>
                <w:snapToGrid w:val="0"/>
                <w:sz w:val="18"/>
                <w:szCs w:val="18"/>
              </w:rPr>
              <w:t>)</w:t>
            </w:r>
          </w:p>
        </w:tc>
        <w:tc>
          <w:tcPr>
            <w:tcW w:w="2234" w:type="dxa"/>
          </w:tcPr>
          <w:p w14:paraId="21D574C8" w14:textId="77777777" w:rsidR="002A2D3B" w:rsidRDefault="00CF10EF" w:rsidP="001D18B8">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14EDE1BE" w14:textId="77777777" w:rsidR="00CF10EF" w:rsidRPr="00F07CFA" w:rsidRDefault="00CF10EF" w:rsidP="001D18B8">
            <w:pPr>
              <w:autoSpaceDE w:val="0"/>
              <w:autoSpaceDN w:val="0"/>
              <w:adjustRightInd w:val="0"/>
              <w:rPr>
                <w:rFonts w:ascii="Arial" w:hAnsi="Arial" w:cs="Arial"/>
                <w:color w:val="000000"/>
                <w:sz w:val="18"/>
                <w:szCs w:val="18"/>
              </w:rPr>
            </w:pPr>
            <w:r w:rsidRPr="00F07CFA">
              <w:rPr>
                <w:rFonts w:ascii="Arial" w:hAnsi="Arial" w:cs="Arial"/>
                <w:sz w:val="18"/>
                <w:szCs w:val="18"/>
              </w:rPr>
              <w:t>(2</w:t>
            </w:r>
            <w:r w:rsidR="001D18B8">
              <w:rPr>
                <w:rFonts w:ascii="Arial" w:hAnsi="Arial" w:cs="Arial"/>
                <w:sz w:val="18"/>
                <w:szCs w:val="18"/>
              </w:rPr>
              <w:t>3</w:t>
            </w:r>
            <w:r w:rsidRPr="00F07CFA">
              <w:rPr>
                <w:rFonts w:ascii="Arial" w:hAnsi="Arial" w:cs="Arial"/>
                <w:sz w:val="18"/>
                <w:szCs w:val="18"/>
              </w:rPr>
              <w:t>)</w:t>
            </w:r>
          </w:p>
        </w:tc>
        <w:tc>
          <w:tcPr>
            <w:tcW w:w="4111" w:type="dxa"/>
          </w:tcPr>
          <w:p w14:paraId="04F9FBA3" w14:textId="77777777" w:rsidR="00CF10EF" w:rsidRPr="00F07CFA" w:rsidRDefault="00CF10EF" w:rsidP="00CF10EF">
            <w:pPr>
              <w:pStyle w:val="Default"/>
              <w:jc w:val="both"/>
              <w:rPr>
                <w:sz w:val="18"/>
                <w:szCs w:val="18"/>
              </w:rPr>
            </w:pPr>
            <w:r w:rsidRPr="00F07CFA">
              <w:rPr>
                <w:sz w:val="18"/>
                <w:szCs w:val="18"/>
              </w:rPr>
              <w:t>Stejná připomínka jako v předchozím bodě 3.19.</w:t>
            </w:r>
          </w:p>
        </w:tc>
        <w:tc>
          <w:tcPr>
            <w:tcW w:w="4678" w:type="dxa"/>
          </w:tcPr>
          <w:p w14:paraId="053745E1"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34807BEA" w14:textId="77777777" w:rsidR="00FE5770" w:rsidRPr="00F07CFA" w:rsidRDefault="00FE5770"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 xml:space="preserve">Vyjádření </w:t>
            </w:r>
            <w:r w:rsidR="001D18B8">
              <w:rPr>
                <w:rFonts w:eastAsia="Times New Roman"/>
                <w:color w:val="auto"/>
                <w:sz w:val="18"/>
                <w:szCs w:val="18"/>
                <w:lang w:eastAsia="cs-CZ"/>
              </w:rPr>
              <w:t>obdobné jako u připomínky č. 22</w:t>
            </w:r>
            <w:r w:rsidRPr="00F07CFA">
              <w:rPr>
                <w:rFonts w:eastAsia="Times New Roman"/>
                <w:color w:val="auto"/>
                <w:sz w:val="18"/>
                <w:szCs w:val="18"/>
                <w:lang w:eastAsia="cs-CZ"/>
              </w:rPr>
              <w:t>.</w:t>
            </w:r>
          </w:p>
          <w:p w14:paraId="401E9C2C" w14:textId="77777777" w:rsidR="00CF10EF" w:rsidRPr="00F07CFA" w:rsidRDefault="00CF10EF" w:rsidP="002A2D3B">
            <w:pPr>
              <w:pStyle w:val="Default"/>
              <w:spacing w:after="60"/>
              <w:jc w:val="both"/>
              <w:rPr>
                <w:rFonts w:eastAsia="Times New Roman"/>
                <w:color w:val="auto"/>
                <w:sz w:val="18"/>
                <w:szCs w:val="18"/>
                <w:lang w:eastAsia="cs-CZ"/>
              </w:rPr>
            </w:pPr>
          </w:p>
        </w:tc>
      </w:tr>
      <w:tr w:rsidR="00CF10EF" w:rsidRPr="00F07CFA" w14:paraId="24A57361" w14:textId="77777777" w:rsidTr="00603E63">
        <w:tc>
          <w:tcPr>
            <w:tcW w:w="1135" w:type="dxa"/>
          </w:tcPr>
          <w:p w14:paraId="25DE5FDD" w14:textId="77777777" w:rsidR="00CF10EF" w:rsidRPr="00F07CFA" w:rsidRDefault="00CF10EF" w:rsidP="00CF10EF">
            <w:pPr>
              <w:pStyle w:val="Default"/>
              <w:rPr>
                <w:sz w:val="18"/>
                <w:szCs w:val="18"/>
              </w:rPr>
            </w:pPr>
            <w:r w:rsidRPr="00F07CFA">
              <w:rPr>
                <w:sz w:val="18"/>
                <w:szCs w:val="18"/>
              </w:rPr>
              <w:t>Výrok I, odst. 1,</w:t>
            </w:r>
          </w:p>
          <w:p w14:paraId="5F107B1F" w14:textId="77777777" w:rsidR="00CF10EF" w:rsidRPr="00F07CFA" w:rsidRDefault="00CF10EF" w:rsidP="00CF10EF">
            <w:pPr>
              <w:pStyle w:val="Default"/>
              <w:jc w:val="both"/>
              <w:rPr>
                <w:sz w:val="18"/>
                <w:szCs w:val="18"/>
              </w:rPr>
            </w:pPr>
            <w:r w:rsidRPr="00F07CFA">
              <w:rPr>
                <w:sz w:val="18"/>
                <w:szCs w:val="18"/>
              </w:rPr>
              <w:t>písm. c,</w:t>
            </w:r>
          </w:p>
          <w:p w14:paraId="16504C4D" w14:textId="77777777" w:rsidR="00CF10EF" w:rsidRPr="00F07CFA" w:rsidRDefault="00CF10EF" w:rsidP="00CF10EF">
            <w:pPr>
              <w:pStyle w:val="Default"/>
              <w:jc w:val="both"/>
              <w:rPr>
                <w:sz w:val="18"/>
                <w:szCs w:val="18"/>
              </w:rPr>
            </w:pPr>
            <w:r w:rsidRPr="00F07CFA">
              <w:rPr>
                <w:sz w:val="18"/>
                <w:szCs w:val="18"/>
              </w:rPr>
              <w:t>bod 3.23</w:t>
            </w:r>
          </w:p>
        </w:tc>
        <w:tc>
          <w:tcPr>
            <w:tcW w:w="3011" w:type="dxa"/>
          </w:tcPr>
          <w:p w14:paraId="218BD900"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Deinstalace zdroje ne</w:t>
            </w:r>
            <w:r w:rsidR="00591432">
              <w:rPr>
                <w:rFonts w:ascii="Arial" w:hAnsi="Arial" w:cs="Arial"/>
                <w:snapToGrid w:val="0"/>
                <w:sz w:val="18"/>
                <w:szCs w:val="18"/>
              </w:rPr>
              <w:t>přetržitého napájení (UPS)</w:t>
            </w:r>
          </w:p>
          <w:p w14:paraId="0D10A33B" w14:textId="77777777" w:rsidR="00CF10EF" w:rsidRPr="00F07CFA" w:rsidRDefault="00CF10EF" w:rsidP="00CF10EF">
            <w:pPr>
              <w:ind w:right="57"/>
              <w:rPr>
                <w:rFonts w:ascii="Arial" w:hAnsi="Arial" w:cs="Arial"/>
                <w:snapToGrid w:val="0"/>
                <w:sz w:val="18"/>
                <w:szCs w:val="18"/>
              </w:rPr>
            </w:pPr>
            <w:r w:rsidRPr="00F07CFA">
              <w:rPr>
                <w:rFonts w:ascii="Arial" w:hAnsi="Arial" w:cs="Arial"/>
                <w:snapToGrid w:val="0"/>
                <w:sz w:val="18"/>
                <w:szCs w:val="18"/>
              </w:rPr>
              <w:t>(</w:t>
            </w:r>
            <w:r w:rsidRPr="00F07CFA">
              <w:rPr>
                <w:rFonts w:ascii="Arial" w:hAnsi="Arial" w:cs="Arial"/>
                <w:i/>
                <w:snapToGrid w:val="0"/>
                <w:sz w:val="18"/>
                <w:szCs w:val="18"/>
              </w:rPr>
              <w:t xml:space="preserve">3 938,- </w:t>
            </w:r>
            <w:r w:rsidRPr="00F07CFA">
              <w:rPr>
                <w:rFonts w:ascii="Arial" w:hAnsi="Arial" w:cs="Arial"/>
                <w:snapToGrid w:val="0"/>
                <w:sz w:val="18"/>
                <w:szCs w:val="18"/>
              </w:rPr>
              <w:t>Kč)</w:t>
            </w:r>
          </w:p>
        </w:tc>
        <w:tc>
          <w:tcPr>
            <w:tcW w:w="2234" w:type="dxa"/>
          </w:tcPr>
          <w:p w14:paraId="5252B3D2" w14:textId="77777777" w:rsidR="002A2D3B" w:rsidRDefault="00CF10EF" w:rsidP="001D18B8">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49C971A1" w14:textId="77777777" w:rsidR="00CF10EF" w:rsidRPr="00F07CFA" w:rsidRDefault="00CF10EF" w:rsidP="001D18B8">
            <w:pPr>
              <w:autoSpaceDE w:val="0"/>
              <w:autoSpaceDN w:val="0"/>
              <w:adjustRightInd w:val="0"/>
              <w:rPr>
                <w:rFonts w:ascii="Arial" w:hAnsi="Arial" w:cs="Arial"/>
                <w:color w:val="000000"/>
                <w:sz w:val="18"/>
                <w:szCs w:val="18"/>
              </w:rPr>
            </w:pPr>
            <w:r w:rsidRPr="00F07CFA">
              <w:rPr>
                <w:rFonts w:ascii="Arial" w:hAnsi="Arial" w:cs="Arial"/>
                <w:sz w:val="18"/>
                <w:szCs w:val="18"/>
              </w:rPr>
              <w:t>(2</w:t>
            </w:r>
            <w:r w:rsidR="001D18B8">
              <w:rPr>
                <w:rFonts w:ascii="Arial" w:hAnsi="Arial" w:cs="Arial"/>
                <w:sz w:val="18"/>
                <w:szCs w:val="18"/>
              </w:rPr>
              <w:t>4</w:t>
            </w:r>
            <w:r w:rsidRPr="00F07CFA">
              <w:rPr>
                <w:rFonts w:ascii="Arial" w:hAnsi="Arial" w:cs="Arial"/>
                <w:sz w:val="18"/>
                <w:szCs w:val="18"/>
              </w:rPr>
              <w:t>)</w:t>
            </w:r>
          </w:p>
        </w:tc>
        <w:tc>
          <w:tcPr>
            <w:tcW w:w="4111" w:type="dxa"/>
          </w:tcPr>
          <w:p w14:paraId="50190E5F" w14:textId="77777777" w:rsidR="00CF10EF" w:rsidRPr="00F07CFA" w:rsidRDefault="00CF10EF" w:rsidP="00CF10EF">
            <w:pPr>
              <w:pStyle w:val="Default"/>
              <w:rPr>
                <w:sz w:val="18"/>
                <w:szCs w:val="18"/>
              </w:rPr>
            </w:pPr>
            <w:r w:rsidRPr="00F07CFA">
              <w:rPr>
                <w:sz w:val="18"/>
                <w:szCs w:val="18"/>
              </w:rPr>
              <w:t xml:space="preserve">Není zřejmé, o jaký jde úkon. Nicméně pracnost demontáže UPS jednotky (v případě AC 230V), resp. demontáž příslušného jističe (v případě DC 48V) neodpovídá uvedené ceně. </w:t>
            </w:r>
          </w:p>
        </w:tc>
        <w:tc>
          <w:tcPr>
            <w:tcW w:w="4678" w:type="dxa"/>
          </w:tcPr>
          <w:p w14:paraId="6C492707"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4D6B338C" w14:textId="77777777" w:rsidR="00CF10EF" w:rsidRPr="00F07CFA" w:rsidRDefault="00FE5770"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 xml:space="preserve">Cena vychází z délky procesů v minutách a nákladů včetně vloženého kapitálu na tyto procesy. Po věcné stránce tato cena zahrnuje stejné procesy jako u položky 3.19. </w:t>
            </w:r>
          </w:p>
        </w:tc>
      </w:tr>
      <w:tr w:rsidR="007A2FC2" w:rsidRPr="00F07CFA" w14:paraId="09C67348" w14:textId="77777777" w:rsidTr="00603E63">
        <w:tc>
          <w:tcPr>
            <w:tcW w:w="1135" w:type="dxa"/>
          </w:tcPr>
          <w:p w14:paraId="7A480AD4" w14:textId="77777777" w:rsidR="007A2FC2" w:rsidRPr="00F07CFA" w:rsidRDefault="007A2FC2" w:rsidP="007A2FC2">
            <w:pPr>
              <w:pStyle w:val="Default"/>
              <w:rPr>
                <w:sz w:val="18"/>
                <w:szCs w:val="18"/>
              </w:rPr>
            </w:pPr>
            <w:r w:rsidRPr="00F07CFA">
              <w:rPr>
                <w:sz w:val="18"/>
                <w:szCs w:val="18"/>
              </w:rPr>
              <w:t>Výrok I, odst. 1,</w:t>
            </w:r>
          </w:p>
          <w:p w14:paraId="38D468DE" w14:textId="77777777" w:rsidR="007A2FC2" w:rsidRPr="00F07CFA" w:rsidRDefault="007A2FC2" w:rsidP="007A2FC2">
            <w:pPr>
              <w:pStyle w:val="Default"/>
              <w:jc w:val="both"/>
              <w:rPr>
                <w:sz w:val="18"/>
                <w:szCs w:val="18"/>
              </w:rPr>
            </w:pPr>
            <w:r w:rsidRPr="00F07CFA">
              <w:rPr>
                <w:sz w:val="18"/>
                <w:szCs w:val="18"/>
              </w:rPr>
              <w:t>písm. c,</w:t>
            </w:r>
          </w:p>
          <w:p w14:paraId="47C7DE3F" w14:textId="77777777" w:rsidR="007A2FC2" w:rsidRPr="00F07CFA" w:rsidRDefault="007A2FC2" w:rsidP="007A2FC2">
            <w:pPr>
              <w:pStyle w:val="Default"/>
              <w:jc w:val="both"/>
              <w:rPr>
                <w:sz w:val="18"/>
                <w:szCs w:val="18"/>
              </w:rPr>
            </w:pPr>
            <w:r w:rsidRPr="00F07CFA">
              <w:rPr>
                <w:sz w:val="18"/>
                <w:szCs w:val="18"/>
              </w:rPr>
              <w:t>bod 3.24</w:t>
            </w:r>
          </w:p>
        </w:tc>
        <w:tc>
          <w:tcPr>
            <w:tcW w:w="3011" w:type="dxa"/>
          </w:tcPr>
          <w:p w14:paraId="59A5E94E" w14:textId="77777777" w:rsidR="007A2FC2" w:rsidRPr="00F07CFA" w:rsidRDefault="007A2FC2" w:rsidP="007A2FC2">
            <w:pPr>
              <w:ind w:right="57"/>
              <w:rPr>
                <w:rFonts w:ascii="Arial" w:hAnsi="Arial" w:cs="Arial"/>
                <w:snapToGrid w:val="0"/>
                <w:sz w:val="18"/>
                <w:szCs w:val="18"/>
              </w:rPr>
            </w:pPr>
            <w:r w:rsidRPr="00F07CFA">
              <w:rPr>
                <w:rFonts w:ascii="Arial" w:hAnsi="Arial" w:cs="Arial"/>
                <w:snapToGrid w:val="0"/>
                <w:sz w:val="18"/>
                <w:szCs w:val="18"/>
              </w:rPr>
              <w:t>Uvedení kolokačního prostoru do původního stavu</w:t>
            </w:r>
          </w:p>
          <w:p w14:paraId="4CF44E0C" w14:textId="77777777" w:rsidR="007A2FC2" w:rsidRPr="00F07CFA" w:rsidRDefault="007A2FC2" w:rsidP="007A2FC2">
            <w:pPr>
              <w:ind w:right="57"/>
              <w:rPr>
                <w:rFonts w:ascii="Arial" w:hAnsi="Arial" w:cs="Arial"/>
                <w:snapToGrid w:val="0"/>
                <w:sz w:val="18"/>
                <w:szCs w:val="18"/>
              </w:rPr>
            </w:pPr>
            <w:r w:rsidRPr="00F07CFA">
              <w:rPr>
                <w:rFonts w:ascii="Arial" w:hAnsi="Arial" w:cs="Arial"/>
                <w:snapToGrid w:val="0"/>
                <w:sz w:val="18"/>
                <w:szCs w:val="18"/>
              </w:rPr>
              <w:t>(</w:t>
            </w:r>
            <w:r w:rsidRPr="00F07CFA">
              <w:rPr>
                <w:rFonts w:ascii="Arial" w:hAnsi="Arial" w:cs="Arial"/>
                <w:i/>
                <w:snapToGrid w:val="0"/>
                <w:sz w:val="18"/>
                <w:szCs w:val="18"/>
              </w:rPr>
              <w:t xml:space="preserve">7 907,- </w:t>
            </w:r>
            <w:r w:rsidRPr="00F07CFA">
              <w:rPr>
                <w:rFonts w:ascii="Arial" w:hAnsi="Arial" w:cs="Arial"/>
                <w:snapToGrid w:val="0"/>
                <w:sz w:val="18"/>
                <w:szCs w:val="18"/>
              </w:rPr>
              <w:t>Kč)</w:t>
            </w:r>
          </w:p>
        </w:tc>
        <w:tc>
          <w:tcPr>
            <w:tcW w:w="2234" w:type="dxa"/>
          </w:tcPr>
          <w:p w14:paraId="5362EDBD" w14:textId="77777777" w:rsidR="002A2D3B" w:rsidRDefault="007A2FC2" w:rsidP="001D18B8">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15473B29" w14:textId="77777777" w:rsidR="007A2FC2" w:rsidRPr="00F07CFA" w:rsidRDefault="007A2FC2" w:rsidP="001D18B8">
            <w:pPr>
              <w:autoSpaceDE w:val="0"/>
              <w:autoSpaceDN w:val="0"/>
              <w:adjustRightInd w:val="0"/>
              <w:rPr>
                <w:rFonts w:ascii="Arial" w:hAnsi="Arial" w:cs="Arial"/>
                <w:color w:val="000000"/>
                <w:sz w:val="18"/>
                <w:szCs w:val="18"/>
              </w:rPr>
            </w:pPr>
            <w:r w:rsidRPr="00F07CFA">
              <w:rPr>
                <w:rFonts w:ascii="Arial" w:hAnsi="Arial" w:cs="Arial"/>
                <w:sz w:val="18"/>
                <w:szCs w:val="18"/>
              </w:rPr>
              <w:t>(2</w:t>
            </w:r>
            <w:r w:rsidR="001D18B8">
              <w:rPr>
                <w:rFonts w:ascii="Arial" w:hAnsi="Arial" w:cs="Arial"/>
                <w:sz w:val="18"/>
                <w:szCs w:val="18"/>
              </w:rPr>
              <w:t>5</w:t>
            </w:r>
            <w:r w:rsidRPr="00F07CFA">
              <w:rPr>
                <w:rFonts w:ascii="Arial" w:hAnsi="Arial" w:cs="Arial"/>
                <w:sz w:val="18"/>
                <w:szCs w:val="18"/>
              </w:rPr>
              <w:t>)</w:t>
            </w:r>
          </w:p>
        </w:tc>
        <w:tc>
          <w:tcPr>
            <w:tcW w:w="4111" w:type="dxa"/>
          </w:tcPr>
          <w:p w14:paraId="68B56304" w14:textId="05F085A1" w:rsidR="007A2FC2" w:rsidRPr="00F07CFA" w:rsidRDefault="007A2FC2" w:rsidP="007A2FC2">
            <w:pPr>
              <w:pStyle w:val="Default"/>
              <w:jc w:val="both"/>
              <w:rPr>
                <w:sz w:val="18"/>
                <w:szCs w:val="18"/>
              </w:rPr>
            </w:pPr>
            <w:r w:rsidRPr="00F07CFA">
              <w:rPr>
                <w:sz w:val="18"/>
                <w:szCs w:val="18"/>
              </w:rPr>
              <w:t>Uvedená cena</w:t>
            </w:r>
            <w:r w:rsidR="005B7ABF">
              <w:rPr>
                <w:sz w:val="18"/>
                <w:szCs w:val="18"/>
              </w:rPr>
              <w:t xml:space="preserve"> neodpovídá pracnosti spojené s </w:t>
            </w:r>
            <w:r w:rsidRPr="00F07CFA">
              <w:rPr>
                <w:sz w:val="18"/>
                <w:szCs w:val="18"/>
              </w:rPr>
              <w:t xml:space="preserve">demontáží stojanu, pokud je stojan nájemce, nechápeme předmět činností. </w:t>
            </w:r>
          </w:p>
        </w:tc>
        <w:tc>
          <w:tcPr>
            <w:tcW w:w="4678" w:type="dxa"/>
          </w:tcPr>
          <w:p w14:paraId="11A48977"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703A5B1E" w14:textId="77777777" w:rsidR="007A2FC2" w:rsidRPr="00F07CFA" w:rsidRDefault="001D18B8"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Cena vychází z délky procesů v minutách a nákladů včetně vloženého kapitálu na tyto procesy.</w:t>
            </w:r>
            <w:r>
              <w:rPr>
                <w:rFonts w:eastAsia="Times New Roman"/>
                <w:color w:val="auto"/>
                <w:sz w:val="18"/>
                <w:szCs w:val="18"/>
                <w:lang w:eastAsia="cs-CZ"/>
              </w:rPr>
              <w:t xml:space="preserve"> </w:t>
            </w:r>
            <w:r w:rsidR="007A2FC2" w:rsidRPr="00F07CFA">
              <w:rPr>
                <w:rFonts w:eastAsia="Times New Roman"/>
                <w:color w:val="auto"/>
                <w:sz w:val="18"/>
                <w:szCs w:val="18"/>
                <w:lang w:eastAsia="cs-CZ"/>
              </w:rPr>
              <w:t>U ceny této služby tvoří přes 70</w:t>
            </w:r>
            <w:r>
              <w:rPr>
                <w:rFonts w:eastAsia="Times New Roman"/>
                <w:color w:val="auto"/>
                <w:sz w:val="18"/>
                <w:szCs w:val="18"/>
                <w:lang w:eastAsia="cs-CZ"/>
              </w:rPr>
              <w:t xml:space="preserve"> </w:t>
            </w:r>
            <w:r w:rsidR="007A2FC2" w:rsidRPr="00F07CFA">
              <w:rPr>
                <w:rFonts w:eastAsia="Times New Roman"/>
                <w:color w:val="auto"/>
                <w:sz w:val="18"/>
                <w:szCs w:val="18"/>
                <w:lang w:eastAsia="cs-CZ"/>
              </w:rPr>
              <w:t xml:space="preserve">% náklady na fyzické uvedení kolokačního prostoru do původního stavu. </w:t>
            </w:r>
          </w:p>
        </w:tc>
      </w:tr>
      <w:tr w:rsidR="007A2FC2" w:rsidRPr="00F07CFA" w14:paraId="544F1471" w14:textId="77777777" w:rsidTr="00603E63">
        <w:tc>
          <w:tcPr>
            <w:tcW w:w="1135" w:type="dxa"/>
          </w:tcPr>
          <w:p w14:paraId="1D413B7E" w14:textId="77777777" w:rsidR="007A2FC2" w:rsidRPr="00F07CFA" w:rsidRDefault="007A2FC2" w:rsidP="007A2FC2">
            <w:pPr>
              <w:pStyle w:val="Default"/>
              <w:rPr>
                <w:sz w:val="18"/>
                <w:szCs w:val="18"/>
              </w:rPr>
            </w:pPr>
            <w:r w:rsidRPr="00F07CFA">
              <w:rPr>
                <w:sz w:val="18"/>
                <w:szCs w:val="18"/>
              </w:rPr>
              <w:t>Výrok I, odst. 1,</w:t>
            </w:r>
          </w:p>
          <w:p w14:paraId="6A941C4D" w14:textId="77777777" w:rsidR="007A2FC2" w:rsidRPr="00F07CFA" w:rsidRDefault="007A2FC2" w:rsidP="007A2FC2">
            <w:pPr>
              <w:pStyle w:val="Default"/>
              <w:jc w:val="both"/>
              <w:rPr>
                <w:sz w:val="18"/>
                <w:szCs w:val="18"/>
              </w:rPr>
            </w:pPr>
            <w:r w:rsidRPr="00F07CFA">
              <w:rPr>
                <w:sz w:val="18"/>
                <w:szCs w:val="18"/>
              </w:rPr>
              <w:t>písm. c,</w:t>
            </w:r>
          </w:p>
          <w:p w14:paraId="4F0E9368" w14:textId="77777777" w:rsidR="007A2FC2" w:rsidRPr="00F07CFA" w:rsidRDefault="007A2FC2" w:rsidP="007A2FC2">
            <w:pPr>
              <w:pStyle w:val="Default"/>
              <w:jc w:val="both"/>
              <w:rPr>
                <w:sz w:val="18"/>
                <w:szCs w:val="18"/>
              </w:rPr>
            </w:pPr>
            <w:r w:rsidRPr="00F07CFA">
              <w:rPr>
                <w:sz w:val="18"/>
                <w:szCs w:val="18"/>
              </w:rPr>
              <w:t>bod 3.25</w:t>
            </w:r>
          </w:p>
        </w:tc>
        <w:tc>
          <w:tcPr>
            <w:tcW w:w="3011" w:type="dxa"/>
          </w:tcPr>
          <w:p w14:paraId="7D39EA06" w14:textId="77777777" w:rsidR="007A2FC2" w:rsidRPr="00F07CFA" w:rsidRDefault="007A2FC2" w:rsidP="007A2FC2">
            <w:pPr>
              <w:ind w:left="34" w:right="57"/>
              <w:rPr>
                <w:rFonts w:ascii="Arial" w:hAnsi="Arial" w:cs="Arial"/>
                <w:snapToGrid w:val="0"/>
                <w:sz w:val="18"/>
                <w:szCs w:val="18"/>
              </w:rPr>
            </w:pPr>
            <w:r w:rsidRPr="00F07CFA">
              <w:rPr>
                <w:rFonts w:ascii="Arial" w:hAnsi="Arial" w:cs="Arial"/>
                <w:snapToGrid w:val="0"/>
                <w:sz w:val="18"/>
                <w:szCs w:val="18"/>
              </w:rPr>
              <w:t>Práce na projekčním průzkumu a schvalování projektové dokumentace</w:t>
            </w:r>
          </w:p>
          <w:p w14:paraId="31D3E1F0" w14:textId="77777777" w:rsidR="007A2FC2" w:rsidRPr="00F07CFA" w:rsidRDefault="007A2FC2" w:rsidP="007A2FC2">
            <w:pPr>
              <w:ind w:right="57"/>
              <w:rPr>
                <w:rFonts w:ascii="Arial" w:hAnsi="Arial" w:cs="Arial"/>
                <w:snapToGrid w:val="0"/>
                <w:sz w:val="18"/>
                <w:szCs w:val="18"/>
              </w:rPr>
            </w:pPr>
            <w:r w:rsidRPr="00F07CFA">
              <w:rPr>
                <w:rFonts w:ascii="Arial" w:hAnsi="Arial" w:cs="Arial"/>
                <w:snapToGrid w:val="0"/>
                <w:sz w:val="18"/>
                <w:szCs w:val="18"/>
              </w:rPr>
              <w:t xml:space="preserve">– jeden projekt Nájemce, ke kterému je vydáno stanovisko </w:t>
            </w:r>
          </w:p>
          <w:p w14:paraId="288F9479" w14:textId="77777777" w:rsidR="007A2FC2" w:rsidRPr="00F07CFA" w:rsidRDefault="007A2FC2" w:rsidP="007A2FC2">
            <w:pPr>
              <w:ind w:right="57"/>
              <w:rPr>
                <w:rFonts w:ascii="Arial" w:hAnsi="Arial" w:cs="Arial"/>
                <w:snapToGrid w:val="0"/>
                <w:sz w:val="18"/>
                <w:szCs w:val="18"/>
              </w:rPr>
            </w:pPr>
            <w:r w:rsidRPr="00F07CFA">
              <w:rPr>
                <w:rFonts w:ascii="Arial" w:hAnsi="Arial" w:cs="Arial"/>
                <w:snapToGrid w:val="0"/>
                <w:sz w:val="18"/>
                <w:szCs w:val="18"/>
              </w:rPr>
              <w:t>(</w:t>
            </w:r>
            <w:r w:rsidRPr="00F07CFA">
              <w:rPr>
                <w:rFonts w:ascii="Arial" w:hAnsi="Arial" w:cs="Arial"/>
                <w:i/>
                <w:snapToGrid w:val="0"/>
                <w:sz w:val="18"/>
                <w:szCs w:val="18"/>
              </w:rPr>
              <w:t xml:space="preserve">14 153,- </w:t>
            </w:r>
            <w:r w:rsidRPr="00F07CFA">
              <w:rPr>
                <w:rFonts w:ascii="Arial" w:hAnsi="Arial" w:cs="Arial"/>
                <w:snapToGrid w:val="0"/>
                <w:sz w:val="18"/>
                <w:szCs w:val="18"/>
              </w:rPr>
              <w:t>Kč)</w:t>
            </w:r>
          </w:p>
        </w:tc>
        <w:tc>
          <w:tcPr>
            <w:tcW w:w="2234" w:type="dxa"/>
          </w:tcPr>
          <w:p w14:paraId="273FA918" w14:textId="77777777" w:rsidR="002A2D3B" w:rsidRDefault="007A2FC2" w:rsidP="001D18B8">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5046CDF7" w14:textId="77777777" w:rsidR="007A2FC2" w:rsidRPr="00F07CFA" w:rsidRDefault="007A2FC2" w:rsidP="001D18B8">
            <w:pPr>
              <w:autoSpaceDE w:val="0"/>
              <w:autoSpaceDN w:val="0"/>
              <w:adjustRightInd w:val="0"/>
              <w:rPr>
                <w:rFonts w:ascii="Arial" w:hAnsi="Arial" w:cs="Arial"/>
                <w:color w:val="000000"/>
                <w:sz w:val="18"/>
                <w:szCs w:val="18"/>
              </w:rPr>
            </w:pPr>
            <w:r w:rsidRPr="00F07CFA">
              <w:rPr>
                <w:rFonts w:ascii="Arial" w:hAnsi="Arial" w:cs="Arial"/>
                <w:sz w:val="18"/>
                <w:szCs w:val="18"/>
              </w:rPr>
              <w:t>(2</w:t>
            </w:r>
            <w:r w:rsidR="001D18B8">
              <w:rPr>
                <w:rFonts w:ascii="Arial" w:hAnsi="Arial" w:cs="Arial"/>
                <w:sz w:val="18"/>
                <w:szCs w:val="18"/>
              </w:rPr>
              <w:t>6</w:t>
            </w:r>
            <w:r w:rsidRPr="00F07CFA">
              <w:rPr>
                <w:rFonts w:ascii="Arial" w:hAnsi="Arial" w:cs="Arial"/>
                <w:sz w:val="18"/>
                <w:szCs w:val="18"/>
              </w:rPr>
              <w:t>)</w:t>
            </w:r>
          </w:p>
        </w:tc>
        <w:tc>
          <w:tcPr>
            <w:tcW w:w="4111" w:type="dxa"/>
          </w:tcPr>
          <w:p w14:paraId="47586B2D" w14:textId="77777777" w:rsidR="007A2FC2" w:rsidRPr="00F07CFA" w:rsidRDefault="007A2FC2" w:rsidP="007A2FC2">
            <w:pPr>
              <w:pStyle w:val="Default"/>
              <w:jc w:val="both"/>
              <w:rPr>
                <w:sz w:val="18"/>
                <w:szCs w:val="18"/>
              </w:rPr>
            </w:pPr>
            <w:r w:rsidRPr="00F07CFA">
              <w:rPr>
                <w:sz w:val="18"/>
                <w:szCs w:val="18"/>
              </w:rPr>
              <w:t xml:space="preserve">Běžnou praxí při kolokacích objektů třetích stran je, že schválení projektové dokumentace je prováděno zdarma. </w:t>
            </w:r>
          </w:p>
          <w:p w14:paraId="26146D26" w14:textId="77777777" w:rsidR="007A2FC2" w:rsidRPr="00F07CFA" w:rsidRDefault="007A2FC2" w:rsidP="007A2FC2">
            <w:pPr>
              <w:pStyle w:val="Default"/>
              <w:jc w:val="both"/>
              <w:rPr>
                <w:sz w:val="18"/>
                <w:szCs w:val="18"/>
              </w:rPr>
            </w:pPr>
          </w:p>
        </w:tc>
        <w:tc>
          <w:tcPr>
            <w:tcW w:w="4678" w:type="dxa"/>
          </w:tcPr>
          <w:p w14:paraId="78AC0F70"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7BD92436" w14:textId="77777777" w:rsidR="007A2FC2" w:rsidRPr="00F07CFA" w:rsidRDefault="00BE71EC"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t xml:space="preserve">Úřad je při regulaci cen vázán ustanoveními ZEK, které mimo </w:t>
            </w:r>
            <w:r w:rsidR="0017672A">
              <w:rPr>
                <w:rFonts w:eastAsia="Times New Roman"/>
                <w:color w:val="auto"/>
                <w:sz w:val="18"/>
                <w:szCs w:val="18"/>
                <w:lang w:eastAsia="cs-CZ"/>
              </w:rPr>
              <w:t>jiné ukládají</w:t>
            </w:r>
            <w:r>
              <w:rPr>
                <w:rFonts w:eastAsia="Times New Roman"/>
                <w:color w:val="auto"/>
                <w:sz w:val="18"/>
                <w:szCs w:val="18"/>
                <w:lang w:eastAsia="cs-CZ"/>
              </w:rPr>
              <w:t xml:space="preserve">, </w:t>
            </w:r>
            <w:r w:rsidR="00C109FC">
              <w:rPr>
                <w:rFonts w:eastAsia="Times New Roman"/>
                <w:color w:val="auto"/>
                <w:sz w:val="18"/>
                <w:szCs w:val="18"/>
                <w:lang w:eastAsia="cs-CZ"/>
              </w:rPr>
              <w:t xml:space="preserve">že ceny plynoucí z rozhodnutí Úřadu </w:t>
            </w:r>
            <w:r w:rsidR="0017672A">
              <w:rPr>
                <w:rFonts w:eastAsia="Times New Roman"/>
                <w:color w:val="auto"/>
                <w:sz w:val="18"/>
                <w:szCs w:val="18"/>
                <w:lang w:eastAsia="cs-CZ"/>
              </w:rPr>
              <w:t>musí být přinejmenším nákladové</w:t>
            </w:r>
            <w:r w:rsidR="00C109FC">
              <w:rPr>
                <w:rFonts w:eastAsia="Times New Roman"/>
                <w:color w:val="auto"/>
                <w:sz w:val="18"/>
                <w:szCs w:val="18"/>
                <w:lang w:eastAsia="cs-CZ"/>
              </w:rPr>
              <w:t xml:space="preserve"> (§ 56 odst. 4 ZEK).</w:t>
            </w:r>
          </w:p>
        </w:tc>
      </w:tr>
      <w:tr w:rsidR="007A2FC2" w:rsidRPr="00F07CFA" w14:paraId="6A57A850" w14:textId="77777777" w:rsidTr="00603E63">
        <w:tc>
          <w:tcPr>
            <w:tcW w:w="1135" w:type="dxa"/>
          </w:tcPr>
          <w:p w14:paraId="78D01162" w14:textId="77777777" w:rsidR="007A2FC2" w:rsidRPr="00F07CFA" w:rsidRDefault="007A2FC2" w:rsidP="007A2FC2">
            <w:pPr>
              <w:pStyle w:val="Default"/>
              <w:rPr>
                <w:sz w:val="18"/>
                <w:szCs w:val="18"/>
              </w:rPr>
            </w:pPr>
            <w:r w:rsidRPr="00F07CFA">
              <w:rPr>
                <w:sz w:val="18"/>
                <w:szCs w:val="18"/>
              </w:rPr>
              <w:t>Výrok I, odst. 1,</w:t>
            </w:r>
          </w:p>
          <w:p w14:paraId="6137D0BD" w14:textId="77777777" w:rsidR="007A2FC2" w:rsidRPr="00F07CFA" w:rsidRDefault="007A2FC2" w:rsidP="007A2FC2">
            <w:pPr>
              <w:pStyle w:val="Default"/>
              <w:jc w:val="both"/>
              <w:rPr>
                <w:sz w:val="18"/>
                <w:szCs w:val="18"/>
              </w:rPr>
            </w:pPr>
            <w:r w:rsidRPr="00F07CFA">
              <w:rPr>
                <w:sz w:val="18"/>
                <w:szCs w:val="18"/>
              </w:rPr>
              <w:t>písm. d,</w:t>
            </w:r>
          </w:p>
          <w:p w14:paraId="354FD17B" w14:textId="77777777" w:rsidR="007A2FC2" w:rsidRPr="00F07CFA" w:rsidRDefault="007A2FC2" w:rsidP="007A2FC2">
            <w:pPr>
              <w:pStyle w:val="Default"/>
              <w:rPr>
                <w:sz w:val="18"/>
                <w:szCs w:val="18"/>
              </w:rPr>
            </w:pPr>
            <w:r w:rsidRPr="00F07CFA">
              <w:rPr>
                <w:sz w:val="18"/>
                <w:szCs w:val="18"/>
              </w:rPr>
              <w:t>bod 4.1</w:t>
            </w:r>
          </w:p>
        </w:tc>
        <w:tc>
          <w:tcPr>
            <w:tcW w:w="3011" w:type="dxa"/>
          </w:tcPr>
          <w:p w14:paraId="522427F6" w14:textId="77777777" w:rsidR="007A2FC2" w:rsidRPr="00F07CFA" w:rsidRDefault="007A2FC2" w:rsidP="007A2FC2">
            <w:pPr>
              <w:ind w:left="34" w:right="57"/>
              <w:rPr>
                <w:rFonts w:ascii="Arial" w:hAnsi="Arial" w:cs="Arial"/>
                <w:snapToGrid w:val="0"/>
                <w:sz w:val="18"/>
                <w:szCs w:val="18"/>
              </w:rPr>
            </w:pPr>
            <w:r w:rsidRPr="00F07CFA">
              <w:rPr>
                <w:rFonts w:ascii="Arial" w:hAnsi="Arial" w:cs="Arial"/>
                <w:snapToGrid w:val="0"/>
                <w:sz w:val="18"/>
                <w:szCs w:val="18"/>
              </w:rPr>
              <w:t>Stíněný vnitřní spojovací kabel a pásek na hlavním rozvodu přidělený Poskytovateli</w:t>
            </w:r>
          </w:p>
          <w:p w14:paraId="501DDEC2" w14:textId="77777777" w:rsidR="007A2FC2" w:rsidRPr="00F07CFA" w:rsidRDefault="007A2FC2" w:rsidP="007A2FC2">
            <w:pPr>
              <w:ind w:left="34" w:right="57"/>
              <w:rPr>
                <w:rFonts w:ascii="Arial" w:hAnsi="Arial" w:cs="Arial"/>
                <w:snapToGrid w:val="0"/>
                <w:sz w:val="18"/>
                <w:szCs w:val="18"/>
              </w:rPr>
            </w:pPr>
            <w:r w:rsidRPr="00F07CFA">
              <w:rPr>
                <w:rFonts w:ascii="Arial" w:hAnsi="Arial" w:cs="Arial"/>
                <w:snapToGrid w:val="0"/>
                <w:sz w:val="18"/>
                <w:szCs w:val="18"/>
              </w:rPr>
              <w:t xml:space="preserve">– spojovací </w:t>
            </w:r>
            <w:r w:rsidR="00591432">
              <w:rPr>
                <w:rFonts w:ascii="Arial" w:hAnsi="Arial" w:cs="Arial"/>
                <w:snapToGrid w:val="0"/>
                <w:sz w:val="18"/>
                <w:szCs w:val="18"/>
              </w:rPr>
              <w:t xml:space="preserve">kabely v kapacitě 96 párů </w:t>
            </w:r>
            <w:r w:rsidRPr="00F07CFA">
              <w:rPr>
                <w:rFonts w:ascii="Arial" w:hAnsi="Arial" w:cs="Arial"/>
                <w:snapToGrid w:val="0"/>
                <w:sz w:val="18"/>
                <w:szCs w:val="18"/>
              </w:rPr>
              <w:t>(</w:t>
            </w:r>
            <w:r w:rsidRPr="00F07CFA">
              <w:rPr>
                <w:rFonts w:ascii="Arial" w:hAnsi="Arial" w:cs="Arial"/>
                <w:i/>
                <w:snapToGrid w:val="0"/>
                <w:sz w:val="18"/>
                <w:szCs w:val="18"/>
              </w:rPr>
              <w:t>617,-</w:t>
            </w:r>
            <w:r w:rsidRPr="00F07CFA">
              <w:rPr>
                <w:rFonts w:ascii="Arial" w:hAnsi="Arial" w:cs="Arial"/>
                <w:snapToGrid w:val="0"/>
                <w:sz w:val="18"/>
                <w:szCs w:val="18"/>
              </w:rPr>
              <w:t xml:space="preserve"> Kč)</w:t>
            </w:r>
          </w:p>
        </w:tc>
        <w:tc>
          <w:tcPr>
            <w:tcW w:w="2234" w:type="dxa"/>
          </w:tcPr>
          <w:p w14:paraId="24F7A2E0" w14:textId="77777777" w:rsidR="002A2D3B" w:rsidRDefault="007A2FC2" w:rsidP="007A2FC2">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4B304284" w14:textId="77777777" w:rsidR="007A2FC2" w:rsidRPr="00F07CFA" w:rsidRDefault="0017672A" w:rsidP="007A2FC2">
            <w:pPr>
              <w:autoSpaceDE w:val="0"/>
              <w:autoSpaceDN w:val="0"/>
              <w:adjustRightInd w:val="0"/>
              <w:rPr>
                <w:rFonts w:ascii="Arial" w:hAnsi="Arial" w:cs="Arial"/>
                <w:color w:val="000000"/>
                <w:sz w:val="18"/>
                <w:szCs w:val="18"/>
              </w:rPr>
            </w:pPr>
            <w:r>
              <w:rPr>
                <w:rFonts w:ascii="Arial" w:hAnsi="Arial" w:cs="Arial"/>
                <w:sz w:val="18"/>
                <w:szCs w:val="18"/>
              </w:rPr>
              <w:t>(27</w:t>
            </w:r>
            <w:r w:rsidR="007A2FC2" w:rsidRPr="00F07CFA">
              <w:rPr>
                <w:rFonts w:ascii="Arial" w:hAnsi="Arial" w:cs="Arial"/>
                <w:sz w:val="18"/>
                <w:szCs w:val="18"/>
              </w:rPr>
              <w:t>)</w:t>
            </w:r>
          </w:p>
        </w:tc>
        <w:tc>
          <w:tcPr>
            <w:tcW w:w="4111" w:type="dxa"/>
          </w:tcPr>
          <w:p w14:paraId="1574A550" w14:textId="77777777" w:rsidR="007A2FC2" w:rsidRPr="00F07CFA" w:rsidRDefault="007A2FC2" w:rsidP="007A2FC2">
            <w:pPr>
              <w:pStyle w:val="Default"/>
              <w:jc w:val="both"/>
              <w:rPr>
                <w:sz w:val="18"/>
                <w:szCs w:val="18"/>
              </w:rPr>
            </w:pPr>
            <w:r w:rsidRPr="00F07CFA">
              <w:rPr>
                <w:sz w:val="18"/>
                <w:szCs w:val="18"/>
              </w:rPr>
              <w:t>V měsíční ceně by měly být zahrnuty náklady větších/dražších položek, které jsou v účetnictví incumbenta</w:t>
            </w:r>
            <w:r w:rsidR="0017672A">
              <w:rPr>
                <w:sz w:val="18"/>
                <w:szCs w:val="18"/>
              </w:rPr>
              <w:t xml:space="preserve"> vedeny jako investiční majetek</w:t>
            </w:r>
            <w:r w:rsidRPr="00F07CFA">
              <w:rPr>
                <w:sz w:val="18"/>
                <w:szCs w:val="18"/>
              </w:rPr>
              <w:t xml:space="preserve"> formou odpisů. Cena se jeví excesivní (vzniká podezření na dvojí započítání nákladů).</w:t>
            </w:r>
          </w:p>
        </w:tc>
        <w:tc>
          <w:tcPr>
            <w:tcW w:w="4678" w:type="dxa"/>
          </w:tcPr>
          <w:p w14:paraId="36F69BFF"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2DCB4660" w14:textId="6777B7AF" w:rsidR="007A2FC2" w:rsidRPr="00F07CFA" w:rsidRDefault="00F34A7B"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 xml:space="preserve">Cena zahrnuje měsíční odpisy (modifikovaná nakloněná anuita) z hodnoty dlouhodobého majetku vztahujícího se k pořízení vnitřního stíněného spojovacího kabelu </w:t>
            </w:r>
            <w:r w:rsidR="005B7ABF">
              <w:rPr>
                <w:rFonts w:eastAsia="Times New Roman"/>
                <w:color w:val="auto"/>
                <w:sz w:val="18"/>
                <w:szCs w:val="18"/>
                <w:lang w:eastAsia="cs-CZ"/>
              </w:rPr>
              <w:t>a </w:t>
            </w:r>
            <w:r w:rsidRPr="00F07CFA">
              <w:rPr>
                <w:rFonts w:eastAsia="Times New Roman"/>
                <w:color w:val="auto"/>
                <w:sz w:val="18"/>
                <w:szCs w:val="18"/>
                <w:lang w:eastAsia="cs-CZ"/>
              </w:rPr>
              <w:t>pásku na HR o k</w:t>
            </w:r>
            <w:r w:rsidR="0017672A">
              <w:rPr>
                <w:rFonts w:eastAsia="Times New Roman"/>
                <w:color w:val="auto"/>
                <w:sz w:val="18"/>
                <w:szCs w:val="18"/>
                <w:lang w:eastAsia="cs-CZ"/>
              </w:rPr>
              <w:t>apacitě 96 párů. Dále viz reakce Úřadu na připomínku č. 12.</w:t>
            </w:r>
          </w:p>
        </w:tc>
      </w:tr>
      <w:tr w:rsidR="007A2FC2" w:rsidRPr="00F07CFA" w14:paraId="6818010D" w14:textId="77777777" w:rsidTr="00603E63">
        <w:tc>
          <w:tcPr>
            <w:tcW w:w="1135" w:type="dxa"/>
          </w:tcPr>
          <w:p w14:paraId="3FE1044B" w14:textId="77777777" w:rsidR="007A2FC2" w:rsidRPr="00F07CFA" w:rsidRDefault="007A2FC2" w:rsidP="007A2FC2">
            <w:pPr>
              <w:pStyle w:val="Default"/>
              <w:rPr>
                <w:sz w:val="18"/>
                <w:szCs w:val="18"/>
              </w:rPr>
            </w:pPr>
            <w:r w:rsidRPr="00F07CFA">
              <w:rPr>
                <w:sz w:val="18"/>
                <w:szCs w:val="18"/>
              </w:rPr>
              <w:t>Výrok I, odst. 1,</w:t>
            </w:r>
          </w:p>
          <w:p w14:paraId="366E750F" w14:textId="77777777" w:rsidR="007A2FC2" w:rsidRPr="00F07CFA" w:rsidRDefault="007A2FC2" w:rsidP="007A2FC2">
            <w:pPr>
              <w:pStyle w:val="Default"/>
              <w:jc w:val="both"/>
              <w:rPr>
                <w:sz w:val="18"/>
                <w:szCs w:val="18"/>
              </w:rPr>
            </w:pPr>
            <w:r w:rsidRPr="00F07CFA">
              <w:rPr>
                <w:sz w:val="18"/>
                <w:szCs w:val="18"/>
              </w:rPr>
              <w:t>písm. d,</w:t>
            </w:r>
          </w:p>
          <w:p w14:paraId="468D82B0" w14:textId="77777777" w:rsidR="007A2FC2" w:rsidRPr="00F07CFA" w:rsidRDefault="007A2FC2" w:rsidP="007A2FC2">
            <w:pPr>
              <w:pStyle w:val="Default"/>
              <w:rPr>
                <w:sz w:val="18"/>
                <w:szCs w:val="18"/>
              </w:rPr>
            </w:pPr>
            <w:r w:rsidRPr="00F07CFA">
              <w:rPr>
                <w:sz w:val="18"/>
                <w:szCs w:val="18"/>
              </w:rPr>
              <w:t>bod 4.2</w:t>
            </w:r>
          </w:p>
        </w:tc>
        <w:tc>
          <w:tcPr>
            <w:tcW w:w="3011" w:type="dxa"/>
          </w:tcPr>
          <w:p w14:paraId="3DDB634B" w14:textId="77777777" w:rsidR="007A2FC2" w:rsidRPr="00F07CFA" w:rsidRDefault="007A2FC2" w:rsidP="007A2FC2">
            <w:pPr>
              <w:ind w:left="34" w:right="57"/>
              <w:rPr>
                <w:rFonts w:ascii="Arial" w:hAnsi="Arial" w:cs="Arial"/>
                <w:snapToGrid w:val="0"/>
                <w:sz w:val="18"/>
                <w:szCs w:val="18"/>
              </w:rPr>
            </w:pPr>
            <w:r w:rsidRPr="00F07CFA">
              <w:rPr>
                <w:rFonts w:ascii="Arial" w:hAnsi="Arial" w:cs="Arial"/>
                <w:snapToGrid w:val="0"/>
                <w:sz w:val="18"/>
                <w:szCs w:val="18"/>
              </w:rPr>
              <w:t>Stíněný vnitřní spojovací kabel a pásek na hlavním rozvodu přidělený Poskytovateli</w:t>
            </w:r>
          </w:p>
          <w:p w14:paraId="247D076B" w14:textId="77777777" w:rsidR="007A2FC2" w:rsidRPr="00F07CFA" w:rsidRDefault="007A2FC2" w:rsidP="007A2FC2">
            <w:pPr>
              <w:ind w:right="57"/>
              <w:rPr>
                <w:rFonts w:ascii="Arial" w:hAnsi="Arial" w:cs="Arial"/>
                <w:snapToGrid w:val="0"/>
                <w:sz w:val="18"/>
                <w:szCs w:val="18"/>
              </w:rPr>
            </w:pPr>
            <w:r w:rsidRPr="00F07CFA">
              <w:rPr>
                <w:rFonts w:ascii="Arial" w:hAnsi="Arial" w:cs="Arial"/>
                <w:snapToGrid w:val="0"/>
                <w:sz w:val="18"/>
                <w:szCs w:val="18"/>
              </w:rPr>
              <w:t xml:space="preserve">– spojovací </w:t>
            </w:r>
            <w:r w:rsidR="00591432">
              <w:rPr>
                <w:rFonts w:ascii="Arial" w:hAnsi="Arial" w:cs="Arial"/>
                <w:snapToGrid w:val="0"/>
                <w:sz w:val="18"/>
                <w:szCs w:val="18"/>
              </w:rPr>
              <w:t xml:space="preserve">kabely v kapacitě 96 párů </w:t>
            </w:r>
            <w:r w:rsidRPr="00F07CFA">
              <w:rPr>
                <w:rFonts w:ascii="Arial" w:hAnsi="Arial" w:cs="Arial"/>
                <w:snapToGrid w:val="0"/>
                <w:sz w:val="18"/>
                <w:szCs w:val="18"/>
              </w:rPr>
              <w:t>(4</w:t>
            </w:r>
            <w:r w:rsidRPr="00F07CFA">
              <w:rPr>
                <w:rFonts w:ascii="Arial" w:hAnsi="Arial" w:cs="Arial"/>
                <w:i/>
                <w:snapToGrid w:val="0"/>
                <w:sz w:val="18"/>
                <w:szCs w:val="18"/>
              </w:rPr>
              <w:t>64,-</w:t>
            </w:r>
            <w:r w:rsidRPr="00F07CFA">
              <w:rPr>
                <w:rFonts w:ascii="Arial" w:hAnsi="Arial" w:cs="Arial"/>
                <w:snapToGrid w:val="0"/>
                <w:sz w:val="18"/>
                <w:szCs w:val="18"/>
              </w:rPr>
              <w:t xml:space="preserve"> Kč)</w:t>
            </w:r>
          </w:p>
        </w:tc>
        <w:tc>
          <w:tcPr>
            <w:tcW w:w="2234" w:type="dxa"/>
          </w:tcPr>
          <w:p w14:paraId="6B925F2C" w14:textId="77777777" w:rsidR="002A2D3B" w:rsidRDefault="007A2FC2" w:rsidP="00DA2146">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695A09E0" w14:textId="77777777" w:rsidR="007A2FC2" w:rsidRPr="00F07CFA" w:rsidRDefault="007A2FC2" w:rsidP="00DA2146">
            <w:pPr>
              <w:autoSpaceDE w:val="0"/>
              <w:autoSpaceDN w:val="0"/>
              <w:adjustRightInd w:val="0"/>
              <w:rPr>
                <w:rFonts w:ascii="Arial" w:hAnsi="Arial" w:cs="Arial"/>
                <w:color w:val="000000"/>
                <w:sz w:val="18"/>
                <w:szCs w:val="18"/>
              </w:rPr>
            </w:pPr>
            <w:r w:rsidRPr="00F07CFA">
              <w:rPr>
                <w:rFonts w:ascii="Arial" w:hAnsi="Arial" w:cs="Arial"/>
                <w:sz w:val="18"/>
                <w:szCs w:val="18"/>
              </w:rPr>
              <w:t>(2</w:t>
            </w:r>
            <w:r w:rsidR="00DA2146">
              <w:rPr>
                <w:rFonts w:ascii="Arial" w:hAnsi="Arial" w:cs="Arial"/>
                <w:sz w:val="18"/>
                <w:szCs w:val="18"/>
              </w:rPr>
              <w:t>8</w:t>
            </w:r>
            <w:r w:rsidRPr="00F07CFA">
              <w:rPr>
                <w:rFonts w:ascii="Arial" w:hAnsi="Arial" w:cs="Arial"/>
                <w:sz w:val="18"/>
                <w:szCs w:val="18"/>
              </w:rPr>
              <w:t>)</w:t>
            </w:r>
          </w:p>
        </w:tc>
        <w:tc>
          <w:tcPr>
            <w:tcW w:w="4111" w:type="dxa"/>
          </w:tcPr>
          <w:p w14:paraId="3E39CFFC" w14:textId="77777777" w:rsidR="007A2FC2" w:rsidRPr="00F07CFA" w:rsidRDefault="007A2FC2" w:rsidP="007A2FC2">
            <w:pPr>
              <w:pStyle w:val="Default"/>
              <w:jc w:val="both"/>
              <w:rPr>
                <w:sz w:val="18"/>
                <w:szCs w:val="18"/>
              </w:rPr>
            </w:pPr>
            <w:r w:rsidRPr="00F07CFA">
              <w:rPr>
                <w:sz w:val="18"/>
                <w:szCs w:val="18"/>
              </w:rPr>
              <w:t xml:space="preserve">V měsíční ceně by měly být zahrnuty náklady větších/dražších položek, které jsou v účetnictví incumbenta </w:t>
            </w:r>
            <w:r w:rsidR="002A2D3B">
              <w:rPr>
                <w:sz w:val="18"/>
                <w:szCs w:val="18"/>
              </w:rPr>
              <w:t>vedeny jako investiční majetek,</w:t>
            </w:r>
            <w:r w:rsidRPr="00F07CFA">
              <w:rPr>
                <w:sz w:val="18"/>
                <w:szCs w:val="18"/>
              </w:rPr>
              <w:t xml:space="preserve"> formou odpisů. Cena se jeví excesivní (vzniká podezření na dvojí započítání nákladů).</w:t>
            </w:r>
          </w:p>
        </w:tc>
        <w:tc>
          <w:tcPr>
            <w:tcW w:w="4678" w:type="dxa"/>
          </w:tcPr>
          <w:p w14:paraId="4AECC8D1"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78E0E4B2" w14:textId="77777777" w:rsidR="00F34A7B" w:rsidRPr="00F07CFA" w:rsidRDefault="00F34A7B"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 xml:space="preserve">Vyjádření </w:t>
            </w:r>
            <w:r w:rsidR="00DA2146">
              <w:rPr>
                <w:rFonts w:eastAsia="Times New Roman"/>
                <w:color w:val="auto"/>
                <w:sz w:val="18"/>
                <w:szCs w:val="18"/>
                <w:lang w:eastAsia="cs-CZ"/>
              </w:rPr>
              <w:t>obdobné</w:t>
            </w:r>
            <w:r w:rsidRPr="00F07CFA">
              <w:rPr>
                <w:rFonts w:eastAsia="Times New Roman"/>
                <w:color w:val="auto"/>
                <w:sz w:val="18"/>
                <w:szCs w:val="18"/>
                <w:lang w:eastAsia="cs-CZ"/>
              </w:rPr>
              <w:t xml:space="preserve"> jako u připomínky č. 2</w:t>
            </w:r>
            <w:r w:rsidR="00DA2146">
              <w:rPr>
                <w:rFonts w:eastAsia="Times New Roman"/>
                <w:color w:val="auto"/>
                <w:sz w:val="18"/>
                <w:szCs w:val="18"/>
                <w:lang w:eastAsia="cs-CZ"/>
              </w:rPr>
              <w:t>7</w:t>
            </w:r>
            <w:r w:rsidRPr="00F07CFA">
              <w:rPr>
                <w:rFonts w:eastAsia="Times New Roman"/>
                <w:color w:val="auto"/>
                <w:sz w:val="18"/>
                <w:szCs w:val="18"/>
                <w:lang w:eastAsia="cs-CZ"/>
              </w:rPr>
              <w:t>.</w:t>
            </w:r>
          </w:p>
          <w:p w14:paraId="66B27AA5" w14:textId="77777777" w:rsidR="007A2FC2" w:rsidRPr="00F07CFA" w:rsidRDefault="007A2FC2" w:rsidP="002A2D3B">
            <w:pPr>
              <w:pStyle w:val="Default"/>
              <w:spacing w:after="60"/>
              <w:jc w:val="both"/>
              <w:rPr>
                <w:rFonts w:eastAsia="Times New Roman"/>
                <w:color w:val="auto"/>
                <w:sz w:val="18"/>
                <w:szCs w:val="18"/>
                <w:lang w:eastAsia="cs-CZ"/>
              </w:rPr>
            </w:pPr>
          </w:p>
        </w:tc>
      </w:tr>
      <w:tr w:rsidR="007A2FC2" w:rsidRPr="00F07CFA" w14:paraId="4C4096B6" w14:textId="77777777" w:rsidTr="00603E63">
        <w:tc>
          <w:tcPr>
            <w:tcW w:w="1135" w:type="dxa"/>
          </w:tcPr>
          <w:p w14:paraId="7BED4C40" w14:textId="77777777" w:rsidR="007A2FC2" w:rsidRPr="00F07CFA" w:rsidRDefault="007A2FC2" w:rsidP="007A2FC2">
            <w:pPr>
              <w:pStyle w:val="Default"/>
              <w:rPr>
                <w:sz w:val="18"/>
                <w:szCs w:val="18"/>
              </w:rPr>
            </w:pPr>
            <w:r w:rsidRPr="00F07CFA">
              <w:rPr>
                <w:sz w:val="18"/>
                <w:szCs w:val="18"/>
              </w:rPr>
              <w:t>Výrok I, odst. 1,</w:t>
            </w:r>
          </w:p>
          <w:p w14:paraId="59932F1B" w14:textId="77777777" w:rsidR="007A2FC2" w:rsidRPr="00F07CFA" w:rsidRDefault="007A2FC2" w:rsidP="007A2FC2">
            <w:pPr>
              <w:pStyle w:val="Default"/>
              <w:jc w:val="both"/>
              <w:rPr>
                <w:sz w:val="18"/>
                <w:szCs w:val="18"/>
              </w:rPr>
            </w:pPr>
            <w:r w:rsidRPr="00F07CFA">
              <w:rPr>
                <w:sz w:val="18"/>
                <w:szCs w:val="18"/>
              </w:rPr>
              <w:t>písm. d,</w:t>
            </w:r>
          </w:p>
          <w:p w14:paraId="7E830263" w14:textId="77777777" w:rsidR="007A2FC2" w:rsidRPr="00F07CFA" w:rsidRDefault="007A2FC2" w:rsidP="007A2FC2">
            <w:pPr>
              <w:pStyle w:val="Default"/>
              <w:rPr>
                <w:sz w:val="18"/>
                <w:szCs w:val="18"/>
              </w:rPr>
            </w:pPr>
            <w:r w:rsidRPr="00F07CFA">
              <w:rPr>
                <w:sz w:val="18"/>
                <w:szCs w:val="18"/>
              </w:rPr>
              <w:t>bod 4.12</w:t>
            </w:r>
          </w:p>
        </w:tc>
        <w:tc>
          <w:tcPr>
            <w:tcW w:w="3011" w:type="dxa"/>
          </w:tcPr>
          <w:p w14:paraId="02FF792B" w14:textId="77777777" w:rsidR="007A2FC2" w:rsidRPr="00F07CFA" w:rsidRDefault="007A2FC2" w:rsidP="007A2FC2">
            <w:pPr>
              <w:ind w:right="57"/>
              <w:rPr>
                <w:rFonts w:ascii="Arial" w:hAnsi="Arial" w:cs="Arial"/>
                <w:snapToGrid w:val="0"/>
                <w:sz w:val="18"/>
                <w:szCs w:val="18"/>
              </w:rPr>
            </w:pPr>
            <w:r w:rsidRPr="00F07CFA">
              <w:rPr>
                <w:rFonts w:ascii="Arial" w:hAnsi="Arial" w:cs="Arial"/>
                <w:snapToGrid w:val="0"/>
                <w:sz w:val="18"/>
                <w:szCs w:val="18"/>
              </w:rPr>
              <w:t>Vnější spojovací kabel – metalický – pro vnitřní nebo vnější prostředí – spojov</w:t>
            </w:r>
            <w:r w:rsidR="00591432">
              <w:rPr>
                <w:rFonts w:ascii="Arial" w:hAnsi="Arial" w:cs="Arial"/>
                <w:snapToGrid w:val="0"/>
                <w:sz w:val="18"/>
                <w:szCs w:val="18"/>
              </w:rPr>
              <w:t xml:space="preserve">ací kabely v kapacitě 96 párů </w:t>
            </w:r>
            <w:r w:rsidRPr="00F07CFA">
              <w:rPr>
                <w:rFonts w:ascii="Arial" w:hAnsi="Arial" w:cs="Arial"/>
                <w:snapToGrid w:val="0"/>
                <w:sz w:val="18"/>
                <w:szCs w:val="18"/>
              </w:rPr>
              <w:t>(</w:t>
            </w:r>
            <w:r w:rsidRPr="00F07CFA">
              <w:rPr>
                <w:rFonts w:ascii="Arial" w:hAnsi="Arial" w:cs="Arial"/>
                <w:i/>
                <w:snapToGrid w:val="0"/>
                <w:sz w:val="18"/>
                <w:szCs w:val="18"/>
              </w:rPr>
              <w:t xml:space="preserve">535,- </w:t>
            </w:r>
            <w:r w:rsidRPr="00F07CFA">
              <w:rPr>
                <w:rFonts w:ascii="Arial" w:hAnsi="Arial" w:cs="Arial"/>
                <w:snapToGrid w:val="0"/>
                <w:sz w:val="18"/>
                <w:szCs w:val="18"/>
              </w:rPr>
              <w:t>Kč)</w:t>
            </w:r>
          </w:p>
        </w:tc>
        <w:tc>
          <w:tcPr>
            <w:tcW w:w="2234" w:type="dxa"/>
          </w:tcPr>
          <w:p w14:paraId="1DD81B00" w14:textId="77777777" w:rsidR="002A2D3B" w:rsidRDefault="007A2FC2" w:rsidP="007A2FC2">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06908135" w14:textId="77777777" w:rsidR="007A2FC2" w:rsidRPr="00F07CFA" w:rsidRDefault="00DA2146" w:rsidP="007A2FC2">
            <w:pPr>
              <w:autoSpaceDE w:val="0"/>
              <w:autoSpaceDN w:val="0"/>
              <w:adjustRightInd w:val="0"/>
              <w:rPr>
                <w:rFonts w:ascii="Arial" w:hAnsi="Arial" w:cs="Arial"/>
                <w:color w:val="000000"/>
                <w:sz w:val="18"/>
                <w:szCs w:val="18"/>
              </w:rPr>
            </w:pPr>
            <w:r>
              <w:rPr>
                <w:rFonts w:ascii="Arial" w:hAnsi="Arial" w:cs="Arial"/>
                <w:sz w:val="18"/>
                <w:szCs w:val="18"/>
              </w:rPr>
              <w:t>(29</w:t>
            </w:r>
            <w:r w:rsidR="007A2FC2" w:rsidRPr="00F07CFA">
              <w:rPr>
                <w:rFonts w:ascii="Arial" w:hAnsi="Arial" w:cs="Arial"/>
                <w:sz w:val="18"/>
                <w:szCs w:val="18"/>
              </w:rPr>
              <w:t>)</w:t>
            </w:r>
          </w:p>
        </w:tc>
        <w:tc>
          <w:tcPr>
            <w:tcW w:w="4111" w:type="dxa"/>
          </w:tcPr>
          <w:p w14:paraId="70B98D31" w14:textId="77777777" w:rsidR="007A2FC2" w:rsidRPr="00F07CFA" w:rsidRDefault="007A2FC2" w:rsidP="007A2FC2">
            <w:pPr>
              <w:pStyle w:val="Default"/>
              <w:jc w:val="both"/>
              <w:rPr>
                <w:sz w:val="18"/>
                <w:szCs w:val="18"/>
              </w:rPr>
            </w:pPr>
            <w:r w:rsidRPr="00F07CFA">
              <w:rPr>
                <w:sz w:val="18"/>
                <w:szCs w:val="18"/>
              </w:rPr>
              <w:t xml:space="preserve">V měsíční ceně by měly být zahrnuty náklady větších/dražších položek, které jsou v účetnictví incumbenta </w:t>
            </w:r>
            <w:r w:rsidR="002A2D3B">
              <w:rPr>
                <w:sz w:val="18"/>
                <w:szCs w:val="18"/>
              </w:rPr>
              <w:t>vedeny jako investiční majetek,</w:t>
            </w:r>
            <w:r w:rsidRPr="00F07CFA">
              <w:rPr>
                <w:sz w:val="18"/>
                <w:szCs w:val="18"/>
              </w:rPr>
              <w:t xml:space="preserve"> formou odpisů. Cena se jeví excesivní (vzniká podezření na dvojí započítání nákladů).</w:t>
            </w:r>
          </w:p>
        </w:tc>
        <w:tc>
          <w:tcPr>
            <w:tcW w:w="4678" w:type="dxa"/>
          </w:tcPr>
          <w:p w14:paraId="196A80D2"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25DCC10C" w14:textId="77777777" w:rsidR="00DA2146" w:rsidRPr="00F07CFA" w:rsidRDefault="00DA2146"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 xml:space="preserve">Vyjádření </w:t>
            </w:r>
            <w:r>
              <w:rPr>
                <w:rFonts w:eastAsia="Times New Roman"/>
                <w:color w:val="auto"/>
                <w:sz w:val="18"/>
                <w:szCs w:val="18"/>
                <w:lang w:eastAsia="cs-CZ"/>
              </w:rPr>
              <w:t>obdobné</w:t>
            </w:r>
            <w:r w:rsidRPr="00F07CFA">
              <w:rPr>
                <w:rFonts w:eastAsia="Times New Roman"/>
                <w:color w:val="auto"/>
                <w:sz w:val="18"/>
                <w:szCs w:val="18"/>
                <w:lang w:eastAsia="cs-CZ"/>
              </w:rPr>
              <w:t xml:space="preserve"> jako u připomínky č. 2</w:t>
            </w:r>
            <w:r>
              <w:rPr>
                <w:rFonts w:eastAsia="Times New Roman"/>
                <w:color w:val="auto"/>
                <w:sz w:val="18"/>
                <w:szCs w:val="18"/>
                <w:lang w:eastAsia="cs-CZ"/>
              </w:rPr>
              <w:t>7</w:t>
            </w:r>
            <w:r w:rsidRPr="00F07CFA">
              <w:rPr>
                <w:rFonts w:eastAsia="Times New Roman"/>
                <w:color w:val="auto"/>
                <w:sz w:val="18"/>
                <w:szCs w:val="18"/>
                <w:lang w:eastAsia="cs-CZ"/>
              </w:rPr>
              <w:t>.</w:t>
            </w:r>
          </w:p>
          <w:p w14:paraId="20E6AB26" w14:textId="77777777" w:rsidR="007A2FC2" w:rsidRPr="00F07CFA" w:rsidRDefault="007A2FC2" w:rsidP="002A2D3B">
            <w:pPr>
              <w:pStyle w:val="Default"/>
              <w:spacing w:after="60"/>
              <w:jc w:val="both"/>
              <w:rPr>
                <w:rFonts w:eastAsia="Times New Roman"/>
                <w:color w:val="auto"/>
                <w:sz w:val="18"/>
                <w:szCs w:val="18"/>
                <w:lang w:eastAsia="cs-CZ"/>
              </w:rPr>
            </w:pPr>
          </w:p>
        </w:tc>
      </w:tr>
      <w:tr w:rsidR="007A2FC2" w:rsidRPr="00F07CFA" w14:paraId="2D546DCE" w14:textId="77777777" w:rsidTr="00603E63">
        <w:tc>
          <w:tcPr>
            <w:tcW w:w="1135" w:type="dxa"/>
          </w:tcPr>
          <w:p w14:paraId="64E2B003" w14:textId="77777777" w:rsidR="007A2FC2" w:rsidRPr="00F07CFA" w:rsidRDefault="007A2FC2" w:rsidP="007A2FC2">
            <w:pPr>
              <w:pStyle w:val="Default"/>
              <w:rPr>
                <w:sz w:val="18"/>
                <w:szCs w:val="18"/>
              </w:rPr>
            </w:pPr>
            <w:r w:rsidRPr="00F07CFA">
              <w:rPr>
                <w:sz w:val="18"/>
                <w:szCs w:val="18"/>
              </w:rPr>
              <w:t>Výrok I, odst. 1,</w:t>
            </w:r>
          </w:p>
          <w:p w14:paraId="67875282" w14:textId="77777777" w:rsidR="007A2FC2" w:rsidRPr="00F07CFA" w:rsidRDefault="007A2FC2" w:rsidP="007A2FC2">
            <w:pPr>
              <w:pStyle w:val="Default"/>
              <w:jc w:val="both"/>
              <w:rPr>
                <w:sz w:val="18"/>
                <w:szCs w:val="18"/>
              </w:rPr>
            </w:pPr>
            <w:r w:rsidRPr="00F07CFA">
              <w:rPr>
                <w:sz w:val="18"/>
                <w:szCs w:val="18"/>
              </w:rPr>
              <w:t>písm. d,</w:t>
            </w:r>
          </w:p>
          <w:p w14:paraId="4D7522E3" w14:textId="77777777" w:rsidR="007A2FC2" w:rsidRPr="00F07CFA" w:rsidRDefault="007A2FC2" w:rsidP="007A2FC2">
            <w:pPr>
              <w:pStyle w:val="Default"/>
              <w:rPr>
                <w:sz w:val="18"/>
                <w:szCs w:val="18"/>
              </w:rPr>
            </w:pPr>
            <w:r w:rsidRPr="00F07CFA">
              <w:rPr>
                <w:sz w:val="18"/>
                <w:szCs w:val="18"/>
              </w:rPr>
              <w:t>bod 4.13</w:t>
            </w:r>
          </w:p>
        </w:tc>
        <w:tc>
          <w:tcPr>
            <w:tcW w:w="3011" w:type="dxa"/>
          </w:tcPr>
          <w:p w14:paraId="21C83A41" w14:textId="77777777" w:rsidR="007A2FC2" w:rsidRPr="00F07CFA" w:rsidRDefault="007A2FC2" w:rsidP="007A2FC2">
            <w:pPr>
              <w:ind w:right="57"/>
              <w:rPr>
                <w:rFonts w:ascii="Arial" w:hAnsi="Arial" w:cs="Arial"/>
                <w:snapToGrid w:val="0"/>
                <w:sz w:val="18"/>
                <w:szCs w:val="18"/>
              </w:rPr>
            </w:pPr>
            <w:r w:rsidRPr="00F07CFA">
              <w:rPr>
                <w:rFonts w:ascii="Arial" w:hAnsi="Arial" w:cs="Arial"/>
                <w:snapToGrid w:val="0"/>
                <w:sz w:val="18"/>
                <w:szCs w:val="18"/>
              </w:rPr>
              <w:t>Vnější spojovací kabel stíněný – metalický – pro vnitřní nebo vnější prostředí – spojova</w:t>
            </w:r>
            <w:r w:rsidR="00591432">
              <w:rPr>
                <w:rFonts w:ascii="Arial" w:hAnsi="Arial" w:cs="Arial"/>
                <w:snapToGrid w:val="0"/>
                <w:sz w:val="18"/>
                <w:szCs w:val="18"/>
              </w:rPr>
              <w:t xml:space="preserve">cí kabely v kapacitě 96 párů </w:t>
            </w:r>
            <w:r w:rsidRPr="00F07CFA">
              <w:rPr>
                <w:rFonts w:ascii="Arial" w:hAnsi="Arial" w:cs="Arial"/>
                <w:snapToGrid w:val="0"/>
                <w:sz w:val="18"/>
                <w:szCs w:val="18"/>
              </w:rPr>
              <w:t>(</w:t>
            </w:r>
            <w:r w:rsidRPr="00F07CFA">
              <w:rPr>
                <w:rFonts w:ascii="Arial" w:hAnsi="Arial" w:cs="Arial"/>
                <w:i/>
                <w:snapToGrid w:val="0"/>
                <w:sz w:val="18"/>
                <w:szCs w:val="18"/>
              </w:rPr>
              <w:t xml:space="preserve">683,- </w:t>
            </w:r>
            <w:r w:rsidRPr="00F07CFA">
              <w:rPr>
                <w:rFonts w:ascii="Arial" w:hAnsi="Arial" w:cs="Arial"/>
                <w:snapToGrid w:val="0"/>
                <w:sz w:val="18"/>
                <w:szCs w:val="18"/>
              </w:rPr>
              <w:t>Kč)</w:t>
            </w:r>
          </w:p>
        </w:tc>
        <w:tc>
          <w:tcPr>
            <w:tcW w:w="2234" w:type="dxa"/>
          </w:tcPr>
          <w:p w14:paraId="196F96A6" w14:textId="77777777" w:rsidR="002A2D3B" w:rsidRDefault="007A2FC2" w:rsidP="007A2FC2">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68F31945" w14:textId="77777777" w:rsidR="007A2FC2" w:rsidRPr="00F07CFA" w:rsidRDefault="00DA2146" w:rsidP="007A2FC2">
            <w:pPr>
              <w:autoSpaceDE w:val="0"/>
              <w:autoSpaceDN w:val="0"/>
              <w:adjustRightInd w:val="0"/>
              <w:rPr>
                <w:rFonts w:ascii="Arial" w:hAnsi="Arial" w:cs="Arial"/>
                <w:color w:val="000000"/>
                <w:sz w:val="18"/>
                <w:szCs w:val="18"/>
              </w:rPr>
            </w:pPr>
            <w:r>
              <w:rPr>
                <w:rFonts w:ascii="Arial" w:hAnsi="Arial" w:cs="Arial"/>
                <w:sz w:val="18"/>
                <w:szCs w:val="18"/>
              </w:rPr>
              <w:t>(30</w:t>
            </w:r>
            <w:r w:rsidR="007A2FC2" w:rsidRPr="00F07CFA">
              <w:rPr>
                <w:rFonts w:ascii="Arial" w:hAnsi="Arial" w:cs="Arial"/>
                <w:sz w:val="18"/>
                <w:szCs w:val="18"/>
              </w:rPr>
              <w:t>)</w:t>
            </w:r>
          </w:p>
        </w:tc>
        <w:tc>
          <w:tcPr>
            <w:tcW w:w="4111" w:type="dxa"/>
          </w:tcPr>
          <w:p w14:paraId="511D6A65" w14:textId="77777777" w:rsidR="007A2FC2" w:rsidRPr="00F07CFA" w:rsidRDefault="007A2FC2" w:rsidP="007A2FC2">
            <w:pPr>
              <w:pStyle w:val="Default"/>
              <w:jc w:val="both"/>
              <w:rPr>
                <w:sz w:val="18"/>
                <w:szCs w:val="18"/>
              </w:rPr>
            </w:pPr>
            <w:r w:rsidRPr="00F07CFA">
              <w:rPr>
                <w:sz w:val="18"/>
                <w:szCs w:val="18"/>
              </w:rPr>
              <w:t xml:space="preserve">V měsíční ceně by měly být zahrnuty náklady větších/dražších položek, které jsou v účetnictví incumbenta </w:t>
            </w:r>
            <w:r w:rsidR="002A2D3B">
              <w:rPr>
                <w:sz w:val="18"/>
                <w:szCs w:val="18"/>
              </w:rPr>
              <w:t>vedeny jako investiční majetek,</w:t>
            </w:r>
            <w:r w:rsidRPr="00F07CFA">
              <w:rPr>
                <w:sz w:val="18"/>
                <w:szCs w:val="18"/>
              </w:rPr>
              <w:t xml:space="preserve"> formou odpisů. Cena se jeví excesivní (vzniká podezření na dvojí započítání nákladů).</w:t>
            </w:r>
          </w:p>
        </w:tc>
        <w:tc>
          <w:tcPr>
            <w:tcW w:w="4678" w:type="dxa"/>
          </w:tcPr>
          <w:p w14:paraId="708787F8"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1A7828C9" w14:textId="77777777" w:rsidR="00DA2146" w:rsidRPr="00F07CFA" w:rsidRDefault="00DA2146"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 xml:space="preserve">Vyjádření </w:t>
            </w:r>
            <w:r>
              <w:rPr>
                <w:rFonts w:eastAsia="Times New Roman"/>
                <w:color w:val="auto"/>
                <w:sz w:val="18"/>
                <w:szCs w:val="18"/>
                <w:lang w:eastAsia="cs-CZ"/>
              </w:rPr>
              <w:t>obdobné</w:t>
            </w:r>
            <w:r w:rsidRPr="00F07CFA">
              <w:rPr>
                <w:rFonts w:eastAsia="Times New Roman"/>
                <w:color w:val="auto"/>
                <w:sz w:val="18"/>
                <w:szCs w:val="18"/>
                <w:lang w:eastAsia="cs-CZ"/>
              </w:rPr>
              <w:t xml:space="preserve"> jako u připomínky č. 2</w:t>
            </w:r>
            <w:r>
              <w:rPr>
                <w:rFonts w:eastAsia="Times New Roman"/>
                <w:color w:val="auto"/>
                <w:sz w:val="18"/>
                <w:szCs w:val="18"/>
                <w:lang w:eastAsia="cs-CZ"/>
              </w:rPr>
              <w:t>7</w:t>
            </w:r>
            <w:r w:rsidRPr="00F07CFA">
              <w:rPr>
                <w:rFonts w:eastAsia="Times New Roman"/>
                <w:color w:val="auto"/>
                <w:sz w:val="18"/>
                <w:szCs w:val="18"/>
                <w:lang w:eastAsia="cs-CZ"/>
              </w:rPr>
              <w:t>.</w:t>
            </w:r>
          </w:p>
          <w:p w14:paraId="0EC16BE2" w14:textId="77777777" w:rsidR="007A2FC2" w:rsidRPr="00F07CFA" w:rsidRDefault="007A2FC2" w:rsidP="002A2D3B">
            <w:pPr>
              <w:pStyle w:val="Default"/>
              <w:spacing w:after="60"/>
              <w:jc w:val="both"/>
              <w:rPr>
                <w:rFonts w:eastAsia="Times New Roman"/>
                <w:color w:val="auto"/>
                <w:sz w:val="18"/>
                <w:szCs w:val="18"/>
                <w:lang w:eastAsia="cs-CZ"/>
              </w:rPr>
            </w:pPr>
          </w:p>
        </w:tc>
      </w:tr>
      <w:tr w:rsidR="007A2FC2" w:rsidRPr="00F07CFA" w14:paraId="2BD7D4CD" w14:textId="77777777" w:rsidTr="00603E63">
        <w:tc>
          <w:tcPr>
            <w:tcW w:w="1135" w:type="dxa"/>
          </w:tcPr>
          <w:p w14:paraId="1B05543A" w14:textId="77777777" w:rsidR="007A2FC2" w:rsidRPr="00F07CFA" w:rsidRDefault="007A2FC2" w:rsidP="007A2FC2">
            <w:pPr>
              <w:pStyle w:val="Default"/>
              <w:rPr>
                <w:sz w:val="18"/>
                <w:szCs w:val="18"/>
              </w:rPr>
            </w:pPr>
            <w:r w:rsidRPr="00F07CFA">
              <w:rPr>
                <w:sz w:val="18"/>
                <w:szCs w:val="18"/>
              </w:rPr>
              <w:t>Výrok I, odst. 1,</w:t>
            </w:r>
          </w:p>
          <w:p w14:paraId="367CE720" w14:textId="77777777" w:rsidR="007A2FC2" w:rsidRPr="00F07CFA" w:rsidRDefault="007A2FC2" w:rsidP="007A2FC2">
            <w:pPr>
              <w:pStyle w:val="Default"/>
              <w:jc w:val="both"/>
              <w:rPr>
                <w:sz w:val="18"/>
                <w:szCs w:val="18"/>
              </w:rPr>
            </w:pPr>
            <w:r w:rsidRPr="00F07CFA">
              <w:rPr>
                <w:sz w:val="18"/>
                <w:szCs w:val="18"/>
              </w:rPr>
              <w:t>písm. d,</w:t>
            </w:r>
          </w:p>
          <w:p w14:paraId="70BB76FC" w14:textId="77777777" w:rsidR="007A2FC2" w:rsidRPr="00F07CFA" w:rsidRDefault="007A2FC2" w:rsidP="007A2FC2">
            <w:pPr>
              <w:pStyle w:val="Default"/>
              <w:jc w:val="both"/>
              <w:rPr>
                <w:sz w:val="18"/>
                <w:szCs w:val="18"/>
              </w:rPr>
            </w:pPr>
            <w:r w:rsidRPr="00F07CFA">
              <w:rPr>
                <w:sz w:val="18"/>
                <w:szCs w:val="18"/>
              </w:rPr>
              <w:t>bod 4.17</w:t>
            </w:r>
          </w:p>
        </w:tc>
        <w:tc>
          <w:tcPr>
            <w:tcW w:w="3011" w:type="dxa"/>
          </w:tcPr>
          <w:p w14:paraId="62D0A2DF" w14:textId="77777777" w:rsidR="007A2FC2" w:rsidRPr="00F07CFA" w:rsidRDefault="007A2FC2" w:rsidP="007A2FC2">
            <w:pPr>
              <w:ind w:right="57"/>
              <w:rPr>
                <w:rFonts w:ascii="Arial" w:hAnsi="Arial" w:cs="Arial"/>
                <w:snapToGrid w:val="0"/>
                <w:sz w:val="18"/>
                <w:szCs w:val="18"/>
              </w:rPr>
            </w:pPr>
            <w:r w:rsidRPr="00F07CFA">
              <w:rPr>
                <w:rFonts w:ascii="Arial" w:hAnsi="Arial" w:cs="Arial"/>
                <w:snapToGrid w:val="0"/>
                <w:sz w:val="18"/>
                <w:szCs w:val="18"/>
              </w:rPr>
              <w:t>Nájem prostoru pro umístění antény na střeše</w:t>
            </w:r>
          </w:p>
          <w:p w14:paraId="790532A1" w14:textId="77777777" w:rsidR="007A2FC2" w:rsidRPr="00F07CFA" w:rsidRDefault="007A2FC2" w:rsidP="007A2FC2">
            <w:pPr>
              <w:ind w:right="57"/>
              <w:rPr>
                <w:rFonts w:ascii="Arial" w:hAnsi="Arial" w:cs="Arial"/>
                <w:snapToGrid w:val="0"/>
                <w:sz w:val="18"/>
                <w:szCs w:val="18"/>
              </w:rPr>
            </w:pPr>
            <w:r w:rsidRPr="00F07CFA">
              <w:rPr>
                <w:rFonts w:ascii="Arial" w:hAnsi="Arial" w:cs="Arial"/>
                <w:snapToGrid w:val="0"/>
                <w:sz w:val="18"/>
                <w:szCs w:val="18"/>
              </w:rPr>
              <w:t>(</w:t>
            </w:r>
            <w:r w:rsidRPr="00F07CFA">
              <w:rPr>
                <w:rFonts w:ascii="Arial" w:hAnsi="Arial" w:cs="Arial"/>
                <w:i/>
                <w:snapToGrid w:val="0"/>
                <w:sz w:val="18"/>
                <w:szCs w:val="18"/>
              </w:rPr>
              <w:t xml:space="preserve">1 935,- </w:t>
            </w:r>
            <w:r w:rsidRPr="00F07CFA">
              <w:rPr>
                <w:rFonts w:ascii="Arial" w:hAnsi="Arial" w:cs="Arial"/>
                <w:snapToGrid w:val="0"/>
                <w:sz w:val="18"/>
                <w:szCs w:val="18"/>
              </w:rPr>
              <w:t>Kč)</w:t>
            </w:r>
          </w:p>
        </w:tc>
        <w:tc>
          <w:tcPr>
            <w:tcW w:w="2234" w:type="dxa"/>
          </w:tcPr>
          <w:p w14:paraId="577440B9" w14:textId="77777777" w:rsidR="002A2D3B" w:rsidRDefault="007A2FC2" w:rsidP="007A2FC2">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21E3EB53" w14:textId="77777777" w:rsidR="007A2FC2" w:rsidRPr="00F07CFA" w:rsidRDefault="00DA2146" w:rsidP="007A2FC2">
            <w:pPr>
              <w:autoSpaceDE w:val="0"/>
              <w:autoSpaceDN w:val="0"/>
              <w:adjustRightInd w:val="0"/>
              <w:rPr>
                <w:rFonts w:ascii="Arial" w:hAnsi="Arial" w:cs="Arial"/>
                <w:color w:val="000000"/>
                <w:sz w:val="18"/>
                <w:szCs w:val="18"/>
              </w:rPr>
            </w:pPr>
            <w:r>
              <w:rPr>
                <w:rFonts w:ascii="Arial" w:hAnsi="Arial" w:cs="Arial"/>
                <w:sz w:val="18"/>
                <w:szCs w:val="18"/>
              </w:rPr>
              <w:t>(31</w:t>
            </w:r>
            <w:r w:rsidR="007A2FC2" w:rsidRPr="00F07CFA">
              <w:rPr>
                <w:rFonts w:ascii="Arial" w:hAnsi="Arial" w:cs="Arial"/>
                <w:sz w:val="18"/>
                <w:szCs w:val="18"/>
              </w:rPr>
              <w:t>)</w:t>
            </w:r>
          </w:p>
        </w:tc>
        <w:tc>
          <w:tcPr>
            <w:tcW w:w="4111" w:type="dxa"/>
          </w:tcPr>
          <w:p w14:paraId="3FC79B21" w14:textId="77777777" w:rsidR="007A2FC2" w:rsidRPr="00F07CFA" w:rsidRDefault="007A2FC2" w:rsidP="007A2FC2">
            <w:pPr>
              <w:pStyle w:val="Default"/>
              <w:jc w:val="both"/>
              <w:rPr>
                <w:sz w:val="18"/>
                <w:szCs w:val="18"/>
              </w:rPr>
            </w:pPr>
            <w:r w:rsidRPr="00F07CFA">
              <w:rPr>
                <w:sz w:val="18"/>
                <w:szCs w:val="18"/>
              </w:rPr>
              <w:t>Cena by měla být odlišná pro různé druhy antén. Cena za nájem prostoru pro GPS anténu je jistě odlišná od nájmu za parabolu 2m</w:t>
            </w:r>
            <w:r w:rsidR="00AC294C" w:rsidRPr="00F07CFA">
              <w:rPr>
                <w:sz w:val="18"/>
                <w:szCs w:val="18"/>
              </w:rPr>
              <w:t>.</w:t>
            </w:r>
            <w:r w:rsidRPr="00F07CFA">
              <w:rPr>
                <w:sz w:val="18"/>
                <w:szCs w:val="18"/>
              </w:rPr>
              <w:t xml:space="preserve"> </w:t>
            </w:r>
          </w:p>
          <w:p w14:paraId="679721DE" w14:textId="77777777" w:rsidR="007A2FC2" w:rsidRPr="00F07CFA" w:rsidRDefault="007A2FC2" w:rsidP="007A2FC2">
            <w:pPr>
              <w:pStyle w:val="Default"/>
              <w:jc w:val="both"/>
              <w:rPr>
                <w:sz w:val="18"/>
                <w:szCs w:val="18"/>
              </w:rPr>
            </w:pPr>
          </w:p>
        </w:tc>
        <w:tc>
          <w:tcPr>
            <w:tcW w:w="4678" w:type="dxa"/>
          </w:tcPr>
          <w:p w14:paraId="2BFB3C88" w14:textId="77777777" w:rsidR="00230736" w:rsidRDefault="00230736" w:rsidP="00230736">
            <w:pPr>
              <w:pStyle w:val="Default"/>
              <w:spacing w:after="60"/>
              <w:jc w:val="both"/>
              <w:rPr>
                <w:rFonts w:eastAsia="Times New Roman"/>
                <w:color w:val="auto"/>
                <w:sz w:val="18"/>
                <w:szCs w:val="18"/>
                <w:lang w:eastAsia="cs-CZ"/>
              </w:rPr>
            </w:pPr>
            <w:r>
              <w:rPr>
                <w:rFonts w:eastAsia="Times New Roman"/>
                <w:color w:val="auto"/>
                <w:sz w:val="18"/>
                <w:szCs w:val="18"/>
                <w:lang w:eastAsia="cs-CZ"/>
              </w:rPr>
              <w:t>Vysvětleno</w:t>
            </w:r>
          </w:p>
          <w:p w14:paraId="604E030C" w14:textId="77777777" w:rsidR="007A2FC2" w:rsidRPr="00F07CFA" w:rsidRDefault="00AC294C"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lastRenderedPageBreak/>
              <w:t>Cena vychází z nákladů na pronájem m2 pro umístění antény na střeše, která vychází ze zábor</w:t>
            </w:r>
            <w:r w:rsidR="00DA2146">
              <w:rPr>
                <w:rFonts w:eastAsia="Times New Roman"/>
                <w:color w:val="auto"/>
                <w:sz w:val="18"/>
                <w:szCs w:val="18"/>
                <w:lang w:eastAsia="cs-CZ"/>
              </w:rPr>
              <w:t>u plochy 1,69 m2 (1,3 m x 1,3 m).</w:t>
            </w:r>
          </w:p>
        </w:tc>
      </w:tr>
      <w:tr w:rsidR="007A2FC2" w:rsidRPr="00F07CFA" w14:paraId="498C0970" w14:textId="77777777" w:rsidTr="00603E63">
        <w:tc>
          <w:tcPr>
            <w:tcW w:w="1135" w:type="dxa"/>
          </w:tcPr>
          <w:p w14:paraId="120B9677" w14:textId="77777777" w:rsidR="007A2FC2" w:rsidRPr="00F07CFA" w:rsidRDefault="007A2FC2" w:rsidP="007A2FC2">
            <w:pPr>
              <w:pStyle w:val="Default"/>
              <w:ind w:right="-108"/>
              <w:rPr>
                <w:bCs/>
                <w:sz w:val="18"/>
                <w:szCs w:val="18"/>
              </w:rPr>
            </w:pPr>
            <w:r w:rsidRPr="00F07CFA">
              <w:rPr>
                <w:sz w:val="18"/>
                <w:szCs w:val="18"/>
              </w:rPr>
              <w:lastRenderedPageBreak/>
              <w:t>Výrok I, odst. 2</w:t>
            </w:r>
          </w:p>
        </w:tc>
        <w:tc>
          <w:tcPr>
            <w:tcW w:w="3011" w:type="dxa"/>
          </w:tcPr>
          <w:p w14:paraId="61980C79" w14:textId="77777777" w:rsidR="007A2FC2" w:rsidRPr="00F07CFA" w:rsidRDefault="007A2FC2" w:rsidP="007A2FC2">
            <w:pPr>
              <w:jc w:val="both"/>
              <w:rPr>
                <w:rFonts w:ascii="Arial" w:hAnsi="Arial" w:cs="Arial"/>
                <w:color w:val="000000"/>
                <w:sz w:val="18"/>
                <w:szCs w:val="18"/>
              </w:rPr>
            </w:pPr>
            <w:r w:rsidRPr="00F07CFA">
              <w:rPr>
                <w:rFonts w:ascii="Arial" w:hAnsi="Arial" w:cs="Arial"/>
                <w:color w:val="000000" w:themeColor="text1"/>
                <w:sz w:val="18"/>
                <w:szCs w:val="18"/>
              </w:rPr>
              <w:t>Ceny za poskytnutí služeb přístupu k přiřazeným prostředkům byly stanoveny na základě zásady nákladové orientace.</w:t>
            </w:r>
          </w:p>
        </w:tc>
        <w:tc>
          <w:tcPr>
            <w:tcW w:w="2234" w:type="dxa"/>
          </w:tcPr>
          <w:p w14:paraId="21237578" w14:textId="77777777" w:rsidR="002A2D3B" w:rsidRDefault="007A2FC2" w:rsidP="007A2FC2">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685E4B91" w14:textId="77777777" w:rsidR="007A2FC2" w:rsidRPr="00F07CFA" w:rsidRDefault="00DA2146" w:rsidP="007A2FC2">
            <w:pPr>
              <w:autoSpaceDE w:val="0"/>
              <w:autoSpaceDN w:val="0"/>
              <w:adjustRightInd w:val="0"/>
              <w:rPr>
                <w:rFonts w:ascii="Arial" w:hAnsi="Arial" w:cs="Arial"/>
                <w:color w:val="000000"/>
                <w:sz w:val="18"/>
                <w:szCs w:val="18"/>
              </w:rPr>
            </w:pPr>
            <w:r>
              <w:rPr>
                <w:rFonts w:ascii="Arial" w:hAnsi="Arial" w:cs="Arial"/>
                <w:sz w:val="18"/>
                <w:szCs w:val="18"/>
              </w:rPr>
              <w:t>(32</w:t>
            </w:r>
            <w:r w:rsidR="007A2FC2" w:rsidRPr="00F07CFA">
              <w:rPr>
                <w:rFonts w:ascii="Arial" w:hAnsi="Arial" w:cs="Arial"/>
                <w:sz w:val="18"/>
                <w:szCs w:val="18"/>
              </w:rPr>
              <w:t>)</w:t>
            </w:r>
          </w:p>
        </w:tc>
        <w:tc>
          <w:tcPr>
            <w:tcW w:w="4111" w:type="dxa"/>
          </w:tcPr>
          <w:p w14:paraId="0485E4C1" w14:textId="77777777" w:rsidR="007A2FC2" w:rsidRPr="00F07CFA" w:rsidRDefault="007A2FC2" w:rsidP="007A2FC2">
            <w:pPr>
              <w:autoSpaceDE w:val="0"/>
              <w:autoSpaceDN w:val="0"/>
              <w:adjustRightInd w:val="0"/>
              <w:jc w:val="both"/>
              <w:rPr>
                <w:rFonts w:ascii="Arial" w:hAnsi="Arial" w:cs="Arial"/>
                <w:color w:val="000000"/>
                <w:sz w:val="18"/>
                <w:szCs w:val="18"/>
              </w:rPr>
            </w:pPr>
            <w:r w:rsidRPr="00F07CFA">
              <w:rPr>
                <w:rFonts w:ascii="Arial" w:hAnsi="Arial" w:cs="Arial"/>
                <w:color w:val="000000"/>
                <w:sz w:val="18"/>
                <w:szCs w:val="18"/>
              </w:rPr>
              <w:t xml:space="preserve">Společnost Vodafone je přesvědčena, že pokud má být dosažen výše uvedený smysl nákladové orientace i v praxi, je nezbytné, aby Úřad byl schopen velmi rychle, tj. v řádu několika málo měsíců, rozhodnout případný spor o výši dotčených cen v rámci jednání o uzavření dodatku mezi O2 a alternativním operátorem. Pro rychlý postup musí mít Úřad dostatečně rychle k dispozici relevantní podklady pro ověření příslušných nákladů O2. Na základě paralelně konzultovaného návrhu REM 4 předpokládáme, že tyto podklady by mu měla bezezbytku, případně s možností rychlého doplnění, zajistit povinnost oddělené evidence nákladů a výnosů O2, která má být vedena tak, aby poskytovala vstupy pro ověření cen modelem LRIC+. Dle našeho předpokladu by proto v případě sporu neměla pro ověření nákladové orientace vzniknout potřeba vyžadovat další vstupy od O2, případně neměla by taková potřeba vzniknout ve větším rozsahu. </w:t>
            </w:r>
          </w:p>
          <w:p w14:paraId="1FA562E2" w14:textId="77777777" w:rsidR="007A2FC2" w:rsidRPr="00F07CFA" w:rsidRDefault="007A2FC2" w:rsidP="007A2FC2">
            <w:pPr>
              <w:autoSpaceDE w:val="0"/>
              <w:autoSpaceDN w:val="0"/>
              <w:adjustRightInd w:val="0"/>
              <w:jc w:val="both"/>
              <w:rPr>
                <w:rFonts w:ascii="Arial" w:hAnsi="Arial" w:cs="Arial"/>
                <w:color w:val="000000"/>
                <w:sz w:val="18"/>
                <w:szCs w:val="18"/>
              </w:rPr>
            </w:pPr>
            <w:r w:rsidRPr="00F07CFA">
              <w:rPr>
                <w:rFonts w:ascii="Arial" w:hAnsi="Arial" w:cs="Arial"/>
                <w:color w:val="000000"/>
                <w:sz w:val="18"/>
                <w:szCs w:val="18"/>
              </w:rPr>
              <w:t>Považujeme za nutné, aby tyto předpoklady uvedené v předchozím odstavci Úřad v rámci odůvodnění CEN 4 potvrdil.</w:t>
            </w:r>
          </w:p>
          <w:p w14:paraId="26CF365E" w14:textId="77777777" w:rsidR="007A2FC2" w:rsidRPr="00F07CFA" w:rsidRDefault="007A2FC2" w:rsidP="007A2FC2">
            <w:pPr>
              <w:autoSpaceDE w:val="0"/>
              <w:autoSpaceDN w:val="0"/>
              <w:adjustRightInd w:val="0"/>
              <w:jc w:val="both"/>
              <w:rPr>
                <w:rFonts w:ascii="Arial" w:hAnsi="Arial" w:cs="Arial"/>
                <w:color w:val="000000"/>
                <w:sz w:val="18"/>
                <w:szCs w:val="18"/>
              </w:rPr>
            </w:pPr>
            <w:r w:rsidRPr="00F07CFA">
              <w:rPr>
                <w:rFonts w:ascii="Arial" w:hAnsi="Arial" w:cs="Arial"/>
                <w:bCs/>
                <w:sz w:val="18"/>
                <w:szCs w:val="18"/>
              </w:rPr>
              <w:t>Žádáme, aby ČTÚ doplnil odůvodnění CEN 4 tak, aby bylo poskytnuto ujištění, že v případě sporu o cenu bude mít okamžitě k dispozici dostatek podkladů pro ověření dodržení povinnosti nákladové orientace ze strany O2, a to na základě výkazů oddělené evidence, kterou bude mít O2 povinnost vést podle REM 4. Pokud by Úřad došel k závěru, že podklady nebudou takto k dispozici, žádáme, aby úpravou REM 4, případně CEN 4 zajistil včasnou dostupnost těchto podkladů.</w:t>
            </w:r>
          </w:p>
        </w:tc>
        <w:tc>
          <w:tcPr>
            <w:tcW w:w="4678" w:type="dxa"/>
          </w:tcPr>
          <w:p w14:paraId="76658BD0" w14:textId="77777777" w:rsidR="00127CD3" w:rsidRPr="00F07CFA" w:rsidRDefault="00127CD3"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Neakceptováno</w:t>
            </w:r>
          </w:p>
          <w:p w14:paraId="30B19855" w14:textId="7D663079" w:rsidR="00EA4063" w:rsidRDefault="00127CD3"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Požadované rozšíření rozhodnutí</w:t>
            </w:r>
            <w:r w:rsidR="00AF17A4">
              <w:rPr>
                <w:rFonts w:eastAsia="Times New Roman"/>
                <w:color w:val="auto"/>
                <w:sz w:val="18"/>
                <w:szCs w:val="18"/>
                <w:lang w:eastAsia="cs-CZ"/>
              </w:rPr>
              <w:t xml:space="preserve"> o ceně</w:t>
            </w:r>
            <w:r w:rsidRPr="00F07CFA">
              <w:rPr>
                <w:rFonts w:eastAsia="Times New Roman"/>
                <w:color w:val="auto"/>
                <w:sz w:val="18"/>
                <w:szCs w:val="18"/>
                <w:lang w:eastAsia="cs-CZ"/>
              </w:rPr>
              <w:t xml:space="preserve"> v části odůvodnění není nutné. Úřad </w:t>
            </w:r>
            <w:r w:rsidR="00FC0200" w:rsidRPr="00F07CFA">
              <w:rPr>
                <w:rFonts w:eastAsia="Times New Roman"/>
                <w:color w:val="auto"/>
                <w:sz w:val="18"/>
                <w:szCs w:val="18"/>
                <w:lang w:eastAsia="cs-CZ"/>
              </w:rPr>
              <w:t xml:space="preserve">očekává, </w:t>
            </w:r>
            <w:r w:rsidRPr="00F07CFA">
              <w:rPr>
                <w:rFonts w:eastAsia="Times New Roman"/>
                <w:color w:val="auto"/>
                <w:sz w:val="18"/>
                <w:szCs w:val="18"/>
                <w:lang w:eastAsia="cs-CZ"/>
              </w:rPr>
              <w:t xml:space="preserve">že na základě uložených nápravných opatření na trhu č. 4 bude </w:t>
            </w:r>
            <w:r w:rsidR="00FC0200" w:rsidRPr="00F07CFA">
              <w:rPr>
                <w:rFonts w:eastAsia="Times New Roman"/>
                <w:color w:val="auto"/>
                <w:sz w:val="18"/>
                <w:szCs w:val="18"/>
                <w:lang w:eastAsia="cs-CZ"/>
              </w:rPr>
              <w:t>zveřejněna</w:t>
            </w:r>
            <w:r w:rsidRPr="00F07CFA">
              <w:rPr>
                <w:rFonts w:eastAsia="Times New Roman"/>
                <w:color w:val="auto"/>
                <w:sz w:val="18"/>
                <w:szCs w:val="18"/>
                <w:lang w:eastAsia="cs-CZ"/>
              </w:rPr>
              <w:t xml:space="preserve"> </w:t>
            </w:r>
            <w:r w:rsidR="00FC0200" w:rsidRPr="00F07CFA">
              <w:rPr>
                <w:rFonts w:eastAsia="Times New Roman"/>
                <w:color w:val="auto"/>
                <w:sz w:val="18"/>
                <w:szCs w:val="18"/>
                <w:lang w:eastAsia="cs-CZ"/>
              </w:rPr>
              <w:t xml:space="preserve">změněná </w:t>
            </w:r>
            <w:r w:rsidR="00FC0200" w:rsidRPr="00F07CFA">
              <w:rPr>
                <w:sz w:val="18"/>
                <w:szCs w:val="18"/>
              </w:rPr>
              <w:t xml:space="preserve">referenční nabídka, která </w:t>
            </w:r>
            <w:r w:rsidR="00FC0200" w:rsidRPr="00F07CFA">
              <w:rPr>
                <w:rFonts w:eastAsia="Times New Roman"/>
                <w:color w:val="auto"/>
                <w:sz w:val="18"/>
                <w:szCs w:val="18"/>
                <w:lang w:eastAsia="cs-CZ"/>
              </w:rPr>
              <w:t xml:space="preserve">definuje služby </w:t>
            </w:r>
            <w:r w:rsidR="00FC0200" w:rsidRPr="00F07CFA">
              <w:rPr>
                <w:color w:val="000000" w:themeColor="text1"/>
                <w:sz w:val="18"/>
                <w:szCs w:val="18"/>
              </w:rPr>
              <w:t xml:space="preserve">přístupu k přiřazeným prostředkům </w:t>
            </w:r>
            <w:r w:rsidR="00C10D17" w:rsidRPr="00F07CFA">
              <w:rPr>
                <w:color w:val="000000" w:themeColor="text1"/>
                <w:sz w:val="18"/>
                <w:szCs w:val="18"/>
              </w:rPr>
              <w:t xml:space="preserve">jak </w:t>
            </w:r>
            <w:r w:rsidR="00FC0200" w:rsidRPr="00F07CFA">
              <w:rPr>
                <w:rFonts w:eastAsia="Times New Roman"/>
                <w:color w:val="auto"/>
                <w:sz w:val="18"/>
                <w:szCs w:val="18"/>
                <w:lang w:eastAsia="cs-CZ"/>
              </w:rPr>
              <w:t>po věcné stránce</w:t>
            </w:r>
            <w:r w:rsidR="00341E6D">
              <w:rPr>
                <w:rFonts w:eastAsia="Times New Roman"/>
                <w:color w:val="auto"/>
                <w:sz w:val="18"/>
                <w:szCs w:val="18"/>
                <w:lang w:eastAsia="cs-CZ"/>
              </w:rPr>
              <w:t>, tak včetně uvedení</w:t>
            </w:r>
            <w:r w:rsidR="00AF17A4">
              <w:rPr>
                <w:rFonts w:eastAsia="Times New Roman"/>
                <w:color w:val="auto"/>
                <w:sz w:val="18"/>
                <w:szCs w:val="18"/>
                <w:lang w:eastAsia="cs-CZ"/>
              </w:rPr>
              <w:t xml:space="preserve"> konkrétních</w:t>
            </w:r>
            <w:r w:rsidR="00341E6D">
              <w:rPr>
                <w:rFonts w:eastAsia="Times New Roman"/>
                <w:color w:val="auto"/>
                <w:sz w:val="18"/>
                <w:szCs w:val="18"/>
                <w:lang w:eastAsia="cs-CZ"/>
              </w:rPr>
              <w:t xml:space="preserve"> </w:t>
            </w:r>
            <w:r w:rsidR="00FC0200" w:rsidRPr="00F07CFA">
              <w:rPr>
                <w:rFonts w:eastAsia="Times New Roman"/>
                <w:color w:val="auto"/>
                <w:sz w:val="18"/>
                <w:szCs w:val="18"/>
                <w:lang w:eastAsia="cs-CZ"/>
              </w:rPr>
              <w:t>cen</w:t>
            </w:r>
            <w:r w:rsidR="006C2895">
              <w:rPr>
                <w:rFonts w:eastAsia="Times New Roman"/>
                <w:color w:val="auto"/>
                <w:sz w:val="18"/>
                <w:szCs w:val="18"/>
                <w:lang w:eastAsia="cs-CZ"/>
              </w:rPr>
              <w:t>, které budou na základě uložené povinnosti nákladově orientované</w:t>
            </w:r>
            <w:r w:rsidR="00FC0200" w:rsidRPr="00F07CFA">
              <w:rPr>
                <w:rFonts w:eastAsia="Times New Roman"/>
                <w:color w:val="auto"/>
                <w:sz w:val="18"/>
                <w:szCs w:val="18"/>
                <w:lang w:eastAsia="cs-CZ"/>
              </w:rPr>
              <w:t xml:space="preserve">. </w:t>
            </w:r>
            <w:r w:rsidR="00AF17A4">
              <w:rPr>
                <w:rFonts w:eastAsia="Times New Roman"/>
                <w:color w:val="auto"/>
                <w:sz w:val="18"/>
                <w:szCs w:val="18"/>
                <w:lang w:eastAsia="cs-CZ"/>
              </w:rPr>
              <w:t>Úřad bude plnění povinností uložených podniku SMP kontrolovat</w:t>
            </w:r>
            <w:r w:rsidR="006C2895">
              <w:rPr>
                <w:rFonts w:eastAsia="Times New Roman"/>
                <w:color w:val="auto"/>
                <w:sz w:val="18"/>
                <w:szCs w:val="18"/>
                <w:lang w:eastAsia="cs-CZ"/>
              </w:rPr>
              <w:t xml:space="preserve"> a s předpokladem, že bude povinnost splněna</w:t>
            </w:r>
            <w:r w:rsidR="005376B1">
              <w:rPr>
                <w:rFonts w:eastAsia="Times New Roman"/>
                <w:color w:val="auto"/>
                <w:sz w:val="18"/>
                <w:szCs w:val="18"/>
                <w:lang w:eastAsia="cs-CZ"/>
              </w:rPr>
              <w:t>,</w:t>
            </w:r>
            <w:r w:rsidR="006C2895">
              <w:rPr>
                <w:rFonts w:eastAsia="Times New Roman"/>
                <w:color w:val="auto"/>
                <w:sz w:val="18"/>
                <w:szCs w:val="18"/>
                <w:lang w:eastAsia="cs-CZ"/>
              </w:rPr>
              <w:t xml:space="preserve"> </w:t>
            </w:r>
            <w:r w:rsidR="004B31BD">
              <w:rPr>
                <w:rFonts w:eastAsia="Times New Roman"/>
                <w:color w:val="auto"/>
                <w:sz w:val="18"/>
                <w:szCs w:val="18"/>
                <w:lang w:eastAsia="cs-CZ"/>
              </w:rPr>
              <w:t xml:space="preserve">by </w:t>
            </w:r>
            <w:r w:rsidR="006C2895">
              <w:rPr>
                <w:rFonts w:eastAsia="Times New Roman"/>
                <w:color w:val="auto"/>
                <w:sz w:val="18"/>
                <w:szCs w:val="18"/>
                <w:lang w:eastAsia="cs-CZ"/>
              </w:rPr>
              <w:t xml:space="preserve">neměl vzniknout spor o cenu. </w:t>
            </w:r>
            <w:r w:rsidR="005376B1">
              <w:rPr>
                <w:rFonts w:eastAsia="Times New Roman"/>
                <w:color w:val="auto"/>
                <w:sz w:val="18"/>
                <w:szCs w:val="18"/>
                <w:lang w:eastAsia="cs-CZ"/>
              </w:rPr>
              <w:t>Úřad doplňuje, že kontrola plnění povinností bude probíhat pravidelně na základě auditovaných výsledků oddělené evidence nákladů a výnosů. Poprvé po vydání referenční nabídky na základě uložené povinnosti.</w:t>
            </w:r>
            <w:r w:rsidR="0053283E">
              <w:rPr>
                <w:rFonts w:eastAsia="Times New Roman"/>
                <w:color w:val="auto"/>
                <w:sz w:val="18"/>
                <w:szCs w:val="18"/>
                <w:lang w:eastAsia="cs-CZ"/>
              </w:rPr>
              <w:t xml:space="preserve"> </w:t>
            </w:r>
          </w:p>
          <w:p w14:paraId="282DD2C4" w14:textId="6F86E655" w:rsidR="00127CD3" w:rsidRPr="00F07CFA" w:rsidRDefault="0053283E"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t xml:space="preserve">Oddělená evidence je </w:t>
            </w:r>
            <w:r w:rsidR="00EA4063">
              <w:rPr>
                <w:rFonts w:eastAsia="Times New Roman"/>
                <w:color w:val="auto"/>
                <w:sz w:val="18"/>
                <w:szCs w:val="18"/>
                <w:lang w:eastAsia="cs-CZ"/>
              </w:rPr>
              <w:t xml:space="preserve">jednotný provázaný systém vedený na základě definovaných pravidel </w:t>
            </w:r>
            <w:r>
              <w:rPr>
                <w:rFonts w:eastAsia="Times New Roman"/>
                <w:color w:val="auto"/>
                <w:sz w:val="18"/>
                <w:szCs w:val="18"/>
                <w:lang w:eastAsia="cs-CZ"/>
              </w:rPr>
              <w:t xml:space="preserve">konzistentně jednou metodikou </w:t>
            </w:r>
            <w:r w:rsidR="00EA4063">
              <w:rPr>
                <w:rFonts w:eastAsia="Times New Roman"/>
                <w:color w:val="auto"/>
                <w:sz w:val="18"/>
                <w:szCs w:val="18"/>
                <w:lang w:eastAsia="cs-CZ"/>
              </w:rPr>
              <w:t xml:space="preserve">u všech vykazovaných služeb. </w:t>
            </w:r>
            <w:r w:rsidR="00C9326A">
              <w:rPr>
                <w:rFonts w:eastAsia="Times New Roman"/>
                <w:color w:val="auto"/>
                <w:sz w:val="18"/>
                <w:szCs w:val="18"/>
                <w:lang w:eastAsia="cs-CZ"/>
              </w:rPr>
              <w:t>Ve vztahu k připomínce týkající se uložení povinnosti oddělené evidence nákladů a výnosů v REM 4 Úřad uvádí, že povinnost bude</w:t>
            </w:r>
            <w:r w:rsidR="00EA4063">
              <w:rPr>
                <w:rFonts w:eastAsia="Times New Roman"/>
                <w:color w:val="auto"/>
                <w:sz w:val="18"/>
                <w:szCs w:val="18"/>
                <w:lang w:eastAsia="cs-CZ"/>
              </w:rPr>
              <w:t xml:space="preserve"> ve vztahu ke službám přístupu k prvkům pasivní infrastruktury</w:t>
            </w:r>
            <w:r w:rsidR="00C9326A">
              <w:rPr>
                <w:rFonts w:eastAsia="Times New Roman"/>
                <w:color w:val="auto"/>
                <w:sz w:val="18"/>
                <w:szCs w:val="18"/>
                <w:lang w:eastAsia="cs-CZ"/>
              </w:rPr>
              <w:t xml:space="preserve"> uložena stejným způsobem</w:t>
            </w:r>
            <w:r w:rsidR="00EA4063">
              <w:rPr>
                <w:rFonts w:eastAsia="Times New Roman"/>
                <w:color w:val="auto"/>
                <w:sz w:val="18"/>
                <w:szCs w:val="18"/>
                <w:lang w:eastAsia="cs-CZ"/>
              </w:rPr>
              <w:t>,</w:t>
            </w:r>
            <w:r w:rsidR="00C9326A">
              <w:rPr>
                <w:rFonts w:eastAsia="Times New Roman"/>
                <w:color w:val="auto"/>
                <w:sz w:val="18"/>
                <w:szCs w:val="18"/>
                <w:lang w:eastAsia="cs-CZ"/>
              </w:rPr>
              <w:t xml:space="preserve"> jako u služeb, u kterých jsou </w:t>
            </w:r>
            <w:r w:rsidR="00EA4063">
              <w:rPr>
                <w:rFonts w:eastAsia="Times New Roman"/>
                <w:color w:val="auto"/>
                <w:sz w:val="18"/>
                <w:szCs w:val="18"/>
                <w:lang w:eastAsia="cs-CZ"/>
              </w:rPr>
              <w:t xml:space="preserve">modely typu LRIC </w:t>
            </w:r>
            <w:r w:rsidR="00C9326A">
              <w:rPr>
                <w:rFonts w:eastAsia="Times New Roman"/>
                <w:color w:val="auto"/>
                <w:sz w:val="18"/>
                <w:szCs w:val="18"/>
                <w:lang w:eastAsia="cs-CZ"/>
              </w:rPr>
              <w:t>rovněž využívány</w:t>
            </w:r>
            <w:r w:rsidR="00EA4063">
              <w:rPr>
                <w:rFonts w:eastAsia="Times New Roman"/>
                <w:color w:val="auto"/>
                <w:sz w:val="18"/>
                <w:szCs w:val="18"/>
                <w:lang w:eastAsia="cs-CZ"/>
              </w:rPr>
              <w:t xml:space="preserve"> pro cenovou regulaci.</w:t>
            </w:r>
          </w:p>
          <w:p w14:paraId="00FB7389" w14:textId="77777777" w:rsidR="007A2FC2" w:rsidRPr="00F07CFA" w:rsidRDefault="007A2FC2" w:rsidP="002A2D3B">
            <w:pPr>
              <w:pStyle w:val="Default"/>
              <w:spacing w:after="60"/>
              <w:jc w:val="both"/>
              <w:rPr>
                <w:rFonts w:eastAsia="Times New Roman"/>
                <w:color w:val="auto"/>
                <w:sz w:val="18"/>
                <w:szCs w:val="18"/>
                <w:lang w:eastAsia="cs-CZ"/>
              </w:rPr>
            </w:pPr>
          </w:p>
        </w:tc>
      </w:tr>
      <w:tr w:rsidR="00AD5C10" w:rsidRPr="00F07CFA" w14:paraId="5690DC50" w14:textId="77777777" w:rsidTr="00603E63">
        <w:tc>
          <w:tcPr>
            <w:tcW w:w="1135" w:type="dxa"/>
          </w:tcPr>
          <w:p w14:paraId="1C52F026" w14:textId="77777777" w:rsidR="00AD5C10" w:rsidRPr="00F07CFA" w:rsidRDefault="00AD5C10" w:rsidP="00AD5C10">
            <w:pPr>
              <w:pStyle w:val="Default"/>
              <w:ind w:right="-108"/>
              <w:rPr>
                <w:bCs/>
                <w:sz w:val="18"/>
                <w:szCs w:val="18"/>
              </w:rPr>
            </w:pPr>
            <w:r w:rsidRPr="00F07CFA">
              <w:rPr>
                <w:sz w:val="18"/>
                <w:szCs w:val="18"/>
              </w:rPr>
              <w:t>Výrok I, odst. 2</w:t>
            </w:r>
          </w:p>
        </w:tc>
        <w:tc>
          <w:tcPr>
            <w:tcW w:w="3011" w:type="dxa"/>
          </w:tcPr>
          <w:p w14:paraId="34D3944F" w14:textId="77777777" w:rsidR="00AD5C10" w:rsidRPr="00F07CFA" w:rsidRDefault="00AD5C10" w:rsidP="00AD5C10">
            <w:pPr>
              <w:jc w:val="both"/>
              <w:rPr>
                <w:rFonts w:ascii="Arial" w:hAnsi="Arial" w:cs="Arial"/>
                <w:color w:val="000000"/>
                <w:sz w:val="18"/>
                <w:szCs w:val="18"/>
              </w:rPr>
            </w:pPr>
            <w:r w:rsidRPr="00F07CFA">
              <w:rPr>
                <w:rFonts w:ascii="Arial" w:hAnsi="Arial" w:cs="Arial"/>
                <w:sz w:val="18"/>
                <w:szCs w:val="18"/>
              </w:rPr>
              <w:t>Ceny za poskytnutí služeb přístupu k přiřazeným prostředkům byly stanoveny na základě zásady nákladové orientace.</w:t>
            </w:r>
          </w:p>
        </w:tc>
        <w:tc>
          <w:tcPr>
            <w:tcW w:w="2234" w:type="dxa"/>
          </w:tcPr>
          <w:p w14:paraId="33ED5E83" w14:textId="77777777" w:rsidR="002A2D3B" w:rsidRDefault="00AD5C10" w:rsidP="005E3470">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344F89D4" w14:textId="77777777" w:rsidR="00AD5C10" w:rsidRPr="00F07CFA" w:rsidRDefault="00AD5C10" w:rsidP="005E3470">
            <w:pPr>
              <w:autoSpaceDE w:val="0"/>
              <w:autoSpaceDN w:val="0"/>
              <w:adjustRightInd w:val="0"/>
              <w:rPr>
                <w:rFonts w:ascii="Arial" w:hAnsi="Arial" w:cs="Arial"/>
                <w:color w:val="000000"/>
                <w:sz w:val="18"/>
                <w:szCs w:val="18"/>
              </w:rPr>
            </w:pPr>
            <w:r w:rsidRPr="00F07CFA">
              <w:rPr>
                <w:rFonts w:ascii="Arial" w:hAnsi="Arial" w:cs="Arial"/>
                <w:sz w:val="18"/>
                <w:szCs w:val="18"/>
              </w:rPr>
              <w:t>(3</w:t>
            </w:r>
            <w:r w:rsidR="005E3470">
              <w:rPr>
                <w:rFonts w:ascii="Arial" w:hAnsi="Arial" w:cs="Arial"/>
                <w:sz w:val="18"/>
                <w:szCs w:val="18"/>
              </w:rPr>
              <w:t>3</w:t>
            </w:r>
            <w:r w:rsidRPr="00F07CFA">
              <w:rPr>
                <w:rFonts w:ascii="Arial" w:hAnsi="Arial" w:cs="Arial"/>
                <w:sz w:val="18"/>
                <w:szCs w:val="18"/>
              </w:rPr>
              <w:t>)</w:t>
            </w:r>
          </w:p>
        </w:tc>
        <w:tc>
          <w:tcPr>
            <w:tcW w:w="4111" w:type="dxa"/>
          </w:tcPr>
          <w:p w14:paraId="6A67535E" w14:textId="77777777" w:rsidR="00AD5C10" w:rsidRPr="00F07CFA" w:rsidRDefault="00AD5C10" w:rsidP="00AD5C10">
            <w:pPr>
              <w:autoSpaceDE w:val="0"/>
              <w:autoSpaceDN w:val="0"/>
              <w:adjustRightInd w:val="0"/>
              <w:jc w:val="both"/>
              <w:rPr>
                <w:rFonts w:ascii="Arial" w:hAnsi="Arial" w:cs="Arial"/>
                <w:color w:val="000000"/>
                <w:sz w:val="18"/>
                <w:szCs w:val="18"/>
              </w:rPr>
            </w:pPr>
            <w:r w:rsidRPr="00F07CFA">
              <w:rPr>
                <w:rFonts w:ascii="Arial" w:hAnsi="Arial" w:cs="Arial"/>
                <w:bCs/>
                <w:color w:val="000000"/>
                <w:sz w:val="18"/>
                <w:szCs w:val="18"/>
              </w:rPr>
              <w:t xml:space="preserve">V případě zachování nákladové orientace pro ceny přístupu k pasivní infrastruktuře, žádáme o úpravu první věty návrhu výroku I. odst. 2 tak, aby zněla: </w:t>
            </w:r>
          </w:p>
          <w:p w14:paraId="18F636AF" w14:textId="2E986FE0" w:rsidR="00AD5C10" w:rsidRPr="00F07CFA" w:rsidRDefault="00AD5C10" w:rsidP="00AD5C10">
            <w:pPr>
              <w:autoSpaceDE w:val="0"/>
              <w:autoSpaceDN w:val="0"/>
              <w:adjustRightInd w:val="0"/>
              <w:jc w:val="both"/>
              <w:rPr>
                <w:rFonts w:ascii="Arial" w:hAnsi="Arial" w:cs="Arial"/>
                <w:color w:val="000000"/>
                <w:sz w:val="18"/>
                <w:szCs w:val="18"/>
              </w:rPr>
            </w:pPr>
            <w:r w:rsidRPr="00F07CFA">
              <w:rPr>
                <w:rFonts w:ascii="Arial" w:hAnsi="Arial" w:cs="Arial"/>
                <w:bCs/>
                <w:color w:val="000000"/>
                <w:sz w:val="18"/>
                <w:szCs w:val="18"/>
              </w:rPr>
              <w:t>„ceny za poskytnutí služeb přístupu k přiřazeným prostř</w:t>
            </w:r>
            <w:r w:rsidR="005B7ABF">
              <w:rPr>
                <w:rFonts w:ascii="Arial" w:hAnsi="Arial" w:cs="Arial"/>
                <w:bCs/>
                <w:color w:val="000000"/>
                <w:sz w:val="18"/>
                <w:szCs w:val="18"/>
              </w:rPr>
              <w:t>edkům, zejména ke kabelovodům a </w:t>
            </w:r>
            <w:r w:rsidRPr="00F07CFA">
              <w:rPr>
                <w:rFonts w:ascii="Arial" w:hAnsi="Arial" w:cs="Arial"/>
                <w:bCs/>
                <w:color w:val="000000"/>
                <w:sz w:val="18"/>
                <w:szCs w:val="18"/>
              </w:rPr>
              <w:t>chráničkám, a přístupu k nenasvíceným optickým vláknům“.</w:t>
            </w:r>
          </w:p>
        </w:tc>
        <w:tc>
          <w:tcPr>
            <w:tcW w:w="4678" w:type="dxa"/>
          </w:tcPr>
          <w:p w14:paraId="389CA2E1" w14:textId="77777777" w:rsidR="00AD5C10" w:rsidRPr="00F07CFA" w:rsidRDefault="00AD5C10" w:rsidP="002A2D3B">
            <w:pPr>
              <w:pStyle w:val="Default"/>
              <w:spacing w:after="60"/>
              <w:jc w:val="both"/>
              <w:rPr>
                <w:rFonts w:eastAsia="Times New Roman"/>
                <w:color w:val="auto"/>
                <w:sz w:val="18"/>
                <w:szCs w:val="18"/>
                <w:lang w:eastAsia="cs-CZ"/>
              </w:rPr>
            </w:pPr>
            <w:r w:rsidRPr="00F07CFA">
              <w:rPr>
                <w:rFonts w:eastAsia="Times New Roman"/>
                <w:color w:val="auto"/>
                <w:sz w:val="18"/>
                <w:szCs w:val="18"/>
                <w:lang w:eastAsia="cs-CZ"/>
              </w:rPr>
              <w:t>Akceptováno</w:t>
            </w:r>
          </w:p>
          <w:p w14:paraId="6C215A44" w14:textId="76B216E0" w:rsidR="00AD5C10" w:rsidRPr="00F07CFA" w:rsidRDefault="007654B9" w:rsidP="007654B9">
            <w:pPr>
              <w:pStyle w:val="Default"/>
              <w:spacing w:after="60"/>
              <w:jc w:val="both"/>
              <w:rPr>
                <w:rFonts w:eastAsia="Times New Roman"/>
                <w:color w:val="auto"/>
                <w:sz w:val="18"/>
                <w:szCs w:val="18"/>
                <w:lang w:eastAsia="cs-CZ"/>
              </w:rPr>
            </w:pPr>
            <w:r>
              <w:rPr>
                <w:bCs/>
                <w:sz w:val="18"/>
                <w:szCs w:val="18"/>
              </w:rPr>
              <w:t>Úřad část</w:t>
            </w:r>
            <w:r w:rsidR="00AD5C10" w:rsidRPr="00F07CFA">
              <w:rPr>
                <w:bCs/>
                <w:sz w:val="18"/>
                <w:szCs w:val="18"/>
              </w:rPr>
              <w:t xml:space="preserve"> I. odst. 2</w:t>
            </w:r>
            <w:r>
              <w:rPr>
                <w:bCs/>
                <w:sz w:val="18"/>
                <w:szCs w:val="18"/>
              </w:rPr>
              <w:t xml:space="preserve"> výroku rozhodnutí</w:t>
            </w:r>
            <w:r w:rsidR="00AD5C10" w:rsidRPr="00F07CFA">
              <w:rPr>
                <w:rFonts w:eastAsia="Times New Roman"/>
                <w:sz w:val="18"/>
                <w:szCs w:val="18"/>
                <w:lang w:eastAsia="cs-CZ"/>
              </w:rPr>
              <w:t xml:space="preserve"> </w:t>
            </w:r>
            <w:r>
              <w:rPr>
                <w:rFonts w:eastAsia="Times New Roman"/>
                <w:sz w:val="18"/>
                <w:szCs w:val="18"/>
                <w:lang w:eastAsia="cs-CZ"/>
              </w:rPr>
              <w:t>upraví tak, aby byl věcně v souladu se vznesenou připomínkou a zároveň i</w:t>
            </w:r>
            <w:r w:rsidR="005B7ABF">
              <w:rPr>
                <w:rFonts w:eastAsia="Times New Roman"/>
                <w:sz w:val="18"/>
                <w:szCs w:val="18"/>
                <w:lang w:eastAsia="cs-CZ"/>
              </w:rPr>
              <w:t> </w:t>
            </w:r>
            <w:r>
              <w:rPr>
                <w:rFonts w:eastAsia="Times New Roman"/>
                <w:sz w:val="18"/>
                <w:szCs w:val="18"/>
                <w:lang w:eastAsia="cs-CZ"/>
              </w:rPr>
              <w:t>příslušnou částí výroku rozhodnutí o uložení povinností podniku s významnou tržní silou na relevantním trhu č. 4 (REM</w:t>
            </w:r>
            <w:r w:rsidR="005B7ABF">
              <w:rPr>
                <w:rFonts w:eastAsia="Times New Roman"/>
                <w:sz w:val="18"/>
                <w:szCs w:val="18"/>
                <w:lang w:eastAsia="cs-CZ"/>
              </w:rPr>
              <w:t xml:space="preserve"> 4</w:t>
            </w:r>
            <w:r>
              <w:rPr>
                <w:rFonts w:eastAsia="Times New Roman"/>
                <w:sz w:val="18"/>
                <w:szCs w:val="18"/>
                <w:lang w:eastAsia="cs-CZ"/>
              </w:rPr>
              <w:t>).</w:t>
            </w:r>
          </w:p>
        </w:tc>
      </w:tr>
      <w:tr w:rsidR="00AD5C10" w:rsidRPr="00F07CFA" w14:paraId="0465E70C" w14:textId="77777777" w:rsidTr="00603E63">
        <w:tc>
          <w:tcPr>
            <w:tcW w:w="1135" w:type="dxa"/>
          </w:tcPr>
          <w:p w14:paraId="0E60BB69" w14:textId="77777777" w:rsidR="00AD5C10" w:rsidRPr="00F07CFA" w:rsidRDefault="00AD5C10" w:rsidP="00AD5C10">
            <w:pPr>
              <w:pStyle w:val="Default"/>
              <w:ind w:right="-108"/>
              <w:rPr>
                <w:sz w:val="18"/>
                <w:szCs w:val="18"/>
              </w:rPr>
            </w:pPr>
            <w:r w:rsidRPr="00F07CFA">
              <w:rPr>
                <w:bCs/>
                <w:sz w:val="18"/>
                <w:szCs w:val="18"/>
              </w:rPr>
              <w:t>Odůvodnění</w:t>
            </w:r>
          </w:p>
        </w:tc>
        <w:tc>
          <w:tcPr>
            <w:tcW w:w="3011" w:type="dxa"/>
          </w:tcPr>
          <w:p w14:paraId="30027686" w14:textId="77777777" w:rsidR="00AD5C10" w:rsidRPr="00F07CFA" w:rsidRDefault="00AD5C10" w:rsidP="00AD5C10">
            <w:pPr>
              <w:autoSpaceDE w:val="0"/>
              <w:autoSpaceDN w:val="0"/>
              <w:adjustRightInd w:val="0"/>
              <w:jc w:val="both"/>
              <w:rPr>
                <w:rFonts w:ascii="Arial" w:hAnsi="Arial" w:cs="Arial"/>
                <w:color w:val="000000"/>
                <w:sz w:val="18"/>
                <w:szCs w:val="18"/>
              </w:rPr>
            </w:pPr>
            <w:r w:rsidRPr="00F07CFA">
              <w:rPr>
                <w:rFonts w:ascii="Arial" w:hAnsi="Arial" w:cs="Arial"/>
                <w:color w:val="000000"/>
                <w:sz w:val="18"/>
                <w:szCs w:val="18"/>
              </w:rPr>
              <w:t>Stanovené ceny zohledňují efektivní a účelně vynaložené náklady, příslušná rizika a návratnost investic v přiměřeném časovém období v souladu s § 57 odst. 3 Zákona. Procento návratnosti vloženého kapitálu před zdaněním WACC bylo použito ve výši 8,26 %, tedy ve výši stanovené v opatření obecné povahy č. OOP/4/09.2014-6, kterým se stanoví metodika účelového členění nákladů a výnosů a jejich přiřazování a určuje se struktura</w:t>
            </w:r>
            <w:r w:rsidRPr="00F07CFA">
              <w:rPr>
                <w:rFonts w:ascii="Arial" w:hAnsi="Arial" w:cs="Arial"/>
                <w:color w:val="000000"/>
              </w:rPr>
              <w:t xml:space="preserve"> </w:t>
            </w:r>
            <w:r w:rsidRPr="00F07CFA">
              <w:rPr>
                <w:rFonts w:ascii="Arial" w:hAnsi="Arial" w:cs="Arial"/>
                <w:color w:val="000000"/>
                <w:sz w:val="18"/>
                <w:szCs w:val="18"/>
              </w:rPr>
              <w:t>vykazovaných informací (dále jen „OOP č. 4“).</w:t>
            </w:r>
          </w:p>
        </w:tc>
        <w:tc>
          <w:tcPr>
            <w:tcW w:w="2234" w:type="dxa"/>
          </w:tcPr>
          <w:p w14:paraId="6989C22D" w14:textId="77777777" w:rsidR="002A2D3B" w:rsidRDefault="00AD5C10" w:rsidP="00AD5C10">
            <w:pPr>
              <w:autoSpaceDE w:val="0"/>
              <w:autoSpaceDN w:val="0"/>
              <w:adjustRightInd w:val="0"/>
              <w:rPr>
                <w:rFonts w:ascii="Arial" w:hAnsi="Arial" w:cs="Arial"/>
                <w:color w:val="000000"/>
                <w:sz w:val="18"/>
                <w:szCs w:val="18"/>
              </w:rPr>
            </w:pPr>
            <w:r w:rsidRPr="00F07CFA">
              <w:rPr>
                <w:rFonts w:ascii="Arial" w:hAnsi="Arial" w:cs="Arial"/>
                <w:color w:val="000000"/>
                <w:sz w:val="18"/>
                <w:szCs w:val="18"/>
              </w:rPr>
              <w:t xml:space="preserve">Vodafone Czech Republic a.s. </w:t>
            </w:r>
          </w:p>
          <w:p w14:paraId="64EB2DD5" w14:textId="77777777" w:rsidR="00AD5C10" w:rsidRPr="00F07CFA" w:rsidRDefault="00AD5C10" w:rsidP="00AD5C10">
            <w:pPr>
              <w:autoSpaceDE w:val="0"/>
              <w:autoSpaceDN w:val="0"/>
              <w:adjustRightInd w:val="0"/>
              <w:rPr>
                <w:rFonts w:ascii="Arial" w:hAnsi="Arial" w:cs="Arial"/>
                <w:color w:val="000000"/>
                <w:sz w:val="18"/>
                <w:szCs w:val="18"/>
              </w:rPr>
            </w:pPr>
            <w:r w:rsidRPr="00F07CFA">
              <w:rPr>
                <w:rFonts w:ascii="Arial" w:hAnsi="Arial" w:cs="Arial"/>
                <w:sz w:val="18"/>
                <w:szCs w:val="18"/>
              </w:rPr>
              <w:t>(34)</w:t>
            </w:r>
          </w:p>
        </w:tc>
        <w:tc>
          <w:tcPr>
            <w:tcW w:w="4111" w:type="dxa"/>
          </w:tcPr>
          <w:p w14:paraId="2D4A3D64" w14:textId="77777777" w:rsidR="00AD5C10" w:rsidRPr="00F07CFA" w:rsidRDefault="00AD5C10" w:rsidP="00AD5C10">
            <w:pPr>
              <w:pStyle w:val="Default"/>
              <w:jc w:val="both"/>
              <w:rPr>
                <w:sz w:val="18"/>
                <w:szCs w:val="18"/>
              </w:rPr>
            </w:pPr>
            <w:r w:rsidRPr="00F07CFA">
              <w:rPr>
                <w:sz w:val="18"/>
                <w:szCs w:val="18"/>
              </w:rPr>
              <w:t>Z modelu vyplývá, že téměř u každého procesu je uváděn WACC (není však zřejmé, zda je započítáván). U některých položek ale považujeme za zřejmé, že WACC nelze aplikovat, protože se jedná o provozní, a nikoliv investiční náklady. Jako příklad je možné uvést Předběžné/podrobné místní šetření (první/další). U dalších položek, kde by mohl být WACC aplikován, není uvedeno rozdělení nákladů na provozní a investiční a není tak zřejmé, zda je WACC aplikován správně.</w:t>
            </w:r>
          </w:p>
        </w:tc>
        <w:tc>
          <w:tcPr>
            <w:tcW w:w="4678" w:type="dxa"/>
          </w:tcPr>
          <w:p w14:paraId="1421E638" w14:textId="77777777" w:rsidR="002D2A39" w:rsidRDefault="002D2A39" w:rsidP="00892A74">
            <w:pPr>
              <w:pStyle w:val="Default"/>
              <w:spacing w:after="60"/>
              <w:jc w:val="both"/>
              <w:rPr>
                <w:sz w:val="18"/>
                <w:szCs w:val="18"/>
              </w:rPr>
            </w:pPr>
            <w:r>
              <w:rPr>
                <w:sz w:val="18"/>
                <w:szCs w:val="18"/>
              </w:rPr>
              <w:t>Vysvětleno</w:t>
            </w:r>
          </w:p>
          <w:p w14:paraId="7389B15B" w14:textId="77777777" w:rsidR="00AD5C10" w:rsidRPr="00F07CFA" w:rsidRDefault="006E321A" w:rsidP="00892A74">
            <w:pPr>
              <w:pStyle w:val="Default"/>
              <w:spacing w:after="60"/>
              <w:jc w:val="both"/>
              <w:rPr>
                <w:rFonts w:eastAsia="Times New Roman"/>
                <w:color w:val="auto"/>
                <w:sz w:val="18"/>
                <w:szCs w:val="18"/>
                <w:lang w:eastAsia="cs-CZ"/>
              </w:rPr>
            </w:pPr>
            <w:r w:rsidRPr="00F07CFA">
              <w:rPr>
                <w:sz w:val="18"/>
                <w:szCs w:val="18"/>
              </w:rPr>
              <w:t xml:space="preserve">Návratnost vloženého kapitálu před zdaněním WACC je skutečně aplikována pouze </w:t>
            </w:r>
            <w:r w:rsidR="00FA04B6" w:rsidRPr="00F07CFA">
              <w:rPr>
                <w:sz w:val="18"/>
                <w:szCs w:val="18"/>
              </w:rPr>
              <w:t xml:space="preserve">u dlouhodobého majetku, kde se provádí jeho odepisování. U jednorázových cen za jednotlivé dílčí úkony provozního charakteru, kde se použití WACC neočekává, tento náklad představuje alokovaný majetek připadající na vybavení pracovníka majetkem. Jedná se </w:t>
            </w:r>
            <w:r w:rsidR="00004455" w:rsidRPr="00F07CFA">
              <w:rPr>
                <w:sz w:val="18"/>
                <w:szCs w:val="18"/>
              </w:rPr>
              <w:t xml:space="preserve">však </w:t>
            </w:r>
            <w:r w:rsidR="00FA04B6" w:rsidRPr="00F07CFA">
              <w:rPr>
                <w:sz w:val="18"/>
                <w:szCs w:val="18"/>
              </w:rPr>
              <w:t xml:space="preserve">zpravidla </w:t>
            </w:r>
            <w:r w:rsidR="00892A74">
              <w:rPr>
                <w:sz w:val="18"/>
                <w:szCs w:val="18"/>
              </w:rPr>
              <w:t xml:space="preserve">v průměru </w:t>
            </w:r>
            <w:r w:rsidR="00FA04B6" w:rsidRPr="00F07CFA">
              <w:rPr>
                <w:sz w:val="18"/>
                <w:szCs w:val="18"/>
              </w:rPr>
              <w:t xml:space="preserve">o podíl ve výši </w:t>
            </w:r>
            <w:r w:rsidR="00892A74">
              <w:rPr>
                <w:sz w:val="18"/>
                <w:szCs w:val="18"/>
              </w:rPr>
              <w:t>pod</w:t>
            </w:r>
            <w:r w:rsidR="005E3470">
              <w:rPr>
                <w:sz w:val="18"/>
                <w:szCs w:val="18"/>
              </w:rPr>
              <w:t xml:space="preserve"> </w:t>
            </w:r>
            <w:r w:rsidR="00892A74">
              <w:rPr>
                <w:sz w:val="18"/>
                <w:szCs w:val="18"/>
              </w:rPr>
              <w:t>1,5</w:t>
            </w:r>
            <w:r w:rsidR="00FA04B6" w:rsidRPr="00F07CFA">
              <w:rPr>
                <w:sz w:val="18"/>
                <w:szCs w:val="18"/>
              </w:rPr>
              <w:t xml:space="preserve"> % z celkové ceny.</w:t>
            </w:r>
          </w:p>
        </w:tc>
      </w:tr>
      <w:tr w:rsidR="00AD5C10" w:rsidRPr="00F07CFA" w14:paraId="0330E3F9" w14:textId="77777777" w:rsidTr="00603E63">
        <w:tc>
          <w:tcPr>
            <w:tcW w:w="1135" w:type="dxa"/>
          </w:tcPr>
          <w:p w14:paraId="545D7BEB" w14:textId="77777777" w:rsidR="00AD5C10" w:rsidRPr="00F07CFA" w:rsidRDefault="00AD5C10" w:rsidP="00AD5C10">
            <w:pPr>
              <w:pStyle w:val="Default"/>
              <w:ind w:right="-108"/>
              <w:jc w:val="both"/>
              <w:rPr>
                <w:sz w:val="18"/>
                <w:szCs w:val="18"/>
              </w:rPr>
            </w:pPr>
            <w:r w:rsidRPr="00F07CFA">
              <w:rPr>
                <w:bCs/>
                <w:sz w:val="18"/>
                <w:szCs w:val="18"/>
              </w:rPr>
              <w:t>Odůvodnění</w:t>
            </w:r>
          </w:p>
        </w:tc>
        <w:tc>
          <w:tcPr>
            <w:tcW w:w="3011" w:type="dxa"/>
          </w:tcPr>
          <w:p w14:paraId="2167C7EE" w14:textId="77777777" w:rsidR="00AD5C10" w:rsidRPr="00F07CFA" w:rsidRDefault="00AD5C10" w:rsidP="00AD5C10">
            <w:pPr>
              <w:ind w:right="57"/>
              <w:jc w:val="both"/>
              <w:rPr>
                <w:rFonts w:ascii="Arial" w:hAnsi="Arial" w:cs="Arial"/>
                <w:snapToGrid w:val="0"/>
                <w:sz w:val="18"/>
                <w:szCs w:val="18"/>
              </w:rPr>
            </w:pPr>
            <w:r w:rsidRPr="00F07CFA">
              <w:rPr>
                <w:rFonts w:ascii="Arial" w:hAnsi="Arial" w:cs="Arial"/>
                <w:sz w:val="18"/>
                <w:szCs w:val="18"/>
              </w:rPr>
              <w:t xml:space="preserve">Správní orgán v tomto rozhodnutí, v souladu s výsledky analýzy relevantního trhu č. A/4/10.2014-8, dále ukládá cenovou regulaci formou nákladové orientace i pro služby přístupu k přiřazeným prostředkům, jako např. </w:t>
            </w:r>
            <w:r w:rsidRPr="00F07CFA">
              <w:rPr>
                <w:rFonts w:ascii="Arial" w:hAnsi="Arial" w:cs="Arial"/>
                <w:sz w:val="18"/>
                <w:szCs w:val="18"/>
              </w:rPr>
              <w:lastRenderedPageBreak/>
              <w:t>kabelovodům, chráničkám či nenasvíceným optickým vláknům (tj. prvkům pasivní infrastruktury).</w:t>
            </w:r>
          </w:p>
        </w:tc>
        <w:tc>
          <w:tcPr>
            <w:tcW w:w="2234" w:type="dxa"/>
          </w:tcPr>
          <w:p w14:paraId="256DBBF8" w14:textId="77777777" w:rsidR="002A2D3B" w:rsidRDefault="00AD5C10" w:rsidP="00AD5C10">
            <w:pPr>
              <w:autoSpaceDE w:val="0"/>
              <w:autoSpaceDN w:val="0"/>
              <w:adjustRightInd w:val="0"/>
              <w:rPr>
                <w:rFonts w:ascii="Arial" w:hAnsi="Arial" w:cs="Arial"/>
                <w:color w:val="000000"/>
                <w:sz w:val="18"/>
                <w:szCs w:val="18"/>
              </w:rPr>
            </w:pPr>
            <w:r w:rsidRPr="00F07CFA">
              <w:rPr>
                <w:rFonts w:ascii="Arial" w:hAnsi="Arial" w:cs="Arial"/>
                <w:color w:val="000000"/>
                <w:sz w:val="18"/>
                <w:szCs w:val="18"/>
              </w:rPr>
              <w:lastRenderedPageBreak/>
              <w:t xml:space="preserve">Vodafone Czech Republic a.s. </w:t>
            </w:r>
          </w:p>
          <w:p w14:paraId="7DD0F002" w14:textId="77777777" w:rsidR="00AD5C10" w:rsidRPr="00F07CFA" w:rsidRDefault="00AD5C10" w:rsidP="00AD5C10">
            <w:pPr>
              <w:autoSpaceDE w:val="0"/>
              <w:autoSpaceDN w:val="0"/>
              <w:adjustRightInd w:val="0"/>
              <w:rPr>
                <w:rFonts w:ascii="Arial" w:hAnsi="Arial" w:cs="Arial"/>
                <w:color w:val="000000"/>
                <w:sz w:val="18"/>
                <w:szCs w:val="18"/>
              </w:rPr>
            </w:pPr>
            <w:r w:rsidRPr="00F07CFA">
              <w:rPr>
                <w:rFonts w:ascii="Arial" w:hAnsi="Arial" w:cs="Arial"/>
                <w:sz w:val="18"/>
                <w:szCs w:val="18"/>
              </w:rPr>
              <w:t>(35)</w:t>
            </w:r>
          </w:p>
        </w:tc>
        <w:tc>
          <w:tcPr>
            <w:tcW w:w="4111" w:type="dxa"/>
          </w:tcPr>
          <w:p w14:paraId="5394718A" w14:textId="4EA8D31E" w:rsidR="00AD5C10" w:rsidRPr="00F07CFA" w:rsidRDefault="00AD5C10" w:rsidP="00AD5C10">
            <w:pPr>
              <w:autoSpaceDE w:val="0"/>
              <w:autoSpaceDN w:val="0"/>
              <w:adjustRightInd w:val="0"/>
              <w:jc w:val="both"/>
              <w:rPr>
                <w:rFonts w:ascii="Arial" w:hAnsi="Arial" w:cs="Arial"/>
                <w:color w:val="000000"/>
                <w:sz w:val="18"/>
                <w:szCs w:val="18"/>
              </w:rPr>
            </w:pPr>
            <w:r w:rsidRPr="00F07CFA">
              <w:rPr>
                <w:rFonts w:ascii="Arial" w:hAnsi="Arial" w:cs="Arial"/>
                <w:color w:val="000000"/>
                <w:sz w:val="18"/>
                <w:szCs w:val="18"/>
              </w:rPr>
              <w:t xml:space="preserve">Společnost Vodafone je v této souvislosti přesvědčena, že odůvodnění by mělo být upřesněno doplněním informace o časovém předpokladu, kdy bude model pro regulaci formou maximální ceny připraven. Cenová regulace přístupu k pasivní infrastruktuře je nezbytný nástroj pro rozvoj optických sítí a je </w:t>
            </w:r>
            <w:r w:rsidRPr="00F07CFA">
              <w:rPr>
                <w:rFonts w:ascii="Arial" w:hAnsi="Arial" w:cs="Arial"/>
                <w:color w:val="000000"/>
                <w:sz w:val="18"/>
                <w:szCs w:val="18"/>
              </w:rPr>
              <w:lastRenderedPageBreak/>
              <w:t>v drtivé většině členských stát</w:t>
            </w:r>
            <w:r w:rsidR="00F42126">
              <w:rPr>
                <w:rFonts w:ascii="Arial" w:hAnsi="Arial" w:cs="Arial"/>
                <w:color w:val="000000"/>
                <w:sz w:val="18"/>
                <w:szCs w:val="18"/>
              </w:rPr>
              <w:t>ů</w:t>
            </w:r>
            <w:r w:rsidRPr="00F07CFA">
              <w:rPr>
                <w:rFonts w:ascii="Arial" w:hAnsi="Arial" w:cs="Arial"/>
                <w:color w:val="000000"/>
                <w:sz w:val="18"/>
                <w:szCs w:val="18"/>
              </w:rPr>
              <w:t xml:space="preserve"> EU, ve kterých byla povinnost uložena, cenově regulována. </w:t>
            </w:r>
          </w:p>
          <w:p w14:paraId="00D49BDF" w14:textId="29D48085" w:rsidR="00AD5C10" w:rsidRPr="00F07CFA" w:rsidRDefault="00AD5C10" w:rsidP="00AD5C10">
            <w:pPr>
              <w:autoSpaceDE w:val="0"/>
              <w:autoSpaceDN w:val="0"/>
              <w:adjustRightInd w:val="0"/>
              <w:jc w:val="both"/>
              <w:rPr>
                <w:rFonts w:ascii="Arial" w:hAnsi="Arial" w:cs="Arial"/>
                <w:color w:val="000000"/>
                <w:sz w:val="18"/>
                <w:szCs w:val="18"/>
              </w:rPr>
            </w:pPr>
            <w:r w:rsidRPr="00F07CFA">
              <w:rPr>
                <w:rFonts w:ascii="Arial" w:hAnsi="Arial" w:cs="Arial"/>
                <w:color w:val="000000"/>
                <w:sz w:val="18"/>
                <w:szCs w:val="18"/>
              </w:rPr>
              <w:t>Nicméně podle našeho prozkoumán</w:t>
            </w:r>
            <w:r w:rsidR="005E3470">
              <w:rPr>
                <w:rFonts w:ascii="Arial" w:hAnsi="Arial" w:cs="Arial"/>
                <w:color w:val="000000"/>
                <w:sz w:val="18"/>
                <w:szCs w:val="18"/>
              </w:rPr>
              <w:t>í se v modelu nacházejí položky</w:t>
            </w:r>
            <w:r w:rsidRPr="00F07CFA">
              <w:rPr>
                <w:rFonts w:ascii="Arial" w:hAnsi="Arial" w:cs="Arial"/>
                <w:color w:val="000000"/>
                <w:sz w:val="18"/>
                <w:szCs w:val="18"/>
              </w:rPr>
              <w:t>, na jejichž základě je možné přinejmenš</w:t>
            </w:r>
            <w:r w:rsidR="005B7ABF">
              <w:rPr>
                <w:rFonts w:ascii="Arial" w:hAnsi="Arial" w:cs="Arial"/>
                <w:color w:val="000000"/>
                <w:sz w:val="18"/>
                <w:szCs w:val="18"/>
              </w:rPr>
              <w:t>ím cenu kabelovodů, chrániček a </w:t>
            </w:r>
            <w:r w:rsidRPr="00F07CFA">
              <w:rPr>
                <w:rFonts w:ascii="Arial" w:hAnsi="Arial" w:cs="Arial"/>
                <w:color w:val="000000"/>
                <w:sz w:val="18"/>
                <w:szCs w:val="18"/>
              </w:rPr>
              <w:t xml:space="preserve">nenasvíceného vlákna stanovit, proto vzniká otázka, proč Úřad tuto možnost nevyužil. </w:t>
            </w:r>
          </w:p>
          <w:p w14:paraId="776C5A3A" w14:textId="77777777" w:rsidR="00AD5C10" w:rsidRPr="00F07CFA" w:rsidRDefault="00AD5C10" w:rsidP="00AD5C10">
            <w:pPr>
              <w:autoSpaceDE w:val="0"/>
              <w:autoSpaceDN w:val="0"/>
              <w:adjustRightInd w:val="0"/>
              <w:jc w:val="both"/>
              <w:rPr>
                <w:rFonts w:ascii="Arial" w:hAnsi="Arial" w:cs="Arial"/>
                <w:sz w:val="18"/>
                <w:szCs w:val="18"/>
              </w:rPr>
            </w:pPr>
          </w:p>
        </w:tc>
        <w:tc>
          <w:tcPr>
            <w:tcW w:w="4678" w:type="dxa"/>
          </w:tcPr>
          <w:p w14:paraId="12CE6753" w14:textId="77777777" w:rsidR="00C80ADD" w:rsidRDefault="00616708"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lastRenderedPageBreak/>
              <w:t>Neakceptováno</w:t>
            </w:r>
          </w:p>
          <w:p w14:paraId="135E8ABC" w14:textId="29248850" w:rsidR="00616708" w:rsidRPr="00F07CFA" w:rsidRDefault="00616708" w:rsidP="002A2D3B">
            <w:pPr>
              <w:pStyle w:val="Default"/>
              <w:spacing w:after="60"/>
              <w:jc w:val="both"/>
              <w:rPr>
                <w:rFonts w:eastAsia="Times New Roman"/>
                <w:color w:val="auto"/>
                <w:sz w:val="18"/>
                <w:szCs w:val="18"/>
                <w:lang w:eastAsia="cs-CZ"/>
              </w:rPr>
            </w:pPr>
            <w:r>
              <w:rPr>
                <w:rFonts w:eastAsia="Times New Roman"/>
                <w:color w:val="auto"/>
                <w:sz w:val="18"/>
                <w:szCs w:val="18"/>
                <w:lang w:eastAsia="cs-CZ"/>
              </w:rPr>
              <w:t xml:space="preserve">Úřad na obdobnou připomínku společnosti Vodafone reagoval již v rámci veřejné konzultace k návrhu analýzy relevantního trhu č. 4 a na své předchozí vyjádření se tak odkazuje (viz </w:t>
            </w:r>
            <w:hyperlink r:id="rId15" w:history="1">
              <w:r w:rsidRPr="00616708">
                <w:rPr>
                  <w:rStyle w:val="Hypertextovodkaz"/>
                  <w:rFonts w:eastAsia="Times New Roman"/>
                  <w:sz w:val="18"/>
                  <w:szCs w:val="18"/>
                  <w:lang w:eastAsia="cs-CZ"/>
                </w:rPr>
                <w:t>zde</w:t>
              </w:r>
            </w:hyperlink>
            <w:r>
              <w:rPr>
                <w:rFonts w:eastAsia="Times New Roman"/>
                <w:color w:val="auto"/>
                <w:sz w:val="18"/>
                <w:szCs w:val="18"/>
                <w:lang w:eastAsia="cs-CZ"/>
              </w:rPr>
              <w:t>, přip. č. 22 na str. 17-18).</w:t>
            </w:r>
            <w:r w:rsidR="002678EF">
              <w:rPr>
                <w:rFonts w:eastAsia="Times New Roman"/>
                <w:color w:val="auto"/>
                <w:sz w:val="18"/>
                <w:szCs w:val="18"/>
                <w:lang w:eastAsia="cs-CZ"/>
              </w:rPr>
              <w:t xml:space="preserve"> K časovému výhledu pro aktualizaci broadbandového modelu Úřad uvádí, že práce na úpravě modelu již byly zahájeny s předpokládaným </w:t>
            </w:r>
            <w:r w:rsidR="002678EF">
              <w:rPr>
                <w:rFonts w:eastAsia="Times New Roman"/>
                <w:color w:val="auto"/>
                <w:sz w:val="18"/>
                <w:szCs w:val="18"/>
                <w:lang w:eastAsia="cs-CZ"/>
              </w:rPr>
              <w:lastRenderedPageBreak/>
              <w:t>dokončením do konce roku 2015. Rozšíření rozhodnutí o ceně o maximální ceny za služby přístupu k přiřazeným prostře</w:t>
            </w:r>
            <w:r w:rsidR="005B7ABF">
              <w:rPr>
                <w:rFonts w:eastAsia="Times New Roman"/>
                <w:color w:val="auto"/>
                <w:sz w:val="18"/>
                <w:szCs w:val="18"/>
                <w:lang w:eastAsia="cs-CZ"/>
              </w:rPr>
              <w:t>dkům a </w:t>
            </w:r>
            <w:r w:rsidR="002678EF">
              <w:rPr>
                <w:rFonts w:eastAsia="Times New Roman"/>
                <w:color w:val="auto"/>
                <w:sz w:val="18"/>
                <w:szCs w:val="18"/>
                <w:lang w:eastAsia="cs-CZ"/>
              </w:rPr>
              <w:t>nenasvícenému optickému vláknu tak bude možné</w:t>
            </w:r>
            <w:r w:rsidR="00915C09">
              <w:rPr>
                <w:rFonts w:eastAsia="Times New Roman"/>
                <w:color w:val="auto"/>
                <w:sz w:val="18"/>
                <w:szCs w:val="18"/>
                <w:lang w:eastAsia="cs-CZ"/>
              </w:rPr>
              <w:t xml:space="preserve"> až</w:t>
            </w:r>
            <w:r w:rsidR="002D2A39">
              <w:rPr>
                <w:rFonts w:eastAsia="Times New Roman"/>
                <w:color w:val="auto"/>
                <w:sz w:val="18"/>
                <w:szCs w:val="18"/>
                <w:lang w:eastAsia="cs-CZ"/>
              </w:rPr>
              <w:t xml:space="preserve"> na základě závěrů nové analýzy tohoto trhu, pokud to na základě jejích závěrů shledá </w:t>
            </w:r>
            <w:r w:rsidR="00915C09">
              <w:rPr>
                <w:rFonts w:eastAsia="Times New Roman"/>
                <w:color w:val="auto"/>
                <w:sz w:val="18"/>
                <w:szCs w:val="18"/>
                <w:lang w:eastAsia="cs-CZ"/>
              </w:rPr>
              <w:t xml:space="preserve">Úřad </w:t>
            </w:r>
            <w:r w:rsidR="002D2A39">
              <w:rPr>
                <w:rFonts w:eastAsia="Times New Roman"/>
                <w:color w:val="auto"/>
                <w:sz w:val="18"/>
                <w:szCs w:val="18"/>
                <w:lang w:eastAsia="cs-CZ"/>
              </w:rPr>
              <w:t>za nezbytné</w:t>
            </w:r>
            <w:r w:rsidR="005B7ABF">
              <w:rPr>
                <w:rFonts w:eastAsia="Times New Roman"/>
                <w:color w:val="auto"/>
                <w:sz w:val="18"/>
                <w:szCs w:val="18"/>
                <w:lang w:eastAsia="cs-CZ"/>
              </w:rPr>
              <w:t>.</w:t>
            </w:r>
            <w:r w:rsidR="002678EF">
              <w:rPr>
                <w:rFonts w:eastAsia="Times New Roman"/>
                <w:color w:val="auto"/>
                <w:sz w:val="18"/>
                <w:szCs w:val="18"/>
                <w:lang w:eastAsia="cs-CZ"/>
              </w:rPr>
              <w:t xml:space="preserve"> </w:t>
            </w:r>
          </w:p>
          <w:p w14:paraId="2CFD0EE3" w14:textId="77777777" w:rsidR="00AD5C10" w:rsidRPr="00F07CFA" w:rsidRDefault="00AD5C10" w:rsidP="002A2D3B">
            <w:pPr>
              <w:pStyle w:val="Default"/>
              <w:spacing w:after="60"/>
              <w:jc w:val="both"/>
              <w:rPr>
                <w:rFonts w:eastAsia="Times New Roman"/>
                <w:color w:val="auto"/>
                <w:sz w:val="18"/>
                <w:szCs w:val="18"/>
                <w:lang w:eastAsia="cs-CZ"/>
              </w:rPr>
            </w:pPr>
          </w:p>
        </w:tc>
      </w:tr>
    </w:tbl>
    <w:p w14:paraId="05A68234" w14:textId="77777777" w:rsidR="00407B72" w:rsidRPr="00F07CFA" w:rsidRDefault="00407B72" w:rsidP="00DF720F">
      <w:pPr>
        <w:pStyle w:val="Default"/>
        <w:jc w:val="both"/>
        <w:rPr>
          <w:sz w:val="18"/>
          <w:szCs w:val="18"/>
        </w:rPr>
      </w:pPr>
    </w:p>
    <w:sectPr w:rsidR="00407B72" w:rsidRPr="00F07CFA" w:rsidSect="00603E63">
      <w:footerReference w:type="default" r:id="rId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7A10A" w14:textId="77777777" w:rsidR="006E5986" w:rsidRDefault="006E5986" w:rsidP="007F65D9">
      <w:pPr>
        <w:spacing w:after="0" w:line="240" w:lineRule="auto"/>
      </w:pPr>
      <w:r>
        <w:separator/>
      </w:r>
    </w:p>
  </w:endnote>
  <w:endnote w:type="continuationSeparator" w:id="0">
    <w:p w14:paraId="59D41B62" w14:textId="77777777" w:rsidR="006E5986" w:rsidRDefault="006E5986" w:rsidP="007F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329332"/>
      <w:docPartObj>
        <w:docPartGallery w:val="Page Numbers (Bottom of Page)"/>
        <w:docPartUnique/>
      </w:docPartObj>
    </w:sdtPr>
    <w:sdtEndPr>
      <w:rPr>
        <w:rFonts w:ascii="Arial" w:hAnsi="Arial" w:cs="Arial"/>
        <w:sz w:val="20"/>
        <w:szCs w:val="20"/>
      </w:rPr>
    </w:sdtEndPr>
    <w:sdtContent>
      <w:p w14:paraId="51DDD6D7" w14:textId="77777777" w:rsidR="00925069" w:rsidRPr="002A2D3B" w:rsidRDefault="00925069">
        <w:pPr>
          <w:pStyle w:val="Zpat"/>
          <w:jc w:val="center"/>
          <w:rPr>
            <w:rFonts w:ascii="Arial" w:hAnsi="Arial" w:cs="Arial"/>
            <w:sz w:val="20"/>
            <w:szCs w:val="20"/>
          </w:rPr>
        </w:pPr>
        <w:r w:rsidRPr="002A2D3B">
          <w:rPr>
            <w:rFonts w:ascii="Arial" w:hAnsi="Arial" w:cs="Arial"/>
            <w:sz w:val="20"/>
            <w:szCs w:val="20"/>
          </w:rPr>
          <w:fldChar w:fldCharType="begin"/>
        </w:r>
        <w:r w:rsidRPr="002A2D3B">
          <w:rPr>
            <w:rFonts w:ascii="Arial" w:hAnsi="Arial" w:cs="Arial"/>
            <w:sz w:val="20"/>
            <w:szCs w:val="20"/>
          </w:rPr>
          <w:instrText>PAGE   \* MERGEFORMAT</w:instrText>
        </w:r>
        <w:r w:rsidRPr="002A2D3B">
          <w:rPr>
            <w:rFonts w:ascii="Arial" w:hAnsi="Arial" w:cs="Arial"/>
            <w:sz w:val="20"/>
            <w:szCs w:val="20"/>
          </w:rPr>
          <w:fldChar w:fldCharType="separate"/>
        </w:r>
        <w:r w:rsidR="002700A1">
          <w:rPr>
            <w:rFonts w:ascii="Arial" w:hAnsi="Arial" w:cs="Arial"/>
            <w:noProof/>
            <w:sz w:val="20"/>
            <w:szCs w:val="20"/>
          </w:rPr>
          <w:t>2</w:t>
        </w:r>
        <w:r w:rsidRPr="002A2D3B">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2700A1">
          <w:rPr>
            <w:rFonts w:ascii="Arial" w:hAnsi="Arial" w:cs="Arial"/>
            <w:noProof/>
            <w:sz w:val="20"/>
            <w:szCs w:val="20"/>
          </w:rPr>
          <w:t>10</w:t>
        </w:r>
        <w:r>
          <w:rPr>
            <w:rFonts w:ascii="Arial" w:hAnsi="Arial" w:cs="Arial"/>
            <w:sz w:val="20"/>
            <w:szCs w:val="20"/>
          </w:rPr>
          <w:fldChar w:fldCharType="end"/>
        </w:r>
      </w:p>
    </w:sdtContent>
  </w:sdt>
  <w:p w14:paraId="4687C9F3" w14:textId="6179A4EF" w:rsidR="00925069" w:rsidRPr="007F65D9" w:rsidRDefault="00925069">
    <w:pPr>
      <w:pStyle w:val="Zpa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1672" w14:textId="77777777" w:rsidR="006E5986" w:rsidRDefault="006E5986" w:rsidP="007F65D9">
      <w:pPr>
        <w:spacing w:after="0" w:line="240" w:lineRule="auto"/>
      </w:pPr>
      <w:r>
        <w:separator/>
      </w:r>
    </w:p>
  </w:footnote>
  <w:footnote w:type="continuationSeparator" w:id="0">
    <w:p w14:paraId="49E1D6F5" w14:textId="77777777" w:rsidR="006E5986" w:rsidRDefault="006E5986" w:rsidP="007F6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A268A"/>
    <w:multiLevelType w:val="hybridMultilevel"/>
    <w:tmpl w:val="670825D6"/>
    <w:lvl w:ilvl="0" w:tplc="9ECC61B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9F50B70"/>
    <w:multiLevelType w:val="hybridMultilevel"/>
    <w:tmpl w:val="FA948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72"/>
    <w:rsid w:val="000006D1"/>
    <w:rsid w:val="000016FD"/>
    <w:rsid w:val="00004455"/>
    <w:rsid w:val="00007567"/>
    <w:rsid w:val="00014E01"/>
    <w:rsid w:val="0003067A"/>
    <w:rsid w:val="00032327"/>
    <w:rsid w:val="000445FD"/>
    <w:rsid w:val="00062F54"/>
    <w:rsid w:val="0007130C"/>
    <w:rsid w:val="000804FA"/>
    <w:rsid w:val="00085384"/>
    <w:rsid w:val="000904E7"/>
    <w:rsid w:val="000A7E58"/>
    <w:rsid w:val="000D2D8C"/>
    <w:rsid w:val="000E175D"/>
    <w:rsid w:val="00113E47"/>
    <w:rsid w:val="00126573"/>
    <w:rsid w:val="00127CD3"/>
    <w:rsid w:val="00144EE1"/>
    <w:rsid w:val="00161769"/>
    <w:rsid w:val="0017672A"/>
    <w:rsid w:val="001B7133"/>
    <w:rsid w:val="001C107B"/>
    <w:rsid w:val="001C3DB7"/>
    <w:rsid w:val="001D18B8"/>
    <w:rsid w:val="001D3AEB"/>
    <w:rsid w:val="001E73D0"/>
    <w:rsid w:val="00202D96"/>
    <w:rsid w:val="002136DF"/>
    <w:rsid w:val="00230736"/>
    <w:rsid w:val="00240550"/>
    <w:rsid w:val="00250AA6"/>
    <w:rsid w:val="002678EF"/>
    <w:rsid w:val="002700A1"/>
    <w:rsid w:val="00276667"/>
    <w:rsid w:val="00284297"/>
    <w:rsid w:val="002A2D3B"/>
    <w:rsid w:val="002C4241"/>
    <w:rsid w:val="002D2A39"/>
    <w:rsid w:val="002D7E70"/>
    <w:rsid w:val="002E08AF"/>
    <w:rsid w:val="002F4E8A"/>
    <w:rsid w:val="003070B5"/>
    <w:rsid w:val="00341E6D"/>
    <w:rsid w:val="0034356E"/>
    <w:rsid w:val="00355A4B"/>
    <w:rsid w:val="00355ABA"/>
    <w:rsid w:val="003661BE"/>
    <w:rsid w:val="0038281B"/>
    <w:rsid w:val="003B6DEE"/>
    <w:rsid w:val="003B6DF2"/>
    <w:rsid w:val="00407B72"/>
    <w:rsid w:val="00421F23"/>
    <w:rsid w:val="00484924"/>
    <w:rsid w:val="00492E26"/>
    <w:rsid w:val="004B31BD"/>
    <w:rsid w:val="004B630A"/>
    <w:rsid w:val="004C6DA0"/>
    <w:rsid w:val="00525DB2"/>
    <w:rsid w:val="0053283E"/>
    <w:rsid w:val="005376B1"/>
    <w:rsid w:val="00591432"/>
    <w:rsid w:val="005B233F"/>
    <w:rsid w:val="005B7624"/>
    <w:rsid w:val="005B7ABF"/>
    <w:rsid w:val="005E3470"/>
    <w:rsid w:val="005E35B8"/>
    <w:rsid w:val="00603E63"/>
    <w:rsid w:val="00616708"/>
    <w:rsid w:val="00627576"/>
    <w:rsid w:val="00642F45"/>
    <w:rsid w:val="0067125D"/>
    <w:rsid w:val="006A2F61"/>
    <w:rsid w:val="006B3D0E"/>
    <w:rsid w:val="006B7986"/>
    <w:rsid w:val="006C2895"/>
    <w:rsid w:val="006E321A"/>
    <w:rsid w:val="006E5791"/>
    <w:rsid w:val="006E5986"/>
    <w:rsid w:val="007030B6"/>
    <w:rsid w:val="00723F8A"/>
    <w:rsid w:val="00725A7A"/>
    <w:rsid w:val="00761987"/>
    <w:rsid w:val="007654B9"/>
    <w:rsid w:val="00766884"/>
    <w:rsid w:val="0079481F"/>
    <w:rsid w:val="007A2FC2"/>
    <w:rsid w:val="007B0B0C"/>
    <w:rsid w:val="007D0F07"/>
    <w:rsid w:val="007D2ECF"/>
    <w:rsid w:val="007F65D9"/>
    <w:rsid w:val="00801BFC"/>
    <w:rsid w:val="00810747"/>
    <w:rsid w:val="008325AB"/>
    <w:rsid w:val="008450B4"/>
    <w:rsid w:val="00861C58"/>
    <w:rsid w:val="00883347"/>
    <w:rsid w:val="00892A74"/>
    <w:rsid w:val="008A128E"/>
    <w:rsid w:val="008C6D60"/>
    <w:rsid w:val="008E0B7E"/>
    <w:rsid w:val="00910BCF"/>
    <w:rsid w:val="009156B4"/>
    <w:rsid w:val="00915C09"/>
    <w:rsid w:val="00925069"/>
    <w:rsid w:val="00931765"/>
    <w:rsid w:val="009738DD"/>
    <w:rsid w:val="00975A03"/>
    <w:rsid w:val="00991D1E"/>
    <w:rsid w:val="00996054"/>
    <w:rsid w:val="00996AA2"/>
    <w:rsid w:val="009A5A04"/>
    <w:rsid w:val="009C09C2"/>
    <w:rsid w:val="009E0540"/>
    <w:rsid w:val="00A0347B"/>
    <w:rsid w:val="00A21159"/>
    <w:rsid w:val="00A2184E"/>
    <w:rsid w:val="00A23A89"/>
    <w:rsid w:val="00A25485"/>
    <w:rsid w:val="00A279A6"/>
    <w:rsid w:val="00A36395"/>
    <w:rsid w:val="00A5209D"/>
    <w:rsid w:val="00A550AE"/>
    <w:rsid w:val="00A769F8"/>
    <w:rsid w:val="00A80CD3"/>
    <w:rsid w:val="00A81071"/>
    <w:rsid w:val="00AC294C"/>
    <w:rsid w:val="00AD5C10"/>
    <w:rsid w:val="00AE52EA"/>
    <w:rsid w:val="00AF17A4"/>
    <w:rsid w:val="00B25FDA"/>
    <w:rsid w:val="00B30847"/>
    <w:rsid w:val="00B45D02"/>
    <w:rsid w:val="00B749D8"/>
    <w:rsid w:val="00B8114E"/>
    <w:rsid w:val="00BA537B"/>
    <w:rsid w:val="00BB5495"/>
    <w:rsid w:val="00BB6B90"/>
    <w:rsid w:val="00BD05E5"/>
    <w:rsid w:val="00BE71EC"/>
    <w:rsid w:val="00C109FC"/>
    <w:rsid w:val="00C10D17"/>
    <w:rsid w:val="00C10DBF"/>
    <w:rsid w:val="00C1102F"/>
    <w:rsid w:val="00C80ADD"/>
    <w:rsid w:val="00C9326A"/>
    <w:rsid w:val="00C932CD"/>
    <w:rsid w:val="00C94863"/>
    <w:rsid w:val="00CF10EF"/>
    <w:rsid w:val="00D01ABD"/>
    <w:rsid w:val="00D7336B"/>
    <w:rsid w:val="00DA2146"/>
    <w:rsid w:val="00DB04C6"/>
    <w:rsid w:val="00DB0B51"/>
    <w:rsid w:val="00DF720F"/>
    <w:rsid w:val="00E01715"/>
    <w:rsid w:val="00E150E1"/>
    <w:rsid w:val="00E1564E"/>
    <w:rsid w:val="00E27F91"/>
    <w:rsid w:val="00E7060C"/>
    <w:rsid w:val="00E76830"/>
    <w:rsid w:val="00EA1690"/>
    <w:rsid w:val="00EA4063"/>
    <w:rsid w:val="00EA7C14"/>
    <w:rsid w:val="00EE052B"/>
    <w:rsid w:val="00F06C44"/>
    <w:rsid w:val="00F07670"/>
    <w:rsid w:val="00F07CFA"/>
    <w:rsid w:val="00F153B9"/>
    <w:rsid w:val="00F34A7B"/>
    <w:rsid w:val="00F37D29"/>
    <w:rsid w:val="00F4040E"/>
    <w:rsid w:val="00F42126"/>
    <w:rsid w:val="00F42BE7"/>
    <w:rsid w:val="00F81B52"/>
    <w:rsid w:val="00F9499C"/>
    <w:rsid w:val="00FA04B6"/>
    <w:rsid w:val="00FA313B"/>
    <w:rsid w:val="00FC0200"/>
    <w:rsid w:val="00FD7DEC"/>
    <w:rsid w:val="00FE57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23BF"/>
  <w15:docId w15:val="{C45D5CFE-BDA3-403B-977D-9725A267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07B72"/>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407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842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4297"/>
    <w:rPr>
      <w:rFonts w:ascii="Tahoma" w:hAnsi="Tahoma" w:cs="Tahoma"/>
      <w:sz w:val="16"/>
      <w:szCs w:val="16"/>
    </w:rPr>
  </w:style>
  <w:style w:type="paragraph" w:styleId="Zhlav">
    <w:name w:val="header"/>
    <w:basedOn w:val="Normln"/>
    <w:link w:val="ZhlavChar"/>
    <w:uiPriority w:val="99"/>
    <w:unhideWhenUsed/>
    <w:rsid w:val="007F65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65D9"/>
  </w:style>
  <w:style w:type="paragraph" w:styleId="Zpat">
    <w:name w:val="footer"/>
    <w:basedOn w:val="Normln"/>
    <w:link w:val="ZpatChar"/>
    <w:uiPriority w:val="99"/>
    <w:unhideWhenUsed/>
    <w:rsid w:val="007F65D9"/>
    <w:pPr>
      <w:tabs>
        <w:tab w:val="center" w:pos="4536"/>
        <w:tab w:val="right" w:pos="9072"/>
      </w:tabs>
      <w:spacing w:after="0" w:line="240" w:lineRule="auto"/>
    </w:pPr>
  </w:style>
  <w:style w:type="character" w:customStyle="1" w:styleId="ZpatChar">
    <w:name w:val="Zápatí Char"/>
    <w:basedOn w:val="Standardnpsmoodstavce"/>
    <w:link w:val="Zpat"/>
    <w:uiPriority w:val="99"/>
    <w:rsid w:val="007F65D9"/>
  </w:style>
  <w:style w:type="paragraph" w:customStyle="1" w:styleId="CM1">
    <w:name w:val="CM1"/>
    <w:basedOn w:val="Default"/>
    <w:next w:val="Default"/>
    <w:uiPriority w:val="99"/>
    <w:rsid w:val="00BA537B"/>
    <w:rPr>
      <w:rFonts w:ascii="EUAlbertina" w:hAnsi="EUAlbertina" w:cstheme="minorBidi"/>
      <w:color w:val="auto"/>
    </w:rPr>
  </w:style>
  <w:style w:type="paragraph" w:customStyle="1" w:styleId="CM3">
    <w:name w:val="CM3"/>
    <w:basedOn w:val="Default"/>
    <w:next w:val="Default"/>
    <w:uiPriority w:val="99"/>
    <w:rsid w:val="00BA537B"/>
    <w:rPr>
      <w:rFonts w:ascii="EUAlbertina" w:hAnsi="EUAlbertina" w:cstheme="minorBidi"/>
      <w:color w:val="auto"/>
    </w:rPr>
  </w:style>
  <w:style w:type="character" w:styleId="Hypertextovodkaz">
    <w:name w:val="Hyperlink"/>
    <w:basedOn w:val="Standardnpsmoodstavce"/>
    <w:uiPriority w:val="99"/>
    <w:unhideWhenUsed/>
    <w:rsid w:val="00801BFC"/>
    <w:rPr>
      <w:color w:val="0000FF" w:themeColor="hyperlink"/>
      <w:u w:val="single"/>
    </w:rPr>
  </w:style>
  <w:style w:type="character" w:styleId="Odkaznakoment">
    <w:name w:val="annotation reference"/>
    <w:basedOn w:val="Standardnpsmoodstavce"/>
    <w:uiPriority w:val="99"/>
    <w:semiHidden/>
    <w:unhideWhenUsed/>
    <w:rsid w:val="00EA1690"/>
    <w:rPr>
      <w:sz w:val="16"/>
      <w:szCs w:val="16"/>
    </w:rPr>
  </w:style>
  <w:style w:type="paragraph" w:styleId="Textkomente">
    <w:name w:val="annotation text"/>
    <w:basedOn w:val="Normln"/>
    <w:link w:val="TextkomenteChar"/>
    <w:uiPriority w:val="99"/>
    <w:semiHidden/>
    <w:unhideWhenUsed/>
    <w:rsid w:val="00EA1690"/>
    <w:pPr>
      <w:spacing w:line="240" w:lineRule="auto"/>
    </w:pPr>
    <w:rPr>
      <w:sz w:val="20"/>
      <w:szCs w:val="20"/>
    </w:rPr>
  </w:style>
  <w:style w:type="character" w:customStyle="1" w:styleId="TextkomenteChar">
    <w:name w:val="Text komentáře Char"/>
    <w:basedOn w:val="Standardnpsmoodstavce"/>
    <w:link w:val="Textkomente"/>
    <w:uiPriority w:val="99"/>
    <w:semiHidden/>
    <w:rsid w:val="00EA1690"/>
    <w:rPr>
      <w:sz w:val="20"/>
      <w:szCs w:val="20"/>
    </w:rPr>
  </w:style>
  <w:style w:type="paragraph" w:styleId="Pedmtkomente">
    <w:name w:val="annotation subject"/>
    <w:basedOn w:val="Textkomente"/>
    <w:next w:val="Textkomente"/>
    <w:link w:val="PedmtkomenteChar"/>
    <w:uiPriority w:val="99"/>
    <w:semiHidden/>
    <w:unhideWhenUsed/>
    <w:rsid w:val="00EA1690"/>
    <w:rPr>
      <w:b/>
      <w:bCs/>
    </w:rPr>
  </w:style>
  <w:style w:type="character" w:customStyle="1" w:styleId="PedmtkomenteChar">
    <w:name w:val="Předmět komentáře Char"/>
    <w:basedOn w:val="TextkomenteChar"/>
    <w:link w:val="Pedmtkomente"/>
    <w:uiPriority w:val="99"/>
    <w:semiHidden/>
    <w:rsid w:val="00EA1690"/>
    <w:rPr>
      <w:b/>
      <w:bCs/>
      <w:sz w:val="20"/>
      <w:szCs w:val="20"/>
    </w:rPr>
  </w:style>
  <w:style w:type="character" w:styleId="Sledovanodkaz">
    <w:name w:val="FollowedHyperlink"/>
    <w:basedOn w:val="Standardnpsmoodstavce"/>
    <w:uiPriority w:val="99"/>
    <w:semiHidden/>
    <w:unhideWhenUsed/>
    <w:rsid w:val="00F42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4294">
      <w:bodyDiv w:val="1"/>
      <w:marLeft w:val="0"/>
      <w:marRight w:val="0"/>
      <w:marTop w:val="0"/>
      <w:marBottom w:val="0"/>
      <w:divBdr>
        <w:top w:val="none" w:sz="0" w:space="0" w:color="auto"/>
        <w:left w:val="none" w:sz="0" w:space="0" w:color="auto"/>
        <w:bottom w:val="none" w:sz="0" w:space="0" w:color="auto"/>
        <w:right w:val="none" w:sz="0" w:space="0" w:color="auto"/>
      </w:divBdr>
      <w:divsChild>
        <w:div w:id="1723868030">
          <w:marLeft w:val="0"/>
          <w:marRight w:val="0"/>
          <w:marTop w:val="0"/>
          <w:marBottom w:val="0"/>
          <w:divBdr>
            <w:top w:val="none" w:sz="0" w:space="0" w:color="auto"/>
            <w:left w:val="none" w:sz="0" w:space="0" w:color="auto"/>
            <w:bottom w:val="none" w:sz="0" w:space="0" w:color="auto"/>
            <w:right w:val="none" w:sz="0" w:space="0" w:color="auto"/>
          </w:divBdr>
        </w:div>
        <w:div w:id="543639709">
          <w:marLeft w:val="0"/>
          <w:marRight w:val="0"/>
          <w:marTop w:val="0"/>
          <w:marBottom w:val="0"/>
          <w:divBdr>
            <w:top w:val="none" w:sz="0" w:space="0" w:color="auto"/>
            <w:left w:val="none" w:sz="0" w:space="0" w:color="auto"/>
            <w:bottom w:val="none" w:sz="0" w:space="0" w:color="auto"/>
            <w:right w:val="none" w:sz="0" w:space="0" w:color="auto"/>
          </w:divBdr>
        </w:div>
        <w:div w:id="1101536792">
          <w:marLeft w:val="0"/>
          <w:marRight w:val="0"/>
          <w:marTop w:val="0"/>
          <w:marBottom w:val="0"/>
          <w:divBdr>
            <w:top w:val="none" w:sz="0" w:space="0" w:color="auto"/>
            <w:left w:val="none" w:sz="0" w:space="0" w:color="auto"/>
            <w:bottom w:val="none" w:sz="0" w:space="0" w:color="auto"/>
            <w:right w:val="none" w:sz="0" w:space="0" w:color="auto"/>
          </w:divBdr>
        </w:div>
        <w:div w:id="27415524">
          <w:marLeft w:val="0"/>
          <w:marRight w:val="0"/>
          <w:marTop w:val="0"/>
          <w:marBottom w:val="0"/>
          <w:divBdr>
            <w:top w:val="none" w:sz="0" w:space="0" w:color="auto"/>
            <w:left w:val="none" w:sz="0" w:space="0" w:color="auto"/>
            <w:bottom w:val="none" w:sz="0" w:space="0" w:color="auto"/>
            <w:right w:val="none" w:sz="0" w:space="0" w:color="auto"/>
          </w:divBdr>
        </w:div>
        <w:div w:id="1806464516">
          <w:marLeft w:val="0"/>
          <w:marRight w:val="0"/>
          <w:marTop w:val="0"/>
          <w:marBottom w:val="0"/>
          <w:divBdr>
            <w:top w:val="none" w:sz="0" w:space="0" w:color="auto"/>
            <w:left w:val="none" w:sz="0" w:space="0" w:color="auto"/>
            <w:bottom w:val="none" w:sz="0" w:space="0" w:color="auto"/>
            <w:right w:val="none" w:sz="0" w:space="0" w:color="auto"/>
          </w:divBdr>
        </w:div>
        <w:div w:id="766732825">
          <w:marLeft w:val="0"/>
          <w:marRight w:val="0"/>
          <w:marTop w:val="0"/>
          <w:marBottom w:val="0"/>
          <w:divBdr>
            <w:top w:val="none" w:sz="0" w:space="0" w:color="auto"/>
            <w:left w:val="none" w:sz="0" w:space="0" w:color="auto"/>
            <w:bottom w:val="none" w:sz="0" w:space="0" w:color="auto"/>
            <w:right w:val="none" w:sz="0" w:space="0" w:color="auto"/>
          </w:divBdr>
        </w:div>
        <w:div w:id="1969239487">
          <w:marLeft w:val="0"/>
          <w:marRight w:val="0"/>
          <w:marTop w:val="0"/>
          <w:marBottom w:val="0"/>
          <w:divBdr>
            <w:top w:val="none" w:sz="0" w:space="0" w:color="auto"/>
            <w:left w:val="none" w:sz="0" w:space="0" w:color="auto"/>
            <w:bottom w:val="none" w:sz="0" w:space="0" w:color="auto"/>
            <w:right w:val="none" w:sz="0" w:space="0" w:color="auto"/>
          </w:divBdr>
        </w:div>
        <w:div w:id="1999919104">
          <w:marLeft w:val="0"/>
          <w:marRight w:val="0"/>
          <w:marTop w:val="0"/>
          <w:marBottom w:val="0"/>
          <w:divBdr>
            <w:top w:val="none" w:sz="0" w:space="0" w:color="auto"/>
            <w:left w:val="none" w:sz="0" w:space="0" w:color="auto"/>
            <w:bottom w:val="none" w:sz="0" w:space="0" w:color="auto"/>
            <w:right w:val="none" w:sz="0" w:space="0" w:color="auto"/>
          </w:divBdr>
        </w:div>
      </w:divsChild>
    </w:div>
    <w:div w:id="765225843">
      <w:bodyDiv w:val="1"/>
      <w:marLeft w:val="0"/>
      <w:marRight w:val="0"/>
      <w:marTop w:val="0"/>
      <w:marBottom w:val="0"/>
      <w:divBdr>
        <w:top w:val="none" w:sz="0" w:space="0" w:color="auto"/>
        <w:left w:val="none" w:sz="0" w:space="0" w:color="auto"/>
        <w:bottom w:val="none" w:sz="0" w:space="0" w:color="auto"/>
        <w:right w:val="none" w:sz="0" w:space="0" w:color="auto"/>
      </w:divBdr>
    </w:div>
    <w:div w:id="1237128876">
      <w:bodyDiv w:val="1"/>
      <w:marLeft w:val="0"/>
      <w:marRight w:val="0"/>
      <w:marTop w:val="0"/>
      <w:marBottom w:val="0"/>
      <w:divBdr>
        <w:top w:val="none" w:sz="0" w:space="0" w:color="auto"/>
        <w:left w:val="none" w:sz="0" w:space="0" w:color="auto"/>
        <w:bottom w:val="none" w:sz="0" w:space="0" w:color="auto"/>
        <w:right w:val="none" w:sz="0" w:space="0" w:color="auto"/>
      </w:divBdr>
      <w:divsChild>
        <w:div w:id="413091201">
          <w:marLeft w:val="0"/>
          <w:marRight w:val="0"/>
          <w:marTop w:val="0"/>
          <w:marBottom w:val="0"/>
          <w:divBdr>
            <w:top w:val="none" w:sz="0" w:space="0" w:color="auto"/>
            <w:left w:val="none" w:sz="0" w:space="0" w:color="auto"/>
            <w:bottom w:val="none" w:sz="0" w:space="0" w:color="auto"/>
            <w:right w:val="none" w:sz="0" w:space="0" w:color="auto"/>
          </w:divBdr>
        </w:div>
        <w:div w:id="165563787">
          <w:marLeft w:val="0"/>
          <w:marRight w:val="0"/>
          <w:marTop w:val="0"/>
          <w:marBottom w:val="0"/>
          <w:divBdr>
            <w:top w:val="none" w:sz="0" w:space="0" w:color="auto"/>
            <w:left w:val="none" w:sz="0" w:space="0" w:color="auto"/>
            <w:bottom w:val="none" w:sz="0" w:space="0" w:color="auto"/>
            <w:right w:val="none" w:sz="0" w:space="0" w:color="auto"/>
          </w:divBdr>
        </w:div>
        <w:div w:id="2023585977">
          <w:marLeft w:val="0"/>
          <w:marRight w:val="0"/>
          <w:marTop w:val="0"/>
          <w:marBottom w:val="0"/>
          <w:divBdr>
            <w:top w:val="none" w:sz="0" w:space="0" w:color="auto"/>
            <w:left w:val="none" w:sz="0" w:space="0" w:color="auto"/>
            <w:bottom w:val="none" w:sz="0" w:space="0" w:color="auto"/>
            <w:right w:val="none" w:sz="0" w:space="0" w:color="auto"/>
          </w:divBdr>
        </w:div>
        <w:div w:id="1913392033">
          <w:marLeft w:val="0"/>
          <w:marRight w:val="0"/>
          <w:marTop w:val="0"/>
          <w:marBottom w:val="0"/>
          <w:divBdr>
            <w:top w:val="none" w:sz="0" w:space="0" w:color="auto"/>
            <w:left w:val="none" w:sz="0" w:space="0" w:color="auto"/>
            <w:bottom w:val="none" w:sz="0" w:space="0" w:color="auto"/>
            <w:right w:val="none" w:sz="0" w:space="0" w:color="auto"/>
          </w:divBdr>
        </w:div>
        <w:div w:id="1026367377">
          <w:marLeft w:val="0"/>
          <w:marRight w:val="0"/>
          <w:marTop w:val="0"/>
          <w:marBottom w:val="0"/>
          <w:divBdr>
            <w:top w:val="none" w:sz="0" w:space="0" w:color="auto"/>
            <w:left w:val="none" w:sz="0" w:space="0" w:color="auto"/>
            <w:bottom w:val="none" w:sz="0" w:space="0" w:color="auto"/>
            <w:right w:val="none" w:sz="0" w:space="0" w:color="auto"/>
          </w:divBdr>
        </w:div>
        <w:div w:id="2082021477">
          <w:marLeft w:val="0"/>
          <w:marRight w:val="0"/>
          <w:marTop w:val="0"/>
          <w:marBottom w:val="0"/>
          <w:divBdr>
            <w:top w:val="none" w:sz="0" w:space="0" w:color="auto"/>
            <w:left w:val="none" w:sz="0" w:space="0" w:color="auto"/>
            <w:bottom w:val="none" w:sz="0" w:space="0" w:color="auto"/>
            <w:right w:val="none" w:sz="0" w:space="0" w:color="auto"/>
          </w:divBdr>
        </w:div>
        <w:div w:id="1290361905">
          <w:marLeft w:val="0"/>
          <w:marRight w:val="0"/>
          <w:marTop w:val="0"/>
          <w:marBottom w:val="0"/>
          <w:divBdr>
            <w:top w:val="none" w:sz="0" w:space="0" w:color="auto"/>
            <w:left w:val="none" w:sz="0" w:space="0" w:color="auto"/>
            <w:bottom w:val="none" w:sz="0" w:space="0" w:color="auto"/>
            <w:right w:val="none" w:sz="0" w:space="0" w:color="auto"/>
          </w:divBdr>
        </w:div>
        <w:div w:id="1459300497">
          <w:marLeft w:val="0"/>
          <w:marRight w:val="0"/>
          <w:marTop w:val="0"/>
          <w:marBottom w:val="0"/>
          <w:divBdr>
            <w:top w:val="none" w:sz="0" w:space="0" w:color="auto"/>
            <w:left w:val="none" w:sz="0" w:space="0" w:color="auto"/>
            <w:bottom w:val="none" w:sz="0" w:space="0" w:color="auto"/>
            <w:right w:val="none" w:sz="0" w:space="0" w:color="auto"/>
          </w:divBdr>
        </w:div>
      </w:divsChild>
    </w:div>
    <w:div w:id="1620381157">
      <w:bodyDiv w:val="1"/>
      <w:marLeft w:val="0"/>
      <w:marRight w:val="0"/>
      <w:marTop w:val="0"/>
      <w:marBottom w:val="0"/>
      <w:divBdr>
        <w:top w:val="none" w:sz="0" w:space="0" w:color="auto"/>
        <w:left w:val="none" w:sz="0" w:space="0" w:color="auto"/>
        <w:bottom w:val="none" w:sz="0" w:space="0" w:color="auto"/>
        <w:right w:val="none" w:sz="0" w:space="0" w:color="auto"/>
      </w:divBdr>
      <w:divsChild>
        <w:div w:id="422800764">
          <w:marLeft w:val="0"/>
          <w:marRight w:val="0"/>
          <w:marTop w:val="0"/>
          <w:marBottom w:val="0"/>
          <w:divBdr>
            <w:top w:val="none" w:sz="0" w:space="0" w:color="auto"/>
            <w:left w:val="none" w:sz="0" w:space="0" w:color="auto"/>
            <w:bottom w:val="none" w:sz="0" w:space="0" w:color="auto"/>
            <w:right w:val="none" w:sz="0" w:space="0" w:color="auto"/>
          </w:divBdr>
        </w:div>
        <w:div w:id="1527870442">
          <w:marLeft w:val="0"/>
          <w:marRight w:val="0"/>
          <w:marTop w:val="0"/>
          <w:marBottom w:val="0"/>
          <w:divBdr>
            <w:top w:val="none" w:sz="0" w:space="0" w:color="auto"/>
            <w:left w:val="none" w:sz="0" w:space="0" w:color="auto"/>
            <w:bottom w:val="none" w:sz="0" w:space="0" w:color="auto"/>
            <w:right w:val="none" w:sz="0" w:space="0" w:color="auto"/>
          </w:divBdr>
        </w:div>
        <w:div w:id="190916391">
          <w:marLeft w:val="0"/>
          <w:marRight w:val="0"/>
          <w:marTop w:val="0"/>
          <w:marBottom w:val="0"/>
          <w:divBdr>
            <w:top w:val="none" w:sz="0" w:space="0" w:color="auto"/>
            <w:left w:val="none" w:sz="0" w:space="0" w:color="auto"/>
            <w:bottom w:val="none" w:sz="0" w:space="0" w:color="auto"/>
            <w:right w:val="none" w:sz="0" w:space="0" w:color="auto"/>
          </w:divBdr>
        </w:div>
        <w:div w:id="196699128">
          <w:marLeft w:val="0"/>
          <w:marRight w:val="0"/>
          <w:marTop w:val="0"/>
          <w:marBottom w:val="0"/>
          <w:divBdr>
            <w:top w:val="none" w:sz="0" w:space="0" w:color="auto"/>
            <w:left w:val="none" w:sz="0" w:space="0" w:color="auto"/>
            <w:bottom w:val="none" w:sz="0" w:space="0" w:color="auto"/>
            <w:right w:val="none" w:sz="0" w:space="0" w:color="auto"/>
          </w:divBdr>
        </w:div>
        <w:div w:id="1056516165">
          <w:marLeft w:val="0"/>
          <w:marRight w:val="0"/>
          <w:marTop w:val="0"/>
          <w:marBottom w:val="0"/>
          <w:divBdr>
            <w:top w:val="none" w:sz="0" w:space="0" w:color="auto"/>
            <w:left w:val="none" w:sz="0" w:space="0" w:color="auto"/>
            <w:bottom w:val="none" w:sz="0" w:space="0" w:color="auto"/>
            <w:right w:val="none" w:sz="0" w:space="0" w:color="auto"/>
          </w:divBdr>
        </w:div>
        <w:div w:id="1986621619">
          <w:marLeft w:val="0"/>
          <w:marRight w:val="0"/>
          <w:marTop w:val="0"/>
          <w:marBottom w:val="0"/>
          <w:divBdr>
            <w:top w:val="none" w:sz="0" w:space="0" w:color="auto"/>
            <w:left w:val="none" w:sz="0" w:space="0" w:color="auto"/>
            <w:bottom w:val="none" w:sz="0" w:space="0" w:color="auto"/>
            <w:right w:val="none" w:sz="0" w:space="0" w:color="auto"/>
          </w:divBdr>
        </w:div>
        <w:div w:id="524099071">
          <w:marLeft w:val="0"/>
          <w:marRight w:val="0"/>
          <w:marTop w:val="0"/>
          <w:marBottom w:val="0"/>
          <w:divBdr>
            <w:top w:val="none" w:sz="0" w:space="0" w:color="auto"/>
            <w:left w:val="none" w:sz="0" w:space="0" w:color="auto"/>
            <w:bottom w:val="none" w:sz="0" w:space="0" w:color="auto"/>
            <w:right w:val="none" w:sz="0" w:space="0" w:color="auto"/>
          </w:divBdr>
        </w:div>
        <w:div w:id="1194878605">
          <w:marLeft w:val="0"/>
          <w:marRight w:val="0"/>
          <w:marTop w:val="0"/>
          <w:marBottom w:val="0"/>
          <w:divBdr>
            <w:top w:val="none" w:sz="0" w:space="0" w:color="auto"/>
            <w:left w:val="none" w:sz="0" w:space="0" w:color="auto"/>
            <w:bottom w:val="none" w:sz="0" w:space="0" w:color="auto"/>
            <w:right w:val="none" w:sz="0" w:space="0" w:color="auto"/>
          </w:divBdr>
        </w:div>
      </w:divsChild>
    </w:div>
    <w:div w:id="2109697194">
      <w:bodyDiv w:val="1"/>
      <w:marLeft w:val="0"/>
      <w:marRight w:val="0"/>
      <w:marTop w:val="0"/>
      <w:marBottom w:val="0"/>
      <w:divBdr>
        <w:top w:val="none" w:sz="0" w:space="0" w:color="auto"/>
        <w:left w:val="none" w:sz="0" w:space="0" w:color="auto"/>
        <w:bottom w:val="none" w:sz="0" w:space="0" w:color="auto"/>
        <w:right w:val="none" w:sz="0" w:space="0" w:color="auto"/>
      </w:divBdr>
      <w:divsChild>
        <w:div w:id="997418810">
          <w:marLeft w:val="0"/>
          <w:marRight w:val="0"/>
          <w:marTop w:val="0"/>
          <w:marBottom w:val="0"/>
          <w:divBdr>
            <w:top w:val="none" w:sz="0" w:space="0" w:color="auto"/>
            <w:left w:val="none" w:sz="0" w:space="0" w:color="auto"/>
            <w:bottom w:val="none" w:sz="0" w:space="0" w:color="auto"/>
            <w:right w:val="none" w:sz="0" w:space="0" w:color="auto"/>
          </w:divBdr>
        </w:div>
        <w:div w:id="1303342531">
          <w:marLeft w:val="0"/>
          <w:marRight w:val="0"/>
          <w:marTop w:val="0"/>
          <w:marBottom w:val="0"/>
          <w:divBdr>
            <w:top w:val="none" w:sz="0" w:space="0" w:color="auto"/>
            <w:left w:val="none" w:sz="0" w:space="0" w:color="auto"/>
            <w:bottom w:val="none" w:sz="0" w:space="0" w:color="auto"/>
            <w:right w:val="none" w:sz="0" w:space="0" w:color="auto"/>
          </w:divBdr>
        </w:div>
        <w:div w:id="1790198883">
          <w:marLeft w:val="0"/>
          <w:marRight w:val="0"/>
          <w:marTop w:val="0"/>
          <w:marBottom w:val="0"/>
          <w:divBdr>
            <w:top w:val="none" w:sz="0" w:space="0" w:color="auto"/>
            <w:left w:val="none" w:sz="0" w:space="0" w:color="auto"/>
            <w:bottom w:val="none" w:sz="0" w:space="0" w:color="auto"/>
            <w:right w:val="none" w:sz="0" w:space="0" w:color="auto"/>
          </w:divBdr>
        </w:div>
        <w:div w:id="606928983">
          <w:marLeft w:val="0"/>
          <w:marRight w:val="0"/>
          <w:marTop w:val="0"/>
          <w:marBottom w:val="0"/>
          <w:divBdr>
            <w:top w:val="none" w:sz="0" w:space="0" w:color="auto"/>
            <w:left w:val="none" w:sz="0" w:space="0" w:color="auto"/>
            <w:bottom w:val="none" w:sz="0" w:space="0" w:color="auto"/>
            <w:right w:val="none" w:sz="0" w:space="0" w:color="auto"/>
          </w:divBdr>
        </w:div>
        <w:div w:id="276914979">
          <w:marLeft w:val="0"/>
          <w:marRight w:val="0"/>
          <w:marTop w:val="0"/>
          <w:marBottom w:val="0"/>
          <w:divBdr>
            <w:top w:val="none" w:sz="0" w:space="0" w:color="auto"/>
            <w:left w:val="none" w:sz="0" w:space="0" w:color="auto"/>
            <w:bottom w:val="none" w:sz="0" w:space="0" w:color="auto"/>
            <w:right w:val="none" w:sz="0" w:space="0" w:color="auto"/>
          </w:divBdr>
        </w:div>
        <w:div w:id="1234661025">
          <w:marLeft w:val="0"/>
          <w:marRight w:val="0"/>
          <w:marTop w:val="0"/>
          <w:marBottom w:val="0"/>
          <w:divBdr>
            <w:top w:val="none" w:sz="0" w:space="0" w:color="auto"/>
            <w:left w:val="none" w:sz="0" w:space="0" w:color="auto"/>
            <w:bottom w:val="none" w:sz="0" w:space="0" w:color="auto"/>
            <w:right w:val="none" w:sz="0" w:space="0" w:color="auto"/>
          </w:divBdr>
        </w:div>
        <w:div w:id="1227181578">
          <w:marLeft w:val="0"/>
          <w:marRight w:val="0"/>
          <w:marTop w:val="0"/>
          <w:marBottom w:val="0"/>
          <w:divBdr>
            <w:top w:val="none" w:sz="0" w:space="0" w:color="auto"/>
            <w:left w:val="none" w:sz="0" w:space="0" w:color="auto"/>
            <w:bottom w:val="none" w:sz="0" w:space="0" w:color="auto"/>
            <w:right w:val="none" w:sz="0" w:space="0" w:color="auto"/>
          </w:divBdr>
        </w:div>
        <w:div w:id="196715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art/oop/rozhodnuti/oop_art-04-10_2014-08.pdf" TargetMode="External"/><Relationship Id="rId13" Type="http://schemas.openxmlformats.org/officeDocument/2006/relationships/hyperlink" Target="http://www.ctu.cz/pusobnost-ctu/analyzy-relevantnich-trhu/oop-1-02-2008-2/trh-c-7-ukonceni-hlasoveho-volani-terminace-v-jednotlivych-verejnych-mobilnich-telefonnich-sitich.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u.cz/cs/download/art/pripominky_diskuse/cen/pripominky_vodafone_cen_04-xx_2015-y_navrh_18_03_2015_o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u.cz/cs/download/art/oop/rozhodnuti/oop_art-04-10_2014-08.pdf" TargetMode="External"/><Relationship Id="rId5" Type="http://schemas.openxmlformats.org/officeDocument/2006/relationships/webSettings" Target="webSettings.xml"/><Relationship Id="rId15" Type="http://schemas.openxmlformats.org/officeDocument/2006/relationships/hyperlink" Target="http://www.ctu.cz/cs/download/art/tabulky/oop/tabulky_oop_art-04-xx_2014-yy_navrh_17_04_2014.pdf" TargetMode="External"/><Relationship Id="rId10" Type="http://schemas.openxmlformats.org/officeDocument/2006/relationships/hyperlink" Target="http://www.ctu.cz/cs/download/art/pripominky_diskuse/cen/pripominky_vodafone_cen_04-xx_2015-y_navrh_18_03_2015_o2.pdf" TargetMode="External"/><Relationship Id="rId4" Type="http://schemas.openxmlformats.org/officeDocument/2006/relationships/settings" Target="settings.xml"/><Relationship Id="rId9" Type="http://schemas.openxmlformats.org/officeDocument/2006/relationships/hyperlink" Target="http://www.ctu.cz/cs/download/art/oop/rozhodnuti/oop_art-04-10_2014-08.pdf" TargetMode="External"/><Relationship Id="rId14" Type="http://schemas.openxmlformats.org/officeDocument/2006/relationships/hyperlink" Target="http://www.ctu.cz/cs/download/oop/oop_04/oop_04-09_2014-06.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C3E7-941B-4662-9007-59EFEFDE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4DD79D12</Template>
  <TotalTime>0</TotalTime>
  <Pages>10</Pages>
  <Words>4944</Words>
  <Characters>29172</Characters>
  <Application>Microsoft Office Word</Application>
  <DocSecurity>4</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Český telekomunikační úřad</Company>
  <LinksUpToDate>false</LinksUpToDate>
  <CharactersWithSpaces>34048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VOPALECKÝ Jaroslav</dc:creator>
  <cp:keywords/>
  <dc:description/>
  <cp:lastModifiedBy>VOPALECKÝ Jaroslav</cp:lastModifiedBy>
  <cp:revision>2</cp:revision>
  <dcterms:created xsi:type="dcterms:W3CDTF">2015-05-18T11:57:00Z</dcterms:created>
  <dcterms:modified xsi:type="dcterms:W3CDTF">2015-05-18T11:57:00Z</dcterms:modified>
</cp:coreProperties>
</file>