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545738">
        <w:t>1 645</w:t>
      </w:r>
      <w:r w:rsidR="00567DAB" w:rsidRPr="008E126C">
        <w:t>/20</w:t>
      </w:r>
      <w:r w:rsidR="00745907" w:rsidRPr="008E126C">
        <w:t>1</w:t>
      </w:r>
      <w:r w:rsidR="009E43FD">
        <w:t>4</w:t>
      </w:r>
      <w:r w:rsidR="00567DAB" w:rsidRPr="008E126C">
        <w:t>-61</w:t>
      </w:r>
      <w:r w:rsidR="00745907" w:rsidRPr="008E126C">
        <w:t>1</w:t>
      </w:r>
    </w:p>
    <w:p w:rsidR="005B6CC6" w:rsidRPr="00545738"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řád, ve znění pozdějších předpisů, a podle </w:t>
      </w:r>
      <w:r w:rsidR="00412D40" w:rsidRPr="008E126C">
        <w:t xml:space="preserve">§ 107 odst. </w:t>
      </w:r>
      <w:r w:rsidR="00745907" w:rsidRPr="008E126C">
        <w:t>9</w:t>
      </w:r>
      <w:r w:rsidR="00412D40" w:rsidRPr="008E126C">
        <w:t xml:space="preserve"> písm. b) </w:t>
      </w:r>
      <w:r w:rsidR="004E5A0B" w:rsidRPr="008E126C">
        <w:t xml:space="preserve">bodu 3 </w:t>
      </w:r>
      <w:r w:rsidR="00412D40" w:rsidRPr="008E126C">
        <w:t xml:space="preserve">zákona č. 127/2005 </w:t>
      </w:r>
      <w:r w:rsidR="00412D40" w:rsidRPr="00545738">
        <w:t>Sb., o elektronických komunikacích a o změně některých souvisejících zákonů (zákon o elektronických komunikacích)</w:t>
      </w:r>
      <w:r w:rsidR="00D84A3D" w:rsidRPr="00545738">
        <w:t>,</w:t>
      </w:r>
      <w:r w:rsidR="00412D40" w:rsidRPr="00545738">
        <w:t xml:space="preserve"> ve znění pozdějších předpisů (dále jen „Zákon“),</w:t>
      </w:r>
      <w:r w:rsidR="00745907" w:rsidRPr="00545738">
        <w:t xml:space="preserve"> </w:t>
      </w:r>
      <w:r w:rsidR="00425DB7" w:rsidRPr="00545738">
        <w:t xml:space="preserve">vydává v řízení se </w:t>
      </w:r>
      <w:r w:rsidR="006F4569" w:rsidRPr="00545738">
        <w:t xml:space="preserve">společností </w:t>
      </w:r>
      <w:r w:rsidR="00B81FAC" w:rsidRPr="00545738">
        <w:rPr>
          <w:b/>
          <w:kern w:val="20"/>
        </w:rPr>
        <w:t>Vodafone Czech Republic a.s.</w:t>
      </w:r>
      <w:r w:rsidR="00B81FAC" w:rsidRPr="00545738">
        <w:t xml:space="preserve">, se sídlem </w:t>
      </w:r>
      <w:r w:rsidR="00B81FAC" w:rsidRPr="00545738">
        <w:rPr>
          <w:kern w:val="20"/>
        </w:rPr>
        <w:t>Vinohradská 167</w:t>
      </w:r>
      <w:r w:rsidR="00B81FAC" w:rsidRPr="00545738">
        <w:t xml:space="preserve">, </w:t>
      </w:r>
      <w:r w:rsidR="00B81FAC" w:rsidRPr="00545738">
        <w:rPr>
          <w:kern w:val="20"/>
        </w:rPr>
        <w:t>100 00 Praha 10</w:t>
      </w:r>
      <w:r w:rsidR="00B81FAC" w:rsidRPr="00545738">
        <w:t>, IČ</w:t>
      </w:r>
      <w:r w:rsidR="00A622FD">
        <w:t>O</w:t>
      </w:r>
      <w:r w:rsidR="00B81FAC" w:rsidRPr="00545738">
        <w:t>: 25788001</w:t>
      </w:r>
      <w:r w:rsidR="006650F1" w:rsidRPr="00545738">
        <w:t xml:space="preserve"> </w:t>
      </w:r>
      <w:r w:rsidR="00745907" w:rsidRPr="00545738">
        <w:t>(dále jen „účastník řízení“)</w:t>
      </w:r>
      <w:r w:rsidR="00425DB7" w:rsidRPr="00545738">
        <w:t xml:space="preserve">, </w:t>
      </w:r>
      <w:r w:rsidR="00745907" w:rsidRPr="00545738">
        <w:t xml:space="preserve">zahájeném z moci úřední </w:t>
      </w:r>
      <w:r w:rsidR="00425DB7" w:rsidRPr="00545738">
        <w:t>dne</w:t>
      </w:r>
      <w:r w:rsidR="00932253" w:rsidRPr="00545738">
        <w:t xml:space="preserve"> </w:t>
      </w:r>
      <w:r w:rsidR="00D85AA9">
        <w:t>16. ledna</w:t>
      </w:r>
      <w:r w:rsidR="00932253" w:rsidRPr="00545738">
        <w:t xml:space="preserve"> 20</w:t>
      </w:r>
      <w:r w:rsidR="00745907" w:rsidRPr="00545738">
        <w:t>1</w:t>
      </w:r>
      <w:r w:rsidR="009E43FD" w:rsidRPr="00545738">
        <w:t>4</w:t>
      </w:r>
      <w:r w:rsidR="00425DB7" w:rsidRPr="00545738">
        <w:t xml:space="preserve">, ve věci </w:t>
      </w:r>
      <w:r w:rsidR="00C65530" w:rsidRPr="00545738">
        <w:t xml:space="preserve">uložení </w:t>
      </w:r>
      <w:r w:rsidR="00D55530" w:rsidRPr="00545738">
        <w:t>povinnost</w:t>
      </w:r>
      <w:r w:rsidR="00C65530" w:rsidRPr="00545738">
        <w:t>i</w:t>
      </w:r>
      <w:r w:rsidR="00ED39A0" w:rsidRPr="00545738">
        <w:t xml:space="preserve"> </w:t>
      </w:r>
      <w:r w:rsidR="00C65530" w:rsidRPr="00545738">
        <w:t>související s regulací cen podniku s významnou tržní silou</w:t>
      </w:r>
      <w:r w:rsidR="00745907" w:rsidRPr="00545738">
        <w:t xml:space="preserve"> </w:t>
      </w:r>
      <w:r w:rsidR="005B6CC6" w:rsidRPr="00545738">
        <w:t xml:space="preserve">toto </w:t>
      </w:r>
    </w:p>
    <w:p w:rsidR="000B435F" w:rsidRPr="00545738" w:rsidRDefault="006F01CC" w:rsidP="005B3B60">
      <w:pPr>
        <w:spacing w:before="480" w:after="480"/>
        <w:jc w:val="center"/>
        <w:rPr>
          <w:b/>
        </w:rPr>
      </w:pPr>
      <w:r w:rsidRPr="00545738">
        <w:rPr>
          <w:b/>
        </w:rPr>
        <w:t>ro</w:t>
      </w:r>
      <w:r w:rsidR="004D200C" w:rsidRPr="00545738">
        <w:rPr>
          <w:b/>
        </w:rPr>
        <w:t>zhodnutí</w:t>
      </w:r>
      <w:r w:rsidR="005B6CC6" w:rsidRPr="00545738">
        <w:rPr>
          <w:b/>
        </w:rPr>
        <w:t xml:space="preserve"> o ceně</w:t>
      </w:r>
      <w:r w:rsidR="006C2091" w:rsidRPr="00545738">
        <w:rPr>
          <w:b/>
        </w:rPr>
        <w:t xml:space="preserve"> č. </w:t>
      </w:r>
      <w:r w:rsidR="000B435F" w:rsidRPr="00545738">
        <w:rPr>
          <w:rFonts w:cs="Arial"/>
          <w:b/>
          <w:bCs/>
          <w:snapToGrid w:val="0"/>
          <w:sz w:val="24"/>
          <w:szCs w:val="24"/>
        </w:rPr>
        <w:t>CEN/</w:t>
      </w:r>
      <w:r w:rsidR="00745907" w:rsidRPr="00545738">
        <w:rPr>
          <w:rFonts w:cs="Arial"/>
          <w:b/>
          <w:bCs/>
          <w:snapToGrid w:val="0"/>
          <w:sz w:val="24"/>
          <w:szCs w:val="24"/>
        </w:rPr>
        <w:t>3</w:t>
      </w:r>
      <w:r w:rsidR="000B435F" w:rsidRPr="00545738">
        <w:rPr>
          <w:rFonts w:cs="Arial"/>
          <w:b/>
          <w:bCs/>
          <w:snapToGrid w:val="0"/>
          <w:sz w:val="24"/>
          <w:szCs w:val="24"/>
        </w:rPr>
        <w:t>/</w:t>
      </w:r>
      <w:r w:rsidR="00557DDC" w:rsidRPr="00545738">
        <w:rPr>
          <w:rFonts w:cs="Arial"/>
          <w:b/>
          <w:bCs/>
          <w:snapToGrid w:val="0"/>
          <w:sz w:val="24"/>
          <w:szCs w:val="24"/>
        </w:rPr>
        <w:t>XX</w:t>
      </w:r>
      <w:r w:rsidR="000B435F" w:rsidRPr="00545738">
        <w:rPr>
          <w:rFonts w:cs="Arial"/>
          <w:b/>
          <w:bCs/>
          <w:snapToGrid w:val="0"/>
          <w:sz w:val="24"/>
          <w:szCs w:val="24"/>
        </w:rPr>
        <w:t>.</w:t>
      </w:r>
      <w:r w:rsidR="000B05F5" w:rsidRPr="00545738">
        <w:rPr>
          <w:rFonts w:cs="Arial"/>
          <w:b/>
          <w:bCs/>
          <w:snapToGrid w:val="0"/>
          <w:sz w:val="24"/>
          <w:szCs w:val="24"/>
        </w:rPr>
        <w:t>2014</w:t>
      </w:r>
      <w:r w:rsidR="000B435F" w:rsidRPr="00545738">
        <w:rPr>
          <w:rFonts w:cs="Arial"/>
          <w:b/>
          <w:bCs/>
          <w:snapToGrid w:val="0"/>
          <w:sz w:val="24"/>
          <w:szCs w:val="24"/>
        </w:rPr>
        <w:t>-</w:t>
      </w:r>
      <w:r w:rsidR="00612572" w:rsidRPr="00545738">
        <w:rPr>
          <w:rFonts w:cs="Arial"/>
          <w:b/>
          <w:bCs/>
          <w:snapToGrid w:val="0"/>
          <w:sz w:val="24"/>
          <w:szCs w:val="24"/>
        </w:rPr>
        <w:t>Y</w:t>
      </w:r>
      <w:r w:rsidR="006C2091" w:rsidRPr="00545738">
        <w:rPr>
          <w:rFonts w:cs="Arial"/>
          <w:b/>
          <w:bCs/>
          <w:snapToGrid w:val="0"/>
          <w:color w:val="000000"/>
          <w:sz w:val="24"/>
          <w:szCs w:val="24"/>
        </w:rPr>
        <w:t>:</w:t>
      </w:r>
    </w:p>
    <w:p w:rsidR="00232BAB" w:rsidRPr="00545738" w:rsidRDefault="00FD7FAC" w:rsidP="00C172FB">
      <w:pPr>
        <w:spacing w:before="360" w:after="240"/>
        <w:jc w:val="center"/>
      </w:pPr>
      <w:r w:rsidRPr="00545738">
        <w:rPr>
          <w:b/>
        </w:rPr>
        <w:t>I.</w:t>
      </w:r>
    </w:p>
    <w:p w:rsidR="00931E4E" w:rsidRPr="00545738" w:rsidRDefault="00931E4E" w:rsidP="00931E4E">
      <w:pPr>
        <w:spacing w:after="120"/>
        <w:ind w:firstLine="709"/>
        <w:jc w:val="both"/>
      </w:pPr>
      <w:r w:rsidRPr="00545738">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 síti pro službu ukončení volání (terminace) v pevném místě (dále jen „ceny za terminaci“) tak, aby nebyla překročena maximální cena 0,03 Kč/min. bez DPH.</w:t>
      </w:r>
    </w:p>
    <w:p w:rsidR="00931E4E" w:rsidRPr="00EF6716" w:rsidRDefault="00931E4E" w:rsidP="00931E4E">
      <w:pPr>
        <w:spacing w:after="120"/>
        <w:ind w:firstLine="720"/>
        <w:jc w:val="both"/>
      </w:pPr>
      <w:r w:rsidRPr="00545738">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skládají z přístupového kódu k neveřejným sítím (jedná se o přístupové kódy 9500 až 9599 a 972 až 974) a doplňkových číslic, vymezená ve vyhlášce o číslovacích plánech sítí a služeb </w:t>
      </w:r>
      <w:r w:rsidRPr="00EF6716">
        <w:t>elektronických komunikací vydané k provedení § 29 odst. 4 Zákona.</w:t>
      </w:r>
    </w:p>
    <w:p w:rsidR="00931E4E" w:rsidRPr="00545738" w:rsidRDefault="00931E4E" w:rsidP="00931E4E">
      <w:pPr>
        <w:spacing w:after="120"/>
        <w:ind w:firstLine="720"/>
        <w:jc w:val="both"/>
      </w:pPr>
      <w:r w:rsidRPr="00EF6716">
        <w:t xml:space="preserve">(3) </w:t>
      </w:r>
      <w:r w:rsidR="00FA52A8" w:rsidRPr="00EF6716">
        <w:t>Regulace formou maximálních cen podle odstavce 1 se nevztahuje na volání z telefonních čísel s kódy zemí mimo Evropský hospodářský prostor.</w:t>
      </w:r>
    </w:p>
    <w:p w:rsidR="00931E4E" w:rsidRPr="00545738" w:rsidRDefault="00931E4E" w:rsidP="00931E4E">
      <w:pPr>
        <w:spacing w:before="360" w:after="240"/>
        <w:jc w:val="center"/>
        <w:outlineLvl w:val="0"/>
        <w:rPr>
          <w:b/>
        </w:rPr>
      </w:pPr>
      <w:r w:rsidRPr="00545738">
        <w:rPr>
          <w:b/>
        </w:rPr>
        <w:t>II.</w:t>
      </w:r>
    </w:p>
    <w:p w:rsidR="002E2062" w:rsidRPr="00545738" w:rsidRDefault="00931E4E" w:rsidP="00C172FB">
      <w:pPr>
        <w:spacing w:after="120"/>
        <w:ind w:firstLine="709"/>
        <w:jc w:val="both"/>
        <w:outlineLvl w:val="0"/>
        <w:rPr>
          <w:rFonts w:cs="Arial"/>
        </w:rPr>
      </w:pPr>
      <w:r w:rsidRPr="00545738">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545738" w:rsidRDefault="00BD2CFC" w:rsidP="00017B36">
      <w:pPr>
        <w:ind w:firstLine="709"/>
        <w:jc w:val="both"/>
        <w:outlineLvl w:val="0"/>
        <w:rPr>
          <w:rFonts w:cs="Arial"/>
        </w:rPr>
      </w:pPr>
      <w:r w:rsidRPr="00545738">
        <w:rPr>
          <w:rFonts w:cs="Arial"/>
        </w:rPr>
        <w:t>(2) V ostatních případech je</w:t>
      </w:r>
      <w:r w:rsidR="00571E04" w:rsidRPr="00545738">
        <w:rPr>
          <w:rFonts w:cs="Arial"/>
        </w:rPr>
        <w:t xml:space="preserve"> po dobu účinnosti části I. výroku tohoto rozhodnutí</w:t>
      </w:r>
      <w:r w:rsidRPr="00545738">
        <w:rPr>
          <w:rFonts w:cs="Arial"/>
        </w:rPr>
        <w:t xml:space="preserve"> účastník řízení povinen sjednat </w:t>
      </w:r>
      <w:r w:rsidR="00E66780" w:rsidRPr="00545738">
        <w:rPr>
          <w:rFonts w:cs="Arial"/>
        </w:rPr>
        <w:t xml:space="preserve">a uplatňovat </w:t>
      </w:r>
      <w:r w:rsidRPr="00545738">
        <w:rPr>
          <w:rFonts w:cs="Arial"/>
        </w:rPr>
        <w:t xml:space="preserve">ceny </w:t>
      </w:r>
      <w:r w:rsidR="006E1243" w:rsidRPr="00545738">
        <w:rPr>
          <w:rFonts w:cs="Arial"/>
        </w:rPr>
        <w:t>podle</w:t>
      </w:r>
      <w:r w:rsidR="0049324F" w:rsidRPr="00545738">
        <w:rPr>
          <w:rFonts w:cs="Arial"/>
        </w:rPr>
        <w:t xml:space="preserve"> </w:t>
      </w:r>
      <w:r w:rsidR="006E1243" w:rsidRPr="00545738">
        <w:rPr>
          <w:rFonts w:cs="Arial"/>
        </w:rPr>
        <w:t xml:space="preserve">části I. výroku tohoto rozhodnutí nejpozději od prvního dne </w:t>
      </w:r>
      <w:r w:rsidR="007E2E3D" w:rsidRPr="00545738">
        <w:rPr>
          <w:rFonts w:cs="Arial"/>
        </w:rPr>
        <w:t>třetího</w:t>
      </w:r>
      <w:r w:rsidR="00B92D93" w:rsidRPr="00545738">
        <w:rPr>
          <w:rFonts w:cs="Arial"/>
        </w:rPr>
        <w:t xml:space="preserve"> měsíce </w:t>
      </w:r>
      <w:r w:rsidR="007E2E3D" w:rsidRPr="00545738">
        <w:rPr>
          <w:rFonts w:cs="Arial"/>
        </w:rPr>
        <w:t>následujícího po měsíci, ve kterém došlo k</w:t>
      </w:r>
      <w:r w:rsidRPr="00545738">
        <w:rPr>
          <w:rFonts w:cs="Arial"/>
        </w:rPr>
        <w:t xml:space="preserve"> nabytí právní moci tohoto rozhodnutí.</w:t>
      </w:r>
    </w:p>
    <w:p w:rsidR="004D200C" w:rsidRPr="00545738" w:rsidRDefault="00FD7FAC" w:rsidP="00F26B39">
      <w:pPr>
        <w:spacing w:before="480" w:after="240"/>
        <w:jc w:val="center"/>
        <w:outlineLvl w:val="0"/>
        <w:rPr>
          <w:b/>
        </w:rPr>
      </w:pPr>
      <w:r w:rsidRPr="00545738">
        <w:rPr>
          <w:b/>
        </w:rPr>
        <w:t>Odůvodnění</w:t>
      </w:r>
      <w:r w:rsidR="00DA1A7B" w:rsidRPr="00545738">
        <w:rPr>
          <w:b/>
        </w:rPr>
        <w:t>:</w:t>
      </w:r>
    </w:p>
    <w:p w:rsidR="00384304" w:rsidRPr="00545738" w:rsidRDefault="00384304" w:rsidP="00C172FB">
      <w:pPr>
        <w:spacing w:after="120"/>
        <w:ind w:firstLine="709"/>
        <w:jc w:val="both"/>
      </w:pPr>
      <w:r w:rsidRPr="00545738">
        <w:lastRenderedPageBreak/>
        <w:t xml:space="preserve">Český telekomunikační úřad (dále jen „Úřad“) provedl v souladu s § 51 odst. </w:t>
      </w:r>
      <w:smartTag w:uri="urn:schemas-microsoft-com:office:smarttags" w:element="metricconverter">
        <w:smartTagPr>
          <w:attr w:name="ProductID" w:val="1 a"/>
        </w:smartTagPr>
        <w:r w:rsidRPr="00545738">
          <w:t>1 a</w:t>
        </w:r>
      </w:smartTag>
      <w:r w:rsidRPr="00545738">
        <w:t xml:space="preserve"> 2 Zákona</w:t>
      </w:r>
      <w:r w:rsidR="003539E5" w:rsidRPr="00545738">
        <w:t xml:space="preserve"> </w:t>
      </w:r>
      <w:r w:rsidRPr="00545738">
        <w:t xml:space="preserve">analýzu trhu č. </w:t>
      </w:r>
      <w:r w:rsidR="00B2749C" w:rsidRPr="00545738">
        <w:t>3</w:t>
      </w:r>
      <w:r w:rsidRPr="00545738">
        <w:t xml:space="preserve"> </w:t>
      </w:r>
      <w:r w:rsidR="009D6572" w:rsidRPr="00545738">
        <w:rPr>
          <w:rFonts w:cs="Arial"/>
        </w:rPr>
        <w:t>–</w:t>
      </w:r>
      <w:r w:rsidRPr="00545738">
        <w:t xml:space="preserve"> </w:t>
      </w:r>
      <w:r w:rsidR="001C6D2F" w:rsidRPr="00545738">
        <w:t xml:space="preserve">Ukončení </w:t>
      </w:r>
      <w:r w:rsidR="00B2749C" w:rsidRPr="00545738">
        <w:t>volání (terminace) v jednotlivých veřejných telefonních sítích poskytovaných v pevném místě</w:t>
      </w:r>
      <w:r w:rsidRPr="00545738">
        <w:t xml:space="preserve"> (dále jen „trh č. </w:t>
      </w:r>
      <w:r w:rsidR="00B2749C" w:rsidRPr="00545738">
        <w:t>3</w:t>
      </w:r>
      <w:r w:rsidRPr="00545738">
        <w:t xml:space="preserve">“), kterou </w:t>
      </w:r>
      <w:r w:rsidR="009D6572" w:rsidRPr="00545738">
        <w:t xml:space="preserve">zveřejnil na úřední desce dne </w:t>
      </w:r>
      <w:r w:rsidR="00C16921" w:rsidRPr="00545738">
        <w:t>13</w:t>
      </w:r>
      <w:r w:rsidR="001C6D2F" w:rsidRPr="00545738">
        <w:t xml:space="preserve">. </w:t>
      </w:r>
      <w:r w:rsidR="00C16921" w:rsidRPr="00545738">
        <w:t>prosince</w:t>
      </w:r>
      <w:r w:rsidR="009D6572" w:rsidRPr="00545738">
        <w:t xml:space="preserve"> 20</w:t>
      </w:r>
      <w:r w:rsidR="001C6D2F" w:rsidRPr="00545738">
        <w:t>13</w:t>
      </w:r>
      <w:r w:rsidR="009D6572" w:rsidRPr="00545738">
        <w:t xml:space="preserve"> </w:t>
      </w:r>
      <w:r w:rsidR="00C16921" w:rsidRPr="00545738">
        <w:t xml:space="preserve">pod čj. </w:t>
      </w:r>
      <w:r w:rsidR="003934E6" w:rsidRPr="00545738">
        <w:t xml:space="preserve">ČTÚ-127 153/2013-609 </w:t>
      </w:r>
      <w:r w:rsidR="009D6572" w:rsidRPr="00545738">
        <w:t>a</w:t>
      </w:r>
      <w:r w:rsidR="005B3B60" w:rsidRPr="00545738">
        <w:t> </w:t>
      </w:r>
      <w:r w:rsidR="009D6572" w:rsidRPr="00545738">
        <w:t>po oznámení Evropsk</w:t>
      </w:r>
      <w:r w:rsidR="00DB18C8" w:rsidRPr="00545738">
        <w:t>é</w:t>
      </w:r>
      <w:r w:rsidR="009D6572" w:rsidRPr="00545738">
        <w:t xml:space="preserve"> komis</w:t>
      </w:r>
      <w:r w:rsidR="00DB18C8" w:rsidRPr="00545738">
        <w:t>i</w:t>
      </w:r>
      <w:r w:rsidR="009D6572" w:rsidRPr="00545738">
        <w:t xml:space="preserve"> jí vydal jako opatření obecné povahy č. </w:t>
      </w:r>
      <w:r w:rsidR="00B2749C" w:rsidRPr="00545738">
        <w:t>A/3/</w:t>
      </w:r>
      <w:r w:rsidR="001B1211" w:rsidRPr="00545738">
        <w:t>12</w:t>
      </w:r>
      <w:r w:rsidR="00B2749C" w:rsidRPr="00545738">
        <w:t>.20</w:t>
      </w:r>
      <w:r w:rsidR="001C6D2F" w:rsidRPr="00545738">
        <w:t>13</w:t>
      </w:r>
      <w:r w:rsidR="00B2749C" w:rsidRPr="00545738">
        <w:t>-</w:t>
      </w:r>
      <w:r w:rsidR="001B1211" w:rsidRPr="00545738">
        <w:t>8</w:t>
      </w:r>
      <w:r w:rsidR="00DB18C8" w:rsidRPr="00545738">
        <w:t xml:space="preserve"> ze dne </w:t>
      </w:r>
      <w:r w:rsidR="00C75960" w:rsidRPr="00545738">
        <w:t>10</w:t>
      </w:r>
      <w:r w:rsidR="001C6D2F" w:rsidRPr="00545738">
        <w:t xml:space="preserve">. </w:t>
      </w:r>
      <w:r w:rsidR="00C75960" w:rsidRPr="00545738">
        <w:t>prosince</w:t>
      </w:r>
      <w:r w:rsidR="00DB18C8" w:rsidRPr="00545738">
        <w:t xml:space="preserve"> 20</w:t>
      </w:r>
      <w:r w:rsidR="001C6D2F" w:rsidRPr="00545738">
        <w:t>13</w:t>
      </w:r>
      <w:r w:rsidR="00CF0782" w:rsidRPr="00545738">
        <w:t>.</w:t>
      </w:r>
      <w:r w:rsidRPr="00545738">
        <w:t xml:space="preserve"> </w:t>
      </w:r>
      <w:r w:rsidR="00DB18C8" w:rsidRPr="00545738">
        <w:t>T</w:t>
      </w:r>
      <w:r w:rsidR="009D6572" w:rsidRPr="00545738">
        <w:t xml:space="preserve">oto opatření bylo dne </w:t>
      </w:r>
      <w:r w:rsidR="00AA1432" w:rsidRPr="00545738">
        <w:t>13</w:t>
      </w:r>
      <w:r w:rsidR="001C6D2F" w:rsidRPr="00545738">
        <w:t xml:space="preserve">. </w:t>
      </w:r>
      <w:r w:rsidR="00AA1432" w:rsidRPr="00545738">
        <w:t>prosince</w:t>
      </w:r>
      <w:r w:rsidR="009D6572" w:rsidRPr="00545738">
        <w:t xml:space="preserve"> 20</w:t>
      </w:r>
      <w:r w:rsidR="001C6D2F" w:rsidRPr="00545738">
        <w:t>13</w:t>
      </w:r>
      <w:r w:rsidR="009D6572" w:rsidRPr="00545738">
        <w:t xml:space="preserve"> uveřejněno v částce </w:t>
      </w:r>
      <w:r w:rsidR="009E1FC2" w:rsidRPr="00545738">
        <w:t>20</w:t>
      </w:r>
      <w:r w:rsidR="009D6572" w:rsidRPr="00545738">
        <w:t>/20</w:t>
      </w:r>
      <w:r w:rsidR="001C6D2F" w:rsidRPr="00545738">
        <w:t>13</w:t>
      </w:r>
      <w:r w:rsidR="009D6572" w:rsidRPr="00545738">
        <w:t xml:space="preserve"> Telekomunikačního věstníku. </w:t>
      </w:r>
      <w:r w:rsidRPr="00545738">
        <w:t xml:space="preserve">Výsledky analýzy prokázaly, že trh č. </w:t>
      </w:r>
      <w:r w:rsidR="00B2749C" w:rsidRPr="00545738">
        <w:t>3</w:t>
      </w:r>
      <w:r w:rsidRPr="00545738">
        <w:t xml:space="preserve"> není efektivně konkurenčním trhem, neboť na něm působí podnik</w:t>
      </w:r>
      <w:r w:rsidR="007C3502" w:rsidRPr="00545738">
        <w:t xml:space="preserve"> </w:t>
      </w:r>
      <w:r w:rsidRPr="00545738">
        <w:t>s významnou tržní silou.</w:t>
      </w:r>
      <w:r w:rsidR="004F0D90" w:rsidRPr="00545738">
        <w:t xml:space="preserve"> </w:t>
      </w:r>
      <w:r w:rsidRPr="00545738">
        <w:t xml:space="preserve">Rozhodnutím správního orgánu </w:t>
      </w:r>
      <w:r w:rsidR="004F0D90" w:rsidRPr="00545738">
        <w:t>č. SMP/3/</w:t>
      </w:r>
      <w:r w:rsidR="001C6D2F" w:rsidRPr="00545738">
        <w:t>XX</w:t>
      </w:r>
      <w:r w:rsidR="004F0D90" w:rsidRPr="00545738">
        <w:t>.201</w:t>
      </w:r>
      <w:r w:rsidR="009E43FD" w:rsidRPr="00545738">
        <w:t>4</w:t>
      </w:r>
      <w:r w:rsidR="004F0D90" w:rsidRPr="00545738">
        <w:t>-</w:t>
      </w:r>
      <w:r w:rsidR="001C6D2F" w:rsidRPr="00545738">
        <w:t>X</w:t>
      </w:r>
      <w:r w:rsidR="004F0D90" w:rsidRPr="00545738">
        <w:t xml:space="preserve"> </w:t>
      </w:r>
      <w:r w:rsidRPr="00545738">
        <w:t xml:space="preserve">ze dne </w:t>
      </w:r>
      <w:r w:rsidR="001C6D2F" w:rsidRPr="00545738">
        <w:t>XX. XXXX</w:t>
      </w:r>
      <w:r w:rsidR="00C75D44" w:rsidRPr="00545738">
        <w:t xml:space="preserve"> 20</w:t>
      </w:r>
      <w:r w:rsidR="004F0D90" w:rsidRPr="00545738">
        <w:t>1</w:t>
      </w:r>
      <w:r w:rsidR="009E43FD" w:rsidRPr="00545738">
        <w:t>4</w:t>
      </w:r>
      <w:r w:rsidRPr="00545738">
        <w:t xml:space="preserve">, které bylo </w:t>
      </w:r>
      <w:r w:rsidR="00C75D44" w:rsidRPr="00545738">
        <w:t>vydáno pod čj.</w:t>
      </w:r>
      <w:r w:rsidR="001C6D2F" w:rsidRPr="00545738">
        <w:t xml:space="preserve"> ČTÚ-XX XXX</w:t>
      </w:r>
      <w:r w:rsidR="004F0D90" w:rsidRPr="00545738">
        <w:t>/20</w:t>
      </w:r>
      <w:r w:rsidR="009E43FD" w:rsidRPr="00545738">
        <w:t>14</w:t>
      </w:r>
      <w:r w:rsidR="004F0D90" w:rsidRPr="00545738">
        <w:t>-609/</w:t>
      </w:r>
      <w:r w:rsidR="001C6D2F" w:rsidRPr="00545738">
        <w:t>Y</w:t>
      </w:r>
      <w:r w:rsidR="004F0D90" w:rsidRPr="00545738">
        <w:t xml:space="preserve"> </w:t>
      </w:r>
      <w:proofErr w:type="spellStart"/>
      <w:r w:rsidR="004F0D90" w:rsidRPr="00545738">
        <w:t>vyř</w:t>
      </w:r>
      <w:proofErr w:type="spellEnd"/>
      <w:r w:rsidR="004F0D90" w:rsidRPr="00545738">
        <w:t xml:space="preserve">. </w:t>
      </w:r>
      <w:r w:rsidR="00C75D44" w:rsidRPr="00545738">
        <w:t>a nabylo právní</w:t>
      </w:r>
      <w:r w:rsidRPr="00545738">
        <w:t xml:space="preserve"> moci dne </w:t>
      </w:r>
      <w:r w:rsidR="001C6D2F" w:rsidRPr="00545738">
        <w:t>XX. XXXX</w:t>
      </w:r>
      <w:r w:rsidR="00C75D44" w:rsidRPr="00545738">
        <w:t xml:space="preserve"> 20</w:t>
      </w:r>
      <w:r w:rsidR="004F0D90" w:rsidRPr="00545738">
        <w:t>1</w:t>
      </w:r>
      <w:r w:rsidR="009E43FD" w:rsidRPr="00545738">
        <w:t>4</w:t>
      </w:r>
      <w:r w:rsidRPr="00545738">
        <w:t>, byl účastník řízení stanoven jako podnik s významnou tržní silou.</w:t>
      </w:r>
    </w:p>
    <w:p w:rsidR="002F6262" w:rsidRPr="00545738" w:rsidRDefault="007E13E9" w:rsidP="00C172FB">
      <w:pPr>
        <w:spacing w:after="120"/>
        <w:ind w:firstLine="709"/>
        <w:jc w:val="both"/>
      </w:pPr>
      <w:r w:rsidRPr="00545738">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384304" w:rsidRPr="008E126C" w:rsidRDefault="00384304" w:rsidP="00C172FB">
      <w:pPr>
        <w:spacing w:before="240" w:after="120"/>
        <w:ind w:firstLine="709"/>
        <w:jc w:val="both"/>
      </w:pPr>
      <w:r w:rsidRPr="00545738">
        <w:t>K části I. výroku</w:t>
      </w:r>
    </w:p>
    <w:p w:rsidR="00364947" w:rsidRPr="008E126C" w:rsidRDefault="002F6262" w:rsidP="00C172FB">
      <w:pPr>
        <w:spacing w:after="120"/>
        <w:ind w:firstLine="709"/>
        <w:jc w:val="both"/>
      </w:pPr>
      <w:r w:rsidRPr="008E126C">
        <w:rPr>
          <w:rFonts w:cs="Arial"/>
        </w:rPr>
        <w:t xml:space="preserve">Evropská komise vydala dne 7. května 2009 Doporučení o regulaci sazeb za ukončení volání v pevných a mobilních sítích </w:t>
      </w:r>
      <w:r w:rsidR="007E13E9">
        <w:rPr>
          <w:rFonts w:cs="Arial"/>
        </w:rPr>
        <w:t xml:space="preserve">v </w:t>
      </w:r>
      <w:r w:rsidRPr="008E126C">
        <w:rPr>
          <w:rFonts w:cs="Arial"/>
        </w:rPr>
        <w:t xml:space="preserve">EU (2009/396/ES, dále jen „Doporučení“), ve kterém jako </w:t>
      </w:r>
      <w:r w:rsidR="00B420B9" w:rsidRPr="008E126C">
        <w:rPr>
          <w:rFonts w:cs="Arial"/>
        </w:rPr>
        <w:t xml:space="preserve">nejvhodnější </w:t>
      </w:r>
      <w:r w:rsidRPr="008E126C">
        <w:rPr>
          <w:rFonts w:cs="Arial"/>
        </w:rPr>
        <w:t>metodu pro výpočet cen za terminaci stanoví metodu dlouhodobých přírůstkových nákladů (</w:t>
      </w:r>
      <w:r w:rsidR="00F6484D" w:rsidRPr="008E126C">
        <w:rPr>
          <w:rFonts w:cs="Arial"/>
        </w:rPr>
        <w:t>„</w:t>
      </w:r>
      <w:proofErr w:type="spellStart"/>
      <w:r w:rsidR="00F6484D" w:rsidRPr="008E126C">
        <w:rPr>
          <w:rFonts w:cs="Arial"/>
        </w:rPr>
        <w:t>pure</w:t>
      </w:r>
      <w:proofErr w:type="spellEnd"/>
      <w:r w:rsidR="00F6484D" w:rsidRPr="008E126C">
        <w:rPr>
          <w:rFonts w:cs="Arial"/>
        </w:rPr>
        <w:t>“</w:t>
      </w:r>
      <w:r w:rsidRPr="008E126C">
        <w:rPr>
          <w:rFonts w:cs="Arial"/>
        </w:rPr>
        <w:t xml:space="preserve"> </w:t>
      </w:r>
      <w:r w:rsidR="009744CC" w:rsidRPr="008E126C">
        <w:rPr>
          <w:rFonts w:cs="Arial"/>
        </w:rPr>
        <w:t>BU-</w:t>
      </w:r>
      <w:r w:rsidRPr="008E126C">
        <w:rPr>
          <w:rFonts w:cs="Arial"/>
        </w:rPr>
        <w:t>LRIC</w:t>
      </w:r>
      <w:r w:rsidR="009744CC" w:rsidRPr="008E126C">
        <w:rPr>
          <w:rFonts w:cs="Arial"/>
        </w:rPr>
        <w:t>, dále také jen „LRIC“</w:t>
      </w:r>
      <w:r w:rsidRPr="008E126C">
        <w:rPr>
          <w:rFonts w:cs="Arial"/>
        </w:rPr>
        <w:t xml:space="preserve">), </w:t>
      </w:r>
      <w:r w:rsidR="00136B05">
        <w:rPr>
          <w:rFonts w:cs="Arial"/>
        </w:rPr>
        <w:t>na jejímž základě by měly být do 31. prosince 2012 stanoveny terminační ceny</w:t>
      </w:r>
      <w:r w:rsidRPr="008E126C">
        <w:rPr>
          <w:rFonts w:cs="Arial"/>
        </w:rPr>
        <w:t>.</w:t>
      </w:r>
      <w:r w:rsidR="00090F88" w:rsidRPr="008E126C">
        <w:t xml:space="preserve"> </w:t>
      </w:r>
    </w:p>
    <w:p w:rsidR="00640F70" w:rsidRPr="008E126C" w:rsidRDefault="00191ECE" w:rsidP="00910453">
      <w:pPr>
        <w:spacing w:after="120"/>
        <w:ind w:firstLine="709"/>
        <w:jc w:val="both"/>
        <w:rPr>
          <w:rFonts w:cs="Arial"/>
        </w:rPr>
      </w:pPr>
      <w:r w:rsidRPr="008E126C">
        <w:rPr>
          <w:rFonts w:cs="Arial"/>
        </w:rPr>
        <w:t>Správní orgán je s ohledem na ustanovení § 108 odst. 3 Zákona povinen při výkonu své působnosti vycházet rovněž z doporučení Evropské komise.</w:t>
      </w:r>
      <w:r w:rsidR="00640F70" w:rsidRPr="008E126C">
        <w:t xml:space="preserve"> R</w:t>
      </w:r>
      <w:r w:rsidR="00640F70" w:rsidRPr="008E126C">
        <w:rPr>
          <w:rFonts w:cs="Arial"/>
        </w:rPr>
        <w:t xml:space="preserve">ozhodne-li se správní orgán nepostupovat podle doporučení </w:t>
      </w:r>
      <w:r w:rsidR="00F86563" w:rsidRPr="008E126C">
        <w:rPr>
          <w:rFonts w:cs="Arial"/>
        </w:rPr>
        <w:t>Evropské k</w:t>
      </w:r>
      <w:r w:rsidR="00640F70" w:rsidRPr="008E126C">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8E126C">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w:t>
      </w:r>
      <w:proofErr w:type="spellStart"/>
      <w:r w:rsidRPr="008E126C">
        <w:t>pure</w:t>
      </w:r>
      <w:proofErr w:type="spellEnd"/>
      <w:r w:rsidRPr="008E126C">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w:t>
      </w:r>
      <w:r w:rsidRPr="008E126C">
        <w:lastRenderedPageBreak/>
        <w:t>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w:t>
      </w:r>
      <w:proofErr w:type="spellStart"/>
      <w:r w:rsidRPr="008E126C">
        <w:rPr>
          <w:rFonts w:cs="Arial"/>
        </w:rPr>
        <w:t>originaci</w:t>
      </w:r>
      <w:proofErr w:type="spellEnd"/>
      <w:r w:rsidRPr="008E126C">
        <w:rPr>
          <w:rFonts w:cs="Arial"/>
        </w:rPr>
        <w:t xml:space="preserve">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w:t>
      </w:r>
      <w:proofErr w:type="spellStart"/>
      <w:r w:rsidRPr="008E126C">
        <w:rPr>
          <w:rFonts w:cs="Arial"/>
        </w:rPr>
        <w:t>Next</w:t>
      </w:r>
      <w:proofErr w:type="spellEnd"/>
      <w:r w:rsidRPr="008E126C">
        <w:rPr>
          <w:rFonts w:cs="Arial"/>
        </w:rPr>
        <w:t xml:space="preserve"> </w:t>
      </w:r>
      <w:proofErr w:type="spellStart"/>
      <w:r w:rsidRPr="008E126C">
        <w:rPr>
          <w:rFonts w:cs="Arial"/>
        </w:rPr>
        <w:t>Generation</w:t>
      </w:r>
      <w:proofErr w:type="spellEnd"/>
      <w:r w:rsidRPr="008E126C">
        <w:rPr>
          <w:rFonts w:cs="Arial"/>
        </w:rPr>
        <w:t xml:space="preserve"> </w:t>
      </w:r>
      <w:proofErr w:type="spellStart"/>
      <w:r w:rsidRPr="008E126C">
        <w:rPr>
          <w:rFonts w:cs="Arial"/>
        </w:rPr>
        <w:t>Networks</w:t>
      </w:r>
      <w:proofErr w:type="spellEnd"/>
      <w:r w:rsidRPr="008E126C">
        <w:rPr>
          <w:rFonts w:cs="Arial"/>
        </w:rPr>
        <w:t xml:space="preserve">).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Tím však správní orgán striktně nevylučuje ani možnost propojení na více úrovních NGN sítě v případě, že se na něm smluvní strany dohodnou (např. obdobou propojení na místní ústředně může být propojení na </w:t>
      </w:r>
      <w:proofErr w:type="spellStart"/>
      <w:r w:rsidRPr="008E126C">
        <w:rPr>
          <w:rFonts w:cs="Arial"/>
        </w:rPr>
        <w:t>Local</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obdobou propojení na tranzitní ústředně pak propojení na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 xml:space="preserve">vedením (nastavení cen v interních systémech, </w:t>
      </w:r>
      <w:proofErr w:type="spellStart"/>
      <w:r w:rsidR="009020B5" w:rsidRPr="008E126C">
        <w:rPr>
          <w:rFonts w:cs="Arial"/>
        </w:rPr>
        <w:t>billing</w:t>
      </w:r>
      <w:proofErr w:type="spellEnd"/>
      <w:r w:rsidR="009020B5" w:rsidRPr="008E126C">
        <w:rPr>
          <w:rFonts w:cs="Arial"/>
        </w:rPr>
        <w:t>)</w:t>
      </w:r>
      <w:r w:rsidRPr="008E126C">
        <w:rPr>
          <w:rFonts w:cs="Arial"/>
        </w:rPr>
        <w:t>, motivovaly jednotlivé operátory k dalšímu budování sítě a propojovacích bodů blíže koncovým účastníkům.</w:t>
      </w:r>
    </w:p>
    <w:p w:rsidR="00190D1C" w:rsidRPr="008E126C"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proofErr w:type="spellStart"/>
      <w:r w:rsidR="00CA0FAF" w:rsidRPr="008E126C">
        <w:rPr>
          <w:rFonts w:cs="Arial"/>
        </w:rPr>
        <w:t>originace</w:t>
      </w:r>
      <w:proofErr w:type="spellEnd"/>
      <w:r w:rsidRPr="008E126C">
        <w:rPr>
          <w:rFonts w:cs="Arial"/>
        </w:rPr>
        <w:t xml:space="preserve"> volání poskytovaných v téže pevné síti postavené na architektuře NGN. V situaci, kdy správní orgán předpokládá poskytování služeb </w:t>
      </w:r>
      <w:proofErr w:type="spellStart"/>
      <w:r w:rsidR="00CA0FAF" w:rsidRPr="008E126C">
        <w:rPr>
          <w:rFonts w:cs="Arial"/>
        </w:rPr>
        <w:t>originace</w:t>
      </w:r>
      <w:proofErr w:type="spellEnd"/>
      <w:r w:rsidRPr="008E126C">
        <w:rPr>
          <w:rFonts w:cs="Arial"/>
        </w:rPr>
        <w:t xml:space="preserve"> v pevném místě teoretickým efektivním operátorem prostřednictvím NGN sítě, je oprávněné přepokládat, že stejně efektivní teoretický operátor bude prostřednictvím téže NGN sítě poskytovat i služby </w:t>
      </w:r>
      <w:r w:rsidR="00CA0FAF" w:rsidRPr="008E126C">
        <w:rPr>
          <w:rFonts w:cs="Arial"/>
        </w:rPr>
        <w:t>terminace</w:t>
      </w:r>
      <w:r w:rsidRPr="008E126C">
        <w:rPr>
          <w:rFonts w:cs="Arial"/>
        </w:rPr>
        <w:t>.</w:t>
      </w:r>
    </w:p>
    <w:p w:rsidR="000D1279" w:rsidRPr="008E126C" w:rsidRDefault="00910453" w:rsidP="00C172FB">
      <w:pPr>
        <w:spacing w:after="120"/>
        <w:ind w:firstLine="709"/>
        <w:jc w:val="both"/>
      </w:pPr>
      <w:r w:rsidRPr="008E126C">
        <w:rPr>
          <w:rFonts w:cs="Arial"/>
        </w:rPr>
        <w:t>Samotný n</w:t>
      </w:r>
      <w:r w:rsidR="00190D1C" w:rsidRPr="008E126C">
        <w:rPr>
          <w:rFonts w:cs="Arial"/>
        </w:rPr>
        <w:t>ákladový</w:t>
      </w:r>
      <w:r w:rsidR="00190D1C" w:rsidRPr="008E126C">
        <w:t xml:space="preserve"> model</w:t>
      </w:r>
      <w:r w:rsidR="002F6262" w:rsidRPr="008E126C">
        <w:t xml:space="preserve"> „</w:t>
      </w:r>
      <w:proofErr w:type="spellStart"/>
      <w:r w:rsidR="002F6262" w:rsidRPr="008E126C">
        <w:t>pure</w:t>
      </w:r>
      <w:proofErr w:type="spellEnd"/>
      <w:r w:rsidR="002F6262" w:rsidRPr="008E126C">
        <w:t>“</w:t>
      </w:r>
      <w:r w:rsidR="00190D1C" w:rsidRPr="008E126C">
        <w:t xml:space="preserve"> </w:t>
      </w:r>
      <w:r w:rsidR="000D1279" w:rsidRPr="008E126C">
        <w:t xml:space="preserve">LRIC pro ukončení volání v pevné síti </w:t>
      </w:r>
      <w:r w:rsidR="00190D1C" w:rsidRPr="008E126C">
        <w:t xml:space="preserve">byl vytvořen ve spolupráci s externí poradenskou společností. </w:t>
      </w:r>
      <w:r w:rsidR="000D1279" w:rsidRPr="008E126C">
        <w:t xml:space="preserve">Tento nákladový model je model založený na postupu </w:t>
      </w:r>
      <w:r w:rsidR="002F6262" w:rsidRPr="008E126C">
        <w:t>„</w:t>
      </w:r>
      <w:r w:rsidR="000D1279" w:rsidRPr="008E126C">
        <w:t>zdola nahoru</w:t>
      </w:r>
      <w:r w:rsidR="002F6262" w:rsidRPr="008E126C">
        <w:t>“</w:t>
      </w:r>
      <w:r w:rsidR="000D1279" w:rsidRPr="008E126C">
        <w:t xml:space="preserve"> (</w:t>
      </w:r>
      <w:proofErr w:type="spellStart"/>
      <w:r w:rsidR="000D1279" w:rsidRPr="008E126C">
        <w:t>bottom</w:t>
      </w:r>
      <w:proofErr w:type="spellEnd"/>
      <w:r w:rsidR="000D1279" w:rsidRPr="008E126C">
        <w:t xml:space="preserve">-up) a kalkuluje cenu založenou na nákladech pevné sítě efektivního operátora. Tato modelovaná síť je založena na </w:t>
      </w:r>
      <w:r w:rsidR="001F213E" w:rsidRPr="008E126C">
        <w:t xml:space="preserve">všech používaných </w:t>
      </w:r>
      <w:r w:rsidR="000D1279" w:rsidRPr="008E126C">
        <w:t xml:space="preserve">technologiích, zohledňuje však i </w:t>
      </w:r>
      <w:r w:rsidR="006B7AA2">
        <w:t>provozní údaje,</w:t>
      </w:r>
      <w:r w:rsidR="006B7AA2" w:rsidRPr="008E126C">
        <w:t xml:space="preserve"> náklady </w:t>
      </w:r>
      <w:r w:rsidR="006B7AA2">
        <w:t xml:space="preserve">a </w:t>
      </w:r>
      <w:r w:rsidR="000D1279" w:rsidRPr="008E126C">
        <w:t xml:space="preserve">současnou topologii </w:t>
      </w:r>
      <w:r w:rsidR="00B56D86" w:rsidRPr="008E126C">
        <w:t xml:space="preserve">sítě </w:t>
      </w:r>
      <w:r w:rsidR="006B7AA2">
        <w:t xml:space="preserve">společnosti </w:t>
      </w:r>
      <w:r w:rsidR="006B7AA2" w:rsidRPr="009700D9">
        <w:t>Telefónica Czech Republic, a.s.,</w:t>
      </w:r>
      <w:r w:rsidR="006B7AA2">
        <w:t xml:space="preserve"> jako největšího operátora působícího na relevantním trhu, který disponuje celonárodním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w:t>
      </w:r>
      <w:proofErr w:type="spellStart"/>
      <w:r w:rsidR="000D1279" w:rsidRPr="008E126C">
        <w:t>Next</w:t>
      </w:r>
      <w:proofErr w:type="spellEnd"/>
      <w:r w:rsidR="000D1279" w:rsidRPr="008E126C">
        <w:t>-</w:t>
      </w:r>
      <w:proofErr w:type="spellStart"/>
      <w:r w:rsidR="000D1279" w:rsidRPr="008E126C">
        <w:t>Generation</w:t>
      </w:r>
      <w:proofErr w:type="spellEnd"/>
      <w:r w:rsidR="000D1279" w:rsidRPr="008E126C">
        <w:t xml:space="preserve">-Network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w:t>
        </w:r>
        <w:proofErr w:type="spellStart"/>
        <w:r w:rsidR="005B3B60" w:rsidRPr="008E126C">
          <w:rPr>
            <w:rStyle w:val="Hypertextovodkaz"/>
          </w:rPr>
          <w:t>pure</w:t>
        </w:r>
        <w:proofErr w:type="spellEnd"/>
        <w:r w:rsidR="005B3B60" w:rsidRPr="008E126C">
          <w:rPr>
            <w:rStyle w:val="Hypertextovodkaz"/>
          </w:rPr>
          <w:t xml:space="preserv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metodologické principy modelu a 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t xml:space="preserve">Při výpočtu terminační ceny </w:t>
      </w:r>
      <w:r w:rsidR="007E13E9">
        <w:t>správní orgán</w:t>
      </w:r>
      <w:r w:rsidR="007E13E9" w:rsidRPr="008E126C">
        <w:t xml:space="preserve"> </w:t>
      </w:r>
      <w:r w:rsidRPr="008E126C">
        <w:t>použil procento návratnosti vloženého kapitálu před zdaněním WACC ve výši 8,26 % stanov</w:t>
      </w:r>
      <w:r w:rsidR="0018288F">
        <w:t xml:space="preserve">ené v opatření obecné povahy </w:t>
      </w:r>
      <w:r w:rsidR="0018288F">
        <w:lastRenderedPageBreak/>
        <w:t>č. </w:t>
      </w:r>
      <w:r w:rsidRPr="008E126C">
        <w:t>OOP/4/03.2006-3,</w:t>
      </w:r>
      <w:r w:rsidR="00C1507C" w:rsidRPr="008E126C">
        <w:t xml:space="preserve"> </w:t>
      </w:r>
      <w:r w:rsidRPr="008E126C">
        <w:t>kterým se stanoví metodika účelov</w:t>
      </w:r>
      <w:r w:rsidR="0018288F">
        <w:t>ého členění nákladů a výnosů a </w:t>
      </w:r>
      <w:r w:rsidRPr="008E126C">
        <w:t>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w:t>
      </w:r>
      <w:proofErr w:type="spellStart"/>
      <w:r w:rsidRPr="008E126C">
        <w:t>pure</w:t>
      </w:r>
      <w:proofErr w:type="spellEnd"/>
      <w:r w:rsidRPr="008E126C">
        <w:t>“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w:t>
      </w:r>
      <w:proofErr w:type="spellStart"/>
      <w:r w:rsidRPr="008E126C">
        <w:t>pure</w:t>
      </w:r>
      <w:proofErr w:type="spellEnd"/>
      <w:r w:rsidRPr="008E126C">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w:t>
      </w:r>
      <w:proofErr w:type="spellStart"/>
      <w:r w:rsidR="00A103EE" w:rsidRPr="008E126C">
        <w:t>glide</w:t>
      </w:r>
      <w:proofErr w:type="spellEnd"/>
      <w:r w:rsidR="00A103EE" w:rsidRPr="008E126C">
        <w:t xml:space="preserve"> </w:t>
      </w:r>
      <w:proofErr w:type="spellStart"/>
      <w:r w:rsidR="00A103EE" w:rsidRPr="008E126C">
        <w:t>path</w:t>
      </w:r>
      <w:proofErr w:type="spellEnd"/>
      <w:r w:rsidR="00A103EE" w:rsidRPr="008E126C">
        <w:t>)</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3F7F9D">
      <w:pPr>
        <w:keepNext/>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lastRenderedPageBreak/>
        <w:t>***</w:t>
      </w:r>
    </w:p>
    <w:p w:rsidR="0096785F" w:rsidRPr="00EF6716" w:rsidRDefault="0096785F" w:rsidP="0096785F">
      <w:pPr>
        <w:spacing w:after="120"/>
        <w:ind w:firstLine="709"/>
        <w:jc w:val="both"/>
      </w:pPr>
      <w:r w:rsidRPr="0000676F">
        <w:t>Dne 16. ledna 2014 bylo s účastníkem řízení zahájeno správní řízení ve věci uložení povinnosti související s regulací cen podniku s významnou tržní silou. Účastník řízení byl správním orgánem v zaslaném oznámení o zahájení správn</w:t>
      </w:r>
      <w:r w:rsidR="003F7F9D">
        <w:t>ího řízení vyzván k vyjádření a </w:t>
      </w:r>
      <w:r w:rsidRPr="00EF6716">
        <w:t xml:space="preserve">navržení důkazů a byla mu poskytnuta lhůta 7 dnů ode dne doručení oznámení. </w:t>
      </w:r>
    </w:p>
    <w:p w:rsidR="003F7F9D" w:rsidRPr="00EF6716" w:rsidRDefault="0096785F" w:rsidP="0096785F">
      <w:pPr>
        <w:spacing w:after="120"/>
        <w:ind w:firstLine="709"/>
        <w:jc w:val="both"/>
      </w:pPr>
      <w:r w:rsidRPr="00EF6716">
        <w:t>Účastník řízení k zahájenému správnímu ří</w:t>
      </w:r>
      <w:r w:rsidR="001E350D" w:rsidRPr="00EF6716">
        <w:t>zení zaslal své vyjádření dne 24</w:t>
      </w:r>
      <w:r w:rsidR="003F7F9D" w:rsidRPr="00EF6716">
        <w:t>. ledna 2014. Účastník řízení v zaslaném vyjádření podpořil přístup správního orgánu při vyjmutí hovorů příchozích ze zemí mimo EHP z rozsahu cenové regulace tohoto rozhodnutí.</w:t>
      </w:r>
    </w:p>
    <w:p w:rsidR="003F7F9D" w:rsidRPr="00EF6716" w:rsidRDefault="003F7F9D" w:rsidP="0096785F">
      <w:pPr>
        <w:spacing w:after="120"/>
        <w:ind w:firstLine="709"/>
        <w:jc w:val="both"/>
      </w:pPr>
      <w:r w:rsidRPr="00EF6716">
        <w:t>Správní orgán v této věci uvádí, že v rámci správních řízení zahájených s ostatními podniky s významnou tržní silou na relevantním trhu č. 3 obdržel pozměňovací návrh na úpravu odstavce 3 části I. výroku rozhodnutí, kterému se rozhodl vyhovět a předmětnou část výroku</w:t>
      </w:r>
      <w:r w:rsidRPr="00EF6716">
        <w:rPr>
          <w:rStyle w:val="Znakapoznpodarou"/>
        </w:rPr>
        <w:footnoteReference w:id="2"/>
      </w:r>
      <w:r w:rsidRPr="00EF6716">
        <w:t xml:space="preserve"> </w:t>
      </w:r>
      <w:r w:rsidR="000D7085" w:rsidRPr="00EF6716">
        <w:t xml:space="preserve">následně i </w:t>
      </w:r>
      <w:r w:rsidRPr="00EF6716">
        <w:t>tohoto rozhodnutí pozměnil takto: „</w:t>
      </w:r>
      <w:r w:rsidRPr="00EF6716">
        <w:rPr>
          <w:i/>
        </w:rPr>
        <w:t>Regulace formou maximálních cen podle odstavce 1 se nevztahuje na volání z telefonních čísel s kódy zemí mimo Evropský hospodářský prostor</w:t>
      </w:r>
      <w:r w:rsidRPr="00EF6716">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EF6716">
        <w:t>originovaného</w:t>
      </w:r>
      <w:proofErr w:type="spellEnd"/>
      <w:r w:rsidRPr="00EF6716">
        <w:t xml:space="preserve"> ze států mimo EHP v obdobné logice, jaká byla využita i při regulaci roamingových služeb ze strany orgánů Evropské unie</w:t>
      </w:r>
      <w:r w:rsidRPr="00EF6716">
        <w:rPr>
          <w:rStyle w:val="Znakapoznpodarou"/>
        </w:rPr>
        <w:footnoteReference w:id="3"/>
      </w:r>
      <w:r w:rsidRPr="00EF6716">
        <w:t>.</w:t>
      </w:r>
    </w:p>
    <w:p w:rsidR="005C22E5" w:rsidRPr="00EF6716" w:rsidRDefault="00E36D2A" w:rsidP="00E06912">
      <w:pPr>
        <w:spacing w:after="120"/>
        <w:ind w:firstLine="709"/>
        <w:jc w:val="both"/>
      </w:pPr>
      <w:r w:rsidRPr="00EF6716">
        <w:t>Účastník řízení ve svém vyjádření dále rekapituluje požadavky kladené Zákonem, jakož evropským regulačním rámcem, na rozhodnutí o ceně. Účastník řízení připomíná § 56 odst. 4</w:t>
      </w:r>
      <w:r w:rsidRPr="00EF6716">
        <w:rPr>
          <w:rStyle w:val="Znakapoznpodarou"/>
        </w:rPr>
        <w:footnoteReference w:id="4"/>
      </w:r>
      <w:r w:rsidRPr="00EF6716">
        <w:t xml:space="preserve"> Zákona, § 55 odst. 2</w:t>
      </w:r>
      <w:r w:rsidRPr="00EF6716">
        <w:rPr>
          <w:rStyle w:val="Znakapoznpodarou"/>
        </w:rPr>
        <w:footnoteReference w:id="5"/>
      </w:r>
      <w:r w:rsidRPr="00EF6716">
        <w:t xml:space="preserve"> Zákona, § 57 odst. 3</w:t>
      </w:r>
      <w:r w:rsidRPr="00EF6716">
        <w:rPr>
          <w:rStyle w:val="Znakapoznpodarou"/>
        </w:rPr>
        <w:footnoteReference w:id="6"/>
      </w:r>
      <w:r w:rsidRPr="00EF6716">
        <w:t xml:space="preserve"> Zákona a § 57 odst. 1</w:t>
      </w:r>
      <w:r w:rsidRPr="00EF6716">
        <w:rPr>
          <w:rStyle w:val="Znakapoznpodarou"/>
        </w:rPr>
        <w:footnoteReference w:id="7"/>
      </w:r>
      <w:r w:rsidRPr="00EF6716">
        <w:t xml:space="preserve"> Zákona</w:t>
      </w:r>
      <w:r w:rsidR="00E06912" w:rsidRPr="00EF6716">
        <w:t xml:space="preserve"> a dále čl. 16 odst. 4 Směrnice 2002/21/ES a zejména čl. 8 odst. 4 Směrnice 2002/19/ES podle nichž přijaté opatření, včetně cenové regulace, musí vycházet z povahy zjištěného problému a musí být přiměřené</w:t>
      </w:r>
      <w:r w:rsidRPr="00EF6716">
        <w:t xml:space="preserve">. </w:t>
      </w:r>
      <w:r w:rsidR="00E06912" w:rsidRPr="00EF6716">
        <w:t xml:space="preserve">Z toho pak vyplývá, že </w:t>
      </w:r>
      <w:r w:rsidR="004E6B42" w:rsidRPr="00EF6716">
        <w:t>správní orgán</w:t>
      </w:r>
      <w:r w:rsidR="00E06912" w:rsidRPr="00EF6716">
        <w:t xml:space="preserve"> při cenové regulaci musí cenu stanovit tak, aby pokryla efektivně a účelně vynaložené náklady a přiměřený zisk, zajistila návratnost investice v přiměřeném časovém období a zohlednila příslušná rizika. K cenové regulaci je možné přistoupit, pokud trh není efektivně konkurenční například tím, že by mohlo docházet k uplatňování nepřiměřeně vysoké nebo nízké ceny v neprospěch koncových uživatelů a je možné použít jen nápravné opatření přiměřené povaze identifikované tržní disfunkce.</w:t>
      </w:r>
      <w:r w:rsidR="00EC6B85" w:rsidRPr="00EF6716">
        <w:t xml:space="preserve"> Návrh rozhodnutí pak dle účastníka řízení trpí vadou nepřezkoumatelnosti, neboť odůvodnění na uvedená ustanovení buď nijak nereaguje</w:t>
      </w:r>
      <w:r w:rsidR="00556C6C" w:rsidRPr="00EF6716">
        <w:t>, případně reaguje nedostatečně. Účastník řízení vytýká správnímu orgánu odůvodnění zvolené metodiky „</w:t>
      </w:r>
      <w:proofErr w:type="spellStart"/>
      <w:r w:rsidR="00556C6C" w:rsidRPr="00EF6716">
        <w:t>pure</w:t>
      </w:r>
      <w:proofErr w:type="spellEnd"/>
      <w:r w:rsidR="00556C6C" w:rsidRPr="00EF6716">
        <w:t>“ LRIC pouhým odkazem na Doporučení</w:t>
      </w:r>
      <w:r w:rsidR="009D1E71" w:rsidRPr="00EF6716">
        <w:t>, které není závazné</w:t>
      </w:r>
      <w:r w:rsidR="00556C6C" w:rsidRPr="00EF6716">
        <w:t>. Následně účastník řízení konstatuje, že existuje více metod pro stanovení předmětné regulované ceny (FAHC, LRIC+, „</w:t>
      </w:r>
      <w:proofErr w:type="spellStart"/>
      <w:r w:rsidR="00556C6C" w:rsidRPr="00EF6716">
        <w:t>pure</w:t>
      </w:r>
      <w:proofErr w:type="spellEnd"/>
      <w:r w:rsidR="00556C6C" w:rsidRPr="00EF6716">
        <w:t>“ LRIC)</w:t>
      </w:r>
      <w:r w:rsidR="009D1E71" w:rsidRPr="00EF6716">
        <w:t xml:space="preserve"> a následně, že je povinností </w:t>
      </w:r>
      <w:r w:rsidR="004E6B42" w:rsidRPr="00EF6716">
        <w:t>správního orgánu</w:t>
      </w:r>
      <w:r w:rsidR="009D1E71" w:rsidRPr="00EF6716">
        <w:t xml:space="preserve"> plně odůvodnit, proč s ohledem na zákonné požadavky vyhovuje pouze metodika „</w:t>
      </w:r>
      <w:proofErr w:type="spellStart"/>
      <w:r w:rsidR="009D1E71" w:rsidRPr="00EF6716">
        <w:t>pure</w:t>
      </w:r>
      <w:proofErr w:type="spellEnd"/>
      <w:r w:rsidR="009D1E71" w:rsidRPr="00EF6716">
        <w:t>“ LRIC a v čem již nevyhovují zbývající způsoby stanovení ceny. Návrh tedy neobsahuje ve svém odůvodnění žádný test přiměřenosti zvolené metodiky výpočtu regulované ceny, což jej činí nepřezkoumatelným a z toho důvodu nezákonným.</w:t>
      </w:r>
    </w:p>
    <w:p w:rsidR="009D1E71" w:rsidRPr="00EF6716" w:rsidRDefault="009D1E71" w:rsidP="00E06912">
      <w:pPr>
        <w:spacing w:after="120"/>
        <w:ind w:firstLine="709"/>
        <w:jc w:val="both"/>
      </w:pPr>
      <w:r w:rsidRPr="00EF6716">
        <w:lastRenderedPageBreak/>
        <w:t>Správní orgán nejprve znovu připomíná § 108 odst. 3 Zákona, podle kterého je při své působnosti povinen</w:t>
      </w:r>
      <w:r w:rsidR="00852D7C" w:rsidRPr="00EF6716">
        <w:t xml:space="preserve"> vycházet i z D</w:t>
      </w:r>
      <w:r w:rsidRPr="00EF6716">
        <w:t>oporučení Evropské komise, případně bezodkladně Evropskou komisi informovat o svém rozhodnutí podle Doporučení nepostupovat a své rozhodnutí (nepostupovat podle Doporučení) zdůvodnit. Správní orgán tak má za to, že dle současné právní úpravy je povinen pečlivě zdůvodnit odklon od doporučení (např. z důvodu jeho možného rozporu s národní legislativou), spíše než postup v souladu s ním. Chybějící hlubší rozbor, proč právě postup navržený v Doporučení je při regulaci terminačních cen tím nejvhodnějším a přiměřeným nápravným opatření pak dle správního orgánu nezpůsobuje nepřezkoumatelnost a tedy ani nezákonnost rozhodnutí. V této souvislosti správní orgán připomíná, že a</w:t>
      </w:r>
      <w:r w:rsidR="00852D7C" w:rsidRPr="00EF6716">
        <w:t>rgumentace, proč právě</w:t>
      </w:r>
      <w:r w:rsidRPr="00EF6716">
        <w:t xml:space="preserve"> metoda</w:t>
      </w:r>
      <w:r w:rsidR="00852D7C" w:rsidRPr="00EF6716">
        <w:t xml:space="preserve"> „</w:t>
      </w:r>
      <w:proofErr w:type="spellStart"/>
      <w:r w:rsidR="00852D7C" w:rsidRPr="00EF6716">
        <w:t>pure</w:t>
      </w:r>
      <w:proofErr w:type="spellEnd"/>
      <w:r w:rsidR="00852D7C" w:rsidRPr="00EF6716">
        <w:t>“ LRIC</w:t>
      </w:r>
      <w:r w:rsidRPr="00EF6716">
        <w:t xml:space="preserve"> je pro regulaci terminačních cen ta nejvhodnější, je vedena ve </w:t>
      </w:r>
      <w:hyperlink r:id="rId11" w:history="1">
        <w:r w:rsidRPr="00EF6716">
          <w:rPr>
            <w:rStyle w:val="Hypertextovodkaz"/>
            <w:color w:val="auto"/>
          </w:rPr>
          <w:t>Vysvětlující zprávě</w:t>
        </w:r>
      </w:hyperlink>
      <w:r w:rsidRPr="00EF6716">
        <w:t xml:space="preserve"> k vydanému Doporučení</w:t>
      </w:r>
      <w:r w:rsidR="00707F83" w:rsidRPr="00EF6716">
        <w:t>, se kterým se účastník řízení mohl seznámit. Tato zpráva přitom nepopisuje stav terminačních trhů jen v některých členských státech EU, ale obecné charakteristiky těchto trhů společné pro všechny členské státy EU. Podle správního orgánu přitom platí, že povaha soutěžních problémů je na všech terminačních trzích ve všech členských státech EU v zásadě stejná (100 % tržní podíl každého operátora ve své vlastní síti a z toho vyplývající možnost stanovit velkoobchodní cenu za terminaci nezávisle na ostatních účastnících trhu), což výrazně omezuje jakoukoliv možnost pro zohlednění případných národních specifik, která by mohla být použita pro zdůvodnění rozhodnutí nepostupovat v souladu s Doporučením. Správní orgán také v návrhu odůvodnění zdůvodnil soulad svého postupu se zákonnými požadavky.</w:t>
      </w:r>
    </w:p>
    <w:p w:rsidR="00707F83" w:rsidRPr="00EF6716" w:rsidRDefault="00E83260" w:rsidP="00E06912">
      <w:pPr>
        <w:spacing w:after="120"/>
        <w:ind w:firstLine="709"/>
        <w:jc w:val="both"/>
      </w:pPr>
      <w:r w:rsidRPr="00EF6716">
        <w:t>Předně rozhodnutí o ceně bude</w:t>
      </w:r>
      <w:r w:rsidR="00707F83" w:rsidRPr="00EF6716">
        <w:t xml:space="preserve"> vydáno na základě výsledk</w:t>
      </w:r>
      <w:r w:rsidRPr="00EF6716">
        <w:t>ů analýzy relevantního trhu č. 3</w:t>
      </w:r>
      <w:r w:rsidR="00852D7C" w:rsidRPr="00EF6716">
        <w:t>, provedené v souladu s § 51 Zákona</w:t>
      </w:r>
      <w:r w:rsidR="00707F83" w:rsidRPr="00EF6716">
        <w:t>. Zároveň byly naplněny podmínky pro uložení povinností souvisejících s reg</w:t>
      </w:r>
      <w:r w:rsidRPr="00EF6716">
        <w:t>ulací cen podle § 56 a § 57 Zákona</w:t>
      </w:r>
      <w:r w:rsidR="00852D7C" w:rsidRPr="00EF6716">
        <w:t>. K</w:t>
      </w:r>
      <w:r w:rsidR="00707F83" w:rsidRPr="00EF6716">
        <w:t>onkrétn</w:t>
      </w:r>
      <w:r w:rsidR="00852D7C" w:rsidRPr="00EF6716">
        <w:t>ě analýza relevantního trhu č. 3</w:t>
      </w:r>
      <w:r w:rsidR="00707F83" w:rsidRPr="00EF6716">
        <w:t xml:space="preserve"> prokázala, že tento trh není efektivně konkurenční zejména tím, že </w:t>
      </w:r>
      <w:r w:rsidR="00852D7C" w:rsidRPr="00EF6716">
        <w:t xml:space="preserve">by </w:t>
      </w:r>
      <w:r w:rsidR="00707F83" w:rsidRPr="00EF6716">
        <w:t>na něm</w:t>
      </w:r>
      <w:r w:rsidR="00852D7C" w:rsidRPr="00EF6716">
        <w:t xml:space="preserve"> mohlo docházet</w:t>
      </w:r>
      <w:r w:rsidR="00707F83" w:rsidRPr="00EF6716">
        <w:t xml:space="preserve"> k účtování nepřiměřeně vysokých cen v neprospěch koncových uživatelů</w:t>
      </w:r>
      <w:r w:rsidR="00852D7C" w:rsidRPr="00EF6716">
        <w:rPr>
          <w:rStyle w:val="Znakapoznpodarou"/>
        </w:rPr>
        <w:footnoteReference w:id="8"/>
      </w:r>
      <w:r w:rsidR="00707F83" w:rsidRPr="00EF6716">
        <w:t xml:space="preserve">. Za účelem nápravy zjištěného soutěžního problému přistoupil </w:t>
      </w:r>
      <w:r w:rsidR="00852D7C" w:rsidRPr="00EF6716">
        <w:t>správní orgán</w:t>
      </w:r>
      <w:r w:rsidR="00707F83" w:rsidRPr="00EF6716">
        <w:t xml:space="preserve"> ke stanovení regulovaných cen, které zohledňují pouze účelně a efektivně vynaložené náklady. Tyto náklady stanovil v souladu s Doporučením metodu čistého LRIC, která simuluje náklady teoretického efektivního operátora na plně konkurenčním trhu.</w:t>
      </w:r>
      <w:r w:rsidR="00533969" w:rsidRPr="00EF6716">
        <w:t xml:space="preserve"> Tím dochází k eliminaci rizika, že operátorům budou v ceně regulované služby hrazeny i neefektivně vynaložené náklady, k jejichž zahrnutí do regulované ceny mají motivaci již z titulu nízké (či nulové) úrovně konkurence na regulovaném trhu.</w:t>
      </w:r>
      <w:r w:rsidR="00707F83" w:rsidRPr="00EF6716">
        <w:t xml:space="preserve"> Metoda čistého LRIC umožňuje pokrýt všechny náklady, které teoretickému efek</w:t>
      </w:r>
      <w:r w:rsidR="00852D7C" w:rsidRPr="00EF6716">
        <w:t>tivnímu operátorovi vznikají (v </w:t>
      </w:r>
      <w:r w:rsidR="00707F83" w:rsidRPr="00EF6716">
        <w:t xml:space="preserve">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w:t>
      </w:r>
      <w:r w:rsidR="00852D7C" w:rsidRPr="00EF6716">
        <w:t>Správní orgán</w:t>
      </w:r>
      <w:r w:rsidR="00707F83" w:rsidRPr="00EF6716">
        <w:t xml:space="preserve">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využívá </w:t>
      </w:r>
      <w:r w:rsidR="00852D7C" w:rsidRPr="00EF6716">
        <w:t>správní orgán</w:t>
      </w:r>
      <w:r w:rsidR="00707F83" w:rsidRPr="00EF6716">
        <w:t xml:space="preserve"> procento návratnosti vloženého kapitálu před zdaněním WACC ve výši 8,26 %. Tato hodnota je specificky pro celý sektor elektronických komunikací stanove</w:t>
      </w:r>
      <w:r w:rsidRPr="00EF6716">
        <w:t>na správním orgánem</w:t>
      </w:r>
      <w:r w:rsidR="00707F83" w:rsidRPr="00EF6716">
        <w:t xml:space="preserve"> v opatření obecné povahy č. </w:t>
      </w:r>
      <w:hyperlink r:id="rId12" w:history="1">
        <w:r w:rsidR="00707F83" w:rsidRPr="00EF6716">
          <w:rPr>
            <w:rStyle w:val="Hypertextovodkaz"/>
            <w:color w:val="auto"/>
          </w:rPr>
          <w:t>OOP/4/03.2006-3</w:t>
        </w:r>
      </w:hyperlink>
      <w:r w:rsidR="00707F83" w:rsidRPr="00EF6716">
        <w:t xml:space="preserve">, kterým se stanoví metodika účelového členění nákladů a výnosů a jejich přiřazování a určuje se struktura vykazovaných informací, ve </w:t>
      </w:r>
      <w:hyperlink r:id="rId13" w:history="1">
        <w:r w:rsidR="00707F83" w:rsidRPr="00EF6716">
          <w:rPr>
            <w:rStyle w:val="Hypertextovodkaz"/>
            <w:color w:val="auto"/>
          </w:rPr>
          <w:t>znění pozdějších opatření</w:t>
        </w:r>
      </w:hyperlink>
      <w:r w:rsidR="00707F83" w:rsidRPr="00EF6716">
        <w:t xml:space="preserve">. </w:t>
      </w:r>
      <w:r w:rsidR="00852D7C" w:rsidRPr="00EF6716">
        <w:t>Správní orgán</w:t>
      </w:r>
      <w:r w:rsidR="00707F83" w:rsidRPr="00EF6716">
        <w:t xml:space="preserve"> tak má za to, že výpočet regulované ceny je v souladu s</w:t>
      </w:r>
      <w:r w:rsidR="00852D7C" w:rsidRPr="00EF6716">
        <w:t>e všemi zákonnými požadavky.</w:t>
      </w:r>
    </w:p>
    <w:p w:rsidR="00F52A2A" w:rsidRPr="00EF6716" w:rsidRDefault="00F52A2A" w:rsidP="00F52A2A">
      <w:pPr>
        <w:spacing w:after="120"/>
        <w:ind w:firstLine="709"/>
        <w:jc w:val="both"/>
      </w:pPr>
      <w:r w:rsidRPr="00EF6716">
        <w:t xml:space="preserve">V další připomínce účastník řízení namítal, že požadavkem zákona je, aby regulovaná cena zahrnula skutečně, reálně (a efektivně) vynaložené náklady regulovaného subjektu, nikoliv náklady, které by vynaložil teoretický operátor modelovaný pomocí modelovacích algoritmů a nástrojů. Takové náklady lze označit za spekulativní, stejně tak jako celý koncept teoretického efektivního operátora. Správní orgán nikde v odůvodnění nevysvětluje, jak je </w:t>
      </w:r>
      <w:r w:rsidRPr="00EF6716">
        <w:lastRenderedPageBreak/>
        <w:t>možné, že náklady hypotetického operátora odpovídají nákladům skutečných operátorů působících na českém trh</w:t>
      </w:r>
      <w:r w:rsidR="004E6B42" w:rsidRPr="00EF6716">
        <w:t>u (resp. přímo účastníka</w:t>
      </w:r>
      <w:r w:rsidRPr="00EF6716">
        <w:t xml:space="preserve"> řízení). Odůvodnění metodiky „</w:t>
      </w:r>
      <w:proofErr w:type="spellStart"/>
      <w:r w:rsidRPr="00EF6716">
        <w:t>pure</w:t>
      </w:r>
      <w:proofErr w:type="spellEnd"/>
      <w:r w:rsidRPr="00EF6716">
        <w:t>“</w:t>
      </w:r>
      <w:r w:rsidR="004E6B42" w:rsidRPr="00EF6716">
        <w:t xml:space="preserve"> LRI</w:t>
      </w:r>
      <w:r w:rsidRPr="00EF6716">
        <w:t>C je tak třeba doplnit o odpovědi na výše tyto námitky.</w:t>
      </w:r>
    </w:p>
    <w:p w:rsidR="00F52A2A" w:rsidRPr="00EF6716" w:rsidRDefault="004E6B42" w:rsidP="00DB085D">
      <w:pPr>
        <w:spacing w:after="120"/>
        <w:ind w:firstLine="709"/>
        <w:jc w:val="both"/>
      </w:pPr>
      <w:r w:rsidRPr="00EF6716">
        <w:t>K důvodům pro vyčíslení nákladů teoretického efektivního operátora správní orgán uvádí, že operátoři při stanovování cen na tomto velkoobchodním trhu nemají sami od sebe motivaci zahrnovat do ceny pouze účelně a efektivně vynaložené náklady, protože namísto, aby za svou efektivitu byli odměněni (např. růstem zisku či tržního podílu, jako by tomu bylo na konkurenčním trhu), těží ze zvýšené efektivity paradoxně velkoobchodní partneři a přeneseně jejich maloobchodní uživatelé, o které operátoři na maloobchodním trhu soutěží. Naopak neúčelně a neefektivně vynaložené náklady na poskytování dané velkoobchodní služby, které jsou hrazeny v ceně této služby konkurenčními operátory, konkurenceschopnost těchto operátorů na maloobchodním trhu snižují. Tento argument platí zejména pro operátory s nevyváženým objemem provozu (tedy například mezi již zavedeným a naopak na trh nově vstoupivším operátorem), z nichž zpravidla ten menší (s vyšším objemem odchozího než příchozího provozu) v ceně terminační služby dotuje svého většího konkurenta. Tato skutečnost je jedním z důvodů pro použití metody „</w:t>
      </w:r>
      <w:proofErr w:type="spellStart"/>
      <w:r w:rsidRPr="00EF6716">
        <w:t>pure</w:t>
      </w:r>
      <w:proofErr w:type="spellEnd"/>
      <w:r w:rsidRPr="00EF6716">
        <w:t>“ LRIC, tedy čistých přírůstkových nákladů, teoretického efektivního operátora</w:t>
      </w:r>
      <w:r w:rsidR="00DB085D" w:rsidRPr="00EF6716">
        <w:t xml:space="preserve">, tedy nákladů, které by operátor vynakládal na efektivně konkurenčním trhu. </w:t>
      </w:r>
      <w:r w:rsidR="00873627" w:rsidRPr="00EF6716">
        <w:t>Tyto přírůstkové náklady teoretického efektivního operátora jsou pak symetricky aplikovány na všechny podniky s významnou tržní sílou bez ohledu na konkrétní výši jimi vykazovaných nákladů na tuto službu. V této souvislosti je také dobré připomenout, že na relevantním trhu č. 3 probíhá oboustranný provoz v sítích jednotlivých operátorů. Pokles výnosů způsobený poklesem regulované ceny je tak souběžně doprovázen i poklesem nákladů spojených s platbou za terminaci v sítích ostatních operátorů (v tomto se velkoobchodní terminační trhy odlišují od ostatních regulovaných velkoobchodních trhů – např. relevantních trhů č. 4 a 5, na nichž jsou služby poskytovány SMP operátorem jednostranně).</w:t>
      </w:r>
    </w:p>
    <w:p w:rsidR="0095049B" w:rsidRPr="00EF6716" w:rsidRDefault="0095049B" w:rsidP="0095049B">
      <w:pPr>
        <w:spacing w:after="120"/>
        <w:ind w:firstLine="709"/>
        <w:jc w:val="both"/>
      </w:pPr>
      <w:r w:rsidRPr="00EF6716">
        <w:t xml:space="preserve">Účastník řízení dále </w:t>
      </w:r>
      <w:r w:rsidR="00E77EA5" w:rsidRPr="00EF6716">
        <w:t>namítal</w:t>
      </w:r>
      <w:r w:rsidRPr="00EF6716">
        <w:t>, že metoda „</w:t>
      </w:r>
      <w:proofErr w:type="spellStart"/>
      <w:r w:rsidRPr="00EF6716">
        <w:t>pure</w:t>
      </w:r>
      <w:proofErr w:type="spellEnd"/>
      <w:r w:rsidRPr="00EF6716">
        <w:t>“ LRIC vylučuje řadu nákladů (sdílených a společných), čímž může dojít k situaci, že na základě výpočtu ceny přírůstkovou metodou by některé náklady nebyly pokryty žádnou cenou. Účastník řízení nevidí žádný důvod, proč právě cena za terminaci v pevné síti by měla být stanovena na základě přírůstkových nákladů.</w:t>
      </w:r>
    </w:p>
    <w:p w:rsidR="00E77EA5" w:rsidRPr="00EF6716" w:rsidRDefault="00E77EA5" w:rsidP="0095049B">
      <w:pPr>
        <w:spacing w:after="120"/>
        <w:ind w:firstLine="709"/>
        <w:jc w:val="both"/>
      </w:pPr>
      <w:r w:rsidRPr="00EF6716">
        <w:t>Správní orgán částečně souhlasí s účastníkem řízení v tom smyslu, že uznává, že metoda „</w:t>
      </w:r>
      <w:proofErr w:type="spellStart"/>
      <w:r w:rsidRPr="00EF6716">
        <w:t>pure</w:t>
      </w:r>
      <w:proofErr w:type="spellEnd"/>
      <w:r w:rsidRPr="00EF6716">
        <w:t xml:space="preserve">“ LRIC není metodou univerzálně použitelnou jednotlivě pro každou individuální službu účastníka řízení. Tato skutečnost vyplývá již ze samotné definice metodiky </w:t>
      </w:r>
      <w:proofErr w:type="spellStart"/>
      <w:r w:rsidRPr="00EF6716">
        <w:t>pure</w:t>
      </w:r>
      <w:proofErr w:type="spellEnd"/>
      <w:r w:rsidRPr="00EF6716">
        <w:t xml:space="preserve"> LRIC, která vyčísluje pouze dodatečné náklady spojené s poskytováním „posledního inkrementu“ (zbytkové/nevyhnutelné náklady po alokaci ostatních nákladů ke všem ostatním službám poskytovaným teoretickým efektivním operátorem).</w:t>
      </w:r>
      <w:r w:rsidR="00B828B1" w:rsidRPr="00EF6716">
        <w:t xml:space="preserve"> Tato definice pak i naznačuje, že základním východiskem při regulaci cen velkoobchodních služeb terminace je předpoklad, že operátoři investují prostředky do budování své sítě primárně za účelem poskytování služeb mezi svými zákazníky (nikoliv mezi zákazníkem konkurenčního operátora a svým zákazníkem). Veškeré náklady vynakládané za tímto účelem by proto přirozeně měly být hrazeny právě přímo maloobchodními zákazníky tohoto operátora, nikoliv maloobchodními zákazníky konkurenčních operátorů (prostřednictvím velkoobchodní ceny za terminaci). V ceně velkoobchodní služby terminace jsou tak již zahrnuty jen dodatečné náklady vznikající operátorům přímo s poskytováním této služby (tj. náklady, kterým by se mohli operátoři v dlouhém období vyhnout v případě, že by danou službu neposkytovali).</w:t>
      </w:r>
      <w:r w:rsidRPr="00EF6716">
        <w:t xml:space="preserve"> </w:t>
      </w:r>
      <w:r w:rsidR="00B828B1" w:rsidRPr="00EF6716">
        <w:t>Tento postup umožňuje pokrýt jednak všechny</w:t>
      </w:r>
      <w:r w:rsidRPr="00EF6716">
        <w:t xml:space="preserve"> účelně a efektivně vynaložené </w:t>
      </w:r>
      <w:r w:rsidR="00B828B1" w:rsidRPr="00EF6716">
        <w:t xml:space="preserve">náklady </w:t>
      </w:r>
      <w:r w:rsidRPr="00EF6716">
        <w:t>právě a jen na posuzovanou službu, ale zároveň umožnit regulovanému subjektu pokrýt všechny ostatní náklady, které by například prostřednictvím metody FAC do regulované ceny vstoupily, v cenách ostatních služeb (především těch neregulovaných poskytovaných na trhu s vyšší úrovní konkurence).</w:t>
      </w:r>
      <w:r w:rsidR="004F741F" w:rsidRPr="00EF6716">
        <w:rPr>
          <w:rFonts w:cs="Arial"/>
        </w:rPr>
        <w:t xml:space="preserve"> </w:t>
      </w:r>
      <w:r w:rsidR="004F741F" w:rsidRPr="00EF6716">
        <w:t xml:space="preserve">K nezahrnutí společných a sdílených nákladů do výpočtu regulované ceny správní orgán uvádí, že byť uznává oprávněnou existenci dalších nákladů nezahrnutých do ceny za terminaci (zmíněné společné a sdílené náklady), tyto náklady by účastníku řízení vznikly i bez poskytování velkoobchodní služby terminace (která není primární důvodem podnikatelské činnosti účastníka řízení, kterou je naopak poskytování služeb mezi jeho </w:t>
      </w:r>
      <w:r w:rsidR="004F741F" w:rsidRPr="00EF6716">
        <w:lastRenderedPageBreak/>
        <w:t>koncovými uživateli) a musel by je tak zahrnout do cen ostatních služeb stejně tak, jako je bude muset do cen těchto služeb (pravděpodobně) zahrnout i při aplikaci metody „</w:t>
      </w:r>
      <w:proofErr w:type="spellStart"/>
      <w:r w:rsidR="004F741F" w:rsidRPr="00EF6716">
        <w:t>pure</w:t>
      </w:r>
      <w:proofErr w:type="spellEnd"/>
      <w:r w:rsidR="004F741F" w:rsidRPr="00EF6716">
        <w:t>“ LRIC pro stanovení velkoobchodní ceny za terminaci.</w:t>
      </w:r>
    </w:p>
    <w:p w:rsidR="004F741F" w:rsidRPr="00EF6716" w:rsidRDefault="004F741F" w:rsidP="004F741F">
      <w:pPr>
        <w:spacing w:after="120"/>
        <w:ind w:firstLine="709"/>
        <w:jc w:val="both"/>
        <w:rPr>
          <w:rFonts w:cs="Arial"/>
        </w:rPr>
      </w:pPr>
      <w:r w:rsidRPr="00EF6716">
        <w:rPr>
          <w:rFonts w:cs="Arial"/>
        </w:rPr>
        <w:t>V další připomínce účastník řízení správnímu orgánu vyčítá, že cenová regulace trpí zásadním nedostatkem odůvodnění ohledně identifikování tržního problému a použití přiměřeného nápravného opatření. Podle § 57 odst. 1 Zákona má být cenová regulace uplatněna tehdy, pokud dochází (nebo by mohlo docházet) k uplatňování nepřiměřeně vysoké (nebo nízké) ceny v neprospěch koncových uživatelů. Prokázání této kauzality v podmínkách České republiky však v odůvodnění návrhu zcela chybí.</w:t>
      </w:r>
      <w:r w:rsidR="00E45641" w:rsidRPr="00EF6716">
        <w:rPr>
          <w:rFonts w:cs="Arial"/>
        </w:rPr>
        <w:t xml:space="preserve"> Účastník řízení se odvolává na analýzu relevantního trhu č. 3, která dle něj neprokazuje ani tržní disfunkci ve vztahu k nepřiměřeně vysokým cenám (nad rámec konstatování, že v České republice je účtována vyšší cena za terminaci, než kolik činí průměr v EU), ani dostatečně neprokazuje postavení účastníka řízení jako podniku s významnou tržní silou.</w:t>
      </w:r>
    </w:p>
    <w:p w:rsidR="00102A26" w:rsidRPr="00EF6716" w:rsidRDefault="004F741F" w:rsidP="004F741F">
      <w:pPr>
        <w:spacing w:after="120"/>
        <w:ind w:firstLine="709"/>
        <w:jc w:val="both"/>
      </w:pPr>
      <w:r w:rsidRPr="00EF6716">
        <w:t xml:space="preserve">Správní orgán </w:t>
      </w:r>
      <w:r w:rsidR="00E45641" w:rsidRPr="00EF6716">
        <w:t>k této připomínce</w:t>
      </w:r>
      <w:r w:rsidRPr="00EF6716">
        <w:t xml:space="preserve"> uvádí, že úkolem rozhodnutí o ceně (jako nápravného opatření následujícího analýzu relevantního trh) není ověřovat či zkoumat platnost důvodů vedoucích k uložení cenové regulace</w:t>
      </w:r>
      <w:r w:rsidR="00E45641" w:rsidRPr="00EF6716">
        <w:t xml:space="preserve"> (případně je doplňovat)</w:t>
      </w:r>
      <w:r w:rsidRPr="00EF6716">
        <w:t xml:space="preserve">, </w:t>
      </w:r>
      <w:r w:rsidR="00E45641" w:rsidRPr="00EF6716">
        <w:t>protože takové zkoumání přísluš</w:t>
      </w:r>
      <w:r w:rsidRPr="00EF6716">
        <w:t>í právě analýze</w:t>
      </w:r>
      <w:r w:rsidR="00E45641" w:rsidRPr="00EF6716">
        <w:t xml:space="preserve"> relevantního trhu</w:t>
      </w:r>
      <w:r w:rsidRPr="00EF6716">
        <w:t>, kterou rozhodnutí o ceně nemůže suplovat. V rozhodnutí o ceně proto správní orgán neověřuje, zda by na trhu mohlo docházet k uplatňování nepřiměřeně vysoké či nízké ceny v </w:t>
      </w:r>
      <w:r w:rsidR="00102A26" w:rsidRPr="00EF6716">
        <w:t>neprospěch koncových uživatelů.</w:t>
      </w:r>
    </w:p>
    <w:p w:rsidR="004F741F" w:rsidRPr="00EF6716" w:rsidRDefault="00102A26" w:rsidP="004F741F">
      <w:pPr>
        <w:spacing w:after="120"/>
        <w:ind w:firstLine="709"/>
        <w:jc w:val="both"/>
      </w:pPr>
      <w:r w:rsidRPr="00EF6716">
        <w:t>Nad rámec výše uvedené skutečnosti však správní orgán konstatuje, že kauzalitu mezi změnou velkoobchodních a následně maloobchodních cen odvozuje od předpokladu, že velkoobchodní cena tvoří jeden ze vstupních nákladů do ceny maloobchodní, a jako takový by tuto (maloobchodní) cenu měl ovlivňovat. Pokud by správní orgán v budoucnu ztratil důvěru v pozitivní vliv cenové regulace na úroveň konkurenčního prostředí na maloobchodním trhu, zvážil by vymezení samostatného maloobchodního trhu a po jeho analýze i uložení nápravných opatření. Dále správní orgán připomíná, že t</w:t>
      </w:r>
      <w:r w:rsidR="004F741F" w:rsidRPr="00EF6716">
        <w:t>erminační trhy jsou typické 100% tržním podílem jednotlivých operátorů ve svých vlastních sítích a z toho vyplývající nízkou (takřka nulovou) úrovní konkurence na těchto trzích a absencí substitutů (pro službu terminace hovorů v jednotlivých sítích). Tato tržní síla pak operátorům umožňuje stanovovat ceny nezávisle na ostatních tržních subjektech, a tedy i účtovat ceny nepřiměřeně nízké či vysoké. Pro hodnocení, zda je konkrétní cena nepřiměřeně vysoká v neprospěch koncových uživatelů, pak není důležitá samotná absolutní výše hodnocené ceny, ale její složení. Tedy zda zahrnuje pouze účelně a</w:t>
      </w:r>
      <w:r w:rsidR="00593358" w:rsidRPr="00EF6716">
        <w:t xml:space="preserve"> efektivně vynaložené náklady a </w:t>
      </w:r>
      <w:r w:rsidR="004F741F" w:rsidRPr="00EF6716">
        <w:t>přiměřený zisk, nebo i další složky (vyšší zisk, neefektivně vynaložené náklady), které by operátoři v ceně na plně konkurenčním trhu zohlednit nemohli.</w:t>
      </w:r>
    </w:p>
    <w:p w:rsidR="00C1780F" w:rsidRPr="00EF6716" w:rsidRDefault="00C1780F" w:rsidP="004F741F">
      <w:pPr>
        <w:spacing w:after="120"/>
        <w:ind w:firstLine="709"/>
        <w:jc w:val="both"/>
      </w:pPr>
      <w:r w:rsidRPr="00EF6716">
        <w:t xml:space="preserve">K připomínce účastníka řízení poukazující na zjištění správního orgánu učiněné v rámci analýzy relevantního trhu, že velkoobchodní cena za terminaci v České republice převyšuje průměr zemí EU, správní orgán připomíná, že tato skutečnost nebyla primárním důvodem pro uložení povinností souvisejících s regulací cen, jak účastník řízení ve svém vyjádření naznačuje. V závěru předmětné kapitoly Ceny a ziskovost naopak správní orgán konstatoval, že toto kritérium „samo o sobě nesvědčí jednoznačně o existenci samostatné významné tržní sily“ a dále, že „Úřad při nalezení podniku (či podniků) s významnou tržní silou zohlední při návrhu nápravných opatření všechna kritéria svědčící o tržní síle jednotlivých operátorů na posuzovaných terminačních trzích a intenzitě možné soutěže na těchto trzích“. To pak učinil v kapitole 4.3 Návrh nápravných opatření na str. 51-52, kdy zohlednil jak tržní sílu jednotlivých operátorů a z ní vyplývající možnou nezávislost při </w:t>
      </w:r>
      <w:r w:rsidR="00D60BC4" w:rsidRPr="00EF6716">
        <w:t>stanovování velkoobchodních terminačních</w:t>
      </w:r>
      <w:r w:rsidRPr="00EF6716">
        <w:t xml:space="preserve"> cen, tak skutečnost, že jednotliví operátoři s významnou tržní silou</w:t>
      </w:r>
      <w:r w:rsidR="00D60BC4" w:rsidRPr="00EF6716">
        <w:t xml:space="preserve"> by nebyli ochotni</w:t>
      </w:r>
      <w:r w:rsidRPr="00EF6716">
        <w:t>, jak správnímu orgánu sami indikovali v rámci průzkumu, dobrovolně přistoupit na cenu ve výši nákladů teoretického efektivního operátora na efektivně konkurenčním trhu.</w:t>
      </w:r>
      <w:r w:rsidR="00D60BC4" w:rsidRPr="00EF6716">
        <w:t xml:space="preserve"> Proto se správní orgán rozhodl přistoupit k cenové regulaci stanovením maximální regulované ceny, zahrnující efektivně a účelně vynaložené náklady (na velkoobchodní službu terminace), stanovené v souladu s Doporučením.</w:t>
      </w:r>
    </w:p>
    <w:p w:rsidR="009902C8" w:rsidRPr="00EF6716" w:rsidRDefault="009902C8" w:rsidP="004F741F">
      <w:pPr>
        <w:spacing w:after="120"/>
        <w:ind w:firstLine="709"/>
        <w:jc w:val="both"/>
        <w:rPr>
          <w:rFonts w:cs="Arial"/>
        </w:rPr>
      </w:pPr>
      <w:r w:rsidRPr="00EF6716">
        <w:rPr>
          <w:rFonts w:cs="Arial"/>
        </w:rPr>
        <w:lastRenderedPageBreak/>
        <w:t>V další připomínce účastník řízení uváděl, že metodika „</w:t>
      </w:r>
      <w:proofErr w:type="spellStart"/>
      <w:r w:rsidRPr="00EF6716">
        <w:rPr>
          <w:rFonts w:cs="Arial"/>
        </w:rPr>
        <w:t>pure</w:t>
      </w:r>
      <w:proofErr w:type="spellEnd"/>
      <w:r w:rsidRPr="00EF6716">
        <w:rPr>
          <w:rFonts w:cs="Arial"/>
        </w:rPr>
        <w:t>“ LRIC v důsledku znamená přesun nákladů z ceny jedné služby do cen služeb jiných. Pokud přírůstková metodika vede jen k přesunu nákladů, v principu nemůže požadavku na přiměřenost zásahu vůči zjištěnému problému vyhovět. Má-li zjištěným problémem být uplatňování nepřiměřeně vysoké ceny pro koncové uživatele, pak řešením nemůže být nápravné opatření, které pouze přesune náklady, avšak celkové cenové „zatížení“ koncového zákazníka nezmění.</w:t>
      </w:r>
    </w:p>
    <w:p w:rsidR="00586621" w:rsidRPr="00EF6716" w:rsidRDefault="00586621" w:rsidP="004F741F">
      <w:pPr>
        <w:spacing w:after="120"/>
        <w:ind w:firstLine="709"/>
        <w:jc w:val="both"/>
        <w:rPr>
          <w:rFonts w:cs="Arial"/>
        </w:rPr>
      </w:pPr>
      <w:r w:rsidRPr="00EF6716">
        <w:t>Správní orgán k připomínce účastníka řízení znovu připomíná, že cílem správního orgánu je zohlednit ve velkoobchodní ceně za terminaci pouze účelně a efektivně vynaložené náklady, které by na plně konkurenčním trhu vynakládal teoretický efektivní operátor. Nezohledněním všech ostatních nákladů, doposud do ceny za terminaci zahrnovaných, neznamená, že operátorům tyto náklady zmizí a nebudou se je snažit pokrýt v cenách jiných služeb. Operátoři samozřejmě mají možnost zahrnout náklady vyloučené z ceny za terminaci do cen ostatních – většinou maloobchodních a neregulovaných – služeb. Přesunutím těchto nákladů (většinou) do cen služeb poskytovaných na trzích s vyšší úrovní konkurence však vytvoří na operátory tlak ke zvýšení efektivity, který obecně chybí na velkoobchodních trzích. Na nich totiž dochází k účtování cen ostatním, většinou konkurenčním, operátorům, kterým tak vyšší cena velkoobchodní služby zvyšuje náklady na poskytování vlastních maloobchodních služeb a tím i snižuje jejich konkurenceschopnost na maloobchodním trhu. Správní orgán tak v důsledku uplatněné cenové regulace očekává v dlouhodobém horizontu tlak na růst efektivnosti</w:t>
      </w:r>
      <w:r w:rsidR="009E4868" w:rsidRPr="00EF6716">
        <w:t xml:space="preserve"> podniků s významnou tržní silou vedoucí následně k poklesu průměrné maloobchodní cenové hladiny, ve prospěch k</w:t>
      </w:r>
      <w:bookmarkStart w:id="0" w:name="_GoBack"/>
      <w:bookmarkEnd w:id="0"/>
      <w:r w:rsidR="009E4868" w:rsidRPr="00EF6716">
        <w:t>oncových uživatelů.</w:t>
      </w:r>
      <w:r w:rsidRPr="00EF6716">
        <w:t xml:space="preserve"> Ať již však operátoři </w:t>
      </w:r>
      <w:r w:rsidR="009E4868" w:rsidRPr="00EF6716">
        <w:t>upraví (zvednou) výši svých ostatních maloobchodních služeb či neupraví</w:t>
      </w:r>
      <w:r w:rsidRPr="00EF6716">
        <w:t xml:space="preserve">, platí, že i nadále jsou všechny náklady přímo související s velkoobchodními službami terminace hrazeny </w:t>
      </w:r>
      <w:proofErr w:type="spellStart"/>
      <w:r w:rsidRPr="00EF6716">
        <w:t>originujícím</w:t>
      </w:r>
      <w:proofErr w:type="spellEnd"/>
      <w:r w:rsidRPr="00EF6716">
        <w:t xml:space="preserve"> operátorem, resp. jeho maloobchodními uživateli.</w:t>
      </w:r>
    </w:p>
    <w:p w:rsidR="009902C8" w:rsidRPr="00EF6716" w:rsidRDefault="00F42933" w:rsidP="004F741F">
      <w:pPr>
        <w:spacing w:after="120"/>
        <w:ind w:firstLine="709"/>
        <w:jc w:val="both"/>
        <w:rPr>
          <w:rFonts w:cs="Arial"/>
        </w:rPr>
      </w:pPr>
      <w:r w:rsidRPr="00EF6716">
        <w:rPr>
          <w:rFonts w:cs="Arial"/>
        </w:rPr>
        <w:t>Účastník řízení navrhoval doplnit do rozhodnutí analýzu dopadů metodiky regulace terminačních cen, a to jak na koncové zákazníky, tak na účastníka řízení a dále odůvodnění souladu použití metodiky „</w:t>
      </w:r>
      <w:proofErr w:type="spellStart"/>
      <w:r w:rsidRPr="00EF6716">
        <w:rPr>
          <w:rFonts w:cs="Arial"/>
        </w:rPr>
        <w:t>pure</w:t>
      </w:r>
      <w:proofErr w:type="spellEnd"/>
      <w:r w:rsidRPr="00EF6716">
        <w:rPr>
          <w:rFonts w:cs="Arial"/>
        </w:rPr>
        <w:t>“ LRIC s právním řádem České republiky, zejména posouzení oprávněnosti výběru této metodiky oproti jiným způsobům stanovení efektivních nákladů založených na principech LRIC, ale i oproti metodě FAHC.</w:t>
      </w:r>
    </w:p>
    <w:p w:rsidR="00F42933" w:rsidRPr="00EF6716" w:rsidRDefault="00F42933" w:rsidP="004F741F">
      <w:pPr>
        <w:spacing w:after="120"/>
        <w:ind w:firstLine="709"/>
        <w:jc w:val="both"/>
      </w:pPr>
      <w:r w:rsidRPr="00EF6716">
        <w:t>Správní orgán soulad svého postupu se zákonnými požadavky odůvodnil již ve výše uvedeném textu. Přesto však znovu opakuje, že</w:t>
      </w:r>
      <w:r w:rsidRPr="00EF6716">
        <w:rPr>
          <w:rFonts w:cs="Arial"/>
        </w:rPr>
        <w:t xml:space="preserve"> </w:t>
      </w:r>
      <w:r w:rsidRPr="00EF6716">
        <w:t>metoda „</w:t>
      </w:r>
      <w:proofErr w:type="spellStart"/>
      <w:r w:rsidRPr="00EF6716">
        <w:t>pure</w:t>
      </w:r>
      <w:proofErr w:type="spellEnd"/>
      <w:r w:rsidRPr="00EF6716">
        <w:t>“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V regulované ceně správní orgán zohlednil i investice provedené dotčeným podnikem, příslušná rizika a umožnil mu návratnost investic v přiměřeném časovém období, a to prostřednictvím navýšení účelně a efektivně vynaložených nákladů o přiměřený zisk. Proto správní orgán považuje stanovenou cenu za cenu nákladově orientovanou a za v souladu s požadavky § 56 odst. 4, § 57 odst. 3 a § 55 odst. 2 Zákona. Dopady této regulace správní orgán spatřuje v předpokládaném poklesu průměrné maloobchodní cenové hladiny v delším období, a to ve prospěch koncových uživatelů</w:t>
      </w:r>
      <w:r w:rsidR="00610B4C" w:rsidRPr="00EF6716">
        <w:t xml:space="preserve"> obecně</w:t>
      </w:r>
      <w:r w:rsidRPr="00EF6716">
        <w:t>.</w:t>
      </w:r>
    </w:p>
    <w:p w:rsidR="0079323E" w:rsidRPr="00EF6716" w:rsidRDefault="0079323E" w:rsidP="004F741F">
      <w:pPr>
        <w:spacing w:after="120"/>
        <w:ind w:firstLine="709"/>
        <w:jc w:val="both"/>
        <w:rPr>
          <w:rFonts w:cs="Arial"/>
        </w:rPr>
      </w:pPr>
      <w:r w:rsidRPr="00EF6716">
        <w:rPr>
          <w:rFonts w:cs="Arial"/>
        </w:rPr>
        <w:t xml:space="preserve">Účastník řízení dále namítal, že povinnosti navržené v rozhodnutí jsou nesplnitelné. Konkrétně pak povinnost sjednat cenu za terminaci s ostatními operátory v propojovacích smlouvách a jejich dodatcích. Propojovací smlouvy jsou dvoustranné smlouvy, k jejichž uzavření či změně je nutná součinnost obou smluvních stran. Správní orgán hodlá uložit povinnost „sjednávat“ ceny pouze účastníku řízení, přičemž ten nemá možnost na svém partnerovi jakkoliv vynutit uzavření propojovací smlouvy či dodatku ke smlouvě. V praxi tak může dojít k tomu, že smluvní partneři svůj souhlas s příslušným dodatkem podmiňují dalšími změnami propojovacích smluv, na které účastník řízení není povinen přistoupit nebo na podmínky, které nejsou pro účastníka řízení obchodně zajímavé. Pokud by však dodatky nebyly sjednány ve lhůtě stanovené v návrhu cenového rozhodnutí, protiprávně by postupoval </w:t>
      </w:r>
      <w:r w:rsidRPr="00EF6716">
        <w:rPr>
          <w:rFonts w:cs="Arial"/>
        </w:rPr>
        <w:lastRenderedPageBreak/>
        <w:t>pouze účastník řízení, nikoli jeho smluvní partneři. Účastník řízení by navíc mohl být sankcionován pokutou až 20 milionů Kč za neuplatňování ceny stanovené rozhodnutím (dle ustanovení § 118 odst. 11 písm. k) a odst. 22 písm. c) Zákona) a pokutou až 2 miliony Kč za nesplnění zvláštní povinnosti na výzvu správního orgánu (dle ustanovení § 118 odst. 5 písm. a) a odst. 118 odst. 22 písm. a) Zákona), případně donucovací pokutou až 10 milionů Kč za neuzavření dodatku jako nesplnění povinnosti sjednat dodatek k propojovací smlouvě uložené rozhodnutím o ceně (dle ustanovení § 51 odst. 5 a § 122 odst. 4 Zákona).</w:t>
      </w:r>
    </w:p>
    <w:p w:rsidR="0079323E" w:rsidRPr="00EF6716" w:rsidRDefault="0079323E" w:rsidP="0079323E">
      <w:pPr>
        <w:spacing w:after="120"/>
        <w:ind w:firstLine="709"/>
        <w:jc w:val="both"/>
      </w:pPr>
      <w:r w:rsidRPr="00EF6716">
        <w:t xml:space="preserve">Správní orgán nejprve konstatuje, že povinnost sjednávat cenu za terminaci se vztahuje na všechny podniky, které byly na základě analýzy relevantního trhu č. 3 navrženy </w:t>
      </w:r>
      <w:r w:rsidR="008F1D25" w:rsidRPr="00EF6716">
        <w:t xml:space="preserve">jako </w:t>
      </w:r>
      <w:r w:rsidRPr="00EF6716">
        <w:t>podniky s významnou tržní silou.</w:t>
      </w:r>
    </w:p>
    <w:p w:rsidR="0079323E" w:rsidRPr="00EF6716" w:rsidRDefault="0079323E" w:rsidP="0079323E">
      <w:pPr>
        <w:spacing w:after="120"/>
        <w:ind w:firstLine="709"/>
        <w:jc w:val="both"/>
      </w:pPr>
      <w:r w:rsidRPr="00EF6716">
        <w:t xml:space="preserve">Správní orgán by při kontrole (ne)plnění uložených povinností posuzoval individuálně míru zavinění neuzavření dodatku a v případě, že by důvody neuzavření byly na straně smluvních partnerů </w:t>
      </w:r>
      <w:r w:rsidR="008F1D25" w:rsidRPr="00EF6716">
        <w:t>účastníka řízení, nesjednání cen by správní orgán</w:t>
      </w:r>
      <w:r w:rsidRPr="00EF6716">
        <w:t xml:space="preserve"> za porušení uložený</w:t>
      </w:r>
      <w:r w:rsidR="008F1D25" w:rsidRPr="00EF6716">
        <w:t>ch povinností nepovažoval.</w:t>
      </w:r>
    </w:p>
    <w:p w:rsidR="008F1D25" w:rsidRPr="00EF6716" w:rsidRDefault="008F1D25" w:rsidP="008F1D25">
      <w:pPr>
        <w:spacing w:after="120"/>
        <w:ind w:firstLine="709"/>
        <w:jc w:val="both"/>
        <w:rPr>
          <w:rFonts w:cs="Arial"/>
        </w:rPr>
      </w:pPr>
      <w:r w:rsidRPr="00EF6716">
        <w:rPr>
          <w:rFonts w:cs="Arial"/>
        </w:rPr>
        <w:t xml:space="preserve">V další připomínce účastník řízení konstatoval, že podle analýzy relevantního trhu č. 3 je časový rámec vymezen obdobím tří let. Účastník řízení je přesvědčen, že nápravné opatření, které je vydáno na základě uvedené analýzy trhu, nemůže mít delší platnost, než jakou má podkladová analýza trhu. Proto účastník řízení požaduje doplnit do návrhu rozhodnutí o ceně datum ukončení platnosti cenového rozhodnutí, a to dne 13. prosince 2016 (tři roky po uveřejnění analýzy relevantního trhu č. 3 v Telekomunikačním věstníku, částce 20/2013, dne 13. prosince 2013). </w:t>
      </w:r>
    </w:p>
    <w:p w:rsidR="008F1D25" w:rsidRPr="00EF6716" w:rsidRDefault="008F1D25" w:rsidP="008F1D25">
      <w:pPr>
        <w:spacing w:after="120"/>
        <w:ind w:firstLine="709"/>
        <w:jc w:val="both"/>
      </w:pPr>
      <w:r w:rsidRPr="00EF6716">
        <w:t xml:space="preserve">Správní orgán </w:t>
      </w:r>
      <w:r w:rsidR="00A03C1A" w:rsidRPr="00EF6716">
        <w:t>konstatuje, že a</w:t>
      </w:r>
      <w:r w:rsidRPr="00EF6716">
        <w:t>nalýza relevantního trhu je standardně vydávána na období tří let, jak správně poznamenává účastník řízení, může však d</w:t>
      </w:r>
      <w:r w:rsidR="00A03C1A" w:rsidRPr="00EF6716">
        <w:t>ojít k časové prodlevě</w:t>
      </w:r>
      <w:r w:rsidRPr="00EF6716">
        <w:t xml:space="preserve"> při vydání nové analýzy relevantního trhu</w:t>
      </w:r>
      <w:r w:rsidR="00A03C1A" w:rsidRPr="00EF6716">
        <w:t>, např. s ohledem</w:t>
      </w:r>
      <w:r w:rsidRPr="00EF6716">
        <w:t xml:space="preserve"> na § 51 odst. 2 Zákona, kter</w:t>
      </w:r>
      <w:r w:rsidR="00A03C1A" w:rsidRPr="00EF6716">
        <w:t>ý správnímu orgánu umožňuje</w:t>
      </w:r>
      <w:r w:rsidRPr="00EF6716">
        <w:t xml:space="preserve"> lhůtu</w:t>
      </w:r>
      <w:r w:rsidR="00A03C1A" w:rsidRPr="00EF6716">
        <w:t xml:space="preserve"> pro provedení analýzy</w:t>
      </w:r>
      <w:r w:rsidRPr="00EF6716">
        <w:t xml:space="preserve"> prodloužit</w:t>
      </w:r>
      <w:r w:rsidR="00A03C1A" w:rsidRPr="00EF6716">
        <w:t xml:space="preserve"> (nejvýše)</w:t>
      </w:r>
      <w:r w:rsidRPr="00EF6716">
        <w:t xml:space="preserve"> o další tři roky</w:t>
      </w:r>
      <w:r w:rsidR="00A03C1A" w:rsidRPr="00EF6716">
        <w:t>, oznámí-li to s odůvodněním</w:t>
      </w:r>
      <w:r w:rsidRPr="00EF6716">
        <w:t xml:space="preserve"> Evropské komisi</w:t>
      </w:r>
      <w:r w:rsidR="00A03C1A" w:rsidRPr="00EF6716">
        <w:t xml:space="preserve"> (a ta do jednoho měsíce od oznámení nevznese proti prodloužení lhůty námitky). Z tohoto důvody by nebylo žádoucí striktně omezovat platnost vydávaného rozhodnutí o ceně. Povinnosti ukládané účastníku řízení tímto rozhodnutím správní orgán zachová, změní či zruší standardně podle § 51 odst. 8 Zákona v novém rozhodnutí o ceně.</w:t>
      </w:r>
    </w:p>
    <w:p w:rsidR="00A75EF9" w:rsidRPr="00EF6716" w:rsidRDefault="00A75EF9" w:rsidP="00A75EF9">
      <w:pPr>
        <w:spacing w:after="120"/>
        <w:ind w:firstLine="709"/>
        <w:jc w:val="both"/>
        <w:rPr>
          <w:rFonts w:cs="Arial"/>
        </w:rPr>
      </w:pPr>
      <w:r w:rsidRPr="00EF6716">
        <w:rPr>
          <w:rFonts w:cs="Arial"/>
        </w:rPr>
        <w:t>Ve své poslední připomínce k zahájenému správnímu řízení účastník řízení poukazoval na odlišné termíny pro aplikaci terminačních cen stanovených metodou „</w:t>
      </w:r>
      <w:proofErr w:type="spellStart"/>
      <w:r w:rsidRPr="00EF6716">
        <w:rPr>
          <w:rFonts w:cs="Arial"/>
        </w:rPr>
        <w:t>pure</w:t>
      </w:r>
      <w:proofErr w:type="spellEnd"/>
      <w:r w:rsidRPr="00EF6716">
        <w:rPr>
          <w:rFonts w:cs="Arial"/>
        </w:rPr>
        <w:t xml:space="preserve">“ LRIC na tomto relevantním trhu a relevantním trhu č. 7, na němž správní orgán stanovil cenu v souladu s Doporučením již od 1. července 2013. Vzhledem k tomu, že účastník řízení má drtivou většinu provozu v mobilní síti, tento rozdílný regulační přístup jej poškozuje a narušuje i hospodářskou soutěž. Z tohoto ohledu účastník řízení požaduje, </w:t>
      </w:r>
      <w:r w:rsidR="005F56CE" w:rsidRPr="00EF6716">
        <w:rPr>
          <w:rFonts w:cs="Arial"/>
        </w:rPr>
        <w:t>aby pro aplikaci nové výše regulované ceny na relevantním trhu č. 3 nebyla poskytnuta „implementační“ lhůta dvou měsíců, ale aby nová výše regulované ceny za terminaci byla aplikována co nejdříve, a sice od nabytí právní moci rozhodnutí.</w:t>
      </w:r>
    </w:p>
    <w:p w:rsidR="00173585" w:rsidRPr="00EF6716" w:rsidRDefault="00173585" w:rsidP="00173585">
      <w:pPr>
        <w:spacing w:after="120"/>
        <w:ind w:firstLine="709"/>
        <w:jc w:val="both"/>
      </w:pPr>
      <w:r w:rsidRPr="00EF6716">
        <w:t>Správní orgán požadavku účastníka řízení na co nejrychlejší aplikaci, podle něj nezákonně stanovené, ceny, nevyhověl. Správní orgán je s ohledem na § 6 odst. 4 Zákona při své činnosti povinen zajistit předvídatelnost svého jednání a tomuto požadavku dle správního orgánu nejlépe odpovídá takový přístup k implementaci ukládané povinnosti, který správní orgán konzistentně aplikoval již v mnoha předchozích rozhodnutích o ceně</w:t>
      </w:r>
      <w:r w:rsidRPr="00EF6716">
        <w:rPr>
          <w:vertAlign w:val="superscript"/>
        </w:rPr>
        <w:footnoteReference w:id="9"/>
      </w:r>
      <w:r w:rsidRPr="00EF6716">
        <w:t>, a který vyplývá jak z požadavků samotných regulovaných subjektů (sám účastník řízení požadoval</w:t>
      </w:r>
      <w:r w:rsidRPr="00EF6716">
        <w:rPr>
          <w:vertAlign w:val="superscript"/>
        </w:rPr>
        <w:footnoteReference w:id="10"/>
      </w:r>
      <w:r w:rsidRPr="00EF6716">
        <w:t xml:space="preserve"> po správním orgánu v roce 2012 pro implementaci maximální regulované ceny za terminaci v mobilní síti alespoň dva měsíce), tak ze lhůty v délce dvou měsíců podle § 80 odst. 4 Zákona pro jednání podnikatelů o návrhu smlouvy o přístupu nebo smlouvy o propojení. </w:t>
      </w:r>
    </w:p>
    <w:p w:rsidR="00EE1E1C" w:rsidRPr="00EF6716" w:rsidRDefault="00173585" w:rsidP="00173585">
      <w:pPr>
        <w:spacing w:after="120"/>
        <w:ind w:firstLine="709"/>
        <w:jc w:val="both"/>
        <w:rPr>
          <w:rFonts w:cs="Arial"/>
        </w:rPr>
      </w:pPr>
      <w:r w:rsidRPr="00EF6716">
        <w:lastRenderedPageBreak/>
        <w:t>Správní orgán také připomíná, že lhůtu v délce dvou měsíců je třeba chápat jako lhůtu maximálně možnou, a smluvní strany mají možnost přistoupit na regulovanou cenu i dříve.</w:t>
      </w:r>
      <w:r w:rsidR="00A75EF9" w:rsidRPr="00EF6716">
        <w:rPr>
          <w:rFonts w:cs="Arial"/>
        </w:rPr>
        <w:t xml:space="preserve"> </w:t>
      </w:r>
    </w:p>
    <w:p w:rsidR="00751DF0" w:rsidRPr="008E126C" w:rsidRDefault="00751DF0" w:rsidP="00C172FB">
      <w:pPr>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4"/>
      <w:footerReference w:type="default" r:id="rId15"/>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0A" w:rsidRDefault="00A20C0A">
      <w:r>
        <w:separator/>
      </w:r>
    </w:p>
  </w:endnote>
  <w:endnote w:type="continuationSeparator" w:id="0">
    <w:p w:rsidR="00A20C0A" w:rsidRDefault="00A2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CE" w:rsidRPr="00FB00E3" w:rsidRDefault="005F56CE">
    <w:pPr>
      <w:pStyle w:val="Zpat"/>
      <w:rPr>
        <w:sz w:val="16"/>
        <w:szCs w:val="16"/>
      </w:rPr>
    </w:pPr>
    <w:r>
      <w:rPr>
        <w:sz w:val="16"/>
        <w:szCs w:val="16"/>
      </w:rPr>
      <w:tab/>
    </w:r>
    <w:r w:rsidR="007A3A67">
      <w:rPr>
        <w:rStyle w:val="slostrnky"/>
      </w:rPr>
      <w:fldChar w:fldCharType="begin"/>
    </w:r>
    <w:r>
      <w:rPr>
        <w:rStyle w:val="slostrnky"/>
      </w:rPr>
      <w:instrText xml:space="preserve"> PAGE </w:instrText>
    </w:r>
    <w:r w:rsidR="007A3A67">
      <w:rPr>
        <w:rStyle w:val="slostrnky"/>
      </w:rPr>
      <w:fldChar w:fldCharType="separate"/>
    </w:r>
    <w:r w:rsidR="00EF6716">
      <w:rPr>
        <w:rStyle w:val="slostrnky"/>
        <w:noProof/>
      </w:rPr>
      <w:t>9</w:t>
    </w:r>
    <w:r w:rsidR="007A3A67">
      <w:rPr>
        <w:rStyle w:val="slostrnky"/>
      </w:rPr>
      <w:fldChar w:fldCharType="end"/>
    </w:r>
    <w:r>
      <w:rPr>
        <w:rStyle w:val="slostrnky"/>
      </w:rPr>
      <w:t>/</w:t>
    </w:r>
    <w:r w:rsidR="007A3A67">
      <w:rPr>
        <w:rStyle w:val="slostrnky"/>
      </w:rPr>
      <w:fldChar w:fldCharType="begin"/>
    </w:r>
    <w:r>
      <w:rPr>
        <w:rStyle w:val="slostrnky"/>
      </w:rPr>
      <w:instrText xml:space="preserve"> NUMPAGES </w:instrText>
    </w:r>
    <w:r w:rsidR="007A3A67">
      <w:rPr>
        <w:rStyle w:val="slostrnky"/>
      </w:rPr>
      <w:fldChar w:fldCharType="separate"/>
    </w:r>
    <w:r w:rsidR="00EF6716">
      <w:rPr>
        <w:rStyle w:val="slostrnky"/>
        <w:noProof/>
      </w:rPr>
      <w:t>11</w:t>
    </w:r>
    <w:r w:rsidR="007A3A67">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0A" w:rsidRDefault="00A20C0A">
      <w:r>
        <w:separator/>
      </w:r>
    </w:p>
  </w:footnote>
  <w:footnote w:type="continuationSeparator" w:id="0">
    <w:p w:rsidR="00A20C0A" w:rsidRDefault="00A20C0A">
      <w:r>
        <w:continuationSeparator/>
      </w:r>
    </w:p>
  </w:footnote>
  <w:footnote w:id="1">
    <w:p w:rsidR="005F56CE" w:rsidRPr="002B4965" w:rsidRDefault="005F56CE"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5F56CE" w:rsidRPr="00E0184F" w:rsidRDefault="005F56CE" w:rsidP="003F7F9D">
      <w:pPr>
        <w:pStyle w:val="Textpoznpodarou"/>
        <w:jc w:val="both"/>
        <w:rPr>
          <w:rFonts w:ascii="Arial" w:hAnsi="Arial" w:cs="Arial"/>
          <w:sz w:val="16"/>
          <w:szCs w:val="16"/>
        </w:rPr>
      </w:pPr>
      <w:r w:rsidRPr="00E0184F">
        <w:rPr>
          <w:rStyle w:val="Znakapoznpodarou"/>
          <w:rFonts w:ascii="Arial" w:hAnsi="Arial" w:cs="Arial"/>
          <w:sz w:val="16"/>
          <w:szCs w:val="16"/>
        </w:rPr>
        <w:footnoteRef/>
      </w:r>
      <w:r w:rsidRPr="00E0184F">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3">
    <w:p w:rsidR="005F56CE" w:rsidRPr="00F503B8" w:rsidRDefault="005F56CE" w:rsidP="003F7F9D">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1"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mobilních komunikačních sítích v Unii.</w:t>
      </w:r>
    </w:p>
  </w:footnote>
  <w:footnote w:id="4">
    <w:p w:rsidR="005F56CE" w:rsidRPr="00E36D2A" w:rsidRDefault="005F56CE" w:rsidP="00E36D2A">
      <w:pPr>
        <w:pStyle w:val="Textpoznpodarou"/>
        <w:jc w:val="both"/>
        <w:rPr>
          <w:rFonts w:ascii="Arial" w:hAnsi="Arial" w:cs="Arial"/>
          <w:sz w:val="16"/>
          <w:szCs w:val="16"/>
        </w:rPr>
      </w:pPr>
      <w:r w:rsidRPr="00E36D2A">
        <w:rPr>
          <w:rStyle w:val="Znakapoznpodarou"/>
          <w:rFonts w:ascii="Arial" w:hAnsi="Arial" w:cs="Arial"/>
          <w:sz w:val="16"/>
          <w:szCs w:val="16"/>
        </w:rPr>
        <w:footnoteRef/>
      </w:r>
      <w:r w:rsidRPr="00E36D2A">
        <w:rPr>
          <w:rFonts w:ascii="Arial" w:hAnsi="Arial" w:cs="Arial"/>
          <w:sz w:val="16"/>
          <w:szCs w:val="16"/>
        </w:rPr>
        <w:t xml:space="preserve"> Úřad je povinen při uplatňování cenové regulace brát do úvahy ochranu zájmů subjektu, jehož ceny jsou regulovány tak, aby cena plynoucí z rozhodnutí Úřadu byla přinejmenším nákladová; to neplatí pro služby podle § 43</w:t>
      </w:r>
      <w:r>
        <w:rPr>
          <w:rFonts w:ascii="Arial" w:hAnsi="Arial" w:cs="Arial"/>
          <w:sz w:val="16"/>
          <w:szCs w:val="16"/>
        </w:rPr>
        <w:t>.</w:t>
      </w:r>
    </w:p>
  </w:footnote>
  <w:footnote w:id="5">
    <w:p w:rsidR="005F56CE" w:rsidRPr="00E36D2A" w:rsidRDefault="005F56CE" w:rsidP="00E36D2A">
      <w:pPr>
        <w:pStyle w:val="Textpoznpodarou"/>
        <w:jc w:val="both"/>
        <w:rPr>
          <w:rFonts w:ascii="Arial" w:hAnsi="Arial" w:cs="Arial"/>
          <w:sz w:val="16"/>
          <w:szCs w:val="16"/>
        </w:rPr>
      </w:pPr>
      <w:r w:rsidRPr="00E36D2A">
        <w:rPr>
          <w:rStyle w:val="Znakapoznpodarou"/>
          <w:rFonts w:ascii="Arial" w:hAnsi="Arial" w:cs="Arial"/>
          <w:sz w:val="16"/>
          <w:szCs w:val="16"/>
        </w:rPr>
        <w:footnoteRef/>
      </w:r>
      <w:r w:rsidRPr="00E36D2A">
        <w:rPr>
          <w:rFonts w:ascii="Arial" w:hAnsi="Arial" w:cs="Arial"/>
          <w:sz w:val="16"/>
          <w:szCs w:val="16"/>
        </w:rPr>
        <w:t xml:space="preserve"> Nákladově orientovanou cenou se rozumí cena, která zahrnuje efektivně a účelně vynaložené náklady a přiměřený zisk. Tato cena se sjedná tak, aby zajistila návratnost investic v přiměřeném časovém období a zohlednila příslušná rizika, včetně rizik spojených s investicemi do nových sítí.</w:t>
      </w:r>
    </w:p>
  </w:footnote>
  <w:footnote w:id="6">
    <w:p w:rsidR="005F56CE" w:rsidRPr="00E36D2A" w:rsidRDefault="005F56CE" w:rsidP="00E36D2A">
      <w:pPr>
        <w:pStyle w:val="Textpoznpodarou"/>
        <w:jc w:val="both"/>
        <w:rPr>
          <w:rFonts w:ascii="Arial" w:hAnsi="Arial" w:cs="Arial"/>
          <w:sz w:val="16"/>
          <w:szCs w:val="16"/>
        </w:rPr>
      </w:pPr>
      <w:r w:rsidRPr="00E36D2A">
        <w:rPr>
          <w:rStyle w:val="Znakapoznpodarou"/>
          <w:rFonts w:ascii="Arial" w:hAnsi="Arial" w:cs="Arial"/>
          <w:sz w:val="16"/>
          <w:szCs w:val="16"/>
        </w:rPr>
        <w:footnoteRef/>
      </w:r>
      <w:r w:rsidRPr="00E36D2A">
        <w:rPr>
          <w:rFonts w:ascii="Arial" w:hAnsi="Arial" w:cs="Arial"/>
          <w:sz w:val="16"/>
          <w:szCs w:val="16"/>
        </w:rPr>
        <w:t xml:space="preserve"> Při uplatnění regulace cen podle odstavců 1 a 2 vůči podniku s významnou tržní silou je Úřad povinen v rozhodnutí o ceně zohlednit investice provedené dotčeným podnikem, příslušná rizika a umožnit mu návratnost investic v přiměřeném časovém období.</w:t>
      </w:r>
    </w:p>
  </w:footnote>
  <w:footnote w:id="7">
    <w:p w:rsidR="005F56CE" w:rsidRPr="00E36D2A" w:rsidRDefault="005F56CE" w:rsidP="00E36D2A">
      <w:pPr>
        <w:pStyle w:val="Textpoznpodarou"/>
        <w:jc w:val="both"/>
        <w:rPr>
          <w:rFonts w:ascii="Arial" w:hAnsi="Arial" w:cs="Arial"/>
          <w:sz w:val="16"/>
          <w:szCs w:val="16"/>
        </w:rPr>
      </w:pPr>
      <w:r w:rsidRPr="00E36D2A">
        <w:rPr>
          <w:rStyle w:val="Znakapoznpodarou"/>
          <w:rFonts w:ascii="Arial" w:hAnsi="Arial" w:cs="Arial"/>
          <w:sz w:val="16"/>
          <w:szCs w:val="16"/>
        </w:rPr>
        <w:footnoteRef/>
      </w:r>
      <w:r w:rsidRPr="00E36D2A">
        <w:rPr>
          <w:rFonts w:ascii="Arial" w:hAnsi="Arial" w:cs="Arial"/>
          <w:sz w:val="16"/>
          <w:szCs w:val="16"/>
        </w:rPr>
        <w:t xml:space="preserve"> V případě, že analýza relevantního trhu souvisejícího s propojením nebo přístupem provedená podle § 51 prokáže, že tento trh není efektivně konkurenční zejména tím, že by mohlo docházet k uplatňování nepřiměřeně vysoké nebo nepřiměřeně nízké ceny v neprospěch koncových uživatelů, a jestliže by opatření podle § 51 odst. 3 písm. a) až f) nevedla k nápravě, je Úřad oprávněn uplatnit regulaci cen na tomto relevantním trhu vydáním rozhodnutí o ceně.</w:t>
      </w:r>
    </w:p>
  </w:footnote>
  <w:footnote w:id="8">
    <w:p w:rsidR="005F56CE" w:rsidRPr="00852D7C" w:rsidRDefault="005F56CE" w:rsidP="00852D7C">
      <w:pPr>
        <w:pStyle w:val="Textpoznpodarou"/>
        <w:jc w:val="both"/>
        <w:rPr>
          <w:rFonts w:ascii="Arial" w:hAnsi="Arial" w:cs="Arial"/>
          <w:sz w:val="16"/>
          <w:szCs w:val="16"/>
        </w:rPr>
      </w:pPr>
      <w:r w:rsidRPr="00852D7C">
        <w:rPr>
          <w:rStyle w:val="Znakapoznpodarou"/>
          <w:rFonts w:ascii="Arial" w:hAnsi="Arial" w:cs="Arial"/>
          <w:sz w:val="16"/>
          <w:szCs w:val="16"/>
        </w:rPr>
        <w:footnoteRef/>
      </w:r>
      <w:r w:rsidRPr="00852D7C">
        <w:rPr>
          <w:rFonts w:ascii="Arial" w:hAnsi="Arial" w:cs="Arial"/>
          <w:sz w:val="16"/>
          <w:szCs w:val="16"/>
        </w:rPr>
        <w:t xml:space="preserve"> </w:t>
      </w:r>
      <w:r>
        <w:rPr>
          <w:rFonts w:ascii="Arial" w:hAnsi="Arial" w:cs="Arial"/>
          <w:sz w:val="16"/>
          <w:szCs w:val="16"/>
        </w:rPr>
        <w:t xml:space="preserve">Viz </w:t>
      </w:r>
      <w:hyperlink r:id="rId2" w:history="1">
        <w:r w:rsidRPr="00852D7C">
          <w:rPr>
            <w:rStyle w:val="Hypertextovodkaz"/>
            <w:rFonts w:ascii="Arial" w:hAnsi="Arial" w:cs="Arial"/>
            <w:sz w:val="16"/>
            <w:szCs w:val="16"/>
          </w:rPr>
          <w:t>analýza relevantního trhu č. 3</w:t>
        </w:r>
      </w:hyperlink>
      <w:r w:rsidRPr="00852D7C">
        <w:rPr>
          <w:rFonts w:ascii="Arial" w:hAnsi="Arial" w:cs="Arial"/>
          <w:sz w:val="16"/>
          <w:szCs w:val="16"/>
        </w:rPr>
        <w:t xml:space="preserve"> z 10. prosince 2013, str. 52-53</w:t>
      </w:r>
    </w:p>
  </w:footnote>
  <w:footnote w:id="9">
    <w:p w:rsidR="00173585" w:rsidRPr="00167246" w:rsidRDefault="00173585" w:rsidP="00173585">
      <w:pPr>
        <w:pStyle w:val="Textpoznpodarou"/>
        <w:jc w:val="both"/>
        <w:rPr>
          <w:rFonts w:ascii="Arial" w:hAnsi="Arial" w:cs="Arial"/>
          <w:sz w:val="16"/>
          <w:szCs w:val="16"/>
        </w:rPr>
      </w:pPr>
      <w:r w:rsidRPr="00167246">
        <w:rPr>
          <w:rStyle w:val="Znakapoznpodarou"/>
          <w:rFonts w:ascii="Arial" w:hAnsi="Arial" w:cs="Arial"/>
          <w:sz w:val="16"/>
          <w:szCs w:val="16"/>
        </w:rPr>
        <w:footnoteRef/>
      </w:r>
      <w:r>
        <w:rPr>
          <w:rFonts w:ascii="Arial" w:hAnsi="Arial" w:cs="Arial"/>
          <w:sz w:val="16"/>
          <w:szCs w:val="16"/>
        </w:rPr>
        <w:t xml:space="preserve"> Viz</w:t>
      </w:r>
      <w:r w:rsidRPr="00167246">
        <w:rPr>
          <w:rFonts w:ascii="Arial" w:hAnsi="Arial" w:cs="Arial"/>
          <w:sz w:val="16"/>
          <w:szCs w:val="16"/>
        </w:rPr>
        <w:t xml:space="preserve"> </w:t>
      </w:r>
      <w:hyperlink r:id="rId3" w:history="1">
        <w:r w:rsidRPr="00167246">
          <w:rPr>
            <w:rStyle w:val="Hypertextovodkaz"/>
            <w:rFonts w:ascii="Arial" w:hAnsi="Arial" w:cs="Arial"/>
            <w:sz w:val="16"/>
            <w:szCs w:val="16"/>
          </w:rPr>
          <w:t>CEN/7/12.2012-7</w:t>
        </w:r>
      </w:hyperlink>
      <w:r w:rsidRPr="00167246">
        <w:rPr>
          <w:rFonts w:ascii="Arial" w:hAnsi="Arial" w:cs="Arial"/>
          <w:sz w:val="16"/>
          <w:szCs w:val="16"/>
        </w:rPr>
        <w:t xml:space="preserve">, </w:t>
      </w:r>
      <w:hyperlink r:id="rId4" w:history="1">
        <w:r w:rsidRPr="00167246">
          <w:rPr>
            <w:rStyle w:val="Hypertextovodkaz"/>
            <w:rFonts w:ascii="Arial" w:hAnsi="Arial" w:cs="Arial"/>
            <w:sz w:val="16"/>
            <w:szCs w:val="16"/>
          </w:rPr>
          <w:t>CEN/7/12.2012-5</w:t>
        </w:r>
      </w:hyperlink>
      <w:r w:rsidRPr="00167246">
        <w:rPr>
          <w:rFonts w:ascii="Arial" w:hAnsi="Arial" w:cs="Arial"/>
          <w:sz w:val="16"/>
          <w:szCs w:val="16"/>
        </w:rPr>
        <w:t xml:space="preserve">, </w:t>
      </w:r>
      <w:hyperlink r:id="rId5" w:history="1">
        <w:r w:rsidRPr="00167246">
          <w:rPr>
            <w:rStyle w:val="Hypertextovodkaz"/>
            <w:rFonts w:ascii="Arial" w:hAnsi="Arial" w:cs="Arial"/>
            <w:sz w:val="16"/>
            <w:szCs w:val="16"/>
          </w:rPr>
          <w:t>CEN/7/12.2012-6</w:t>
        </w:r>
      </w:hyperlink>
      <w:r w:rsidRPr="00167246">
        <w:rPr>
          <w:rFonts w:ascii="Arial" w:hAnsi="Arial" w:cs="Arial"/>
          <w:sz w:val="16"/>
          <w:szCs w:val="16"/>
        </w:rPr>
        <w:t xml:space="preserve"> nebo </w:t>
      </w:r>
      <w:hyperlink r:id="rId6" w:history="1">
        <w:r w:rsidRPr="00167246">
          <w:rPr>
            <w:rStyle w:val="Hypertextovodkaz"/>
            <w:rFonts w:ascii="Arial" w:hAnsi="Arial" w:cs="Arial"/>
            <w:sz w:val="16"/>
            <w:szCs w:val="16"/>
          </w:rPr>
          <w:t>CEN/4/06.2013-3</w:t>
        </w:r>
      </w:hyperlink>
      <w:r w:rsidRPr="00167246">
        <w:rPr>
          <w:rFonts w:ascii="Arial" w:hAnsi="Arial" w:cs="Arial"/>
          <w:sz w:val="16"/>
          <w:szCs w:val="16"/>
        </w:rPr>
        <w:t xml:space="preserve"> a </w:t>
      </w:r>
      <w:hyperlink r:id="rId7" w:history="1">
        <w:r w:rsidRPr="00167246">
          <w:rPr>
            <w:rStyle w:val="Hypertextovodkaz"/>
            <w:rFonts w:ascii="Arial" w:hAnsi="Arial" w:cs="Arial"/>
            <w:sz w:val="16"/>
            <w:szCs w:val="16"/>
          </w:rPr>
          <w:t>CEN/4/06.2012-1</w:t>
        </w:r>
      </w:hyperlink>
      <w:r w:rsidRPr="00167246">
        <w:rPr>
          <w:rFonts w:ascii="Arial" w:hAnsi="Arial" w:cs="Arial"/>
          <w:sz w:val="16"/>
          <w:szCs w:val="16"/>
        </w:rPr>
        <w:t xml:space="preserve">. </w:t>
      </w:r>
    </w:p>
  </w:footnote>
  <w:footnote w:id="10">
    <w:p w:rsidR="00173585" w:rsidRPr="00A8117E" w:rsidRDefault="00173585" w:rsidP="00173585">
      <w:pPr>
        <w:pStyle w:val="Textpoznpodarou"/>
        <w:jc w:val="both"/>
        <w:rPr>
          <w:rFonts w:ascii="Arial" w:hAnsi="Arial" w:cs="Arial"/>
          <w:sz w:val="16"/>
          <w:szCs w:val="16"/>
        </w:rPr>
      </w:pPr>
      <w:r w:rsidRPr="00A8117E">
        <w:rPr>
          <w:rStyle w:val="Znakapoznpodarou"/>
          <w:rFonts w:ascii="Arial" w:hAnsi="Arial" w:cs="Arial"/>
          <w:sz w:val="16"/>
          <w:szCs w:val="16"/>
        </w:rPr>
        <w:footnoteRef/>
      </w:r>
      <w:r w:rsidRPr="00A8117E">
        <w:rPr>
          <w:rFonts w:ascii="Arial" w:hAnsi="Arial" w:cs="Arial"/>
          <w:sz w:val="16"/>
          <w:szCs w:val="16"/>
        </w:rPr>
        <w:t xml:space="preserve"> Viz </w:t>
      </w:r>
      <w:hyperlink r:id="rId8" w:history="1">
        <w:r w:rsidRPr="00A8117E">
          <w:rPr>
            <w:rStyle w:val="Hypertextovodkaz"/>
            <w:rFonts w:ascii="Arial" w:hAnsi="Arial" w:cs="Arial"/>
            <w:sz w:val="16"/>
            <w:szCs w:val="16"/>
          </w:rPr>
          <w:t>CEN/7/07.2012-2</w:t>
        </w:r>
      </w:hyperlink>
      <w:r w:rsidRPr="00A8117E">
        <w:rPr>
          <w:rFonts w:ascii="Arial" w:hAnsi="Arial" w:cs="Arial"/>
          <w:sz w:val="16"/>
          <w:szCs w:val="16"/>
        </w:rPr>
        <w:t>, str.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CE" w:rsidRPr="00932253" w:rsidRDefault="005F56CE"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34B25ACE"/>
    <w:multiLevelType w:val="hybridMultilevel"/>
    <w:tmpl w:val="9BC69768"/>
    <w:lvl w:ilvl="0" w:tplc="F6165886">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8">
    <w:nsid w:val="4C621BDB"/>
    <w:multiLevelType w:val="hybridMultilevel"/>
    <w:tmpl w:val="B0D6722E"/>
    <w:lvl w:ilvl="0" w:tplc="F616588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10">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3">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9"/>
  </w:num>
  <w:num w:numId="3">
    <w:abstractNumId w:val="1"/>
  </w:num>
  <w:num w:numId="4">
    <w:abstractNumId w:val="7"/>
  </w:num>
  <w:num w:numId="5">
    <w:abstractNumId w:val="12"/>
  </w:num>
  <w:num w:numId="6">
    <w:abstractNumId w:val="13"/>
  </w:num>
  <w:num w:numId="7">
    <w:abstractNumId w:val="11"/>
  </w:num>
  <w:num w:numId="8">
    <w:abstractNumId w:val="5"/>
  </w:num>
  <w:num w:numId="9">
    <w:abstractNumId w:val="0"/>
  </w:num>
  <w:num w:numId="10">
    <w:abstractNumId w:val="2"/>
  </w:num>
  <w:num w:numId="11">
    <w:abstractNumId w:val="6"/>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7B36"/>
    <w:rsid w:val="0002480D"/>
    <w:rsid w:val="00026842"/>
    <w:rsid w:val="00030EEF"/>
    <w:rsid w:val="00034A68"/>
    <w:rsid w:val="000366E8"/>
    <w:rsid w:val="000442F6"/>
    <w:rsid w:val="00045355"/>
    <w:rsid w:val="00045DCE"/>
    <w:rsid w:val="000460F5"/>
    <w:rsid w:val="00046E99"/>
    <w:rsid w:val="0004734B"/>
    <w:rsid w:val="000519F6"/>
    <w:rsid w:val="00051EF1"/>
    <w:rsid w:val="000520F9"/>
    <w:rsid w:val="0005215A"/>
    <w:rsid w:val="00055D81"/>
    <w:rsid w:val="000563D1"/>
    <w:rsid w:val="0005780F"/>
    <w:rsid w:val="00060FFC"/>
    <w:rsid w:val="00065F2A"/>
    <w:rsid w:val="00066674"/>
    <w:rsid w:val="000726AE"/>
    <w:rsid w:val="00072941"/>
    <w:rsid w:val="00072A8D"/>
    <w:rsid w:val="00075528"/>
    <w:rsid w:val="00075C12"/>
    <w:rsid w:val="0007787C"/>
    <w:rsid w:val="00077EEF"/>
    <w:rsid w:val="0008246F"/>
    <w:rsid w:val="000847C0"/>
    <w:rsid w:val="00085675"/>
    <w:rsid w:val="00085B99"/>
    <w:rsid w:val="00087559"/>
    <w:rsid w:val="00090CB7"/>
    <w:rsid w:val="00090F88"/>
    <w:rsid w:val="00094376"/>
    <w:rsid w:val="00094D42"/>
    <w:rsid w:val="000A1240"/>
    <w:rsid w:val="000A536E"/>
    <w:rsid w:val="000A6326"/>
    <w:rsid w:val="000A7CD0"/>
    <w:rsid w:val="000B05F5"/>
    <w:rsid w:val="000B0BD0"/>
    <w:rsid w:val="000B131A"/>
    <w:rsid w:val="000B1CCA"/>
    <w:rsid w:val="000B3235"/>
    <w:rsid w:val="000B36C3"/>
    <w:rsid w:val="000B3789"/>
    <w:rsid w:val="000B435F"/>
    <w:rsid w:val="000B6ACA"/>
    <w:rsid w:val="000B7411"/>
    <w:rsid w:val="000B7EA3"/>
    <w:rsid w:val="000C1B75"/>
    <w:rsid w:val="000C2431"/>
    <w:rsid w:val="000C6D52"/>
    <w:rsid w:val="000C7B1F"/>
    <w:rsid w:val="000D1279"/>
    <w:rsid w:val="000D168A"/>
    <w:rsid w:val="000D3C3A"/>
    <w:rsid w:val="000D4A60"/>
    <w:rsid w:val="000D56B8"/>
    <w:rsid w:val="000D58AB"/>
    <w:rsid w:val="000D6B70"/>
    <w:rsid w:val="000D7085"/>
    <w:rsid w:val="000D7097"/>
    <w:rsid w:val="000E1054"/>
    <w:rsid w:val="000E1AB8"/>
    <w:rsid w:val="000E3A9D"/>
    <w:rsid w:val="000E48DC"/>
    <w:rsid w:val="000E5A46"/>
    <w:rsid w:val="000E6A47"/>
    <w:rsid w:val="000E72E1"/>
    <w:rsid w:val="000F07D9"/>
    <w:rsid w:val="000F3B79"/>
    <w:rsid w:val="000F4BA5"/>
    <w:rsid w:val="00101269"/>
    <w:rsid w:val="001028C1"/>
    <w:rsid w:val="00102A26"/>
    <w:rsid w:val="00104D6D"/>
    <w:rsid w:val="00106548"/>
    <w:rsid w:val="00106E98"/>
    <w:rsid w:val="00110F8F"/>
    <w:rsid w:val="00111D31"/>
    <w:rsid w:val="00114627"/>
    <w:rsid w:val="00114B3A"/>
    <w:rsid w:val="0011556A"/>
    <w:rsid w:val="00120905"/>
    <w:rsid w:val="00126C3E"/>
    <w:rsid w:val="001341A3"/>
    <w:rsid w:val="00136B05"/>
    <w:rsid w:val="00142248"/>
    <w:rsid w:val="00146EA5"/>
    <w:rsid w:val="00151E4F"/>
    <w:rsid w:val="00154B77"/>
    <w:rsid w:val="0015541A"/>
    <w:rsid w:val="0015724D"/>
    <w:rsid w:val="00157C94"/>
    <w:rsid w:val="001609E4"/>
    <w:rsid w:val="00162254"/>
    <w:rsid w:val="0016556E"/>
    <w:rsid w:val="00167246"/>
    <w:rsid w:val="00173585"/>
    <w:rsid w:val="0017556F"/>
    <w:rsid w:val="00180F30"/>
    <w:rsid w:val="001824BB"/>
    <w:rsid w:val="0018253C"/>
    <w:rsid w:val="0018268F"/>
    <w:rsid w:val="0018288F"/>
    <w:rsid w:val="00182DA4"/>
    <w:rsid w:val="001858EE"/>
    <w:rsid w:val="00187A9F"/>
    <w:rsid w:val="00190D1C"/>
    <w:rsid w:val="00191838"/>
    <w:rsid w:val="00191ECE"/>
    <w:rsid w:val="00192C15"/>
    <w:rsid w:val="00195A81"/>
    <w:rsid w:val="00197B7D"/>
    <w:rsid w:val="001A68B9"/>
    <w:rsid w:val="001A68F1"/>
    <w:rsid w:val="001A7621"/>
    <w:rsid w:val="001A7FAA"/>
    <w:rsid w:val="001B10FB"/>
    <w:rsid w:val="001B1211"/>
    <w:rsid w:val="001B352B"/>
    <w:rsid w:val="001B56C6"/>
    <w:rsid w:val="001B643F"/>
    <w:rsid w:val="001C0183"/>
    <w:rsid w:val="001C0924"/>
    <w:rsid w:val="001C6D2F"/>
    <w:rsid w:val="001D150F"/>
    <w:rsid w:val="001D2833"/>
    <w:rsid w:val="001D287E"/>
    <w:rsid w:val="001D5727"/>
    <w:rsid w:val="001D585C"/>
    <w:rsid w:val="001E168D"/>
    <w:rsid w:val="001E350D"/>
    <w:rsid w:val="001E534B"/>
    <w:rsid w:val="001E6D1A"/>
    <w:rsid w:val="001F213E"/>
    <w:rsid w:val="001F2ACA"/>
    <w:rsid w:val="001F496B"/>
    <w:rsid w:val="001F6593"/>
    <w:rsid w:val="001F6F02"/>
    <w:rsid w:val="001F74AA"/>
    <w:rsid w:val="00201C8C"/>
    <w:rsid w:val="00202419"/>
    <w:rsid w:val="00202B21"/>
    <w:rsid w:val="00207326"/>
    <w:rsid w:val="00207FD2"/>
    <w:rsid w:val="002100D4"/>
    <w:rsid w:val="00212666"/>
    <w:rsid w:val="0021449B"/>
    <w:rsid w:val="00217F5F"/>
    <w:rsid w:val="0022010D"/>
    <w:rsid w:val="0022575D"/>
    <w:rsid w:val="00227C87"/>
    <w:rsid w:val="00230D5E"/>
    <w:rsid w:val="0023153B"/>
    <w:rsid w:val="00232BAB"/>
    <w:rsid w:val="00234512"/>
    <w:rsid w:val="002368C8"/>
    <w:rsid w:val="00237A43"/>
    <w:rsid w:val="00240BA6"/>
    <w:rsid w:val="00241A80"/>
    <w:rsid w:val="002430E0"/>
    <w:rsid w:val="00244B97"/>
    <w:rsid w:val="002453E7"/>
    <w:rsid w:val="0024684B"/>
    <w:rsid w:val="002511BA"/>
    <w:rsid w:val="00252BBB"/>
    <w:rsid w:val="00252C58"/>
    <w:rsid w:val="00254CB7"/>
    <w:rsid w:val="00255DE6"/>
    <w:rsid w:val="00263132"/>
    <w:rsid w:val="00263AD7"/>
    <w:rsid w:val="00265272"/>
    <w:rsid w:val="00265646"/>
    <w:rsid w:val="00265E06"/>
    <w:rsid w:val="00266039"/>
    <w:rsid w:val="0026659F"/>
    <w:rsid w:val="00272B08"/>
    <w:rsid w:val="00273FD6"/>
    <w:rsid w:val="0027416F"/>
    <w:rsid w:val="0027488C"/>
    <w:rsid w:val="00276C6C"/>
    <w:rsid w:val="00281718"/>
    <w:rsid w:val="0028262B"/>
    <w:rsid w:val="00284F0F"/>
    <w:rsid w:val="00285D1F"/>
    <w:rsid w:val="002878DA"/>
    <w:rsid w:val="00292580"/>
    <w:rsid w:val="00294224"/>
    <w:rsid w:val="0029507C"/>
    <w:rsid w:val="002978AF"/>
    <w:rsid w:val="00297B92"/>
    <w:rsid w:val="002A3350"/>
    <w:rsid w:val="002A3492"/>
    <w:rsid w:val="002A7E44"/>
    <w:rsid w:val="002B3A9D"/>
    <w:rsid w:val="002B4AB4"/>
    <w:rsid w:val="002B59D0"/>
    <w:rsid w:val="002B6C09"/>
    <w:rsid w:val="002C5BCA"/>
    <w:rsid w:val="002C5D7D"/>
    <w:rsid w:val="002C604A"/>
    <w:rsid w:val="002D1CEF"/>
    <w:rsid w:val="002D3052"/>
    <w:rsid w:val="002D3CF2"/>
    <w:rsid w:val="002D5114"/>
    <w:rsid w:val="002D6827"/>
    <w:rsid w:val="002E2062"/>
    <w:rsid w:val="002E6EEA"/>
    <w:rsid w:val="002E72CD"/>
    <w:rsid w:val="002E7CDC"/>
    <w:rsid w:val="002F0809"/>
    <w:rsid w:val="002F2EF8"/>
    <w:rsid w:val="002F5D8F"/>
    <w:rsid w:val="002F6262"/>
    <w:rsid w:val="002F6C16"/>
    <w:rsid w:val="0030122D"/>
    <w:rsid w:val="00314905"/>
    <w:rsid w:val="00323278"/>
    <w:rsid w:val="003309C0"/>
    <w:rsid w:val="00332037"/>
    <w:rsid w:val="00336496"/>
    <w:rsid w:val="00336856"/>
    <w:rsid w:val="003377E4"/>
    <w:rsid w:val="00337C50"/>
    <w:rsid w:val="00340D83"/>
    <w:rsid w:val="00341838"/>
    <w:rsid w:val="0034371F"/>
    <w:rsid w:val="0034594A"/>
    <w:rsid w:val="003539CC"/>
    <w:rsid w:val="003539E5"/>
    <w:rsid w:val="00354ED0"/>
    <w:rsid w:val="003562AD"/>
    <w:rsid w:val="00363B3C"/>
    <w:rsid w:val="00364947"/>
    <w:rsid w:val="00365FED"/>
    <w:rsid w:val="00366637"/>
    <w:rsid w:val="00366F62"/>
    <w:rsid w:val="00370EE5"/>
    <w:rsid w:val="0037224C"/>
    <w:rsid w:val="00372984"/>
    <w:rsid w:val="0037437B"/>
    <w:rsid w:val="00374FEA"/>
    <w:rsid w:val="003762F6"/>
    <w:rsid w:val="00376A3D"/>
    <w:rsid w:val="00377F6F"/>
    <w:rsid w:val="00382A0D"/>
    <w:rsid w:val="003841C7"/>
    <w:rsid w:val="00384304"/>
    <w:rsid w:val="003843AC"/>
    <w:rsid w:val="003923ED"/>
    <w:rsid w:val="003934E6"/>
    <w:rsid w:val="0039458A"/>
    <w:rsid w:val="00396870"/>
    <w:rsid w:val="003A1CAA"/>
    <w:rsid w:val="003A227D"/>
    <w:rsid w:val="003A42A1"/>
    <w:rsid w:val="003A6449"/>
    <w:rsid w:val="003A64A6"/>
    <w:rsid w:val="003A7620"/>
    <w:rsid w:val="003B082D"/>
    <w:rsid w:val="003B2470"/>
    <w:rsid w:val="003B3BAB"/>
    <w:rsid w:val="003B5DA2"/>
    <w:rsid w:val="003B5F80"/>
    <w:rsid w:val="003B7EDA"/>
    <w:rsid w:val="003C0FE3"/>
    <w:rsid w:val="003C15A2"/>
    <w:rsid w:val="003C190C"/>
    <w:rsid w:val="003C1E19"/>
    <w:rsid w:val="003C3A7D"/>
    <w:rsid w:val="003C3DCF"/>
    <w:rsid w:val="003C44AA"/>
    <w:rsid w:val="003C7AF7"/>
    <w:rsid w:val="003D5EE0"/>
    <w:rsid w:val="003E3469"/>
    <w:rsid w:val="003E64DB"/>
    <w:rsid w:val="003F6076"/>
    <w:rsid w:val="003F6332"/>
    <w:rsid w:val="003F7942"/>
    <w:rsid w:val="003F7F9D"/>
    <w:rsid w:val="0040767E"/>
    <w:rsid w:val="004113C2"/>
    <w:rsid w:val="00412D40"/>
    <w:rsid w:val="0042268F"/>
    <w:rsid w:val="00422813"/>
    <w:rsid w:val="00425DB7"/>
    <w:rsid w:val="0042611E"/>
    <w:rsid w:val="00426655"/>
    <w:rsid w:val="00430FAD"/>
    <w:rsid w:val="00431C15"/>
    <w:rsid w:val="004336E5"/>
    <w:rsid w:val="00446B90"/>
    <w:rsid w:val="00450255"/>
    <w:rsid w:val="004535B4"/>
    <w:rsid w:val="0045497D"/>
    <w:rsid w:val="00455D90"/>
    <w:rsid w:val="0046321A"/>
    <w:rsid w:val="00464848"/>
    <w:rsid w:val="0046513D"/>
    <w:rsid w:val="00467080"/>
    <w:rsid w:val="0047050F"/>
    <w:rsid w:val="004725F5"/>
    <w:rsid w:val="00473854"/>
    <w:rsid w:val="00474659"/>
    <w:rsid w:val="00474FB3"/>
    <w:rsid w:val="00475658"/>
    <w:rsid w:val="0047706F"/>
    <w:rsid w:val="00477C57"/>
    <w:rsid w:val="00480EA2"/>
    <w:rsid w:val="004814BB"/>
    <w:rsid w:val="00482780"/>
    <w:rsid w:val="00486B1F"/>
    <w:rsid w:val="00486C91"/>
    <w:rsid w:val="0049002A"/>
    <w:rsid w:val="0049324F"/>
    <w:rsid w:val="0049356F"/>
    <w:rsid w:val="00494D7C"/>
    <w:rsid w:val="0049527F"/>
    <w:rsid w:val="00496304"/>
    <w:rsid w:val="0049773B"/>
    <w:rsid w:val="00497BCF"/>
    <w:rsid w:val="004A2D0A"/>
    <w:rsid w:val="004A50DE"/>
    <w:rsid w:val="004A6CB4"/>
    <w:rsid w:val="004B1F23"/>
    <w:rsid w:val="004B6F34"/>
    <w:rsid w:val="004C0D4B"/>
    <w:rsid w:val="004C1862"/>
    <w:rsid w:val="004C6AF7"/>
    <w:rsid w:val="004C7AFB"/>
    <w:rsid w:val="004D200C"/>
    <w:rsid w:val="004D3611"/>
    <w:rsid w:val="004D3F45"/>
    <w:rsid w:val="004D4A90"/>
    <w:rsid w:val="004D531A"/>
    <w:rsid w:val="004D5DA4"/>
    <w:rsid w:val="004D719F"/>
    <w:rsid w:val="004D72F3"/>
    <w:rsid w:val="004E2402"/>
    <w:rsid w:val="004E29F2"/>
    <w:rsid w:val="004E5A0B"/>
    <w:rsid w:val="004E6645"/>
    <w:rsid w:val="004E6B42"/>
    <w:rsid w:val="004E75CF"/>
    <w:rsid w:val="004E7F05"/>
    <w:rsid w:val="004F0D90"/>
    <w:rsid w:val="004F331E"/>
    <w:rsid w:val="004F34EC"/>
    <w:rsid w:val="004F6067"/>
    <w:rsid w:val="004F741F"/>
    <w:rsid w:val="0050098F"/>
    <w:rsid w:val="00501448"/>
    <w:rsid w:val="005018D0"/>
    <w:rsid w:val="00504C3E"/>
    <w:rsid w:val="00507630"/>
    <w:rsid w:val="00513BDF"/>
    <w:rsid w:val="00520EE1"/>
    <w:rsid w:val="00524320"/>
    <w:rsid w:val="00524412"/>
    <w:rsid w:val="00527604"/>
    <w:rsid w:val="00530039"/>
    <w:rsid w:val="0053171E"/>
    <w:rsid w:val="00533969"/>
    <w:rsid w:val="005439EC"/>
    <w:rsid w:val="00543C0A"/>
    <w:rsid w:val="00543E0D"/>
    <w:rsid w:val="00545307"/>
    <w:rsid w:val="00545738"/>
    <w:rsid w:val="005465A3"/>
    <w:rsid w:val="00547DA5"/>
    <w:rsid w:val="00553979"/>
    <w:rsid w:val="005564FA"/>
    <w:rsid w:val="00556C6C"/>
    <w:rsid w:val="00556FE0"/>
    <w:rsid w:val="005572AC"/>
    <w:rsid w:val="00557DDC"/>
    <w:rsid w:val="005628DE"/>
    <w:rsid w:val="005645E1"/>
    <w:rsid w:val="005655A8"/>
    <w:rsid w:val="00567DAB"/>
    <w:rsid w:val="00571E04"/>
    <w:rsid w:val="00572D60"/>
    <w:rsid w:val="00586621"/>
    <w:rsid w:val="00587ED7"/>
    <w:rsid w:val="00590E4B"/>
    <w:rsid w:val="005914CC"/>
    <w:rsid w:val="00592962"/>
    <w:rsid w:val="00593358"/>
    <w:rsid w:val="00594CF0"/>
    <w:rsid w:val="0059504B"/>
    <w:rsid w:val="005961F1"/>
    <w:rsid w:val="00596998"/>
    <w:rsid w:val="005A0D32"/>
    <w:rsid w:val="005A0E07"/>
    <w:rsid w:val="005A186D"/>
    <w:rsid w:val="005A3379"/>
    <w:rsid w:val="005A4BE5"/>
    <w:rsid w:val="005A7C9D"/>
    <w:rsid w:val="005B024B"/>
    <w:rsid w:val="005B03CF"/>
    <w:rsid w:val="005B23BE"/>
    <w:rsid w:val="005B36BD"/>
    <w:rsid w:val="005B3B60"/>
    <w:rsid w:val="005B4DAD"/>
    <w:rsid w:val="005B6CC6"/>
    <w:rsid w:val="005C011E"/>
    <w:rsid w:val="005C22E5"/>
    <w:rsid w:val="005D5225"/>
    <w:rsid w:val="005D7008"/>
    <w:rsid w:val="005E03DB"/>
    <w:rsid w:val="005E35C7"/>
    <w:rsid w:val="005E4128"/>
    <w:rsid w:val="005E45E7"/>
    <w:rsid w:val="005E7321"/>
    <w:rsid w:val="005F09DE"/>
    <w:rsid w:val="005F118A"/>
    <w:rsid w:val="005F56CE"/>
    <w:rsid w:val="005F578F"/>
    <w:rsid w:val="006005AE"/>
    <w:rsid w:val="0060089D"/>
    <w:rsid w:val="006014CA"/>
    <w:rsid w:val="0060289A"/>
    <w:rsid w:val="00610786"/>
    <w:rsid w:val="006109C3"/>
    <w:rsid w:val="00610B4C"/>
    <w:rsid w:val="00612572"/>
    <w:rsid w:val="00614BF2"/>
    <w:rsid w:val="00617107"/>
    <w:rsid w:val="00624189"/>
    <w:rsid w:val="00625450"/>
    <w:rsid w:val="00627118"/>
    <w:rsid w:val="0063123C"/>
    <w:rsid w:val="00631B53"/>
    <w:rsid w:val="0063350B"/>
    <w:rsid w:val="00634714"/>
    <w:rsid w:val="0063591C"/>
    <w:rsid w:val="00640DC6"/>
    <w:rsid w:val="00640F70"/>
    <w:rsid w:val="006446C1"/>
    <w:rsid w:val="006454D8"/>
    <w:rsid w:val="00645AE6"/>
    <w:rsid w:val="006512E7"/>
    <w:rsid w:val="006554B1"/>
    <w:rsid w:val="00656094"/>
    <w:rsid w:val="00657479"/>
    <w:rsid w:val="006603F4"/>
    <w:rsid w:val="00660849"/>
    <w:rsid w:val="00660F07"/>
    <w:rsid w:val="006614C7"/>
    <w:rsid w:val="006626FF"/>
    <w:rsid w:val="00663937"/>
    <w:rsid w:val="006650F1"/>
    <w:rsid w:val="00665F72"/>
    <w:rsid w:val="006723B9"/>
    <w:rsid w:val="00673522"/>
    <w:rsid w:val="00682A04"/>
    <w:rsid w:val="006841F9"/>
    <w:rsid w:val="00685841"/>
    <w:rsid w:val="00687BB6"/>
    <w:rsid w:val="006906E4"/>
    <w:rsid w:val="0069178F"/>
    <w:rsid w:val="00695E52"/>
    <w:rsid w:val="006975AC"/>
    <w:rsid w:val="006A43D6"/>
    <w:rsid w:val="006A4A98"/>
    <w:rsid w:val="006A5464"/>
    <w:rsid w:val="006A59AA"/>
    <w:rsid w:val="006B096C"/>
    <w:rsid w:val="006B1E7C"/>
    <w:rsid w:val="006B2B06"/>
    <w:rsid w:val="006B4549"/>
    <w:rsid w:val="006B539F"/>
    <w:rsid w:val="006B6B01"/>
    <w:rsid w:val="006B7AA2"/>
    <w:rsid w:val="006C2091"/>
    <w:rsid w:val="006C2115"/>
    <w:rsid w:val="006C264B"/>
    <w:rsid w:val="006C4A46"/>
    <w:rsid w:val="006C516B"/>
    <w:rsid w:val="006D08C4"/>
    <w:rsid w:val="006D15C3"/>
    <w:rsid w:val="006D4402"/>
    <w:rsid w:val="006D5720"/>
    <w:rsid w:val="006D7C1A"/>
    <w:rsid w:val="006E1243"/>
    <w:rsid w:val="006E2E2F"/>
    <w:rsid w:val="006E372B"/>
    <w:rsid w:val="006E3C55"/>
    <w:rsid w:val="006E556D"/>
    <w:rsid w:val="006E70D1"/>
    <w:rsid w:val="006E7D7E"/>
    <w:rsid w:val="006F01CC"/>
    <w:rsid w:val="006F29EE"/>
    <w:rsid w:val="006F4569"/>
    <w:rsid w:val="006F543F"/>
    <w:rsid w:val="006F5F45"/>
    <w:rsid w:val="00700169"/>
    <w:rsid w:val="0070217E"/>
    <w:rsid w:val="00704426"/>
    <w:rsid w:val="00705C6E"/>
    <w:rsid w:val="00707F83"/>
    <w:rsid w:val="00713F11"/>
    <w:rsid w:val="007156F8"/>
    <w:rsid w:val="00726A13"/>
    <w:rsid w:val="0072729B"/>
    <w:rsid w:val="00730CA2"/>
    <w:rsid w:val="007408DE"/>
    <w:rsid w:val="00743944"/>
    <w:rsid w:val="00745907"/>
    <w:rsid w:val="0074719B"/>
    <w:rsid w:val="00751DF0"/>
    <w:rsid w:val="00752FC1"/>
    <w:rsid w:val="007538B3"/>
    <w:rsid w:val="00761587"/>
    <w:rsid w:val="007645EA"/>
    <w:rsid w:val="007665A7"/>
    <w:rsid w:val="007669D5"/>
    <w:rsid w:val="00766B24"/>
    <w:rsid w:val="00767D51"/>
    <w:rsid w:val="007711AE"/>
    <w:rsid w:val="00771B16"/>
    <w:rsid w:val="00771B75"/>
    <w:rsid w:val="00772F60"/>
    <w:rsid w:val="00773798"/>
    <w:rsid w:val="00774511"/>
    <w:rsid w:val="007777AC"/>
    <w:rsid w:val="00777B24"/>
    <w:rsid w:val="00781042"/>
    <w:rsid w:val="00781137"/>
    <w:rsid w:val="00782726"/>
    <w:rsid w:val="00782A2D"/>
    <w:rsid w:val="00784C7F"/>
    <w:rsid w:val="00785A01"/>
    <w:rsid w:val="00792143"/>
    <w:rsid w:val="0079226E"/>
    <w:rsid w:val="0079323E"/>
    <w:rsid w:val="00793FFB"/>
    <w:rsid w:val="007958BD"/>
    <w:rsid w:val="00795908"/>
    <w:rsid w:val="00797F74"/>
    <w:rsid w:val="007A0CFE"/>
    <w:rsid w:val="007A3A67"/>
    <w:rsid w:val="007A5D36"/>
    <w:rsid w:val="007A5E4B"/>
    <w:rsid w:val="007A644E"/>
    <w:rsid w:val="007A661C"/>
    <w:rsid w:val="007A7BE7"/>
    <w:rsid w:val="007B04B3"/>
    <w:rsid w:val="007B0565"/>
    <w:rsid w:val="007B13DD"/>
    <w:rsid w:val="007B1BA8"/>
    <w:rsid w:val="007B1E7B"/>
    <w:rsid w:val="007B235E"/>
    <w:rsid w:val="007B2B4D"/>
    <w:rsid w:val="007B310A"/>
    <w:rsid w:val="007B4261"/>
    <w:rsid w:val="007B476D"/>
    <w:rsid w:val="007B47F0"/>
    <w:rsid w:val="007B4B6C"/>
    <w:rsid w:val="007B7136"/>
    <w:rsid w:val="007C0CCF"/>
    <w:rsid w:val="007C1F4A"/>
    <w:rsid w:val="007C3502"/>
    <w:rsid w:val="007C3A75"/>
    <w:rsid w:val="007C47DE"/>
    <w:rsid w:val="007C4D9E"/>
    <w:rsid w:val="007C581C"/>
    <w:rsid w:val="007C6978"/>
    <w:rsid w:val="007C7825"/>
    <w:rsid w:val="007D1D12"/>
    <w:rsid w:val="007D3ACC"/>
    <w:rsid w:val="007D41F7"/>
    <w:rsid w:val="007E0B40"/>
    <w:rsid w:val="007E13E9"/>
    <w:rsid w:val="007E2194"/>
    <w:rsid w:val="007E2E3D"/>
    <w:rsid w:val="007E3ABE"/>
    <w:rsid w:val="007E49DF"/>
    <w:rsid w:val="007E644E"/>
    <w:rsid w:val="007E6D3E"/>
    <w:rsid w:val="007E6DD0"/>
    <w:rsid w:val="007E791D"/>
    <w:rsid w:val="007F00B9"/>
    <w:rsid w:val="007F3D28"/>
    <w:rsid w:val="007F40AB"/>
    <w:rsid w:val="007F49CA"/>
    <w:rsid w:val="00801243"/>
    <w:rsid w:val="008073E6"/>
    <w:rsid w:val="00807AC5"/>
    <w:rsid w:val="00810EAC"/>
    <w:rsid w:val="00813E5D"/>
    <w:rsid w:val="008140F0"/>
    <w:rsid w:val="00814B66"/>
    <w:rsid w:val="00815554"/>
    <w:rsid w:val="00815D78"/>
    <w:rsid w:val="008168C5"/>
    <w:rsid w:val="008171B8"/>
    <w:rsid w:val="00821728"/>
    <w:rsid w:val="00825BD8"/>
    <w:rsid w:val="00826BDB"/>
    <w:rsid w:val="008277BD"/>
    <w:rsid w:val="00832784"/>
    <w:rsid w:val="00832946"/>
    <w:rsid w:val="00834720"/>
    <w:rsid w:val="00837866"/>
    <w:rsid w:val="00837DEF"/>
    <w:rsid w:val="00840B8F"/>
    <w:rsid w:val="008421B9"/>
    <w:rsid w:val="008459A9"/>
    <w:rsid w:val="00847829"/>
    <w:rsid w:val="00852D7C"/>
    <w:rsid w:val="0085695A"/>
    <w:rsid w:val="008574A2"/>
    <w:rsid w:val="00857C9C"/>
    <w:rsid w:val="00861EBC"/>
    <w:rsid w:val="00862081"/>
    <w:rsid w:val="00863CEB"/>
    <w:rsid w:val="00871180"/>
    <w:rsid w:val="00873627"/>
    <w:rsid w:val="008736F2"/>
    <w:rsid w:val="00874D12"/>
    <w:rsid w:val="00875C9D"/>
    <w:rsid w:val="00881490"/>
    <w:rsid w:val="00881766"/>
    <w:rsid w:val="0088483B"/>
    <w:rsid w:val="008852E6"/>
    <w:rsid w:val="00886EC4"/>
    <w:rsid w:val="00892A8B"/>
    <w:rsid w:val="00894DC0"/>
    <w:rsid w:val="00895180"/>
    <w:rsid w:val="00896C89"/>
    <w:rsid w:val="008A2B8F"/>
    <w:rsid w:val="008A5448"/>
    <w:rsid w:val="008A77DA"/>
    <w:rsid w:val="008B4E9A"/>
    <w:rsid w:val="008B7F77"/>
    <w:rsid w:val="008C0711"/>
    <w:rsid w:val="008C1270"/>
    <w:rsid w:val="008C2AA4"/>
    <w:rsid w:val="008C2FCC"/>
    <w:rsid w:val="008C32FE"/>
    <w:rsid w:val="008C36BB"/>
    <w:rsid w:val="008C69B1"/>
    <w:rsid w:val="008C6EFA"/>
    <w:rsid w:val="008D2314"/>
    <w:rsid w:val="008E126C"/>
    <w:rsid w:val="008E3B2C"/>
    <w:rsid w:val="008E4CED"/>
    <w:rsid w:val="008F1D25"/>
    <w:rsid w:val="008F440B"/>
    <w:rsid w:val="008F45C5"/>
    <w:rsid w:val="009006A9"/>
    <w:rsid w:val="0090168A"/>
    <w:rsid w:val="00901E39"/>
    <w:rsid w:val="009020B5"/>
    <w:rsid w:val="00905285"/>
    <w:rsid w:val="00905C29"/>
    <w:rsid w:val="00906576"/>
    <w:rsid w:val="00910453"/>
    <w:rsid w:val="0091117C"/>
    <w:rsid w:val="00911361"/>
    <w:rsid w:val="00912678"/>
    <w:rsid w:val="009155EC"/>
    <w:rsid w:val="0091573C"/>
    <w:rsid w:val="00917FED"/>
    <w:rsid w:val="0092027A"/>
    <w:rsid w:val="0092074B"/>
    <w:rsid w:val="00920E2B"/>
    <w:rsid w:val="00921852"/>
    <w:rsid w:val="00931DF0"/>
    <w:rsid w:val="00931E4E"/>
    <w:rsid w:val="00932253"/>
    <w:rsid w:val="0093374D"/>
    <w:rsid w:val="0093538C"/>
    <w:rsid w:val="0094119A"/>
    <w:rsid w:val="00944339"/>
    <w:rsid w:val="00944F32"/>
    <w:rsid w:val="0095049B"/>
    <w:rsid w:val="00956A2A"/>
    <w:rsid w:val="00960818"/>
    <w:rsid w:val="00960D42"/>
    <w:rsid w:val="009613F4"/>
    <w:rsid w:val="009629DC"/>
    <w:rsid w:val="0096340E"/>
    <w:rsid w:val="0096434D"/>
    <w:rsid w:val="00966BAA"/>
    <w:rsid w:val="0096785F"/>
    <w:rsid w:val="009700D9"/>
    <w:rsid w:val="009729B0"/>
    <w:rsid w:val="009744CC"/>
    <w:rsid w:val="0097555C"/>
    <w:rsid w:val="00976323"/>
    <w:rsid w:val="0097658C"/>
    <w:rsid w:val="009816E3"/>
    <w:rsid w:val="00987486"/>
    <w:rsid w:val="00987C6B"/>
    <w:rsid w:val="00987CC3"/>
    <w:rsid w:val="009902C8"/>
    <w:rsid w:val="00991386"/>
    <w:rsid w:val="00993BC4"/>
    <w:rsid w:val="009A45B2"/>
    <w:rsid w:val="009A6342"/>
    <w:rsid w:val="009A76E3"/>
    <w:rsid w:val="009B02F9"/>
    <w:rsid w:val="009B3FD6"/>
    <w:rsid w:val="009B5465"/>
    <w:rsid w:val="009B564F"/>
    <w:rsid w:val="009B64C7"/>
    <w:rsid w:val="009C0C6E"/>
    <w:rsid w:val="009C10BA"/>
    <w:rsid w:val="009C3440"/>
    <w:rsid w:val="009C3C1B"/>
    <w:rsid w:val="009C61E4"/>
    <w:rsid w:val="009D1183"/>
    <w:rsid w:val="009D1847"/>
    <w:rsid w:val="009D1E71"/>
    <w:rsid w:val="009D3EBD"/>
    <w:rsid w:val="009D6572"/>
    <w:rsid w:val="009D6B03"/>
    <w:rsid w:val="009E1FC2"/>
    <w:rsid w:val="009E36E4"/>
    <w:rsid w:val="009E43FD"/>
    <w:rsid w:val="009E4868"/>
    <w:rsid w:val="009E4A49"/>
    <w:rsid w:val="009E5C57"/>
    <w:rsid w:val="009E654D"/>
    <w:rsid w:val="009E7B07"/>
    <w:rsid w:val="009E7BC7"/>
    <w:rsid w:val="009F26C0"/>
    <w:rsid w:val="009F41D3"/>
    <w:rsid w:val="009F4806"/>
    <w:rsid w:val="009F7DD8"/>
    <w:rsid w:val="00A003FF"/>
    <w:rsid w:val="00A01E4F"/>
    <w:rsid w:val="00A03C1A"/>
    <w:rsid w:val="00A103EE"/>
    <w:rsid w:val="00A12E5B"/>
    <w:rsid w:val="00A143DB"/>
    <w:rsid w:val="00A176ED"/>
    <w:rsid w:val="00A20C0A"/>
    <w:rsid w:val="00A21865"/>
    <w:rsid w:val="00A22A4F"/>
    <w:rsid w:val="00A25CFB"/>
    <w:rsid w:val="00A40A0D"/>
    <w:rsid w:val="00A45380"/>
    <w:rsid w:val="00A53785"/>
    <w:rsid w:val="00A55EC4"/>
    <w:rsid w:val="00A576AF"/>
    <w:rsid w:val="00A60E5B"/>
    <w:rsid w:val="00A622FD"/>
    <w:rsid w:val="00A73F3A"/>
    <w:rsid w:val="00A74A1A"/>
    <w:rsid w:val="00A7512C"/>
    <w:rsid w:val="00A75EF9"/>
    <w:rsid w:val="00A76373"/>
    <w:rsid w:val="00A8117E"/>
    <w:rsid w:val="00A8374C"/>
    <w:rsid w:val="00A839C0"/>
    <w:rsid w:val="00A86B01"/>
    <w:rsid w:val="00A87B8B"/>
    <w:rsid w:val="00A92B54"/>
    <w:rsid w:val="00A931C7"/>
    <w:rsid w:val="00A96395"/>
    <w:rsid w:val="00A97AB9"/>
    <w:rsid w:val="00AA1432"/>
    <w:rsid w:val="00AA6773"/>
    <w:rsid w:val="00AA763F"/>
    <w:rsid w:val="00AB1232"/>
    <w:rsid w:val="00AB248D"/>
    <w:rsid w:val="00AB784D"/>
    <w:rsid w:val="00AC055B"/>
    <w:rsid w:val="00AC0865"/>
    <w:rsid w:val="00AC2A7D"/>
    <w:rsid w:val="00AC3582"/>
    <w:rsid w:val="00AC4185"/>
    <w:rsid w:val="00AC6CCC"/>
    <w:rsid w:val="00AC7A53"/>
    <w:rsid w:val="00AC7D1B"/>
    <w:rsid w:val="00AD0468"/>
    <w:rsid w:val="00AD04E1"/>
    <w:rsid w:val="00AD273A"/>
    <w:rsid w:val="00AD7E21"/>
    <w:rsid w:val="00AE0E20"/>
    <w:rsid w:val="00AE10A7"/>
    <w:rsid w:val="00AE653D"/>
    <w:rsid w:val="00AE6A3D"/>
    <w:rsid w:val="00AE7FEC"/>
    <w:rsid w:val="00AF0645"/>
    <w:rsid w:val="00AF0DF6"/>
    <w:rsid w:val="00AF2B21"/>
    <w:rsid w:val="00AF4802"/>
    <w:rsid w:val="00AF4FAE"/>
    <w:rsid w:val="00AF6B00"/>
    <w:rsid w:val="00B00D0D"/>
    <w:rsid w:val="00B0470C"/>
    <w:rsid w:val="00B07593"/>
    <w:rsid w:val="00B104F5"/>
    <w:rsid w:val="00B120B0"/>
    <w:rsid w:val="00B13BCE"/>
    <w:rsid w:val="00B141D1"/>
    <w:rsid w:val="00B1512F"/>
    <w:rsid w:val="00B15264"/>
    <w:rsid w:val="00B1716B"/>
    <w:rsid w:val="00B23F6A"/>
    <w:rsid w:val="00B24176"/>
    <w:rsid w:val="00B2477D"/>
    <w:rsid w:val="00B27200"/>
    <w:rsid w:val="00B2749C"/>
    <w:rsid w:val="00B3029E"/>
    <w:rsid w:val="00B30D4C"/>
    <w:rsid w:val="00B318CB"/>
    <w:rsid w:val="00B326AD"/>
    <w:rsid w:val="00B355CD"/>
    <w:rsid w:val="00B420B9"/>
    <w:rsid w:val="00B428DB"/>
    <w:rsid w:val="00B56D86"/>
    <w:rsid w:val="00B60205"/>
    <w:rsid w:val="00B60B01"/>
    <w:rsid w:val="00B61EB2"/>
    <w:rsid w:val="00B62F10"/>
    <w:rsid w:val="00B63529"/>
    <w:rsid w:val="00B6495A"/>
    <w:rsid w:val="00B668AF"/>
    <w:rsid w:val="00B6752D"/>
    <w:rsid w:val="00B676D4"/>
    <w:rsid w:val="00B70B23"/>
    <w:rsid w:val="00B81E69"/>
    <w:rsid w:val="00B81FAC"/>
    <w:rsid w:val="00B82510"/>
    <w:rsid w:val="00B828B1"/>
    <w:rsid w:val="00B83B3B"/>
    <w:rsid w:val="00B83DBF"/>
    <w:rsid w:val="00B84588"/>
    <w:rsid w:val="00B92D93"/>
    <w:rsid w:val="00B94F52"/>
    <w:rsid w:val="00B95ACE"/>
    <w:rsid w:val="00B96CA1"/>
    <w:rsid w:val="00BA1B69"/>
    <w:rsid w:val="00BA2481"/>
    <w:rsid w:val="00BA25BA"/>
    <w:rsid w:val="00BA2B17"/>
    <w:rsid w:val="00BA4B76"/>
    <w:rsid w:val="00BA599A"/>
    <w:rsid w:val="00BA682C"/>
    <w:rsid w:val="00BA74E2"/>
    <w:rsid w:val="00BB0230"/>
    <w:rsid w:val="00BB4A91"/>
    <w:rsid w:val="00BC1912"/>
    <w:rsid w:val="00BC2DBE"/>
    <w:rsid w:val="00BD037B"/>
    <w:rsid w:val="00BD1830"/>
    <w:rsid w:val="00BD2322"/>
    <w:rsid w:val="00BD2CFC"/>
    <w:rsid w:val="00BD4484"/>
    <w:rsid w:val="00BD681D"/>
    <w:rsid w:val="00BE07DE"/>
    <w:rsid w:val="00BE270F"/>
    <w:rsid w:val="00BE306A"/>
    <w:rsid w:val="00BE6870"/>
    <w:rsid w:val="00BF5478"/>
    <w:rsid w:val="00BF6CD9"/>
    <w:rsid w:val="00BF722C"/>
    <w:rsid w:val="00C02F79"/>
    <w:rsid w:val="00C03EDC"/>
    <w:rsid w:val="00C07BC8"/>
    <w:rsid w:val="00C1507C"/>
    <w:rsid w:val="00C16921"/>
    <w:rsid w:val="00C172D7"/>
    <w:rsid w:val="00C172FB"/>
    <w:rsid w:val="00C1780F"/>
    <w:rsid w:val="00C212B1"/>
    <w:rsid w:val="00C222E9"/>
    <w:rsid w:val="00C224D4"/>
    <w:rsid w:val="00C265BC"/>
    <w:rsid w:val="00C26877"/>
    <w:rsid w:val="00C30357"/>
    <w:rsid w:val="00C320C9"/>
    <w:rsid w:val="00C3306C"/>
    <w:rsid w:val="00C34062"/>
    <w:rsid w:val="00C34F39"/>
    <w:rsid w:val="00C34F3D"/>
    <w:rsid w:val="00C37E89"/>
    <w:rsid w:val="00C42D89"/>
    <w:rsid w:val="00C44888"/>
    <w:rsid w:val="00C45D4B"/>
    <w:rsid w:val="00C50F7D"/>
    <w:rsid w:val="00C51EDC"/>
    <w:rsid w:val="00C51F14"/>
    <w:rsid w:val="00C551D6"/>
    <w:rsid w:val="00C56903"/>
    <w:rsid w:val="00C603DC"/>
    <w:rsid w:val="00C625C4"/>
    <w:rsid w:val="00C63B06"/>
    <w:rsid w:val="00C64041"/>
    <w:rsid w:val="00C65530"/>
    <w:rsid w:val="00C66F87"/>
    <w:rsid w:val="00C67AA5"/>
    <w:rsid w:val="00C7000A"/>
    <w:rsid w:val="00C70415"/>
    <w:rsid w:val="00C70C95"/>
    <w:rsid w:val="00C71FD6"/>
    <w:rsid w:val="00C741C1"/>
    <w:rsid w:val="00C75531"/>
    <w:rsid w:val="00C75960"/>
    <w:rsid w:val="00C75AC8"/>
    <w:rsid w:val="00C75D44"/>
    <w:rsid w:val="00C76464"/>
    <w:rsid w:val="00C8072E"/>
    <w:rsid w:val="00C80D54"/>
    <w:rsid w:val="00C82072"/>
    <w:rsid w:val="00C821E5"/>
    <w:rsid w:val="00C83533"/>
    <w:rsid w:val="00C8452E"/>
    <w:rsid w:val="00C868DD"/>
    <w:rsid w:val="00C86B15"/>
    <w:rsid w:val="00C90278"/>
    <w:rsid w:val="00C9036C"/>
    <w:rsid w:val="00C951B3"/>
    <w:rsid w:val="00C96B49"/>
    <w:rsid w:val="00C974E0"/>
    <w:rsid w:val="00CA0FAF"/>
    <w:rsid w:val="00CA2F22"/>
    <w:rsid w:val="00CA4018"/>
    <w:rsid w:val="00CA54A5"/>
    <w:rsid w:val="00CA54AB"/>
    <w:rsid w:val="00CA614B"/>
    <w:rsid w:val="00CA7C34"/>
    <w:rsid w:val="00CB08AA"/>
    <w:rsid w:val="00CB0A80"/>
    <w:rsid w:val="00CB15DE"/>
    <w:rsid w:val="00CB236A"/>
    <w:rsid w:val="00CB2494"/>
    <w:rsid w:val="00CC1E55"/>
    <w:rsid w:val="00CC21C0"/>
    <w:rsid w:val="00CC553A"/>
    <w:rsid w:val="00CC5B26"/>
    <w:rsid w:val="00CD0912"/>
    <w:rsid w:val="00CD3FDF"/>
    <w:rsid w:val="00CD58AE"/>
    <w:rsid w:val="00CD6BE7"/>
    <w:rsid w:val="00CE2927"/>
    <w:rsid w:val="00CE41F2"/>
    <w:rsid w:val="00CF0782"/>
    <w:rsid w:val="00CF19DD"/>
    <w:rsid w:val="00CF398F"/>
    <w:rsid w:val="00CF3EC1"/>
    <w:rsid w:val="00CF6D1F"/>
    <w:rsid w:val="00CF6E6B"/>
    <w:rsid w:val="00D03603"/>
    <w:rsid w:val="00D07AA7"/>
    <w:rsid w:val="00D10B7F"/>
    <w:rsid w:val="00D13E6C"/>
    <w:rsid w:val="00D15796"/>
    <w:rsid w:val="00D16C83"/>
    <w:rsid w:val="00D23FD5"/>
    <w:rsid w:val="00D25690"/>
    <w:rsid w:val="00D338A6"/>
    <w:rsid w:val="00D3403B"/>
    <w:rsid w:val="00D37741"/>
    <w:rsid w:val="00D37AA4"/>
    <w:rsid w:val="00D412D2"/>
    <w:rsid w:val="00D41594"/>
    <w:rsid w:val="00D42187"/>
    <w:rsid w:val="00D530DE"/>
    <w:rsid w:val="00D541E3"/>
    <w:rsid w:val="00D54574"/>
    <w:rsid w:val="00D55530"/>
    <w:rsid w:val="00D56B88"/>
    <w:rsid w:val="00D60BC4"/>
    <w:rsid w:val="00D61215"/>
    <w:rsid w:val="00D61F22"/>
    <w:rsid w:val="00D626BD"/>
    <w:rsid w:val="00D67180"/>
    <w:rsid w:val="00D707EB"/>
    <w:rsid w:val="00D8158B"/>
    <w:rsid w:val="00D815DB"/>
    <w:rsid w:val="00D84A3D"/>
    <w:rsid w:val="00D85AA9"/>
    <w:rsid w:val="00D85E72"/>
    <w:rsid w:val="00D8663D"/>
    <w:rsid w:val="00D90C2A"/>
    <w:rsid w:val="00D90D82"/>
    <w:rsid w:val="00D91556"/>
    <w:rsid w:val="00D96375"/>
    <w:rsid w:val="00D96A79"/>
    <w:rsid w:val="00DA1144"/>
    <w:rsid w:val="00DA1A7B"/>
    <w:rsid w:val="00DA2008"/>
    <w:rsid w:val="00DA2613"/>
    <w:rsid w:val="00DA2854"/>
    <w:rsid w:val="00DA2EA4"/>
    <w:rsid w:val="00DA59E5"/>
    <w:rsid w:val="00DA64EB"/>
    <w:rsid w:val="00DB0017"/>
    <w:rsid w:val="00DB085D"/>
    <w:rsid w:val="00DB08B8"/>
    <w:rsid w:val="00DB0B8E"/>
    <w:rsid w:val="00DB122C"/>
    <w:rsid w:val="00DB18C8"/>
    <w:rsid w:val="00DB3868"/>
    <w:rsid w:val="00DB5176"/>
    <w:rsid w:val="00DB6F39"/>
    <w:rsid w:val="00DB73DC"/>
    <w:rsid w:val="00DC323D"/>
    <w:rsid w:val="00DD07A4"/>
    <w:rsid w:val="00DD7A13"/>
    <w:rsid w:val="00DE0F91"/>
    <w:rsid w:val="00DE17B1"/>
    <w:rsid w:val="00DE3CBE"/>
    <w:rsid w:val="00DF1E83"/>
    <w:rsid w:val="00DF329E"/>
    <w:rsid w:val="00DF6163"/>
    <w:rsid w:val="00DF66DF"/>
    <w:rsid w:val="00E02E4F"/>
    <w:rsid w:val="00E02FC5"/>
    <w:rsid w:val="00E0414D"/>
    <w:rsid w:val="00E04224"/>
    <w:rsid w:val="00E063E5"/>
    <w:rsid w:val="00E06912"/>
    <w:rsid w:val="00E10F28"/>
    <w:rsid w:val="00E11820"/>
    <w:rsid w:val="00E1211C"/>
    <w:rsid w:val="00E1419D"/>
    <w:rsid w:val="00E20345"/>
    <w:rsid w:val="00E21D3F"/>
    <w:rsid w:val="00E23ECE"/>
    <w:rsid w:val="00E24097"/>
    <w:rsid w:val="00E2445A"/>
    <w:rsid w:val="00E25B3E"/>
    <w:rsid w:val="00E27D87"/>
    <w:rsid w:val="00E34E09"/>
    <w:rsid w:val="00E36D2A"/>
    <w:rsid w:val="00E40D23"/>
    <w:rsid w:val="00E43AE1"/>
    <w:rsid w:val="00E44D35"/>
    <w:rsid w:val="00E44E2D"/>
    <w:rsid w:val="00E45641"/>
    <w:rsid w:val="00E5062C"/>
    <w:rsid w:val="00E52E17"/>
    <w:rsid w:val="00E542B2"/>
    <w:rsid w:val="00E54A90"/>
    <w:rsid w:val="00E63843"/>
    <w:rsid w:val="00E64D17"/>
    <w:rsid w:val="00E66780"/>
    <w:rsid w:val="00E66900"/>
    <w:rsid w:val="00E75506"/>
    <w:rsid w:val="00E7799D"/>
    <w:rsid w:val="00E77EA5"/>
    <w:rsid w:val="00E83260"/>
    <w:rsid w:val="00E926CD"/>
    <w:rsid w:val="00E92E4C"/>
    <w:rsid w:val="00EA234F"/>
    <w:rsid w:val="00EA28FE"/>
    <w:rsid w:val="00EA2AEA"/>
    <w:rsid w:val="00EA2D2F"/>
    <w:rsid w:val="00EA53D4"/>
    <w:rsid w:val="00EA5879"/>
    <w:rsid w:val="00EA66FE"/>
    <w:rsid w:val="00EA6C44"/>
    <w:rsid w:val="00EB013F"/>
    <w:rsid w:val="00EB0BA9"/>
    <w:rsid w:val="00EB1FDB"/>
    <w:rsid w:val="00EB21DE"/>
    <w:rsid w:val="00EB420B"/>
    <w:rsid w:val="00EB54FB"/>
    <w:rsid w:val="00EB5912"/>
    <w:rsid w:val="00EB74BE"/>
    <w:rsid w:val="00EB74E5"/>
    <w:rsid w:val="00EC26F4"/>
    <w:rsid w:val="00EC2BB5"/>
    <w:rsid w:val="00EC37ED"/>
    <w:rsid w:val="00EC6B85"/>
    <w:rsid w:val="00EC7061"/>
    <w:rsid w:val="00EC7590"/>
    <w:rsid w:val="00ED2D14"/>
    <w:rsid w:val="00ED39A0"/>
    <w:rsid w:val="00ED4662"/>
    <w:rsid w:val="00ED6E47"/>
    <w:rsid w:val="00ED740B"/>
    <w:rsid w:val="00ED7BF3"/>
    <w:rsid w:val="00EE126D"/>
    <w:rsid w:val="00EE1E1C"/>
    <w:rsid w:val="00EE5032"/>
    <w:rsid w:val="00EF1D14"/>
    <w:rsid w:val="00EF5450"/>
    <w:rsid w:val="00EF641D"/>
    <w:rsid w:val="00EF6716"/>
    <w:rsid w:val="00F0184C"/>
    <w:rsid w:val="00F01EC5"/>
    <w:rsid w:val="00F03BBC"/>
    <w:rsid w:val="00F1136F"/>
    <w:rsid w:val="00F12554"/>
    <w:rsid w:val="00F16364"/>
    <w:rsid w:val="00F21E32"/>
    <w:rsid w:val="00F26B39"/>
    <w:rsid w:val="00F36EC9"/>
    <w:rsid w:val="00F40DA8"/>
    <w:rsid w:val="00F42933"/>
    <w:rsid w:val="00F47DE8"/>
    <w:rsid w:val="00F47DEA"/>
    <w:rsid w:val="00F527D4"/>
    <w:rsid w:val="00F52A2A"/>
    <w:rsid w:val="00F53016"/>
    <w:rsid w:val="00F53983"/>
    <w:rsid w:val="00F54E1F"/>
    <w:rsid w:val="00F559D7"/>
    <w:rsid w:val="00F55B07"/>
    <w:rsid w:val="00F60AE0"/>
    <w:rsid w:val="00F60CCF"/>
    <w:rsid w:val="00F612E3"/>
    <w:rsid w:val="00F62864"/>
    <w:rsid w:val="00F62E3B"/>
    <w:rsid w:val="00F6484D"/>
    <w:rsid w:val="00F650C9"/>
    <w:rsid w:val="00F6767C"/>
    <w:rsid w:val="00F71EA2"/>
    <w:rsid w:val="00F74B55"/>
    <w:rsid w:val="00F76DE8"/>
    <w:rsid w:val="00F83C27"/>
    <w:rsid w:val="00F843B8"/>
    <w:rsid w:val="00F8636C"/>
    <w:rsid w:val="00F86563"/>
    <w:rsid w:val="00F8685B"/>
    <w:rsid w:val="00F9206F"/>
    <w:rsid w:val="00F93B07"/>
    <w:rsid w:val="00F9778D"/>
    <w:rsid w:val="00FA053D"/>
    <w:rsid w:val="00FA52A8"/>
    <w:rsid w:val="00FB00E3"/>
    <w:rsid w:val="00FB0B25"/>
    <w:rsid w:val="00FB7BC9"/>
    <w:rsid w:val="00FC532A"/>
    <w:rsid w:val="00FC6F08"/>
    <w:rsid w:val="00FD0638"/>
    <w:rsid w:val="00FD0F28"/>
    <w:rsid w:val="00FD23B1"/>
    <w:rsid w:val="00FD4D0B"/>
    <w:rsid w:val="00FD4D3A"/>
    <w:rsid w:val="00FD631B"/>
    <w:rsid w:val="00FD6514"/>
    <w:rsid w:val="00FD7FAC"/>
    <w:rsid w:val="00FE32CA"/>
    <w:rsid w:val="00FE3E66"/>
    <w:rsid w:val="00FE4BB3"/>
    <w:rsid w:val="00FE4DC4"/>
    <w:rsid w:val="00FF0DC4"/>
    <w:rsid w:val="00FF1FCA"/>
    <w:rsid w:val="00FF2E48"/>
    <w:rsid w:val="00FF387B"/>
    <w:rsid w:val="00FF38DB"/>
    <w:rsid w:val="00FF48AF"/>
    <w:rsid w:val="00FF5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42B4467-1505-40E5-9F9B-D83F5E1C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rsid w:val="005B6CC6"/>
    <w:rPr>
      <w:sz w:val="20"/>
      <w:vertAlign w:val="superscript"/>
    </w:rPr>
  </w:style>
  <w:style w:type="paragraph" w:styleId="Textpoznpodarou">
    <w:name w:val="footnote text"/>
    <w:basedOn w:val="Normln"/>
    <w:link w:val="TextpoznpodarouChar"/>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customStyle="1" w:styleId="Rozloendokumentu1">
    <w:name w:val="Rozložení dokumentu1"/>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uiPriority w:val="34"/>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600337010">
      <w:bodyDiv w:val="1"/>
      <w:marLeft w:val="0"/>
      <w:marRight w:val="0"/>
      <w:marTop w:val="0"/>
      <w:marBottom w:val="0"/>
      <w:divBdr>
        <w:top w:val="none" w:sz="0" w:space="0" w:color="auto"/>
        <w:left w:val="none" w:sz="0" w:space="0" w:color="auto"/>
        <w:bottom w:val="none" w:sz="0" w:space="0" w:color="auto"/>
        <w:right w:val="none" w:sz="0" w:space="0" w:color="auto"/>
      </w:divBdr>
      <w:divsChild>
        <w:div w:id="9722035">
          <w:marLeft w:val="0"/>
          <w:marRight w:val="0"/>
          <w:marTop w:val="0"/>
          <w:marBottom w:val="0"/>
          <w:divBdr>
            <w:top w:val="none" w:sz="0" w:space="0" w:color="auto"/>
            <w:left w:val="none" w:sz="0" w:space="0" w:color="auto"/>
            <w:bottom w:val="none" w:sz="0" w:space="0" w:color="auto"/>
            <w:right w:val="none" w:sz="0" w:space="0" w:color="auto"/>
          </w:divBdr>
        </w:div>
        <w:div w:id="48769918">
          <w:marLeft w:val="0"/>
          <w:marRight w:val="0"/>
          <w:marTop w:val="0"/>
          <w:marBottom w:val="0"/>
          <w:divBdr>
            <w:top w:val="none" w:sz="0" w:space="0" w:color="auto"/>
            <w:left w:val="none" w:sz="0" w:space="0" w:color="auto"/>
            <w:bottom w:val="none" w:sz="0" w:space="0" w:color="auto"/>
            <w:right w:val="none" w:sz="0" w:space="0" w:color="auto"/>
          </w:divBdr>
        </w:div>
        <w:div w:id="71856606">
          <w:marLeft w:val="0"/>
          <w:marRight w:val="0"/>
          <w:marTop w:val="0"/>
          <w:marBottom w:val="0"/>
          <w:divBdr>
            <w:top w:val="none" w:sz="0" w:space="0" w:color="auto"/>
            <w:left w:val="none" w:sz="0" w:space="0" w:color="auto"/>
            <w:bottom w:val="none" w:sz="0" w:space="0" w:color="auto"/>
            <w:right w:val="none" w:sz="0" w:space="0" w:color="auto"/>
          </w:divBdr>
        </w:div>
        <w:div w:id="72094390">
          <w:marLeft w:val="0"/>
          <w:marRight w:val="0"/>
          <w:marTop w:val="0"/>
          <w:marBottom w:val="0"/>
          <w:divBdr>
            <w:top w:val="none" w:sz="0" w:space="0" w:color="auto"/>
            <w:left w:val="none" w:sz="0" w:space="0" w:color="auto"/>
            <w:bottom w:val="none" w:sz="0" w:space="0" w:color="auto"/>
            <w:right w:val="none" w:sz="0" w:space="0" w:color="auto"/>
          </w:divBdr>
        </w:div>
        <w:div w:id="96147942">
          <w:marLeft w:val="0"/>
          <w:marRight w:val="0"/>
          <w:marTop w:val="0"/>
          <w:marBottom w:val="0"/>
          <w:divBdr>
            <w:top w:val="none" w:sz="0" w:space="0" w:color="auto"/>
            <w:left w:val="none" w:sz="0" w:space="0" w:color="auto"/>
            <w:bottom w:val="none" w:sz="0" w:space="0" w:color="auto"/>
            <w:right w:val="none" w:sz="0" w:space="0" w:color="auto"/>
          </w:divBdr>
        </w:div>
        <w:div w:id="98566152">
          <w:marLeft w:val="0"/>
          <w:marRight w:val="0"/>
          <w:marTop w:val="0"/>
          <w:marBottom w:val="0"/>
          <w:divBdr>
            <w:top w:val="none" w:sz="0" w:space="0" w:color="auto"/>
            <w:left w:val="none" w:sz="0" w:space="0" w:color="auto"/>
            <w:bottom w:val="none" w:sz="0" w:space="0" w:color="auto"/>
            <w:right w:val="none" w:sz="0" w:space="0" w:color="auto"/>
          </w:divBdr>
        </w:div>
        <w:div w:id="113671647">
          <w:marLeft w:val="0"/>
          <w:marRight w:val="0"/>
          <w:marTop w:val="0"/>
          <w:marBottom w:val="0"/>
          <w:divBdr>
            <w:top w:val="none" w:sz="0" w:space="0" w:color="auto"/>
            <w:left w:val="none" w:sz="0" w:space="0" w:color="auto"/>
            <w:bottom w:val="none" w:sz="0" w:space="0" w:color="auto"/>
            <w:right w:val="none" w:sz="0" w:space="0" w:color="auto"/>
          </w:divBdr>
        </w:div>
        <w:div w:id="118687737">
          <w:marLeft w:val="0"/>
          <w:marRight w:val="0"/>
          <w:marTop w:val="0"/>
          <w:marBottom w:val="0"/>
          <w:divBdr>
            <w:top w:val="none" w:sz="0" w:space="0" w:color="auto"/>
            <w:left w:val="none" w:sz="0" w:space="0" w:color="auto"/>
            <w:bottom w:val="none" w:sz="0" w:space="0" w:color="auto"/>
            <w:right w:val="none" w:sz="0" w:space="0" w:color="auto"/>
          </w:divBdr>
        </w:div>
        <w:div w:id="122043427">
          <w:marLeft w:val="0"/>
          <w:marRight w:val="0"/>
          <w:marTop w:val="0"/>
          <w:marBottom w:val="0"/>
          <w:divBdr>
            <w:top w:val="none" w:sz="0" w:space="0" w:color="auto"/>
            <w:left w:val="none" w:sz="0" w:space="0" w:color="auto"/>
            <w:bottom w:val="none" w:sz="0" w:space="0" w:color="auto"/>
            <w:right w:val="none" w:sz="0" w:space="0" w:color="auto"/>
          </w:divBdr>
        </w:div>
        <w:div w:id="140316283">
          <w:marLeft w:val="0"/>
          <w:marRight w:val="0"/>
          <w:marTop w:val="0"/>
          <w:marBottom w:val="0"/>
          <w:divBdr>
            <w:top w:val="none" w:sz="0" w:space="0" w:color="auto"/>
            <w:left w:val="none" w:sz="0" w:space="0" w:color="auto"/>
            <w:bottom w:val="none" w:sz="0" w:space="0" w:color="auto"/>
            <w:right w:val="none" w:sz="0" w:space="0" w:color="auto"/>
          </w:divBdr>
        </w:div>
        <w:div w:id="155996370">
          <w:marLeft w:val="0"/>
          <w:marRight w:val="0"/>
          <w:marTop w:val="0"/>
          <w:marBottom w:val="0"/>
          <w:divBdr>
            <w:top w:val="none" w:sz="0" w:space="0" w:color="auto"/>
            <w:left w:val="none" w:sz="0" w:space="0" w:color="auto"/>
            <w:bottom w:val="none" w:sz="0" w:space="0" w:color="auto"/>
            <w:right w:val="none" w:sz="0" w:space="0" w:color="auto"/>
          </w:divBdr>
        </w:div>
        <w:div w:id="174996862">
          <w:marLeft w:val="0"/>
          <w:marRight w:val="0"/>
          <w:marTop w:val="0"/>
          <w:marBottom w:val="0"/>
          <w:divBdr>
            <w:top w:val="none" w:sz="0" w:space="0" w:color="auto"/>
            <w:left w:val="none" w:sz="0" w:space="0" w:color="auto"/>
            <w:bottom w:val="none" w:sz="0" w:space="0" w:color="auto"/>
            <w:right w:val="none" w:sz="0" w:space="0" w:color="auto"/>
          </w:divBdr>
        </w:div>
        <w:div w:id="202988589">
          <w:marLeft w:val="0"/>
          <w:marRight w:val="0"/>
          <w:marTop w:val="0"/>
          <w:marBottom w:val="0"/>
          <w:divBdr>
            <w:top w:val="none" w:sz="0" w:space="0" w:color="auto"/>
            <w:left w:val="none" w:sz="0" w:space="0" w:color="auto"/>
            <w:bottom w:val="none" w:sz="0" w:space="0" w:color="auto"/>
            <w:right w:val="none" w:sz="0" w:space="0" w:color="auto"/>
          </w:divBdr>
        </w:div>
        <w:div w:id="242959857">
          <w:marLeft w:val="0"/>
          <w:marRight w:val="0"/>
          <w:marTop w:val="0"/>
          <w:marBottom w:val="0"/>
          <w:divBdr>
            <w:top w:val="none" w:sz="0" w:space="0" w:color="auto"/>
            <w:left w:val="none" w:sz="0" w:space="0" w:color="auto"/>
            <w:bottom w:val="none" w:sz="0" w:space="0" w:color="auto"/>
            <w:right w:val="none" w:sz="0" w:space="0" w:color="auto"/>
          </w:divBdr>
        </w:div>
        <w:div w:id="267197376">
          <w:marLeft w:val="0"/>
          <w:marRight w:val="0"/>
          <w:marTop w:val="0"/>
          <w:marBottom w:val="0"/>
          <w:divBdr>
            <w:top w:val="none" w:sz="0" w:space="0" w:color="auto"/>
            <w:left w:val="none" w:sz="0" w:space="0" w:color="auto"/>
            <w:bottom w:val="none" w:sz="0" w:space="0" w:color="auto"/>
            <w:right w:val="none" w:sz="0" w:space="0" w:color="auto"/>
          </w:divBdr>
        </w:div>
        <w:div w:id="271784156">
          <w:marLeft w:val="0"/>
          <w:marRight w:val="0"/>
          <w:marTop w:val="0"/>
          <w:marBottom w:val="0"/>
          <w:divBdr>
            <w:top w:val="none" w:sz="0" w:space="0" w:color="auto"/>
            <w:left w:val="none" w:sz="0" w:space="0" w:color="auto"/>
            <w:bottom w:val="none" w:sz="0" w:space="0" w:color="auto"/>
            <w:right w:val="none" w:sz="0" w:space="0" w:color="auto"/>
          </w:divBdr>
        </w:div>
        <w:div w:id="326053231">
          <w:marLeft w:val="0"/>
          <w:marRight w:val="0"/>
          <w:marTop w:val="0"/>
          <w:marBottom w:val="0"/>
          <w:divBdr>
            <w:top w:val="none" w:sz="0" w:space="0" w:color="auto"/>
            <w:left w:val="none" w:sz="0" w:space="0" w:color="auto"/>
            <w:bottom w:val="none" w:sz="0" w:space="0" w:color="auto"/>
            <w:right w:val="none" w:sz="0" w:space="0" w:color="auto"/>
          </w:divBdr>
        </w:div>
        <w:div w:id="333609802">
          <w:marLeft w:val="0"/>
          <w:marRight w:val="0"/>
          <w:marTop w:val="0"/>
          <w:marBottom w:val="0"/>
          <w:divBdr>
            <w:top w:val="none" w:sz="0" w:space="0" w:color="auto"/>
            <w:left w:val="none" w:sz="0" w:space="0" w:color="auto"/>
            <w:bottom w:val="none" w:sz="0" w:space="0" w:color="auto"/>
            <w:right w:val="none" w:sz="0" w:space="0" w:color="auto"/>
          </w:divBdr>
        </w:div>
        <w:div w:id="344865906">
          <w:marLeft w:val="0"/>
          <w:marRight w:val="0"/>
          <w:marTop w:val="0"/>
          <w:marBottom w:val="0"/>
          <w:divBdr>
            <w:top w:val="none" w:sz="0" w:space="0" w:color="auto"/>
            <w:left w:val="none" w:sz="0" w:space="0" w:color="auto"/>
            <w:bottom w:val="none" w:sz="0" w:space="0" w:color="auto"/>
            <w:right w:val="none" w:sz="0" w:space="0" w:color="auto"/>
          </w:divBdr>
        </w:div>
        <w:div w:id="356855252">
          <w:marLeft w:val="0"/>
          <w:marRight w:val="0"/>
          <w:marTop w:val="0"/>
          <w:marBottom w:val="0"/>
          <w:divBdr>
            <w:top w:val="none" w:sz="0" w:space="0" w:color="auto"/>
            <w:left w:val="none" w:sz="0" w:space="0" w:color="auto"/>
            <w:bottom w:val="none" w:sz="0" w:space="0" w:color="auto"/>
            <w:right w:val="none" w:sz="0" w:space="0" w:color="auto"/>
          </w:divBdr>
        </w:div>
        <w:div w:id="433014171">
          <w:marLeft w:val="0"/>
          <w:marRight w:val="0"/>
          <w:marTop w:val="0"/>
          <w:marBottom w:val="0"/>
          <w:divBdr>
            <w:top w:val="none" w:sz="0" w:space="0" w:color="auto"/>
            <w:left w:val="none" w:sz="0" w:space="0" w:color="auto"/>
            <w:bottom w:val="none" w:sz="0" w:space="0" w:color="auto"/>
            <w:right w:val="none" w:sz="0" w:space="0" w:color="auto"/>
          </w:divBdr>
        </w:div>
        <w:div w:id="434325065">
          <w:marLeft w:val="0"/>
          <w:marRight w:val="0"/>
          <w:marTop w:val="0"/>
          <w:marBottom w:val="0"/>
          <w:divBdr>
            <w:top w:val="none" w:sz="0" w:space="0" w:color="auto"/>
            <w:left w:val="none" w:sz="0" w:space="0" w:color="auto"/>
            <w:bottom w:val="none" w:sz="0" w:space="0" w:color="auto"/>
            <w:right w:val="none" w:sz="0" w:space="0" w:color="auto"/>
          </w:divBdr>
        </w:div>
        <w:div w:id="443501706">
          <w:marLeft w:val="0"/>
          <w:marRight w:val="0"/>
          <w:marTop w:val="0"/>
          <w:marBottom w:val="0"/>
          <w:divBdr>
            <w:top w:val="none" w:sz="0" w:space="0" w:color="auto"/>
            <w:left w:val="none" w:sz="0" w:space="0" w:color="auto"/>
            <w:bottom w:val="none" w:sz="0" w:space="0" w:color="auto"/>
            <w:right w:val="none" w:sz="0" w:space="0" w:color="auto"/>
          </w:divBdr>
        </w:div>
        <w:div w:id="512574784">
          <w:marLeft w:val="0"/>
          <w:marRight w:val="0"/>
          <w:marTop w:val="0"/>
          <w:marBottom w:val="0"/>
          <w:divBdr>
            <w:top w:val="none" w:sz="0" w:space="0" w:color="auto"/>
            <w:left w:val="none" w:sz="0" w:space="0" w:color="auto"/>
            <w:bottom w:val="none" w:sz="0" w:space="0" w:color="auto"/>
            <w:right w:val="none" w:sz="0" w:space="0" w:color="auto"/>
          </w:divBdr>
        </w:div>
        <w:div w:id="515191277">
          <w:marLeft w:val="0"/>
          <w:marRight w:val="0"/>
          <w:marTop w:val="0"/>
          <w:marBottom w:val="0"/>
          <w:divBdr>
            <w:top w:val="none" w:sz="0" w:space="0" w:color="auto"/>
            <w:left w:val="none" w:sz="0" w:space="0" w:color="auto"/>
            <w:bottom w:val="none" w:sz="0" w:space="0" w:color="auto"/>
            <w:right w:val="none" w:sz="0" w:space="0" w:color="auto"/>
          </w:divBdr>
        </w:div>
        <w:div w:id="524289099">
          <w:marLeft w:val="0"/>
          <w:marRight w:val="0"/>
          <w:marTop w:val="0"/>
          <w:marBottom w:val="0"/>
          <w:divBdr>
            <w:top w:val="none" w:sz="0" w:space="0" w:color="auto"/>
            <w:left w:val="none" w:sz="0" w:space="0" w:color="auto"/>
            <w:bottom w:val="none" w:sz="0" w:space="0" w:color="auto"/>
            <w:right w:val="none" w:sz="0" w:space="0" w:color="auto"/>
          </w:divBdr>
        </w:div>
        <w:div w:id="556092555">
          <w:marLeft w:val="0"/>
          <w:marRight w:val="0"/>
          <w:marTop w:val="0"/>
          <w:marBottom w:val="0"/>
          <w:divBdr>
            <w:top w:val="none" w:sz="0" w:space="0" w:color="auto"/>
            <w:left w:val="none" w:sz="0" w:space="0" w:color="auto"/>
            <w:bottom w:val="none" w:sz="0" w:space="0" w:color="auto"/>
            <w:right w:val="none" w:sz="0" w:space="0" w:color="auto"/>
          </w:divBdr>
        </w:div>
        <w:div w:id="628704788">
          <w:marLeft w:val="0"/>
          <w:marRight w:val="0"/>
          <w:marTop w:val="0"/>
          <w:marBottom w:val="0"/>
          <w:divBdr>
            <w:top w:val="none" w:sz="0" w:space="0" w:color="auto"/>
            <w:left w:val="none" w:sz="0" w:space="0" w:color="auto"/>
            <w:bottom w:val="none" w:sz="0" w:space="0" w:color="auto"/>
            <w:right w:val="none" w:sz="0" w:space="0" w:color="auto"/>
          </w:divBdr>
        </w:div>
        <w:div w:id="652566374">
          <w:marLeft w:val="0"/>
          <w:marRight w:val="0"/>
          <w:marTop w:val="0"/>
          <w:marBottom w:val="0"/>
          <w:divBdr>
            <w:top w:val="none" w:sz="0" w:space="0" w:color="auto"/>
            <w:left w:val="none" w:sz="0" w:space="0" w:color="auto"/>
            <w:bottom w:val="none" w:sz="0" w:space="0" w:color="auto"/>
            <w:right w:val="none" w:sz="0" w:space="0" w:color="auto"/>
          </w:divBdr>
        </w:div>
        <w:div w:id="654915518">
          <w:marLeft w:val="0"/>
          <w:marRight w:val="0"/>
          <w:marTop w:val="0"/>
          <w:marBottom w:val="0"/>
          <w:divBdr>
            <w:top w:val="none" w:sz="0" w:space="0" w:color="auto"/>
            <w:left w:val="none" w:sz="0" w:space="0" w:color="auto"/>
            <w:bottom w:val="none" w:sz="0" w:space="0" w:color="auto"/>
            <w:right w:val="none" w:sz="0" w:space="0" w:color="auto"/>
          </w:divBdr>
        </w:div>
        <w:div w:id="693116009">
          <w:marLeft w:val="0"/>
          <w:marRight w:val="0"/>
          <w:marTop w:val="0"/>
          <w:marBottom w:val="0"/>
          <w:divBdr>
            <w:top w:val="none" w:sz="0" w:space="0" w:color="auto"/>
            <w:left w:val="none" w:sz="0" w:space="0" w:color="auto"/>
            <w:bottom w:val="none" w:sz="0" w:space="0" w:color="auto"/>
            <w:right w:val="none" w:sz="0" w:space="0" w:color="auto"/>
          </w:divBdr>
        </w:div>
        <w:div w:id="725953069">
          <w:marLeft w:val="0"/>
          <w:marRight w:val="0"/>
          <w:marTop w:val="0"/>
          <w:marBottom w:val="0"/>
          <w:divBdr>
            <w:top w:val="none" w:sz="0" w:space="0" w:color="auto"/>
            <w:left w:val="none" w:sz="0" w:space="0" w:color="auto"/>
            <w:bottom w:val="none" w:sz="0" w:space="0" w:color="auto"/>
            <w:right w:val="none" w:sz="0" w:space="0" w:color="auto"/>
          </w:divBdr>
        </w:div>
        <w:div w:id="780300132">
          <w:marLeft w:val="0"/>
          <w:marRight w:val="0"/>
          <w:marTop w:val="0"/>
          <w:marBottom w:val="0"/>
          <w:divBdr>
            <w:top w:val="none" w:sz="0" w:space="0" w:color="auto"/>
            <w:left w:val="none" w:sz="0" w:space="0" w:color="auto"/>
            <w:bottom w:val="none" w:sz="0" w:space="0" w:color="auto"/>
            <w:right w:val="none" w:sz="0" w:space="0" w:color="auto"/>
          </w:divBdr>
        </w:div>
        <w:div w:id="795023559">
          <w:marLeft w:val="0"/>
          <w:marRight w:val="0"/>
          <w:marTop w:val="0"/>
          <w:marBottom w:val="0"/>
          <w:divBdr>
            <w:top w:val="none" w:sz="0" w:space="0" w:color="auto"/>
            <w:left w:val="none" w:sz="0" w:space="0" w:color="auto"/>
            <w:bottom w:val="none" w:sz="0" w:space="0" w:color="auto"/>
            <w:right w:val="none" w:sz="0" w:space="0" w:color="auto"/>
          </w:divBdr>
        </w:div>
        <w:div w:id="815413160">
          <w:marLeft w:val="0"/>
          <w:marRight w:val="0"/>
          <w:marTop w:val="0"/>
          <w:marBottom w:val="0"/>
          <w:divBdr>
            <w:top w:val="none" w:sz="0" w:space="0" w:color="auto"/>
            <w:left w:val="none" w:sz="0" w:space="0" w:color="auto"/>
            <w:bottom w:val="none" w:sz="0" w:space="0" w:color="auto"/>
            <w:right w:val="none" w:sz="0" w:space="0" w:color="auto"/>
          </w:divBdr>
        </w:div>
        <w:div w:id="830487513">
          <w:marLeft w:val="0"/>
          <w:marRight w:val="0"/>
          <w:marTop w:val="0"/>
          <w:marBottom w:val="0"/>
          <w:divBdr>
            <w:top w:val="none" w:sz="0" w:space="0" w:color="auto"/>
            <w:left w:val="none" w:sz="0" w:space="0" w:color="auto"/>
            <w:bottom w:val="none" w:sz="0" w:space="0" w:color="auto"/>
            <w:right w:val="none" w:sz="0" w:space="0" w:color="auto"/>
          </w:divBdr>
        </w:div>
        <w:div w:id="876354402">
          <w:marLeft w:val="0"/>
          <w:marRight w:val="0"/>
          <w:marTop w:val="0"/>
          <w:marBottom w:val="0"/>
          <w:divBdr>
            <w:top w:val="none" w:sz="0" w:space="0" w:color="auto"/>
            <w:left w:val="none" w:sz="0" w:space="0" w:color="auto"/>
            <w:bottom w:val="none" w:sz="0" w:space="0" w:color="auto"/>
            <w:right w:val="none" w:sz="0" w:space="0" w:color="auto"/>
          </w:divBdr>
        </w:div>
        <w:div w:id="881787090">
          <w:marLeft w:val="0"/>
          <w:marRight w:val="0"/>
          <w:marTop w:val="0"/>
          <w:marBottom w:val="0"/>
          <w:divBdr>
            <w:top w:val="none" w:sz="0" w:space="0" w:color="auto"/>
            <w:left w:val="none" w:sz="0" w:space="0" w:color="auto"/>
            <w:bottom w:val="none" w:sz="0" w:space="0" w:color="auto"/>
            <w:right w:val="none" w:sz="0" w:space="0" w:color="auto"/>
          </w:divBdr>
        </w:div>
        <w:div w:id="892733125">
          <w:marLeft w:val="0"/>
          <w:marRight w:val="0"/>
          <w:marTop w:val="0"/>
          <w:marBottom w:val="0"/>
          <w:divBdr>
            <w:top w:val="none" w:sz="0" w:space="0" w:color="auto"/>
            <w:left w:val="none" w:sz="0" w:space="0" w:color="auto"/>
            <w:bottom w:val="none" w:sz="0" w:space="0" w:color="auto"/>
            <w:right w:val="none" w:sz="0" w:space="0" w:color="auto"/>
          </w:divBdr>
        </w:div>
        <w:div w:id="925767258">
          <w:marLeft w:val="0"/>
          <w:marRight w:val="0"/>
          <w:marTop w:val="0"/>
          <w:marBottom w:val="0"/>
          <w:divBdr>
            <w:top w:val="none" w:sz="0" w:space="0" w:color="auto"/>
            <w:left w:val="none" w:sz="0" w:space="0" w:color="auto"/>
            <w:bottom w:val="none" w:sz="0" w:space="0" w:color="auto"/>
            <w:right w:val="none" w:sz="0" w:space="0" w:color="auto"/>
          </w:divBdr>
        </w:div>
        <w:div w:id="1094518527">
          <w:marLeft w:val="0"/>
          <w:marRight w:val="0"/>
          <w:marTop w:val="0"/>
          <w:marBottom w:val="0"/>
          <w:divBdr>
            <w:top w:val="none" w:sz="0" w:space="0" w:color="auto"/>
            <w:left w:val="none" w:sz="0" w:space="0" w:color="auto"/>
            <w:bottom w:val="none" w:sz="0" w:space="0" w:color="auto"/>
            <w:right w:val="none" w:sz="0" w:space="0" w:color="auto"/>
          </w:divBdr>
        </w:div>
        <w:div w:id="1149202807">
          <w:marLeft w:val="0"/>
          <w:marRight w:val="0"/>
          <w:marTop w:val="0"/>
          <w:marBottom w:val="0"/>
          <w:divBdr>
            <w:top w:val="none" w:sz="0" w:space="0" w:color="auto"/>
            <w:left w:val="none" w:sz="0" w:space="0" w:color="auto"/>
            <w:bottom w:val="none" w:sz="0" w:space="0" w:color="auto"/>
            <w:right w:val="none" w:sz="0" w:space="0" w:color="auto"/>
          </w:divBdr>
        </w:div>
        <w:div w:id="1265303762">
          <w:marLeft w:val="0"/>
          <w:marRight w:val="0"/>
          <w:marTop w:val="0"/>
          <w:marBottom w:val="0"/>
          <w:divBdr>
            <w:top w:val="none" w:sz="0" w:space="0" w:color="auto"/>
            <w:left w:val="none" w:sz="0" w:space="0" w:color="auto"/>
            <w:bottom w:val="none" w:sz="0" w:space="0" w:color="auto"/>
            <w:right w:val="none" w:sz="0" w:space="0" w:color="auto"/>
          </w:divBdr>
        </w:div>
        <w:div w:id="1282493894">
          <w:marLeft w:val="0"/>
          <w:marRight w:val="0"/>
          <w:marTop w:val="0"/>
          <w:marBottom w:val="0"/>
          <w:divBdr>
            <w:top w:val="none" w:sz="0" w:space="0" w:color="auto"/>
            <w:left w:val="none" w:sz="0" w:space="0" w:color="auto"/>
            <w:bottom w:val="none" w:sz="0" w:space="0" w:color="auto"/>
            <w:right w:val="none" w:sz="0" w:space="0" w:color="auto"/>
          </w:divBdr>
        </w:div>
        <w:div w:id="1284266927">
          <w:marLeft w:val="0"/>
          <w:marRight w:val="0"/>
          <w:marTop w:val="0"/>
          <w:marBottom w:val="0"/>
          <w:divBdr>
            <w:top w:val="none" w:sz="0" w:space="0" w:color="auto"/>
            <w:left w:val="none" w:sz="0" w:space="0" w:color="auto"/>
            <w:bottom w:val="none" w:sz="0" w:space="0" w:color="auto"/>
            <w:right w:val="none" w:sz="0" w:space="0" w:color="auto"/>
          </w:divBdr>
        </w:div>
        <w:div w:id="1318918527">
          <w:marLeft w:val="0"/>
          <w:marRight w:val="0"/>
          <w:marTop w:val="0"/>
          <w:marBottom w:val="0"/>
          <w:divBdr>
            <w:top w:val="none" w:sz="0" w:space="0" w:color="auto"/>
            <w:left w:val="none" w:sz="0" w:space="0" w:color="auto"/>
            <w:bottom w:val="none" w:sz="0" w:space="0" w:color="auto"/>
            <w:right w:val="none" w:sz="0" w:space="0" w:color="auto"/>
          </w:divBdr>
        </w:div>
        <w:div w:id="1390347228">
          <w:marLeft w:val="0"/>
          <w:marRight w:val="0"/>
          <w:marTop w:val="0"/>
          <w:marBottom w:val="0"/>
          <w:divBdr>
            <w:top w:val="none" w:sz="0" w:space="0" w:color="auto"/>
            <w:left w:val="none" w:sz="0" w:space="0" w:color="auto"/>
            <w:bottom w:val="none" w:sz="0" w:space="0" w:color="auto"/>
            <w:right w:val="none" w:sz="0" w:space="0" w:color="auto"/>
          </w:divBdr>
        </w:div>
        <w:div w:id="1425566548">
          <w:marLeft w:val="0"/>
          <w:marRight w:val="0"/>
          <w:marTop w:val="0"/>
          <w:marBottom w:val="0"/>
          <w:divBdr>
            <w:top w:val="none" w:sz="0" w:space="0" w:color="auto"/>
            <w:left w:val="none" w:sz="0" w:space="0" w:color="auto"/>
            <w:bottom w:val="none" w:sz="0" w:space="0" w:color="auto"/>
            <w:right w:val="none" w:sz="0" w:space="0" w:color="auto"/>
          </w:divBdr>
        </w:div>
        <w:div w:id="1447307814">
          <w:marLeft w:val="0"/>
          <w:marRight w:val="0"/>
          <w:marTop w:val="0"/>
          <w:marBottom w:val="0"/>
          <w:divBdr>
            <w:top w:val="none" w:sz="0" w:space="0" w:color="auto"/>
            <w:left w:val="none" w:sz="0" w:space="0" w:color="auto"/>
            <w:bottom w:val="none" w:sz="0" w:space="0" w:color="auto"/>
            <w:right w:val="none" w:sz="0" w:space="0" w:color="auto"/>
          </w:divBdr>
        </w:div>
        <w:div w:id="1497455589">
          <w:marLeft w:val="0"/>
          <w:marRight w:val="0"/>
          <w:marTop w:val="0"/>
          <w:marBottom w:val="0"/>
          <w:divBdr>
            <w:top w:val="none" w:sz="0" w:space="0" w:color="auto"/>
            <w:left w:val="none" w:sz="0" w:space="0" w:color="auto"/>
            <w:bottom w:val="none" w:sz="0" w:space="0" w:color="auto"/>
            <w:right w:val="none" w:sz="0" w:space="0" w:color="auto"/>
          </w:divBdr>
        </w:div>
        <w:div w:id="1618483406">
          <w:marLeft w:val="0"/>
          <w:marRight w:val="0"/>
          <w:marTop w:val="0"/>
          <w:marBottom w:val="0"/>
          <w:divBdr>
            <w:top w:val="none" w:sz="0" w:space="0" w:color="auto"/>
            <w:left w:val="none" w:sz="0" w:space="0" w:color="auto"/>
            <w:bottom w:val="none" w:sz="0" w:space="0" w:color="auto"/>
            <w:right w:val="none" w:sz="0" w:space="0" w:color="auto"/>
          </w:divBdr>
        </w:div>
        <w:div w:id="1659990980">
          <w:marLeft w:val="0"/>
          <w:marRight w:val="0"/>
          <w:marTop w:val="0"/>
          <w:marBottom w:val="0"/>
          <w:divBdr>
            <w:top w:val="none" w:sz="0" w:space="0" w:color="auto"/>
            <w:left w:val="none" w:sz="0" w:space="0" w:color="auto"/>
            <w:bottom w:val="none" w:sz="0" w:space="0" w:color="auto"/>
            <w:right w:val="none" w:sz="0" w:space="0" w:color="auto"/>
          </w:divBdr>
        </w:div>
        <w:div w:id="1697996243">
          <w:marLeft w:val="0"/>
          <w:marRight w:val="0"/>
          <w:marTop w:val="0"/>
          <w:marBottom w:val="0"/>
          <w:divBdr>
            <w:top w:val="none" w:sz="0" w:space="0" w:color="auto"/>
            <w:left w:val="none" w:sz="0" w:space="0" w:color="auto"/>
            <w:bottom w:val="none" w:sz="0" w:space="0" w:color="auto"/>
            <w:right w:val="none" w:sz="0" w:space="0" w:color="auto"/>
          </w:divBdr>
        </w:div>
        <w:div w:id="1708986473">
          <w:marLeft w:val="0"/>
          <w:marRight w:val="0"/>
          <w:marTop w:val="0"/>
          <w:marBottom w:val="0"/>
          <w:divBdr>
            <w:top w:val="none" w:sz="0" w:space="0" w:color="auto"/>
            <w:left w:val="none" w:sz="0" w:space="0" w:color="auto"/>
            <w:bottom w:val="none" w:sz="0" w:space="0" w:color="auto"/>
            <w:right w:val="none" w:sz="0" w:space="0" w:color="auto"/>
          </w:divBdr>
        </w:div>
        <w:div w:id="1719815521">
          <w:marLeft w:val="0"/>
          <w:marRight w:val="0"/>
          <w:marTop w:val="0"/>
          <w:marBottom w:val="0"/>
          <w:divBdr>
            <w:top w:val="none" w:sz="0" w:space="0" w:color="auto"/>
            <w:left w:val="none" w:sz="0" w:space="0" w:color="auto"/>
            <w:bottom w:val="none" w:sz="0" w:space="0" w:color="auto"/>
            <w:right w:val="none" w:sz="0" w:space="0" w:color="auto"/>
          </w:divBdr>
        </w:div>
        <w:div w:id="1723795667">
          <w:marLeft w:val="0"/>
          <w:marRight w:val="0"/>
          <w:marTop w:val="0"/>
          <w:marBottom w:val="0"/>
          <w:divBdr>
            <w:top w:val="none" w:sz="0" w:space="0" w:color="auto"/>
            <w:left w:val="none" w:sz="0" w:space="0" w:color="auto"/>
            <w:bottom w:val="none" w:sz="0" w:space="0" w:color="auto"/>
            <w:right w:val="none" w:sz="0" w:space="0" w:color="auto"/>
          </w:divBdr>
        </w:div>
        <w:div w:id="1730806863">
          <w:marLeft w:val="0"/>
          <w:marRight w:val="0"/>
          <w:marTop w:val="0"/>
          <w:marBottom w:val="0"/>
          <w:divBdr>
            <w:top w:val="none" w:sz="0" w:space="0" w:color="auto"/>
            <w:left w:val="none" w:sz="0" w:space="0" w:color="auto"/>
            <w:bottom w:val="none" w:sz="0" w:space="0" w:color="auto"/>
            <w:right w:val="none" w:sz="0" w:space="0" w:color="auto"/>
          </w:divBdr>
        </w:div>
        <w:div w:id="1746341012">
          <w:marLeft w:val="0"/>
          <w:marRight w:val="0"/>
          <w:marTop w:val="0"/>
          <w:marBottom w:val="0"/>
          <w:divBdr>
            <w:top w:val="none" w:sz="0" w:space="0" w:color="auto"/>
            <w:left w:val="none" w:sz="0" w:space="0" w:color="auto"/>
            <w:bottom w:val="none" w:sz="0" w:space="0" w:color="auto"/>
            <w:right w:val="none" w:sz="0" w:space="0" w:color="auto"/>
          </w:divBdr>
        </w:div>
        <w:div w:id="1778673249">
          <w:marLeft w:val="0"/>
          <w:marRight w:val="0"/>
          <w:marTop w:val="0"/>
          <w:marBottom w:val="0"/>
          <w:divBdr>
            <w:top w:val="none" w:sz="0" w:space="0" w:color="auto"/>
            <w:left w:val="none" w:sz="0" w:space="0" w:color="auto"/>
            <w:bottom w:val="none" w:sz="0" w:space="0" w:color="auto"/>
            <w:right w:val="none" w:sz="0" w:space="0" w:color="auto"/>
          </w:divBdr>
        </w:div>
        <w:div w:id="1807972410">
          <w:marLeft w:val="0"/>
          <w:marRight w:val="0"/>
          <w:marTop w:val="0"/>
          <w:marBottom w:val="0"/>
          <w:divBdr>
            <w:top w:val="none" w:sz="0" w:space="0" w:color="auto"/>
            <w:left w:val="none" w:sz="0" w:space="0" w:color="auto"/>
            <w:bottom w:val="none" w:sz="0" w:space="0" w:color="auto"/>
            <w:right w:val="none" w:sz="0" w:space="0" w:color="auto"/>
          </w:divBdr>
        </w:div>
        <w:div w:id="1899703540">
          <w:marLeft w:val="0"/>
          <w:marRight w:val="0"/>
          <w:marTop w:val="0"/>
          <w:marBottom w:val="0"/>
          <w:divBdr>
            <w:top w:val="none" w:sz="0" w:space="0" w:color="auto"/>
            <w:left w:val="none" w:sz="0" w:space="0" w:color="auto"/>
            <w:bottom w:val="none" w:sz="0" w:space="0" w:color="auto"/>
            <w:right w:val="none" w:sz="0" w:space="0" w:color="auto"/>
          </w:divBdr>
        </w:div>
        <w:div w:id="1901552309">
          <w:marLeft w:val="0"/>
          <w:marRight w:val="0"/>
          <w:marTop w:val="0"/>
          <w:marBottom w:val="0"/>
          <w:divBdr>
            <w:top w:val="none" w:sz="0" w:space="0" w:color="auto"/>
            <w:left w:val="none" w:sz="0" w:space="0" w:color="auto"/>
            <w:bottom w:val="none" w:sz="0" w:space="0" w:color="auto"/>
            <w:right w:val="none" w:sz="0" w:space="0" w:color="auto"/>
          </w:divBdr>
        </w:div>
        <w:div w:id="1903516888">
          <w:marLeft w:val="0"/>
          <w:marRight w:val="0"/>
          <w:marTop w:val="0"/>
          <w:marBottom w:val="0"/>
          <w:divBdr>
            <w:top w:val="none" w:sz="0" w:space="0" w:color="auto"/>
            <w:left w:val="none" w:sz="0" w:space="0" w:color="auto"/>
            <w:bottom w:val="none" w:sz="0" w:space="0" w:color="auto"/>
            <w:right w:val="none" w:sz="0" w:space="0" w:color="auto"/>
          </w:divBdr>
        </w:div>
        <w:div w:id="1967857309">
          <w:marLeft w:val="0"/>
          <w:marRight w:val="0"/>
          <w:marTop w:val="0"/>
          <w:marBottom w:val="0"/>
          <w:divBdr>
            <w:top w:val="none" w:sz="0" w:space="0" w:color="auto"/>
            <w:left w:val="none" w:sz="0" w:space="0" w:color="auto"/>
            <w:bottom w:val="none" w:sz="0" w:space="0" w:color="auto"/>
            <w:right w:val="none" w:sz="0" w:space="0" w:color="auto"/>
          </w:divBdr>
        </w:div>
        <w:div w:id="2051570094">
          <w:marLeft w:val="0"/>
          <w:marRight w:val="0"/>
          <w:marTop w:val="0"/>
          <w:marBottom w:val="0"/>
          <w:divBdr>
            <w:top w:val="none" w:sz="0" w:space="0" w:color="auto"/>
            <w:left w:val="none" w:sz="0" w:space="0" w:color="auto"/>
            <w:bottom w:val="none" w:sz="0" w:space="0" w:color="auto"/>
            <w:right w:val="none" w:sz="0" w:space="0" w:color="auto"/>
          </w:divBdr>
        </w:div>
        <w:div w:id="2057464610">
          <w:marLeft w:val="0"/>
          <w:marRight w:val="0"/>
          <w:marTop w:val="0"/>
          <w:marBottom w:val="0"/>
          <w:divBdr>
            <w:top w:val="none" w:sz="0" w:space="0" w:color="auto"/>
            <w:left w:val="none" w:sz="0" w:space="0" w:color="auto"/>
            <w:bottom w:val="none" w:sz="0" w:space="0" w:color="auto"/>
            <w:right w:val="none" w:sz="0" w:space="0" w:color="auto"/>
          </w:divBdr>
        </w:div>
        <w:div w:id="2065638997">
          <w:marLeft w:val="0"/>
          <w:marRight w:val="0"/>
          <w:marTop w:val="0"/>
          <w:marBottom w:val="0"/>
          <w:divBdr>
            <w:top w:val="none" w:sz="0" w:space="0" w:color="auto"/>
            <w:left w:val="none" w:sz="0" w:space="0" w:color="auto"/>
            <w:bottom w:val="none" w:sz="0" w:space="0" w:color="auto"/>
            <w:right w:val="none" w:sz="0" w:space="0" w:color="auto"/>
          </w:divBdr>
        </w:div>
        <w:div w:id="2087608210">
          <w:marLeft w:val="0"/>
          <w:marRight w:val="0"/>
          <w:marTop w:val="0"/>
          <w:marBottom w:val="0"/>
          <w:divBdr>
            <w:top w:val="none" w:sz="0" w:space="0" w:color="auto"/>
            <w:left w:val="none" w:sz="0" w:space="0" w:color="auto"/>
            <w:bottom w:val="none" w:sz="0" w:space="0" w:color="auto"/>
            <w:right w:val="none" w:sz="0" w:space="0" w:color="auto"/>
          </w:divBdr>
        </w:div>
      </w:divsChild>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781798746">
      <w:bodyDiv w:val="1"/>
      <w:marLeft w:val="0"/>
      <w:marRight w:val="0"/>
      <w:marTop w:val="0"/>
      <w:marBottom w:val="0"/>
      <w:divBdr>
        <w:top w:val="none" w:sz="0" w:space="0" w:color="auto"/>
        <w:left w:val="none" w:sz="0" w:space="0" w:color="auto"/>
        <w:bottom w:val="none" w:sz="0" w:space="0" w:color="auto"/>
        <w:right w:val="none" w:sz="0" w:space="0" w:color="auto"/>
      </w:divBdr>
      <w:divsChild>
        <w:div w:id="33116964">
          <w:marLeft w:val="0"/>
          <w:marRight w:val="0"/>
          <w:marTop w:val="0"/>
          <w:marBottom w:val="0"/>
          <w:divBdr>
            <w:top w:val="none" w:sz="0" w:space="0" w:color="auto"/>
            <w:left w:val="none" w:sz="0" w:space="0" w:color="auto"/>
            <w:bottom w:val="none" w:sz="0" w:space="0" w:color="auto"/>
            <w:right w:val="none" w:sz="0" w:space="0" w:color="auto"/>
          </w:divBdr>
        </w:div>
        <w:div w:id="137496234">
          <w:marLeft w:val="0"/>
          <w:marRight w:val="0"/>
          <w:marTop w:val="0"/>
          <w:marBottom w:val="0"/>
          <w:divBdr>
            <w:top w:val="none" w:sz="0" w:space="0" w:color="auto"/>
            <w:left w:val="none" w:sz="0" w:space="0" w:color="auto"/>
            <w:bottom w:val="none" w:sz="0" w:space="0" w:color="auto"/>
            <w:right w:val="none" w:sz="0" w:space="0" w:color="auto"/>
          </w:divBdr>
        </w:div>
        <w:div w:id="165292930">
          <w:marLeft w:val="0"/>
          <w:marRight w:val="0"/>
          <w:marTop w:val="0"/>
          <w:marBottom w:val="0"/>
          <w:divBdr>
            <w:top w:val="none" w:sz="0" w:space="0" w:color="auto"/>
            <w:left w:val="none" w:sz="0" w:space="0" w:color="auto"/>
            <w:bottom w:val="none" w:sz="0" w:space="0" w:color="auto"/>
            <w:right w:val="none" w:sz="0" w:space="0" w:color="auto"/>
          </w:divBdr>
        </w:div>
        <w:div w:id="176384678">
          <w:marLeft w:val="0"/>
          <w:marRight w:val="0"/>
          <w:marTop w:val="0"/>
          <w:marBottom w:val="0"/>
          <w:divBdr>
            <w:top w:val="none" w:sz="0" w:space="0" w:color="auto"/>
            <w:left w:val="none" w:sz="0" w:space="0" w:color="auto"/>
            <w:bottom w:val="none" w:sz="0" w:space="0" w:color="auto"/>
            <w:right w:val="none" w:sz="0" w:space="0" w:color="auto"/>
          </w:divBdr>
        </w:div>
        <w:div w:id="179320382">
          <w:marLeft w:val="0"/>
          <w:marRight w:val="0"/>
          <w:marTop w:val="0"/>
          <w:marBottom w:val="0"/>
          <w:divBdr>
            <w:top w:val="none" w:sz="0" w:space="0" w:color="auto"/>
            <w:left w:val="none" w:sz="0" w:space="0" w:color="auto"/>
            <w:bottom w:val="none" w:sz="0" w:space="0" w:color="auto"/>
            <w:right w:val="none" w:sz="0" w:space="0" w:color="auto"/>
          </w:divBdr>
        </w:div>
        <w:div w:id="306323572">
          <w:marLeft w:val="0"/>
          <w:marRight w:val="0"/>
          <w:marTop w:val="0"/>
          <w:marBottom w:val="0"/>
          <w:divBdr>
            <w:top w:val="none" w:sz="0" w:space="0" w:color="auto"/>
            <w:left w:val="none" w:sz="0" w:space="0" w:color="auto"/>
            <w:bottom w:val="none" w:sz="0" w:space="0" w:color="auto"/>
            <w:right w:val="none" w:sz="0" w:space="0" w:color="auto"/>
          </w:divBdr>
        </w:div>
        <w:div w:id="374014075">
          <w:marLeft w:val="0"/>
          <w:marRight w:val="0"/>
          <w:marTop w:val="0"/>
          <w:marBottom w:val="0"/>
          <w:divBdr>
            <w:top w:val="none" w:sz="0" w:space="0" w:color="auto"/>
            <w:left w:val="none" w:sz="0" w:space="0" w:color="auto"/>
            <w:bottom w:val="none" w:sz="0" w:space="0" w:color="auto"/>
            <w:right w:val="none" w:sz="0" w:space="0" w:color="auto"/>
          </w:divBdr>
        </w:div>
        <w:div w:id="381514930">
          <w:marLeft w:val="0"/>
          <w:marRight w:val="0"/>
          <w:marTop w:val="0"/>
          <w:marBottom w:val="0"/>
          <w:divBdr>
            <w:top w:val="none" w:sz="0" w:space="0" w:color="auto"/>
            <w:left w:val="none" w:sz="0" w:space="0" w:color="auto"/>
            <w:bottom w:val="none" w:sz="0" w:space="0" w:color="auto"/>
            <w:right w:val="none" w:sz="0" w:space="0" w:color="auto"/>
          </w:divBdr>
        </w:div>
        <w:div w:id="471559601">
          <w:marLeft w:val="0"/>
          <w:marRight w:val="0"/>
          <w:marTop w:val="0"/>
          <w:marBottom w:val="0"/>
          <w:divBdr>
            <w:top w:val="none" w:sz="0" w:space="0" w:color="auto"/>
            <w:left w:val="none" w:sz="0" w:space="0" w:color="auto"/>
            <w:bottom w:val="none" w:sz="0" w:space="0" w:color="auto"/>
            <w:right w:val="none" w:sz="0" w:space="0" w:color="auto"/>
          </w:divBdr>
        </w:div>
        <w:div w:id="643849716">
          <w:marLeft w:val="0"/>
          <w:marRight w:val="0"/>
          <w:marTop w:val="0"/>
          <w:marBottom w:val="0"/>
          <w:divBdr>
            <w:top w:val="none" w:sz="0" w:space="0" w:color="auto"/>
            <w:left w:val="none" w:sz="0" w:space="0" w:color="auto"/>
            <w:bottom w:val="none" w:sz="0" w:space="0" w:color="auto"/>
            <w:right w:val="none" w:sz="0" w:space="0" w:color="auto"/>
          </w:divBdr>
        </w:div>
        <w:div w:id="782697582">
          <w:marLeft w:val="0"/>
          <w:marRight w:val="0"/>
          <w:marTop w:val="0"/>
          <w:marBottom w:val="0"/>
          <w:divBdr>
            <w:top w:val="none" w:sz="0" w:space="0" w:color="auto"/>
            <w:left w:val="none" w:sz="0" w:space="0" w:color="auto"/>
            <w:bottom w:val="none" w:sz="0" w:space="0" w:color="auto"/>
            <w:right w:val="none" w:sz="0" w:space="0" w:color="auto"/>
          </w:divBdr>
        </w:div>
        <w:div w:id="1101947143">
          <w:marLeft w:val="0"/>
          <w:marRight w:val="0"/>
          <w:marTop w:val="0"/>
          <w:marBottom w:val="0"/>
          <w:divBdr>
            <w:top w:val="none" w:sz="0" w:space="0" w:color="auto"/>
            <w:left w:val="none" w:sz="0" w:space="0" w:color="auto"/>
            <w:bottom w:val="none" w:sz="0" w:space="0" w:color="auto"/>
            <w:right w:val="none" w:sz="0" w:space="0" w:color="auto"/>
          </w:divBdr>
        </w:div>
        <w:div w:id="1220825124">
          <w:marLeft w:val="0"/>
          <w:marRight w:val="0"/>
          <w:marTop w:val="0"/>
          <w:marBottom w:val="0"/>
          <w:divBdr>
            <w:top w:val="none" w:sz="0" w:space="0" w:color="auto"/>
            <w:left w:val="none" w:sz="0" w:space="0" w:color="auto"/>
            <w:bottom w:val="none" w:sz="0" w:space="0" w:color="auto"/>
            <w:right w:val="none" w:sz="0" w:space="0" w:color="auto"/>
          </w:divBdr>
        </w:div>
        <w:div w:id="1343627776">
          <w:marLeft w:val="0"/>
          <w:marRight w:val="0"/>
          <w:marTop w:val="0"/>
          <w:marBottom w:val="0"/>
          <w:divBdr>
            <w:top w:val="none" w:sz="0" w:space="0" w:color="auto"/>
            <w:left w:val="none" w:sz="0" w:space="0" w:color="auto"/>
            <w:bottom w:val="none" w:sz="0" w:space="0" w:color="auto"/>
            <w:right w:val="none" w:sz="0" w:space="0" w:color="auto"/>
          </w:divBdr>
        </w:div>
        <w:div w:id="1383939781">
          <w:marLeft w:val="0"/>
          <w:marRight w:val="0"/>
          <w:marTop w:val="0"/>
          <w:marBottom w:val="0"/>
          <w:divBdr>
            <w:top w:val="none" w:sz="0" w:space="0" w:color="auto"/>
            <w:left w:val="none" w:sz="0" w:space="0" w:color="auto"/>
            <w:bottom w:val="none" w:sz="0" w:space="0" w:color="auto"/>
            <w:right w:val="none" w:sz="0" w:space="0" w:color="auto"/>
          </w:divBdr>
        </w:div>
        <w:div w:id="1682901445">
          <w:marLeft w:val="0"/>
          <w:marRight w:val="0"/>
          <w:marTop w:val="0"/>
          <w:marBottom w:val="0"/>
          <w:divBdr>
            <w:top w:val="none" w:sz="0" w:space="0" w:color="auto"/>
            <w:left w:val="none" w:sz="0" w:space="0" w:color="auto"/>
            <w:bottom w:val="none" w:sz="0" w:space="0" w:color="auto"/>
            <w:right w:val="none" w:sz="0" w:space="0" w:color="auto"/>
          </w:divBdr>
        </w:div>
        <w:div w:id="1899244712">
          <w:marLeft w:val="0"/>
          <w:marRight w:val="0"/>
          <w:marTop w:val="0"/>
          <w:marBottom w:val="0"/>
          <w:divBdr>
            <w:top w:val="none" w:sz="0" w:space="0" w:color="auto"/>
            <w:left w:val="none" w:sz="0" w:space="0" w:color="auto"/>
            <w:bottom w:val="none" w:sz="0" w:space="0" w:color="auto"/>
            <w:right w:val="none" w:sz="0" w:space="0" w:color="auto"/>
          </w:divBdr>
        </w:div>
        <w:div w:id="2003044336">
          <w:marLeft w:val="0"/>
          <w:marRight w:val="0"/>
          <w:marTop w:val="0"/>
          <w:marBottom w:val="0"/>
          <w:divBdr>
            <w:top w:val="none" w:sz="0" w:space="0" w:color="auto"/>
            <w:left w:val="none" w:sz="0" w:space="0" w:color="auto"/>
            <w:bottom w:val="none" w:sz="0" w:space="0" w:color="auto"/>
            <w:right w:val="none" w:sz="0" w:space="0" w:color="auto"/>
          </w:divBdr>
        </w:div>
        <w:div w:id="2038651043">
          <w:marLeft w:val="0"/>
          <w:marRight w:val="0"/>
          <w:marTop w:val="0"/>
          <w:marBottom w:val="0"/>
          <w:divBdr>
            <w:top w:val="none" w:sz="0" w:space="0" w:color="auto"/>
            <w:left w:val="none" w:sz="0" w:space="0" w:color="auto"/>
            <w:bottom w:val="none" w:sz="0" w:space="0" w:color="auto"/>
            <w:right w:val="none" w:sz="0" w:space="0" w:color="auto"/>
          </w:divBdr>
        </w:div>
      </w:divsChild>
    </w:div>
    <w:div w:id="786850473">
      <w:bodyDiv w:val="1"/>
      <w:marLeft w:val="0"/>
      <w:marRight w:val="0"/>
      <w:marTop w:val="0"/>
      <w:marBottom w:val="0"/>
      <w:divBdr>
        <w:top w:val="none" w:sz="0" w:space="0" w:color="auto"/>
        <w:left w:val="none" w:sz="0" w:space="0" w:color="auto"/>
        <w:bottom w:val="none" w:sz="0" w:space="0" w:color="auto"/>
        <w:right w:val="none" w:sz="0" w:space="0" w:color="auto"/>
      </w:divBdr>
      <w:divsChild>
        <w:div w:id="2442773">
          <w:marLeft w:val="0"/>
          <w:marRight w:val="0"/>
          <w:marTop w:val="0"/>
          <w:marBottom w:val="0"/>
          <w:divBdr>
            <w:top w:val="none" w:sz="0" w:space="0" w:color="auto"/>
            <w:left w:val="none" w:sz="0" w:space="0" w:color="auto"/>
            <w:bottom w:val="none" w:sz="0" w:space="0" w:color="auto"/>
            <w:right w:val="none" w:sz="0" w:space="0" w:color="auto"/>
          </w:divBdr>
        </w:div>
        <w:div w:id="12876624">
          <w:marLeft w:val="0"/>
          <w:marRight w:val="0"/>
          <w:marTop w:val="0"/>
          <w:marBottom w:val="0"/>
          <w:divBdr>
            <w:top w:val="none" w:sz="0" w:space="0" w:color="auto"/>
            <w:left w:val="none" w:sz="0" w:space="0" w:color="auto"/>
            <w:bottom w:val="none" w:sz="0" w:space="0" w:color="auto"/>
            <w:right w:val="none" w:sz="0" w:space="0" w:color="auto"/>
          </w:divBdr>
        </w:div>
        <w:div w:id="51395554">
          <w:marLeft w:val="0"/>
          <w:marRight w:val="0"/>
          <w:marTop w:val="0"/>
          <w:marBottom w:val="0"/>
          <w:divBdr>
            <w:top w:val="none" w:sz="0" w:space="0" w:color="auto"/>
            <w:left w:val="none" w:sz="0" w:space="0" w:color="auto"/>
            <w:bottom w:val="none" w:sz="0" w:space="0" w:color="auto"/>
            <w:right w:val="none" w:sz="0" w:space="0" w:color="auto"/>
          </w:divBdr>
        </w:div>
        <w:div w:id="60177252">
          <w:marLeft w:val="0"/>
          <w:marRight w:val="0"/>
          <w:marTop w:val="0"/>
          <w:marBottom w:val="0"/>
          <w:divBdr>
            <w:top w:val="none" w:sz="0" w:space="0" w:color="auto"/>
            <w:left w:val="none" w:sz="0" w:space="0" w:color="auto"/>
            <w:bottom w:val="none" w:sz="0" w:space="0" w:color="auto"/>
            <w:right w:val="none" w:sz="0" w:space="0" w:color="auto"/>
          </w:divBdr>
        </w:div>
        <w:div w:id="95753602">
          <w:marLeft w:val="0"/>
          <w:marRight w:val="0"/>
          <w:marTop w:val="0"/>
          <w:marBottom w:val="0"/>
          <w:divBdr>
            <w:top w:val="none" w:sz="0" w:space="0" w:color="auto"/>
            <w:left w:val="none" w:sz="0" w:space="0" w:color="auto"/>
            <w:bottom w:val="none" w:sz="0" w:space="0" w:color="auto"/>
            <w:right w:val="none" w:sz="0" w:space="0" w:color="auto"/>
          </w:divBdr>
        </w:div>
        <w:div w:id="119423148">
          <w:marLeft w:val="0"/>
          <w:marRight w:val="0"/>
          <w:marTop w:val="0"/>
          <w:marBottom w:val="0"/>
          <w:divBdr>
            <w:top w:val="none" w:sz="0" w:space="0" w:color="auto"/>
            <w:left w:val="none" w:sz="0" w:space="0" w:color="auto"/>
            <w:bottom w:val="none" w:sz="0" w:space="0" w:color="auto"/>
            <w:right w:val="none" w:sz="0" w:space="0" w:color="auto"/>
          </w:divBdr>
        </w:div>
        <w:div w:id="165557739">
          <w:marLeft w:val="0"/>
          <w:marRight w:val="0"/>
          <w:marTop w:val="0"/>
          <w:marBottom w:val="0"/>
          <w:divBdr>
            <w:top w:val="none" w:sz="0" w:space="0" w:color="auto"/>
            <w:left w:val="none" w:sz="0" w:space="0" w:color="auto"/>
            <w:bottom w:val="none" w:sz="0" w:space="0" w:color="auto"/>
            <w:right w:val="none" w:sz="0" w:space="0" w:color="auto"/>
          </w:divBdr>
        </w:div>
        <w:div w:id="202406399">
          <w:marLeft w:val="0"/>
          <w:marRight w:val="0"/>
          <w:marTop w:val="0"/>
          <w:marBottom w:val="0"/>
          <w:divBdr>
            <w:top w:val="none" w:sz="0" w:space="0" w:color="auto"/>
            <w:left w:val="none" w:sz="0" w:space="0" w:color="auto"/>
            <w:bottom w:val="none" w:sz="0" w:space="0" w:color="auto"/>
            <w:right w:val="none" w:sz="0" w:space="0" w:color="auto"/>
          </w:divBdr>
        </w:div>
        <w:div w:id="235213439">
          <w:marLeft w:val="0"/>
          <w:marRight w:val="0"/>
          <w:marTop w:val="0"/>
          <w:marBottom w:val="0"/>
          <w:divBdr>
            <w:top w:val="none" w:sz="0" w:space="0" w:color="auto"/>
            <w:left w:val="none" w:sz="0" w:space="0" w:color="auto"/>
            <w:bottom w:val="none" w:sz="0" w:space="0" w:color="auto"/>
            <w:right w:val="none" w:sz="0" w:space="0" w:color="auto"/>
          </w:divBdr>
        </w:div>
        <w:div w:id="243417196">
          <w:marLeft w:val="0"/>
          <w:marRight w:val="0"/>
          <w:marTop w:val="0"/>
          <w:marBottom w:val="0"/>
          <w:divBdr>
            <w:top w:val="none" w:sz="0" w:space="0" w:color="auto"/>
            <w:left w:val="none" w:sz="0" w:space="0" w:color="auto"/>
            <w:bottom w:val="none" w:sz="0" w:space="0" w:color="auto"/>
            <w:right w:val="none" w:sz="0" w:space="0" w:color="auto"/>
          </w:divBdr>
        </w:div>
        <w:div w:id="249511466">
          <w:marLeft w:val="0"/>
          <w:marRight w:val="0"/>
          <w:marTop w:val="0"/>
          <w:marBottom w:val="0"/>
          <w:divBdr>
            <w:top w:val="none" w:sz="0" w:space="0" w:color="auto"/>
            <w:left w:val="none" w:sz="0" w:space="0" w:color="auto"/>
            <w:bottom w:val="none" w:sz="0" w:space="0" w:color="auto"/>
            <w:right w:val="none" w:sz="0" w:space="0" w:color="auto"/>
          </w:divBdr>
        </w:div>
        <w:div w:id="279726222">
          <w:marLeft w:val="0"/>
          <w:marRight w:val="0"/>
          <w:marTop w:val="0"/>
          <w:marBottom w:val="0"/>
          <w:divBdr>
            <w:top w:val="none" w:sz="0" w:space="0" w:color="auto"/>
            <w:left w:val="none" w:sz="0" w:space="0" w:color="auto"/>
            <w:bottom w:val="none" w:sz="0" w:space="0" w:color="auto"/>
            <w:right w:val="none" w:sz="0" w:space="0" w:color="auto"/>
          </w:divBdr>
        </w:div>
        <w:div w:id="294601783">
          <w:marLeft w:val="0"/>
          <w:marRight w:val="0"/>
          <w:marTop w:val="0"/>
          <w:marBottom w:val="0"/>
          <w:divBdr>
            <w:top w:val="none" w:sz="0" w:space="0" w:color="auto"/>
            <w:left w:val="none" w:sz="0" w:space="0" w:color="auto"/>
            <w:bottom w:val="none" w:sz="0" w:space="0" w:color="auto"/>
            <w:right w:val="none" w:sz="0" w:space="0" w:color="auto"/>
          </w:divBdr>
        </w:div>
        <w:div w:id="308830805">
          <w:marLeft w:val="0"/>
          <w:marRight w:val="0"/>
          <w:marTop w:val="0"/>
          <w:marBottom w:val="0"/>
          <w:divBdr>
            <w:top w:val="none" w:sz="0" w:space="0" w:color="auto"/>
            <w:left w:val="none" w:sz="0" w:space="0" w:color="auto"/>
            <w:bottom w:val="none" w:sz="0" w:space="0" w:color="auto"/>
            <w:right w:val="none" w:sz="0" w:space="0" w:color="auto"/>
          </w:divBdr>
        </w:div>
        <w:div w:id="316494605">
          <w:marLeft w:val="0"/>
          <w:marRight w:val="0"/>
          <w:marTop w:val="0"/>
          <w:marBottom w:val="0"/>
          <w:divBdr>
            <w:top w:val="none" w:sz="0" w:space="0" w:color="auto"/>
            <w:left w:val="none" w:sz="0" w:space="0" w:color="auto"/>
            <w:bottom w:val="none" w:sz="0" w:space="0" w:color="auto"/>
            <w:right w:val="none" w:sz="0" w:space="0" w:color="auto"/>
          </w:divBdr>
        </w:div>
        <w:div w:id="357704897">
          <w:marLeft w:val="0"/>
          <w:marRight w:val="0"/>
          <w:marTop w:val="0"/>
          <w:marBottom w:val="0"/>
          <w:divBdr>
            <w:top w:val="none" w:sz="0" w:space="0" w:color="auto"/>
            <w:left w:val="none" w:sz="0" w:space="0" w:color="auto"/>
            <w:bottom w:val="none" w:sz="0" w:space="0" w:color="auto"/>
            <w:right w:val="none" w:sz="0" w:space="0" w:color="auto"/>
          </w:divBdr>
        </w:div>
        <w:div w:id="371809144">
          <w:marLeft w:val="0"/>
          <w:marRight w:val="0"/>
          <w:marTop w:val="0"/>
          <w:marBottom w:val="0"/>
          <w:divBdr>
            <w:top w:val="none" w:sz="0" w:space="0" w:color="auto"/>
            <w:left w:val="none" w:sz="0" w:space="0" w:color="auto"/>
            <w:bottom w:val="none" w:sz="0" w:space="0" w:color="auto"/>
            <w:right w:val="none" w:sz="0" w:space="0" w:color="auto"/>
          </w:divBdr>
        </w:div>
        <w:div w:id="375277701">
          <w:marLeft w:val="0"/>
          <w:marRight w:val="0"/>
          <w:marTop w:val="0"/>
          <w:marBottom w:val="0"/>
          <w:divBdr>
            <w:top w:val="none" w:sz="0" w:space="0" w:color="auto"/>
            <w:left w:val="none" w:sz="0" w:space="0" w:color="auto"/>
            <w:bottom w:val="none" w:sz="0" w:space="0" w:color="auto"/>
            <w:right w:val="none" w:sz="0" w:space="0" w:color="auto"/>
          </w:divBdr>
        </w:div>
        <w:div w:id="386222979">
          <w:marLeft w:val="0"/>
          <w:marRight w:val="0"/>
          <w:marTop w:val="0"/>
          <w:marBottom w:val="0"/>
          <w:divBdr>
            <w:top w:val="none" w:sz="0" w:space="0" w:color="auto"/>
            <w:left w:val="none" w:sz="0" w:space="0" w:color="auto"/>
            <w:bottom w:val="none" w:sz="0" w:space="0" w:color="auto"/>
            <w:right w:val="none" w:sz="0" w:space="0" w:color="auto"/>
          </w:divBdr>
        </w:div>
        <w:div w:id="390663439">
          <w:marLeft w:val="0"/>
          <w:marRight w:val="0"/>
          <w:marTop w:val="0"/>
          <w:marBottom w:val="0"/>
          <w:divBdr>
            <w:top w:val="none" w:sz="0" w:space="0" w:color="auto"/>
            <w:left w:val="none" w:sz="0" w:space="0" w:color="auto"/>
            <w:bottom w:val="none" w:sz="0" w:space="0" w:color="auto"/>
            <w:right w:val="none" w:sz="0" w:space="0" w:color="auto"/>
          </w:divBdr>
        </w:div>
        <w:div w:id="405496475">
          <w:marLeft w:val="0"/>
          <w:marRight w:val="0"/>
          <w:marTop w:val="0"/>
          <w:marBottom w:val="0"/>
          <w:divBdr>
            <w:top w:val="none" w:sz="0" w:space="0" w:color="auto"/>
            <w:left w:val="none" w:sz="0" w:space="0" w:color="auto"/>
            <w:bottom w:val="none" w:sz="0" w:space="0" w:color="auto"/>
            <w:right w:val="none" w:sz="0" w:space="0" w:color="auto"/>
          </w:divBdr>
        </w:div>
        <w:div w:id="469054932">
          <w:marLeft w:val="0"/>
          <w:marRight w:val="0"/>
          <w:marTop w:val="0"/>
          <w:marBottom w:val="0"/>
          <w:divBdr>
            <w:top w:val="none" w:sz="0" w:space="0" w:color="auto"/>
            <w:left w:val="none" w:sz="0" w:space="0" w:color="auto"/>
            <w:bottom w:val="none" w:sz="0" w:space="0" w:color="auto"/>
            <w:right w:val="none" w:sz="0" w:space="0" w:color="auto"/>
          </w:divBdr>
        </w:div>
        <w:div w:id="479351108">
          <w:marLeft w:val="0"/>
          <w:marRight w:val="0"/>
          <w:marTop w:val="0"/>
          <w:marBottom w:val="0"/>
          <w:divBdr>
            <w:top w:val="none" w:sz="0" w:space="0" w:color="auto"/>
            <w:left w:val="none" w:sz="0" w:space="0" w:color="auto"/>
            <w:bottom w:val="none" w:sz="0" w:space="0" w:color="auto"/>
            <w:right w:val="none" w:sz="0" w:space="0" w:color="auto"/>
          </w:divBdr>
        </w:div>
        <w:div w:id="555120508">
          <w:marLeft w:val="0"/>
          <w:marRight w:val="0"/>
          <w:marTop w:val="0"/>
          <w:marBottom w:val="0"/>
          <w:divBdr>
            <w:top w:val="none" w:sz="0" w:space="0" w:color="auto"/>
            <w:left w:val="none" w:sz="0" w:space="0" w:color="auto"/>
            <w:bottom w:val="none" w:sz="0" w:space="0" w:color="auto"/>
            <w:right w:val="none" w:sz="0" w:space="0" w:color="auto"/>
          </w:divBdr>
        </w:div>
        <w:div w:id="580526334">
          <w:marLeft w:val="0"/>
          <w:marRight w:val="0"/>
          <w:marTop w:val="0"/>
          <w:marBottom w:val="0"/>
          <w:divBdr>
            <w:top w:val="none" w:sz="0" w:space="0" w:color="auto"/>
            <w:left w:val="none" w:sz="0" w:space="0" w:color="auto"/>
            <w:bottom w:val="none" w:sz="0" w:space="0" w:color="auto"/>
            <w:right w:val="none" w:sz="0" w:space="0" w:color="auto"/>
          </w:divBdr>
        </w:div>
        <w:div w:id="602952756">
          <w:marLeft w:val="0"/>
          <w:marRight w:val="0"/>
          <w:marTop w:val="0"/>
          <w:marBottom w:val="0"/>
          <w:divBdr>
            <w:top w:val="none" w:sz="0" w:space="0" w:color="auto"/>
            <w:left w:val="none" w:sz="0" w:space="0" w:color="auto"/>
            <w:bottom w:val="none" w:sz="0" w:space="0" w:color="auto"/>
            <w:right w:val="none" w:sz="0" w:space="0" w:color="auto"/>
          </w:divBdr>
        </w:div>
        <w:div w:id="621814501">
          <w:marLeft w:val="0"/>
          <w:marRight w:val="0"/>
          <w:marTop w:val="0"/>
          <w:marBottom w:val="0"/>
          <w:divBdr>
            <w:top w:val="none" w:sz="0" w:space="0" w:color="auto"/>
            <w:left w:val="none" w:sz="0" w:space="0" w:color="auto"/>
            <w:bottom w:val="none" w:sz="0" w:space="0" w:color="auto"/>
            <w:right w:val="none" w:sz="0" w:space="0" w:color="auto"/>
          </w:divBdr>
        </w:div>
        <w:div w:id="653415286">
          <w:marLeft w:val="0"/>
          <w:marRight w:val="0"/>
          <w:marTop w:val="0"/>
          <w:marBottom w:val="0"/>
          <w:divBdr>
            <w:top w:val="none" w:sz="0" w:space="0" w:color="auto"/>
            <w:left w:val="none" w:sz="0" w:space="0" w:color="auto"/>
            <w:bottom w:val="none" w:sz="0" w:space="0" w:color="auto"/>
            <w:right w:val="none" w:sz="0" w:space="0" w:color="auto"/>
          </w:divBdr>
        </w:div>
        <w:div w:id="711805780">
          <w:marLeft w:val="0"/>
          <w:marRight w:val="0"/>
          <w:marTop w:val="0"/>
          <w:marBottom w:val="0"/>
          <w:divBdr>
            <w:top w:val="none" w:sz="0" w:space="0" w:color="auto"/>
            <w:left w:val="none" w:sz="0" w:space="0" w:color="auto"/>
            <w:bottom w:val="none" w:sz="0" w:space="0" w:color="auto"/>
            <w:right w:val="none" w:sz="0" w:space="0" w:color="auto"/>
          </w:divBdr>
        </w:div>
        <w:div w:id="712728199">
          <w:marLeft w:val="0"/>
          <w:marRight w:val="0"/>
          <w:marTop w:val="0"/>
          <w:marBottom w:val="0"/>
          <w:divBdr>
            <w:top w:val="none" w:sz="0" w:space="0" w:color="auto"/>
            <w:left w:val="none" w:sz="0" w:space="0" w:color="auto"/>
            <w:bottom w:val="none" w:sz="0" w:space="0" w:color="auto"/>
            <w:right w:val="none" w:sz="0" w:space="0" w:color="auto"/>
          </w:divBdr>
        </w:div>
        <w:div w:id="749692282">
          <w:marLeft w:val="0"/>
          <w:marRight w:val="0"/>
          <w:marTop w:val="0"/>
          <w:marBottom w:val="0"/>
          <w:divBdr>
            <w:top w:val="none" w:sz="0" w:space="0" w:color="auto"/>
            <w:left w:val="none" w:sz="0" w:space="0" w:color="auto"/>
            <w:bottom w:val="none" w:sz="0" w:space="0" w:color="auto"/>
            <w:right w:val="none" w:sz="0" w:space="0" w:color="auto"/>
          </w:divBdr>
        </w:div>
        <w:div w:id="800462626">
          <w:marLeft w:val="0"/>
          <w:marRight w:val="0"/>
          <w:marTop w:val="0"/>
          <w:marBottom w:val="0"/>
          <w:divBdr>
            <w:top w:val="none" w:sz="0" w:space="0" w:color="auto"/>
            <w:left w:val="none" w:sz="0" w:space="0" w:color="auto"/>
            <w:bottom w:val="none" w:sz="0" w:space="0" w:color="auto"/>
            <w:right w:val="none" w:sz="0" w:space="0" w:color="auto"/>
          </w:divBdr>
        </w:div>
        <w:div w:id="823593748">
          <w:marLeft w:val="0"/>
          <w:marRight w:val="0"/>
          <w:marTop w:val="0"/>
          <w:marBottom w:val="0"/>
          <w:divBdr>
            <w:top w:val="none" w:sz="0" w:space="0" w:color="auto"/>
            <w:left w:val="none" w:sz="0" w:space="0" w:color="auto"/>
            <w:bottom w:val="none" w:sz="0" w:space="0" w:color="auto"/>
            <w:right w:val="none" w:sz="0" w:space="0" w:color="auto"/>
          </w:divBdr>
        </w:div>
        <w:div w:id="828667190">
          <w:marLeft w:val="0"/>
          <w:marRight w:val="0"/>
          <w:marTop w:val="0"/>
          <w:marBottom w:val="0"/>
          <w:divBdr>
            <w:top w:val="none" w:sz="0" w:space="0" w:color="auto"/>
            <w:left w:val="none" w:sz="0" w:space="0" w:color="auto"/>
            <w:bottom w:val="none" w:sz="0" w:space="0" w:color="auto"/>
            <w:right w:val="none" w:sz="0" w:space="0" w:color="auto"/>
          </w:divBdr>
        </w:div>
        <w:div w:id="841626961">
          <w:marLeft w:val="0"/>
          <w:marRight w:val="0"/>
          <w:marTop w:val="0"/>
          <w:marBottom w:val="0"/>
          <w:divBdr>
            <w:top w:val="none" w:sz="0" w:space="0" w:color="auto"/>
            <w:left w:val="none" w:sz="0" w:space="0" w:color="auto"/>
            <w:bottom w:val="none" w:sz="0" w:space="0" w:color="auto"/>
            <w:right w:val="none" w:sz="0" w:space="0" w:color="auto"/>
          </w:divBdr>
        </w:div>
        <w:div w:id="974480622">
          <w:marLeft w:val="0"/>
          <w:marRight w:val="0"/>
          <w:marTop w:val="0"/>
          <w:marBottom w:val="0"/>
          <w:divBdr>
            <w:top w:val="none" w:sz="0" w:space="0" w:color="auto"/>
            <w:left w:val="none" w:sz="0" w:space="0" w:color="auto"/>
            <w:bottom w:val="none" w:sz="0" w:space="0" w:color="auto"/>
            <w:right w:val="none" w:sz="0" w:space="0" w:color="auto"/>
          </w:divBdr>
        </w:div>
        <w:div w:id="988249778">
          <w:marLeft w:val="0"/>
          <w:marRight w:val="0"/>
          <w:marTop w:val="0"/>
          <w:marBottom w:val="0"/>
          <w:divBdr>
            <w:top w:val="none" w:sz="0" w:space="0" w:color="auto"/>
            <w:left w:val="none" w:sz="0" w:space="0" w:color="auto"/>
            <w:bottom w:val="none" w:sz="0" w:space="0" w:color="auto"/>
            <w:right w:val="none" w:sz="0" w:space="0" w:color="auto"/>
          </w:divBdr>
        </w:div>
        <w:div w:id="1051660297">
          <w:marLeft w:val="0"/>
          <w:marRight w:val="0"/>
          <w:marTop w:val="0"/>
          <w:marBottom w:val="0"/>
          <w:divBdr>
            <w:top w:val="none" w:sz="0" w:space="0" w:color="auto"/>
            <w:left w:val="none" w:sz="0" w:space="0" w:color="auto"/>
            <w:bottom w:val="none" w:sz="0" w:space="0" w:color="auto"/>
            <w:right w:val="none" w:sz="0" w:space="0" w:color="auto"/>
          </w:divBdr>
        </w:div>
        <w:div w:id="1053382718">
          <w:marLeft w:val="0"/>
          <w:marRight w:val="0"/>
          <w:marTop w:val="0"/>
          <w:marBottom w:val="0"/>
          <w:divBdr>
            <w:top w:val="none" w:sz="0" w:space="0" w:color="auto"/>
            <w:left w:val="none" w:sz="0" w:space="0" w:color="auto"/>
            <w:bottom w:val="none" w:sz="0" w:space="0" w:color="auto"/>
            <w:right w:val="none" w:sz="0" w:space="0" w:color="auto"/>
          </w:divBdr>
        </w:div>
        <w:div w:id="1100219483">
          <w:marLeft w:val="0"/>
          <w:marRight w:val="0"/>
          <w:marTop w:val="0"/>
          <w:marBottom w:val="0"/>
          <w:divBdr>
            <w:top w:val="none" w:sz="0" w:space="0" w:color="auto"/>
            <w:left w:val="none" w:sz="0" w:space="0" w:color="auto"/>
            <w:bottom w:val="none" w:sz="0" w:space="0" w:color="auto"/>
            <w:right w:val="none" w:sz="0" w:space="0" w:color="auto"/>
          </w:divBdr>
        </w:div>
        <w:div w:id="1147431419">
          <w:marLeft w:val="0"/>
          <w:marRight w:val="0"/>
          <w:marTop w:val="0"/>
          <w:marBottom w:val="0"/>
          <w:divBdr>
            <w:top w:val="none" w:sz="0" w:space="0" w:color="auto"/>
            <w:left w:val="none" w:sz="0" w:space="0" w:color="auto"/>
            <w:bottom w:val="none" w:sz="0" w:space="0" w:color="auto"/>
            <w:right w:val="none" w:sz="0" w:space="0" w:color="auto"/>
          </w:divBdr>
        </w:div>
        <w:div w:id="1169174488">
          <w:marLeft w:val="0"/>
          <w:marRight w:val="0"/>
          <w:marTop w:val="0"/>
          <w:marBottom w:val="0"/>
          <w:divBdr>
            <w:top w:val="none" w:sz="0" w:space="0" w:color="auto"/>
            <w:left w:val="none" w:sz="0" w:space="0" w:color="auto"/>
            <w:bottom w:val="none" w:sz="0" w:space="0" w:color="auto"/>
            <w:right w:val="none" w:sz="0" w:space="0" w:color="auto"/>
          </w:divBdr>
        </w:div>
        <w:div w:id="1272277106">
          <w:marLeft w:val="0"/>
          <w:marRight w:val="0"/>
          <w:marTop w:val="0"/>
          <w:marBottom w:val="0"/>
          <w:divBdr>
            <w:top w:val="none" w:sz="0" w:space="0" w:color="auto"/>
            <w:left w:val="none" w:sz="0" w:space="0" w:color="auto"/>
            <w:bottom w:val="none" w:sz="0" w:space="0" w:color="auto"/>
            <w:right w:val="none" w:sz="0" w:space="0" w:color="auto"/>
          </w:divBdr>
        </w:div>
        <w:div w:id="1277173451">
          <w:marLeft w:val="0"/>
          <w:marRight w:val="0"/>
          <w:marTop w:val="0"/>
          <w:marBottom w:val="0"/>
          <w:divBdr>
            <w:top w:val="none" w:sz="0" w:space="0" w:color="auto"/>
            <w:left w:val="none" w:sz="0" w:space="0" w:color="auto"/>
            <w:bottom w:val="none" w:sz="0" w:space="0" w:color="auto"/>
            <w:right w:val="none" w:sz="0" w:space="0" w:color="auto"/>
          </w:divBdr>
        </w:div>
        <w:div w:id="1401094701">
          <w:marLeft w:val="0"/>
          <w:marRight w:val="0"/>
          <w:marTop w:val="0"/>
          <w:marBottom w:val="0"/>
          <w:divBdr>
            <w:top w:val="none" w:sz="0" w:space="0" w:color="auto"/>
            <w:left w:val="none" w:sz="0" w:space="0" w:color="auto"/>
            <w:bottom w:val="none" w:sz="0" w:space="0" w:color="auto"/>
            <w:right w:val="none" w:sz="0" w:space="0" w:color="auto"/>
          </w:divBdr>
        </w:div>
        <w:div w:id="1456824263">
          <w:marLeft w:val="0"/>
          <w:marRight w:val="0"/>
          <w:marTop w:val="0"/>
          <w:marBottom w:val="0"/>
          <w:divBdr>
            <w:top w:val="none" w:sz="0" w:space="0" w:color="auto"/>
            <w:left w:val="none" w:sz="0" w:space="0" w:color="auto"/>
            <w:bottom w:val="none" w:sz="0" w:space="0" w:color="auto"/>
            <w:right w:val="none" w:sz="0" w:space="0" w:color="auto"/>
          </w:divBdr>
        </w:div>
        <w:div w:id="1537965699">
          <w:marLeft w:val="0"/>
          <w:marRight w:val="0"/>
          <w:marTop w:val="0"/>
          <w:marBottom w:val="0"/>
          <w:divBdr>
            <w:top w:val="none" w:sz="0" w:space="0" w:color="auto"/>
            <w:left w:val="none" w:sz="0" w:space="0" w:color="auto"/>
            <w:bottom w:val="none" w:sz="0" w:space="0" w:color="auto"/>
            <w:right w:val="none" w:sz="0" w:space="0" w:color="auto"/>
          </w:divBdr>
        </w:div>
        <w:div w:id="1548184017">
          <w:marLeft w:val="0"/>
          <w:marRight w:val="0"/>
          <w:marTop w:val="0"/>
          <w:marBottom w:val="0"/>
          <w:divBdr>
            <w:top w:val="none" w:sz="0" w:space="0" w:color="auto"/>
            <w:left w:val="none" w:sz="0" w:space="0" w:color="auto"/>
            <w:bottom w:val="none" w:sz="0" w:space="0" w:color="auto"/>
            <w:right w:val="none" w:sz="0" w:space="0" w:color="auto"/>
          </w:divBdr>
        </w:div>
        <w:div w:id="1598829045">
          <w:marLeft w:val="0"/>
          <w:marRight w:val="0"/>
          <w:marTop w:val="0"/>
          <w:marBottom w:val="0"/>
          <w:divBdr>
            <w:top w:val="none" w:sz="0" w:space="0" w:color="auto"/>
            <w:left w:val="none" w:sz="0" w:space="0" w:color="auto"/>
            <w:bottom w:val="none" w:sz="0" w:space="0" w:color="auto"/>
            <w:right w:val="none" w:sz="0" w:space="0" w:color="auto"/>
          </w:divBdr>
        </w:div>
        <w:div w:id="1614628121">
          <w:marLeft w:val="0"/>
          <w:marRight w:val="0"/>
          <w:marTop w:val="0"/>
          <w:marBottom w:val="0"/>
          <w:divBdr>
            <w:top w:val="none" w:sz="0" w:space="0" w:color="auto"/>
            <w:left w:val="none" w:sz="0" w:space="0" w:color="auto"/>
            <w:bottom w:val="none" w:sz="0" w:space="0" w:color="auto"/>
            <w:right w:val="none" w:sz="0" w:space="0" w:color="auto"/>
          </w:divBdr>
        </w:div>
        <w:div w:id="1728870578">
          <w:marLeft w:val="0"/>
          <w:marRight w:val="0"/>
          <w:marTop w:val="0"/>
          <w:marBottom w:val="0"/>
          <w:divBdr>
            <w:top w:val="none" w:sz="0" w:space="0" w:color="auto"/>
            <w:left w:val="none" w:sz="0" w:space="0" w:color="auto"/>
            <w:bottom w:val="none" w:sz="0" w:space="0" w:color="auto"/>
            <w:right w:val="none" w:sz="0" w:space="0" w:color="auto"/>
          </w:divBdr>
        </w:div>
        <w:div w:id="1754158391">
          <w:marLeft w:val="0"/>
          <w:marRight w:val="0"/>
          <w:marTop w:val="0"/>
          <w:marBottom w:val="0"/>
          <w:divBdr>
            <w:top w:val="none" w:sz="0" w:space="0" w:color="auto"/>
            <w:left w:val="none" w:sz="0" w:space="0" w:color="auto"/>
            <w:bottom w:val="none" w:sz="0" w:space="0" w:color="auto"/>
            <w:right w:val="none" w:sz="0" w:space="0" w:color="auto"/>
          </w:divBdr>
        </w:div>
        <w:div w:id="1774590973">
          <w:marLeft w:val="0"/>
          <w:marRight w:val="0"/>
          <w:marTop w:val="0"/>
          <w:marBottom w:val="0"/>
          <w:divBdr>
            <w:top w:val="none" w:sz="0" w:space="0" w:color="auto"/>
            <w:left w:val="none" w:sz="0" w:space="0" w:color="auto"/>
            <w:bottom w:val="none" w:sz="0" w:space="0" w:color="auto"/>
            <w:right w:val="none" w:sz="0" w:space="0" w:color="auto"/>
          </w:divBdr>
        </w:div>
        <w:div w:id="1822652755">
          <w:marLeft w:val="0"/>
          <w:marRight w:val="0"/>
          <w:marTop w:val="0"/>
          <w:marBottom w:val="0"/>
          <w:divBdr>
            <w:top w:val="none" w:sz="0" w:space="0" w:color="auto"/>
            <w:left w:val="none" w:sz="0" w:space="0" w:color="auto"/>
            <w:bottom w:val="none" w:sz="0" w:space="0" w:color="auto"/>
            <w:right w:val="none" w:sz="0" w:space="0" w:color="auto"/>
          </w:divBdr>
        </w:div>
        <w:div w:id="1824855153">
          <w:marLeft w:val="0"/>
          <w:marRight w:val="0"/>
          <w:marTop w:val="0"/>
          <w:marBottom w:val="0"/>
          <w:divBdr>
            <w:top w:val="none" w:sz="0" w:space="0" w:color="auto"/>
            <w:left w:val="none" w:sz="0" w:space="0" w:color="auto"/>
            <w:bottom w:val="none" w:sz="0" w:space="0" w:color="auto"/>
            <w:right w:val="none" w:sz="0" w:space="0" w:color="auto"/>
          </w:divBdr>
        </w:div>
        <w:div w:id="1830245399">
          <w:marLeft w:val="0"/>
          <w:marRight w:val="0"/>
          <w:marTop w:val="0"/>
          <w:marBottom w:val="0"/>
          <w:divBdr>
            <w:top w:val="none" w:sz="0" w:space="0" w:color="auto"/>
            <w:left w:val="none" w:sz="0" w:space="0" w:color="auto"/>
            <w:bottom w:val="none" w:sz="0" w:space="0" w:color="auto"/>
            <w:right w:val="none" w:sz="0" w:space="0" w:color="auto"/>
          </w:divBdr>
        </w:div>
        <w:div w:id="1899777231">
          <w:marLeft w:val="0"/>
          <w:marRight w:val="0"/>
          <w:marTop w:val="0"/>
          <w:marBottom w:val="0"/>
          <w:divBdr>
            <w:top w:val="none" w:sz="0" w:space="0" w:color="auto"/>
            <w:left w:val="none" w:sz="0" w:space="0" w:color="auto"/>
            <w:bottom w:val="none" w:sz="0" w:space="0" w:color="auto"/>
            <w:right w:val="none" w:sz="0" w:space="0" w:color="auto"/>
          </w:divBdr>
        </w:div>
        <w:div w:id="1941638045">
          <w:marLeft w:val="0"/>
          <w:marRight w:val="0"/>
          <w:marTop w:val="0"/>
          <w:marBottom w:val="0"/>
          <w:divBdr>
            <w:top w:val="none" w:sz="0" w:space="0" w:color="auto"/>
            <w:left w:val="none" w:sz="0" w:space="0" w:color="auto"/>
            <w:bottom w:val="none" w:sz="0" w:space="0" w:color="auto"/>
            <w:right w:val="none" w:sz="0" w:space="0" w:color="auto"/>
          </w:divBdr>
        </w:div>
        <w:div w:id="1943105327">
          <w:marLeft w:val="0"/>
          <w:marRight w:val="0"/>
          <w:marTop w:val="0"/>
          <w:marBottom w:val="0"/>
          <w:divBdr>
            <w:top w:val="none" w:sz="0" w:space="0" w:color="auto"/>
            <w:left w:val="none" w:sz="0" w:space="0" w:color="auto"/>
            <w:bottom w:val="none" w:sz="0" w:space="0" w:color="auto"/>
            <w:right w:val="none" w:sz="0" w:space="0" w:color="auto"/>
          </w:divBdr>
        </w:div>
        <w:div w:id="1980986998">
          <w:marLeft w:val="0"/>
          <w:marRight w:val="0"/>
          <w:marTop w:val="0"/>
          <w:marBottom w:val="0"/>
          <w:divBdr>
            <w:top w:val="none" w:sz="0" w:space="0" w:color="auto"/>
            <w:left w:val="none" w:sz="0" w:space="0" w:color="auto"/>
            <w:bottom w:val="none" w:sz="0" w:space="0" w:color="auto"/>
            <w:right w:val="none" w:sz="0" w:space="0" w:color="auto"/>
          </w:divBdr>
        </w:div>
        <w:div w:id="2009746403">
          <w:marLeft w:val="0"/>
          <w:marRight w:val="0"/>
          <w:marTop w:val="0"/>
          <w:marBottom w:val="0"/>
          <w:divBdr>
            <w:top w:val="none" w:sz="0" w:space="0" w:color="auto"/>
            <w:left w:val="none" w:sz="0" w:space="0" w:color="auto"/>
            <w:bottom w:val="none" w:sz="0" w:space="0" w:color="auto"/>
            <w:right w:val="none" w:sz="0" w:space="0" w:color="auto"/>
          </w:divBdr>
        </w:div>
        <w:div w:id="2017921415">
          <w:marLeft w:val="0"/>
          <w:marRight w:val="0"/>
          <w:marTop w:val="0"/>
          <w:marBottom w:val="0"/>
          <w:divBdr>
            <w:top w:val="none" w:sz="0" w:space="0" w:color="auto"/>
            <w:left w:val="none" w:sz="0" w:space="0" w:color="auto"/>
            <w:bottom w:val="none" w:sz="0" w:space="0" w:color="auto"/>
            <w:right w:val="none" w:sz="0" w:space="0" w:color="auto"/>
          </w:divBdr>
        </w:div>
        <w:div w:id="2038118175">
          <w:marLeft w:val="0"/>
          <w:marRight w:val="0"/>
          <w:marTop w:val="0"/>
          <w:marBottom w:val="0"/>
          <w:divBdr>
            <w:top w:val="none" w:sz="0" w:space="0" w:color="auto"/>
            <w:left w:val="none" w:sz="0" w:space="0" w:color="auto"/>
            <w:bottom w:val="none" w:sz="0" w:space="0" w:color="auto"/>
            <w:right w:val="none" w:sz="0" w:space="0" w:color="auto"/>
          </w:divBdr>
        </w:div>
        <w:div w:id="2064983344">
          <w:marLeft w:val="0"/>
          <w:marRight w:val="0"/>
          <w:marTop w:val="0"/>
          <w:marBottom w:val="0"/>
          <w:divBdr>
            <w:top w:val="none" w:sz="0" w:space="0" w:color="auto"/>
            <w:left w:val="none" w:sz="0" w:space="0" w:color="auto"/>
            <w:bottom w:val="none" w:sz="0" w:space="0" w:color="auto"/>
            <w:right w:val="none" w:sz="0" w:space="0" w:color="auto"/>
          </w:divBdr>
        </w:div>
      </w:divsChild>
    </w:div>
    <w:div w:id="824707420">
      <w:bodyDiv w:val="1"/>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
        <w:div w:id="46536068">
          <w:marLeft w:val="0"/>
          <w:marRight w:val="0"/>
          <w:marTop w:val="0"/>
          <w:marBottom w:val="0"/>
          <w:divBdr>
            <w:top w:val="none" w:sz="0" w:space="0" w:color="auto"/>
            <w:left w:val="none" w:sz="0" w:space="0" w:color="auto"/>
            <w:bottom w:val="none" w:sz="0" w:space="0" w:color="auto"/>
            <w:right w:val="none" w:sz="0" w:space="0" w:color="auto"/>
          </w:divBdr>
        </w:div>
        <w:div w:id="59909037">
          <w:marLeft w:val="0"/>
          <w:marRight w:val="0"/>
          <w:marTop w:val="0"/>
          <w:marBottom w:val="0"/>
          <w:divBdr>
            <w:top w:val="none" w:sz="0" w:space="0" w:color="auto"/>
            <w:left w:val="none" w:sz="0" w:space="0" w:color="auto"/>
            <w:bottom w:val="none" w:sz="0" w:space="0" w:color="auto"/>
            <w:right w:val="none" w:sz="0" w:space="0" w:color="auto"/>
          </w:divBdr>
        </w:div>
        <w:div w:id="742784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2941819">
          <w:marLeft w:val="0"/>
          <w:marRight w:val="0"/>
          <w:marTop w:val="0"/>
          <w:marBottom w:val="0"/>
          <w:divBdr>
            <w:top w:val="none" w:sz="0" w:space="0" w:color="auto"/>
            <w:left w:val="none" w:sz="0" w:space="0" w:color="auto"/>
            <w:bottom w:val="none" w:sz="0" w:space="0" w:color="auto"/>
            <w:right w:val="none" w:sz="0" w:space="0" w:color="auto"/>
          </w:divBdr>
        </w:div>
        <w:div w:id="107966733">
          <w:marLeft w:val="0"/>
          <w:marRight w:val="0"/>
          <w:marTop w:val="0"/>
          <w:marBottom w:val="0"/>
          <w:divBdr>
            <w:top w:val="none" w:sz="0" w:space="0" w:color="auto"/>
            <w:left w:val="none" w:sz="0" w:space="0" w:color="auto"/>
            <w:bottom w:val="none" w:sz="0" w:space="0" w:color="auto"/>
            <w:right w:val="none" w:sz="0" w:space="0" w:color="auto"/>
          </w:divBdr>
        </w:div>
        <w:div w:id="108625899">
          <w:marLeft w:val="0"/>
          <w:marRight w:val="0"/>
          <w:marTop w:val="0"/>
          <w:marBottom w:val="0"/>
          <w:divBdr>
            <w:top w:val="none" w:sz="0" w:space="0" w:color="auto"/>
            <w:left w:val="none" w:sz="0" w:space="0" w:color="auto"/>
            <w:bottom w:val="none" w:sz="0" w:space="0" w:color="auto"/>
            <w:right w:val="none" w:sz="0" w:space="0" w:color="auto"/>
          </w:divBdr>
        </w:div>
        <w:div w:id="109516089">
          <w:marLeft w:val="0"/>
          <w:marRight w:val="0"/>
          <w:marTop w:val="0"/>
          <w:marBottom w:val="0"/>
          <w:divBdr>
            <w:top w:val="none" w:sz="0" w:space="0" w:color="auto"/>
            <w:left w:val="none" w:sz="0" w:space="0" w:color="auto"/>
            <w:bottom w:val="none" w:sz="0" w:space="0" w:color="auto"/>
            <w:right w:val="none" w:sz="0" w:space="0" w:color="auto"/>
          </w:divBdr>
        </w:div>
        <w:div w:id="149487821">
          <w:marLeft w:val="0"/>
          <w:marRight w:val="0"/>
          <w:marTop w:val="0"/>
          <w:marBottom w:val="0"/>
          <w:divBdr>
            <w:top w:val="none" w:sz="0" w:space="0" w:color="auto"/>
            <w:left w:val="none" w:sz="0" w:space="0" w:color="auto"/>
            <w:bottom w:val="none" w:sz="0" w:space="0" w:color="auto"/>
            <w:right w:val="none" w:sz="0" w:space="0" w:color="auto"/>
          </w:divBdr>
        </w:div>
        <w:div w:id="152380677">
          <w:marLeft w:val="0"/>
          <w:marRight w:val="0"/>
          <w:marTop w:val="0"/>
          <w:marBottom w:val="0"/>
          <w:divBdr>
            <w:top w:val="none" w:sz="0" w:space="0" w:color="auto"/>
            <w:left w:val="none" w:sz="0" w:space="0" w:color="auto"/>
            <w:bottom w:val="none" w:sz="0" w:space="0" w:color="auto"/>
            <w:right w:val="none" w:sz="0" w:space="0" w:color="auto"/>
          </w:divBdr>
        </w:div>
        <w:div w:id="187792662">
          <w:marLeft w:val="0"/>
          <w:marRight w:val="0"/>
          <w:marTop w:val="0"/>
          <w:marBottom w:val="0"/>
          <w:divBdr>
            <w:top w:val="none" w:sz="0" w:space="0" w:color="auto"/>
            <w:left w:val="none" w:sz="0" w:space="0" w:color="auto"/>
            <w:bottom w:val="none" w:sz="0" w:space="0" w:color="auto"/>
            <w:right w:val="none" w:sz="0" w:space="0" w:color="auto"/>
          </w:divBdr>
        </w:div>
        <w:div w:id="203257150">
          <w:marLeft w:val="0"/>
          <w:marRight w:val="0"/>
          <w:marTop w:val="0"/>
          <w:marBottom w:val="0"/>
          <w:divBdr>
            <w:top w:val="none" w:sz="0" w:space="0" w:color="auto"/>
            <w:left w:val="none" w:sz="0" w:space="0" w:color="auto"/>
            <w:bottom w:val="none" w:sz="0" w:space="0" w:color="auto"/>
            <w:right w:val="none" w:sz="0" w:space="0" w:color="auto"/>
          </w:divBdr>
        </w:div>
        <w:div w:id="297608053">
          <w:marLeft w:val="0"/>
          <w:marRight w:val="0"/>
          <w:marTop w:val="0"/>
          <w:marBottom w:val="0"/>
          <w:divBdr>
            <w:top w:val="none" w:sz="0" w:space="0" w:color="auto"/>
            <w:left w:val="none" w:sz="0" w:space="0" w:color="auto"/>
            <w:bottom w:val="none" w:sz="0" w:space="0" w:color="auto"/>
            <w:right w:val="none" w:sz="0" w:space="0" w:color="auto"/>
          </w:divBdr>
        </w:div>
        <w:div w:id="322511729">
          <w:marLeft w:val="0"/>
          <w:marRight w:val="0"/>
          <w:marTop w:val="0"/>
          <w:marBottom w:val="0"/>
          <w:divBdr>
            <w:top w:val="none" w:sz="0" w:space="0" w:color="auto"/>
            <w:left w:val="none" w:sz="0" w:space="0" w:color="auto"/>
            <w:bottom w:val="none" w:sz="0" w:space="0" w:color="auto"/>
            <w:right w:val="none" w:sz="0" w:space="0" w:color="auto"/>
          </w:divBdr>
        </w:div>
        <w:div w:id="364063732">
          <w:marLeft w:val="0"/>
          <w:marRight w:val="0"/>
          <w:marTop w:val="0"/>
          <w:marBottom w:val="0"/>
          <w:divBdr>
            <w:top w:val="none" w:sz="0" w:space="0" w:color="auto"/>
            <w:left w:val="none" w:sz="0" w:space="0" w:color="auto"/>
            <w:bottom w:val="none" w:sz="0" w:space="0" w:color="auto"/>
            <w:right w:val="none" w:sz="0" w:space="0" w:color="auto"/>
          </w:divBdr>
        </w:div>
        <w:div w:id="366872536">
          <w:marLeft w:val="0"/>
          <w:marRight w:val="0"/>
          <w:marTop w:val="0"/>
          <w:marBottom w:val="0"/>
          <w:divBdr>
            <w:top w:val="none" w:sz="0" w:space="0" w:color="auto"/>
            <w:left w:val="none" w:sz="0" w:space="0" w:color="auto"/>
            <w:bottom w:val="none" w:sz="0" w:space="0" w:color="auto"/>
            <w:right w:val="none" w:sz="0" w:space="0" w:color="auto"/>
          </w:divBdr>
        </w:div>
        <w:div w:id="367411632">
          <w:marLeft w:val="0"/>
          <w:marRight w:val="0"/>
          <w:marTop w:val="0"/>
          <w:marBottom w:val="0"/>
          <w:divBdr>
            <w:top w:val="none" w:sz="0" w:space="0" w:color="auto"/>
            <w:left w:val="none" w:sz="0" w:space="0" w:color="auto"/>
            <w:bottom w:val="none" w:sz="0" w:space="0" w:color="auto"/>
            <w:right w:val="none" w:sz="0" w:space="0" w:color="auto"/>
          </w:divBdr>
        </w:div>
        <w:div w:id="450127564">
          <w:marLeft w:val="0"/>
          <w:marRight w:val="0"/>
          <w:marTop w:val="0"/>
          <w:marBottom w:val="0"/>
          <w:divBdr>
            <w:top w:val="none" w:sz="0" w:space="0" w:color="auto"/>
            <w:left w:val="none" w:sz="0" w:space="0" w:color="auto"/>
            <w:bottom w:val="none" w:sz="0" w:space="0" w:color="auto"/>
            <w:right w:val="none" w:sz="0" w:space="0" w:color="auto"/>
          </w:divBdr>
        </w:div>
        <w:div w:id="462777282">
          <w:marLeft w:val="0"/>
          <w:marRight w:val="0"/>
          <w:marTop w:val="0"/>
          <w:marBottom w:val="0"/>
          <w:divBdr>
            <w:top w:val="none" w:sz="0" w:space="0" w:color="auto"/>
            <w:left w:val="none" w:sz="0" w:space="0" w:color="auto"/>
            <w:bottom w:val="none" w:sz="0" w:space="0" w:color="auto"/>
            <w:right w:val="none" w:sz="0" w:space="0" w:color="auto"/>
          </w:divBdr>
        </w:div>
        <w:div w:id="519859100">
          <w:marLeft w:val="0"/>
          <w:marRight w:val="0"/>
          <w:marTop w:val="0"/>
          <w:marBottom w:val="0"/>
          <w:divBdr>
            <w:top w:val="none" w:sz="0" w:space="0" w:color="auto"/>
            <w:left w:val="none" w:sz="0" w:space="0" w:color="auto"/>
            <w:bottom w:val="none" w:sz="0" w:space="0" w:color="auto"/>
            <w:right w:val="none" w:sz="0" w:space="0" w:color="auto"/>
          </w:divBdr>
        </w:div>
        <w:div w:id="519898246">
          <w:marLeft w:val="0"/>
          <w:marRight w:val="0"/>
          <w:marTop w:val="0"/>
          <w:marBottom w:val="0"/>
          <w:divBdr>
            <w:top w:val="none" w:sz="0" w:space="0" w:color="auto"/>
            <w:left w:val="none" w:sz="0" w:space="0" w:color="auto"/>
            <w:bottom w:val="none" w:sz="0" w:space="0" w:color="auto"/>
            <w:right w:val="none" w:sz="0" w:space="0" w:color="auto"/>
          </w:divBdr>
        </w:div>
        <w:div w:id="520239411">
          <w:marLeft w:val="0"/>
          <w:marRight w:val="0"/>
          <w:marTop w:val="0"/>
          <w:marBottom w:val="0"/>
          <w:divBdr>
            <w:top w:val="none" w:sz="0" w:space="0" w:color="auto"/>
            <w:left w:val="none" w:sz="0" w:space="0" w:color="auto"/>
            <w:bottom w:val="none" w:sz="0" w:space="0" w:color="auto"/>
            <w:right w:val="none" w:sz="0" w:space="0" w:color="auto"/>
          </w:divBdr>
        </w:div>
        <w:div w:id="561600025">
          <w:marLeft w:val="0"/>
          <w:marRight w:val="0"/>
          <w:marTop w:val="0"/>
          <w:marBottom w:val="0"/>
          <w:divBdr>
            <w:top w:val="none" w:sz="0" w:space="0" w:color="auto"/>
            <w:left w:val="none" w:sz="0" w:space="0" w:color="auto"/>
            <w:bottom w:val="none" w:sz="0" w:space="0" w:color="auto"/>
            <w:right w:val="none" w:sz="0" w:space="0" w:color="auto"/>
          </w:divBdr>
        </w:div>
        <w:div w:id="563376617">
          <w:marLeft w:val="0"/>
          <w:marRight w:val="0"/>
          <w:marTop w:val="0"/>
          <w:marBottom w:val="0"/>
          <w:divBdr>
            <w:top w:val="none" w:sz="0" w:space="0" w:color="auto"/>
            <w:left w:val="none" w:sz="0" w:space="0" w:color="auto"/>
            <w:bottom w:val="none" w:sz="0" w:space="0" w:color="auto"/>
            <w:right w:val="none" w:sz="0" w:space="0" w:color="auto"/>
          </w:divBdr>
        </w:div>
        <w:div w:id="571352849">
          <w:marLeft w:val="0"/>
          <w:marRight w:val="0"/>
          <w:marTop w:val="0"/>
          <w:marBottom w:val="0"/>
          <w:divBdr>
            <w:top w:val="none" w:sz="0" w:space="0" w:color="auto"/>
            <w:left w:val="none" w:sz="0" w:space="0" w:color="auto"/>
            <w:bottom w:val="none" w:sz="0" w:space="0" w:color="auto"/>
            <w:right w:val="none" w:sz="0" w:space="0" w:color="auto"/>
          </w:divBdr>
        </w:div>
        <w:div w:id="683745580">
          <w:marLeft w:val="0"/>
          <w:marRight w:val="0"/>
          <w:marTop w:val="0"/>
          <w:marBottom w:val="0"/>
          <w:divBdr>
            <w:top w:val="none" w:sz="0" w:space="0" w:color="auto"/>
            <w:left w:val="none" w:sz="0" w:space="0" w:color="auto"/>
            <w:bottom w:val="none" w:sz="0" w:space="0" w:color="auto"/>
            <w:right w:val="none" w:sz="0" w:space="0" w:color="auto"/>
          </w:divBdr>
        </w:div>
        <w:div w:id="683898078">
          <w:marLeft w:val="0"/>
          <w:marRight w:val="0"/>
          <w:marTop w:val="0"/>
          <w:marBottom w:val="0"/>
          <w:divBdr>
            <w:top w:val="none" w:sz="0" w:space="0" w:color="auto"/>
            <w:left w:val="none" w:sz="0" w:space="0" w:color="auto"/>
            <w:bottom w:val="none" w:sz="0" w:space="0" w:color="auto"/>
            <w:right w:val="none" w:sz="0" w:space="0" w:color="auto"/>
          </w:divBdr>
        </w:div>
        <w:div w:id="686715653">
          <w:marLeft w:val="0"/>
          <w:marRight w:val="0"/>
          <w:marTop w:val="0"/>
          <w:marBottom w:val="0"/>
          <w:divBdr>
            <w:top w:val="none" w:sz="0" w:space="0" w:color="auto"/>
            <w:left w:val="none" w:sz="0" w:space="0" w:color="auto"/>
            <w:bottom w:val="none" w:sz="0" w:space="0" w:color="auto"/>
            <w:right w:val="none" w:sz="0" w:space="0" w:color="auto"/>
          </w:divBdr>
        </w:div>
        <w:div w:id="693850348">
          <w:marLeft w:val="0"/>
          <w:marRight w:val="0"/>
          <w:marTop w:val="0"/>
          <w:marBottom w:val="0"/>
          <w:divBdr>
            <w:top w:val="none" w:sz="0" w:space="0" w:color="auto"/>
            <w:left w:val="none" w:sz="0" w:space="0" w:color="auto"/>
            <w:bottom w:val="none" w:sz="0" w:space="0" w:color="auto"/>
            <w:right w:val="none" w:sz="0" w:space="0" w:color="auto"/>
          </w:divBdr>
        </w:div>
        <w:div w:id="698898976">
          <w:marLeft w:val="0"/>
          <w:marRight w:val="0"/>
          <w:marTop w:val="0"/>
          <w:marBottom w:val="0"/>
          <w:divBdr>
            <w:top w:val="none" w:sz="0" w:space="0" w:color="auto"/>
            <w:left w:val="none" w:sz="0" w:space="0" w:color="auto"/>
            <w:bottom w:val="none" w:sz="0" w:space="0" w:color="auto"/>
            <w:right w:val="none" w:sz="0" w:space="0" w:color="auto"/>
          </w:divBdr>
        </w:div>
        <w:div w:id="709232915">
          <w:marLeft w:val="0"/>
          <w:marRight w:val="0"/>
          <w:marTop w:val="0"/>
          <w:marBottom w:val="0"/>
          <w:divBdr>
            <w:top w:val="none" w:sz="0" w:space="0" w:color="auto"/>
            <w:left w:val="none" w:sz="0" w:space="0" w:color="auto"/>
            <w:bottom w:val="none" w:sz="0" w:space="0" w:color="auto"/>
            <w:right w:val="none" w:sz="0" w:space="0" w:color="auto"/>
          </w:divBdr>
        </w:div>
        <w:div w:id="714355633">
          <w:marLeft w:val="0"/>
          <w:marRight w:val="0"/>
          <w:marTop w:val="0"/>
          <w:marBottom w:val="0"/>
          <w:divBdr>
            <w:top w:val="none" w:sz="0" w:space="0" w:color="auto"/>
            <w:left w:val="none" w:sz="0" w:space="0" w:color="auto"/>
            <w:bottom w:val="none" w:sz="0" w:space="0" w:color="auto"/>
            <w:right w:val="none" w:sz="0" w:space="0" w:color="auto"/>
          </w:divBdr>
        </w:div>
        <w:div w:id="728261872">
          <w:marLeft w:val="0"/>
          <w:marRight w:val="0"/>
          <w:marTop w:val="0"/>
          <w:marBottom w:val="0"/>
          <w:divBdr>
            <w:top w:val="none" w:sz="0" w:space="0" w:color="auto"/>
            <w:left w:val="none" w:sz="0" w:space="0" w:color="auto"/>
            <w:bottom w:val="none" w:sz="0" w:space="0" w:color="auto"/>
            <w:right w:val="none" w:sz="0" w:space="0" w:color="auto"/>
          </w:divBdr>
        </w:div>
        <w:div w:id="775835497">
          <w:marLeft w:val="0"/>
          <w:marRight w:val="0"/>
          <w:marTop w:val="0"/>
          <w:marBottom w:val="0"/>
          <w:divBdr>
            <w:top w:val="none" w:sz="0" w:space="0" w:color="auto"/>
            <w:left w:val="none" w:sz="0" w:space="0" w:color="auto"/>
            <w:bottom w:val="none" w:sz="0" w:space="0" w:color="auto"/>
            <w:right w:val="none" w:sz="0" w:space="0" w:color="auto"/>
          </w:divBdr>
        </w:div>
        <w:div w:id="776028887">
          <w:marLeft w:val="0"/>
          <w:marRight w:val="0"/>
          <w:marTop w:val="0"/>
          <w:marBottom w:val="0"/>
          <w:divBdr>
            <w:top w:val="none" w:sz="0" w:space="0" w:color="auto"/>
            <w:left w:val="none" w:sz="0" w:space="0" w:color="auto"/>
            <w:bottom w:val="none" w:sz="0" w:space="0" w:color="auto"/>
            <w:right w:val="none" w:sz="0" w:space="0" w:color="auto"/>
          </w:divBdr>
        </w:div>
        <w:div w:id="786316508">
          <w:marLeft w:val="0"/>
          <w:marRight w:val="0"/>
          <w:marTop w:val="0"/>
          <w:marBottom w:val="0"/>
          <w:divBdr>
            <w:top w:val="none" w:sz="0" w:space="0" w:color="auto"/>
            <w:left w:val="none" w:sz="0" w:space="0" w:color="auto"/>
            <w:bottom w:val="none" w:sz="0" w:space="0" w:color="auto"/>
            <w:right w:val="none" w:sz="0" w:space="0" w:color="auto"/>
          </w:divBdr>
        </w:div>
        <w:div w:id="788545512">
          <w:marLeft w:val="0"/>
          <w:marRight w:val="0"/>
          <w:marTop w:val="0"/>
          <w:marBottom w:val="0"/>
          <w:divBdr>
            <w:top w:val="none" w:sz="0" w:space="0" w:color="auto"/>
            <w:left w:val="none" w:sz="0" w:space="0" w:color="auto"/>
            <w:bottom w:val="none" w:sz="0" w:space="0" w:color="auto"/>
            <w:right w:val="none" w:sz="0" w:space="0" w:color="auto"/>
          </w:divBdr>
        </w:div>
        <w:div w:id="799499857">
          <w:marLeft w:val="0"/>
          <w:marRight w:val="0"/>
          <w:marTop w:val="0"/>
          <w:marBottom w:val="0"/>
          <w:divBdr>
            <w:top w:val="none" w:sz="0" w:space="0" w:color="auto"/>
            <w:left w:val="none" w:sz="0" w:space="0" w:color="auto"/>
            <w:bottom w:val="none" w:sz="0" w:space="0" w:color="auto"/>
            <w:right w:val="none" w:sz="0" w:space="0" w:color="auto"/>
          </w:divBdr>
        </w:div>
        <w:div w:id="827748191">
          <w:marLeft w:val="0"/>
          <w:marRight w:val="0"/>
          <w:marTop w:val="0"/>
          <w:marBottom w:val="0"/>
          <w:divBdr>
            <w:top w:val="none" w:sz="0" w:space="0" w:color="auto"/>
            <w:left w:val="none" w:sz="0" w:space="0" w:color="auto"/>
            <w:bottom w:val="none" w:sz="0" w:space="0" w:color="auto"/>
            <w:right w:val="none" w:sz="0" w:space="0" w:color="auto"/>
          </w:divBdr>
        </w:div>
        <w:div w:id="835606287">
          <w:marLeft w:val="0"/>
          <w:marRight w:val="0"/>
          <w:marTop w:val="0"/>
          <w:marBottom w:val="0"/>
          <w:divBdr>
            <w:top w:val="none" w:sz="0" w:space="0" w:color="auto"/>
            <w:left w:val="none" w:sz="0" w:space="0" w:color="auto"/>
            <w:bottom w:val="none" w:sz="0" w:space="0" w:color="auto"/>
            <w:right w:val="none" w:sz="0" w:space="0" w:color="auto"/>
          </w:divBdr>
        </w:div>
        <w:div w:id="863708854">
          <w:marLeft w:val="0"/>
          <w:marRight w:val="0"/>
          <w:marTop w:val="0"/>
          <w:marBottom w:val="0"/>
          <w:divBdr>
            <w:top w:val="none" w:sz="0" w:space="0" w:color="auto"/>
            <w:left w:val="none" w:sz="0" w:space="0" w:color="auto"/>
            <w:bottom w:val="none" w:sz="0" w:space="0" w:color="auto"/>
            <w:right w:val="none" w:sz="0" w:space="0" w:color="auto"/>
          </w:divBdr>
        </w:div>
        <w:div w:id="871384971">
          <w:marLeft w:val="0"/>
          <w:marRight w:val="0"/>
          <w:marTop w:val="0"/>
          <w:marBottom w:val="0"/>
          <w:divBdr>
            <w:top w:val="none" w:sz="0" w:space="0" w:color="auto"/>
            <w:left w:val="none" w:sz="0" w:space="0" w:color="auto"/>
            <w:bottom w:val="none" w:sz="0" w:space="0" w:color="auto"/>
            <w:right w:val="none" w:sz="0" w:space="0" w:color="auto"/>
          </w:divBdr>
        </w:div>
        <w:div w:id="894582260">
          <w:marLeft w:val="0"/>
          <w:marRight w:val="0"/>
          <w:marTop w:val="0"/>
          <w:marBottom w:val="0"/>
          <w:divBdr>
            <w:top w:val="none" w:sz="0" w:space="0" w:color="auto"/>
            <w:left w:val="none" w:sz="0" w:space="0" w:color="auto"/>
            <w:bottom w:val="none" w:sz="0" w:space="0" w:color="auto"/>
            <w:right w:val="none" w:sz="0" w:space="0" w:color="auto"/>
          </w:divBdr>
        </w:div>
        <w:div w:id="930510001">
          <w:marLeft w:val="0"/>
          <w:marRight w:val="0"/>
          <w:marTop w:val="0"/>
          <w:marBottom w:val="0"/>
          <w:divBdr>
            <w:top w:val="none" w:sz="0" w:space="0" w:color="auto"/>
            <w:left w:val="none" w:sz="0" w:space="0" w:color="auto"/>
            <w:bottom w:val="none" w:sz="0" w:space="0" w:color="auto"/>
            <w:right w:val="none" w:sz="0" w:space="0" w:color="auto"/>
          </w:divBdr>
        </w:div>
        <w:div w:id="957028736">
          <w:marLeft w:val="0"/>
          <w:marRight w:val="0"/>
          <w:marTop w:val="0"/>
          <w:marBottom w:val="0"/>
          <w:divBdr>
            <w:top w:val="none" w:sz="0" w:space="0" w:color="auto"/>
            <w:left w:val="none" w:sz="0" w:space="0" w:color="auto"/>
            <w:bottom w:val="none" w:sz="0" w:space="0" w:color="auto"/>
            <w:right w:val="none" w:sz="0" w:space="0" w:color="auto"/>
          </w:divBdr>
        </w:div>
        <w:div w:id="1009867265">
          <w:marLeft w:val="0"/>
          <w:marRight w:val="0"/>
          <w:marTop w:val="0"/>
          <w:marBottom w:val="0"/>
          <w:divBdr>
            <w:top w:val="none" w:sz="0" w:space="0" w:color="auto"/>
            <w:left w:val="none" w:sz="0" w:space="0" w:color="auto"/>
            <w:bottom w:val="none" w:sz="0" w:space="0" w:color="auto"/>
            <w:right w:val="none" w:sz="0" w:space="0" w:color="auto"/>
          </w:divBdr>
        </w:div>
        <w:div w:id="1037461849">
          <w:marLeft w:val="0"/>
          <w:marRight w:val="0"/>
          <w:marTop w:val="0"/>
          <w:marBottom w:val="0"/>
          <w:divBdr>
            <w:top w:val="none" w:sz="0" w:space="0" w:color="auto"/>
            <w:left w:val="none" w:sz="0" w:space="0" w:color="auto"/>
            <w:bottom w:val="none" w:sz="0" w:space="0" w:color="auto"/>
            <w:right w:val="none" w:sz="0" w:space="0" w:color="auto"/>
          </w:divBdr>
        </w:div>
        <w:div w:id="1062800467">
          <w:marLeft w:val="0"/>
          <w:marRight w:val="0"/>
          <w:marTop w:val="0"/>
          <w:marBottom w:val="0"/>
          <w:divBdr>
            <w:top w:val="none" w:sz="0" w:space="0" w:color="auto"/>
            <w:left w:val="none" w:sz="0" w:space="0" w:color="auto"/>
            <w:bottom w:val="none" w:sz="0" w:space="0" w:color="auto"/>
            <w:right w:val="none" w:sz="0" w:space="0" w:color="auto"/>
          </w:divBdr>
        </w:div>
        <w:div w:id="1067530739">
          <w:marLeft w:val="0"/>
          <w:marRight w:val="0"/>
          <w:marTop w:val="0"/>
          <w:marBottom w:val="0"/>
          <w:divBdr>
            <w:top w:val="none" w:sz="0" w:space="0" w:color="auto"/>
            <w:left w:val="none" w:sz="0" w:space="0" w:color="auto"/>
            <w:bottom w:val="none" w:sz="0" w:space="0" w:color="auto"/>
            <w:right w:val="none" w:sz="0" w:space="0" w:color="auto"/>
          </w:divBdr>
        </w:div>
        <w:div w:id="1160534264">
          <w:marLeft w:val="0"/>
          <w:marRight w:val="0"/>
          <w:marTop w:val="0"/>
          <w:marBottom w:val="0"/>
          <w:divBdr>
            <w:top w:val="none" w:sz="0" w:space="0" w:color="auto"/>
            <w:left w:val="none" w:sz="0" w:space="0" w:color="auto"/>
            <w:bottom w:val="none" w:sz="0" w:space="0" w:color="auto"/>
            <w:right w:val="none" w:sz="0" w:space="0" w:color="auto"/>
          </w:divBdr>
        </w:div>
        <w:div w:id="1253585651">
          <w:marLeft w:val="0"/>
          <w:marRight w:val="0"/>
          <w:marTop w:val="0"/>
          <w:marBottom w:val="0"/>
          <w:divBdr>
            <w:top w:val="none" w:sz="0" w:space="0" w:color="auto"/>
            <w:left w:val="none" w:sz="0" w:space="0" w:color="auto"/>
            <w:bottom w:val="none" w:sz="0" w:space="0" w:color="auto"/>
            <w:right w:val="none" w:sz="0" w:space="0" w:color="auto"/>
          </w:divBdr>
        </w:div>
        <w:div w:id="1289093181">
          <w:marLeft w:val="0"/>
          <w:marRight w:val="0"/>
          <w:marTop w:val="0"/>
          <w:marBottom w:val="0"/>
          <w:divBdr>
            <w:top w:val="none" w:sz="0" w:space="0" w:color="auto"/>
            <w:left w:val="none" w:sz="0" w:space="0" w:color="auto"/>
            <w:bottom w:val="none" w:sz="0" w:space="0" w:color="auto"/>
            <w:right w:val="none" w:sz="0" w:space="0" w:color="auto"/>
          </w:divBdr>
        </w:div>
        <w:div w:id="1298612343">
          <w:marLeft w:val="0"/>
          <w:marRight w:val="0"/>
          <w:marTop w:val="0"/>
          <w:marBottom w:val="0"/>
          <w:divBdr>
            <w:top w:val="none" w:sz="0" w:space="0" w:color="auto"/>
            <w:left w:val="none" w:sz="0" w:space="0" w:color="auto"/>
            <w:bottom w:val="none" w:sz="0" w:space="0" w:color="auto"/>
            <w:right w:val="none" w:sz="0" w:space="0" w:color="auto"/>
          </w:divBdr>
        </w:div>
        <w:div w:id="1342971665">
          <w:marLeft w:val="0"/>
          <w:marRight w:val="0"/>
          <w:marTop w:val="0"/>
          <w:marBottom w:val="0"/>
          <w:divBdr>
            <w:top w:val="none" w:sz="0" w:space="0" w:color="auto"/>
            <w:left w:val="none" w:sz="0" w:space="0" w:color="auto"/>
            <w:bottom w:val="none" w:sz="0" w:space="0" w:color="auto"/>
            <w:right w:val="none" w:sz="0" w:space="0" w:color="auto"/>
          </w:divBdr>
        </w:div>
        <w:div w:id="1349021183">
          <w:marLeft w:val="0"/>
          <w:marRight w:val="0"/>
          <w:marTop w:val="0"/>
          <w:marBottom w:val="0"/>
          <w:divBdr>
            <w:top w:val="none" w:sz="0" w:space="0" w:color="auto"/>
            <w:left w:val="none" w:sz="0" w:space="0" w:color="auto"/>
            <w:bottom w:val="none" w:sz="0" w:space="0" w:color="auto"/>
            <w:right w:val="none" w:sz="0" w:space="0" w:color="auto"/>
          </w:divBdr>
        </w:div>
        <w:div w:id="1353725841">
          <w:marLeft w:val="0"/>
          <w:marRight w:val="0"/>
          <w:marTop w:val="0"/>
          <w:marBottom w:val="0"/>
          <w:divBdr>
            <w:top w:val="none" w:sz="0" w:space="0" w:color="auto"/>
            <w:left w:val="none" w:sz="0" w:space="0" w:color="auto"/>
            <w:bottom w:val="none" w:sz="0" w:space="0" w:color="auto"/>
            <w:right w:val="none" w:sz="0" w:space="0" w:color="auto"/>
          </w:divBdr>
        </w:div>
        <w:div w:id="1358196110">
          <w:marLeft w:val="0"/>
          <w:marRight w:val="0"/>
          <w:marTop w:val="0"/>
          <w:marBottom w:val="0"/>
          <w:divBdr>
            <w:top w:val="none" w:sz="0" w:space="0" w:color="auto"/>
            <w:left w:val="none" w:sz="0" w:space="0" w:color="auto"/>
            <w:bottom w:val="none" w:sz="0" w:space="0" w:color="auto"/>
            <w:right w:val="none" w:sz="0" w:space="0" w:color="auto"/>
          </w:divBdr>
        </w:div>
        <w:div w:id="1397122567">
          <w:marLeft w:val="0"/>
          <w:marRight w:val="0"/>
          <w:marTop w:val="0"/>
          <w:marBottom w:val="0"/>
          <w:divBdr>
            <w:top w:val="none" w:sz="0" w:space="0" w:color="auto"/>
            <w:left w:val="none" w:sz="0" w:space="0" w:color="auto"/>
            <w:bottom w:val="none" w:sz="0" w:space="0" w:color="auto"/>
            <w:right w:val="none" w:sz="0" w:space="0" w:color="auto"/>
          </w:divBdr>
        </w:div>
        <w:div w:id="1436486250">
          <w:marLeft w:val="0"/>
          <w:marRight w:val="0"/>
          <w:marTop w:val="0"/>
          <w:marBottom w:val="0"/>
          <w:divBdr>
            <w:top w:val="none" w:sz="0" w:space="0" w:color="auto"/>
            <w:left w:val="none" w:sz="0" w:space="0" w:color="auto"/>
            <w:bottom w:val="none" w:sz="0" w:space="0" w:color="auto"/>
            <w:right w:val="none" w:sz="0" w:space="0" w:color="auto"/>
          </w:divBdr>
        </w:div>
        <w:div w:id="1448968069">
          <w:marLeft w:val="0"/>
          <w:marRight w:val="0"/>
          <w:marTop w:val="0"/>
          <w:marBottom w:val="0"/>
          <w:divBdr>
            <w:top w:val="none" w:sz="0" w:space="0" w:color="auto"/>
            <w:left w:val="none" w:sz="0" w:space="0" w:color="auto"/>
            <w:bottom w:val="none" w:sz="0" w:space="0" w:color="auto"/>
            <w:right w:val="none" w:sz="0" w:space="0" w:color="auto"/>
          </w:divBdr>
        </w:div>
        <w:div w:id="1452242720">
          <w:marLeft w:val="0"/>
          <w:marRight w:val="0"/>
          <w:marTop w:val="0"/>
          <w:marBottom w:val="0"/>
          <w:divBdr>
            <w:top w:val="none" w:sz="0" w:space="0" w:color="auto"/>
            <w:left w:val="none" w:sz="0" w:space="0" w:color="auto"/>
            <w:bottom w:val="none" w:sz="0" w:space="0" w:color="auto"/>
            <w:right w:val="none" w:sz="0" w:space="0" w:color="auto"/>
          </w:divBdr>
        </w:div>
        <w:div w:id="1484930903">
          <w:marLeft w:val="0"/>
          <w:marRight w:val="0"/>
          <w:marTop w:val="0"/>
          <w:marBottom w:val="0"/>
          <w:divBdr>
            <w:top w:val="none" w:sz="0" w:space="0" w:color="auto"/>
            <w:left w:val="none" w:sz="0" w:space="0" w:color="auto"/>
            <w:bottom w:val="none" w:sz="0" w:space="0" w:color="auto"/>
            <w:right w:val="none" w:sz="0" w:space="0" w:color="auto"/>
          </w:divBdr>
        </w:div>
        <w:div w:id="1498839109">
          <w:marLeft w:val="0"/>
          <w:marRight w:val="0"/>
          <w:marTop w:val="0"/>
          <w:marBottom w:val="0"/>
          <w:divBdr>
            <w:top w:val="none" w:sz="0" w:space="0" w:color="auto"/>
            <w:left w:val="none" w:sz="0" w:space="0" w:color="auto"/>
            <w:bottom w:val="none" w:sz="0" w:space="0" w:color="auto"/>
            <w:right w:val="none" w:sz="0" w:space="0" w:color="auto"/>
          </w:divBdr>
        </w:div>
        <w:div w:id="1522552841">
          <w:marLeft w:val="0"/>
          <w:marRight w:val="0"/>
          <w:marTop w:val="0"/>
          <w:marBottom w:val="0"/>
          <w:divBdr>
            <w:top w:val="none" w:sz="0" w:space="0" w:color="auto"/>
            <w:left w:val="none" w:sz="0" w:space="0" w:color="auto"/>
            <w:bottom w:val="none" w:sz="0" w:space="0" w:color="auto"/>
            <w:right w:val="none" w:sz="0" w:space="0" w:color="auto"/>
          </w:divBdr>
        </w:div>
        <w:div w:id="1525821779">
          <w:marLeft w:val="0"/>
          <w:marRight w:val="0"/>
          <w:marTop w:val="0"/>
          <w:marBottom w:val="0"/>
          <w:divBdr>
            <w:top w:val="none" w:sz="0" w:space="0" w:color="auto"/>
            <w:left w:val="none" w:sz="0" w:space="0" w:color="auto"/>
            <w:bottom w:val="none" w:sz="0" w:space="0" w:color="auto"/>
            <w:right w:val="none" w:sz="0" w:space="0" w:color="auto"/>
          </w:divBdr>
        </w:div>
        <w:div w:id="1547447449">
          <w:marLeft w:val="0"/>
          <w:marRight w:val="0"/>
          <w:marTop w:val="0"/>
          <w:marBottom w:val="0"/>
          <w:divBdr>
            <w:top w:val="none" w:sz="0" w:space="0" w:color="auto"/>
            <w:left w:val="none" w:sz="0" w:space="0" w:color="auto"/>
            <w:bottom w:val="none" w:sz="0" w:space="0" w:color="auto"/>
            <w:right w:val="none" w:sz="0" w:space="0" w:color="auto"/>
          </w:divBdr>
        </w:div>
        <w:div w:id="1578859517">
          <w:marLeft w:val="0"/>
          <w:marRight w:val="0"/>
          <w:marTop w:val="0"/>
          <w:marBottom w:val="0"/>
          <w:divBdr>
            <w:top w:val="none" w:sz="0" w:space="0" w:color="auto"/>
            <w:left w:val="none" w:sz="0" w:space="0" w:color="auto"/>
            <w:bottom w:val="none" w:sz="0" w:space="0" w:color="auto"/>
            <w:right w:val="none" w:sz="0" w:space="0" w:color="auto"/>
          </w:divBdr>
        </w:div>
        <w:div w:id="1584947816">
          <w:marLeft w:val="0"/>
          <w:marRight w:val="0"/>
          <w:marTop w:val="0"/>
          <w:marBottom w:val="0"/>
          <w:divBdr>
            <w:top w:val="none" w:sz="0" w:space="0" w:color="auto"/>
            <w:left w:val="none" w:sz="0" w:space="0" w:color="auto"/>
            <w:bottom w:val="none" w:sz="0" w:space="0" w:color="auto"/>
            <w:right w:val="none" w:sz="0" w:space="0" w:color="auto"/>
          </w:divBdr>
        </w:div>
        <w:div w:id="1586568131">
          <w:marLeft w:val="0"/>
          <w:marRight w:val="0"/>
          <w:marTop w:val="0"/>
          <w:marBottom w:val="0"/>
          <w:divBdr>
            <w:top w:val="none" w:sz="0" w:space="0" w:color="auto"/>
            <w:left w:val="none" w:sz="0" w:space="0" w:color="auto"/>
            <w:bottom w:val="none" w:sz="0" w:space="0" w:color="auto"/>
            <w:right w:val="none" w:sz="0" w:space="0" w:color="auto"/>
          </w:divBdr>
        </w:div>
        <w:div w:id="1667055635">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1715345707">
          <w:marLeft w:val="0"/>
          <w:marRight w:val="0"/>
          <w:marTop w:val="0"/>
          <w:marBottom w:val="0"/>
          <w:divBdr>
            <w:top w:val="none" w:sz="0" w:space="0" w:color="auto"/>
            <w:left w:val="none" w:sz="0" w:space="0" w:color="auto"/>
            <w:bottom w:val="none" w:sz="0" w:space="0" w:color="auto"/>
            <w:right w:val="none" w:sz="0" w:space="0" w:color="auto"/>
          </w:divBdr>
        </w:div>
        <w:div w:id="1729259483">
          <w:marLeft w:val="0"/>
          <w:marRight w:val="0"/>
          <w:marTop w:val="0"/>
          <w:marBottom w:val="0"/>
          <w:divBdr>
            <w:top w:val="none" w:sz="0" w:space="0" w:color="auto"/>
            <w:left w:val="none" w:sz="0" w:space="0" w:color="auto"/>
            <w:bottom w:val="none" w:sz="0" w:space="0" w:color="auto"/>
            <w:right w:val="none" w:sz="0" w:space="0" w:color="auto"/>
          </w:divBdr>
        </w:div>
        <w:div w:id="1740983912">
          <w:marLeft w:val="0"/>
          <w:marRight w:val="0"/>
          <w:marTop w:val="0"/>
          <w:marBottom w:val="0"/>
          <w:divBdr>
            <w:top w:val="none" w:sz="0" w:space="0" w:color="auto"/>
            <w:left w:val="none" w:sz="0" w:space="0" w:color="auto"/>
            <w:bottom w:val="none" w:sz="0" w:space="0" w:color="auto"/>
            <w:right w:val="none" w:sz="0" w:space="0" w:color="auto"/>
          </w:divBdr>
        </w:div>
        <w:div w:id="1783308206">
          <w:marLeft w:val="0"/>
          <w:marRight w:val="0"/>
          <w:marTop w:val="0"/>
          <w:marBottom w:val="0"/>
          <w:divBdr>
            <w:top w:val="none" w:sz="0" w:space="0" w:color="auto"/>
            <w:left w:val="none" w:sz="0" w:space="0" w:color="auto"/>
            <w:bottom w:val="none" w:sz="0" w:space="0" w:color="auto"/>
            <w:right w:val="none" w:sz="0" w:space="0" w:color="auto"/>
          </w:divBdr>
        </w:div>
        <w:div w:id="1827668795">
          <w:marLeft w:val="0"/>
          <w:marRight w:val="0"/>
          <w:marTop w:val="0"/>
          <w:marBottom w:val="0"/>
          <w:divBdr>
            <w:top w:val="none" w:sz="0" w:space="0" w:color="auto"/>
            <w:left w:val="none" w:sz="0" w:space="0" w:color="auto"/>
            <w:bottom w:val="none" w:sz="0" w:space="0" w:color="auto"/>
            <w:right w:val="none" w:sz="0" w:space="0" w:color="auto"/>
          </w:divBdr>
        </w:div>
        <w:div w:id="1878927722">
          <w:marLeft w:val="0"/>
          <w:marRight w:val="0"/>
          <w:marTop w:val="0"/>
          <w:marBottom w:val="0"/>
          <w:divBdr>
            <w:top w:val="none" w:sz="0" w:space="0" w:color="auto"/>
            <w:left w:val="none" w:sz="0" w:space="0" w:color="auto"/>
            <w:bottom w:val="none" w:sz="0" w:space="0" w:color="auto"/>
            <w:right w:val="none" w:sz="0" w:space="0" w:color="auto"/>
          </w:divBdr>
        </w:div>
        <w:div w:id="1905752706">
          <w:marLeft w:val="0"/>
          <w:marRight w:val="0"/>
          <w:marTop w:val="0"/>
          <w:marBottom w:val="0"/>
          <w:divBdr>
            <w:top w:val="none" w:sz="0" w:space="0" w:color="auto"/>
            <w:left w:val="none" w:sz="0" w:space="0" w:color="auto"/>
            <w:bottom w:val="none" w:sz="0" w:space="0" w:color="auto"/>
            <w:right w:val="none" w:sz="0" w:space="0" w:color="auto"/>
          </w:divBdr>
        </w:div>
        <w:div w:id="1960647075">
          <w:marLeft w:val="0"/>
          <w:marRight w:val="0"/>
          <w:marTop w:val="0"/>
          <w:marBottom w:val="0"/>
          <w:divBdr>
            <w:top w:val="none" w:sz="0" w:space="0" w:color="auto"/>
            <w:left w:val="none" w:sz="0" w:space="0" w:color="auto"/>
            <w:bottom w:val="none" w:sz="0" w:space="0" w:color="auto"/>
            <w:right w:val="none" w:sz="0" w:space="0" w:color="auto"/>
          </w:divBdr>
        </w:div>
        <w:div w:id="1976327129">
          <w:marLeft w:val="0"/>
          <w:marRight w:val="0"/>
          <w:marTop w:val="0"/>
          <w:marBottom w:val="0"/>
          <w:divBdr>
            <w:top w:val="none" w:sz="0" w:space="0" w:color="auto"/>
            <w:left w:val="none" w:sz="0" w:space="0" w:color="auto"/>
            <w:bottom w:val="none" w:sz="0" w:space="0" w:color="auto"/>
            <w:right w:val="none" w:sz="0" w:space="0" w:color="auto"/>
          </w:divBdr>
        </w:div>
        <w:div w:id="2047558566">
          <w:marLeft w:val="0"/>
          <w:marRight w:val="0"/>
          <w:marTop w:val="0"/>
          <w:marBottom w:val="0"/>
          <w:divBdr>
            <w:top w:val="none" w:sz="0" w:space="0" w:color="auto"/>
            <w:left w:val="none" w:sz="0" w:space="0" w:color="auto"/>
            <w:bottom w:val="none" w:sz="0" w:space="0" w:color="auto"/>
            <w:right w:val="none" w:sz="0" w:space="0" w:color="auto"/>
          </w:divBdr>
        </w:div>
        <w:div w:id="2052999205">
          <w:marLeft w:val="0"/>
          <w:marRight w:val="0"/>
          <w:marTop w:val="0"/>
          <w:marBottom w:val="0"/>
          <w:divBdr>
            <w:top w:val="none" w:sz="0" w:space="0" w:color="auto"/>
            <w:left w:val="none" w:sz="0" w:space="0" w:color="auto"/>
            <w:bottom w:val="none" w:sz="0" w:space="0" w:color="auto"/>
            <w:right w:val="none" w:sz="0" w:space="0" w:color="auto"/>
          </w:divBdr>
        </w:div>
        <w:div w:id="2057509020">
          <w:marLeft w:val="0"/>
          <w:marRight w:val="0"/>
          <w:marTop w:val="0"/>
          <w:marBottom w:val="0"/>
          <w:divBdr>
            <w:top w:val="none" w:sz="0" w:space="0" w:color="auto"/>
            <w:left w:val="none" w:sz="0" w:space="0" w:color="auto"/>
            <w:bottom w:val="none" w:sz="0" w:space="0" w:color="auto"/>
            <w:right w:val="none" w:sz="0" w:space="0" w:color="auto"/>
          </w:divBdr>
        </w:div>
        <w:div w:id="2068650328">
          <w:marLeft w:val="0"/>
          <w:marRight w:val="0"/>
          <w:marTop w:val="0"/>
          <w:marBottom w:val="0"/>
          <w:divBdr>
            <w:top w:val="none" w:sz="0" w:space="0" w:color="auto"/>
            <w:left w:val="none" w:sz="0" w:space="0" w:color="auto"/>
            <w:bottom w:val="none" w:sz="0" w:space="0" w:color="auto"/>
            <w:right w:val="none" w:sz="0" w:space="0" w:color="auto"/>
          </w:divBdr>
        </w:div>
        <w:div w:id="2117090045">
          <w:marLeft w:val="0"/>
          <w:marRight w:val="0"/>
          <w:marTop w:val="0"/>
          <w:marBottom w:val="0"/>
          <w:divBdr>
            <w:top w:val="none" w:sz="0" w:space="0" w:color="auto"/>
            <w:left w:val="none" w:sz="0" w:space="0" w:color="auto"/>
            <w:bottom w:val="none" w:sz="0" w:space="0" w:color="auto"/>
            <w:right w:val="none" w:sz="0" w:space="0" w:color="auto"/>
          </w:divBdr>
        </w:div>
      </w:divsChild>
    </w:div>
    <w:div w:id="957905755">
      <w:bodyDiv w:val="1"/>
      <w:marLeft w:val="0"/>
      <w:marRight w:val="0"/>
      <w:marTop w:val="0"/>
      <w:marBottom w:val="0"/>
      <w:divBdr>
        <w:top w:val="none" w:sz="0" w:space="0" w:color="auto"/>
        <w:left w:val="none" w:sz="0" w:space="0" w:color="auto"/>
        <w:bottom w:val="none" w:sz="0" w:space="0" w:color="auto"/>
        <w:right w:val="none" w:sz="0" w:space="0" w:color="auto"/>
      </w:divBdr>
      <w:divsChild>
        <w:div w:id="6371537">
          <w:marLeft w:val="0"/>
          <w:marRight w:val="0"/>
          <w:marTop w:val="0"/>
          <w:marBottom w:val="0"/>
          <w:divBdr>
            <w:top w:val="none" w:sz="0" w:space="0" w:color="auto"/>
            <w:left w:val="none" w:sz="0" w:space="0" w:color="auto"/>
            <w:bottom w:val="none" w:sz="0" w:space="0" w:color="auto"/>
            <w:right w:val="none" w:sz="0" w:space="0" w:color="auto"/>
          </w:divBdr>
        </w:div>
        <w:div w:id="22676266">
          <w:marLeft w:val="0"/>
          <w:marRight w:val="0"/>
          <w:marTop w:val="0"/>
          <w:marBottom w:val="0"/>
          <w:divBdr>
            <w:top w:val="none" w:sz="0" w:space="0" w:color="auto"/>
            <w:left w:val="none" w:sz="0" w:space="0" w:color="auto"/>
            <w:bottom w:val="none" w:sz="0" w:space="0" w:color="auto"/>
            <w:right w:val="none" w:sz="0" w:space="0" w:color="auto"/>
          </w:divBdr>
        </w:div>
        <w:div w:id="29838903">
          <w:marLeft w:val="0"/>
          <w:marRight w:val="0"/>
          <w:marTop w:val="0"/>
          <w:marBottom w:val="0"/>
          <w:divBdr>
            <w:top w:val="none" w:sz="0" w:space="0" w:color="auto"/>
            <w:left w:val="none" w:sz="0" w:space="0" w:color="auto"/>
            <w:bottom w:val="none" w:sz="0" w:space="0" w:color="auto"/>
            <w:right w:val="none" w:sz="0" w:space="0" w:color="auto"/>
          </w:divBdr>
        </w:div>
        <w:div w:id="40446565">
          <w:marLeft w:val="0"/>
          <w:marRight w:val="0"/>
          <w:marTop w:val="0"/>
          <w:marBottom w:val="0"/>
          <w:divBdr>
            <w:top w:val="none" w:sz="0" w:space="0" w:color="auto"/>
            <w:left w:val="none" w:sz="0" w:space="0" w:color="auto"/>
            <w:bottom w:val="none" w:sz="0" w:space="0" w:color="auto"/>
            <w:right w:val="none" w:sz="0" w:space="0" w:color="auto"/>
          </w:divBdr>
        </w:div>
        <w:div w:id="59060285">
          <w:marLeft w:val="0"/>
          <w:marRight w:val="0"/>
          <w:marTop w:val="0"/>
          <w:marBottom w:val="0"/>
          <w:divBdr>
            <w:top w:val="none" w:sz="0" w:space="0" w:color="auto"/>
            <w:left w:val="none" w:sz="0" w:space="0" w:color="auto"/>
            <w:bottom w:val="none" w:sz="0" w:space="0" w:color="auto"/>
            <w:right w:val="none" w:sz="0" w:space="0" w:color="auto"/>
          </w:divBdr>
        </w:div>
        <w:div w:id="70852645">
          <w:marLeft w:val="0"/>
          <w:marRight w:val="0"/>
          <w:marTop w:val="0"/>
          <w:marBottom w:val="0"/>
          <w:divBdr>
            <w:top w:val="none" w:sz="0" w:space="0" w:color="auto"/>
            <w:left w:val="none" w:sz="0" w:space="0" w:color="auto"/>
            <w:bottom w:val="none" w:sz="0" w:space="0" w:color="auto"/>
            <w:right w:val="none" w:sz="0" w:space="0" w:color="auto"/>
          </w:divBdr>
        </w:div>
        <w:div w:id="80880436">
          <w:marLeft w:val="0"/>
          <w:marRight w:val="0"/>
          <w:marTop w:val="0"/>
          <w:marBottom w:val="0"/>
          <w:divBdr>
            <w:top w:val="none" w:sz="0" w:space="0" w:color="auto"/>
            <w:left w:val="none" w:sz="0" w:space="0" w:color="auto"/>
            <w:bottom w:val="none" w:sz="0" w:space="0" w:color="auto"/>
            <w:right w:val="none" w:sz="0" w:space="0" w:color="auto"/>
          </w:divBdr>
        </w:div>
        <w:div w:id="86731529">
          <w:marLeft w:val="0"/>
          <w:marRight w:val="0"/>
          <w:marTop w:val="0"/>
          <w:marBottom w:val="0"/>
          <w:divBdr>
            <w:top w:val="none" w:sz="0" w:space="0" w:color="auto"/>
            <w:left w:val="none" w:sz="0" w:space="0" w:color="auto"/>
            <w:bottom w:val="none" w:sz="0" w:space="0" w:color="auto"/>
            <w:right w:val="none" w:sz="0" w:space="0" w:color="auto"/>
          </w:divBdr>
        </w:div>
        <w:div w:id="136340430">
          <w:marLeft w:val="0"/>
          <w:marRight w:val="0"/>
          <w:marTop w:val="0"/>
          <w:marBottom w:val="0"/>
          <w:divBdr>
            <w:top w:val="none" w:sz="0" w:space="0" w:color="auto"/>
            <w:left w:val="none" w:sz="0" w:space="0" w:color="auto"/>
            <w:bottom w:val="none" w:sz="0" w:space="0" w:color="auto"/>
            <w:right w:val="none" w:sz="0" w:space="0" w:color="auto"/>
          </w:divBdr>
        </w:div>
        <w:div w:id="141626076">
          <w:marLeft w:val="0"/>
          <w:marRight w:val="0"/>
          <w:marTop w:val="0"/>
          <w:marBottom w:val="0"/>
          <w:divBdr>
            <w:top w:val="none" w:sz="0" w:space="0" w:color="auto"/>
            <w:left w:val="none" w:sz="0" w:space="0" w:color="auto"/>
            <w:bottom w:val="none" w:sz="0" w:space="0" w:color="auto"/>
            <w:right w:val="none" w:sz="0" w:space="0" w:color="auto"/>
          </w:divBdr>
        </w:div>
        <w:div w:id="144322918">
          <w:marLeft w:val="0"/>
          <w:marRight w:val="0"/>
          <w:marTop w:val="0"/>
          <w:marBottom w:val="0"/>
          <w:divBdr>
            <w:top w:val="none" w:sz="0" w:space="0" w:color="auto"/>
            <w:left w:val="none" w:sz="0" w:space="0" w:color="auto"/>
            <w:bottom w:val="none" w:sz="0" w:space="0" w:color="auto"/>
            <w:right w:val="none" w:sz="0" w:space="0" w:color="auto"/>
          </w:divBdr>
        </w:div>
        <w:div w:id="151067052">
          <w:marLeft w:val="0"/>
          <w:marRight w:val="0"/>
          <w:marTop w:val="0"/>
          <w:marBottom w:val="0"/>
          <w:divBdr>
            <w:top w:val="none" w:sz="0" w:space="0" w:color="auto"/>
            <w:left w:val="none" w:sz="0" w:space="0" w:color="auto"/>
            <w:bottom w:val="none" w:sz="0" w:space="0" w:color="auto"/>
            <w:right w:val="none" w:sz="0" w:space="0" w:color="auto"/>
          </w:divBdr>
        </w:div>
        <w:div w:id="159010393">
          <w:marLeft w:val="0"/>
          <w:marRight w:val="0"/>
          <w:marTop w:val="0"/>
          <w:marBottom w:val="0"/>
          <w:divBdr>
            <w:top w:val="none" w:sz="0" w:space="0" w:color="auto"/>
            <w:left w:val="none" w:sz="0" w:space="0" w:color="auto"/>
            <w:bottom w:val="none" w:sz="0" w:space="0" w:color="auto"/>
            <w:right w:val="none" w:sz="0" w:space="0" w:color="auto"/>
          </w:divBdr>
        </w:div>
        <w:div w:id="169875531">
          <w:marLeft w:val="0"/>
          <w:marRight w:val="0"/>
          <w:marTop w:val="0"/>
          <w:marBottom w:val="0"/>
          <w:divBdr>
            <w:top w:val="none" w:sz="0" w:space="0" w:color="auto"/>
            <w:left w:val="none" w:sz="0" w:space="0" w:color="auto"/>
            <w:bottom w:val="none" w:sz="0" w:space="0" w:color="auto"/>
            <w:right w:val="none" w:sz="0" w:space="0" w:color="auto"/>
          </w:divBdr>
        </w:div>
        <w:div w:id="192767143">
          <w:marLeft w:val="0"/>
          <w:marRight w:val="0"/>
          <w:marTop w:val="0"/>
          <w:marBottom w:val="0"/>
          <w:divBdr>
            <w:top w:val="none" w:sz="0" w:space="0" w:color="auto"/>
            <w:left w:val="none" w:sz="0" w:space="0" w:color="auto"/>
            <w:bottom w:val="none" w:sz="0" w:space="0" w:color="auto"/>
            <w:right w:val="none" w:sz="0" w:space="0" w:color="auto"/>
          </w:divBdr>
        </w:div>
        <w:div w:id="197592939">
          <w:marLeft w:val="0"/>
          <w:marRight w:val="0"/>
          <w:marTop w:val="0"/>
          <w:marBottom w:val="0"/>
          <w:divBdr>
            <w:top w:val="none" w:sz="0" w:space="0" w:color="auto"/>
            <w:left w:val="none" w:sz="0" w:space="0" w:color="auto"/>
            <w:bottom w:val="none" w:sz="0" w:space="0" w:color="auto"/>
            <w:right w:val="none" w:sz="0" w:space="0" w:color="auto"/>
          </w:divBdr>
        </w:div>
        <w:div w:id="206064298">
          <w:marLeft w:val="0"/>
          <w:marRight w:val="0"/>
          <w:marTop w:val="0"/>
          <w:marBottom w:val="0"/>
          <w:divBdr>
            <w:top w:val="none" w:sz="0" w:space="0" w:color="auto"/>
            <w:left w:val="none" w:sz="0" w:space="0" w:color="auto"/>
            <w:bottom w:val="none" w:sz="0" w:space="0" w:color="auto"/>
            <w:right w:val="none" w:sz="0" w:space="0" w:color="auto"/>
          </w:divBdr>
        </w:div>
        <w:div w:id="220991430">
          <w:marLeft w:val="0"/>
          <w:marRight w:val="0"/>
          <w:marTop w:val="0"/>
          <w:marBottom w:val="0"/>
          <w:divBdr>
            <w:top w:val="none" w:sz="0" w:space="0" w:color="auto"/>
            <w:left w:val="none" w:sz="0" w:space="0" w:color="auto"/>
            <w:bottom w:val="none" w:sz="0" w:space="0" w:color="auto"/>
            <w:right w:val="none" w:sz="0" w:space="0" w:color="auto"/>
          </w:divBdr>
        </w:div>
        <w:div w:id="232588305">
          <w:marLeft w:val="0"/>
          <w:marRight w:val="0"/>
          <w:marTop w:val="0"/>
          <w:marBottom w:val="0"/>
          <w:divBdr>
            <w:top w:val="none" w:sz="0" w:space="0" w:color="auto"/>
            <w:left w:val="none" w:sz="0" w:space="0" w:color="auto"/>
            <w:bottom w:val="none" w:sz="0" w:space="0" w:color="auto"/>
            <w:right w:val="none" w:sz="0" w:space="0" w:color="auto"/>
          </w:divBdr>
        </w:div>
        <w:div w:id="260646908">
          <w:marLeft w:val="0"/>
          <w:marRight w:val="0"/>
          <w:marTop w:val="0"/>
          <w:marBottom w:val="0"/>
          <w:divBdr>
            <w:top w:val="none" w:sz="0" w:space="0" w:color="auto"/>
            <w:left w:val="none" w:sz="0" w:space="0" w:color="auto"/>
            <w:bottom w:val="none" w:sz="0" w:space="0" w:color="auto"/>
            <w:right w:val="none" w:sz="0" w:space="0" w:color="auto"/>
          </w:divBdr>
        </w:div>
        <w:div w:id="273054023">
          <w:marLeft w:val="0"/>
          <w:marRight w:val="0"/>
          <w:marTop w:val="0"/>
          <w:marBottom w:val="0"/>
          <w:divBdr>
            <w:top w:val="none" w:sz="0" w:space="0" w:color="auto"/>
            <w:left w:val="none" w:sz="0" w:space="0" w:color="auto"/>
            <w:bottom w:val="none" w:sz="0" w:space="0" w:color="auto"/>
            <w:right w:val="none" w:sz="0" w:space="0" w:color="auto"/>
          </w:divBdr>
        </w:div>
        <w:div w:id="366874253">
          <w:marLeft w:val="0"/>
          <w:marRight w:val="0"/>
          <w:marTop w:val="0"/>
          <w:marBottom w:val="0"/>
          <w:divBdr>
            <w:top w:val="none" w:sz="0" w:space="0" w:color="auto"/>
            <w:left w:val="none" w:sz="0" w:space="0" w:color="auto"/>
            <w:bottom w:val="none" w:sz="0" w:space="0" w:color="auto"/>
            <w:right w:val="none" w:sz="0" w:space="0" w:color="auto"/>
          </w:divBdr>
        </w:div>
        <w:div w:id="406540175">
          <w:marLeft w:val="0"/>
          <w:marRight w:val="0"/>
          <w:marTop w:val="0"/>
          <w:marBottom w:val="0"/>
          <w:divBdr>
            <w:top w:val="none" w:sz="0" w:space="0" w:color="auto"/>
            <w:left w:val="none" w:sz="0" w:space="0" w:color="auto"/>
            <w:bottom w:val="none" w:sz="0" w:space="0" w:color="auto"/>
            <w:right w:val="none" w:sz="0" w:space="0" w:color="auto"/>
          </w:divBdr>
        </w:div>
        <w:div w:id="408816181">
          <w:marLeft w:val="0"/>
          <w:marRight w:val="0"/>
          <w:marTop w:val="0"/>
          <w:marBottom w:val="0"/>
          <w:divBdr>
            <w:top w:val="none" w:sz="0" w:space="0" w:color="auto"/>
            <w:left w:val="none" w:sz="0" w:space="0" w:color="auto"/>
            <w:bottom w:val="none" w:sz="0" w:space="0" w:color="auto"/>
            <w:right w:val="none" w:sz="0" w:space="0" w:color="auto"/>
          </w:divBdr>
        </w:div>
        <w:div w:id="436412655">
          <w:marLeft w:val="0"/>
          <w:marRight w:val="0"/>
          <w:marTop w:val="0"/>
          <w:marBottom w:val="0"/>
          <w:divBdr>
            <w:top w:val="none" w:sz="0" w:space="0" w:color="auto"/>
            <w:left w:val="none" w:sz="0" w:space="0" w:color="auto"/>
            <w:bottom w:val="none" w:sz="0" w:space="0" w:color="auto"/>
            <w:right w:val="none" w:sz="0" w:space="0" w:color="auto"/>
          </w:divBdr>
        </w:div>
        <w:div w:id="456146990">
          <w:marLeft w:val="0"/>
          <w:marRight w:val="0"/>
          <w:marTop w:val="0"/>
          <w:marBottom w:val="0"/>
          <w:divBdr>
            <w:top w:val="none" w:sz="0" w:space="0" w:color="auto"/>
            <w:left w:val="none" w:sz="0" w:space="0" w:color="auto"/>
            <w:bottom w:val="none" w:sz="0" w:space="0" w:color="auto"/>
            <w:right w:val="none" w:sz="0" w:space="0" w:color="auto"/>
          </w:divBdr>
        </w:div>
        <w:div w:id="456535162">
          <w:marLeft w:val="0"/>
          <w:marRight w:val="0"/>
          <w:marTop w:val="0"/>
          <w:marBottom w:val="0"/>
          <w:divBdr>
            <w:top w:val="none" w:sz="0" w:space="0" w:color="auto"/>
            <w:left w:val="none" w:sz="0" w:space="0" w:color="auto"/>
            <w:bottom w:val="none" w:sz="0" w:space="0" w:color="auto"/>
            <w:right w:val="none" w:sz="0" w:space="0" w:color="auto"/>
          </w:divBdr>
        </w:div>
        <w:div w:id="460850659">
          <w:marLeft w:val="0"/>
          <w:marRight w:val="0"/>
          <w:marTop w:val="0"/>
          <w:marBottom w:val="0"/>
          <w:divBdr>
            <w:top w:val="none" w:sz="0" w:space="0" w:color="auto"/>
            <w:left w:val="none" w:sz="0" w:space="0" w:color="auto"/>
            <w:bottom w:val="none" w:sz="0" w:space="0" w:color="auto"/>
            <w:right w:val="none" w:sz="0" w:space="0" w:color="auto"/>
          </w:divBdr>
        </w:div>
        <w:div w:id="461070823">
          <w:marLeft w:val="0"/>
          <w:marRight w:val="0"/>
          <w:marTop w:val="0"/>
          <w:marBottom w:val="0"/>
          <w:divBdr>
            <w:top w:val="none" w:sz="0" w:space="0" w:color="auto"/>
            <w:left w:val="none" w:sz="0" w:space="0" w:color="auto"/>
            <w:bottom w:val="none" w:sz="0" w:space="0" w:color="auto"/>
            <w:right w:val="none" w:sz="0" w:space="0" w:color="auto"/>
          </w:divBdr>
        </w:div>
        <w:div w:id="468210357">
          <w:marLeft w:val="0"/>
          <w:marRight w:val="0"/>
          <w:marTop w:val="0"/>
          <w:marBottom w:val="0"/>
          <w:divBdr>
            <w:top w:val="none" w:sz="0" w:space="0" w:color="auto"/>
            <w:left w:val="none" w:sz="0" w:space="0" w:color="auto"/>
            <w:bottom w:val="none" w:sz="0" w:space="0" w:color="auto"/>
            <w:right w:val="none" w:sz="0" w:space="0" w:color="auto"/>
          </w:divBdr>
        </w:div>
        <w:div w:id="468329749">
          <w:marLeft w:val="0"/>
          <w:marRight w:val="0"/>
          <w:marTop w:val="0"/>
          <w:marBottom w:val="0"/>
          <w:divBdr>
            <w:top w:val="none" w:sz="0" w:space="0" w:color="auto"/>
            <w:left w:val="none" w:sz="0" w:space="0" w:color="auto"/>
            <w:bottom w:val="none" w:sz="0" w:space="0" w:color="auto"/>
            <w:right w:val="none" w:sz="0" w:space="0" w:color="auto"/>
          </w:divBdr>
        </w:div>
        <w:div w:id="555511007">
          <w:marLeft w:val="0"/>
          <w:marRight w:val="0"/>
          <w:marTop w:val="0"/>
          <w:marBottom w:val="0"/>
          <w:divBdr>
            <w:top w:val="none" w:sz="0" w:space="0" w:color="auto"/>
            <w:left w:val="none" w:sz="0" w:space="0" w:color="auto"/>
            <w:bottom w:val="none" w:sz="0" w:space="0" w:color="auto"/>
            <w:right w:val="none" w:sz="0" w:space="0" w:color="auto"/>
          </w:divBdr>
        </w:div>
        <w:div w:id="579291517">
          <w:marLeft w:val="0"/>
          <w:marRight w:val="0"/>
          <w:marTop w:val="0"/>
          <w:marBottom w:val="0"/>
          <w:divBdr>
            <w:top w:val="none" w:sz="0" w:space="0" w:color="auto"/>
            <w:left w:val="none" w:sz="0" w:space="0" w:color="auto"/>
            <w:bottom w:val="none" w:sz="0" w:space="0" w:color="auto"/>
            <w:right w:val="none" w:sz="0" w:space="0" w:color="auto"/>
          </w:divBdr>
        </w:div>
        <w:div w:id="608585182">
          <w:marLeft w:val="0"/>
          <w:marRight w:val="0"/>
          <w:marTop w:val="0"/>
          <w:marBottom w:val="0"/>
          <w:divBdr>
            <w:top w:val="none" w:sz="0" w:space="0" w:color="auto"/>
            <w:left w:val="none" w:sz="0" w:space="0" w:color="auto"/>
            <w:bottom w:val="none" w:sz="0" w:space="0" w:color="auto"/>
            <w:right w:val="none" w:sz="0" w:space="0" w:color="auto"/>
          </w:divBdr>
        </w:div>
        <w:div w:id="611982826">
          <w:marLeft w:val="0"/>
          <w:marRight w:val="0"/>
          <w:marTop w:val="0"/>
          <w:marBottom w:val="0"/>
          <w:divBdr>
            <w:top w:val="none" w:sz="0" w:space="0" w:color="auto"/>
            <w:left w:val="none" w:sz="0" w:space="0" w:color="auto"/>
            <w:bottom w:val="none" w:sz="0" w:space="0" w:color="auto"/>
            <w:right w:val="none" w:sz="0" w:space="0" w:color="auto"/>
          </w:divBdr>
        </w:div>
        <w:div w:id="634409663">
          <w:marLeft w:val="0"/>
          <w:marRight w:val="0"/>
          <w:marTop w:val="0"/>
          <w:marBottom w:val="0"/>
          <w:divBdr>
            <w:top w:val="none" w:sz="0" w:space="0" w:color="auto"/>
            <w:left w:val="none" w:sz="0" w:space="0" w:color="auto"/>
            <w:bottom w:val="none" w:sz="0" w:space="0" w:color="auto"/>
            <w:right w:val="none" w:sz="0" w:space="0" w:color="auto"/>
          </w:divBdr>
        </w:div>
        <w:div w:id="660352005">
          <w:marLeft w:val="0"/>
          <w:marRight w:val="0"/>
          <w:marTop w:val="0"/>
          <w:marBottom w:val="0"/>
          <w:divBdr>
            <w:top w:val="none" w:sz="0" w:space="0" w:color="auto"/>
            <w:left w:val="none" w:sz="0" w:space="0" w:color="auto"/>
            <w:bottom w:val="none" w:sz="0" w:space="0" w:color="auto"/>
            <w:right w:val="none" w:sz="0" w:space="0" w:color="auto"/>
          </w:divBdr>
        </w:div>
        <w:div w:id="682903985">
          <w:marLeft w:val="0"/>
          <w:marRight w:val="0"/>
          <w:marTop w:val="0"/>
          <w:marBottom w:val="0"/>
          <w:divBdr>
            <w:top w:val="none" w:sz="0" w:space="0" w:color="auto"/>
            <w:left w:val="none" w:sz="0" w:space="0" w:color="auto"/>
            <w:bottom w:val="none" w:sz="0" w:space="0" w:color="auto"/>
            <w:right w:val="none" w:sz="0" w:space="0" w:color="auto"/>
          </w:divBdr>
        </w:div>
        <w:div w:id="695423012">
          <w:marLeft w:val="0"/>
          <w:marRight w:val="0"/>
          <w:marTop w:val="0"/>
          <w:marBottom w:val="0"/>
          <w:divBdr>
            <w:top w:val="none" w:sz="0" w:space="0" w:color="auto"/>
            <w:left w:val="none" w:sz="0" w:space="0" w:color="auto"/>
            <w:bottom w:val="none" w:sz="0" w:space="0" w:color="auto"/>
            <w:right w:val="none" w:sz="0" w:space="0" w:color="auto"/>
          </w:divBdr>
        </w:div>
        <w:div w:id="725908327">
          <w:marLeft w:val="0"/>
          <w:marRight w:val="0"/>
          <w:marTop w:val="0"/>
          <w:marBottom w:val="0"/>
          <w:divBdr>
            <w:top w:val="none" w:sz="0" w:space="0" w:color="auto"/>
            <w:left w:val="none" w:sz="0" w:space="0" w:color="auto"/>
            <w:bottom w:val="none" w:sz="0" w:space="0" w:color="auto"/>
            <w:right w:val="none" w:sz="0" w:space="0" w:color="auto"/>
          </w:divBdr>
        </w:div>
        <w:div w:id="752118796">
          <w:marLeft w:val="0"/>
          <w:marRight w:val="0"/>
          <w:marTop w:val="0"/>
          <w:marBottom w:val="0"/>
          <w:divBdr>
            <w:top w:val="none" w:sz="0" w:space="0" w:color="auto"/>
            <w:left w:val="none" w:sz="0" w:space="0" w:color="auto"/>
            <w:bottom w:val="none" w:sz="0" w:space="0" w:color="auto"/>
            <w:right w:val="none" w:sz="0" w:space="0" w:color="auto"/>
          </w:divBdr>
        </w:div>
        <w:div w:id="760952624">
          <w:marLeft w:val="0"/>
          <w:marRight w:val="0"/>
          <w:marTop w:val="0"/>
          <w:marBottom w:val="0"/>
          <w:divBdr>
            <w:top w:val="none" w:sz="0" w:space="0" w:color="auto"/>
            <w:left w:val="none" w:sz="0" w:space="0" w:color="auto"/>
            <w:bottom w:val="none" w:sz="0" w:space="0" w:color="auto"/>
            <w:right w:val="none" w:sz="0" w:space="0" w:color="auto"/>
          </w:divBdr>
        </w:div>
        <w:div w:id="783157286">
          <w:marLeft w:val="0"/>
          <w:marRight w:val="0"/>
          <w:marTop w:val="0"/>
          <w:marBottom w:val="0"/>
          <w:divBdr>
            <w:top w:val="none" w:sz="0" w:space="0" w:color="auto"/>
            <w:left w:val="none" w:sz="0" w:space="0" w:color="auto"/>
            <w:bottom w:val="none" w:sz="0" w:space="0" w:color="auto"/>
            <w:right w:val="none" w:sz="0" w:space="0" w:color="auto"/>
          </w:divBdr>
        </w:div>
        <w:div w:id="804933020">
          <w:marLeft w:val="0"/>
          <w:marRight w:val="0"/>
          <w:marTop w:val="0"/>
          <w:marBottom w:val="0"/>
          <w:divBdr>
            <w:top w:val="none" w:sz="0" w:space="0" w:color="auto"/>
            <w:left w:val="none" w:sz="0" w:space="0" w:color="auto"/>
            <w:bottom w:val="none" w:sz="0" w:space="0" w:color="auto"/>
            <w:right w:val="none" w:sz="0" w:space="0" w:color="auto"/>
          </w:divBdr>
        </w:div>
        <w:div w:id="823083420">
          <w:marLeft w:val="0"/>
          <w:marRight w:val="0"/>
          <w:marTop w:val="0"/>
          <w:marBottom w:val="0"/>
          <w:divBdr>
            <w:top w:val="none" w:sz="0" w:space="0" w:color="auto"/>
            <w:left w:val="none" w:sz="0" w:space="0" w:color="auto"/>
            <w:bottom w:val="none" w:sz="0" w:space="0" w:color="auto"/>
            <w:right w:val="none" w:sz="0" w:space="0" w:color="auto"/>
          </w:divBdr>
        </w:div>
        <w:div w:id="833033426">
          <w:marLeft w:val="0"/>
          <w:marRight w:val="0"/>
          <w:marTop w:val="0"/>
          <w:marBottom w:val="0"/>
          <w:divBdr>
            <w:top w:val="none" w:sz="0" w:space="0" w:color="auto"/>
            <w:left w:val="none" w:sz="0" w:space="0" w:color="auto"/>
            <w:bottom w:val="none" w:sz="0" w:space="0" w:color="auto"/>
            <w:right w:val="none" w:sz="0" w:space="0" w:color="auto"/>
          </w:divBdr>
        </w:div>
        <w:div w:id="840239147">
          <w:marLeft w:val="0"/>
          <w:marRight w:val="0"/>
          <w:marTop w:val="0"/>
          <w:marBottom w:val="0"/>
          <w:divBdr>
            <w:top w:val="none" w:sz="0" w:space="0" w:color="auto"/>
            <w:left w:val="none" w:sz="0" w:space="0" w:color="auto"/>
            <w:bottom w:val="none" w:sz="0" w:space="0" w:color="auto"/>
            <w:right w:val="none" w:sz="0" w:space="0" w:color="auto"/>
          </w:divBdr>
        </w:div>
        <w:div w:id="840975539">
          <w:marLeft w:val="0"/>
          <w:marRight w:val="0"/>
          <w:marTop w:val="0"/>
          <w:marBottom w:val="0"/>
          <w:divBdr>
            <w:top w:val="none" w:sz="0" w:space="0" w:color="auto"/>
            <w:left w:val="none" w:sz="0" w:space="0" w:color="auto"/>
            <w:bottom w:val="none" w:sz="0" w:space="0" w:color="auto"/>
            <w:right w:val="none" w:sz="0" w:space="0" w:color="auto"/>
          </w:divBdr>
        </w:div>
        <w:div w:id="853614674">
          <w:marLeft w:val="0"/>
          <w:marRight w:val="0"/>
          <w:marTop w:val="0"/>
          <w:marBottom w:val="0"/>
          <w:divBdr>
            <w:top w:val="none" w:sz="0" w:space="0" w:color="auto"/>
            <w:left w:val="none" w:sz="0" w:space="0" w:color="auto"/>
            <w:bottom w:val="none" w:sz="0" w:space="0" w:color="auto"/>
            <w:right w:val="none" w:sz="0" w:space="0" w:color="auto"/>
          </w:divBdr>
        </w:div>
        <w:div w:id="860166429">
          <w:marLeft w:val="0"/>
          <w:marRight w:val="0"/>
          <w:marTop w:val="0"/>
          <w:marBottom w:val="0"/>
          <w:divBdr>
            <w:top w:val="none" w:sz="0" w:space="0" w:color="auto"/>
            <w:left w:val="none" w:sz="0" w:space="0" w:color="auto"/>
            <w:bottom w:val="none" w:sz="0" w:space="0" w:color="auto"/>
            <w:right w:val="none" w:sz="0" w:space="0" w:color="auto"/>
          </w:divBdr>
        </w:div>
        <w:div w:id="885947785">
          <w:marLeft w:val="0"/>
          <w:marRight w:val="0"/>
          <w:marTop w:val="0"/>
          <w:marBottom w:val="0"/>
          <w:divBdr>
            <w:top w:val="none" w:sz="0" w:space="0" w:color="auto"/>
            <w:left w:val="none" w:sz="0" w:space="0" w:color="auto"/>
            <w:bottom w:val="none" w:sz="0" w:space="0" w:color="auto"/>
            <w:right w:val="none" w:sz="0" w:space="0" w:color="auto"/>
          </w:divBdr>
        </w:div>
        <w:div w:id="922681827">
          <w:marLeft w:val="0"/>
          <w:marRight w:val="0"/>
          <w:marTop w:val="0"/>
          <w:marBottom w:val="0"/>
          <w:divBdr>
            <w:top w:val="none" w:sz="0" w:space="0" w:color="auto"/>
            <w:left w:val="none" w:sz="0" w:space="0" w:color="auto"/>
            <w:bottom w:val="none" w:sz="0" w:space="0" w:color="auto"/>
            <w:right w:val="none" w:sz="0" w:space="0" w:color="auto"/>
          </w:divBdr>
        </w:div>
        <w:div w:id="930164255">
          <w:marLeft w:val="0"/>
          <w:marRight w:val="0"/>
          <w:marTop w:val="0"/>
          <w:marBottom w:val="0"/>
          <w:divBdr>
            <w:top w:val="none" w:sz="0" w:space="0" w:color="auto"/>
            <w:left w:val="none" w:sz="0" w:space="0" w:color="auto"/>
            <w:bottom w:val="none" w:sz="0" w:space="0" w:color="auto"/>
            <w:right w:val="none" w:sz="0" w:space="0" w:color="auto"/>
          </w:divBdr>
        </w:div>
        <w:div w:id="932514540">
          <w:marLeft w:val="0"/>
          <w:marRight w:val="0"/>
          <w:marTop w:val="0"/>
          <w:marBottom w:val="0"/>
          <w:divBdr>
            <w:top w:val="none" w:sz="0" w:space="0" w:color="auto"/>
            <w:left w:val="none" w:sz="0" w:space="0" w:color="auto"/>
            <w:bottom w:val="none" w:sz="0" w:space="0" w:color="auto"/>
            <w:right w:val="none" w:sz="0" w:space="0" w:color="auto"/>
          </w:divBdr>
        </w:div>
        <w:div w:id="942230756">
          <w:marLeft w:val="0"/>
          <w:marRight w:val="0"/>
          <w:marTop w:val="0"/>
          <w:marBottom w:val="0"/>
          <w:divBdr>
            <w:top w:val="none" w:sz="0" w:space="0" w:color="auto"/>
            <w:left w:val="none" w:sz="0" w:space="0" w:color="auto"/>
            <w:bottom w:val="none" w:sz="0" w:space="0" w:color="auto"/>
            <w:right w:val="none" w:sz="0" w:space="0" w:color="auto"/>
          </w:divBdr>
        </w:div>
        <w:div w:id="946042347">
          <w:marLeft w:val="0"/>
          <w:marRight w:val="0"/>
          <w:marTop w:val="0"/>
          <w:marBottom w:val="0"/>
          <w:divBdr>
            <w:top w:val="none" w:sz="0" w:space="0" w:color="auto"/>
            <w:left w:val="none" w:sz="0" w:space="0" w:color="auto"/>
            <w:bottom w:val="none" w:sz="0" w:space="0" w:color="auto"/>
            <w:right w:val="none" w:sz="0" w:space="0" w:color="auto"/>
          </w:divBdr>
        </w:div>
        <w:div w:id="952714601">
          <w:marLeft w:val="0"/>
          <w:marRight w:val="0"/>
          <w:marTop w:val="0"/>
          <w:marBottom w:val="0"/>
          <w:divBdr>
            <w:top w:val="none" w:sz="0" w:space="0" w:color="auto"/>
            <w:left w:val="none" w:sz="0" w:space="0" w:color="auto"/>
            <w:bottom w:val="none" w:sz="0" w:space="0" w:color="auto"/>
            <w:right w:val="none" w:sz="0" w:space="0" w:color="auto"/>
          </w:divBdr>
        </w:div>
        <w:div w:id="952900022">
          <w:marLeft w:val="0"/>
          <w:marRight w:val="0"/>
          <w:marTop w:val="0"/>
          <w:marBottom w:val="0"/>
          <w:divBdr>
            <w:top w:val="none" w:sz="0" w:space="0" w:color="auto"/>
            <w:left w:val="none" w:sz="0" w:space="0" w:color="auto"/>
            <w:bottom w:val="none" w:sz="0" w:space="0" w:color="auto"/>
            <w:right w:val="none" w:sz="0" w:space="0" w:color="auto"/>
          </w:divBdr>
        </w:div>
        <w:div w:id="972634397">
          <w:marLeft w:val="0"/>
          <w:marRight w:val="0"/>
          <w:marTop w:val="0"/>
          <w:marBottom w:val="0"/>
          <w:divBdr>
            <w:top w:val="none" w:sz="0" w:space="0" w:color="auto"/>
            <w:left w:val="none" w:sz="0" w:space="0" w:color="auto"/>
            <w:bottom w:val="none" w:sz="0" w:space="0" w:color="auto"/>
            <w:right w:val="none" w:sz="0" w:space="0" w:color="auto"/>
          </w:divBdr>
        </w:div>
        <w:div w:id="1001349607">
          <w:marLeft w:val="0"/>
          <w:marRight w:val="0"/>
          <w:marTop w:val="0"/>
          <w:marBottom w:val="0"/>
          <w:divBdr>
            <w:top w:val="none" w:sz="0" w:space="0" w:color="auto"/>
            <w:left w:val="none" w:sz="0" w:space="0" w:color="auto"/>
            <w:bottom w:val="none" w:sz="0" w:space="0" w:color="auto"/>
            <w:right w:val="none" w:sz="0" w:space="0" w:color="auto"/>
          </w:divBdr>
        </w:div>
        <w:div w:id="1008210481">
          <w:marLeft w:val="0"/>
          <w:marRight w:val="0"/>
          <w:marTop w:val="0"/>
          <w:marBottom w:val="0"/>
          <w:divBdr>
            <w:top w:val="none" w:sz="0" w:space="0" w:color="auto"/>
            <w:left w:val="none" w:sz="0" w:space="0" w:color="auto"/>
            <w:bottom w:val="none" w:sz="0" w:space="0" w:color="auto"/>
            <w:right w:val="none" w:sz="0" w:space="0" w:color="auto"/>
          </w:divBdr>
        </w:div>
        <w:div w:id="1039092103">
          <w:marLeft w:val="0"/>
          <w:marRight w:val="0"/>
          <w:marTop w:val="0"/>
          <w:marBottom w:val="0"/>
          <w:divBdr>
            <w:top w:val="none" w:sz="0" w:space="0" w:color="auto"/>
            <w:left w:val="none" w:sz="0" w:space="0" w:color="auto"/>
            <w:bottom w:val="none" w:sz="0" w:space="0" w:color="auto"/>
            <w:right w:val="none" w:sz="0" w:space="0" w:color="auto"/>
          </w:divBdr>
        </w:div>
        <w:div w:id="1039283297">
          <w:marLeft w:val="0"/>
          <w:marRight w:val="0"/>
          <w:marTop w:val="0"/>
          <w:marBottom w:val="0"/>
          <w:divBdr>
            <w:top w:val="none" w:sz="0" w:space="0" w:color="auto"/>
            <w:left w:val="none" w:sz="0" w:space="0" w:color="auto"/>
            <w:bottom w:val="none" w:sz="0" w:space="0" w:color="auto"/>
            <w:right w:val="none" w:sz="0" w:space="0" w:color="auto"/>
          </w:divBdr>
        </w:div>
        <w:div w:id="1054084785">
          <w:marLeft w:val="0"/>
          <w:marRight w:val="0"/>
          <w:marTop w:val="0"/>
          <w:marBottom w:val="0"/>
          <w:divBdr>
            <w:top w:val="none" w:sz="0" w:space="0" w:color="auto"/>
            <w:left w:val="none" w:sz="0" w:space="0" w:color="auto"/>
            <w:bottom w:val="none" w:sz="0" w:space="0" w:color="auto"/>
            <w:right w:val="none" w:sz="0" w:space="0" w:color="auto"/>
          </w:divBdr>
        </w:div>
        <w:div w:id="1061557784">
          <w:marLeft w:val="0"/>
          <w:marRight w:val="0"/>
          <w:marTop w:val="0"/>
          <w:marBottom w:val="0"/>
          <w:divBdr>
            <w:top w:val="none" w:sz="0" w:space="0" w:color="auto"/>
            <w:left w:val="none" w:sz="0" w:space="0" w:color="auto"/>
            <w:bottom w:val="none" w:sz="0" w:space="0" w:color="auto"/>
            <w:right w:val="none" w:sz="0" w:space="0" w:color="auto"/>
          </w:divBdr>
        </w:div>
        <w:div w:id="1083062080">
          <w:marLeft w:val="0"/>
          <w:marRight w:val="0"/>
          <w:marTop w:val="0"/>
          <w:marBottom w:val="0"/>
          <w:divBdr>
            <w:top w:val="none" w:sz="0" w:space="0" w:color="auto"/>
            <w:left w:val="none" w:sz="0" w:space="0" w:color="auto"/>
            <w:bottom w:val="none" w:sz="0" w:space="0" w:color="auto"/>
            <w:right w:val="none" w:sz="0" w:space="0" w:color="auto"/>
          </w:divBdr>
        </w:div>
        <w:div w:id="1088573133">
          <w:marLeft w:val="0"/>
          <w:marRight w:val="0"/>
          <w:marTop w:val="0"/>
          <w:marBottom w:val="0"/>
          <w:divBdr>
            <w:top w:val="none" w:sz="0" w:space="0" w:color="auto"/>
            <w:left w:val="none" w:sz="0" w:space="0" w:color="auto"/>
            <w:bottom w:val="none" w:sz="0" w:space="0" w:color="auto"/>
            <w:right w:val="none" w:sz="0" w:space="0" w:color="auto"/>
          </w:divBdr>
        </w:div>
        <w:div w:id="1094666882">
          <w:marLeft w:val="0"/>
          <w:marRight w:val="0"/>
          <w:marTop w:val="0"/>
          <w:marBottom w:val="0"/>
          <w:divBdr>
            <w:top w:val="none" w:sz="0" w:space="0" w:color="auto"/>
            <w:left w:val="none" w:sz="0" w:space="0" w:color="auto"/>
            <w:bottom w:val="none" w:sz="0" w:space="0" w:color="auto"/>
            <w:right w:val="none" w:sz="0" w:space="0" w:color="auto"/>
          </w:divBdr>
        </w:div>
        <w:div w:id="1107240463">
          <w:marLeft w:val="0"/>
          <w:marRight w:val="0"/>
          <w:marTop w:val="0"/>
          <w:marBottom w:val="0"/>
          <w:divBdr>
            <w:top w:val="none" w:sz="0" w:space="0" w:color="auto"/>
            <w:left w:val="none" w:sz="0" w:space="0" w:color="auto"/>
            <w:bottom w:val="none" w:sz="0" w:space="0" w:color="auto"/>
            <w:right w:val="none" w:sz="0" w:space="0" w:color="auto"/>
          </w:divBdr>
        </w:div>
        <w:div w:id="1118574018">
          <w:marLeft w:val="0"/>
          <w:marRight w:val="0"/>
          <w:marTop w:val="0"/>
          <w:marBottom w:val="0"/>
          <w:divBdr>
            <w:top w:val="none" w:sz="0" w:space="0" w:color="auto"/>
            <w:left w:val="none" w:sz="0" w:space="0" w:color="auto"/>
            <w:bottom w:val="none" w:sz="0" w:space="0" w:color="auto"/>
            <w:right w:val="none" w:sz="0" w:space="0" w:color="auto"/>
          </w:divBdr>
        </w:div>
        <w:div w:id="1127622516">
          <w:marLeft w:val="0"/>
          <w:marRight w:val="0"/>
          <w:marTop w:val="0"/>
          <w:marBottom w:val="0"/>
          <w:divBdr>
            <w:top w:val="none" w:sz="0" w:space="0" w:color="auto"/>
            <w:left w:val="none" w:sz="0" w:space="0" w:color="auto"/>
            <w:bottom w:val="none" w:sz="0" w:space="0" w:color="auto"/>
            <w:right w:val="none" w:sz="0" w:space="0" w:color="auto"/>
          </w:divBdr>
        </w:div>
        <w:div w:id="1135678367">
          <w:marLeft w:val="0"/>
          <w:marRight w:val="0"/>
          <w:marTop w:val="0"/>
          <w:marBottom w:val="0"/>
          <w:divBdr>
            <w:top w:val="none" w:sz="0" w:space="0" w:color="auto"/>
            <w:left w:val="none" w:sz="0" w:space="0" w:color="auto"/>
            <w:bottom w:val="none" w:sz="0" w:space="0" w:color="auto"/>
            <w:right w:val="none" w:sz="0" w:space="0" w:color="auto"/>
          </w:divBdr>
        </w:div>
        <w:div w:id="1166826947">
          <w:marLeft w:val="0"/>
          <w:marRight w:val="0"/>
          <w:marTop w:val="0"/>
          <w:marBottom w:val="0"/>
          <w:divBdr>
            <w:top w:val="none" w:sz="0" w:space="0" w:color="auto"/>
            <w:left w:val="none" w:sz="0" w:space="0" w:color="auto"/>
            <w:bottom w:val="none" w:sz="0" w:space="0" w:color="auto"/>
            <w:right w:val="none" w:sz="0" w:space="0" w:color="auto"/>
          </w:divBdr>
        </w:div>
        <w:div w:id="1173640304">
          <w:marLeft w:val="0"/>
          <w:marRight w:val="0"/>
          <w:marTop w:val="0"/>
          <w:marBottom w:val="0"/>
          <w:divBdr>
            <w:top w:val="none" w:sz="0" w:space="0" w:color="auto"/>
            <w:left w:val="none" w:sz="0" w:space="0" w:color="auto"/>
            <w:bottom w:val="none" w:sz="0" w:space="0" w:color="auto"/>
            <w:right w:val="none" w:sz="0" w:space="0" w:color="auto"/>
          </w:divBdr>
        </w:div>
        <w:div w:id="1235313273">
          <w:marLeft w:val="0"/>
          <w:marRight w:val="0"/>
          <w:marTop w:val="0"/>
          <w:marBottom w:val="0"/>
          <w:divBdr>
            <w:top w:val="none" w:sz="0" w:space="0" w:color="auto"/>
            <w:left w:val="none" w:sz="0" w:space="0" w:color="auto"/>
            <w:bottom w:val="none" w:sz="0" w:space="0" w:color="auto"/>
            <w:right w:val="none" w:sz="0" w:space="0" w:color="auto"/>
          </w:divBdr>
        </w:div>
        <w:div w:id="1243292853">
          <w:marLeft w:val="0"/>
          <w:marRight w:val="0"/>
          <w:marTop w:val="0"/>
          <w:marBottom w:val="0"/>
          <w:divBdr>
            <w:top w:val="none" w:sz="0" w:space="0" w:color="auto"/>
            <w:left w:val="none" w:sz="0" w:space="0" w:color="auto"/>
            <w:bottom w:val="none" w:sz="0" w:space="0" w:color="auto"/>
            <w:right w:val="none" w:sz="0" w:space="0" w:color="auto"/>
          </w:divBdr>
        </w:div>
        <w:div w:id="1247689505">
          <w:marLeft w:val="0"/>
          <w:marRight w:val="0"/>
          <w:marTop w:val="0"/>
          <w:marBottom w:val="0"/>
          <w:divBdr>
            <w:top w:val="none" w:sz="0" w:space="0" w:color="auto"/>
            <w:left w:val="none" w:sz="0" w:space="0" w:color="auto"/>
            <w:bottom w:val="none" w:sz="0" w:space="0" w:color="auto"/>
            <w:right w:val="none" w:sz="0" w:space="0" w:color="auto"/>
          </w:divBdr>
        </w:div>
        <w:div w:id="1270812774">
          <w:marLeft w:val="0"/>
          <w:marRight w:val="0"/>
          <w:marTop w:val="0"/>
          <w:marBottom w:val="0"/>
          <w:divBdr>
            <w:top w:val="none" w:sz="0" w:space="0" w:color="auto"/>
            <w:left w:val="none" w:sz="0" w:space="0" w:color="auto"/>
            <w:bottom w:val="none" w:sz="0" w:space="0" w:color="auto"/>
            <w:right w:val="none" w:sz="0" w:space="0" w:color="auto"/>
          </w:divBdr>
        </w:div>
        <w:div w:id="1277756395">
          <w:marLeft w:val="0"/>
          <w:marRight w:val="0"/>
          <w:marTop w:val="0"/>
          <w:marBottom w:val="0"/>
          <w:divBdr>
            <w:top w:val="none" w:sz="0" w:space="0" w:color="auto"/>
            <w:left w:val="none" w:sz="0" w:space="0" w:color="auto"/>
            <w:bottom w:val="none" w:sz="0" w:space="0" w:color="auto"/>
            <w:right w:val="none" w:sz="0" w:space="0" w:color="auto"/>
          </w:divBdr>
        </w:div>
        <w:div w:id="1312640784">
          <w:marLeft w:val="0"/>
          <w:marRight w:val="0"/>
          <w:marTop w:val="0"/>
          <w:marBottom w:val="0"/>
          <w:divBdr>
            <w:top w:val="none" w:sz="0" w:space="0" w:color="auto"/>
            <w:left w:val="none" w:sz="0" w:space="0" w:color="auto"/>
            <w:bottom w:val="none" w:sz="0" w:space="0" w:color="auto"/>
            <w:right w:val="none" w:sz="0" w:space="0" w:color="auto"/>
          </w:divBdr>
        </w:div>
        <w:div w:id="1334798427">
          <w:marLeft w:val="0"/>
          <w:marRight w:val="0"/>
          <w:marTop w:val="0"/>
          <w:marBottom w:val="0"/>
          <w:divBdr>
            <w:top w:val="none" w:sz="0" w:space="0" w:color="auto"/>
            <w:left w:val="none" w:sz="0" w:space="0" w:color="auto"/>
            <w:bottom w:val="none" w:sz="0" w:space="0" w:color="auto"/>
            <w:right w:val="none" w:sz="0" w:space="0" w:color="auto"/>
          </w:divBdr>
        </w:div>
        <w:div w:id="1354843416">
          <w:marLeft w:val="0"/>
          <w:marRight w:val="0"/>
          <w:marTop w:val="0"/>
          <w:marBottom w:val="0"/>
          <w:divBdr>
            <w:top w:val="none" w:sz="0" w:space="0" w:color="auto"/>
            <w:left w:val="none" w:sz="0" w:space="0" w:color="auto"/>
            <w:bottom w:val="none" w:sz="0" w:space="0" w:color="auto"/>
            <w:right w:val="none" w:sz="0" w:space="0" w:color="auto"/>
          </w:divBdr>
        </w:div>
        <w:div w:id="1363826556">
          <w:marLeft w:val="0"/>
          <w:marRight w:val="0"/>
          <w:marTop w:val="0"/>
          <w:marBottom w:val="0"/>
          <w:divBdr>
            <w:top w:val="none" w:sz="0" w:space="0" w:color="auto"/>
            <w:left w:val="none" w:sz="0" w:space="0" w:color="auto"/>
            <w:bottom w:val="none" w:sz="0" w:space="0" w:color="auto"/>
            <w:right w:val="none" w:sz="0" w:space="0" w:color="auto"/>
          </w:divBdr>
        </w:div>
        <w:div w:id="1382707039">
          <w:marLeft w:val="0"/>
          <w:marRight w:val="0"/>
          <w:marTop w:val="0"/>
          <w:marBottom w:val="0"/>
          <w:divBdr>
            <w:top w:val="none" w:sz="0" w:space="0" w:color="auto"/>
            <w:left w:val="none" w:sz="0" w:space="0" w:color="auto"/>
            <w:bottom w:val="none" w:sz="0" w:space="0" w:color="auto"/>
            <w:right w:val="none" w:sz="0" w:space="0" w:color="auto"/>
          </w:divBdr>
        </w:div>
        <w:div w:id="1384476563">
          <w:marLeft w:val="0"/>
          <w:marRight w:val="0"/>
          <w:marTop w:val="0"/>
          <w:marBottom w:val="0"/>
          <w:divBdr>
            <w:top w:val="none" w:sz="0" w:space="0" w:color="auto"/>
            <w:left w:val="none" w:sz="0" w:space="0" w:color="auto"/>
            <w:bottom w:val="none" w:sz="0" w:space="0" w:color="auto"/>
            <w:right w:val="none" w:sz="0" w:space="0" w:color="auto"/>
          </w:divBdr>
        </w:div>
        <w:div w:id="1389722239">
          <w:marLeft w:val="0"/>
          <w:marRight w:val="0"/>
          <w:marTop w:val="0"/>
          <w:marBottom w:val="0"/>
          <w:divBdr>
            <w:top w:val="none" w:sz="0" w:space="0" w:color="auto"/>
            <w:left w:val="none" w:sz="0" w:space="0" w:color="auto"/>
            <w:bottom w:val="none" w:sz="0" w:space="0" w:color="auto"/>
            <w:right w:val="none" w:sz="0" w:space="0" w:color="auto"/>
          </w:divBdr>
        </w:div>
        <w:div w:id="1393311902">
          <w:marLeft w:val="0"/>
          <w:marRight w:val="0"/>
          <w:marTop w:val="0"/>
          <w:marBottom w:val="0"/>
          <w:divBdr>
            <w:top w:val="none" w:sz="0" w:space="0" w:color="auto"/>
            <w:left w:val="none" w:sz="0" w:space="0" w:color="auto"/>
            <w:bottom w:val="none" w:sz="0" w:space="0" w:color="auto"/>
            <w:right w:val="none" w:sz="0" w:space="0" w:color="auto"/>
          </w:divBdr>
        </w:div>
        <w:div w:id="1426196566">
          <w:marLeft w:val="0"/>
          <w:marRight w:val="0"/>
          <w:marTop w:val="0"/>
          <w:marBottom w:val="0"/>
          <w:divBdr>
            <w:top w:val="none" w:sz="0" w:space="0" w:color="auto"/>
            <w:left w:val="none" w:sz="0" w:space="0" w:color="auto"/>
            <w:bottom w:val="none" w:sz="0" w:space="0" w:color="auto"/>
            <w:right w:val="none" w:sz="0" w:space="0" w:color="auto"/>
          </w:divBdr>
        </w:div>
        <w:div w:id="1436055794">
          <w:marLeft w:val="0"/>
          <w:marRight w:val="0"/>
          <w:marTop w:val="0"/>
          <w:marBottom w:val="0"/>
          <w:divBdr>
            <w:top w:val="none" w:sz="0" w:space="0" w:color="auto"/>
            <w:left w:val="none" w:sz="0" w:space="0" w:color="auto"/>
            <w:bottom w:val="none" w:sz="0" w:space="0" w:color="auto"/>
            <w:right w:val="none" w:sz="0" w:space="0" w:color="auto"/>
          </w:divBdr>
        </w:div>
        <w:div w:id="1451780508">
          <w:marLeft w:val="0"/>
          <w:marRight w:val="0"/>
          <w:marTop w:val="0"/>
          <w:marBottom w:val="0"/>
          <w:divBdr>
            <w:top w:val="none" w:sz="0" w:space="0" w:color="auto"/>
            <w:left w:val="none" w:sz="0" w:space="0" w:color="auto"/>
            <w:bottom w:val="none" w:sz="0" w:space="0" w:color="auto"/>
            <w:right w:val="none" w:sz="0" w:space="0" w:color="auto"/>
          </w:divBdr>
        </w:div>
        <w:div w:id="1466195553">
          <w:marLeft w:val="0"/>
          <w:marRight w:val="0"/>
          <w:marTop w:val="0"/>
          <w:marBottom w:val="0"/>
          <w:divBdr>
            <w:top w:val="none" w:sz="0" w:space="0" w:color="auto"/>
            <w:left w:val="none" w:sz="0" w:space="0" w:color="auto"/>
            <w:bottom w:val="none" w:sz="0" w:space="0" w:color="auto"/>
            <w:right w:val="none" w:sz="0" w:space="0" w:color="auto"/>
          </w:divBdr>
        </w:div>
        <w:div w:id="1510294724">
          <w:marLeft w:val="0"/>
          <w:marRight w:val="0"/>
          <w:marTop w:val="0"/>
          <w:marBottom w:val="0"/>
          <w:divBdr>
            <w:top w:val="none" w:sz="0" w:space="0" w:color="auto"/>
            <w:left w:val="none" w:sz="0" w:space="0" w:color="auto"/>
            <w:bottom w:val="none" w:sz="0" w:space="0" w:color="auto"/>
            <w:right w:val="none" w:sz="0" w:space="0" w:color="auto"/>
          </w:divBdr>
        </w:div>
        <w:div w:id="1516573122">
          <w:marLeft w:val="0"/>
          <w:marRight w:val="0"/>
          <w:marTop w:val="0"/>
          <w:marBottom w:val="0"/>
          <w:divBdr>
            <w:top w:val="none" w:sz="0" w:space="0" w:color="auto"/>
            <w:left w:val="none" w:sz="0" w:space="0" w:color="auto"/>
            <w:bottom w:val="none" w:sz="0" w:space="0" w:color="auto"/>
            <w:right w:val="none" w:sz="0" w:space="0" w:color="auto"/>
          </w:divBdr>
        </w:div>
        <w:div w:id="1522090673">
          <w:marLeft w:val="0"/>
          <w:marRight w:val="0"/>
          <w:marTop w:val="0"/>
          <w:marBottom w:val="0"/>
          <w:divBdr>
            <w:top w:val="none" w:sz="0" w:space="0" w:color="auto"/>
            <w:left w:val="none" w:sz="0" w:space="0" w:color="auto"/>
            <w:bottom w:val="none" w:sz="0" w:space="0" w:color="auto"/>
            <w:right w:val="none" w:sz="0" w:space="0" w:color="auto"/>
          </w:divBdr>
        </w:div>
        <w:div w:id="1556117712">
          <w:marLeft w:val="0"/>
          <w:marRight w:val="0"/>
          <w:marTop w:val="0"/>
          <w:marBottom w:val="0"/>
          <w:divBdr>
            <w:top w:val="none" w:sz="0" w:space="0" w:color="auto"/>
            <w:left w:val="none" w:sz="0" w:space="0" w:color="auto"/>
            <w:bottom w:val="none" w:sz="0" w:space="0" w:color="auto"/>
            <w:right w:val="none" w:sz="0" w:space="0" w:color="auto"/>
          </w:divBdr>
        </w:div>
        <w:div w:id="1600601187">
          <w:marLeft w:val="0"/>
          <w:marRight w:val="0"/>
          <w:marTop w:val="0"/>
          <w:marBottom w:val="0"/>
          <w:divBdr>
            <w:top w:val="none" w:sz="0" w:space="0" w:color="auto"/>
            <w:left w:val="none" w:sz="0" w:space="0" w:color="auto"/>
            <w:bottom w:val="none" w:sz="0" w:space="0" w:color="auto"/>
            <w:right w:val="none" w:sz="0" w:space="0" w:color="auto"/>
          </w:divBdr>
        </w:div>
        <w:div w:id="1600913440">
          <w:marLeft w:val="0"/>
          <w:marRight w:val="0"/>
          <w:marTop w:val="0"/>
          <w:marBottom w:val="0"/>
          <w:divBdr>
            <w:top w:val="none" w:sz="0" w:space="0" w:color="auto"/>
            <w:left w:val="none" w:sz="0" w:space="0" w:color="auto"/>
            <w:bottom w:val="none" w:sz="0" w:space="0" w:color="auto"/>
            <w:right w:val="none" w:sz="0" w:space="0" w:color="auto"/>
          </w:divBdr>
        </w:div>
        <w:div w:id="1609003476">
          <w:marLeft w:val="0"/>
          <w:marRight w:val="0"/>
          <w:marTop w:val="0"/>
          <w:marBottom w:val="0"/>
          <w:divBdr>
            <w:top w:val="none" w:sz="0" w:space="0" w:color="auto"/>
            <w:left w:val="none" w:sz="0" w:space="0" w:color="auto"/>
            <w:bottom w:val="none" w:sz="0" w:space="0" w:color="auto"/>
            <w:right w:val="none" w:sz="0" w:space="0" w:color="auto"/>
          </w:divBdr>
        </w:div>
        <w:div w:id="1636521518">
          <w:marLeft w:val="0"/>
          <w:marRight w:val="0"/>
          <w:marTop w:val="0"/>
          <w:marBottom w:val="0"/>
          <w:divBdr>
            <w:top w:val="none" w:sz="0" w:space="0" w:color="auto"/>
            <w:left w:val="none" w:sz="0" w:space="0" w:color="auto"/>
            <w:bottom w:val="none" w:sz="0" w:space="0" w:color="auto"/>
            <w:right w:val="none" w:sz="0" w:space="0" w:color="auto"/>
          </w:divBdr>
        </w:div>
        <w:div w:id="1654942129">
          <w:marLeft w:val="0"/>
          <w:marRight w:val="0"/>
          <w:marTop w:val="0"/>
          <w:marBottom w:val="0"/>
          <w:divBdr>
            <w:top w:val="none" w:sz="0" w:space="0" w:color="auto"/>
            <w:left w:val="none" w:sz="0" w:space="0" w:color="auto"/>
            <w:bottom w:val="none" w:sz="0" w:space="0" w:color="auto"/>
            <w:right w:val="none" w:sz="0" w:space="0" w:color="auto"/>
          </w:divBdr>
        </w:div>
        <w:div w:id="1667439596">
          <w:marLeft w:val="0"/>
          <w:marRight w:val="0"/>
          <w:marTop w:val="0"/>
          <w:marBottom w:val="0"/>
          <w:divBdr>
            <w:top w:val="none" w:sz="0" w:space="0" w:color="auto"/>
            <w:left w:val="none" w:sz="0" w:space="0" w:color="auto"/>
            <w:bottom w:val="none" w:sz="0" w:space="0" w:color="auto"/>
            <w:right w:val="none" w:sz="0" w:space="0" w:color="auto"/>
          </w:divBdr>
        </w:div>
        <w:div w:id="1685938283">
          <w:marLeft w:val="0"/>
          <w:marRight w:val="0"/>
          <w:marTop w:val="0"/>
          <w:marBottom w:val="0"/>
          <w:divBdr>
            <w:top w:val="none" w:sz="0" w:space="0" w:color="auto"/>
            <w:left w:val="none" w:sz="0" w:space="0" w:color="auto"/>
            <w:bottom w:val="none" w:sz="0" w:space="0" w:color="auto"/>
            <w:right w:val="none" w:sz="0" w:space="0" w:color="auto"/>
          </w:divBdr>
        </w:div>
        <w:div w:id="1690910425">
          <w:marLeft w:val="0"/>
          <w:marRight w:val="0"/>
          <w:marTop w:val="0"/>
          <w:marBottom w:val="0"/>
          <w:divBdr>
            <w:top w:val="none" w:sz="0" w:space="0" w:color="auto"/>
            <w:left w:val="none" w:sz="0" w:space="0" w:color="auto"/>
            <w:bottom w:val="none" w:sz="0" w:space="0" w:color="auto"/>
            <w:right w:val="none" w:sz="0" w:space="0" w:color="auto"/>
          </w:divBdr>
        </w:div>
        <w:div w:id="1708601276">
          <w:marLeft w:val="0"/>
          <w:marRight w:val="0"/>
          <w:marTop w:val="0"/>
          <w:marBottom w:val="0"/>
          <w:divBdr>
            <w:top w:val="none" w:sz="0" w:space="0" w:color="auto"/>
            <w:left w:val="none" w:sz="0" w:space="0" w:color="auto"/>
            <w:bottom w:val="none" w:sz="0" w:space="0" w:color="auto"/>
            <w:right w:val="none" w:sz="0" w:space="0" w:color="auto"/>
          </w:divBdr>
        </w:div>
        <w:div w:id="1712262576">
          <w:marLeft w:val="0"/>
          <w:marRight w:val="0"/>
          <w:marTop w:val="0"/>
          <w:marBottom w:val="0"/>
          <w:divBdr>
            <w:top w:val="none" w:sz="0" w:space="0" w:color="auto"/>
            <w:left w:val="none" w:sz="0" w:space="0" w:color="auto"/>
            <w:bottom w:val="none" w:sz="0" w:space="0" w:color="auto"/>
            <w:right w:val="none" w:sz="0" w:space="0" w:color="auto"/>
          </w:divBdr>
        </w:div>
        <w:div w:id="1719278076">
          <w:marLeft w:val="0"/>
          <w:marRight w:val="0"/>
          <w:marTop w:val="0"/>
          <w:marBottom w:val="0"/>
          <w:divBdr>
            <w:top w:val="none" w:sz="0" w:space="0" w:color="auto"/>
            <w:left w:val="none" w:sz="0" w:space="0" w:color="auto"/>
            <w:bottom w:val="none" w:sz="0" w:space="0" w:color="auto"/>
            <w:right w:val="none" w:sz="0" w:space="0" w:color="auto"/>
          </w:divBdr>
        </w:div>
        <w:div w:id="1743523082">
          <w:marLeft w:val="0"/>
          <w:marRight w:val="0"/>
          <w:marTop w:val="0"/>
          <w:marBottom w:val="0"/>
          <w:divBdr>
            <w:top w:val="none" w:sz="0" w:space="0" w:color="auto"/>
            <w:left w:val="none" w:sz="0" w:space="0" w:color="auto"/>
            <w:bottom w:val="none" w:sz="0" w:space="0" w:color="auto"/>
            <w:right w:val="none" w:sz="0" w:space="0" w:color="auto"/>
          </w:divBdr>
        </w:div>
        <w:div w:id="1746101195">
          <w:marLeft w:val="0"/>
          <w:marRight w:val="0"/>
          <w:marTop w:val="0"/>
          <w:marBottom w:val="0"/>
          <w:divBdr>
            <w:top w:val="none" w:sz="0" w:space="0" w:color="auto"/>
            <w:left w:val="none" w:sz="0" w:space="0" w:color="auto"/>
            <w:bottom w:val="none" w:sz="0" w:space="0" w:color="auto"/>
            <w:right w:val="none" w:sz="0" w:space="0" w:color="auto"/>
          </w:divBdr>
        </w:div>
        <w:div w:id="1760760402">
          <w:marLeft w:val="0"/>
          <w:marRight w:val="0"/>
          <w:marTop w:val="0"/>
          <w:marBottom w:val="0"/>
          <w:divBdr>
            <w:top w:val="none" w:sz="0" w:space="0" w:color="auto"/>
            <w:left w:val="none" w:sz="0" w:space="0" w:color="auto"/>
            <w:bottom w:val="none" w:sz="0" w:space="0" w:color="auto"/>
            <w:right w:val="none" w:sz="0" w:space="0" w:color="auto"/>
          </w:divBdr>
        </w:div>
        <w:div w:id="1779980475">
          <w:marLeft w:val="0"/>
          <w:marRight w:val="0"/>
          <w:marTop w:val="0"/>
          <w:marBottom w:val="0"/>
          <w:divBdr>
            <w:top w:val="none" w:sz="0" w:space="0" w:color="auto"/>
            <w:left w:val="none" w:sz="0" w:space="0" w:color="auto"/>
            <w:bottom w:val="none" w:sz="0" w:space="0" w:color="auto"/>
            <w:right w:val="none" w:sz="0" w:space="0" w:color="auto"/>
          </w:divBdr>
        </w:div>
        <w:div w:id="1837763535">
          <w:marLeft w:val="0"/>
          <w:marRight w:val="0"/>
          <w:marTop w:val="0"/>
          <w:marBottom w:val="0"/>
          <w:divBdr>
            <w:top w:val="none" w:sz="0" w:space="0" w:color="auto"/>
            <w:left w:val="none" w:sz="0" w:space="0" w:color="auto"/>
            <w:bottom w:val="none" w:sz="0" w:space="0" w:color="auto"/>
            <w:right w:val="none" w:sz="0" w:space="0" w:color="auto"/>
          </w:divBdr>
        </w:div>
        <w:div w:id="1841263979">
          <w:marLeft w:val="0"/>
          <w:marRight w:val="0"/>
          <w:marTop w:val="0"/>
          <w:marBottom w:val="0"/>
          <w:divBdr>
            <w:top w:val="none" w:sz="0" w:space="0" w:color="auto"/>
            <w:left w:val="none" w:sz="0" w:space="0" w:color="auto"/>
            <w:bottom w:val="none" w:sz="0" w:space="0" w:color="auto"/>
            <w:right w:val="none" w:sz="0" w:space="0" w:color="auto"/>
          </w:divBdr>
        </w:div>
        <w:div w:id="1848519273">
          <w:marLeft w:val="0"/>
          <w:marRight w:val="0"/>
          <w:marTop w:val="0"/>
          <w:marBottom w:val="0"/>
          <w:divBdr>
            <w:top w:val="none" w:sz="0" w:space="0" w:color="auto"/>
            <w:left w:val="none" w:sz="0" w:space="0" w:color="auto"/>
            <w:bottom w:val="none" w:sz="0" w:space="0" w:color="auto"/>
            <w:right w:val="none" w:sz="0" w:space="0" w:color="auto"/>
          </w:divBdr>
        </w:div>
        <w:div w:id="1851917676">
          <w:marLeft w:val="0"/>
          <w:marRight w:val="0"/>
          <w:marTop w:val="0"/>
          <w:marBottom w:val="0"/>
          <w:divBdr>
            <w:top w:val="none" w:sz="0" w:space="0" w:color="auto"/>
            <w:left w:val="none" w:sz="0" w:space="0" w:color="auto"/>
            <w:bottom w:val="none" w:sz="0" w:space="0" w:color="auto"/>
            <w:right w:val="none" w:sz="0" w:space="0" w:color="auto"/>
          </w:divBdr>
        </w:div>
        <w:div w:id="1910076502">
          <w:marLeft w:val="0"/>
          <w:marRight w:val="0"/>
          <w:marTop w:val="0"/>
          <w:marBottom w:val="0"/>
          <w:divBdr>
            <w:top w:val="none" w:sz="0" w:space="0" w:color="auto"/>
            <w:left w:val="none" w:sz="0" w:space="0" w:color="auto"/>
            <w:bottom w:val="none" w:sz="0" w:space="0" w:color="auto"/>
            <w:right w:val="none" w:sz="0" w:space="0" w:color="auto"/>
          </w:divBdr>
        </w:div>
        <w:div w:id="1953585393">
          <w:marLeft w:val="0"/>
          <w:marRight w:val="0"/>
          <w:marTop w:val="0"/>
          <w:marBottom w:val="0"/>
          <w:divBdr>
            <w:top w:val="none" w:sz="0" w:space="0" w:color="auto"/>
            <w:left w:val="none" w:sz="0" w:space="0" w:color="auto"/>
            <w:bottom w:val="none" w:sz="0" w:space="0" w:color="auto"/>
            <w:right w:val="none" w:sz="0" w:space="0" w:color="auto"/>
          </w:divBdr>
        </w:div>
        <w:div w:id="1968243867">
          <w:marLeft w:val="0"/>
          <w:marRight w:val="0"/>
          <w:marTop w:val="0"/>
          <w:marBottom w:val="0"/>
          <w:divBdr>
            <w:top w:val="none" w:sz="0" w:space="0" w:color="auto"/>
            <w:left w:val="none" w:sz="0" w:space="0" w:color="auto"/>
            <w:bottom w:val="none" w:sz="0" w:space="0" w:color="auto"/>
            <w:right w:val="none" w:sz="0" w:space="0" w:color="auto"/>
          </w:divBdr>
        </w:div>
        <w:div w:id="1976332647">
          <w:marLeft w:val="0"/>
          <w:marRight w:val="0"/>
          <w:marTop w:val="0"/>
          <w:marBottom w:val="0"/>
          <w:divBdr>
            <w:top w:val="none" w:sz="0" w:space="0" w:color="auto"/>
            <w:left w:val="none" w:sz="0" w:space="0" w:color="auto"/>
            <w:bottom w:val="none" w:sz="0" w:space="0" w:color="auto"/>
            <w:right w:val="none" w:sz="0" w:space="0" w:color="auto"/>
          </w:divBdr>
        </w:div>
        <w:div w:id="1986734998">
          <w:marLeft w:val="0"/>
          <w:marRight w:val="0"/>
          <w:marTop w:val="0"/>
          <w:marBottom w:val="0"/>
          <w:divBdr>
            <w:top w:val="none" w:sz="0" w:space="0" w:color="auto"/>
            <w:left w:val="none" w:sz="0" w:space="0" w:color="auto"/>
            <w:bottom w:val="none" w:sz="0" w:space="0" w:color="auto"/>
            <w:right w:val="none" w:sz="0" w:space="0" w:color="auto"/>
          </w:divBdr>
        </w:div>
        <w:div w:id="1989170358">
          <w:marLeft w:val="0"/>
          <w:marRight w:val="0"/>
          <w:marTop w:val="0"/>
          <w:marBottom w:val="0"/>
          <w:divBdr>
            <w:top w:val="none" w:sz="0" w:space="0" w:color="auto"/>
            <w:left w:val="none" w:sz="0" w:space="0" w:color="auto"/>
            <w:bottom w:val="none" w:sz="0" w:space="0" w:color="auto"/>
            <w:right w:val="none" w:sz="0" w:space="0" w:color="auto"/>
          </w:divBdr>
        </w:div>
        <w:div w:id="2017921438">
          <w:marLeft w:val="0"/>
          <w:marRight w:val="0"/>
          <w:marTop w:val="0"/>
          <w:marBottom w:val="0"/>
          <w:divBdr>
            <w:top w:val="none" w:sz="0" w:space="0" w:color="auto"/>
            <w:left w:val="none" w:sz="0" w:space="0" w:color="auto"/>
            <w:bottom w:val="none" w:sz="0" w:space="0" w:color="auto"/>
            <w:right w:val="none" w:sz="0" w:space="0" w:color="auto"/>
          </w:divBdr>
        </w:div>
        <w:div w:id="2029326853">
          <w:marLeft w:val="0"/>
          <w:marRight w:val="0"/>
          <w:marTop w:val="0"/>
          <w:marBottom w:val="0"/>
          <w:divBdr>
            <w:top w:val="none" w:sz="0" w:space="0" w:color="auto"/>
            <w:left w:val="none" w:sz="0" w:space="0" w:color="auto"/>
            <w:bottom w:val="none" w:sz="0" w:space="0" w:color="auto"/>
            <w:right w:val="none" w:sz="0" w:space="0" w:color="auto"/>
          </w:divBdr>
        </w:div>
        <w:div w:id="2057850562">
          <w:marLeft w:val="0"/>
          <w:marRight w:val="0"/>
          <w:marTop w:val="0"/>
          <w:marBottom w:val="0"/>
          <w:divBdr>
            <w:top w:val="none" w:sz="0" w:space="0" w:color="auto"/>
            <w:left w:val="none" w:sz="0" w:space="0" w:color="auto"/>
            <w:bottom w:val="none" w:sz="0" w:space="0" w:color="auto"/>
            <w:right w:val="none" w:sz="0" w:space="0" w:color="auto"/>
          </w:divBdr>
        </w:div>
        <w:div w:id="2064088908">
          <w:marLeft w:val="0"/>
          <w:marRight w:val="0"/>
          <w:marTop w:val="0"/>
          <w:marBottom w:val="0"/>
          <w:divBdr>
            <w:top w:val="none" w:sz="0" w:space="0" w:color="auto"/>
            <w:left w:val="none" w:sz="0" w:space="0" w:color="auto"/>
            <w:bottom w:val="none" w:sz="0" w:space="0" w:color="auto"/>
            <w:right w:val="none" w:sz="0" w:space="0" w:color="auto"/>
          </w:divBdr>
        </w:div>
        <w:div w:id="2064867343">
          <w:marLeft w:val="0"/>
          <w:marRight w:val="0"/>
          <w:marTop w:val="0"/>
          <w:marBottom w:val="0"/>
          <w:divBdr>
            <w:top w:val="none" w:sz="0" w:space="0" w:color="auto"/>
            <w:left w:val="none" w:sz="0" w:space="0" w:color="auto"/>
            <w:bottom w:val="none" w:sz="0" w:space="0" w:color="auto"/>
            <w:right w:val="none" w:sz="0" w:space="0" w:color="auto"/>
          </w:divBdr>
        </w:div>
        <w:div w:id="2087072363">
          <w:marLeft w:val="0"/>
          <w:marRight w:val="0"/>
          <w:marTop w:val="0"/>
          <w:marBottom w:val="0"/>
          <w:divBdr>
            <w:top w:val="none" w:sz="0" w:space="0" w:color="auto"/>
            <w:left w:val="none" w:sz="0" w:space="0" w:color="auto"/>
            <w:bottom w:val="none" w:sz="0" w:space="0" w:color="auto"/>
            <w:right w:val="none" w:sz="0" w:space="0" w:color="auto"/>
          </w:divBdr>
        </w:div>
        <w:div w:id="2087528435">
          <w:marLeft w:val="0"/>
          <w:marRight w:val="0"/>
          <w:marTop w:val="0"/>
          <w:marBottom w:val="0"/>
          <w:divBdr>
            <w:top w:val="none" w:sz="0" w:space="0" w:color="auto"/>
            <w:left w:val="none" w:sz="0" w:space="0" w:color="auto"/>
            <w:bottom w:val="none" w:sz="0" w:space="0" w:color="auto"/>
            <w:right w:val="none" w:sz="0" w:space="0" w:color="auto"/>
          </w:divBdr>
        </w:div>
        <w:div w:id="2092116109">
          <w:marLeft w:val="0"/>
          <w:marRight w:val="0"/>
          <w:marTop w:val="0"/>
          <w:marBottom w:val="0"/>
          <w:divBdr>
            <w:top w:val="none" w:sz="0" w:space="0" w:color="auto"/>
            <w:left w:val="none" w:sz="0" w:space="0" w:color="auto"/>
            <w:bottom w:val="none" w:sz="0" w:space="0" w:color="auto"/>
            <w:right w:val="none" w:sz="0" w:space="0" w:color="auto"/>
          </w:divBdr>
        </w:div>
        <w:div w:id="2104063922">
          <w:marLeft w:val="0"/>
          <w:marRight w:val="0"/>
          <w:marTop w:val="0"/>
          <w:marBottom w:val="0"/>
          <w:divBdr>
            <w:top w:val="none" w:sz="0" w:space="0" w:color="auto"/>
            <w:left w:val="none" w:sz="0" w:space="0" w:color="auto"/>
            <w:bottom w:val="none" w:sz="0" w:space="0" w:color="auto"/>
            <w:right w:val="none" w:sz="0" w:space="0" w:color="auto"/>
          </w:divBdr>
        </w:div>
        <w:div w:id="2126538575">
          <w:marLeft w:val="0"/>
          <w:marRight w:val="0"/>
          <w:marTop w:val="0"/>
          <w:marBottom w:val="0"/>
          <w:divBdr>
            <w:top w:val="none" w:sz="0" w:space="0" w:color="auto"/>
            <w:left w:val="none" w:sz="0" w:space="0" w:color="auto"/>
            <w:bottom w:val="none" w:sz="0" w:space="0" w:color="auto"/>
            <w:right w:val="none" w:sz="0" w:space="0" w:color="auto"/>
          </w:divBdr>
        </w:div>
      </w:divsChild>
    </w:div>
    <w:div w:id="978800559">
      <w:bodyDiv w:val="1"/>
      <w:marLeft w:val="0"/>
      <w:marRight w:val="0"/>
      <w:marTop w:val="0"/>
      <w:marBottom w:val="0"/>
      <w:divBdr>
        <w:top w:val="none" w:sz="0" w:space="0" w:color="auto"/>
        <w:left w:val="none" w:sz="0" w:space="0" w:color="auto"/>
        <w:bottom w:val="none" w:sz="0" w:space="0" w:color="auto"/>
        <w:right w:val="none" w:sz="0" w:space="0" w:color="auto"/>
      </w:divBdr>
    </w:div>
    <w:div w:id="1587616056">
      <w:bodyDiv w:val="1"/>
      <w:marLeft w:val="0"/>
      <w:marRight w:val="0"/>
      <w:marTop w:val="0"/>
      <w:marBottom w:val="0"/>
      <w:divBdr>
        <w:top w:val="none" w:sz="0" w:space="0" w:color="auto"/>
        <w:left w:val="none" w:sz="0" w:space="0" w:color="auto"/>
        <w:bottom w:val="none" w:sz="0" w:space="0" w:color="auto"/>
        <w:right w:val="none" w:sz="0" w:space="0" w:color="auto"/>
      </w:divBdr>
      <w:divsChild>
        <w:div w:id="70778944">
          <w:marLeft w:val="0"/>
          <w:marRight w:val="0"/>
          <w:marTop w:val="0"/>
          <w:marBottom w:val="0"/>
          <w:divBdr>
            <w:top w:val="none" w:sz="0" w:space="0" w:color="auto"/>
            <w:left w:val="none" w:sz="0" w:space="0" w:color="auto"/>
            <w:bottom w:val="none" w:sz="0" w:space="0" w:color="auto"/>
            <w:right w:val="none" w:sz="0" w:space="0" w:color="auto"/>
          </w:divBdr>
        </w:div>
        <w:div w:id="110515055">
          <w:marLeft w:val="0"/>
          <w:marRight w:val="0"/>
          <w:marTop w:val="0"/>
          <w:marBottom w:val="0"/>
          <w:divBdr>
            <w:top w:val="none" w:sz="0" w:space="0" w:color="auto"/>
            <w:left w:val="none" w:sz="0" w:space="0" w:color="auto"/>
            <w:bottom w:val="none" w:sz="0" w:space="0" w:color="auto"/>
            <w:right w:val="none" w:sz="0" w:space="0" w:color="auto"/>
          </w:divBdr>
        </w:div>
        <w:div w:id="261956943">
          <w:marLeft w:val="0"/>
          <w:marRight w:val="0"/>
          <w:marTop w:val="0"/>
          <w:marBottom w:val="0"/>
          <w:divBdr>
            <w:top w:val="none" w:sz="0" w:space="0" w:color="auto"/>
            <w:left w:val="none" w:sz="0" w:space="0" w:color="auto"/>
            <w:bottom w:val="none" w:sz="0" w:space="0" w:color="auto"/>
            <w:right w:val="none" w:sz="0" w:space="0" w:color="auto"/>
          </w:divBdr>
        </w:div>
        <w:div w:id="288171601">
          <w:marLeft w:val="0"/>
          <w:marRight w:val="0"/>
          <w:marTop w:val="0"/>
          <w:marBottom w:val="0"/>
          <w:divBdr>
            <w:top w:val="none" w:sz="0" w:space="0" w:color="auto"/>
            <w:left w:val="none" w:sz="0" w:space="0" w:color="auto"/>
            <w:bottom w:val="none" w:sz="0" w:space="0" w:color="auto"/>
            <w:right w:val="none" w:sz="0" w:space="0" w:color="auto"/>
          </w:divBdr>
        </w:div>
        <w:div w:id="349263377">
          <w:marLeft w:val="0"/>
          <w:marRight w:val="0"/>
          <w:marTop w:val="0"/>
          <w:marBottom w:val="0"/>
          <w:divBdr>
            <w:top w:val="none" w:sz="0" w:space="0" w:color="auto"/>
            <w:left w:val="none" w:sz="0" w:space="0" w:color="auto"/>
            <w:bottom w:val="none" w:sz="0" w:space="0" w:color="auto"/>
            <w:right w:val="none" w:sz="0" w:space="0" w:color="auto"/>
          </w:divBdr>
        </w:div>
        <w:div w:id="399669202">
          <w:marLeft w:val="0"/>
          <w:marRight w:val="0"/>
          <w:marTop w:val="0"/>
          <w:marBottom w:val="0"/>
          <w:divBdr>
            <w:top w:val="none" w:sz="0" w:space="0" w:color="auto"/>
            <w:left w:val="none" w:sz="0" w:space="0" w:color="auto"/>
            <w:bottom w:val="none" w:sz="0" w:space="0" w:color="auto"/>
            <w:right w:val="none" w:sz="0" w:space="0" w:color="auto"/>
          </w:divBdr>
        </w:div>
        <w:div w:id="401295826">
          <w:marLeft w:val="0"/>
          <w:marRight w:val="0"/>
          <w:marTop w:val="0"/>
          <w:marBottom w:val="0"/>
          <w:divBdr>
            <w:top w:val="none" w:sz="0" w:space="0" w:color="auto"/>
            <w:left w:val="none" w:sz="0" w:space="0" w:color="auto"/>
            <w:bottom w:val="none" w:sz="0" w:space="0" w:color="auto"/>
            <w:right w:val="none" w:sz="0" w:space="0" w:color="auto"/>
          </w:divBdr>
        </w:div>
        <w:div w:id="433087711">
          <w:marLeft w:val="0"/>
          <w:marRight w:val="0"/>
          <w:marTop w:val="0"/>
          <w:marBottom w:val="0"/>
          <w:divBdr>
            <w:top w:val="none" w:sz="0" w:space="0" w:color="auto"/>
            <w:left w:val="none" w:sz="0" w:space="0" w:color="auto"/>
            <w:bottom w:val="none" w:sz="0" w:space="0" w:color="auto"/>
            <w:right w:val="none" w:sz="0" w:space="0" w:color="auto"/>
          </w:divBdr>
        </w:div>
        <w:div w:id="452284503">
          <w:marLeft w:val="0"/>
          <w:marRight w:val="0"/>
          <w:marTop w:val="0"/>
          <w:marBottom w:val="0"/>
          <w:divBdr>
            <w:top w:val="none" w:sz="0" w:space="0" w:color="auto"/>
            <w:left w:val="none" w:sz="0" w:space="0" w:color="auto"/>
            <w:bottom w:val="none" w:sz="0" w:space="0" w:color="auto"/>
            <w:right w:val="none" w:sz="0" w:space="0" w:color="auto"/>
          </w:divBdr>
        </w:div>
        <w:div w:id="469053033">
          <w:marLeft w:val="0"/>
          <w:marRight w:val="0"/>
          <w:marTop w:val="0"/>
          <w:marBottom w:val="0"/>
          <w:divBdr>
            <w:top w:val="none" w:sz="0" w:space="0" w:color="auto"/>
            <w:left w:val="none" w:sz="0" w:space="0" w:color="auto"/>
            <w:bottom w:val="none" w:sz="0" w:space="0" w:color="auto"/>
            <w:right w:val="none" w:sz="0" w:space="0" w:color="auto"/>
          </w:divBdr>
        </w:div>
        <w:div w:id="506867102">
          <w:marLeft w:val="0"/>
          <w:marRight w:val="0"/>
          <w:marTop w:val="0"/>
          <w:marBottom w:val="0"/>
          <w:divBdr>
            <w:top w:val="none" w:sz="0" w:space="0" w:color="auto"/>
            <w:left w:val="none" w:sz="0" w:space="0" w:color="auto"/>
            <w:bottom w:val="none" w:sz="0" w:space="0" w:color="auto"/>
            <w:right w:val="none" w:sz="0" w:space="0" w:color="auto"/>
          </w:divBdr>
        </w:div>
        <w:div w:id="561333578">
          <w:marLeft w:val="0"/>
          <w:marRight w:val="0"/>
          <w:marTop w:val="0"/>
          <w:marBottom w:val="0"/>
          <w:divBdr>
            <w:top w:val="none" w:sz="0" w:space="0" w:color="auto"/>
            <w:left w:val="none" w:sz="0" w:space="0" w:color="auto"/>
            <w:bottom w:val="none" w:sz="0" w:space="0" w:color="auto"/>
            <w:right w:val="none" w:sz="0" w:space="0" w:color="auto"/>
          </w:divBdr>
        </w:div>
        <w:div w:id="576474567">
          <w:marLeft w:val="0"/>
          <w:marRight w:val="0"/>
          <w:marTop w:val="0"/>
          <w:marBottom w:val="0"/>
          <w:divBdr>
            <w:top w:val="none" w:sz="0" w:space="0" w:color="auto"/>
            <w:left w:val="none" w:sz="0" w:space="0" w:color="auto"/>
            <w:bottom w:val="none" w:sz="0" w:space="0" w:color="auto"/>
            <w:right w:val="none" w:sz="0" w:space="0" w:color="auto"/>
          </w:divBdr>
        </w:div>
        <w:div w:id="582030519">
          <w:marLeft w:val="0"/>
          <w:marRight w:val="0"/>
          <w:marTop w:val="0"/>
          <w:marBottom w:val="0"/>
          <w:divBdr>
            <w:top w:val="none" w:sz="0" w:space="0" w:color="auto"/>
            <w:left w:val="none" w:sz="0" w:space="0" w:color="auto"/>
            <w:bottom w:val="none" w:sz="0" w:space="0" w:color="auto"/>
            <w:right w:val="none" w:sz="0" w:space="0" w:color="auto"/>
          </w:divBdr>
        </w:div>
        <w:div w:id="662319829">
          <w:marLeft w:val="0"/>
          <w:marRight w:val="0"/>
          <w:marTop w:val="0"/>
          <w:marBottom w:val="0"/>
          <w:divBdr>
            <w:top w:val="none" w:sz="0" w:space="0" w:color="auto"/>
            <w:left w:val="none" w:sz="0" w:space="0" w:color="auto"/>
            <w:bottom w:val="none" w:sz="0" w:space="0" w:color="auto"/>
            <w:right w:val="none" w:sz="0" w:space="0" w:color="auto"/>
          </w:divBdr>
        </w:div>
        <w:div w:id="695345885">
          <w:marLeft w:val="0"/>
          <w:marRight w:val="0"/>
          <w:marTop w:val="0"/>
          <w:marBottom w:val="0"/>
          <w:divBdr>
            <w:top w:val="none" w:sz="0" w:space="0" w:color="auto"/>
            <w:left w:val="none" w:sz="0" w:space="0" w:color="auto"/>
            <w:bottom w:val="none" w:sz="0" w:space="0" w:color="auto"/>
            <w:right w:val="none" w:sz="0" w:space="0" w:color="auto"/>
          </w:divBdr>
        </w:div>
        <w:div w:id="880478754">
          <w:marLeft w:val="0"/>
          <w:marRight w:val="0"/>
          <w:marTop w:val="0"/>
          <w:marBottom w:val="0"/>
          <w:divBdr>
            <w:top w:val="none" w:sz="0" w:space="0" w:color="auto"/>
            <w:left w:val="none" w:sz="0" w:space="0" w:color="auto"/>
            <w:bottom w:val="none" w:sz="0" w:space="0" w:color="auto"/>
            <w:right w:val="none" w:sz="0" w:space="0" w:color="auto"/>
          </w:divBdr>
        </w:div>
        <w:div w:id="1078750915">
          <w:marLeft w:val="0"/>
          <w:marRight w:val="0"/>
          <w:marTop w:val="0"/>
          <w:marBottom w:val="0"/>
          <w:divBdr>
            <w:top w:val="none" w:sz="0" w:space="0" w:color="auto"/>
            <w:left w:val="none" w:sz="0" w:space="0" w:color="auto"/>
            <w:bottom w:val="none" w:sz="0" w:space="0" w:color="auto"/>
            <w:right w:val="none" w:sz="0" w:space="0" w:color="auto"/>
          </w:divBdr>
        </w:div>
        <w:div w:id="1079988283">
          <w:marLeft w:val="0"/>
          <w:marRight w:val="0"/>
          <w:marTop w:val="0"/>
          <w:marBottom w:val="0"/>
          <w:divBdr>
            <w:top w:val="none" w:sz="0" w:space="0" w:color="auto"/>
            <w:left w:val="none" w:sz="0" w:space="0" w:color="auto"/>
            <w:bottom w:val="none" w:sz="0" w:space="0" w:color="auto"/>
            <w:right w:val="none" w:sz="0" w:space="0" w:color="auto"/>
          </w:divBdr>
        </w:div>
        <w:div w:id="1145701456">
          <w:marLeft w:val="0"/>
          <w:marRight w:val="0"/>
          <w:marTop w:val="0"/>
          <w:marBottom w:val="0"/>
          <w:divBdr>
            <w:top w:val="none" w:sz="0" w:space="0" w:color="auto"/>
            <w:left w:val="none" w:sz="0" w:space="0" w:color="auto"/>
            <w:bottom w:val="none" w:sz="0" w:space="0" w:color="auto"/>
            <w:right w:val="none" w:sz="0" w:space="0" w:color="auto"/>
          </w:divBdr>
        </w:div>
        <w:div w:id="1146237531">
          <w:marLeft w:val="0"/>
          <w:marRight w:val="0"/>
          <w:marTop w:val="0"/>
          <w:marBottom w:val="0"/>
          <w:divBdr>
            <w:top w:val="none" w:sz="0" w:space="0" w:color="auto"/>
            <w:left w:val="none" w:sz="0" w:space="0" w:color="auto"/>
            <w:bottom w:val="none" w:sz="0" w:space="0" w:color="auto"/>
            <w:right w:val="none" w:sz="0" w:space="0" w:color="auto"/>
          </w:divBdr>
        </w:div>
        <w:div w:id="1171288736">
          <w:marLeft w:val="0"/>
          <w:marRight w:val="0"/>
          <w:marTop w:val="0"/>
          <w:marBottom w:val="0"/>
          <w:divBdr>
            <w:top w:val="none" w:sz="0" w:space="0" w:color="auto"/>
            <w:left w:val="none" w:sz="0" w:space="0" w:color="auto"/>
            <w:bottom w:val="none" w:sz="0" w:space="0" w:color="auto"/>
            <w:right w:val="none" w:sz="0" w:space="0" w:color="auto"/>
          </w:divBdr>
        </w:div>
        <w:div w:id="1338194906">
          <w:marLeft w:val="0"/>
          <w:marRight w:val="0"/>
          <w:marTop w:val="0"/>
          <w:marBottom w:val="0"/>
          <w:divBdr>
            <w:top w:val="none" w:sz="0" w:space="0" w:color="auto"/>
            <w:left w:val="none" w:sz="0" w:space="0" w:color="auto"/>
            <w:bottom w:val="none" w:sz="0" w:space="0" w:color="auto"/>
            <w:right w:val="none" w:sz="0" w:space="0" w:color="auto"/>
          </w:divBdr>
        </w:div>
        <w:div w:id="1428650864">
          <w:marLeft w:val="0"/>
          <w:marRight w:val="0"/>
          <w:marTop w:val="0"/>
          <w:marBottom w:val="0"/>
          <w:divBdr>
            <w:top w:val="none" w:sz="0" w:space="0" w:color="auto"/>
            <w:left w:val="none" w:sz="0" w:space="0" w:color="auto"/>
            <w:bottom w:val="none" w:sz="0" w:space="0" w:color="auto"/>
            <w:right w:val="none" w:sz="0" w:space="0" w:color="auto"/>
          </w:divBdr>
        </w:div>
        <w:div w:id="1488203530">
          <w:marLeft w:val="0"/>
          <w:marRight w:val="0"/>
          <w:marTop w:val="0"/>
          <w:marBottom w:val="0"/>
          <w:divBdr>
            <w:top w:val="none" w:sz="0" w:space="0" w:color="auto"/>
            <w:left w:val="none" w:sz="0" w:space="0" w:color="auto"/>
            <w:bottom w:val="none" w:sz="0" w:space="0" w:color="auto"/>
            <w:right w:val="none" w:sz="0" w:space="0" w:color="auto"/>
          </w:divBdr>
        </w:div>
        <w:div w:id="1508327388">
          <w:marLeft w:val="0"/>
          <w:marRight w:val="0"/>
          <w:marTop w:val="0"/>
          <w:marBottom w:val="0"/>
          <w:divBdr>
            <w:top w:val="none" w:sz="0" w:space="0" w:color="auto"/>
            <w:left w:val="none" w:sz="0" w:space="0" w:color="auto"/>
            <w:bottom w:val="none" w:sz="0" w:space="0" w:color="auto"/>
            <w:right w:val="none" w:sz="0" w:space="0" w:color="auto"/>
          </w:divBdr>
        </w:div>
        <w:div w:id="1551569400">
          <w:marLeft w:val="0"/>
          <w:marRight w:val="0"/>
          <w:marTop w:val="0"/>
          <w:marBottom w:val="0"/>
          <w:divBdr>
            <w:top w:val="none" w:sz="0" w:space="0" w:color="auto"/>
            <w:left w:val="none" w:sz="0" w:space="0" w:color="auto"/>
            <w:bottom w:val="none" w:sz="0" w:space="0" w:color="auto"/>
            <w:right w:val="none" w:sz="0" w:space="0" w:color="auto"/>
          </w:divBdr>
        </w:div>
        <w:div w:id="1557857226">
          <w:marLeft w:val="0"/>
          <w:marRight w:val="0"/>
          <w:marTop w:val="0"/>
          <w:marBottom w:val="0"/>
          <w:divBdr>
            <w:top w:val="none" w:sz="0" w:space="0" w:color="auto"/>
            <w:left w:val="none" w:sz="0" w:space="0" w:color="auto"/>
            <w:bottom w:val="none" w:sz="0" w:space="0" w:color="auto"/>
            <w:right w:val="none" w:sz="0" w:space="0" w:color="auto"/>
          </w:divBdr>
        </w:div>
        <w:div w:id="1633945031">
          <w:marLeft w:val="0"/>
          <w:marRight w:val="0"/>
          <w:marTop w:val="0"/>
          <w:marBottom w:val="0"/>
          <w:divBdr>
            <w:top w:val="none" w:sz="0" w:space="0" w:color="auto"/>
            <w:left w:val="none" w:sz="0" w:space="0" w:color="auto"/>
            <w:bottom w:val="none" w:sz="0" w:space="0" w:color="auto"/>
            <w:right w:val="none" w:sz="0" w:space="0" w:color="auto"/>
          </w:divBdr>
        </w:div>
        <w:div w:id="1666934365">
          <w:marLeft w:val="0"/>
          <w:marRight w:val="0"/>
          <w:marTop w:val="0"/>
          <w:marBottom w:val="0"/>
          <w:divBdr>
            <w:top w:val="none" w:sz="0" w:space="0" w:color="auto"/>
            <w:left w:val="none" w:sz="0" w:space="0" w:color="auto"/>
            <w:bottom w:val="none" w:sz="0" w:space="0" w:color="auto"/>
            <w:right w:val="none" w:sz="0" w:space="0" w:color="auto"/>
          </w:divBdr>
        </w:div>
        <w:div w:id="1726250041">
          <w:marLeft w:val="0"/>
          <w:marRight w:val="0"/>
          <w:marTop w:val="0"/>
          <w:marBottom w:val="0"/>
          <w:divBdr>
            <w:top w:val="none" w:sz="0" w:space="0" w:color="auto"/>
            <w:left w:val="none" w:sz="0" w:space="0" w:color="auto"/>
            <w:bottom w:val="none" w:sz="0" w:space="0" w:color="auto"/>
            <w:right w:val="none" w:sz="0" w:space="0" w:color="auto"/>
          </w:divBdr>
        </w:div>
        <w:div w:id="1750884277">
          <w:marLeft w:val="0"/>
          <w:marRight w:val="0"/>
          <w:marTop w:val="0"/>
          <w:marBottom w:val="0"/>
          <w:divBdr>
            <w:top w:val="none" w:sz="0" w:space="0" w:color="auto"/>
            <w:left w:val="none" w:sz="0" w:space="0" w:color="auto"/>
            <w:bottom w:val="none" w:sz="0" w:space="0" w:color="auto"/>
            <w:right w:val="none" w:sz="0" w:space="0" w:color="auto"/>
          </w:divBdr>
        </w:div>
        <w:div w:id="1778527355">
          <w:marLeft w:val="0"/>
          <w:marRight w:val="0"/>
          <w:marTop w:val="0"/>
          <w:marBottom w:val="0"/>
          <w:divBdr>
            <w:top w:val="none" w:sz="0" w:space="0" w:color="auto"/>
            <w:left w:val="none" w:sz="0" w:space="0" w:color="auto"/>
            <w:bottom w:val="none" w:sz="0" w:space="0" w:color="auto"/>
            <w:right w:val="none" w:sz="0" w:space="0" w:color="auto"/>
          </w:divBdr>
        </w:div>
        <w:div w:id="1830560870">
          <w:marLeft w:val="0"/>
          <w:marRight w:val="0"/>
          <w:marTop w:val="0"/>
          <w:marBottom w:val="0"/>
          <w:divBdr>
            <w:top w:val="none" w:sz="0" w:space="0" w:color="auto"/>
            <w:left w:val="none" w:sz="0" w:space="0" w:color="auto"/>
            <w:bottom w:val="none" w:sz="0" w:space="0" w:color="auto"/>
            <w:right w:val="none" w:sz="0" w:space="0" w:color="auto"/>
          </w:divBdr>
        </w:div>
        <w:div w:id="1928078127">
          <w:marLeft w:val="0"/>
          <w:marRight w:val="0"/>
          <w:marTop w:val="0"/>
          <w:marBottom w:val="0"/>
          <w:divBdr>
            <w:top w:val="none" w:sz="0" w:space="0" w:color="auto"/>
            <w:left w:val="none" w:sz="0" w:space="0" w:color="auto"/>
            <w:bottom w:val="none" w:sz="0" w:space="0" w:color="auto"/>
            <w:right w:val="none" w:sz="0" w:space="0" w:color="auto"/>
          </w:divBdr>
        </w:div>
        <w:div w:id="1997150371">
          <w:marLeft w:val="0"/>
          <w:marRight w:val="0"/>
          <w:marTop w:val="0"/>
          <w:marBottom w:val="0"/>
          <w:divBdr>
            <w:top w:val="none" w:sz="0" w:space="0" w:color="auto"/>
            <w:left w:val="none" w:sz="0" w:space="0" w:color="auto"/>
            <w:bottom w:val="none" w:sz="0" w:space="0" w:color="auto"/>
            <w:right w:val="none" w:sz="0" w:space="0" w:color="auto"/>
          </w:divBdr>
        </w:div>
        <w:div w:id="2037609032">
          <w:marLeft w:val="0"/>
          <w:marRight w:val="0"/>
          <w:marTop w:val="0"/>
          <w:marBottom w:val="0"/>
          <w:divBdr>
            <w:top w:val="none" w:sz="0" w:space="0" w:color="auto"/>
            <w:left w:val="none" w:sz="0" w:space="0" w:color="auto"/>
            <w:bottom w:val="none" w:sz="0" w:space="0" w:color="auto"/>
            <w:right w:val="none" w:sz="0" w:space="0" w:color="auto"/>
          </w:divBdr>
        </w:div>
      </w:divsChild>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sChild>
        <w:div w:id="1797524420">
          <w:marLeft w:val="0"/>
          <w:marRight w:val="0"/>
          <w:marTop w:val="0"/>
          <w:marBottom w:val="0"/>
          <w:divBdr>
            <w:top w:val="none" w:sz="0" w:space="0" w:color="auto"/>
            <w:left w:val="none" w:sz="0" w:space="0" w:color="auto"/>
            <w:bottom w:val="none" w:sz="0" w:space="0" w:color="auto"/>
            <w:right w:val="none" w:sz="0" w:space="0" w:color="auto"/>
          </w:divBdr>
          <w:divsChild>
            <w:div w:id="2900454">
              <w:marLeft w:val="0"/>
              <w:marRight w:val="0"/>
              <w:marTop w:val="0"/>
              <w:marBottom w:val="0"/>
              <w:divBdr>
                <w:top w:val="none" w:sz="0" w:space="0" w:color="auto"/>
                <w:left w:val="none" w:sz="0" w:space="0" w:color="auto"/>
                <w:bottom w:val="none" w:sz="0" w:space="0" w:color="auto"/>
                <w:right w:val="none" w:sz="0" w:space="0" w:color="auto"/>
              </w:divBdr>
            </w:div>
            <w:div w:id="33315847">
              <w:marLeft w:val="0"/>
              <w:marRight w:val="0"/>
              <w:marTop w:val="0"/>
              <w:marBottom w:val="0"/>
              <w:divBdr>
                <w:top w:val="none" w:sz="0" w:space="0" w:color="auto"/>
                <w:left w:val="none" w:sz="0" w:space="0" w:color="auto"/>
                <w:bottom w:val="none" w:sz="0" w:space="0" w:color="auto"/>
                <w:right w:val="none" w:sz="0" w:space="0" w:color="auto"/>
              </w:divBdr>
            </w:div>
            <w:div w:id="46998805">
              <w:marLeft w:val="0"/>
              <w:marRight w:val="0"/>
              <w:marTop w:val="0"/>
              <w:marBottom w:val="0"/>
              <w:divBdr>
                <w:top w:val="none" w:sz="0" w:space="0" w:color="auto"/>
                <w:left w:val="none" w:sz="0" w:space="0" w:color="auto"/>
                <w:bottom w:val="none" w:sz="0" w:space="0" w:color="auto"/>
                <w:right w:val="none" w:sz="0" w:space="0" w:color="auto"/>
              </w:divBdr>
            </w:div>
            <w:div w:id="150414278">
              <w:marLeft w:val="0"/>
              <w:marRight w:val="0"/>
              <w:marTop w:val="0"/>
              <w:marBottom w:val="0"/>
              <w:divBdr>
                <w:top w:val="none" w:sz="0" w:space="0" w:color="auto"/>
                <w:left w:val="none" w:sz="0" w:space="0" w:color="auto"/>
                <w:bottom w:val="none" w:sz="0" w:space="0" w:color="auto"/>
                <w:right w:val="none" w:sz="0" w:space="0" w:color="auto"/>
              </w:divBdr>
            </w:div>
            <w:div w:id="153571550">
              <w:marLeft w:val="0"/>
              <w:marRight w:val="0"/>
              <w:marTop w:val="0"/>
              <w:marBottom w:val="0"/>
              <w:divBdr>
                <w:top w:val="none" w:sz="0" w:space="0" w:color="auto"/>
                <w:left w:val="none" w:sz="0" w:space="0" w:color="auto"/>
                <w:bottom w:val="none" w:sz="0" w:space="0" w:color="auto"/>
                <w:right w:val="none" w:sz="0" w:space="0" w:color="auto"/>
              </w:divBdr>
            </w:div>
            <w:div w:id="158615456">
              <w:marLeft w:val="0"/>
              <w:marRight w:val="0"/>
              <w:marTop w:val="0"/>
              <w:marBottom w:val="0"/>
              <w:divBdr>
                <w:top w:val="none" w:sz="0" w:space="0" w:color="auto"/>
                <w:left w:val="none" w:sz="0" w:space="0" w:color="auto"/>
                <w:bottom w:val="none" w:sz="0" w:space="0" w:color="auto"/>
                <w:right w:val="none" w:sz="0" w:space="0" w:color="auto"/>
              </w:divBdr>
            </w:div>
            <w:div w:id="189613213">
              <w:marLeft w:val="0"/>
              <w:marRight w:val="0"/>
              <w:marTop w:val="0"/>
              <w:marBottom w:val="0"/>
              <w:divBdr>
                <w:top w:val="none" w:sz="0" w:space="0" w:color="auto"/>
                <w:left w:val="none" w:sz="0" w:space="0" w:color="auto"/>
                <w:bottom w:val="none" w:sz="0" w:space="0" w:color="auto"/>
                <w:right w:val="none" w:sz="0" w:space="0" w:color="auto"/>
              </w:divBdr>
            </w:div>
            <w:div w:id="190001169">
              <w:marLeft w:val="0"/>
              <w:marRight w:val="0"/>
              <w:marTop w:val="0"/>
              <w:marBottom w:val="0"/>
              <w:divBdr>
                <w:top w:val="none" w:sz="0" w:space="0" w:color="auto"/>
                <w:left w:val="none" w:sz="0" w:space="0" w:color="auto"/>
                <w:bottom w:val="none" w:sz="0" w:space="0" w:color="auto"/>
                <w:right w:val="none" w:sz="0" w:space="0" w:color="auto"/>
              </w:divBdr>
            </w:div>
            <w:div w:id="191311272">
              <w:marLeft w:val="0"/>
              <w:marRight w:val="0"/>
              <w:marTop w:val="0"/>
              <w:marBottom w:val="0"/>
              <w:divBdr>
                <w:top w:val="none" w:sz="0" w:space="0" w:color="auto"/>
                <w:left w:val="none" w:sz="0" w:space="0" w:color="auto"/>
                <w:bottom w:val="none" w:sz="0" w:space="0" w:color="auto"/>
                <w:right w:val="none" w:sz="0" w:space="0" w:color="auto"/>
              </w:divBdr>
            </w:div>
            <w:div w:id="221529744">
              <w:marLeft w:val="0"/>
              <w:marRight w:val="0"/>
              <w:marTop w:val="0"/>
              <w:marBottom w:val="0"/>
              <w:divBdr>
                <w:top w:val="none" w:sz="0" w:space="0" w:color="auto"/>
                <w:left w:val="none" w:sz="0" w:space="0" w:color="auto"/>
                <w:bottom w:val="none" w:sz="0" w:space="0" w:color="auto"/>
                <w:right w:val="none" w:sz="0" w:space="0" w:color="auto"/>
              </w:divBdr>
            </w:div>
            <w:div w:id="226847093">
              <w:marLeft w:val="0"/>
              <w:marRight w:val="0"/>
              <w:marTop w:val="0"/>
              <w:marBottom w:val="0"/>
              <w:divBdr>
                <w:top w:val="none" w:sz="0" w:space="0" w:color="auto"/>
                <w:left w:val="none" w:sz="0" w:space="0" w:color="auto"/>
                <w:bottom w:val="none" w:sz="0" w:space="0" w:color="auto"/>
                <w:right w:val="none" w:sz="0" w:space="0" w:color="auto"/>
              </w:divBdr>
            </w:div>
            <w:div w:id="244149231">
              <w:marLeft w:val="0"/>
              <w:marRight w:val="0"/>
              <w:marTop w:val="0"/>
              <w:marBottom w:val="0"/>
              <w:divBdr>
                <w:top w:val="none" w:sz="0" w:space="0" w:color="auto"/>
                <w:left w:val="none" w:sz="0" w:space="0" w:color="auto"/>
                <w:bottom w:val="none" w:sz="0" w:space="0" w:color="auto"/>
                <w:right w:val="none" w:sz="0" w:space="0" w:color="auto"/>
              </w:divBdr>
            </w:div>
            <w:div w:id="268318656">
              <w:marLeft w:val="0"/>
              <w:marRight w:val="0"/>
              <w:marTop w:val="0"/>
              <w:marBottom w:val="0"/>
              <w:divBdr>
                <w:top w:val="none" w:sz="0" w:space="0" w:color="auto"/>
                <w:left w:val="none" w:sz="0" w:space="0" w:color="auto"/>
                <w:bottom w:val="none" w:sz="0" w:space="0" w:color="auto"/>
                <w:right w:val="none" w:sz="0" w:space="0" w:color="auto"/>
              </w:divBdr>
            </w:div>
            <w:div w:id="278725031">
              <w:marLeft w:val="0"/>
              <w:marRight w:val="0"/>
              <w:marTop w:val="0"/>
              <w:marBottom w:val="0"/>
              <w:divBdr>
                <w:top w:val="none" w:sz="0" w:space="0" w:color="auto"/>
                <w:left w:val="none" w:sz="0" w:space="0" w:color="auto"/>
                <w:bottom w:val="none" w:sz="0" w:space="0" w:color="auto"/>
                <w:right w:val="none" w:sz="0" w:space="0" w:color="auto"/>
              </w:divBdr>
            </w:div>
            <w:div w:id="284316112">
              <w:marLeft w:val="0"/>
              <w:marRight w:val="0"/>
              <w:marTop w:val="0"/>
              <w:marBottom w:val="0"/>
              <w:divBdr>
                <w:top w:val="none" w:sz="0" w:space="0" w:color="auto"/>
                <w:left w:val="none" w:sz="0" w:space="0" w:color="auto"/>
                <w:bottom w:val="none" w:sz="0" w:space="0" w:color="auto"/>
                <w:right w:val="none" w:sz="0" w:space="0" w:color="auto"/>
              </w:divBdr>
            </w:div>
            <w:div w:id="327171416">
              <w:marLeft w:val="0"/>
              <w:marRight w:val="0"/>
              <w:marTop w:val="0"/>
              <w:marBottom w:val="0"/>
              <w:divBdr>
                <w:top w:val="none" w:sz="0" w:space="0" w:color="auto"/>
                <w:left w:val="none" w:sz="0" w:space="0" w:color="auto"/>
                <w:bottom w:val="none" w:sz="0" w:space="0" w:color="auto"/>
                <w:right w:val="none" w:sz="0" w:space="0" w:color="auto"/>
              </w:divBdr>
            </w:div>
            <w:div w:id="387655054">
              <w:marLeft w:val="0"/>
              <w:marRight w:val="0"/>
              <w:marTop w:val="0"/>
              <w:marBottom w:val="0"/>
              <w:divBdr>
                <w:top w:val="none" w:sz="0" w:space="0" w:color="auto"/>
                <w:left w:val="none" w:sz="0" w:space="0" w:color="auto"/>
                <w:bottom w:val="none" w:sz="0" w:space="0" w:color="auto"/>
                <w:right w:val="none" w:sz="0" w:space="0" w:color="auto"/>
              </w:divBdr>
            </w:div>
            <w:div w:id="404913348">
              <w:marLeft w:val="0"/>
              <w:marRight w:val="0"/>
              <w:marTop w:val="0"/>
              <w:marBottom w:val="0"/>
              <w:divBdr>
                <w:top w:val="none" w:sz="0" w:space="0" w:color="auto"/>
                <w:left w:val="none" w:sz="0" w:space="0" w:color="auto"/>
                <w:bottom w:val="none" w:sz="0" w:space="0" w:color="auto"/>
                <w:right w:val="none" w:sz="0" w:space="0" w:color="auto"/>
              </w:divBdr>
            </w:div>
            <w:div w:id="434445911">
              <w:marLeft w:val="0"/>
              <w:marRight w:val="0"/>
              <w:marTop w:val="0"/>
              <w:marBottom w:val="0"/>
              <w:divBdr>
                <w:top w:val="none" w:sz="0" w:space="0" w:color="auto"/>
                <w:left w:val="none" w:sz="0" w:space="0" w:color="auto"/>
                <w:bottom w:val="none" w:sz="0" w:space="0" w:color="auto"/>
                <w:right w:val="none" w:sz="0" w:space="0" w:color="auto"/>
              </w:divBdr>
            </w:div>
            <w:div w:id="438569389">
              <w:marLeft w:val="0"/>
              <w:marRight w:val="0"/>
              <w:marTop w:val="0"/>
              <w:marBottom w:val="0"/>
              <w:divBdr>
                <w:top w:val="none" w:sz="0" w:space="0" w:color="auto"/>
                <w:left w:val="none" w:sz="0" w:space="0" w:color="auto"/>
                <w:bottom w:val="none" w:sz="0" w:space="0" w:color="auto"/>
                <w:right w:val="none" w:sz="0" w:space="0" w:color="auto"/>
              </w:divBdr>
            </w:div>
            <w:div w:id="451244031">
              <w:marLeft w:val="0"/>
              <w:marRight w:val="0"/>
              <w:marTop w:val="0"/>
              <w:marBottom w:val="0"/>
              <w:divBdr>
                <w:top w:val="none" w:sz="0" w:space="0" w:color="auto"/>
                <w:left w:val="none" w:sz="0" w:space="0" w:color="auto"/>
                <w:bottom w:val="none" w:sz="0" w:space="0" w:color="auto"/>
                <w:right w:val="none" w:sz="0" w:space="0" w:color="auto"/>
              </w:divBdr>
            </w:div>
            <w:div w:id="471676691">
              <w:marLeft w:val="0"/>
              <w:marRight w:val="0"/>
              <w:marTop w:val="0"/>
              <w:marBottom w:val="0"/>
              <w:divBdr>
                <w:top w:val="none" w:sz="0" w:space="0" w:color="auto"/>
                <w:left w:val="none" w:sz="0" w:space="0" w:color="auto"/>
                <w:bottom w:val="none" w:sz="0" w:space="0" w:color="auto"/>
                <w:right w:val="none" w:sz="0" w:space="0" w:color="auto"/>
              </w:divBdr>
            </w:div>
            <w:div w:id="497040388">
              <w:marLeft w:val="0"/>
              <w:marRight w:val="0"/>
              <w:marTop w:val="0"/>
              <w:marBottom w:val="0"/>
              <w:divBdr>
                <w:top w:val="none" w:sz="0" w:space="0" w:color="auto"/>
                <w:left w:val="none" w:sz="0" w:space="0" w:color="auto"/>
                <w:bottom w:val="none" w:sz="0" w:space="0" w:color="auto"/>
                <w:right w:val="none" w:sz="0" w:space="0" w:color="auto"/>
              </w:divBdr>
            </w:div>
            <w:div w:id="504630653">
              <w:marLeft w:val="0"/>
              <w:marRight w:val="0"/>
              <w:marTop w:val="0"/>
              <w:marBottom w:val="0"/>
              <w:divBdr>
                <w:top w:val="none" w:sz="0" w:space="0" w:color="auto"/>
                <w:left w:val="none" w:sz="0" w:space="0" w:color="auto"/>
                <w:bottom w:val="none" w:sz="0" w:space="0" w:color="auto"/>
                <w:right w:val="none" w:sz="0" w:space="0" w:color="auto"/>
              </w:divBdr>
            </w:div>
            <w:div w:id="522715793">
              <w:marLeft w:val="0"/>
              <w:marRight w:val="0"/>
              <w:marTop w:val="0"/>
              <w:marBottom w:val="0"/>
              <w:divBdr>
                <w:top w:val="none" w:sz="0" w:space="0" w:color="auto"/>
                <w:left w:val="none" w:sz="0" w:space="0" w:color="auto"/>
                <w:bottom w:val="none" w:sz="0" w:space="0" w:color="auto"/>
                <w:right w:val="none" w:sz="0" w:space="0" w:color="auto"/>
              </w:divBdr>
            </w:div>
            <w:div w:id="548152391">
              <w:marLeft w:val="0"/>
              <w:marRight w:val="0"/>
              <w:marTop w:val="0"/>
              <w:marBottom w:val="0"/>
              <w:divBdr>
                <w:top w:val="none" w:sz="0" w:space="0" w:color="auto"/>
                <w:left w:val="none" w:sz="0" w:space="0" w:color="auto"/>
                <w:bottom w:val="none" w:sz="0" w:space="0" w:color="auto"/>
                <w:right w:val="none" w:sz="0" w:space="0" w:color="auto"/>
              </w:divBdr>
            </w:div>
            <w:div w:id="575558878">
              <w:marLeft w:val="0"/>
              <w:marRight w:val="0"/>
              <w:marTop w:val="0"/>
              <w:marBottom w:val="0"/>
              <w:divBdr>
                <w:top w:val="none" w:sz="0" w:space="0" w:color="auto"/>
                <w:left w:val="none" w:sz="0" w:space="0" w:color="auto"/>
                <w:bottom w:val="none" w:sz="0" w:space="0" w:color="auto"/>
                <w:right w:val="none" w:sz="0" w:space="0" w:color="auto"/>
              </w:divBdr>
            </w:div>
            <w:div w:id="611785653">
              <w:marLeft w:val="0"/>
              <w:marRight w:val="0"/>
              <w:marTop w:val="0"/>
              <w:marBottom w:val="0"/>
              <w:divBdr>
                <w:top w:val="none" w:sz="0" w:space="0" w:color="auto"/>
                <w:left w:val="none" w:sz="0" w:space="0" w:color="auto"/>
                <w:bottom w:val="none" w:sz="0" w:space="0" w:color="auto"/>
                <w:right w:val="none" w:sz="0" w:space="0" w:color="auto"/>
              </w:divBdr>
            </w:div>
            <w:div w:id="621617735">
              <w:marLeft w:val="0"/>
              <w:marRight w:val="0"/>
              <w:marTop w:val="0"/>
              <w:marBottom w:val="0"/>
              <w:divBdr>
                <w:top w:val="none" w:sz="0" w:space="0" w:color="auto"/>
                <w:left w:val="none" w:sz="0" w:space="0" w:color="auto"/>
                <w:bottom w:val="none" w:sz="0" w:space="0" w:color="auto"/>
                <w:right w:val="none" w:sz="0" w:space="0" w:color="auto"/>
              </w:divBdr>
            </w:div>
            <w:div w:id="624820722">
              <w:marLeft w:val="0"/>
              <w:marRight w:val="0"/>
              <w:marTop w:val="0"/>
              <w:marBottom w:val="0"/>
              <w:divBdr>
                <w:top w:val="none" w:sz="0" w:space="0" w:color="auto"/>
                <w:left w:val="none" w:sz="0" w:space="0" w:color="auto"/>
                <w:bottom w:val="none" w:sz="0" w:space="0" w:color="auto"/>
                <w:right w:val="none" w:sz="0" w:space="0" w:color="auto"/>
              </w:divBdr>
            </w:div>
            <w:div w:id="631256979">
              <w:marLeft w:val="0"/>
              <w:marRight w:val="0"/>
              <w:marTop w:val="0"/>
              <w:marBottom w:val="0"/>
              <w:divBdr>
                <w:top w:val="none" w:sz="0" w:space="0" w:color="auto"/>
                <w:left w:val="none" w:sz="0" w:space="0" w:color="auto"/>
                <w:bottom w:val="none" w:sz="0" w:space="0" w:color="auto"/>
                <w:right w:val="none" w:sz="0" w:space="0" w:color="auto"/>
              </w:divBdr>
            </w:div>
            <w:div w:id="769080127">
              <w:marLeft w:val="0"/>
              <w:marRight w:val="0"/>
              <w:marTop w:val="0"/>
              <w:marBottom w:val="0"/>
              <w:divBdr>
                <w:top w:val="none" w:sz="0" w:space="0" w:color="auto"/>
                <w:left w:val="none" w:sz="0" w:space="0" w:color="auto"/>
                <w:bottom w:val="none" w:sz="0" w:space="0" w:color="auto"/>
                <w:right w:val="none" w:sz="0" w:space="0" w:color="auto"/>
              </w:divBdr>
            </w:div>
            <w:div w:id="772241066">
              <w:marLeft w:val="0"/>
              <w:marRight w:val="0"/>
              <w:marTop w:val="0"/>
              <w:marBottom w:val="0"/>
              <w:divBdr>
                <w:top w:val="none" w:sz="0" w:space="0" w:color="auto"/>
                <w:left w:val="none" w:sz="0" w:space="0" w:color="auto"/>
                <w:bottom w:val="none" w:sz="0" w:space="0" w:color="auto"/>
                <w:right w:val="none" w:sz="0" w:space="0" w:color="auto"/>
              </w:divBdr>
            </w:div>
            <w:div w:id="807942691">
              <w:marLeft w:val="0"/>
              <w:marRight w:val="0"/>
              <w:marTop w:val="0"/>
              <w:marBottom w:val="0"/>
              <w:divBdr>
                <w:top w:val="none" w:sz="0" w:space="0" w:color="auto"/>
                <w:left w:val="none" w:sz="0" w:space="0" w:color="auto"/>
                <w:bottom w:val="none" w:sz="0" w:space="0" w:color="auto"/>
                <w:right w:val="none" w:sz="0" w:space="0" w:color="auto"/>
              </w:divBdr>
            </w:div>
            <w:div w:id="832918592">
              <w:marLeft w:val="0"/>
              <w:marRight w:val="0"/>
              <w:marTop w:val="0"/>
              <w:marBottom w:val="0"/>
              <w:divBdr>
                <w:top w:val="none" w:sz="0" w:space="0" w:color="auto"/>
                <w:left w:val="none" w:sz="0" w:space="0" w:color="auto"/>
                <w:bottom w:val="none" w:sz="0" w:space="0" w:color="auto"/>
                <w:right w:val="none" w:sz="0" w:space="0" w:color="auto"/>
              </w:divBdr>
            </w:div>
            <w:div w:id="855776207">
              <w:marLeft w:val="0"/>
              <w:marRight w:val="0"/>
              <w:marTop w:val="0"/>
              <w:marBottom w:val="0"/>
              <w:divBdr>
                <w:top w:val="none" w:sz="0" w:space="0" w:color="auto"/>
                <w:left w:val="none" w:sz="0" w:space="0" w:color="auto"/>
                <w:bottom w:val="none" w:sz="0" w:space="0" w:color="auto"/>
                <w:right w:val="none" w:sz="0" w:space="0" w:color="auto"/>
              </w:divBdr>
            </w:div>
            <w:div w:id="861286400">
              <w:marLeft w:val="0"/>
              <w:marRight w:val="0"/>
              <w:marTop w:val="0"/>
              <w:marBottom w:val="0"/>
              <w:divBdr>
                <w:top w:val="none" w:sz="0" w:space="0" w:color="auto"/>
                <w:left w:val="none" w:sz="0" w:space="0" w:color="auto"/>
                <w:bottom w:val="none" w:sz="0" w:space="0" w:color="auto"/>
                <w:right w:val="none" w:sz="0" w:space="0" w:color="auto"/>
              </w:divBdr>
            </w:div>
            <w:div w:id="873663487">
              <w:marLeft w:val="0"/>
              <w:marRight w:val="0"/>
              <w:marTop w:val="0"/>
              <w:marBottom w:val="0"/>
              <w:divBdr>
                <w:top w:val="none" w:sz="0" w:space="0" w:color="auto"/>
                <w:left w:val="none" w:sz="0" w:space="0" w:color="auto"/>
                <w:bottom w:val="none" w:sz="0" w:space="0" w:color="auto"/>
                <w:right w:val="none" w:sz="0" w:space="0" w:color="auto"/>
              </w:divBdr>
            </w:div>
            <w:div w:id="894663381">
              <w:marLeft w:val="0"/>
              <w:marRight w:val="0"/>
              <w:marTop w:val="0"/>
              <w:marBottom w:val="0"/>
              <w:divBdr>
                <w:top w:val="none" w:sz="0" w:space="0" w:color="auto"/>
                <w:left w:val="none" w:sz="0" w:space="0" w:color="auto"/>
                <w:bottom w:val="none" w:sz="0" w:space="0" w:color="auto"/>
                <w:right w:val="none" w:sz="0" w:space="0" w:color="auto"/>
              </w:divBdr>
            </w:div>
            <w:div w:id="913508801">
              <w:marLeft w:val="0"/>
              <w:marRight w:val="0"/>
              <w:marTop w:val="0"/>
              <w:marBottom w:val="0"/>
              <w:divBdr>
                <w:top w:val="none" w:sz="0" w:space="0" w:color="auto"/>
                <w:left w:val="none" w:sz="0" w:space="0" w:color="auto"/>
                <w:bottom w:val="none" w:sz="0" w:space="0" w:color="auto"/>
                <w:right w:val="none" w:sz="0" w:space="0" w:color="auto"/>
              </w:divBdr>
            </w:div>
            <w:div w:id="961309047">
              <w:marLeft w:val="0"/>
              <w:marRight w:val="0"/>
              <w:marTop w:val="0"/>
              <w:marBottom w:val="0"/>
              <w:divBdr>
                <w:top w:val="none" w:sz="0" w:space="0" w:color="auto"/>
                <w:left w:val="none" w:sz="0" w:space="0" w:color="auto"/>
                <w:bottom w:val="none" w:sz="0" w:space="0" w:color="auto"/>
                <w:right w:val="none" w:sz="0" w:space="0" w:color="auto"/>
              </w:divBdr>
            </w:div>
            <w:div w:id="967777383">
              <w:marLeft w:val="0"/>
              <w:marRight w:val="0"/>
              <w:marTop w:val="0"/>
              <w:marBottom w:val="0"/>
              <w:divBdr>
                <w:top w:val="none" w:sz="0" w:space="0" w:color="auto"/>
                <w:left w:val="none" w:sz="0" w:space="0" w:color="auto"/>
                <w:bottom w:val="none" w:sz="0" w:space="0" w:color="auto"/>
                <w:right w:val="none" w:sz="0" w:space="0" w:color="auto"/>
              </w:divBdr>
            </w:div>
            <w:div w:id="994067279">
              <w:marLeft w:val="0"/>
              <w:marRight w:val="0"/>
              <w:marTop w:val="0"/>
              <w:marBottom w:val="0"/>
              <w:divBdr>
                <w:top w:val="none" w:sz="0" w:space="0" w:color="auto"/>
                <w:left w:val="none" w:sz="0" w:space="0" w:color="auto"/>
                <w:bottom w:val="none" w:sz="0" w:space="0" w:color="auto"/>
                <w:right w:val="none" w:sz="0" w:space="0" w:color="auto"/>
              </w:divBdr>
            </w:div>
            <w:div w:id="1015380822">
              <w:marLeft w:val="0"/>
              <w:marRight w:val="0"/>
              <w:marTop w:val="0"/>
              <w:marBottom w:val="0"/>
              <w:divBdr>
                <w:top w:val="none" w:sz="0" w:space="0" w:color="auto"/>
                <w:left w:val="none" w:sz="0" w:space="0" w:color="auto"/>
                <w:bottom w:val="none" w:sz="0" w:space="0" w:color="auto"/>
                <w:right w:val="none" w:sz="0" w:space="0" w:color="auto"/>
              </w:divBdr>
            </w:div>
            <w:div w:id="1060908040">
              <w:marLeft w:val="0"/>
              <w:marRight w:val="0"/>
              <w:marTop w:val="0"/>
              <w:marBottom w:val="0"/>
              <w:divBdr>
                <w:top w:val="none" w:sz="0" w:space="0" w:color="auto"/>
                <w:left w:val="none" w:sz="0" w:space="0" w:color="auto"/>
                <w:bottom w:val="none" w:sz="0" w:space="0" w:color="auto"/>
                <w:right w:val="none" w:sz="0" w:space="0" w:color="auto"/>
              </w:divBdr>
            </w:div>
            <w:div w:id="1071464101">
              <w:marLeft w:val="0"/>
              <w:marRight w:val="0"/>
              <w:marTop w:val="0"/>
              <w:marBottom w:val="0"/>
              <w:divBdr>
                <w:top w:val="none" w:sz="0" w:space="0" w:color="auto"/>
                <w:left w:val="none" w:sz="0" w:space="0" w:color="auto"/>
                <w:bottom w:val="none" w:sz="0" w:space="0" w:color="auto"/>
                <w:right w:val="none" w:sz="0" w:space="0" w:color="auto"/>
              </w:divBdr>
            </w:div>
            <w:div w:id="1084911688">
              <w:marLeft w:val="0"/>
              <w:marRight w:val="0"/>
              <w:marTop w:val="0"/>
              <w:marBottom w:val="0"/>
              <w:divBdr>
                <w:top w:val="none" w:sz="0" w:space="0" w:color="auto"/>
                <w:left w:val="none" w:sz="0" w:space="0" w:color="auto"/>
                <w:bottom w:val="none" w:sz="0" w:space="0" w:color="auto"/>
                <w:right w:val="none" w:sz="0" w:space="0" w:color="auto"/>
              </w:divBdr>
            </w:div>
            <w:div w:id="1121266838">
              <w:marLeft w:val="0"/>
              <w:marRight w:val="0"/>
              <w:marTop w:val="0"/>
              <w:marBottom w:val="0"/>
              <w:divBdr>
                <w:top w:val="none" w:sz="0" w:space="0" w:color="auto"/>
                <w:left w:val="none" w:sz="0" w:space="0" w:color="auto"/>
                <w:bottom w:val="none" w:sz="0" w:space="0" w:color="auto"/>
                <w:right w:val="none" w:sz="0" w:space="0" w:color="auto"/>
              </w:divBdr>
            </w:div>
            <w:div w:id="1141196127">
              <w:marLeft w:val="0"/>
              <w:marRight w:val="0"/>
              <w:marTop w:val="0"/>
              <w:marBottom w:val="0"/>
              <w:divBdr>
                <w:top w:val="none" w:sz="0" w:space="0" w:color="auto"/>
                <w:left w:val="none" w:sz="0" w:space="0" w:color="auto"/>
                <w:bottom w:val="none" w:sz="0" w:space="0" w:color="auto"/>
                <w:right w:val="none" w:sz="0" w:space="0" w:color="auto"/>
              </w:divBdr>
            </w:div>
            <w:div w:id="1204369091">
              <w:marLeft w:val="0"/>
              <w:marRight w:val="0"/>
              <w:marTop w:val="0"/>
              <w:marBottom w:val="0"/>
              <w:divBdr>
                <w:top w:val="none" w:sz="0" w:space="0" w:color="auto"/>
                <w:left w:val="none" w:sz="0" w:space="0" w:color="auto"/>
                <w:bottom w:val="none" w:sz="0" w:space="0" w:color="auto"/>
                <w:right w:val="none" w:sz="0" w:space="0" w:color="auto"/>
              </w:divBdr>
            </w:div>
            <w:div w:id="1225795573">
              <w:marLeft w:val="0"/>
              <w:marRight w:val="0"/>
              <w:marTop w:val="0"/>
              <w:marBottom w:val="0"/>
              <w:divBdr>
                <w:top w:val="none" w:sz="0" w:space="0" w:color="auto"/>
                <w:left w:val="none" w:sz="0" w:space="0" w:color="auto"/>
                <w:bottom w:val="none" w:sz="0" w:space="0" w:color="auto"/>
                <w:right w:val="none" w:sz="0" w:space="0" w:color="auto"/>
              </w:divBdr>
            </w:div>
            <w:div w:id="1239903288">
              <w:marLeft w:val="0"/>
              <w:marRight w:val="0"/>
              <w:marTop w:val="0"/>
              <w:marBottom w:val="0"/>
              <w:divBdr>
                <w:top w:val="none" w:sz="0" w:space="0" w:color="auto"/>
                <w:left w:val="none" w:sz="0" w:space="0" w:color="auto"/>
                <w:bottom w:val="none" w:sz="0" w:space="0" w:color="auto"/>
                <w:right w:val="none" w:sz="0" w:space="0" w:color="auto"/>
              </w:divBdr>
            </w:div>
            <w:div w:id="1258757858">
              <w:marLeft w:val="0"/>
              <w:marRight w:val="0"/>
              <w:marTop w:val="0"/>
              <w:marBottom w:val="0"/>
              <w:divBdr>
                <w:top w:val="none" w:sz="0" w:space="0" w:color="auto"/>
                <w:left w:val="none" w:sz="0" w:space="0" w:color="auto"/>
                <w:bottom w:val="none" w:sz="0" w:space="0" w:color="auto"/>
                <w:right w:val="none" w:sz="0" w:space="0" w:color="auto"/>
              </w:divBdr>
            </w:div>
            <w:div w:id="1265191249">
              <w:marLeft w:val="0"/>
              <w:marRight w:val="0"/>
              <w:marTop w:val="0"/>
              <w:marBottom w:val="0"/>
              <w:divBdr>
                <w:top w:val="none" w:sz="0" w:space="0" w:color="auto"/>
                <w:left w:val="none" w:sz="0" w:space="0" w:color="auto"/>
                <w:bottom w:val="none" w:sz="0" w:space="0" w:color="auto"/>
                <w:right w:val="none" w:sz="0" w:space="0" w:color="auto"/>
              </w:divBdr>
            </w:div>
            <w:div w:id="1265336076">
              <w:marLeft w:val="0"/>
              <w:marRight w:val="0"/>
              <w:marTop w:val="0"/>
              <w:marBottom w:val="0"/>
              <w:divBdr>
                <w:top w:val="none" w:sz="0" w:space="0" w:color="auto"/>
                <w:left w:val="none" w:sz="0" w:space="0" w:color="auto"/>
                <w:bottom w:val="none" w:sz="0" w:space="0" w:color="auto"/>
                <w:right w:val="none" w:sz="0" w:space="0" w:color="auto"/>
              </w:divBdr>
            </w:div>
            <w:div w:id="1271201986">
              <w:marLeft w:val="0"/>
              <w:marRight w:val="0"/>
              <w:marTop w:val="0"/>
              <w:marBottom w:val="0"/>
              <w:divBdr>
                <w:top w:val="none" w:sz="0" w:space="0" w:color="auto"/>
                <w:left w:val="none" w:sz="0" w:space="0" w:color="auto"/>
                <w:bottom w:val="none" w:sz="0" w:space="0" w:color="auto"/>
                <w:right w:val="none" w:sz="0" w:space="0" w:color="auto"/>
              </w:divBdr>
            </w:div>
            <w:div w:id="1279676138">
              <w:marLeft w:val="0"/>
              <w:marRight w:val="0"/>
              <w:marTop w:val="0"/>
              <w:marBottom w:val="0"/>
              <w:divBdr>
                <w:top w:val="none" w:sz="0" w:space="0" w:color="auto"/>
                <w:left w:val="none" w:sz="0" w:space="0" w:color="auto"/>
                <w:bottom w:val="none" w:sz="0" w:space="0" w:color="auto"/>
                <w:right w:val="none" w:sz="0" w:space="0" w:color="auto"/>
              </w:divBdr>
            </w:div>
            <w:div w:id="1299145666">
              <w:marLeft w:val="0"/>
              <w:marRight w:val="0"/>
              <w:marTop w:val="0"/>
              <w:marBottom w:val="0"/>
              <w:divBdr>
                <w:top w:val="none" w:sz="0" w:space="0" w:color="auto"/>
                <w:left w:val="none" w:sz="0" w:space="0" w:color="auto"/>
                <w:bottom w:val="none" w:sz="0" w:space="0" w:color="auto"/>
                <w:right w:val="none" w:sz="0" w:space="0" w:color="auto"/>
              </w:divBdr>
            </w:div>
            <w:div w:id="1302348666">
              <w:marLeft w:val="0"/>
              <w:marRight w:val="0"/>
              <w:marTop w:val="0"/>
              <w:marBottom w:val="0"/>
              <w:divBdr>
                <w:top w:val="none" w:sz="0" w:space="0" w:color="auto"/>
                <w:left w:val="none" w:sz="0" w:space="0" w:color="auto"/>
                <w:bottom w:val="none" w:sz="0" w:space="0" w:color="auto"/>
                <w:right w:val="none" w:sz="0" w:space="0" w:color="auto"/>
              </w:divBdr>
            </w:div>
            <w:div w:id="1313291971">
              <w:marLeft w:val="0"/>
              <w:marRight w:val="0"/>
              <w:marTop w:val="0"/>
              <w:marBottom w:val="0"/>
              <w:divBdr>
                <w:top w:val="none" w:sz="0" w:space="0" w:color="auto"/>
                <w:left w:val="none" w:sz="0" w:space="0" w:color="auto"/>
                <w:bottom w:val="none" w:sz="0" w:space="0" w:color="auto"/>
                <w:right w:val="none" w:sz="0" w:space="0" w:color="auto"/>
              </w:divBdr>
            </w:div>
            <w:div w:id="1323434575">
              <w:marLeft w:val="0"/>
              <w:marRight w:val="0"/>
              <w:marTop w:val="0"/>
              <w:marBottom w:val="0"/>
              <w:divBdr>
                <w:top w:val="none" w:sz="0" w:space="0" w:color="auto"/>
                <w:left w:val="none" w:sz="0" w:space="0" w:color="auto"/>
                <w:bottom w:val="none" w:sz="0" w:space="0" w:color="auto"/>
                <w:right w:val="none" w:sz="0" w:space="0" w:color="auto"/>
              </w:divBdr>
            </w:div>
            <w:div w:id="1328315883">
              <w:marLeft w:val="0"/>
              <w:marRight w:val="0"/>
              <w:marTop w:val="0"/>
              <w:marBottom w:val="0"/>
              <w:divBdr>
                <w:top w:val="none" w:sz="0" w:space="0" w:color="auto"/>
                <w:left w:val="none" w:sz="0" w:space="0" w:color="auto"/>
                <w:bottom w:val="none" w:sz="0" w:space="0" w:color="auto"/>
                <w:right w:val="none" w:sz="0" w:space="0" w:color="auto"/>
              </w:divBdr>
            </w:div>
            <w:div w:id="1368751477">
              <w:marLeft w:val="0"/>
              <w:marRight w:val="0"/>
              <w:marTop w:val="0"/>
              <w:marBottom w:val="0"/>
              <w:divBdr>
                <w:top w:val="none" w:sz="0" w:space="0" w:color="auto"/>
                <w:left w:val="none" w:sz="0" w:space="0" w:color="auto"/>
                <w:bottom w:val="none" w:sz="0" w:space="0" w:color="auto"/>
                <w:right w:val="none" w:sz="0" w:space="0" w:color="auto"/>
              </w:divBdr>
            </w:div>
            <w:div w:id="1392460266">
              <w:marLeft w:val="0"/>
              <w:marRight w:val="0"/>
              <w:marTop w:val="0"/>
              <w:marBottom w:val="0"/>
              <w:divBdr>
                <w:top w:val="none" w:sz="0" w:space="0" w:color="auto"/>
                <w:left w:val="none" w:sz="0" w:space="0" w:color="auto"/>
                <w:bottom w:val="none" w:sz="0" w:space="0" w:color="auto"/>
                <w:right w:val="none" w:sz="0" w:space="0" w:color="auto"/>
              </w:divBdr>
            </w:div>
            <w:div w:id="1400445457">
              <w:marLeft w:val="0"/>
              <w:marRight w:val="0"/>
              <w:marTop w:val="0"/>
              <w:marBottom w:val="0"/>
              <w:divBdr>
                <w:top w:val="none" w:sz="0" w:space="0" w:color="auto"/>
                <w:left w:val="none" w:sz="0" w:space="0" w:color="auto"/>
                <w:bottom w:val="none" w:sz="0" w:space="0" w:color="auto"/>
                <w:right w:val="none" w:sz="0" w:space="0" w:color="auto"/>
              </w:divBdr>
            </w:div>
            <w:div w:id="1405881341">
              <w:marLeft w:val="0"/>
              <w:marRight w:val="0"/>
              <w:marTop w:val="0"/>
              <w:marBottom w:val="0"/>
              <w:divBdr>
                <w:top w:val="none" w:sz="0" w:space="0" w:color="auto"/>
                <w:left w:val="none" w:sz="0" w:space="0" w:color="auto"/>
                <w:bottom w:val="none" w:sz="0" w:space="0" w:color="auto"/>
                <w:right w:val="none" w:sz="0" w:space="0" w:color="auto"/>
              </w:divBdr>
            </w:div>
            <w:div w:id="1428576623">
              <w:marLeft w:val="0"/>
              <w:marRight w:val="0"/>
              <w:marTop w:val="0"/>
              <w:marBottom w:val="0"/>
              <w:divBdr>
                <w:top w:val="none" w:sz="0" w:space="0" w:color="auto"/>
                <w:left w:val="none" w:sz="0" w:space="0" w:color="auto"/>
                <w:bottom w:val="none" w:sz="0" w:space="0" w:color="auto"/>
                <w:right w:val="none" w:sz="0" w:space="0" w:color="auto"/>
              </w:divBdr>
            </w:div>
            <w:div w:id="1466465780">
              <w:marLeft w:val="0"/>
              <w:marRight w:val="0"/>
              <w:marTop w:val="0"/>
              <w:marBottom w:val="0"/>
              <w:divBdr>
                <w:top w:val="none" w:sz="0" w:space="0" w:color="auto"/>
                <w:left w:val="none" w:sz="0" w:space="0" w:color="auto"/>
                <w:bottom w:val="none" w:sz="0" w:space="0" w:color="auto"/>
                <w:right w:val="none" w:sz="0" w:space="0" w:color="auto"/>
              </w:divBdr>
            </w:div>
            <w:div w:id="1483696077">
              <w:marLeft w:val="0"/>
              <w:marRight w:val="0"/>
              <w:marTop w:val="0"/>
              <w:marBottom w:val="0"/>
              <w:divBdr>
                <w:top w:val="none" w:sz="0" w:space="0" w:color="auto"/>
                <w:left w:val="none" w:sz="0" w:space="0" w:color="auto"/>
                <w:bottom w:val="none" w:sz="0" w:space="0" w:color="auto"/>
                <w:right w:val="none" w:sz="0" w:space="0" w:color="auto"/>
              </w:divBdr>
            </w:div>
            <w:div w:id="1491364114">
              <w:marLeft w:val="0"/>
              <w:marRight w:val="0"/>
              <w:marTop w:val="0"/>
              <w:marBottom w:val="0"/>
              <w:divBdr>
                <w:top w:val="none" w:sz="0" w:space="0" w:color="auto"/>
                <w:left w:val="none" w:sz="0" w:space="0" w:color="auto"/>
                <w:bottom w:val="none" w:sz="0" w:space="0" w:color="auto"/>
                <w:right w:val="none" w:sz="0" w:space="0" w:color="auto"/>
              </w:divBdr>
            </w:div>
            <w:div w:id="1498768675">
              <w:marLeft w:val="0"/>
              <w:marRight w:val="0"/>
              <w:marTop w:val="0"/>
              <w:marBottom w:val="0"/>
              <w:divBdr>
                <w:top w:val="none" w:sz="0" w:space="0" w:color="auto"/>
                <w:left w:val="none" w:sz="0" w:space="0" w:color="auto"/>
                <w:bottom w:val="none" w:sz="0" w:space="0" w:color="auto"/>
                <w:right w:val="none" w:sz="0" w:space="0" w:color="auto"/>
              </w:divBdr>
            </w:div>
            <w:div w:id="1508130428">
              <w:marLeft w:val="0"/>
              <w:marRight w:val="0"/>
              <w:marTop w:val="0"/>
              <w:marBottom w:val="0"/>
              <w:divBdr>
                <w:top w:val="none" w:sz="0" w:space="0" w:color="auto"/>
                <w:left w:val="none" w:sz="0" w:space="0" w:color="auto"/>
                <w:bottom w:val="none" w:sz="0" w:space="0" w:color="auto"/>
                <w:right w:val="none" w:sz="0" w:space="0" w:color="auto"/>
              </w:divBdr>
            </w:div>
            <w:div w:id="1542279674">
              <w:marLeft w:val="0"/>
              <w:marRight w:val="0"/>
              <w:marTop w:val="0"/>
              <w:marBottom w:val="0"/>
              <w:divBdr>
                <w:top w:val="none" w:sz="0" w:space="0" w:color="auto"/>
                <w:left w:val="none" w:sz="0" w:space="0" w:color="auto"/>
                <w:bottom w:val="none" w:sz="0" w:space="0" w:color="auto"/>
                <w:right w:val="none" w:sz="0" w:space="0" w:color="auto"/>
              </w:divBdr>
            </w:div>
            <w:div w:id="1564952734">
              <w:marLeft w:val="0"/>
              <w:marRight w:val="0"/>
              <w:marTop w:val="0"/>
              <w:marBottom w:val="0"/>
              <w:divBdr>
                <w:top w:val="none" w:sz="0" w:space="0" w:color="auto"/>
                <w:left w:val="none" w:sz="0" w:space="0" w:color="auto"/>
                <w:bottom w:val="none" w:sz="0" w:space="0" w:color="auto"/>
                <w:right w:val="none" w:sz="0" w:space="0" w:color="auto"/>
              </w:divBdr>
            </w:div>
            <w:div w:id="1580217156">
              <w:marLeft w:val="0"/>
              <w:marRight w:val="0"/>
              <w:marTop w:val="0"/>
              <w:marBottom w:val="0"/>
              <w:divBdr>
                <w:top w:val="none" w:sz="0" w:space="0" w:color="auto"/>
                <w:left w:val="none" w:sz="0" w:space="0" w:color="auto"/>
                <w:bottom w:val="none" w:sz="0" w:space="0" w:color="auto"/>
                <w:right w:val="none" w:sz="0" w:space="0" w:color="auto"/>
              </w:divBdr>
            </w:div>
            <w:div w:id="1622375205">
              <w:marLeft w:val="0"/>
              <w:marRight w:val="0"/>
              <w:marTop w:val="0"/>
              <w:marBottom w:val="0"/>
              <w:divBdr>
                <w:top w:val="none" w:sz="0" w:space="0" w:color="auto"/>
                <w:left w:val="none" w:sz="0" w:space="0" w:color="auto"/>
                <w:bottom w:val="none" w:sz="0" w:space="0" w:color="auto"/>
                <w:right w:val="none" w:sz="0" w:space="0" w:color="auto"/>
              </w:divBdr>
            </w:div>
            <w:div w:id="1651906022">
              <w:marLeft w:val="0"/>
              <w:marRight w:val="0"/>
              <w:marTop w:val="0"/>
              <w:marBottom w:val="0"/>
              <w:divBdr>
                <w:top w:val="none" w:sz="0" w:space="0" w:color="auto"/>
                <w:left w:val="none" w:sz="0" w:space="0" w:color="auto"/>
                <w:bottom w:val="none" w:sz="0" w:space="0" w:color="auto"/>
                <w:right w:val="none" w:sz="0" w:space="0" w:color="auto"/>
              </w:divBdr>
            </w:div>
            <w:div w:id="1656833303">
              <w:marLeft w:val="0"/>
              <w:marRight w:val="0"/>
              <w:marTop w:val="0"/>
              <w:marBottom w:val="0"/>
              <w:divBdr>
                <w:top w:val="none" w:sz="0" w:space="0" w:color="auto"/>
                <w:left w:val="none" w:sz="0" w:space="0" w:color="auto"/>
                <w:bottom w:val="none" w:sz="0" w:space="0" w:color="auto"/>
                <w:right w:val="none" w:sz="0" w:space="0" w:color="auto"/>
              </w:divBdr>
            </w:div>
            <w:div w:id="1694305563">
              <w:marLeft w:val="0"/>
              <w:marRight w:val="0"/>
              <w:marTop w:val="0"/>
              <w:marBottom w:val="0"/>
              <w:divBdr>
                <w:top w:val="none" w:sz="0" w:space="0" w:color="auto"/>
                <w:left w:val="none" w:sz="0" w:space="0" w:color="auto"/>
                <w:bottom w:val="none" w:sz="0" w:space="0" w:color="auto"/>
                <w:right w:val="none" w:sz="0" w:space="0" w:color="auto"/>
              </w:divBdr>
            </w:div>
            <w:div w:id="1736392878">
              <w:marLeft w:val="0"/>
              <w:marRight w:val="0"/>
              <w:marTop w:val="0"/>
              <w:marBottom w:val="0"/>
              <w:divBdr>
                <w:top w:val="none" w:sz="0" w:space="0" w:color="auto"/>
                <w:left w:val="none" w:sz="0" w:space="0" w:color="auto"/>
                <w:bottom w:val="none" w:sz="0" w:space="0" w:color="auto"/>
                <w:right w:val="none" w:sz="0" w:space="0" w:color="auto"/>
              </w:divBdr>
            </w:div>
            <w:div w:id="1784568115">
              <w:marLeft w:val="0"/>
              <w:marRight w:val="0"/>
              <w:marTop w:val="0"/>
              <w:marBottom w:val="0"/>
              <w:divBdr>
                <w:top w:val="none" w:sz="0" w:space="0" w:color="auto"/>
                <w:left w:val="none" w:sz="0" w:space="0" w:color="auto"/>
                <w:bottom w:val="none" w:sz="0" w:space="0" w:color="auto"/>
                <w:right w:val="none" w:sz="0" w:space="0" w:color="auto"/>
              </w:divBdr>
            </w:div>
            <w:div w:id="1785423692">
              <w:marLeft w:val="0"/>
              <w:marRight w:val="0"/>
              <w:marTop w:val="0"/>
              <w:marBottom w:val="0"/>
              <w:divBdr>
                <w:top w:val="none" w:sz="0" w:space="0" w:color="auto"/>
                <w:left w:val="none" w:sz="0" w:space="0" w:color="auto"/>
                <w:bottom w:val="none" w:sz="0" w:space="0" w:color="auto"/>
                <w:right w:val="none" w:sz="0" w:space="0" w:color="auto"/>
              </w:divBdr>
            </w:div>
            <w:div w:id="1799030510">
              <w:marLeft w:val="0"/>
              <w:marRight w:val="0"/>
              <w:marTop w:val="0"/>
              <w:marBottom w:val="0"/>
              <w:divBdr>
                <w:top w:val="none" w:sz="0" w:space="0" w:color="auto"/>
                <w:left w:val="none" w:sz="0" w:space="0" w:color="auto"/>
                <w:bottom w:val="none" w:sz="0" w:space="0" w:color="auto"/>
                <w:right w:val="none" w:sz="0" w:space="0" w:color="auto"/>
              </w:divBdr>
            </w:div>
            <w:div w:id="1843660828">
              <w:marLeft w:val="0"/>
              <w:marRight w:val="0"/>
              <w:marTop w:val="0"/>
              <w:marBottom w:val="0"/>
              <w:divBdr>
                <w:top w:val="none" w:sz="0" w:space="0" w:color="auto"/>
                <w:left w:val="none" w:sz="0" w:space="0" w:color="auto"/>
                <w:bottom w:val="none" w:sz="0" w:space="0" w:color="auto"/>
                <w:right w:val="none" w:sz="0" w:space="0" w:color="auto"/>
              </w:divBdr>
            </w:div>
            <w:div w:id="1875145369">
              <w:marLeft w:val="0"/>
              <w:marRight w:val="0"/>
              <w:marTop w:val="0"/>
              <w:marBottom w:val="0"/>
              <w:divBdr>
                <w:top w:val="none" w:sz="0" w:space="0" w:color="auto"/>
                <w:left w:val="none" w:sz="0" w:space="0" w:color="auto"/>
                <w:bottom w:val="none" w:sz="0" w:space="0" w:color="auto"/>
                <w:right w:val="none" w:sz="0" w:space="0" w:color="auto"/>
              </w:divBdr>
            </w:div>
            <w:div w:id="1876455854">
              <w:marLeft w:val="0"/>
              <w:marRight w:val="0"/>
              <w:marTop w:val="0"/>
              <w:marBottom w:val="0"/>
              <w:divBdr>
                <w:top w:val="none" w:sz="0" w:space="0" w:color="auto"/>
                <w:left w:val="none" w:sz="0" w:space="0" w:color="auto"/>
                <w:bottom w:val="none" w:sz="0" w:space="0" w:color="auto"/>
                <w:right w:val="none" w:sz="0" w:space="0" w:color="auto"/>
              </w:divBdr>
            </w:div>
            <w:div w:id="1957171599">
              <w:marLeft w:val="0"/>
              <w:marRight w:val="0"/>
              <w:marTop w:val="0"/>
              <w:marBottom w:val="0"/>
              <w:divBdr>
                <w:top w:val="none" w:sz="0" w:space="0" w:color="auto"/>
                <w:left w:val="none" w:sz="0" w:space="0" w:color="auto"/>
                <w:bottom w:val="none" w:sz="0" w:space="0" w:color="auto"/>
                <w:right w:val="none" w:sz="0" w:space="0" w:color="auto"/>
              </w:divBdr>
            </w:div>
            <w:div w:id="1972439540">
              <w:marLeft w:val="0"/>
              <w:marRight w:val="0"/>
              <w:marTop w:val="0"/>
              <w:marBottom w:val="0"/>
              <w:divBdr>
                <w:top w:val="none" w:sz="0" w:space="0" w:color="auto"/>
                <w:left w:val="none" w:sz="0" w:space="0" w:color="auto"/>
                <w:bottom w:val="none" w:sz="0" w:space="0" w:color="auto"/>
                <w:right w:val="none" w:sz="0" w:space="0" w:color="auto"/>
              </w:divBdr>
            </w:div>
            <w:div w:id="1979992165">
              <w:marLeft w:val="0"/>
              <w:marRight w:val="0"/>
              <w:marTop w:val="0"/>
              <w:marBottom w:val="0"/>
              <w:divBdr>
                <w:top w:val="none" w:sz="0" w:space="0" w:color="auto"/>
                <w:left w:val="none" w:sz="0" w:space="0" w:color="auto"/>
                <w:bottom w:val="none" w:sz="0" w:space="0" w:color="auto"/>
                <w:right w:val="none" w:sz="0" w:space="0" w:color="auto"/>
              </w:divBdr>
            </w:div>
            <w:div w:id="1994673880">
              <w:marLeft w:val="0"/>
              <w:marRight w:val="0"/>
              <w:marTop w:val="0"/>
              <w:marBottom w:val="0"/>
              <w:divBdr>
                <w:top w:val="none" w:sz="0" w:space="0" w:color="auto"/>
                <w:left w:val="none" w:sz="0" w:space="0" w:color="auto"/>
                <w:bottom w:val="none" w:sz="0" w:space="0" w:color="auto"/>
                <w:right w:val="none" w:sz="0" w:space="0" w:color="auto"/>
              </w:divBdr>
            </w:div>
            <w:div w:id="2007124901">
              <w:marLeft w:val="0"/>
              <w:marRight w:val="0"/>
              <w:marTop w:val="0"/>
              <w:marBottom w:val="0"/>
              <w:divBdr>
                <w:top w:val="none" w:sz="0" w:space="0" w:color="auto"/>
                <w:left w:val="none" w:sz="0" w:space="0" w:color="auto"/>
                <w:bottom w:val="none" w:sz="0" w:space="0" w:color="auto"/>
                <w:right w:val="none" w:sz="0" w:space="0" w:color="auto"/>
              </w:divBdr>
            </w:div>
            <w:div w:id="2013683143">
              <w:marLeft w:val="0"/>
              <w:marRight w:val="0"/>
              <w:marTop w:val="0"/>
              <w:marBottom w:val="0"/>
              <w:divBdr>
                <w:top w:val="none" w:sz="0" w:space="0" w:color="auto"/>
                <w:left w:val="none" w:sz="0" w:space="0" w:color="auto"/>
                <w:bottom w:val="none" w:sz="0" w:space="0" w:color="auto"/>
                <w:right w:val="none" w:sz="0" w:space="0" w:color="auto"/>
              </w:divBdr>
            </w:div>
            <w:div w:id="2036543437">
              <w:marLeft w:val="0"/>
              <w:marRight w:val="0"/>
              <w:marTop w:val="0"/>
              <w:marBottom w:val="0"/>
              <w:divBdr>
                <w:top w:val="none" w:sz="0" w:space="0" w:color="auto"/>
                <w:left w:val="none" w:sz="0" w:space="0" w:color="auto"/>
                <w:bottom w:val="none" w:sz="0" w:space="0" w:color="auto"/>
                <w:right w:val="none" w:sz="0" w:space="0" w:color="auto"/>
              </w:divBdr>
            </w:div>
            <w:div w:id="2054377178">
              <w:marLeft w:val="0"/>
              <w:marRight w:val="0"/>
              <w:marTop w:val="0"/>
              <w:marBottom w:val="0"/>
              <w:divBdr>
                <w:top w:val="none" w:sz="0" w:space="0" w:color="auto"/>
                <w:left w:val="none" w:sz="0" w:space="0" w:color="auto"/>
                <w:bottom w:val="none" w:sz="0" w:space="0" w:color="auto"/>
                <w:right w:val="none" w:sz="0" w:space="0" w:color="auto"/>
              </w:divBdr>
            </w:div>
            <w:div w:id="2085494415">
              <w:marLeft w:val="0"/>
              <w:marRight w:val="0"/>
              <w:marTop w:val="0"/>
              <w:marBottom w:val="0"/>
              <w:divBdr>
                <w:top w:val="none" w:sz="0" w:space="0" w:color="auto"/>
                <w:left w:val="none" w:sz="0" w:space="0" w:color="auto"/>
                <w:bottom w:val="none" w:sz="0" w:space="0" w:color="auto"/>
                <w:right w:val="none" w:sz="0" w:space="0" w:color="auto"/>
              </w:divBdr>
            </w:div>
            <w:div w:id="21466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hyperlink" Target="http://www.ctu.cz/cs/download/oop/oop_04/oop_04-03_2006-03_uplne_zneni_12-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u.cz/cs/download/oop/oop_04/oop_04-03_2006-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mart-regulation/impact/ia_carried_out/docs/ia_2009/sec_2009_0600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u.cz/cs/download/oop/oop_04/manual_lric_pevna.pdf" TargetMode="Externa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tu.cz/cs/download/art/cen/rozhodnuti/rozhodnuti_cen_07-07_2012-02_vodafone.pdf" TargetMode="External"/><Relationship Id="rId3" Type="http://schemas.openxmlformats.org/officeDocument/2006/relationships/hyperlink" Target="http://www.ctu.cz/cs/download/art/cen/rozhodnuti/rozhodnuti_cen_07-12_2012-07_vodafone_.pdf" TargetMode="External"/><Relationship Id="rId7" Type="http://schemas.openxmlformats.org/officeDocument/2006/relationships/hyperlink" Target="http://www.ctu.cz/cs/download/art/cen/rozhodnuti/rozhodnuti_cen_04-06_2012-01_telefonica.pdf" TargetMode="External"/><Relationship Id="rId2" Type="http://schemas.openxmlformats.org/officeDocument/2006/relationships/hyperlink" Target="http://www.ctu.cz/cs/download/art/oop/rozhodnuti/oop_art-03-12_2013-08.pdf" TargetMode="External"/><Relationship Id="rId1" Type="http://schemas.openxmlformats.org/officeDocument/2006/relationships/hyperlink" Target="http://eur-lex.europa.eu/LexUriServ/LexUriServ.do?uri=OJ:L:2012:172:0010:0035:CS:PDF" TargetMode="External"/><Relationship Id="rId6" Type="http://schemas.openxmlformats.org/officeDocument/2006/relationships/hyperlink" Target="http://www.ctu.cz/cs/download/art/cen/rozhodnuti/rozhodnuti_cen_04-06_2013-03_telefonica.pdf" TargetMode="External"/><Relationship Id="rId5" Type="http://schemas.openxmlformats.org/officeDocument/2006/relationships/hyperlink" Target="http://www.ctu.cz/cs/download/art/cen/rozhodnuti/rozhodnuti_cen_07-12_2012-06_t-mobile.pdf" TargetMode="External"/><Relationship Id="rId4" Type="http://schemas.openxmlformats.org/officeDocument/2006/relationships/hyperlink" Target="http://www.ctu.cz/cs/download/art/cen/rozhodnuti/rozhodnuti_cen_07-12_2012-05_telefonica.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DDB9FA-F06F-4872-B7D9-01ABF29F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25</TotalTime>
  <Pages>11</Pages>
  <Words>5944</Words>
  <Characters>35952</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41813</CharactersWithSpaces>
  <SharedDoc>false</SharedDoc>
  <HLinks>
    <vt:vector size="36"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ariant>
        <vt:i4>4980758</vt:i4>
      </vt:variant>
      <vt:variant>
        <vt:i4>6</vt:i4>
      </vt:variant>
      <vt:variant>
        <vt:i4>0</vt:i4>
      </vt:variant>
      <vt:variant>
        <vt:i4>5</vt:i4>
      </vt:variant>
      <vt:variant>
        <vt:lpwstr>http://eur-lex.europa.eu/LexUriServ/LexUriServ.do?uri=OJ:L:2012:172:0010:0035:CS:PDF</vt:lpwstr>
      </vt:variant>
      <vt:variant>
        <vt:lpwstr/>
      </vt:variant>
      <vt:variant>
        <vt:i4>5046352</vt:i4>
      </vt:variant>
      <vt:variant>
        <vt:i4>3</vt:i4>
      </vt:variant>
      <vt:variant>
        <vt:i4>0</vt:i4>
      </vt:variant>
      <vt:variant>
        <vt:i4>5</vt:i4>
      </vt:variant>
      <vt:variant>
        <vt:lpwstr>http://www.analysysmason.com/About-Us/News/Newsletter/Mobile-termination-cost-understanding-the-move-from-LRAIC-to-pure-LRIC/</vt:lpwstr>
      </vt:variant>
      <vt:variant>
        <vt:lpwstr/>
      </vt:variant>
      <vt:variant>
        <vt:i4>131155</vt:i4>
      </vt:variant>
      <vt:variant>
        <vt:i4>0</vt:i4>
      </vt:variant>
      <vt:variant>
        <vt:i4>0</vt:i4>
      </vt:variant>
      <vt:variant>
        <vt:i4>5</vt:i4>
      </vt:variant>
      <vt:variant>
        <vt:lpwstr>http://www.thelricmodel.com/index.php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5</cp:revision>
  <cp:lastPrinted>2012-11-02T10:44:00Z</cp:lastPrinted>
  <dcterms:created xsi:type="dcterms:W3CDTF">2014-02-02T10:08:00Z</dcterms:created>
  <dcterms:modified xsi:type="dcterms:W3CDTF">2014-02-05T11:34:00Z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